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9A17EC" w:rsidRPr="00591394" w14:paraId="7EC08004" w14:textId="77777777" w:rsidTr="00774574">
        <w:tc>
          <w:tcPr>
            <w:tcW w:w="9576" w:type="dxa"/>
            <w:gridSpan w:val="2"/>
          </w:tcPr>
          <w:p w14:paraId="5D4DB748" w14:textId="77777777" w:rsidR="009A17EC" w:rsidRPr="00591394" w:rsidRDefault="009A17EC" w:rsidP="00C6113D">
            <w:pPr>
              <w:widowControl/>
              <w:jc w:val="center"/>
              <w:rPr>
                <w:b/>
                <w:sz w:val="26"/>
                <w:szCs w:val="26"/>
              </w:rPr>
            </w:pPr>
            <w:r w:rsidRPr="00591394">
              <w:rPr>
                <w:b/>
                <w:sz w:val="26"/>
                <w:szCs w:val="26"/>
              </w:rPr>
              <w:t>PENNSYLVANIA</w:t>
            </w:r>
          </w:p>
          <w:p w14:paraId="097D3E78" w14:textId="77777777" w:rsidR="009A17EC" w:rsidRPr="00591394" w:rsidRDefault="009A17EC" w:rsidP="00C6113D">
            <w:pPr>
              <w:widowControl/>
              <w:jc w:val="center"/>
              <w:rPr>
                <w:b/>
                <w:sz w:val="26"/>
                <w:szCs w:val="26"/>
              </w:rPr>
            </w:pPr>
            <w:r w:rsidRPr="00591394">
              <w:rPr>
                <w:b/>
                <w:sz w:val="26"/>
                <w:szCs w:val="26"/>
              </w:rPr>
              <w:t>PUBLIC UTILITY COMMISSION</w:t>
            </w:r>
          </w:p>
          <w:p w14:paraId="24D237FE" w14:textId="4522A52D" w:rsidR="009A17EC" w:rsidRPr="00591394" w:rsidRDefault="009A17EC" w:rsidP="00C6113D">
            <w:pPr>
              <w:widowControl/>
              <w:jc w:val="center"/>
              <w:rPr>
                <w:b/>
                <w:sz w:val="26"/>
                <w:szCs w:val="26"/>
              </w:rPr>
            </w:pPr>
            <w:r w:rsidRPr="00591394">
              <w:rPr>
                <w:b/>
                <w:sz w:val="26"/>
                <w:szCs w:val="26"/>
              </w:rPr>
              <w:t>Harrisburg, PA  171</w:t>
            </w:r>
            <w:r w:rsidR="00CF3882" w:rsidRPr="00591394">
              <w:rPr>
                <w:b/>
                <w:sz w:val="26"/>
                <w:szCs w:val="26"/>
              </w:rPr>
              <w:t>20</w:t>
            </w:r>
          </w:p>
          <w:p w14:paraId="2FBAE02B" w14:textId="77777777" w:rsidR="00236FDB" w:rsidRPr="00591394" w:rsidRDefault="00236FDB" w:rsidP="00C6113D">
            <w:pPr>
              <w:widowControl/>
              <w:jc w:val="center"/>
              <w:rPr>
                <w:b/>
                <w:sz w:val="26"/>
                <w:szCs w:val="26"/>
              </w:rPr>
            </w:pPr>
          </w:p>
          <w:p w14:paraId="5E348CDC" w14:textId="77777777" w:rsidR="000A6BDA" w:rsidRPr="00591394" w:rsidRDefault="000A6BDA" w:rsidP="00C6113D">
            <w:pPr>
              <w:widowControl/>
              <w:rPr>
                <w:sz w:val="26"/>
                <w:szCs w:val="26"/>
              </w:rPr>
            </w:pPr>
          </w:p>
          <w:p w14:paraId="210CAFC9" w14:textId="77777777" w:rsidR="000A6BDA" w:rsidRPr="00591394" w:rsidRDefault="000A6BDA" w:rsidP="00C6113D">
            <w:pPr>
              <w:widowControl/>
              <w:rPr>
                <w:sz w:val="26"/>
                <w:szCs w:val="26"/>
              </w:rPr>
            </w:pPr>
          </w:p>
        </w:tc>
      </w:tr>
      <w:tr w:rsidR="009A17EC" w:rsidRPr="00591394" w14:paraId="06071502" w14:textId="77777777" w:rsidTr="00774574">
        <w:tc>
          <w:tcPr>
            <w:tcW w:w="9576" w:type="dxa"/>
            <w:gridSpan w:val="2"/>
          </w:tcPr>
          <w:p w14:paraId="39FC1D07" w14:textId="0BEE72EF" w:rsidR="009A17EC" w:rsidRPr="00591394" w:rsidRDefault="009A17EC" w:rsidP="00C6113D">
            <w:pPr>
              <w:widowControl/>
              <w:jc w:val="right"/>
              <w:rPr>
                <w:sz w:val="26"/>
                <w:szCs w:val="26"/>
              </w:rPr>
            </w:pPr>
            <w:r w:rsidRPr="00591394">
              <w:rPr>
                <w:sz w:val="26"/>
                <w:szCs w:val="26"/>
              </w:rPr>
              <w:t>Public Meeting held</w:t>
            </w:r>
            <w:r w:rsidR="00236FDB" w:rsidRPr="00591394">
              <w:rPr>
                <w:sz w:val="26"/>
                <w:szCs w:val="26"/>
              </w:rPr>
              <w:t xml:space="preserve"> March </w:t>
            </w:r>
            <w:r w:rsidR="00F5658B" w:rsidRPr="00591394">
              <w:rPr>
                <w:sz w:val="26"/>
                <w:szCs w:val="26"/>
              </w:rPr>
              <w:t>25</w:t>
            </w:r>
            <w:r w:rsidR="00671416" w:rsidRPr="00591394">
              <w:rPr>
                <w:sz w:val="26"/>
                <w:szCs w:val="26"/>
              </w:rPr>
              <w:t>, 20</w:t>
            </w:r>
            <w:r w:rsidR="00F5658B" w:rsidRPr="00591394">
              <w:rPr>
                <w:sz w:val="26"/>
                <w:szCs w:val="26"/>
              </w:rPr>
              <w:t>21</w:t>
            </w:r>
          </w:p>
          <w:p w14:paraId="17F26DE3" w14:textId="77777777" w:rsidR="009A17EC" w:rsidRPr="00591394" w:rsidRDefault="009A17EC" w:rsidP="00C6113D">
            <w:pPr>
              <w:widowControl/>
              <w:jc w:val="right"/>
              <w:rPr>
                <w:sz w:val="26"/>
                <w:szCs w:val="26"/>
              </w:rPr>
            </w:pPr>
          </w:p>
          <w:p w14:paraId="4A6E56DC" w14:textId="77777777" w:rsidR="000A6BDA" w:rsidRPr="00591394" w:rsidRDefault="000A6BDA" w:rsidP="00C6113D">
            <w:pPr>
              <w:widowControl/>
              <w:jc w:val="right"/>
              <w:rPr>
                <w:sz w:val="26"/>
                <w:szCs w:val="26"/>
              </w:rPr>
            </w:pPr>
          </w:p>
        </w:tc>
      </w:tr>
      <w:tr w:rsidR="000A6BDA" w:rsidRPr="00591394" w14:paraId="00C0D854" w14:textId="77777777" w:rsidTr="00774574">
        <w:tc>
          <w:tcPr>
            <w:tcW w:w="9576" w:type="dxa"/>
            <w:gridSpan w:val="2"/>
          </w:tcPr>
          <w:p w14:paraId="58BDB475" w14:textId="77777777" w:rsidR="000A6BDA" w:rsidRPr="00591394" w:rsidRDefault="000A6BDA" w:rsidP="00C6113D">
            <w:pPr>
              <w:widowControl/>
              <w:jc w:val="right"/>
              <w:rPr>
                <w:sz w:val="26"/>
                <w:szCs w:val="26"/>
              </w:rPr>
            </w:pPr>
          </w:p>
        </w:tc>
      </w:tr>
      <w:tr w:rsidR="009A17EC" w:rsidRPr="00591394" w14:paraId="082C26B6" w14:textId="77777777" w:rsidTr="00774574">
        <w:tc>
          <w:tcPr>
            <w:tcW w:w="9576" w:type="dxa"/>
            <w:gridSpan w:val="2"/>
          </w:tcPr>
          <w:p w14:paraId="0137D09B" w14:textId="77777777" w:rsidR="009A17EC" w:rsidRPr="00591394" w:rsidRDefault="009A17EC" w:rsidP="00C6113D">
            <w:pPr>
              <w:widowControl/>
              <w:rPr>
                <w:sz w:val="26"/>
                <w:szCs w:val="26"/>
              </w:rPr>
            </w:pPr>
            <w:r w:rsidRPr="00591394">
              <w:rPr>
                <w:sz w:val="26"/>
                <w:szCs w:val="26"/>
              </w:rPr>
              <w:t>Commissioners Present:</w:t>
            </w:r>
          </w:p>
          <w:p w14:paraId="554A85BA" w14:textId="77777777" w:rsidR="000A6BDA" w:rsidRPr="00591394" w:rsidRDefault="000A6BDA" w:rsidP="00C6113D">
            <w:pPr>
              <w:widowControl/>
              <w:rPr>
                <w:sz w:val="26"/>
                <w:szCs w:val="26"/>
              </w:rPr>
            </w:pPr>
          </w:p>
          <w:p w14:paraId="26F9177C" w14:textId="77777777" w:rsidR="009A17EC" w:rsidRPr="00591394" w:rsidRDefault="009A17EC" w:rsidP="00C6113D">
            <w:pPr>
              <w:widowControl/>
              <w:rPr>
                <w:sz w:val="26"/>
                <w:szCs w:val="26"/>
              </w:rPr>
            </w:pPr>
          </w:p>
          <w:p w14:paraId="44F263E0" w14:textId="6C03D0EC" w:rsidR="009A17EC" w:rsidRPr="00591394" w:rsidRDefault="00980BAE" w:rsidP="00C6113D">
            <w:pPr>
              <w:widowControl/>
              <w:ind w:left="705"/>
              <w:rPr>
                <w:sz w:val="26"/>
                <w:szCs w:val="26"/>
              </w:rPr>
            </w:pPr>
            <w:r w:rsidRPr="00591394">
              <w:rPr>
                <w:sz w:val="26"/>
                <w:szCs w:val="26"/>
              </w:rPr>
              <w:t>Gladys Brown</w:t>
            </w:r>
            <w:r w:rsidR="00F51CB8" w:rsidRPr="00591394">
              <w:rPr>
                <w:sz w:val="26"/>
                <w:szCs w:val="26"/>
              </w:rPr>
              <w:t xml:space="preserve"> </w:t>
            </w:r>
            <w:proofErr w:type="spellStart"/>
            <w:r w:rsidR="00F51CB8" w:rsidRPr="00591394">
              <w:rPr>
                <w:sz w:val="26"/>
                <w:szCs w:val="26"/>
              </w:rPr>
              <w:t>Dutrieuille</w:t>
            </w:r>
            <w:proofErr w:type="spellEnd"/>
            <w:r w:rsidR="009A17EC" w:rsidRPr="00591394">
              <w:rPr>
                <w:sz w:val="26"/>
                <w:szCs w:val="26"/>
              </w:rPr>
              <w:t>, Chairman</w:t>
            </w:r>
            <w:r w:rsidR="00C375C3">
              <w:rPr>
                <w:sz w:val="26"/>
                <w:szCs w:val="26"/>
              </w:rPr>
              <w:t>, Joint Statement</w:t>
            </w:r>
          </w:p>
          <w:p w14:paraId="4CB26284" w14:textId="57A3204D" w:rsidR="00AB3D94" w:rsidRPr="00591394" w:rsidRDefault="00AB3D94" w:rsidP="00C6113D">
            <w:pPr>
              <w:widowControl/>
              <w:ind w:left="705"/>
              <w:contextualSpacing/>
              <w:rPr>
                <w:sz w:val="26"/>
                <w:szCs w:val="26"/>
              </w:rPr>
            </w:pPr>
            <w:r w:rsidRPr="00591394">
              <w:rPr>
                <w:sz w:val="26"/>
                <w:szCs w:val="26"/>
              </w:rPr>
              <w:t>David W. Sweet, Vice Chairman</w:t>
            </w:r>
            <w:r w:rsidR="00C375C3">
              <w:rPr>
                <w:sz w:val="26"/>
                <w:szCs w:val="26"/>
              </w:rPr>
              <w:t>, Joint Statement</w:t>
            </w:r>
          </w:p>
          <w:p w14:paraId="727A4AC6" w14:textId="77777777" w:rsidR="00AB3D94" w:rsidRPr="00591394" w:rsidRDefault="00AB3D94" w:rsidP="00C6113D">
            <w:pPr>
              <w:widowControl/>
              <w:ind w:left="705"/>
              <w:contextualSpacing/>
              <w:rPr>
                <w:sz w:val="26"/>
                <w:szCs w:val="26"/>
              </w:rPr>
            </w:pPr>
            <w:r w:rsidRPr="00591394">
              <w:rPr>
                <w:sz w:val="26"/>
                <w:szCs w:val="26"/>
              </w:rPr>
              <w:t>John F. Coleman, Jr.</w:t>
            </w:r>
          </w:p>
          <w:p w14:paraId="5893928D" w14:textId="77777777" w:rsidR="00AB3D94" w:rsidRPr="00591394" w:rsidRDefault="00AB3D94" w:rsidP="00C6113D">
            <w:pPr>
              <w:widowControl/>
              <w:ind w:left="705"/>
              <w:contextualSpacing/>
              <w:rPr>
                <w:sz w:val="26"/>
                <w:szCs w:val="26"/>
              </w:rPr>
            </w:pPr>
            <w:r w:rsidRPr="00591394">
              <w:rPr>
                <w:sz w:val="26"/>
                <w:szCs w:val="26"/>
              </w:rPr>
              <w:t>Ralph V. Yanora</w:t>
            </w:r>
          </w:p>
          <w:p w14:paraId="6FEC0616" w14:textId="77777777" w:rsidR="00AB3D94" w:rsidRPr="00591394" w:rsidRDefault="00AB3D94" w:rsidP="00C6113D">
            <w:pPr>
              <w:widowControl/>
              <w:ind w:firstLine="540"/>
              <w:rPr>
                <w:sz w:val="26"/>
                <w:szCs w:val="26"/>
              </w:rPr>
            </w:pPr>
          </w:p>
          <w:p w14:paraId="6404E31E" w14:textId="77777777" w:rsidR="000A6BDA" w:rsidRPr="00591394" w:rsidRDefault="000A6BDA" w:rsidP="00C6113D">
            <w:pPr>
              <w:widowControl/>
              <w:rPr>
                <w:sz w:val="26"/>
                <w:szCs w:val="26"/>
              </w:rPr>
            </w:pPr>
          </w:p>
          <w:p w14:paraId="2A89EBEA" w14:textId="77777777" w:rsidR="000A6BDA" w:rsidRPr="00591394" w:rsidRDefault="000A6BDA" w:rsidP="00C6113D">
            <w:pPr>
              <w:widowControl/>
              <w:rPr>
                <w:sz w:val="26"/>
                <w:szCs w:val="26"/>
              </w:rPr>
            </w:pPr>
          </w:p>
        </w:tc>
      </w:tr>
      <w:tr w:rsidR="00236FDB" w:rsidRPr="00591394" w14:paraId="792857CC" w14:textId="77777777" w:rsidTr="00774574">
        <w:tc>
          <w:tcPr>
            <w:tcW w:w="4788" w:type="dxa"/>
          </w:tcPr>
          <w:p w14:paraId="20D5B829" w14:textId="24FA0D5F" w:rsidR="00236FDB" w:rsidRPr="00591394" w:rsidRDefault="00236FDB" w:rsidP="00C6113D">
            <w:pPr>
              <w:widowControl/>
              <w:rPr>
                <w:sz w:val="26"/>
                <w:szCs w:val="26"/>
              </w:rPr>
            </w:pPr>
            <w:r w:rsidRPr="00591394">
              <w:rPr>
                <w:sz w:val="26"/>
                <w:szCs w:val="26"/>
              </w:rPr>
              <w:t>Petition of Duquesne Light Company for Approval of its Energy Efficiency and Conservation Phase I</w:t>
            </w:r>
            <w:r w:rsidR="00B81CFC" w:rsidRPr="00591394">
              <w:rPr>
                <w:sz w:val="26"/>
                <w:szCs w:val="26"/>
              </w:rPr>
              <w:t>V</w:t>
            </w:r>
            <w:r w:rsidRPr="00591394">
              <w:rPr>
                <w:sz w:val="26"/>
                <w:szCs w:val="26"/>
              </w:rPr>
              <w:t xml:space="preserve"> Plan</w:t>
            </w:r>
          </w:p>
        </w:tc>
        <w:tc>
          <w:tcPr>
            <w:tcW w:w="4788" w:type="dxa"/>
          </w:tcPr>
          <w:p w14:paraId="4206BE88" w14:textId="7142BF49" w:rsidR="00236FDB" w:rsidRPr="00591394" w:rsidRDefault="00236FDB" w:rsidP="00C6113D">
            <w:pPr>
              <w:widowControl/>
              <w:jc w:val="right"/>
              <w:rPr>
                <w:sz w:val="26"/>
                <w:szCs w:val="26"/>
              </w:rPr>
            </w:pPr>
            <w:r w:rsidRPr="00591394">
              <w:rPr>
                <w:sz w:val="26"/>
                <w:szCs w:val="26"/>
              </w:rPr>
              <w:t>M-20</w:t>
            </w:r>
            <w:r w:rsidR="00B81CFC" w:rsidRPr="00591394">
              <w:rPr>
                <w:sz w:val="26"/>
                <w:szCs w:val="26"/>
              </w:rPr>
              <w:t>20-3020818</w:t>
            </w:r>
            <w:r w:rsidRPr="00591394">
              <w:rPr>
                <w:sz w:val="26"/>
                <w:szCs w:val="26"/>
              </w:rPr>
              <w:t xml:space="preserve"> </w:t>
            </w:r>
          </w:p>
          <w:p w14:paraId="17C845BE" w14:textId="77777777" w:rsidR="00236FDB" w:rsidRPr="00591394" w:rsidRDefault="00236FDB" w:rsidP="00C6113D">
            <w:pPr>
              <w:widowControl/>
              <w:jc w:val="right"/>
              <w:rPr>
                <w:sz w:val="26"/>
                <w:szCs w:val="26"/>
              </w:rPr>
            </w:pPr>
          </w:p>
        </w:tc>
      </w:tr>
    </w:tbl>
    <w:p w14:paraId="1BBD1BC8" w14:textId="77777777" w:rsidR="00E705B7" w:rsidRPr="00591394" w:rsidRDefault="00E705B7" w:rsidP="00C6113D">
      <w:pPr>
        <w:widowControl/>
        <w:rPr>
          <w:sz w:val="26"/>
          <w:szCs w:val="26"/>
        </w:rPr>
      </w:pPr>
    </w:p>
    <w:p w14:paraId="40DF8612" w14:textId="77777777" w:rsidR="00914FED" w:rsidRPr="00591394" w:rsidRDefault="00914FED" w:rsidP="00C6113D">
      <w:pPr>
        <w:widowControl/>
        <w:jc w:val="center"/>
        <w:rPr>
          <w:b/>
          <w:sz w:val="26"/>
          <w:szCs w:val="26"/>
        </w:rPr>
        <w:sectPr w:rsidR="00914FED" w:rsidRPr="00591394" w:rsidSect="001D6EF2">
          <w:footerReference w:type="default" r:id="rId8"/>
          <w:pgSz w:w="12240" w:h="15840"/>
          <w:pgMar w:top="1440" w:right="1440" w:bottom="1440" w:left="1440" w:header="720" w:footer="720" w:gutter="0"/>
          <w:cols w:space="720"/>
          <w:titlePg/>
          <w:docGrid w:linePitch="360"/>
        </w:sectPr>
      </w:pPr>
    </w:p>
    <w:p w14:paraId="5A274624" w14:textId="77777777" w:rsidR="00914FED" w:rsidRPr="00591394" w:rsidRDefault="00914FED" w:rsidP="00C6113D">
      <w:pPr>
        <w:widowControl/>
        <w:jc w:val="center"/>
        <w:rPr>
          <w:b/>
          <w:sz w:val="26"/>
          <w:szCs w:val="26"/>
        </w:rPr>
      </w:pPr>
      <w:r w:rsidRPr="00591394">
        <w:rPr>
          <w:b/>
          <w:sz w:val="26"/>
          <w:szCs w:val="26"/>
        </w:rPr>
        <w:lastRenderedPageBreak/>
        <w:t>Table of Contents</w:t>
      </w:r>
    </w:p>
    <w:sdt>
      <w:sdtPr>
        <w:rPr>
          <w:rFonts w:ascii="Times New Roman" w:eastAsia="Times New Roman" w:hAnsi="Times New Roman" w:cs="Times New Roman"/>
          <w:b w:val="0"/>
          <w:bCs w:val="0"/>
          <w:color w:val="auto"/>
          <w:sz w:val="26"/>
          <w:szCs w:val="26"/>
        </w:rPr>
        <w:id w:val="75820563"/>
        <w:docPartObj>
          <w:docPartGallery w:val="Table of Contents"/>
          <w:docPartUnique/>
        </w:docPartObj>
      </w:sdtPr>
      <w:sdtEndPr/>
      <w:sdtContent>
        <w:p w14:paraId="2FBAB89B" w14:textId="77777777" w:rsidR="00AC293A" w:rsidRPr="00591394" w:rsidRDefault="00AC293A" w:rsidP="00C6113D">
          <w:pPr>
            <w:pStyle w:val="TOCHeading"/>
            <w:spacing w:before="120"/>
            <w:rPr>
              <w:rFonts w:ascii="Times New Roman" w:hAnsi="Times New Roman" w:cs="Times New Roman"/>
              <w:sz w:val="26"/>
              <w:szCs w:val="26"/>
            </w:rPr>
          </w:pPr>
        </w:p>
        <w:p w14:paraId="5D6E911F" w14:textId="23152384" w:rsidR="00453D87" w:rsidRPr="005D6364" w:rsidRDefault="005F4D1B" w:rsidP="00C6113D">
          <w:pPr>
            <w:pStyle w:val="TOC1"/>
            <w:widowControl/>
            <w:rPr>
              <w:rFonts w:eastAsiaTheme="minorEastAsia"/>
              <w:noProof/>
              <w:sz w:val="26"/>
              <w:szCs w:val="26"/>
            </w:rPr>
          </w:pPr>
          <w:r w:rsidRPr="005D6364">
            <w:rPr>
              <w:sz w:val="26"/>
              <w:szCs w:val="26"/>
            </w:rPr>
            <w:fldChar w:fldCharType="begin"/>
          </w:r>
          <w:r w:rsidR="00AC293A" w:rsidRPr="005D6364">
            <w:rPr>
              <w:sz w:val="26"/>
              <w:szCs w:val="26"/>
            </w:rPr>
            <w:instrText xml:space="preserve"> TOC \o "1-3" \h \z \u </w:instrText>
          </w:r>
          <w:r w:rsidRPr="005D6364">
            <w:rPr>
              <w:sz w:val="26"/>
              <w:szCs w:val="26"/>
            </w:rPr>
            <w:fldChar w:fldCharType="separate"/>
          </w:r>
          <w:hyperlink w:anchor="_Toc66354605" w:history="1">
            <w:r w:rsidR="00453D87" w:rsidRPr="005D6364">
              <w:rPr>
                <w:rStyle w:val="Hyperlink"/>
                <w:noProof/>
                <w:sz w:val="26"/>
                <w:szCs w:val="26"/>
              </w:rPr>
              <w:t>I.</w:t>
            </w:r>
            <w:r w:rsidR="00453D87" w:rsidRPr="005D6364">
              <w:rPr>
                <w:rFonts w:eastAsiaTheme="minorEastAsia"/>
                <w:noProof/>
                <w:sz w:val="26"/>
                <w:szCs w:val="26"/>
              </w:rPr>
              <w:tab/>
            </w:r>
            <w:r w:rsidR="00453D87" w:rsidRPr="005D6364">
              <w:rPr>
                <w:rStyle w:val="Hyperlink"/>
                <w:noProof/>
                <w:sz w:val="26"/>
                <w:szCs w:val="26"/>
              </w:rPr>
              <w:t>Background</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_Toc66354605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w:t>
            </w:r>
            <w:r w:rsidR="00453D87" w:rsidRPr="005D6364">
              <w:rPr>
                <w:noProof/>
                <w:webHidden/>
                <w:sz w:val="26"/>
                <w:szCs w:val="26"/>
              </w:rPr>
              <w:fldChar w:fldCharType="end"/>
            </w:r>
          </w:hyperlink>
        </w:p>
        <w:p w14:paraId="75C23E28" w14:textId="3C2899FA" w:rsidR="00453D87" w:rsidRPr="005D6364" w:rsidRDefault="00BE15CE" w:rsidP="00C6113D">
          <w:pPr>
            <w:pStyle w:val="TOC2"/>
            <w:widowControl/>
            <w:rPr>
              <w:rFonts w:eastAsiaTheme="minorEastAsia"/>
              <w:noProof/>
              <w:sz w:val="26"/>
              <w:szCs w:val="26"/>
            </w:rPr>
          </w:pPr>
          <w:hyperlink w:anchor="_Toc66354606" w:history="1">
            <w:r w:rsidR="00453D87" w:rsidRPr="005D6364">
              <w:rPr>
                <w:rStyle w:val="Hyperlink"/>
                <w:noProof/>
                <w:sz w:val="26"/>
                <w:szCs w:val="26"/>
              </w:rPr>
              <w:t>A.</w:t>
            </w:r>
            <w:r w:rsidR="00453D87" w:rsidRPr="005D6364">
              <w:rPr>
                <w:rFonts w:eastAsiaTheme="minorEastAsia"/>
                <w:noProof/>
                <w:sz w:val="26"/>
                <w:szCs w:val="26"/>
              </w:rPr>
              <w:tab/>
            </w:r>
            <w:r w:rsidR="00453D87" w:rsidRPr="005D6364">
              <w:rPr>
                <w:rStyle w:val="Hyperlink"/>
                <w:noProof/>
                <w:sz w:val="26"/>
                <w:szCs w:val="26"/>
              </w:rPr>
              <w:t>Act 129</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_Toc66354606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w:t>
            </w:r>
            <w:r w:rsidR="00453D87" w:rsidRPr="005D6364">
              <w:rPr>
                <w:noProof/>
                <w:webHidden/>
                <w:sz w:val="26"/>
                <w:szCs w:val="26"/>
              </w:rPr>
              <w:fldChar w:fldCharType="end"/>
            </w:r>
          </w:hyperlink>
        </w:p>
        <w:p w14:paraId="37D773F3" w14:textId="05B7A030" w:rsidR="00453D87" w:rsidRPr="005D6364" w:rsidRDefault="00BE15CE" w:rsidP="00C6113D">
          <w:pPr>
            <w:pStyle w:val="TOC2"/>
            <w:widowControl/>
            <w:rPr>
              <w:rFonts w:eastAsiaTheme="minorEastAsia"/>
              <w:noProof/>
              <w:sz w:val="26"/>
              <w:szCs w:val="26"/>
            </w:rPr>
          </w:pPr>
          <w:hyperlink w:anchor="_Toc66354607" w:history="1">
            <w:r w:rsidR="00453D87" w:rsidRPr="005D6364">
              <w:rPr>
                <w:rStyle w:val="Hyperlink"/>
                <w:noProof/>
                <w:sz w:val="26"/>
                <w:szCs w:val="26"/>
              </w:rPr>
              <w:t>B.</w:t>
            </w:r>
            <w:r w:rsidR="00453D87" w:rsidRPr="005D6364">
              <w:rPr>
                <w:rFonts w:eastAsiaTheme="minorEastAsia"/>
                <w:noProof/>
                <w:sz w:val="26"/>
                <w:szCs w:val="26"/>
              </w:rPr>
              <w:tab/>
            </w:r>
            <w:r w:rsidR="00453D87" w:rsidRPr="005D6364">
              <w:rPr>
                <w:rStyle w:val="Hyperlink"/>
                <w:noProof/>
                <w:sz w:val="26"/>
                <w:szCs w:val="26"/>
              </w:rPr>
              <w:t>The Company</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_Toc66354607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4</w:t>
            </w:r>
            <w:r w:rsidR="00453D87" w:rsidRPr="005D6364">
              <w:rPr>
                <w:noProof/>
                <w:webHidden/>
                <w:sz w:val="26"/>
                <w:szCs w:val="26"/>
              </w:rPr>
              <w:fldChar w:fldCharType="end"/>
            </w:r>
          </w:hyperlink>
        </w:p>
        <w:p w14:paraId="5F880F03" w14:textId="797D3C2E" w:rsidR="00453D87" w:rsidRPr="005D6364" w:rsidRDefault="00BE15CE" w:rsidP="00C6113D">
          <w:pPr>
            <w:pStyle w:val="TOC1"/>
            <w:widowControl/>
            <w:rPr>
              <w:rFonts w:eastAsiaTheme="minorEastAsia"/>
              <w:noProof/>
              <w:sz w:val="26"/>
              <w:szCs w:val="26"/>
            </w:rPr>
          </w:pPr>
          <w:hyperlink w:anchor="_Toc66354608" w:history="1">
            <w:r w:rsidR="00453D87" w:rsidRPr="005D6364">
              <w:rPr>
                <w:rStyle w:val="Hyperlink"/>
                <w:noProof/>
                <w:sz w:val="26"/>
                <w:szCs w:val="26"/>
              </w:rPr>
              <w:t>II.</w:t>
            </w:r>
            <w:r w:rsidR="00453D87" w:rsidRPr="005D6364">
              <w:rPr>
                <w:rFonts w:eastAsiaTheme="minorEastAsia"/>
                <w:noProof/>
                <w:sz w:val="26"/>
                <w:szCs w:val="26"/>
              </w:rPr>
              <w:tab/>
            </w:r>
            <w:r w:rsidR="00453D87" w:rsidRPr="005D6364">
              <w:rPr>
                <w:rStyle w:val="Hyperlink"/>
                <w:noProof/>
                <w:sz w:val="26"/>
                <w:szCs w:val="26"/>
              </w:rPr>
              <w:t>Procedural History</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_Toc66354608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4</w:t>
            </w:r>
            <w:r w:rsidR="00453D87" w:rsidRPr="005D6364">
              <w:rPr>
                <w:noProof/>
                <w:webHidden/>
                <w:sz w:val="26"/>
                <w:szCs w:val="26"/>
              </w:rPr>
              <w:fldChar w:fldCharType="end"/>
            </w:r>
          </w:hyperlink>
        </w:p>
        <w:p w14:paraId="01B4C8D9" w14:textId="224D38B3" w:rsidR="00453D87" w:rsidRPr="005D6364" w:rsidRDefault="00BE15CE" w:rsidP="00C6113D">
          <w:pPr>
            <w:pStyle w:val="TOC1"/>
            <w:widowControl/>
            <w:rPr>
              <w:rFonts w:eastAsiaTheme="minorEastAsia"/>
              <w:noProof/>
              <w:sz w:val="26"/>
              <w:szCs w:val="26"/>
            </w:rPr>
          </w:pPr>
          <w:hyperlink w:anchor="_Toc66354609" w:history="1">
            <w:r w:rsidR="00453D87" w:rsidRPr="005D6364">
              <w:rPr>
                <w:rStyle w:val="Hyperlink"/>
                <w:noProof/>
                <w:sz w:val="26"/>
                <w:szCs w:val="26"/>
              </w:rPr>
              <w:t>III.</w:t>
            </w:r>
            <w:r w:rsidR="00453D87" w:rsidRPr="005D6364">
              <w:rPr>
                <w:rFonts w:eastAsiaTheme="minorEastAsia"/>
                <w:noProof/>
                <w:sz w:val="26"/>
                <w:szCs w:val="26"/>
              </w:rPr>
              <w:tab/>
            </w:r>
            <w:r w:rsidR="00453D87" w:rsidRPr="005D6364">
              <w:rPr>
                <w:rStyle w:val="Hyperlink"/>
                <w:noProof/>
                <w:sz w:val="26"/>
                <w:szCs w:val="26"/>
              </w:rPr>
              <w:t>Description of the Plan</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_Toc66354609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9</w:t>
            </w:r>
            <w:r w:rsidR="00453D87" w:rsidRPr="005D6364">
              <w:rPr>
                <w:noProof/>
                <w:webHidden/>
                <w:sz w:val="26"/>
                <w:szCs w:val="26"/>
              </w:rPr>
              <w:fldChar w:fldCharType="end"/>
            </w:r>
          </w:hyperlink>
        </w:p>
        <w:p w14:paraId="0F89EFBF" w14:textId="6FC0F818" w:rsidR="00453D87" w:rsidRPr="005D6364" w:rsidRDefault="00BE15CE" w:rsidP="00C6113D">
          <w:pPr>
            <w:pStyle w:val="TOC1"/>
            <w:widowControl/>
            <w:rPr>
              <w:rFonts w:eastAsiaTheme="minorEastAsia"/>
              <w:noProof/>
              <w:sz w:val="26"/>
              <w:szCs w:val="26"/>
            </w:rPr>
          </w:pPr>
          <w:hyperlink w:anchor="_Toc66354610" w:history="1">
            <w:r w:rsidR="00453D87" w:rsidRPr="005D6364">
              <w:rPr>
                <w:rStyle w:val="Hyperlink"/>
                <w:noProof/>
                <w:sz w:val="26"/>
                <w:szCs w:val="26"/>
              </w:rPr>
              <w:t>IV.</w:t>
            </w:r>
            <w:r w:rsidR="00453D87" w:rsidRPr="005D6364">
              <w:rPr>
                <w:rFonts w:eastAsiaTheme="minorEastAsia"/>
                <w:noProof/>
                <w:sz w:val="26"/>
                <w:szCs w:val="26"/>
              </w:rPr>
              <w:tab/>
            </w:r>
            <w:r w:rsidR="00453D87" w:rsidRPr="005D6364">
              <w:rPr>
                <w:rStyle w:val="Hyperlink"/>
                <w:noProof/>
                <w:sz w:val="26"/>
                <w:szCs w:val="26"/>
              </w:rPr>
              <w:t>Discussion</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_Toc66354610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11</w:t>
            </w:r>
            <w:r w:rsidR="00453D87" w:rsidRPr="005D6364">
              <w:rPr>
                <w:noProof/>
                <w:webHidden/>
                <w:sz w:val="26"/>
                <w:szCs w:val="26"/>
              </w:rPr>
              <w:fldChar w:fldCharType="end"/>
            </w:r>
          </w:hyperlink>
        </w:p>
        <w:p w14:paraId="39BF2DBC" w14:textId="3A63F55B" w:rsidR="00453D87" w:rsidRPr="005D6364" w:rsidRDefault="00BE15CE" w:rsidP="00C6113D">
          <w:pPr>
            <w:pStyle w:val="TOC2"/>
            <w:widowControl/>
            <w:rPr>
              <w:rFonts w:eastAsiaTheme="minorEastAsia"/>
              <w:noProof/>
              <w:sz w:val="26"/>
              <w:szCs w:val="26"/>
            </w:rPr>
          </w:pPr>
          <w:hyperlink w:anchor="_Toc66354611" w:history="1">
            <w:r w:rsidR="00453D87" w:rsidRPr="005D6364">
              <w:rPr>
                <w:rStyle w:val="Hyperlink"/>
                <w:noProof/>
                <w:sz w:val="26"/>
                <w:szCs w:val="26"/>
              </w:rPr>
              <w:t>A.</w:t>
            </w:r>
            <w:r w:rsidR="00453D87" w:rsidRPr="005D6364">
              <w:rPr>
                <w:rFonts w:eastAsiaTheme="minorEastAsia"/>
                <w:noProof/>
                <w:sz w:val="26"/>
                <w:szCs w:val="26"/>
              </w:rPr>
              <w:tab/>
            </w:r>
            <w:r w:rsidR="00453D87" w:rsidRPr="005D6364">
              <w:rPr>
                <w:rStyle w:val="Hyperlink"/>
                <w:noProof/>
                <w:sz w:val="26"/>
                <w:szCs w:val="26"/>
              </w:rPr>
              <w:t>Legal Standards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_Toc66354611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12</w:t>
            </w:r>
            <w:r w:rsidR="00453D87" w:rsidRPr="005D6364">
              <w:rPr>
                <w:noProof/>
                <w:webHidden/>
                <w:sz w:val="26"/>
                <w:szCs w:val="26"/>
              </w:rPr>
              <w:fldChar w:fldCharType="end"/>
            </w:r>
          </w:hyperlink>
        </w:p>
        <w:p w14:paraId="764A4A61" w14:textId="0F92DA1F" w:rsidR="00453D87" w:rsidRPr="005D6364" w:rsidRDefault="00BE15CE" w:rsidP="00C6113D">
          <w:pPr>
            <w:pStyle w:val="TOC2"/>
            <w:widowControl/>
            <w:rPr>
              <w:rFonts w:eastAsiaTheme="minorEastAsia"/>
              <w:noProof/>
              <w:sz w:val="26"/>
              <w:szCs w:val="26"/>
            </w:rPr>
          </w:pPr>
          <w:hyperlink w:anchor="_Toc66354612" w:history="1">
            <w:r w:rsidR="00453D87" w:rsidRPr="005D6364">
              <w:rPr>
                <w:rStyle w:val="Hyperlink"/>
                <w:noProof/>
                <w:sz w:val="26"/>
                <w:szCs w:val="26"/>
              </w:rPr>
              <w:t>B.</w:t>
            </w:r>
            <w:r w:rsidR="00453D87" w:rsidRPr="005D6364">
              <w:rPr>
                <w:rFonts w:eastAsiaTheme="minorEastAsia"/>
                <w:noProof/>
                <w:sz w:val="26"/>
                <w:szCs w:val="26"/>
              </w:rPr>
              <w:tab/>
            </w:r>
            <w:r w:rsidR="00453D87" w:rsidRPr="005D6364">
              <w:rPr>
                <w:rStyle w:val="Hyperlink"/>
                <w:noProof/>
                <w:sz w:val="26"/>
                <w:szCs w:val="26"/>
              </w:rPr>
              <w:t xml:space="preserve">Phase IV Conservation and </w:t>
            </w:r>
            <w:r w:rsidR="00A66DE0">
              <w:rPr>
                <w:rStyle w:val="Hyperlink"/>
                <w:noProof/>
                <w:sz w:val="26"/>
                <w:szCs w:val="26"/>
              </w:rPr>
              <w:t xml:space="preserve">Peak </w:t>
            </w:r>
            <w:r w:rsidR="00453D87" w:rsidRPr="005D6364">
              <w:rPr>
                <w:rStyle w:val="Hyperlink"/>
                <w:noProof/>
                <w:sz w:val="26"/>
                <w:szCs w:val="26"/>
              </w:rPr>
              <w:t>Demand Reduction Requirements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_Toc66354612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13</w:t>
            </w:r>
            <w:r w:rsidR="00453D87" w:rsidRPr="005D6364">
              <w:rPr>
                <w:noProof/>
                <w:webHidden/>
                <w:sz w:val="26"/>
                <w:szCs w:val="26"/>
              </w:rPr>
              <w:fldChar w:fldCharType="end"/>
            </w:r>
          </w:hyperlink>
        </w:p>
        <w:p w14:paraId="1B145736" w14:textId="06B65374" w:rsidR="00453D87" w:rsidRPr="005D6364" w:rsidRDefault="00BE15CE" w:rsidP="00C6113D">
          <w:pPr>
            <w:pStyle w:val="TOC3"/>
            <w:widowControl/>
            <w:rPr>
              <w:rFonts w:eastAsiaTheme="minorEastAsia"/>
              <w:noProof/>
              <w:sz w:val="26"/>
              <w:szCs w:val="26"/>
            </w:rPr>
          </w:pPr>
          <w:hyperlink w:anchor="_Toc66354613" w:history="1">
            <w:r w:rsidR="00453D87" w:rsidRPr="005D6364">
              <w:rPr>
                <w:rStyle w:val="Hyperlink"/>
                <w:noProof/>
                <w:sz w:val="26"/>
                <w:szCs w:val="26"/>
              </w:rPr>
              <w:t>1.</w:t>
            </w:r>
            <w:r w:rsidR="00453D87" w:rsidRPr="005D6364">
              <w:rPr>
                <w:rFonts w:eastAsiaTheme="minorEastAsia"/>
                <w:noProof/>
                <w:sz w:val="26"/>
                <w:szCs w:val="26"/>
              </w:rPr>
              <w:tab/>
            </w:r>
            <w:r w:rsidR="00453D87" w:rsidRPr="005D6364">
              <w:rPr>
                <w:rStyle w:val="Hyperlink"/>
                <w:noProof/>
                <w:sz w:val="26"/>
                <w:szCs w:val="26"/>
              </w:rPr>
              <w:t>Overall Conservation Requirements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_Toc66354613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13</w:t>
            </w:r>
            <w:r w:rsidR="00453D87" w:rsidRPr="005D6364">
              <w:rPr>
                <w:noProof/>
                <w:webHidden/>
                <w:sz w:val="26"/>
                <w:szCs w:val="26"/>
              </w:rPr>
              <w:fldChar w:fldCharType="end"/>
            </w:r>
          </w:hyperlink>
        </w:p>
        <w:p w14:paraId="766282B6" w14:textId="5959D1E6" w:rsidR="00453D87" w:rsidRPr="005D6364" w:rsidRDefault="00BE15CE" w:rsidP="00C6113D">
          <w:pPr>
            <w:pStyle w:val="TOC3"/>
            <w:widowControl/>
            <w:rPr>
              <w:rFonts w:eastAsiaTheme="minorEastAsia"/>
              <w:noProof/>
              <w:sz w:val="26"/>
              <w:szCs w:val="26"/>
            </w:rPr>
          </w:pPr>
          <w:hyperlink w:anchor="_Toc66354614" w:history="1">
            <w:r w:rsidR="00453D87" w:rsidRPr="005D6364">
              <w:rPr>
                <w:rStyle w:val="Hyperlink"/>
                <w:noProof/>
                <w:sz w:val="26"/>
                <w:szCs w:val="26"/>
              </w:rPr>
              <w:t>2.</w:t>
            </w:r>
            <w:r w:rsidR="00453D87" w:rsidRPr="005D6364">
              <w:rPr>
                <w:rFonts w:eastAsiaTheme="minorEastAsia"/>
                <w:noProof/>
                <w:sz w:val="26"/>
                <w:szCs w:val="26"/>
              </w:rPr>
              <w:tab/>
            </w:r>
            <w:r w:rsidR="00453D87" w:rsidRPr="005D6364">
              <w:rPr>
                <w:rStyle w:val="Hyperlink"/>
                <w:noProof/>
                <w:sz w:val="26"/>
                <w:szCs w:val="26"/>
              </w:rPr>
              <w:t>Peak Demand Reduction Requirements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_Toc66354614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14</w:t>
            </w:r>
            <w:r w:rsidR="00453D87" w:rsidRPr="005D6364">
              <w:rPr>
                <w:noProof/>
                <w:webHidden/>
                <w:sz w:val="26"/>
                <w:szCs w:val="26"/>
              </w:rPr>
              <w:fldChar w:fldCharType="end"/>
            </w:r>
          </w:hyperlink>
        </w:p>
        <w:p w14:paraId="3C3D86FD" w14:textId="4C1820F9" w:rsidR="00453D87" w:rsidRPr="005D6364" w:rsidRDefault="00BE15CE" w:rsidP="00C6113D">
          <w:pPr>
            <w:pStyle w:val="TOC3"/>
            <w:widowControl/>
            <w:rPr>
              <w:rFonts w:eastAsiaTheme="minorEastAsia"/>
              <w:noProof/>
              <w:sz w:val="26"/>
              <w:szCs w:val="26"/>
            </w:rPr>
          </w:pPr>
          <w:hyperlink w:anchor="_Toc66354615" w:history="1">
            <w:r w:rsidR="00453D87" w:rsidRPr="005D6364">
              <w:rPr>
                <w:rStyle w:val="Hyperlink"/>
                <w:noProof/>
                <w:sz w:val="26"/>
                <w:szCs w:val="26"/>
              </w:rPr>
              <w:t>3.</w:t>
            </w:r>
            <w:r w:rsidR="00453D87" w:rsidRPr="005D6364">
              <w:rPr>
                <w:rFonts w:eastAsiaTheme="minorEastAsia"/>
                <w:noProof/>
                <w:sz w:val="26"/>
                <w:szCs w:val="26"/>
              </w:rPr>
              <w:tab/>
            </w:r>
            <w:r w:rsidR="00453D87" w:rsidRPr="005D6364">
              <w:rPr>
                <w:rStyle w:val="Hyperlink"/>
                <w:noProof/>
                <w:sz w:val="26"/>
                <w:szCs w:val="26"/>
              </w:rPr>
              <w:t>Comprehensive Programs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_Toc66354615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16</w:t>
            </w:r>
            <w:r w:rsidR="00453D87" w:rsidRPr="005D6364">
              <w:rPr>
                <w:noProof/>
                <w:webHidden/>
                <w:sz w:val="26"/>
                <w:szCs w:val="26"/>
              </w:rPr>
              <w:fldChar w:fldCharType="end"/>
            </w:r>
          </w:hyperlink>
        </w:p>
        <w:p w14:paraId="1F706FF4" w14:textId="5A61DE6D" w:rsidR="00453D87" w:rsidRPr="005D6364" w:rsidRDefault="00BE15CE" w:rsidP="00C6113D">
          <w:pPr>
            <w:pStyle w:val="TOC3"/>
            <w:widowControl/>
            <w:rPr>
              <w:rFonts w:eastAsiaTheme="minorEastAsia"/>
              <w:noProof/>
              <w:sz w:val="26"/>
              <w:szCs w:val="26"/>
            </w:rPr>
          </w:pPr>
          <w:hyperlink w:anchor="_Toc66354616" w:history="1">
            <w:r w:rsidR="00453D87" w:rsidRPr="005D6364">
              <w:rPr>
                <w:rStyle w:val="Hyperlink"/>
                <w:noProof/>
                <w:sz w:val="26"/>
                <w:szCs w:val="26"/>
              </w:rPr>
              <w:t>4.</w:t>
            </w:r>
            <w:r w:rsidR="00453D87" w:rsidRPr="005D6364">
              <w:rPr>
                <w:rFonts w:eastAsiaTheme="minorEastAsia"/>
                <w:noProof/>
                <w:sz w:val="26"/>
                <w:szCs w:val="26"/>
              </w:rPr>
              <w:tab/>
            </w:r>
            <w:r w:rsidR="00453D87" w:rsidRPr="005D6364">
              <w:rPr>
                <w:rStyle w:val="Hyperlink"/>
                <w:noProof/>
                <w:sz w:val="26"/>
                <w:szCs w:val="26"/>
              </w:rPr>
              <w:t>Government/Non-Profit</w:t>
            </w:r>
            <w:r w:rsidR="0053564C">
              <w:rPr>
                <w:rStyle w:val="Hyperlink"/>
                <w:noProof/>
                <w:sz w:val="26"/>
                <w:szCs w:val="26"/>
              </w:rPr>
              <w:t>/Institutional</w:t>
            </w:r>
            <w:r w:rsidR="00453D87" w:rsidRPr="005D6364">
              <w:rPr>
                <w:rStyle w:val="Hyperlink"/>
                <w:noProof/>
                <w:sz w:val="26"/>
                <w:szCs w:val="26"/>
              </w:rPr>
              <w:t xml:space="preserve"> Requirement</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_Toc66354616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17</w:t>
            </w:r>
            <w:r w:rsidR="00453D87" w:rsidRPr="005D6364">
              <w:rPr>
                <w:noProof/>
                <w:webHidden/>
                <w:sz w:val="26"/>
                <w:szCs w:val="26"/>
              </w:rPr>
              <w:fldChar w:fldCharType="end"/>
            </w:r>
          </w:hyperlink>
        </w:p>
        <w:p w14:paraId="3783A787" w14:textId="5F52DF94" w:rsidR="00453D87" w:rsidRPr="005D6364" w:rsidRDefault="00BE15CE" w:rsidP="00C6113D">
          <w:pPr>
            <w:pStyle w:val="TOC3"/>
            <w:widowControl/>
            <w:rPr>
              <w:rFonts w:eastAsiaTheme="minorEastAsia"/>
              <w:noProof/>
              <w:sz w:val="26"/>
              <w:szCs w:val="26"/>
            </w:rPr>
          </w:pPr>
          <w:hyperlink w:anchor="_Toc66354617" w:history="1">
            <w:r w:rsidR="00453D87" w:rsidRPr="005D6364">
              <w:rPr>
                <w:rStyle w:val="Hyperlink"/>
                <w:noProof/>
                <w:sz w:val="26"/>
                <w:szCs w:val="26"/>
              </w:rPr>
              <w:t>5.</w:t>
            </w:r>
            <w:r w:rsidR="00453D87" w:rsidRPr="005D6364">
              <w:rPr>
                <w:rFonts w:eastAsiaTheme="minorEastAsia"/>
                <w:noProof/>
                <w:sz w:val="26"/>
                <w:szCs w:val="26"/>
              </w:rPr>
              <w:tab/>
            </w:r>
            <w:r w:rsidR="00453D87" w:rsidRPr="005D6364">
              <w:rPr>
                <w:rStyle w:val="Hyperlink"/>
                <w:noProof/>
                <w:sz w:val="26"/>
                <w:szCs w:val="26"/>
              </w:rPr>
              <w:t>Low-</w:t>
            </w:r>
            <w:r w:rsidR="003A041D">
              <w:rPr>
                <w:rStyle w:val="Hyperlink"/>
                <w:noProof/>
                <w:sz w:val="26"/>
                <w:szCs w:val="26"/>
              </w:rPr>
              <w:t>I</w:t>
            </w:r>
            <w:r w:rsidR="00453D87" w:rsidRPr="005D6364">
              <w:rPr>
                <w:rStyle w:val="Hyperlink"/>
                <w:noProof/>
                <w:sz w:val="26"/>
                <w:szCs w:val="26"/>
              </w:rPr>
              <w:t>ncome Program Requirements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_Toc66354617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17</w:t>
            </w:r>
            <w:r w:rsidR="00453D87" w:rsidRPr="005D6364">
              <w:rPr>
                <w:noProof/>
                <w:webHidden/>
                <w:sz w:val="26"/>
                <w:szCs w:val="26"/>
              </w:rPr>
              <w:fldChar w:fldCharType="end"/>
            </w:r>
          </w:hyperlink>
        </w:p>
        <w:p w14:paraId="50BEAF3F" w14:textId="0F5099BF" w:rsidR="00453D87" w:rsidRPr="005D6364" w:rsidRDefault="00BE15CE" w:rsidP="00C6113D">
          <w:pPr>
            <w:pStyle w:val="TOC3"/>
            <w:widowControl/>
            <w:rPr>
              <w:rFonts w:eastAsiaTheme="minorEastAsia"/>
              <w:noProof/>
              <w:sz w:val="26"/>
              <w:szCs w:val="26"/>
            </w:rPr>
          </w:pPr>
          <w:hyperlink w:anchor="_Toc66354618" w:history="1">
            <w:r w:rsidR="00453D87" w:rsidRPr="005D6364">
              <w:rPr>
                <w:rStyle w:val="Hyperlink"/>
                <w:noProof/>
                <w:sz w:val="26"/>
                <w:szCs w:val="26"/>
              </w:rPr>
              <w:t>6.</w:t>
            </w:r>
            <w:r w:rsidR="00453D87" w:rsidRPr="005D6364">
              <w:rPr>
                <w:rFonts w:eastAsiaTheme="minorEastAsia"/>
                <w:noProof/>
                <w:sz w:val="26"/>
                <w:szCs w:val="26"/>
              </w:rPr>
              <w:tab/>
            </w:r>
            <w:r w:rsidR="00453D87" w:rsidRPr="005D6364">
              <w:rPr>
                <w:rStyle w:val="Hyperlink"/>
                <w:noProof/>
                <w:sz w:val="26"/>
                <w:szCs w:val="26"/>
              </w:rPr>
              <w:t>Proposal for Improvement of Plan</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_Toc66354618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19</w:t>
            </w:r>
            <w:r w:rsidR="00453D87" w:rsidRPr="005D6364">
              <w:rPr>
                <w:noProof/>
                <w:webHidden/>
                <w:sz w:val="26"/>
                <w:szCs w:val="26"/>
              </w:rPr>
              <w:fldChar w:fldCharType="end"/>
            </w:r>
          </w:hyperlink>
        </w:p>
        <w:p w14:paraId="3E55EF7C" w14:textId="1E60D623" w:rsidR="00453D87" w:rsidRPr="005D6364" w:rsidRDefault="00BE15CE" w:rsidP="00C6113D">
          <w:pPr>
            <w:pStyle w:val="TOC2"/>
            <w:widowControl/>
            <w:rPr>
              <w:rFonts w:eastAsiaTheme="minorEastAsia"/>
              <w:noProof/>
              <w:sz w:val="26"/>
              <w:szCs w:val="26"/>
            </w:rPr>
          </w:pPr>
          <w:hyperlink w:anchor="_Toc66354619" w:history="1">
            <w:r w:rsidR="00453D87" w:rsidRPr="005D6364">
              <w:rPr>
                <w:rStyle w:val="Hyperlink"/>
                <w:noProof/>
                <w:sz w:val="26"/>
                <w:szCs w:val="26"/>
              </w:rPr>
              <w:t>C.</w:t>
            </w:r>
            <w:r w:rsidR="00453D87" w:rsidRPr="005D6364">
              <w:rPr>
                <w:rFonts w:eastAsiaTheme="minorEastAsia"/>
                <w:noProof/>
                <w:sz w:val="26"/>
                <w:szCs w:val="26"/>
              </w:rPr>
              <w:tab/>
            </w:r>
            <w:r w:rsidR="00453D87" w:rsidRPr="005D6364">
              <w:rPr>
                <w:rStyle w:val="Hyperlink"/>
                <w:noProof/>
                <w:sz w:val="26"/>
                <w:szCs w:val="26"/>
              </w:rPr>
              <w:t>Cost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_Toc66354619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20</w:t>
            </w:r>
            <w:r w:rsidR="00453D87" w:rsidRPr="005D6364">
              <w:rPr>
                <w:noProof/>
                <w:webHidden/>
                <w:sz w:val="26"/>
                <w:szCs w:val="26"/>
              </w:rPr>
              <w:fldChar w:fldCharType="end"/>
            </w:r>
          </w:hyperlink>
        </w:p>
        <w:p w14:paraId="01D13B99" w14:textId="7D928DF9" w:rsidR="00453D87" w:rsidRPr="005D6364" w:rsidRDefault="00BE15CE" w:rsidP="00C6113D">
          <w:pPr>
            <w:pStyle w:val="TOC3"/>
            <w:widowControl/>
            <w:rPr>
              <w:rFonts w:eastAsiaTheme="minorEastAsia"/>
              <w:noProof/>
              <w:sz w:val="26"/>
              <w:szCs w:val="26"/>
            </w:rPr>
          </w:pPr>
          <w:hyperlink w:anchor="_Toc66354620" w:history="1">
            <w:r w:rsidR="00453D87" w:rsidRPr="005D6364">
              <w:rPr>
                <w:rStyle w:val="Hyperlink"/>
                <w:noProof/>
                <w:sz w:val="26"/>
                <w:szCs w:val="26"/>
              </w:rPr>
              <w:t>1.</w:t>
            </w:r>
            <w:r w:rsidR="00453D87" w:rsidRPr="005D6364">
              <w:rPr>
                <w:rFonts w:eastAsiaTheme="minorEastAsia"/>
                <w:noProof/>
                <w:sz w:val="26"/>
                <w:szCs w:val="26"/>
              </w:rPr>
              <w:tab/>
            </w:r>
            <w:r w:rsidR="00453D87" w:rsidRPr="005D6364">
              <w:rPr>
                <w:rStyle w:val="Hyperlink"/>
                <w:noProof/>
                <w:sz w:val="26"/>
                <w:szCs w:val="26"/>
              </w:rPr>
              <w:t>Plan Cost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_Toc66354620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20</w:t>
            </w:r>
            <w:r w:rsidR="00453D87" w:rsidRPr="005D6364">
              <w:rPr>
                <w:noProof/>
                <w:webHidden/>
                <w:sz w:val="26"/>
                <w:szCs w:val="26"/>
              </w:rPr>
              <w:fldChar w:fldCharType="end"/>
            </w:r>
          </w:hyperlink>
        </w:p>
        <w:p w14:paraId="52E7FE00" w14:textId="7F93F6B9" w:rsidR="00453D87" w:rsidRPr="005D6364" w:rsidRDefault="00BE15CE" w:rsidP="00C6113D">
          <w:pPr>
            <w:pStyle w:val="TOC3"/>
            <w:widowControl/>
            <w:rPr>
              <w:rFonts w:eastAsiaTheme="minorEastAsia"/>
              <w:noProof/>
              <w:sz w:val="26"/>
              <w:szCs w:val="26"/>
            </w:rPr>
          </w:pPr>
          <w:hyperlink w:anchor="_Toc66354621" w:history="1">
            <w:r w:rsidR="00453D87" w:rsidRPr="005D6364">
              <w:rPr>
                <w:rStyle w:val="Hyperlink"/>
                <w:noProof/>
                <w:sz w:val="26"/>
                <w:szCs w:val="26"/>
              </w:rPr>
              <w:t>2.</w:t>
            </w:r>
            <w:r w:rsidR="00453D87" w:rsidRPr="005D6364">
              <w:rPr>
                <w:rFonts w:eastAsiaTheme="minorEastAsia"/>
                <w:noProof/>
                <w:sz w:val="26"/>
                <w:szCs w:val="26"/>
              </w:rPr>
              <w:tab/>
            </w:r>
            <w:r w:rsidR="00453D87" w:rsidRPr="005D6364">
              <w:rPr>
                <w:rStyle w:val="Hyperlink"/>
                <w:noProof/>
                <w:sz w:val="26"/>
                <w:szCs w:val="26"/>
              </w:rPr>
              <w:t>Cost Effectiveness/Cost-Benefit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_Toc66354621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22</w:t>
            </w:r>
            <w:r w:rsidR="00453D87" w:rsidRPr="005D6364">
              <w:rPr>
                <w:noProof/>
                <w:webHidden/>
                <w:sz w:val="26"/>
                <w:szCs w:val="26"/>
              </w:rPr>
              <w:fldChar w:fldCharType="end"/>
            </w:r>
          </w:hyperlink>
        </w:p>
        <w:p w14:paraId="2908204B" w14:textId="2F9B533E" w:rsidR="00453D87" w:rsidRPr="005D6364" w:rsidRDefault="00BE15CE" w:rsidP="00C6113D">
          <w:pPr>
            <w:pStyle w:val="TOC3"/>
            <w:widowControl/>
            <w:rPr>
              <w:rFonts w:eastAsiaTheme="minorEastAsia"/>
              <w:noProof/>
              <w:sz w:val="26"/>
              <w:szCs w:val="26"/>
            </w:rPr>
          </w:pPr>
          <w:hyperlink w:anchor="_Toc66354622" w:history="1">
            <w:r w:rsidR="00453D87" w:rsidRPr="005D6364">
              <w:rPr>
                <w:rStyle w:val="Hyperlink"/>
                <w:noProof/>
                <w:sz w:val="26"/>
                <w:szCs w:val="26"/>
              </w:rPr>
              <w:t>3.</w:t>
            </w:r>
            <w:r w:rsidR="00453D87" w:rsidRPr="005D6364">
              <w:rPr>
                <w:rFonts w:eastAsiaTheme="minorEastAsia"/>
                <w:noProof/>
                <w:sz w:val="26"/>
                <w:szCs w:val="26"/>
              </w:rPr>
              <w:tab/>
            </w:r>
            <w:r w:rsidR="00453D87" w:rsidRPr="005D6364">
              <w:rPr>
                <w:rStyle w:val="Hyperlink"/>
                <w:noProof/>
                <w:sz w:val="26"/>
                <w:szCs w:val="26"/>
              </w:rPr>
              <w:t>Cost Allocation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_Toc66354622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24</w:t>
            </w:r>
            <w:r w:rsidR="00453D87" w:rsidRPr="005D6364">
              <w:rPr>
                <w:noProof/>
                <w:webHidden/>
                <w:sz w:val="26"/>
                <w:szCs w:val="26"/>
              </w:rPr>
              <w:fldChar w:fldCharType="end"/>
            </w:r>
          </w:hyperlink>
        </w:p>
        <w:p w14:paraId="37CBA301" w14:textId="3F35E918" w:rsidR="00453D87" w:rsidRPr="005D6364" w:rsidRDefault="00BE15CE" w:rsidP="00C6113D">
          <w:pPr>
            <w:pStyle w:val="TOC3"/>
            <w:widowControl/>
            <w:rPr>
              <w:rFonts w:eastAsiaTheme="minorEastAsia"/>
              <w:noProof/>
              <w:sz w:val="26"/>
              <w:szCs w:val="26"/>
            </w:rPr>
          </w:pPr>
          <w:hyperlink w:anchor="_Toc66354623" w:history="1">
            <w:r w:rsidR="00453D87" w:rsidRPr="005D6364">
              <w:rPr>
                <w:rStyle w:val="Hyperlink"/>
                <w:noProof/>
                <w:sz w:val="26"/>
                <w:szCs w:val="26"/>
              </w:rPr>
              <w:t>4.</w:t>
            </w:r>
            <w:r w:rsidR="00453D87" w:rsidRPr="005D6364">
              <w:rPr>
                <w:rFonts w:eastAsiaTheme="minorEastAsia"/>
                <w:noProof/>
                <w:sz w:val="26"/>
                <w:szCs w:val="26"/>
              </w:rPr>
              <w:tab/>
            </w:r>
            <w:r w:rsidR="00453D87" w:rsidRPr="005D6364">
              <w:rPr>
                <w:rStyle w:val="Hyperlink"/>
                <w:noProof/>
                <w:sz w:val="26"/>
                <w:szCs w:val="26"/>
              </w:rPr>
              <w:t>Cost Recovery Tariff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_Toc66354623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25</w:t>
            </w:r>
            <w:r w:rsidR="00453D87" w:rsidRPr="005D6364">
              <w:rPr>
                <w:noProof/>
                <w:webHidden/>
                <w:sz w:val="26"/>
                <w:szCs w:val="26"/>
              </w:rPr>
              <w:fldChar w:fldCharType="end"/>
            </w:r>
          </w:hyperlink>
        </w:p>
        <w:p w14:paraId="1A393B53" w14:textId="35876D14" w:rsidR="00453D87" w:rsidRPr="005D6364" w:rsidRDefault="00BE15CE" w:rsidP="00C6113D">
          <w:pPr>
            <w:pStyle w:val="TOC2"/>
            <w:widowControl/>
            <w:rPr>
              <w:rFonts w:eastAsiaTheme="minorEastAsia"/>
              <w:noProof/>
              <w:sz w:val="26"/>
              <w:szCs w:val="26"/>
            </w:rPr>
          </w:pPr>
          <w:hyperlink w:anchor="_Toc66354624" w:history="1">
            <w:r w:rsidR="00453D87" w:rsidRPr="005D6364">
              <w:rPr>
                <w:rStyle w:val="Hyperlink"/>
                <w:noProof/>
                <w:sz w:val="26"/>
                <w:szCs w:val="26"/>
              </w:rPr>
              <w:t>D.</w:t>
            </w:r>
            <w:r w:rsidR="00453D87" w:rsidRPr="005D6364">
              <w:rPr>
                <w:rFonts w:eastAsiaTheme="minorEastAsia"/>
                <w:noProof/>
                <w:sz w:val="26"/>
                <w:szCs w:val="26"/>
              </w:rPr>
              <w:tab/>
            </w:r>
            <w:r w:rsidR="00453D87" w:rsidRPr="005D6364">
              <w:rPr>
                <w:rStyle w:val="Hyperlink"/>
                <w:noProof/>
                <w:sz w:val="26"/>
                <w:szCs w:val="26"/>
              </w:rPr>
              <w:t>Conservation Service Provider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_Toc66354624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28</w:t>
            </w:r>
            <w:r w:rsidR="00453D87" w:rsidRPr="005D6364">
              <w:rPr>
                <w:noProof/>
                <w:webHidden/>
                <w:sz w:val="26"/>
                <w:szCs w:val="26"/>
              </w:rPr>
              <w:fldChar w:fldCharType="end"/>
            </w:r>
          </w:hyperlink>
        </w:p>
        <w:p w14:paraId="20A5B074" w14:textId="3CE7B6AE" w:rsidR="00453D87" w:rsidRPr="005D6364" w:rsidRDefault="00BE15CE" w:rsidP="00C6113D">
          <w:pPr>
            <w:pStyle w:val="TOC2"/>
            <w:widowControl/>
            <w:rPr>
              <w:rFonts w:eastAsiaTheme="minorEastAsia"/>
              <w:noProof/>
              <w:sz w:val="26"/>
              <w:szCs w:val="26"/>
            </w:rPr>
          </w:pPr>
          <w:hyperlink w:anchor="_Toc66354625" w:history="1">
            <w:r w:rsidR="00453D87" w:rsidRPr="005D6364">
              <w:rPr>
                <w:rStyle w:val="Hyperlink"/>
                <w:noProof/>
                <w:sz w:val="26"/>
                <w:szCs w:val="26"/>
              </w:rPr>
              <w:t xml:space="preserve">E. </w:t>
            </w:r>
            <w:r w:rsidR="005D6364">
              <w:rPr>
                <w:rStyle w:val="Hyperlink"/>
                <w:noProof/>
                <w:sz w:val="26"/>
                <w:szCs w:val="26"/>
              </w:rPr>
              <w:tab/>
            </w:r>
            <w:r w:rsidR="00453D87" w:rsidRPr="005D6364">
              <w:rPr>
                <w:rStyle w:val="Hyperlink"/>
                <w:noProof/>
                <w:sz w:val="26"/>
                <w:szCs w:val="26"/>
              </w:rPr>
              <w:t>Implementation and Evaluation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_Toc66354625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29</w:t>
            </w:r>
            <w:r w:rsidR="00453D87" w:rsidRPr="005D6364">
              <w:rPr>
                <w:noProof/>
                <w:webHidden/>
                <w:sz w:val="26"/>
                <w:szCs w:val="26"/>
              </w:rPr>
              <w:fldChar w:fldCharType="end"/>
            </w:r>
          </w:hyperlink>
        </w:p>
        <w:p w14:paraId="0F6F08B1" w14:textId="18C531A4" w:rsidR="00453D87" w:rsidRPr="005D6364" w:rsidRDefault="00BE15CE" w:rsidP="00C6113D">
          <w:pPr>
            <w:pStyle w:val="TOC3"/>
            <w:widowControl/>
            <w:rPr>
              <w:rFonts w:eastAsiaTheme="minorEastAsia"/>
              <w:noProof/>
              <w:sz w:val="26"/>
              <w:szCs w:val="26"/>
            </w:rPr>
          </w:pPr>
          <w:hyperlink w:anchor="_Toc66354626" w:history="1">
            <w:r w:rsidR="00453D87" w:rsidRPr="005D6364">
              <w:rPr>
                <w:rStyle w:val="Hyperlink"/>
                <w:noProof/>
                <w:sz w:val="26"/>
                <w:szCs w:val="26"/>
              </w:rPr>
              <w:t>1.</w:t>
            </w:r>
            <w:r w:rsidR="00453D87" w:rsidRPr="005D6364">
              <w:rPr>
                <w:rFonts w:eastAsiaTheme="minorEastAsia"/>
                <w:noProof/>
                <w:sz w:val="26"/>
                <w:szCs w:val="26"/>
              </w:rPr>
              <w:tab/>
            </w:r>
            <w:r w:rsidR="00453D87" w:rsidRPr="005D6364">
              <w:rPr>
                <w:rStyle w:val="Hyperlink"/>
                <w:noProof/>
                <w:sz w:val="26"/>
                <w:szCs w:val="26"/>
              </w:rPr>
              <w:t>Implementation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_Toc66354626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29</w:t>
            </w:r>
            <w:r w:rsidR="00453D87" w:rsidRPr="005D6364">
              <w:rPr>
                <w:noProof/>
                <w:webHidden/>
                <w:sz w:val="26"/>
                <w:szCs w:val="26"/>
              </w:rPr>
              <w:fldChar w:fldCharType="end"/>
            </w:r>
          </w:hyperlink>
        </w:p>
        <w:p w14:paraId="31AD2AC5" w14:textId="051959A9" w:rsidR="00453D87" w:rsidRPr="005D6364" w:rsidRDefault="00BE15CE" w:rsidP="00C6113D">
          <w:pPr>
            <w:pStyle w:val="TOC3"/>
            <w:widowControl/>
            <w:rPr>
              <w:rFonts w:eastAsiaTheme="minorEastAsia"/>
              <w:noProof/>
              <w:sz w:val="26"/>
              <w:szCs w:val="26"/>
            </w:rPr>
          </w:pPr>
          <w:hyperlink w:anchor="_Toc66354627" w:history="1">
            <w:r w:rsidR="00453D87" w:rsidRPr="005D6364">
              <w:rPr>
                <w:rStyle w:val="Hyperlink"/>
                <w:noProof/>
                <w:sz w:val="26"/>
                <w:szCs w:val="26"/>
              </w:rPr>
              <w:t>2.</w:t>
            </w:r>
            <w:r w:rsidR="00453D87" w:rsidRPr="005D6364">
              <w:rPr>
                <w:rFonts w:eastAsiaTheme="minorEastAsia"/>
                <w:noProof/>
                <w:sz w:val="26"/>
                <w:szCs w:val="26"/>
              </w:rPr>
              <w:tab/>
            </w:r>
            <w:r w:rsidR="00453D87" w:rsidRPr="005D6364">
              <w:rPr>
                <w:rStyle w:val="Hyperlink"/>
                <w:noProof/>
                <w:sz w:val="26"/>
                <w:szCs w:val="26"/>
              </w:rPr>
              <w:t>Monitoring, Reporting and Evaluation Issues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_Toc66354627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29</w:t>
            </w:r>
            <w:r w:rsidR="00453D87" w:rsidRPr="005D6364">
              <w:rPr>
                <w:noProof/>
                <w:webHidden/>
                <w:sz w:val="26"/>
                <w:szCs w:val="26"/>
              </w:rPr>
              <w:fldChar w:fldCharType="end"/>
            </w:r>
          </w:hyperlink>
        </w:p>
        <w:p w14:paraId="5B4E9172" w14:textId="20580116" w:rsidR="00453D87" w:rsidRPr="005D6364" w:rsidRDefault="00BE15CE" w:rsidP="00C6113D">
          <w:pPr>
            <w:pStyle w:val="TOC2"/>
            <w:widowControl/>
            <w:rPr>
              <w:rFonts w:eastAsiaTheme="minorEastAsia"/>
              <w:noProof/>
              <w:sz w:val="26"/>
              <w:szCs w:val="26"/>
            </w:rPr>
          </w:pPr>
          <w:hyperlink w:anchor="_Toc66354628" w:history="1">
            <w:r w:rsidR="00453D87" w:rsidRPr="005D6364">
              <w:rPr>
                <w:rStyle w:val="Hyperlink"/>
                <w:noProof/>
                <w:sz w:val="26"/>
                <w:szCs w:val="26"/>
              </w:rPr>
              <w:t xml:space="preserve">F. </w:t>
            </w:r>
            <w:r w:rsidR="005D6364">
              <w:rPr>
                <w:rStyle w:val="Hyperlink"/>
                <w:noProof/>
                <w:sz w:val="26"/>
                <w:szCs w:val="26"/>
              </w:rPr>
              <w:tab/>
            </w:r>
            <w:r w:rsidR="00453D87" w:rsidRPr="005D6364">
              <w:rPr>
                <w:rStyle w:val="Hyperlink"/>
                <w:noProof/>
                <w:sz w:val="26"/>
                <w:szCs w:val="26"/>
              </w:rPr>
              <w:t>COVID-19 Impacts on Reduction Targets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_Toc66354628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31</w:t>
            </w:r>
            <w:r w:rsidR="00453D87" w:rsidRPr="005D6364">
              <w:rPr>
                <w:noProof/>
                <w:webHidden/>
                <w:sz w:val="26"/>
                <w:szCs w:val="26"/>
              </w:rPr>
              <w:fldChar w:fldCharType="end"/>
            </w:r>
          </w:hyperlink>
        </w:p>
        <w:p w14:paraId="702E9FFF" w14:textId="704EC911" w:rsidR="00453D87" w:rsidRPr="005D6364" w:rsidRDefault="00BE15CE" w:rsidP="00C6113D">
          <w:pPr>
            <w:pStyle w:val="TOC2"/>
            <w:widowControl/>
            <w:rPr>
              <w:rFonts w:eastAsiaTheme="minorEastAsia"/>
              <w:noProof/>
              <w:sz w:val="26"/>
              <w:szCs w:val="26"/>
            </w:rPr>
          </w:pPr>
          <w:hyperlink w:anchor="_Toc66354629" w:history="1">
            <w:r w:rsidR="00453D87" w:rsidRPr="005D6364">
              <w:rPr>
                <w:rStyle w:val="Hyperlink"/>
                <w:noProof/>
                <w:sz w:val="26"/>
                <w:szCs w:val="26"/>
              </w:rPr>
              <w:t>G.</w:t>
            </w:r>
            <w:r w:rsidR="00453D87" w:rsidRPr="005D6364">
              <w:rPr>
                <w:rFonts w:eastAsiaTheme="minorEastAsia"/>
                <w:noProof/>
                <w:sz w:val="26"/>
                <w:szCs w:val="26"/>
              </w:rPr>
              <w:tab/>
            </w:r>
            <w:r w:rsidR="00453D87" w:rsidRPr="005D6364">
              <w:rPr>
                <w:rStyle w:val="Hyperlink"/>
                <w:noProof/>
                <w:sz w:val="26"/>
                <w:szCs w:val="26"/>
              </w:rPr>
              <w:t>Joint Petition for Full Settlement</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_Toc66354629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31</w:t>
            </w:r>
            <w:r w:rsidR="00453D87" w:rsidRPr="005D6364">
              <w:rPr>
                <w:noProof/>
                <w:webHidden/>
                <w:sz w:val="26"/>
                <w:szCs w:val="26"/>
              </w:rPr>
              <w:fldChar w:fldCharType="end"/>
            </w:r>
          </w:hyperlink>
        </w:p>
        <w:p w14:paraId="47BCF4D2" w14:textId="1711A0FE" w:rsidR="00453D87" w:rsidRPr="005D6364" w:rsidRDefault="00BE15CE" w:rsidP="00C6113D">
          <w:pPr>
            <w:pStyle w:val="TOC3"/>
            <w:widowControl/>
            <w:rPr>
              <w:rFonts w:eastAsiaTheme="minorEastAsia"/>
              <w:noProof/>
              <w:sz w:val="26"/>
              <w:szCs w:val="26"/>
            </w:rPr>
          </w:pPr>
          <w:hyperlink w:anchor="_Toc66354630" w:history="1">
            <w:r w:rsidR="00453D87" w:rsidRPr="005D6364">
              <w:rPr>
                <w:rStyle w:val="Hyperlink"/>
                <w:noProof/>
                <w:sz w:val="26"/>
                <w:szCs w:val="26"/>
              </w:rPr>
              <w:t>1.</w:t>
            </w:r>
            <w:r w:rsidR="00453D87" w:rsidRPr="005D6364">
              <w:rPr>
                <w:rFonts w:eastAsiaTheme="minorEastAsia"/>
                <w:noProof/>
                <w:sz w:val="26"/>
                <w:szCs w:val="26"/>
              </w:rPr>
              <w:tab/>
            </w:r>
            <w:r w:rsidR="00453D87" w:rsidRPr="005D6364">
              <w:rPr>
                <w:rStyle w:val="Hyperlink"/>
                <w:noProof/>
                <w:sz w:val="26"/>
                <w:szCs w:val="26"/>
              </w:rPr>
              <w:t>Introduction</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_Toc66354630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31</w:t>
            </w:r>
            <w:r w:rsidR="00453D87" w:rsidRPr="005D6364">
              <w:rPr>
                <w:noProof/>
                <w:webHidden/>
                <w:sz w:val="26"/>
                <w:szCs w:val="26"/>
              </w:rPr>
              <w:fldChar w:fldCharType="end"/>
            </w:r>
          </w:hyperlink>
        </w:p>
        <w:p w14:paraId="3708E771" w14:textId="2EB7D413" w:rsidR="00453D87" w:rsidRPr="005D6364" w:rsidRDefault="00BE15CE" w:rsidP="00C6113D">
          <w:pPr>
            <w:pStyle w:val="TOC3"/>
            <w:widowControl/>
            <w:rPr>
              <w:rFonts w:eastAsiaTheme="minorEastAsia"/>
              <w:noProof/>
              <w:sz w:val="26"/>
              <w:szCs w:val="26"/>
            </w:rPr>
          </w:pPr>
          <w:hyperlink w:anchor="_Toc66354631" w:history="1">
            <w:r w:rsidR="00453D87" w:rsidRPr="005D6364">
              <w:rPr>
                <w:rStyle w:val="Hyperlink"/>
                <w:noProof/>
                <w:sz w:val="26"/>
                <w:szCs w:val="26"/>
              </w:rPr>
              <w:t>2.</w:t>
            </w:r>
            <w:r w:rsidR="00453D87" w:rsidRPr="005D6364">
              <w:rPr>
                <w:rFonts w:eastAsiaTheme="minorEastAsia"/>
                <w:noProof/>
                <w:sz w:val="26"/>
                <w:szCs w:val="26"/>
              </w:rPr>
              <w:tab/>
            </w:r>
            <w:r w:rsidR="00453D87" w:rsidRPr="005D6364">
              <w:rPr>
                <w:rStyle w:val="Hyperlink"/>
                <w:noProof/>
                <w:sz w:val="26"/>
                <w:szCs w:val="26"/>
              </w:rPr>
              <w:t>Terms and Conditions of the Full Settlement</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_Toc66354631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32</w:t>
            </w:r>
            <w:r w:rsidR="00453D87" w:rsidRPr="005D6364">
              <w:rPr>
                <w:noProof/>
                <w:webHidden/>
                <w:sz w:val="26"/>
                <w:szCs w:val="26"/>
              </w:rPr>
              <w:fldChar w:fldCharType="end"/>
            </w:r>
          </w:hyperlink>
        </w:p>
        <w:p w14:paraId="6BA3BB01" w14:textId="308F6431" w:rsidR="00453D87" w:rsidRPr="005D6364" w:rsidRDefault="00BE15CE" w:rsidP="00C6113D">
          <w:pPr>
            <w:pStyle w:val="TOC3"/>
            <w:widowControl/>
            <w:rPr>
              <w:rFonts w:eastAsiaTheme="minorEastAsia"/>
              <w:noProof/>
              <w:sz w:val="26"/>
              <w:szCs w:val="26"/>
            </w:rPr>
          </w:pPr>
          <w:hyperlink w:anchor="_Toc66354632" w:history="1">
            <w:r w:rsidR="00453D87" w:rsidRPr="005D6364">
              <w:rPr>
                <w:rStyle w:val="Hyperlink"/>
                <w:noProof/>
                <w:sz w:val="26"/>
                <w:szCs w:val="26"/>
              </w:rPr>
              <w:t>3.</w:t>
            </w:r>
            <w:r w:rsidR="00453D87" w:rsidRPr="005D6364">
              <w:rPr>
                <w:rFonts w:eastAsiaTheme="minorEastAsia"/>
                <w:noProof/>
                <w:sz w:val="26"/>
                <w:szCs w:val="26"/>
              </w:rPr>
              <w:tab/>
            </w:r>
            <w:r w:rsidR="00453D87" w:rsidRPr="005D6364">
              <w:rPr>
                <w:rStyle w:val="Hyperlink"/>
                <w:noProof/>
                <w:sz w:val="26"/>
                <w:szCs w:val="26"/>
              </w:rPr>
              <w:t>Positions of the Parties</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_Toc66354632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36</w:t>
            </w:r>
            <w:r w:rsidR="00453D87" w:rsidRPr="005D6364">
              <w:rPr>
                <w:noProof/>
                <w:webHidden/>
                <w:sz w:val="26"/>
                <w:szCs w:val="26"/>
              </w:rPr>
              <w:fldChar w:fldCharType="end"/>
            </w:r>
          </w:hyperlink>
        </w:p>
        <w:p w14:paraId="034A1738" w14:textId="5928A849" w:rsidR="00453D87" w:rsidRPr="005D6364" w:rsidRDefault="00BE15CE" w:rsidP="00C6113D">
          <w:pPr>
            <w:pStyle w:val="TOC3"/>
            <w:widowControl/>
            <w:rPr>
              <w:rFonts w:eastAsiaTheme="minorEastAsia"/>
              <w:noProof/>
              <w:sz w:val="26"/>
              <w:szCs w:val="26"/>
            </w:rPr>
          </w:pPr>
          <w:hyperlink w:anchor="_Toc66354633" w:history="1">
            <w:r w:rsidR="00453D87" w:rsidRPr="005D6364">
              <w:rPr>
                <w:rStyle w:val="Hyperlink"/>
                <w:noProof/>
                <w:sz w:val="26"/>
                <w:szCs w:val="26"/>
              </w:rPr>
              <w:t>4.</w:t>
            </w:r>
            <w:r w:rsidR="00453D87" w:rsidRPr="005D6364">
              <w:rPr>
                <w:rFonts w:eastAsiaTheme="minorEastAsia"/>
                <w:noProof/>
                <w:sz w:val="26"/>
                <w:szCs w:val="26"/>
              </w:rPr>
              <w:tab/>
            </w:r>
            <w:r w:rsidR="00453D87" w:rsidRPr="005D6364">
              <w:rPr>
                <w:rStyle w:val="Hyperlink"/>
                <w:noProof/>
                <w:sz w:val="26"/>
                <w:szCs w:val="26"/>
              </w:rPr>
              <w:t>Disposition</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_Toc66354633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43</w:t>
            </w:r>
            <w:r w:rsidR="00453D87" w:rsidRPr="005D6364">
              <w:rPr>
                <w:noProof/>
                <w:webHidden/>
                <w:sz w:val="26"/>
                <w:szCs w:val="26"/>
              </w:rPr>
              <w:fldChar w:fldCharType="end"/>
            </w:r>
          </w:hyperlink>
        </w:p>
        <w:p w14:paraId="4C696A94" w14:textId="59235E5B" w:rsidR="00453D87" w:rsidRPr="005D6364" w:rsidRDefault="00BE15CE" w:rsidP="00C6113D">
          <w:pPr>
            <w:pStyle w:val="TOC1"/>
            <w:widowControl/>
            <w:rPr>
              <w:rFonts w:eastAsiaTheme="minorEastAsia"/>
              <w:noProof/>
              <w:sz w:val="26"/>
              <w:szCs w:val="26"/>
            </w:rPr>
          </w:pPr>
          <w:hyperlink w:anchor="_Toc66354634" w:history="1">
            <w:r w:rsidR="00453D87" w:rsidRPr="005D6364">
              <w:rPr>
                <w:rStyle w:val="Hyperlink"/>
                <w:noProof/>
                <w:sz w:val="26"/>
                <w:szCs w:val="26"/>
              </w:rPr>
              <w:t>VI.</w:t>
            </w:r>
            <w:r w:rsidR="00453D87" w:rsidRPr="005D6364">
              <w:rPr>
                <w:rFonts w:eastAsiaTheme="minorEastAsia"/>
                <w:noProof/>
                <w:sz w:val="26"/>
                <w:szCs w:val="26"/>
              </w:rPr>
              <w:tab/>
            </w:r>
            <w:r w:rsidR="00453D87" w:rsidRPr="005D6364">
              <w:rPr>
                <w:rStyle w:val="Hyperlink"/>
                <w:noProof/>
                <w:sz w:val="26"/>
                <w:szCs w:val="26"/>
              </w:rPr>
              <w:t>Conclusion</w:t>
            </w:r>
            <w:r w:rsidR="00453D87" w:rsidRPr="005D6364">
              <w:rPr>
                <w:noProof/>
                <w:webHidden/>
                <w:sz w:val="26"/>
                <w:szCs w:val="26"/>
              </w:rPr>
              <w:tab/>
            </w:r>
            <w:r w:rsidR="00453D87" w:rsidRPr="005D6364">
              <w:rPr>
                <w:noProof/>
                <w:webHidden/>
                <w:sz w:val="26"/>
                <w:szCs w:val="26"/>
              </w:rPr>
              <w:fldChar w:fldCharType="begin"/>
            </w:r>
            <w:r w:rsidR="00453D87" w:rsidRPr="005D6364">
              <w:rPr>
                <w:noProof/>
                <w:webHidden/>
                <w:sz w:val="26"/>
                <w:szCs w:val="26"/>
              </w:rPr>
              <w:instrText xml:space="preserve"> PAGEREF _Toc66354634 \h </w:instrText>
            </w:r>
            <w:r w:rsidR="00453D87" w:rsidRPr="005D6364">
              <w:rPr>
                <w:noProof/>
                <w:webHidden/>
                <w:sz w:val="26"/>
                <w:szCs w:val="26"/>
              </w:rPr>
            </w:r>
            <w:r w:rsidR="00453D87" w:rsidRPr="005D6364">
              <w:rPr>
                <w:noProof/>
                <w:webHidden/>
                <w:sz w:val="26"/>
                <w:szCs w:val="26"/>
              </w:rPr>
              <w:fldChar w:fldCharType="separate"/>
            </w:r>
            <w:r w:rsidR="005D6364" w:rsidRPr="005D6364">
              <w:rPr>
                <w:noProof/>
                <w:webHidden/>
                <w:sz w:val="26"/>
                <w:szCs w:val="26"/>
              </w:rPr>
              <w:t>45</w:t>
            </w:r>
            <w:r w:rsidR="00453D87" w:rsidRPr="005D6364">
              <w:rPr>
                <w:noProof/>
                <w:webHidden/>
                <w:sz w:val="26"/>
                <w:szCs w:val="26"/>
              </w:rPr>
              <w:fldChar w:fldCharType="end"/>
            </w:r>
          </w:hyperlink>
        </w:p>
        <w:p w14:paraId="66B9779E" w14:textId="032A8231" w:rsidR="00AC293A" w:rsidRPr="00591394" w:rsidRDefault="005F4D1B" w:rsidP="00C6113D">
          <w:pPr>
            <w:widowControl/>
            <w:rPr>
              <w:sz w:val="26"/>
              <w:szCs w:val="26"/>
            </w:rPr>
          </w:pPr>
          <w:r w:rsidRPr="005D6364">
            <w:rPr>
              <w:sz w:val="26"/>
              <w:szCs w:val="26"/>
            </w:rPr>
            <w:fldChar w:fldCharType="end"/>
          </w:r>
        </w:p>
      </w:sdtContent>
    </w:sdt>
    <w:p w14:paraId="1D109CFC" w14:textId="77777777" w:rsidR="00A80324" w:rsidRPr="00591394" w:rsidRDefault="00A80324" w:rsidP="00C6113D">
      <w:pPr>
        <w:pStyle w:val="TOC1"/>
        <w:widowControl/>
        <w:sectPr w:rsidR="00A80324" w:rsidRPr="00591394" w:rsidSect="00591394">
          <w:footerReference w:type="default" r:id="rId9"/>
          <w:pgSz w:w="12240" w:h="15840"/>
          <w:pgMar w:top="1152" w:right="1440" w:bottom="1152" w:left="1440" w:header="720" w:footer="720" w:gutter="0"/>
          <w:pgNumType w:start="1"/>
          <w:cols w:space="720"/>
          <w:docGrid w:linePitch="360"/>
        </w:sectPr>
      </w:pPr>
    </w:p>
    <w:p w14:paraId="32AB315F" w14:textId="77777777" w:rsidR="009A17EC" w:rsidRPr="00591394" w:rsidRDefault="009A17EC" w:rsidP="00C6113D">
      <w:pPr>
        <w:widowControl/>
        <w:jc w:val="center"/>
        <w:rPr>
          <w:b/>
          <w:sz w:val="26"/>
          <w:szCs w:val="26"/>
        </w:rPr>
      </w:pPr>
      <w:r w:rsidRPr="00591394">
        <w:rPr>
          <w:b/>
          <w:sz w:val="26"/>
          <w:szCs w:val="26"/>
        </w:rPr>
        <w:lastRenderedPageBreak/>
        <w:t>OPINION AND ORDER</w:t>
      </w:r>
    </w:p>
    <w:p w14:paraId="6C91D4BD" w14:textId="77777777" w:rsidR="009A17EC" w:rsidRPr="00591394" w:rsidRDefault="009A17EC" w:rsidP="00C6113D">
      <w:pPr>
        <w:widowControl/>
        <w:rPr>
          <w:b/>
          <w:sz w:val="26"/>
          <w:szCs w:val="26"/>
        </w:rPr>
      </w:pPr>
    </w:p>
    <w:p w14:paraId="319B5597" w14:textId="77777777" w:rsidR="009A17EC" w:rsidRPr="00591394" w:rsidRDefault="009A17EC" w:rsidP="00C6113D">
      <w:pPr>
        <w:widowControl/>
        <w:spacing w:line="360" w:lineRule="auto"/>
        <w:rPr>
          <w:b/>
          <w:sz w:val="26"/>
          <w:szCs w:val="26"/>
        </w:rPr>
      </w:pPr>
      <w:r w:rsidRPr="00591394">
        <w:rPr>
          <w:b/>
          <w:sz w:val="26"/>
          <w:szCs w:val="26"/>
        </w:rPr>
        <w:t>BY THE COMMISSION:</w:t>
      </w:r>
    </w:p>
    <w:p w14:paraId="2F2F504F" w14:textId="77777777" w:rsidR="003D0F88" w:rsidRPr="00591394" w:rsidRDefault="003D0F88" w:rsidP="00C6113D">
      <w:pPr>
        <w:widowControl/>
        <w:spacing w:line="360" w:lineRule="auto"/>
        <w:ind w:firstLine="1440"/>
        <w:rPr>
          <w:sz w:val="26"/>
          <w:szCs w:val="26"/>
        </w:rPr>
      </w:pPr>
    </w:p>
    <w:p w14:paraId="4528A0FE" w14:textId="2337AB50" w:rsidR="003D0F88" w:rsidRPr="00591394" w:rsidRDefault="003D0F88" w:rsidP="00C6113D">
      <w:pPr>
        <w:widowControl/>
        <w:spacing w:line="360" w:lineRule="auto"/>
        <w:ind w:firstLine="1440"/>
        <w:rPr>
          <w:sz w:val="26"/>
          <w:szCs w:val="26"/>
        </w:rPr>
      </w:pPr>
      <w:r w:rsidRPr="00591394">
        <w:rPr>
          <w:sz w:val="26"/>
          <w:szCs w:val="26"/>
        </w:rPr>
        <w:t xml:space="preserve">Before the Pennsylvania Public Utility Commission (Commission) for consideration and disposition is </w:t>
      </w:r>
      <w:r w:rsidR="00D03E44" w:rsidRPr="00591394">
        <w:rPr>
          <w:sz w:val="26"/>
          <w:szCs w:val="26"/>
        </w:rPr>
        <w:t xml:space="preserve">the Petition </w:t>
      </w:r>
      <w:r w:rsidR="00EF7FD4" w:rsidRPr="00591394">
        <w:rPr>
          <w:sz w:val="26"/>
          <w:szCs w:val="26"/>
        </w:rPr>
        <w:t xml:space="preserve">(Petition) </w:t>
      </w:r>
      <w:r w:rsidR="00D03E44" w:rsidRPr="00591394">
        <w:rPr>
          <w:sz w:val="26"/>
          <w:szCs w:val="26"/>
        </w:rPr>
        <w:t xml:space="preserve">of </w:t>
      </w:r>
      <w:r w:rsidR="00236FDB" w:rsidRPr="00591394">
        <w:rPr>
          <w:sz w:val="26"/>
          <w:szCs w:val="26"/>
        </w:rPr>
        <w:t>Duquesne Light Company</w:t>
      </w:r>
      <w:r w:rsidR="00D03E44" w:rsidRPr="00591394">
        <w:rPr>
          <w:sz w:val="26"/>
          <w:szCs w:val="26"/>
        </w:rPr>
        <w:t xml:space="preserve"> </w:t>
      </w:r>
      <w:r w:rsidRPr="00591394">
        <w:rPr>
          <w:sz w:val="26"/>
          <w:szCs w:val="26"/>
        </w:rPr>
        <w:t>(</w:t>
      </w:r>
      <w:r w:rsidR="00236FDB" w:rsidRPr="00591394">
        <w:rPr>
          <w:sz w:val="26"/>
          <w:szCs w:val="26"/>
        </w:rPr>
        <w:t>Duquesne</w:t>
      </w:r>
      <w:r w:rsidRPr="00591394">
        <w:rPr>
          <w:sz w:val="26"/>
          <w:szCs w:val="26"/>
        </w:rPr>
        <w:t xml:space="preserve"> or the Company)</w:t>
      </w:r>
      <w:r w:rsidR="00236FDB" w:rsidRPr="00591394">
        <w:rPr>
          <w:sz w:val="26"/>
          <w:szCs w:val="26"/>
        </w:rPr>
        <w:t xml:space="preserve"> for A</w:t>
      </w:r>
      <w:r w:rsidR="00D03E44" w:rsidRPr="00591394">
        <w:rPr>
          <w:sz w:val="26"/>
          <w:szCs w:val="26"/>
        </w:rPr>
        <w:t xml:space="preserve">pproval of </w:t>
      </w:r>
      <w:r w:rsidR="00236FDB" w:rsidRPr="00591394">
        <w:rPr>
          <w:sz w:val="26"/>
          <w:szCs w:val="26"/>
        </w:rPr>
        <w:t xml:space="preserve">its </w:t>
      </w:r>
      <w:r w:rsidR="00D03E44" w:rsidRPr="00591394">
        <w:rPr>
          <w:sz w:val="26"/>
          <w:szCs w:val="26"/>
        </w:rPr>
        <w:t>Act 129 Phase I</w:t>
      </w:r>
      <w:r w:rsidR="00552E14" w:rsidRPr="00591394">
        <w:rPr>
          <w:sz w:val="26"/>
          <w:szCs w:val="26"/>
        </w:rPr>
        <w:t>V</w:t>
      </w:r>
      <w:r w:rsidR="00D03E44" w:rsidRPr="00591394">
        <w:rPr>
          <w:sz w:val="26"/>
          <w:szCs w:val="26"/>
        </w:rPr>
        <w:t xml:space="preserve"> Energy Efficiency and Conservation Plan </w:t>
      </w:r>
      <w:r w:rsidR="00A02D41" w:rsidRPr="00591394">
        <w:rPr>
          <w:sz w:val="26"/>
          <w:szCs w:val="26"/>
        </w:rPr>
        <w:t>(Phase I</w:t>
      </w:r>
      <w:r w:rsidR="00552E14" w:rsidRPr="00591394">
        <w:rPr>
          <w:sz w:val="26"/>
          <w:szCs w:val="26"/>
        </w:rPr>
        <w:t>V</w:t>
      </w:r>
      <w:r w:rsidR="00A02D41" w:rsidRPr="00591394">
        <w:rPr>
          <w:sz w:val="26"/>
          <w:szCs w:val="26"/>
        </w:rPr>
        <w:t xml:space="preserve"> Plan) </w:t>
      </w:r>
      <w:r w:rsidR="00D03E44" w:rsidRPr="00591394">
        <w:rPr>
          <w:sz w:val="26"/>
          <w:szCs w:val="26"/>
        </w:rPr>
        <w:t xml:space="preserve">filed on </w:t>
      </w:r>
      <w:r w:rsidR="00236FDB" w:rsidRPr="00591394">
        <w:rPr>
          <w:sz w:val="26"/>
          <w:szCs w:val="26"/>
        </w:rPr>
        <w:t xml:space="preserve">November </w:t>
      </w:r>
      <w:r w:rsidR="00CC5B7C" w:rsidRPr="00591394">
        <w:rPr>
          <w:sz w:val="26"/>
          <w:szCs w:val="26"/>
        </w:rPr>
        <w:t>30</w:t>
      </w:r>
      <w:r w:rsidR="00236FDB" w:rsidRPr="00591394">
        <w:rPr>
          <w:sz w:val="26"/>
          <w:szCs w:val="26"/>
        </w:rPr>
        <w:t>, 20</w:t>
      </w:r>
      <w:r w:rsidR="00CC5B7C" w:rsidRPr="00591394">
        <w:rPr>
          <w:sz w:val="26"/>
          <w:szCs w:val="26"/>
        </w:rPr>
        <w:t>20</w:t>
      </w:r>
      <w:r w:rsidRPr="00591394">
        <w:rPr>
          <w:sz w:val="26"/>
          <w:szCs w:val="26"/>
        </w:rPr>
        <w:t>.</w:t>
      </w:r>
      <w:r w:rsidR="00D03E44" w:rsidRPr="00591394">
        <w:rPr>
          <w:sz w:val="26"/>
          <w:szCs w:val="26"/>
        </w:rPr>
        <w:t xml:space="preserve">  Also before the Commission is the Joint Petition for </w:t>
      </w:r>
      <w:r w:rsidR="00CC2EAB" w:rsidRPr="00591394">
        <w:rPr>
          <w:sz w:val="26"/>
          <w:szCs w:val="26"/>
        </w:rPr>
        <w:t xml:space="preserve">Full </w:t>
      </w:r>
      <w:r w:rsidR="00D03E44" w:rsidRPr="00591394">
        <w:rPr>
          <w:sz w:val="26"/>
          <w:szCs w:val="26"/>
        </w:rPr>
        <w:t xml:space="preserve">Settlement </w:t>
      </w:r>
      <w:r w:rsidR="00EF7FD4" w:rsidRPr="00591394">
        <w:rPr>
          <w:sz w:val="26"/>
          <w:szCs w:val="26"/>
        </w:rPr>
        <w:t xml:space="preserve">(Settlement) </w:t>
      </w:r>
      <w:r w:rsidR="00D03E44" w:rsidRPr="00591394">
        <w:rPr>
          <w:sz w:val="26"/>
          <w:szCs w:val="26"/>
        </w:rPr>
        <w:t xml:space="preserve">filed by </w:t>
      </w:r>
      <w:r w:rsidR="00495875" w:rsidRPr="00591394">
        <w:rPr>
          <w:sz w:val="26"/>
          <w:szCs w:val="26"/>
        </w:rPr>
        <w:t xml:space="preserve">Duquesne, </w:t>
      </w:r>
      <w:r w:rsidR="002A3E75" w:rsidRPr="00591394">
        <w:rPr>
          <w:sz w:val="26"/>
          <w:szCs w:val="26"/>
        </w:rPr>
        <w:t xml:space="preserve">the Office of Consumer Advocate (OCA), </w:t>
      </w:r>
      <w:r w:rsidR="002A3E75" w:rsidRPr="00591394">
        <w:rPr>
          <w:bCs/>
          <w:sz w:val="26"/>
          <w:szCs w:val="26"/>
        </w:rPr>
        <w:t xml:space="preserve">the Coalition for Affordable Utility Services and Energy Efficiency in Pennsylvania (CAUSE-PA), </w:t>
      </w:r>
      <w:r w:rsidR="00876D02" w:rsidRPr="00591394">
        <w:rPr>
          <w:bCs/>
          <w:sz w:val="26"/>
          <w:szCs w:val="26"/>
        </w:rPr>
        <w:t xml:space="preserve">and </w:t>
      </w:r>
      <w:r w:rsidR="002A3E75" w:rsidRPr="00591394">
        <w:rPr>
          <w:bCs/>
          <w:sz w:val="26"/>
          <w:szCs w:val="26"/>
        </w:rPr>
        <w:t xml:space="preserve">the </w:t>
      </w:r>
      <w:r w:rsidR="00694F02" w:rsidRPr="00591394">
        <w:rPr>
          <w:bCs/>
          <w:sz w:val="26"/>
          <w:szCs w:val="26"/>
        </w:rPr>
        <w:t>Community Action Association of Pennsylvania (CAAP)</w:t>
      </w:r>
      <w:r w:rsidR="00876D02" w:rsidRPr="00591394">
        <w:rPr>
          <w:bCs/>
          <w:sz w:val="26"/>
          <w:szCs w:val="26"/>
        </w:rPr>
        <w:t xml:space="preserve">, </w:t>
      </w:r>
      <w:r w:rsidR="00EF7FD4" w:rsidRPr="00591394">
        <w:rPr>
          <w:sz w:val="26"/>
          <w:szCs w:val="26"/>
        </w:rPr>
        <w:t>(</w:t>
      </w:r>
      <w:r w:rsidR="002A3E75" w:rsidRPr="00591394">
        <w:rPr>
          <w:sz w:val="26"/>
          <w:szCs w:val="26"/>
        </w:rPr>
        <w:t xml:space="preserve">collectively, the </w:t>
      </w:r>
      <w:r w:rsidR="00EF7FD4" w:rsidRPr="00591394">
        <w:rPr>
          <w:sz w:val="26"/>
          <w:szCs w:val="26"/>
        </w:rPr>
        <w:t xml:space="preserve">Joint Petitioners) </w:t>
      </w:r>
      <w:r w:rsidR="00D03E44" w:rsidRPr="00591394">
        <w:rPr>
          <w:sz w:val="26"/>
          <w:szCs w:val="26"/>
        </w:rPr>
        <w:t xml:space="preserve">on </w:t>
      </w:r>
      <w:r w:rsidR="002A3E75" w:rsidRPr="00591394">
        <w:rPr>
          <w:sz w:val="26"/>
          <w:szCs w:val="26"/>
        </w:rPr>
        <w:t>February</w:t>
      </w:r>
      <w:r w:rsidR="005D6364">
        <w:rPr>
          <w:sz w:val="26"/>
          <w:szCs w:val="26"/>
        </w:rPr>
        <w:t> </w:t>
      </w:r>
      <w:r w:rsidR="00004664" w:rsidRPr="00591394">
        <w:rPr>
          <w:sz w:val="26"/>
          <w:szCs w:val="26"/>
        </w:rPr>
        <w:t>18</w:t>
      </w:r>
      <w:r w:rsidR="002A3E75" w:rsidRPr="00591394">
        <w:rPr>
          <w:sz w:val="26"/>
          <w:szCs w:val="26"/>
        </w:rPr>
        <w:t>,</w:t>
      </w:r>
      <w:r w:rsidR="005D6364">
        <w:rPr>
          <w:sz w:val="26"/>
          <w:szCs w:val="26"/>
        </w:rPr>
        <w:t> </w:t>
      </w:r>
      <w:r w:rsidR="002A3E75" w:rsidRPr="00591394">
        <w:rPr>
          <w:sz w:val="26"/>
          <w:szCs w:val="26"/>
        </w:rPr>
        <w:t>20</w:t>
      </w:r>
      <w:r w:rsidR="00004664" w:rsidRPr="00591394">
        <w:rPr>
          <w:sz w:val="26"/>
          <w:szCs w:val="26"/>
        </w:rPr>
        <w:t>21</w:t>
      </w:r>
      <w:r w:rsidR="002A3E75" w:rsidRPr="00591394">
        <w:rPr>
          <w:sz w:val="26"/>
          <w:szCs w:val="26"/>
        </w:rPr>
        <w:t>.</w:t>
      </w:r>
      <w:r w:rsidR="00D03E44" w:rsidRPr="00591394">
        <w:rPr>
          <w:sz w:val="26"/>
          <w:szCs w:val="26"/>
        </w:rPr>
        <w:t xml:space="preserve"> </w:t>
      </w:r>
      <w:r w:rsidR="002A3E75" w:rsidRPr="00591394">
        <w:rPr>
          <w:sz w:val="26"/>
          <w:szCs w:val="26"/>
        </w:rPr>
        <w:t xml:space="preserve"> </w:t>
      </w:r>
      <w:r w:rsidR="00F37BE7" w:rsidRPr="00591394">
        <w:rPr>
          <w:sz w:val="26"/>
          <w:szCs w:val="26"/>
        </w:rPr>
        <w:t xml:space="preserve">As discussed, </w:t>
      </w:r>
      <w:r w:rsidR="00F37BE7" w:rsidRPr="00591394">
        <w:rPr>
          <w:i/>
          <w:sz w:val="26"/>
          <w:szCs w:val="26"/>
        </w:rPr>
        <w:t>infra,</w:t>
      </w:r>
      <w:r w:rsidR="00F37BE7" w:rsidRPr="00591394">
        <w:rPr>
          <w:sz w:val="26"/>
          <w:szCs w:val="26"/>
        </w:rPr>
        <w:t xml:space="preserve"> on </w:t>
      </w:r>
      <w:r w:rsidR="00004664" w:rsidRPr="00591394">
        <w:rPr>
          <w:sz w:val="26"/>
          <w:szCs w:val="26"/>
        </w:rPr>
        <w:t>March 1</w:t>
      </w:r>
      <w:r w:rsidR="00F37BE7" w:rsidRPr="00591394">
        <w:rPr>
          <w:sz w:val="26"/>
          <w:szCs w:val="26"/>
        </w:rPr>
        <w:t>, 20</w:t>
      </w:r>
      <w:r w:rsidR="00004664" w:rsidRPr="00591394">
        <w:rPr>
          <w:sz w:val="26"/>
          <w:szCs w:val="26"/>
        </w:rPr>
        <w:t>21</w:t>
      </w:r>
      <w:r w:rsidR="00F37BE7" w:rsidRPr="00591394">
        <w:rPr>
          <w:sz w:val="26"/>
          <w:szCs w:val="26"/>
        </w:rPr>
        <w:t>, Duquesne submitted a revised Phase I</w:t>
      </w:r>
      <w:r w:rsidR="00004664" w:rsidRPr="00591394">
        <w:rPr>
          <w:sz w:val="26"/>
          <w:szCs w:val="26"/>
        </w:rPr>
        <w:t>V</w:t>
      </w:r>
      <w:r w:rsidR="00F37BE7" w:rsidRPr="00591394">
        <w:rPr>
          <w:sz w:val="26"/>
          <w:szCs w:val="26"/>
        </w:rPr>
        <w:t xml:space="preserve"> Energy Efficiency and Conservation Plan (</w:t>
      </w:r>
      <w:r w:rsidR="00F37BE7" w:rsidRPr="00591394">
        <w:rPr>
          <w:i/>
          <w:sz w:val="26"/>
          <w:szCs w:val="26"/>
        </w:rPr>
        <w:t xml:space="preserve">Revised </w:t>
      </w:r>
      <w:r w:rsidR="00FB51B5" w:rsidRPr="00591394">
        <w:rPr>
          <w:i/>
          <w:iCs/>
          <w:sz w:val="26"/>
          <w:szCs w:val="26"/>
        </w:rPr>
        <w:t xml:space="preserve">Phase IV </w:t>
      </w:r>
      <w:r w:rsidR="00F37BE7" w:rsidRPr="00591394">
        <w:rPr>
          <w:i/>
          <w:sz w:val="26"/>
          <w:szCs w:val="26"/>
        </w:rPr>
        <w:t>Plan</w:t>
      </w:r>
      <w:r w:rsidR="00F37BE7" w:rsidRPr="00591394">
        <w:rPr>
          <w:sz w:val="26"/>
          <w:szCs w:val="26"/>
        </w:rPr>
        <w:t>).</w:t>
      </w:r>
      <w:r w:rsidR="00F37BE7" w:rsidRPr="00591394">
        <w:rPr>
          <w:i/>
          <w:sz w:val="26"/>
          <w:szCs w:val="26"/>
        </w:rPr>
        <w:t xml:space="preserve">  </w:t>
      </w:r>
      <w:r w:rsidR="002A3E75" w:rsidRPr="00591394">
        <w:rPr>
          <w:sz w:val="26"/>
          <w:szCs w:val="26"/>
        </w:rPr>
        <w:t xml:space="preserve">In accordance with the Commission’s Order in </w:t>
      </w:r>
      <w:r w:rsidR="002A3E75" w:rsidRPr="00591394">
        <w:rPr>
          <w:i/>
          <w:sz w:val="26"/>
          <w:szCs w:val="26"/>
        </w:rPr>
        <w:t>Energy Efficiency and Conservation Program</w:t>
      </w:r>
      <w:r w:rsidR="002A3E75" w:rsidRPr="00591394">
        <w:rPr>
          <w:sz w:val="26"/>
          <w:szCs w:val="26"/>
        </w:rPr>
        <w:t>, Docket No. M-</w:t>
      </w:r>
      <w:r w:rsidR="009A7363" w:rsidRPr="00591394">
        <w:rPr>
          <w:sz w:val="26"/>
          <w:szCs w:val="26"/>
        </w:rPr>
        <w:t> </w:t>
      </w:r>
      <w:r w:rsidR="002A3E75" w:rsidRPr="00591394">
        <w:rPr>
          <w:sz w:val="26"/>
          <w:szCs w:val="26"/>
        </w:rPr>
        <w:t>20</w:t>
      </w:r>
      <w:r w:rsidR="00C35380" w:rsidRPr="00591394">
        <w:rPr>
          <w:sz w:val="26"/>
          <w:szCs w:val="26"/>
        </w:rPr>
        <w:t>20-3015228</w:t>
      </w:r>
      <w:r w:rsidR="002A3E75" w:rsidRPr="00591394">
        <w:rPr>
          <w:sz w:val="26"/>
          <w:szCs w:val="26"/>
        </w:rPr>
        <w:t xml:space="preserve"> (Order entered June </w:t>
      </w:r>
      <w:r w:rsidR="005E346A" w:rsidRPr="00591394">
        <w:rPr>
          <w:sz w:val="26"/>
          <w:szCs w:val="26"/>
        </w:rPr>
        <w:t>18</w:t>
      </w:r>
      <w:r w:rsidR="002A3E75" w:rsidRPr="00591394">
        <w:rPr>
          <w:sz w:val="26"/>
          <w:szCs w:val="26"/>
        </w:rPr>
        <w:t>, 20</w:t>
      </w:r>
      <w:r w:rsidR="009D46EC" w:rsidRPr="00591394">
        <w:rPr>
          <w:sz w:val="26"/>
          <w:szCs w:val="26"/>
        </w:rPr>
        <w:t>20</w:t>
      </w:r>
      <w:r w:rsidR="002A3E75" w:rsidRPr="00591394">
        <w:rPr>
          <w:sz w:val="26"/>
          <w:szCs w:val="26"/>
        </w:rPr>
        <w:t>) (</w:t>
      </w:r>
      <w:r w:rsidR="002A3E75" w:rsidRPr="00591394">
        <w:rPr>
          <w:i/>
          <w:sz w:val="26"/>
          <w:szCs w:val="26"/>
        </w:rPr>
        <w:t>Phase I</w:t>
      </w:r>
      <w:r w:rsidR="00425DC8" w:rsidRPr="00591394">
        <w:rPr>
          <w:i/>
          <w:sz w:val="26"/>
          <w:szCs w:val="26"/>
        </w:rPr>
        <w:t>V</w:t>
      </w:r>
      <w:r w:rsidR="002A3E75" w:rsidRPr="00591394">
        <w:rPr>
          <w:i/>
          <w:sz w:val="26"/>
          <w:szCs w:val="26"/>
        </w:rPr>
        <w:t xml:space="preserve"> Implementation Order</w:t>
      </w:r>
      <w:r w:rsidR="002A3E75" w:rsidRPr="00591394">
        <w:rPr>
          <w:sz w:val="26"/>
          <w:szCs w:val="26"/>
        </w:rPr>
        <w:t xml:space="preserve">), </w:t>
      </w:r>
      <w:r w:rsidR="00EF7FD4" w:rsidRPr="00591394">
        <w:rPr>
          <w:sz w:val="26"/>
          <w:szCs w:val="26"/>
        </w:rPr>
        <w:t>Administrative Law Judge</w:t>
      </w:r>
      <w:r w:rsidR="0015527B" w:rsidRPr="00591394">
        <w:rPr>
          <w:sz w:val="26"/>
          <w:szCs w:val="26"/>
        </w:rPr>
        <w:t>s</w:t>
      </w:r>
      <w:r w:rsidR="00495875" w:rsidRPr="00591394">
        <w:rPr>
          <w:sz w:val="26"/>
          <w:szCs w:val="26"/>
        </w:rPr>
        <w:t xml:space="preserve"> </w:t>
      </w:r>
      <w:r w:rsidR="0008517D" w:rsidRPr="00591394">
        <w:rPr>
          <w:sz w:val="26"/>
          <w:szCs w:val="26"/>
        </w:rPr>
        <w:t>(ALJ</w:t>
      </w:r>
      <w:r w:rsidR="0015527B" w:rsidRPr="00591394">
        <w:rPr>
          <w:sz w:val="26"/>
          <w:szCs w:val="26"/>
        </w:rPr>
        <w:t>s</w:t>
      </w:r>
      <w:r w:rsidR="0008517D" w:rsidRPr="00591394">
        <w:rPr>
          <w:sz w:val="26"/>
          <w:szCs w:val="26"/>
        </w:rPr>
        <w:t xml:space="preserve">) </w:t>
      </w:r>
      <w:r w:rsidR="0015527B" w:rsidRPr="00591394">
        <w:rPr>
          <w:sz w:val="26"/>
          <w:szCs w:val="26"/>
        </w:rPr>
        <w:t xml:space="preserve">Mark </w:t>
      </w:r>
      <w:r w:rsidR="008E2BD8" w:rsidRPr="00591394">
        <w:rPr>
          <w:sz w:val="26"/>
          <w:szCs w:val="26"/>
        </w:rPr>
        <w:t>Hoyer and Emily De</w:t>
      </w:r>
      <w:r w:rsidR="00244965" w:rsidRPr="00591394">
        <w:rPr>
          <w:sz w:val="26"/>
          <w:szCs w:val="26"/>
        </w:rPr>
        <w:t>Voe</w:t>
      </w:r>
      <w:r w:rsidR="00EF7FD4" w:rsidRPr="00591394">
        <w:rPr>
          <w:sz w:val="26"/>
          <w:szCs w:val="26"/>
        </w:rPr>
        <w:t xml:space="preserve"> certified the record in this proceeding on </w:t>
      </w:r>
      <w:r w:rsidR="00244965" w:rsidRPr="00591394">
        <w:rPr>
          <w:sz w:val="26"/>
          <w:szCs w:val="26"/>
        </w:rPr>
        <w:t>March 2</w:t>
      </w:r>
      <w:r w:rsidR="002A3E75" w:rsidRPr="00591394">
        <w:rPr>
          <w:sz w:val="26"/>
          <w:szCs w:val="26"/>
        </w:rPr>
        <w:t>, 20</w:t>
      </w:r>
      <w:r w:rsidR="00244965" w:rsidRPr="00591394">
        <w:rPr>
          <w:sz w:val="26"/>
          <w:szCs w:val="26"/>
        </w:rPr>
        <w:t>21</w:t>
      </w:r>
      <w:r w:rsidR="00EF7FD4" w:rsidRPr="00591394">
        <w:rPr>
          <w:sz w:val="26"/>
          <w:szCs w:val="26"/>
        </w:rPr>
        <w:t xml:space="preserve">.  For the reasons </w:t>
      </w:r>
      <w:r w:rsidR="002A3E75" w:rsidRPr="00591394">
        <w:rPr>
          <w:sz w:val="26"/>
          <w:szCs w:val="26"/>
        </w:rPr>
        <w:t xml:space="preserve">fully delineated </w:t>
      </w:r>
      <w:r w:rsidR="00EF7FD4" w:rsidRPr="00591394">
        <w:rPr>
          <w:sz w:val="26"/>
          <w:szCs w:val="26"/>
        </w:rPr>
        <w:t>herein, we will</w:t>
      </w:r>
      <w:r w:rsidR="002A3E75" w:rsidRPr="00591394">
        <w:rPr>
          <w:sz w:val="26"/>
          <w:szCs w:val="26"/>
        </w:rPr>
        <w:t xml:space="preserve"> approve </w:t>
      </w:r>
      <w:r w:rsidR="00EF7FD4" w:rsidRPr="00591394">
        <w:rPr>
          <w:sz w:val="26"/>
          <w:szCs w:val="26"/>
        </w:rPr>
        <w:t>the Settlement</w:t>
      </w:r>
      <w:r w:rsidR="002A3E75" w:rsidRPr="00591394">
        <w:rPr>
          <w:sz w:val="26"/>
          <w:szCs w:val="26"/>
        </w:rPr>
        <w:t>, grant Duquesne’</w:t>
      </w:r>
      <w:r w:rsidR="00F37BE7" w:rsidRPr="00591394">
        <w:rPr>
          <w:sz w:val="26"/>
          <w:szCs w:val="26"/>
        </w:rPr>
        <w:t>s P</w:t>
      </w:r>
      <w:r w:rsidR="002A3E75" w:rsidRPr="00591394">
        <w:rPr>
          <w:sz w:val="26"/>
          <w:szCs w:val="26"/>
        </w:rPr>
        <w:t>etition and approve the Revised Plan</w:t>
      </w:r>
      <w:r w:rsidR="00EF7FD4" w:rsidRPr="00591394">
        <w:rPr>
          <w:sz w:val="26"/>
          <w:szCs w:val="26"/>
        </w:rPr>
        <w:t>.</w:t>
      </w:r>
    </w:p>
    <w:p w14:paraId="42B51640" w14:textId="77777777" w:rsidR="00300F58" w:rsidRPr="00591394" w:rsidRDefault="00300F58" w:rsidP="00C6113D">
      <w:pPr>
        <w:widowControl/>
        <w:spacing w:line="360" w:lineRule="auto"/>
        <w:rPr>
          <w:b/>
          <w:sz w:val="26"/>
          <w:szCs w:val="26"/>
        </w:rPr>
      </w:pPr>
    </w:p>
    <w:p w14:paraId="38237742" w14:textId="77777777" w:rsidR="00D51B28" w:rsidRPr="00591394" w:rsidRDefault="00300F58" w:rsidP="00C6113D">
      <w:pPr>
        <w:pStyle w:val="Heading1"/>
        <w:rPr>
          <w:szCs w:val="26"/>
        </w:rPr>
      </w:pPr>
      <w:bookmarkStart w:id="0" w:name="_Toc66354605"/>
      <w:r w:rsidRPr="00591394">
        <w:rPr>
          <w:szCs w:val="26"/>
        </w:rPr>
        <w:t>I.</w:t>
      </w:r>
      <w:r w:rsidRPr="00591394">
        <w:rPr>
          <w:szCs w:val="26"/>
        </w:rPr>
        <w:tab/>
        <w:t>Background</w:t>
      </w:r>
      <w:bookmarkEnd w:id="0"/>
    </w:p>
    <w:p w14:paraId="43A2E8EE" w14:textId="77777777" w:rsidR="00300F58" w:rsidRPr="00591394" w:rsidRDefault="00300F58" w:rsidP="00C6113D">
      <w:pPr>
        <w:widowControl/>
        <w:spacing w:line="360" w:lineRule="auto"/>
        <w:rPr>
          <w:sz w:val="26"/>
          <w:szCs w:val="26"/>
        </w:rPr>
      </w:pPr>
    </w:p>
    <w:p w14:paraId="5BCED703" w14:textId="77777777" w:rsidR="00B57FA7" w:rsidRPr="00591394" w:rsidRDefault="00B57FA7" w:rsidP="00C6113D">
      <w:pPr>
        <w:pStyle w:val="Heading2"/>
        <w:rPr>
          <w:szCs w:val="26"/>
        </w:rPr>
      </w:pPr>
      <w:bookmarkStart w:id="1" w:name="_Toc242516215"/>
      <w:bookmarkStart w:id="2" w:name="_Toc244499271"/>
      <w:bookmarkStart w:id="3" w:name="_Toc66354606"/>
      <w:r w:rsidRPr="00591394">
        <w:rPr>
          <w:szCs w:val="26"/>
        </w:rPr>
        <w:t>A.</w:t>
      </w:r>
      <w:r w:rsidRPr="00591394">
        <w:rPr>
          <w:szCs w:val="26"/>
        </w:rPr>
        <w:tab/>
        <w:t>Act 129</w:t>
      </w:r>
      <w:bookmarkEnd w:id="1"/>
      <w:bookmarkEnd w:id="2"/>
      <w:bookmarkEnd w:id="3"/>
    </w:p>
    <w:p w14:paraId="291B8527" w14:textId="77777777" w:rsidR="00B57FA7" w:rsidRPr="00591394" w:rsidRDefault="00B57FA7" w:rsidP="00C6113D">
      <w:pPr>
        <w:widowControl/>
        <w:spacing w:line="360" w:lineRule="auto"/>
        <w:rPr>
          <w:sz w:val="26"/>
          <w:szCs w:val="26"/>
        </w:rPr>
      </w:pPr>
    </w:p>
    <w:p w14:paraId="1FCFF4B3" w14:textId="3B267175" w:rsidR="00FE0552" w:rsidRPr="00591394" w:rsidRDefault="00FE0552" w:rsidP="00C6113D">
      <w:pPr>
        <w:widowControl/>
        <w:spacing w:line="360" w:lineRule="auto"/>
        <w:ind w:firstLine="1440"/>
        <w:rPr>
          <w:sz w:val="26"/>
          <w:szCs w:val="26"/>
        </w:rPr>
      </w:pPr>
      <w:r w:rsidRPr="00591394">
        <w:rPr>
          <w:sz w:val="26"/>
          <w:szCs w:val="26"/>
        </w:rPr>
        <w:t xml:space="preserve">On October 15, 2008, </w:t>
      </w:r>
      <w:r w:rsidR="0008517D" w:rsidRPr="00591394">
        <w:rPr>
          <w:sz w:val="26"/>
          <w:szCs w:val="26"/>
        </w:rPr>
        <w:t xml:space="preserve">Act 129 of 2008 (Act 129 or Act) </w:t>
      </w:r>
      <w:r w:rsidRPr="00591394">
        <w:rPr>
          <w:sz w:val="26"/>
          <w:szCs w:val="26"/>
        </w:rPr>
        <w:t xml:space="preserve">was signed into law with an effective date of November 14, 2008.  Among other requirements, Act 129 directed the Commission to adopt an Energy Efficiency and Conservation (EE&amp;C) Program, under which each of the Commonwealth’s largest electric distribution </w:t>
      </w:r>
      <w:r w:rsidRPr="00591394">
        <w:rPr>
          <w:sz w:val="26"/>
          <w:szCs w:val="26"/>
        </w:rPr>
        <w:lastRenderedPageBreak/>
        <w:t>companies (EDCs) w</w:t>
      </w:r>
      <w:r w:rsidR="00B2244D" w:rsidRPr="00591394">
        <w:rPr>
          <w:sz w:val="26"/>
          <w:szCs w:val="26"/>
        </w:rPr>
        <w:t>ere</w:t>
      </w:r>
      <w:r w:rsidRPr="00591394">
        <w:rPr>
          <w:sz w:val="26"/>
          <w:szCs w:val="26"/>
        </w:rPr>
        <w:t xml:space="preserve"> required to implement a cost-effective EE&amp;C plan to reduce energy consumption and demand.  Specifically, Act 129 required each EDC with at least 100,000 customers to adopt an EE&amp;C plan to reduce energy demand and consumption within its service territory.  Initially, Act 129 required each affected EDC to adopt an EE&amp;C plan to reduce electric consumption by at least </w:t>
      </w:r>
      <w:r w:rsidR="004D0364" w:rsidRPr="00591394">
        <w:rPr>
          <w:sz w:val="26"/>
          <w:szCs w:val="26"/>
        </w:rPr>
        <w:t>1%</w:t>
      </w:r>
      <w:r w:rsidRPr="00591394">
        <w:rPr>
          <w:sz w:val="26"/>
          <w:szCs w:val="26"/>
        </w:rPr>
        <w:t xml:space="preserve"> of its expected consumption for June 1, 2009 through May 31, 2010, by May 31, 2011.  By May 31, 2013, the total annual weather-normalized consumption was to be reduced by a minimum of </w:t>
      </w:r>
      <w:r w:rsidR="004D0364" w:rsidRPr="00591394">
        <w:rPr>
          <w:sz w:val="26"/>
          <w:szCs w:val="26"/>
        </w:rPr>
        <w:t>3%</w:t>
      </w:r>
      <w:r w:rsidRPr="00591394">
        <w:rPr>
          <w:sz w:val="26"/>
          <w:szCs w:val="26"/>
        </w:rPr>
        <w:t xml:space="preserve">.  Also, by May 31, 2013, peak demand was to be reduced by a minimum of </w:t>
      </w:r>
      <w:bookmarkStart w:id="4" w:name="_Hlk66440495"/>
      <w:r w:rsidR="0003269E" w:rsidRPr="00591394">
        <w:rPr>
          <w:sz w:val="26"/>
          <w:szCs w:val="26"/>
        </w:rPr>
        <w:t>4.5%</w:t>
      </w:r>
      <w:r w:rsidRPr="00591394">
        <w:rPr>
          <w:sz w:val="26"/>
          <w:szCs w:val="26"/>
        </w:rPr>
        <w:t xml:space="preserve"> </w:t>
      </w:r>
      <w:bookmarkEnd w:id="4"/>
      <w:r w:rsidRPr="00591394">
        <w:rPr>
          <w:sz w:val="26"/>
          <w:szCs w:val="26"/>
        </w:rPr>
        <w:t xml:space="preserve">of each EDC’s annual system peak demand in the 100 hours of highest demand, measured against the EDC’s peak demand during the period of June 1, 2007 through May 31, 2008.  </w:t>
      </w:r>
    </w:p>
    <w:p w14:paraId="07EB2E1A" w14:textId="77777777" w:rsidR="00FE0552" w:rsidRPr="00591394" w:rsidRDefault="00FE0552" w:rsidP="00C6113D">
      <w:pPr>
        <w:widowControl/>
        <w:spacing w:line="360" w:lineRule="auto"/>
        <w:ind w:firstLine="1440"/>
        <w:rPr>
          <w:sz w:val="26"/>
          <w:szCs w:val="26"/>
        </w:rPr>
      </w:pPr>
    </w:p>
    <w:p w14:paraId="64546253" w14:textId="0D0C4135" w:rsidR="00FE0552" w:rsidRPr="00591394" w:rsidRDefault="00FE0552" w:rsidP="00C6113D">
      <w:pPr>
        <w:widowControl/>
        <w:spacing w:line="360" w:lineRule="auto"/>
        <w:ind w:firstLine="1440"/>
        <w:rPr>
          <w:sz w:val="26"/>
          <w:szCs w:val="26"/>
        </w:rPr>
      </w:pPr>
      <w:r w:rsidRPr="00591394">
        <w:rPr>
          <w:sz w:val="26"/>
          <w:szCs w:val="26"/>
        </w:rPr>
        <w:t>On January 15, 2009, the Commission adopted an Implementation Order at Docket No. M-2008-2069887 (</w:t>
      </w:r>
      <w:r w:rsidRPr="00591394">
        <w:rPr>
          <w:i/>
          <w:sz w:val="26"/>
          <w:szCs w:val="26"/>
        </w:rPr>
        <w:t>Phase I Implementation Order</w:t>
      </w:r>
      <w:r w:rsidRPr="00591394">
        <w:rPr>
          <w:sz w:val="26"/>
          <w:szCs w:val="26"/>
        </w:rPr>
        <w:t>), which established the standards each plan must meet, and which provided guidance on the procedures to be followed for submittal, review</w:t>
      </w:r>
      <w:r w:rsidR="009945CD" w:rsidRPr="00591394">
        <w:rPr>
          <w:sz w:val="26"/>
          <w:szCs w:val="26"/>
        </w:rPr>
        <w:t>,</w:t>
      </w:r>
      <w:r w:rsidRPr="00591394">
        <w:rPr>
          <w:sz w:val="26"/>
          <w:szCs w:val="26"/>
        </w:rPr>
        <w:t xml:space="preserve"> and approval of all aspects of the EE&amp;C plans.  The Commission subsequently approved an EE&amp;C plan (and, in some cases, modifications to the plan) for each affected EDC.</w:t>
      </w:r>
    </w:p>
    <w:p w14:paraId="144D03EA" w14:textId="77777777" w:rsidR="00FE0552" w:rsidRPr="00591394" w:rsidRDefault="00FE0552" w:rsidP="00C6113D">
      <w:pPr>
        <w:widowControl/>
        <w:spacing w:line="360" w:lineRule="auto"/>
        <w:ind w:firstLine="1440"/>
        <w:rPr>
          <w:sz w:val="26"/>
          <w:szCs w:val="26"/>
        </w:rPr>
      </w:pPr>
    </w:p>
    <w:p w14:paraId="699BE1DA" w14:textId="77777777" w:rsidR="00A23BD6" w:rsidRPr="00591394" w:rsidRDefault="00FE0552" w:rsidP="00C6113D">
      <w:pPr>
        <w:widowControl/>
        <w:spacing w:line="360" w:lineRule="auto"/>
        <w:ind w:firstLine="1440"/>
        <w:rPr>
          <w:sz w:val="26"/>
          <w:szCs w:val="26"/>
        </w:rPr>
      </w:pPr>
      <w:r w:rsidRPr="00591394">
        <w:rPr>
          <w:sz w:val="26"/>
          <w:szCs w:val="26"/>
        </w:rPr>
        <w:t>Another requirement of Act 129 directed the Commission to evaluate the costs and benefits of the Commission’s EE&amp;C Program and of the EDCs’ approved EE&amp;C plans by November 30, 2013, and every five years thereafter.  The Act provided that the Commission must adopt additional incremental reductions in consumption and peak demand if it determines that the benefits of the EE&amp;C Program exceed its costs.</w:t>
      </w:r>
    </w:p>
    <w:p w14:paraId="1C344ABB" w14:textId="77777777" w:rsidR="00A23BD6" w:rsidRPr="00591394" w:rsidRDefault="00A23BD6" w:rsidP="00C6113D">
      <w:pPr>
        <w:widowControl/>
        <w:spacing w:line="360" w:lineRule="auto"/>
        <w:ind w:firstLine="1440"/>
        <w:rPr>
          <w:sz w:val="26"/>
          <w:szCs w:val="26"/>
        </w:rPr>
      </w:pPr>
    </w:p>
    <w:p w14:paraId="1D2395F1" w14:textId="55D9512E" w:rsidR="00A23BD6" w:rsidRPr="00591394" w:rsidRDefault="00C74927" w:rsidP="00C6113D">
      <w:pPr>
        <w:widowControl/>
        <w:spacing w:line="360" w:lineRule="auto"/>
        <w:ind w:firstLine="1440"/>
        <w:rPr>
          <w:sz w:val="26"/>
          <w:szCs w:val="26"/>
        </w:rPr>
      </w:pPr>
      <w:r w:rsidRPr="00591394">
        <w:rPr>
          <w:sz w:val="26"/>
          <w:szCs w:val="26"/>
        </w:rPr>
        <w:t xml:space="preserve">The Commission subsequently </w:t>
      </w:r>
      <w:r w:rsidR="00FE0552" w:rsidRPr="00591394">
        <w:rPr>
          <w:sz w:val="26"/>
          <w:szCs w:val="26"/>
        </w:rPr>
        <w:t xml:space="preserve">issued </w:t>
      </w:r>
      <w:r w:rsidR="004F2C8B" w:rsidRPr="00591394">
        <w:rPr>
          <w:sz w:val="26"/>
          <w:szCs w:val="26"/>
        </w:rPr>
        <w:t>an Implementation Order at Docket Nos. M-2012-2289411 and M-2008-2069887 (</w:t>
      </w:r>
      <w:r w:rsidR="00FE0552" w:rsidRPr="00591394">
        <w:rPr>
          <w:i/>
          <w:sz w:val="26"/>
          <w:szCs w:val="26"/>
        </w:rPr>
        <w:t>Phase II Implementation Order</w:t>
      </w:r>
      <w:r w:rsidR="004F2C8B" w:rsidRPr="00591394">
        <w:rPr>
          <w:sz w:val="26"/>
          <w:szCs w:val="26"/>
        </w:rPr>
        <w:t>)</w:t>
      </w:r>
      <w:r w:rsidR="00FE0552" w:rsidRPr="00591394">
        <w:rPr>
          <w:sz w:val="26"/>
          <w:szCs w:val="26"/>
        </w:rPr>
        <w:t>, which established required standards for Phase II EDC EE&amp;C plans (including the additional incremental reductions in consumption that each EDC must meet</w:t>
      </w:r>
      <w:r w:rsidR="00443F38" w:rsidRPr="00591394">
        <w:rPr>
          <w:sz w:val="26"/>
          <w:szCs w:val="26"/>
        </w:rPr>
        <w:t>) and</w:t>
      </w:r>
      <w:r w:rsidR="00FE0552" w:rsidRPr="00591394">
        <w:rPr>
          <w:sz w:val="26"/>
          <w:szCs w:val="26"/>
        </w:rPr>
        <w:t xml:space="preserve"> provided guidance on the procedures to be followed for submittal, review</w:t>
      </w:r>
      <w:r w:rsidR="009945CD" w:rsidRPr="00591394">
        <w:rPr>
          <w:sz w:val="26"/>
          <w:szCs w:val="26"/>
        </w:rPr>
        <w:t>,</w:t>
      </w:r>
      <w:r w:rsidR="00FE0552" w:rsidRPr="00591394">
        <w:rPr>
          <w:sz w:val="26"/>
          <w:szCs w:val="26"/>
        </w:rPr>
        <w:t xml:space="preserve"> and approval of all aspects of the </w:t>
      </w:r>
      <w:r w:rsidR="00FE0552" w:rsidRPr="00591394">
        <w:rPr>
          <w:sz w:val="26"/>
          <w:szCs w:val="26"/>
        </w:rPr>
        <w:lastRenderedPageBreak/>
        <w:t xml:space="preserve">EDCs’ </w:t>
      </w:r>
      <w:r w:rsidR="00A23BD6" w:rsidRPr="00591394">
        <w:rPr>
          <w:sz w:val="26"/>
          <w:szCs w:val="26"/>
        </w:rPr>
        <w:t xml:space="preserve">Phase II </w:t>
      </w:r>
      <w:r w:rsidR="00FE0552" w:rsidRPr="00591394">
        <w:rPr>
          <w:sz w:val="26"/>
          <w:szCs w:val="26"/>
        </w:rPr>
        <w:t xml:space="preserve">EE&amp;C plans.  Within the </w:t>
      </w:r>
      <w:r w:rsidR="00FE0552" w:rsidRPr="00591394">
        <w:rPr>
          <w:i/>
          <w:sz w:val="26"/>
          <w:szCs w:val="26"/>
        </w:rPr>
        <w:t>Phase II Implementation Order</w:t>
      </w:r>
      <w:r w:rsidR="00FE0552" w:rsidRPr="00591394">
        <w:rPr>
          <w:sz w:val="26"/>
          <w:szCs w:val="26"/>
        </w:rPr>
        <w:t>, the Commission tentatively adopted EDC-specific consumption reduction targets.</w:t>
      </w:r>
      <w:r w:rsidR="00A23BD6" w:rsidRPr="00591394">
        <w:rPr>
          <w:sz w:val="26"/>
          <w:szCs w:val="26"/>
        </w:rPr>
        <w:t xml:space="preserve">  The Commission subsequently approved a Phase II EE&amp;C Plan (and, in some cases, modifications to the plan) for each affected EDC.</w:t>
      </w:r>
    </w:p>
    <w:p w14:paraId="793C0641" w14:textId="77777777" w:rsidR="00FE0552" w:rsidRPr="00591394" w:rsidRDefault="00FE0552" w:rsidP="00C6113D">
      <w:pPr>
        <w:widowControl/>
        <w:spacing w:line="360" w:lineRule="auto"/>
        <w:ind w:firstLine="1440"/>
        <w:rPr>
          <w:sz w:val="26"/>
          <w:szCs w:val="26"/>
        </w:rPr>
      </w:pPr>
    </w:p>
    <w:p w14:paraId="0EC8E54D" w14:textId="0C5FE4CD" w:rsidR="00FE0552" w:rsidRPr="00591394" w:rsidRDefault="008177CE" w:rsidP="00C6113D">
      <w:pPr>
        <w:widowControl/>
        <w:spacing w:line="360" w:lineRule="auto"/>
        <w:ind w:firstLine="1440"/>
        <w:rPr>
          <w:sz w:val="26"/>
          <w:szCs w:val="26"/>
        </w:rPr>
      </w:pPr>
      <w:r w:rsidRPr="00591394">
        <w:rPr>
          <w:sz w:val="26"/>
          <w:szCs w:val="26"/>
        </w:rPr>
        <w:t>On March 11, 2015, the Commission issued a Tentative Implementation Order (</w:t>
      </w:r>
      <w:r w:rsidRPr="00591394">
        <w:rPr>
          <w:i/>
          <w:sz w:val="26"/>
          <w:szCs w:val="26"/>
        </w:rPr>
        <w:t>Phase III Tentative Implementation Order</w:t>
      </w:r>
      <w:r w:rsidRPr="00591394">
        <w:rPr>
          <w:sz w:val="26"/>
          <w:szCs w:val="26"/>
        </w:rPr>
        <w:t>) at Docket No. M-2014-2424864 for Phase III of the EE&amp;C Program.  Following the submittal and review of comments, on June 19, 2015, the Commission issued an Implementation Order at that same docket number (</w:t>
      </w:r>
      <w:r w:rsidRPr="00591394">
        <w:rPr>
          <w:i/>
          <w:sz w:val="26"/>
          <w:szCs w:val="26"/>
        </w:rPr>
        <w:t>Phase III Implementation Order</w:t>
      </w:r>
      <w:r w:rsidRPr="00591394">
        <w:rPr>
          <w:sz w:val="26"/>
          <w:szCs w:val="26"/>
        </w:rPr>
        <w:t>).</w:t>
      </w:r>
      <w:r w:rsidR="006F1352" w:rsidRPr="00591394">
        <w:rPr>
          <w:sz w:val="26"/>
          <w:szCs w:val="26"/>
        </w:rPr>
        <w:t xml:space="preserve">  Among other things, </w:t>
      </w:r>
      <w:r w:rsidR="0008517D" w:rsidRPr="00591394">
        <w:rPr>
          <w:sz w:val="26"/>
          <w:szCs w:val="26"/>
        </w:rPr>
        <w:t xml:space="preserve">the </w:t>
      </w:r>
      <w:r w:rsidR="0008517D" w:rsidRPr="00591394">
        <w:rPr>
          <w:i/>
          <w:sz w:val="26"/>
          <w:szCs w:val="26"/>
        </w:rPr>
        <w:t>Phase III Implementation Order</w:t>
      </w:r>
      <w:r w:rsidR="0008517D" w:rsidRPr="00591394">
        <w:rPr>
          <w:sz w:val="26"/>
          <w:szCs w:val="26"/>
        </w:rPr>
        <w:t xml:space="preserve"> </w:t>
      </w:r>
      <w:r w:rsidR="006A76E2" w:rsidRPr="00591394">
        <w:rPr>
          <w:sz w:val="26"/>
          <w:szCs w:val="26"/>
        </w:rPr>
        <w:t>established standards each plan must meet and provided guidance on the procedures to be followed for submittal, review</w:t>
      </w:r>
      <w:r w:rsidR="009945CD" w:rsidRPr="00591394">
        <w:rPr>
          <w:sz w:val="26"/>
          <w:szCs w:val="26"/>
        </w:rPr>
        <w:t>,</w:t>
      </w:r>
      <w:r w:rsidR="006A76E2" w:rsidRPr="00591394">
        <w:rPr>
          <w:sz w:val="26"/>
          <w:szCs w:val="26"/>
        </w:rPr>
        <w:t xml:space="preserve"> and approval of all aspects of EDC EE&amp;C plans for the period from June 1, 2016 through May 31, 2021.</w:t>
      </w:r>
    </w:p>
    <w:p w14:paraId="4C116DD9" w14:textId="77777777" w:rsidR="006A76E2" w:rsidRPr="00591394" w:rsidRDefault="006A76E2" w:rsidP="00C6113D">
      <w:pPr>
        <w:widowControl/>
        <w:spacing w:line="360" w:lineRule="auto"/>
        <w:ind w:firstLine="1440"/>
        <w:rPr>
          <w:sz w:val="26"/>
          <w:szCs w:val="26"/>
        </w:rPr>
      </w:pPr>
    </w:p>
    <w:p w14:paraId="31B1E635" w14:textId="7DAFFDA7" w:rsidR="00246177" w:rsidRPr="00591394" w:rsidRDefault="00F760FB" w:rsidP="00C6113D">
      <w:pPr>
        <w:pStyle w:val="p3"/>
        <w:widowControl/>
        <w:tabs>
          <w:tab w:val="clear" w:pos="204"/>
          <w:tab w:val="left" w:pos="720"/>
        </w:tabs>
        <w:spacing w:line="360" w:lineRule="auto"/>
        <w:ind w:firstLine="1440"/>
        <w:rPr>
          <w:sz w:val="26"/>
          <w:szCs w:val="26"/>
        </w:rPr>
      </w:pPr>
      <w:r w:rsidRPr="00591394">
        <w:rPr>
          <w:sz w:val="26"/>
          <w:szCs w:val="26"/>
        </w:rPr>
        <w:t xml:space="preserve">On </w:t>
      </w:r>
      <w:r w:rsidR="00346E90" w:rsidRPr="00591394">
        <w:rPr>
          <w:sz w:val="26"/>
          <w:szCs w:val="26"/>
        </w:rPr>
        <w:t>March 12, 2020,</w:t>
      </w:r>
      <w:r w:rsidRPr="00591394">
        <w:rPr>
          <w:sz w:val="26"/>
          <w:szCs w:val="26"/>
        </w:rPr>
        <w:t xml:space="preserve"> the Commission adopted a Phase IV Tentative Implementation Order </w:t>
      </w:r>
      <w:r w:rsidR="00521C6A" w:rsidRPr="00591394">
        <w:rPr>
          <w:sz w:val="26"/>
          <w:szCs w:val="26"/>
        </w:rPr>
        <w:t>at Docket No. M-2020-3015228 (entered March 12, 2020) (</w:t>
      </w:r>
      <w:r w:rsidR="00FA75DE" w:rsidRPr="00591394">
        <w:rPr>
          <w:i/>
          <w:iCs/>
          <w:sz w:val="26"/>
          <w:szCs w:val="26"/>
        </w:rPr>
        <w:t>Phase</w:t>
      </w:r>
      <w:r w:rsidR="0043419B">
        <w:rPr>
          <w:i/>
          <w:iCs/>
          <w:sz w:val="26"/>
          <w:szCs w:val="26"/>
        </w:rPr>
        <w:t> </w:t>
      </w:r>
      <w:r w:rsidR="00FA75DE" w:rsidRPr="00591394">
        <w:rPr>
          <w:i/>
          <w:iCs/>
          <w:sz w:val="26"/>
          <w:szCs w:val="26"/>
        </w:rPr>
        <w:t xml:space="preserve">IV </w:t>
      </w:r>
      <w:r w:rsidR="00F60894" w:rsidRPr="00591394">
        <w:rPr>
          <w:i/>
          <w:iCs/>
          <w:sz w:val="26"/>
          <w:szCs w:val="26"/>
        </w:rPr>
        <w:t>Tentative Implementation Order</w:t>
      </w:r>
      <w:r w:rsidR="00F60894" w:rsidRPr="00591394">
        <w:rPr>
          <w:sz w:val="26"/>
          <w:szCs w:val="26"/>
        </w:rPr>
        <w:t xml:space="preserve">).  Comments in response to the </w:t>
      </w:r>
      <w:r w:rsidR="00F60894" w:rsidRPr="00591394">
        <w:rPr>
          <w:i/>
          <w:iCs/>
          <w:sz w:val="26"/>
          <w:szCs w:val="26"/>
        </w:rPr>
        <w:t>Phase IV Tentative Implementation Order</w:t>
      </w:r>
      <w:r w:rsidR="00F60894" w:rsidRPr="00591394">
        <w:rPr>
          <w:sz w:val="26"/>
          <w:szCs w:val="26"/>
        </w:rPr>
        <w:t xml:space="preserve"> were due April 27, 2020.  </w:t>
      </w:r>
      <w:r w:rsidR="00D40FEF" w:rsidRPr="00591394">
        <w:rPr>
          <w:sz w:val="26"/>
          <w:szCs w:val="26"/>
        </w:rPr>
        <w:t xml:space="preserve">Reply comments were due May 12, 2020.  </w:t>
      </w:r>
    </w:p>
    <w:p w14:paraId="75CB1D1C" w14:textId="77777777" w:rsidR="00D03BFB" w:rsidRPr="00591394" w:rsidRDefault="00D03BFB" w:rsidP="00C6113D">
      <w:pPr>
        <w:pStyle w:val="p3"/>
        <w:widowControl/>
        <w:tabs>
          <w:tab w:val="clear" w:pos="204"/>
          <w:tab w:val="left" w:pos="720"/>
        </w:tabs>
        <w:spacing w:line="360" w:lineRule="auto"/>
        <w:ind w:firstLine="1440"/>
        <w:rPr>
          <w:sz w:val="26"/>
          <w:szCs w:val="26"/>
        </w:rPr>
      </w:pPr>
    </w:p>
    <w:p w14:paraId="50C9A8AF" w14:textId="6322774D" w:rsidR="001F3E16" w:rsidRPr="00591394" w:rsidRDefault="001F3E16" w:rsidP="00C6113D">
      <w:pPr>
        <w:widowControl/>
        <w:spacing w:line="360" w:lineRule="auto"/>
        <w:ind w:firstLine="1440"/>
        <w:rPr>
          <w:sz w:val="26"/>
          <w:szCs w:val="26"/>
        </w:rPr>
      </w:pPr>
      <w:r w:rsidRPr="00591394">
        <w:rPr>
          <w:sz w:val="26"/>
          <w:szCs w:val="26"/>
        </w:rPr>
        <w:t>On June 18, 2020, the Commission issued an Implementation Order at Docket No. M-2020-</w:t>
      </w:r>
      <w:r w:rsidR="00004263" w:rsidRPr="00591394">
        <w:rPr>
          <w:sz w:val="26"/>
          <w:szCs w:val="26"/>
        </w:rPr>
        <w:t>3015228</w:t>
      </w:r>
      <w:r w:rsidRPr="00591394">
        <w:rPr>
          <w:sz w:val="26"/>
          <w:szCs w:val="26"/>
        </w:rPr>
        <w:t xml:space="preserve"> (</w:t>
      </w:r>
      <w:r w:rsidRPr="00591394">
        <w:rPr>
          <w:i/>
          <w:sz w:val="26"/>
          <w:szCs w:val="26"/>
        </w:rPr>
        <w:t xml:space="preserve">Phase </w:t>
      </w:r>
      <w:r w:rsidR="00004263" w:rsidRPr="00591394">
        <w:rPr>
          <w:i/>
          <w:sz w:val="26"/>
          <w:szCs w:val="26"/>
        </w:rPr>
        <w:t>IV</w:t>
      </w:r>
      <w:r w:rsidRPr="00591394">
        <w:rPr>
          <w:i/>
          <w:sz w:val="26"/>
          <w:szCs w:val="26"/>
        </w:rPr>
        <w:t xml:space="preserve"> Implementation Order</w:t>
      </w:r>
      <w:r w:rsidRPr="00591394">
        <w:rPr>
          <w:sz w:val="26"/>
          <w:szCs w:val="26"/>
        </w:rPr>
        <w:t>), which</w:t>
      </w:r>
      <w:r w:rsidR="00CE14B0" w:rsidRPr="00591394">
        <w:rPr>
          <w:sz w:val="26"/>
          <w:szCs w:val="26"/>
        </w:rPr>
        <w:t>, among other things,</w:t>
      </w:r>
      <w:r w:rsidRPr="00591394">
        <w:rPr>
          <w:sz w:val="26"/>
          <w:szCs w:val="26"/>
        </w:rPr>
        <w:t xml:space="preserve"> established required standards for Phase I</w:t>
      </w:r>
      <w:r w:rsidR="00004263" w:rsidRPr="00591394">
        <w:rPr>
          <w:sz w:val="26"/>
          <w:szCs w:val="26"/>
        </w:rPr>
        <w:t>V</w:t>
      </w:r>
      <w:r w:rsidRPr="00591394">
        <w:rPr>
          <w:sz w:val="26"/>
          <w:szCs w:val="26"/>
        </w:rPr>
        <w:t xml:space="preserve"> EDC EE&amp;C plans (including the additional incremental reductions in consumption that each EDC must meet</w:t>
      </w:r>
      <w:r w:rsidR="00C949C7" w:rsidRPr="00591394">
        <w:rPr>
          <w:sz w:val="26"/>
          <w:szCs w:val="26"/>
        </w:rPr>
        <w:t>) and</w:t>
      </w:r>
      <w:r w:rsidRPr="00591394">
        <w:rPr>
          <w:sz w:val="26"/>
          <w:szCs w:val="26"/>
        </w:rPr>
        <w:t xml:space="preserve"> provided guidance on the procedures to be followed for submittal, </w:t>
      </w:r>
      <w:r w:rsidR="009D4269" w:rsidRPr="00591394">
        <w:rPr>
          <w:sz w:val="26"/>
          <w:szCs w:val="26"/>
        </w:rPr>
        <w:t>review,</w:t>
      </w:r>
      <w:r w:rsidRPr="00591394">
        <w:rPr>
          <w:sz w:val="26"/>
          <w:szCs w:val="26"/>
        </w:rPr>
        <w:t xml:space="preserve"> and approval of all aspects of the EDCs’ Phase I</w:t>
      </w:r>
      <w:r w:rsidR="00004263" w:rsidRPr="00591394">
        <w:rPr>
          <w:sz w:val="26"/>
          <w:szCs w:val="26"/>
        </w:rPr>
        <w:t>V</w:t>
      </w:r>
      <w:r w:rsidRPr="00591394">
        <w:rPr>
          <w:sz w:val="26"/>
          <w:szCs w:val="26"/>
        </w:rPr>
        <w:t xml:space="preserve"> EE&amp;C plans.  </w:t>
      </w:r>
      <w:r w:rsidR="008F0EAE" w:rsidRPr="00591394">
        <w:rPr>
          <w:sz w:val="26"/>
          <w:szCs w:val="26"/>
        </w:rPr>
        <w:t>In addition</w:t>
      </w:r>
      <w:r w:rsidR="00D76CB9" w:rsidRPr="00591394">
        <w:rPr>
          <w:sz w:val="26"/>
          <w:szCs w:val="26"/>
        </w:rPr>
        <w:t>,</w:t>
      </w:r>
      <w:r w:rsidR="008F0EAE" w:rsidRPr="00591394">
        <w:rPr>
          <w:sz w:val="26"/>
          <w:szCs w:val="26"/>
        </w:rPr>
        <w:t xml:space="preserve"> the </w:t>
      </w:r>
      <w:r w:rsidR="009C33F7" w:rsidRPr="00591394">
        <w:rPr>
          <w:i/>
          <w:sz w:val="26"/>
          <w:szCs w:val="26"/>
        </w:rPr>
        <w:t>Phase IV</w:t>
      </w:r>
      <w:r w:rsidR="008F0EAE" w:rsidRPr="00591394">
        <w:rPr>
          <w:i/>
          <w:iCs/>
          <w:sz w:val="26"/>
          <w:szCs w:val="26"/>
        </w:rPr>
        <w:t xml:space="preserve"> Implementation Order</w:t>
      </w:r>
      <w:r w:rsidR="008F0EAE" w:rsidRPr="00591394">
        <w:rPr>
          <w:sz w:val="26"/>
          <w:szCs w:val="26"/>
        </w:rPr>
        <w:t xml:space="preserve"> established targets for consumption reduction, peak demand reduction and low-income consumption reduction for each company.  </w:t>
      </w:r>
    </w:p>
    <w:p w14:paraId="4334BA39" w14:textId="77777777" w:rsidR="00B57FA7" w:rsidRPr="00591394" w:rsidRDefault="00B57FA7" w:rsidP="00C6113D">
      <w:pPr>
        <w:pStyle w:val="Heading2"/>
        <w:keepNext/>
        <w:rPr>
          <w:szCs w:val="26"/>
        </w:rPr>
      </w:pPr>
      <w:bookmarkStart w:id="5" w:name="_Toc242516216"/>
      <w:bookmarkStart w:id="6" w:name="_Toc244499272"/>
      <w:bookmarkStart w:id="7" w:name="_Toc66354607"/>
      <w:r w:rsidRPr="00591394">
        <w:rPr>
          <w:szCs w:val="26"/>
        </w:rPr>
        <w:lastRenderedPageBreak/>
        <w:t>B.</w:t>
      </w:r>
      <w:r w:rsidRPr="00591394">
        <w:rPr>
          <w:szCs w:val="26"/>
        </w:rPr>
        <w:tab/>
        <w:t>The Compan</w:t>
      </w:r>
      <w:r w:rsidR="00AA7B67" w:rsidRPr="00591394">
        <w:rPr>
          <w:szCs w:val="26"/>
        </w:rPr>
        <w:t>y</w:t>
      </w:r>
      <w:bookmarkEnd w:id="5"/>
      <w:bookmarkEnd w:id="6"/>
      <w:bookmarkEnd w:id="7"/>
    </w:p>
    <w:p w14:paraId="58D904A2" w14:textId="77777777" w:rsidR="00812B08" w:rsidRPr="00591394" w:rsidRDefault="00812B08" w:rsidP="00C6113D">
      <w:pPr>
        <w:keepNext/>
        <w:widowControl/>
        <w:spacing w:line="360" w:lineRule="auto"/>
        <w:rPr>
          <w:sz w:val="26"/>
          <w:szCs w:val="26"/>
        </w:rPr>
      </w:pPr>
    </w:p>
    <w:p w14:paraId="18939238" w14:textId="12A168A4" w:rsidR="00300F58" w:rsidRPr="00591394" w:rsidRDefault="00812B08" w:rsidP="00C6113D">
      <w:pPr>
        <w:widowControl/>
        <w:spacing w:line="360" w:lineRule="auto"/>
        <w:ind w:firstLine="1440"/>
        <w:rPr>
          <w:sz w:val="26"/>
          <w:szCs w:val="26"/>
        </w:rPr>
      </w:pPr>
      <w:r w:rsidRPr="00591394">
        <w:rPr>
          <w:bCs/>
          <w:sz w:val="26"/>
          <w:szCs w:val="26"/>
        </w:rPr>
        <w:t>Duquesne is a public utility as the term is defined under Section 102 of the Public Utility Code</w:t>
      </w:r>
      <w:r w:rsidR="0008517D" w:rsidRPr="00591394">
        <w:rPr>
          <w:bCs/>
          <w:sz w:val="26"/>
          <w:szCs w:val="26"/>
        </w:rPr>
        <w:t xml:space="preserve"> (Code)</w:t>
      </w:r>
      <w:r w:rsidRPr="00591394">
        <w:rPr>
          <w:bCs/>
          <w:sz w:val="26"/>
          <w:szCs w:val="26"/>
        </w:rPr>
        <w:t>, 66 Pa. C.S. § 102, certificated by the Commission to provide electric service in the City of Pittsburgh and in Allegheny and Beaver Counties in Pennsylvania.  Duquesne is also an EDC and a default service provider as those terms are defined under Section 2803 of the Code.  66 Pa. C.S. § 2803.</w:t>
      </w:r>
      <w:r w:rsidR="00B447CC" w:rsidRPr="00591394">
        <w:rPr>
          <w:bCs/>
          <w:sz w:val="26"/>
          <w:szCs w:val="26"/>
        </w:rPr>
        <w:t xml:space="preserve">  Duquesne provides electric distribution service to approximately </w:t>
      </w:r>
      <w:r w:rsidR="00C639B0" w:rsidRPr="00591394">
        <w:rPr>
          <w:bCs/>
          <w:sz w:val="26"/>
          <w:szCs w:val="26"/>
        </w:rPr>
        <w:t>600,000</w:t>
      </w:r>
      <w:r w:rsidR="00B447CC" w:rsidRPr="00591394">
        <w:rPr>
          <w:bCs/>
          <w:sz w:val="26"/>
          <w:szCs w:val="26"/>
        </w:rPr>
        <w:t xml:space="preserve"> customers in its service territory.</w:t>
      </w:r>
    </w:p>
    <w:p w14:paraId="705D403D" w14:textId="77777777" w:rsidR="00300F58" w:rsidRPr="00591394" w:rsidRDefault="00300F58" w:rsidP="00C6113D">
      <w:pPr>
        <w:widowControl/>
        <w:spacing w:line="360" w:lineRule="auto"/>
        <w:rPr>
          <w:sz w:val="26"/>
          <w:szCs w:val="26"/>
        </w:rPr>
      </w:pPr>
    </w:p>
    <w:p w14:paraId="44765274" w14:textId="5FBD68F2" w:rsidR="00300F58" w:rsidRPr="00591394" w:rsidRDefault="00300F58" w:rsidP="00C6113D">
      <w:pPr>
        <w:pStyle w:val="Heading1"/>
        <w:rPr>
          <w:szCs w:val="26"/>
        </w:rPr>
      </w:pPr>
      <w:bookmarkStart w:id="8" w:name="_Toc66354608"/>
      <w:r w:rsidRPr="00591394">
        <w:rPr>
          <w:szCs w:val="26"/>
        </w:rPr>
        <w:t>II.</w:t>
      </w:r>
      <w:r w:rsidRPr="00591394">
        <w:rPr>
          <w:szCs w:val="26"/>
        </w:rPr>
        <w:tab/>
        <w:t>Procedural History</w:t>
      </w:r>
      <w:bookmarkEnd w:id="8"/>
    </w:p>
    <w:p w14:paraId="00700108" w14:textId="63E43FB5" w:rsidR="00DE51B7" w:rsidRPr="00591394" w:rsidRDefault="00DE51B7" w:rsidP="00C6113D">
      <w:pPr>
        <w:widowControl/>
        <w:spacing w:line="360" w:lineRule="auto"/>
        <w:rPr>
          <w:sz w:val="26"/>
          <w:szCs w:val="26"/>
        </w:rPr>
      </w:pPr>
    </w:p>
    <w:p w14:paraId="5820E504" w14:textId="2C15FCAA" w:rsidR="00DE51B7" w:rsidRPr="00591394" w:rsidRDefault="00DE51B7" w:rsidP="00C6113D">
      <w:pPr>
        <w:widowControl/>
        <w:spacing w:line="360" w:lineRule="auto"/>
        <w:ind w:firstLine="1440"/>
        <w:rPr>
          <w:bCs/>
          <w:spacing w:val="-3"/>
          <w:sz w:val="26"/>
          <w:szCs w:val="26"/>
          <w:highlight w:val="yellow"/>
        </w:rPr>
      </w:pPr>
      <w:r w:rsidRPr="00591394">
        <w:rPr>
          <w:bCs/>
          <w:spacing w:val="-3"/>
          <w:sz w:val="26"/>
          <w:szCs w:val="26"/>
        </w:rPr>
        <w:t xml:space="preserve">On June 18, 2020, the Commission entered </w:t>
      </w:r>
      <w:r w:rsidR="001D5904" w:rsidRPr="00591394">
        <w:rPr>
          <w:bCs/>
          <w:spacing w:val="-3"/>
          <w:sz w:val="26"/>
          <w:szCs w:val="26"/>
        </w:rPr>
        <w:t xml:space="preserve">the </w:t>
      </w:r>
      <w:r w:rsidR="001D5904" w:rsidRPr="00591394">
        <w:rPr>
          <w:bCs/>
          <w:i/>
          <w:iCs/>
          <w:spacing w:val="-3"/>
          <w:sz w:val="26"/>
          <w:szCs w:val="26"/>
        </w:rPr>
        <w:t>Phase IV Implementation</w:t>
      </w:r>
      <w:r w:rsidR="001D5904" w:rsidRPr="00591394">
        <w:rPr>
          <w:bCs/>
          <w:spacing w:val="-3"/>
          <w:sz w:val="26"/>
          <w:szCs w:val="26"/>
        </w:rPr>
        <w:t xml:space="preserve"> </w:t>
      </w:r>
      <w:r w:rsidR="001D5904" w:rsidRPr="00591394">
        <w:rPr>
          <w:bCs/>
          <w:i/>
          <w:iCs/>
          <w:spacing w:val="-3"/>
          <w:sz w:val="26"/>
          <w:szCs w:val="26"/>
        </w:rPr>
        <w:t>Order</w:t>
      </w:r>
      <w:r w:rsidRPr="00591394">
        <w:rPr>
          <w:bCs/>
          <w:spacing w:val="-3"/>
          <w:sz w:val="26"/>
          <w:szCs w:val="26"/>
        </w:rPr>
        <w:t xml:space="preserve"> with respect to the </w:t>
      </w:r>
      <w:r w:rsidRPr="00591394">
        <w:rPr>
          <w:bCs/>
          <w:iCs/>
          <w:spacing w:val="-3"/>
          <w:sz w:val="26"/>
          <w:szCs w:val="26"/>
        </w:rPr>
        <w:t>Energy Efficiency and Conservation Program</w:t>
      </w:r>
      <w:r w:rsidRPr="00591394">
        <w:rPr>
          <w:bCs/>
          <w:spacing w:val="-3"/>
          <w:sz w:val="26"/>
          <w:szCs w:val="26"/>
        </w:rPr>
        <w:t xml:space="preserve"> at Docket No. M</w:t>
      </w:r>
      <w:r w:rsidR="0043419B">
        <w:rPr>
          <w:bCs/>
          <w:spacing w:val="-3"/>
          <w:sz w:val="26"/>
          <w:szCs w:val="26"/>
        </w:rPr>
        <w:noBreakHyphen/>
      </w:r>
      <w:r w:rsidRPr="00591394">
        <w:rPr>
          <w:bCs/>
          <w:spacing w:val="-3"/>
          <w:sz w:val="26"/>
          <w:szCs w:val="26"/>
        </w:rPr>
        <w:t xml:space="preserve">2020-3015228.  In the </w:t>
      </w:r>
      <w:r w:rsidR="002F4950" w:rsidRPr="00591394">
        <w:rPr>
          <w:bCs/>
          <w:i/>
          <w:iCs/>
          <w:spacing w:val="-3"/>
          <w:sz w:val="26"/>
          <w:szCs w:val="26"/>
        </w:rPr>
        <w:t xml:space="preserve">Phase IV </w:t>
      </w:r>
      <w:r w:rsidRPr="00591394">
        <w:rPr>
          <w:bCs/>
          <w:i/>
          <w:iCs/>
          <w:spacing w:val="-3"/>
          <w:sz w:val="26"/>
          <w:szCs w:val="26"/>
        </w:rPr>
        <w:t>Implementation Order</w:t>
      </w:r>
      <w:r w:rsidRPr="00591394">
        <w:rPr>
          <w:bCs/>
          <w:spacing w:val="-3"/>
          <w:sz w:val="26"/>
          <w:szCs w:val="26"/>
        </w:rPr>
        <w:t xml:space="preserve">, the Commission adopted a timeline for Phase IV of the Program which called for, </w:t>
      </w:r>
      <w:r w:rsidRPr="00591394">
        <w:rPr>
          <w:bCs/>
          <w:i/>
          <w:iCs/>
          <w:spacing w:val="-3"/>
          <w:sz w:val="26"/>
          <w:szCs w:val="26"/>
        </w:rPr>
        <w:t>inter alia</w:t>
      </w:r>
      <w:r w:rsidRPr="00591394">
        <w:rPr>
          <w:bCs/>
          <w:spacing w:val="-3"/>
          <w:sz w:val="26"/>
          <w:szCs w:val="26"/>
        </w:rPr>
        <w:t>, EDCs to file EE&amp;C Phase IV Plans by November 30, 2020, and a Commission ruling on the EE&amp;C Plans in March</w:t>
      </w:r>
      <w:r w:rsidR="0043419B">
        <w:rPr>
          <w:bCs/>
          <w:spacing w:val="-3"/>
          <w:sz w:val="26"/>
          <w:szCs w:val="26"/>
        </w:rPr>
        <w:t> </w:t>
      </w:r>
      <w:r w:rsidRPr="00591394">
        <w:rPr>
          <w:bCs/>
          <w:spacing w:val="-3"/>
          <w:sz w:val="26"/>
          <w:szCs w:val="26"/>
        </w:rPr>
        <w:t>2021.</w:t>
      </w:r>
    </w:p>
    <w:p w14:paraId="00FEB647" w14:textId="77777777" w:rsidR="00DE51B7" w:rsidRPr="00591394" w:rsidRDefault="00DE51B7" w:rsidP="00C6113D">
      <w:pPr>
        <w:widowControl/>
        <w:spacing w:line="360" w:lineRule="auto"/>
        <w:ind w:firstLine="1440"/>
        <w:rPr>
          <w:bCs/>
          <w:spacing w:val="-3"/>
          <w:sz w:val="26"/>
          <w:szCs w:val="26"/>
        </w:rPr>
      </w:pPr>
    </w:p>
    <w:p w14:paraId="46A383E1" w14:textId="4EAF1BDB" w:rsidR="00DE51B7" w:rsidRPr="00591394" w:rsidRDefault="00DE51B7" w:rsidP="00C6113D">
      <w:pPr>
        <w:widowControl/>
        <w:autoSpaceDE w:val="0"/>
        <w:autoSpaceDN w:val="0"/>
        <w:spacing w:line="360" w:lineRule="auto"/>
        <w:ind w:firstLine="1440"/>
        <w:textAlignment w:val="baseline"/>
        <w:rPr>
          <w:color w:val="000000"/>
          <w:sz w:val="26"/>
          <w:szCs w:val="26"/>
        </w:rPr>
      </w:pPr>
      <w:r w:rsidRPr="00591394">
        <w:rPr>
          <w:color w:val="000000"/>
          <w:sz w:val="26"/>
          <w:szCs w:val="26"/>
        </w:rPr>
        <w:t>On November 30, 2020, Duquesne filed the above-captioned Petition with the</w:t>
      </w:r>
      <w:r w:rsidR="009603AD" w:rsidRPr="00591394">
        <w:rPr>
          <w:color w:val="000000"/>
          <w:sz w:val="26"/>
          <w:szCs w:val="26"/>
        </w:rPr>
        <w:t xml:space="preserve"> </w:t>
      </w:r>
      <w:r w:rsidRPr="00591394">
        <w:rPr>
          <w:color w:val="000000"/>
          <w:sz w:val="26"/>
          <w:szCs w:val="26"/>
        </w:rPr>
        <w:t>Commission pursuant to Act 129, 66 Pa.</w:t>
      </w:r>
      <w:r w:rsidR="000335EF" w:rsidRPr="00591394">
        <w:rPr>
          <w:color w:val="000000"/>
          <w:sz w:val="26"/>
          <w:szCs w:val="26"/>
        </w:rPr>
        <w:t xml:space="preserve"> </w:t>
      </w:r>
      <w:r w:rsidRPr="00591394">
        <w:rPr>
          <w:color w:val="000000"/>
          <w:sz w:val="26"/>
          <w:szCs w:val="26"/>
        </w:rPr>
        <w:t xml:space="preserve">C.S. §§ 2806.1 and 2806.2 and the Commission’s </w:t>
      </w:r>
      <w:r w:rsidR="001211EF" w:rsidRPr="00591394">
        <w:rPr>
          <w:bCs/>
          <w:i/>
          <w:iCs/>
          <w:spacing w:val="-3"/>
          <w:sz w:val="26"/>
          <w:szCs w:val="26"/>
        </w:rPr>
        <w:t>Phase IV Implementation Order</w:t>
      </w:r>
      <w:r w:rsidRPr="00591394">
        <w:rPr>
          <w:color w:val="000000"/>
          <w:sz w:val="26"/>
          <w:szCs w:val="26"/>
        </w:rPr>
        <w:t xml:space="preserve">.  Notice of the filing was published in the </w:t>
      </w:r>
      <w:r w:rsidRPr="00591394">
        <w:rPr>
          <w:i/>
          <w:iCs/>
          <w:color w:val="000000"/>
          <w:sz w:val="26"/>
          <w:szCs w:val="26"/>
        </w:rPr>
        <w:t>Pennsylvania Bulletin</w:t>
      </w:r>
      <w:r w:rsidRPr="00591394">
        <w:rPr>
          <w:color w:val="000000"/>
          <w:sz w:val="26"/>
          <w:szCs w:val="26"/>
        </w:rPr>
        <w:t xml:space="preserve"> on January 2, 2021, 51 </w:t>
      </w:r>
      <w:r w:rsidRPr="00591394">
        <w:rPr>
          <w:i/>
          <w:color w:val="000000"/>
          <w:sz w:val="26"/>
          <w:szCs w:val="26"/>
        </w:rPr>
        <w:t>Pa.B</w:t>
      </w:r>
      <w:r w:rsidRPr="00591394">
        <w:rPr>
          <w:color w:val="000000"/>
          <w:sz w:val="26"/>
          <w:szCs w:val="26"/>
        </w:rPr>
        <w:t>. 116 and on January 9, 2021, 51</w:t>
      </w:r>
      <w:r w:rsidR="0043419B">
        <w:rPr>
          <w:color w:val="000000"/>
          <w:sz w:val="26"/>
          <w:szCs w:val="26"/>
        </w:rPr>
        <w:t> </w:t>
      </w:r>
      <w:r w:rsidRPr="00591394">
        <w:rPr>
          <w:i/>
          <w:color w:val="000000"/>
          <w:sz w:val="26"/>
          <w:szCs w:val="26"/>
        </w:rPr>
        <w:t>Pa.</w:t>
      </w:r>
      <w:r w:rsidR="0043419B">
        <w:rPr>
          <w:i/>
          <w:color w:val="000000"/>
          <w:sz w:val="26"/>
          <w:szCs w:val="26"/>
        </w:rPr>
        <w:t> </w:t>
      </w:r>
      <w:r w:rsidRPr="00591394">
        <w:rPr>
          <w:i/>
          <w:color w:val="000000"/>
          <w:sz w:val="26"/>
          <w:szCs w:val="26"/>
        </w:rPr>
        <w:t>B</w:t>
      </w:r>
      <w:r w:rsidRPr="00591394">
        <w:rPr>
          <w:color w:val="000000"/>
          <w:sz w:val="26"/>
          <w:szCs w:val="26"/>
        </w:rPr>
        <w:t>. 252.</w:t>
      </w:r>
      <w:r w:rsidRPr="00591394">
        <w:rPr>
          <w:color w:val="000000"/>
          <w:sz w:val="26"/>
          <w:szCs w:val="26"/>
          <w:vertAlign w:val="superscript"/>
        </w:rPr>
        <w:footnoteReference w:id="2"/>
      </w:r>
      <w:r w:rsidRPr="00591394">
        <w:rPr>
          <w:color w:val="000000"/>
          <w:sz w:val="26"/>
          <w:szCs w:val="26"/>
        </w:rPr>
        <w:t xml:space="preserve">  </w:t>
      </w:r>
    </w:p>
    <w:p w14:paraId="3F13C5A0" w14:textId="77777777" w:rsidR="00755FCE" w:rsidRPr="00591394" w:rsidRDefault="00755FCE" w:rsidP="00C6113D">
      <w:pPr>
        <w:widowControl/>
        <w:autoSpaceDE w:val="0"/>
        <w:autoSpaceDN w:val="0"/>
        <w:spacing w:line="360" w:lineRule="auto"/>
        <w:ind w:firstLine="1440"/>
        <w:textAlignment w:val="baseline"/>
        <w:rPr>
          <w:color w:val="000000"/>
          <w:sz w:val="26"/>
          <w:szCs w:val="26"/>
        </w:rPr>
      </w:pPr>
    </w:p>
    <w:p w14:paraId="50DD4531" w14:textId="0F56CD11" w:rsidR="00DE51B7" w:rsidRPr="00591394" w:rsidRDefault="00DE51B7" w:rsidP="00C6113D">
      <w:pPr>
        <w:widowControl/>
        <w:autoSpaceDE w:val="0"/>
        <w:autoSpaceDN w:val="0"/>
        <w:spacing w:line="360" w:lineRule="auto"/>
        <w:ind w:firstLine="1440"/>
        <w:textAlignment w:val="baseline"/>
        <w:rPr>
          <w:color w:val="000000"/>
          <w:sz w:val="26"/>
          <w:szCs w:val="26"/>
        </w:rPr>
      </w:pPr>
      <w:r w:rsidRPr="00591394">
        <w:rPr>
          <w:color w:val="000000"/>
          <w:sz w:val="26"/>
          <w:szCs w:val="26"/>
        </w:rPr>
        <w:t xml:space="preserve">On December 11, 2020, CAUSE-PA filed a Petition to Intervene.  </w:t>
      </w:r>
    </w:p>
    <w:p w14:paraId="1005C8EA" w14:textId="77777777" w:rsidR="0046293F" w:rsidRPr="00591394" w:rsidRDefault="0046293F" w:rsidP="00C6113D">
      <w:pPr>
        <w:widowControl/>
        <w:autoSpaceDE w:val="0"/>
        <w:autoSpaceDN w:val="0"/>
        <w:spacing w:line="360" w:lineRule="auto"/>
        <w:ind w:firstLine="1440"/>
        <w:textAlignment w:val="baseline"/>
        <w:rPr>
          <w:color w:val="000000"/>
          <w:sz w:val="26"/>
          <w:szCs w:val="26"/>
        </w:rPr>
      </w:pPr>
    </w:p>
    <w:p w14:paraId="47AF2541" w14:textId="77777777" w:rsidR="00DE51B7" w:rsidRPr="00591394" w:rsidRDefault="00DE51B7" w:rsidP="00C6113D">
      <w:pPr>
        <w:widowControl/>
        <w:autoSpaceDE w:val="0"/>
        <w:autoSpaceDN w:val="0"/>
        <w:spacing w:line="360" w:lineRule="auto"/>
        <w:ind w:firstLine="1440"/>
        <w:textAlignment w:val="baseline"/>
        <w:rPr>
          <w:color w:val="000000"/>
          <w:sz w:val="26"/>
          <w:szCs w:val="26"/>
        </w:rPr>
      </w:pPr>
      <w:r w:rsidRPr="00591394">
        <w:rPr>
          <w:color w:val="000000"/>
          <w:sz w:val="26"/>
          <w:szCs w:val="26"/>
        </w:rPr>
        <w:lastRenderedPageBreak/>
        <w:t xml:space="preserve">On December 21, 2020, the Office of Small Business Advocate (OSBA) filed a Notice of Intervention, Public Statement, and Verification, as well as a Notice of Appearance. </w:t>
      </w:r>
    </w:p>
    <w:p w14:paraId="253517AA" w14:textId="77777777" w:rsidR="00DE51B7" w:rsidRPr="00591394" w:rsidRDefault="00DE51B7" w:rsidP="00C6113D">
      <w:pPr>
        <w:widowControl/>
        <w:autoSpaceDE w:val="0"/>
        <w:autoSpaceDN w:val="0"/>
        <w:spacing w:line="360" w:lineRule="auto"/>
        <w:ind w:firstLine="1440"/>
        <w:textAlignment w:val="baseline"/>
        <w:rPr>
          <w:color w:val="000000"/>
          <w:sz w:val="26"/>
          <w:szCs w:val="26"/>
        </w:rPr>
      </w:pPr>
    </w:p>
    <w:p w14:paraId="00D9A190" w14:textId="2323D947" w:rsidR="00DE51B7" w:rsidRPr="00591394" w:rsidRDefault="00DE51B7" w:rsidP="00C6113D">
      <w:pPr>
        <w:widowControl/>
        <w:autoSpaceDE w:val="0"/>
        <w:autoSpaceDN w:val="0"/>
        <w:spacing w:line="360" w:lineRule="auto"/>
        <w:ind w:firstLine="1440"/>
        <w:textAlignment w:val="baseline"/>
        <w:rPr>
          <w:color w:val="000000"/>
          <w:sz w:val="26"/>
          <w:szCs w:val="26"/>
        </w:rPr>
      </w:pPr>
      <w:r w:rsidRPr="00591394">
        <w:rPr>
          <w:color w:val="000000"/>
          <w:sz w:val="26"/>
          <w:szCs w:val="26"/>
        </w:rPr>
        <w:t>On December 21, 2020, CAAP</w:t>
      </w:r>
      <w:r w:rsidR="0066725E" w:rsidRPr="00591394">
        <w:rPr>
          <w:color w:val="000000"/>
          <w:sz w:val="26"/>
          <w:szCs w:val="26"/>
        </w:rPr>
        <w:t xml:space="preserve"> </w:t>
      </w:r>
      <w:r w:rsidRPr="00591394">
        <w:rPr>
          <w:color w:val="000000"/>
          <w:sz w:val="26"/>
          <w:szCs w:val="26"/>
        </w:rPr>
        <w:t>filed a Petition to Intervene.</w:t>
      </w:r>
    </w:p>
    <w:p w14:paraId="4111B4C5" w14:textId="77777777" w:rsidR="00DE51B7" w:rsidRPr="00591394" w:rsidRDefault="00DE51B7" w:rsidP="00C6113D">
      <w:pPr>
        <w:widowControl/>
        <w:autoSpaceDE w:val="0"/>
        <w:autoSpaceDN w:val="0"/>
        <w:spacing w:line="360" w:lineRule="auto"/>
        <w:ind w:firstLine="1440"/>
        <w:textAlignment w:val="baseline"/>
        <w:rPr>
          <w:color w:val="000000"/>
          <w:sz w:val="26"/>
          <w:szCs w:val="26"/>
        </w:rPr>
      </w:pPr>
    </w:p>
    <w:p w14:paraId="5F50D29D" w14:textId="60EFAC8D" w:rsidR="00DE51B7" w:rsidRPr="00591394" w:rsidRDefault="00DE51B7" w:rsidP="00C6113D">
      <w:pPr>
        <w:widowControl/>
        <w:autoSpaceDE w:val="0"/>
        <w:autoSpaceDN w:val="0"/>
        <w:spacing w:line="360" w:lineRule="auto"/>
        <w:ind w:firstLine="1440"/>
        <w:textAlignment w:val="baseline"/>
        <w:rPr>
          <w:color w:val="000000"/>
          <w:sz w:val="26"/>
          <w:szCs w:val="26"/>
        </w:rPr>
      </w:pPr>
      <w:r w:rsidRPr="00591394">
        <w:rPr>
          <w:color w:val="000000"/>
          <w:sz w:val="26"/>
          <w:szCs w:val="26"/>
        </w:rPr>
        <w:t>On December 31, 2020, the</w:t>
      </w:r>
      <w:r w:rsidR="0066725E" w:rsidRPr="00591394">
        <w:rPr>
          <w:color w:val="000000"/>
          <w:sz w:val="26"/>
          <w:szCs w:val="26"/>
        </w:rPr>
        <w:t xml:space="preserve"> </w:t>
      </w:r>
      <w:r w:rsidRPr="00591394">
        <w:rPr>
          <w:color w:val="000000"/>
          <w:sz w:val="26"/>
          <w:szCs w:val="26"/>
        </w:rPr>
        <w:t>OCA</w:t>
      </w:r>
      <w:r w:rsidR="0066725E" w:rsidRPr="00591394">
        <w:rPr>
          <w:color w:val="000000"/>
          <w:sz w:val="26"/>
          <w:szCs w:val="26"/>
        </w:rPr>
        <w:t xml:space="preserve"> </w:t>
      </w:r>
      <w:r w:rsidRPr="00591394">
        <w:rPr>
          <w:color w:val="000000"/>
          <w:sz w:val="26"/>
          <w:szCs w:val="26"/>
        </w:rPr>
        <w:t xml:space="preserve">filed a Notice of Intervention, Public Statement, and Verification, as well as a Notice of Appearance.  </w:t>
      </w:r>
    </w:p>
    <w:p w14:paraId="57A5E5CB" w14:textId="77777777" w:rsidR="00DE51B7" w:rsidRPr="00591394" w:rsidRDefault="00DE51B7" w:rsidP="00C6113D">
      <w:pPr>
        <w:widowControl/>
        <w:autoSpaceDE w:val="0"/>
        <w:autoSpaceDN w:val="0"/>
        <w:spacing w:line="360" w:lineRule="auto"/>
        <w:ind w:firstLine="1440"/>
        <w:textAlignment w:val="baseline"/>
        <w:rPr>
          <w:sz w:val="26"/>
          <w:szCs w:val="26"/>
        </w:rPr>
      </w:pPr>
    </w:p>
    <w:p w14:paraId="126D7683" w14:textId="5F4EF517"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 xml:space="preserve">A prehearing conference was held as scheduled on January 6, 2021.  Duquesne, </w:t>
      </w:r>
      <w:r w:rsidR="006923B1" w:rsidRPr="00591394">
        <w:rPr>
          <w:sz w:val="26"/>
          <w:szCs w:val="26"/>
        </w:rPr>
        <w:t xml:space="preserve">the </w:t>
      </w:r>
      <w:r w:rsidRPr="00591394">
        <w:rPr>
          <w:sz w:val="26"/>
          <w:szCs w:val="26"/>
        </w:rPr>
        <w:t xml:space="preserve">OCA, </w:t>
      </w:r>
      <w:r w:rsidR="000B63B2" w:rsidRPr="00591394">
        <w:rPr>
          <w:sz w:val="26"/>
          <w:szCs w:val="26"/>
        </w:rPr>
        <w:t xml:space="preserve">the </w:t>
      </w:r>
      <w:r w:rsidRPr="00591394">
        <w:rPr>
          <w:sz w:val="26"/>
          <w:szCs w:val="26"/>
        </w:rPr>
        <w:t>OSBA, CAUSE-PA and CAAP</w:t>
      </w:r>
      <w:bookmarkStart w:id="9" w:name="_Hlk43299112"/>
      <w:r w:rsidRPr="00591394">
        <w:rPr>
          <w:sz w:val="26"/>
          <w:szCs w:val="26"/>
        </w:rPr>
        <w:t xml:space="preserve"> </w:t>
      </w:r>
      <w:bookmarkEnd w:id="9"/>
      <w:r w:rsidRPr="00591394">
        <w:rPr>
          <w:sz w:val="26"/>
          <w:szCs w:val="26"/>
        </w:rPr>
        <w:t xml:space="preserve">were represented at the conference.  </w:t>
      </w:r>
    </w:p>
    <w:p w14:paraId="0C684A4C" w14:textId="77777777" w:rsidR="00DE51B7" w:rsidRPr="00591394" w:rsidRDefault="00DE51B7" w:rsidP="00C6113D">
      <w:pPr>
        <w:widowControl/>
        <w:autoSpaceDE w:val="0"/>
        <w:autoSpaceDN w:val="0"/>
        <w:spacing w:line="360" w:lineRule="auto"/>
        <w:ind w:firstLine="1440"/>
        <w:rPr>
          <w:sz w:val="26"/>
          <w:szCs w:val="26"/>
        </w:rPr>
      </w:pPr>
    </w:p>
    <w:p w14:paraId="17F6FCC2" w14:textId="74BB2862" w:rsidR="00DE51B7" w:rsidRPr="00591394" w:rsidRDefault="00DE51B7" w:rsidP="00C6113D">
      <w:pPr>
        <w:widowControl/>
        <w:autoSpaceDE w:val="0"/>
        <w:autoSpaceDN w:val="0"/>
        <w:spacing w:line="360" w:lineRule="auto"/>
        <w:ind w:firstLine="1440"/>
        <w:rPr>
          <w:sz w:val="26"/>
          <w:szCs w:val="26"/>
        </w:rPr>
      </w:pPr>
      <w:r w:rsidRPr="00591394">
        <w:rPr>
          <w:sz w:val="26"/>
          <w:szCs w:val="26"/>
        </w:rPr>
        <w:t xml:space="preserve">No </w:t>
      </w:r>
      <w:r w:rsidR="00F257DE" w:rsidRPr="00591394">
        <w:rPr>
          <w:sz w:val="26"/>
          <w:szCs w:val="26"/>
        </w:rPr>
        <w:t>P</w:t>
      </w:r>
      <w:r w:rsidRPr="00591394">
        <w:rPr>
          <w:sz w:val="26"/>
          <w:szCs w:val="26"/>
        </w:rPr>
        <w:t xml:space="preserve">arty objected to the Petitions to Intervene of CAUSE-PA and CAAP, and the Petitions were granted during the prehearing conference. </w:t>
      </w:r>
    </w:p>
    <w:p w14:paraId="794B6C53" w14:textId="77777777" w:rsidR="00DE51B7" w:rsidRPr="00591394" w:rsidRDefault="00DE51B7" w:rsidP="00C6113D">
      <w:pPr>
        <w:widowControl/>
        <w:autoSpaceDE w:val="0"/>
        <w:autoSpaceDN w:val="0"/>
        <w:spacing w:line="360" w:lineRule="auto"/>
        <w:ind w:firstLine="1440"/>
        <w:textAlignment w:val="baseline"/>
        <w:rPr>
          <w:sz w:val="26"/>
          <w:szCs w:val="26"/>
        </w:rPr>
      </w:pPr>
    </w:p>
    <w:p w14:paraId="5D87A1CA" w14:textId="78B687BC"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 xml:space="preserve">A Prehearing Order was entered on January 7, 2021, setting a litigation schedule and discovery rule modifications and detailing other matters.  </w:t>
      </w:r>
      <w:r w:rsidR="0045655C" w:rsidRPr="00591394">
        <w:rPr>
          <w:sz w:val="26"/>
          <w:szCs w:val="26"/>
        </w:rPr>
        <w:t>Also,</w:t>
      </w:r>
      <w:r w:rsidRPr="00591394">
        <w:rPr>
          <w:sz w:val="26"/>
          <w:szCs w:val="26"/>
        </w:rPr>
        <w:t xml:space="preserve"> on January</w:t>
      </w:r>
      <w:r w:rsidR="0043419B">
        <w:rPr>
          <w:sz w:val="26"/>
          <w:szCs w:val="26"/>
        </w:rPr>
        <w:t> </w:t>
      </w:r>
      <w:r w:rsidRPr="00591394">
        <w:rPr>
          <w:sz w:val="26"/>
          <w:szCs w:val="26"/>
        </w:rPr>
        <w:t>7, 2021, the Commission issued a Hearing Notice scheduling an evidentiary hearing for January 22, 2021.</w:t>
      </w:r>
    </w:p>
    <w:p w14:paraId="7B28DA3C" w14:textId="77777777" w:rsidR="001C2030" w:rsidRPr="00591394" w:rsidRDefault="001C2030" w:rsidP="00C6113D">
      <w:pPr>
        <w:widowControl/>
        <w:autoSpaceDE w:val="0"/>
        <w:autoSpaceDN w:val="0"/>
        <w:spacing w:line="360" w:lineRule="auto"/>
        <w:ind w:firstLine="1440"/>
        <w:textAlignment w:val="baseline"/>
        <w:rPr>
          <w:sz w:val="26"/>
          <w:szCs w:val="26"/>
        </w:rPr>
      </w:pPr>
    </w:p>
    <w:p w14:paraId="11BC7C7C" w14:textId="0D8241B1" w:rsidR="00DE51B7" w:rsidRDefault="00DE51B7" w:rsidP="00C6113D">
      <w:pPr>
        <w:widowControl/>
        <w:autoSpaceDE w:val="0"/>
        <w:autoSpaceDN w:val="0"/>
        <w:spacing w:line="360" w:lineRule="auto"/>
        <w:ind w:firstLine="1440"/>
        <w:rPr>
          <w:sz w:val="26"/>
          <w:szCs w:val="26"/>
        </w:rPr>
      </w:pPr>
      <w:r w:rsidRPr="00591394">
        <w:rPr>
          <w:sz w:val="26"/>
          <w:szCs w:val="26"/>
        </w:rPr>
        <w:lastRenderedPageBreak/>
        <w:t xml:space="preserve">On January 8, 2021, CAUSE-PA, CAAP, </w:t>
      </w:r>
      <w:r w:rsidR="006923B1" w:rsidRPr="00591394">
        <w:rPr>
          <w:sz w:val="26"/>
          <w:szCs w:val="26"/>
        </w:rPr>
        <w:t xml:space="preserve">the </w:t>
      </w:r>
      <w:r w:rsidRPr="00591394">
        <w:rPr>
          <w:sz w:val="26"/>
          <w:szCs w:val="26"/>
        </w:rPr>
        <w:t>OCA, and OSBA filed a Joint Expedited Motion for Extension of Procedural Schedule (Motion).</w:t>
      </w:r>
      <w:r w:rsidRPr="00591394">
        <w:rPr>
          <w:sz w:val="26"/>
          <w:szCs w:val="26"/>
          <w:vertAlign w:val="superscript"/>
        </w:rPr>
        <w:footnoteReference w:id="3"/>
      </w:r>
      <w:r w:rsidRPr="00591394">
        <w:rPr>
          <w:sz w:val="26"/>
          <w:szCs w:val="26"/>
        </w:rPr>
        <w:t xml:space="preserve">  </w:t>
      </w:r>
    </w:p>
    <w:p w14:paraId="591EE9A8" w14:textId="77777777" w:rsidR="0043419B" w:rsidRPr="00591394" w:rsidRDefault="0043419B" w:rsidP="00C6113D">
      <w:pPr>
        <w:widowControl/>
        <w:autoSpaceDE w:val="0"/>
        <w:autoSpaceDN w:val="0"/>
        <w:spacing w:line="360" w:lineRule="auto"/>
        <w:ind w:firstLine="1440"/>
        <w:rPr>
          <w:sz w:val="26"/>
          <w:szCs w:val="26"/>
        </w:rPr>
      </w:pPr>
    </w:p>
    <w:p w14:paraId="3352A35E" w14:textId="09C29F76"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 xml:space="preserve">On January 11, 2021, the </w:t>
      </w:r>
      <w:r w:rsidR="00524B45" w:rsidRPr="00591394">
        <w:rPr>
          <w:sz w:val="26"/>
          <w:szCs w:val="26"/>
        </w:rPr>
        <w:t>ALJs</w:t>
      </w:r>
      <w:r w:rsidRPr="00591394">
        <w:rPr>
          <w:sz w:val="26"/>
          <w:szCs w:val="26"/>
        </w:rPr>
        <w:t xml:space="preserve"> issued an Interim Order directing the </w:t>
      </w:r>
      <w:r w:rsidR="00C859A7" w:rsidRPr="00591394">
        <w:rPr>
          <w:sz w:val="26"/>
          <w:szCs w:val="26"/>
        </w:rPr>
        <w:t>P</w:t>
      </w:r>
      <w:r w:rsidRPr="00591394">
        <w:rPr>
          <w:sz w:val="26"/>
          <w:szCs w:val="26"/>
        </w:rPr>
        <w:t xml:space="preserve">arties </w:t>
      </w:r>
      <w:r w:rsidR="00066DC0" w:rsidRPr="00591394">
        <w:rPr>
          <w:sz w:val="26"/>
          <w:szCs w:val="26"/>
        </w:rPr>
        <w:t>to:</w:t>
      </w:r>
      <w:r w:rsidR="003C13E9" w:rsidRPr="00591394">
        <w:rPr>
          <w:sz w:val="26"/>
          <w:szCs w:val="26"/>
        </w:rPr>
        <w:t xml:space="preserve"> </w:t>
      </w:r>
      <w:r w:rsidRPr="00591394">
        <w:rPr>
          <w:rFonts w:eastAsia="Segoe UI Emoji"/>
          <w:sz w:val="26"/>
          <w:szCs w:val="26"/>
        </w:rPr>
        <w:t xml:space="preserve"> </w:t>
      </w:r>
      <w:r w:rsidR="00924DCD" w:rsidRPr="00591394">
        <w:rPr>
          <w:rFonts w:eastAsia="Segoe UI Emoji"/>
          <w:sz w:val="26"/>
          <w:szCs w:val="26"/>
        </w:rPr>
        <w:t>(</w:t>
      </w:r>
      <w:r w:rsidRPr="00591394">
        <w:rPr>
          <w:rFonts w:eastAsia="Segoe UI Emoji"/>
          <w:sz w:val="26"/>
          <w:szCs w:val="26"/>
        </w:rPr>
        <w:t>1)</w:t>
      </w:r>
      <w:r w:rsidRPr="00591394">
        <w:rPr>
          <w:sz w:val="26"/>
          <w:szCs w:val="26"/>
        </w:rPr>
        <w:t xml:space="preserve"> file responses, if any, to the Motion by Wednesday, January 13, 2021, and </w:t>
      </w:r>
      <w:r w:rsidR="00924DCD" w:rsidRPr="00591394">
        <w:rPr>
          <w:sz w:val="26"/>
          <w:szCs w:val="26"/>
        </w:rPr>
        <w:t>(</w:t>
      </w:r>
      <w:r w:rsidRPr="00591394">
        <w:rPr>
          <w:sz w:val="26"/>
          <w:szCs w:val="26"/>
        </w:rPr>
        <w:t>2) file responses, if any, to the O</w:t>
      </w:r>
      <w:r w:rsidR="00924DCD" w:rsidRPr="00591394">
        <w:rPr>
          <w:sz w:val="26"/>
          <w:szCs w:val="26"/>
        </w:rPr>
        <w:t xml:space="preserve">ffice of </w:t>
      </w:r>
      <w:r w:rsidRPr="00591394">
        <w:rPr>
          <w:sz w:val="26"/>
          <w:szCs w:val="26"/>
        </w:rPr>
        <w:t>A</w:t>
      </w:r>
      <w:r w:rsidR="00924DCD" w:rsidRPr="00591394">
        <w:rPr>
          <w:sz w:val="26"/>
          <w:szCs w:val="26"/>
        </w:rPr>
        <w:t xml:space="preserve">dministrative </w:t>
      </w:r>
      <w:r w:rsidRPr="00591394">
        <w:rPr>
          <w:sz w:val="26"/>
          <w:szCs w:val="26"/>
        </w:rPr>
        <w:t>L</w:t>
      </w:r>
      <w:r w:rsidR="00924DCD" w:rsidRPr="00591394">
        <w:rPr>
          <w:sz w:val="26"/>
          <w:szCs w:val="26"/>
        </w:rPr>
        <w:t xml:space="preserve">aw </w:t>
      </w:r>
      <w:r w:rsidRPr="00591394">
        <w:rPr>
          <w:sz w:val="26"/>
          <w:szCs w:val="26"/>
        </w:rPr>
        <w:t>J</w:t>
      </w:r>
      <w:r w:rsidR="00924DCD" w:rsidRPr="00591394">
        <w:rPr>
          <w:sz w:val="26"/>
          <w:szCs w:val="26"/>
        </w:rPr>
        <w:t>udge</w:t>
      </w:r>
      <w:r w:rsidRPr="00591394">
        <w:rPr>
          <w:sz w:val="26"/>
          <w:szCs w:val="26"/>
        </w:rPr>
        <w:t>’s Proposed Revised Schedule detailed in the January 11, 2021 Order by Wednesday, January 13, 2021.</w:t>
      </w:r>
    </w:p>
    <w:p w14:paraId="04522E2F" w14:textId="77777777" w:rsidR="00DE51B7" w:rsidRPr="00591394" w:rsidRDefault="00DE51B7" w:rsidP="00C6113D">
      <w:pPr>
        <w:widowControl/>
        <w:autoSpaceDE w:val="0"/>
        <w:autoSpaceDN w:val="0"/>
        <w:spacing w:line="360" w:lineRule="auto"/>
        <w:ind w:firstLine="1440"/>
        <w:textAlignment w:val="baseline"/>
        <w:rPr>
          <w:sz w:val="26"/>
          <w:szCs w:val="26"/>
        </w:rPr>
      </w:pPr>
    </w:p>
    <w:p w14:paraId="5FC27D2A" w14:textId="631F731E"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D</w:t>
      </w:r>
      <w:r w:rsidR="00260161" w:rsidRPr="00591394">
        <w:rPr>
          <w:sz w:val="26"/>
          <w:szCs w:val="26"/>
        </w:rPr>
        <w:t>uquesne</w:t>
      </w:r>
      <w:r w:rsidRPr="00591394">
        <w:rPr>
          <w:sz w:val="26"/>
          <w:szCs w:val="26"/>
        </w:rPr>
        <w:t xml:space="preserve">, CAUSE-PA, </w:t>
      </w:r>
      <w:r w:rsidR="006923B1" w:rsidRPr="00591394">
        <w:rPr>
          <w:sz w:val="26"/>
          <w:szCs w:val="26"/>
        </w:rPr>
        <w:t xml:space="preserve">the </w:t>
      </w:r>
      <w:r w:rsidRPr="00591394">
        <w:rPr>
          <w:sz w:val="26"/>
          <w:szCs w:val="26"/>
        </w:rPr>
        <w:t xml:space="preserve">OCA, and OSBA timely filed responses to the January 11, 2021 Order. </w:t>
      </w:r>
    </w:p>
    <w:p w14:paraId="4348A806" w14:textId="77777777" w:rsidR="00DE51B7" w:rsidRPr="00591394" w:rsidRDefault="00DE51B7" w:rsidP="00C6113D">
      <w:pPr>
        <w:widowControl/>
        <w:autoSpaceDE w:val="0"/>
        <w:autoSpaceDN w:val="0"/>
        <w:spacing w:line="360" w:lineRule="auto"/>
        <w:ind w:firstLine="1440"/>
        <w:textAlignment w:val="baseline"/>
        <w:rPr>
          <w:sz w:val="26"/>
          <w:szCs w:val="26"/>
        </w:rPr>
      </w:pPr>
    </w:p>
    <w:p w14:paraId="5562BA02" w14:textId="0A6C21FA"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 xml:space="preserve">On January 14, 2021, Chief Administrative Law Judge Charles Rainey (CALJ Rainey) issued an Order Denying the Joint Expedited Motion for Extension of Procedural Schedule.  CALJ Rainey’s Order provided that: </w:t>
      </w:r>
      <w:r w:rsidR="003C13E9" w:rsidRPr="00591394">
        <w:rPr>
          <w:sz w:val="26"/>
          <w:szCs w:val="26"/>
        </w:rPr>
        <w:t xml:space="preserve"> </w:t>
      </w:r>
      <w:r w:rsidRPr="00591394">
        <w:rPr>
          <w:sz w:val="26"/>
          <w:szCs w:val="26"/>
        </w:rPr>
        <w:t>evidentiary hearings occur on or before February 8, 2021, briefs are to be filed on or before February 18, 2021, reply comments/revised plans are to be filed by March 1, 2021, and the record is to be certified by March 2, 2021.</w:t>
      </w:r>
    </w:p>
    <w:p w14:paraId="4786B1AC" w14:textId="77777777" w:rsidR="00DE51B7" w:rsidRPr="00591394" w:rsidRDefault="00DE51B7" w:rsidP="00C6113D">
      <w:pPr>
        <w:widowControl/>
        <w:autoSpaceDE w:val="0"/>
        <w:autoSpaceDN w:val="0"/>
        <w:spacing w:line="360" w:lineRule="auto"/>
        <w:ind w:firstLine="1440"/>
        <w:textAlignment w:val="baseline"/>
        <w:rPr>
          <w:sz w:val="26"/>
          <w:szCs w:val="26"/>
        </w:rPr>
      </w:pPr>
    </w:p>
    <w:p w14:paraId="155AF040" w14:textId="47435B4F"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 xml:space="preserve">On January 15, 2021, the </w:t>
      </w:r>
      <w:r w:rsidR="00E43B13" w:rsidRPr="00591394">
        <w:rPr>
          <w:sz w:val="26"/>
          <w:szCs w:val="26"/>
        </w:rPr>
        <w:t>ALJs</w:t>
      </w:r>
      <w:r w:rsidRPr="00591394">
        <w:rPr>
          <w:sz w:val="26"/>
          <w:szCs w:val="26"/>
        </w:rPr>
        <w:t xml:space="preserve"> emailed the </w:t>
      </w:r>
      <w:r w:rsidR="000E27E9" w:rsidRPr="00591394">
        <w:rPr>
          <w:sz w:val="26"/>
          <w:szCs w:val="26"/>
        </w:rPr>
        <w:t>P</w:t>
      </w:r>
      <w:r w:rsidRPr="00591394">
        <w:rPr>
          <w:sz w:val="26"/>
          <w:szCs w:val="26"/>
        </w:rPr>
        <w:t xml:space="preserve">arties advising that, in light of Chief Rainey’s Order, they were suspending the litigation schedule and cancelling the evidentiary hearing scheduled for January 22, 2021.  The email directed the </w:t>
      </w:r>
      <w:r w:rsidR="00E321A4" w:rsidRPr="00591394">
        <w:rPr>
          <w:sz w:val="26"/>
          <w:szCs w:val="26"/>
        </w:rPr>
        <w:t>P</w:t>
      </w:r>
      <w:r w:rsidRPr="00591394">
        <w:rPr>
          <w:sz w:val="26"/>
          <w:szCs w:val="26"/>
        </w:rPr>
        <w:t xml:space="preserve">arties to </w:t>
      </w:r>
      <w:r w:rsidRPr="00591394">
        <w:rPr>
          <w:sz w:val="26"/>
          <w:szCs w:val="26"/>
        </w:rPr>
        <w:lastRenderedPageBreak/>
        <w:t xml:space="preserve">confer regarding a litigation schedule and that the </w:t>
      </w:r>
      <w:r w:rsidR="00311E1D" w:rsidRPr="00591394">
        <w:rPr>
          <w:sz w:val="26"/>
          <w:szCs w:val="26"/>
        </w:rPr>
        <w:t>ALJs</w:t>
      </w:r>
      <w:r w:rsidRPr="00591394">
        <w:rPr>
          <w:sz w:val="26"/>
          <w:szCs w:val="26"/>
        </w:rPr>
        <w:t xml:space="preserve"> would meet with the </w:t>
      </w:r>
      <w:r w:rsidR="00E321A4" w:rsidRPr="00591394">
        <w:rPr>
          <w:sz w:val="26"/>
          <w:szCs w:val="26"/>
        </w:rPr>
        <w:t>P</w:t>
      </w:r>
      <w:r w:rsidRPr="00591394">
        <w:rPr>
          <w:sz w:val="26"/>
          <w:szCs w:val="26"/>
        </w:rPr>
        <w:t xml:space="preserve">arties at 8:00 a.m. on January 19, 2021 to set a new litigation schedule and hearing date. </w:t>
      </w:r>
    </w:p>
    <w:p w14:paraId="5CBF75C7" w14:textId="77777777" w:rsidR="00DE51B7" w:rsidRPr="00591394" w:rsidRDefault="00DE51B7" w:rsidP="00C6113D">
      <w:pPr>
        <w:widowControl/>
        <w:autoSpaceDE w:val="0"/>
        <w:autoSpaceDN w:val="0"/>
        <w:spacing w:line="360" w:lineRule="auto"/>
        <w:ind w:firstLine="1440"/>
        <w:textAlignment w:val="baseline"/>
        <w:rPr>
          <w:sz w:val="26"/>
          <w:szCs w:val="26"/>
        </w:rPr>
      </w:pPr>
    </w:p>
    <w:p w14:paraId="38164BC7" w14:textId="22904424" w:rsidR="00DE51B7" w:rsidRDefault="00DE51B7" w:rsidP="00C6113D">
      <w:pPr>
        <w:widowControl/>
        <w:autoSpaceDE w:val="0"/>
        <w:autoSpaceDN w:val="0"/>
        <w:spacing w:line="360" w:lineRule="auto"/>
        <w:ind w:firstLine="1440"/>
        <w:textAlignment w:val="baseline"/>
        <w:rPr>
          <w:sz w:val="26"/>
          <w:szCs w:val="26"/>
        </w:rPr>
      </w:pPr>
      <w:r w:rsidRPr="00591394">
        <w:rPr>
          <w:sz w:val="26"/>
          <w:szCs w:val="26"/>
        </w:rPr>
        <w:t>A conference was convened on January 19, 2021 at 8:00 a.m.</w:t>
      </w:r>
      <w:r w:rsidRPr="00591394">
        <w:rPr>
          <w:sz w:val="26"/>
          <w:szCs w:val="26"/>
          <w:vertAlign w:val="superscript"/>
        </w:rPr>
        <w:footnoteReference w:id="4"/>
      </w:r>
      <w:r w:rsidRPr="00591394">
        <w:rPr>
          <w:sz w:val="26"/>
          <w:szCs w:val="26"/>
        </w:rPr>
        <w:t xml:space="preserve">  Both the </w:t>
      </w:r>
      <w:r w:rsidR="00311E1D" w:rsidRPr="00591394">
        <w:rPr>
          <w:sz w:val="26"/>
          <w:szCs w:val="26"/>
        </w:rPr>
        <w:t>ALJs</w:t>
      </w:r>
      <w:r w:rsidRPr="00591394">
        <w:rPr>
          <w:sz w:val="26"/>
          <w:szCs w:val="26"/>
        </w:rPr>
        <w:t xml:space="preserve"> and all the </w:t>
      </w:r>
      <w:r w:rsidR="0080429F" w:rsidRPr="00591394">
        <w:rPr>
          <w:sz w:val="26"/>
          <w:szCs w:val="26"/>
        </w:rPr>
        <w:t>P</w:t>
      </w:r>
      <w:r w:rsidRPr="00591394">
        <w:rPr>
          <w:sz w:val="26"/>
          <w:szCs w:val="26"/>
        </w:rPr>
        <w:t>arties</w:t>
      </w:r>
      <w:r w:rsidR="0080429F" w:rsidRPr="00591394">
        <w:rPr>
          <w:sz w:val="26"/>
          <w:szCs w:val="26"/>
        </w:rPr>
        <w:t>,</w:t>
      </w:r>
      <w:r w:rsidRPr="00591394">
        <w:rPr>
          <w:sz w:val="26"/>
          <w:szCs w:val="26"/>
        </w:rPr>
        <w:t xml:space="preserve"> except for OSBA</w:t>
      </w:r>
      <w:r w:rsidR="0080429F" w:rsidRPr="00591394">
        <w:rPr>
          <w:sz w:val="26"/>
          <w:szCs w:val="26"/>
        </w:rPr>
        <w:t>,</w:t>
      </w:r>
      <w:r w:rsidRPr="00591394">
        <w:rPr>
          <w:sz w:val="26"/>
          <w:szCs w:val="26"/>
        </w:rPr>
        <w:t xml:space="preserve"> were present.  The </w:t>
      </w:r>
      <w:r w:rsidR="0080429F" w:rsidRPr="00591394">
        <w:rPr>
          <w:sz w:val="26"/>
          <w:szCs w:val="26"/>
        </w:rPr>
        <w:t>P</w:t>
      </w:r>
      <w:r w:rsidRPr="00591394">
        <w:rPr>
          <w:sz w:val="26"/>
          <w:szCs w:val="26"/>
        </w:rPr>
        <w:t>arties presented an agreed upon litigation schedule and later confirmed by email that OSBA was in agreement with the schedule as well.  The revised schedule was adopted via an Interim Order entered January 26, 2021.</w:t>
      </w:r>
    </w:p>
    <w:p w14:paraId="1392E8F4" w14:textId="77777777" w:rsidR="008F4F09" w:rsidRPr="00591394" w:rsidRDefault="008F4F09" w:rsidP="00C6113D">
      <w:pPr>
        <w:widowControl/>
        <w:autoSpaceDE w:val="0"/>
        <w:autoSpaceDN w:val="0"/>
        <w:spacing w:line="360" w:lineRule="auto"/>
        <w:ind w:firstLine="1440"/>
        <w:textAlignment w:val="baseline"/>
        <w:rPr>
          <w:sz w:val="26"/>
          <w:szCs w:val="26"/>
        </w:rPr>
      </w:pPr>
    </w:p>
    <w:p w14:paraId="4A65EE21" w14:textId="77777777"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On January 19, 2021, the Commission issued a Notice rescheduling the evidentiary hearing for February 8, 2021 at 10:00 a.m.</w:t>
      </w:r>
    </w:p>
    <w:p w14:paraId="436D43DA" w14:textId="77777777" w:rsidR="00DE51B7" w:rsidRPr="00591394" w:rsidRDefault="00DE51B7" w:rsidP="00C6113D">
      <w:pPr>
        <w:widowControl/>
        <w:autoSpaceDE w:val="0"/>
        <w:autoSpaceDN w:val="0"/>
        <w:spacing w:line="360" w:lineRule="auto"/>
        <w:ind w:firstLine="1440"/>
        <w:textAlignment w:val="baseline"/>
        <w:rPr>
          <w:sz w:val="26"/>
          <w:szCs w:val="26"/>
        </w:rPr>
      </w:pPr>
    </w:p>
    <w:p w14:paraId="51D0D032" w14:textId="3BB5CC90"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On January 20, 2021, Peoples Natural Gas Company LLC (Peoples) filed a Petition to Intervene.  On January 25, 2021, D</w:t>
      </w:r>
      <w:r w:rsidR="00260161" w:rsidRPr="00591394">
        <w:rPr>
          <w:sz w:val="26"/>
          <w:szCs w:val="26"/>
        </w:rPr>
        <w:t>uquesne</w:t>
      </w:r>
      <w:r w:rsidRPr="00591394">
        <w:rPr>
          <w:sz w:val="26"/>
          <w:szCs w:val="26"/>
        </w:rPr>
        <w:t xml:space="preserve"> advised the </w:t>
      </w:r>
      <w:r w:rsidR="00524B45" w:rsidRPr="00591394">
        <w:rPr>
          <w:sz w:val="26"/>
          <w:szCs w:val="26"/>
        </w:rPr>
        <w:t>ALJs</w:t>
      </w:r>
      <w:r w:rsidRPr="00591394">
        <w:rPr>
          <w:sz w:val="26"/>
          <w:szCs w:val="26"/>
        </w:rPr>
        <w:t xml:space="preserve"> by email that it had no objection to the Petition to Intervene. </w:t>
      </w:r>
    </w:p>
    <w:p w14:paraId="52CFEB60" w14:textId="77777777" w:rsidR="00DE51B7" w:rsidRPr="00591394" w:rsidRDefault="00DE51B7" w:rsidP="00C6113D">
      <w:pPr>
        <w:widowControl/>
        <w:autoSpaceDE w:val="0"/>
        <w:autoSpaceDN w:val="0"/>
        <w:spacing w:line="360" w:lineRule="auto"/>
        <w:ind w:firstLine="1440"/>
        <w:textAlignment w:val="baseline"/>
        <w:rPr>
          <w:sz w:val="26"/>
          <w:szCs w:val="26"/>
        </w:rPr>
      </w:pPr>
    </w:p>
    <w:p w14:paraId="0D859A38" w14:textId="6F8E1767"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On January 22, 2021, comments to the Company’s Phase IV Plan were filed by Daikin Industries Ltd., Energy Efficiency for All Pennsylvania Coalition of Pennsylvania (PA-EEFA), Keystone Energy Efficiency Alliance (KEEA)</w:t>
      </w:r>
      <w:r w:rsidR="007B1AA8" w:rsidRPr="00591394">
        <w:rPr>
          <w:sz w:val="26"/>
          <w:szCs w:val="26"/>
        </w:rPr>
        <w:t>.  On January</w:t>
      </w:r>
      <w:r w:rsidR="0043419B">
        <w:rPr>
          <w:sz w:val="26"/>
          <w:szCs w:val="26"/>
        </w:rPr>
        <w:t> </w:t>
      </w:r>
      <w:r w:rsidR="007B1AA8" w:rsidRPr="00591394">
        <w:rPr>
          <w:sz w:val="26"/>
          <w:szCs w:val="26"/>
        </w:rPr>
        <w:t>25, 2021,</w:t>
      </w:r>
      <w:r w:rsidRPr="00591394">
        <w:rPr>
          <w:sz w:val="26"/>
          <w:szCs w:val="26"/>
        </w:rPr>
        <w:t xml:space="preserve"> Ceres</w:t>
      </w:r>
      <w:r w:rsidR="007B1AA8" w:rsidRPr="00591394">
        <w:rPr>
          <w:sz w:val="26"/>
          <w:szCs w:val="26"/>
        </w:rPr>
        <w:t xml:space="preserve"> also filed comments to the </w:t>
      </w:r>
      <w:r w:rsidR="0051168B" w:rsidRPr="00591394">
        <w:rPr>
          <w:sz w:val="26"/>
          <w:szCs w:val="26"/>
        </w:rPr>
        <w:t>Company’s Phase IV Plan</w:t>
      </w:r>
      <w:r w:rsidRPr="00591394">
        <w:rPr>
          <w:sz w:val="26"/>
          <w:szCs w:val="26"/>
        </w:rPr>
        <w:t xml:space="preserve">. </w:t>
      </w:r>
    </w:p>
    <w:p w14:paraId="597A0FBD" w14:textId="77777777" w:rsidR="00DE51B7" w:rsidRPr="00591394" w:rsidRDefault="00DE51B7" w:rsidP="00C6113D">
      <w:pPr>
        <w:widowControl/>
        <w:autoSpaceDE w:val="0"/>
        <w:autoSpaceDN w:val="0"/>
        <w:spacing w:line="360" w:lineRule="auto"/>
        <w:ind w:firstLine="1440"/>
        <w:textAlignment w:val="baseline"/>
        <w:rPr>
          <w:sz w:val="26"/>
          <w:szCs w:val="26"/>
        </w:rPr>
      </w:pPr>
    </w:p>
    <w:p w14:paraId="3ABAA4BF" w14:textId="77777777" w:rsidR="00DE51B7" w:rsidRPr="00591394" w:rsidRDefault="00DE51B7" w:rsidP="00C6113D">
      <w:pPr>
        <w:widowControl/>
        <w:autoSpaceDE w:val="0"/>
        <w:autoSpaceDN w:val="0"/>
        <w:spacing w:line="360" w:lineRule="auto"/>
        <w:ind w:firstLine="1440"/>
        <w:textAlignment w:val="baseline"/>
        <w:rPr>
          <w:sz w:val="26"/>
          <w:szCs w:val="26"/>
        </w:rPr>
      </w:pPr>
      <w:r w:rsidRPr="00591394">
        <w:rPr>
          <w:sz w:val="26"/>
          <w:szCs w:val="26"/>
        </w:rPr>
        <w:t>On January 26, 2021, an Interim Order was entered adopting the litigation schedule discussed at the January 19, 2021 prehearing conference and granting Peoples’ Petition to Intervene.</w:t>
      </w:r>
    </w:p>
    <w:p w14:paraId="254EFA1F" w14:textId="77777777" w:rsidR="00DE51B7" w:rsidRPr="00591394" w:rsidRDefault="00DE51B7" w:rsidP="00C6113D">
      <w:pPr>
        <w:widowControl/>
        <w:autoSpaceDE w:val="0"/>
        <w:autoSpaceDN w:val="0"/>
        <w:spacing w:line="360" w:lineRule="auto"/>
        <w:ind w:firstLine="1440"/>
        <w:textAlignment w:val="baseline"/>
        <w:rPr>
          <w:sz w:val="26"/>
          <w:szCs w:val="26"/>
        </w:rPr>
      </w:pPr>
    </w:p>
    <w:p w14:paraId="61DE3CB8" w14:textId="2A2F6092" w:rsidR="00DE51B7" w:rsidRPr="00591394" w:rsidRDefault="00DE51B7" w:rsidP="00C6113D">
      <w:pPr>
        <w:widowControl/>
        <w:autoSpaceDE w:val="0"/>
        <w:autoSpaceDN w:val="0"/>
        <w:spacing w:line="360" w:lineRule="auto"/>
        <w:ind w:firstLine="1440"/>
        <w:rPr>
          <w:sz w:val="26"/>
          <w:szCs w:val="26"/>
        </w:rPr>
      </w:pPr>
      <w:r w:rsidRPr="00591394">
        <w:rPr>
          <w:sz w:val="26"/>
          <w:szCs w:val="26"/>
        </w:rPr>
        <w:lastRenderedPageBreak/>
        <w:t>On February 5, 2021, D</w:t>
      </w:r>
      <w:r w:rsidR="00260161" w:rsidRPr="00591394">
        <w:rPr>
          <w:sz w:val="26"/>
          <w:szCs w:val="26"/>
        </w:rPr>
        <w:t>uquesne</w:t>
      </w:r>
      <w:r w:rsidRPr="00591394">
        <w:rPr>
          <w:sz w:val="26"/>
          <w:szCs w:val="26"/>
        </w:rPr>
        <w:t xml:space="preserve">, </w:t>
      </w:r>
      <w:r w:rsidR="006923B1" w:rsidRPr="00591394">
        <w:rPr>
          <w:sz w:val="26"/>
          <w:szCs w:val="26"/>
        </w:rPr>
        <w:t>the</w:t>
      </w:r>
      <w:r w:rsidRPr="00591394">
        <w:rPr>
          <w:sz w:val="26"/>
          <w:szCs w:val="26"/>
        </w:rPr>
        <w:t xml:space="preserve"> OCA, CAUSE-PA, Peoples, and CAAP (Stipulating Parties), filed a Joint Stipulation for Admission of Testimony and Exhibits into the Evidentiary Record (Joint Stipulation).</w:t>
      </w:r>
      <w:r w:rsidRPr="00591394">
        <w:rPr>
          <w:sz w:val="26"/>
          <w:szCs w:val="26"/>
          <w:vertAlign w:val="superscript"/>
        </w:rPr>
        <w:footnoteReference w:id="5"/>
      </w:r>
      <w:r w:rsidRPr="00591394">
        <w:rPr>
          <w:sz w:val="26"/>
          <w:szCs w:val="26"/>
        </w:rPr>
        <w:t xml:space="preserve">  Each of the Stipulating Parties stipulated to the authenticity of the statements and exhibits listed in the Joint Stipulation and requested that they be admitted into the record of this proceeding on the terms and conditions set forth in the Joint Stipulation.  </w:t>
      </w:r>
    </w:p>
    <w:p w14:paraId="60785C8B" w14:textId="77777777" w:rsidR="000D6E88" w:rsidRPr="00591394" w:rsidRDefault="000D6E88" w:rsidP="00C6113D">
      <w:pPr>
        <w:widowControl/>
        <w:autoSpaceDE w:val="0"/>
        <w:autoSpaceDN w:val="0"/>
        <w:spacing w:line="360" w:lineRule="auto"/>
        <w:ind w:firstLine="1440"/>
        <w:rPr>
          <w:sz w:val="26"/>
          <w:szCs w:val="26"/>
        </w:rPr>
      </w:pPr>
    </w:p>
    <w:p w14:paraId="25CC474C" w14:textId="04832E0C" w:rsidR="00DE51B7" w:rsidRPr="00591394" w:rsidRDefault="00654418" w:rsidP="00C6113D">
      <w:pPr>
        <w:widowControl/>
        <w:autoSpaceDE w:val="0"/>
        <w:autoSpaceDN w:val="0"/>
        <w:spacing w:line="360" w:lineRule="auto"/>
        <w:ind w:firstLine="1440"/>
        <w:rPr>
          <w:sz w:val="26"/>
          <w:szCs w:val="26"/>
        </w:rPr>
      </w:pPr>
      <w:r w:rsidRPr="00591394">
        <w:rPr>
          <w:sz w:val="26"/>
          <w:szCs w:val="26"/>
        </w:rPr>
        <w:t>Also</w:t>
      </w:r>
      <w:r w:rsidR="000D6E88" w:rsidRPr="00591394">
        <w:rPr>
          <w:sz w:val="26"/>
          <w:szCs w:val="26"/>
        </w:rPr>
        <w:t>,</w:t>
      </w:r>
      <w:r w:rsidRPr="00591394">
        <w:rPr>
          <w:sz w:val="26"/>
          <w:szCs w:val="26"/>
        </w:rPr>
        <w:t xml:space="preserve"> </w:t>
      </w:r>
      <w:r w:rsidR="00DE51B7" w:rsidRPr="00591394">
        <w:rPr>
          <w:sz w:val="26"/>
          <w:szCs w:val="26"/>
        </w:rPr>
        <w:t xml:space="preserve">on February 5, 2021, the Company’s counsel emailed the </w:t>
      </w:r>
      <w:r w:rsidR="00524B45" w:rsidRPr="00591394">
        <w:rPr>
          <w:sz w:val="26"/>
          <w:szCs w:val="26"/>
        </w:rPr>
        <w:t>ALJs</w:t>
      </w:r>
      <w:r w:rsidR="00DE51B7" w:rsidRPr="00591394">
        <w:rPr>
          <w:sz w:val="26"/>
          <w:szCs w:val="26"/>
        </w:rPr>
        <w:t xml:space="preserve"> advising that all parties agreed to waive cross-examination and had reached a settlement in this matter.  Counsel also requested that the evidentiary hearing be cancelled. </w:t>
      </w:r>
    </w:p>
    <w:p w14:paraId="28D7EA07" w14:textId="77777777" w:rsidR="00DE51B7" w:rsidRPr="00591394" w:rsidRDefault="00DE51B7" w:rsidP="00C6113D">
      <w:pPr>
        <w:widowControl/>
        <w:autoSpaceDE w:val="0"/>
        <w:autoSpaceDN w:val="0"/>
        <w:spacing w:line="360" w:lineRule="auto"/>
        <w:ind w:firstLine="1440"/>
        <w:rPr>
          <w:sz w:val="26"/>
          <w:szCs w:val="26"/>
        </w:rPr>
      </w:pPr>
    </w:p>
    <w:p w14:paraId="7E39E9F4" w14:textId="77777777" w:rsidR="00DE51B7" w:rsidRPr="00591394" w:rsidRDefault="00DE51B7" w:rsidP="00C6113D">
      <w:pPr>
        <w:widowControl/>
        <w:autoSpaceDE w:val="0"/>
        <w:autoSpaceDN w:val="0"/>
        <w:spacing w:line="360" w:lineRule="auto"/>
        <w:ind w:firstLine="1440"/>
        <w:rPr>
          <w:sz w:val="26"/>
          <w:szCs w:val="26"/>
        </w:rPr>
      </w:pPr>
      <w:r w:rsidRPr="00591394">
        <w:rPr>
          <w:sz w:val="26"/>
          <w:szCs w:val="26"/>
        </w:rPr>
        <w:t>By Notice dated February 5, 2021, the evidentiary hearing was cancelled.</w:t>
      </w:r>
    </w:p>
    <w:p w14:paraId="0ED12690" w14:textId="77777777" w:rsidR="00DE51B7" w:rsidRPr="00591394" w:rsidRDefault="00DE51B7" w:rsidP="00C6113D">
      <w:pPr>
        <w:widowControl/>
        <w:autoSpaceDE w:val="0"/>
        <w:autoSpaceDN w:val="0"/>
        <w:spacing w:line="360" w:lineRule="auto"/>
        <w:ind w:firstLine="1440"/>
        <w:rPr>
          <w:sz w:val="26"/>
          <w:szCs w:val="26"/>
        </w:rPr>
      </w:pPr>
    </w:p>
    <w:p w14:paraId="08C10B9A" w14:textId="77777777" w:rsidR="00DE51B7" w:rsidRPr="00591394" w:rsidRDefault="00DE51B7" w:rsidP="00C6113D">
      <w:pPr>
        <w:widowControl/>
        <w:autoSpaceDE w:val="0"/>
        <w:autoSpaceDN w:val="0"/>
        <w:spacing w:line="360" w:lineRule="auto"/>
        <w:ind w:firstLine="1440"/>
        <w:rPr>
          <w:sz w:val="26"/>
          <w:szCs w:val="26"/>
        </w:rPr>
      </w:pPr>
      <w:r w:rsidRPr="00591394">
        <w:rPr>
          <w:sz w:val="26"/>
          <w:szCs w:val="26"/>
        </w:rPr>
        <w:t xml:space="preserve">An Interim Order was entered on February 8, 2021, adopting the Joint Stipulation and admitting the testimonies and exhibits listed in the Joint Stipulation into the record.  </w:t>
      </w:r>
    </w:p>
    <w:p w14:paraId="70E6C9A4" w14:textId="77777777" w:rsidR="00DE51B7" w:rsidRPr="00591394" w:rsidRDefault="00DE51B7" w:rsidP="00C6113D">
      <w:pPr>
        <w:widowControl/>
        <w:autoSpaceDE w:val="0"/>
        <w:autoSpaceDN w:val="0"/>
        <w:spacing w:line="360" w:lineRule="auto"/>
        <w:ind w:firstLine="1440"/>
        <w:rPr>
          <w:sz w:val="26"/>
          <w:szCs w:val="26"/>
        </w:rPr>
      </w:pPr>
    </w:p>
    <w:p w14:paraId="60D28958" w14:textId="4D259185" w:rsidR="00DE51B7" w:rsidRPr="00591394" w:rsidRDefault="00DE51B7" w:rsidP="00C6113D">
      <w:pPr>
        <w:widowControl/>
        <w:autoSpaceDE w:val="0"/>
        <w:autoSpaceDN w:val="0"/>
        <w:spacing w:line="360" w:lineRule="auto"/>
        <w:ind w:firstLine="1440"/>
        <w:rPr>
          <w:sz w:val="26"/>
          <w:szCs w:val="26"/>
        </w:rPr>
      </w:pPr>
      <w:r w:rsidRPr="00591394">
        <w:rPr>
          <w:sz w:val="26"/>
          <w:szCs w:val="26"/>
        </w:rPr>
        <w:t xml:space="preserve">On February 18, 2021, </w:t>
      </w:r>
      <w:r w:rsidRPr="00591394">
        <w:rPr>
          <w:bCs/>
          <w:sz w:val="26"/>
          <w:szCs w:val="26"/>
        </w:rPr>
        <w:t>D</w:t>
      </w:r>
      <w:r w:rsidR="00260161" w:rsidRPr="00591394">
        <w:rPr>
          <w:bCs/>
          <w:sz w:val="26"/>
          <w:szCs w:val="26"/>
        </w:rPr>
        <w:t>uquesne</w:t>
      </w:r>
      <w:r w:rsidRPr="00591394">
        <w:rPr>
          <w:bCs/>
          <w:sz w:val="26"/>
          <w:szCs w:val="26"/>
        </w:rPr>
        <w:t xml:space="preserve">, CAUSE-PA, CAAP, and </w:t>
      </w:r>
      <w:r w:rsidR="006923B1" w:rsidRPr="00591394">
        <w:rPr>
          <w:bCs/>
          <w:sz w:val="26"/>
          <w:szCs w:val="26"/>
        </w:rPr>
        <w:t xml:space="preserve">the </w:t>
      </w:r>
      <w:r w:rsidRPr="00591394">
        <w:rPr>
          <w:bCs/>
          <w:sz w:val="26"/>
          <w:szCs w:val="26"/>
        </w:rPr>
        <w:t>OCA (</w:t>
      </w:r>
      <w:r w:rsidR="00A76EB1" w:rsidRPr="00591394">
        <w:rPr>
          <w:bCs/>
          <w:sz w:val="26"/>
          <w:szCs w:val="26"/>
        </w:rPr>
        <w:t>Joint Petitioners</w:t>
      </w:r>
      <w:r w:rsidRPr="00591394">
        <w:rPr>
          <w:bCs/>
          <w:sz w:val="26"/>
          <w:szCs w:val="26"/>
        </w:rPr>
        <w:t>) filed a Joint Petition for Full Settlement (Settlement</w:t>
      </w:r>
      <w:r w:rsidR="002B0A9D" w:rsidRPr="00591394">
        <w:rPr>
          <w:bCs/>
          <w:sz w:val="26"/>
          <w:szCs w:val="26"/>
        </w:rPr>
        <w:t xml:space="preserve"> or Joint Petition</w:t>
      </w:r>
      <w:r w:rsidR="00A14579" w:rsidRPr="00591394">
        <w:rPr>
          <w:bCs/>
          <w:sz w:val="26"/>
          <w:szCs w:val="26"/>
        </w:rPr>
        <w:t xml:space="preserve"> for Settlement</w:t>
      </w:r>
      <w:r w:rsidRPr="00591394">
        <w:rPr>
          <w:bCs/>
          <w:sz w:val="26"/>
          <w:szCs w:val="26"/>
        </w:rPr>
        <w:t xml:space="preserve">).  </w:t>
      </w:r>
      <w:r w:rsidRPr="00591394">
        <w:rPr>
          <w:sz w:val="26"/>
          <w:szCs w:val="26"/>
        </w:rPr>
        <w:t xml:space="preserve">The </w:t>
      </w:r>
      <w:r w:rsidR="002B0A9D" w:rsidRPr="00591394">
        <w:rPr>
          <w:sz w:val="26"/>
          <w:szCs w:val="26"/>
        </w:rPr>
        <w:t>Joint Petition</w:t>
      </w:r>
      <w:r w:rsidR="00A14579" w:rsidRPr="00591394">
        <w:rPr>
          <w:sz w:val="26"/>
          <w:szCs w:val="26"/>
        </w:rPr>
        <w:t xml:space="preserve"> for Settlement</w:t>
      </w:r>
      <w:r w:rsidRPr="00591394">
        <w:rPr>
          <w:sz w:val="26"/>
          <w:szCs w:val="26"/>
        </w:rPr>
        <w:t xml:space="preserve"> indicates that</w:t>
      </w:r>
      <w:r w:rsidRPr="00591394">
        <w:rPr>
          <w:bCs/>
          <w:sz w:val="26"/>
          <w:szCs w:val="26"/>
        </w:rPr>
        <w:t xml:space="preserve"> the Settlement has been agreed to or not opposed by all active </w:t>
      </w:r>
      <w:r w:rsidR="006B5929" w:rsidRPr="00591394">
        <w:rPr>
          <w:bCs/>
          <w:sz w:val="26"/>
          <w:szCs w:val="26"/>
        </w:rPr>
        <w:t>P</w:t>
      </w:r>
      <w:r w:rsidRPr="00591394">
        <w:rPr>
          <w:bCs/>
          <w:sz w:val="26"/>
          <w:szCs w:val="26"/>
        </w:rPr>
        <w:t>arties to this proceeding</w:t>
      </w:r>
      <w:r w:rsidRPr="00591394">
        <w:rPr>
          <w:sz w:val="26"/>
          <w:szCs w:val="26"/>
        </w:rPr>
        <w:t xml:space="preserve">.  </w:t>
      </w:r>
      <w:r w:rsidR="00E90557" w:rsidRPr="00591394">
        <w:rPr>
          <w:bCs/>
          <w:sz w:val="26"/>
          <w:szCs w:val="26"/>
        </w:rPr>
        <w:t>Also,</w:t>
      </w:r>
      <w:r w:rsidRPr="00591394">
        <w:rPr>
          <w:bCs/>
          <w:sz w:val="26"/>
          <w:szCs w:val="26"/>
        </w:rPr>
        <w:t xml:space="preserve"> on February</w:t>
      </w:r>
      <w:r w:rsidR="0043419B">
        <w:rPr>
          <w:bCs/>
          <w:sz w:val="26"/>
          <w:szCs w:val="26"/>
        </w:rPr>
        <w:t> </w:t>
      </w:r>
      <w:r w:rsidRPr="00591394">
        <w:rPr>
          <w:bCs/>
          <w:sz w:val="26"/>
          <w:szCs w:val="26"/>
        </w:rPr>
        <w:t>18,</w:t>
      </w:r>
      <w:r w:rsidR="0043419B">
        <w:rPr>
          <w:bCs/>
          <w:sz w:val="26"/>
          <w:szCs w:val="26"/>
        </w:rPr>
        <w:t> </w:t>
      </w:r>
      <w:r w:rsidRPr="00591394">
        <w:rPr>
          <w:bCs/>
          <w:sz w:val="26"/>
          <w:szCs w:val="26"/>
        </w:rPr>
        <w:t xml:space="preserve">2021, OSBA filed a </w:t>
      </w:r>
      <w:r w:rsidRPr="00591394">
        <w:rPr>
          <w:sz w:val="26"/>
          <w:szCs w:val="26"/>
        </w:rPr>
        <w:t xml:space="preserve">Letter of Non-Opposition to the Joint Petition for Settlement.  </w:t>
      </w:r>
    </w:p>
    <w:p w14:paraId="07EBDD0C" w14:textId="77777777" w:rsidR="00DE51B7" w:rsidRPr="00591394" w:rsidRDefault="00DE51B7" w:rsidP="00C6113D">
      <w:pPr>
        <w:widowControl/>
        <w:autoSpaceDE w:val="0"/>
        <w:autoSpaceDN w:val="0"/>
        <w:spacing w:line="360" w:lineRule="auto"/>
        <w:ind w:firstLine="1440"/>
        <w:rPr>
          <w:sz w:val="26"/>
          <w:szCs w:val="26"/>
        </w:rPr>
      </w:pPr>
    </w:p>
    <w:p w14:paraId="7E8BD44C" w14:textId="29A39089" w:rsidR="00DE51B7" w:rsidRPr="00591394" w:rsidRDefault="00DE51B7" w:rsidP="00C6113D">
      <w:pPr>
        <w:widowControl/>
        <w:autoSpaceDE w:val="0"/>
        <w:autoSpaceDN w:val="0"/>
        <w:spacing w:line="360" w:lineRule="auto"/>
        <w:ind w:firstLine="1440"/>
        <w:rPr>
          <w:sz w:val="26"/>
          <w:szCs w:val="26"/>
        </w:rPr>
      </w:pPr>
      <w:r w:rsidRPr="00591394">
        <w:rPr>
          <w:sz w:val="26"/>
          <w:szCs w:val="26"/>
        </w:rPr>
        <w:t>On March 1, 2021, D</w:t>
      </w:r>
      <w:r w:rsidR="00260161" w:rsidRPr="00591394">
        <w:rPr>
          <w:sz w:val="26"/>
          <w:szCs w:val="26"/>
        </w:rPr>
        <w:t>uquesne</w:t>
      </w:r>
      <w:r w:rsidRPr="00591394">
        <w:rPr>
          <w:sz w:val="26"/>
          <w:szCs w:val="26"/>
        </w:rPr>
        <w:t xml:space="preserve"> </w:t>
      </w:r>
      <w:r w:rsidR="003C4EC8" w:rsidRPr="00591394">
        <w:rPr>
          <w:sz w:val="26"/>
          <w:szCs w:val="26"/>
        </w:rPr>
        <w:t>filed its</w:t>
      </w:r>
      <w:r w:rsidR="00940677" w:rsidRPr="00591394">
        <w:rPr>
          <w:sz w:val="26"/>
          <w:szCs w:val="26"/>
        </w:rPr>
        <w:t xml:space="preserve"> </w:t>
      </w:r>
      <w:r w:rsidRPr="00591394">
        <w:rPr>
          <w:i/>
          <w:iCs/>
          <w:sz w:val="26"/>
          <w:szCs w:val="26"/>
        </w:rPr>
        <w:t xml:space="preserve">Revised </w:t>
      </w:r>
      <w:r w:rsidR="00FD0906" w:rsidRPr="00591394">
        <w:rPr>
          <w:i/>
          <w:iCs/>
          <w:sz w:val="26"/>
          <w:szCs w:val="26"/>
        </w:rPr>
        <w:t xml:space="preserve">Phase IV </w:t>
      </w:r>
      <w:r w:rsidRPr="00591394">
        <w:rPr>
          <w:i/>
          <w:iCs/>
          <w:sz w:val="26"/>
          <w:szCs w:val="26"/>
        </w:rPr>
        <w:t>Plan</w:t>
      </w:r>
      <w:r w:rsidR="00940677" w:rsidRPr="00591394">
        <w:rPr>
          <w:sz w:val="26"/>
          <w:szCs w:val="26"/>
        </w:rPr>
        <w:t xml:space="preserve"> with the Commission and served the Parties with </w:t>
      </w:r>
      <w:r w:rsidR="00D778F1" w:rsidRPr="00591394">
        <w:rPr>
          <w:sz w:val="26"/>
          <w:szCs w:val="26"/>
        </w:rPr>
        <w:t xml:space="preserve">the </w:t>
      </w:r>
      <w:r w:rsidR="007F36EA" w:rsidRPr="00591394">
        <w:rPr>
          <w:i/>
          <w:sz w:val="26"/>
          <w:szCs w:val="26"/>
        </w:rPr>
        <w:t>Revised Phase IV Plan</w:t>
      </w:r>
      <w:r w:rsidR="007F36EA" w:rsidRPr="00591394">
        <w:rPr>
          <w:sz w:val="26"/>
          <w:szCs w:val="26"/>
        </w:rPr>
        <w:t xml:space="preserve">.  </w:t>
      </w:r>
      <w:r w:rsidRPr="00591394">
        <w:rPr>
          <w:sz w:val="26"/>
          <w:szCs w:val="26"/>
        </w:rPr>
        <w:t xml:space="preserve"> </w:t>
      </w:r>
    </w:p>
    <w:p w14:paraId="466CFE9D" w14:textId="77777777" w:rsidR="00DE51B7" w:rsidRPr="00591394" w:rsidRDefault="00DE51B7" w:rsidP="00C6113D">
      <w:pPr>
        <w:widowControl/>
        <w:spacing w:line="360" w:lineRule="auto"/>
        <w:rPr>
          <w:sz w:val="26"/>
          <w:szCs w:val="26"/>
        </w:rPr>
      </w:pPr>
    </w:p>
    <w:p w14:paraId="23313432" w14:textId="454F91B2" w:rsidR="00A02D41" w:rsidRPr="00591394" w:rsidRDefault="00A02D41" w:rsidP="00C6113D">
      <w:pPr>
        <w:widowControl/>
        <w:spacing w:line="360" w:lineRule="auto"/>
        <w:rPr>
          <w:bCs/>
          <w:sz w:val="26"/>
          <w:szCs w:val="26"/>
        </w:rPr>
      </w:pPr>
      <w:r w:rsidRPr="00591394">
        <w:rPr>
          <w:bCs/>
          <w:sz w:val="26"/>
          <w:szCs w:val="26"/>
        </w:rPr>
        <w:lastRenderedPageBreak/>
        <w:tab/>
      </w:r>
      <w:r w:rsidRPr="00591394">
        <w:rPr>
          <w:bCs/>
          <w:sz w:val="26"/>
          <w:szCs w:val="26"/>
        </w:rPr>
        <w:tab/>
      </w:r>
      <w:r w:rsidR="00031B70" w:rsidRPr="00591394">
        <w:rPr>
          <w:bCs/>
          <w:sz w:val="26"/>
          <w:szCs w:val="26"/>
        </w:rPr>
        <w:t xml:space="preserve">By Order Certifying the Record dated </w:t>
      </w:r>
      <w:r w:rsidR="007667B4" w:rsidRPr="00591394">
        <w:rPr>
          <w:bCs/>
          <w:sz w:val="26"/>
          <w:szCs w:val="26"/>
        </w:rPr>
        <w:t>March 2</w:t>
      </w:r>
      <w:r w:rsidR="00031B70" w:rsidRPr="00591394">
        <w:rPr>
          <w:bCs/>
          <w:sz w:val="26"/>
          <w:szCs w:val="26"/>
        </w:rPr>
        <w:t>, 20</w:t>
      </w:r>
      <w:r w:rsidR="007667B4" w:rsidRPr="00591394">
        <w:rPr>
          <w:bCs/>
          <w:sz w:val="26"/>
          <w:szCs w:val="26"/>
        </w:rPr>
        <w:t>21</w:t>
      </w:r>
      <w:r w:rsidR="00031B70" w:rsidRPr="00591394">
        <w:rPr>
          <w:bCs/>
          <w:sz w:val="26"/>
          <w:szCs w:val="26"/>
        </w:rPr>
        <w:t>, ALJ</w:t>
      </w:r>
      <w:r w:rsidR="007667B4" w:rsidRPr="00591394">
        <w:rPr>
          <w:bCs/>
          <w:sz w:val="26"/>
          <w:szCs w:val="26"/>
        </w:rPr>
        <w:t>s</w:t>
      </w:r>
      <w:r w:rsidR="00031B70" w:rsidRPr="00591394">
        <w:rPr>
          <w:bCs/>
          <w:sz w:val="26"/>
          <w:szCs w:val="26"/>
        </w:rPr>
        <w:t xml:space="preserve"> </w:t>
      </w:r>
      <w:r w:rsidR="000008EE" w:rsidRPr="00591394">
        <w:rPr>
          <w:bCs/>
          <w:sz w:val="26"/>
          <w:szCs w:val="26"/>
        </w:rPr>
        <w:t xml:space="preserve">Hoyer and </w:t>
      </w:r>
      <w:r w:rsidR="007667B4" w:rsidRPr="00591394">
        <w:rPr>
          <w:bCs/>
          <w:sz w:val="26"/>
          <w:szCs w:val="26"/>
        </w:rPr>
        <w:t>DeVoe</w:t>
      </w:r>
      <w:r w:rsidR="00031B70" w:rsidRPr="00591394">
        <w:rPr>
          <w:bCs/>
          <w:sz w:val="26"/>
          <w:szCs w:val="26"/>
        </w:rPr>
        <w:t xml:space="preserve"> provided a history of the </w:t>
      </w:r>
      <w:r w:rsidR="00AF56F0" w:rsidRPr="00591394">
        <w:rPr>
          <w:bCs/>
          <w:sz w:val="26"/>
          <w:szCs w:val="26"/>
        </w:rPr>
        <w:t>proceeding</w:t>
      </w:r>
      <w:r w:rsidR="00031B70" w:rsidRPr="00591394">
        <w:rPr>
          <w:bCs/>
          <w:sz w:val="26"/>
          <w:szCs w:val="26"/>
        </w:rPr>
        <w:t xml:space="preserve">; delineated the transcripts, statements and exhibits admitted into the record; and certified the record to the Commission for consideration and disposition. </w:t>
      </w:r>
    </w:p>
    <w:p w14:paraId="31AC168A" w14:textId="77777777" w:rsidR="00300F58" w:rsidRPr="00591394" w:rsidRDefault="00300F58" w:rsidP="00C6113D">
      <w:pPr>
        <w:widowControl/>
        <w:spacing w:after="200" w:line="276" w:lineRule="auto"/>
        <w:rPr>
          <w:sz w:val="26"/>
          <w:szCs w:val="26"/>
        </w:rPr>
      </w:pPr>
    </w:p>
    <w:p w14:paraId="31E984B3" w14:textId="77777777" w:rsidR="00300F58" w:rsidRPr="00591394" w:rsidRDefault="00300F58" w:rsidP="00C6113D">
      <w:pPr>
        <w:pStyle w:val="Heading1"/>
        <w:rPr>
          <w:szCs w:val="26"/>
        </w:rPr>
      </w:pPr>
      <w:bookmarkStart w:id="10" w:name="_Toc66354609"/>
      <w:r w:rsidRPr="00591394">
        <w:rPr>
          <w:szCs w:val="26"/>
        </w:rPr>
        <w:t>III.</w:t>
      </w:r>
      <w:r w:rsidRPr="00591394">
        <w:rPr>
          <w:szCs w:val="26"/>
        </w:rPr>
        <w:tab/>
        <w:t xml:space="preserve">Description of the </w:t>
      </w:r>
      <w:r w:rsidR="00142857" w:rsidRPr="00591394">
        <w:rPr>
          <w:szCs w:val="26"/>
        </w:rPr>
        <w:t>Plan</w:t>
      </w:r>
      <w:bookmarkEnd w:id="10"/>
    </w:p>
    <w:p w14:paraId="66949553" w14:textId="77777777" w:rsidR="00300F58" w:rsidRPr="00591394" w:rsidRDefault="00300F58" w:rsidP="00C6113D">
      <w:pPr>
        <w:widowControl/>
        <w:spacing w:line="360" w:lineRule="auto"/>
        <w:rPr>
          <w:sz w:val="26"/>
          <w:szCs w:val="26"/>
        </w:rPr>
      </w:pPr>
    </w:p>
    <w:p w14:paraId="6D318A3C" w14:textId="1A31616B" w:rsidR="006353AB" w:rsidRPr="00591394" w:rsidRDefault="00F32BA3" w:rsidP="00C6113D">
      <w:pPr>
        <w:widowControl/>
        <w:spacing w:line="360" w:lineRule="auto"/>
        <w:rPr>
          <w:b/>
          <w:sz w:val="26"/>
          <w:szCs w:val="26"/>
        </w:rPr>
      </w:pPr>
      <w:r w:rsidRPr="00591394">
        <w:rPr>
          <w:sz w:val="26"/>
          <w:szCs w:val="26"/>
        </w:rPr>
        <w:tab/>
      </w:r>
      <w:r w:rsidRPr="00591394">
        <w:rPr>
          <w:sz w:val="26"/>
          <w:szCs w:val="26"/>
        </w:rPr>
        <w:tab/>
        <w:t xml:space="preserve">The </w:t>
      </w:r>
      <w:r w:rsidRPr="00591394">
        <w:rPr>
          <w:i/>
          <w:sz w:val="26"/>
          <w:szCs w:val="26"/>
        </w:rPr>
        <w:t>Phase</w:t>
      </w:r>
      <w:r w:rsidRPr="00591394">
        <w:rPr>
          <w:sz w:val="26"/>
          <w:szCs w:val="26"/>
        </w:rPr>
        <w:t xml:space="preserve"> </w:t>
      </w:r>
      <w:r w:rsidRPr="00591394">
        <w:rPr>
          <w:i/>
          <w:sz w:val="26"/>
          <w:szCs w:val="26"/>
        </w:rPr>
        <w:t>I</w:t>
      </w:r>
      <w:r w:rsidR="004D44CE" w:rsidRPr="00591394">
        <w:rPr>
          <w:i/>
          <w:sz w:val="26"/>
          <w:szCs w:val="26"/>
        </w:rPr>
        <w:t>V</w:t>
      </w:r>
      <w:r w:rsidRPr="00591394">
        <w:rPr>
          <w:i/>
          <w:sz w:val="26"/>
          <w:szCs w:val="26"/>
        </w:rPr>
        <w:t xml:space="preserve"> Implementation Order</w:t>
      </w:r>
      <w:r w:rsidRPr="00591394">
        <w:rPr>
          <w:sz w:val="26"/>
          <w:szCs w:val="26"/>
        </w:rPr>
        <w:t xml:space="preserve"> established a Phase I</w:t>
      </w:r>
      <w:r w:rsidR="00FA692C" w:rsidRPr="00591394">
        <w:rPr>
          <w:sz w:val="26"/>
          <w:szCs w:val="26"/>
        </w:rPr>
        <w:t>V</w:t>
      </w:r>
      <w:r w:rsidRPr="00591394">
        <w:rPr>
          <w:sz w:val="26"/>
          <w:szCs w:val="26"/>
        </w:rPr>
        <w:t xml:space="preserve"> consumption reduction target for Duquesne of </w:t>
      </w:r>
      <w:r w:rsidR="00AF069E" w:rsidRPr="00591394">
        <w:rPr>
          <w:sz w:val="26"/>
          <w:szCs w:val="26"/>
        </w:rPr>
        <w:t>348,126</w:t>
      </w:r>
      <w:r w:rsidRPr="00591394">
        <w:rPr>
          <w:sz w:val="26"/>
          <w:szCs w:val="26"/>
        </w:rPr>
        <w:t xml:space="preserve"> MWh over a five-year period from June</w:t>
      </w:r>
      <w:r w:rsidR="0043419B">
        <w:rPr>
          <w:sz w:val="26"/>
          <w:szCs w:val="26"/>
        </w:rPr>
        <w:t> </w:t>
      </w:r>
      <w:r w:rsidRPr="00591394">
        <w:rPr>
          <w:sz w:val="26"/>
          <w:szCs w:val="26"/>
        </w:rPr>
        <w:t>1,</w:t>
      </w:r>
      <w:r w:rsidR="0043419B">
        <w:rPr>
          <w:sz w:val="26"/>
          <w:szCs w:val="26"/>
        </w:rPr>
        <w:t> </w:t>
      </w:r>
      <w:r w:rsidRPr="00591394">
        <w:rPr>
          <w:sz w:val="26"/>
          <w:szCs w:val="26"/>
        </w:rPr>
        <w:t>20</w:t>
      </w:r>
      <w:r w:rsidR="00FB40C7" w:rsidRPr="00591394">
        <w:rPr>
          <w:sz w:val="26"/>
          <w:szCs w:val="26"/>
        </w:rPr>
        <w:t>21</w:t>
      </w:r>
      <w:r w:rsidRPr="00591394">
        <w:rPr>
          <w:sz w:val="26"/>
          <w:szCs w:val="26"/>
        </w:rPr>
        <w:t xml:space="preserve"> through May 31, 202</w:t>
      </w:r>
      <w:r w:rsidR="00FB40C7" w:rsidRPr="00591394">
        <w:rPr>
          <w:sz w:val="26"/>
          <w:szCs w:val="26"/>
        </w:rPr>
        <w:t>6</w:t>
      </w:r>
      <w:r w:rsidR="000C3EDC" w:rsidRPr="00591394">
        <w:rPr>
          <w:sz w:val="26"/>
          <w:szCs w:val="26"/>
        </w:rPr>
        <w:t>,</w:t>
      </w:r>
      <w:r w:rsidR="00060FCE" w:rsidRPr="00591394">
        <w:rPr>
          <w:sz w:val="26"/>
          <w:szCs w:val="26"/>
        </w:rPr>
        <w:t xml:space="preserve"> and a </w:t>
      </w:r>
      <w:r w:rsidR="00A66DE0">
        <w:rPr>
          <w:sz w:val="26"/>
          <w:szCs w:val="26"/>
        </w:rPr>
        <w:t xml:space="preserve">peak </w:t>
      </w:r>
      <w:r w:rsidR="00060FCE" w:rsidRPr="00591394">
        <w:rPr>
          <w:sz w:val="26"/>
          <w:szCs w:val="26"/>
        </w:rPr>
        <w:t xml:space="preserve">demand reduction target of </w:t>
      </w:r>
      <w:r w:rsidR="00AF069E" w:rsidRPr="00591394">
        <w:rPr>
          <w:sz w:val="26"/>
          <w:szCs w:val="26"/>
        </w:rPr>
        <w:t>6</w:t>
      </w:r>
      <w:r w:rsidR="00060FCE" w:rsidRPr="00591394">
        <w:rPr>
          <w:sz w:val="26"/>
          <w:szCs w:val="26"/>
        </w:rPr>
        <w:t xml:space="preserve">2 MW.  </w:t>
      </w:r>
      <w:r w:rsidR="00060FCE" w:rsidRPr="00591394">
        <w:rPr>
          <w:i/>
          <w:sz w:val="26"/>
          <w:szCs w:val="26"/>
        </w:rPr>
        <w:t>Phase I</w:t>
      </w:r>
      <w:r w:rsidR="00A53044" w:rsidRPr="00591394">
        <w:rPr>
          <w:i/>
          <w:sz w:val="26"/>
          <w:szCs w:val="26"/>
        </w:rPr>
        <w:t>V</w:t>
      </w:r>
      <w:r w:rsidR="00060FCE" w:rsidRPr="00591394">
        <w:rPr>
          <w:i/>
          <w:sz w:val="26"/>
          <w:szCs w:val="26"/>
        </w:rPr>
        <w:t xml:space="preserve"> Implementation Order </w:t>
      </w:r>
      <w:r w:rsidR="00060FCE" w:rsidRPr="00591394">
        <w:rPr>
          <w:sz w:val="26"/>
          <w:szCs w:val="26"/>
        </w:rPr>
        <w:t xml:space="preserve">at </w:t>
      </w:r>
      <w:r w:rsidR="00633BAF" w:rsidRPr="00591394">
        <w:rPr>
          <w:sz w:val="26"/>
          <w:szCs w:val="26"/>
        </w:rPr>
        <w:t>8</w:t>
      </w:r>
      <w:r w:rsidR="00060FCE" w:rsidRPr="00591394">
        <w:rPr>
          <w:sz w:val="26"/>
          <w:szCs w:val="26"/>
        </w:rPr>
        <w:t xml:space="preserve">.  In its </w:t>
      </w:r>
      <w:r w:rsidR="00D54ED5" w:rsidRPr="00591394">
        <w:rPr>
          <w:i/>
          <w:iCs/>
          <w:sz w:val="26"/>
          <w:szCs w:val="26"/>
        </w:rPr>
        <w:t>Revised Phase IV Plan</w:t>
      </w:r>
      <w:r w:rsidR="00060FCE" w:rsidRPr="00591394">
        <w:rPr>
          <w:sz w:val="26"/>
          <w:szCs w:val="26"/>
        </w:rPr>
        <w:t>, Duquesne explained that it</w:t>
      </w:r>
      <w:r w:rsidR="001B2EFD" w:rsidRPr="00591394">
        <w:rPr>
          <w:sz w:val="26"/>
          <w:szCs w:val="26"/>
        </w:rPr>
        <w:t xml:space="preserve">s </w:t>
      </w:r>
      <w:r w:rsidR="0030554A" w:rsidRPr="00591394">
        <w:rPr>
          <w:sz w:val="26"/>
          <w:szCs w:val="26"/>
        </w:rPr>
        <w:t>p</w:t>
      </w:r>
      <w:r w:rsidR="001B2EFD" w:rsidRPr="00591394">
        <w:rPr>
          <w:sz w:val="26"/>
          <w:szCs w:val="26"/>
        </w:rPr>
        <w:t xml:space="preserve">lan includes programs that are being continued as previously implemented, modified based on previous </w:t>
      </w:r>
      <w:r w:rsidR="00804581" w:rsidRPr="00591394">
        <w:rPr>
          <w:sz w:val="26"/>
          <w:szCs w:val="26"/>
        </w:rPr>
        <w:t>years</w:t>
      </w:r>
      <w:r w:rsidR="001B2EFD" w:rsidRPr="00591394">
        <w:rPr>
          <w:sz w:val="26"/>
          <w:szCs w:val="26"/>
        </w:rPr>
        <w:t xml:space="preserve">’ experience implementing them, and newly added programs.  </w:t>
      </w:r>
      <w:r w:rsidR="00133116" w:rsidRPr="00591394">
        <w:rPr>
          <w:i/>
          <w:iCs/>
          <w:sz w:val="26"/>
          <w:szCs w:val="26"/>
        </w:rPr>
        <w:t>Revised Phase IV Plan</w:t>
      </w:r>
      <w:r w:rsidR="00133116" w:rsidRPr="00591394">
        <w:rPr>
          <w:sz w:val="26"/>
          <w:szCs w:val="26"/>
        </w:rPr>
        <w:t xml:space="preserve"> at 10.  </w:t>
      </w:r>
      <w:r w:rsidR="00B37D43" w:rsidRPr="00591394">
        <w:rPr>
          <w:sz w:val="26"/>
          <w:szCs w:val="26"/>
        </w:rPr>
        <w:t>Duquesne provided t</w:t>
      </w:r>
      <w:r w:rsidR="007B6B0B" w:rsidRPr="00591394">
        <w:rPr>
          <w:sz w:val="26"/>
          <w:szCs w:val="26"/>
        </w:rPr>
        <w:t xml:space="preserve">he following summary of its </w:t>
      </w:r>
      <w:r w:rsidR="00D91D77" w:rsidRPr="00591394">
        <w:rPr>
          <w:sz w:val="26"/>
          <w:szCs w:val="26"/>
        </w:rPr>
        <w:t xml:space="preserve">proposed </w:t>
      </w:r>
      <w:r w:rsidR="00B37D43" w:rsidRPr="00591394">
        <w:rPr>
          <w:sz w:val="26"/>
          <w:szCs w:val="26"/>
        </w:rPr>
        <w:t>programs:</w:t>
      </w:r>
    </w:p>
    <w:p w14:paraId="20910E05" w14:textId="77777777" w:rsidR="00797DFA" w:rsidRPr="00591394" w:rsidRDefault="00797DFA" w:rsidP="00C6113D">
      <w:pPr>
        <w:widowControl/>
        <w:rPr>
          <w:sz w:val="26"/>
          <w:szCs w:val="26"/>
        </w:rPr>
      </w:pPr>
    </w:p>
    <w:p w14:paraId="10BE14FB" w14:textId="2650A19A" w:rsidR="00EF06E8" w:rsidRPr="00591394" w:rsidRDefault="006353AB" w:rsidP="00C6113D">
      <w:pPr>
        <w:pStyle w:val="PUC111Sub-Title"/>
        <w:numPr>
          <w:ilvl w:val="0"/>
          <w:numId w:val="0"/>
        </w:numPr>
        <w:spacing w:before="0" w:after="0"/>
        <w:ind w:left="1440" w:right="1440"/>
        <w:rPr>
          <w:sz w:val="26"/>
          <w:szCs w:val="26"/>
        </w:rPr>
      </w:pPr>
      <w:r w:rsidRPr="00591394">
        <w:rPr>
          <w:b/>
          <w:sz w:val="26"/>
          <w:szCs w:val="26"/>
        </w:rPr>
        <w:t xml:space="preserve">Residential Appliance </w:t>
      </w:r>
      <w:r w:rsidRPr="00591394">
        <w:rPr>
          <w:b/>
          <w:kern w:val="32"/>
          <w:sz w:val="26"/>
          <w:szCs w:val="26"/>
        </w:rPr>
        <w:t>Recycling Program</w:t>
      </w:r>
      <w:r w:rsidR="00E949B0" w:rsidRPr="00591394">
        <w:rPr>
          <w:b/>
          <w:kern w:val="32"/>
          <w:sz w:val="26"/>
          <w:szCs w:val="26"/>
        </w:rPr>
        <w:t xml:space="preserve"> </w:t>
      </w:r>
      <w:r w:rsidR="0043419B">
        <w:rPr>
          <w:b/>
          <w:kern w:val="32"/>
          <w:sz w:val="26"/>
          <w:szCs w:val="26"/>
        </w:rPr>
        <w:t>–</w:t>
      </w:r>
      <w:r w:rsidRPr="00591394">
        <w:rPr>
          <w:b/>
          <w:kern w:val="32"/>
          <w:sz w:val="26"/>
          <w:szCs w:val="26"/>
        </w:rPr>
        <w:t xml:space="preserve"> </w:t>
      </w:r>
      <w:r w:rsidRPr="00591394">
        <w:rPr>
          <w:kern w:val="32"/>
          <w:sz w:val="26"/>
          <w:szCs w:val="26"/>
        </w:rPr>
        <w:t>This p</w:t>
      </w:r>
      <w:r w:rsidRPr="00591394">
        <w:rPr>
          <w:sz w:val="26"/>
          <w:szCs w:val="26"/>
        </w:rPr>
        <w:t xml:space="preserve">rogram encourages residential customers to turn in their older operating refrigerators and freezers to be recycled. To encourage participation in this program, </w:t>
      </w:r>
      <w:r w:rsidR="008F19C5" w:rsidRPr="00591394">
        <w:rPr>
          <w:sz w:val="26"/>
          <w:szCs w:val="26"/>
        </w:rPr>
        <w:t xml:space="preserve">an Incentive </w:t>
      </w:r>
      <w:r w:rsidR="00D64EBA" w:rsidRPr="00591394">
        <w:rPr>
          <w:sz w:val="26"/>
          <w:szCs w:val="26"/>
        </w:rPr>
        <w:t xml:space="preserve">Rebate is offered for the removal of an older, working unit.  </w:t>
      </w:r>
    </w:p>
    <w:p w14:paraId="67379615" w14:textId="77777777" w:rsidR="007D153C" w:rsidRPr="00591394" w:rsidRDefault="007D153C" w:rsidP="00C6113D">
      <w:pPr>
        <w:widowControl/>
        <w:rPr>
          <w:sz w:val="26"/>
          <w:szCs w:val="26"/>
        </w:rPr>
      </w:pPr>
    </w:p>
    <w:p w14:paraId="78CD00B1" w14:textId="355931CB" w:rsidR="00727B81" w:rsidRPr="00591394" w:rsidRDefault="00677D93" w:rsidP="00C6113D">
      <w:pPr>
        <w:pStyle w:val="PUC111Sub-Title"/>
        <w:numPr>
          <w:ilvl w:val="0"/>
          <w:numId w:val="0"/>
        </w:numPr>
        <w:spacing w:before="0" w:after="0"/>
        <w:ind w:left="1440" w:right="1440"/>
        <w:rPr>
          <w:bCs/>
          <w:sz w:val="26"/>
          <w:szCs w:val="26"/>
        </w:rPr>
      </w:pPr>
      <w:r w:rsidRPr="00591394">
        <w:rPr>
          <w:b/>
          <w:sz w:val="26"/>
          <w:szCs w:val="26"/>
        </w:rPr>
        <w:t xml:space="preserve">Residential </w:t>
      </w:r>
      <w:r w:rsidR="00727B81" w:rsidRPr="00591394">
        <w:rPr>
          <w:b/>
          <w:sz w:val="26"/>
          <w:szCs w:val="26"/>
        </w:rPr>
        <w:t>Downstream Incentives Program</w:t>
      </w:r>
      <w:r w:rsidR="00E949B0" w:rsidRPr="00591394">
        <w:rPr>
          <w:b/>
          <w:sz w:val="26"/>
          <w:szCs w:val="26"/>
        </w:rPr>
        <w:t xml:space="preserve"> </w:t>
      </w:r>
      <w:r w:rsidR="0043419B">
        <w:rPr>
          <w:b/>
          <w:sz w:val="26"/>
          <w:szCs w:val="26"/>
        </w:rPr>
        <w:t>–</w:t>
      </w:r>
      <w:r w:rsidR="00727B81" w:rsidRPr="00591394">
        <w:rPr>
          <w:b/>
          <w:sz w:val="26"/>
          <w:szCs w:val="26"/>
        </w:rPr>
        <w:t xml:space="preserve"> </w:t>
      </w:r>
      <w:r w:rsidR="00727B81" w:rsidRPr="00591394">
        <w:rPr>
          <w:bCs/>
          <w:sz w:val="26"/>
          <w:szCs w:val="26"/>
        </w:rPr>
        <w:t xml:space="preserve">This program </w:t>
      </w:r>
      <w:r w:rsidR="00164E1F" w:rsidRPr="00591394">
        <w:rPr>
          <w:bCs/>
          <w:sz w:val="26"/>
          <w:szCs w:val="26"/>
        </w:rPr>
        <w:t xml:space="preserve">provides access to both printed and internet based </w:t>
      </w:r>
      <w:r w:rsidR="00DD756A" w:rsidRPr="00591394">
        <w:rPr>
          <w:bCs/>
          <w:sz w:val="26"/>
          <w:szCs w:val="26"/>
        </w:rPr>
        <w:t>educational</w:t>
      </w:r>
      <w:r w:rsidR="00164E1F" w:rsidRPr="00591394">
        <w:rPr>
          <w:bCs/>
          <w:sz w:val="26"/>
          <w:szCs w:val="26"/>
        </w:rPr>
        <w:t xml:space="preserve"> materials, as </w:t>
      </w:r>
      <w:r w:rsidR="00DD756A" w:rsidRPr="00591394">
        <w:rPr>
          <w:bCs/>
          <w:sz w:val="26"/>
          <w:szCs w:val="26"/>
        </w:rPr>
        <w:t>well</w:t>
      </w:r>
      <w:r w:rsidR="00164E1F" w:rsidRPr="00591394">
        <w:rPr>
          <w:bCs/>
          <w:sz w:val="26"/>
          <w:szCs w:val="26"/>
        </w:rPr>
        <w:t xml:space="preserve"> as </w:t>
      </w:r>
      <w:r w:rsidR="00DD756A" w:rsidRPr="00591394">
        <w:rPr>
          <w:bCs/>
          <w:sz w:val="26"/>
          <w:szCs w:val="26"/>
        </w:rPr>
        <w:t>financial</w:t>
      </w:r>
      <w:r w:rsidR="00164E1F" w:rsidRPr="00591394">
        <w:rPr>
          <w:bCs/>
          <w:sz w:val="26"/>
          <w:szCs w:val="26"/>
        </w:rPr>
        <w:t xml:space="preserve"> </w:t>
      </w:r>
      <w:r w:rsidR="00DD756A" w:rsidRPr="00591394">
        <w:rPr>
          <w:bCs/>
          <w:sz w:val="26"/>
          <w:szCs w:val="26"/>
        </w:rPr>
        <w:t>incentives</w:t>
      </w:r>
      <w:r w:rsidR="00164E1F" w:rsidRPr="00591394">
        <w:rPr>
          <w:bCs/>
          <w:sz w:val="26"/>
          <w:szCs w:val="26"/>
        </w:rPr>
        <w:t xml:space="preserve"> in the form of energy effi</w:t>
      </w:r>
      <w:r w:rsidR="00393D63" w:rsidRPr="00591394">
        <w:rPr>
          <w:bCs/>
          <w:sz w:val="26"/>
          <w:szCs w:val="26"/>
        </w:rPr>
        <w:t xml:space="preserve">ciency </w:t>
      </w:r>
      <w:r w:rsidR="00164E1F" w:rsidRPr="00591394">
        <w:rPr>
          <w:bCs/>
          <w:sz w:val="26"/>
          <w:szCs w:val="26"/>
        </w:rPr>
        <w:t xml:space="preserve">product rebates.  </w:t>
      </w:r>
      <w:r w:rsidR="004F1942" w:rsidRPr="00591394">
        <w:rPr>
          <w:bCs/>
          <w:sz w:val="26"/>
          <w:szCs w:val="26"/>
        </w:rPr>
        <w:t xml:space="preserve">The downstream rebate program model has been expanded to include market rate customer comprehensive </w:t>
      </w:r>
      <w:r w:rsidR="00DD756A" w:rsidRPr="00591394">
        <w:rPr>
          <w:bCs/>
          <w:sz w:val="26"/>
          <w:szCs w:val="26"/>
        </w:rPr>
        <w:t xml:space="preserve">audits, direct install </w:t>
      </w:r>
      <w:r w:rsidR="00393D63" w:rsidRPr="00591394">
        <w:rPr>
          <w:bCs/>
          <w:sz w:val="26"/>
          <w:szCs w:val="26"/>
        </w:rPr>
        <w:t>measures</w:t>
      </w:r>
      <w:r w:rsidR="00DD756A" w:rsidRPr="00591394">
        <w:rPr>
          <w:bCs/>
          <w:sz w:val="26"/>
          <w:szCs w:val="26"/>
        </w:rPr>
        <w:t xml:space="preserve"> and residential energy efficiency kits.  </w:t>
      </w:r>
    </w:p>
    <w:p w14:paraId="0771BEC1" w14:textId="77777777" w:rsidR="00727B81" w:rsidRPr="00591394" w:rsidRDefault="00727B81" w:rsidP="00C6113D">
      <w:pPr>
        <w:pStyle w:val="PUC111Sub-Title"/>
        <w:numPr>
          <w:ilvl w:val="0"/>
          <w:numId w:val="0"/>
        </w:numPr>
        <w:spacing w:before="0" w:after="0"/>
        <w:ind w:left="1440" w:right="1440"/>
        <w:rPr>
          <w:b/>
          <w:sz w:val="26"/>
          <w:szCs w:val="26"/>
        </w:rPr>
      </w:pPr>
    </w:p>
    <w:p w14:paraId="713EF58A" w14:textId="30429566" w:rsidR="000D78FC" w:rsidRPr="00591394" w:rsidRDefault="00393D63" w:rsidP="00C6113D">
      <w:pPr>
        <w:pStyle w:val="PUC111Sub-Title"/>
        <w:numPr>
          <w:ilvl w:val="0"/>
          <w:numId w:val="0"/>
        </w:numPr>
        <w:spacing w:before="0" w:after="0"/>
        <w:ind w:left="1440" w:right="1440"/>
        <w:rPr>
          <w:bCs/>
          <w:sz w:val="26"/>
          <w:szCs w:val="26"/>
        </w:rPr>
      </w:pPr>
      <w:r w:rsidRPr="00591394">
        <w:rPr>
          <w:b/>
          <w:sz w:val="26"/>
          <w:szCs w:val="26"/>
        </w:rPr>
        <w:t>Residential Midstream Incentives Program</w:t>
      </w:r>
      <w:r w:rsidR="00E949B0" w:rsidRPr="00591394">
        <w:rPr>
          <w:b/>
          <w:sz w:val="26"/>
          <w:szCs w:val="26"/>
        </w:rPr>
        <w:t xml:space="preserve"> </w:t>
      </w:r>
      <w:r w:rsidR="0043419B">
        <w:rPr>
          <w:b/>
          <w:sz w:val="26"/>
          <w:szCs w:val="26"/>
        </w:rPr>
        <w:t>–</w:t>
      </w:r>
      <w:r w:rsidRPr="00591394">
        <w:rPr>
          <w:b/>
          <w:sz w:val="26"/>
          <w:szCs w:val="26"/>
        </w:rPr>
        <w:t xml:space="preserve"> </w:t>
      </w:r>
      <w:r w:rsidR="000C0E1C" w:rsidRPr="00591394">
        <w:rPr>
          <w:bCs/>
          <w:sz w:val="26"/>
          <w:szCs w:val="26"/>
        </w:rPr>
        <w:t xml:space="preserve">This program provides </w:t>
      </w:r>
      <w:r w:rsidR="00237ACB" w:rsidRPr="00591394">
        <w:rPr>
          <w:bCs/>
          <w:sz w:val="26"/>
          <w:szCs w:val="26"/>
        </w:rPr>
        <w:t xml:space="preserve">incentives for HVAC, hot water, and auxiliary </w:t>
      </w:r>
      <w:r w:rsidR="00321539" w:rsidRPr="00591394">
        <w:rPr>
          <w:bCs/>
          <w:sz w:val="26"/>
          <w:szCs w:val="26"/>
        </w:rPr>
        <w:t>equipment</w:t>
      </w:r>
      <w:r w:rsidR="00237ACB" w:rsidRPr="00591394">
        <w:rPr>
          <w:bCs/>
          <w:sz w:val="26"/>
          <w:szCs w:val="26"/>
        </w:rPr>
        <w:t xml:space="preserve"> </w:t>
      </w:r>
      <w:r w:rsidR="00321539" w:rsidRPr="00591394">
        <w:rPr>
          <w:bCs/>
          <w:sz w:val="26"/>
          <w:szCs w:val="26"/>
        </w:rPr>
        <w:t>through</w:t>
      </w:r>
      <w:r w:rsidR="00237ACB" w:rsidRPr="00591394">
        <w:rPr>
          <w:bCs/>
          <w:sz w:val="26"/>
          <w:szCs w:val="26"/>
        </w:rPr>
        <w:t xml:space="preserve"> participating </w:t>
      </w:r>
      <w:r w:rsidR="00321539" w:rsidRPr="00591394">
        <w:rPr>
          <w:bCs/>
          <w:sz w:val="26"/>
          <w:szCs w:val="26"/>
        </w:rPr>
        <w:t>distributors</w:t>
      </w:r>
      <w:r w:rsidR="00237ACB" w:rsidRPr="00591394">
        <w:rPr>
          <w:bCs/>
          <w:sz w:val="26"/>
          <w:szCs w:val="26"/>
        </w:rPr>
        <w:t xml:space="preserve"> and to </w:t>
      </w:r>
      <w:r w:rsidR="00321539" w:rsidRPr="00591394">
        <w:rPr>
          <w:bCs/>
          <w:sz w:val="26"/>
          <w:szCs w:val="26"/>
        </w:rPr>
        <w:t>residential</w:t>
      </w:r>
      <w:r w:rsidR="00237ACB" w:rsidRPr="00591394">
        <w:rPr>
          <w:bCs/>
          <w:sz w:val="26"/>
          <w:szCs w:val="26"/>
        </w:rPr>
        <w:t xml:space="preserve"> HVAC </w:t>
      </w:r>
      <w:r w:rsidR="00CD0C96" w:rsidRPr="00591394">
        <w:rPr>
          <w:bCs/>
          <w:sz w:val="26"/>
          <w:szCs w:val="26"/>
        </w:rPr>
        <w:t>distributors to offset the higher cost</w:t>
      </w:r>
      <w:r w:rsidR="00151B3C" w:rsidRPr="00591394">
        <w:rPr>
          <w:bCs/>
          <w:sz w:val="26"/>
          <w:szCs w:val="26"/>
        </w:rPr>
        <w:t xml:space="preserve">. </w:t>
      </w:r>
      <w:r w:rsidR="00E15E88" w:rsidRPr="00591394">
        <w:rPr>
          <w:bCs/>
          <w:sz w:val="26"/>
          <w:szCs w:val="26"/>
        </w:rPr>
        <w:t xml:space="preserve">The residential customer receives the benefit of the rebate at the point of sale </w:t>
      </w:r>
      <w:r w:rsidR="00E15E88" w:rsidRPr="00591394">
        <w:rPr>
          <w:bCs/>
          <w:sz w:val="26"/>
          <w:szCs w:val="26"/>
        </w:rPr>
        <w:lastRenderedPageBreak/>
        <w:t xml:space="preserve">through the participating </w:t>
      </w:r>
      <w:r w:rsidR="0020444E" w:rsidRPr="00591394">
        <w:rPr>
          <w:bCs/>
          <w:sz w:val="26"/>
          <w:szCs w:val="26"/>
        </w:rPr>
        <w:t xml:space="preserve">distributors or through installation of the equipment by a contractor. </w:t>
      </w:r>
    </w:p>
    <w:p w14:paraId="74D06E6E" w14:textId="075AF203" w:rsidR="00321539" w:rsidRPr="00591394" w:rsidRDefault="00321539" w:rsidP="00C6113D">
      <w:pPr>
        <w:widowControl/>
        <w:ind w:left="1440" w:right="1440"/>
        <w:rPr>
          <w:sz w:val="26"/>
          <w:szCs w:val="26"/>
        </w:rPr>
      </w:pPr>
    </w:p>
    <w:p w14:paraId="3522A3A3" w14:textId="50A62036" w:rsidR="000D78FC" w:rsidRPr="00591394" w:rsidRDefault="000D78FC" w:rsidP="00C6113D">
      <w:pPr>
        <w:pStyle w:val="PUC111Sub-Title"/>
        <w:numPr>
          <w:ilvl w:val="0"/>
          <w:numId w:val="0"/>
        </w:numPr>
        <w:spacing w:before="0" w:after="0"/>
        <w:ind w:left="1440" w:right="1440"/>
        <w:rPr>
          <w:b/>
          <w:sz w:val="26"/>
          <w:szCs w:val="26"/>
        </w:rPr>
      </w:pPr>
      <w:r w:rsidRPr="00591394">
        <w:rPr>
          <w:b/>
          <w:sz w:val="26"/>
          <w:szCs w:val="26"/>
        </w:rPr>
        <w:t>Residential Upstream Incentives Program</w:t>
      </w:r>
      <w:r w:rsidR="00E949B0" w:rsidRPr="00591394">
        <w:rPr>
          <w:b/>
          <w:sz w:val="26"/>
          <w:szCs w:val="26"/>
        </w:rPr>
        <w:t xml:space="preserve"> </w:t>
      </w:r>
      <w:r w:rsidR="009F2AD7" w:rsidRPr="00591394">
        <w:rPr>
          <w:b/>
          <w:sz w:val="26"/>
          <w:szCs w:val="26"/>
        </w:rPr>
        <w:t>–</w:t>
      </w:r>
      <w:r w:rsidR="00E949B0" w:rsidRPr="00591394">
        <w:rPr>
          <w:b/>
          <w:sz w:val="26"/>
          <w:szCs w:val="26"/>
        </w:rPr>
        <w:t xml:space="preserve"> </w:t>
      </w:r>
      <w:r w:rsidR="009F2AD7" w:rsidRPr="00591394">
        <w:rPr>
          <w:bCs/>
          <w:sz w:val="26"/>
          <w:szCs w:val="26"/>
        </w:rPr>
        <w:t xml:space="preserve">This program </w:t>
      </w:r>
      <w:r w:rsidR="00A831D3" w:rsidRPr="00591394">
        <w:rPr>
          <w:bCs/>
          <w:sz w:val="26"/>
          <w:szCs w:val="26"/>
        </w:rPr>
        <w:t xml:space="preserve">will offer point of sale rebates on qualified energy efficient lighting products and appliances.  </w:t>
      </w:r>
      <w:r w:rsidR="00EC5514" w:rsidRPr="00591394">
        <w:rPr>
          <w:bCs/>
          <w:sz w:val="26"/>
          <w:szCs w:val="26"/>
        </w:rPr>
        <w:t>The residential customer receives the benefit of the rebate at the poin</w:t>
      </w:r>
      <w:r w:rsidR="00EA0157" w:rsidRPr="00591394">
        <w:rPr>
          <w:bCs/>
          <w:sz w:val="26"/>
          <w:szCs w:val="26"/>
        </w:rPr>
        <w:t>t</w:t>
      </w:r>
      <w:r w:rsidR="00EC5514" w:rsidRPr="00591394">
        <w:rPr>
          <w:bCs/>
          <w:sz w:val="26"/>
          <w:szCs w:val="26"/>
        </w:rPr>
        <w:t xml:space="preserve"> of sale through the participating retailers.  </w:t>
      </w:r>
    </w:p>
    <w:p w14:paraId="66CC7AD8" w14:textId="77777777" w:rsidR="000D78FC" w:rsidRPr="00591394" w:rsidRDefault="000D78FC" w:rsidP="00C6113D">
      <w:pPr>
        <w:pStyle w:val="PUC111Sub-Title"/>
        <w:numPr>
          <w:ilvl w:val="0"/>
          <w:numId w:val="0"/>
        </w:numPr>
        <w:spacing w:before="0" w:after="0"/>
        <w:ind w:left="1440" w:right="1440"/>
        <w:rPr>
          <w:b/>
          <w:sz w:val="26"/>
          <w:szCs w:val="26"/>
        </w:rPr>
      </w:pPr>
    </w:p>
    <w:p w14:paraId="176259BD" w14:textId="41649B63" w:rsidR="00EA0157" w:rsidRPr="00591394" w:rsidRDefault="00EA0157" w:rsidP="00C6113D">
      <w:pPr>
        <w:pStyle w:val="PUC111Sub-Title"/>
        <w:numPr>
          <w:ilvl w:val="0"/>
          <w:numId w:val="0"/>
        </w:numPr>
        <w:spacing w:before="0" w:after="0"/>
        <w:ind w:left="1440" w:right="1440"/>
        <w:rPr>
          <w:bCs/>
          <w:sz w:val="26"/>
          <w:szCs w:val="26"/>
        </w:rPr>
      </w:pPr>
      <w:r w:rsidRPr="00591394">
        <w:rPr>
          <w:b/>
          <w:sz w:val="26"/>
          <w:szCs w:val="26"/>
        </w:rPr>
        <w:t xml:space="preserve">Residential Behavioral Energy Efficiency </w:t>
      </w:r>
      <w:r w:rsidR="00510E6A" w:rsidRPr="00591394">
        <w:rPr>
          <w:b/>
          <w:sz w:val="26"/>
          <w:szCs w:val="26"/>
        </w:rPr>
        <w:t xml:space="preserve">(R-BEEP) </w:t>
      </w:r>
      <w:r w:rsidRPr="00591394">
        <w:rPr>
          <w:b/>
          <w:sz w:val="26"/>
          <w:szCs w:val="26"/>
        </w:rPr>
        <w:t xml:space="preserve">– </w:t>
      </w:r>
      <w:r w:rsidR="00510E6A" w:rsidRPr="00591394">
        <w:rPr>
          <w:bCs/>
          <w:sz w:val="26"/>
          <w:szCs w:val="26"/>
        </w:rPr>
        <w:t>The program sends via direct mail R-BEEP reports that com</w:t>
      </w:r>
      <w:r w:rsidR="00BE2EE1" w:rsidRPr="00591394">
        <w:rPr>
          <w:bCs/>
          <w:sz w:val="26"/>
          <w:szCs w:val="26"/>
        </w:rPr>
        <w:t xml:space="preserve">pare recipient </w:t>
      </w:r>
      <w:r w:rsidR="002B31FD" w:rsidRPr="00591394">
        <w:rPr>
          <w:bCs/>
          <w:sz w:val="26"/>
          <w:szCs w:val="26"/>
        </w:rPr>
        <w:t>customers</w:t>
      </w:r>
      <w:r w:rsidR="00BE2EE1" w:rsidRPr="00591394">
        <w:rPr>
          <w:bCs/>
          <w:sz w:val="26"/>
          <w:szCs w:val="26"/>
        </w:rPr>
        <w:t xml:space="preserve">’ energy use to customers with similar home </w:t>
      </w:r>
      <w:r w:rsidR="002B31FD" w:rsidRPr="00591394">
        <w:rPr>
          <w:bCs/>
          <w:sz w:val="26"/>
          <w:szCs w:val="26"/>
        </w:rPr>
        <w:t>type</w:t>
      </w:r>
      <w:r w:rsidR="00BE2EE1" w:rsidRPr="00591394">
        <w:rPr>
          <w:bCs/>
          <w:sz w:val="26"/>
          <w:szCs w:val="26"/>
        </w:rPr>
        <w:t xml:space="preserve"> and size.  </w:t>
      </w:r>
      <w:r w:rsidR="00787C3F" w:rsidRPr="00591394">
        <w:rPr>
          <w:bCs/>
          <w:sz w:val="26"/>
          <w:szCs w:val="26"/>
        </w:rPr>
        <w:t xml:space="preserve">R-BEEP </w:t>
      </w:r>
      <w:r w:rsidR="002B31FD" w:rsidRPr="00591394">
        <w:rPr>
          <w:bCs/>
          <w:sz w:val="26"/>
          <w:szCs w:val="26"/>
        </w:rPr>
        <w:t>provides</w:t>
      </w:r>
      <w:r w:rsidR="00787C3F" w:rsidRPr="00591394">
        <w:rPr>
          <w:bCs/>
          <w:sz w:val="26"/>
          <w:szCs w:val="26"/>
        </w:rPr>
        <w:t xml:space="preserve"> </w:t>
      </w:r>
      <w:r w:rsidR="002B31FD" w:rsidRPr="00591394">
        <w:rPr>
          <w:bCs/>
          <w:sz w:val="26"/>
          <w:szCs w:val="26"/>
        </w:rPr>
        <w:t>f</w:t>
      </w:r>
      <w:r w:rsidR="00787C3F" w:rsidRPr="00591394">
        <w:rPr>
          <w:bCs/>
          <w:sz w:val="26"/>
          <w:szCs w:val="26"/>
        </w:rPr>
        <w:t xml:space="preserve">or comparison of the </w:t>
      </w:r>
      <w:r w:rsidR="002B31FD" w:rsidRPr="00591394">
        <w:rPr>
          <w:bCs/>
          <w:sz w:val="26"/>
          <w:szCs w:val="26"/>
        </w:rPr>
        <w:t>last</w:t>
      </w:r>
      <w:r w:rsidR="00787C3F" w:rsidRPr="00591394">
        <w:rPr>
          <w:bCs/>
          <w:sz w:val="26"/>
          <w:szCs w:val="26"/>
        </w:rPr>
        <w:t xml:space="preserve"> two months of energy consumption by </w:t>
      </w:r>
      <w:r w:rsidR="000A260E" w:rsidRPr="00591394">
        <w:rPr>
          <w:bCs/>
          <w:sz w:val="26"/>
          <w:szCs w:val="26"/>
        </w:rPr>
        <w:t>(</w:t>
      </w:r>
      <w:r w:rsidR="00787C3F" w:rsidRPr="00591394">
        <w:rPr>
          <w:bCs/>
          <w:sz w:val="26"/>
          <w:szCs w:val="26"/>
        </w:rPr>
        <w:t>1) the most efficient of the pe</w:t>
      </w:r>
      <w:r w:rsidR="002B31FD" w:rsidRPr="00591394">
        <w:rPr>
          <w:bCs/>
          <w:sz w:val="26"/>
          <w:szCs w:val="26"/>
        </w:rPr>
        <w:t>e</w:t>
      </w:r>
      <w:r w:rsidR="00787C3F" w:rsidRPr="00591394">
        <w:rPr>
          <w:bCs/>
          <w:sz w:val="26"/>
          <w:szCs w:val="26"/>
        </w:rPr>
        <w:t xml:space="preserve">r group, </w:t>
      </w:r>
      <w:r w:rsidR="0024686B" w:rsidRPr="00591394">
        <w:rPr>
          <w:bCs/>
          <w:sz w:val="26"/>
          <w:szCs w:val="26"/>
        </w:rPr>
        <w:t>(</w:t>
      </w:r>
      <w:r w:rsidR="00787C3F" w:rsidRPr="00591394">
        <w:rPr>
          <w:bCs/>
          <w:sz w:val="26"/>
          <w:szCs w:val="26"/>
        </w:rPr>
        <w:t xml:space="preserve">2) the R-BEEP recipient, and </w:t>
      </w:r>
      <w:r w:rsidR="0043419B">
        <w:rPr>
          <w:bCs/>
          <w:sz w:val="26"/>
          <w:szCs w:val="26"/>
        </w:rPr>
        <w:t>(</w:t>
      </w:r>
      <w:r w:rsidR="00787C3F" w:rsidRPr="00591394">
        <w:rPr>
          <w:bCs/>
          <w:sz w:val="26"/>
          <w:szCs w:val="26"/>
        </w:rPr>
        <w:t>3)</w:t>
      </w:r>
      <w:r w:rsidR="0043419B">
        <w:rPr>
          <w:bCs/>
          <w:sz w:val="26"/>
          <w:szCs w:val="26"/>
        </w:rPr>
        <w:t> </w:t>
      </w:r>
      <w:r w:rsidR="00787C3F" w:rsidRPr="00591394">
        <w:rPr>
          <w:bCs/>
          <w:sz w:val="26"/>
          <w:szCs w:val="26"/>
        </w:rPr>
        <w:t xml:space="preserve">the entire peer </w:t>
      </w:r>
      <w:r w:rsidR="002B31FD" w:rsidRPr="00591394">
        <w:rPr>
          <w:bCs/>
          <w:sz w:val="26"/>
          <w:szCs w:val="26"/>
        </w:rPr>
        <w:t>group</w:t>
      </w:r>
      <w:r w:rsidR="00787C3F" w:rsidRPr="00591394">
        <w:rPr>
          <w:bCs/>
          <w:sz w:val="26"/>
          <w:szCs w:val="26"/>
        </w:rPr>
        <w:t xml:space="preserve">.  </w:t>
      </w:r>
    </w:p>
    <w:p w14:paraId="4F89E67D" w14:textId="77777777" w:rsidR="007D153C" w:rsidRPr="00591394" w:rsidRDefault="007D153C" w:rsidP="00C6113D">
      <w:pPr>
        <w:widowControl/>
        <w:ind w:left="1440" w:right="1440"/>
        <w:rPr>
          <w:sz w:val="26"/>
          <w:szCs w:val="26"/>
        </w:rPr>
      </w:pPr>
    </w:p>
    <w:p w14:paraId="2BF2D5AC" w14:textId="14B6A0CF" w:rsidR="00BD4287" w:rsidRPr="00591394" w:rsidRDefault="00FF5E04" w:rsidP="00C6113D">
      <w:pPr>
        <w:pStyle w:val="PUC111Paragraph"/>
        <w:spacing w:before="0" w:after="0"/>
        <w:ind w:left="1440" w:right="1440"/>
        <w:rPr>
          <w:sz w:val="26"/>
          <w:szCs w:val="26"/>
        </w:rPr>
      </w:pPr>
      <w:r w:rsidRPr="00591394">
        <w:rPr>
          <w:b/>
          <w:sz w:val="26"/>
          <w:szCs w:val="26"/>
        </w:rPr>
        <w:t>Residential Low-Income Energy Efficiency Program</w:t>
      </w:r>
      <w:r w:rsidR="00394BC1" w:rsidRPr="00591394">
        <w:rPr>
          <w:b/>
          <w:sz w:val="26"/>
          <w:szCs w:val="26"/>
        </w:rPr>
        <w:t xml:space="preserve"> (LIEEP) </w:t>
      </w:r>
      <w:r w:rsidR="0043419B">
        <w:rPr>
          <w:b/>
          <w:sz w:val="26"/>
          <w:szCs w:val="26"/>
        </w:rPr>
        <w:t>–</w:t>
      </w:r>
      <w:r w:rsidR="00394BC1" w:rsidRPr="00591394">
        <w:rPr>
          <w:b/>
          <w:sz w:val="26"/>
          <w:szCs w:val="26"/>
        </w:rPr>
        <w:t xml:space="preserve"> </w:t>
      </w:r>
      <w:r w:rsidRPr="00591394">
        <w:rPr>
          <w:sz w:val="26"/>
          <w:szCs w:val="26"/>
        </w:rPr>
        <w:t>This program</w:t>
      </w:r>
      <w:r w:rsidR="00762A47" w:rsidRPr="00591394">
        <w:rPr>
          <w:sz w:val="26"/>
          <w:szCs w:val="26"/>
        </w:rPr>
        <w:t xml:space="preserve"> is a</w:t>
      </w:r>
      <w:r w:rsidR="00BD4287" w:rsidRPr="00591394">
        <w:rPr>
          <w:sz w:val="26"/>
          <w:szCs w:val="26"/>
        </w:rPr>
        <w:t xml:space="preserve"> direct-install program where walk-through and comprehensive audits are performed, energy efficiency education is provided, and energy efficient products and equipment are installed at no cost to income qualified households.  </w:t>
      </w:r>
    </w:p>
    <w:p w14:paraId="65AF3723" w14:textId="77777777" w:rsidR="00BD4287" w:rsidRPr="00591394" w:rsidRDefault="00BD4287" w:rsidP="00C6113D">
      <w:pPr>
        <w:pStyle w:val="PUC111Paragraph"/>
        <w:spacing w:before="0" w:after="0"/>
        <w:ind w:left="1440" w:right="1440"/>
        <w:rPr>
          <w:sz w:val="26"/>
          <w:szCs w:val="26"/>
        </w:rPr>
      </w:pPr>
    </w:p>
    <w:p w14:paraId="4C963B17" w14:textId="4508307E" w:rsidR="00EC6AD1" w:rsidRPr="00591394" w:rsidRDefault="00E121DA" w:rsidP="00C6113D">
      <w:pPr>
        <w:pStyle w:val="PUC111Paragraph"/>
        <w:spacing w:before="0" w:after="0"/>
        <w:ind w:left="1440" w:right="1440"/>
        <w:rPr>
          <w:bCs/>
          <w:sz w:val="26"/>
          <w:szCs w:val="26"/>
        </w:rPr>
      </w:pPr>
      <w:r w:rsidRPr="00591394">
        <w:rPr>
          <w:b/>
          <w:sz w:val="26"/>
          <w:szCs w:val="26"/>
        </w:rPr>
        <w:t xml:space="preserve">Low-Income </w:t>
      </w:r>
      <w:r w:rsidR="009F5632" w:rsidRPr="00591394">
        <w:rPr>
          <w:b/>
          <w:sz w:val="26"/>
          <w:szCs w:val="26"/>
        </w:rPr>
        <w:t xml:space="preserve">Behavioral Efficiency Program (LI-BEEP) </w:t>
      </w:r>
      <w:r w:rsidR="00384D7E" w:rsidRPr="00591394">
        <w:rPr>
          <w:b/>
          <w:sz w:val="26"/>
          <w:szCs w:val="26"/>
        </w:rPr>
        <w:t>–</w:t>
      </w:r>
      <w:r w:rsidR="009F5632" w:rsidRPr="00591394">
        <w:rPr>
          <w:b/>
          <w:sz w:val="26"/>
          <w:szCs w:val="26"/>
        </w:rPr>
        <w:t xml:space="preserve"> </w:t>
      </w:r>
      <w:r w:rsidR="00384D7E" w:rsidRPr="00591394">
        <w:rPr>
          <w:bCs/>
          <w:sz w:val="26"/>
          <w:szCs w:val="26"/>
        </w:rPr>
        <w:t xml:space="preserve">Specialized low income home energy reports are provided </w:t>
      </w:r>
      <w:r w:rsidR="00093A65" w:rsidRPr="00591394">
        <w:rPr>
          <w:bCs/>
          <w:sz w:val="26"/>
          <w:szCs w:val="26"/>
        </w:rPr>
        <w:t>to a</w:t>
      </w:r>
      <w:r w:rsidR="00195665" w:rsidRPr="00591394">
        <w:rPr>
          <w:bCs/>
          <w:sz w:val="26"/>
          <w:szCs w:val="26"/>
        </w:rPr>
        <w:t xml:space="preserve"> targeted</w:t>
      </w:r>
      <w:r w:rsidR="00384D7E" w:rsidRPr="00591394">
        <w:rPr>
          <w:bCs/>
          <w:sz w:val="26"/>
          <w:szCs w:val="26"/>
        </w:rPr>
        <w:t xml:space="preserve"> income qualified </w:t>
      </w:r>
      <w:r w:rsidR="00195665" w:rsidRPr="00591394">
        <w:rPr>
          <w:bCs/>
          <w:sz w:val="26"/>
          <w:szCs w:val="26"/>
        </w:rPr>
        <w:t>customer</w:t>
      </w:r>
      <w:r w:rsidR="00384D7E" w:rsidRPr="00591394">
        <w:rPr>
          <w:bCs/>
          <w:sz w:val="26"/>
          <w:szCs w:val="26"/>
        </w:rPr>
        <w:t xml:space="preserve"> population of </w:t>
      </w:r>
      <w:r w:rsidR="00195665" w:rsidRPr="00591394">
        <w:rPr>
          <w:bCs/>
          <w:sz w:val="26"/>
          <w:szCs w:val="26"/>
        </w:rPr>
        <w:t>approximately</w:t>
      </w:r>
      <w:r w:rsidR="00384D7E" w:rsidRPr="00591394">
        <w:rPr>
          <w:bCs/>
          <w:sz w:val="26"/>
          <w:szCs w:val="26"/>
        </w:rPr>
        <w:t xml:space="preserve"> 15,600 customers each </w:t>
      </w:r>
      <w:r w:rsidR="00195665" w:rsidRPr="00591394">
        <w:rPr>
          <w:bCs/>
          <w:sz w:val="26"/>
          <w:szCs w:val="26"/>
        </w:rPr>
        <w:t>year</w:t>
      </w:r>
      <w:r w:rsidR="00384D7E" w:rsidRPr="00591394">
        <w:rPr>
          <w:bCs/>
          <w:sz w:val="26"/>
          <w:szCs w:val="26"/>
        </w:rPr>
        <w:t xml:space="preserve"> of the Phase IV performance period</w:t>
      </w:r>
      <w:r w:rsidR="00195665" w:rsidRPr="00591394">
        <w:rPr>
          <w:bCs/>
          <w:sz w:val="26"/>
          <w:szCs w:val="26"/>
        </w:rPr>
        <w:t>.</w:t>
      </w:r>
    </w:p>
    <w:p w14:paraId="3A65C589" w14:textId="77777777" w:rsidR="00D122F0" w:rsidRPr="00591394" w:rsidRDefault="00D122F0" w:rsidP="00C6113D">
      <w:pPr>
        <w:pStyle w:val="PUC111Paragraph"/>
        <w:spacing w:before="0" w:after="0"/>
        <w:ind w:left="1440" w:right="1440"/>
        <w:rPr>
          <w:sz w:val="26"/>
          <w:szCs w:val="26"/>
        </w:rPr>
      </w:pPr>
    </w:p>
    <w:p w14:paraId="3EE114A1" w14:textId="305D0B09" w:rsidR="00F935D6" w:rsidRPr="00591394" w:rsidRDefault="00D13D91" w:rsidP="00C6113D">
      <w:pPr>
        <w:pStyle w:val="PUC111Paragraph"/>
        <w:spacing w:before="0" w:after="0"/>
        <w:ind w:left="1440" w:right="1440"/>
        <w:rPr>
          <w:bCs/>
          <w:sz w:val="26"/>
          <w:szCs w:val="26"/>
        </w:rPr>
      </w:pPr>
      <w:r w:rsidRPr="00591394">
        <w:rPr>
          <w:b/>
          <w:sz w:val="26"/>
          <w:szCs w:val="26"/>
        </w:rPr>
        <w:t xml:space="preserve">Small </w:t>
      </w:r>
      <w:r w:rsidR="00F935D6" w:rsidRPr="00591394">
        <w:rPr>
          <w:b/>
          <w:sz w:val="26"/>
          <w:szCs w:val="26"/>
        </w:rPr>
        <w:t xml:space="preserve">Business Direct Install Program – </w:t>
      </w:r>
      <w:r w:rsidR="003D7FB4" w:rsidRPr="00591394">
        <w:rPr>
          <w:bCs/>
          <w:sz w:val="26"/>
          <w:szCs w:val="26"/>
        </w:rPr>
        <w:t xml:space="preserve">This program is a direct install program that offers </w:t>
      </w:r>
      <w:r w:rsidR="000E34BB" w:rsidRPr="00591394">
        <w:rPr>
          <w:bCs/>
          <w:sz w:val="26"/>
          <w:szCs w:val="26"/>
        </w:rPr>
        <w:t>Duquesne’s</w:t>
      </w:r>
      <w:r w:rsidR="003D7FB4" w:rsidRPr="00591394">
        <w:rPr>
          <w:bCs/>
          <w:sz w:val="26"/>
          <w:szCs w:val="26"/>
        </w:rPr>
        <w:t xml:space="preserve"> small </w:t>
      </w:r>
      <w:r w:rsidR="000E34BB" w:rsidRPr="00591394">
        <w:rPr>
          <w:bCs/>
          <w:sz w:val="26"/>
          <w:szCs w:val="26"/>
        </w:rPr>
        <w:t>business</w:t>
      </w:r>
      <w:r w:rsidR="003D7FB4" w:rsidRPr="00591394">
        <w:rPr>
          <w:bCs/>
          <w:sz w:val="26"/>
          <w:szCs w:val="26"/>
        </w:rPr>
        <w:t xml:space="preserve"> customers the opportunity to retrofit existing equipment with more energ</w:t>
      </w:r>
      <w:r w:rsidR="000E34BB" w:rsidRPr="00591394">
        <w:rPr>
          <w:bCs/>
          <w:sz w:val="26"/>
          <w:szCs w:val="26"/>
        </w:rPr>
        <w:t xml:space="preserve">y </w:t>
      </w:r>
      <w:r w:rsidR="003D7FB4" w:rsidRPr="00591394">
        <w:rPr>
          <w:bCs/>
          <w:sz w:val="26"/>
          <w:szCs w:val="26"/>
        </w:rPr>
        <w:t>efficient technologies</w:t>
      </w:r>
      <w:r w:rsidR="000E34BB" w:rsidRPr="00591394">
        <w:rPr>
          <w:bCs/>
          <w:sz w:val="26"/>
          <w:szCs w:val="26"/>
        </w:rPr>
        <w:t xml:space="preserve">.  </w:t>
      </w:r>
    </w:p>
    <w:p w14:paraId="152C9673" w14:textId="77777777" w:rsidR="00F935D6" w:rsidRPr="00591394" w:rsidRDefault="00F935D6" w:rsidP="00C6113D">
      <w:pPr>
        <w:pStyle w:val="PUC111Paragraph"/>
        <w:spacing w:before="0" w:after="0"/>
        <w:ind w:left="1440" w:right="1440"/>
        <w:rPr>
          <w:b/>
          <w:sz w:val="26"/>
          <w:szCs w:val="26"/>
        </w:rPr>
      </w:pPr>
    </w:p>
    <w:p w14:paraId="1CE56D5E" w14:textId="34A24CBD" w:rsidR="00F45845" w:rsidRPr="00591394" w:rsidRDefault="006B18A9" w:rsidP="00C6113D">
      <w:pPr>
        <w:pStyle w:val="PUC111Paragraph"/>
        <w:spacing w:before="0" w:after="0"/>
        <w:ind w:left="1440" w:right="1440"/>
        <w:rPr>
          <w:bCs/>
          <w:sz w:val="26"/>
          <w:szCs w:val="26"/>
        </w:rPr>
      </w:pPr>
      <w:r w:rsidRPr="00591394">
        <w:rPr>
          <w:b/>
          <w:sz w:val="26"/>
          <w:szCs w:val="26"/>
        </w:rPr>
        <w:t xml:space="preserve">Small Business Solutions Program </w:t>
      </w:r>
      <w:r w:rsidR="00F45845" w:rsidRPr="00591394">
        <w:rPr>
          <w:b/>
          <w:sz w:val="26"/>
          <w:szCs w:val="26"/>
        </w:rPr>
        <w:t>–</w:t>
      </w:r>
      <w:r w:rsidRPr="00591394">
        <w:rPr>
          <w:b/>
          <w:sz w:val="26"/>
          <w:szCs w:val="26"/>
        </w:rPr>
        <w:t xml:space="preserve"> </w:t>
      </w:r>
      <w:r w:rsidR="00F45845" w:rsidRPr="00591394">
        <w:rPr>
          <w:bCs/>
          <w:sz w:val="26"/>
          <w:szCs w:val="26"/>
        </w:rPr>
        <w:t xml:space="preserve">Program components include energy use auditing, provision of targeted financing and incentives, project management and retrofit measure installation, training, and technical assistance. </w:t>
      </w:r>
    </w:p>
    <w:p w14:paraId="554843A7" w14:textId="77777777" w:rsidR="00F45845" w:rsidRPr="00591394" w:rsidRDefault="00F45845" w:rsidP="00C6113D">
      <w:pPr>
        <w:pStyle w:val="PUC111Paragraph"/>
        <w:spacing w:before="0" w:after="0"/>
        <w:ind w:left="1440" w:right="1440"/>
        <w:rPr>
          <w:b/>
          <w:sz w:val="26"/>
          <w:szCs w:val="26"/>
        </w:rPr>
      </w:pPr>
    </w:p>
    <w:p w14:paraId="23F26D40" w14:textId="6A559B71" w:rsidR="00D04170" w:rsidRPr="00591394" w:rsidRDefault="004C4C58" w:rsidP="00C6113D">
      <w:pPr>
        <w:pStyle w:val="PUC111Paragraph"/>
        <w:spacing w:before="0" w:after="0"/>
        <w:ind w:left="1440" w:right="1440"/>
        <w:rPr>
          <w:bCs/>
          <w:sz w:val="26"/>
          <w:szCs w:val="26"/>
        </w:rPr>
      </w:pPr>
      <w:r w:rsidRPr="00591394">
        <w:rPr>
          <w:b/>
          <w:sz w:val="26"/>
          <w:szCs w:val="26"/>
        </w:rPr>
        <w:t xml:space="preserve">Small Business Midstream Solutions Program </w:t>
      </w:r>
      <w:r w:rsidR="00B27F89" w:rsidRPr="00591394">
        <w:rPr>
          <w:b/>
          <w:sz w:val="26"/>
          <w:szCs w:val="26"/>
        </w:rPr>
        <w:t>–</w:t>
      </w:r>
      <w:r w:rsidR="00650700" w:rsidRPr="00591394">
        <w:rPr>
          <w:b/>
          <w:sz w:val="26"/>
          <w:szCs w:val="26"/>
        </w:rPr>
        <w:t xml:space="preserve"> </w:t>
      </w:r>
      <w:r w:rsidR="00B27F89" w:rsidRPr="00591394">
        <w:rPr>
          <w:bCs/>
          <w:sz w:val="26"/>
          <w:szCs w:val="26"/>
        </w:rPr>
        <w:t>This program provides incentives directly to distributors an</w:t>
      </w:r>
      <w:r w:rsidR="00D04170" w:rsidRPr="00591394">
        <w:rPr>
          <w:bCs/>
          <w:sz w:val="26"/>
          <w:szCs w:val="26"/>
        </w:rPr>
        <w:t>d</w:t>
      </w:r>
      <w:r w:rsidR="00B27F89" w:rsidRPr="00591394">
        <w:rPr>
          <w:bCs/>
          <w:sz w:val="26"/>
          <w:szCs w:val="26"/>
        </w:rPr>
        <w:t xml:space="preserve"> </w:t>
      </w:r>
      <w:r w:rsidR="00D04170" w:rsidRPr="00591394">
        <w:rPr>
          <w:bCs/>
          <w:sz w:val="26"/>
          <w:szCs w:val="26"/>
        </w:rPr>
        <w:t>manufacturers</w:t>
      </w:r>
      <w:r w:rsidR="00B27F89" w:rsidRPr="00591394">
        <w:rPr>
          <w:bCs/>
          <w:sz w:val="26"/>
          <w:szCs w:val="26"/>
        </w:rPr>
        <w:t xml:space="preserve">, rather than to end users, for </w:t>
      </w:r>
      <w:r w:rsidR="00D04170" w:rsidRPr="00591394">
        <w:rPr>
          <w:bCs/>
          <w:sz w:val="26"/>
          <w:szCs w:val="26"/>
        </w:rPr>
        <w:t>efficient</w:t>
      </w:r>
      <w:r w:rsidR="00B27F89" w:rsidRPr="00591394">
        <w:rPr>
          <w:bCs/>
          <w:sz w:val="26"/>
          <w:szCs w:val="26"/>
        </w:rPr>
        <w:t xml:space="preserve"> products, </w:t>
      </w:r>
      <w:r w:rsidR="00B27F89" w:rsidRPr="00591394">
        <w:rPr>
          <w:bCs/>
          <w:sz w:val="26"/>
          <w:szCs w:val="26"/>
        </w:rPr>
        <w:lastRenderedPageBreak/>
        <w:t xml:space="preserve">offsetting </w:t>
      </w:r>
      <w:r w:rsidR="00D04170" w:rsidRPr="00591394">
        <w:rPr>
          <w:bCs/>
          <w:sz w:val="26"/>
          <w:szCs w:val="26"/>
        </w:rPr>
        <w:t xml:space="preserve">the </w:t>
      </w:r>
      <w:r w:rsidR="00B27F89" w:rsidRPr="00591394">
        <w:rPr>
          <w:bCs/>
          <w:sz w:val="26"/>
          <w:szCs w:val="26"/>
        </w:rPr>
        <w:t xml:space="preserve">higher costs </w:t>
      </w:r>
      <w:r w:rsidR="00D04170" w:rsidRPr="00591394">
        <w:rPr>
          <w:bCs/>
          <w:sz w:val="26"/>
          <w:szCs w:val="26"/>
        </w:rPr>
        <w:t>a</w:t>
      </w:r>
      <w:r w:rsidR="00B27F89" w:rsidRPr="00591394">
        <w:rPr>
          <w:bCs/>
          <w:sz w:val="26"/>
          <w:szCs w:val="26"/>
        </w:rPr>
        <w:t>nd e</w:t>
      </w:r>
      <w:r w:rsidR="00D04170" w:rsidRPr="00591394">
        <w:rPr>
          <w:bCs/>
          <w:sz w:val="26"/>
          <w:szCs w:val="26"/>
        </w:rPr>
        <w:t>ff</w:t>
      </w:r>
      <w:r w:rsidR="00B27F89" w:rsidRPr="00591394">
        <w:rPr>
          <w:bCs/>
          <w:sz w:val="26"/>
          <w:szCs w:val="26"/>
        </w:rPr>
        <w:t xml:space="preserve">ectively </w:t>
      </w:r>
      <w:r w:rsidR="005260CA" w:rsidRPr="00591394">
        <w:rPr>
          <w:bCs/>
          <w:sz w:val="26"/>
          <w:szCs w:val="26"/>
        </w:rPr>
        <w:t xml:space="preserve">driving uptake of the most </w:t>
      </w:r>
      <w:r w:rsidR="00D04170" w:rsidRPr="00591394">
        <w:rPr>
          <w:bCs/>
          <w:sz w:val="26"/>
          <w:szCs w:val="26"/>
        </w:rPr>
        <w:t>efficient</w:t>
      </w:r>
      <w:r w:rsidR="005260CA" w:rsidRPr="00591394">
        <w:rPr>
          <w:bCs/>
          <w:sz w:val="26"/>
          <w:szCs w:val="26"/>
        </w:rPr>
        <w:t xml:space="preserve"> </w:t>
      </w:r>
      <w:r w:rsidR="00D04170" w:rsidRPr="00591394">
        <w:rPr>
          <w:bCs/>
          <w:sz w:val="26"/>
          <w:szCs w:val="26"/>
        </w:rPr>
        <w:t>equipment</w:t>
      </w:r>
      <w:r w:rsidR="005260CA" w:rsidRPr="00591394">
        <w:rPr>
          <w:bCs/>
          <w:sz w:val="26"/>
          <w:szCs w:val="26"/>
        </w:rPr>
        <w:t xml:space="preserve"> options.  </w:t>
      </w:r>
    </w:p>
    <w:p w14:paraId="4AEE0722" w14:textId="77777777" w:rsidR="00D04170" w:rsidRPr="00591394" w:rsidRDefault="00D04170" w:rsidP="00C6113D">
      <w:pPr>
        <w:pStyle w:val="PUC111Paragraph"/>
        <w:spacing w:before="0" w:after="0"/>
        <w:ind w:left="1440" w:right="1440"/>
        <w:rPr>
          <w:b/>
          <w:sz w:val="26"/>
          <w:szCs w:val="26"/>
        </w:rPr>
      </w:pPr>
    </w:p>
    <w:p w14:paraId="7B68A016" w14:textId="4C70357A" w:rsidR="00DA25E9" w:rsidRPr="00591394" w:rsidRDefault="00DA25E9" w:rsidP="00C6113D">
      <w:pPr>
        <w:pStyle w:val="PUC111Paragraph"/>
        <w:spacing w:before="0" w:after="0"/>
        <w:ind w:left="1440" w:right="1440"/>
        <w:rPr>
          <w:bCs/>
          <w:sz w:val="26"/>
          <w:szCs w:val="26"/>
        </w:rPr>
      </w:pPr>
      <w:r w:rsidRPr="00591394">
        <w:rPr>
          <w:b/>
          <w:sz w:val="26"/>
          <w:szCs w:val="26"/>
        </w:rPr>
        <w:t xml:space="preserve">Small Business Virtual Commissioning Program – </w:t>
      </w:r>
      <w:r w:rsidR="0093599C" w:rsidRPr="00591394">
        <w:rPr>
          <w:bCs/>
          <w:sz w:val="26"/>
          <w:szCs w:val="26"/>
        </w:rPr>
        <w:t xml:space="preserve">This program </w:t>
      </w:r>
      <w:r w:rsidR="00E178E0" w:rsidRPr="00591394">
        <w:rPr>
          <w:bCs/>
          <w:sz w:val="26"/>
          <w:szCs w:val="26"/>
        </w:rPr>
        <w:t xml:space="preserve">leverages advanced metering </w:t>
      </w:r>
      <w:r w:rsidR="00D62667" w:rsidRPr="00591394">
        <w:rPr>
          <w:bCs/>
          <w:sz w:val="26"/>
          <w:szCs w:val="26"/>
        </w:rPr>
        <w:t xml:space="preserve">infrastructure </w:t>
      </w:r>
      <w:r w:rsidR="00EB5EBB" w:rsidRPr="00591394">
        <w:rPr>
          <w:bCs/>
          <w:sz w:val="26"/>
          <w:szCs w:val="26"/>
        </w:rPr>
        <w:t xml:space="preserve">(AMI) </w:t>
      </w:r>
      <w:r w:rsidR="00A176D4" w:rsidRPr="00591394">
        <w:rPr>
          <w:bCs/>
          <w:sz w:val="26"/>
          <w:szCs w:val="26"/>
        </w:rPr>
        <w:t xml:space="preserve">data analytics to identify and qualify </w:t>
      </w:r>
      <w:r w:rsidR="00EB5EBB" w:rsidRPr="00591394">
        <w:rPr>
          <w:bCs/>
          <w:sz w:val="26"/>
          <w:szCs w:val="26"/>
        </w:rPr>
        <w:t>customers</w:t>
      </w:r>
      <w:r w:rsidR="00A176D4" w:rsidRPr="00591394">
        <w:rPr>
          <w:bCs/>
          <w:sz w:val="26"/>
          <w:szCs w:val="26"/>
        </w:rPr>
        <w:t xml:space="preserve"> with significant potential for energy </w:t>
      </w:r>
      <w:r w:rsidR="00EB5EBB" w:rsidRPr="00591394">
        <w:rPr>
          <w:bCs/>
          <w:sz w:val="26"/>
          <w:szCs w:val="26"/>
        </w:rPr>
        <w:t>savings</w:t>
      </w:r>
      <w:r w:rsidR="00A176D4" w:rsidRPr="00591394">
        <w:rPr>
          <w:bCs/>
          <w:sz w:val="26"/>
          <w:szCs w:val="26"/>
        </w:rPr>
        <w:t>.</w:t>
      </w:r>
      <w:r w:rsidR="00EB5EBB" w:rsidRPr="00591394">
        <w:rPr>
          <w:bCs/>
          <w:sz w:val="26"/>
          <w:szCs w:val="26"/>
        </w:rPr>
        <w:t xml:space="preserve">  Once identified, prospects </w:t>
      </w:r>
      <w:r w:rsidR="00AF5434" w:rsidRPr="00591394">
        <w:rPr>
          <w:bCs/>
          <w:sz w:val="26"/>
          <w:szCs w:val="26"/>
        </w:rPr>
        <w:t xml:space="preserve">are offered personalized remote engagement by phone and email to help them </w:t>
      </w:r>
      <w:r w:rsidR="007B2C7E" w:rsidRPr="00591394">
        <w:rPr>
          <w:bCs/>
          <w:sz w:val="26"/>
          <w:szCs w:val="26"/>
        </w:rPr>
        <w:t>understand their energy usage and are provided with instructions for self</w:t>
      </w:r>
      <w:r w:rsidR="009C5408" w:rsidRPr="00591394">
        <w:rPr>
          <w:bCs/>
          <w:sz w:val="26"/>
          <w:szCs w:val="26"/>
        </w:rPr>
        <w:t xml:space="preserve">-correction.  </w:t>
      </w:r>
      <w:r w:rsidR="00A176D4" w:rsidRPr="00591394">
        <w:rPr>
          <w:bCs/>
          <w:sz w:val="26"/>
          <w:szCs w:val="26"/>
        </w:rPr>
        <w:t xml:space="preserve">  </w:t>
      </w:r>
    </w:p>
    <w:p w14:paraId="27B67CD9" w14:textId="77777777" w:rsidR="00DA25E9" w:rsidRPr="00591394" w:rsidRDefault="00DA25E9" w:rsidP="00C6113D">
      <w:pPr>
        <w:pStyle w:val="PUC111Paragraph"/>
        <w:spacing w:before="0" w:after="0"/>
        <w:ind w:left="1440" w:right="1440"/>
        <w:rPr>
          <w:b/>
          <w:sz w:val="26"/>
          <w:szCs w:val="26"/>
        </w:rPr>
      </w:pPr>
    </w:p>
    <w:p w14:paraId="0EC4C3C9" w14:textId="2FF8E62A" w:rsidR="00F5499B" w:rsidRPr="00591394" w:rsidRDefault="009C5408" w:rsidP="00C6113D">
      <w:pPr>
        <w:pStyle w:val="PUC111Paragraph"/>
        <w:spacing w:before="0" w:after="0"/>
        <w:ind w:left="1440" w:right="1440"/>
        <w:rPr>
          <w:bCs/>
          <w:sz w:val="26"/>
          <w:szCs w:val="26"/>
        </w:rPr>
      </w:pPr>
      <w:r w:rsidRPr="00591394">
        <w:rPr>
          <w:b/>
          <w:sz w:val="26"/>
          <w:szCs w:val="26"/>
        </w:rPr>
        <w:t xml:space="preserve">Large Business Solutions Program </w:t>
      </w:r>
      <w:r w:rsidR="00F5499B" w:rsidRPr="00591394">
        <w:rPr>
          <w:b/>
          <w:sz w:val="26"/>
          <w:szCs w:val="26"/>
        </w:rPr>
        <w:t>–</w:t>
      </w:r>
      <w:r w:rsidRPr="00591394">
        <w:rPr>
          <w:b/>
          <w:sz w:val="26"/>
          <w:szCs w:val="26"/>
        </w:rPr>
        <w:t xml:space="preserve"> </w:t>
      </w:r>
      <w:r w:rsidR="00F5499B" w:rsidRPr="00591394">
        <w:rPr>
          <w:bCs/>
          <w:sz w:val="26"/>
          <w:szCs w:val="26"/>
        </w:rPr>
        <w:t>This program provides a set of simple solutions for customers interested in reducing their energy consumption by installing high</w:t>
      </w:r>
      <w:r w:rsidR="00860032" w:rsidRPr="00591394">
        <w:rPr>
          <w:bCs/>
          <w:sz w:val="26"/>
          <w:szCs w:val="26"/>
        </w:rPr>
        <w:t xml:space="preserve">ly efficient technologies and improving operational processes that produce verifiable energy and demand savings.  </w:t>
      </w:r>
      <w:r w:rsidR="004B2D8E" w:rsidRPr="00591394">
        <w:rPr>
          <w:bCs/>
          <w:sz w:val="26"/>
          <w:szCs w:val="26"/>
        </w:rPr>
        <w:t xml:space="preserve">This program influences the </w:t>
      </w:r>
      <w:r w:rsidR="00FE348C" w:rsidRPr="00591394">
        <w:rPr>
          <w:bCs/>
          <w:sz w:val="26"/>
          <w:szCs w:val="26"/>
        </w:rPr>
        <w:t>selection</w:t>
      </w:r>
      <w:r w:rsidR="004B2D8E" w:rsidRPr="00591394">
        <w:rPr>
          <w:bCs/>
          <w:sz w:val="26"/>
          <w:szCs w:val="26"/>
        </w:rPr>
        <w:t xml:space="preserve"> of high-efficiency equipment in retrofit, new construction, and end-of-life equipment replacement scenarios.  </w:t>
      </w:r>
    </w:p>
    <w:p w14:paraId="2CAA91B1" w14:textId="77777777" w:rsidR="00F5499B" w:rsidRPr="00591394" w:rsidRDefault="00F5499B" w:rsidP="00C6113D">
      <w:pPr>
        <w:pStyle w:val="PUC111Paragraph"/>
        <w:spacing w:before="0" w:after="0"/>
        <w:ind w:left="1440" w:right="1440"/>
        <w:rPr>
          <w:b/>
          <w:sz w:val="26"/>
          <w:szCs w:val="26"/>
        </w:rPr>
      </w:pPr>
    </w:p>
    <w:p w14:paraId="2A8AA97C" w14:textId="7EDD667C" w:rsidR="00C72C98" w:rsidRPr="00591394" w:rsidRDefault="00FE348C" w:rsidP="00C6113D">
      <w:pPr>
        <w:pStyle w:val="PUC111Paragraph"/>
        <w:spacing w:before="0" w:after="0"/>
        <w:ind w:left="1440" w:right="1440"/>
        <w:rPr>
          <w:bCs/>
          <w:sz w:val="26"/>
          <w:szCs w:val="26"/>
        </w:rPr>
      </w:pPr>
      <w:r w:rsidRPr="00591394">
        <w:rPr>
          <w:b/>
          <w:sz w:val="26"/>
          <w:szCs w:val="26"/>
        </w:rPr>
        <w:t>Large Business Midstream Solutions Program</w:t>
      </w:r>
      <w:r w:rsidR="00C72C98" w:rsidRPr="00591394">
        <w:rPr>
          <w:b/>
          <w:sz w:val="26"/>
          <w:szCs w:val="26"/>
        </w:rPr>
        <w:t xml:space="preserve"> – </w:t>
      </w:r>
      <w:r w:rsidR="00C72C98" w:rsidRPr="00591394">
        <w:rPr>
          <w:bCs/>
          <w:sz w:val="26"/>
          <w:szCs w:val="26"/>
        </w:rPr>
        <w:t xml:space="preserve">This program moves incentives up </w:t>
      </w:r>
      <w:r w:rsidR="00B40AF8" w:rsidRPr="00591394">
        <w:rPr>
          <w:bCs/>
          <w:sz w:val="26"/>
          <w:szCs w:val="26"/>
        </w:rPr>
        <w:t xml:space="preserve">the supply </w:t>
      </w:r>
      <w:r w:rsidR="00F643E4" w:rsidRPr="00591394">
        <w:rPr>
          <w:bCs/>
          <w:sz w:val="26"/>
          <w:szCs w:val="26"/>
        </w:rPr>
        <w:t>chain to</w:t>
      </w:r>
      <w:r w:rsidR="00B40AF8" w:rsidRPr="00591394">
        <w:rPr>
          <w:bCs/>
          <w:sz w:val="26"/>
          <w:szCs w:val="26"/>
        </w:rPr>
        <w:t xml:space="preserve"> the distributors and </w:t>
      </w:r>
      <w:r w:rsidR="00F643E4" w:rsidRPr="00591394">
        <w:rPr>
          <w:bCs/>
          <w:sz w:val="26"/>
          <w:szCs w:val="26"/>
        </w:rPr>
        <w:t>manufacturers</w:t>
      </w:r>
      <w:r w:rsidR="00B40AF8" w:rsidRPr="00591394">
        <w:rPr>
          <w:bCs/>
          <w:sz w:val="26"/>
          <w:szCs w:val="26"/>
        </w:rPr>
        <w:t xml:space="preserve"> that have the greatest influence on equipment sales.  </w:t>
      </w:r>
    </w:p>
    <w:p w14:paraId="66BE2482" w14:textId="77777777" w:rsidR="00C72C98" w:rsidRPr="00591394" w:rsidRDefault="00C72C98" w:rsidP="00C6113D">
      <w:pPr>
        <w:pStyle w:val="PUC111Paragraph"/>
        <w:spacing w:before="0" w:after="0"/>
        <w:ind w:left="1440" w:right="1440"/>
        <w:rPr>
          <w:b/>
          <w:sz w:val="26"/>
          <w:szCs w:val="26"/>
        </w:rPr>
      </w:pPr>
    </w:p>
    <w:p w14:paraId="67D951A1" w14:textId="6942CC9E" w:rsidR="001D5F0F" w:rsidRPr="00591394" w:rsidRDefault="00F643E4" w:rsidP="00C6113D">
      <w:pPr>
        <w:pStyle w:val="PUC111Paragraph"/>
        <w:spacing w:before="0" w:after="0"/>
        <w:ind w:left="1440" w:right="1440"/>
        <w:rPr>
          <w:bCs/>
          <w:sz w:val="26"/>
          <w:szCs w:val="26"/>
        </w:rPr>
      </w:pPr>
      <w:r w:rsidRPr="00591394">
        <w:rPr>
          <w:b/>
          <w:sz w:val="26"/>
          <w:szCs w:val="26"/>
        </w:rPr>
        <w:t xml:space="preserve">Large Business Virtual Commissioning Program </w:t>
      </w:r>
      <w:r w:rsidR="001D5F0F" w:rsidRPr="00591394">
        <w:rPr>
          <w:b/>
          <w:sz w:val="26"/>
          <w:szCs w:val="26"/>
        </w:rPr>
        <w:t>–</w:t>
      </w:r>
      <w:r w:rsidRPr="00591394">
        <w:rPr>
          <w:b/>
          <w:sz w:val="26"/>
          <w:szCs w:val="26"/>
        </w:rPr>
        <w:t xml:space="preserve"> </w:t>
      </w:r>
      <w:r w:rsidR="001D5F0F" w:rsidRPr="00591394">
        <w:rPr>
          <w:bCs/>
          <w:sz w:val="26"/>
          <w:szCs w:val="26"/>
        </w:rPr>
        <w:t xml:space="preserve">This program targets </w:t>
      </w:r>
      <w:r w:rsidR="002D786B" w:rsidRPr="00591394">
        <w:rPr>
          <w:bCs/>
          <w:sz w:val="26"/>
          <w:szCs w:val="26"/>
        </w:rPr>
        <w:t>large</w:t>
      </w:r>
      <w:r w:rsidR="00DE5955" w:rsidRPr="00591394">
        <w:rPr>
          <w:bCs/>
          <w:sz w:val="26"/>
          <w:szCs w:val="26"/>
        </w:rPr>
        <w:t xml:space="preserve"> Commercial and Industrial</w:t>
      </w:r>
      <w:r w:rsidR="002D786B" w:rsidRPr="00591394">
        <w:rPr>
          <w:bCs/>
          <w:sz w:val="26"/>
          <w:szCs w:val="26"/>
        </w:rPr>
        <w:t xml:space="preserve"> </w:t>
      </w:r>
      <w:r w:rsidR="00DE5955" w:rsidRPr="00591394">
        <w:rPr>
          <w:bCs/>
          <w:sz w:val="26"/>
          <w:szCs w:val="26"/>
        </w:rPr>
        <w:t>(</w:t>
      </w:r>
      <w:r w:rsidR="002D786B" w:rsidRPr="00591394">
        <w:rPr>
          <w:bCs/>
          <w:sz w:val="26"/>
          <w:szCs w:val="26"/>
        </w:rPr>
        <w:t>C&amp;I</w:t>
      </w:r>
      <w:r w:rsidR="00DE5955" w:rsidRPr="00591394">
        <w:rPr>
          <w:bCs/>
          <w:sz w:val="26"/>
          <w:szCs w:val="26"/>
        </w:rPr>
        <w:t>)</w:t>
      </w:r>
      <w:r w:rsidR="002D786B" w:rsidRPr="00591394">
        <w:rPr>
          <w:bCs/>
          <w:sz w:val="26"/>
          <w:szCs w:val="26"/>
        </w:rPr>
        <w:t xml:space="preserve"> customers with demand equal to or greater than 300 kW.  </w:t>
      </w:r>
      <w:r w:rsidR="00420E1B" w:rsidRPr="00591394">
        <w:rPr>
          <w:bCs/>
          <w:sz w:val="26"/>
          <w:szCs w:val="26"/>
        </w:rPr>
        <w:t xml:space="preserve">This program uses AMI data analytics to identify and qualify customers with significant potential for energy savings.  </w:t>
      </w:r>
      <w:r w:rsidR="001651D6" w:rsidRPr="00591394">
        <w:rPr>
          <w:bCs/>
          <w:sz w:val="26"/>
          <w:szCs w:val="26"/>
        </w:rPr>
        <w:t xml:space="preserve">Once identified, customers are offered personalized remote engagement by phone and email to help them understand their energy usage and are provided with instructions for self-correction.    </w:t>
      </w:r>
    </w:p>
    <w:p w14:paraId="752877D7" w14:textId="77777777" w:rsidR="00130778" w:rsidRPr="00591394" w:rsidRDefault="00130778" w:rsidP="0043419B">
      <w:pPr>
        <w:pStyle w:val="PUC111Sub-Title"/>
        <w:numPr>
          <w:ilvl w:val="0"/>
          <w:numId w:val="0"/>
        </w:numPr>
        <w:spacing w:before="0" w:after="0" w:line="360" w:lineRule="auto"/>
        <w:ind w:right="1440"/>
        <w:rPr>
          <w:b/>
          <w:sz w:val="26"/>
          <w:szCs w:val="26"/>
        </w:rPr>
      </w:pPr>
    </w:p>
    <w:p w14:paraId="2C8A666C" w14:textId="02ECA147" w:rsidR="005D56C7" w:rsidRPr="00591394" w:rsidRDefault="00DB78E0" w:rsidP="00C6113D">
      <w:pPr>
        <w:pStyle w:val="PUC111Sub-Title"/>
        <w:numPr>
          <w:ilvl w:val="0"/>
          <w:numId w:val="0"/>
        </w:numPr>
        <w:spacing w:before="0" w:after="0"/>
        <w:ind w:right="1440"/>
        <w:rPr>
          <w:sz w:val="26"/>
          <w:szCs w:val="26"/>
        </w:rPr>
      </w:pPr>
      <w:r w:rsidRPr="00591394">
        <w:rPr>
          <w:i/>
          <w:sz w:val="26"/>
          <w:szCs w:val="26"/>
        </w:rPr>
        <w:t xml:space="preserve">See </w:t>
      </w:r>
      <w:r w:rsidR="00C02F56" w:rsidRPr="00591394">
        <w:rPr>
          <w:i/>
          <w:sz w:val="26"/>
          <w:szCs w:val="26"/>
        </w:rPr>
        <w:t xml:space="preserve">Revised </w:t>
      </w:r>
      <w:r w:rsidR="00130778" w:rsidRPr="00591394">
        <w:rPr>
          <w:i/>
          <w:iCs/>
          <w:sz w:val="26"/>
          <w:szCs w:val="26"/>
        </w:rPr>
        <w:t>Phase I</w:t>
      </w:r>
      <w:r w:rsidR="00C02F56" w:rsidRPr="00591394">
        <w:rPr>
          <w:i/>
          <w:iCs/>
          <w:sz w:val="26"/>
          <w:szCs w:val="26"/>
        </w:rPr>
        <w:t>V</w:t>
      </w:r>
      <w:r w:rsidR="00130778" w:rsidRPr="00591394">
        <w:rPr>
          <w:i/>
          <w:iCs/>
          <w:sz w:val="26"/>
          <w:szCs w:val="26"/>
        </w:rPr>
        <w:t xml:space="preserve"> Plan</w:t>
      </w:r>
      <w:r w:rsidR="00130778" w:rsidRPr="00591394">
        <w:rPr>
          <w:sz w:val="26"/>
          <w:szCs w:val="26"/>
        </w:rPr>
        <w:t xml:space="preserve"> at 2</w:t>
      </w:r>
      <w:r w:rsidR="003F436C" w:rsidRPr="00591394">
        <w:rPr>
          <w:sz w:val="26"/>
          <w:szCs w:val="26"/>
        </w:rPr>
        <w:t>5</w:t>
      </w:r>
      <w:r w:rsidR="00130778" w:rsidRPr="00591394">
        <w:rPr>
          <w:sz w:val="26"/>
          <w:szCs w:val="26"/>
        </w:rPr>
        <w:t>-</w:t>
      </w:r>
      <w:r w:rsidR="007833BB" w:rsidRPr="00591394">
        <w:rPr>
          <w:sz w:val="26"/>
          <w:szCs w:val="26"/>
        </w:rPr>
        <w:t>79</w:t>
      </w:r>
      <w:r w:rsidR="00130778" w:rsidRPr="00591394">
        <w:rPr>
          <w:sz w:val="26"/>
          <w:szCs w:val="26"/>
        </w:rPr>
        <w:t>.</w:t>
      </w:r>
      <w:r w:rsidR="00FA7854" w:rsidRPr="00591394">
        <w:rPr>
          <w:sz w:val="26"/>
          <w:szCs w:val="26"/>
        </w:rPr>
        <w:t xml:space="preserve"> </w:t>
      </w:r>
    </w:p>
    <w:p w14:paraId="0F974EDB" w14:textId="77777777" w:rsidR="00A907C3" w:rsidRPr="00591394" w:rsidRDefault="00A907C3" w:rsidP="00C6113D">
      <w:pPr>
        <w:widowControl/>
        <w:rPr>
          <w:sz w:val="26"/>
          <w:szCs w:val="26"/>
        </w:rPr>
      </w:pPr>
    </w:p>
    <w:p w14:paraId="548805B0" w14:textId="77777777" w:rsidR="00797DFA" w:rsidRPr="00591394" w:rsidRDefault="00797DFA" w:rsidP="00C6113D">
      <w:pPr>
        <w:widowControl/>
        <w:rPr>
          <w:sz w:val="26"/>
          <w:szCs w:val="26"/>
        </w:rPr>
      </w:pPr>
    </w:p>
    <w:p w14:paraId="014F2395" w14:textId="77777777" w:rsidR="005D56C7" w:rsidRPr="00591394" w:rsidRDefault="005D56C7" w:rsidP="0043419B">
      <w:pPr>
        <w:pStyle w:val="Heading1"/>
        <w:keepNext/>
        <w:rPr>
          <w:szCs w:val="26"/>
        </w:rPr>
      </w:pPr>
      <w:bookmarkStart w:id="11" w:name="_Toc66354610"/>
      <w:r w:rsidRPr="00591394">
        <w:rPr>
          <w:szCs w:val="26"/>
        </w:rPr>
        <w:lastRenderedPageBreak/>
        <w:t>IV.</w:t>
      </w:r>
      <w:r w:rsidRPr="00591394">
        <w:rPr>
          <w:szCs w:val="26"/>
        </w:rPr>
        <w:tab/>
        <w:t>Discussion</w:t>
      </w:r>
      <w:bookmarkEnd w:id="11"/>
    </w:p>
    <w:p w14:paraId="5414BB28" w14:textId="77777777" w:rsidR="005D56C7" w:rsidRPr="00591394" w:rsidRDefault="005D56C7" w:rsidP="0043419B">
      <w:pPr>
        <w:keepNext/>
        <w:widowControl/>
        <w:spacing w:line="360" w:lineRule="auto"/>
        <w:rPr>
          <w:sz w:val="26"/>
          <w:szCs w:val="26"/>
        </w:rPr>
      </w:pPr>
    </w:p>
    <w:p w14:paraId="3A5CD7EE" w14:textId="3E1947D0" w:rsidR="007B164B" w:rsidRPr="00591394" w:rsidRDefault="007B164B" w:rsidP="0043419B">
      <w:pPr>
        <w:keepNext/>
        <w:widowControl/>
        <w:spacing w:line="360" w:lineRule="auto"/>
        <w:ind w:firstLine="1440"/>
        <w:rPr>
          <w:sz w:val="26"/>
          <w:szCs w:val="26"/>
        </w:rPr>
      </w:pPr>
      <w:r w:rsidRPr="00591394">
        <w:rPr>
          <w:sz w:val="26"/>
          <w:szCs w:val="26"/>
        </w:rPr>
        <w:t>We note that any issue we do not specifically address herein has been duly considered and will be denied without further discuss</w:t>
      </w:r>
      <w:r w:rsidR="00142857" w:rsidRPr="00591394">
        <w:rPr>
          <w:sz w:val="26"/>
          <w:szCs w:val="26"/>
        </w:rPr>
        <w:t>ion.  It is well settled that the Commission is</w:t>
      </w:r>
      <w:r w:rsidRPr="00591394">
        <w:rPr>
          <w:sz w:val="26"/>
          <w:szCs w:val="26"/>
        </w:rPr>
        <w:t xml:space="preserve"> not required to consider</w:t>
      </w:r>
      <w:r w:rsidR="00142857" w:rsidRPr="00591394">
        <w:rPr>
          <w:sz w:val="26"/>
          <w:szCs w:val="26"/>
        </w:rPr>
        <w:t>,</w:t>
      </w:r>
      <w:r w:rsidRPr="00591394">
        <w:rPr>
          <w:sz w:val="26"/>
          <w:szCs w:val="26"/>
        </w:rPr>
        <w:t xml:space="preserve"> expressly or at length</w:t>
      </w:r>
      <w:r w:rsidR="00142857" w:rsidRPr="00591394">
        <w:rPr>
          <w:sz w:val="26"/>
          <w:szCs w:val="26"/>
        </w:rPr>
        <w:t>,</w:t>
      </w:r>
      <w:r w:rsidRPr="00591394">
        <w:rPr>
          <w:sz w:val="26"/>
          <w:szCs w:val="26"/>
        </w:rPr>
        <w:t xml:space="preserve"> each contention or argument raised by the parties.  </w:t>
      </w:r>
      <w:hyperlink r:id="rId10" w:history="1">
        <w:r w:rsidRPr="00591394">
          <w:rPr>
            <w:rStyle w:val="Emphasis"/>
            <w:color w:val="000000"/>
            <w:sz w:val="26"/>
            <w:szCs w:val="26"/>
          </w:rPr>
          <w:t>Consolidated Rail Corporation v. Pa. PUC</w:t>
        </w:r>
        <w:r w:rsidRPr="00591394">
          <w:rPr>
            <w:rStyle w:val="Hyperlink"/>
            <w:color w:val="000000"/>
            <w:sz w:val="26"/>
            <w:szCs w:val="26"/>
            <w:u w:val="none"/>
          </w:rPr>
          <w:t>, 625</w:t>
        </w:r>
        <w:r w:rsidR="00826E7F">
          <w:rPr>
            <w:rStyle w:val="Hyperlink"/>
            <w:color w:val="000000"/>
            <w:sz w:val="26"/>
            <w:szCs w:val="26"/>
            <w:u w:val="none"/>
          </w:rPr>
          <w:t> </w:t>
        </w:r>
        <w:r w:rsidRPr="00591394">
          <w:rPr>
            <w:rStyle w:val="Hyperlink"/>
            <w:color w:val="000000"/>
            <w:sz w:val="26"/>
            <w:szCs w:val="26"/>
            <w:u w:val="none"/>
          </w:rPr>
          <w:t>A.2d</w:t>
        </w:r>
        <w:r w:rsidR="00826E7F">
          <w:rPr>
            <w:rStyle w:val="Hyperlink"/>
            <w:color w:val="000000"/>
            <w:sz w:val="26"/>
            <w:szCs w:val="26"/>
            <w:u w:val="none"/>
          </w:rPr>
          <w:t> </w:t>
        </w:r>
        <w:r w:rsidRPr="00591394">
          <w:rPr>
            <w:rStyle w:val="Hyperlink"/>
            <w:color w:val="000000"/>
            <w:sz w:val="26"/>
            <w:szCs w:val="26"/>
            <w:u w:val="none"/>
          </w:rPr>
          <w:t>741 (Pa. Cmwlth. 1993);</w:t>
        </w:r>
      </w:hyperlink>
      <w:r w:rsidRPr="00591394">
        <w:rPr>
          <w:color w:val="000000"/>
          <w:sz w:val="26"/>
          <w:szCs w:val="26"/>
        </w:rPr>
        <w:t xml:space="preserve"> </w:t>
      </w:r>
      <w:r w:rsidRPr="00591394">
        <w:rPr>
          <w:rStyle w:val="Emphasis"/>
          <w:color w:val="000000"/>
          <w:sz w:val="26"/>
          <w:szCs w:val="26"/>
        </w:rPr>
        <w:t xml:space="preserve">see also, generally, </w:t>
      </w:r>
      <w:hyperlink r:id="rId11" w:history="1">
        <w:r w:rsidRPr="00591394">
          <w:rPr>
            <w:rStyle w:val="Emphasis"/>
            <w:color w:val="000000"/>
            <w:sz w:val="26"/>
            <w:szCs w:val="26"/>
          </w:rPr>
          <w:t>University of Pennsylvania v. Pa.</w:t>
        </w:r>
        <w:r w:rsidR="00826E7F">
          <w:rPr>
            <w:rStyle w:val="Emphasis"/>
            <w:color w:val="000000"/>
            <w:sz w:val="26"/>
            <w:szCs w:val="26"/>
          </w:rPr>
          <w:t> </w:t>
        </w:r>
        <w:r w:rsidRPr="00591394">
          <w:rPr>
            <w:rStyle w:val="Emphasis"/>
            <w:color w:val="000000"/>
            <w:sz w:val="26"/>
            <w:szCs w:val="26"/>
          </w:rPr>
          <w:t>PUC</w:t>
        </w:r>
        <w:r w:rsidRPr="00591394">
          <w:rPr>
            <w:rStyle w:val="Hyperlink"/>
            <w:color w:val="000000"/>
            <w:sz w:val="26"/>
            <w:szCs w:val="26"/>
            <w:u w:val="none"/>
          </w:rPr>
          <w:t>, 485 A.2d 1217 (Pa. Cmwlth. 1984).</w:t>
        </w:r>
      </w:hyperlink>
      <w:r w:rsidRPr="00591394">
        <w:rPr>
          <w:sz w:val="26"/>
          <w:szCs w:val="26"/>
        </w:rPr>
        <w:t xml:space="preserve">  </w:t>
      </w:r>
    </w:p>
    <w:p w14:paraId="16D4A812" w14:textId="77777777" w:rsidR="007B164B" w:rsidRPr="00591394" w:rsidRDefault="007B164B" w:rsidP="00C6113D">
      <w:pPr>
        <w:widowControl/>
        <w:spacing w:line="360" w:lineRule="auto"/>
        <w:rPr>
          <w:sz w:val="26"/>
          <w:szCs w:val="26"/>
        </w:rPr>
      </w:pPr>
    </w:p>
    <w:p w14:paraId="77406F83" w14:textId="77777777" w:rsidR="00016636" w:rsidRPr="00591394" w:rsidRDefault="00016636" w:rsidP="00C6113D">
      <w:pPr>
        <w:pStyle w:val="Heading2"/>
        <w:keepNext/>
        <w:rPr>
          <w:szCs w:val="26"/>
        </w:rPr>
      </w:pPr>
      <w:bookmarkStart w:id="12" w:name="_Toc66354611"/>
      <w:r w:rsidRPr="00591394">
        <w:rPr>
          <w:szCs w:val="26"/>
        </w:rPr>
        <w:t>A.</w:t>
      </w:r>
      <w:r w:rsidRPr="00591394">
        <w:rPr>
          <w:szCs w:val="26"/>
        </w:rPr>
        <w:tab/>
        <w:t>Legal Standards</w:t>
      </w:r>
      <w:bookmarkEnd w:id="12"/>
    </w:p>
    <w:p w14:paraId="7E02DE89" w14:textId="77777777" w:rsidR="00BF4C17" w:rsidRPr="00591394" w:rsidRDefault="00BF4C17" w:rsidP="00C6113D">
      <w:pPr>
        <w:keepNext/>
        <w:widowControl/>
        <w:spacing w:line="360" w:lineRule="auto"/>
        <w:ind w:firstLine="1440"/>
        <w:rPr>
          <w:sz w:val="26"/>
          <w:szCs w:val="26"/>
        </w:rPr>
      </w:pPr>
    </w:p>
    <w:p w14:paraId="4F2027FA" w14:textId="28650D37" w:rsidR="00D03E44" w:rsidRPr="00591394" w:rsidRDefault="00D03E44" w:rsidP="00C6113D">
      <w:pPr>
        <w:keepNext/>
        <w:widowControl/>
        <w:suppressAutoHyphens/>
        <w:spacing w:line="360" w:lineRule="auto"/>
        <w:ind w:firstLine="1440"/>
        <w:rPr>
          <w:sz w:val="26"/>
          <w:szCs w:val="26"/>
        </w:rPr>
      </w:pPr>
      <w:r w:rsidRPr="00591394">
        <w:rPr>
          <w:sz w:val="26"/>
          <w:szCs w:val="26"/>
        </w:rPr>
        <w:t>Because the Joint Petitioners have reached a settlement, the Joint Petitioners have the burden to prove that the Settlement is in the public interest.  Pursuant to our Regulations at 52 Pa. Code § 5.231, it is the Commission’s policy to promote settlements.  Settlement terms often are preferable to those achieved at the conclusion of a fully litigated proceeding.  In addition, a full settlement of all the issues in a proceeding eliminates the time, effort and expense that otherwise would have been used in litigating the proceeding, while a partial settlement may significantly reduce the time, effort</w:t>
      </w:r>
      <w:r w:rsidR="00483591" w:rsidRPr="00591394">
        <w:rPr>
          <w:sz w:val="26"/>
          <w:szCs w:val="26"/>
        </w:rPr>
        <w:t>,</w:t>
      </w:r>
      <w:r w:rsidRPr="00591394">
        <w:rPr>
          <w:sz w:val="26"/>
          <w:szCs w:val="26"/>
        </w:rPr>
        <w:t xml:space="preserve"> and expense of litigating a case.</w:t>
      </w:r>
      <w:r w:rsidR="0093149B" w:rsidRPr="00591394">
        <w:rPr>
          <w:sz w:val="26"/>
          <w:szCs w:val="26"/>
        </w:rPr>
        <w:t xml:space="preserve">  </w:t>
      </w:r>
      <w:r w:rsidRPr="00591394">
        <w:rPr>
          <w:sz w:val="26"/>
          <w:szCs w:val="26"/>
        </w:rPr>
        <w:t>Act 129 cases often are expensive to litigate, and the reasonable cost of such litigation is an operating expense recoverable in the rates approved by the Commission.  Partial or full settlements allow the parties to avoid the substantial costs of preparing and serving testimony, cross-examining witnesses in lengthy hearings, and preparing and serving briefs, reply briefs, exceptions and reply exceptions, together with the briefs and reply briefs necessitated by any appeal of the Commission’s decision, yielding significant expense savings for the company’s customers.  For this and other sound reasons, settlements are encouraged by long-standing Commission policy.</w:t>
      </w:r>
    </w:p>
    <w:p w14:paraId="1FAA858D" w14:textId="77777777" w:rsidR="00D03E44" w:rsidRPr="00591394" w:rsidRDefault="00D03E44" w:rsidP="00C6113D">
      <w:pPr>
        <w:widowControl/>
        <w:suppressAutoHyphens/>
        <w:spacing w:line="360" w:lineRule="auto"/>
        <w:ind w:firstLine="1440"/>
        <w:rPr>
          <w:sz w:val="26"/>
          <w:szCs w:val="26"/>
        </w:rPr>
      </w:pPr>
    </w:p>
    <w:p w14:paraId="6BD242FE" w14:textId="77777777" w:rsidR="00D03E44" w:rsidRPr="00591394" w:rsidRDefault="00D03E44" w:rsidP="00826E7F">
      <w:pPr>
        <w:widowControl/>
        <w:spacing w:line="360" w:lineRule="auto"/>
        <w:ind w:firstLine="1440"/>
        <w:rPr>
          <w:sz w:val="26"/>
          <w:szCs w:val="26"/>
        </w:rPr>
      </w:pPr>
      <w:r w:rsidRPr="00591394">
        <w:rPr>
          <w:sz w:val="26"/>
          <w:szCs w:val="26"/>
        </w:rPr>
        <w:lastRenderedPageBreak/>
        <w:t xml:space="preserve">The Commission must, however, review proposed settlements to determine whether the terms are in the public interest.  </w:t>
      </w:r>
      <w:r w:rsidRPr="00591394">
        <w:rPr>
          <w:i/>
          <w:sz w:val="26"/>
          <w:szCs w:val="26"/>
        </w:rPr>
        <w:t>Pa. PUC v. Philadelphia Gas Works</w:t>
      </w:r>
      <w:r w:rsidRPr="00591394">
        <w:rPr>
          <w:sz w:val="26"/>
          <w:szCs w:val="26"/>
        </w:rPr>
        <w:t xml:space="preserve">, Docket No. M-00031768 (Order entered January 7, 2004); </w:t>
      </w:r>
      <w:r w:rsidRPr="00591394">
        <w:rPr>
          <w:i/>
          <w:sz w:val="26"/>
          <w:szCs w:val="26"/>
        </w:rPr>
        <w:t>Pa. PUC v. C.S. Water and Sewer Assoc.</w:t>
      </w:r>
      <w:r w:rsidRPr="00591394">
        <w:rPr>
          <w:sz w:val="26"/>
          <w:szCs w:val="26"/>
        </w:rPr>
        <w:t xml:space="preserve">, 74 Pa. P.U.C. 767 (1991); </w:t>
      </w:r>
      <w:r w:rsidRPr="00591394">
        <w:rPr>
          <w:i/>
          <w:sz w:val="26"/>
          <w:szCs w:val="26"/>
        </w:rPr>
        <w:t>Pa. PUC v. Philadelphia Electric Co.</w:t>
      </w:r>
      <w:r w:rsidRPr="00591394">
        <w:rPr>
          <w:sz w:val="26"/>
          <w:szCs w:val="26"/>
        </w:rPr>
        <w:t xml:space="preserve">, 60 Pa. P.U.C. 1 (1985).  In order to accept a settlement such as that proposed here, the Commission must determine that the proposed terms and conditions are in the public interest.  </w:t>
      </w:r>
      <w:r w:rsidRPr="00591394">
        <w:rPr>
          <w:i/>
          <w:sz w:val="26"/>
          <w:szCs w:val="26"/>
        </w:rPr>
        <w:t>Pa. PUC v. York Water Co.</w:t>
      </w:r>
      <w:r w:rsidRPr="00591394">
        <w:rPr>
          <w:sz w:val="26"/>
          <w:szCs w:val="26"/>
        </w:rPr>
        <w:t xml:space="preserve">, Docket No. R-00049165 (Order entered October 4, 2004); </w:t>
      </w:r>
      <w:r w:rsidRPr="00591394">
        <w:rPr>
          <w:i/>
          <w:sz w:val="26"/>
          <w:szCs w:val="26"/>
        </w:rPr>
        <w:t>Pa. PUC v. C.S. Water and Sewer Assoc.</w:t>
      </w:r>
      <w:r w:rsidRPr="00591394">
        <w:rPr>
          <w:sz w:val="26"/>
          <w:szCs w:val="26"/>
        </w:rPr>
        <w:t xml:space="preserve">, </w:t>
      </w:r>
      <w:r w:rsidRPr="00591394">
        <w:rPr>
          <w:i/>
          <w:sz w:val="26"/>
          <w:szCs w:val="26"/>
        </w:rPr>
        <w:t>supra</w:t>
      </w:r>
      <w:r w:rsidRPr="00591394">
        <w:rPr>
          <w:sz w:val="26"/>
          <w:szCs w:val="26"/>
        </w:rPr>
        <w:t>.</w:t>
      </w:r>
      <w:r w:rsidR="00F31D23" w:rsidRPr="00591394">
        <w:rPr>
          <w:sz w:val="26"/>
          <w:szCs w:val="26"/>
        </w:rPr>
        <w:t xml:space="preserve">  Additionally, this Commission’s decision must be supported by substantial evidence in the record.  More is required than a mere trace of evidence or a suspicion of the existence of a fact sought to be established.  </w:t>
      </w:r>
      <w:r w:rsidR="00F31D23" w:rsidRPr="00591394">
        <w:rPr>
          <w:i/>
          <w:sz w:val="26"/>
          <w:szCs w:val="26"/>
        </w:rPr>
        <w:t>Norfolk &amp; Western Ry. Co. v. Pa. PUC</w:t>
      </w:r>
      <w:r w:rsidR="00F31D23" w:rsidRPr="00826E7F">
        <w:rPr>
          <w:iCs/>
          <w:sz w:val="26"/>
          <w:szCs w:val="26"/>
        </w:rPr>
        <w:t>,</w:t>
      </w:r>
      <w:r w:rsidR="00F31D23" w:rsidRPr="00591394">
        <w:rPr>
          <w:i/>
          <w:sz w:val="26"/>
          <w:szCs w:val="26"/>
        </w:rPr>
        <w:t xml:space="preserve"> </w:t>
      </w:r>
      <w:r w:rsidR="00F31D23" w:rsidRPr="00591394">
        <w:rPr>
          <w:sz w:val="26"/>
          <w:szCs w:val="26"/>
        </w:rPr>
        <w:t>489 Pa. 109, 413 A.2d 1037 (1980).</w:t>
      </w:r>
    </w:p>
    <w:p w14:paraId="7C610321" w14:textId="77777777" w:rsidR="00AA16B7" w:rsidRPr="00591394" w:rsidRDefault="00AA16B7" w:rsidP="00826E7F">
      <w:pPr>
        <w:widowControl/>
        <w:spacing w:line="360" w:lineRule="auto"/>
        <w:rPr>
          <w:sz w:val="26"/>
          <w:szCs w:val="26"/>
        </w:rPr>
      </w:pPr>
    </w:p>
    <w:p w14:paraId="30C208BE" w14:textId="694DC7EE" w:rsidR="00016636" w:rsidRPr="00591394" w:rsidRDefault="00016636" w:rsidP="00826E7F">
      <w:pPr>
        <w:pStyle w:val="Heading2"/>
        <w:keepNext/>
        <w:rPr>
          <w:szCs w:val="26"/>
        </w:rPr>
      </w:pPr>
      <w:bookmarkStart w:id="13" w:name="_Toc66354612"/>
      <w:r w:rsidRPr="00591394">
        <w:rPr>
          <w:szCs w:val="26"/>
        </w:rPr>
        <w:t>B.</w:t>
      </w:r>
      <w:r w:rsidRPr="00591394">
        <w:rPr>
          <w:szCs w:val="26"/>
        </w:rPr>
        <w:tab/>
        <w:t>Phase I</w:t>
      </w:r>
      <w:r w:rsidR="00AA63C6" w:rsidRPr="00591394">
        <w:rPr>
          <w:szCs w:val="26"/>
        </w:rPr>
        <w:t>V</w:t>
      </w:r>
      <w:r w:rsidRPr="00591394">
        <w:rPr>
          <w:szCs w:val="26"/>
        </w:rPr>
        <w:t xml:space="preserve"> Conservation and </w:t>
      </w:r>
      <w:r w:rsidR="0053564C">
        <w:rPr>
          <w:szCs w:val="26"/>
        </w:rPr>
        <w:t xml:space="preserve">Peak </w:t>
      </w:r>
      <w:r w:rsidRPr="00591394">
        <w:rPr>
          <w:szCs w:val="26"/>
        </w:rPr>
        <w:t>Demand Reduction Requirements</w:t>
      </w:r>
      <w:bookmarkEnd w:id="13"/>
    </w:p>
    <w:p w14:paraId="1ED62F53" w14:textId="77777777" w:rsidR="00016636" w:rsidRPr="00591394" w:rsidRDefault="00016636" w:rsidP="00826E7F">
      <w:pPr>
        <w:keepNext/>
        <w:widowControl/>
        <w:spacing w:line="360" w:lineRule="auto"/>
        <w:rPr>
          <w:sz w:val="26"/>
          <w:szCs w:val="26"/>
        </w:rPr>
      </w:pPr>
    </w:p>
    <w:p w14:paraId="19E255E0" w14:textId="77777777" w:rsidR="00016636" w:rsidRPr="00591394" w:rsidRDefault="00016636" w:rsidP="00826E7F">
      <w:pPr>
        <w:pStyle w:val="Heading3"/>
        <w:keepNext/>
      </w:pPr>
      <w:bookmarkStart w:id="14" w:name="_Toc66354613"/>
      <w:r w:rsidRPr="00591394">
        <w:t>1.</w:t>
      </w:r>
      <w:r w:rsidRPr="00591394">
        <w:tab/>
        <w:t>Overall Conservation Requirements</w:t>
      </w:r>
      <w:bookmarkEnd w:id="14"/>
    </w:p>
    <w:p w14:paraId="1B053A3C" w14:textId="77777777" w:rsidR="00016636" w:rsidRPr="00591394" w:rsidRDefault="00016636" w:rsidP="00826E7F">
      <w:pPr>
        <w:keepNext/>
        <w:widowControl/>
        <w:spacing w:line="360" w:lineRule="auto"/>
        <w:rPr>
          <w:sz w:val="26"/>
          <w:szCs w:val="26"/>
        </w:rPr>
      </w:pPr>
    </w:p>
    <w:p w14:paraId="3297CAB1" w14:textId="3184A3E3" w:rsidR="00B63339" w:rsidRPr="00591394" w:rsidRDefault="003515E8" w:rsidP="00826E7F">
      <w:pPr>
        <w:keepNext/>
        <w:widowControl/>
        <w:spacing w:line="360" w:lineRule="auto"/>
        <w:ind w:firstLine="1440"/>
        <w:rPr>
          <w:sz w:val="26"/>
          <w:szCs w:val="26"/>
        </w:rPr>
      </w:pPr>
      <w:r w:rsidRPr="00591394">
        <w:rPr>
          <w:sz w:val="26"/>
          <w:szCs w:val="26"/>
        </w:rPr>
        <w:t xml:space="preserve">The </w:t>
      </w:r>
      <w:r w:rsidRPr="00591394">
        <w:rPr>
          <w:i/>
          <w:sz w:val="26"/>
          <w:szCs w:val="26"/>
        </w:rPr>
        <w:t>Phase I</w:t>
      </w:r>
      <w:r w:rsidR="00AA63C6" w:rsidRPr="00591394">
        <w:rPr>
          <w:i/>
          <w:sz w:val="26"/>
          <w:szCs w:val="26"/>
        </w:rPr>
        <w:t>V</w:t>
      </w:r>
      <w:r w:rsidRPr="00591394">
        <w:rPr>
          <w:i/>
          <w:sz w:val="26"/>
          <w:szCs w:val="26"/>
        </w:rPr>
        <w:t xml:space="preserve"> Implementation Order </w:t>
      </w:r>
      <w:r w:rsidRPr="00591394">
        <w:rPr>
          <w:sz w:val="26"/>
          <w:szCs w:val="26"/>
        </w:rPr>
        <w:t>established a Phase I</w:t>
      </w:r>
      <w:r w:rsidR="00AA63C6" w:rsidRPr="00591394">
        <w:rPr>
          <w:sz w:val="26"/>
          <w:szCs w:val="26"/>
        </w:rPr>
        <w:t>V</w:t>
      </w:r>
      <w:r w:rsidRPr="00591394">
        <w:rPr>
          <w:sz w:val="26"/>
          <w:szCs w:val="26"/>
        </w:rPr>
        <w:t xml:space="preserve"> energy consumption reduction target of </w:t>
      </w:r>
      <w:r w:rsidR="00B128B0" w:rsidRPr="00591394">
        <w:rPr>
          <w:sz w:val="26"/>
          <w:szCs w:val="26"/>
        </w:rPr>
        <w:t>348,126</w:t>
      </w:r>
      <w:r w:rsidRPr="00591394">
        <w:rPr>
          <w:sz w:val="26"/>
          <w:szCs w:val="26"/>
        </w:rPr>
        <w:t xml:space="preserve"> MWh for </w:t>
      </w:r>
      <w:r w:rsidR="0038312F" w:rsidRPr="00591394">
        <w:rPr>
          <w:sz w:val="26"/>
          <w:szCs w:val="26"/>
        </w:rPr>
        <w:t>Duquesne</w:t>
      </w:r>
      <w:r w:rsidRPr="00591394">
        <w:rPr>
          <w:sz w:val="26"/>
          <w:szCs w:val="26"/>
        </w:rPr>
        <w:t xml:space="preserve">, which was based on a </w:t>
      </w:r>
      <w:r w:rsidR="00605C10" w:rsidRPr="00591394">
        <w:rPr>
          <w:sz w:val="26"/>
          <w:szCs w:val="26"/>
        </w:rPr>
        <w:t>2.5</w:t>
      </w:r>
      <w:r w:rsidRPr="00591394">
        <w:rPr>
          <w:sz w:val="26"/>
          <w:szCs w:val="26"/>
        </w:rPr>
        <w:t xml:space="preserve">% reduction in the Company’s expected load as forecasted by the Commission for the period June 1, 2009 through May 31, 2010.  </w:t>
      </w:r>
      <w:r w:rsidR="00501497" w:rsidRPr="00591394">
        <w:rPr>
          <w:i/>
          <w:sz w:val="26"/>
          <w:szCs w:val="26"/>
        </w:rPr>
        <w:t>Phase I</w:t>
      </w:r>
      <w:r w:rsidR="005376E4" w:rsidRPr="00591394">
        <w:rPr>
          <w:i/>
          <w:sz w:val="26"/>
          <w:szCs w:val="26"/>
        </w:rPr>
        <w:t>V</w:t>
      </w:r>
      <w:r w:rsidR="00501497" w:rsidRPr="00591394">
        <w:rPr>
          <w:i/>
          <w:sz w:val="26"/>
          <w:szCs w:val="26"/>
        </w:rPr>
        <w:t xml:space="preserve"> Implementation Order </w:t>
      </w:r>
      <w:r w:rsidR="0038312F" w:rsidRPr="00591394">
        <w:rPr>
          <w:sz w:val="26"/>
          <w:szCs w:val="26"/>
        </w:rPr>
        <w:t xml:space="preserve">at </w:t>
      </w:r>
      <w:r w:rsidR="00C13F74" w:rsidRPr="00591394">
        <w:rPr>
          <w:sz w:val="26"/>
          <w:szCs w:val="26"/>
        </w:rPr>
        <w:t>8</w:t>
      </w:r>
      <w:r w:rsidR="008025E8" w:rsidRPr="00591394">
        <w:rPr>
          <w:sz w:val="26"/>
          <w:szCs w:val="26"/>
        </w:rPr>
        <w:t xml:space="preserve">, </w:t>
      </w:r>
      <w:r w:rsidR="001674C4" w:rsidRPr="00591394">
        <w:rPr>
          <w:sz w:val="26"/>
          <w:szCs w:val="26"/>
        </w:rPr>
        <w:t>18</w:t>
      </w:r>
      <w:r w:rsidR="00501497" w:rsidRPr="00591394">
        <w:rPr>
          <w:sz w:val="26"/>
          <w:szCs w:val="26"/>
        </w:rPr>
        <w:t xml:space="preserve">.  </w:t>
      </w:r>
      <w:r w:rsidR="00B82971" w:rsidRPr="00591394">
        <w:rPr>
          <w:sz w:val="26"/>
          <w:szCs w:val="26"/>
        </w:rPr>
        <w:t xml:space="preserve">Consumption reductions are measured using a savings approach.  </w:t>
      </w:r>
      <w:r w:rsidR="00B82971" w:rsidRPr="00591394">
        <w:rPr>
          <w:i/>
          <w:sz w:val="26"/>
          <w:szCs w:val="26"/>
        </w:rPr>
        <w:t xml:space="preserve">Id. </w:t>
      </w:r>
      <w:r w:rsidR="00B82971" w:rsidRPr="00591394">
        <w:rPr>
          <w:sz w:val="26"/>
          <w:szCs w:val="26"/>
        </w:rPr>
        <w:t xml:space="preserve">at </w:t>
      </w:r>
      <w:r w:rsidR="0063595B" w:rsidRPr="00591394">
        <w:rPr>
          <w:sz w:val="26"/>
          <w:szCs w:val="26"/>
        </w:rPr>
        <w:t>49</w:t>
      </w:r>
      <w:r w:rsidR="00B82971" w:rsidRPr="00591394">
        <w:rPr>
          <w:sz w:val="26"/>
          <w:szCs w:val="26"/>
        </w:rPr>
        <w:t xml:space="preserve">.  </w:t>
      </w:r>
      <w:r w:rsidR="00501497" w:rsidRPr="00591394">
        <w:rPr>
          <w:sz w:val="26"/>
          <w:szCs w:val="26"/>
        </w:rPr>
        <w:t xml:space="preserve">Each EDC was directed to develop a plan that was designed to achieve at least 15% of the target amount in each program year.  </w:t>
      </w:r>
      <w:r w:rsidR="00501497" w:rsidRPr="00591394">
        <w:rPr>
          <w:i/>
          <w:sz w:val="26"/>
          <w:szCs w:val="26"/>
        </w:rPr>
        <w:t xml:space="preserve">Id. </w:t>
      </w:r>
      <w:r w:rsidR="00501497" w:rsidRPr="00591394">
        <w:rPr>
          <w:sz w:val="26"/>
          <w:szCs w:val="26"/>
        </w:rPr>
        <w:t xml:space="preserve">at </w:t>
      </w:r>
      <w:r w:rsidR="00FB4024" w:rsidRPr="00591394">
        <w:rPr>
          <w:sz w:val="26"/>
          <w:szCs w:val="26"/>
        </w:rPr>
        <w:t>2</w:t>
      </w:r>
      <w:r w:rsidR="00FB7D8F" w:rsidRPr="00591394">
        <w:rPr>
          <w:sz w:val="26"/>
          <w:szCs w:val="26"/>
        </w:rPr>
        <w:t>0</w:t>
      </w:r>
      <w:r w:rsidR="00501497" w:rsidRPr="00591394">
        <w:rPr>
          <w:sz w:val="26"/>
          <w:szCs w:val="26"/>
        </w:rPr>
        <w:t>.</w:t>
      </w:r>
      <w:r w:rsidR="009560EA" w:rsidRPr="00591394">
        <w:rPr>
          <w:sz w:val="26"/>
          <w:szCs w:val="26"/>
        </w:rPr>
        <w:t xml:space="preserve">  </w:t>
      </w:r>
      <w:r w:rsidR="00960C75" w:rsidRPr="00591394">
        <w:rPr>
          <w:sz w:val="26"/>
          <w:szCs w:val="26"/>
        </w:rPr>
        <w:t>Th</w:t>
      </w:r>
      <w:r w:rsidR="00FB7D8F" w:rsidRPr="00591394">
        <w:rPr>
          <w:sz w:val="26"/>
          <w:szCs w:val="26"/>
        </w:rPr>
        <w:t>e</w:t>
      </w:r>
      <w:r w:rsidR="00960C75" w:rsidRPr="00591394">
        <w:rPr>
          <w:sz w:val="26"/>
          <w:szCs w:val="26"/>
        </w:rPr>
        <w:t xml:space="preserve"> </w:t>
      </w:r>
      <w:r w:rsidR="00960AFC" w:rsidRPr="00591394">
        <w:rPr>
          <w:sz w:val="26"/>
          <w:szCs w:val="26"/>
        </w:rPr>
        <w:t xml:space="preserve">15% target </w:t>
      </w:r>
      <w:r w:rsidR="00960C75" w:rsidRPr="00591394">
        <w:rPr>
          <w:sz w:val="26"/>
          <w:szCs w:val="26"/>
        </w:rPr>
        <w:t xml:space="preserve">requirement is limited to the Commission’s review and approval of the EE&amp;C Plan and is not a target subjected to the penalty provisions </w:t>
      </w:r>
      <w:r w:rsidR="00351E81" w:rsidRPr="00591394">
        <w:rPr>
          <w:sz w:val="26"/>
          <w:szCs w:val="26"/>
        </w:rPr>
        <w:t xml:space="preserve">set forth in § 2806.1(f) of </w:t>
      </w:r>
      <w:r w:rsidR="007E406B" w:rsidRPr="00591394">
        <w:rPr>
          <w:sz w:val="26"/>
          <w:szCs w:val="26"/>
        </w:rPr>
        <w:t xml:space="preserve">Act 129.  </w:t>
      </w:r>
      <w:r w:rsidR="007E406B" w:rsidRPr="00591394">
        <w:rPr>
          <w:i/>
          <w:iCs/>
          <w:sz w:val="26"/>
          <w:szCs w:val="26"/>
        </w:rPr>
        <w:t>Id.</w:t>
      </w:r>
    </w:p>
    <w:p w14:paraId="0447B94D" w14:textId="77777777" w:rsidR="00B82971" w:rsidRPr="00591394" w:rsidRDefault="00B82971" w:rsidP="00C6113D">
      <w:pPr>
        <w:widowControl/>
        <w:spacing w:line="360" w:lineRule="auto"/>
        <w:ind w:firstLine="1440"/>
        <w:rPr>
          <w:sz w:val="26"/>
          <w:szCs w:val="26"/>
        </w:rPr>
      </w:pPr>
    </w:p>
    <w:p w14:paraId="4E9C8003" w14:textId="4D7EED83" w:rsidR="0098301E" w:rsidRPr="00591394" w:rsidRDefault="00B63339" w:rsidP="00C6113D">
      <w:pPr>
        <w:widowControl/>
        <w:spacing w:line="360" w:lineRule="auto"/>
        <w:ind w:firstLine="1440"/>
        <w:rPr>
          <w:sz w:val="26"/>
          <w:szCs w:val="26"/>
        </w:rPr>
      </w:pPr>
      <w:r w:rsidRPr="00591394">
        <w:rPr>
          <w:sz w:val="26"/>
          <w:szCs w:val="26"/>
        </w:rPr>
        <w:t xml:space="preserve">In the </w:t>
      </w:r>
      <w:r w:rsidRPr="00591394">
        <w:rPr>
          <w:i/>
          <w:sz w:val="26"/>
          <w:szCs w:val="26"/>
        </w:rPr>
        <w:t>Phase I</w:t>
      </w:r>
      <w:r w:rsidR="00FB4024" w:rsidRPr="00591394">
        <w:rPr>
          <w:i/>
          <w:sz w:val="26"/>
          <w:szCs w:val="26"/>
        </w:rPr>
        <w:t>V</w:t>
      </w:r>
      <w:r w:rsidRPr="00591394">
        <w:rPr>
          <w:i/>
          <w:sz w:val="26"/>
          <w:szCs w:val="26"/>
        </w:rPr>
        <w:t xml:space="preserve"> Implementation Order</w:t>
      </w:r>
      <w:r w:rsidRPr="00591394">
        <w:rPr>
          <w:sz w:val="26"/>
          <w:szCs w:val="26"/>
        </w:rPr>
        <w:t xml:space="preserve">, the </w:t>
      </w:r>
      <w:r w:rsidR="00B3508D" w:rsidRPr="00591394">
        <w:rPr>
          <w:sz w:val="26"/>
          <w:szCs w:val="26"/>
        </w:rPr>
        <w:t>Commission expressed concern that the carryover of all excess savings from phase to phase of the EE&amp;C Program will lead to a scenario in which</w:t>
      </w:r>
      <w:r w:rsidRPr="00591394">
        <w:rPr>
          <w:i/>
          <w:sz w:val="26"/>
          <w:szCs w:val="26"/>
        </w:rPr>
        <w:t xml:space="preserve"> </w:t>
      </w:r>
      <w:r w:rsidRPr="00591394">
        <w:rPr>
          <w:sz w:val="26"/>
          <w:szCs w:val="26"/>
        </w:rPr>
        <w:t xml:space="preserve">EDCs </w:t>
      </w:r>
      <w:r w:rsidR="00B3508D" w:rsidRPr="00591394">
        <w:rPr>
          <w:sz w:val="26"/>
          <w:szCs w:val="26"/>
        </w:rPr>
        <w:t xml:space="preserve">meet most, if not all, of its reduction target simply with </w:t>
      </w:r>
      <w:r w:rsidR="00B3508D" w:rsidRPr="00591394">
        <w:rPr>
          <w:sz w:val="26"/>
          <w:szCs w:val="26"/>
        </w:rPr>
        <w:lastRenderedPageBreak/>
        <w:t xml:space="preserve">carryover savings.  As a result, the Commission concluded that EDCs </w:t>
      </w:r>
      <w:r w:rsidRPr="00591394">
        <w:rPr>
          <w:sz w:val="26"/>
          <w:szCs w:val="26"/>
        </w:rPr>
        <w:t xml:space="preserve">are allowed to carry-over </w:t>
      </w:r>
      <w:r w:rsidR="00B3508D" w:rsidRPr="00591394">
        <w:rPr>
          <w:sz w:val="26"/>
          <w:szCs w:val="26"/>
        </w:rPr>
        <w:t xml:space="preserve">only </w:t>
      </w:r>
      <w:r w:rsidRPr="00591394">
        <w:rPr>
          <w:sz w:val="26"/>
          <w:szCs w:val="26"/>
        </w:rPr>
        <w:t xml:space="preserve">excess savings </w:t>
      </w:r>
      <w:r w:rsidR="00B3508D" w:rsidRPr="00591394">
        <w:rPr>
          <w:sz w:val="26"/>
          <w:szCs w:val="26"/>
        </w:rPr>
        <w:t xml:space="preserve">obtained in </w:t>
      </w:r>
      <w:r w:rsidRPr="00591394">
        <w:rPr>
          <w:sz w:val="26"/>
          <w:szCs w:val="26"/>
        </w:rPr>
        <w:t>Phase II</w:t>
      </w:r>
      <w:r w:rsidR="00AF65A9" w:rsidRPr="00591394">
        <w:rPr>
          <w:sz w:val="26"/>
          <w:szCs w:val="26"/>
        </w:rPr>
        <w:t>I</w:t>
      </w:r>
      <w:r w:rsidRPr="00591394">
        <w:rPr>
          <w:sz w:val="26"/>
          <w:szCs w:val="26"/>
        </w:rPr>
        <w:t xml:space="preserve"> for application toward Phase I</w:t>
      </w:r>
      <w:r w:rsidR="000D2CDF" w:rsidRPr="00591394">
        <w:rPr>
          <w:sz w:val="26"/>
          <w:szCs w:val="26"/>
        </w:rPr>
        <w:t xml:space="preserve">V </w:t>
      </w:r>
      <w:r w:rsidRPr="00591394">
        <w:rPr>
          <w:sz w:val="26"/>
          <w:szCs w:val="26"/>
        </w:rPr>
        <w:t xml:space="preserve">targets.  </w:t>
      </w:r>
      <w:r w:rsidR="00B3508D" w:rsidRPr="00591394">
        <w:rPr>
          <w:i/>
          <w:sz w:val="26"/>
          <w:szCs w:val="26"/>
        </w:rPr>
        <w:t>Phase I</w:t>
      </w:r>
      <w:r w:rsidR="00B26457" w:rsidRPr="00591394">
        <w:rPr>
          <w:i/>
          <w:sz w:val="26"/>
          <w:szCs w:val="26"/>
        </w:rPr>
        <w:t>V</w:t>
      </w:r>
      <w:r w:rsidR="00B3508D" w:rsidRPr="00591394">
        <w:rPr>
          <w:i/>
          <w:sz w:val="26"/>
          <w:szCs w:val="26"/>
        </w:rPr>
        <w:t xml:space="preserve"> Implementation Order </w:t>
      </w:r>
      <w:r w:rsidR="00B3508D" w:rsidRPr="00591394">
        <w:rPr>
          <w:sz w:val="26"/>
          <w:szCs w:val="26"/>
        </w:rPr>
        <w:t xml:space="preserve">at </w:t>
      </w:r>
      <w:r w:rsidR="00B26457" w:rsidRPr="00591394">
        <w:rPr>
          <w:sz w:val="26"/>
          <w:szCs w:val="26"/>
        </w:rPr>
        <w:t>4</w:t>
      </w:r>
      <w:r w:rsidR="00B835A1" w:rsidRPr="00591394">
        <w:rPr>
          <w:sz w:val="26"/>
          <w:szCs w:val="26"/>
        </w:rPr>
        <w:t>6</w:t>
      </w:r>
      <w:r w:rsidR="00B3508D" w:rsidRPr="00591394">
        <w:rPr>
          <w:sz w:val="26"/>
          <w:szCs w:val="26"/>
        </w:rPr>
        <w:t>.</w:t>
      </w:r>
    </w:p>
    <w:p w14:paraId="196AA511" w14:textId="2B4B34ED" w:rsidR="00601052" w:rsidRPr="00591394" w:rsidRDefault="00601052" w:rsidP="00C6113D">
      <w:pPr>
        <w:widowControl/>
        <w:spacing w:line="360" w:lineRule="auto"/>
        <w:ind w:firstLine="1440"/>
        <w:rPr>
          <w:sz w:val="26"/>
          <w:szCs w:val="26"/>
        </w:rPr>
      </w:pPr>
    </w:p>
    <w:p w14:paraId="1EF753F0" w14:textId="2459497B" w:rsidR="001A49F5" w:rsidRPr="00591394" w:rsidRDefault="00793005" w:rsidP="00C6113D">
      <w:pPr>
        <w:widowControl/>
        <w:spacing w:line="360" w:lineRule="auto"/>
        <w:ind w:firstLine="1440"/>
        <w:rPr>
          <w:sz w:val="26"/>
          <w:szCs w:val="26"/>
        </w:rPr>
      </w:pPr>
      <w:r w:rsidRPr="00591394">
        <w:rPr>
          <w:sz w:val="26"/>
          <w:szCs w:val="26"/>
        </w:rPr>
        <w:t>Duquesne</w:t>
      </w:r>
      <w:r w:rsidR="00601052" w:rsidRPr="00591394">
        <w:rPr>
          <w:sz w:val="26"/>
          <w:szCs w:val="26"/>
        </w:rPr>
        <w:t xml:space="preserve"> </w:t>
      </w:r>
      <w:r w:rsidR="00311247" w:rsidRPr="00591394">
        <w:rPr>
          <w:sz w:val="26"/>
          <w:szCs w:val="26"/>
        </w:rPr>
        <w:t xml:space="preserve">is required to achieve a total cumulative energy reduction of at least 348,126 by May 31, 2026, with at least 15% of the savings compliance target being achieved in each of the five program years.  </w:t>
      </w:r>
      <w:r w:rsidR="00B44AED" w:rsidRPr="00591394">
        <w:rPr>
          <w:i/>
          <w:iCs/>
          <w:sz w:val="26"/>
          <w:szCs w:val="26"/>
        </w:rPr>
        <w:t>Phase IV Implementation Order</w:t>
      </w:r>
      <w:r w:rsidR="00B44AED" w:rsidRPr="00591394">
        <w:rPr>
          <w:sz w:val="26"/>
          <w:szCs w:val="26"/>
        </w:rPr>
        <w:t xml:space="preserve"> at </w:t>
      </w:r>
      <w:r w:rsidR="00BD4F14" w:rsidRPr="00591394">
        <w:rPr>
          <w:sz w:val="26"/>
          <w:szCs w:val="26"/>
        </w:rPr>
        <w:t xml:space="preserve">8, 20.  </w:t>
      </w:r>
      <w:r w:rsidR="001A49F5" w:rsidRPr="00591394">
        <w:rPr>
          <w:sz w:val="26"/>
          <w:szCs w:val="26"/>
        </w:rPr>
        <w:t xml:space="preserve">Duquesne’s </w:t>
      </w:r>
      <w:r w:rsidR="00021C50" w:rsidRPr="00591394">
        <w:rPr>
          <w:i/>
          <w:iCs/>
          <w:sz w:val="26"/>
          <w:szCs w:val="26"/>
        </w:rPr>
        <w:t>Revised Phase IV Plan</w:t>
      </w:r>
      <w:r w:rsidR="00021C50" w:rsidRPr="00591394">
        <w:rPr>
          <w:sz w:val="26"/>
          <w:szCs w:val="26"/>
        </w:rPr>
        <w:t xml:space="preserve"> </w:t>
      </w:r>
      <w:r w:rsidR="00FA21DE" w:rsidRPr="00591394">
        <w:rPr>
          <w:sz w:val="26"/>
          <w:szCs w:val="26"/>
        </w:rPr>
        <w:t>is designed to achieve an overall consumption reduction of 3</w:t>
      </w:r>
      <w:r w:rsidR="007209ED" w:rsidRPr="00591394">
        <w:rPr>
          <w:sz w:val="26"/>
          <w:szCs w:val="26"/>
        </w:rPr>
        <w:t>70,178,065</w:t>
      </w:r>
      <w:r w:rsidR="00FA21DE" w:rsidRPr="00591394">
        <w:rPr>
          <w:sz w:val="26"/>
          <w:szCs w:val="26"/>
        </w:rPr>
        <w:t xml:space="preserve"> kWh.</w:t>
      </w:r>
      <w:r w:rsidR="007209ED" w:rsidRPr="00591394">
        <w:rPr>
          <w:sz w:val="26"/>
          <w:szCs w:val="26"/>
        </w:rPr>
        <w:t xml:space="preserve">  </w:t>
      </w:r>
      <w:r w:rsidR="003718BE" w:rsidRPr="00591394">
        <w:rPr>
          <w:sz w:val="26"/>
          <w:szCs w:val="26"/>
        </w:rPr>
        <w:t xml:space="preserve">No </w:t>
      </w:r>
      <w:r w:rsidR="00CD525D" w:rsidRPr="00591394">
        <w:rPr>
          <w:sz w:val="26"/>
          <w:szCs w:val="26"/>
        </w:rPr>
        <w:t>P</w:t>
      </w:r>
      <w:r w:rsidR="003718BE" w:rsidRPr="00591394">
        <w:rPr>
          <w:sz w:val="26"/>
          <w:szCs w:val="26"/>
        </w:rPr>
        <w:t>arty raised an issue regarding the Plan’s ability to achie</w:t>
      </w:r>
      <w:r w:rsidRPr="00591394">
        <w:rPr>
          <w:sz w:val="26"/>
          <w:szCs w:val="26"/>
        </w:rPr>
        <w:t xml:space="preserve">ve the consumption reduction target.  </w:t>
      </w:r>
      <w:r w:rsidR="009E6332" w:rsidRPr="00591394">
        <w:rPr>
          <w:sz w:val="26"/>
          <w:szCs w:val="26"/>
        </w:rPr>
        <w:t>Duquesne Statement in Support at 5</w:t>
      </w:r>
      <w:r w:rsidR="003718BE" w:rsidRPr="00591394">
        <w:rPr>
          <w:sz w:val="26"/>
          <w:szCs w:val="26"/>
        </w:rPr>
        <w:t xml:space="preserve">; </w:t>
      </w:r>
      <w:r w:rsidR="007209ED" w:rsidRPr="00591394">
        <w:rPr>
          <w:i/>
          <w:iCs/>
          <w:sz w:val="26"/>
          <w:szCs w:val="26"/>
        </w:rPr>
        <w:t>Revised Phase IV Plan</w:t>
      </w:r>
      <w:r w:rsidR="009E6332" w:rsidRPr="00591394">
        <w:rPr>
          <w:sz w:val="26"/>
          <w:szCs w:val="26"/>
        </w:rPr>
        <w:t xml:space="preserve"> at 19.  </w:t>
      </w:r>
    </w:p>
    <w:p w14:paraId="64E7C00A" w14:textId="77777777" w:rsidR="0098301E" w:rsidRPr="00591394" w:rsidRDefault="0098301E" w:rsidP="00C6113D">
      <w:pPr>
        <w:widowControl/>
        <w:spacing w:line="360" w:lineRule="auto"/>
        <w:rPr>
          <w:sz w:val="26"/>
          <w:szCs w:val="26"/>
        </w:rPr>
      </w:pPr>
    </w:p>
    <w:p w14:paraId="29BF2E61" w14:textId="7F943A6E" w:rsidR="00016636" w:rsidRPr="00591394" w:rsidRDefault="00016636" w:rsidP="00C6113D">
      <w:pPr>
        <w:pStyle w:val="Heading3"/>
        <w:keepNext/>
      </w:pPr>
      <w:bookmarkStart w:id="15" w:name="_Toc66354614"/>
      <w:r w:rsidRPr="00591394">
        <w:t>2.</w:t>
      </w:r>
      <w:r w:rsidRPr="00591394">
        <w:tab/>
      </w:r>
      <w:r w:rsidR="00780C02" w:rsidRPr="00591394">
        <w:t>Peak</w:t>
      </w:r>
      <w:r w:rsidRPr="00591394">
        <w:t xml:space="preserve"> Demand Reduction Requirements</w:t>
      </w:r>
      <w:bookmarkEnd w:id="15"/>
    </w:p>
    <w:p w14:paraId="2663048D" w14:textId="77777777" w:rsidR="00016636" w:rsidRPr="00591394" w:rsidRDefault="00016636" w:rsidP="00C6113D">
      <w:pPr>
        <w:keepNext/>
        <w:widowControl/>
        <w:spacing w:line="360" w:lineRule="auto"/>
        <w:rPr>
          <w:sz w:val="26"/>
          <w:szCs w:val="26"/>
        </w:rPr>
      </w:pPr>
    </w:p>
    <w:p w14:paraId="4012D2E4" w14:textId="7ACF8695" w:rsidR="003C62D0" w:rsidRPr="00591394" w:rsidRDefault="00347383" w:rsidP="00C6113D">
      <w:pPr>
        <w:pStyle w:val="p3"/>
        <w:keepNext/>
        <w:widowControl/>
        <w:tabs>
          <w:tab w:val="clear" w:pos="204"/>
        </w:tabs>
        <w:spacing w:line="360" w:lineRule="auto"/>
        <w:ind w:firstLine="1440"/>
        <w:rPr>
          <w:sz w:val="26"/>
          <w:szCs w:val="26"/>
        </w:rPr>
      </w:pPr>
      <w:r w:rsidRPr="00591394">
        <w:rPr>
          <w:sz w:val="26"/>
          <w:szCs w:val="26"/>
        </w:rPr>
        <w:t>Peak demand for Phase IV is addressed at 66 Pa. C.S. § 2806.1(d)(2), which requires the Commission, by November 30, 2013, to compare the total costs of EE&amp;C plans to total savings in energy and capacity costs to retail customers.  If the Commission determines that the benefits of the plans exceed the costs, the Commission shall set additional incremental requirements for reduction in peak demand for the 100 hours of greatest demand or an alternative reduction approved by the Commission.  Any such reductions must be measured from the EDC’s peak demand for the period from June</w:t>
      </w:r>
      <w:r w:rsidR="00411796">
        <w:rPr>
          <w:sz w:val="26"/>
          <w:szCs w:val="26"/>
        </w:rPr>
        <w:t> </w:t>
      </w:r>
      <w:r w:rsidRPr="00591394">
        <w:rPr>
          <w:sz w:val="26"/>
          <w:szCs w:val="26"/>
        </w:rPr>
        <w:t xml:space="preserve">1, 2011 through May 31, 2012.  </w:t>
      </w:r>
      <w:r w:rsidR="003C62D0" w:rsidRPr="00591394">
        <w:rPr>
          <w:i/>
          <w:sz w:val="26"/>
          <w:szCs w:val="26"/>
        </w:rPr>
        <w:t xml:space="preserve">Phase IV Implementation Order </w:t>
      </w:r>
      <w:r w:rsidR="003C62D0" w:rsidRPr="00591394">
        <w:rPr>
          <w:sz w:val="26"/>
          <w:szCs w:val="26"/>
        </w:rPr>
        <w:t>at 82.</w:t>
      </w:r>
    </w:p>
    <w:p w14:paraId="4E874277" w14:textId="2D3157A9" w:rsidR="003C62D0" w:rsidRPr="00591394" w:rsidRDefault="003C62D0" w:rsidP="00C6113D">
      <w:pPr>
        <w:pStyle w:val="p3"/>
        <w:widowControl/>
        <w:tabs>
          <w:tab w:val="clear" w:pos="204"/>
        </w:tabs>
        <w:spacing w:line="360" w:lineRule="auto"/>
        <w:ind w:firstLine="1440"/>
        <w:rPr>
          <w:sz w:val="26"/>
          <w:szCs w:val="26"/>
        </w:rPr>
      </w:pPr>
    </w:p>
    <w:p w14:paraId="35B5AB89" w14:textId="15C706FF" w:rsidR="00222D87" w:rsidRPr="00591394" w:rsidRDefault="00347383" w:rsidP="00C6113D">
      <w:pPr>
        <w:pStyle w:val="p3"/>
        <w:widowControl/>
        <w:tabs>
          <w:tab w:val="clear" w:pos="204"/>
        </w:tabs>
        <w:spacing w:line="360" w:lineRule="auto"/>
        <w:ind w:firstLine="1440"/>
        <w:rPr>
          <w:sz w:val="26"/>
          <w:szCs w:val="26"/>
        </w:rPr>
      </w:pPr>
      <w:r w:rsidRPr="00591394">
        <w:rPr>
          <w:sz w:val="26"/>
          <w:szCs w:val="26"/>
        </w:rPr>
        <w:t>For Phase IV of Act 129, the Commission proposed</w:t>
      </w:r>
      <w:r w:rsidRPr="00591394" w:rsidDel="004F0F40">
        <w:rPr>
          <w:sz w:val="26"/>
          <w:szCs w:val="26"/>
        </w:rPr>
        <w:t xml:space="preserve"> </w:t>
      </w:r>
      <w:r w:rsidRPr="00591394">
        <w:rPr>
          <w:sz w:val="26"/>
          <w:szCs w:val="26"/>
        </w:rPr>
        <w:t xml:space="preserve">that </w:t>
      </w:r>
      <w:r w:rsidR="00A87EA8" w:rsidRPr="00591394">
        <w:rPr>
          <w:sz w:val="26"/>
          <w:szCs w:val="26"/>
        </w:rPr>
        <w:t>peak demand reductions (</w:t>
      </w:r>
      <w:r w:rsidRPr="00591394">
        <w:rPr>
          <w:sz w:val="26"/>
          <w:szCs w:val="26"/>
        </w:rPr>
        <w:t>PDRs</w:t>
      </w:r>
      <w:r w:rsidR="00A87EA8" w:rsidRPr="00591394">
        <w:rPr>
          <w:sz w:val="26"/>
          <w:szCs w:val="26"/>
        </w:rPr>
        <w:t>)</w:t>
      </w:r>
      <w:r w:rsidRPr="00591394">
        <w:rPr>
          <w:sz w:val="26"/>
          <w:szCs w:val="26"/>
        </w:rPr>
        <w:t xml:space="preserve"> from </w:t>
      </w:r>
      <w:r w:rsidR="003075FE" w:rsidRPr="00591394">
        <w:rPr>
          <w:sz w:val="26"/>
          <w:szCs w:val="26"/>
        </w:rPr>
        <w:t>energy efficiency (</w:t>
      </w:r>
      <w:r w:rsidRPr="00591394">
        <w:rPr>
          <w:sz w:val="26"/>
          <w:szCs w:val="26"/>
        </w:rPr>
        <w:t>EE</w:t>
      </w:r>
      <w:r w:rsidR="003075FE" w:rsidRPr="00591394">
        <w:rPr>
          <w:sz w:val="26"/>
          <w:szCs w:val="26"/>
        </w:rPr>
        <w:t>)</w:t>
      </w:r>
      <w:r w:rsidRPr="00591394">
        <w:rPr>
          <w:sz w:val="26"/>
          <w:szCs w:val="26"/>
        </w:rPr>
        <w:t xml:space="preserve"> measures be measured using the savings approach described in Section A.7:</w:t>
      </w:r>
      <w:r w:rsidR="00F43B31" w:rsidRPr="00591394">
        <w:rPr>
          <w:sz w:val="26"/>
          <w:szCs w:val="26"/>
        </w:rPr>
        <w:t xml:space="preserve"> </w:t>
      </w:r>
      <w:r w:rsidRPr="00591394">
        <w:rPr>
          <w:sz w:val="26"/>
          <w:szCs w:val="26"/>
        </w:rPr>
        <w:t xml:space="preserve"> </w:t>
      </w:r>
      <w:r w:rsidRPr="00591394">
        <w:rPr>
          <w:sz w:val="26"/>
          <w:szCs w:val="26"/>
        </w:rPr>
        <w:fldChar w:fldCharType="begin"/>
      </w:r>
      <w:r w:rsidRPr="00591394">
        <w:rPr>
          <w:sz w:val="26"/>
          <w:szCs w:val="26"/>
        </w:rPr>
        <w:instrText xml:space="preserve"> REF _Ref33512055 \h </w:instrText>
      </w:r>
      <w:r w:rsidR="001216E4" w:rsidRPr="00591394">
        <w:rPr>
          <w:sz w:val="26"/>
          <w:szCs w:val="26"/>
        </w:rPr>
        <w:instrText xml:space="preserve"> \* MERGEFORMAT </w:instrText>
      </w:r>
      <w:r w:rsidRPr="00591394">
        <w:rPr>
          <w:sz w:val="26"/>
          <w:szCs w:val="26"/>
        </w:rPr>
      </w:r>
      <w:r w:rsidRPr="00591394">
        <w:rPr>
          <w:sz w:val="26"/>
          <w:szCs w:val="26"/>
        </w:rPr>
        <w:fldChar w:fldCharType="separate"/>
      </w:r>
      <w:r w:rsidRPr="00591394">
        <w:rPr>
          <w:sz w:val="26"/>
          <w:szCs w:val="26"/>
        </w:rPr>
        <w:t>Measuring Annual Consumption Reductions</w:t>
      </w:r>
      <w:r w:rsidRPr="00591394">
        <w:rPr>
          <w:sz w:val="26"/>
          <w:szCs w:val="26"/>
        </w:rPr>
        <w:fldChar w:fldCharType="end"/>
      </w:r>
      <w:r w:rsidR="00CA40CC" w:rsidRPr="00591394">
        <w:rPr>
          <w:sz w:val="26"/>
          <w:szCs w:val="26"/>
        </w:rPr>
        <w:t xml:space="preserve"> of the </w:t>
      </w:r>
      <w:r w:rsidR="00CA40CC" w:rsidRPr="00591394">
        <w:rPr>
          <w:i/>
          <w:iCs/>
          <w:sz w:val="26"/>
          <w:szCs w:val="26"/>
        </w:rPr>
        <w:lastRenderedPageBreak/>
        <w:t>Phase IV Implementation Order</w:t>
      </w:r>
      <w:r w:rsidRPr="00591394">
        <w:rPr>
          <w:sz w:val="26"/>
          <w:szCs w:val="26"/>
        </w:rPr>
        <w:t>, and the definition of peak demand from Phases II and III, as documented in the 2021 TRM.</w:t>
      </w:r>
      <w:r w:rsidRPr="00591394">
        <w:rPr>
          <w:rStyle w:val="FootnoteReference"/>
          <w:sz w:val="26"/>
          <w:szCs w:val="26"/>
        </w:rPr>
        <w:footnoteReference w:id="6"/>
      </w:r>
      <w:r w:rsidRPr="00591394">
        <w:rPr>
          <w:sz w:val="26"/>
          <w:szCs w:val="26"/>
        </w:rPr>
        <w:t xml:space="preserve">  </w:t>
      </w:r>
      <w:r w:rsidR="004E2B75" w:rsidRPr="00591394">
        <w:rPr>
          <w:i/>
          <w:sz w:val="26"/>
          <w:szCs w:val="26"/>
        </w:rPr>
        <w:t xml:space="preserve">Phase IV Implementation Order </w:t>
      </w:r>
      <w:r w:rsidR="004E2B75" w:rsidRPr="00591394">
        <w:rPr>
          <w:sz w:val="26"/>
          <w:szCs w:val="26"/>
        </w:rPr>
        <w:t>at 82.</w:t>
      </w:r>
    </w:p>
    <w:p w14:paraId="2D095BDE" w14:textId="77777777" w:rsidR="00CA40CC" w:rsidRPr="00591394" w:rsidRDefault="00CA40CC" w:rsidP="00C6113D">
      <w:pPr>
        <w:pStyle w:val="p3"/>
        <w:widowControl/>
        <w:tabs>
          <w:tab w:val="clear" w:pos="204"/>
        </w:tabs>
        <w:spacing w:line="360" w:lineRule="auto"/>
        <w:ind w:firstLine="1440"/>
        <w:rPr>
          <w:sz w:val="26"/>
          <w:szCs w:val="26"/>
        </w:rPr>
      </w:pPr>
    </w:p>
    <w:p w14:paraId="006D5EB5" w14:textId="517651F0" w:rsidR="000C697F" w:rsidRPr="00591394" w:rsidRDefault="006954FA" w:rsidP="00C6113D">
      <w:pPr>
        <w:widowControl/>
        <w:autoSpaceDE w:val="0"/>
        <w:autoSpaceDN w:val="0"/>
        <w:adjustRightInd w:val="0"/>
        <w:spacing w:line="360" w:lineRule="auto"/>
        <w:ind w:firstLine="720"/>
        <w:rPr>
          <w:sz w:val="26"/>
          <w:szCs w:val="26"/>
        </w:rPr>
      </w:pPr>
      <w:r w:rsidRPr="00591394">
        <w:rPr>
          <w:sz w:val="26"/>
          <w:szCs w:val="26"/>
        </w:rPr>
        <w:t xml:space="preserve">The Commission </w:t>
      </w:r>
      <w:r w:rsidR="003C06EC" w:rsidRPr="00591394">
        <w:rPr>
          <w:sz w:val="26"/>
          <w:szCs w:val="26"/>
        </w:rPr>
        <w:t xml:space="preserve">does not </w:t>
      </w:r>
      <w:r w:rsidR="002760D5" w:rsidRPr="00591394">
        <w:rPr>
          <w:sz w:val="26"/>
          <w:szCs w:val="26"/>
        </w:rPr>
        <w:t>allow a peak demand carryover from Phase III to Phase</w:t>
      </w:r>
      <w:r w:rsidR="00411796">
        <w:rPr>
          <w:sz w:val="26"/>
          <w:szCs w:val="26"/>
        </w:rPr>
        <w:t> </w:t>
      </w:r>
      <w:r w:rsidR="002760D5" w:rsidRPr="00591394">
        <w:rPr>
          <w:sz w:val="26"/>
          <w:szCs w:val="26"/>
        </w:rPr>
        <w:t>IV.</w:t>
      </w:r>
      <w:r w:rsidR="00BD62E8" w:rsidRPr="00591394">
        <w:rPr>
          <w:sz w:val="26"/>
          <w:szCs w:val="26"/>
        </w:rPr>
        <w:t xml:space="preserve">  </w:t>
      </w:r>
      <w:r w:rsidR="00C31B45" w:rsidRPr="00591394">
        <w:rPr>
          <w:sz w:val="26"/>
          <w:szCs w:val="26"/>
        </w:rPr>
        <w:t xml:space="preserve">The </w:t>
      </w:r>
      <w:r w:rsidR="00C31B45" w:rsidRPr="00591394">
        <w:rPr>
          <w:i/>
          <w:iCs/>
          <w:sz w:val="26"/>
          <w:szCs w:val="26"/>
        </w:rPr>
        <w:t>Phase IV Imple</w:t>
      </w:r>
      <w:r w:rsidR="00602A26" w:rsidRPr="00591394">
        <w:rPr>
          <w:i/>
          <w:iCs/>
          <w:sz w:val="26"/>
          <w:szCs w:val="26"/>
        </w:rPr>
        <w:t xml:space="preserve">mentation </w:t>
      </w:r>
      <w:r w:rsidR="00C31B45" w:rsidRPr="00591394">
        <w:rPr>
          <w:i/>
          <w:iCs/>
          <w:sz w:val="26"/>
          <w:szCs w:val="26"/>
        </w:rPr>
        <w:t>Order</w:t>
      </w:r>
      <w:r w:rsidR="00C31B45" w:rsidRPr="00591394">
        <w:rPr>
          <w:sz w:val="26"/>
          <w:szCs w:val="26"/>
        </w:rPr>
        <w:t xml:space="preserve"> </w:t>
      </w:r>
      <w:r w:rsidR="00EA78A7" w:rsidRPr="00591394">
        <w:rPr>
          <w:sz w:val="26"/>
          <w:szCs w:val="26"/>
        </w:rPr>
        <w:t>states</w:t>
      </w:r>
      <w:r w:rsidR="000C697F" w:rsidRPr="00591394">
        <w:rPr>
          <w:sz w:val="26"/>
          <w:szCs w:val="26"/>
        </w:rPr>
        <w:t>:</w:t>
      </w:r>
    </w:p>
    <w:p w14:paraId="171E89E1" w14:textId="77777777" w:rsidR="000C697F" w:rsidRPr="00591394" w:rsidRDefault="000C697F" w:rsidP="00411796">
      <w:pPr>
        <w:widowControl/>
        <w:autoSpaceDE w:val="0"/>
        <w:autoSpaceDN w:val="0"/>
        <w:adjustRightInd w:val="0"/>
        <w:ind w:firstLine="720"/>
        <w:rPr>
          <w:sz w:val="26"/>
          <w:szCs w:val="26"/>
        </w:rPr>
      </w:pPr>
    </w:p>
    <w:p w14:paraId="3729D64C" w14:textId="6C15EFDF" w:rsidR="000C697F" w:rsidRPr="00591394" w:rsidRDefault="00EA78A7" w:rsidP="00C6113D">
      <w:pPr>
        <w:keepNext/>
        <w:widowControl/>
        <w:autoSpaceDE w:val="0"/>
        <w:autoSpaceDN w:val="0"/>
        <w:adjustRightInd w:val="0"/>
        <w:ind w:left="1440" w:right="1440"/>
        <w:rPr>
          <w:sz w:val="26"/>
          <w:szCs w:val="26"/>
        </w:rPr>
      </w:pPr>
      <w:r w:rsidRPr="00591394">
        <w:rPr>
          <w:sz w:val="26"/>
          <w:szCs w:val="26"/>
        </w:rPr>
        <w:t xml:space="preserve">Phase III of Act 129 included a PDR </w:t>
      </w:r>
      <w:r w:rsidR="000C697F" w:rsidRPr="00591394">
        <w:rPr>
          <w:sz w:val="26"/>
          <w:szCs w:val="26"/>
        </w:rPr>
        <w:t>target</w:t>
      </w:r>
      <w:r w:rsidRPr="00591394">
        <w:rPr>
          <w:sz w:val="26"/>
          <w:szCs w:val="26"/>
        </w:rPr>
        <w:t xml:space="preserve"> that could only be met with</w:t>
      </w:r>
      <w:r w:rsidR="00406E70" w:rsidRPr="00591394">
        <w:rPr>
          <w:sz w:val="26"/>
          <w:szCs w:val="26"/>
        </w:rPr>
        <w:t xml:space="preserve"> dispatchable demand response (</w:t>
      </w:r>
      <w:r w:rsidRPr="00591394">
        <w:rPr>
          <w:sz w:val="26"/>
          <w:szCs w:val="26"/>
        </w:rPr>
        <w:t>DDR</w:t>
      </w:r>
      <w:r w:rsidR="00406E70" w:rsidRPr="00591394">
        <w:rPr>
          <w:sz w:val="26"/>
          <w:szCs w:val="26"/>
        </w:rPr>
        <w:t>)</w:t>
      </w:r>
      <w:r w:rsidRPr="00591394">
        <w:rPr>
          <w:sz w:val="26"/>
          <w:szCs w:val="26"/>
        </w:rPr>
        <w:t xml:space="preserve"> programs.  Phase IV of Act 129 includes a PDR target that can only be met with coincident reductions in peak demand from energy efficiency programs.  </w:t>
      </w:r>
      <w:r w:rsidR="00602A26" w:rsidRPr="00591394">
        <w:rPr>
          <w:sz w:val="26"/>
          <w:szCs w:val="26"/>
        </w:rPr>
        <w:t>No EDC accumulated savings in excess of a Phase III EEPDR target because no such target existed.</w:t>
      </w:r>
      <w:r w:rsidR="005817B7" w:rsidRPr="00591394">
        <w:rPr>
          <w:sz w:val="26"/>
          <w:szCs w:val="26"/>
        </w:rPr>
        <w:t xml:space="preserve"> Because the nature of the PDR targets in Phase III and Phase IV are inherently different, we believe it would be inappropriate to count surplus Phase III MW achievements from dispatchable demand response programs towards a Phase IV PDR target.  Therefore, carryover of Phase III peak demand savings into Phase IV of Act 129 will not be permitted. </w:t>
      </w:r>
    </w:p>
    <w:p w14:paraId="6910799A" w14:textId="77777777" w:rsidR="000C697F" w:rsidRPr="00591394" w:rsidRDefault="000C697F" w:rsidP="00411796">
      <w:pPr>
        <w:keepNext/>
        <w:widowControl/>
        <w:autoSpaceDE w:val="0"/>
        <w:autoSpaceDN w:val="0"/>
        <w:adjustRightInd w:val="0"/>
        <w:spacing w:line="360" w:lineRule="auto"/>
        <w:ind w:firstLine="720"/>
        <w:rPr>
          <w:sz w:val="26"/>
          <w:szCs w:val="26"/>
        </w:rPr>
      </w:pPr>
    </w:p>
    <w:p w14:paraId="5729EBE7" w14:textId="5B0EFD18" w:rsidR="00EA78A7" w:rsidRPr="00591394" w:rsidRDefault="00602A26" w:rsidP="00411796">
      <w:pPr>
        <w:keepNext/>
        <w:widowControl/>
        <w:autoSpaceDE w:val="0"/>
        <w:autoSpaceDN w:val="0"/>
        <w:adjustRightInd w:val="0"/>
        <w:spacing w:line="360" w:lineRule="auto"/>
        <w:rPr>
          <w:sz w:val="26"/>
          <w:szCs w:val="26"/>
        </w:rPr>
      </w:pPr>
      <w:r w:rsidRPr="00591394">
        <w:rPr>
          <w:i/>
          <w:iCs/>
          <w:sz w:val="26"/>
          <w:szCs w:val="26"/>
        </w:rPr>
        <w:t>Phase IV Implementation Order</w:t>
      </w:r>
      <w:r w:rsidRPr="00591394">
        <w:rPr>
          <w:sz w:val="26"/>
          <w:szCs w:val="26"/>
        </w:rPr>
        <w:t xml:space="preserve"> at </w:t>
      </w:r>
      <w:r w:rsidR="005817B7" w:rsidRPr="00591394">
        <w:rPr>
          <w:sz w:val="26"/>
          <w:szCs w:val="26"/>
        </w:rPr>
        <w:t>85-86.</w:t>
      </w:r>
    </w:p>
    <w:p w14:paraId="40C7E7A3" w14:textId="77777777" w:rsidR="00EA78A7" w:rsidRPr="00591394" w:rsidRDefault="00EA78A7" w:rsidP="00411796">
      <w:pPr>
        <w:widowControl/>
        <w:spacing w:line="360" w:lineRule="auto"/>
        <w:ind w:firstLine="1440"/>
        <w:rPr>
          <w:sz w:val="26"/>
          <w:szCs w:val="26"/>
        </w:rPr>
      </w:pPr>
    </w:p>
    <w:p w14:paraId="15828170" w14:textId="4811AA41" w:rsidR="005047E5" w:rsidRPr="00591394" w:rsidRDefault="00693094" w:rsidP="00411796">
      <w:pPr>
        <w:widowControl/>
        <w:spacing w:line="360" w:lineRule="auto"/>
        <w:ind w:firstLine="1440"/>
        <w:rPr>
          <w:sz w:val="26"/>
          <w:szCs w:val="26"/>
        </w:rPr>
      </w:pPr>
      <w:r w:rsidRPr="00591394">
        <w:rPr>
          <w:sz w:val="26"/>
          <w:szCs w:val="26"/>
        </w:rPr>
        <w:t xml:space="preserve">The </w:t>
      </w:r>
      <w:r w:rsidR="002F11C8" w:rsidRPr="00591394">
        <w:rPr>
          <w:sz w:val="26"/>
          <w:szCs w:val="26"/>
        </w:rPr>
        <w:t>demand reduction (</w:t>
      </w:r>
      <w:r w:rsidRPr="00591394">
        <w:rPr>
          <w:sz w:val="26"/>
          <w:szCs w:val="26"/>
        </w:rPr>
        <w:t>DR</w:t>
      </w:r>
      <w:r w:rsidR="002F11C8" w:rsidRPr="00591394">
        <w:rPr>
          <w:sz w:val="26"/>
          <w:szCs w:val="26"/>
        </w:rPr>
        <w:t>)</w:t>
      </w:r>
      <w:r w:rsidRPr="00591394">
        <w:rPr>
          <w:sz w:val="26"/>
          <w:szCs w:val="26"/>
        </w:rPr>
        <w:t xml:space="preserve"> target for Duquesne</w:t>
      </w:r>
      <w:r w:rsidR="00222D87" w:rsidRPr="00591394">
        <w:rPr>
          <w:sz w:val="26"/>
          <w:szCs w:val="26"/>
        </w:rPr>
        <w:t xml:space="preserve"> is</w:t>
      </w:r>
      <w:r w:rsidRPr="00591394">
        <w:rPr>
          <w:sz w:val="26"/>
          <w:szCs w:val="26"/>
        </w:rPr>
        <w:t xml:space="preserve"> </w:t>
      </w:r>
      <w:r w:rsidR="00283E72" w:rsidRPr="00591394">
        <w:rPr>
          <w:sz w:val="26"/>
          <w:szCs w:val="26"/>
        </w:rPr>
        <w:t>6</w:t>
      </w:r>
      <w:r w:rsidRPr="00591394">
        <w:rPr>
          <w:sz w:val="26"/>
          <w:szCs w:val="26"/>
        </w:rPr>
        <w:t xml:space="preserve">2 </w:t>
      </w:r>
      <w:r w:rsidR="0000550B" w:rsidRPr="00591394">
        <w:rPr>
          <w:sz w:val="26"/>
          <w:szCs w:val="26"/>
        </w:rPr>
        <w:t>MW, which is a</w:t>
      </w:r>
      <w:r w:rsidR="00222D87" w:rsidRPr="00591394">
        <w:rPr>
          <w:sz w:val="26"/>
          <w:szCs w:val="26"/>
        </w:rPr>
        <w:t xml:space="preserve"> </w:t>
      </w:r>
      <w:r w:rsidR="00283E72" w:rsidRPr="00591394">
        <w:rPr>
          <w:sz w:val="26"/>
          <w:szCs w:val="26"/>
        </w:rPr>
        <w:t>2.5</w:t>
      </w:r>
      <w:r w:rsidR="0000550B" w:rsidRPr="00591394">
        <w:rPr>
          <w:sz w:val="26"/>
          <w:szCs w:val="26"/>
        </w:rPr>
        <w:t>% reduction</w:t>
      </w:r>
      <w:r w:rsidR="005F0DCE" w:rsidRPr="00591394">
        <w:rPr>
          <w:sz w:val="26"/>
          <w:szCs w:val="26"/>
        </w:rPr>
        <w:t xml:space="preserve"> in peak demand.</w:t>
      </w:r>
      <w:r w:rsidR="00A77F6F" w:rsidRPr="00591394">
        <w:rPr>
          <w:sz w:val="26"/>
          <w:szCs w:val="26"/>
        </w:rPr>
        <w:t xml:space="preserve"> </w:t>
      </w:r>
      <w:r w:rsidR="005F0DCE" w:rsidRPr="00591394">
        <w:rPr>
          <w:sz w:val="26"/>
          <w:szCs w:val="26"/>
        </w:rPr>
        <w:t xml:space="preserve"> </w:t>
      </w:r>
      <w:r w:rsidR="005F0DCE" w:rsidRPr="00591394">
        <w:rPr>
          <w:i/>
          <w:sz w:val="26"/>
          <w:szCs w:val="26"/>
        </w:rPr>
        <w:t>Phase I</w:t>
      </w:r>
      <w:r w:rsidR="00326E11" w:rsidRPr="00591394">
        <w:rPr>
          <w:i/>
          <w:sz w:val="26"/>
          <w:szCs w:val="26"/>
        </w:rPr>
        <w:t>V</w:t>
      </w:r>
      <w:r w:rsidR="005F0DCE" w:rsidRPr="00591394">
        <w:rPr>
          <w:i/>
          <w:sz w:val="26"/>
          <w:szCs w:val="26"/>
        </w:rPr>
        <w:t xml:space="preserve"> Implementation Order </w:t>
      </w:r>
      <w:r w:rsidR="005F0DCE" w:rsidRPr="00591394">
        <w:rPr>
          <w:sz w:val="26"/>
          <w:szCs w:val="26"/>
        </w:rPr>
        <w:t xml:space="preserve">at </w:t>
      </w:r>
      <w:r w:rsidR="00326E11" w:rsidRPr="00591394">
        <w:rPr>
          <w:sz w:val="26"/>
          <w:szCs w:val="26"/>
        </w:rPr>
        <w:t>80</w:t>
      </w:r>
      <w:r w:rsidR="005F0DCE" w:rsidRPr="00591394">
        <w:rPr>
          <w:sz w:val="26"/>
          <w:szCs w:val="26"/>
        </w:rPr>
        <w:t>.</w:t>
      </w:r>
      <w:r w:rsidR="00C61011" w:rsidRPr="00591394">
        <w:rPr>
          <w:sz w:val="26"/>
          <w:szCs w:val="26"/>
        </w:rPr>
        <w:t xml:space="preserve">  </w:t>
      </w:r>
      <w:r w:rsidR="00A522E2" w:rsidRPr="00591394">
        <w:rPr>
          <w:sz w:val="26"/>
          <w:szCs w:val="26"/>
        </w:rPr>
        <w:t xml:space="preserve">No </w:t>
      </w:r>
      <w:r w:rsidR="00E64F58" w:rsidRPr="00591394">
        <w:rPr>
          <w:sz w:val="26"/>
          <w:szCs w:val="26"/>
        </w:rPr>
        <w:t>P</w:t>
      </w:r>
      <w:r w:rsidR="00A522E2" w:rsidRPr="00591394">
        <w:rPr>
          <w:sz w:val="26"/>
          <w:szCs w:val="26"/>
        </w:rPr>
        <w:t xml:space="preserve">arty raised an issue regarding the Plan’s ability to achieve the </w:t>
      </w:r>
      <w:r w:rsidR="00ED728D" w:rsidRPr="00591394">
        <w:rPr>
          <w:sz w:val="26"/>
          <w:szCs w:val="26"/>
        </w:rPr>
        <w:t>demand</w:t>
      </w:r>
      <w:r w:rsidR="00A522E2" w:rsidRPr="00591394">
        <w:rPr>
          <w:sz w:val="26"/>
          <w:szCs w:val="26"/>
        </w:rPr>
        <w:t xml:space="preserve"> reduction target.</w:t>
      </w:r>
    </w:p>
    <w:p w14:paraId="754AEDFB" w14:textId="5698B197" w:rsidR="00944CB4" w:rsidRPr="00591394" w:rsidRDefault="00944CB4" w:rsidP="00C6113D">
      <w:pPr>
        <w:widowControl/>
        <w:spacing w:line="360" w:lineRule="auto"/>
        <w:ind w:firstLine="1440"/>
        <w:rPr>
          <w:sz w:val="26"/>
          <w:szCs w:val="26"/>
        </w:rPr>
      </w:pPr>
    </w:p>
    <w:p w14:paraId="1A865BC2" w14:textId="083EB7B8" w:rsidR="00944CB4" w:rsidRPr="00591394" w:rsidRDefault="004537A0" w:rsidP="00C6113D">
      <w:pPr>
        <w:widowControl/>
        <w:spacing w:line="360" w:lineRule="auto"/>
        <w:ind w:firstLine="1440"/>
        <w:rPr>
          <w:sz w:val="26"/>
          <w:szCs w:val="26"/>
        </w:rPr>
      </w:pPr>
      <w:r w:rsidRPr="00591394">
        <w:rPr>
          <w:sz w:val="26"/>
          <w:szCs w:val="26"/>
        </w:rPr>
        <w:t xml:space="preserve">The </w:t>
      </w:r>
      <w:r w:rsidRPr="00591394">
        <w:rPr>
          <w:i/>
          <w:iCs/>
          <w:sz w:val="26"/>
          <w:szCs w:val="26"/>
        </w:rPr>
        <w:t>Phase IV Implementation Order</w:t>
      </w:r>
      <w:r w:rsidRPr="00591394">
        <w:rPr>
          <w:sz w:val="26"/>
          <w:szCs w:val="26"/>
        </w:rPr>
        <w:t xml:space="preserve"> directs EDCs to nominate a portion of the expected peak demand savings in their Phase IV EE&amp;C Plans into PJM</w:t>
      </w:r>
      <w:r w:rsidR="00002FCA" w:rsidRPr="00591394">
        <w:rPr>
          <w:sz w:val="26"/>
          <w:szCs w:val="26"/>
        </w:rPr>
        <w:t>’</w:t>
      </w:r>
      <w:r w:rsidRPr="00591394">
        <w:rPr>
          <w:sz w:val="26"/>
          <w:szCs w:val="26"/>
        </w:rPr>
        <w:t xml:space="preserve">s </w:t>
      </w:r>
      <w:r w:rsidR="00002FCA" w:rsidRPr="00591394">
        <w:rPr>
          <w:sz w:val="26"/>
          <w:szCs w:val="26"/>
        </w:rPr>
        <w:t>Forward Capacity Market (F</w:t>
      </w:r>
      <w:r w:rsidRPr="00591394">
        <w:rPr>
          <w:sz w:val="26"/>
          <w:szCs w:val="26"/>
        </w:rPr>
        <w:t>CM</w:t>
      </w:r>
      <w:r w:rsidR="00002FCA" w:rsidRPr="00591394">
        <w:rPr>
          <w:sz w:val="26"/>
          <w:szCs w:val="26"/>
        </w:rPr>
        <w:t>)</w:t>
      </w:r>
      <w:r w:rsidRPr="00591394">
        <w:rPr>
          <w:sz w:val="26"/>
          <w:szCs w:val="26"/>
        </w:rPr>
        <w:t xml:space="preserve">.  </w:t>
      </w:r>
      <w:r w:rsidR="00D90DD0" w:rsidRPr="00591394">
        <w:rPr>
          <w:sz w:val="26"/>
          <w:szCs w:val="26"/>
        </w:rPr>
        <w:t>The Order states that cost recovery fr</w:t>
      </w:r>
      <w:r w:rsidR="00622265" w:rsidRPr="00591394">
        <w:rPr>
          <w:sz w:val="26"/>
          <w:szCs w:val="26"/>
        </w:rPr>
        <w:t>o</w:t>
      </w:r>
      <w:r w:rsidR="00D90DD0" w:rsidRPr="00591394">
        <w:rPr>
          <w:sz w:val="26"/>
          <w:szCs w:val="26"/>
        </w:rPr>
        <w:t xml:space="preserve">m the customer class providing the capacity will be adjusted to reflect the proceeds or </w:t>
      </w:r>
      <w:r w:rsidR="005322F9" w:rsidRPr="00591394">
        <w:rPr>
          <w:sz w:val="26"/>
          <w:szCs w:val="26"/>
        </w:rPr>
        <w:t>penalties</w:t>
      </w:r>
      <w:r w:rsidR="00D90DD0" w:rsidRPr="00591394">
        <w:rPr>
          <w:sz w:val="26"/>
          <w:szCs w:val="26"/>
        </w:rPr>
        <w:t xml:space="preserve"> from this activity.  </w:t>
      </w:r>
      <w:r w:rsidR="000A79E2" w:rsidRPr="00591394">
        <w:rPr>
          <w:sz w:val="26"/>
          <w:szCs w:val="26"/>
        </w:rPr>
        <w:t xml:space="preserve">The </w:t>
      </w:r>
      <w:r w:rsidR="000A79E2" w:rsidRPr="00591394">
        <w:rPr>
          <w:i/>
          <w:iCs/>
          <w:sz w:val="26"/>
          <w:szCs w:val="26"/>
        </w:rPr>
        <w:t>Phase IV Implementation Order</w:t>
      </w:r>
      <w:r w:rsidR="000A79E2" w:rsidRPr="00591394">
        <w:rPr>
          <w:sz w:val="26"/>
          <w:szCs w:val="26"/>
        </w:rPr>
        <w:t xml:space="preserve"> provides </w:t>
      </w:r>
      <w:r w:rsidR="008475FB" w:rsidRPr="00591394">
        <w:rPr>
          <w:sz w:val="26"/>
          <w:szCs w:val="26"/>
        </w:rPr>
        <w:t xml:space="preserve">further </w:t>
      </w:r>
      <w:r w:rsidR="000A79E2" w:rsidRPr="00591394">
        <w:rPr>
          <w:sz w:val="26"/>
          <w:szCs w:val="26"/>
        </w:rPr>
        <w:t xml:space="preserve">that utilities should </w:t>
      </w:r>
      <w:r w:rsidR="000A79E2" w:rsidRPr="00591394">
        <w:rPr>
          <w:sz w:val="26"/>
          <w:szCs w:val="26"/>
        </w:rPr>
        <w:lastRenderedPageBreak/>
        <w:t xml:space="preserve">“carefully </w:t>
      </w:r>
      <w:r w:rsidR="00930463" w:rsidRPr="00591394">
        <w:rPr>
          <w:sz w:val="26"/>
          <w:szCs w:val="26"/>
        </w:rPr>
        <w:t>consider</w:t>
      </w:r>
      <w:r w:rsidR="000A79E2" w:rsidRPr="00591394">
        <w:rPr>
          <w:sz w:val="26"/>
          <w:szCs w:val="26"/>
        </w:rPr>
        <w:t xml:space="preserve"> </w:t>
      </w:r>
      <w:r w:rsidR="00E45934" w:rsidRPr="00591394">
        <w:rPr>
          <w:sz w:val="26"/>
          <w:szCs w:val="26"/>
        </w:rPr>
        <w:t xml:space="preserve">their nomination levels and adopt a conservative bidding strategy to limit the </w:t>
      </w:r>
      <w:r w:rsidR="00930463" w:rsidRPr="00591394">
        <w:rPr>
          <w:sz w:val="26"/>
          <w:szCs w:val="26"/>
        </w:rPr>
        <w:t>likelihood</w:t>
      </w:r>
      <w:r w:rsidR="00E45934" w:rsidRPr="00591394">
        <w:rPr>
          <w:sz w:val="26"/>
          <w:szCs w:val="26"/>
        </w:rPr>
        <w:t xml:space="preserve"> of </w:t>
      </w:r>
      <w:r w:rsidR="00930463" w:rsidRPr="00591394">
        <w:rPr>
          <w:sz w:val="26"/>
          <w:szCs w:val="26"/>
        </w:rPr>
        <w:t>deficiency</w:t>
      </w:r>
      <w:r w:rsidR="00E45934" w:rsidRPr="00591394">
        <w:rPr>
          <w:sz w:val="26"/>
          <w:szCs w:val="26"/>
        </w:rPr>
        <w:t xml:space="preserve"> charges </w:t>
      </w:r>
      <w:r w:rsidR="00930463" w:rsidRPr="00591394">
        <w:rPr>
          <w:sz w:val="26"/>
          <w:szCs w:val="26"/>
        </w:rPr>
        <w:t xml:space="preserve">or nominated resources not clearing.”  </w:t>
      </w:r>
      <w:r w:rsidR="00930463" w:rsidRPr="00591394">
        <w:rPr>
          <w:i/>
          <w:iCs/>
          <w:sz w:val="26"/>
          <w:szCs w:val="26"/>
        </w:rPr>
        <w:t>Phase IV Implementation Order</w:t>
      </w:r>
      <w:r w:rsidR="00930463" w:rsidRPr="00591394">
        <w:rPr>
          <w:sz w:val="26"/>
          <w:szCs w:val="26"/>
        </w:rPr>
        <w:t xml:space="preserve"> at 13</w:t>
      </w:r>
      <w:r w:rsidR="005322F9" w:rsidRPr="00591394">
        <w:rPr>
          <w:sz w:val="26"/>
          <w:szCs w:val="26"/>
        </w:rPr>
        <w:t>6-141</w:t>
      </w:r>
      <w:r w:rsidR="00930463" w:rsidRPr="00591394">
        <w:rPr>
          <w:sz w:val="26"/>
          <w:szCs w:val="26"/>
        </w:rPr>
        <w:t xml:space="preserve">.  </w:t>
      </w:r>
    </w:p>
    <w:p w14:paraId="575D7D8E" w14:textId="38A69E0F" w:rsidR="00ED4B86" w:rsidRPr="00591394" w:rsidRDefault="00ED4B86" w:rsidP="00C6113D">
      <w:pPr>
        <w:widowControl/>
        <w:spacing w:line="360" w:lineRule="auto"/>
        <w:ind w:firstLine="1440"/>
        <w:rPr>
          <w:sz w:val="26"/>
          <w:szCs w:val="26"/>
        </w:rPr>
      </w:pPr>
    </w:p>
    <w:p w14:paraId="7767737F" w14:textId="25FFA3F4" w:rsidR="00C027F5" w:rsidRPr="00591394" w:rsidRDefault="001216E4" w:rsidP="00C6113D">
      <w:pPr>
        <w:widowControl/>
        <w:spacing w:line="360" w:lineRule="auto"/>
        <w:ind w:firstLine="1440"/>
        <w:rPr>
          <w:sz w:val="26"/>
          <w:szCs w:val="26"/>
        </w:rPr>
      </w:pPr>
      <w:r w:rsidRPr="00591394">
        <w:rPr>
          <w:sz w:val="26"/>
          <w:szCs w:val="26"/>
        </w:rPr>
        <w:t xml:space="preserve">In accordance with the Settlement, </w:t>
      </w:r>
      <w:r w:rsidR="008D2B52" w:rsidRPr="00591394">
        <w:rPr>
          <w:sz w:val="26"/>
          <w:szCs w:val="26"/>
        </w:rPr>
        <w:t>Duquesne propose</w:t>
      </w:r>
      <w:r w:rsidR="009859B4" w:rsidRPr="00591394">
        <w:rPr>
          <w:sz w:val="26"/>
          <w:szCs w:val="26"/>
        </w:rPr>
        <w:t>s</w:t>
      </w:r>
      <w:r w:rsidR="008D2B52" w:rsidRPr="00591394">
        <w:rPr>
          <w:sz w:val="26"/>
          <w:szCs w:val="26"/>
        </w:rPr>
        <w:t xml:space="preserve"> to offer a portion</w:t>
      </w:r>
      <w:r w:rsidR="00380B64" w:rsidRPr="00591394">
        <w:rPr>
          <w:sz w:val="26"/>
          <w:szCs w:val="26"/>
        </w:rPr>
        <w:t xml:space="preserve"> </w:t>
      </w:r>
      <w:r w:rsidR="008D2B52" w:rsidRPr="00591394">
        <w:rPr>
          <w:sz w:val="26"/>
          <w:szCs w:val="26"/>
        </w:rPr>
        <w:t xml:space="preserve">of the peak demand reductions from </w:t>
      </w:r>
      <w:r w:rsidR="00716211" w:rsidRPr="00591394">
        <w:rPr>
          <w:sz w:val="26"/>
          <w:szCs w:val="26"/>
        </w:rPr>
        <w:t xml:space="preserve">its </w:t>
      </w:r>
      <w:r w:rsidR="00A36473" w:rsidRPr="00591394">
        <w:rPr>
          <w:i/>
          <w:iCs/>
          <w:sz w:val="26"/>
          <w:szCs w:val="26"/>
        </w:rPr>
        <w:t xml:space="preserve">Revised </w:t>
      </w:r>
      <w:r w:rsidR="00716211" w:rsidRPr="00591394">
        <w:rPr>
          <w:i/>
          <w:iCs/>
          <w:sz w:val="26"/>
          <w:szCs w:val="26"/>
        </w:rPr>
        <w:t xml:space="preserve">Phase IV </w:t>
      </w:r>
      <w:r w:rsidR="00380B64" w:rsidRPr="00591394">
        <w:rPr>
          <w:i/>
          <w:iCs/>
          <w:sz w:val="26"/>
          <w:szCs w:val="26"/>
        </w:rPr>
        <w:t>P</w:t>
      </w:r>
      <w:r w:rsidR="00716211" w:rsidRPr="00591394">
        <w:rPr>
          <w:i/>
          <w:iCs/>
          <w:sz w:val="26"/>
          <w:szCs w:val="26"/>
        </w:rPr>
        <w:t>lan</w:t>
      </w:r>
      <w:r w:rsidR="00716211" w:rsidRPr="00591394">
        <w:rPr>
          <w:sz w:val="26"/>
          <w:szCs w:val="26"/>
        </w:rPr>
        <w:t xml:space="preserve"> into PJM’s </w:t>
      </w:r>
      <w:r w:rsidR="009859B4" w:rsidRPr="00591394">
        <w:rPr>
          <w:sz w:val="26"/>
          <w:szCs w:val="26"/>
        </w:rPr>
        <w:t xml:space="preserve">FCM </w:t>
      </w:r>
      <w:r w:rsidR="000A14D7" w:rsidRPr="00591394">
        <w:rPr>
          <w:sz w:val="26"/>
          <w:szCs w:val="26"/>
        </w:rPr>
        <w:t xml:space="preserve">from the portfolio of programs and measures that are eligible for PJM as provided in PJM Manuals 18 and 18B or their successors.  </w:t>
      </w:r>
      <w:r w:rsidR="00AC50A1" w:rsidRPr="00591394">
        <w:rPr>
          <w:sz w:val="26"/>
          <w:szCs w:val="26"/>
        </w:rPr>
        <w:t>Duquesne intends to create a single EE Resource model</w:t>
      </w:r>
      <w:r w:rsidR="00083126" w:rsidRPr="00591394">
        <w:rPr>
          <w:sz w:val="26"/>
          <w:szCs w:val="26"/>
        </w:rPr>
        <w:t>e</w:t>
      </w:r>
      <w:r w:rsidR="00AC50A1" w:rsidRPr="00591394">
        <w:rPr>
          <w:sz w:val="26"/>
          <w:szCs w:val="26"/>
        </w:rPr>
        <w:t xml:space="preserve">d in PJM’s </w:t>
      </w:r>
      <w:r w:rsidR="00400AF9" w:rsidRPr="00591394">
        <w:rPr>
          <w:sz w:val="26"/>
          <w:szCs w:val="26"/>
        </w:rPr>
        <w:t>Capacity Exchange system representing commercial (office, retail or healthcare) interior lighting</w:t>
      </w:r>
      <w:r w:rsidR="00A037CC" w:rsidRPr="00591394">
        <w:rPr>
          <w:sz w:val="26"/>
          <w:szCs w:val="26"/>
        </w:rPr>
        <w:t xml:space="preserve">.  </w:t>
      </w:r>
      <w:r w:rsidR="00C41DE9" w:rsidRPr="00591394">
        <w:rPr>
          <w:sz w:val="26"/>
          <w:szCs w:val="26"/>
        </w:rPr>
        <w:t>Duquesne</w:t>
      </w:r>
      <w:r w:rsidR="00A037CC" w:rsidRPr="00591394">
        <w:rPr>
          <w:sz w:val="26"/>
          <w:szCs w:val="26"/>
        </w:rPr>
        <w:t xml:space="preserve"> intends to nominate EE Resource demand reductions be</w:t>
      </w:r>
      <w:r w:rsidR="001C7D0D" w:rsidRPr="00591394">
        <w:rPr>
          <w:sz w:val="26"/>
          <w:szCs w:val="26"/>
        </w:rPr>
        <w:t>ginning with PJM’s Base Residual Auction (BRA) for delivery year 2025/2026, which is expected to occur in early 2023.</w:t>
      </w:r>
      <w:r w:rsidR="00C34999" w:rsidRPr="00591394">
        <w:rPr>
          <w:sz w:val="26"/>
          <w:szCs w:val="26"/>
        </w:rPr>
        <w:t xml:space="preserve">  </w:t>
      </w:r>
      <w:r w:rsidR="000A14D7" w:rsidRPr="00591394">
        <w:rPr>
          <w:sz w:val="26"/>
          <w:szCs w:val="26"/>
        </w:rPr>
        <w:t>Duquesne propose</w:t>
      </w:r>
      <w:r w:rsidR="009859B4" w:rsidRPr="00591394">
        <w:rPr>
          <w:sz w:val="26"/>
          <w:szCs w:val="26"/>
        </w:rPr>
        <w:t>s</w:t>
      </w:r>
      <w:r w:rsidR="000A14D7" w:rsidRPr="00591394">
        <w:rPr>
          <w:sz w:val="26"/>
          <w:szCs w:val="26"/>
        </w:rPr>
        <w:t xml:space="preserve"> to </w:t>
      </w:r>
      <w:r w:rsidR="004F5E63" w:rsidRPr="00591394">
        <w:rPr>
          <w:sz w:val="26"/>
          <w:szCs w:val="26"/>
        </w:rPr>
        <w:t xml:space="preserve">combine documented energy </w:t>
      </w:r>
      <w:r w:rsidR="00AE2FB4" w:rsidRPr="00591394">
        <w:rPr>
          <w:sz w:val="26"/>
          <w:szCs w:val="26"/>
        </w:rPr>
        <w:t>savings</w:t>
      </w:r>
      <w:r w:rsidR="004F5E63" w:rsidRPr="00591394">
        <w:rPr>
          <w:sz w:val="26"/>
          <w:szCs w:val="26"/>
        </w:rPr>
        <w:t xml:space="preserve"> </w:t>
      </w:r>
      <w:r w:rsidR="00AE2FB4" w:rsidRPr="00591394">
        <w:rPr>
          <w:sz w:val="26"/>
          <w:szCs w:val="26"/>
        </w:rPr>
        <w:t>a</w:t>
      </w:r>
      <w:r w:rsidR="004F5E63" w:rsidRPr="00591394">
        <w:rPr>
          <w:sz w:val="26"/>
          <w:szCs w:val="26"/>
        </w:rPr>
        <w:t>nd demand reductions with modeled annu</w:t>
      </w:r>
      <w:r w:rsidR="00AE2FB4" w:rsidRPr="00591394">
        <w:rPr>
          <w:sz w:val="26"/>
          <w:szCs w:val="26"/>
        </w:rPr>
        <w:t>a</w:t>
      </w:r>
      <w:r w:rsidR="004F5E63" w:rsidRPr="00591394">
        <w:rPr>
          <w:sz w:val="26"/>
          <w:szCs w:val="26"/>
        </w:rPr>
        <w:t>l hourly load shapes to c</w:t>
      </w:r>
      <w:r w:rsidR="00AE2FB4" w:rsidRPr="00591394">
        <w:rPr>
          <w:sz w:val="26"/>
          <w:szCs w:val="26"/>
        </w:rPr>
        <w:t>alculate</w:t>
      </w:r>
      <w:r w:rsidR="004F5E63" w:rsidRPr="00591394">
        <w:rPr>
          <w:sz w:val="26"/>
          <w:szCs w:val="26"/>
        </w:rPr>
        <w:t xml:space="preserve"> demand reduction</w:t>
      </w:r>
      <w:r w:rsidR="00AE2FB4" w:rsidRPr="00591394">
        <w:rPr>
          <w:sz w:val="26"/>
          <w:szCs w:val="26"/>
        </w:rPr>
        <w:t xml:space="preserve">s during summer and winter performance hours.  </w:t>
      </w:r>
      <w:r w:rsidR="00204A3C" w:rsidRPr="00591394">
        <w:rPr>
          <w:sz w:val="26"/>
          <w:szCs w:val="26"/>
        </w:rPr>
        <w:t>Duquesne plans to nominate up to 2 MW into PJM’s FCM beginning with the BRA for delivery year 2025/</w:t>
      </w:r>
      <w:r w:rsidR="00F7329E" w:rsidRPr="00591394">
        <w:rPr>
          <w:sz w:val="26"/>
          <w:szCs w:val="26"/>
        </w:rPr>
        <w:t>2026, and continue in each successive BRA, applicable during Phase</w:t>
      </w:r>
      <w:r w:rsidR="00411796">
        <w:rPr>
          <w:sz w:val="26"/>
          <w:szCs w:val="26"/>
        </w:rPr>
        <w:t> </w:t>
      </w:r>
      <w:r w:rsidR="00F7329E" w:rsidRPr="00591394">
        <w:rPr>
          <w:sz w:val="26"/>
          <w:szCs w:val="26"/>
        </w:rPr>
        <w:t xml:space="preserve">IV.  </w:t>
      </w:r>
      <w:r w:rsidR="00F7329E" w:rsidRPr="00591394">
        <w:rPr>
          <w:i/>
          <w:iCs/>
          <w:sz w:val="26"/>
          <w:szCs w:val="26"/>
        </w:rPr>
        <w:t>Revised Phase IV Plan</w:t>
      </w:r>
      <w:r w:rsidR="00F7329E" w:rsidRPr="00591394">
        <w:rPr>
          <w:sz w:val="26"/>
          <w:szCs w:val="26"/>
        </w:rPr>
        <w:t xml:space="preserve"> at </w:t>
      </w:r>
      <w:r w:rsidR="009859B4" w:rsidRPr="00591394">
        <w:rPr>
          <w:sz w:val="26"/>
          <w:szCs w:val="26"/>
        </w:rPr>
        <w:t xml:space="preserve">11-12. </w:t>
      </w:r>
    </w:p>
    <w:p w14:paraId="5E7E09BF" w14:textId="77777777" w:rsidR="005C04B4" w:rsidRPr="00591394" w:rsidRDefault="005C04B4" w:rsidP="00C6113D">
      <w:pPr>
        <w:widowControl/>
        <w:spacing w:line="360" w:lineRule="auto"/>
        <w:ind w:firstLine="1440"/>
        <w:rPr>
          <w:sz w:val="26"/>
          <w:szCs w:val="26"/>
        </w:rPr>
      </w:pPr>
    </w:p>
    <w:p w14:paraId="6B0A6762" w14:textId="0D71088C" w:rsidR="00ED4B86" w:rsidRPr="00591394" w:rsidRDefault="00C027F5" w:rsidP="00C6113D">
      <w:pPr>
        <w:widowControl/>
        <w:spacing w:line="360" w:lineRule="auto"/>
        <w:ind w:firstLine="1440"/>
        <w:rPr>
          <w:sz w:val="26"/>
          <w:szCs w:val="26"/>
        </w:rPr>
      </w:pPr>
      <w:r w:rsidRPr="00591394">
        <w:rPr>
          <w:sz w:val="26"/>
          <w:szCs w:val="26"/>
        </w:rPr>
        <w:t xml:space="preserve">As part of the Settlement, </w:t>
      </w:r>
      <w:r w:rsidR="00BA70CC" w:rsidRPr="00591394">
        <w:rPr>
          <w:sz w:val="26"/>
          <w:szCs w:val="26"/>
        </w:rPr>
        <w:t>Duquesne</w:t>
      </w:r>
      <w:r w:rsidRPr="00591394">
        <w:rPr>
          <w:sz w:val="26"/>
          <w:szCs w:val="26"/>
        </w:rPr>
        <w:t xml:space="preserve"> agreed </w:t>
      </w:r>
      <w:r w:rsidR="004778C3" w:rsidRPr="00591394">
        <w:rPr>
          <w:sz w:val="26"/>
          <w:szCs w:val="26"/>
        </w:rPr>
        <w:t>that</w:t>
      </w:r>
      <w:r w:rsidR="00C34505" w:rsidRPr="00591394">
        <w:rPr>
          <w:sz w:val="26"/>
          <w:szCs w:val="26"/>
        </w:rPr>
        <w:t>:</w:t>
      </w:r>
      <w:r w:rsidR="004778C3" w:rsidRPr="00591394">
        <w:rPr>
          <w:sz w:val="26"/>
          <w:szCs w:val="26"/>
        </w:rPr>
        <w:t xml:space="preserve"> </w:t>
      </w:r>
      <w:r w:rsidR="00F43B31" w:rsidRPr="00591394">
        <w:rPr>
          <w:sz w:val="26"/>
          <w:szCs w:val="26"/>
        </w:rPr>
        <w:t xml:space="preserve"> </w:t>
      </w:r>
      <w:r w:rsidR="00301DF8" w:rsidRPr="00591394">
        <w:rPr>
          <w:sz w:val="26"/>
          <w:szCs w:val="26"/>
        </w:rPr>
        <w:t xml:space="preserve">(1) </w:t>
      </w:r>
      <w:r w:rsidR="004778C3" w:rsidRPr="00591394">
        <w:rPr>
          <w:sz w:val="26"/>
          <w:szCs w:val="26"/>
        </w:rPr>
        <w:t xml:space="preserve">delivery year 2025/2026 </w:t>
      </w:r>
      <w:r w:rsidR="00FC118F" w:rsidRPr="00591394">
        <w:rPr>
          <w:sz w:val="26"/>
          <w:szCs w:val="26"/>
        </w:rPr>
        <w:t>will be the first delivery year for which it may bid peak demand savings into the PJM FCM</w:t>
      </w:r>
      <w:r w:rsidR="00C96B2D" w:rsidRPr="00591394">
        <w:rPr>
          <w:sz w:val="26"/>
          <w:szCs w:val="26"/>
        </w:rPr>
        <w:t>;</w:t>
      </w:r>
      <w:r w:rsidR="00301DF8" w:rsidRPr="00591394">
        <w:rPr>
          <w:sz w:val="26"/>
          <w:szCs w:val="26"/>
        </w:rPr>
        <w:t xml:space="preserve"> (2) </w:t>
      </w:r>
      <w:r w:rsidR="00BA70CC" w:rsidRPr="00591394">
        <w:rPr>
          <w:sz w:val="26"/>
          <w:szCs w:val="26"/>
        </w:rPr>
        <w:t>Duquesne</w:t>
      </w:r>
      <w:r w:rsidR="00301DF8" w:rsidRPr="00591394">
        <w:rPr>
          <w:sz w:val="26"/>
          <w:szCs w:val="26"/>
        </w:rPr>
        <w:t xml:space="preserve"> will only bid those nonresidential peak demand savings that, in </w:t>
      </w:r>
      <w:r w:rsidR="006A636C" w:rsidRPr="00591394">
        <w:rPr>
          <w:sz w:val="26"/>
          <w:szCs w:val="26"/>
        </w:rPr>
        <w:t>its judgement, are among the lowest risk of yielding a PJM penalty</w:t>
      </w:r>
      <w:r w:rsidR="00C96B2D" w:rsidRPr="00591394">
        <w:rPr>
          <w:sz w:val="26"/>
          <w:szCs w:val="26"/>
        </w:rPr>
        <w:t>;</w:t>
      </w:r>
      <w:r w:rsidR="00510E33" w:rsidRPr="00591394">
        <w:rPr>
          <w:sz w:val="26"/>
          <w:szCs w:val="26"/>
        </w:rPr>
        <w:t xml:space="preserve"> (3) Duquesne will not bid </w:t>
      </w:r>
      <w:r w:rsidR="00BA70CC" w:rsidRPr="00591394">
        <w:rPr>
          <w:sz w:val="26"/>
          <w:szCs w:val="26"/>
        </w:rPr>
        <w:t>residential</w:t>
      </w:r>
      <w:r w:rsidR="00510E33" w:rsidRPr="00591394">
        <w:rPr>
          <w:sz w:val="26"/>
          <w:szCs w:val="26"/>
        </w:rPr>
        <w:t xml:space="preserve"> peak demand savings into the FCM</w:t>
      </w:r>
      <w:r w:rsidR="00C96B2D" w:rsidRPr="00591394">
        <w:rPr>
          <w:sz w:val="26"/>
          <w:szCs w:val="26"/>
        </w:rPr>
        <w:t>;</w:t>
      </w:r>
      <w:r w:rsidR="00510E33" w:rsidRPr="00591394">
        <w:rPr>
          <w:sz w:val="26"/>
          <w:szCs w:val="26"/>
        </w:rPr>
        <w:t xml:space="preserve"> </w:t>
      </w:r>
      <w:r w:rsidR="000C13ED" w:rsidRPr="00591394">
        <w:rPr>
          <w:sz w:val="26"/>
          <w:szCs w:val="26"/>
        </w:rPr>
        <w:t>(4) Duquesne will allocate proceeds and penalties associated with FCM as described in Section 7.7 of the Phase IV Plan</w:t>
      </w:r>
      <w:r w:rsidR="00C96B2D" w:rsidRPr="00591394">
        <w:rPr>
          <w:sz w:val="26"/>
          <w:szCs w:val="26"/>
        </w:rPr>
        <w:t>;</w:t>
      </w:r>
      <w:r w:rsidR="000C13ED" w:rsidRPr="00591394">
        <w:rPr>
          <w:sz w:val="26"/>
          <w:szCs w:val="26"/>
        </w:rPr>
        <w:t xml:space="preserve"> and (5) Duquesne will include a FCM component in Rider 15A of its retail tariff as depic</w:t>
      </w:r>
      <w:r w:rsidR="004F0FD1" w:rsidRPr="00591394">
        <w:rPr>
          <w:sz w:val="26"/>
          <w:szCs w:val="26"/>
        </w:rPr>
        <w:t>t</w:t>
      </w:r>
      <w:r w:rsidR="000C13ED" w:rsidRPr="00591394">
        <w:rPr>
          <w:sz w:val="26"/>
          <w:szCs w:val="26"/>
        </w:rPr>
        <w:t xml:space="preserve">ed in Exhibit DBO-1R </w:t>
      </w:r>
      <w:r w:rsidR="00300D98" w:rsidRPr="00591394">
        <w:rPr>
          <w:sz w:val="26"/>
          <w:szCs w:val="26"/>
        </w:rPr>
        <w:t xml:space="preserve">in Duquesne St. 2-R.  Settlement at </w:t>
      </w:r>
      <w:r w:rsidR="00E31701" w:rsidRPr="00591394">
        <w:rPr>
          <w:sz w:val="26"/>
          <w:szCs w:val="26"/>
        </w:rPr>
        <w:t xml:space="preserve">¶¶ </w:t>
      </w:r>
      <w:r w:rsidR="00BA70CC" w:rsidRPr="00591394">
        <w:rPr>
          <w:sz w:val="26"/>
          <w:szCs w:val="26"/>
        </w:rPr>
        <w:t>39-42.</w:t>
      </w:r>
      <w:r w:rsidR="004F5E63" w:rsidRPr="00591394">
        <w:rPr>
          <w:sz w:val="26"/>
          <w:szCs w:val="26"/>
        </w:rPr>
        <w:t xml:space="preserve"> </w:t>
      </w:r>
    </w:p>
    <w:p w14:paraId="0A706A5E" w14:textId="77777777" w:rsidR="00987161" w:rsidRPr="00591394" w:rsidRDefault="00987161" w:rsidP="00C6113D">
      <w:pPr>
        <w:widowControl/>
        <w:spacing w:line="360" w:lineRule="auto"/>
        <w:ind w:firstLine="1440"/>
        <w:rPr>
          <w:sz w:val="26"/>
          <w:szCs w:val="26"/>
        </w:rPr>
      </w:pPr>
    </w:p>
    <w:p w14:paraId="7C07531D" w14:textId="7211CCCD" w:rsidR="00016636" w:rsidRPr="00591394" w:rsidRDefault="00B123D4" w:rsidP="00C6113D">
      <w:pPr>
        <w:pStyle w:val="Heading3"/>
        <w:keepNext/>
      </w:pPr>
      <w:bookmarkStart w:id="16" w:name="_Toc66354615"/>
      <w:r w:rsidRPr="00591394">
        <w:lastRenderedPageBreak/>
        <w:t>3.</w:t>
      </w:r>
      <w:r w:rsidRPr="00591394">
        <w:tab/>
      </w:r>
      <w:r w:rsidR="001B13BE" w:rsidRPr="00591394">
        <w:t>Comprehensive Programs</w:t>
      </w:r>
      <w:bookmarkEnd w:id="16"/>
      <w:r w:rsidR="001B13BE" w:rsidRPr="00591394">
        <w:t xml:space="preserve"> </w:t>
      </w:r>
    </w:p>
    <w:p w14:paraId="400C7566" w14:textId="77777777" w:rsidR="00B123D4" w:rsidRPr="00591394" w:rsidRDefault="00B123D4" w:rsidP="00C6113D">
      <w:pPr>
        <w:keepNext/>
        <w:widowControl/>
        <w:spacing w:line="360" w:lineRule="auto"/>
        <w:rPr>
          <w:sz w:val="26"/>
          <w:szCs w:val="26"/>
        </w:rPr>
      </w:pPr>
    </w:p>
    <w:p w14:paraId="39009941" w14:textId="62456BD6" w:rsidR="00D968CC" w:rsidRPr="00591394" w:rsidRDefault="00A54E85" w:rsidP="00C6113D">
      <w:pPr>
        <w:widowControl/>
        <w:spacing w:line="360" w:lineRule="auto"/>
        <w:ind w:firstLine="1440"/>
        <w:rPr>
          <w:sz w:val="26"/>
          <w:szCs w:val="26"/>
        </w:rPr>
      </w:pPr>
      <w:r w:rsidRPr="00591394">
        <w:rPr>
          <w:sz w:val="26"/>
          <w:szCs w:val="26"/>
        </w:rPr>
        <w:t xml:space="preserve">The </w:t>
      </w:r>
      <w:r w:rsidRPr="00591394">
        <w:rPr>
          <w:i/>
          <w:sz w:val="26"/>
          <w:szCs w:val="26"/>
        </w:rPr>
        <w:t>Phase I</w:t>
      </w:r>
      <w:r w:rsidR="00921F92" w:rsidRPr="00591394">
        <w:rPr>
          <w:i/>
          <w:sz w:val="26"/>
          <w:szCs w:val="26"/>
        </w:rPr>
        <w:t>V</w:t>
      </w:r>
      <w:r w:rsidRPr="00591394">
        <w:rPr>
          <w:i/>
          <w:sz w:val="26"/>
          <w:szCs w:val="26"/>
        </w:rPr>
        <w:t xml:space="preserve"> Implementation Order</w:t>
      </w:r>
      <w:r w:rsidRPr="00591394">
        <w:rPr>
          <w:sz w:val="26"/>
          <w:szCs w:val="26"/>
        </w:rPr>
        <w:t xml:space="preserve"> did not require a proportionate distribution of measures among customer classes.  However, it did require that each customer class be offered at least one program.  </w:t>
      </w:r>
      <w:r w:rsidRPr="00591394">
        <w:rPr>
          <w:i/>
          <w:sz w:val="26"/>
          <w:szCs w:val="26"/>
        </w:rPr>
        <w:t>Phase I</w:t>
      </w:r>
      <w:r w:rsidR="00104D19" w:rsidRPr="00591394">
        <w:rPr>
          <w:i/>
          <w:sz w:val="26"/>
          <w:szCs w:val="26"/>
        </w:rPr>
        <w:t>V</w:t>
      </w:r>
      <w:r w:rsidRPr="00591394">
        <w:rPr>
          <w:i/>
          <w:sz w:val="26"/>
          <w:szCs w:val="26"/>
        </w:rPr>
        <w:t xml:space="preserve"> Implementation Order</w:t>
      </w:r>
      <w:r w:rsidRPr="00591394">
        <w:rPr>
          <w:sz w:val="26"/>
          <w:szCs w:val="26"/>
        </w:rPr>
        <w:t xml:space="preserve"> at </w:t>
      </w:r>
      <w:r w:rsidR="00C06D35" w:rsidRPr="00591394">
        <w:rPr>
          <w:sz w:val="26"/>
          <w:szCs w:val="26"/>
        </w:rPr>
        <w:t>92</w:t>
      </w:r>
      <w:r w:rsidRPr="00591394">
        <w:rPr>
          <w:sz w:val="26"/>
          <w:szCs w:val="26"/>
        </w:rPr>
        <w:t xml:space="preserve">.  In addition, the Commission </w:t>
      </w:r>
      <w:r w:rsidR="00D968CC" w:rsidRPr="00591394">
        <w:rPr>
          <w:sz w:val="26"/>
          <w:szCs w:val="26"/>
        </w:rPr>
        <w:t xml:space="preserve">required </w:t>
      </w:r>
      <w:r w:rsidRPr="00591394">
        <w:rPr>
          <w:sz w:val="26"/>
          <w:szCs w:val="26"/>
        </w:rPr>
        <w:t xml:space="preserve">that EE&amp;C Plans </w:t>
      </w:r>
      <w:r w:rsidR="00D968CC" w:rsidRPr="00591394">
        <w:rPr>
          <w:sz w:val="26"/>
          <w:szCs w:val="26"/>
        </w:rPr>
        <w:t xml:space="preserve">include at least one comprehensive program for residential customers and at least one comprehensive program for non-residential customers.  </w:t>
      </w:r>
      <w:r w:rsidR="00D968CC" w:rsidRPr="00591394">
        <w:rPr>
          <w:i/>
          <w:sz w:val="26"/>
          <w:szCs w:val="26"/>
        </w:rPr>
        <w:t>I</w:t>
      </w:r>
      <w:r w:rsidRPr="00591394">
        <w:rPr>
          <w:i/>
          <w:sz w:val="26"/>
          <w:szCs w:val="26"/>
        </w:rPr>
        <w:t xml:space="preserve">d. </w:t>
      </w:r>
      <w:r w:rsidR="00D968CC" w:rsidRPr="00591394">
        <w:rPr>
          <w:sz w:val="26"/>
          <w:szCs w:val="26"/>
        </w:rPr>
        <w:t xml:space="preserve">at </w:t>
      </w:r>
      <w:r w:rsidR="009B72D7" w:rsidRPr="00591394">
        <w:rPr>
          <w:sz w:val="26"/>
          <w:szCs w:val="26"/>
        </w:rPr>
        <w:t>23-24</w:t>
      </w:r>
      <w:r w:rsidR="00D968CC" w:rsidRPr="00591394">
        <w:rPr>
          <w:sz w:val="26"/>
          <w:szCs w:val="26"/>
        </w:rPr>
        <w:t xml:space="preserve">.  </w:t>
      </w:r>
    </w:p>
    <w:p w14:paraId="51A60D78" w14:textId="6A5FA283" w:rsidR="00F62C80" w:rsidRPr="00591394" w:rsidRDefault="00F62C80" w:rsidP="00C6113D">
      <w:pPr>
        <w:widowControl/>
        <w:spacing w:line="360" w:lineRule="auto"/>
        <w:ind w:firstLine="1440"/>
        <w:rPr>
          <w:sz w:val="26"/>
          <w:szCs w:val="26"/>
        </w:rPr>
      </w:pPr>
    </w:p>
    <w:p w14:paraId="71EA6756" w14:textId="604D0CC4" w:rsidR="00F62C80" w:rsidRPr="00591394" w:rsidRDefault="00A03E09" w:rsidP="00C6113D">
      <w:pPr>
        <w:widowControl/>
        <w:spacing w:line="360" w:lineRule="auto"/>
        <w:ind w:firstLine="1440"/>
        <w:rPr>
          <w:sz w:val="26"/>
          <w:szCs w:val="26"/>
        </w:rPr>
      </w:pPr>
      <w:r w:rsidRPr="00591394">
        <w:rPr>
          <w:sz w:val="26"/>
          <w:szCs w:val="26"/>
        </w:rPr>
        <w:t xml:space="preserve">Duquesne submits that its </w:t>
      </w:r>
      <w:r w:rsidR="00CD2722" w:rsidRPr="00591394">
        <w:rPr>
          <w:i/>
          <w:iCs/>
          <w:sz w:val="26"/>
          <w:szCs w:val="26"/>
        </w:rPr>
        <w:t>Revised Phase IV Plan</w:t>
      </w:r>
      <w:r w:rsidR="00CD2722" w:rsidRPr="00591394">
        <w:rPr>
          <w:sz w:val="26"/>
          <w:szCs w:val="26"/>
        </w:rPr>
        <w:t xml:space="preserve"> </w:t>
      </w:r>
      <w:r w:rsidRPr="00591394">
        <w:rPr>
          <w:sz w:val="26"/>
          <w:szCs w:val="26"/>
        </w:rPr>
        <w:t xml:space="preserve">offers at least one comprehensive program for residential customers and at least one for non-residential customers.  Duquesne Statement in Support at 3.  </w:t>
      </w:r>
      <w:r w:rsidR="00F62C80" w:rsidRPr="00591394">
        <w:rPr>
          <w:sz w:val="26"/>
          <w:szCs w:val="26"/>
        </w:rPr>
        <w:t xml:space="preserve">Duquesne </w:t>
      </w:r>
      <w:r w:rsidR="000B4DFE" w:rsidRPr="00591394">
        <w:rPr>
          <w:sz w:val="26"/>
          <w:szCs w:val="26"/>
        </w:rPr>
        <w:t>provides that i</w:t>
      </w:r>
      <w:r w:rsidR="001F4414" w:rsidRPr="00591394">
        <w:rPr>
          <w:sz w:val="26"/>
          <w:szCs w:val="26"/>
        </w:rPr>
        <w:t>ts Re</w:t>
      </w:r>
      <w:r w:rsidR="004D69DC" w:rsidRPr="00591394">
        <w:rPr>
          <w:sz w:val="26"/>
          <w:szCs w:val="26"/>
        </w:rPr>
        <w:t xml:space="preserve">sidential </w:t>
      </w:r>
      <w:r w:rsidR="00EE4E5A" w:rsidRPr="00591394">
        <w:rPr>
          <w:sz w:val="26"/>
          <w:szCs w:val="26"/>
        </w:rPr>
        <w:t>P</w:t>
      </w:r>
      <w:r w:rsidR="004D69DC" w:rsidRPr="00591394">
        <w:rPr>
          <w:sz w:val="26"/>
          <w:szCs w:val="26"/>
        </w:rPr>
        <w:t>rograms and Small Commerci</w:t>
      </w:r>
      <w:r w:rsidR="00EE4E5A" w:rsidRPr="00591394">
        <w:rPr>
          <w:sz w:val="26"/>
          <w:szCs w:val="26"/>
        </w:rPr>
        <w:t>a</w:t>
      </w:r>
      <w:r w:rsidR="004D69DC" w:rsidRPr="00591394">
        <w:rPr>
          <w:sz w:val="26"/>
          <w:szCs w:val="26"/>
        </w:rPr>
        <w:t>l Direct Install Program</w:t>
      </w:r>
      <w:r w:rsidR="00EE4E5A" w:rsidRPr="00591394">
        <w:rPr>
          <w:sz w:val="26"/>
          <w:szCs w:val="26"/>
        </w:rPr>
        <w:t>s</w:t>
      </w:r>
      <w:r w:rsidR="004D69DC" w:rsidRPr="00591394">
        <w:rPr>
          <w:sz w:val="26"/>
          <w:szCs w:val="26"/>
        </w:rPr>
        <w:t xml:space="preserve"> are comprehensive measures.  </w:t>
      </w:r>
      <w:r w:rsidR="004D69DC" w:rsidRPr="00591394">
        <w:rPr>
          <w:i/>
          <w:iCs/>
          <w:sz w:val="26"/>
          <w:szCs w:val="26"/>
        </w:rPr>
        <w:t>Re</w:t>
      </w:r>
      <w:r w:rsidR="00EE4E5A" w:rsidRPr="00591394">
        <w:rPr>
          <w:i/>
          <w:iCs/>
          <w:sz w:val="26"/>
          <w:szCs w:val="26"/>
        </w:rPr>
        <w:t>vised Phase IV Plan</w:t>
      </w:r>
      <w:r w:rsidR="00EE4E5A" w:rsidRPr="00591394">
        <w:rPr>
          <w:sz w:val="26"/>
          <w:szCs w:val="26"/>
        </w:rPr>
        <w:t xml:space="preserve"> at 23</w:t>
      </w:r>
      <w:r w:rsidR="00C37373" w:rsidRPr="00591394">
        <w:rPr>
          <w:sz w:val="26"/>
          <w:szCs w:val="26"/>
        </w:rPr>
        <w:t>.</w:t>
      </w:r>
      <w:r w:rsidRPr="00591394">
        <w:rPr>
          <w:sz w:val="26"/>
          <w:szCs w:val="26"/>
        </w:rPr>
        <w:t xml:space="preserve"> </w:t>
      </w:r>
      <w:r w:rsidR="00ED728D" w:rsidRPr="00591394">
        <w:rPr>
          <w:sz w:val="26"/>
          <w:szCs w:val="26"/>
        </w:rPr>
        <w:t xml:space="preserve"> </w:t>
      </w:r>
    </w:p>
    <w:p w14:paraId="67042C3A" w14:textId="77777777" w:rsidR="00D968CC" w:rsidRPr="00591394" w:rsidRDefault="00D968CC" w:rsidP="00C6113D">
      <w:pPr>
        <w:widowControl/>
        <w:spacing w:line="360" w:lineRule="auto"/>
        <w:rPr>
          <w:sz w:val="26"/>
          <w:szCs w:val="26"/>
        </w:rPr>
      </w:pPr>
    </w:p>
    <w:p w14:paraId="26219034" w14:textId="24ED4A29" w:rsidR="00B123D4" w:rsidRPr="00591394" w:rsidRDefault="00B123D4" w:rsidP="00C6113D">
      <w:pPr>
        <w:pStyle w:val="Heading3"/>
        <w:keepNext/>
      </w:pPr>
      <w:bookmarkStart w:id="17" w:name="_Toc66354616"/>
      <w:r w:rsidRPr="00591394">
        <w:t>4.</w:t>
      </w:r>
      <w:r w:rsidRPr="00591394">
        <w:tab/>
        <w:t>Government</w:t>
      </w:r>
      <w:r w:rsidR="0053564C">
        <w:t>/Non-Profit</w:t>
      </w:r>
      <w:r w:rsidRPr="00591394">
        <w:t>/</w:t>
      </w:r>
      <w:proofErr w:type="gramStart"/>
      <w:r w:rsidR="0053564C">
        <w:t>Institutional</w:t>
      </w:r>
      <w:r w:rsidR="0053564C" w:rsidRPr="00591394" w:rsidDel="0053564C">
        <w:t xml:space="preserve"> </w:t>
      </w:r>
      <w:r w:rsidRPr="00591394">
        <w:t xml:space="preserve"> Requirement</w:t>
      </w:r>
      <w:bookmarkEnd w:id="17"/>
      <w:proofErr w:type="gramEnd"/>
    </w:p>
    <w:p w14:paraId="70A5DA47" w14:textId="77777777" w:rsidR="00B123D4" w:rsidRPr="00591394" w:rsidRDefault="00B123D4" w:rsidP="00C6113D">
      <w:pPr>
        <w:keepNext/>
        <w:widowControl/>
        <w:spacing w:line="360" w:lineRule="auto"/>
        <w:rPr>
          <w:sz w:val="26"/>
          <w:szCs w:val="26"/>
        </w:rPr>
      </w:pPr>
    </w:p>
    <w:p w14:paraId="3E3A4B3F" w14:textId="7C5BE5B4" w:rsidR="005E5470" w:rsidRPr="00591394" w:rsidRDefault="00C57C39" w:rsidP="00C6113D">
      <w:pPr>
        <w:widowControl/>
        <w:spacing w:line="360" w:lineRule="auto"/>
        <w:ind w:firstLine="1440"/>
        <w:rPr>
          <w:bCs/>
          <w:sz w:val="26"/>
          <w:szCs w:val="26"/>
        </w:rPr>
      </w:pPr>
      <w:r w:rsidRPr="00591394">
        <w:rPr>
          <w:sz w:val="26"/>
          <w:szCs w:val="26"/>
        </w:rPr>
        <w:t>Act 129 required that Phase I EE</w:t>
      </w:r>
      <w:r w:rsidR="007B3E18" w:rsidRPr="00591394">
        <w:rPr>
          <w:sz w:val="26"/>
          <w:szCs w:val="26"/>
        </w:rPr>
        <w:t xml:space="preserve">&amp;C Plans obtain a minimum of </w:t>
      </w:r>
      <w:r w:rsidR="0003269E" w:rsidRPr="00591394">
        <w:rPr>
          <w:sz w:val="26"/>
          <w:szCs w:val="26"/>
        </w:rPr>
        <w:t>10%</w:t>
      </w:r>
      <w:r w:rsidRPr="00591394">
        <w:rPr>
          <w:sz w:val="26"/>
          <w:szCs w:val="26"/>
        </w:rPr>
        <w:t xml:space="preserve"> of all consumption and peak demand reduction requirements from units of the Federal, State</w:t>
      </w:r>
      <w:r w:rsidR="009D2E18" w:rsidRPr="00591394">
        <w:rPr>
          <w:sz w:val="26"/>
          <w:szCs w:val="26"/>
        </w:rPr>
        <w:t>,</w:t>
      </w:r>
      <w:r w:rsidRPr="00591394">
        <w:rPr>
          <w:sz w:val="26"/>
          <w:szCs w:val="26"/>
        </w:rPr>
        <w:t xml:space="preserve"> and local governments, including municipalities, school districts, institutions of higher education and non-profit entities (G</w:t>
      </w:r>
      <w:r w:rsidR="00894D0C" w:rsidRPr="00591394">
        <w:rPr>
          <w:sz w:val="26"/>
          <w:szCs w:val="26"/>
        </w:rPr>
        <w:t>NI</w:t>
      </w:r>
      <w:r w:rsidRPr="00591394">
        <w:rPr>
          <w:sz w:val="26"/>
          <w:szCs w:val="26"/>
        </w:rPr>
        <w:t xml:space="preserve"> </w:t>
      </w:r>
      <w:r w:rsidR="000E1636" w:rsidRPr="00591394">
        <w:rPr>
          <w:sz w:val="26"/>
          <w:szCs w:val="26"/>
        </w:rPr>
        <w:t>s</w:t>
      </w:r>
      <w:r w:rsidRPr="00591394">
        <w:rPr>
          <w:sz w:val="26"/>
          <w:szCs w:val="26"/>
        </w:rPr>
        <w:t>ector).</w:t>
      </w:r>
      <w:r w:rsidR="004B00CD" w:rsidRPr="00591394">
        <w:rPr>
          <w:sz w:val="26"/>
          <w:szCs w:val="26"/>
        </w:rPr>
        <w:t xml:space="preserve">  66 Pa. C.S. §</w:t>
      </w:r>
      <w:r w:rsidR="009C45A6">
        <w:rPr>
          <w:sz w:val="26"/>
          <w:szCs w:val="26"/>
        </w:rPr>
        <w:t> </w:t>
      </w:r>
      <w:r w:rsidR="004B00CD" w:rsidRPr="00591394">
        <w:rPr>
          <w:sz w:val="26"/>
          <w:szCs w:val="26"/>
        </w:rPr>
        <w:t>2806.1(b)(1)(i)(B).</w:t>
      </w:r>
      <w:r w:rsidR="000E622E" w:rsidRPr="00591394">
        <w:rPr>
          <w:sz w:val="26"/>
          <w:szCs w:val="26"/>
        </w:rPr>
        <w:t xml:space="preserve">  </w:t>
      </w:r>
      <w:r w:rsidR="009A1DF8" w:rsidRPr="00591394">
        <w:rPr>
          <w:sz w:val="26"/>
          <w:szCs w:val="26"/>
        </w:rPr>
        <w:t xml:space="preserve">The Commission </w:t>
      </w:r>
      <w:r w:rsidR="00D8723B" w:rsidRPr="00591394">
        <w:rPr>
          <w:sz w:val="26"/>
          <w:szCs w:val="26"/>
        </w:rPr>
        <w:t xml:space="preserve">did not </w:t>
      </w:r>
      <w:r w:rsidR="00245FA3" w:rsidRPr="00591394">
        <w:rPr>
          <w:sz w:val="26"/>
          <w:szCs w:val="26"/>
        </w:rPr>
        <w:t xml:space="preserve">allow </w:t>
      </w:r>
      <w:r w:rsidR="00D8723B" w:rsidRPr="00591394">
        <w:rPr>
          <w:sz w:val="26"/>
          <w:szCs w:val="26"/>
        </w:rPr>
        <w:t xml:space="preserve">a specific carve-out for the GNI </w:t>
      </w:r>
      <w:r w:rsidR="000E1636" w:rsidRPr="00591394">
        <w:rPr>
          <w:sz w:val="26"/>
          <w:szCs w:val="26"/>
        </w:rPr>
        <w:t>s</w:t>
      </w:r>
      <w:r w:rsidR="00D8723B" w:rsidRPr="00591394">
        <w:rPr>
          <w:sz w:val="26"/>
          <w:szCs w:val="26"/>
        </w:rPr>
        <w:t>ector for Phase IV of Act</w:t>
      </w:r>
      <w:r w:rsidR="00411796">
        <w:rPr>
          <w:sz w:val="26"/>
          <w:szCs w:val="26"/>
        </w:rPr>
        <w:t> </w:t>
      </w:r>
      <w:r w:rsidR="00D8723B" w:rsidRPr="00591394">
        <w:rPr>
          <w:sz w:val="26"/>
          <w:szCs w:val="26"/>
        </w:rPr>
        <w:t xml:space="preserve">129.  </w:t>
      </w:r>
      <w:r w:rsidR="0063570E" w:rsidRPr="00591394">
        <w:rPr>
          <w:sz w:val="26"/>
          <w:szCs w:val="26"/>
        </w:rPr>
        <w:t xml:space="preserve">The Commission </w:t>
      </w:r>
      <w:r w:rsidR="008016BF" w:rsidRPr="00591394">
        <w:rPr>
          <w:sz w:val="26"/>
          <w:szCs w:val="26"/>
        </w:rPr>
        <w:t>stated that it would require</w:t>
      </w:r>
      <w:r w:rsidR="0063570E" w:rsidRPr="00591394">
        <w:rPr>
          <w:sz w:val="26"/>
          <w:szCs w:val="26"/>
        </w:rPr>
        <w:t xml:space="preserve"> that the EDCs report savings achieved for the GNI </w:t>
      </w:r>
      <w:r w:rsidR="000E1636" w:rsidRPr="00591394">
        <w:rPr>
          <w:sz w:val="26"/>
          <w:szCs w:val="26"/>
        </w:rPr>
        <w:t>s</w:t>
      </w:r>
      <w:r w:rsidR="0063570E" w:rsidRPr="00591394">
        <w:rPr>
          <w:sz w:val="26"/>
          <w:szCs w:val="26"/>
        </w:rPr>
        <w:t>ector in Phase IV and that the EDCs</w:t>
      </w:r>
      <w:r w:rsidR="00EF2644" w:rsidRPr="00591394">
        <w:rPr>
          <w:sz w:val="26"/>
          <w:szCs w:val="26"/>
        </w:rPr>
        <w:t>’</w:t>
      </w:r>
      <w:r w:rsidR="0063570E" w:rsidRPr="00591394">
        <w:rPr>
          <w:sz w:val="26"/>
          <w:szCs w:val="26"/>
        </w:rPr>
        <w:t xml:space="preserve"> EE&amp;C plans highlight how the GNI se</w:t>
      </w:r>
      <w:r w:rsidR="00235943" w:rsidRPr="00591394">
        <w:rPr>
          <w:sz w:val="26"/>
          <w:szCs w:val="26"/>
        </w:rPr>
        <w:t xml:space="preserve">ctor will be served.  </w:t>
      </w:r>
      <w:r w:rsidR="009A1DF8" w:rsidRPr="00591394">
        <w:rPr>
          <w:i/>
          <w:sz w:val="26"/>
          <w:szCs w:val="26"/>
        </w:rPr>
        <w:t>Phase I</w:t>
      </w:r>
      <w:r w:rsidR="000E1636" w:rsidRPr="00591394">
        <w:rPr>
          <w:i/>
          <w:sz w:val="26"/>
          <w:szCs w:val="26"/>
        </w:rPr>
        <w:t>V</w:t>
      </w:r>
      <w:r w:rsidR="009A1DF8" w:rsidRPr="00591394">
        <w:rPr>
          <w:i/>
          <w:sz w:val="26"/>
          <w:szCs w:val="26"/>
        </w:rPr>
        <w:t xml:space="preserve"> Implementation Order </w:t>
      </w:r>
      <w:r w:rsidR="009A1DF8" w:rsidRPr="00591394">
        <w:rPr>
          <w:sz w:val="26"/>
          <w:szCs w:val="26"/>
        </w:rPr>
        <w:t xml:space="preserve">at </w:t>
      </w:r>
      <w:r w:rsidR="007C6470" w:rsidRPr="00591394">
        <w:rPr>
          <w:sz w:val="26"/>
          <w:szCs w:val="26"/>
        </w:rPr>
        <w:t xml:space="preserve">37, </w:t>
      </w:r>
      <w:r w:rsidR="00E96B43" w:rsidRPr="00591394">
        <w:rPr>
          <w:sz w:val="26"/>
          <w:szCs w:val="26"/>
        </w:rPr>
        <w:t>39-40</w:t>
      </w:r>
      <w:r w:rsidR="00CB582B" w:rsidRPr="00591394">
        <w:rPr>
          <w:sz w:val="26"/>
          <w:szCs w:val="26"/>
        </w:rPr>
        <w:t xml:space="preserve">.  </w:t>
      </w:r>
      <w:r w:rsidR="005E5470" w:rsidRPr="00591394">
        <w:rPr>
          <w:bCs/>
          <w:sz w:val="26"/>
          <w:szCs w:val="26"/>
        </w:rPr>
        <w:t xml:space="preserve">The Commission also found that the EDCs and their stakeholders are in the best position to determine the appropriate programs in each territory.  </w:t>
      </w:r>
      <w:r w:rsidR="005E5470" w:rsidRPr="00591394">
        <w:rPr>
          <w:bCs/>
          <w:i/>
          <w:iCs/>
          <w:sz w:val="26"/>
          <w:szCs w:val="26"/>
        </w:rPr>
        <w:t>Id.</w:t>
      </w:r>
      <w:r w:rsidR="005E5470" w:rsidRPr="00591394">
        <w:rPr>
          <w:bCs/>
          <w:sz w:val="26"/>
          <w:szCs w:val="26"/>
        </w:rPr>
        <w:t xml:space="preserve">  </w:t>
      </w:r>
    </w:p>
    <w:p w14:paraId="592257F2" w14:textId="1594CAE3" w:rsidR="004D372F" w:rsidRPr="00591394" w:rsidRDefault="004D372F" w:rsidP="00C6113D">
      <w:pPr>
        <w:widowControl/>
        <w:spacing w:line="360" w:lineRule="auto"/>
        <w:rPr>
          <w:sz w:val="26"/>
          <w:szCs w:val="26"/>
        </w:rPr>
      </w:pPr>
    </w:p>
    <w:p w14:paraId="0838367E" w14:textId="4A9745A1" w:rsidR="004D372F" w:rsidRPr="00591394" w:rsidRDefault="00DB45FD" w:rsidP="00C6113D">
      <w:pPr>
        <w:widowControl/>
        <w:spacing w:line="360" w:lineRule="auto"/>
        <w:rPr>
          <w:sz w:val="26"/>
          <w:szCs w:val="26"/>
        </w:rPr>
      </w:pPr>
      <w:r w:rsidRPr="00591394">
        <w:rPr>
          <w:sz w:val="26"/>
          <w:szCs w:val="26"/>
        </w:rPr>
        <w:lastRenderedPageBreak/>
        <w:tab/>
      </w:r>
      <w:r w:rsidRPr="00591394">
        <w:rPr>
          <w:sz w:val="26"/>
          <w:szCs w:val="26"/>
        </w:rPr>
        <w:tab/>
        <w:t xml:space="preserve">Duquesne provides that the GNI sector will be served </w:t>
      </w:r>
      <w:r w:rsidR="00F1357B" w:rsidRPr="00591394">
        <w:rPr>
          <w:sz w:val="26"/>
          <w:szCs w:val="26"/>
        </w:rPr>
        <w:t xml:space="preserve">via the </w:t>
      </w:r>
      <w:r w:rsidR="004333C5" w:rsidRPr="00591394">
        <w:rPr>
          <w:sz w:val="26"/>
          <w:szCs w:val="26"/>
        </w:rPr>
        <w:t xml:space="preserve">small business and large business programs as described </w:t>
      </w:r>
      <w:r w:rsidR="004333C5" w:rsidRPr="00591394">
        <w:rPr>
          <w:i/>
          <w:sz w:val="26"/>
          <w:szCs w:val="26"/>
        </w:rPr>
        <w:t>supra</w:t>
      </w:r>
      <w:r w:rsidR="004333C5" w:rsidRPr="00591394">
        <w:rPr>
          <w:sz w:val="26"/>
          <w:szCs w:val="26"/>
        </w:rPr>
        <w:t xml:space="preserve">.  </w:t>
      </w:r>
      <w:r w:rsidR="004333C5" w:rsidRPr="00591394">
        <w:rPr>
          <w:i/>
          <w:iCs/>
          <w:sz w:val="26"/>
          <w:szCs w:val="26"/>
        </w:rPr>
        <w:t>Revised Phase IV Plan</w:t>
      </w:r>
      <w:r w:rsidR="004333C5" w:rsidRPr="00591394">
        <w:rPr>
          <w:sz w:val="26"/>
          <w:szCs w:val="26"/>
        </w:rPr>
        <w:t xml:space="preserve"> at </w:t>
      </w:r>
      <w:r w:rsidR="00F50721" w:rsidRPr="00591394">
        <w:rPr>
          <w:sz w:val="26"/>
          <w:szCs w:val="26"/>
        </w:rPr>
        <w:t>79-80.</w:t>
      </w:r>
    </w:p>
    <w:p w14:paraId="1E86638D" w14:textId="77777777" w:rsidR="00C57C39" w:rsidRPr="00591394" w:rsidRDefault="00C57C39" w:rsidP="00C6113D">
      <w:pPr>
        <w:widowControl/>
        <w:spacing w:line="360" w:lineRule="auto"/>
        <w:rPr>
          <w:sz w:val="26"/>
          <w:szCs w:val="26"/>
        </w:rPr>
      </w:pPr>
    </w:p>
    <w:p w14:paraId="24A5C901" w14:textId="3B94BE3C" w:rsidR="00B123D4" w:rsidRPr="00591394" w:rsidRDefault="00B123D4" w:rsidP="00C6113D">
      <w:pPr>
        <w:pStyle w:val="Heading3"/>
      </w:pPr>
      <w:bookmarkStart w:id="18" w:name="_Toc66354617"/>
      <w:r w:rsidRPr="00591394">
        <w:t>5.</w:t>
      </w:r>
      <w:r w:rsidRPr="00591394">
        <w:tab/>
        <w:t>Low-</w:t>
      </w:r>
      <w:r w:rsidR="00636C4C">
        <w:t>I</w:t>
      </w:r>
      <w:r w:rsidRPr="00591394">
        <w:t>ncome Program Requirements</w:t>
      </w:r>
      <w:bookmarkEnd w:id="18"/>
    </w:p>
    <w:p w14:paraId="071CE85C" w14:textId="77777777" w:rsidR="00B123D4" w:rsidRPr="00591394" w:rsidRDefault="00B123D4" w:rsidP="00C6113D">
      <w:pPr>
        <w:widowControl/>
        <w:spacing w:line="360" w:lineRule="auto"/>
        <w:rPr>
          <w:sz w:val="26"/>
          <w:szCs w:val="26"/>
        </w:rPr>
      </w:pPr>
    </w:p>
    <w:p w14:paraId="38194FAA" w14:textId="76B6ED19" w:rsidR="00AB507D" w:rsidRPr="00591394" w:rsidRDefault="005D5D75" w:rsidP="00C6113D">
      <w:pPr>
        <w:widowControl/>
        <w:spacing w:line="360" w:lineRule="auto"/>
        <w:ind w:firstLine="1440"/>
        <w:rPr>
          <w:iCs/>
          <w:sz w:val="26"/>
          <w:szCs w:val="26"/>
        </w:rPr>
      </w:pPr>
      <w:r w:rsidRPr="00591394">
        <w:rPr>
          <w:sz w:val="26"/>
          <w:szCs w:val="26"/>
        </w:rPr>
        <w:t>For Phase IV, as in all prior phases of Act 129, the Commission proposed that each EDC EE&amp;C Plan include specific energy efficiency measures for households at or below 150% of the F</w:t>
      </w:r>
      <w:r w:rsidR="00AB52CD" w:rsidRPr="00591394">
        <w:rPr>
          <w:sz w:val="26"/>
          <w:szCs w:val="26"/>
        </w:rPr>
        <w:t xml:space="preserve">ederal </w:t>
      </w:r>
      <w:r w:rsidRPr="00591394">
        <w:rPr>
          <w:sz w:val="26"/>
          <w:szCs w:val="26"/>
        </w:rPr>
        <w:t>P</w:t>
      </w:r>
      <w:r w:rsidR="00AB52CD" w:rsidRPr="00591394">
        <w:rPr>
          <w:sz w:val="26"/>
          <w:szCs w:val="26"/>
        </w:rPr>
        <w:t xml:space="preserve">overty </w:t>
      </w:r>
      <w:r w:rsidRPr="00591394">
        <w:rPr>
          <w:sz w:val="26"/>
          <w:szCs w:val="26"/>
        </w:rPr>
        <w:t>I</w:t>
      </w:r>
      <w:r w:rsidR="00AB52CD" w:rsidRPr="00591394">
        <w:rPr>
          <w:sz w:val="26"/>
          <w:szCs w:val="26"/>
        </w:rPr>
        <w:t xml:space="preserve">ncome </w:t>
      </w:r>
      <w:r w:rsidRPr="00591394">
        <w:rPr>
          <w:sz w:val="26"/>
          <w:szCs w:val="26"/>
        </w:rPr>
        <w:t>G</w:t>
      </w:r>
      <w:r w:rsidR="00AB52CD" w:rsidRPr="00591394">
        <w:rPr>
          <w:sz w:val="26"/>
          <w:szCs w:val="26"/>
        </w:rPr>
        <w:t>uidelines</w:t>
      </w:r>
      <w:r w:rsidRPr="00591394">
        <w:rPr>
          <w:sz w:val="26"/>
          <w:szCs w:val="26"/>
        </w:rPr>
        <w:t xml:space="preserve">, in proportion to that sector’s share of the total energy usage in the EDC’s service territory.  </w:t>
      </w:r>
      <w:r w:rsidRPr="00591394">
        <w:rPr>
          <w:i/>
          <w:iCs/>
          <w:sz w:val="26"/>
          <w:szCs w:val="26"/>
        </w:rPr>
        <w:t xml:space="preserve">See </w:t>
      </w:r>
      <w:r w:rsidRPr="00591394">
        <w:rPr>
          <w:sz w:val="26"/>
          <w:szCs w:val="26"/>
        </w:rPr>
        <w:t>66 Pa. C.S. §</w:t>
      </w:r>
      <w:r w:rsidR="00411796">
        <w:rPr>
          <w:sz w:val="26"/>
          <w:szCs w:val="26"/>
        </w:rPr>
        <w:t> </w:t>
      </w:r>
      <w:r w:rsidRPr="00591394">
        <w:rPr>
          <w:sz w:val="26"/>
          <w:szCs w:val="26"/>
        </w:rPr>
        <w:t>2806.1(b)(1)(i)(G).</w:t>
      </w:r>
      <w:r w:rsidRPr="00591394">
        <w:rPr>
          <w:sz w:val="26"/>
          <w:szCs w:val="26"/>
          <w:vertAlign w:val="superscript"/>
        </w:rPr>
        <w:footnoteReference w:id="7"/>
      </w:r>
      <w:r w:rsidRPr="00591394">
        <w:rPr>
          <w:sz w:val="26"/>
          <w:szCs w:val="26"/>
        </w:rPr>
        <w:t xml:space="preserve">  </w:t>
      </w:r>
      <w:r w:rsidR="00151AAD" w:rsidRPr="00591394">
        <w:rPr>
          <w:sz w:val="26"/>
          <w:szCs w:val="26"/>
        </w:rPr>
        <w:t xml:space="preserve">The Commission </w:t>
      </w:r>
      <w:r w:rsidRPr="00591394">
        <w:rPr>
          <w:sz w:val="26"/>
          <w:szCs w:val="26"/>
        </w:rPr>
        <w:t>proposed for Phase IV that the EDCs provide a proportionate number of measures equivalent to the low-income sector’s share of usage as previously required in Phases II and III of the program.</w:t>
      </w:r>
      <w:r w:rsidR="00463471" w:rsidRPr="00591394">
        <w:rPr>
          <w:sz w:val="26"/>
          <w:szCs w:val="26"/>
        </w:rPr>
        <w:t xml:space="preserve">  The Commission </w:t>
      </w:r>
      <w:r w:rsidR="00EA3699" w:rsidRPr="00591394">
        <w:rPr>
          <w:sz w:val="26"/>
          <w:szCs w:val="26"/>
        </w:rPr>
        <w:t xml:space="preserve">provided Duquesne’s </w:t>
      </w:r>
      <w:r w:rsidR="00177D65" w:rsidRPr="00591394">
        <w:rPr>
          <w:sz w:val="26"/>
          <w:szCs w:val="26"/>
        </w:rPr>
        <w:t xml:space="preserve">Low-Income savings targets as 8.40 Proportionate Number of Measures, </w:t>
      </w:r>
      <w:r w:rsidR="000F751D" w:rsidRPr="00591394">
        <w:rPr>
          <w:sz w:val="26"/>
          <w:szCs w:val="26"/>
        </w:rPr>
        <w:t xml:space="preserve">and </w:t>
      </w:r>
      <w:r w:rsidR="00F33F7E" w:rsidRPr="00591394">
        <w:rPr>
          <w:sz w:val="26"/>
          <w:szCs w:val="26"/>
        </w:rPr>
        <w:t xml:space="preserve">18,566 MWh.  </w:t>
      </w:r>
      <w:r w:rsidR="00E568AA" w:rsidRPr="00591394">
        <w:rPr>
          <w:sz w:val="26"/>
          <w:szCs w:val="26"/>
        </w:rPr>
        <w:t>The</w:t>
      </w:r>
      <w:r w:rsidR="00217A3A" w:rsidRPr="00591394">
        <w:rPr>
          <w:sz w:val="26"/>
          <w:szCs w:val="26"/>
        </w:rPr>
        <w:t xml:space="preserve"> </w:t>
      </w:r>
      <w:r w:rsidR="00217A3A" w:rsidRPr="00591394">
        <w:rPr>
          <w:i/>
          <w:iCs/>
          <w:sz w:val="26"/>
          <w:szCs w:val="26"/>
        </w:rPr>
        <w:t>Phase IV Implementation Order</w:t>
      </w:r>
      <w:r w:rsidR="00217A3A" w:rsidRPr="00591394">
        <w:rPr>
          <w:sz w:val="26"/>
          <w:szCs w:val="26"/>
        </w:rPr>
        <w:t xml:space="preserve"> requires </w:t>
      </w:r>
      <w:r w:rsidR="00CA403F" w:rsidRPr="00591394">
        <w:rPr>
          <w:sz w:val="26"/>
          <w:szCs w:val="26"/>
        </w:rPr>
        <w:t>that</w:t>
      </w:r>
      <w:r w:rsidR="00D806DD" w:rsidRPr="00591394">
        <w:rPr>
          <w:sz w:val="26"/>
          <w:szCs w:val="26"/>
        </w:rPr>
        <w:t xml:space="preserve"> 5.</w:t>
      </w:r>
      <w:r w:rsidR="00CA403F" w:rsidRPr="00591394">
        <w:rPr>
          <w:sz w:val="26"/>
          <w:szCs w:val="26"/>
        </w:rPr>
        <w:t>3</w:t>
      </w:r>
      <w:r w:rsidR="0003269E" w:rsidRPr="00591394">
        <w:rPr>
          <w:sz w:val="26"/>
          <w:szCs w:val="26"/>
        </w:rPr>
        <w:t>%</w:t>
      </w:r>
      <w:r w:rsidR="00D806DD" w:rsidRPr="00591394">
        <w:rPr>
          <w:sz w:val="26"/>
          <w:szCs w:val="26"/>
        </w:rPr>
        <w:t xml:space="preserve"> of </w:t>
      </w:r>
      <w:r w:rsidR="00F3485D" w:rsidRPr="00591394">
        <w:rPr>
          <w:sz w:val="26"/>
          <w:szCs w:val="26"/>
        </w:rPr>
        <w:t xml:space="preserve">Duquesne’s </w:t>
      </w:r>
      <w:r w:rsidR="00D806DD" w:rsidRPr="00591394">
        <w:rPr>
          <w:sz w:val="26"/>
          <w:szCs w:val="26"/>
        </w:rPr>
        <w:t xml:space="preserve">Phase IV </w:t>
      </w:r>
      <w:r w:rsidR="00CA403F" w:rsidRPr="00591394">
        <w:rPr>
          <w:sz w:val="26"/>
          <w:szCs w:val="26"/>
        </w:rPr>
        <w:t xml:space="preserve">consumption savings </w:t>
      </w:r>
      <w:r w:rsidR="00C777CB" w:rsidRPr="00591394">
        <w:rPr>
          <w:sz w:val="26"/>
          <w:szCs w:val="26"/>
        </w:rPr>
        <w:t xml:space="preserve">must come from low-income households.  </w:t>
      </w:r>
      <w:r w:rsidR="00F3485D" w:rsidRPr="00591394">
        <w:rPr>
          <w:sz w:val="26"/>
          <w:szCs w:val="26"/>
        </w:rPr>
        <w:t>Duquesne</w:t>
      </w:r>
      <w:r w:rsidR="00BC01C9" w:rsidRPr="00591394">
        <w:rPr>
          <w:sz w:val="26"/>
          <w:szCs w:val="26"/>
        </w:rPr>
        <w:t xml:space="preserve"> provides that its </w:t>
      </w:r>
      <w:r w:rsidR="00AE527C" w:rsidRPr="00591394">
        <w:rPr>
          <w:i/>
          <w:iCs/>
          <w:sz w:val="26"/>
          <w:szCs w:val="26"/>
        </w:rPr>
        <w:t>Revised Phase IV Plan</w:t>
      </w:r>
      <w:r w:rsidR="00AE527C" w:rsidRPr="00591394">
        <w:rPr>
          <w:sz w:val="26"/>
          <w:szCs w:val="26"/>
        </w:rPr>
        <w:t xml:space="preserve"> </w:t>
      </w:r>
      <w:r w:rsidR="00BC01C9" w:rsidRPr="00591394">
        <w:rPr>
          <w:sz w:val="26"/>
          <w:szCs w:val="26"/>
        </w:rPr>
        <w:t>has</w:t>
      </w:r>
      <w:r w:rsidR="007277EF" w:rsidRPr="00591394">
        <w:rPr>
          <w:sz w:val="26"/>
          <w:szCs w:val="26"/>
        </w:rPr>
        <w:t xml:space="preserve"> a total of 329 measures, of which</w:t>
      </w:r>
      <w:r w:rsidR="00BC01C9" w:rsidRPr="00591394">
        <w:rPr>
          <w:sz w:val="26"/>
          <w:szCs w:val="26"/>
        </w:rPr>
        <w:t xml:space="preserve"> 30 </w:t>
      </w:r>
      <w:r w:rsidR="00AF11C0" w:rsidRPr="00591394">
        <w:rPr>
          <w:sz w:val="26"/>
          <w:szCs w:val="26"/>
        </w:rPr>
        <w:t>measures</w:t>
      </w:r>
      <w:r w:rsidR="007277EF" w:rsidRPr="00591394">
        <w:rPr>
          <w:sz w:val="26"/>
          <w:szCs w:val="26"/>
        </w:rPr>
        <w:t xml:space="preserve"> are</w:t>
      </w:r>
      <w:r w:rsidR="00AF11C0" w:rsidRPr="00591394">
        <w:rPr>
          <w:sz w:val="26"/>
          <w:szCs w:val="26"/>
        </w:rPr>
        <w:t xml:space="preserve"> </w:t>
      </w:r>
      <w:r w:rsidR="002029D5" w:rsidRPr="00591394">
        <w:rPr>
          <w:sz w:val="26"/>
          <w:szCs w:val="26"/>
        </w:rPr>
        <w:t xml:space="preserve">for the low-income sector, </w:t>
      </w:r>
      <w:r w:rsidR="00480888" w:rsidRPr="00591394">
        <w:rPr>
          <w:sz w:val="26"/>
          <w:szCs w:val="26"/>
        </w:rPr>
        <w:t xml:space="preserve">providing this sector with a proportion of measures in excess of their share of </w:t>
      </w:r>
      <w:r w:rsidR="003F4C4E" w:rsidRPr="00591394">
        <w:rPr>
          <w:sz w:val="26"/>
          <w:szCs w:val="26"/>
        </w:rPr>
        <w:t xml:space="preserve">the Company’s total load. </w:t>
      </w:r>
      <w:r w:rsidR="002029D5" w:rsidRPr="00591394">
        <w:rPr>
          <w:sz w:val="26"/>
          <w:szCs w:val="26"/>
        </w:rPr>
        <w:t xml:space="preserve"> </w:t>
      </w:r>
      <w:r w:rsidR="00F33F7E" w:rsidRPr="00591394">
        <w:rPr>
          <w:i/>
          <w:sz w:val="26"/>
          <w:szCs w:val="26"/>
        </w:rPr>
        <w:t>Phase IV Implementation Order</w:t>
      </w:r>
      <w:r w:rsidR="00550C04" w:rsidRPr="00591394">
        <w:rPr>
          <w:i/>
          <w:sz w:val="26"/>
          <w:szCs w:val="26"/>
        </w:rPr>
        <w:t xml:space="preserve"> </w:t>
      </w:r>
      <w:r w:rsidR="00550C04" w:rsidRPr="00591394">
        <w:rPr>
          <w:iCs/>
          <w:sz w:val="26"/>
          <w:szCs w:val="26"/>
        </w:rPr>
        <w:t>at 27,</w:t>
      </w:r>
      <w:r w:rsidR="00F33F7E" w:rsidRPr="00591394">
        <w:rPr>
          <w:iCs/>
          <w:sz w:val="26"/>
          <w:szCs w:val="26"/>
        </w:rPr>
        <w:t xml:space="preserve"> </w:t>
      </w:r>
      <w:r w:rsidR="00550C04" w:rsidRPr="00591394">
        <w:rPr>
          <w:iCs/>
          <w:sz w:val="26"/>
          <w:szCs w:val="26"/>
        </w:rPr>
        <w:t>35</w:t>
      </w:r>
      <w:r w:rsidR="00C777CB" w:rsidRPr="00591394">
        <w:rPr>
          <w:iCs/>
          <w:sz w:val="26"/>
          <w:szCs w:val="26"/>
        </w:rPr>
        <w:t>, 3</w:t>
      </w:r>
      <w:r w:rsidR="009459AE" w:rsidRPr="00591394">
        <w:rPr>
          <w:iCs/>
          <w:sz w:val="26"/>
          <w:szCs w:val="26"/>
        </w:rPr>
        <w:t>6</w:t>
      </w:r>
      <w:r w:rsidR="003F4C4E" w:rsidRPr="00591394">
        <w:rPr>
          <w:iCs/>
          <w:sz w:val="26"/>
          <w:szCs w:val="26"/>
        </w:rPr>
        <w:t>; Duquesne Statement in Support at 6.</w:t>
      </w:r>
    </w:p>
    <w:p w14:paraId="61B0DA54" w14:textId="08874AD5" w:rsidR="009806DA" w:rsidRPr="00591394" w:rsidRDefault="009806DA" w:rsidP="007F1EC8">
      <w:pPr>
        <w:widowControl/>
        <w:ind w:firstLine="1440"/>
        <w:rPr>
          <w:iCs/>
          <w:sz w:val="26"/>
          <w:szCs w:val="26"/>
        </w:rPr>
      </w:pPr>
    </w:p>
    <w:p w14:paraId="66DA6CEE" w14:textId="5AC8B40D" w:rsidR="00EE67D8" w:rsidRPr="00591394" w:rsidRDefault="009806DA" w:rsidP="00C6113D">
      <w:pPr>
        <w:widowControl/>
        <w:autoSpaceDE w:val="0"/>
        <w:autoSpaceDN w:val="0"/>
        <w:adjustRightInd w:val="0"/>
        <w:ind w:left="1440" w:right="1440" w:firstLine="720"/>
        <w:rPr>
          <w:iCs/>
          <w:sz w:val="26"/>
          <w:szCs w:val="26"/>
        </w:rPr>
      </w:pPr>
      <w:r w:rsidRPr="00591394">
        <w:rPr>
          <w:iCs/>
          <w:sz w:val="26"/>
          <w:szCs w:val="26"/>
        </w:rPr>
        <w:t>The Commission declined to set a multi-family low-</w:t>
      </w:r>
      <w:r w:rsidR="00E26288" w:rsidRPr="00591394">
        <w:rPr>
          <w:iCs/>
          <w:sz w:val="26"/>
          <w:szCs w:val="26"/>
        </w:rPr>
        <w:t>in</w:t>
      </w:r>
      <w:r w:rsidRPr="00591394">
        <w:rPr>
          <w:iCs/>
          <w:sz w:val="26"/>
          <w:szCs w:val="26"/>
        </w:rPr>
        <w:t xml:space="preserve">come reduction target.  The </w:t>
      </w:r>
      <w:r w:rsidRPr="00591394">
        <w:rPr>
          <w:i/>
          <w:sz w:val="26"/>
          <w:szCs w:val="26"/>
        </w:rPr>
        <w:t>Phase IV Implementation Order</w:t>
      </w:r>
      <w:r w:rsidRPr="00591394">
        <w:rPr>
          <w:iCs/>
          <w:sz w:val="26"/>
          <w:szCs w:val="26"/>
        </w:rPr>
        <w:t xml:space="preserve"> states:  </w:t>
      </w:r>
    </w:p>
    <w:p w14:paraId="47994F7D" w14:textId="77777777" w:rsidR="00EE67D8" w:rsidRPr="00591394" w:rsidRDefault="00EE67D8" w:rsidP="00C6113D">
      <w:pPr>
        <w:widowControl/>
        <w:autoSpaceDE w:val="0"/>
        <w:autoSpaceDN w:val="0"/>
        <w:adjustRightInd w:val="0"/>
        <w:ind w:left="1440" w:right="1440" w:firstLine="720"/>
        <w:rPr>
          <w:iCs/>
          <w:sz w:val="26"/>
          <w:szCs w:val="26"/>
        </w:rPr>
      </w:pPr>
    </w:p>
    <w:p w14:paraId="65DD1B45" w14:textId="76F8A852" w:rsidR="009806DA" w:rsidRPr="00591394" w:rsidRDefault="009806DA" w:rsidP="00C6113D">
      <w:pPr>
        <w:widowControl/>
        <w:autoSpaceDE w:val="0"/>
        <w:autoSpaceDN w:val="0"/>
        <w:adjustRightInd w:val="0"/>
        <w:ind w:left="1440" w:right="1440" w:firstLine="720"/>
        <w:rPr>
          <w:bCs/>
          <w:sz w:val="26"/>
          <w:szCs w:val="26"/>
        </w:rPr>
      </w:pPr>
      <w:r w:rsidRPr="00591394">
        <w:rPr>
          <w:bCs/>
          <w:sz w:val="26"/>
          <w:szCs w:val="26"/>
        </w:rPr>
        <w:t xml:space="preserve">In regards to comments concerning multifamily properties, the Commission reiterates that savings from multifamily </w:t>
      </w:r>
      <w:r w:rsidRPr="00591394">
        <w:rPr>
          <w:sz w:val="26"/>
          <w:szCs w:val="26"/>
        </w:rPr>
        <w:t>housing, up to the percentage of verified low</w:t>
      </w:r>
      <w:r w:rsidRPr="00591394">
        <w:rPr>
          <w:sz w:val="26"/>
          <w:szCs w:val="26"/>
        </w:rPr>
        <w:noBreakHyphen/>
        <w:t>income households living in the multifamily housing, are eligible for the low</w:t>
      </w:r>
      <w:r w:rsidRPr="00591394">
        <w:rPr>
          <w:sz w:val="26"/>
          <w:szCs w:val="26"/>
        </w:rPr>
        <w:noBreakHyphen/>
        <w:t xml:space="preserve">income carve-out (see Section </w:t>
      </w:r>
      <w:r w:rsidRPr="00591394">
        <w:rPr>
          <w:sz w:val="26"/>
          <w:szCs w:val="26"/>
        </w:rPr>
        <w:fldChar w:fldCharType="begin"/>
      </w:r>
      <w:r w:rsidRPr="00591394">
        <w:rPr>
          <w:sz w:val="26"/>
          <w:szCs w:val="26"/>
        </w:rPr>
        <w:instrText xml:space="preserve"> REF _Ref40280963 \r \h </w:instrText>
      </w:r>
      <w:r w:rsidR="00591394" w:rsidRPr="00591394">
        <w:rPr>
          <w:sz w:val="26"/>
          <w:szCs w:val="26"/>
        </w:rPr>
        <w:instrText xml:space="preserve"> \* MERGEFORMAT </w:instrText>
      </w:r>
      <w:r w:rsidRPr="00591394">
        <w:rPr>
          <w:sz w:val="26"/>
          <w:szCs w:val="26"/>
        </w:rPr>
      </w:r>
      <w:r w:rsidRPr="00591394">
        <w:rPr>
          <w:sz w:val="26"/>
          <w:szCs w:val="26"/>
        </w:rPr>
        <w:fldChar w:fldCharType="separate"/>
      </w:r>
      <w:r w:rsidRPr="00591394">
        <w:rPr>
          <w:sz w:val="26"/>
          <w:szCs w:val="26"/>
        </w:rPr>
        <w:t>A</w:t>
      </w:r>
      <w:r w:rsidRPr="00591394">
        <w:rPr>
          <w:sz w:val="26"/>
          <w:szCs w:val="26"/>
        </w:rPr>
        <w:fldChar w:fldCharType="end"/>
      </w:r>
      <w:r w:rsidRPr="00591394">
        <w:rPr>
          <w:sz w:val="26"/>
          <w:szCs w:val="26"/>
        </w:rPr>
        <w:t>.</w:t>
      </w:r>
      <w:r w:rsidRPr="00591394">
        <w:rPr>
          <w:sz w:val="26"/>
          <w:szCs w:val="26"/>
        </w:rPr>
        <w:fldChar w:fldCharType="begin"/>
      </w:r>
      <w:r w:rsidRPr="00591394">
        <w:rPr>
          <w:sz w:val="26"/>
          <w:szCs w:val="26"/>
        </w:rPr>
        <w:instrText xml:space="preserve"> REF _Ref40280954 \r \h </w:instrText>
      </w:r>
      <w:r w:rsidR="00591394" w:rsidRPr="00591394">
        <w:rPr>
          <w:sz w:val="26"/>
          <w:szCs w:val="26"/>
        </w:rPr>
        <w:instrText xml:space="preserve"> \* MERGEFORMAT </w:instrText>
      </w:r>
      <w:r w:rsidRPr="00591394">
        <w:rPr>
          <w:sz w:val="26"/>
          <w:szCs w:val="26"/>
        </w:rPr>
      </w:r>
      <w:r w:rsidRPr="00591394">
        <w:rPr>
          <w:sz w:val="26"/>
          <w:szCs w:val="26"/>
        </w:rPr>
        <w:fldChar w:fldCharType="separate"/>
      </w:r>
      <w:r w:rsidRPr="00591394">
        <w:rPr>
          <w:sz w:val="26"/>
          <w:szCs w:val="26"/>
        </w:rPr>
        <w:t>3</w:t>
      </w:r>
      <w:r w:rsidRPr="00591394">
        <w:rPr>
          <w:sz w:val="26"/>
          <w:szCs w:val="26"/>
        </w:rPr>
        <w:fldChar w:fldCharType="end"/>
      </w:r>
      <w:r w:rsidRPr="00591394">
        <w:rPr>
          <w:sz w:val="26"/>
          <w:szCs w:val="26"/>
        </w:rPr>
        <w:t>) and</w:t>
      </w:r>
      <w:r w:rsidRPr="00591394">
        <w:rPr>
          <w:bCs/>
          <w:sz w:val="26"/>
          <w:szCs w:val="26"/>
        </w:rPr>
        <w:t xml:space="preserve"> </w:t>
      </w:r>
      <w:r w:rsidRPr="00591394">
        <w:rPr>
          <w:bCs/>
          <w:sz w:val="26"/>
          <w:szCs w:val="26"/>
        </w:rPr>
        <w:lastRenderedPageBreak/>
        <w:t>notes that all EDC EE&amp;C portfolios in Phase III include multifamily offerings.</w:t>
      </w:r>
    </w:p>
    <w:p w14:paraId="6E6C2272" w14:textId="77777777" w:rsidR="009806DA" w:rsidRPr="00591394" w:rsidRDefault="009806DA" w:rsidP="00C6113D">
      <w:pPr>
        <w:widowControl/>
        <w:autoSpaceDE w:val="0"/>
        <w:autoSpaceDN w:val="0"/>
        <w:adjustRightInd w:val="0"/>
        <w:ind w:left="1440" w:right="1440" w:firstLine="720"/>
        <w:rPr>
          <w:bCs/>
          <w:sz w:val="26"/>
          <w:szCs w:val="26"/>
        </w:rPr>
      </w:pPr>
      <w:r w:rsidRPr="00591394">
        <w:rPr>
          <w:bCs/>
          <w:sz w:val="26"/>
          <w:szCs w:val="26"/>
        </w:rPr>
        <w:t xml:space="preserve">  </w:t>
      </w:r>
    </w:p>
    <w:p w14:paraId="51A7A0FF" w14:textId="45725D55" w:rsidR="009806DA" w:rsidRPr="00591394" w:rsidRDefault="009806DA" w:rsidP="00C6113D">
      <w:pPr>
        <w:widowControl/>
        <w:ind w:left="1440" w:right="1440" w:firstLine="1440"/>
        <w:rPr>
          <w:iCs/>
          <w:sz w:val="26"/>
          <w:szCs w:val="26"/>
        </w:rPr>
      </w:pPr>
      <w:r w:rsidRPr="00591394">
        <w:rPr>
          <w:bCs/>
          <w:sz w:val="26"/>
          <w:szCs w:val="26"/>
        </w:rPr>
        <w:t xml:space="preserve">We disagree with the suggestions to set specific targets, such as targets for multifamily properties or street lighting, as this will result in </w:t>
      </w:r>
      <w:r w:rsidRPr="00591394">
        <w:rPr>
          <w:sz w:val="26"/>
          <w:szCs w:val="26"/>
        </w:rPr>
        <w:t>increased administrative burden and potentially hinder the EDCs’ flexibility to design a mix of programs to meet Phase IV overall targets.</w:t>
      </w:r>
    </w:p>
    <w:p w14:paraId="6AF43608" w14:textId="69E90648" w:rsidR="00817388" w:rsidRPr="00591394" w:rsidRDefault="00817388" w:rsidP="007F1EC8">
      <w:pPr>
        <w:widowControl/>
        <w:spacing w:line="360" w:lineRule="auto"/>
        <w:ind w:firstLine="1440"/>
        <w:rPr>
          <w:iCs/>
          <w:sz w:val="26"/>
          <w:szCs w:val="26"/>
        </w:rPr>
      </w:pPr>
    </w:p>
    <w:p w14:paraId="2BA2ED0C" w14:textId="1A59D17D" w:rsidR="009806DA" w:rsidRPr="00591394" w:rsidRDefault="00EE67D8" w:rsidP="007F1EC8">
      <w:pPr>
        <w:widowControl/>
        <w:spacing w:line="360" w:lineRule="auto"/>
        <w:rPr>
          <w:iCs/>
          <w:sz w:val="26"/>
          <w:szCs w:val="26"/>
        </w:rPr>
      </w:pPr>
      <w:r w:rsidRPr="00591394">
        <w:rPr>
          <w:i/>
          <w:sz w:val="26"/>
          <w:szCs w:val="26"/>
        </w:rPr>
        <w:t>Phase IV Implementation Order</w:t>
      </w:r>
      <w:r w:rsidRPr="00591394">
        <w:rPr>
          <w:iCs/>
          <w:sz w:val="26"/>
          <w:szCs w:val="26"/>
        </w:rPr>
        <w:t xml:space="preserve"> at 43.</w:t>
      </w:r>
    </w:p>
    <w:p w14:paraId="02C66422" w14:textId="77777777" w:rsidR="00EE67D8" w:rsidRPr="00591394" w:rsidRDefault="00EE67D8" w:rsidP="007F1EC8">
      <w:pPr>
        <w:widowControl/>
        <w:spacing w:line="360" w:lineRule="auto"/>
        <w:ind w:firstLine="1440"/>
        <w:rPr>
          <w:iCs/>
          <w:sz w:val="26"/>
          <w:szCs w:val="26"/>
        </w:rPr>
      </w:pPr>
    </w:p>
    <w:p w14:paraId="75479012" w14:textId="26CDFEAB" w:rsidR="005E35E0" w:rsidRPr="00591394" w:rsidRDefault="00FC32EA" w:rsidP="007F1EC8">
      <w:pPr>
        <w:widowControl/>
        <w:spacing w:line="360" w:lineRule="auto"/>
        <w:ind w:firstLine="1440"/>
        <w:rPr>
          <w:iCs/>
          <w:sz w:val="26"/>
          <w:szCs w:val="26"/>
        </w:rPr>
      </w:pPr>
      <w:r w:rsidRPr="00591394">
        <w:rPr>
          <w:iCs/>
          <w:sz w:val="26"/>
          <w:szCs w:val="26"/>
        </w:rPr>
        <w:t xml:space="preserve">The </w:t>
      </w:r>
      <w:r w:rsidR="00F55212" w:rsidRPr="00591394">
        <w:rPr>
          <w:iCs/>
          <w:sz w:val="26"/>
          <w:szCs w:val="26"/>
        </w:rPr>
        <w:t>l</w:t>
      </w:r>
      <w:r w:rsidRPr="00591394">
        <w:rPr>
          <w:iCs/>
          <w:sz w:val="26"/>
          <w:szCs w:val="26"/>
        </w:rPr>
        <w:t>ow-</w:t>
      </w:r>
      <w:r w:rsidR="00F55212" w:rsidRPr="00591394">
        <w:rPr>
          <w:iCs/>
          <w:sz w:val="26"/>
          <w:szCs w:val="26"/>
        </w:rPr>
        <w:t>i</w:t>
      </w:r>
      <w:r w:rsidRPr="00591394">
        <w:rPr>
          <w:iCs/>
          <w:sz w:val="26"/>
          <w:szCs w:val="26"/>
        </w:rPr>
        <w:t xml:space="preserve">ncome programs were part of the Settlement and </w:t>
      </w:r>
      <w:r w:rsidR="00865C3A" w:rsidRPr="00591394">
        <w:rPr>
          <w:iCs/>
          <w:sz w:val="26"/>
          <w:szCs w:val="26"/>
        </w:rPr>
        <w:t xml:space="preserve">modifications to the </w:t>
      </w:r>
      <w:r w:rsidR="00160F26" w:rsidRPr="00591394">
        <w:rPr>
          <w:iCs/>
          <w:sz w:val="26"/>
          <w:szCs w:val="26"/>
        </w:rPr>
        <w:t xml:space="preserve">low-income program projected savings and budgets </w:t>
      </w:r>
      <w:r w:rsidRPr="00591394">
        <w:rPr>
          <w:iCs/>
          <w:sz w:val="26"/>
          <w:szCs w:val="26"/>
        </w:rPr>
        <w:t xml:space="preserve">are discussed in more detail </w:t>
      </w:r>
      <w:r w:rsidR="00974D58" w:rsidRPr="00591394">
        <w:rPr>
          <w:i/>
          <w:sz w:val="26"/>
          <w:szCs w:val="26"/>
        </w:rPr>
        <w:t>infra.</w:t>
      </w:r>
      <w:r w:rsidR="00974D58" w:rsidRPr="00591394">
        <w:rPr>
          <w:iCs/>
          <w:sz w:val="26"/>
          <w:szCs w:val="26"/>
        </w:rPr>
        <w:t xml:space="preserve">  </w:t>
      </w:r>
    </w:p>
    <w:p w14:paraId="665BC6CB" w14:textId="77777777" w:rsidR="00656590" w:rsidRPr="00591394" w:rsidRDefault="00656590" w:rsidP="007F1EC8">
      <w:pPr>
        <w:widowControl/>
        <w:spacing w:after="200" w:line="360" w:lineRule="auto"/>
        <w:rPr>
          <w:sz w:val="26"/>
          <w:szCs w:val="26"/>
        </w:rPr>
      </w:pPr>
    </w:p>
    <w:p w14:paraId="4386F6F4" w14:textId="4743D876" w:rsidR="00445EA4" w:rsidRPr="00591394" w:rsidRDefault="007B3E18" w:rsidP="007F1EC8">
      <w:pPr>
        <w:pStyle w:val="Heading3"/>
      </w:pPr>
      <w:bookmarkStart w:id="19" w:name="_Toc66354618"/>
      <w:r w:rsidRPr="00591394">
        <w:t>6.</w:t>
      </w:r>
      <w:r w:rsidRPr="00591394">
        <w:tab/>
        <w:t>Proposal for Improvement of Plan</w:t>
      </w:r>
      <w:bookmarkEnd w:id="19"/>
    </w:p>
    <w:p w14:paraId="10D3F339" w14:textId="77777777" w:rsidR="003B3280" w:rsidRPr="00591394" w:rsidRDefault="003B3280" w:rsidP="007F1EC8">
      <w:pPr>
        <w:widowControl/>
        <w:spacing w:line="360" w:lineRule="auto"/>
        <w:rPr>
          <w:sz w:val="26"/>
          <w:szCs w:val="26"/>
        </w:rPr>
      </w:pPr>
    </w:p>
    <w:p w14:paraId="433B00CF" w14:textId="13124F0B" w:rsidR="008F4FCB" w:rsidRPr="00591394" w:rsidRDefault="007B3E18" w:rsidP="007F1EC8">
      <w:pPr>
        <w:widowControl/>
        <w:spacing w:line="360" w:lineRule="auto"/>
        <w:ind w:firstLine="1440"/>
        <w:contextualSpacing/>
        <w:rPr>
          <w:sz w:val="26"/>
          <w:szCs w:val="26"/>
        </w:rPr>
      </w:pPr>
      <w:r w:rsidRPr="00591394">
        <w:rPr>
          <w:sz w:val="26"/>
          <w:szCs w:val="26"/>
        </w:rPr>
        <w:t>The Company’s EE&amp;C Program must include “procedures to make recommendations as to additional measures that will enable an electric distribution company to improve its plan and exceed the required reductions in consumption.”  66</w:t>
      </w:r>
      <w:r w:rsidR="007F1EC8">
        <w:rPr>
          <w:sz w:val="26"/>
          <w:szCs w:val="26"/>
        </w:rPr>
        <w:t> </w:t>
      </w:r>
      <w:r w:rsidRPr="00591394">
        <w:rPr>
          <w:sz w:val="26"/>
          <w:szCs w:val="26"/>
        </w:rPr>
        <w:t>Pa.</w:t>
      </w:r>
      <w:r w:rsidR="007F1EC8">
        <w:rPr>
          <w:sz w:val="26"/>
          <w:szCs w:val="26"/>
        </w:rPr>
        <w:t> </w:t>
      </w:r>
      <w:r w:rsidRPr="00591394">
        <w:rPr>
          <w:sz w:val="26"/>
          <w:szCs w:val="26"/>
        </w:rPr>
        <w:t xml:space="preserve">C.S. § 2806.1(a)(6).  </w:t>
      </w:r>
      <w:r w:rsidR="00821AEC" w:rsidRPr="00591394">
        <w:rPr>
          <w:i/>
          <w:iCs/>
          <w:sz w:val="26"/>
          <w:szCs w:val="26"/>
        </w:rPr>
        <w:t>Phase IV Implementation Order</w:t>
      </w:r>
      <w:r w:rsidR="00821AEC" w:rsidRPr="00591394">
        <w:rPr>
          <w:sz w:val="26"/>
          <w:szCs w:val="26"/>
        </w:rPr>
        <w:t xml:space="preserve"> at </w:t>
      </w:r>
      <w:r w:rsidR="005812C1" w:rsidRPr="00591394">
        <w:rPr>
          <w:sz w:val="26"/>
          <w:szCs w:val="26"/>
        </w:rPr>
        <w:t>94.</w:t>
      </w:r>
    </w:p>
    <w:p w14:paraId="53744AF0" w14:textId="6CBC0FF0" w:rsidR="008F4FCB" w:rsidRPr="00591394" w:rsidRDefault="008F4FCB" w:rsidP="007F1EC8">
      <w:pPr>
        <w:widowControl/>
        <w:spacing w:line="360" w:lineRule="auto"/>
        <w:ind w:firstLine="1440"/>
        <w:contextualSpacing/>
        <w:rPr>
          <w:sz w:val="26"/>
          <w:szCs w:val="26"/>
        </w:rPr>
      </w:pPr>
    </w:p>
    <w:p w14:paraId="05BC5B42" w14:textId="71828C15" w:rsidR="00B32300" w:rsidRPr="00591394" w:rsidRDefault="00057120" w:rsidP="007F1EC8">
      <w:pPr>
        <w:widowControl/>
        <w:spacing w:line="360" w:lineRule="auto"/>
        <w:ind w:firstLine="1440"/>
        <w:contextualSpacing/>
        <w:rPr>
          <w:sz w:val="26"/>
          <w:szCs w:val="26"/>
        </w:rPr>
      </w:pPr>
      <w:r w:rsidRPr="00591394">
        <w:rPr>
          <w:sz w:val="26"/>
          <w:szCs w:val="26"/>
        </w:rPr>
        <w:t>Duquesne</w:t>
      </w:r>
      <w:r w:rsidR="00D76502" w:rsidRPr="00591394">
        <w:rPr>
          <w:sz w:val="26"/>
          <w:szCs w:val="26"/>
        </w:rPr>
        <w:t xml:space="preserve"> notes that program refinement is continuous, resulting from experience </w:t>
      </w:r>
      <w:r w:rsidRPr="00591394">
        <w:rPr>
          <w:sz w:val="26"/>
          <w:szCs w:val="26"/>
        </w:rPr>
        <w:t>gained</w:t>
      </w:r>
      <w:r w:rsidR="00D76502" w:rsidRPr="00591394">
        <w:rPr>
          <w:sz w:val="26"/>
          <w:szCs w:val="26"/>
        </w:rPr>
        <w:t xml:space="preserve"> through program implementation and adherence to quality assurance procedures.  </w:t>
      </w:r>
      <w:r w:rsidRPr="00591394">
        <w:rPr>
          <w:sz w:val="26"/>
          <w:szCs w:val="26"/>
        </w:rPr>
        <w:t xml:space="preserve">Programs and processes are subject to program implementation process evaluations performed by an independent </w:t>
      </w:r>
      <w:r w:rsidR="00B00B90" w:rsidRPr="00591394">
        <w:rPr>
          <w:sz w:val="26"/>
          <w:szCs w:val="26"/>
        </w:rPr>
        <w:t>Evaluation, Measurement and Verification (</w:t>
      </w:r>
      <w:r w:rsidRPr="00591394">
        <w:rPr>
          <w:sz w:val="26"/>
          <w:szCs w:val="26"/>
        </w:rPr>
        <w:t>EM&amp;V</w:t>
      </w:r>
      <w:r w:rsidR="00B00B90" w:rsidRPr="00591394">
        <w:rPr>
          <w:sz w:val="26"/>
          <w:szCs w:val="26"/>
        </w:rPr>
        <w:t>)</w:t>
      </w:r>
      <w:r w:rsidRPr="00591394">
        <w:rPr>
          <w:sz w:val="26"/>
          <w:szCs w:val="26"/>
        </w:rPr>
        <w:t xml:space="preserve"> contractor.  Duquesne</w:t>
      </w:r>
      <w:r w:rsidR="00B32300" w:rsidRPr="00591394">
        <w:rPr>
          <w:sz w:val="26"/>
          <w:szCs w:val="26"/>
        </w:rPr>
        <w:t xml:space="preserve"> provides that </w:t>
      </w:r>
      <w:r w:rsidR="00DC5D60" w:rsidRPr="00591394">
        <w:rPr>
          <w:sz w:val="26"/>
          <w:szCs w:val="26"/>
        </w:rPr>
        <w:t xml:space="preserve">customer and stakeholder </w:t>
      </w:r>
      <w:r w:rsidR="004A404D" w:rsidRPr="00591394">
        <w:rPr>
          <w:sz w:val="26"/>
          <w:szCs w:val="26"/>
        </w:rPr>
        <w:t xml:space="preserve">input are solicited during </w:t>
      </w:r>
      <w:r w:rsidRPr="00591394">
        <w:rPr>
          <w:sz w:val="26"/>
          <w:szCs w:val="26"/>
        </w:rPr>
        <w:t>regularly</w:t>
      </w:r>
      <w:r w:rsidR="004A404D" w:rsidRPr="00591394">
        <w:rPr>
          <w:sz w:val="26"/>
          <w:szCs w:val="26"/>
        </w:rPr>
        <w:t xml:space="preserve"> scheduled Act 129 EE&amp;C Program stakeholder meetings.  Duqu</w:t>
      </w:r>
      <w:r w:rsidRPr="00591394">
        <w:rPr>
          <w:sz w:val="26"/>
          <w:szCs w:val="26"/>
        </w:rPr>
        <w:t>es</w:t>
      </w:r>
      <w:r w:rsidR="004A404D" w:rsidRPr="00591394">
        <w:rPr>
          <w:sz w:val="26"/>
          <w:szCs w:val="26"/>
        </w:rPr>
        <w:t xml:space="preserve">ne notes that </w:t>
      </w:r>
      <w:r w:rsidR="00F634E8" w:rsidRPr="00591394">
        <w:rPr>
          <w:sz w:val="26"/>
          <w:szCs w:val="26"/>
        </w:rPr>
        <w:t>changes to programs will be requested th</w:t>
      </w:r>
      <w:r w:rsidR="009A10AF" w:rsidRPr="00591394">
        <w:rPr>
          <w:sz w:val="26"/>
          <w:szCs w:val="26"/>
        </w:rPr>
        <w:t>rough</w:t>
      </w:r>
      <w:r w:rsidR="00F634E8" w:rsidRPr="00591394">
        <w:rPr>
          <w:sz w:val="26"/>
          <w:szCs w:val="26"/>
        </w:rPr>
        <w:t xml:space="preserve"> the applicable Commission process, if necessary.  Duquesne states that it will also monitor and report on existing programs at its stakeholders’ meeting. </w:t>
      </w:r>
      <w:r w:rsidRPr="00591394">
        <w:rPr>
          <w:sz w:val="26"/>
          <w:szCs w:val="26"/>
        </w:rPr>
        <w:t xml:space="preserve"> </w:t>
      </w:r>
      <w:r w:rsidRPr="00591394">
        <w:rPr>
          <w:i/>
          <w:iCs/>
          <w:sz w:val="26"/>
          <w:szCs w:val="26"/>
        </w:rPr>
        <w:t>Revised Phase I</w:t>
      </w:r>
      <w:r w:rsidR="009A10AF" w:rsidRPr="00591394">
        <w:rPr>
          <w:i/>
          <w:iCs/>
          <w:sz w:val="26"/>
          <w:szCs w:val="26"/>
        </w:rPr>
        <w:t>V</w:t>
      </w:r>
      <w:r w:rsidRPr="00591394">
        <w:rPr>
          <w:i/>
          <w:iCs/>
          <w:sz w:val="26"/>
          <w:szCs w:val="26"/>
        </w:rPr>
        <w:t xml:space="preserve"> Plan </w:t>
      </w:r>
      <w:r w:rsidRPr="00591394">
        <w:rPr>
          <w:sz w:val="26"/>
          <w:szCs w:val="26"/>
        </w:rPr>
        <w:t xml:space="preserve">at 14.  </w:t>
      </w:r>
      <w:r w:rsidR="00F634E8" w:rsidRPr="00591394">
        <w:rPr>
          <w:sz w:val="26"/>
          <w:szCs w:val="26"/>
        </w:rPr>
        <w:t xml:space="preserve"> </w:t>
      </w:r>
    </w:p>
    <w:p w14:paraId="3844E55C" w14:textId="461FCB45" w:rsidR="00B87028" w:rsidRPr="00591394" w:rsidRDefault="00B87028" w:rsidP="00C6113D">
      <w:pPr>
        <w:widowControl/>
        <w:spacing w:line="360" w:lineRule="auto"/>
        <w:ind w:firstLine="1440"/>
        <w:contextualSpacing/>
        <w:rPr>
          <w:sz w:val="26"/>
          <w:szCs w:val="26"/>
        </w:rPr>
      </w:pPr>
    </w:p>
    <w:p w14:paraId="4CC5EF88" w14:textId="58CD6345" w:rsidR="00B87028" w:rsidRPr="00591394" w:rsidRDefault="00B87028" w:rsidP="00C6113D">
      <w:pPr>
        <w:widowControl/>
        <w:spacing w:line="360" w:lineRule="auto"/>
        <w:ind w:firstLine="1440"/>
        <w:contextualSpacing/>
        <w:rPr>
          <w:sz w:val="26"/>
          <w:szCs w:val="26"/>
        </w:rPr>
      </w:pPr>
      <w:r w:rsidRPr="00591394">
        <w:rPr>
          <w:sz w:val="26"/>
          <w:szCs w:val="26"/>
        </w:rPr>
        <w:lastRenderedPageBreak/>
        <w:t xml:space="preserve">We note that through the Settlement, Duquesne agrees to adopt or investigate and study several improvements proposed by the Parties to the Settlement.  All parties to this proceeding either agreed to the Settlement or did not oppose the Settlement.  </w:t>
      </w:r>
      <w:r w:rsidR="00425663" w:rsidRPr="00591394">
        <w:rPr>
          <w:sz w:val="26"/>
          <w:szCs w:val="26"/>
        </w:rPr>
        <w:t xml:space="preserve">As these proposed improvements are addressed in the Company’s Plan as revised by the Settlement and as there are no remaining contested issues related to these proposed improvements, </w:t>
      </w:r>
      <w:r w:rsidR="007E6A94" w:rsidRPr="00591394">
        <w:rPr>
          <w:sz w:val="26"/>
          <w:szCs w:val="26"/>
        </w:rPr>
        <w:t>we will not discuss the</w:t>
      </w:r>
      <w:r w:rsidR="00276926" w:rsidRPr="00591394">
        <w:rPr>
          <w:sz w:val="26"/>
          <w:szCs w:val="26"/>
        </w:rPr>
        <w:t xml:space="preserve"> Comments </w:t>
      </w:r>
      <w:r w:rsidR="003B1713" w:rsidRPr="00591394">
        <w:rPr>
          <w:sz w:val="26"/>
          <w:szCs w:val="26"/>
        </w:rPr>
        <w:t>that were filed</w:t>
      </w:r>
      <w:r w:rsidR="007E6A94" w:rsidRPr="00591394">
        <w:rPr>
          <w:sz w:val="26"/>
          <w:szCs w:val="26"/>
        </w:rPr>
        <w:t xml:space="preserve"> in this Opinion and Order.  </w:t>
      </w:r>
      <w:r w:rsidR="00D234A3" w:rsidRPr="00591394">
        <w:rPr>
          <w:sz w:val="26"/>
          <w:szCs w:val="26"/>
        </w:rPr>
        <w:t>While n</w:t>
      </w:r>
      <w:r w:rsidR="005F599E" w:rsidRPr="00591394">
        <w:rPr>
          <w:sz w:val="26"/>
          <w:szCs w:val="26"/>
        </w:rPr>
        <w:t>one of the Commenters were parties to the Settlement</w:t>
      </w:r>
      <w:r w:rsidR="00D234A3" w:rsidRPr="00591394">
        <w:rPr>
          <w:sz w:val="26"/>
          <w:szCs w:val="26"/>
        </w:rPr>
        <w:t xml:space="preserve">, they also did not oppose the Settlement.   </w:t>
      </w:r>
    </w:p>
    <w:p w14:paraId="4B4DC4B4" w14:textId="01801C24" w:rsidR="005157D8" w:rsidRPr="00591394" w:rsidRDefault="005157D8" w:rsidP="00C6113D">
      <w:pPr>
        <w:widowControl/>
        <w:spacing w:line="360" w:lineRule="auto"/>
        <w:ind w:firstLine="1440"/>
        <w:contextualSpacing/>
        <w:rPr>
          <w:sz w:val="26"/>
          <w:szCs w:val="26"/>
        </w:rPr>
      </w:pPr>
    </w:p>
    <w:p w14:paraId="6F599746" w14:textId="77777777" w:rsidR="00016636" w:rsidRPr="00591394" w:rsidRDefault="00C37485" w:rsidP="00C6113D">
      <w:pPr>
        <w:pStyle w:val="Heading2"/>
        <w:rPr>
          <w:szCs w:val="26"/>
        </w:rPr>
      </w:pPr>
      <w:bookmarkStart w:id="20" w:name="_Toc66354619"/>
      <w:r w:rsidRPr="00591394">
        <w:rPr>
          <w:szCs w:val="26"/>
        </w:rPr>
        <w:t>C</w:t>
      </w:r>
      <w:r w:rsidR="00016636" w:rsidRPr="00591394">
        <w:rPr>
          <w:szCs w:val="26"/>
        </w:rPr>
        <w:t>.</w:t>
      </w:r>
      <w:r w:rsidR="00016636" w:rsidRPr="00591394">
        <w:rPr>
          <w:szCs w:val="26"/>
        </w:rPr>
        <w:tab/>
      </w:r>
      <w:r w:rsidRPr="00591394">
        <w:rPr>
          <w:szCs w:val="26"/>
        </w:rPr>
        <w:t>Cost Issues</w:t>
      </w:r>
      <w:bookmarkEnd w:id="20"/>
    </w:p>
    <w:p w14:paraId="5B0D5209" w14:textId="77777777" w:rsidR="00D73493" w:rsidRPr="00591394" w:rsidRDefault="00D73493" w:rsidP="00C6113D">
      <w:pPr>
        <w:widowControl/>
        <w:spacing w:line="360" w:lineRule="auto"/>
        <w:rPr>
          <w:sz w:val="26"/>
          <w:szCs w:val="26"/>
        </w:rPr>
      </w:pPr>
    </w:p>
    <w:p w14:paraId="29111BFB" w14:textId="24FEC444" w:rsidR="00A22C89" w:rsidRPr="00591394" w:rsidRDefault="00A22C89" w:rsidP="00C6113D">
      <w:pPr>
        <w:pStyle w:val="p3"/>
        <w:widowControl/>
        <w:tabs>
          <w:tab w:val="clear" w:pos="204"/>
        </w:tabs>
        <w:spacing w:line="360" w:lineRule="auto"/>
        <w:ind w:firstLine="1440"/>
        <w:rPr>
          <w:sz w:val="26"/>
          <w:szCs w:val="26"/>
        </w:rPr>
      </w:pPr>
      <w:r w:rsidRPr="00591394">
        <w:rPr>
          <w:sz w:val="26"/>
          <w:szCs w:val="26"/>
        </w:rPr>
        <w:t xml:space="preserve">In the </w:t>
      </w:r>
      <w:r w:rsidRPr="00591394">
        <w:rPr>
          <w:i/>
          <w:sz w:val="26"/>
          <w:szCs w:val="26"/>
        </w:rPr>
        <w:t>Phase I</w:t>
      </w:r>
      <w:r w:rsidR="00322AF3" w:rsidRPr="00591394">
        <w:rPr>
          <w:i/>
          <w:sz w:val="26"/>
          <w:szCs w:val="26"/>
        </w:rPr>
        <w:t>V</w:t>
      </w:r>
      <w:r w:rsidRPr="00591394">
        <w:rPr>
          <w:i/>
          <w:sz w:val="26"/>
          <w:szCs w:val="26"/>
        </w:rPr>
        <w:t xml:space="preserve"> Implementation Order</w:t>
      </w:r>
      <w:r w:rsidRPr="00591394">
        <w:rPr>
          <w:sz w:val="26"/>
          <w:szCs w:val="26"/>
        </w:rPr>
        <w:t>, we stated:</w:t>
      </w:r>
    </w:p>
    <w:p w14:paraId="106B3791" w14:textId="77777777" w:rsidR="00A22C89" w:rsidRPr="00591394" w:rsidRDefault="00A22C89" w:rsidP="007F1EC8">
      <w:pPr>
        <w:pStyle w:val="p3"/>
        <w:widowControl/>
        <w:tabs>
          <w:tab w:val="clear" w:pos="204"/>
        </w:tabs>
        <w:ind w:firstLine="1440"/>
        <w:rPr>
          <w:sz w:val="26"/>
          <w:szCs w:val="26"/>
        </w:rPr>
      </w:pPr>
    </w:p>
    <w:p w14:paraId="522E5CFF" w14:textId="631C1552" w:rsidR="00431411" w:rsidRPr="00591394" w:rsidRDefault="00A22C89" w:rsidP="00C6113D">
      <w:pPr>
        <w:pStyle w:val="p3"/>
        <w:widowControl/>
        <w:tabs>
          <w:tab w:val="clear" w:pos="204"/>
        </w:tabs>
        <w:ind w:left="1440" w:right="1440" w:firstLine="720"/>
        <w:rPr>
          <w:sz w:val="26"/>
          <w:szCs w:val="26"/>
        </w:rPr>
      </w:pPr>
      <w:r w:rsidRPr="00591394">
        <w:rPr>
          <w:sz w:val="26"/>
          <w:szCs w:val="26"/>
        </w:rPr>
        <w:t>The Act directs the Commission to establish a cost recovery mechanism that ensures that approved measures are financed by the customer class that receives the direct energy and conservation benefit of the measure.  66 Pa. C.S. §</w:t>
      </w:r>
      <w:r w:rsidR="007F1EC8">
        <w:rPr>
          <w:sz w:val="26"/>
          <w:szCs w:val="26"/>
        </w:rPr>
        <w:t> </w:t>
      </w:r>
      <w:r w:rsidRPr="00591394">
        <w:rPr>
          <w:sz w:val="26"/>
          <w:szCs w:val="26"/>
        </w:rPr>
        <w:t>2806.1(a)(11).  All EDC plans must include cost estimates for implementation of all measures.  66 Pa. C.S. § 2806.1(b)(1)(i)(F).  Each plan must also include a proposed cost</w:t>
      </w:r>
      <w:r w:rsidRPr="00591394">
        <w:rPr>
          <w:sz w:val="26"/>
          <w:szCs w:val="26"/>
        </w:rPr>
        <w:noBreakHyphen/>
        <w:t>recovery tariff mechanism, in accordance with Section</w:t>
      </w:r>
      <w:r w:rsidR="004E2B63">
        <w:rPr>
          <w:sz w:val="26"/>
          <w:szCs w:val="26"/>
        </w:rPr>
        <w:t> </w:t>
      </w:r>
      <w:r w:rsidRPr="00591394">
        <w:rPr>
          <w:sz w:val="26"/>
          <w:szCs w:val="26"/>
        </w:rPr>
        <w:t xml:space="preserve">1307 (relating to sliding scale </w:t>
      </w:r>
      <w:r w:rsidR="00D621C7" w:rsidRPr="00591394">
        <w:rPr>
          <w:sz w:val="26"/>
          <w:szCs w:val="26"/>
        </w:rPr>
        <w:t>or</w:t>
      </w:r>
      <w:r w:rsidRPr="00591394">
        <w:rPr>
          <w:sz w:val="26"/>
          <w:szCs w:val="26"/>
        </w:rPr>
        <w:t xml:space="preserve"> rates; adjustments), to fund all measures and to ensure full and current recovery of prudent and reasonable costs, including administrative costs, as approved by the Commission.  66 Pa. C.S. §</w:t>
      </w:r>
      <w:r w:rsidR="004E2B63">
        <w:rPr>
          <w:sz w:val="26"/>
          <w:szCs w:val="26"/>
        </w:rPr>
        <w:t> </w:t>
      </w:r>
      <w:r w:rsidRPr="00591394">
        <w:rPr>
          <w:sz w:val="26"/>
          <w:szCs w:val="26"/>
        </w:rPr>
        <w:t>2806.1(b)(1)(i)(H).  In addition, each plan must include an analysis of administrative costs.  66 Pa. C.S. §</w:t>
      </w:r>
      <w:r w:rsidR="004E2B63">
        <w:rPr>
          <w:sz w:val="26"/>
          <w:szCs w:val="26"/>
        </w:rPr>
        <w:t> </w:t>
      </w:r>
      <w:r w:rsidRPr="00591394">
        <w:rPr>
          <w:sz w:val="26"/>
          <w:szCs w:val="26"/>
        </w:rPr>
        <w:t xml:space="preserve">2806.1(b)(1)(i)(K).  </w:t>
      </w:r>
    </w:p>
    <w:p w14:paraId="27511C20" w14:textId="77777777" w:rsidR="00431411" w:rsidRPr="00591394" w:rsidRDefault="00431411" w:rsidP="00C6113D">
      <w:pPr>
        <w:pStyle w:val="p3"/>
        <w:widowControl/>
        <w:tabs>
          <w:tab w:val="clear" w:pos="204"/>
        </w:tabs>
        <w:ind w:left="1440" w:right="1440" w:firstLine="720"/>
        <w:rPr>
          <w:sz w:val="26"/>
          <w:szCs w:val="26"/>
        </w:rPr>
      </w:pPr>
    </w:p>
    <w:p w14:paraId="7C3F5ECF" w14:textId="67D4F156" w:rsidR="00A22C89" w:rsidRPr="00591394" w:rsidRDefault="00A22C89" w:rsidP="00C6113D">
      <w:pPr>
        <w:pStyle w:val="p3"/>
        <w:keepNext/>
        <w:widowControl/>
        <w:tabs>
          <w:tab w:val="clear" w:pos="204"/>
        </w:tabs>
        <w:ind w:left="1440" w:right="1440" w:firstLine="720"/>
        <w:rPr>
          <w:sz w:val="26"/>
          <w:szCs w:val="26"/>
        </w:rPr>
      </w:pPr>
      <w:r w:rsidRPr="00591394">
        <w:rPr>
          <w:sz w:val="26"/>
          <w:szCs w:val="26"/>
        </w:rPr>
        <w:t>The Act dictates that the total cost of any plan must not exceed two percent of the EDC’s total annual revenue as of December 31, 2006, excluding LIURP, established under 52</w:t>
      </w:r>
      <w:r w:rsidR="004E2B63">
        <w:rPr>
          <w:sz w:val="26"/>
          <w:szCs w:val="26"/>
        </w:rPr>
        <w:t> </w:t>
      </w:r>
      <w:r w:rsidRPr="00591394">
        <w:rPr>
          <w:sz w:val="26"/>
          <w:szCs w:val="26"/>
        </w:rPr>
        <w:t xml:space="preserve">Pa. Code § 58 (relating to residential Low Income Usage Reduction Programs).  66 Pa. C.S. § 2806.1(g).  Finally, all EDCs, including those subject to generation or other rate caps, must recover on a full and current basis from customers, through a reconcilable adjustment clause under Section 1307, </w:t>
      </w:r>
      <w:r w:rsidRPr="00591394">
        <w:rPr>
          <w:sz w:val="26"/>
          <w:szCs w:val="26"/>
        </w:rPr>
        <w:lastRenderedPageBreak/>
        <w:t xml:space="preserve">all reasonable and prudent costs incurred in the provision or management of its plan.  66 Pa. C.S. § 2806.1(k).  </w:t>
      </w:r>
    </w:p>
    <w:p w14:paraId="262520B0" w14:textId="77777777" w:rsidR="00A22C89" w:rsidRPr="00591394" w:rsidRDefault="00A22C89" w:rsidP="004E2B63">
      <w:pPr>
        <w:pStyle w:val="p3"/>
        <w:keepNext/>
        <w:widowControl/>
        <w:spacing w:line="360" w:lineRule="auto"/>
        <w:ind w:left="1440" w:right="1440" w:firstLine="720"/>
        <w:rPr>
          <w:sz w:val="26"/>
          <w:szCs w:val="26"/>
        </w:rPr>
      </w:pPr>
    </w:p>
    <w:p w14:paraId="7963D295" w14:textId="4AB28C76" w:rsidR="00A22C89" w:rsidRPr="00591394" w:rsidRDefault="008F742C" w:rsidP="004E2B63">
      <w:pPr>
        <w:keepNext/>
        <w:widowControl/>
        <w:spacing w:line="360" w:lineRule="auto"/>
        <w:rPr>
          <w:sz w:val="26"/>
          <w:szCs w:val="26"/>
        </w:rPr>
      </w:pPr>
      <w:r w:rsidRPr="00591394">
        <w:rPr>
          <w:i/>
          <w:sz w:val="26"/>
          <w:szCs w:val="26"/>
        </w:rPr>
        <w:t>Phase I</w:t>
      </w:r>
      <w:r w:rsidR="00A2145F" w:rsidRPr="00591394">
        <w:rPr>
          <w:i/>
          <w:sz w:val="26"/>
          <w:szCs w:val="26"/>
        </w:rPr>
        <w:t>V</w:t>
      </w:r>
      <w:r w:rsidRPr="00591394">
        <w:rPr>
          <w:i/>
          <w:sz w:val="26"/>
          <w:szCs w:val="26"/>
        </w:rPr>
        <w:t xml:space="preserve"> Implementation Order</w:t>
      </w:r>
      <w:r w:rsidRPr="00591394">
        <w:rPr>
          <w:sz w:val="26"/>
          <w:szCs w:val="26"/>
        </w:rPr>
        <w:t xml:space="preserve"> at </w:t>
      </w:r>
      <w:r w:rsidR="00563884" w:rsidRPr="00591394">
        <w:rPr>
          <w:sz w:val="26"/>
          <w:szCs w:val="26"/>
        </w:rPr>
        <w:t>119</w:t>
      </w:r>
      <w:r w:rsidRPr="00591394">
        <w:rPr>
          <w:sz w:val="26"/>
          <w:szCs w:val="26"/>
        </w:rPr>
        <w:t>.</w:t>
      </w:r>
    </w:p>
    <w:p w14:paraId="253D5B3B" w14:textId="77777777" w:rsidR="008E68B3" w:rsidRPr="00591394" w:rsidRDefault="008E68B3" w:rsidP="004E2B63">
      <w:pPr>
        <w:pStyle w:val="Heading3"/>
      </w:pPr>
      <w:bookmarkStart w:id="21" w:name="_Toc66354620"/>
    </w:p>
    <w:p w14:paraId="6113BFC4" w14:textId="70AC837E" w:rsidR="00C37485" w:rsidRPr="00591394" w:rsidRDefault="00D73493" w:rsidP="004E2B63">
      <w:pPr>
        <w:pStyle w:val="Heading3"/>
        <w:keepNext/>
      </w:pPr>
      <w:r w:rsidRPr="00591394">
        <w:t>1.</w:t>
      </w:r>
      <w:r w:rsidRPr="00591394">
        <w:tab/>
        <w:t>Plan Cost Issues</w:t>
      </w:r>
      <w:bookmarkEnd w:id="21"/>
    </w:p>
    <w:p w14:paraId="4DB0A0C3" w14:textId="77777777" w:rsidR="00D73493" w:rsidRPr="00591394" w:rsidRDefault="00D73493" w:rsidP="004E2B63">
      <w:pPr>
        <w:keepNext/>
        <w:widowControl/>
        <w:spacing w:line="360" w:lineRule="auto"/>
        <w:rPr>
          <w:sz w:val="26"/>
          <w:szCs w:val="26"/>
        </w:rPr>
      </w:pPr>
    </w:p>
    <w:p w14:paraId="0C143B86" w14:textId="05BEDDED" w:rsidR="007932AF" w:rsidRPr="00591394" w:rsidRDefault="007932AF" w:rsidP="004E2B63">
      <w:pPr>
        <w:keepNext/>
        <w:widowControl/>
        <w:spacing w:line="360" w:lineRule="auto"/>
        <w:ind w:firstLine="1440"/>
        <w:rPr>
          <w:sz w:val="26"/>
          <w:szCs w:val="26"/>
        </w:rPr>
      </w:pPr>
      <w:r w:rsidRPr="00591394">
        <w:rPr>
          <w:sz w:val="26"/>
          <w:szCs w:val="26"/>
        </w:rPr>
        <w:t xml:space="preserve">The Act allows an EDC to recover all prudent and reasonable costs relating to the provision or management of its EE&amp;C </w:t>
      </w:r>
      <w:r w:rsidR="00FB773C" w:rsidRPr="00591394">
        <w:rPr>
          <w:sz w:val="26"/>
          <w:szCs w:val="26"/>
        </w:rPr>
        <w:t>Plan but</w:t>
      </w:r>
      <w:r w:rsidRPr="00591394">
        <w:rPr>
          <w:sz w:val="26"/>
          <w:szCs w:val="26"/>
        </w:rPr>
        <w:t xml:space="preserve"> limits such costs to an amount not to exceed </w:t>
      </w:r>
      <w:r w:rsidR="0003269E" w:rsidRPr="00591394">
        <w:rPr>
          <w:sz w:val="26"/>
          <w:szCs w:val="26"/>
        </w:rPr>
        <w:t>2%</w:t>
      </w:r>
      <w:r w:rsidRPr="00591394">
        <w:rPr>
          <w:sz w:val="26"/>
          <w:szCs w:val="26"/>
        </w:rPr>
        <w:t xml:space="preserve"> of the EDC’s total annual revenue as of December 31, 2006, excluding Low</w:t>
      </w:r>
      <w:r w:rsidRPr="00591394">
        <w:rPr>
          <w:sz w:val="26"/>
          <w:szCs w:val="26"/>
        </w:rPr>
        <w:noBreakHyphen/>
        <w:t xml:space="preserve">Income Usage Reduction Programs established under 52 Pa. Code </w:t>
      </w:r>
      <w:r w:rsidR="00130778" w:rsidRPr="00591394">
        <w:rPr>
          <w:sz w:val="26"/>
          <w:szCs w:val="26"/>
        </w:rPr>
        <w:t>Ch</w:t>
      </w:r>
      <w:r w:rsidR="00BA7C49" w:rsidRPr="00591394">
        <w:rPr>
          <w:sz w:val="26"/>
          <w:szCs w:val="26"/>
        </w:rPr>
        <w:t>.</w:t>
      </w:r>
      <w:r w:rsidR="00B146A1" w:rsidRPr="00591394">
        <w:rPr>
          <w:sz w:val="26"/>
          <w:szCs w:val="26"/>
        </w:rPr>
        <w:t> </w:t>
      </w:r>
      <w:r w:rsidRPr="00591394">
        <w:rPr>
          <w:sz w:val="26"/>
          <w:szCs w:val="26"/>
        </w:rPr>
        <w:t>58.  66</w:t>
      </w:r>
      <w:r w:rsidR="004E2B63">
        <w:rPr>
          <w:sz w:val="26"/>
          <w:szCs w:val="26"/>
        </w:rPr>
        <w:t> </w:t>
      </w:r>
      <w:r w:rsidRPr="00591394">
        <w:rPr>
          <w:sz w:val="26"/>
          <w:szCs w:val="26"/>
        </w:rPr>
        <w:t>Pa.</w:t>
      </w:r>
      <w:r w:rsidR="004E2B63">
        <w:rPr>
          <w:sz w:val="26"/>
          <w:szCs w:val="26"/>
        </w:rPr>
        <w:t> </w:t>
      </w:r>
      <w:r w:rsidRPr="00591394">
        <w:rPr>
          <w:sz w:val="26"/>
          <w:szCs w:val="26"/>
        </w:rPr>
        <w:t>C.S. § 2806.1(g).</w:t>
      </w:r>
      <w:r w:rsidR="000F3132" w:rsidRPr="00591394">
        <w:rPr>
          <w:sz w:val="26"/>
          <w:szCs w:val="26"/>
        </w:rPr>
        <w:t xml:space="preserve">  </w:t>
      </w:r>
      <w:r w:rsidRPr="00591394">
        <w:rPr>
          <w:sz w:val="26"/>
          <w:szCs w:val="26"/>
        </w:rPr>
        <w:t xml:space="preserve">The level of costs that an EDC will be permitted to recover in implementing its EE&amp;C program was established in the Phase I proceedings.  For </w:t>
      </w:r>
      <w:r w:rsidR="00D44F8E" w:rsidRPr="00591394">
        <w:rPr>
          <w:sz w:val="26"/>
          <w:szCs w:val="26"/>
        </w:rPr>
        <w:t>Duquesne</w:t>
      </w:r>
      <w:r w:rsidRPr="00591394">
        <w:rPr>
          <w:sz w:val="26"/>
          <w:szCs w:val="26"/>
        </w:rPr>
        <w:t>, the cap is $</w:t>
      </w:r>
      <w:r w:rsidR="005F47EC" w:rsidRPr="00591394">
        <w:rPr>
          <w:sz w:val="26"/>
          <w:szCs w:val="26"/>
        </w:rPr>
        <w:t>19,545,951.58</w:t>
      </w:r>
      <w:r w:rsidRPr="00591394">
        <w:rPr>
          <w:sz w:val="26"/>
          <w:szCs w:val="26"/>
        </w:rPr>
        <w:t>.</w:t>
      </w:r>
      <w:r w:rsidR="000F3132" w:rsidRPr="00591394">
        <w:rPr>
          <w:sz w:val="26"/>
          <w:szCs w:val="26"/>
        </w:rPr>
        <w:t xml:space="preserve">  </w:t>
      </w:r>
      <w:r w:rsidR="00FD74B7" w:rsidRPr="00591394">
        <w:rPr>
          <w:sz w:val="26"/>
          <w:szCs w:val="26"/>
        </w:rPr>
        <w:t xml:space="preserve">The Phase IV </w:t>
      </w:r>
      <w:r w:rsidR="007B2F46" w:rsidRPr="00591394">
        <w:rPr>
          <w:sz w:val="26"/>
          <w:szCs w:val="26"/>
        </w:rPr>
        <w:t xml:space="preserve">5-Year budget limit is $97,729,760.  </w:t>
      </w:r>
      <w:r w:rsidR="000F3132" w:rsidRPr="00591394">
        <w:rPr>
          <w:i/>
          <w:sz w:val="26"/>
          <w:szCs w:val="26"/>
        </w:rPr>
        <w:t>Phase I</w:t>
      </w:r>
      <w:r w:rsidR="008C4080" w:rsidRPr="00591394">
        <w:rPr>
          <w:i/>
          <w:sz w:val="26"/>
          <w:szCs w:val="26"/>
        </w:rPr>
        <w:t>V</w:t>
      </w:r>
      <w:r w:rsidR="000F3132" w:rsidRPr="00591394">
        <w:rPr>
          <w:i/>
          <w:sz w:val="26"/>
          <w:szCs w:val="26"/>
        </w:rPr>
        <w:t xml:space="preserve"> Implementation Order </w:t>
      </w:r>
      <w:r w:rsidR="000F3132" w:rsidRPr="00591394">
        <w:rPr>
          <w:sz w:val="26"/>
          <w:szCs w:val="26"/>
        </w:rPr>
        <w:t>at 1</w:t>
      </w:r>
      <w:r w:rsidR="008C4080" w:rsidRPr="00591394">
        <w:rPr>
          <w:sz w:val="26"/>
          <w:szCs w:val="26"/>
        </w:rPr>
        <w:t>20</w:t>
      </w:r>
      <w:r w:rsidR="000F3132" w:rsidRPr="00591394">
        <w:rPr>
          <w:sz w:val="26"/>
          <w:szCs w:val="26"/>
        </w:rPr>
        <w:t xml:space="preserve">.  </w:t>
      </w:r>
    </w:p>
    <w:p w14:paraId="7F3C3F9E" w14:textId="77777777" w:rsidR="000F3132" w:rsidRPr="00591394" w:rsidRDefault="000F3132" w:rsidP="00C6113D">
      <w:pPr>
        <w:widowControl/>
        <w:spacing w:line="360" w:lineRule="auto"/>
        <w:ind w:firstLine="1440"/>
        <w:rPr>
          <w:sz w:val="26"/>
          <w:szCs w:val="26"/>
        </w:rPr>
      </w:pPr>
    </w:p>
    <w:p w14:paraId="48D3E22C" w14:textId="657B4AC8" w:rsidR="00F44A96" w:rsidRDefault="00223C42" w:rsidP="00C6113D">
      <w:pPr>
        <w:keepLines/>
        <w:widowControl/>
        <w:spacing w:line="360" w:lineRule="auto"/>
        <w:ind w:firstLine="720"/>
        <w:rPr>
          <w:sz w:val="26"/>
          <w:szCs w:val="26"/>
        </w:rPr>
      </w:pPr>
      <w:r w:rsidRPr="00591394">
        <w:rPr>
          <w:sz w:val="26"/>
          <w:szCs w:val="26"/>
        </w:rPr>
        <w:t>For Phase IV of Act 129:</w:t>
      </w:r>
    </w:p>
    <w:p w14:paraId="45F0DA42" w14:textId="77777777" w:rsidR="00B62D70" w:rsidRPr="00591394" w:rsidRDefault="00B62D70" w:rsidP="004E2B63">
      <w:pPr>
        <w:keepLines/>
        <w:widowControl/>
        <w:ind w:firstLine="720"/>
        <w:rPr>
          <w:sz w:val="26"/>
          <w:szCs w:val="26"/>
        </w:rPr>
      </w:pPr>
    </w:p>
    <w:p w14:paraId="4A4CEF99" w14:textId="15FEAE5C" w:rsidR="00223C42" w:rsidRDefault="00223C42" w:rsidP="00C6113D">
      <w:pPr>
        <w:keepLines/>
        <w:widowControl/>
        <w:numPr>
          <w:ilvl w:val="0"/>
          <w:numId w:val="18"/>
        </w:numPr>
        <w:ind w:right="1440" w:hanging="720"/>
        <w:contextualSpacing/>
        <w:rPr>
          <w:sz w:val="26"/>
          <w:szCs w:val="26"/>
        </w:rPr>
      </w:pPr>
      <w:r w:rsidRPr="00591394">
        <w:rPr>
          <w:sz w:val="26"/>
          <w:szCs w:val="26"/>
        </w:rPr>
        <w:t>EDCs will have access to the full Phase IV budget, regardless of Phase III spending and consumption reduction target attainment.</w:t>
      </w:r>
    </w:p>
    <w:p w14:paraId="6673C421" w14:textId="77777777" w:rsidR="00B62D70" w:rsidRPr="00591394" w:rsidRDefault="00B62D70" w:rsidP="00C6113D">
      <w:pPr>
        <w:keepLines/>
        <w:widowControl/>
        <w:ind w:left="1440" w:right="1440"/>
        <w:contextualSpacing/>
        <w:rPr>
          <w:sz w:val="26"/>
          <w:szCs w:val="26"/>
        </w:rPr>
      </w:pPr>
    </w:p>
    <w:p w14:paraId="04909E06" w14:textId="233C5ED7" w:rsidR="00223C42" w:rsidRDefault="00223C42" w:rsidP="00C6113D">
      <w:pPr>
        <w:widowControl/>
        <w:numPr>
          <w:ilvl w:val="0"/>
          <w:numId w:val="18"/>
        </w:numPr>
        <w:ind w:right="1440" w:hanging="720"/>
        <w:contextualSpacing/>
        <w:rPr>
          <w:sz w:val="26"/>
          <w:szCs w:val="26"/>
        </w:rPr>
      </w:pPr>
      <w:r w:rsidRPr="00591394">
        <w:rPr>
          <w:sz w:val="26"/>
          <w:szCs w:val="26"/>
        </w:rPr>
        <w:t xml:space="preserve">On June 1, 2021, EDCs will only use Phase III budgets to close out program delivery, EM&amp;V, and reporting obligations for measures installed and commercially operable on or before May 31, 2021.  EDCs may not use Phase III funds for Phase IV plans.  </w:t>
      </w:r>
    </w:p>
    <w:p w14:paraId="5E0F12DA" w14:textId="77777777" w:rsidR="00B62D70" w:rsidRPr="00591394" w:rsidRDefault="00B62D70" w:rsidP="00C6113D">
      <w:pPr>
        <w:widowControl/>
        <w:ind w:left="1440" w:right="1440"/>
        <w:contextualSpacing/>
        <w:rPr>
          <w:sz w:val="26"/>
          <w:szCs w:val="26"/>
        </w:rPr>
      </w:pPr>
    </w:p>
    <w:p w14:paraId="3B0AECB3" w14:textId="47DF8CD9" w:rsidR="00223C42" w:rsidRPr="00591394" w:rsidRDefault="00223C42" w:rsidP="00C6113D">
      <w:pPr>
        <w:widowControl/>
        <w:numPr>
          <w:ilvl w:val="0"/>
          <w:numId w:val="18"/>
        </w:numPr>
        <w:ind w:right="1440" w:hanging="720"/>
        <w:contextualSpacing/>
        <w:rPr>
          <w:sz w:val="26"/>
          <w:szCs w:val="26"/>
        </w:rPr>
      </w:pPr>
      <w:r w:rsidRPr="00591394">
        <w:rPr>
          <w:sz w:val="26"/>
          <w:szCs w:val="26"/>
        </w:rPr>
        <w:t>EDCs may continue spending Phase IV budgets on their EE&amp;C Program even if they attain their consumption reduction and PDR targets before May 31, 2026.</w:t>
      </w:r>
    </w:p>
    <w:p w14:paraId="662B36C6" w14:textId="77777777" w:rsidR="00364D71" w:rsidRPr="00591394" w:rsidRDefault="00364D71" w:rsidP="00C6113D">
      <w:pPr>
        <w:widowControl/>
        <w:spacing w:line="360" w:lineRule="auto"/>
        <w:ind w:left="1440"/>
        <w:contextualSpacing/>
        <w:rPr>
          <w:sz w:val="26"/>
          <w:szCs w:val="26"/>
        </w:rPr>
      </w:pPr>
    </w:p>
    <w:p w14:paraId="4CC12100" w14:textId="33C07EE3" w:rsidR="00D73659" w:rsidRPr="00591394" w:rsidRDefault="00223C42" w:rsidP="00C6113D">
      <w:pPr>
        <w:widowControl/>
        <w:spacing w:line="360" w:lineRule="auto"/>
        <w:rPr>
          <w:sz w:val="26"/>
          <w:szCs w:val="26"/>
        </w:rPr>
      </w:pPr>
      <w:r w:rsidRPr="00591394">
        <w:rPr>
          <w:i/>
          <w:sz w:val="26"/>
          <w:szCs w:val="26"/>
        </w:rPr>
        <w:t>Phase I</w:t>
      </w:r>
      <w:r w:rsidR="00DD1924" w:rsidRPr="00591394">
        <w:rPr>
          <w:i/>
          <w:sz w:val="26"/>
          <w:szCs w:val="26"/>
        </w:rPr>
        <w:t>V</w:t>
      </w:r>
      <w:r w:rsidRPr="00591394">
        <w:rPr>
          <w:i/>
          <w:sz w:val="26"/>
          <w:szCs w:val="26"/>
        </w:rPr>
        <w:t xml:space="preserve"> Implementation Order </w:t>
      </w:r>
      <w:r w:rsidRPr="00591394">
        <w:rPr>
          <w:iCs/>
          <w:sz w:val="26"/>
          <w:szCs w:val="26"/>
        </w:rPr>
        <w:t>at</w:t>
      </w:r>
      <w:r w:rsidR="00364D71" w:rsidRPr="00591394">
        <w:rPr>
          <w:iCs/>
          <w:sz w:val="26"/>
          <w:szCs w:val="26"/>
        </w:rPr>
        <w:t xml:space="preserve"> 132</w:t>
      </w:r>
      <w:r w:rsidR="00364D71" w:rsidRPr="00591394">
        <w:rPr>
          <w:i/>
          <w:sz w:val="26"/>
          <w:szCs w:val="26"/>
        </w:rPr>
        <w:t xml:space="preserve">.  </w:t>
      </w:r>
    </w:p>
    <w:p w14:paraId="32DB9393" w14:textId="77777777" w:rsidR="00DA65C9" w:rsidRPr="00591394" w:rsidRDefault="00DA65C9" w:rsidP="00C6113D">
      <w:pPr>
        <w:widowControl/>
        <w:spacing w:line="360" w:lineRule="auto"/>
        <w:ind w:firstLine="720"/>
        <w:rPr>
          <w:sz w:val="26"/>
          <w:szCs w:val="26"/>
        </w:rPr>
      </w:pPr>
    </w:p>
    <w:p w14:paraId="350F148F" w14:textId="4E2A0A07" w:rsidR="00BF4EBD" w:rsidRDefault="00DA65C9" w:rsidP="00C6113D">
      <w:pPr>
        <w:widowControl/>
        <w:spacing w:line="360" w:lineRule="auto"/>
        <w:ind w:firstLine="720"/>
        <w:rPr>
          <w:sz w:val="26"/>
          <w:szCs w:val="26"/>
        </w:rPr>
      </w:pPr>
      <w:r w:rsidRPr="00591394">
        <w:rPr>
          <w:sz w:val="26"/>
          <w:szCs w:val="26"/>
        </w:rPr>
        <w:lastRenderedPageBreak/>
        <w:t xml:space="preserve">For Phase IV of Act 129, rebate application deadlines shall be handled as </w:t>
      </w:r>
      <w:r w:rsidR="00324450" w:rsidRPr="00591394">
        <w:rPr>
          <w:sz w:val="26"/>
          <w:szCs w:val="26"/>
        </w:rPr>
        <w:t>follows:</w:t>
      </w:r>
    </w:p>
    <w:p w14:paraId="3DCF8DED" w14:textId="77777777" w:rsidR="00B62D70" w:rsidRPr="00591394" w:rsidRDefault="00B62D70" w:rsidP="004E2B63">
      <w:pPr>
        <w:widowControl/>
        <w:ind w:firstLine="720"/>
        <w:rPr>
          <w:sz w:val="26"/>
          <w:szCs w:val="26"/>
        </w:rPr>
      </w:pPr>
    </w:p>
    <w:p w14:paraId="4F3F9996" w14:textId="5E849FB4" w:rsidR="00DA65C9" w:rsidRDefault="00DA65C9" w:rsidP="00C6113D">
      <w:pPr>
        <w:pStyle w:val="ListParagraph"/>
        <w:widowControl/>
        <w:numPr>
          <w:ilvl w:val="0"/>
          <w:numId w:val="19"/>
        </w:numPr>
        <w:ind w:left="1440" w:right="1440" w:hanging="720"/>
        <w:rPr>
          <w:sz w:val="26"/>
          <w:szCs w:val="26"/>
        </w:rPr>
      </w:pPr>
      <w:r w:rsidRPr="00591394">
        <w:rPr>
          <w:sz w:val="26"/>
          <w:szCs w:val="26"/>
        </w:rPr>
        <w:t>EDCs are required to develop deadlines for the maximum number of days between a measure in-service date and rebate application date for each program.  These deadlines should be clearly presented within each Phase IV EE&amp;C Plan.</w:t>
      </w:r>
    </w:p>
    <w:p w14:paraId="20EF97BB" w14:textId="77777777" w:rsidR="00B62D70" w:rsidRPr="00591394" w:rsidRDefault="00B62D70" w:rsidP="00C6113D">
      <w:pPr>
        <w:pStyle w:val="ListParagraph"/>
        <w:widowControl/>
        <w:ind w:left="1440" w:right="1440" w:hanging="720"/>
        <w:rPr>
          <w:sz w:val="26"/>
          <w:szCs w:val="26"/>
        </w:rPr>
      </w:pPr>
    </w:p>
    <w:p w14:paraId="55F3EFC6" w14:textId="229CA485" w:rsidR="00DA65C9" w:rsidRDefault="00DA65C9" w:rsidP="00C6113D">
      <w:pPr>
        <w:pStyle w:val="ListParagraph"/>
        <w:widowControl/>
        <w:numPr>
          <w:ilvl w:val="0"/>
          <w:numId w:val="19"/>
        </w:numPr>
        <w:ind w:left="1440" w:right="1440" w:hanging="720"/>
        <w:rPr>
          <w:sz w:val="26"/>
          <w:szCs w:val="26"/>
        </w:rPr>
      </w:pPr>
      <w:r w:rsidRPr="00591394">
        <w:rPr>
          <w:sz w:val="26"/>
          <w:szCs w:val="26"/>
        </w:rPr>
        <w:t>EDCs shall include clear deadlines on all rebate forms.</w:t>
      </w:r>
    </w:p>
    <w:p w14:paraId="6E605602" w14:textId="77777777" w:rsidR="00B62D70" w:rsidRPr="00591394" w:rsidRDefault="00B62D70" w:rsidP="00C6113D">
      <w:pPr>
        <w:pStyle w:val="ListParagraph"/>
        <w:widowControl/>
        <w:ind w:left="1440" w:right="1440" w:hanging="720"/>
        <w:rPr>
          <w:sz w:val="26"/>
          <w:szCs w:val="26"/>
        </w:rPr>
      </w:pPr>
    </w:p>
    <w:p w14:paraId="0A4273E5" w14:textId="4B8B5D20" w:rsidR="00DA65C9" w:rsidRPr="00591394" w:rsidRDefault="00DA65C9" w:rsidP="00C6113D">
      <w:pPr>
        <w:pStyle w:val="ListParagraph"/>
        <w:widowControl/>
        <w:numPr>
          <w:ilvl w:val="0"/>
          <w:numId w:val="19"/>
        </w:numPr>
        <w:ind w:left="1440" w:right="1440" w:hanging="720"/>
        <w:rPr>
          <w:sz w:val="26"/>
          <w:szCs w:val="26"/>
        </w:rPr>
      </w:pPr>
      <w:r w:rsidRPr="00591394">
        <w:rPr>
          <w:sz w:val="26"/>
          <w:szCs w:val="26"/>
        </w:rPr>
        <w:t xml:space="preserve">Program delivery </w:t>
      </w:r>
      <w:r w:rsidR="0068619E" w:rsidRPr="00591394">
        <w:rPr>
          <w:sz w:val="26"/>
          <w:szCs w:val="26"/>
        </w:rPr>
        <w:t>Conservation Service Provider (</w:t>
      </w:r>
      <w:r w:rsidRPr="00591394">
        <w:rPr>
          <w:sz w:val="26"/>
          <w:szCs w:val="26"/>
        </w:rPr>
        <w:t>CSP</w:t>
      </w:r>
      <w:r w:rsidR="0068619E" w:rsidRPr="00591394">
        <w:rPr>
          <w:sz w:val="26"/>
          <w:szCs w:val="26"/>
        </w:rPr>
        <w:t>)</w:t>
      </w:r>
      <w:r w:rsidRPr="00591394">
        <w:rPr>
          <w:sz w:val="26"/>
          <w:szCs w:val="26"/>
        </w:rPr>
        <w:t xml:space="preserve"> contracts will clearly delineate responsibilities for maintaining up-to-date forms and website information in the event of rebate deadline changes.</w:t>
      </w:r>
    </w:p>
    <w:p w14:paraId="3C806E51" w14:textId="77777777" w:rsidR="00626119" w:rsidRPr="00591394" w:rsidRDefault="00626119" w:rsidP="004E2B63">
      <w:pPr>
        <w:pStyle w:val="ListParagraph"/>
        <w:widowControl/>
        <w:spacing w:line="360" w:lineRule="auto"/>
        <w:ind w:left="1080"/>
        <w:rPr>
          <w:sz w:val="26"/>
          <w:szCs w:val="26"/>
        </w:rPr>
      </w:pPr>
    </w:p>
    <w:p w14:paraId="281BD62B" w14:textId="5E4B3DEE" w:rsidR="00D73659" w:rsidRPr="00591394" w:rsidRDefault="00D73659" w:rsidP="004E2B63">
      <w:pPr>
        <w:widowControl/>
        <w:spacing w:line="360" w:lineRule="auto"/>
        <w:rPr>
          <w:sz w:val="26"/>
          <w:szCs w:val="26"/>
        </w:rPr>
      </w:pPr>
      <w:r w:rsidRPr="00591394">
        <w:rPr>
          <w:i/>
          <w:sz w:val="26"/>
          <w:szCs w:val="26"/>
        </w:rPr>
        <w:t>Phase I</w:t>
      </w:r>
      <w:r w:rsidR="00B842DF" w:rsidRPr="00591394">
        <w:rPr>
          <w:i/>
          <w:sz w:val="26"/>
          <w:szCs w:val="26"/>
        </w:rPr>
        <w:t>V</w:t>
      </w:r>
      <w:r w:rsidRPr="00591394">
        <w:rPr>
          <w:i/>
          <w:sz w:val="26"/>
          <w:szCs w:val="26"/>
        </w:rPr>
        <w:t xml:space="preserve"> Implementation Order </w:t>
      </w:r>
      <w:r w:rsidRPr="00591394">
        <w:rPr>
          <w:sz w:val="26"/>
          <w:szCs w:val="26"/>
        </w:rPr>
        <w:t>at 1</w:t>
      </w:r>
      <w:r w:rsidR="00324450" w:rsidRPr="00591394">
        <w:rPr>
          <w:sz w:val="26"/>
          <w:szCs w:val="26"/>
        </w:rPr>
        <w:t>33</w:t>
      </w:r>
      <w:r w:rsidRPr="00591394">
        <w:rPr>
          <w:sz w:val="26"/>
          <w:szCs w:val="26"/>
        </w:rPr>
        <w:t>.</w:t>
      </w:r>
    </w:p>
    <w:p w14:paraId="4EF3E8F1" w14:textId="77777777" w:rsidR="00656590" w:rsidRPr="00591394" w:rsidRDefault="00656590" w:rsidP="004E2B63">
      <w:pPr>
        <w:widowControl/>
        <w:spacing w:line="360" w:lineRule="auto"/>
        <w:ind w:firstLine="1440"/>
        <w:rPr>
          <w:sz w:val="26"/>
          <w:szCs w:val="26"/>
        </w:rPr>
      </w:pPr>
    </w:p>
    <w:p w14:paraId="7E3C3DAA" w14:textId="77777777" w:rsidR="007753B8" w:rsidRPr="00591394" w:rsidRDefault="007753B8" w:rsidP="004E2B63">
      <w:pPr>
        <w:pStyle w:val="Heading3"/>
        <w:keepNext/>
      </w:pPr>
      <w:bookmarkStart w:id="22" w:name="_Toc66354621"/>
      <w:r w:rsidRPr="00591394">
        <w:t>2.</w:t>
      </w:r>
      <w:r w:rsidRPr="00591394">
        <w:tab/>
        <w:t>Cost Effectiveness/Cost-Benefit Issues</w:t>
      </w:r>
      <w:bookmarkEnd w:id="22"/>
    </w:p>
    <w:p w14:paraId="681693F9" w14:textId="535062FA" w:rsidR="000949AF" w:rsidRPr="00591394" w:rsidRDefault="000949AF" w:rsidP="004E2B63">
      <w:pPr>
        <w:keepNext/>
        <w:widowControl/>
        <w:spacing w:line="360" w:lineRule="auto"/>
        <w:ind w:firstLine="1440"/>
        <w:rPr>
          <w:sz w:val="26"/>
          <w:szCs w:val="26"/>
        </w:rPr>
      </w:pPr>
    </w:p>
    <w:p w14:paraId="33D2291B" w14:textId="077E438B" w:rsidR="002906C4" w:rsidRPr="00591394" w:rsidRDefault="002906C4" w:rsidP="004E2B63">
      <w:pPr>
        <w:keepNext/>
        <w:widowControl/>
        <w:autoSpaceDE w:val="0"/>
        <w:autoSpaceDN w:val="0"/>
        <w:adjustRightInd w:val="0"/>
        <w:spacing w:line="360" w:lineRule="auto"/>
        <w:ind w:firstLine="1440"/>
        <w:rPr>
          <w:bCs/>
          <w:sz w:val="26"/>
          <w:szCs w:val="26"/>
        </w:rPr>
      </w:pPr>
      <w:r w:rsidRPr="00591394">
        <w:rPr>
          <w:sz w:val="26"/>
          <w:szCs w:val="26"/>
        </w:rPr>
        <w:t xml:space="preserve">Act 129 requires an analysis of the costs and benefits of each EE&amp;C Plan, in accordance with a </w:t>
      </w:r>
      <w:r w:rsidR="00161867" w:rsidRPr="00591394">
        <w:rPr>
          <w:sz w:val="26"/>
          <w:szCs w:val="26"/>
        </w:rPr>
        <w:t>Total Resource Cost (</w:t>
      </w:r>
      <w:r w:rsidRPr="00591394">
        <w:rPr>
          <w:sz w:val="26"/>
          <w:szCs w:val="26"/>
        </w:rPr>
        <w:t>TRC</w:t>
      </w:r>
      <w:r w:rsidR="00161867" w:rsidRPr="00591394">
        <w:rPr>
          <w:sz w:val="26"/>
          <w:szCs w:val="26"/>
        </w:rPr>
        <w:t>)</w:t>
      </w:r>
      <w:r w:rsidRPr="00591394">
        <w:rPr>
          <w:sz w:val="26"/>
          <w:szCs w:val="26"/>
        </w:rPr>
        <w:t xml:space="preserve"> Test approved by the Commission.  </w:t>
      </w:r>
      <w:r w:rsidRPr="00591394">
        <w:rPr>
          <w:i/>
          <w:sz w:val="26"/>
          <w:szCs w:val="26"/>
        </w:rPr>
        <w:t>See</w:t>
      </w:r>
      <w:r w:rsidRPr="00591394">
        <w:rPr>
          <w:sz w:val="26"/>
          <w:szCs w:val="26"/>
        </w:rPr>
        <w:t xml:space="preserve"> 66 Pa. C.S. § 2806.1(a)(3).  The Act also requires an EDC to demonstrate that its plan is cost</w:t>
      </w:r>
      <w:r w:rsidRPr="00591394">
        <w:rPr>
          <w:sz w:val="26"/>
          <w:szCs w:val="26"/>
        </w:rPr>
        <w:noBreakHyphen/>
        <w:t xml:space="preserve">effective using the TRC Test and that the plan provides a diverse cross-section of alternatives for customers of all rate classes.  </w:t>
      </w:r>
      <w:r w:rsidRPr="00591394">
        <w:rPr>
          <w:i/>
          <w:sz w:val="26"/>
          <w:szCs w:val="26"/>
        </w:rPr>
        <w:t>See</w:t>
      </w:r>
      <w:r w:rsidRPr="00591394">
        <w:rPr>
          <w:sz w:val="26"/>
          <w:szCs w:val="26"/>
        </w:rPr>
        <w:t xml:space="preserve"> 66 Pa. C.S. § 2806.1(b)(1)(i)(I).  The Act defines “total resource cost test” as “a standard test that is met if, over the effective life of each plan not to exceed 15 years, the net present value of the avoided monetary cost of supplying electricity is greater than the net present value of the monetary cost of [EE]</w:t>
      </w:r>
      <w:r w:rsidR="00382BC0" w:rsidRPr="00591394">
        <w:rPr>
          <w:sz w:val="26"/>
          <w:szCs w:val="26"/>
        </w:rPr>
        <w:t xml:space="preserve"> </w:t>
      </w:r>
      <w:r w:rsidRPr="00591394">
        <w:rPr>
          <w:sz w:val="26"/>
          <w:szCs w:val="26"/>
        </w:rPr>
        <w:t>conservation measures.”  66 Pa. C.S. § 2806.1(m).</w:t>
      </w:r>
      <w:r w:rsidRPr="00591394">
        <w:rPr>
          <w:sz w:val="26"/>
          <w:szCs w:val="26"/>
          <w:vertAlign w:val="superscript"/>
        </w:rPr>
        <w:footnoteReference w:id="8"/>
      </w:r>
      <w:r w:rsidRPr="00591394">
        <w:rPr>
          <w:sz w:val="26"/>
          <w:szCs w:val="26"/>
        </w:rPr>
        <w:t xml:space="preserve">  </w:t>
      </w:r>
      <w:r w:rsidRPr="00591394">
        <w:rPr>
          <w:bCs/>
          <w:sz w:val="26"/>
          <w:szCs w:val="26"/>
        </w:rPr>
        <w:t xml:space="preserve">The purpose of using the TRC Test to evaluate the EDCs’ specific programs is to track the relationship between the benefits to the Commonwealth and the costs incurred to obtain those benefits.  The TRC </w:t>
      </w:r>
      <w:r w:rsidRPr="00591394">
        <w:rPr>
          <w:bCs/>
          <w:sz w:val="26"/>
          <w:szCs w:val="26"/>
        </w:rPr>
        <w:lastRenderedPageBreak/>
        <w:t>Test has historically been a regulatory test.  Sections 2806.1(c)(3) and 2806.1(d)(2), 66</w:t>
      </w:r>
      <w:r w:rsidR="004E2B63">
        <w:rPr>
          <w:bCs/>
          <w:sz w:val="26"/>
          <w:szCs w:val="26"/>
        </w:rPr>
        <w:t> </w:t>
      </w:r>
      <w:r w:rsidRPr="00591394">
        <w:rPr>
          <w:bCs/>
          <w:sz w:val="26"/>
          <w:szCs w:val="26"/>
        </w:rPr>
        <w:t>Pa. C.S. §§ 2806.1(c)(3) and (d)(2), as well as the definition of the TRC Test in Section 2806.1(m), 66 Pa. C.S. § 2806.1(m), provide that the TRC Test be used to determine whether ratepayers, as a whole, received more benefits (in reduced capacity, energy, transmission, and distribution costs) than the implementation costs of the EDCs’ EE&amp;C Plans.</w:t>
      </w:r>
      <w:r w:rsidR="00C44F9D" w:rsidRPr="00591394">
        <w:rPr>
          <w:bCs/>
          <w:sz w:val="26"/>
          <w:szCs w:val="26"/>
        </w:rPr>
        <w:t xml:space="preserve">  </w:t>
      </w:r>
      <w:r w:rsidR="006C742C" w:rsidRPr="00591394">
        <w:rPr>
          <w:bCs/>
          <w:i/>
          <w:iCs/>
          <w:sz w:val="26"/>
          <w:szCs w:val="26"/>
        </w:rPr>
        <w:t xml:space="preserve">Phase IV Implementation Order </w:t>
      </w:r>
      <w:r w:rsidR="006C742C" w:rsidRPr="00591394">
        <w:rPr>
          <w:bCs/>
          <w:sz w:val="26"/>
          <w:szCs w:val="26"/>
        </w:rPr>
        <w:t>at 104.</w:t>
      </w:r>
    </w:p>
    <w:p w14:paraId="207FB91E" w14:textId="77777777" w:rsidR="002906C4" w:rsidRPr="00591394" w:rsidRDefault="002906C4" w:rsidP="00C6113D">
      <w:pPr>
        <w:widowControl/>
        <w:autoSpaceDE w:val="0"/>
        <w:autoSpaceDN w:val="0"/>
        <w:adjustRightInd w:val="0"/>
        <w:spacing w:line="360" w:lineRule="auto"/>
        <w:rPr>
          <w:bCs/>
          <w:sz w:val="26"/>
          <w:szCs w:val="26"/>
        </w:rPr>
      </w:pPr>
    </w:p>
    <w:p w14:paraId="4DF1EABC" w14:textId="28090B60" w:rsidR="002906C4" w:rsidRPr="00591394" w:rsidRDefault="002906C4" w:rsidP="00C6113D">
      <w:pPr>
        <w:widowControl/>
        <w:spacing w:line="360" w:lineRule="auto"/>
        <w:ind w:firstLine="1440"/>
        <w:rPr>
          <w:bCs/>
          <w:sz w:val="26"/>
          <w:szCs w:val="26"/>
        </w:rPr>
      </w:pPr>
      <w:r w:rsidRPr="00591394">
        <w:rPr>
          <w:bCs/>
          <w:sz w:val="26"/>
          <w:szCs w:val="26"/>
        </w:rPr>
        <w:t>The 2021 TRC Test Final Order</w:t>
      </w:r>
      <w:r w:rsidRPr="00591394">
        <w:rPr>
          <w:bCs/>
          <w:sz w:val="26"/>
          <w:szCs w:val="26"/>
          <w:vertAlign w:val="superscript"/>
        </w:rPr>
        <w:footnoteReference w:id="9"/>
      </w:r>
      <w:r w:rsidRPr="00591394">
        <w:rPr>
          <w:bCs/>
          <w:sz w:val="26"/>
          <w:szCs w:val="26"/>
        </w:rPr>
        <w:t xml:space="preserve"> was adopted at the December 19, 2019 Public Meeting at Docket No. M</w:t>
      </w:r>
      <w:r w:rsidRPr="00591394">
        <w:rPr>
          <w:bCs/>
          <w:sz w:val="26"/>
          <w:szCs w:val="26"/>
        </w:rPr>
        <w:noBreakHyphen/>
        <w:t>2019</w:t>
      </w:r>
      <w:r w:rsidRPr="00591394">
        <w:rPr>
          <w:bCs/>
          <w:sz w:val="26"/>
          <w:szCs w:val="26"/>
        </w:rPr>
        <w:noBreakHyphen/>
        <w:t xml:space="preserve">3006868.  The 2021 TRC Test Final Order provides comprehensive guidance on all aspects of Act 129 benefit-cost calculations for Phase IV of Act 129.  </w:t>
      </w:r>
      <w:r w:rsidR="006C742C" w:rsidRPr="00591394">
        <w:rPr>
          <w:bCs/>
          <w:i/>
          <w:iCs/>
          <w:sz w:val="26"/>
          <w:szCs w:val="26"/>
        </w:rPr>
        <w:t>Id.</w:t>
      </w:r>
    </w:p>
    <w:p w14:paraId="2F2A30DB" w14:textId="77777777" w:rsidR="002906C4" w:rsidRPr="00591394" w:rsidRDefault="002906C4" w:rsidP="00C6113D">
      <w:pPr>
        <w:widowControl/>
        <w:spacing w:line="360" w:lineRule="auto"/>
        <w:ind w:firstLine="1440"/>
        <w:rPr>
          <w:sz w:val="26"/>
          <w:szCs w:val="26"/>
        </w:rPr>
      </w:pPr>
    </w:p>
    <w:p w14:paraId="04181371" w14:textId="7A15240B" w:rsidR="008D4F4A" w:rsidRPr="00591394" w:rsidRDefault="00004C09" w:rsidP="00C6113D">
      <w:pPr>
        <w:widowControl/>
        <w:spacing w:line="360" w:lineRule="auto"/>
        <w:ind w:firstLine="1440"/>
        <w:rPr>
          <w:sz w:val="26"/>
          <w:szCs w:val="26"/>
        </w:rPr>
      </w:pPr>
      <w:r w:rsidRPr="00591394">
        <w:rPr>
          <w:sz w:val="26"/>
          <w:szCs w:val="26"/>
        </w:rPr>
        <w:t>The Commission will maintain the practice, used in Phases I</w:t>
      </w:r>
      <w:r w:rsidR="006D1D6B" w:rsidRPr="00591394">
        <w:rPr>
          <w:sz w:val="26"/>
          <w:szCs w:val="26"/>
        </w:rPr>
        <w:t xml:space="preserve">, II, </w:t>
      </w:r>
      <w:r w:rsidRPr="00591394">
        <w:rPr>
          <w:sz w:val="26"/>
          <w:szCs w:val="26"/>
        </w:rPr>
        <w:t>and II</w:t>
      </w:r>
      <w:r w:rsidR="006D1D6B" w:rsidRPr="00591394">
        <w:rPr>
          <w:sz w:val="26"/>
          <w:szCs w:val="26"/>
        </w:rPr>
        <w:t>I</w:t>
      </w:r>
      <w:r w:rsidRPr="00591394">
        <w:rPr>
          <w:sz w:val="26"/>
          <w:szCs w:val="26"/>
        </w:rPr>
        <w:t xml:space="preserve">, of using a Net-to-Gross (NTG) ratio for making modifications to programs during the phase, and for planning purposes for future phases.  </w:t>
      </w:r>
      <w:r w:rsidR="008D4F4A" w:rsidRPr="00591394">
        <w:rPr>
          <w:sz w:val="26"/>
          <w:szCs w:val="26"/>
        </w:rPr>
        <w:t xml:space="preserve">For Phase IV of Act 129, the Commission proposed maintaining the practice used in the prior phases where NTG research results are used for modifications to existing programs, as well as for planning purposes for future phases.  Furthermore, we proposed that compliance in Phase IV be determined using gross verified savings.  Additionally, we proposed that the EDCs include in their EE&amp;C Plans net TRC ratios, as well as gross TRC ratios, based on the best available estimates of NTG research for a given program type.  We recognized that prospective NTG adjustments would be speculative but conclude that adequate data should be available after a decade of EE&amp;C program implementation and evaluation to produce a reasonable projection.  The inclusion of NTG-based TRC ratios would provide all stakeholders with additional information regarding the effectiveness of EE&amp;C measures and programs.  No alternative proposals or comments opposing the proposed handling of the Net-to-Gross Adjustment for Phase IV of Act 129 were submitted by stakeholders.  </w:t>
      </w:r>
      <w:r w:rsidR="008D4F4A" w:rsidRPr="00591394">
        <w:rPr>
          <w:sz w:val="26"/>
          <w:szCs w:val="26"/>
        </w:rPr>
        <w:lastRenderedPageBreak/>
        <w:t xml:space="preserve">Therefore, for Phase IV of Act 129, NTG adjustments will be handled as proposed in the </w:t>
      </w:r>
      <w:r w:rsidR="00E270EC" w:rsidRPr="00591394">
        <w:rPr>
          <w:i/>
          <w:iCs/>
          <w:sz w:val="26"/>
          <w:szCs w:val="26"/>
        </w:rPr>
        <w:t>Phase IV Tentative Implementation Order</w:t>
      </w:r>
      <w:r w:rsidR="00E270EC" w:rsidRPr="00591394">
        <w:rPr>
          <w:sz w:val="26"/>
          <w:szCs w:val="26"/>
        </w:rPr>
        <w:t>.</w:t>
      </w:r>
      <w:r w:rsidR="008D4F4A" w:rsidRPr="00591394">
        <w:rPr>
          <w:sz w:val="26"/>
          <w:szCs w:val="26"/>
        </w:rPr>
        <w:t xml:space="preserve">  EDCs will continue to conduct NTG research for planning purposes and report both gross and net TRC ratios in their annual reports and EE&amp;C plans.  However, compliance with the directive to offer a cost-effective portfolio will continue to be based on the gross TRC ratio.  </w:t>
      </w:r>
      <w:r w:rsidR="008D4F4A" w:rsidRPr="00591394">
        <w:rPr>
          <w:i/>
          <w:iCs/>
          <w:sz w:val="26"/>
          <w:szCs w:val="26"/>
        </w:rPr>
        <w:t>Id</w:t>
      </w:r>
      <w:r w:rsidR="008D4F4A" w:rsidRPr="00591394">
        <w:rPr>
          <w:sz w:val="26"/>
          <w:szCs w:val="26"/>
        </w:rPr>
        <w:t xml:space="preserve"> at 109.</w:t>
      </w:r>
    </w:p>
    <w:p w14:paraId="5C354E3B" w14:textId="04070986" w:rsidR="00741DC6" w:rsidRPr="00591394" w:rsidRDefault="00741DC6" w:rsidP="00C6113D">
      <w:pPr>
        <w:widowControl/>
        <w:spacing w:line="360" w:lineRule="auto"/>
        <w:ind w:firstLine="1440"/>
        <w:rPr>
          <w:sz w:val="26"/>
          <w:szCs w:val="26"/>
        </w:rPr>
      </w:pPr>
    </w:p>
    <w:p w14:paraId="1D051639" w14:textId="0BCB68E0" w:rsidR="00741DC6" w:rsidRPr="00591394" w:rsidRDefault="001C13A4" w:rsidP="00C6113D">
      <w:pPr>
        <w:widowControl/>
        <w:spacing w:line="360" w:lineRule="auto"/>
        <w:ind w:firstLine="1440"/>
        <w:rPr>
          <w:sz w:val="26"/>
          <w:szCs w:val="26"/>
        </w:rPr>
      </w:pPr>
      <w:r w:rsidRPr="00591394">
        <w:rPr>
          <w:sz w:val="26"/>
          <w:szCs w:val="26"/>
        </w:rPr>
        <w:t xml:space="preserve">The results of the TRC are expressed as the net </w:t>
      </w:r>
      <w:r w:rsidR="0015437A" w:rsidRPr="00591394">
        <w:rPr>
          <w:sz w:val="26"/>
          <w:szCs w:val="26"/>
        </w:rPr>
        <w:t>present</w:t>
      </w:r>
      <w:r w:rsidRPr="00591394">
        <w:rPr>
          <w:sz w:val="26"/>
          <w:szCs w:val="26"/>
        </w:rPr>
        <w:t xml:space="preserve"> value and benefit</w:t>
      </w:r>
      <w:r w:rsidR="0015437A" w:rsidRPr="00591394">
        <w:rPr>
          <w:sz w:val="26"/>
          <w:szCs w:val="26"/>
        </w:rPr>
        <w:t xml:space="preserve">/cost (B/C) ratio.  </w:t>
      </w:r>
      <w:r w:rsidR="00300275" w:rsidRPr="00591394">
        <w:rPr>
          <w:sz w:val="26"/>
          <w:szCs w:val="26"/>
        </w:rPr>
        <w:t xml:space="preserve">Duquesne provides that </w:t>
      </w:r>
      <w:r w:rsidRPr="00591394">
        <w:rPr>
          <w:sz w:val="26"/>
          <w:szCs w:val="26"/>
        </w:rPr>
        <w:t xml:space="preserve">the </w:t>
      </w:r>
      <w:r w:rsidRPr="00591394">
        <w:rPr>
          <w:i/>
          <w:iCs/>
          <w:sz w:val="26"/>
          <w:szCs w:val="26"/>
        </w:rPr>
        <w:t xml:space="preserve">Revised </w:t>
      </w:r>
      <w:r w:rsidR="0015437A" w:rsidRPr="00591394">
        <w:rPr>
          <w:i/>
          <w:iCs/>
          <w:sz w:val="26"/>
          <w:szCs w:val="26"/>
        </w:rPr>
        <w:t>Phase IV</w:t>
      </w:r>
      <w:r w:rsidRPr="00591394">
        <w:rPr>
          <w:i/>
          <w:iCs/>
          <w:sz w:val="26"/>
          <w:szCs w:val="26"/>
        </w:rPr>
        <w:t xml:space="preserve"> Plan</w:t>
      </w:r>
      <w:r w:rsidRPr="00591394">
        <w:rPr>
          <w:sz w:val="26"/>
          <w:szCs w:val="26"/>
        </w:rPr>
        <w:t xml:space="preserve"> has </w:t>
      </w:r>
      <w:r w:rsidR="0015437A" w:rsidRPr="00591394">
        <w:rPr>
          <w:sz w:val="26"/>
          <w:szCs w:val="26"/>
        </w:rPr>
        <w:t>an</w:t>
      </w:r>
      <w:r w:rsidRPr="00591394">
        <w:rPr>
          <w:sz w:val="26"/>
          <w:szCs w:val="26"/>
        </w:rPr>
        <w:t xml:space="preserve"> overall B/C score of 1.29.</w:t>
      </w:r>
      <w:r w:rsidR="0015437A" w:rsidRPr="00591394">
        <w:rPr>
          <w:sz w:val="26"/>
          <w:szCs w:val="26"/>
        </w:rPr>
        <w:t xml:space="preserve">  </w:t>
      </w:r>
      <w:r w:rsidR="000000B1" w:rsidRPr="00591394">
        <w:rPr>
          <w:sz w:val="26"/>
          <w:szCs w:val="26"/>
        </w:rPr>
        <w:t xml:space="preserve">According to Duquesne, the Plan is cost effective as </w:t>
      </w:r>
      <w:r w:rsidR="00CE3F70" w:rsidRPr="00591394">
        <w:rPr>
          <w:sz w:val="26"/>
          <w:szCs w:val="26"/>
        </w:rPr>
        <w:t xml:space="preserve">a </w:t>
      </w:r>
      <w:r w:rsidR="000000B1" w:rsidRPr="00591394">
        <w:rPr>
          <w:sz w:val="26"/>
          <w:szCs w:val="26"/>
        </w:rPr>
        <w:t xml:space="preserve">whole.  Duquesne Statement of Support at 9-10.  </w:t>
      </w:r>
    </w:p>
    <w:p w14:paraId="41585BBE" w14:textId="2AAE90DF" w:rsidR="00656590" w:rsidRPr="00591394" w:rsidRDefault="00656590" w:rsidP="00C6113D">
      <w:pPr>
        <w:widowControl/>
        <w:spacing w:line="360" w:lineRule="auto"/>
        <w:ind w:firstLine="1440"/>
        <w:rPr>
          <w:sz w:val="26"/>
          <w:szCs w:val="26"/>
        </w:rPr>
      </w:pPr>
    </w:p>
    <w:p w14:paraId="09EE23D6" w14:textId="77777777" w:rsidR="00D73493" w:rsidRPr="00591394" w:rsidRDefault="007753B8" w:rsidP="00C6113D">
      <w:pPr>
        <w:pStyle w:val="Heading3"/>
        <w:keepNext/>
      </w:pPr>
      <w:bookmarkStart w:id="23" w:name="_Toc66354622"/>
      <w:r w:rsidRPr="00591394">
        <w:t>3</w:t>
      </w:r>
      <w:r w:rsidR="00D73493" w:rsidRPr="00591394">
        <w:t>.</w:t>
      </w:r>
      <w:r w:rsidR="00D73493" w:rsidRPr="00591394">
        <w:tab/>
        <w:t>Cost Allocation Issues</w:t>
      </w:r>
      <w:bookmarkEnd w:id="23"/>
    </w:p>
    <w:p w14:paraId="0FE16EBC" w14:textId="77777777" w:rsidR="00D73493" w:rsidRPr="00591394" w:rsidRDefault="00D73493" w:rsidP="00C6113D">
      <w:pPr>
        <w:keepNext/>
        <w:widowControl/>
        <w:spacing w:line="360" w:lineRule="auto"/>
        <w:ind w:firstLine="1440"/>
        <w:rPr>
          <w:sz w:val="26"/>
          <w:szCs w:val="26"/>
        </w:rPr>
      </w:pPr>
    </w:p>
    <w:p w14:paraId="5661D94B" w14:textId="2AACE209" w:rsidR="00F1652A" w:rsidRPr="00591394" w:rsidRDefault="00F020F6" w:rsidP="00C6113D">
      <w:pPr>
        <w:keepNext/>
        <w:widowControl/>
        <w:spacing w:line="360" w:lineRule="auto"/>
        <w:ind w:firstLine="1440"/>
        <w:rPr>
          <w:sz w:val="26"/>
          <w:szCs w:val="26"/>
        </w:rPr>
      </w:pPr>
      <w:r w:rsidRPr="00591394">
        <w:rPr>
          <w:sz w:val="26"/>
          <w:szCs w:val="26"/>
        </w:rPr>
        <w:t xml:space="preserve">66 Pa. C.S. § 2806.1(a)(11) requires that EE&amp;C measures be financed by the same customer class that receives the energy and conservation benefits of those measures.  In the </w:t>
      </w:r>
      <w:r w:rsidRPr="00591394">
        <w:rPr>
          <w:i/>
          <w:sz w:val="26"/>
          <w:szCs w:val="26"/>
        </w:rPr>
        <w:t>Phase I</w:t>
      </w:r>
      <w:r w:rsidR="00CE097D" w:rsidRPr="00591394">
        <w:rPr>
          <w:i/>
          <w:sz w:val="26"/>
          <w:szCs w:val="26"/>
        </w:rPr>
        <w:t>V</w:t>
      </w:r>
      <w:r w:rsidRPr="00591394">
        <w:rPr>
          <w:i/>
          <w:sz w:val="26"/>
          <w:szCs w:val="26"/>
        </w:rPr>
        <w:t xml:space="preserve"> Implementation Order</w:t>
      </w:r>
      <w:r w:rsidRPr="00591394">
        <w:rPr>
          <w:sz w:val="26"/>
          <w:szCs w:val="26"/>
        </w:rPr>
        <w:t>, we stated:</w:t>
      </w:r>
    </w:p>
    <w:p w14:paraId="45684B63" w14:textId="77777777" w:rsidR="00405543" w:rsidRPr="00591394" w:rsidRDefault="00405543" w:rsidP="004E2B63">
      <w:pPr>
        <w:widowControl/>
        <w:ind w:firstLine="1440"/>
        <w:rPr>
          <w:sz w:val="26"/>
          <w:szCs w:val="26"/>
        </w:rPr>
      </w:pPr>
    </w:p>
    <w:p w14:paraId="7F200431" w14:textId="3AF91501" w:rsidR="00F020F6" w:rsidRPr="00591394" w:rsidRDefault="00F020F6" w:rsidP="00C6113D">
      <w:pPr>
        <w:keepNext/>
        <w:widowControl/>
        <w:tabs>
          <w:tab w:val="left" w:pos="-2070"/>
        </w:tabs>
        <w:ind w:left="1440" w:right="1440"/>
        <w:rPr>
          <w:sz w:val="26"/>
          <w:szCs w:val="26"/>
        </w:rPr>
      </w:pPr>
      <w:r w:rsidRPr="00591394">
        <w:rPr>
          <w:sz w:val="26"/>
          <w:szCs w:val="26"/>
        </w:rPr>
        <w:t xml:space="preserve">In order to ensure that all approved EE&amp;C measures are financed by the customer classes that receive the benefit of such measures, it will be necessary to first assign the costs relating to each measure to those classes to whom it benefits.  Therefore, once the EDC has developed an estimate of its total EE&amp;C costs as directed above, the EDC is required to allocate those costs to each of its customer classes that will benefit from the measures to which the costs relate.  Those costs that </w:t>
      </w:r>
      <w:r w:rsidR="00AE00A8" w:rsidRPr="00591394">
        <w:rPr>
          <w:sz w:val="26"/>
          <w:szCs w:val="26"/>
        </w:rPr>
        <w:t xml:space="preserve">demonstrably and </w:t>
      </w:r>
      <w:r w:rsidRPr="00591394">
        <w:rPr>
          <w:sz w:val="26"/>
          <w:szCs w:val="26"/>
        </w:rPr>
        <w:t xml:space="preserve">exclusively </w:t>
      </w:r>
      <w:r w:rsidR="00923E87" w:rsidRPr="00591394">
        <w:rPr>
          <w:sz w:val="26"/>
          <w:szCs w:val="26"/>
        </w:rPr>
        <w:t xml:space="preserve">relate </w:t>
      </w:r>
      <w:r w:rsidRPr="00591394">
        <w:rPr>
          <w:sz w:val="26"/>
          <w:szCs w:val="26"/>
        </w:rPr>
        <w:t xml:space="preserve">to measures </w:t>
      </w:r>
      <w:r w:rsidR="00923E87" w:rsidRPr="00591394">
        <w:rPr>
          <w:sz w:val="26"/>
          <w:szCs w:val="26"/>
        </w:rPr>
        <w:t xml:space="preserve">or programs </w:t>
      </w:r>
      <w:r w:rsidRPr="00591394">
        <w:rPr>
          <w:sz w:val="26"/>
          <w:szCs w:val="26"/>
        </w:rPr>
        <w:t xml:space="preserve">that have been dedicated to a specific customer class should be assigned solely to that class.  Those costs that relate to measures that are applicable to more than one class, or that can be shown to provide system-wide benefits, should be allocated using reasonable and generally acceptable cost of service principles as are commonly utilized in base rate proceedings.  Administrative costs should also be allocated </w:t>
      </w:r>
      <w:r w:rsidRPr="00591394">
        <w:rPr>
          <w:sz w:val="26"/>
          <w:szCs w:val="26"/>
        </w:rPr>
        <w:lastRenderedPageBreak/>
        <w:t>using reasonable and generally acceptable cost-of-service principles.</w:t>
      </w:r>
    </w:p>
    <w:p w14:paraId="1537668E" w14:textId="77777777" w:rsidR="00F06928" w:rsidRPr="00591394" w:rsidRDefault="00F06928" w:rsidP="004E2B63">
      <w:pPr>
        <w:keepNext/>
        <w:widowControl/>
        <w:spacing w:line="360" w:lineRule="auto"/>
        <w:rPr>
          <w:i/>
          <w:sz w:val="26"/>
          <w:szCs w:val="26"/>
        </w:rPr>
      </w:pPr>
    </w:p>
    <w:p w14:paraId="667E20B1" w14:textId="4B624D2C" w:rsidR="00F020F6" w:rsidRPr="00591394" w:rsidRDefault="00F020F6" w:rsidP="004E2B63">
      <w:pPr>
        <w:keepNext/>
        <w:widowControl/>
        <w:spacing w:line="360" w:lineRule="auto"/>
        <w:rPr>
          <w:sz w:val="26"/>
          <w:szCs w:val="26"/>
        </w:rPr>
      </w:pPr>
      <w:r w:rsidRPr="00591394">
        <w:rPr>
          <w:i/>
          <w:sz w:val="26"/>
          <w:szCs w:val="26"/>
        </w:rPr>
        <w:t>Phase I</w:t>
      </w:r>
      <w:r w:rsidR="008130CE" w:rsidRPr="00591394">
        <w:rPr>
          <w:i/>
          <w:sz w:val="26"/>
          <w:szCs w:val="26"/>
        </w:rPr>
        <w:t>V</w:t>
      </w:r>
      <w:r w:rsidRPr="00591394">
        <w:rPr>
          <w:i/>
          <w:sz w:val="26"/>
          <w:szCs w:val="26"/>
        </w:rPr>
        <w:t xml:space="preserve"> Implementation Order </w:t>
      </w:r>
      <w:r w:rsidRPr="00591394">
        <w:rPr>
          <w:sz w:val="26"/>
          <w:szCs w:val="26"/>
        </w:rPr>
        <w:t>at 1</w:t>
      </w:r>
      <w:r w:rsidR="00B94FC2" w:rsidRPr="00591394">
        <w:rPr>
          <w:sz w:val="26"/>
          <w:szCs w:val="26"/>
        </w:rPr>
        <w:t>3</w:t>
      </w:r>
      <w:r w:rsidRPr="00591394">
        <w:rPr>
          <w:sz w:val="26"/>
          <w:szCs w:val="26"/>
        </w:rPr>
        <w:t>4</w:t>
      </w:r>
      <w:r w:rsidR="00091D95" w:rsidRPr="00591394">
        <w:rPr>
          <w:sz w:val="26"/>
          <w:szCs w:val="26"/>
        </w:rPr>
        <w:t xml:space="preserve"> (note omitted)</w:t>
      </w:r>
      <w:r w:rsidRPr="00591394">
        <w:rPr>
          <w:sz w:val="26"/>
          <w:szCs w:val="26"/>
        </w:rPr>
        <w:t>.</w:t>
      </w:r>
    </w:p>
    <w:p w14:paraId="6396641E" w14:textId="1B8BC218" w:rsidR="00B82C72" w:rsidRPr="00591394" w:rsidRDefault="00B82C72" w:rsidP="004E2B63">
      <w:pPr>
        <w:widowControl/>
        <w:spacing w:line="360" w:lineRule="auto"/>
        <w:rPr>
          <w:sz w:val="26"/>
          <w:szCs w:val="26"/>
        </w:rPr>
      </w:pPr>
    </w:p>
    <w:p w14:paraId="5BA1DB79" w14:textId="5BD5998E" w:rsidR="00B82C72" w:rsidRPr="00591394" w:rsidRDefault="00783733" w:rsidP="004E2B63">
      <w:pPr>
        <w:widowControl/>
        <w:spacing w:line="360" w:lineRule="auto"/>
        <w:ind w:firstLine="1440"/>
        <w:rPr>
          <w:sz w:val="26"/>
          <w:szCs w:val="26"/>
        </w:rPr>
      </w:pPr>
      <w:r w:rsidRPr="00591394">
        <w:rPr>
          <w:sz w:val="26"/>
          <w:szCs w:val="26"/>
        </w:rPr>
        <w:t>Duquesne</w:t>
      </w:r>
      <w:r w:rsidR="005F712E" w:rsidRPr="00591394">
        <w:rPr>
          <w:sz w:val="26"/>
          <w:szCs w:val="26"/>
        </w:rPr>
        <w:t xml:space="preserve"> </w:t>
      </w:r>
      <w:r w:rsidR="00531461" w:rsidRPr="00591394">
        <w:rPr>
          <w:sz w:val="26"/>
          <w:szCs w:val="26"/>
        </w:rPr>
        <w:t>prop</w:t>
      </w:r>
      <w:r w:rsidR="00DD1AE8" w:rsidRPr="00591394">
        <w:rPr>
          <w:sz w:val="26"/>
          <w:szCs w:val="26"/>
        </w:rPr>
        <w:t>o</w:t>
      </w:r>
      <w:r w:rsidR="00531461" w:rsidRPr="00591394">
        <w:rPr>
          <w:sz w:val="26"/>
          <w:szCs w:val="26"/>
        </w:rPr>
        <w:t>ses to implement four surcharges to recover costs as closely as possible to the customer class receiving the benefi</w:t>
      </w:r>
      <w:r w:rsidR="00900087" w:rsidRPr="00591394">
        <w:rPr>
          <w:sz w:val="26"/>
          <w:szCs w:val="26"/>
        </w:rPr>
        <w:t>t</w:t>
      </w:r>
      <w:r w:rsidR="00CC4F97" w:rsidRPr="00591394">
        <w:rPr>
          <w:sz w:val="26"/>
          <w:szCs w:val="26"/>
        </w:rPr>
        <w:t xml:space="preserve">.  </w:t>
      </w:r>
      <w:r w:rsidR="007F13C4" w:rsidRPr="00591394">
        <w:rPr>
          <w:sz w:val="26"/>
          <w:szCs w:val="26"/>
        </w:rPr>
        <w:t xml:space="preserve">According to Duquesne, this segmentation </w:t>
      </w:r>
      <w:r w:rsidR="00B471C6" w:rsidRPr="00591394">
        <w:rPr>
          <w:sz w:val="26"/>
          <w:szCs w:val="26"/>
        </w:rPr>
        <w:t xml:space="preserve">of customers aligns program costs with the current tariffed rates for distribution service.  </w:t>
      </w:r>
      <w:r w:rsidR="00DD1AE8" w:rsidRPr="00591394">
        <w:rPr>
          <w:i/>
          <w:iCs/>
          <w:sz w:val="26"/>
          <w:szCs w:val="26"/>
        </w:rPr>
        <w:t>Revised Phase IV Plan</w:t>
      </w:r>
      <w:r w:rsidR="00DD1AE8" w:rsidRPr="00591394">
        <w:rPr>
          <w:sz w:val="26"/>
          <w:szCs w:val="26"/>
        </w:rPr>
        <w:t xml:space="preserve"> at 107.  </w:t>
      </w:r>
    </w:p>
    <w:p w14:paraId="0FB90636" w14:textId="77777777" w:rsidR="00F1652A" w:rsidRPr="00591394" w:rsidRDefault="00F1652A" w:rsidP="004E2B63">
      <w:pPr>
        <w:widowControl/>
        <w:spacing w:line="360" w:lineRule="auto"/>
        <w:ind w:firstLine="1440"/>
        <w:rPr>
          <w:sz w:val="26"/>
          <w:szCs w:val="26"/>
        </w:rPr>
      </w:pPr>
    </w:p>
    <w:p w14:paraId="48300C46" w14:textId="0B74D968" w:rsidR="00D73493" w:rsidRPr="00591394" w:rsidRDefault="0014640C" w:rsidP="004E2B63">
      <w:pPr>
        <w:pStyle w:val="Heading3"/>
        <w:keepNext/>
      </w:pPr>
      <w:bookmarkStart w:id="24" w:name="_Toc66354623"/>
      <w:r w:rsidRPr="00591394">
        <w:t>4</w:t>
      </w:r>
      <w:r w:rsidR="00D73493" w:rsidRPr="00591394">
        <w:t>.</w:t>
      </w:r>
      <w:r w:rsidR="00D73493" w:rsidRPr="00591394">
        <w:tab/>
        <w:t xml:space="preserve">Cost Recovery </w:t>
      </w:r>
      <w:r w:rsidR="00594F9E" w:rsidRPr="00591394">
        <w:t>Tariff Issues</w:t>
      </w:r>
      <w:bookmarkEnd w:id="24"/>
    </w:p>
    <w:p w14:paraId="7653BE48" w14:textId="77777777" w:rsidR="00D73493" w:rsidRPr="00591394" w:rsidRDefault="00D73493" w:rsidP="004E2B63">
      <w:pPr>
        <w:keepNext/>
        <w:widowControl/>
        <w:spacing w:line="360" w:lineRule="auto"/>
        <w:rPr>
          <w:sz w:val="26"/>
          <w:szCs w:val="26"/>
        </w:rPr>
      </w:pPr>
    </w:p>
    <w:p w14:paraId="2B7B6208" w14:textId="73008FB7" w:rsidR="001923A6" w:rsidRPr="00591394" w:rsidRDefault="00FA397B" w:rsidP="004E2B63">
      <w:pPr>
        <w:keepNext/>
        <w:widowControl/>
        <w:spacing w:line="360" w:lineRule="auto"/>
        <w:ind w:firstLine="1440"/>
        <w:rPr>
          <w:sz w:val="26"/>
          <w:szCs w:val="26"/>
        </w:rPr>
      </w:pPr>
      <w:r w:rsidRPr="00591394">
        <w:rPr>
          <w:sz w:val="26"/>
          <w:szCs w:val="26"/>
        </w:rPr>
        <w:t xml:space="preserve">In the </w:t>
      </w:r>
      <w:r w:rsidR="001923A6" w:rsidRPr="00591394">
        <w:rPr>
          <w:i/>
          <w:iCs/>
          <w:sz w:val="26"/>
          <w:szCs w:val="26"/>
        </w:rPr>
        <w:t xml:space="preserve">Phase IV </w:t>
      </w:r>
      <w:r w:rsidR="00663E67" w:rsidRPr="00591394">
        <w:rPr>
          <w:i/>
          <w:iCs/>
          <w:sz w:val="26"/>
          <w:szCs w:val="26"/>
        </w:rPr>
        <w:t>Implementation</w:t>
      </w:r>
      <w:r w:rsidR="001923A6" w:rsidRPr="00591394">
        <w:rPr>
          <w:i/>
          <w:iCs/>
          <w:sz w:val="26"/>
          <w:szCs w:val="26"/>
        </w:rPr>
        <w:t xml:space="preserve"> Order</w:t>
      </w:r>
      <w:r w:rsidR="001923A6" w:rsidRPr="00591394">
        <w:rPr>
          <w:sz w:val="26"/>
          <w:szCs w:val="26"/>
        </w:rPr>
        <w:t>, we stated:</w:t>
      </w:r>
    </w:p>
    <w:p w14:paraId="5B23C324" w14:textId="77777777" w:rsidR="001923A6" w:rsidRPr="00591394" w:rsidRDefault="001923A6" w:rsidP="004E2B63">
      <w:pPr>
        <w:widowControl/>
        <w:ind w:firstLine="1440"/>
        <w:rPr>
          <w:sz w:val="26"/>
          <w:szCs w:val="26"/>
        </w:rPr>
      </w:pPr>
    </w:p>
    <w:p w14:paraId="153376EE" w14:textId="376C91D7" w:rsidR="00872EDD" w:rsidRPr="00591394" w:rsidRDefault="00872EDD" w:rsidP="00C6113D">
      <w:pPr>
        <w:widowControl/>
        <w:ind w:left="1440" w:right="1440"/>
        <w:rPr>
          <w:sz w:val="26"/>
          <w:szCs w:val="26"/>
        </w:rPr>
      </w:pPr>
      <w:r w:rsidRPr="00591394">
        <w:rPr>
          <w:sz w:val="26"/>
          <w:szCs w:val="26"/>
        </w:rPr>
        <w:t>The Act allows all EDCs to recover, on a full and current basis from customers, through a reconcilable adjustment clause under 66 Pa. C.S. § 1307, all reasonable and prudent costs incurred in the provision or management of its plan.  The Act also requires that each EDC’s plan include a proposed cost</w:t>
      </w:r>
      <w:r w:rsidRPr="00591394">
        <w:rPr>
          <w:sz w:val="26"/>
          <w:szCs w:val="26"/>
        </w:rPr>
        <w:noBreakHyphen/>
        <w:t>recovery tariff mechanism, in accordance with 66 Pa. C.S. § 1307 (relating to sliding scale of rates; adjustments), to fund all measures and to ensure a full and current recovery of prudent and reasonable costs, including administrative costs, as approved by the Commission.</w:t>
      </w:r>
    </w:p>
    <w:p w14:paraId="72664A2C" w14:textId="77777777" w:rsidR="00872EDD" w:rsidRPr="00591394" w:rsidRDefault="00872EDD" w:rsidP="00C6113D">
      <w:pPr>
        <w:widowControl/>
        <w:ind w:left="1440" w:right="1440"/>
        <w:rPr>
          <w:sz w:val="26"/>
          <w:szCs w:val="26"/>
        </w:rPr>
      </w:pPr>
    </w:p>
    <w:p w14:paraId="59386ACA" w14:textId="77777777" w:rsidR="00872EDD" w:rsidRPr="00591394" w:rsidRDefault="00872EDD" w:rsidP="00C6113D">
      <w:pPr>
        <w:widowControl/>
        <w:ind w:left="1440" w:right="1440"/>
        <w:rPr>
          <w:sz w:val="26"/>
          <w:szCs w:val="26"/>
        </w:rPr>
      </w:pPr>
      <w:r w:rsidRPr="00591394">
        <w:rPr>
          <w:b/>
          <w:sz w:val="26"/>
          <w:szCs w:val="26"/>
        </w:rPr>
        <w:tab/>
      </w:r>
      <w:r w:rsidRPr="00591394">
        <w:rPr>
          <w:sz w:val="26"/>
          <w:szCs w:val="26"/>
        </w:rPr>
        <w:t xml:space="preserve">The Commission proposed the use of a standardized reconciliation that will enable the EDCs and ratepayers to compare the cost recovery of program expenditures of all EDCs on an equal basis.  We also concluded that it is beneficial to the EDCs and ratepayers that, with the implementation of Phase IV, the annual surcharge should be based on the projected program costs that the EDC anticipates will be incurred over the surcharge application year to attain the conservation targets.  </w:t>
      </w:r>
    </w:p>
    <w:p w14:paraId="64659FB9" w14:textId="77777777" w:rsidR="00872EDD" w:rsidRPr="00591394" w:rsidRDefault="00872EDD" w:rsidP="00C6113D">
      <w:pPr>
        <w:widowControl/>
        <w:ind w:left="1440" w:right="1440"/>
        <w:rPr>
          <w:sz w:val="26"/>
          <w:szCs w:val="26"/>
        </w:rPr>
      </w:pPr>
    </w:p>
    <w:p w14:paraId="29AD5BF8" w14:textId="416E7ECD" w:rsidR="00872EDD" w:rsidRPr="00591394" w:rsidRDefault="00872EDD" w:rsidP="00C6113D">
      <w:pPr>
        <w:widowControl/>
        <w:ind w:left="1440" w:right="1440"/>
        <w:rPr>
          <w:sz w:val="26"/>
          <w:szCs w:val="26"/>
        </w:rPr>
      </w:pPr>
      <w:r w:rsidRPr="00591394">
        <w:rPr>
          <w:sz w:val="26"/>
          <w:szCs w:val="26"/>
        </w:rPr>
        <w:t xml:space="preserve">The development of the surcharge using the projected program costs rather than the authorized budget amount will </w:t>
      </w:r>
      <w:r w:rsidRPr="00591394">
        <w:rPr>
          <w:sz w:val="26"/>
          <w:szCs w:val="26"/>
        </w:rPr>
        <w:lastRenderedPageBreak/>
        <w:t>mitigate over- or under-recoveries of costs during the surcharge application period.  Additionally, we find that actual expenses incurred should be reconciled to actual revenues received.  Furthermore, for transparency purposes, the 1307(e) reconciliation statement should clearly identify PJM FCM proceeds as cost reductions and PJM FCM deficiency charges as cost increases.  A reconciliation methodology based upon actual expenditures is pursuant to Section 1307(e) of the Public Utility Code, 66 Pa. C.S. §</w:t>
      </w:r>
      <w:r w:rsidR="004E2B63">
        <w:rPr>
          <w:sz w:val="26"/>
          <w:szCs w:val="26"/>
        </w:rPr>
        <w:t> </w:t>
      </w:r>
      <w:r w:rsidRPr="00591394">
        <w:rPr>
          <w:sz w:val="26"/>
          <w:szCs w:val="26"/>
        </w:rPr>
        <w:t xml:space="preserve">1307(e) and allows for the provision of interest on over- or under-recoveries.  We concluded that these measures </w:t>
      </w:r>
      <w:proofErr w:type="gramStart"/>
      <w:r w:rsidRPr="00591394">
        <w:rPr>
          <w:sz w:val="26"/>
          <w:szCs w:val="26"/>
        </w:rPr>
        <w:t>will</w:t>
      </w:r>
      <w:proofErr w:type="gramEnd"/>
      <w:r w:rsidRPr="00591394">
        <w:rPr>
          <w:sz w:val="26"/>
          <w:szCs w:val="26"/>
        </w:rPr>
        <w:t xml:space="preserve"> mitigate the over- or under-recovery of costs during the surcharge application period.  As such, consistent with our determination in the Phase III Final Implementation Order,</w:t>
      </w:r>
      <w:r w:rsidRPr="00591394">
        <w:rPr>
          <w:sz w:val="26"/>
          <w:szCs w:val="26"/>
          <w:vertAlign w:val="superscript"/>
        </w:rPr>
        <w:footnoteReference w:id="10"/>
      </w:r>
      <w:r w:rsidRPr="00591394">
        <w:rPr>
          <w:sz w:val="26"/>
          <w:szCs w:val="26"/>
        </w:rPr>
        <w:t xml:space="preserve"> the Commission proposed for Phase IV to not require the provision of interest on over- or under</w:t>
      </w:r>
      <w:r w:rsidRPr="00591394">
        <w:rPr>
          <w:sz w:val="26"/>
          <w:szCs w:val="26"/>
        </w:rPr>
        <w:noBreakHyphen/>
        <w:t xml:space="preserve">recoveries.  </w:t>
      </w:r>
    </w:p>
    <w:p w14:paraId="7AADF1D0" w14:textId="77777777" w:rsidR="00872EDD" w:rsidRPr="00591394" w:rsidRDefault="00872EDD" w:rsidP="00C6113D">
      <w:pPr>
        <w:widowControl/>
        <w:ind w:left="1440" w:right="1440"/>
        <w:rPr>
          <w:sz w:val="26"/>
          <w:szCs w:val="26"/>
        </w:rPr>
      </w:pPr>
    </w:p>
    <w:p w14:paraId="7E22A5A8" w14:textId="77777777" w:rsidR="00872EDD" w:rsidRPr="00591394" w:rsidRDefault="00872EDD" w:rsidP="00C6113D">
      <w:pPr>
        <w:widowControl/>
        <w:ind w:left="1440" w:right="1440"/>
        <w:rPr>
          <w:sz w:val="26"/>
          <w:szCs w:val="26"/>
        </w:rPr>
      </w:pPr>
      <w:r w:rsidRPr="00591394">
        <w:rPr>
          <w:sz w:val="26"/>
          <w:szCs w:val="26"/>
        </w:rPr>
        <w:t>To further standardize the filing process, we proposed that the EDCs file by May 1, the annual rate adjustment for the rate to become effective June 1.  Concurrent with the annual rate adjustment, the EDCs would submit, in a separate filing, the annual reconciliation statement thirty days following the end of the reconciliation period in accordance with Section 1307(e) of the Public Utility Code, 66 Pa. C. S. § 1307(e).</w:t>
      </w:r>
    </w:p>
    <w:p w14:paraId="5798D8B8" w14:textId="3AAE56C5" w:rsidR="00872EDD" w:rsidRPr="00591394" w:rsidRDefault="00872EDD" w:rsidP="00C6113D">
      <w:pPr>
        <w:widowControl/>
        <w:tabs>
          <w:tab w:val="left" w:pos="204"/>
        </w:tabs>
        <w:autoSpaceDE w:val="0"/>
        <w:autoSpaceDN w:val="0"/>
        <w:adjustRightInd w:val="0"/>
        <w:ind w:left="1440" w:right="1440"/>
        <w:rPr>
          <w:sz w:val="26"/>
          <w:szCs w:val="26"/>
        </w:rPr>
      </w:pPr>
      <w:r w:rsidRPr="00591394">
        <w:rPr>
          <w:sz w:val="26"/>
          <w:szCs w:val="26"/>
        </w:rPr>
        <w:t>The Commission agrees with comments filed on this topic in prior proceedings that surcharges should be combined into a single surcharge and tariff with the implementation of Phase IV.  In order to transition from Phase III, ending May 31, 2021, to Phase IV, beginning on June 1, 2021, we proposed that each EDC reconcile its total actual recoverable EE&amp;C Plan expenditures incurred through March 31, 2021, with its actual EE&amp;C Plan revenues received through March 31, 2021.</w:t>
      </w:r>
      <w:r w:rsidRPr="00591394">
        <w:rPr>
          <w:sz w:val="26"/>
          <w:szCs w:val="26"/>
          <w:vertAlign w:val="superscript"/>
        </w:rPr>
        <w:footnoteReference w:id="11"/>
      </w:r>
      <w:r w:rsidRPr="00591394">
        <w:rPr>
          <w:sz w:val="26"/>
          <w:szCs w:val="26"/>
        </w:rPr>
        <w:t xml:space="preserve">  In addition, each EDC should include, as part of the calculation of the Phase IV rates to become effective June 1, 2021, as clearly identified separate line items, projections of the expenses to finalize any measures installed and commercially operable on or before May 31, 2021; expenses to finalize any contracts; and other Phase III administrative </w:t>
      </w:r>
      <w:r w:rsidRPr="00591394">
        <w:rPr>
          <w:sz w:val="26"/>
          <w:szCs w:val="26"/>
        </w:rPr>
        <w:lastRenderedPageBreak/>
        <w:t>obligations.  The Phase III rate that becomes effective June</w:t>
      </w:r>
      <w:r w:rsidR="004E2B63">
        <w:rPr>
          <w:sz w:val="26"/>
          <w:szCs w:val="26"/>
        </w:rPr>
        <w:t> </w:t>
      </w:r>
      <w:r w:rsidRPr="00591394">
        <w:rPr>
          <w:sz w:val="26"/>
          <w:szCs w:val="26"/>
        </w:rPr>
        <w:t>1,</w:t>
      </w:r>
      <w:r w:rsidR="004E2B63">
        <w:rPr>
          <w:sz w:val="26"/>
          <w:szCs w:val="26"/>
        </w:rPr>
        <w:t> </w:t>
      </w:r>
      <w:r w:rsidRPr="00591394">
        <w:rPr>
          <w:sz w:val="26"/>
          <w:szCs w:val="26"/>
        </w:rPr>
        <w:t>2020 will remain effective through May 31, 2021.  The revenues and expenses of the remaining two months of Phase III (i.e., April 2021 and May 2021); expenses to finalize any measures installed and commercially operable on or before May 31, 2021; expenses to finalize any contracts; and other Phase III administrative obligations should be included, as clearly identified separate line items, in the reconciliation for the period April 1, 2021 through March</w:t>
      </w:r>
      <w:r w:rsidR="004E2B63">
        <w:rPr>
          <w:sz w:val="26"/>
          <w:szCs w:val="26"/>
        </w:rPr>
        <w:t> </w:t>
      </w:r>
      <w:r w:rsidRPr="00591394">
        <w:rPr>
          <w:sz w:val="26"/>
          <w:szCs w:val="26"/>
        </w:rPr>
        <w:t>31,</w:t>
      </w:r>
      <w:r w:rsidR="004E2B63">
        <w:rPr>
          <w:sz w:val="26"/>
          <w:szCs w:val="26"/>
        </w:rPr>
        <w:t> </w:t>
      </w:r>
      <w:r w:rsidRPr="00591394">
        <w:rPr>
          <w:sz w:val="26"/>
          <w:szCs w:val="26"/>
        </w:rPr>
        <w:t>2022.</w:t>
      </w:r>
    </w:p>
    <w:p w14:paraId="1DBEF399" w14:textId="011DD1CF" w:rsidR="00872EDD" w:rsidRPr="00591394" w:rsidRDefault="00872EDD" w:rsidP="00C6113D">
      <w:pPr>
        <w:widowControl/>
        <w:tabs>
          <w:tab w:val="left" w:pos="204"/>
        </w:tabs>
        <w:autoSpaceDE w:val="0"/>
        <w:autoSpaceDN w:val="0"/>
        <w:adjustRightInd w:val="0"/>
        <w:ind w:left="1440" w:right="1440"/>
        <w:rPr>
          <w:sz w:val="26"/>
          <w:szCs w:val="26"/>
        </w:rPr>
      </w:pPr>
    </w:p>
    <w:p w14:paraId="4193E583" w14:textId="7006A61F" w:rsidR="00872EDD" w:rsidRDefault="00872EDD" w:rsidP="00C6113D">
      <w:pPr>
        <w:widowControl/>
        <w:autoSpaceDE w:val="0"/>
        <w:autoSpaceDN w:val="0"/>
        <w:adjustRightInd w:val="0"/>
        <w:ind w:left="1440" w:right="1440"/>
        <w:rPr>
          <w:sz w:val="26"/>
          <w:szCs w:val="26"/>
        </w:rPr>
      </w:pPr>
      <w:r w:rsidRPr="00591394">
        <w:rPr>
          <w:sz w:val="26"/>
          <w:szCs w:val="26"/>
        </w:rPr>
        <w:t xml:space="preserve">We proposed that the standardized reconciliation process and the calculation of the annual surcharge will be set forth by each EDC in a supplement or supplements to the EDC’s tariff to become effective June 1, 2021, be accompanied by a full and clear explanation as to their operation and applicability to each customer class.  The EE&amp;C rates are subject to continuous Commission review and audit as well as reconciliation reports in accordance with Section 1307(e) of the Public Utility Code, 66 Pa. C.S. § 1307(e).  Lastly, we proposed that under no circumstances will an EDC be permitted to recover, in the automatic adjustment clause, any EE&amp;C Plan-related costs that have been claimed and permitted recovery in base rates.  As no comments were received on this topic, the Commission adopts the cost recovery tariff mechanism as proposed. </w:t>
      </w:r>
    </w:p>
    <w:p w14:paraId="4A1FEEBF" w14:textId="77777777" w:rsidR="00D64128" w:rsidRPr="00591394" w:rsidRDefault="00D64128" w:rsidP="004E2B63">
      <w:pPr>
        <w:widowControl/>
        <w:autoSpaceDE w:val="0"/>
        <w:autoSpaceDN w:val="0"/>
        <w:adjustRightInd w:val="0"/>
        <w:spacing w:line="360" w:lineRule="auto"/>
        <w:ind w:left="1440" w:right="1440"/>
        <w:rPr>
          <w:sz w:val="26"/>
          <w:szCs w:val="26"/>
        </w:rPr>
      </w:pPr>
    </w:p>
    <w:p w14:paraId="278C822A" w14:textId="75B1DE9D" w:rsidR="000F7FC7" w:rsidRPr="00591394" w:rsidRDefault="001923A6" w:rsidP="004E2B63">
      <w:pPr>
        <w:widowControl/>
        <w:spacing w:line="360" w:lineRule="auto"/>
        <w:rPr>
          <w:i/>
          <w:iCs/>
          <w:sz w:val="26"/>
          <w:szCs w:val="26"/>
        </w:rPr>
      </w:pPr>
      <w:r w:rsidRPr="00591394">
        <w:rPr>
          <w:i/>
          <w:iCs/>
          <w:sz w:val="26"/>
          <w:szCs w:val="26"/>
        </w:rPr>
        <w:t xml:space="preserve">Phase IV implementation Order at </w:t>
      </w:r>
      <w:r w:rsidR="00663E67" w:rsidRPr="00591394">
        <w:rPr>
          <w:i/>
          <w:iCs/>
          <w:sz w:val="26"/>
          <w:szCs w:val="26"/>
        </w:rPr>
        <w:t>141-143</w:t>
      </w:r>
      <w:r w:rsidR="00644160" w:rsidRPr="00591394">
        <w:rPr>
          <w:i/>
          <w:iCs/>
          <w:sz w:val="26"/>
          <w:szCs w:val="26"/>
        </w:rPr>
        <w:t>.</w:t>
      </w:r>
    </w:p>
    <w:p w14:paraId="76338421" w14:textId="77777777" w:rsidR="00644160" w:rsidRPr="00591394" w:rsidRDefault="00644160" w:rsidP="004E2B63">
      <w:pPr>
        <w:widowControl/>
        <w:spacing w:line="360" w:lineRule="auto"/>
        <w:rPr>
          <w:i/>
          <w:iCs/>
          <w:sz w:val="26"/>
          <w:szCs w:val="26"/>
        </w:rPr>
      </w:pPr>
    </w:p>
    <w:p w14:paraId="2DC2DB86" w14:textId="77777777" w:rsidR="001D6EF2" w:rsidRPr="00591394" w:rsidRDefault="003D74DB" w:rsidP="004E2B63">
      <w:pPr>
        <w:widowControl/>
        <w:spacing w:line="360" w:lineRule="auto"/>
        <w:ind w:firstLine="1440"/>
        <w:textAlignment w:val="baseline"/>
        <w:rPr>
          <w:sz w:val="26"/>
          <w:szCs w:val="26"/>
        </w:rPr>
      </w:pPr>
      <w:r w:rsidRPr="00591394">
        <w:rPr>
          <w:color w:val="000000"/>
          <w:spacing w:val="1"/>
          <w:sz w:val="26"/>
          <w:szCs w:val="26"/>
        </w:rPr>
        <w:t>Duquesne provides that, i</w:t>
      </w:r>
      <w:r w:rsidR="00B21BED" w:rsidRPr="00591394">
        <w:rPr>
          <w:color w:val="000000"/>
          <w:spacing w:val="1"/>
          <w:sz w:val="26"/>
          <w:szCs w:val="26"/>
        </w:rPr>
        <w:t xml:space="preserve">n compliance with the </w:t>
      </w:r>
      <w:r w:rsidR="00B21BED" w:rsidRPr="00591394">
        <w:rPr>
          <w:i/>
          <w:color w:val="000000"/>
          <w:spacing w:val="1"/>
          <w:sz w:val="26"/>
          <w:szCs w:val="26"/>
        </w:rPr>
        <w:t>Phase IV Implementation Order</w:t>
      </w:r>
      <w:r w:rsidR="00B21BED" w:rsidRPr="00591394">
        <w:rPr>
          <w:color w:val="000000"/>
          <w:spacing w:val="1"/>
          <w:sz w:val="26"/>
          <w:szCs w:val="26"/>
        </w:rPr>
        <w:t xml:space="preserve">, Duquesne will combine the Phase III and Phase IV surcharges into a single surcharge and tariff. </w:t>
      </w:r>
      <w:r w:rsidR="004A2D28" w:rsidRPr="00591394">
        <w:rPr>
          <w:color w:val="000000"/>
          <w:spacing w:val="1"/>
          <w:sz w:val="26"/>
          <w:szCs w:val="26"/>
        </w:rPr>
        <w:t xml:space="preserve"> </w:t>
      </w:r>
      <w:r w:rsidR="00B21BED" w:rsidRPr="00591394">
        <w:rPr>
          <w:color w:val="000000"/>
          <w:spacing w:val="1"/>
          <w:sz w:val="26"/>
          <w:szCs w:val="26"/>
        </w:rPr>
        <w:t xml:space="preserve">Duquesne </w:t>
      </w:r>
      <w:r w:rsidRPr="00591394">
        <w:rPr>
          <w:color w:val="000000"/>
          <w:spacing w:val="1"/>
          <w:sz w:val="26"/>
          <w:szCs w:val="26"/>
        </w:rPr>
        <w:t>i</w:t>
      </w:r>
      <w:r w:rsidR="00B21BED" w:rsidRPr="00591394">
        <w:rPr>
          <w:color w:val="000000"/>
          <w:spacing w:val="1"/>
          <w:sz w:val="26"/>
          <w:szCs w:val="26"/>
        </w:rPr>
        <w:t xml:space="preserve">s proposing to revise the Phase III Rider No. 15a, “Energy Efficiency and Conservation,” to its tariff. </w:t>
      </w:r>
      <w:r w:rsidR="009C0F12" w:rsidRPr="00591394">
        <w:rPr>
          <w:color w:val="000000"/>
          <w:spacing w:val="1"/>
          <w:sz w:val="26"/>
          <w:szCs w:val="26"/>
        </w:rPr>
        <w:t xml:space="preserve"> </w:t>
      </w:r>
      <w:r w:rsidR="00B21BED" w:rsidRPr="00591394">
        <w:rPr>
          <w:color w:val="000000"/>
          <w:spacing w:val="1"/>
          <w:sz w:val="26"/>
          <w:szCs w:val="26"/>
        </w:rPr>
        <w:t xml:space="preserve">The tariff sets forth the monthly surcharge rates by customer class to recover the program budgets. </w:t>
      </w:r>
      <w:r w:rsidR="009C0F12" w:rsidRPr="00591394">
        <w:rPr>
          <w:color w:val="000000"/>
          <w:spacing w:val="1"/>
          <w:sz w:val="26"/>
          <w:szCs w:val="26"/>
        </w:rPr>
        <w:t xml:space="preserve"> Duquesne explains that </w:t>
      </w:r>
      <w:r w:rsidR="00B21BED" w:rsidRPr="00591394">
        <w:rPr>
          <w:color w:val="000000"/>
          <w:spacing w:val="1"/>
          <w:sz w:val="26"/>
          <w:szCs w:val="26"/>
        </w:rPr>
        <w:t xml:space="preserve">the proposed cost recovery method is different for residential, small/medium C&amp;I and large C&amp;I customer classes, </w:t>
      </w:r>
      <w:r w:rsidR="004B6385" w:rsidRPr="00591394">
        <w:rPr>
          <w:color w:val="000000"/>
          <w:spacing w:val="1"/>
          <w:sz w:val="26"/>
          <w:szCs w:val="26"/>
        </w:rPr>
        <w:t xml:space="preserve">so that </w:t>
      </w:r>
      <w:r w:rsidR="00B21BED" w:rsidRPr="00591394">
        <w:rPr>
          <w:color w:val="000000"/>
          <w:spacing w:val="1"/>
          <w:sz w:val="26"/>
          <w:szCs w:val="26"/>
        </w:rPr>
        <w:t xml:space="preserve">a formula and description of the formula is defined for each customer class surcharge. </w:t>
      </w:r>
      <w:r w:rsidR="004B6385" w:rsidRPr="00591394">
        <w:rPr>
          <w:color w:val="000000"/>
          <w:spacing w:val="1"/>
          <w:sz w:val="26"/>
          <w:szCs w:val="26"/>
        </w:rPr>
        <w:t xml:space="preserve"> </w:t>
      </w:r>
      <w:r w:rsidR="00B21BED" w:rsidRPr="00591394">
        <w:rPr>
          <w:color w:val="000000"/>
          <w:spacing w:val="1"/>
          <w:sz w:val="26"/>
          <w:szCs w:val="26"/>
        </w:rPr>
        <w:t xml:space="preserve">Four surcharges are defined to recover costs </w:t>
      </w:r>
      <w:r w:rsidR="00B21BED" w:rsidRPr="00591394">
        <w:rPr>
          <w:color w:val="000000"/>
          <w:spacing w:val="1"/>
          <w:sz w:val="26"/>
          <w:szCs w:val="26"/>
        </w:rPr>
        <w:lastRenderedPageBreak/>
        <w:t xml:space="preserve">as reasonably close as possible for each customer class and segment within the class, i.e., commercial or industrial customers. </w:t>
      </w:r>
      <w:r w:rsidR="004B6385" w:rsidRPr="00591394">
        <w:rPr>
          <w:color w:val="000000"/>
          <w:spacing w:val="1"/>
          <w:sz w:val="26"/>
          <w:szCs w:val="26"/>
        </w:rPr>
        <w:t xml:space="preserve"> </w:t>
      </w:r>
      <w:r w:rsidR="00B21BED" w:rsidRPr="00591394">
        <w:rPr>
          <w:color w:val="000000"/>
          <w:spacing w:val="1"/>
          <w:sz w:val="26"/>
          <w:szCs w:val="26"/>
        </w:rPr>
        <w:t xml:space="preserve">The formulas are in accordance with the provisions of a Section 1307 cost recovery surcharge and include reconciliation of over or under collections. </w:t>
      </w:r>
      <w:r w:rsidR="004B6385" w:rsidRPr="00591394">
        <w:rPr>
          <w:color w:val="000000"/>
          <w:spacing w:val="1"/>
          <w:sz w:val="26"/>
          <w:szCs w:val="26"/>
        </w:rPr>
        <w:t xml:space="preserve"> </w:t>
      </w:r>
      <w:r w:rsidR="00B21BED" w:rsidRPr="00591394">
        <w:rPr>
          <w:color w:val="000000"/>
          <w:spacing w:val="1"/>
          <w:sz w:val="26"/>
          <w:szCs w:val="26"/>
        </w:rPr>
        <w:t xml:space="preserve">Duquesne </w:t>
      </w:r>
      <w:r w:rsidR="004B6385" w:rsidRPr="00591394">
        <w:rPr>
          <w:color w:val="000000"/>
          <w:spacing w:val="1"/>
          <w:sz w:val="26"/>
          <w:szCs w:val="26"/>
        </w:rPr>
        <w:t xml:space="preserve">states that it will </w:t>
      </w:r>
      <w:r w:rsidR="00B21BED" w:rsidRPr="00591394">
        <w:rPr>
          <w:color w:val="000000"/>
          <w:spacing w:val="1"/>
          <w:sz w:val="26"/>
          <w:szCs w:val="26"/>
        </w:rPr>
        <w:t xml:space="preserve">not impose any interest on over or under collections, per the </w:t>
      </w:r>
      <w:r w:rsidR="00B21BED" w:rsidRPr="00591394">
        <w:rPr>
          <w:i/>
          <w:iCs/>
          <w:color w:val="000000"/>
          <w:spacing w:val="1"/>
          <w:sz w:val="26"/>
          <w:szCs w:val="26"/>
        </w:rPr>
        <w:t>Phase IV Implementation Order</w:t>
      </w:r>
      <w:r w:rsidR="00B21BED" w:rsidRPr="00591394">
        <w:rPr>
          <w:color w:val="000000"/>
          <w:spacing w:val="1"/>
          <w:sz w:val="26"/>
          <w:szCs w:val="26"/>
        </w:rPr>
        <w:t>.</w:t>
      </w:r>
      <w:r w:rsidR="00CC223F" w:rsidRPr="00591394">
        <w:rPr>
          <w:color w:val="000000"/>
          <w:spacing w:val="1"/>
          <w:sz w:val="26"/>
          <w:szCs w:val="26"/>
        </w:rPr>
        <w:t xml:space="preserve">  </w:t>
      </w:r>
      <w:r w:rsidR="00CC223F" w:rsidRPr="00591394">
        <w:rPr>
          <w:sz w:val="26"/>
          <w:szCs w:val="26"/>
        </w:rPr>
        <w:t>Duquesne Statement in Support at 12-13.</w:t>
      </w:r>
    </w:p>
    <w:p w14:paraId="03555FD4" w14:textId="77777777" w:rsidR="001D6EF2" w:rsidRPr="00591394" w:rsidRDefault="001D6EF2" w:rsidP="00C6113D">
      <w:pPr>
        <w:widowControl/>
        <w:spacing w:line="360" w:lineRule="auto"/>
        <w:ind w:firstLine="1440"/>
        <w:textAlignment w:val="baseline"/>
        <w:rPr>
          <w:sz w:val="26"/>
          <w:szCs w:val="26"/>
        </w:rPr>
      </w:pPr>
    </w:p>
    <w:p w14:paraId="12F09631" w14:textId="497AEF80" w:rsidR="00B21BED" w:rsidRPr="00591394" w:rsidRDefault="00732FAA" w:rsidP="004E2B63">
      <w:pPr>
        <w:widowControl/>
        <w:spacing w:line="360" w:lineRule="auto"/>
        <w:ind w:firstLine="1440"/>
        <w:textAlignment w:val="baseline"/>
        <w:rPr>
          <w:sz w:val="26"/>
          <w:szCs w:val="26"/>
        </w:rPr>
      </w:pPr>
      <w:r w:rsidRPr="00591394">
        <w:rPr>
          <w:color w:val="000000"/>
          <w:sz w:val="26"/>
          <w:szCs w:val="26"/>
        </w:rPr>
        <w:t>Duquesne notes that t</w:t>
      </w:r>
      <w:r w:rsidR="00B21BED" w:rsidRPr="00591394">
        <w:rPr>
          <w:color w:val="000000"/>
          <w:sz w:val="26"/>
          <w:szCs w:val="26"/>
        </w:rPr>
        <w:t xml:space="preserve">he OCA raised an issue regarding how Duquesne will address costs associated with the close-out of EE&amp;C Phase III following the beginning of Phase IV. </w:t>
      </w:r>
      <w:r w:rsidRPr="00591394">
        <w:rPr>
          <w:color w:val="000000"/>
          <w:sz w:val="26"/>
          <w:szCs w:val="26"/>
        </w:rPr>
        <w:t xml:space="preserve"> </w:t>
      </w:r>
      <w:r w:rsidR="00B21BED" w:rsidRPr="00591394">
        <w:rPr>
          <w:color w:val="000000"/>
          <w:sz w:val="26"/>
          <w:szCs w:val="26"/>
        </w:rPr>
        <w:t xml:space="preserve">That issue is addressed in the Settlement reached by the </w:t>
      </w:r>
      <w:r w:rsidR="00590E41" w:rsidRPr="00591394">
        <w:rPr>
          <w:color w:val="000000"/>
          <w:sz w:val="26"/>
          <w:szCs w:val="26"/>
        </w:rPr>
        <w:t>P</w:t>
      </w:r>
      <w:r w:rsidR="00B21BED" w:rsidRPr="00591394">
        <w:rPr>
          <w:color w:val="000000"/>
          <w:sz w:val="26"/>
          <w:szCs w:val="26"/>
        </w:rPr>
        <w:t xml:space="preserve">arties. </w:t>
      </w:r>
      <w:r w:rsidRPr="00591394">
        <w:rPr>
          <w:color w:val="000000"/>
          <w:sz w:val="26"/>
          <w:szCs w:val="26"/>
        </w:rPr>
        <w:t xml:space="preserve"> </w:t>
      </w:r>
      <w:r w:rsidR="00B21BED" w:rsidRPr="00591394">
        <w:rPr>
          <w:color w:val="000000"/>
          <w:sz w:val="26"/>
          <w:szCs w:val="26"/>
        </w:rPr>
        <w:t xml:space="preserve">No other </w:t>
      </w:r>
      <w:r w:rsidR="00017BA1" w:rsidRPr="00591394">
        <w:rPr>
          <w:color w:val="000000"/>
          <w:sz w:val="26"/>
          <w:szCs w:val="26"/>
        </w:rPr>
        <w:t>P</w:t>
      </w:r>
      <w:r w:rsidR="00B21BED" w:rsidRPr="00591394">
        <w:rPr>
          <w:color w:val="000000"/>
          <w:sz w:val="26"/>
          <w:szCs w:val="26"/>
        </w:rPr>
        <w:t>arty raised any issues regarding Duquesne Light’s proposed Cost Recovery Mechanism.</w:t>
      </w:r>
      <w:r w:rsidR="00CC223F" w:rsidRPr="00591394">
        <w:rPr>
          <w:color w:val="000000"/>
          <w:sz w:val="26"/>
          <w:szCs w:val="26"/>
        </w:rPr>
        <w:t xml:space="preserve">  </w:t>
      </w:r>
      <w:r w:rsidR="00B21BED" w:rsidRPr="00591394">
        <w:rPr>
          <w:sz w:val="26"/>
          <w:szCs w:val="26"/>
        </w:rPr>
        <w:t>Duquesne Statement in Support at 13.</w:t>
      </w:r>
    </w:p>
    <w:p w14:paraId="0C42CCA8" w14:textId="77777777" w:rsidR="00DE5955" w:rsidRPr="00591394" w:rsidRDefault="00DE5955" w:rsidP="004E2B63">
      <w:pPr>
        <w:widowControl/>
        <w:spacing w:line="360" w:lineRule="auto"/>
        <w:ind w:firstLine="1440"/>
        <w:textAlignment w:val="baseline"/>
        <w:rPr>
          <w:sz w:val="26"/>
          <w:szCs w:val="26"/>
        </w:rPr>
      </w:pPr>
    </w:p>
    <w:p w14:paraId="546A5368" w14:textId="77777777" w:rsidR="00016636" w:rsidRPr="00591394" w:rsidRDefault="00D73493" w:rsidP="004E2B63">
      <w:pPr>
        <w:pStyle w:val="Heading2"/>
        <w:rPr>
          <w:szCs w:val="26"/>
        </w:rPr>
      </w:pPr>
      <w:bookmarkStart w:id="25" w:name="_Toc66354624"/>
      <w:r w:rsidRPr="00591394">
        <w:rPr>
          <w:szCs w:val="26"/>
        </w:rPr>
        <w:t>D</w:t>
      </w:r>
      <w:r w:rsidR="00016636" w:rsidRPr="00591394">
        <w:rPr>
          <w:szCs w:val="26"/>
        </w:rPr>
        <w:t>.</w:t>
      </w:r>
      <w:r w:rsidR="00016636" w:rsidRPr="00591394">
        <w:rPr>
          <w:szCs w:val="26"/>
        </w:rPr>
        <w:tab/>
      </w:r>
      <w:r w:rsidRPr="00591394">
        <w:rPr>
          <w:szCs w:val="26"/>
        </w:rPr>
        <w:t>Conservation Service Provider Issues</w:t>
      </w:r>
      <w:bookmarkEnd w:id="25"/>
    </w:p>
    <w:p w14:paraId="0E0EA7EF" w14:textId="77777777" w:rsidR="00D73493" w:rsidRPr="00591394" w:rsidRDefault="00D73493" w:rsidP="004E2B63">
      <w:pPr>
        <w:widowControl/>
        <w:spacing w:line="360" w:lineRule="auto"/>
        <w:rPr>
          <w:sz w:val="26"/>
          <w:szCs w:val="26"/>
        </w:rPr>
      </w:pPr>
    </w:p>
    <w:p w14:paraId="78E8F6FD" w14:textId="77777777" w:rsidR="00CA1688" w:rsidRPr="00591394" w:rsidRDefault="0014640C" w:rsidP="004E2B63">
      <w:pPr>
        <w:widowControl/>
        <w:spacing w:line="360" w:lineRule="auto"/>
        <w:ind w:firstLine="1440"/>
        <w:rPr>
          <w:sz w:val="26"/>
          <w:szCs w:val="26"/>
        </w:rPr>
      </w:pPr>
      <w:r w:rsidRPr="00591394">
        <w:rPr>
          <w:sz w:val="26"/>
          <w:szCs w:val="26"/>
        </w:rPr>
        <w:t xml:space="preserve">In the </w:t>
      </w:r>
      <w:r w:rsidRPr="00591394">
        <w:rPr>
          <w:i/>
          <w:sz w:val="26"/>
          <w:szCs w:val="26"/>
        </w:rPr>
        <w:t>Phase I</w:t>
      </w:r>
      <w:r w:rsidR="003329F7" w:rsidRPr="00591394">
        <w:rPr>
          <w:i/>
          <w:sz w:val="26"/>
          <w:szCs w:val="26"/>
        </w:rPr>
        <w:t>V</w:t>
      </w:r>
      <w:r w:rsidRPr="00591394">
        <w:rPr>
          <w:i/>
          <w:sz w:val="26"/>
          <w:szCs w:val="26"/>
        </w:rPr>
        <w:t xml:space="preserve"> Implementation Order</w:t>
      </w:r>
      <w:r w:rsidRPr="00591394">
        <w:rPr>
          <w:sz w:val="26"/>
          <w:szCs w:val="26"/>
        </w:rPr>
        <w:t>, the Commission required that all Phase I</w:t>
      </w:r>
      <w:r w:rsidR="00686094" w:rsidRPr="00591394">
        <w:rPr>
          <w:sz w:val="26"/>
          <w:szCs w:val="26"/>
        </w:rPr>
        <w:t>V</w:t>
      </w:r>
      <w:r w:rsidRPr="00591394">
        <w:rPr>
          <w:sz w:val="26"/>
          <w:szCs w:val="26"/>
        </w:rPr>
        <w:t xml:space="preserve"> CSP contracts be competitively bid.  As a result, the Commission required EDCs to file their Phase I</w:t>
      </w:r>
      <w:r w:rsidR="00686094" w:rsidRPr="00591394">
        <w:rPr>
          <w:sz w:val="26"/>
          <w:szCs w:val="26"/>
        </w:rPr>
        <w:t>V</w:t>
      </w:r>
      <w:r w:rsidRPr="00591394">
        <w:rPr>
          <w:sz w:val="26"/>
          <w:szCs w:val="26"/>
        </w:rPr>
        <w:t xml:space="preserve"> request for proposal (RFP) procedures for Commission review and approval.  </w:t>
      </w:r>
      <w:r w:rsidRPr="00591394">
        <w:rPr>
          <w:i/>
          <w:sz w:val="26"/>
          <w:szCs w:val="26"/>
        </w:rPr>
        <w:t>Phase I</w:t>
      </w:r>
      <w:r w:rsidR="00686094" w:rsidRPr="00591394">
        <w:rPr>
          <w:i/>
          <w:sz w:val="26"/>
          <w:szCs w:val="26"/>
        </w:rPr>
        <w:t>V</w:t>
      </w:r>
      <w:r w:rsidRPr="00591394">
        <w:rPr>
          <w:i/>
          <w:sz w:val="26"/>
          <w:szCs w:val="26"/>
        </w:rPr>
        <w:t xml:space="preserve"> Implementation Order</w:t>
      </w:r>
      <w:r w:rsidRPr="00591394">
        <w:rPr>
          <w:sz w:val="26"/>
          <w:szCs w:val="26"/>
        </w:rPr>
        <w:t xml:space="preserve"> at 1</w:t>
      </w:r>
      <w:r w:rsidR="00686094" w:rsidRPr="00591394">
        <w:rPr>
          <w:sz w:val="26"/>
          <w:szCs w:val="26"/>
        </w:rPr>
        <w:t>11-112</w:t>
      </w:r>
      <w:r w:rsidRPr="00591394">
        <w:rPr>
          <w:sz w:val="26"/>
          <w:szCs w:val="26"/>
        </w:rPr>
        <w:t>.  EDCs were encouraged to file their proposed RFP process by August 30, 20</w:t>
      </w:r>
      <w:r w:rsidR="00E0520A" w:rsidRPr="00591394">
        <w:rPr>
          <w:sz w:val="26"/>
          <w:szCs w:val="26"/>
        </w:rPr>
        <w:t>20</w:t>
      </w:r>
      <w:r w:rsidRPr="00591394">
        <w:rPr>
          <w:sz w:val="26"/>
          <w:szCs w:val="26"/>
        </w:rPr>
        <w:t xml:space="preserve">.  </w:t>
      </w:r>
      <w:r w:rsidR="00E93572" w:rsidRPr="00591394">
        <w:rPr>
          <w:sz w:val="26"/>
          <w:szCs w:val="26"/>
        </w:rPr>
        <w:t xml:space="preserve">If Commission staff did not comment on the proposed process within fifteen days of its filing, the EDC was permitted to use that process.  </w:t>
      </w:r>
      <w:r w:rsidR="00E93572" w:rsidRPr="00591394">
        <w:rPr>
          <w:i/>
          <w:sz w:val="26"/>
          <w:szCs w:val="26"/>
        </w:rPr>
        <w:t xml:space="preserve">Id. </w:t>
      </w:r>
      <w:r w:rsidR="00E93572" w:rsidRPr="00591394">
        <w:rPr>
          <w:sz w:val="26"/>
          <w:szCs w:val="26"/>
        </w:rPr>
        <w:t>at 1</w:t>
      </w:r>
      <w:r w:rsidR="00E0520A" w:rsidRPr="00591394">
        <w:rPr>
          <w:sz w:val="26"/>
          <w:szCs w:val="26"/>
        </w:rPr>
        <w:t>12</w:t>
      </w:r>
      <w:r w:rsidR="00E93572" w:rsidRPr="00591394">
        <w:rPr>
          <w:sz w:val="26"/>
          <w:szCs w:val="26"/>
        </w:rPr>
        <w:t>.</w:t>
      </w:r>
      <w:r w:rsidR="00656590" w:rsidRPr="00591394">
        <w:rPr>
          <w:sz w:val="26"/>
          <w:szCs w:val="26"/>
        </w:rPr>
        <w:t xml:space="preserve">  </w:t>
      </w:r>
      <w:r w:rsidR="00CA1688" w:rsidRPr="00591394">
        <w:rPr>
          <w:sz w:val="26"/>
          <w:szCs w:val="26"/>
        </w:rPr>
        <w:t xml:space="preserve">Furthermore, the Commission noted that it will require the EDCs to rebid all CSP contracts for Phase IV.  However, the Commission also approved an EDC’s use of its approved Phase III RFP process, if desired.  </w:t>
      </w:r>
      <w:r w:rsidR="00CA1688" w:rsidRPr="00591394">
        <w:rPr>
          <w:i/>
          <w:iCs/>
          <w:sz w:val="26"/>
          <w:szCs w:val="26"/>
        </w:rPr>
        <w:t>Id</w:t>
      </w:r>
      <w:r w:rsidR="00CA1688" w:rsidRPr="00591394">
        <w:rPr>
          <w:sz w:val="26"/>
          <w:szCs w:val="26"/>
        </w:rPr>
        <w:t xml:space="preserve">. at 114. </w:t>
      </w:r>
    </w:p>
    <w:p w14:paraId="0E2DE2EE" w14:textId="77777777" w:rsidR="00CA1688" w:rsidRPr="00591394" w:rsidRDefault="00CA1688" w:rsidP="00C6113D">
      <w:pPr>
        <w:widowControl/>
        <w:spacing w:line="360" w:lineRule="auto"/>
        <w:ind w:firstLine="1440"/>
        <w:rPr>
          <w:sz w:val="26"/>
          <w:szCs w:val="26"/>
        </w:rPr>
      </w:pPr>
    </w:p>
    <w:p w14:paraId="634D258F" w14:textId="3DD0CBF9" w:rsidR="00656590" w:rsidRPr="00591394" w:rsidRDefault="00656590" w:rsidP="00C6113D">
      <w:pPr>
        <w:widowControl/>
        <w:spacing w:line="360" w:lineRule="auto"/>
        <w:ind w:firstLine="1440"/>
        <w:rPr>
          <w:sz w:val="26"/>
          <w:szCs w:val="26"/>
        </w:rPr>
      </w:pPr>
      <w:r w:rsidRPr="00591394">
        <w:rPr>
          <w:sz w:val="26"/>
          <w:szCs w:val="26"/>
        </w:rPr>
        <w:t xml:space="preserve">Duquesne filed </w:t>
      </w:r>
      <w:r w:rsidR="009533A8" w:rsidRPr="00591394">
        <w:rPr>
          <w:sz w:val="26"/>
          <w:szCs w:val="26"/>
        </w:rPr>
        <w:t>its</w:t>
      </w:r>
      <w:r w:rsidRPr="00591394">
        <w:rPr>
          <w:sz w:val="26"/>
          <w:szCs w:val="26"/>
        </w:rPr>
        <w:t xml:space="preserve"> RFP process on August 28, 20</w:t>
      </w:r>
      <w:r w:rsidR="00E0520A" w:rsidRPr="00591394">
        <w:rPr>
          <w:sz w:val="26"/>
          <w:szCs w:val="26"/>
        </w:rPr>
        <w:t>20</w:t>
      </w:r>
      <w:r w:rsidRPr="00591394">
        <w:rPr>
          <w:sz w:val="26"/>
          <w:szCs w:val="26"/>
        </w:rPr>
        <w:t xml:space="preserve">, and Commission staff approved this process by </w:t>
      </w:r>
      <w:r w:rsidR="00E0520A" w:rsidRPr="00591394">
        <w:rPr>
          <w:sz w:val="26"/>
          <w:szCs w:val="26"/>
        </w:rPr>
        <w:t>email</w:t>
      </w:r>
      <w:r w:rsidRPr="00591394">
        <w:rPr>
          <w:sz w:val="26"/>
          <w:szCs w:val="26"/>
        </w:rPr>
        <w:t xml:space="preserve"> dated </w:t>
      </w:r>
      <w:r w:rsidR="00E0520A" w:rsidRPr="00591394">
        <w:rPr>
          <w:sz w:val="26"/>
          <w:szCs w:val="26"/>
        </w:rPr>
        <w:t>December 11, 2020</w:t>
      </w:r>
      <w:r w:rsidRPr="00591394">
        <w:rPr>
          <w:sz w:val="26"/>
          <w:szCs w:val="26"/>
        </w:rPr>
        <w:t>.</w:t>
      </w:r>
    </w:p>
    <w:p w14:paraId="1AB77B73" w14:textId="77777777" w:rsidR="007131A9" w:rsidRPr="00591394" w:rsidRDefault="007131A9" w:rsidP="00C6113D">
      <w:pPr>
        <w:widowControl/>
        <w:spacing w:after="200" w:line="276" w:lineRule="auto"/>
        <w:rPr>
          <w:sz w:val="26"/>
          <w:szCs w:val="26"/>
        </w:rPr>
      </w:pPr>
    </w:p>
    <w:p w14:paraId="1795C13B" w14:textId="0DDA34C4" w:rsidR="001D6EF2" w:rsidRPr="00591394" w:rsidRDefault="0068619E" w:rsidP="004E2B63">
      <w:pPr>
        <w:widowControl/>
        <w:spacing w:line="360" w:lineRule="auto"/>
        <w:ind w:firstLine="1440"/>
        <w:textAlignment w:val="baseline"/>
        <w:rPr>
          <w:sz w:val="26"/>
          <w:szCs w:val="26"/>
        </w:rPr>
      </w:pPr>
      <w:r w:rsidRPr="00591394">
        <w:rPr>
          <w:color w:val="000000"/>
          <w:sz w:val="26"/>
          <w:szCs w:val="26"/>
        </w:rPr>
        <w:lastRenderedPageBreak/>
        <w:t xml:space="preserve">According to </w:t>
      </w:r>
      <w:r w:rsidR="007131A9" w:rsidRPr="00591394">
        <w:rPr>
          <w:color w:val="000000"/>
          <w:sz w:val="26"/>
          <w:szCs w:val="26"/>
        </w:rPr>
        <w:t>Duquesne</w:t>
      </w:r>
      <w:r w:rsidR="00D20F5F" w:rsidRPr="00591394">
        <w:rPr>
          <w:color w:val="000000"/>
          <w:sz w:val="26"/>
          <w:szCs w:val="26"/>
        </w:rPr>
        <w:t xml:space="preserve">, its </w:t>
      </w:r>
      <w:r w:rsidR="007131A9" w:rsidRPr="00591394">
        <w:rPr>
          <w:i/>
          <w:iCs/>
          <w:color w:val="000000"/>
          <w:sz w:val="26"/>
          <w:szCs w:val="26"/>
        </w:rPr>
        <w:t xml:space="preserve">Phase IV </w:t>
      </w:r>
      <w:r w:rsidR="00D21036" w:rsidRPr="00591394">
        <w:rPr>
          <w:i/>
          <w:iCs/>
          <w:color w:val="000000"/>
          <w:sz w:val="26"/>
          <w:szCs w:val="26"/>
        </w:rPr>
        <w:t xml:space="preserve">Revised </w:t>
      </w:r>
      <w:r w:rsidR="007131A9" w:rsidRPr="00591394">
        <w:rPr>
          <w:i/>
          <w:iCs/>
          <w:color w:val="000000"/>
          <w:sz w:val="26"/>
          <w:szCs w:val="26"/>
        </w:rPr>
        <w:t>Plan</w:t>
      </w:r>
      <w:r w:rsidR="007131A9" w:rsidRPr="00591394">
        <w:rPr>
          <w:color w:val="000000"/>
          <w:sz w:val="26"/>
          <w:szCs w:val="26"/>
        </w:rPr>
        <w:t xml:space="preserve"> implements programs in an effective and economical manner by balancing utility resources with contracted resources. </w:t>
      </w:r>
      <w:r w:rsidR="00D20F5F" w:rsidRPr="00591394">
        <w:rPr>
          <w:color w:val="000000"/>
          <w:sz w:val="26"/>
          <w:szCs w:val="26"/>
        </w:rPr>
        <w:t xml:space="preserve"> </w:t>
      </w:r>
      <w:r w:rsidR="00020AD5" w:rsidRPr="00591394">
        <w:rPr>
          <w:color w:val="000000"/>
          <w:sz w:val="26"/>
          <w:szCs w:val="26"/>
        </w:rPr>
        <w:t>Duquesne</w:t>
      </w:r>
      <w:r w:rsidR="001B21FA" w:rsidRPr="00591394">
        <w:rPr>
          <w:color w:val="000000"/>
          <w:sz w:val="26"/>
          <w:szCs w:val="26"/>
        </w:rPr>
        <w:t xml:space="preserve"> provides that </w:t>
      </w:r>
      <w:r w:rsidR="007131A9" w:rsidRPr="00591394">
        <w:rPr>
          <w:color w:val="000000"/>
          <w:sz w:val="26"/>
          <w:szCs w:val="26"/>
        </w:rPr>
        <w:t>C</w:t>
      </w:r>
      <w:r w:rsidR="00D20F5F" w:rsidRPr="00591394">
        <w:rPr>
          <w:color w:val="000000"/>
          <w:sz w:val="26"/>
          <w:szCs w:val="26"/>
        </w:rPr>
        <w:t>SPs</w:t>
      </w:r>
      <w:r w:rsidR="007131A9" w:rsidRPr="00591394">
        <w:rPr>
          <w:color w:val="000000"/>
          <w:sz w:val="26"/>
          <w:szCs w:val="26"/>
        </w:rPr>
        <w:t xml:space="preserve"> and subcontractors with expertise and experience in program implementation and operations are deployed under agreements with Duquesne.</w:t>
      </w:r>
      <w:r w:rsidR="00D20F5F" w:rsidRPr="00591394">
        <w:rPr>
          <w:color w:val="000000"/>
          <w:sz w:val="26"/>
          <w:szCs w:val="26"/>
        </w:rPr>
        <w:t xml:space="preserve"> </w:t>
      </w:r>
      <w:r w:rsidR="007131A9" w:rsidRPr="00591394">
        <w:rPr>
          <w:color w:val="000000"/>
          <w:sz w:val="26"/>
          <w:szCs w:val="26"/>
        </w:rPr>
        <w:t xml:space="preserve"> Some CSPs will operate as turnkey delivery contractors, while others will provide specific program functions across multiple programs.</w:t>
      </w:r>
      <w:r w:rsidR="00B5062F" w:rsidRPr="00591394">
        <w:rPr>
          <w:color w:val="000000"/>
          <w:sz w:val="26"/>
          <w:szCs w:val="26"/>
        </w:rPr>
        <w:t xml:space="preserve">  </w:t>
      </w:r>
      <w:r w:rsidR="00020AD5" w:rsidRPr="00591394">
        <w:rPr>
          <w:color w:val="000000"/>
          <w:sz w:val="26"/>
          <w:szCs w:val="26"/>
        </w:rPr>
        <w:t>Duquesne</w:t>
      </w:r>
      <w:r w:rsidR="002C5F60" w:rsidRPr="00591394">
        <w:rPr>
          <w:color w:val="000000"/>
          <w:sz w:val="26"/>
          <w:szCs w:val="26"/>
        </w:rPr>
        <w:t xml:space="preserve"> submits that management responsibility for meeting goals </w:t>
      </w:r>
      <w:r w:rsidR="00020AD5" w:rsidRPr="00591394">
        <w:rPr>
          <w:color w:val="000000"/>
          <w:sz w:val="26"/>
          <w:szCs w:val="26"/>
        </w:rPr>
        <w:t xml:space="preserve">still rests with Duquesne.  </w:t>
      </w:r>
      <w:r w:rsidR="00A56804" w:rsidRPr="00591394">
        <w:rPr>
          <w:sz w:val="26"/>
          <w:szCs w:val="26"/>
        </w:rPr>
        <w:t>Duquesne Statement in Support at 13.</w:t>
      </w:r>
    </w:p>
    <w:p w14:paraId="183EC266" w14:textId="77777777" w:rsidR="00CD4D08" w:rsidRPr="00591394" w:rsidRDefault="00CD4D08" w:rsidP="004E2B63">
      <w:pPr>
        <w:widowControl/>
        <w:spacing w:line="360" w:lineRule="auto"/>
        <w:ind w:firstLine="1440"/>
        <w:textAlignment w:val="baseline"/>
        <w:rPr>
          <w:sz w:val="26"/>
          <w:szCs w:val="26"/>
        </w:rPr>
      </w:pPr>
    </w:p>
    <w:p w14:paraId="58C84619" w14:textId="5A5E545F" w:rsidR="001A35A0" w:rsidRPr="00591394" w:rsidRDefault="001A35A0" w:rsidP="004E2B63">
      <w:pPr>
        <w:pStyle w:val="Heading2"/>
        <w:keepNext/>
        <w:rPr>
          <w:szCs w:val="26"/>
        </w:rPr>
      </w:pPr>
      <w:bookmarkStart w:id="26" w:name="_Toc66354625"/>
      <w:r w:rsidRPr="00591394">
        <w:rPr>
          <w:szCs w:val="26"/>
        </w:rPr>
        <w:t xml:space="preserve">E. </w:t>
      </w:r>
      <w:r w:rsidR="00B5062F" w:rsidRPr="00591394">
        <w:rPr>
          <w:szCs w:val="26"/>
        </w:rPr>
        <w:tab/>
      </w:r>
      <w:r w:rsidR="009559ED" w:rsidRPr="00591394">
        <w:rPr>
          <w:szCs w:val="26"/>
        </w:rPr>
        <w:t>Implementation and Evaluation Issues</w:t>
      </w:r>
      <w:bookmarkEnd w:id="26"/>
    </w:p>
    <w:p w14:paraId="3B812B0F" w14:textId="655DA182" w:rsidR="00CD4D08" w:rsidRPr="00591394" w:rsidRDefault="00CD4D08" w:rsidP="004E2B63">
      <w:pPr>
        <w:keepNext/>
        <w:widowControl/>
        <w:spacing w:line="360" w:lineRule="auto"/>
        <w:rPr>
          <w:sz w:val="26"/>
          <w:szCs w:val="26"/>
        </w:rPr>
      </w:pPr>
    </w:p>
    <w:p w14:paraId="0FBA0D2A" w14:textId="60754ED7" w:rsidR="00DD5305" w:rsidRPr="00591394" w:rsidRDefault="00DD5305" w:rsidP="004E2B63">
      <w:pPr>
        <w:pStyle w:val="Heading3"/>
        <w:keepNext/>
        <w:keepLines/>
        <w:numPr>
          <w:ilvl w:val="0"/>
          <w:numId w:val="12"/>
        </w:numPr>
        <w:tabs>
          <w:tab w:val="num" w:pos="360"/>
        </w:tabs>
        <w:autoSpaceDE w:val="0"/>
        <w:autoSpaceDN w:val="0"/>
        <w:ind w:hanging="720"/>
        <w:contextualSpacing/>
      </w:pPr>
      <w:bookmarkStart w:id="27" w:name="_Toc66354626"/>
      <w:r w:rsidRPr="00591394">
        <w:t>Implementation Issues</w:t>
      </w:r>
      <w:bookmarkEnd w:id="27"/>
    </w:p>
    <w:p w14:paraId="6F97BE79" w14:textId="77777777" w:rsidR="00DD5305" w:rsidRPr="00591394" w:rsidRDefault="00DD5305" w:rsidP="004E2B63">
      <w:pPr>
        <w:pStyle w:val="BodyText2"/>
        <w:keepNext/>
        <w:keepLines/>
        <w:spacing w:after="0" w:line="360" w:lineRule="auto"/>
        <w:contextualSpacing/>
        <w:rPr>
          <w:sz w:val="26"/>
          <w:szCs w:val="26"/>
        </w:rPr>
      </w:pPr>
    </w:p>
    <w:p w14:paraId="2B732D55" w14:textId="5D3092AE" w:rsidR="00DD5305" w:rsidRPr="00591394" w:rsidRDefault="00DD5305" w:rsidP="004E2B63">
      <w:pPr>
        <w:pStyle w:val="BodyText2"/>
        <w:keepNext/>
        <w:spacing w:after="0" w:line="360" w:lineRule="auto"/>
        <w:ind w:firstLine="1440"/>
        <w:contextualSpacing/>
        <w:rPr>
          <w:sz w:val="26"/>
          <w:szCs w:val="26"/>
        </w:rPr>
      </w:pPr>
      <w:r w:rsidRPr="00591394">
        <w:rPr>
          <w:sz w:val="26"/>
          <w:szCs w:val="26"/>
        </w:rPr>
        <w:t xml:space="preserve">The Act requires the Commission to establish procedures to ensure compliance with the consumption and peak demand reduction requirements of the Act.  66 Pa. C.S. § 2806.1(a)(9).  </w:t>
      </w:r>
      <w:r w:rsidR="00027A0F" w:rsidRPr="00591394">
        <w:rPr>
          <w:sz w:val="26"/>
          <w:szCs w:val="26"/>
        </w:rPr>
        <w:t>Du</w:t>
      </w:r>
      <w:r w:rsidR="00442510" w:rsidRPr="00591394">
        <w:rPr>
          <w:sz w:val="26"/>
          <w:szCs w:val="26"/>
        </w:rPr>
        <w:t xml:space="preserve">quesne’s </w:t>
      </w:r>
      <w:r w:rsidRPr="00591394">
        <w:rPr>
          <w:sz w:val="26"/>
          <w:szCs w:val="26"/>
        </w:rPr>
        <w:t>Program Management and Implementation Strategies are contained in Section 4 of the</w:t>
      </w:r>
      <w:r w:rsidR="00442510" w:rsidRPr="00591394">
        <w:rPr>
          <w:sz w:val="26"/>
          <w:szCs w:val="26"/>
        </w:rPr>
        <w:t xml:space="preserve"> Revised Phase IV</w:t>
      </w:r>
      <w:r w:rsidRPr="00591394">
        <w:rPr>
          <w:sz w:val="26"/>
          <w:szCs w:val="26"/>
        </w:rPr>
        <w:t xml:space="preserve"> Plan.  </w:t>
      </w:r>
      <w:r w:rsidR="00D92862" w:rsidRPr="00591394">
        <w:rPr>
          <w:sz w:val="26"/>
          <w:szCs w:val="26"/>
        </w:rPr>
        <w:t xml:space="preserve">Duquesne provides that </w:t>
      </w:r>
      <w:r w:rsidR="00FF5051" w:rsidRPr="00591394">
        <w:rPr>
          <w:sz w:val="26"/>
          <w:szCs w:val="26"/>
        </w:rPr>
        <w:t xml:space="preserve">it </w:t>
      </w:r>
      <w:r w:rsidR="00B53336" w:rsidRPr="00591394">
        <w:rPr>
          <w:sz w:val="26"/>
          <w:szCs w:val="26"/>
        </w:rPr>
        <w:t xml:space="preserve">implements programs effectively and economically.  To achieve this, Duquesne maintains that it uses CSPs with expertise and experience in program implementation and operations.  </w:t>
      </w:r>
      <w:r w:rsidR="00EA6449" w:rsidRPr="00591394">
        <w:rPr>
          <w:sz w:val="26"/>
          <w:szCs w:val="26"/>
        </w:rPr>
        <w:t>Duquesne</w:t>
      </w:r>
      <w:r w:rsidR="008330C4" w:rsidRPr="00591394">
        <w:rPr>
          <w:sz w:val="26"/>
          <w:szCs w:val="26"/>
        </w:rPr>
        <w:t xml:space="preserve"> explains that program implementation requires significant planning and operation management functions.  </w:t>
      </w:r>
      <w:r w:rsidR="00EC02E1" w:rsidRPr="00591394">
        <w:rPr>
          <w:sz w:val="26"/>
          <w:szCs w:val="26"/>
        </w:rPr>
        <w:t>Duquesne explains further that each contractor is managed and integrated into an organized and cohesive operation</w:t>
      </w:r>
      <w:r w:rsidR="00B42328" w:rsidRPr="00591394">
        <w:rPr>
          <w:sz w:val="26"/>
          <w:szCs w:val="26"/>
        </w:rPr>
        <w:t xml:space="preserve"> where program procedural guidelines are developed and followed.  </w:t>
      </w:r>
      <w:r w:rsidR="00AE74CB" w:rsidRPr="00591394">
        <w:rPr>
          <w:sz w:val="26"/>
          <w:szCs w:val="26"/>
        </w:rPr>
        <w:t xml:space="preserve">According to </w:t>
      </w:r>
      <w:r w:rsidR="00EA6449" w:rsidRPr="00591394">
        <w:rPr>
          <w:sz w:val="26"/>
          <w:szCs w:val="26"/>
        </w:rPr>
        <w:t>Duquesne</w:t>
      </w:r>
      <w:r w:rsidR="00AE74CB" w:rsidRPr="00591394">
        <w:rPr>
          <w:sz w:val="26"/>
          <w:szCs w:val="26"/>
        </w:rPr>
        <w:t xml:space="preserve">, documentation is </w:t>
      </w:r>
      <w:r w:rsidR="0066725E" w:rsidRPr="00591394">
        <w:rPr>
          <w:sz w:val="26"/>
          <w:szCs w:val="26"/>
        </w:rPr>
        <w:t>maintained,</w:t>
      </w:r>
      <w:r w:rsidR="00AE74CB" w:rsidRPr="00591394">
        <w:rPr>
          <w:sz w:val="26"/>
          <w:szCs w:val="26"/>
        </w:rPr>
        <w:t xml:space="preserve"> and electronic data </w:t>
      </w:r>
      <w:r w:rsidR="00EA6449" w:rsidRPr="00591394">
        <w:rPr>
          <w:sz w:val="26"/>
          <w:szCs w:val="26"/>
        </w:rPr>
        <w:t>structures</w:t>
      </w:r>
      <w:r w:rsidR="00AE74CB" w:rsidRPr="00591394">
        <w:rPr>
          <w:sz w:val="26"/>
          <w:szCs w:val="26"/>
        </w:rPr>
        <w:t xml:space="preserve"> are developed and </w:t>
      </w:r>
      <w:r w:rsidR="00EA6449" w:rsidRPr="00591394">
        <w:rPr>
          <w:sz w:val="26"/>
          <w:szCs w:val="26"/>
        </w:rPr>
        <w:t>managed</w:t>
      </w:r>
      <w:r w:rsidR="00AE74CB" w:rsidRPr="00591394">
        <w:rPr>
          <w:sz w:val="26"/>
          <w:szCs w:val="26"/>
        </w:rPr>
        <w:t xml:space="preserve">.  </w:t>
      </w:r>
      <w:r w:rsidR="00AE74CB" w:rsidRPr="00591394">
        <w:rPr>
          <w:i/>
          <w:iCs/>
          <w:sz w:val="26"/>
          <w:szCs w:val="26"/>
        </w:rPr>
        <w:t>Revised Phase IV Plan</w:t>
      </w:r>
      <w:r w:rsidR="00AE74CB" w:rsidRPr="00591394">
        <w:rPr>
          <w:sz w:val="26"/>
          <w:szCs w:val="26"/>
        </w:rPr>
        <w:t xml:space="preserve"> at </w:t>
      </w:r>
      <w:r w:rsidR="00EA6449" w:rsidRPr="00591394">
        <w:rPr>
          <w:sz w:val="26"/>
          <w:szCs w:val="26"/>
        </w:rPr>
        <w:t xml:space="preserve">81.  </w:t>
      </w:r>
    </w:p>
    <w:p w14:paraId="1029AA8B" w14:textId="77777777" w:rsidR="00DD5305" w:rsidRPr="00591394" w:rsidRDefault="00DD5305" w:rsidP="00C6113D">
      <w:pPr>
        <w:pStyle w:val="BodyText2"/>
        <w:spacing w:line="360" w:lineRule="auto"/>
        <w:ind w:firstLine="1440"/>
        <w:contextualSpacing/>
        <w:rPr>
          <w:sz w:val="26"/>
          <w:szCs w:val="26"/>
        </w:rPr>
      </w:pPr>
    </w:p>
    <w:p w14:paraId="29806373" w14:textId="645091C6" w:rsidR="00DD5305" w:rsidRPr="00591394" w:rsidRDefault="00DD5305" w:rsidP="00C6113D">
      <w:pPr>
        <w:pStyle w:val="Heading3"/>
        <w:keepNext/>
        <w:numPr>
          <w:ilvl w:val="0"/>
          <w:numId w:val="12"/>
        </w:numPr>
        <w:ind w:hanging="720"/>
      </w:pPr>
      <w:bookmarkStart w:id="28" w:name="_Toc66354627"/>
      <w:r w:rsidRPr="00591394">
        <w:lastRenderedPageBreak/>
        <w:t>Monitoring, Reporting and Evaluation Issues</w:t>
      </w:r>
      <w:bookmarkEnd w:id="28"/>
    </w:p>
    <w:p w14:paraId="3D73FB29" w14:textId="77777777" w:rsidR="00DD5305" w:rsidRPr="00591394" w:rsidRDefault="00DD5305" w:rsidP="00C6113D">
      <w:pPr>
        <w:pStyle w:val="BodyText2"/>
        <w:keepNext/>
        <w:keepLines/>
        <w:spacing w:after="0" w:line="360" w:lineRule="auto"/>
        <w:contextualSpacing/>
        <w:rPr>
          <w:sz w:val="26"/>
          <w:szCs w:val="26"/>
        </w:rPr>
      </w:pPr>
    </w:p>
    <w:p w14:paraId="25771935" w14:textId="77777777" w:rsidR="00DD5305" w:rsidRPr="00591394" w:rsidRDefault="00DD5305" w:rsidP="00C6113D">
      <w:pPr>
        <w:keepNext/>
        <w:widowControl/>
        <w:spacing w:line="360" w:lineRule="auto"/>
        <w:ind w:firstLine="1440"/>
        <w:contextualSpacing/>
        <w:rPr>
          <w:sz w:val="26"/>
          <w:szCs w:val="26"/>
        </w:rPr>
      </w:pPr>
      <w:r w:rsidRPr="00591394">
        <w:rPr>
          <w:sz w:val="26"/>
          <w:szCs w:val="26"/>
        </w:rPr>
        <w:t>The Commission’s EE&amp;C Program is to include an evaluation process including a process to monitor and verify data collection, quality assurance and the results of each plan and the program.  66 Pa. C.S. § 2806.1(a)(2).  Consistent with this requirement, each EDC’s Plan is to “explain how quality assurance and performance will be measured, verified and evaluated.”  66 Pa. C.S. § 2806.1(b)(1)(i)(C).  Each EDC is required to submit an annual report to the Commission relating to the results of its EE&amp;C Plan.  66 Pa. C.S. § 2806.1(i)(1).</w:t>
      </w:r>
    </w:p>
    <w:p w14:paraId="650EBA67" w14:textId="77777777" w:rsidR="00DD5305" w:rsidRPr="00591394" w:rsidRDefault="00DD5305" w:rsidP="00C6113D">
      <w:pPr>
        <w:pStyle w:val="BodyText2"/>
        <w:spacing w:line="360" w:lineRule="auto"/>
        <w:contextualSpacing/>
        <w:rPr>
          <w:sz w:val="26"/>
          <w:szCs w:val="26"/>
        </w:rPr>
      </w:pPr>
    </w:p>
    <w:p w14:paraId="0111EB72" w14:textId="6EA00FF2" w:rsidR="00DD5305" w:rsidRPr="00591394" w:rsidRDefault="00DD5305" w:rsidP="00C6113D">
      <w:pPr>
        <w:pStyle w:val="BodyText2"/>
        <w:spacing w:line="360" w:lineRule="auto"/>
        <w:ind w:firstLine="1440"/>
        <w:contextualSpacing/>
        <w:rPr>
          <w:sz w:val="26"/>
          <w:szCs w:val="26"/>
        </w:rPr>
      </w:pPr>
      <w:r w:rsidRPr="00591394">
        <w:rPr>
          <w:sz w:val="26"/>
          <w:szCs w:val="26"/>
        </w:rPr>
        <w:t>For Phase IV, the Commission directed EDCs to file semiannual reports on January 15 of each year, which are to provide information regarding the first two quarters of the program year.  Additionally, EDCs are to submit a final annual report by September 30 of each year, with reported savings for the program year, a cost</w:t>
      </w:r>
      <w:r w:rsidRPr="00591394">
        <w:rPr>
          <w:sz w:val="26"/>
          <w:szCs w:val="26"/>
        </w:rPr>
        <w:noBreakHyphen/>
        <w:t xml:space="preserve">effectiveness evaluation (TRC Test), a process evaluation, as well as other items required by Act 129 and Commission Orders.  The reports are to be submitted to the Commission’s Secretary’s Bureau at each EDC’s respective Phase IV Docket Number.  The EDCs are also required to post these reports on their respective websites.  </w:t>
      </w:r>
      <w:r w:rsidRPr="00591394">
        <w:rPr>
          <w:i/>
          <w:iCs/>
          <w:sz w:val="26"/>
          <w:szCs w:val="26"/>
        </w:rPr>
        <w:t xml:space="preserve">Phase IV Implementation Order </w:t>
      </w:r>
      <w:r w:rsidRPr="00591394">
        <w:rPr>
          <w:sz w:val="26"/>
          <w:szCs w:val="26"/>
        </w:rPr>
        <w:t>at 100-</w:t>
      </w:r>
      <w:r w:rsidR="00E61F3C" w:rsidRPr="00591394">
        <w:rPr>
          <w:sz w:val="26"/>
          <w:szCs w:val="26"/>
        </w:rPr>
        <w:t>1</w:t>
      </w:r>
      <w:r w:rsidRPr="00591394">
        <w:rPr>
          <w:sz w:val="26"/>
          <w:szCs w:val="26"/>
        </w:rPr>
        <w:t>02.</w:t>
      </w:r>
    </w:p>
    <w:p w14:paraId="278228B7" w14:textId="77777777" w:rsidR="00DD5305" w:rsidRPr="00591394" w:rsidRDefault="00DD5305" w:rsidP="00C6113D">
      <w:pPr>
        <w:pStyle w:val="BodyText2"/>
        <w:spacing w:line="360" w:lineRule="auto"/>
        <w:ind w:firstLine="1440"/>
        <w:contextualSpacing/>
        <w:rPr>
          <w:sz w:val="26"/>
          <w:szCs w:val="26"/>
        </w:rPr>
      </w:pPr>
    </w:p>
    <w:p w14:paraId="276D495B" w14:textId="2E552F4B" w:rsidR="00B60824" w:rsidRPr="00591394" w:rsidRDefault="001D4355" w:rsidP="00C6113D">
      <w:pPr>
        <w:pStyle w:val="BodyText2"/>
        <w:spacing w:line="360" w:lineRule="auto"/>
        <w:ind w:firstLine="1440"/>
        <w:contextualSpacing/>
        <w:rPr>
          <w:sz w:val="26"/>
          <w:szCs w:val="26"/>
        </w:rPr>
      </w:pPr>
      <w:r w:rsidRPr="00591394">
        <w:rPr>
          <w:sz w:val="26"/>
          <w:szCs w:val="26"/>
        </w:rPr>
        <w:t xml:space="preserve">Duquesne’s </w:t>
      </w:r>
      <w:r w:rsidR="00DD5305" w:rsidRPr="00591394">
        <w:rPr>
          <w:sz w:val="26"/>
          <w:szCs w:val="26"/>
        </w:rPr>
        <w:t xml:space="preserve">monitoring and reporting strategies are contained in Sections 5 and 6 of the </w:t>
      </w:r>
      <w:r w:rsidRPr="00591394">
        <w:rPr>
          <w:i/>
          <w:iCs/>
          <w:sz w:val="26"/>
          <w:szCs w:val="26"/>
        </w:rPr>
        <w:t>Revised Phase IV</w:t>
      </w:r>
      <w:r w:rsidR="00DD5305" w:rsidRPr="00591394">
        <w:rPr>
          <w:i/>
          <w:iCs/>
          <w:sz w:val="26"/>
          <w:szCs w:val="26"/>
        </w:rPr>
        <w:t xml:space="preserve"> Plan</w:t>
      </w:r>
      <w:r w:rsidR="00DD5305" w:rsidRPr="00591394">
        <w:rPr>
          <w:sz w:val="26"/>
          <w:szCs w:val="26"/>
        </w:rPr>
        <w:t xml:space="preserve">.  In Section 5, </w:t>
      </w:r>
      <w:r w:rsidR="00B60824" w:rsidRPr="00591394">
        <w:rPr>
          <w:sz w:val="26"/>
          <w:szCs w:val="26"/>
        </w:rPr>
        <w:t>Duquesne</w:t>
      </w:r>
      <w:r w:rsidR="00DD5305" w:rsidRPr="00591394">
        <w:rPr>
          <w:sz w:val="26"/>
          <w:szCs w:val="26"/>
        </w:rPr>
        <w:t xml:space="preserve"> indicate</w:t>
      </w:r>
      <w:r w:rsidR="00B60824" w:rsidRPr="00591394">
        <w:rPr>
          <w:sz w:val="26"/>
          <w:szCs w:val="26"/>
        </w:rPr>
        <w:t>s</w:t>
      </w:r>
      <w:r w:rsidR="00DD5305" w:rsidRPr="00591394">
        <w:rPr>
          <w:sz w:val="26"/>
          <w:szCs w:val="26"/>
        </w:rPr>
        <w:t xml:space="preserve"> that </w:t>
      </w:r>
      <w:r w:rsidR="00CA7B7C" w:rsidRPr="00591394">
        <w:rPr>
          <w:sz w:val="26"/>
          <w:szCs w:val="26"/>
        </w:rPr>
        <w:t xml:space="preserve">its Program Management and Reporting System (PMRS) provides information reported to the Commission’s appointed Act 129 EE&amp;C Statewide Evaluator (SWE).  </w:t>
      </w:r>
      <w:r w:rsidR="00F02BDD" w:rsidRPr="00591394">
        <w:rPr>
          <w:sz w:val="26"/>
          <w:szCs w:val="26"/>
        </w:rPr>
        <w:t>Duquesne</w:t>
      </w:r>
      <w:r w:rsidR="00AF5F91" w:rsidRPr="00591394">
        <w:rPr>
          <w:sz w:val="26"/>
          <w:szCs w:val="26"/>
        </w:rPr>
        <w:t xml:space="preserve"> provides program activity reports</w:t>
      </w:r>
      <w:r w:rsidR="00C10CB4" w:rsidRPr="00591394">
        <w:rPr>
          <w:sz w:val="26"/>
          <w:szCs w:val="26"/>
        </w:rPr>
        <w:t xml:space="preserve"> </w:t>
      </w:r>
      <w:r w:rsidR="0064249B" w:rsidRPr="00591394">
        <w:rPr>
          <w:sz w:val="26"/>
          <w:szCs w:val="26"/>
        </w:rPr>
        <w:t xml:space="preserve">in </w:t>
      </w:r>
      <w:r w:rsidR="00AF5F91" w:rsidRPr="00591394">
        <w:rPr>
          <w:sz w:val="26"/>
          <w:szCs w:val="26"/>
        </w:rPr>
        <w:t xml:space="preserve">form and format specified by the SWE </w:t>
      </w:r>
      <w:r w:rsidR="00F02BDD" w:rsidRPr="00591394">
        <w:rPr>
          <w:sz w:val="26"/>
          <w:szCs w:val="26"/>
        </w:rPr>
        <w:t>pursuant to SWE semiannual, annual</w:t>
      </w:r>
      <w:r w:rsidR="00BD12E6" w:rsidRPr="00591394">
        <w:rPr>
          <w:sz w:val="26"/>
          <w:szCs w:val="26"/>
        </w:rPr>
        <w:t>,</w:t>
      </w:r>
      <w:r w:rsidR="00F02BDD" w:rsidRPr="00591394">
        <w:rPr>
          <w:sz w:val="26"/>
          <w:szCs w:val="26"/>
        </w:rPr>
        <w:t xml:space="preserve"> and numerous ad hoc data requests.  </w:t>
      </w:r>
      <w:r w:rsidR="00F02BDD" w:rsidRPr="00591394">
        <w:rPr>
          <w:i/>
          <w:iCs/>
          <w:sz w:val="26"/>
          <w:szCs w:val="26"/>
        </w:rPr>
        <w:t>Revised Phase IV Plan</w:t>
      </w:r>
      <w:r w:rsidR="00F02BDD" w:rsidRPr="00591394">
        <w:rPr>
          <w:sz w:val="26"/>
          <w:szCs w:val="26"/>
        </w:rPr>
        <w:t xml:space="preserve"> at</w:t>
      </w:r>
      <w:r w:rsidR="00D64128">
        <w:rPr>
          <w:sz w:val="26"/>
          <w:szCs w:val="26"/>
        </w:rPr>
        <w:t> </w:t>
      </w:r>
      <w:r w:rsidR="00F02BDD" w:rsidRPr="00591394">
        <w:rPr>
          <w:sz w:val="26"/>
          <w:szCs w:val="26"/>
        </w:rPr>
        <w:t xml:space="preserve">90.  </w:t>
      </w:r>
    </w:p>
    <w:p w14:paraId="66CFA049" w14:textId="7B62B522" w:rsidR="00342E0A" w:rsidRPr="00591394" w:rsidRDefault="00DD5305" w:rsidP="00C6113D">
      <w:pPr>
        <w:widowControl/>
        <w:spacing w:line="360" w:lineRule="auto"/>
        <w:ind w:firstLine="1440"/>
        <w:contextualSpacing/>
        <w:rPr>
          <w:sz w:val="26"/>
          <w:szCs w:val="26"/>
        </w:rPr>
      </w:pPr>
      <w:r w:rsidRPr="00591394">
        <w:rPr>
          <w:sz w:val="26"/>
          <w:szCs w:val="26"/>
        </w:rPr>
        <w:lastRenderedPageBreak/>
        <w:t xml:space="preserve">In Section 6, </w:t>
      </w:r>
      <w:r w:rsidR="008202AC" w:rsidRPr="00591394">
        <w:rPr>
          <w:sz w:val="26"/>
          <w:szCs w:val="26"/>
        </w:rPr>
        <w:t>Duquesne</w:t>
      </w:r>
      <w:r w:rsidRPr="00591394">
        <w:rPr>
          <w:sz w:val="26"/>
          <w:szCs w:val="26"/>
        </w:rPr>
        <w:t xml:space="preserve"> describe</w:t>
      </w:r>
      <w:r w:rsidR="008202AC" w:rsidRPr="00591394">
        <w:rPr>
          <w:sz w:val="26"/>
          <w:szCs w:val="26"/>
        </w:rPr>
        <w:t>s</w:t>
      </w:r>
      <w:r w:rsidRPr="00591394">
        <w:rPr>
          <w:sz w:val="26"/>
          <w:szCs w:val="26"/>
        </w:rPr>
        <w:t xml:space="preserve"> how quality assurance will be measured, verified</w:t>
      </w:r>
      <w:r w:rsidR="00BD12E6" w:rsidRPr="00591394">
        <w:rPr>
          <w:sz w:val="26"/>
          <w:szCs w:val="26"/>
        </w:rPr>
        <w:t>,</w:t>
      </w:r>
      <w:r w:rsidRPr="00591394">
        <w:rPr>
          <w:sz w:val="26"/>
          <w:szCs w:val="26"/>
        </w:rPr>
        <w:t xml:space="preserve"> and evaluated.  </w:t>
      </w:r>
      <w:r w:rsidR="00342E0A" w:rsidRPr="00591394">
        <w:rPr>
          <w:sz w:val="26"/>
          <w:szCs w:val="26"/>
        </w:rPr>
        <w:t>Duquesne provides that all CSP</w:t>
      </w:r>
      <w:r w:rsidR="00645FDD" w:rsidRPr="00591394">
        <w:rPr>
          <w:sz w:val="26"/>
          <w:szCs w:val="26"/>
        </w:rPr>
        <w:t>s</w:t>
      </w:r>
      <w:r w:rsidR="00342E0A" w:rsidRPr="00591394">
        <w:rPr>
          <w:sz w:val="26"/>
          <w:szCs w:val="26"/>
        </w:rPr>
        <w:t xml:space="preserve"> under contract to implement </w:t>
      </w:r>
      <w:r w:rsidR="00F54EB3" w:rsidRPr="00591394">
        <w:rPr>
          <w:sz w:val="26"/>
          <w:szCs w:val="26"/>
        </w:rPr>
        <w:t>Duquesne</w:t>
      </w:r>
      <w:r w:rsidR="00525900" w:rsidRPr="00591394">
        <w:rPr>
          <w:sz w:val="26"/>
          <w:szCs w:val="26"/>
        </w:rPr>
        <w:t xml:space="preserve"> energy efficiency programs are </w:t>
      </w:r>
      <w:r w:rsidR="00F54EB3" w:rsidRPr="00591394">
        <w:rPr>
          <w:sz w:val="26"/>
          <w:szCs w:val="26"/>
        </w:rPr>
        <w:t>required</w:t>
      </w:r>
      <w:r w:rsidR="00525900" w:rsidRPr="00591394">
        <w:rPr>
          <w:sz w:val="26"/>
          <w:szCs w:val="26"/>
        </w:rPr>
        <w:t xml:space="preserve"> by contract statements of work to provide a P</w:t>
      </w:r>
      <w:r w:rsidR="00F32FE9" w:rsidRPr="00591394">
        <w:rPr>
          <w:sz w:val="26"/>
          <w:szCs w:val="26"/>
        </w:rPr>
        <w:t xml:space="preserve">rogram Management Plan (PMP).  The PMP presents the program rationale, assumptions, approval, </w:t>
      </w:r>
      <w:r w:rsidR="00F54EB3" w:rsidRPr="00591394">
        <w:rPr>
          <w:sz w:val="26"/>
          <w:szCs w:val="26"/>
        </w:rPr>
        <w:t>processes</w:t>
      </w:r>
      <w:r w:rsidR="00BD12E6" w:rsidRPr="00591394">
        <w:rPr>
          <w:sz w:val="26"/>
          <w:szCs w:val="26"/>
        </w:rPr>
        <w:t>,</w:t>
      </w:r>
      <w:r w:rsidR="00F32FE9" w:rsidRPr="00591394">
        <w:rPr>
          <w:sz w:val="26"/>
          <w:szCs w:val="26"/>
        </w:rPr>
        <w:t xml:space="preserve"> and other key material in an integrated form.  </w:t>
      </w:r>
      <w:r w:rsidR="00F54EB3" w:rsidRPr="00591394">
        <w:rPr>
          <w:i/>
          <w:iCs/>
          <w:sz w:val="26"/>
          <w:szCs w:val="26"/>
        </w:rPr>
        <w:t>Revised Phase IV Plan</w:t>
      </w:r>
      <w:r w:rsidR="00F54EB3" w:rsidRPr="00591394">
        <w:rPr>
          <w:sz w:val="26"/>
          <w:szCs w:val="26"/>
        </w:rPr>
        <w:t xml:space="preserve"> at 99.  </w:t>
      </w:r>
    </w:p>
    <w:p w14:paraId="60521564" w14:textId="77777777" w:rsidR="00342E0A" w:rsidRPr="00591394" w:rsidRDefault="00342E0A" w:rsidP="00C6113D">
      <w:pPr>
        <w:widowControl/>
        <w:spacing w:line="360" w:lineRule="auto"/>
        <w:ind w:firstLine="1440"/>
        <w:contextualSpacing/>
        <w:rPr>
          <w:sz w:val="26"/>
          <w:szCs w:val="26"/>
        </w:rPr>
      </w:pPr>
    </w:p>
    <w:p w14:paraId="09BB04B7" w14:textId="71F75AD5" w:rsidR="00DD5305" w:rsidRPr="00591394" w:rsidRDefault="00DD5305" w:rsidP="00C6113D">
      <w:pPr>
        <w:widowControl/>
        <w:spacing w:line="360" w:lineRule="auto"/>
        <w:ind w:firstLine="1440"/>
        <w:contextualSpacing/>
        <w:rPr>
          <w:sz w:val="26"/>
          <w:szCs w:val="26"/>
        </w:rPr>
      </w:pPr>
      <w:r w:rsidRPr="00591394">
        <w:rPr>
          <w:sz w:val="26"/>
          <w:szCs w:val="26"/>
        </w:rPr>
        <w:t xml:space="preserve">Additionally, </w:t>
      </w:r>
      <w:r w:rsidR="00BB11B3" w:rsidRPr="00591394">
        <w:rPr>
          <w:sz w:val="26"/>
          <w:szCs w:val="26"/>
        </w:rPr>
        <w:t xml:space="preserve">Duquesne explains that </w:t>
      </w:r>
      <w:r w:rsidR="006647DB" w:rsidRPr="00591394">
        <w:rPr>
          <w:sz w:val="26"/>
          <w:szCs w:val="26"/>
        </w:rPr>
        <w:t xml:space="preserve">procedures are in place to ensure </w:t>
      </w:r>
      <w:r w:rsidR="006F2E64" w:rsidRPr="00591394">
        <w:rPr>
          <w:sz w:val="26"/>
          <w:szCs w:val="26"/>
        </w:rPr>
        <w:t>prospective</w:t>
      </w:r>
      <w:r w:rsidR="006647DB" w:rsidRPr="00591394">
        <w:rPr>
          <w:sz w:val="26"/>
          <w:szCs w:val="26"/>
        </w:rPr>
        <w:t xml:space="preserve"> projects receive appropriate and consistent review </w:t>
      </w:r>
      <w:r w:rsidR="00185BA9" w:rsidRPr="00591394">
        <w:rPr>
          <w:sz w:val="26"/>
          <w:szCs w:val="26"/>
        </w:rPr>
        <w:t xml:space="preserve">prior to approval and incentive payment processing.  Residential incentive application processing is accomplished via fulfillment services provided by a fulfillment contractor.  </w:t>
      </w:r>
      <w:r w:rsidR="00300335" w:rsidRPr="00591394">
        <w:rPr>
          <w:sz w:val="26"/>
          <w:szCs w:val="26"/>
        </w:rPr>
        <w:t>Duquesne avers that this comp</w:t>
      </w:r>
      <w:r w:rsidR="006F2E64" w:rsidRPr="00591394">
        <w:rPr>
          <w:sz w:val="26"/>
          <w:szCs w:val="26"/>
        </w:rPr>
        <w:t>ri</w:t>
      </w:r>
      <w:r w:rsidR="00300335" w:rsidRPr="00591394">
        <w:rPr>
          <w:sz w:val="26"/>
          <w:szCs w:val="26"/>
        </w:rPr>
        <w:t>s</w:t>
      </w:r>
      <w:r w:rsidR="006F2E64" w:rsidRPr="00591394">
        <w:rPr>
          <w:sz w:val="26"/>
          <w:szCs w:val="26"/>
        </w:rPr>
        <w:t>es</w:t>
      </w:r>
      <w:r w:rsidR="00300335" w:rsidRPr="00591394">
        <w:rPr>
          <w:sz w:val="26"/>
          <w:szCs w:val="26"/>
        </w:rPr>
        <w:t xml:space="preserve"> verification to ensure the customer is a </w:t>
      </w:r>
      <w:r w:rsidR="00560B65" w:rsidRPr="00591394">
        <w:rPr>
          <w:sz w:val="26"/>
          <w:szCs w:val="26"/>
        </w:rPr>
        <w:t>Duquesne</w:t>
      </w:r>
      <w:r w:rsidR="00300335" w:rsidRPr="00591394">
        <w:rPr>
          <w:sz w:val="26"/>
          <w:szCs w:val="26"/>
        </w:rPr>
        <w:t xml:space="preserve"> cust</w:t>
      </w:r>
      <w:r w:rsidR="00560B65" w:rsidRPr="00591394">
        <w:rPr>
          <w:sz w:val="26"/>
          <w:szCs w:val="26"/>
        </w:rPr>
        <w:t>om</w:t>
      </w:r>
      <w:r w:rsidR="00300335" w:rsidRPr="00591394">
        <w:rPr>
          <w:sz w:val="26"/>
          <w:szCs w:val="26"/>
        </w:rPr>
        <w:t>er, the product information is c</w:t>
      </w:r>
      <w:r w:rsidR="00560B65" w:rsidRPr="00591394">
        <w:rPr>
          <w:sz w:val="26"/>
          <w:szCs w:val="26"/>
        </w:rPr>
        <w:t>or</w:t>
      </w:r>
      <w:r w:rsidR="00300335" w:rsidRPr="00591394">
        <w:rPr>
          <w:sz w:val="26"/>
          <w:szCs w:val="26"/>
        </w:rPr>
        <w:t xml:space="preserve">rect </w:t>
      </w:r>
      <w:r w:rsidR="00560B65" w:rsidRPr="00591394">
        <w:rPr>
          <w:sz w:val="26"/>
          <w:szCs w:val="26"/>
        </w:rPr>
        <w:t>and</w:t>
      </w:r>
      <w:r w:rsidR="00300335" w:rsidRPr="00591394">
        <w:rPr>
          <w:sz w:val="26"/>
          <w:szCs w:val="26"/>
        </w:rPr>
        <w:t xml:space="preserve"> the product is eligible under the program to receive incentives, and invoices corroborate pro</w:t>
      </w:r>
      <w:r w:rsidR="00560B65" w:rsidRPr="00591394">
        <w:rPr>
          <w:sz w:val="26"/>
          <w:szCs w:val="26"/>
        </w:rPr>
        <w:t>duct</w:t>
      </w:r>
      <w:r w:rsidR="00300335" w:rsidRPr="00591394">
        <w:rPr>
          <w:sz w:val="26"/>
          <w:szCs w:val="26"/>
        </w:rPr>
        <w:t xml:space="preserve"> </w:t>
      </w:r>
      <w:r w:rsidR="00560B65" w:rsidRPr="00591394">
        <w:rPr>
          <w:sz w:val="26"/>
          <w:szCs w:val="26"/>
        </w:rPr>
        <w:t>identification</w:t>
      </w:r>
      <w:r w:rsidR="00300335" w:rsidRPr="00591394">
        <w:rPr>
          <w:sz w:val="26"/>
          <w:szCs w:val="26"/>
        </w:rPr>
        <w:t xml:space="preserve"> </w:t>
      </w:r>
      <w:r w:rsidR="00560B65" w:rsidRPr="00591394">
        <w:rPr>
          <w:sz w:val="26"/>
          <w:szCs w:val="26"/>
        </w:rPr>
        <w:t>a</w:t>
      </w:r>
      <w:r w:rsidR="00300335" w:rsidRPr="00591394">
        <w:rPr>
          <w:sz w:val="26"/>
          <w:szCs w:val="26"/>
        </w:rPr>
        <w:t xml:space="preserve">nd are </w:t>
      </w:r>
      <w:r w:rsidR="00560B65" w:rsidRPr="00591394">
        <w:rPr>
          <w:sz w:val="26"/>
          <w:szCs w:val="26"/>
        </w:rPr>
        <w:t>d</w:t>
      </w:r>
      <w:r w:rsidR="00300335" w:rsidRPr="00591394">
        <w:rPr>
          <w:sz w:val="26"/>
          <w:szCs w:val="26"/>
        </w:rPr>
        <w:t xml:space="preserve">ated within the eligible program period.  </w:t>
      </w:r>
      <w:r w:rsidR="006F2E64" w:rsidRPr="00591394">
        <w:rPr>
          <w:sz w:val="26"/>
          <w:szCs w:val="26"/>
        </w:rPr>
        <w:t xml:space="preserve">Duquesne </w:t>
      </w:r>
      <w:r w:rsidR="00C60C07" w:rsidRPr="00591394">
        <w:rPr>
          <w:sz w:val="26"/>
          <w:szCs w:val="26"/>
        </w:rPr>
        <w:t>explains</w:t>
      </w:r>
      <w:r w:rsidR="006F2E64" w:rsidRPr="00591394">
        <w:rPr>
          <w:sz w:val="26"/>
          <w:szCs w:val="26"/>
        </w:rPr>
        <w:t xml:space="preserve"> that C&amp;I project and customer incentive processing varies depending upon the type and size of the project.  Duquesne Statement in Support at 14.</w:t>
      </w:r>
    </w:p>
    <w:p w14:paraId="5409E7DE" w14:textId="77777777" w:rsidR="00CD4D08" w:rsidRPr="00591394" w:rsidRDefault="00CD4D08" w:rsidP="00C6113D">
      <w:pPr>
        <w:widowControl/>
        <w:spacing w:line="360" w:lineRule="auto"/>
        <w:rPr>
          <w:sz w:val="26"/>
          <w:szCs w:val="26"/>
        </w:rPr>
      </w:pPr>
    </w:p>
    <w:p w14:paraId="1D257A9D" w14:textId="39710699" w:rsidR="009559ED" w:rsidRPr="00591394" w:rsidRDefault="009559ED" w:rsidP="00C6113D">
      <w:pPr>
        <w:pStyle w:val="Heading2"/>
        <w:rPr>
          <w:szCs w:val="26"/>
        </w:rPr>
      </w:pPr>
      <w:bookmarkStart w:id="29" w:name="_Toc66354628"/>
      <w:bookmarkStart w:id="30" w:name="_Hlk66348022"/>
      <w:r w:rsidRPr="00591394">
        <w:rPr>
          <w:szCs w:val="26"/>
        </w:rPr>
        <w:t xml:space="preserve">F. </w:t>
      </w:r>
      <w:r w:rsidR="00676D31" w:rsidRPr="00591394">
        <w:rPr>
          <w:szCs w:val="26"/>
        </w:rPr>
        <w:tab/>
      </w:r>
      <w:r w:rsidRPr="00591394">
        <w:rPr>
          <w:szCs w:val="26"/>
        </w:rPr>
        <w:t>C</w:t>
      </w:r>
      <w:r w:rsidR="00C33599" w:rsidRPr="00591394">
        <w:rPr>
          <w:szCs w:val="26"/>
        </w:rPr>
        <w:t>OVID</w:t>
      </w:r>
      <w:r w:rsidRPr="00591394">
        <w:rPr>
          <w:szCs w:val="26"/>
        </w:rPr>
        <w:t>-19 Impacts</w:t>
      </w:r>
      <w:r w:rsidR="00CD4D08" w:rsidRPr="00591394">
        <w:rPr>
          <w:szCs w:val="26"/>
        </w:rPr>
        <w:t xml:space="preserve"> on Reduction Targets</w:t>
      </w:r>
      <w:bookmarkEnd w:id="29"/>
    </w:p>
    <w:p w14:paraId="07C5A5C6" w14:textId="44754667" w:rsidR="009559ED" w:rsidRPr="00591394" w:rsidRDefault="009559ED" w:rsidP="00C6113D">
      <w:pPr>
        <w:widowControl/>
        <w:spacing w:line="360" w:lineRule="auto"/>
        <w:rPr>
          <w:sz w:val="26"/>
          <w:szCs w:val="26"/>
        </w:rPr>
      </w:pPr>
    </w:p>
    <w:p w14:paraId="0A1BC155" w14:textId="74190D88" w:rsidR="00FD0632" w:rsidRPr="00591394" w:rsidRDefault="00AB3FAE" w:rsidP="00C6113D">
      <w:pPr>
        <w:widowControl/>
        <w:autoSpaceDE w:val="0"/>
        <w:autoSpaceDN w:val="0"/>
        <w:spacing w:line="360" w:lineRule="auto"/>
        <w:ind w:firstLine="1440"/>
        <w:rPr>
          <w:sz w:val="26"/>
          <w:szCs w:val="26"/>
        </w:rPr>
      </w:pPr>
      <w:r w:rsidRPr="00591394">
        <w:rPr>
          <w:sz w:val="26"/>
          <w:szCs w:val="26"/>
        </w:rPr>
        <w:t xml:space="preserve">We note that the Commission </w:t>
      </w:r>
      <w:r w:rsidR="00C466D3" w:rsidRPr="00591394">
        <w:rPr>
          <w:sz w:val="26"/>
          <w:szCs w:val="26"/>
        </w:rPr>
        <w:t>received comments r</w:t>
      </w:r>
      <w:r w:rsidR="008F2FE8" w:rsidRPr="00591394">
        <w:rPr>
          <w:sz w:val="26"/>
          <w:szCs w:val="26"/>
        </w:rPr>
        <w:t>egar</w:t>
      </w:r>
      <w:r w:rsidR="00A4332F" w:rsidRPr="00591394">
        <w:rPr>
          <w:sz w:val="26"/>
          <w:szCs w:val="26"/>
        </w:rPr>
        <w:t>d</w:t>
      </w:r>
      <w:r w:rsidR="008F2FE8" w:rsidRPr="00591394">
        <w:rPr>
          <w:sz w:val="26"/>
          <w:szCs w:val="26"/>
        </w:rPr>
        <w:t xml:space="preserve">ing the potential impact of </w:t>
      </w:r>
      <w:r w:rsidR="00A4332F" w:rsidRPr="00591394">
        <w:rPr>
          <w:sz w:val="26"/>
          <w:szCs w:val="26"/>
        </w:rPr>
        <w:t xml:space="preserve">the COVID-19 pandemic on the </w:t>
      </w:r>
      <w:r w:rsidR="00227E1C" w:rsidRPr="00591394">
        <w:rPr>
          <w:sz w:val="26"/>
          <w:szCs w:val="26"/>
        </w:rPr>
        <w:t>Phase IV programs</w:t>
      </w:r>
      <w:r w:rsidR="00AB2490" w:rsidRPr="00591394">
        <w:rPr>
          <w:sz w:val="26"/>
          <w:szCs w:val="26"/>
        </w:rPr>
        <w:t xml:space="preserve"> during the development of the </w:t>
      </w:r>
      <w:r w:rsidR="00AB2490" w:rsidRPr="00591394">
        <w:rPr>
          <w:i/>
          <w:iCs/>
          <w:sz w:val="26"/>
          <w:szCs w:val="26"/>
        </w:rPr>
        <w:t xml:space="preserve">Phase IV </w:t>
      </w:r>
      <w:r w:rsidR="001F2BBC" w:rsidRPr="00591394">
        <w:rPr>
          <w:i/>
          <w:iCs/>
          <w:sz w:val="26"/>
          <w:szCs w:val="26"/>
        </w:rPr>
        <w:t>Implementation Order</w:t>
      </w:r>
      <w:r w:rsidR="00227E1C" w:rsidRPr="00591394">
        <w:rPr>
          <w:sz w:val="26"/>
          <w:szCs w:val="26"/>
        </w:rPr>
        <w:t xml:space="preserve">.  The Commission </w:t>
      </w:r>
      <w:r w:rsidR="00B21F95" w:rsidRPr="00591394">
        <w:rPr>
          <w:sz w:val="26"/>
          <w:szCs w:val="26"/>
        </w:rPr>
        <w:t xml:space="preserve">declined to establish a process to revise the targets in the </w:t>
      </w:r>
      <w:r w:rsidR="00B21F95" w:rsidRPr="00591394">
        <w:rPr>
          <w:i/>
          <w:iCs/>
          <w:sz w:val="26"/>
          <w:szCs w:val="26"/>
        </w:rPr>
        <w:t>Phase IV Implementation Order</w:t>
      </w:r>
      <w:r w:rsidR="00B21F95" w:rsidRPr="00591394">
        <w:rPr>
          <w:sz w:val="26"/>
          <w:szCs w:val="26"/>
        </w:rPr>
        <w:t xml:space="preserve">, considering </w:t>
      </w:r>
      <w:r w:rsidR="00F37929" w:rsidRPr="00591394">
        <w:rPr>
          <w:sz w:val="26"/>
          <w:szCs w:val="26"/>
        </w:rPr>
        <w:t xml:space="preserve">it speculative and </w:t>
      </w:r>
      <w:r w:rsidR="00DE501C" w:rsidRPr="00591394">
        <w:rPr>
          <w:sz w:val="26"/>
          <w:szCs w:val="26"/>
        </w:rPr>
        <w:t>premature.</w:t>
      </w:r>
      <w:r w:rsidR="00D743E4" w:rsidRPr="00591394">
        <w:rPr>
          <w:sz w:val="26"/>
          <w:szCs w:val="26"/>
        </w:rPr>
        <w:t xml:space="preserve">  T</w:t>
      </w:r>
      <w:r w:rsidR="009559ED" w:rsidRPr="00591394">
        <w:rPr>
          <w:sz w:val="26"/>
          <w:szCs w:val="26"/>
        </w:rPr>
        <w:t>herefore, we decline to discuss this matter here.</w:t>
      </w:r>
      <w:r w:rsidR="001C6B30" w:rsidRPr="00591394">
        <w:rPr>
          <w:i/>
          <w:iCs/>
          <w:sz w:val="26"/>
          <w:szCs w:val="26"/>
        </w:rPr>
        <w:t xml:space="preserve">  </w:t>
      </w:r>
      <w:r w:rsidR="00FD0632" w:rsidRPr="00591394">
        <w:rPr>
          <w:i/>
          <w:iCs/>
          <w:sz w:val="26"/>
          <w:szCs w:val="26"/>
        </w:rPr>
        <w:t>Phase IV Implementation Order</w:t>
      </w:r>
      <w:r w:rsidR="00FD0632" w:rsidRPr="00591394">
        <w:rPr>
          <w:sz w:val="26"/>
          <w:szCs w:val="26"/>
        </w:rPr>
        <w:t xml:space="preserve"> at</w:t>
      </w:r>
      <w:r w:rsidR="00010865" w:rsidRPr="00591394">
        <w:rPr>
          <w:sz w:val="26"/>
          <w:szCs w:val="26"/>
        </w:rPr>
        <w:t xml:space="preserve"> </w:t>
      </w:r>
      <w:r w:rsidR="00FD0632" w:rsidRPr="00591394">
        <w:rPr>
          <w:sz w:val="26"/>
          <w:szCs w:val="26"/>
        </w:rPr>
        <w:t>144-145.</w:t>
      </w:r>
    </w:p>
    <w:bookmarkEnd w:id="30"/>
    <w:p w14:paraId="52B5D580" w14:textId="77777777" w:rsidR="009559ED" w:rsidRPr="00591394" w:rsidRDefault="009559ED" w:rsidP="00C6113D">
      <w:pPr>
        <w:widowControl/>
        <w:rPr>
          <w:sz w:val="26"/>
          <w:szCs w:val="26"/>
        </w:rPr>
      </w:pPr>
    </w:p>
    <w:p w14:paraId="150BC38C" w14:textId="60A0FABF" w:rsidR="009E434D" w:rsidRPr="00591394" w:rsidRDefault="009559ED" w:rsidP="00C6113D">
      <w:pPr>
        <w:pStyle w:val="Heading2"/>
        <w:keepNext/>
        <w:rPr>
          <w:szCs w:val="26"/>
        </w:rPr>
      </w:pPr>
      <w:bookmarkStart w:id="31" w:name="_Toc66354629"/>
      <w:r w:rsidRPr="00591394">
        <w:rPr>
          <w:szCs w:val="26"/>
        </w:rPr>
        <w:lastRenderedPageBreak/>
        <w:t>G</w:t>
      </w:r>
      <w:r w:rsidR="009E434D" w:rsidRPr="00591394">
        <w:rPr>
          <w:szCs w:val="26"/>
        </w:rPr>
        <w:t>.</w:t>
      </w:r>
      <w:r w:rsidR="009E434D" w:rsidRPr="00591394">
        <w:rPr>
          <w:szCs w:val="26"/>
        </w:rPr>
        <w:tab/>
        <w:t>Joint Petition for Full Settlement</w:t>
      </w:r>
      <w:bookmarkEnd w:id="31"/>
    </w:p>
    <w:p w14:paraId="7F5995BE" w14:textId="77777777" w:rsidR="009E434D" w:rsidRPr="00591394" w:rsidRDefault="009E434D" w:rsidP="00C6113D">
      <w:pPr>
        <w:keepNext/>
        <w:widowControl/>
        <w:spacing w:line="360" w:lineRule="auto"/>
        <w:rPr>
          <w:b/>
          <w:sz w:val="26"/>
          <w:szCs w:val="26"/>
        </w:rPr>
      </w:pPr>
    </w:p>
    <w:p w14:paraId="2AD28998" w14:textId="77777777" w:rsidR="009E434D" w:rsidRPr="00591394" w:rsidRDefault="00305DB2" w:rsidP="00C6113D">
      <w:pPr>
        <w:pStyle w:val="Heading3"/>
        <w:keepNext/>
      </w:pPr>
      <w:bookmarkStart w:id="32" w:name="_Toc66354630"/>
      <w:r w:rsidRPr="00591394">
        <w:t>1.</w:t>
      </w:r>
      <w:r w:rsidRPr="00591394">
        <w:tab/>
      </w:r>
      <w:r w:rsidR="009E434D" w:rsidRPr="00591394">
        <w:t>Introduction</w:t>
      </w:r>
      <w:bookmarkEnd w:id="32"/>
    </w:p>
    <w:p w14:paraId="69F55186" w14:textId="77777777" w:rsidR="00CE4D91" w:rsidRPr="00591394" w:rsidRDefault="00CE4D91" w:rsidP="00C6113D">
      <w:pPr>
        <w:pStyle w:val="ListParagraph"/>
        <w:keepNext/>
        <w:widowControl/>
        <w:spacing w:line="360" w:lineRule="auto"/>
        <w:ind w:left="1440"/>
        <w:rPr>
          <w:b/>
          <w:sz w:val="26"/>
          <w:szCs w:val="26"/>
        </w:rPr>
      </w:pPr>
    </w:p>
    <w:p w14:paraId="0345828F" w14:textId="6BF66FE8" w:rsidR="007F4FEC" w:rsidRPr="00591394" w:rsidRDefault="009E434D" w:rsidP="004E2B63">
      <w:pPr>
        <w:keepNext/>
        <w:widowControl/>
        <w:spacing w:line="360" w:lineRule="auto"/>
        <w:ind w:firstLine="1440"/>
        <w:rPr>
          <w:sz w:val="26"/>
          <w:szCs w:val="26"/>
        </w:rPr>
      </w:pPr>
      <w:r w:rsidRPr="00591394">
        <w:rPr>
          <w:sz w:val="26"/>
          <w:szCs w:val="26"/>
        </w:rPr>
        <w:t xml:space="preserve">As stated above, on February </w:t>
      </w:r>
      <w:r w:rsidR="00A3746B" w:rsidRPr="00591394">
        <w:rPr>
          <w:sz w:val="26"/>
          <w:szCs w:val="26"/>
        </w:rPr>
        <w:t>18</w:t>
      </w:r>
      <w:r w:rsidRPr="00591394">
        <w:rPr>
          <w:sz w:val="26"/>
          <w:szCs w:val="26"/>
        </w:rPr>
        <w:t>, 20</w:t>
      </w:r>
      <w:r w:rsidR="00A3746B" w:rsidRPr="00591394">
        <w:rPr>
          <w:sz w:val="26"/>
          <w:szCs w:val="26"/>
        </w:rPr>
        <w:t>21</w:t>
      </w:r>
      <w:r w:rsidRPr="00591394">
        <w:rPr>
          <w:sz w:val="26"/>
          <w:szCs w:val="26"/>
        </w:rPr>
        <w:t xml:space="preserve">, the Joint Petitioners filed the </w:t>
      </w:r>
      <w:r w:rsidR="004B4906" w:rsidRPr="00591394">
        <w:rPr>
          <w:sz w:val="26"/>
          <w:szCs w:val="26"/>
        </w:rPr>
        <w:t xml:space="preserve">Joint Petition for </w:t>
      </w:r>
      <w:r w:rsidRPr="00591394">
        <w:rPr>
          <w:sz w:val="26"/>
          <w:szCs w:val="26"/>
        </w:rPr>
        <w:t xml:space="preserve">Settlement.  The Joint Petitioners state that the Settlement has been agreed </w:t>
      </w:r>
      <w:proofErr w:type="gramStart"/>
      <w:r w:rsidRPr="00591394">
        <w:rPr>
          <w:sz w:val="26"/>
          <w:szCs w:val="26"/>
        </w:rPr>
        <w:t>to, or</w:t>
      </w:r>
      <w:proofErr w:type="gramEnd"/>
      <w:r w:rsidRPr="00591394">
        <w:rPr>
          <w:sz w:val="26"/>
          <w:szCs w:val="26"/>
        </w:rPr>
        <w:t xml:space="preserve"> is not opposed by all active </w:t>
      </w:r>
      <w:r w:rsidR="00A53D42" w:rsidRPr="00591394">
        <w:rPr>
          <w:sz w:val="26"/>
          <w:szCs w:val="26"/>
        </w:rPr>
        <w:t>P</w:t>
      </w:r>
      <w:r w:rsidRPr="00591394">
        <w:rPr>
          <w:sz w:val="26"/>
          <w:szCs w:val="26"/>
        </w:rPr>
        <w:t>arties in this proceeding</w:t>
      </w:r>
      <w:r w:rsidR="00B61B68" w:rsidRPr="00591394">
        <w:rPr>
          <w:sz w:val="26"/>
          <w:szCs w:val="26"/>
        </w:rPr>
        <w:t>.</w:t>
      </w:r>
      <w:r w:rsidRPr="00591394">
        <w:rPr>
          <w:sz w:val="26"/>
          <w:szCs w:val="26"/>
        </w:rPr>
        <w:t xml:space="preserve">  According to the Joint Petitioners,</w:t>
      </w:r>
      <w:r w:rsidR="00364E89" w:rsidRPr="00591394">
        <w:rPr>
          <w:sz w:val="26"/>
          <w:szCs w:val="26"/>
        </w:rPr>
        <w:t xml:space="preserve"> the Settlement </w:t>
      </w:r>
      <w:r w:rsidR="003D7B2E" w:rsidRPr="00591394">
        <w:rPr>
          <w:sz w:val="26"/>
          <w:szCs w:val="26"/>
        </w:rPr>
        <w:t xml:space="preserve">is in the public interest and should be approved by the Commission without modification.  The Settlement provides for the approval of Duquesne’s </w:t>
      </w:r>
      <w:r w:rsidR="00CB25CF" w:rsidRPr="00591394">
        <w:rPr>
          <w:sz w:val="26"/>
          <w:szCs w:val="26"/>
        </w:rPr>
        <w:t xml:space="preserve">Revised </w:t>
      </w:r>
      <w:r w:rsidR="003D7B2E" w:rsidRPr="00591394">
        <w:rPr>
          <w:sz w:val="26"/>
          <w:szCs w:val="26"/>
        </w:rPr>
        <w:t>Phase I</w:t>
      </w:r>
      <w:r w:rsidR="00633390" w:rsidRPr="00591394">
        <w:rPr>
          <w:sz w:val="26"/>
          <w:szCs w:val="26"/>
        </w:rPr>
        <w:t>V</w:t>
      </w:r>
      <w:r w:rsidR="003D7B2E" w:rsidRPr="00591394">
        <w:rPr>
          <w:sz w:val="26"/>
          <w:szCs w:val="26"/>
        </w:rPr>
        <w:t xml:space="preserve"> EE&amp;C Plan with certain modifications and clarifications</w:t>
      </w:r>
      <w:r w:rsidR="000E41E4" w:rsidRPr="00591394">
        <w:rPr>
          <w:sz w:val="26"/>
          <w:szCs w:val="26"/>
        </w:rPr>
        <w:t>,</w:t>
      </w:r>
      <w:r w:rsidR="003D7B2E" w:rsidRPr="00591394">
        <w:rPr>
          <w:sz w:val="26"/>
          <w:szCs w:val="26"/>
        </w:rPr>
        <w:t xml:space="preserve"> as agreed upon by the Joint Petitioners.</w:t>
      </w:r>
      <w:r w:rsidRPr="00591394">
        <w:rPr>
          <w:sz w:val="26"/>
          <w:szCs w:val="26"/>
        </w:rPr>
        <w:t xml:space="preserve"> </w:t>
      </w:r>
    </w:p>
    <w:p w14:paraId="1CAE6B9D" w14:textId="77777777" w:rsidR="007F4FEC" w:rsidRPr="00591394" w:rsidRDefault="007F4FEC" w:rsidP="004E2B63">
      <w:pPr>
        <w:widowControl/>
        <w:spacing w:line="360" w:lineRule="auto"/>
        <w:ind w:firstLine="1440"/>
        <w:rPr>
          <w:sz w:val="26"/>
          <w:szCs w:val="26"/>
        </w:rPr>
      </w:pPr>
    </w:p>
    <w:p w14:paraId="6A631A56" w14:textId="435CA069" w:rsidR="00977070" w:rsidRPr="00591394" w:rsidRDefault="00305DB2" w:rsidP="004E2B63">
      <w:pPr>
        <w:pStyle w:val="Heading3"/>
        <w:keepNext/>
      </w:pPr>
      <w:r w:rsidRPr="00591394">
        <w:t>2.</w:t>
      </w:r>
      <w:r w:rsidRPr="00591394">
        <w:tab/>
      </w:r>
      <w:bookmarkStart w:id="33" w:name="_Toc66354631"/>
      <w:r w:rsidR="007F4FEC" w:rsidRPr="00591394">
        <w:t>Terms and Conditions of the Full Settlement</w:t>
      </w:r>
      <w:bookmarkEnd w:id="33"/>
      <w:r w:rsidR="009E434D" w:rsidRPr="00591394">
        <w:t xml:space="preserve"> </w:t>
      </w:r>
    </w:p>
    <w:p w14:paraId="5382C45E" w14:textId="77777777" w:rsidR="002D2767" w:rsidRPr="00591394" w:rsidRDefault="002D2767" w:rsidP="004E2B63">
      <w:pPr>
        <w:keepNext/>
        <w:widowControl/>
        <w:spacing w:line="360" w:lineRule="auto"/>
        <w:rPr>
          <w:sz w:val="26"/>
          <w:szCs w:val="26"/>
        </w:rPr>
      </w:pPr>
    </w:p>
    <w:p w14:paraId="5FAF50D2" w14:textId="15041542" w:rsidR="007F4FEC" w:rsidRPr="00591394" w:rsidRDefault="007F4FEC" w:rsidP="004E2B63">
      <w:pPr>
        <w:pStyle w:val="ListParagraph"/>
        <w:keepNext/>
        <w:widowControl/>
        <w:spacing w:line="360" w:lineRule="auto"/>
        <w:ind w:left="0" w:firstLine="1440"/>
        <w:rPr>
          <w:sz w:val="26"/>
          <w:szCs w:val="26"/>
        </w:rPr>
      </w:pPr>
      <w:r w:rsidRPr="00591394">
        <w:rPr>
          <w:sz w:val="26"/>
          <w:szCs w:val="26"/>
        </w:rPr>
        <w:t xml:space="preserve">The Settlement consists of the Joint Petition containing the terms and conditions of the Settlement, and </w:t>
      </w:r>
      <w:r w:rsidR="00A61B26" w:rsidRPr="00591394">
        <w:rPr>
          <w:sz w:val="26"/>
          <w:szCs w:val="26"/>
        </w:rPr>
        <w:t>four</w:t>
      </w:r>
      <w:r w:rsidRPr="00591394">
        <w:rPr>
          <w:sz w:val="26"/>
          <w:szCs w:val="26"/>
        </w:rPr>
        <w:t xml:space="preserve"> appendices.  Appendices A through </w:t>
      </w:r>
      <w:r w:rsidR="00A61B26" w:rsidRPr="00591394">
        <w:rPr>
          <w:sz w:val="26"/>
          <w:szCs w:val="26"/>
        </w:rPr>
        <w:t>D</w:t>
      </w:r>
      <w:r w:rsidRPr="00591394">
        <w:rPr>
          <w:sz w:val="26"/>
          <w:szCs w:val="26"/>
        </w:rPr>
        <w:t xml:space="preserve"> to the Settlement are the Statements of Duquesne, </w:t>
      </w:r>
      <w:r w:rsidR="00FF68AC" w:rsidRPr="00591394">
        <w:rPr>
          <w:sz w:val="26"/>
          <w:szCs w:val="26"/>
        </w:rPr>
        <w:t xml:space="preserve">CAUSE-PA, </w:t>
      </w:r>
      <w:r w:rsidR="00716A0B" w:rsidRPr="00591394">
        <w:rPr>
          <w:sz w:val="26"/>
          <w:szCs w:val="26"/>
        </w:rPr>
        <w:t xml:space="preserve">the OCA, and </w:t>
      </w:r>
      <w:r w:rsidR="00FF68AC" w:rsidRPr="00591394">
        <w:rPr>
          <w:sz w:val="26"/>
          <w:szCs w:val="26"/>
        </w:rPr>
        <w:t>C</w:t>
      </w:r>
      <w:r w:rsidR="00A47BA9" w:rsidRPr="00591394">
        <w:rPr>
          <w:sz w:val="26"/>
          <w:szCs w:val="26"/>
        </w:rPr>
        <w:t xml:space="preserve">AAP </w:t>
      </w:r>
      <w:r w:rsidR="00FF68AC" w:rsidRPr="00591394">
        <w:rPr>
          <w:sz w:val="26"/>
          <w:szCs w:val="26"/>
        </w:rPr>
        <w:t>in S</w:t>
      </w:r>
      <w:r w:rsidRPr="00591394">
        <w:rPr>
          <w:sz w:val="26"/>
          <w:szCs w:val="26"/>
        </w:rPr>
        <w:t>upport of the Joint Petition for</w:t>
      </w:r>
      <w:r w:rsidR="00EA327F" w:rsidRPr="00591394">
        <w:rPr>
          <w:sz w:val="26"/>
          <w:szCs w:val="26"/>
        </w:rPr>
        <w:t xml:space="preserve"> </w:t>
      </w:r>
      <w:r w:rsidRPr="00591394">
        <w:rPr>
          <w:sz w:val="26"/>
          <w:szCs w:val="26"/>
        </w:rPr>
        <w:t>Settlement.</w:t>
      </w:r>
      <w:r w:rsidR="00FF68AC" w:rsidRPr="00591394">
        <w:rPr>
          <w:sz w:val="26"/>
          <w:szCs w:val="26"/>
        </w:rPr>
        <w:t xml:space="preserve">  </w:t>
      </w:r>
    </w:p>
    <w:p w14:paraId="63BC81E5" w14:textId="77777777" w:rsidR="007F4FEC" w:rsidRPr="00591394" w:rsidRDefault="007F4FEC" w:rsidP="00C6113D">
      <w:pPr>
        <w:pStyle w:val="ListParagraph"/>
        <w:widowControl/>
        <w:spacing w:line="360" w:lineRule="auto"/>
        <w:ind w:left="0" w:firstLine="1440"/>
        <w:rPr>
          <w:sz w:val="26"/>
          <w:szCs w:val="26"/>
        </w:rPr>
      </w:pPr>
    </w:p>
    <w:p w14:paraId="51D026D3" w14:textId="723F82A5" w:rsidR="007F4FEC" w:rsidRPr="00591394" w:rsidRDefault="007F4FEC" w:rsidP="00C6113D">
      <w:pPr>
        <w:pStyle w:val="ListParagraph"/>
        <w:widowControl/>
        <w:spacing w:line="360" w:lineRule="auto"/>
        <w:ind w:left="0" w:firstLine="1440"/>
        <w:rPr>
          <w:sz w:val="26"/>
          <w:szCs w:val="26"/>
        </w:rPr>
      </w:pPr>
      <w:r w:rsidRPr="00591394">
        <w:rPr>
          <w:sz w:val="26"/>
          <w:szCs w:val="26"/>
        </w:rPr>
        <w:t xml:space="preserve">The essential terms and conditions of the Settlement are set forth in </w:t>
      </w:r>
      <w:r w:rsidR="00A23C93" w:rsidRPr="00591394">
        <w:rPr>
          <w:sz w:val="26"/>
          <w:szCs w:val="26"/>
        </w:rPr>
        <w:t>Section III, as follows:</w:t>
      </w:r>
    </w:p>
    <w:p w14:paraId="0983F6D8" w14:textId="77777777" w:rsidR="008314E6" w:rsidRPr="00591394" w:rsidRDefault="008314E6" w:rsidP="004E2B63">
      <w:pPr>
        <w:pStyle w:val="ListParagraph"/>
        <w:widowControl/>
        <w:ind w:left="0" w:firstLine="1440"/>
        <w:rPr>
          <w:sz w:val="26"/>
          <w:szCs w:val="26"/>
        </w:rPr>
      </w:pPr>
    </w:p>
    <w:p w14:paraId="71400045" w14:textId="23736D9F" w:rsidR="00BC45FA" w:rsidRPr="00591394" w:rsidRDefault="00BC45FA" w:rsidP="00C6113D">
      <w:pPr>
        <w:pStyle w:val="ListParagraph"/>
        <w:widowControl/>
        <w:numPr>
          <w:ilvl w:val="0"/>
          <w:numId w:val="13"/>
        </w:numPr>
        <w:tabs>
          <w:tab w:val="clear" w:pos="648"/>
        </w:tabs>
        <w:ind w:left="1440" w:right="1440"/>
        <w:rPr>
          <w:rFonts w:eastAsia="Calibri"/>
          <w:color w:val="000000"/>
          <w:sz w:val="26"/>
          <w:szCs w:val="26"/>
        </w:rPr>
      </w:pPr>
      <w:r w:rsidRPr="00591394">
        <w:rPr>
          <w:rFonts w:eastAsia="Calibri"/>
          <w:color w:val="000000"/>
          <w:sz w:val="26"/>
          <w:szCs w:val="26"/>
        </w:rPr>
        <w:t xml:space="preserve">The following terms of Settlement reflect a carefully balanced compromise of the interests of </w:t>
      </w:r>
      <w:proofErr w:type="gramStart"/>
      <w:r w:rsidRPr="00591394">
        <w:rPr>
          <w:rFonts w:eastAsia="Calibri"/>
          <w:color w:val="000000"/>
          <w:sz w:val="26"/>
          <w:szCs w:val="26"/>
        </w:rPr>
        <w:t>all of</w:t>
      </w:r>
      <w:proofErr w:type="gramEnd"/>
      <w:r w:rsidRPr="00591394">
        <w:rPr>
          <w:rFonts w:eastAsia="Calibri"/>
          <w:color w:val="000000"/>
          <w:sz w:val="26"/>
          <w:szCs w:val="26"/>
        </w:rPr>
        <w:t xml:space="preserve"> the Joint Petitioners in this proceeding. The Joint Petitioners agree that the Settlement, as a whole, provides a reasonable resolution of the issues raised by the various parties in the previously submitted Notices of Intervention, Petitions to Intervene, and Testimony, and that approval of the Settlement is in the public interest.</w:t>
      </w:r>
    </w:p>
    <w:p w14:paraId="1E4137B1" w14:textId="77777777" w:rsidR="00F17076" w:rsidRPr="00591394" w:rsidRDefault="00F17076" w:rsidP="00C6113D">
      <w:pPr>
        <w:widowControl/>
        <w:ind w:right="1440"/>
        <w:rPr>
          <w:rFonts w:eastAsia="Calibri"/>
          <w:color w:val="000000"/>
          <w:sz w:val="26"/>
          <w:szCs w:val="26"/>
        </w:rPr>
      </w:pPr>
    </w:p>
    <w:p w14:paraId="773968E2" w14:textId="2D5BDBBD" w:rsidR="00BC45FA" w:rsidRPr="00591394" w:rsidRDefault="00BC45FA" w:rsidP="00C6113D">
      <w:pPr>
        <w:pStyle w:val="ListParagraph"/>
        <w:widowControl/>
        <w:numPr>
          <w:ilvl w:val="0"/>
          <w:numId w:val="14"/>
        </w:numPr>
        <w:tabs>
          <w:tab w:val="clear" w:pos="720"/>
        </w:tabs>
        <w:ind w:left="1440" w:right="1440"/>
        <w:rPr>
          <w:rFonts w:eastAsia="Calibri"/>
          <w:color w:val="000000"/>
          <w:sz w:val="26"/>
          <w:szCs w:val="26"/>
        </w:rPr>
      </w:pPr>
      <w:r w:rsidRPr="00591394">
        <w:rPr>
          <w:rFonts w:eastAsia="Calibri"/>
          <w:color w:val="000000"/>
          <w:sz w:val="26"/>
          <w:szCs w:val="26"/>
        </w:rPr>
        <w:lastRenderedPageBreak/>
        <w:t>The Joint Petitioners respectfully request that Duquesne Light’s revised Phase IV EE&amp;C Plan be approved subject to the terms and conditions of this Settlement as specified below.</w:t>
      </w:r>
    </w:p>
    <w:p w14:paraId="3809BBA6" w14:textId="77777777" w:rsidR="0047703B" w:rsidRPr="00591394" w:rsidRDefault="0047703B" w:rsidP="00C6113D">
      <w:pPr>
        <w:pStyle w:val="ListParagraph"/>
        <w:widowControl/>
        <w:ind w:left="1440" w:right="1440"/>
        <w:rPr>
          <w:rFonts w:eastAsia="Calibri"/>
          <w:color w:val="000000"/>
          <w:sz w:val="26"/>
          <w:szCs w:val="26"/>
        </w:rPr>
      </w:pPr>
    </w:p>
    <w:p w14:paraId="7079AD45" w14:textId="6CD67512" w:rsidR="00BC45FA" w:rsidRPr="00591394" w:rsidRDefault="00BC45FA" w:rsidP="00C6113D">
      <w:pPr>
        <w:pStyle w:val="ListParagraph"/>
        <w:widowControl/>
        <w:numPr>
          <w:ilvl w:val="0"/>
          <w:numId w:val="14"/>
        </w:numPr>
        <w:tabs>
          <w:tab w:val="clear" w:pos="720"/>
        </w:tabs>
        <w:ind w:left="1440" w:right="1440"/>
        <w:rPr>
          <w:rFonts w:eastAsia="Calibri"/>
          <w:color w:val="000000"/>
          <w:sz w:val="26"/>
          <w:szCs w:val="26"/>
        </w:rPr>
      </w:pPr>
      <w:r w:rsidRPr="00591394">
        <w:rPr>
          <w:rFonts w:eastAsia="Calibri"/>
          <w:color w:val="000000"/>
          <w:sz w:val="26"/>
          <w:szCs w:val="26"/>
        </w:rPr>
        <w:t>Duquesne Light shall modify its Phase IV Plan to allocate the projected costs and kWh savings for Low-Income Energy Efficiency Program (“LIEEP”) and Low-Income Behavioral Energy Efficiency Program (“LI-BEEP”) measure categories as follows:</w:t>
      </w:r>
    </w:p>
    <w:p w14:paraId="3A9E3867" w14:textId="77777777" w:rsidR="008314E6" w:rsidRPr="00591394" w:rsidRDefault="008314E6" w:rsidP="004E2B63">
      <w:pPr>
        <w:widowControl/>
        <w:tabs>
          <w:tab w:val="left" w:pos="2016"/>
        </w:tabs>
        <w:spacing w:after="245"/>
        <w:ind w:right="576"/>
        <w:textAlignment w:val="baseline"/>
        <w:rPr>
          <w:color w:val="000000"/>
          <w:sz w:val="26"/>
          <w:szCs w:val="26"/>
        </w:rPr>
      </w:pPr>
    </w:p>
    <w:tbl>
      <w:tblPr>
        <w:tblW w:w="9714" w:type="dxa"/>
        <w:jc w:val="center"/>
        <w:tblLayout w:type="fixed"/>
        <w:tblCellMar>
          <w:left w:w="0" w:type="dxa"/>
          <w:right w:w="0" w:type="dxa"/>
        </w:tblCellMar>
        <w:tblLook w:val="04A0" w:firstRow="1" w:lastRow="0" w:firstColumn="1" w:lastColumn="0" w:noHBand="0" w:noVBand="1"/>
      </w:tblPr>
      <w:tblGrid>
        <w:gridCol w:w="1788"/>
        <w:gridCol w:w="1440"/>
        <w:gridCol w:w="1080"/>
        <w:gridCol w:w="1530"/>
        <w:gridCol w:w="1440"/>
        <w:gridCol w:w="900"/>
        <w:gridCol w:w="1536"/>
      </w:tblGrid>
      <w:tr w:rsidR="0018137D" w:rsidRPr="00591394" w14:paraId="595BAA03" w14:textId="77777777" w:rsidTr="00CA5D5B">
        <w:trPr>
          <w:trHeight w:hRule="exact" w:val="317"/>
          <w:jc w:val="center"/>
        </w:trPr>
        <w:tc>
          <w:tcPr>
            <w:tcW w:w="1788" w:type="dxa"/>
            <w:vMerge w:val="restart"/>
            <w:tcBorders>
              <w:top w:val="single" w:sz="5" w:space="0" w:color="000000"/>
              <w:left w:val="single" w:sz="5" w:space="0" w:color="000000"/>
              <w:bottom w:val="single" w:sz="0" w:space="0" w:color="000000"/>
              <w:right w:val="single" w:sz="13" w:space="0" w:color="000000"/>
            </w:tcBorders>
            <w:vAlign w:val="bottom"/>
          </w:tcPr>
          <w:p w14:paraId="0C6C6F83" w14:textId="77777777" w:rsidR="0018137D" w:rsidRPr="00591394" w:rsidRDefault="0018137D" w:rsidP="00C6113D">
            <w:pPr>
              <w:keepNext/>
              <w:widowControl/>
              <w:spacing w:before="682" w:line="235" w:lineRule="exact"/>
              <w:jc w:val="center"/>
              <w:textAlignment w:val="baseline"/>
              <w:rPr>
                <w:b/>
                <w:color w:val="000000"/>
                <w:sz w:val="26"/>
                <w:szCs w:val="26"/>
              </w:rPr>
            </w:pPr>
            <w:r w:rsidRPr="00591394">
              <w:rPr>
                <w:b/>
                <w:color w:val="000000"/>
                <w:sz w:val="26"/>
                <w:szCs w:val="26"/>
              </w:rPr>
              <w:t>Measure Category</w:t>
            </w:r>
          </w:p>
        </w:tc>
        <w:tc>
          <w:tcPr>
            <w:tcW w:w="4050" w:type="dxa"/>
            <w:gridSpan w:val="3"/>
            <w:tcBorders>
              <w:top w:val="single" w:sz="5" w:space="0" w:color="000000"/>
              <w:left w:val="single" w:sz="13" w:space="0" w:color="000000"/>
              <w:bottom w:val="single" w:sz="5" w:space="0" w:color="000000"/>
              <w:right w:val="single" w:sz="13" w:space="0" w:color="000000"/>
            </w:tcBorders>
            <w:vAlign w:val="center"/>
          </w:tcPr>
          <w:p w14:paraId="36FE9F4D" w14:textId="77777777" w:rsidR="0018137D" w:rsidRPr="00591394" w:rsidRDefault="0018137D" w:rsidP="00C6113D">
            <w:pPr>
              <w:keepNext/>
              <w:widowControl/>
              <w:spacing w:before="72" w:line="240" w:lineRule="exact"/>
              <w:jc w:val="center"/>
              <w:textAlignment w:val="baseline"/>
              <w:rPr>
                <w:b/>
                <w:i/>
                <w:color w:val="000000"/>
                <w:sz w:val="26"/>
                <w:szCs w:val="26"/>
              </w:rPr>
            </w:pPr>
            <w:r w:rsidRPr="00591394">
              <w:rPr>
                <w:b/>
                <w:i/>
                <w:color w:val="000000"/>
                <w:sz w:val="26"/>
                <w:szCs w:val="26"/>
              </w:rPr>
              <w:t>Phase IV Plan as Filed 11/30/20</w:t>
            </w:r>
          </w:p>
        </w:tc>
        <w:tc>
          <w:tcPr>
            <w:tcW w:w="3876" w:type="dxa"/>
            <w:gridSpan w:val="3"/>
            <w:tcBorders>
              <w:top w:val="single" w:sz="5" w:space="0" w:color="000000"/>
              <w:left w:val="single" w:sz="13" w:space="0" w:color="000000"/>
              <w:bottom w:val="single" w:sz="5" w:space="0" w:color="000000"/>
              <w:right w:val="single" w:sz="13" w:space="0" w:color="000000"/>
            </w:tcBorders>
            <w:vAlign w:val="center"/>
          </w:tcPr>
          <w:p w14:paraId="613214FA" w14:textId="77777777" w:rsidR="0018137D" w:rsidRPr="00591394" w:rsidRDefault="0018137D" w:rsidP="00C6113D">
            <w:pPr>
              <w:keepNext/>
              <w:widowControl/>
              <w:spacing w:before="72" w:line="240" w:lineRule="exact"/>
              <w:jc w:val="center"/>
              <w:textAlignment w:val="baseline"/>
              <w:rPr>
                <w:b/>
                <w:i/>
                <w:color w:val="000000"/>
                <w:sz w:val="26"/>
                <w:szCs w:val="26"/>
              </w:rPr>
            </w:pPr>
            <w:r w:rsidRPr="00591394">
              <w:rPr>
                <w:b/>
                <w:i/>
                <w:color w:val="000000"/>
                <w:sz w:val="26"/>
                <w:szCs w:val="26"/>
              </w:rPr>
              <w:t>Phase IV Plan as Revised</w:t>
            </w:r>
          </w:p>
        </w:tc>
      </w:tr>
      <w:tr w:rsidR="0018137D" w:rsidRPr="00591394" w14:paraId="2B3EAF18" w14:textId="77777777" w:rsidTr="00CA5D5B">
        <w:trPr>
          <w:trHeight w:hRule="exact" w:val="609"/>
          <w:jc w:val="center"/>
        </w:trPr>
        <w:tc>
          <w:tcPr>
            <w:tcW w:w="1788" w:type="dxa"/>
            <w:vMerge/>
            <w:tcBorders>
              <w:top w:val="single" w:sz="0" w:space="0" w:color="000000"/>
              <w:left w:val="single" w:sz="5" w:space="0" w:color="000000"/>
              <w:bottom w:val="single" w:sz="5" w:space="0" w:color="000000"/>
              <w:right w:val="single" w:sz="13" w:space="0" w:color="000000"/>
            </w:tcBorders>
            <w:vAlign w:val="bottom"/>
          </w:tcPr>
          <w:p w14:paraId="2C962436" w14:textId="77777777" w:rsidR="0018137D" w:rsidRPr="00591394" w:rsidRDefault="0018137D" w:rsidP="00C6113D">
            <w:pPr>
              <w:keepNext/>
              <w:widowControl/>
              <w:rPr>
                <w:sz w:val="26"/>
                <w:szCs w:val="26"/>
              </w:rPr>
            </w:pPr>
          </w:p>
        </w:tc>
        <w:tc>
          <w:tcPr>
            <w:tcW w:w="1440" w:type="dxa"/>
            <w:tcBorders>
              <w:top w:val="single" w:sz="5" w:space="0" w:color="000000"/>
              <w:left w:val="single" w:sz="13" w:space="0" w:color="000000"/>
              <w:bottom w:val="single" w:sz="5" w:space="0" w:color="000000"/>
              <w:right w:val="single" w:sz="5" w:space="0" w:color="000000"/>
            </w:tcBorders>
            <w:vAlign w:val="center"/>
          </w:tcPr>
          <w:p w14:paraId="16F7ED68" w14:textId="77777777" w:rsidR="0018137D" w:rsidRPr="00591394" w:rsidRDefault="0018137D" w:rsidP="00C6113D">
            <w:pPr>
              <w:keepNext/>
              <w:widowControl/>
              <w:spacing w:line="297" w:lineRule="exact"/>
              <w:jc w:val="center"/>
              <w:textAlignment w:val="baseline"/>
              <w:rPr>
                <w:b/>
                <w:color w:val="000000"/>
                <w:sz w:val="26"/>
                <w:szCs w:val="26"/>
              </w:rPr>
            </w:pPr>
            <w:r w:rsidRPr="00591394">
              <w:rPr>
                <w:b/>
                <w:color w:val="000000"/>
                <w:sz w:val="26"/>
                <w:szCs w:val="26"/>
              </w:rPr>
              <w:t xml:space="preserve">Est. kWh </w:t>
            </w:r>
            <w:r w:rsidRPr="00591394">
              <w:rPr>
                <w:b/>
                <w:color w:val="000000"/>
                <w:sz w:val="26"/>
                <w:szCs w:val="26"/>
              </w:rPr>
              <w:br/>
              <w:t>Savings</w:t>
            </w:r>
          </w:p>
        </w:tc>
        <w:tc>
          <w:tcPr>
            <w:tcW w:w="1080" w:type="dxa"/>
            <w:tcBorders>
              <w:top w:val="single" w:sz="5" w:space="0" w:color="000000"/>
              <w:left w:val="single" w:sz="5" w:space="0" w:color="000000"/>
              <w:bottom w:val="single" w:sz="5" w:space="0" w:color="000000"/>
              <w:right w:val="single" w:sz="5" w:space="0" w:color="000000"/>
            </w:tcBorders>
            <w:vAlign w:val="center"/>
          </w:tcPr>
          <w:p w14:paraId="405B74B1" w14:textId="77777777" w:rsidR="0018137D" w:rsidRPr="00591394" w:rsidRDefault="0018137D" w:rsidP="00C6113D">
            <w:pPr>
              <w:keepNext/>
              <w:widowControl/>
              <w:spacing w:line="297" w:lineRule="exact"/>
              <w:jc w:val="center"/>
              <w:textAlignment w:val="baseline"/>
              <w:rPr>
                <w:b/>
                <w:color w:val="000000"/>
                <w:sz w:val="26"/>
                <w:szCs w:val="26"/>
              </w:rPr>
            </w:pPr>
            <w:r w:rsidRPr="00591394">
              <w:rPr>
                <w:b/>
                <w:color w:val="000000"/>
                <w:sz w:val="26"/>
                <w:szCs w:val="26"/>
              </w:rPr>
              <w:t xml:space="preserve">% of Sector </w:t>
            </w:r>
            <w:r w:rsidRPr="00591394">
              <w:rPr>
                <w:b/>
                <w:color w:val="000000"/>
                <w:sz w:val="26"/>
                <w:szCs w:val="26"/>
              </w:rPr>
              <w:br/>
              <w:t>Savings</w:t>
            </w:r>
          </w:p>
        </w:tc>
        <w:tc>
          <w:tcPr>
            <w:tcW w:w="1530" w:type="dxa"/>
            <w:tcBorders>
              <w:top w:val="single" w:sz="5" w:space="0" w:color="000000"/>
              <w:left w:val="single" w:sz="5" w:space="0" w:color="000000"/>
              <w:bottom w:val="single" w:sz="5" w:space="0" w:color="000000"/>
              <w:right w:val="single" w:sz="13" w:space="0" w:color="000000"/>
            </w:tcBorders>
            <w:vAlign w:val="bottom"/>
          </w:tcPr>
          <w:p w14:paraId="0F986FD6" w14:textId="77777777" w:rsidR="0018137D" w:rsidRPr="00591394" w:rsidRDefault="0018137D" w:rsidP="00C6113D">
            <w:pPr>
              <w:keepNext/>
              <w:widowControl/>
              <w:spacing w:before="365" w:line="235" w:lineRule="exact"/>
              <w:jc w:val="center"/>
              <w:textAlignment w:val="baseline"/>
              <w:rPr>
                <w:b/>
                <w:color w:val="000000"/>
                <w:sz w:val="26"/>
                <w:szCs w:val="26"/>
              </w:rPr>
            </w:pPr>
            <w:r w:rsidRPr="00591394">
              <w:rPr>
                <w:b/>
                <w:color w:val="000000"/>
                <w:sz w:val="26"/>
                <w:szCs w:val="26"/>
              </w:rPr>
              <w:t>Est. Cost</w:t>
            </w:r>
          </w:p>
        </w:tc>
        <w:tc>
          <w:tcPr>
            <w:tcW w:w="1440" w:type="dxa"/>
            <w:tcBorders>
              <w:top w:val="single" w:sz="5" w:space="0" w:color="000000"/>
              <w:left w:val="single" w:sz="13" w:space="0" w:color="000000"/>
              <w:bottom w:val="single" w:sz="5" w:space="0" w:color="000000"/>
              <w:right w:val="single" w:sz="5" w:space="0" w:color="000000"/>
            </w:tcBorders>
            <w:vAlign w:val="center"/>
          </w:tcPr>
          <w:p w14:paraId="66072DCC" w14:textId="77777777" w:rsidR="0018137D" w:rsidRPr="00591394" w:rsidRDefault="0018137D" w:rsidP="00C6113D">
            <w:pPr>
              <w:keepNext/>
              <w:widowControl/>
              <w:spacing w:line="297" w:lineRule="exact"/>
              <w:jc w:val="center"/>
              <w:textAlignment w:val="baseline"/>
              <w:rPr>
                <w:b/>
                <w:color w:val="000000"/>
                <w:sz w:val="26"/>
                <w:szCs w:val="26"/>
              </w:rPr>
            </w:pPr>
            <w:r w:rsidRPr="00591394">
              <w:rPr>
                <w:b/>
                <w:color w:val="000000"/>
                <w:sz w:val="26"/>
                <w:szCs w:val="26"/>
              </w:rPr>
              <w:t xml:space="preserve">Est. kWh </w:t>
            </w:r>
            <w:r w:rsidRPr="00591394">
              <w:rPr>
                <w:b/>
                <w:color w:val="000000"/>
                <w:sz w:val="26"/>
                <w:szCs w:val="26"/>
              </w:rPr>
              <w:br/>
              <w:t>Savings</w:t>
            </w:r>
          </w:p>
        </w:tc>
        <w:tc>
          <w:tcPr>
            <w:tcW w:w="900" w:type="dxa"/>
            <w:tcBorders>
              <w:top w:val="single" w:sz="5" w:space="0" w:color="000000"/>
              <w:left w:val="single" w:sz="5" w:space="0" w:color="000000"/>
              <w:bottom w:val="single" w:sz="5" w:space="0" w:color="000000"/>
              <w:right w:val="single" w:sz="5" w:space="0" w:color="000000"/>
            </w:tcBorders>
            <w:vAlign w:val="center"/>
          </w:tcPr>
          <w:p w14:paraId="3C74C8C5" w14:textId="77777777" w:rsidR="0018137D" w:rsidRPr="00591394" w:rsidRDefault="0018137D" w:rsidP="00C6113D">
            <w:pPr>
              <w:keepNext/>
              <w:widowControl/>
              <w:spacing w:line="297" w:lineRule="exact"/>
              <w:jc w:val="center"/>
              <w:textAlignment w:val="baseline"/>
              <w:rPr>
                <w:b/>
                <w:color w:val="000000"/>
                <w:sz w:val="26"/>
                <w:szCs w:val="26"/>
              </w:rPr>
            </w:pPr>
            <w:r w:rsidRPr="00591394">
              <w:rPr>
                <w:b/>
                <w:color w:val="000000"/>
                <w:sz w:val="26"/>
                <w:szCs w:val="26"/>
              </w:rPr>
              <w:t xml:space="preserve">% of Sector </w:t>
            </w:r>
            <w:r w:rsidRPr="00591394">
              <w:rPr>
                <w:b/>
                <w:color w:val="000000"/>
                <w:sz w:val="26"/>
                <w:szCs w:val="26"/>
              </w:rPr>
              <w:br/>
              <w:t>Savings</w:t>
            </w:r>
          </w:p>
        </w:tc>
        <w:tc>
          <w:tcPr>
            <w:tcW w:w="1536" w:type="dxa"/>
            <w:tcBorders>
              <w:top w:val="single" w:sz="5" w:space="0" w:color="000000"/>
              <w:left w:val="single" w:sz="5" w:space="0" w:color="000000"/>
              <w:bottom w:val="single" w:sz="5" w:space="0" w:color="000000"/>
              <w:right w:val="single" w:sz="13" w:space="0" w:color="000000"/>
            </w:tcBorders>
            <w:vAlign w:val="bottom"/>
          </w:tcPr>
          <w:p w14:paraId="6747095A" w14:textId="77777777" w:rsidR="0018137D" w:rsidRPr="00591394" w:rsidRDefault="0018137D" w:rsidP="00C6113D">
            <w:pPr>
              <w:keepNext/>
              <w:widowControl/>
              <w:spacing w:before="365" w:line="235" w:lineRule="exact"/>
              <w:jc w:val="center"/>
              <w:textAlignment w:val="baseline"/>
              <w:rPr>
                <w:b/>
                <w:color w:val="000000"/>
                <w:sz w:val="26"/>
                <w:szCs w:val="26"/>
              </w:rPr>
            </w:pPr>
            <w:r w:rsidRPr="00591394">
              <w:rPr>
                <w:b/>
                <w:color w:val="000000"/>
                <w:sz w:val="26"/>
                <w:szCs w:val="26"/>
              </w:rPr>
              <w:t>Est. Cost</w:t>
            </w:r>
          </w:p>
        </w:tc>
      </w:tr>
      <w:tr w:rsidR="0018137D" w:rsidRPr="00591394" w14:paraId="6243E0B5" w14:textId="77777777" w:rsidTr="00CA5D5B">
        <w:trPr>
          <w:trHeight w:hRule="exact" w:val="308"/>
          <w:jc w:val="center"/>
        </w:trPr>
        <w:tc>
          <w:tcPr>
            <w:tcW w:w="1788" w:type="dxa"/>
            <w:tcBorders>
              <w:top w:val="single" w:sz="5" w:space="0" w:color="000000"/>
              <w:left w:val="single" w:sz="5" w:space="0" w:color="000000"/>
              <w:bottom w:val="single" w:sz="5" w:space="0" w:color="000000"/>
              <w:right w:val="single" w:sz="13" w:space="0" w:color="000000"/>
            </w:tcBorders>
            <w:vAlign w:val="center"/>
          </w:tcPr>
          <w:p w14:paraId="1ECFE6B1" w14:textId="77777777" w:rsidR="0018137D" w:rsidRPr="00591394" w:rsidRDefault="0018137D" w:rsidP="00C6113D">
            <w:pPr>
              <w:keepNext/>
              <w:widowControl/>
              <w:spacing w:before="58" w:after="10" w:line="240" w:lineRule="exact"/>
              <w:ind w:left="115"/>
              <w:textAlignment w:val="baseline"/>
              <w:rPr>
                <w:color w:val="000000"/>
                <w:sz w:val="26"/>
                <w:szCs w:val="26"/>
              </w:rPr>
            </w:pPr>
            <w:r w:rsidRPr="00591394">
              <w:rPr>
                <w:color w:val="000000"/>
                <w:sz w:val="26"/>
                <w:szCs w:val="26"/>
              </w:rPr>
              <w:t>Appliances</w:t>
            </w:r>
          </w:p>
        </w:tc>
        <w:tc>
          <w:tcPr>
            <w:tcW w:w="1440" w:type="dxa"/>
            <w:tcBorders>
              <w:top w:val="single" w:sz="5" w:space="0" w:color="000000"/>
              <w:left w:val="single" w:sz="13" w:space="0" w:color="000000"/>
              <w:bottom w:val="single" w:sz="5" w:space="0" w:color="000000"/>
              <w:right w:val="single" w:sz="5" w:space="0" w:color="000000"/>
            </w:tcBorders>
            <w:vAlign w:val="center"/>
          </w:tcPr>
          <w:p w14:paraId="28D1C5E8" w14:textId="77777777" w:rsidR="0018137D" w:rsidRPr="00591394" w:rsidRDefault="0018137D" w:rsidP="00C6113D">
            <w:pPr>
              <w:keepNext/>
              <w:widowControl/>
              <w:spacing w:before="58" w:after="11" w:line="239" w:lineRule="exact"/>
              <w:ind w:right="106"/>
              <w:jc w:val="right"/>
              <w:textAlignment w:val="baseline"/>
              <w:rPr>
                <w:color w:val="000000"/>
                <w:sz w:val="26"/>
                <w:szCs w:val="26"/>
              </w:rPr>
            </w:pPr>
            <w:r w:rsidRPr="00591394">
              <w:rPr>
                <w:color w:val="000000"/>
                <w:sz w:val="26"/>
                <w:szCs w:val="26"/>
              </w:rPr>
              <w:t>1,000,059</w:t>
            </w:r>
          </w:p>
        </w:tc>
        <w:tc>
          <w:tcPr>
            <w:tcW w:w="1080" w:type="dxa"/>
            <w:tcBorders>
              <w:top w:val="single" w:sz="5" w:space="0" w:color="000000"/>
              <w:left w:val="single" w:sz="5" w:space="0" w:color="000000"/>
              <w:bottom w:val="single" w:sz="5" w:space="0" w:color="000000"/>
              <w:right w:val="single" w:sz="5" w:space="0" w:color="000000"/>
            </w:tcBorders>
            <w:vAlign w:val="center"/>
          </w:tcPr>
          <w:p w14:paraId="12A21233" w14:textId="296CDCDC" w:rsidR="0018137D" w:rsidRPr="00591394" w:rsidRDefault="0018137D" w:rsidP="00C6113D">
            <w:pPr>
              <w:keepNext/>
              <w:widowControl/>
              <w:tabs>
                <w:tab w:val="decimal" w:pos="936"/>
              </w:tabs>
              <w:spacing w:before="58" w:after="11" w:line="239" w:lineRule="exact"/>
              <w:textAlignment w:val="baseline"/>
              <w:rPr>
                <w:color w:val="000000"/>
                <w:sz w:val="26"/>
                <w:szCs w:val="26"/>
              </w:rPr>
            </w:pPr>
            <w:r w:rsidRPr="00591394">
              <w:rPr>
                <w:color w:val="000000"/>
                <w:sz w:val="26"/>
                <w:szCs w:val="26"/>
              </w:rPr>
              <w:t>3.5%</w:t>
            </w:r>
            <w:r w:rsidR="004E2B63">
              <w:rPr>
                <w:color w:val="000000"/>
                <w:sz w:val="26"/>
                <w:szCs w:val="26"/>
              </w:rPr>
              <w:t xml:space="preserve"> </w:t>
            </w:r>
          </w:p>
        </w:tc>
        <w:tc>
          <w:tcPr>
            <w:tcW w:w="1530" w:type="dxa"/>
            <w:tcBorders>
              <w:top w:val="single" w:sz="5" w:space="0" w:color="000000"/>
              <w:left w:val="single" w:sz="5" w:space="0" w:color="000000"/>
              <w:bottom w:val="single" w:sz="5" w:space="0" w:color="000000"/>
              <w:right w:val="single" w:sz="13" w:space="0" w:color="000000"/>
            </w:tcBorders>
            <w:vAlign w:val="center"/>
          </w:tcPr>
          <w:p w14:paraId="6EA0FBDA" w14:textId="77777777" w:rsidR="0018137D" w:rsidRPr="00591394" w:rsidRDefault="0018137D" w:rsidP="00C6113D">
            <w:pPr>
              <w:keepNext/>
              <w:widowControl/>
              <w:spacing w:before="58" w:after="11" w:line="239" w:lineRule="exact"/>
              <w:ind w:right="110"/>
              <w:jc w:val="right"/>
              <w:textAlignment w:val="baseline"/>
              <w:rPr>
                <w:color w:val="000000"/>
                <w:sz w:val="26"/>
                <w:szCs w:val="26"/>
              </w:rPr>
            </w:pPr>
            <w:r w:rsidRPr="00591394">
              <w:rPr>
                <w:color w:val="000000"/>
                <w:sz w:val="26"/>
                <w:szCs w:val="26"/>
              </w:rPr>
              <w:t>$1,569,344</w:t>
            </w:r>
          </w:p>
        </w:tc>
        <w:tc>
          <w:tcPr>
            <w:tcW w:w="1440" w:type="dxa"/>
            <w:tcBorders>
              <w:top w:val="single" w:sz="5" w:space="0" w:color="000000"/>
              <w:left w:val="single" w:sz="13" w:space="0" w:color="000000"/>
              <w:bottom w:val="single" w:sz="5" w:space="0" w:color="000000"/>
              <w:right w:val="single" w:sz="5" w:space="0" w:color="000000"/>
            </w:tcBorders>
            <w:vAlign w:val="center"/>
          </w:tcPr>
          <w:p w14:paraId="30EAC56B" w14:textId="5210A565" w:rsidR="0018137D" w:rsidRPr="00591394" w:rsidRDefault="0018137D" w:rsidP="00C6113D">
            <w:pPr>
              <w:keepNext/>
              <w:widowControl/>
              <w:spacing w:before="58" w:after="11" w:line="239" w:lineRule="exact"/>
              <w:ind w:right="110"/>
              <w:jc w:val="right"/>
              <w:textAlignment w:val="baseline"/>
              <w:rPr>
                <w:color w:val="000000"/>
                <w:sz w:val="26"/>
                <w:szCs w:val="26"/>
              </w:rPr>
            </w:pPr>
            <w:r w:rsidRPr="00591394">
              <w:rPr>
                <w:color w:val="000000"/>
                <w:sz w:val="26"/>
                <w:szCs w:val="26"/>
              </w:rPr>
              <w:t>1,261,185</w:t>
            </w:r>
          </w:p>
        </w:tc>
        <w:tc>
          <w:tcPr>
            <w:tcW w:w="900" w:type="dxa"/>
            <w:tcBorders>
              <w:top w:val="single" w:sz="5" w:space="0" w:color="000000"/>
              <w:left w:val="single" w:sz="5" w:space="0" w:color="000000"/>
              <w:bottom w:val="single" w:sz="5" w:space="0" w:color="000000"/>
              <w:right w:val="single" w:sz="5" w:space="0" w:color="000000"/>
            </w:tcBorders>
            <w:vAlign w:val="center"/>
          </w:tcPr>
          <w:p w14:paraId="39A47103" w14:textId="77777777" w:rsidR="0018137D" w:rsidRPr="00591394" w:rsidRDefault="0018137D" w:rsidP="00815523">
            <w:pPr>
              <w:keepNext/>
              <w:widowControl/>
              <w:tabs>
                <w:tab w:val="decimal" w:pos="936"/>
              </w:tabs>
              <w:spacing w:before="58" w:after="11" w:line="239" w:lineRule="exact"/>
              <w:textAlignment w:val="baseline"/>
              <w:rPr>
                <w:color w:val="000000"/>
                <w:sz w:val="26"/>
                <w:szCs w:val="26"/>
              </w:rPr>
            </w:pPr>
            <w:r w:rsidRPr="00591394">
              <w:rPr>
                <w:color w:val="000000"/>
                <w:sz w:val="26"/>
                <w:szCs w:val="26"/>
              </w:rPr>
              <w:t>5.9%</w:t>
            </w:r>
          </w:p>
        </w:tc>
        <w:tc>
          <w:tcPr>
            <w:tcW w:w="1536" w:type="dxa"/>
            <w:tcBorders>
              <w:top w:val="single" w:sz="5" w:space="0" w:color="000000"/>
              <w:left w:val="single" w:sz="5" w:space="0" w:color="000000"/>
              <w:bottom w:val="single" w:sz="5" w:space="0" w:color="000000"/>
              <w:right w:val="single" w:sz="13" w:space="0" w:color="000000"/>
            </w:tcBorders>
            <w:vAlign w:val="center"/>
          </w:tcPr>
          <w:p w14:paraId="74906371" w14:textId="77777777" w:rsidR="0018137D" w:rsidRPr="00591394" w:rsidRDefault="0018137D" w:rsidP="00C6113D">
            <w:pPr>
              <w:keepNext/>
              <w:widowControl/>
              <w:spacing w:before="58" w:after="11" w:line="239" w:lineRule="exact"/>
              <w:ind w:right="120"/>
              <w:jc w:val="right"/>
              <w:textAlignment w:val="baseline"/>
              <w:rPr>
                <w:color w:val="000000"/>
                <w:sz w:val="26"/>
                <w:szCs w:val="26"/>
              </w:rPr>
            </w:pPr>
            <w:r w:rsidRPr="00591394">
              <w:rPr>
                <w:color w:val="000000"/>
                <w:sz w:val="26"/>
                <w:szCs w:val="26"/>
              </w:rPr>
              <w:t>$1,914,089</w:t>
            </w:r>
          </w:p>
        </w:tc>
      </w:tr>
      <w:tr w:rsidR="0018137D" w:rsidRPr="00591394" w14:paraId="30D3AB30" w14:textId="77777777" w:rsidTr="00CA5D5B">
        <w:trPr>
          <w:trHeight w:hRule="exact" w:val="609"/>
          <w:jc w:val="center"/>
        </w:trPr>
        <w:tc>
          <w:tcPr>
            <w:tcW w:w="1788" w:type="dxa"/>
            <w:tcBorders>
              <w:top w:val="single" w:sz="5" w:space="0" w:color="000000"/>
              <w:left w:val="single" w:sz="5" w:space="0" w:color="000000"/>
              <w:bottom w:val="single" w:sz="5" w:space="0" w:color="000000"/>
              <w:right w:val="single" w:sz="13" w:space="0" w:color="000000"/>
            </w:tcBorders>
          </w:tcPr>
          <w:p w14:paraId="611066EE" w14:textId="77777777" w:rsidR="0018137D" w:rsidRPr="00591394" w:rsidRDefault="0018137D" w:rsidP="00C6113D">
            <w:pPr>
              <w:keepNext/>
              <w:widowControl/>
              <w:spacing w:before="92" w:after="4" w:line="254" w:lineRule="exact"/>
              <w:ind w:left="108" w:right="144"/>
              <w:textAlignment w:val="baseline"/>
              <w:rPr>
                <w:color w:val="000000"/>
                <w:sz w:val="26"/>
                <w:szCs w:val="26"/>
              </w:rPr>
            </w:pPr>
            <w:r w:rsidRPr="00591394">
              <w:rPr>
                <w:color w:val="000000"/>
                <w:sz w:val="26"/>
                <w:szCs w:val="26"/>
              </w:rPr>
              <w:t>Space cooling &amp; heating / water heating</w:t>
            </w:r>
          </w:p>
        </w:tc>
        <w:tc>
          <w:tcPr>
            <w:tcW w:w="1440" w:type="dxa"/>
            <w:tcBorders>
              <w:top w:val="single" w:sz="5" w:space="0" w:color="000000"/>
              <w:left w:val="single" w:sz="13" w:space="0" w:color="000000"/>
              <w:bottom w:val="single" w:sz="5" w:space="0" w:color="000000"/>
              <w:right w:val="single" w:sz="5" w:space="0" w:color="000000"/>
            </w:tcBorders>
            <w:vAlign w:val="bottom"/>
          </w:tcPr>
          <w:p w14:paraId="4D4996DF" w14:textId="77777777" w:rsidR="0018137D" w:rsidRPr="00591394" w:rsidRDefault="0018137D" w:rsidP="00C6113D">
            <w:pPr>
              <w:keepNext/>
              <w:widowControl/>
              <w:spacing w:before="360" w:after="5" w:line="239" w:lineRule="exact"/>
              <w:ind w:right="106"/>
              <w:jc w:val="right"/>
              <w:textAlignment w:val="baseline"/>
              <w:rPr>
                <w:color w:val="000000"/>
                <w:sz w:val="26"/>
                <w:szCs w:val="26"/>
              </w:rPr>
            </w:pPr>
            <w:r w:rsidRPr="00591394">
              <w:rPr>
                <w:color w:val="000000"/>
                <w:sz w:val="26"/>
                <w:szCs w:val="26"/>
              </w:rPr>
              <w:t>440,489</w:t>
            </w:r>
          </w:p>
        </w:tc>
        <w:tc>
          <w:tcPr>
            <w:tcW w:w="1080" w:type="dxa"/>
            <w:tcBorders>
              <w:top w:val="single" w:sz="5" w:space="0" w:color="000000"/>
              <w:left w:val="single" w:sz="5" w:space="0" w:color="000000"/>
              <w:bottom w:val="single" w:sz="5" w:space="0" w:color="000000"/>
              <w:right w:val="single" w:sz="5" w:space="0" w:color="000000"/>
            </w:tcBorders>
            <w:vAlign w:val="bottom"/>
          </w:tcPr>
          <w:p w14:paraId="1B2DBDC2" w14:textId="77777777" w:rsidR="0018137D" w:rsidRPr="00591394" w:rsidRDefault="0018137D" w:rsidP="00C6113D">
            <w:pPr>
              <w:keepNext/>
              <w:widowControl/>
              <w:tabs>
                <w:tab w:val="decimal" w:pos="936"/>
              </w:tabs>
              <w:spacing w:before="360" w:after="5" w:line="239" w:lineRule="exact"/>
              <w:textAlignment w:val="baseline"/>
              <w:rPr>
                <w:color w:val="000000"/>
                <w:sz w:val="26"/>
                <w:szCs w:val="26"/>
              </w:rPr>
            </w:pPr>
            <w:r w:rsidRPr="00591394">
              <w:rPr>
                <w:color w:val="000000"/>
                <w:sz w:val="26"/>
                <w:szCs w:val="26"/>
              </w:rPr>
              <w:t>1.5%</w:t>
            </w:r>
          </w:p>
        </w:tc>
        <w:tc>
          <w:tcPr>
            <w:tcW w:w="1530" w:type="dxa"/>
            <w:tcBorders>
              <w:top w:val="single" w:sz="5" w:space="0" w:color="000000"/>
              <w:left w:val="single" w:sz="5" w:space="0" w:color="000000"/>
              <w:bottom w:val="single" w:sz="5" w:space="0" w:color="000000"/>
              <w:right w:val="single" w:sz="13" w:space="0" w:color="000000"/>
            </w:tcBorders>
            <w:vAlign w:val="bottom"/>
          </w:tcPr>
          <w:p w14:paraId="44D57FA9" w14:textId="77777777" w:rsidR="0018137D" w:rsidRPr="00591394" w:rsidRDefault="0018137D" w:rsidP="00C6113D">
            <w:pPr>
              <w:keepNext/>
              <w:widowControl/>
              <w:spacing w:before="360" w:after="5" w:line="239" w:lineRule="exact"/>
              <w:ind w:right="110"/>
              <w:jc w:val="right"/>
              <w:textAlignment w:val="baseline"/>
              <w:rPr>
                <w:color w:val="000000"/>
                <w:sz w:val="26"/>
                <w:szCs w:val="26"/>
              </w:rPr>
            </w:pPr>
            <w:r w:rsidRPr="00591394">
              <w:rPr>
                <w:color w:val="000000"/>
                <w:sz w:val="26"/>
                <w:szCs w:val="26"/>
              </w:rPr>
              <w:t>$1,457,443</w:t>
            </w:r>
          </w:p>
        </w:tc>
        <w:tc>
          <w:tcPr>
            <w:tcW w:w="1440" w:type="dxa"/>
            <w:tcBorders>
              <w:top w:val="single" w:sz="5" w:space="0" w:color="000000"/>
              <w:left w:val="single" w:sz="13" w:space="0" w:color="000000"/>
              <w:bottom w:val="single" w:sz="5" w:space="0" w:color="000000"/>
              <w:right w:val="single" w:sz="5" w:space="0" w:color="000000"/>
            </w:tcBorders>
            <w:vAlign w:val="bottom"/>
          </w:tcPr>
          <w:p w14:paraId="4D8F5B79" w14:textId="77777777" w:rsidR="0018137D" w:rsidRPr="00591394" w:rsidRDefault="0018137D" w:rsidP="00C6113D">
            <w:pPr>
              <w:keepNext/>
              <w:widowControl/>
              <w:spacing w:before="360" w:after="5" w:line="239" w:lineRule="exact"/>
              <w:ind w:right="110"/>
              <w:jc w:val="right"/>
              <w:textAlignment w:val="baseline"/>
              <w:rPr>
                <w:color w:val="000000"/>
                <w:sz w:val="26"/>
                <w:szCs w:val="26"/>
              </w:rPr>
            </w:pPr>
            <w:r w:rsidRPr="00591394">
              <w:rPr>
                <w:color w:val="000000"/>
                <w:sz w:val="26"/>
                <w:szCs w:val="26"/>
              </w:rPr>
              <w:t>770,856</w:t>
            </w:r>
          </w:p>
        </w:tc>
        <w:tc>
          <w:tcPr>
            <w:tcW w:w="900" w:type="dxa"/>
            <w:tcBorders>
              <w:top w:val="single" w:sz="5" w:space="0" w:color="000000"/>
              <w:left w:val="single" w:sz="5" w:space="0" w:color="000000"/>
              <w:bottom w:val="single" w:sz="5" w:space="0" w:color="000000"/>
              <w:right w:val="single" w:sz="5" w:space="0" w:color="000000"/>
            </w:tcBorders>
            <w:vAlign w:val="bottom"/>
          </w:tcPr>
          <w:p w14:paraId="0FB50C13" w14:textId="77777777" w:rsidR="0018137D" w:rsidRPr="00591394" w:rsidRDefault="0018137D" w:rsidP="00815523">
            <w:pPr>
              <w:keepNext/>
              <w:widowControl/>
              <w:tabs>
                <w:tab w:val="decimal" w:pos="936"/>
              </w:tabs>
              <w:spacing w:before="360" w:after="5" w:line="239" w:lineRule="exact"/>
              <w:textAlignment w:val="baseline"/>
              <w:rPr>
                <w:color w:val="000000"/>
                <w:sz w:val="26"/>
                <w:szCs w:val="26"/>
              </w:rPr>
            </w:pPr>
            <w:r w:rsidRPr="00591394">
              <w:rPr>
                <w:color w:val="000000"/>
                <w:sz w:val="26"/>
                <w:szCs w:val="26"/>
              </w:rPr>
              <w:t>3.6%</w:t>
            </w:r>
          </w:p>
        </w:tc>
        <w:tc>
          <w:tcPr>
            <w:tcW w:w="1536" w:type="dxa"/>
            <w:tcBorders>
              <w:top w:val="single" w:sz="5" w:space="0" w:color="000000"/>
              <w:left w:val="single" w:sz="5" w:space="0" w:color="000000"/>
              <w:bottom w:val="single" w:sz="5" w:space="0" w:color="000000"/>
              <w:right w:val="single" w:sz="13" w:space="0" w:color="000000"/>
            </w:tcBorders>
            <w:vAlign w:val="bottom"/>
          </w:tcPr>
          <w:p w14:paraId="2F9CE396" w14:textId="77777777" w:rsidR="0018137D" w:rsidRPr="00591394" w:rsidRDefault="0018137D" w:rsidP="00C6113D">
            <w:pPr>
              <w:keepNext/>
              <w:widowControl/>
              <w:spacing w:before="360" w:after="5" w:line="239" w:lineRule="exact"/>
              <w:ind w:right="120"/>
              <w:jc w:val="right"/>
              <w:textAlignment w:val="baseline"/>
              <w:rPr>
                <w:color w:val="000000"/>
                <w:sz w:val="26"/>
                <w:szCs w:val="26"/>
              </w:rPr>
            </w:pPr>
            <w:r w:rsidRPr="00591394">
              <w:rPr>
                <w:color w:val="000000"/>
                <w:sz w:val="26"/>
                <w:szCs w:val="26"/>
              </w:rPr>
              <w:t>$2,468,256</w:t>
            </w:r>
          </w:p>
        </w:tc>
      </w:tr>
      <w:tr w:rsidR="0018137D" w:rsidRPr="00591394" w14:paraId="7EAD459C" w14:textId="77777777" w:rsidTr="00CA5D5B">
        <w:trPr>
          <w:trHeight w:hRule="exact" w:val="307"/>
          <w:jc w:val="center"/>
        </w:trPr>
        <w:tc>
          <w:tcPr>
            <w:tcW w:w="1788" w:type="dxa"/>
            <w:tcBorders>
              <w:top w:val="single" w:sz="5" w:space="0" w:color="000000"/>
              <w:left w:val="single" w:sz="5" w:space="0" w:color="000000"/>
              <w:bottom w:val="single" w:sz="5" w:space="0" w:color="000000"/>
              <w:right w:val="single" w:sz="13" w:space="0" w:color="000000"/>
            </w:tcBorders>
            <w:vAlign w:val="center"/>
          </w:tcPr>
          <w:p w14:paraId="435B2508" w14:textId="77777777" w:rsidR="0018137D" w:rsidRPr="00591394" w:rsidRDefault="0018137D" w:rsidP="00C6113D">
            <w:pPr>
              <w:keepNext/>
              <w:widowControl/>
              <w:spacing w:before="63" w:line="235" w:lineRule="exact"/>
              <w:ind w:left="115"/>
              <w:textAlignment w:val="baseline"/>
              <w:rPr>
                <w:color w:val="000000"/>
                <w:sz w:val="26"/>
                <w:szCs w:val="26"/>
              </w:rPr>
            </w:pPr>
            <w:r w:rsidRPr="00591394">
              <w:rPr>
                <w:color w:val="000000"/>
                <w:sz w:val="26"/>
                <w:szCs w:val="26"/>
              </w:rPr>
              <w:t>Building Shell</w:t>
            </w:r>
          </w:p>
        </w:tc>
        <w:tc>
          <w:tcPr>
            <w:tcW w:w="1440" w:type="dxa"/>
            <w:tcBorders>
              <w:top w:val="single" w:sz="5" w:space="0" w:color="000000"/>
              <w:left w:val="single" w:sz="13" w:space="0" w:color="000000"/>
              <w:bottom w:val="single" w:sz="5" w:space="0" w:color="000000"/>
              <w:right w:val="single" w:sz="5" w:space="0" w:color="000000"/>
            </w:tcBorders>
            <w:vAlign w:val="center"/>
          </w:tcPr>
          <w:p w14:paraId="1AA88085" w14:textId="77777777" w:rsidR="0018137D" w:rsidRPr="00591394" w:rsidRDefault="0018137D" w:rsidP="00C6113D">
            <w:pPr>
              <w:keepNext/>
              <w:widowControl/>
              <w:spacing w:before="63" w:line="235" w:lineRule="exact"/>
              <w:ind w:right="106"/>
              <w:jc w:val="right"/>
              <w:textAlignment w:val="baseline"/>
              <w:rPr>
                <w:color w:val="000000"/>
                <w:sz w:val="26"/>
                <w:szCs w:val="26"/>
              </w:rPr>
            </w:pPr>
            <w:r w:rsidRPr="00591394">
              <w:rPr>
                <w:color w:val="000000"/>
                <w:sz w:val="26"/>
                <w:szCs w:val="26"/>
              </w:rPr>
              <w:t>595,895</w:t>
            </w:r>
          </w:p>
        </w:tc>
        <w:tc>
          <w:tcPr>
            <w:tcW w:w="1080" w:type="dxa"/>
            <w:tcBorders>
              <w:top w:val="single" w:sz="5" w:space="0" w:color="000000"/>
              <w:left w:val="single" w:sz="5" w:space="0" w:color="000000"/>
              <w:bottom w:val="single" w:sz="5" w:space="0" w:color="000000"/>
              <w:right w:val="single" w:sz="5" w:space="0" w:color="000000"/>
            </w:tcBorders>
            <w:vAlign w:val="center"/>
          </w:tcPr>
          <w:p w14:paraId="4D573546" w14:textId="77777777" w:rsidR="0018137D" w:rsidRPr="00591394" w:rsidRDefault="0018137D" w:rsidP="00C6113D">
            <w:pPr>
              <w:keepNext/>
              <w:widowControl/>
              <w:tabs>
                <w:tab w:val="decimal" w:pos="936"/>
              </w:tabs>
              <w:spacing w:before="63" w:line="235" w:lineRule="exact"/>
              <w:textAlignment w:val="baseline"/>
              <w:rPr>
                <w:color w:val="000000"/>
                <w:sz w:val="26"/>
                <w:szCs w:val="26"/>
              </w:rPr>
            </w:pPr>
            <w:r w:rsidRPr="00591394">
              <w:rPr>
                <w:color w:val="000000"/>
                <w:sz w:val="26"/>
                <w:szCs w:val="26"/>
              </w:rPr>
              <w:t>2.1%</w:t>
            </w:r>
          </w:p>
        </w:tc>
        <w:tc>
          <w:tcPr>
            <w:tcW w:w="1530" w:type="dxa"/>
            <w:tcBorders>
              <w:top w:val="single" w:sz="5" w:space="0" w:color="000000"/>
              <w:left w:val="single" w:sz="5" w:space="0" w:color="000000"/>
              <w:bottom w:val="single" w:sz="5" w:space="0" w:color="000000"/>
              <w:right w:val="single" w:sz="13" w:space="0" w:color="000000"/>
            </w:tcBorders>
            <w:vAlign w:val="center"/>
          </w:tcPr>
          <w:p w14:paraId="25A398CC" w14:textId="77777777" w:rsidR="0018137D" w:rsidRPr="00591394" w:rsidRDefault="0018137D" w:rsidP="00C6113D">
            <w:pPr>
              <w:keepNext/>
              <w:widowControl/>
              <w:spacing w:before="63" w:line="235" w:lineRule="exact"/>
              <w:ind w:right="110"/>
              <w:jc w:val="right"/>
              <w:textAlignment w:val="baseline"/>
              <w:rPr>
                <w:color w:val="000000"/>
                <w:sz w:val="26"/>
                <w:szCs w:val="26"/>
              </w:rPr>
            </w:pPr>
            <w:r w:rsidRPr="00591394">
              <w:rPr>
                <w:color w:val="000000"/>
                <w:sz w:val="26"/>
                <w:szCs w:val="26"/>
              </w:rPr>
              <w:t>$1,090,379</w:t>
            </w:r>
          </w:p>
        </w:tc>
        <w:tc>
          <w:tcPr>
            <w:tcW w:w="1440" w:type="dxa"/>
            <w:tcBorders>
              <w:top w:val="single" w:sz="5" w:space="0" w:color="000000"/>
              <w:left w:val="single" w:sz="13" w:space="0" w:color="000000"/>
              <w:bottom w:val="single" w:sz="5" w:space="0" w:color="000000"/>
              <w:right w:val="single" w:sz="5" w:space="0" w:color="000000"/>
            </w:tcBorders>
            <w:vAlign w:val="center"/>
          </w:tcPr>
          <w:p w14:paraId="10297FD6" w14:textId="77777777" w:rsidR="0018137D" w:rsidRPr="00591394" w:rsidRDefault="0018137D" w:rsidP="00C6113D">
            <w:pPr>
              <w:keepNext/>
              <w:widowControl/>
              <w:spacing w:before="63" w:line="235" w:lineRule="exact"/>
              <w:ind w:right="110"/>
              <w:jc w:val="right"/>
              <w:textAlignment w:val="baseline"/>
              <w:rPr>
                <w:color w:val="000000"/>
                <w:sz w:val="26"/>
                <w:szCs w:val="26"/>
              </w:rPr>
            </w:pPr>
            <w:r w:rsidRPr="00591394">
              <w:rPr>
                <w:color w:val="000000"/>
                <w:sz w:val="26"/>
                <w:szCs w:val="26"/>
              </w:rPr>
              <w:t>957,677</w:t>
            </w:r>
          </w:p>
        </w:tc>
        <w:tc>
          <w:tcPr>
            <w:tcW w:w="900" w:type="dxa"/>
            <w:tcBorders>
              <w:top w:val="single" w:sz="5" w:space="0" w:color="000000"/>
              <w:left w:val="single" w:sz="5" w:space="0" w:color="000000"/>
              <w:bottom w:val="single" w:sz="5" w:space="0" w:color="000000"/>
              <w:right w:val="single" w:sz="5" w:space="0" w:color="000000"/>
            </w:tcBorders>
            <w:vAlign w:val="center"/>
          </w:tcPr>
          <w:p w14:paraId="2319F149" w14:textId="77777777" w:rsidR="0018137D" w:rsidRPr="00591394" w:rsidRDefault="0018137D" w:rsidP="00815523">
            <w:pPr>
              <w:keepNext/>
              <w:widowControl/>
              <w:tabs>
                <w:tab w:val="decimal" w:pos="936"/>
              </w:tabs>
              <w:spacing w:before="63" w:line="235" w:lineRule="exact"/>
              <w:textAlignment w:val="baseline"/>
              <w:rPr>
                <w:color w:val="000000"/>
                <w:sz w:val="26"/>
                <w:szCs w:val="26"/>
              </w:rPr>
            </w:pPr>
            <w:r w:rsidRPr="00591394">
              <w:rPr>
                <w:color w:val="000000"/>
                <w:sz w:val="26"/>
                <w:szCs w:val="26"/>
              </w:rPr>
              <w:t>4.5%</w:t>
            </w:r>
          </w:p>
        </w:tc>
        <w:tc>
          <w:tcPr>
            <w:tcW w:w="1536" w:type="dxa"/>
            <w:tcBorders>
              <w:top w:val="single" w:sz="5" w:space="0" w:color="000000"/>
              <w:left w:val="single" w:sz="5" w:space="0" w:color="000000"/>
              <w:bottom w:val="single" w:sz="5" w:space="0" w:color="000000"/>
              <w:right w:val="single" w:sz="13" w:space="0" w:color="000000"/>
            </w:tcBorders>
            <w:vAlign w:val="center"/>
          </w:tcPr>
          <w:p w14:paraId="354A4E5E" w14:textId="77777777" w:rsidR="0018137D" w:rsidRPr="00591394" w:rsidRDefault="0018137D" w:rsidP="00C6113D">
            <w:pPr>
              <w:keepNext/>
              <w:widowControl/>
              <w:spacing w:before="63" w:line="235" w:lineRule="exact"/>
              <w:ind w:right="120"/>
              <w:jc w:val="right"/>
              <w:textAlignment w:val="baseline"/>
              <w:rPr>
                <w:color w:val="000000"/>
                <w:sz w:val="26"/>
                <w:szCs w:val="26"/>
              </w:rPr>
            </w:pPr>
            <w:r w:rsidRPr="00591394">
              <w:rPr>
                <w:color w:val="000000"/>
                <w:sz w:val="26"/>
                <w:szCs w:val="26"/>
              </w:rPr>
              <w:t>$1,662,280</w:t>
            </w:r>
          </w:p>
        </w:tc>
      </w:tr>
      <w:tr w:rsidR="0018137D" w:rsidRPr="00591394" w14:paraId="454A83B4" w14:textId="77777777" w:rsidTr="00CA5D5B">
        <w:trPr>
          <w:trHeight w:hRule="exact" w:val="312"/>
          <w:jc w:val="center"/>
        </w:trPr>
        <w:tc>
          <w:tcPr>
            <w:tcW w:w="1788" w:type="dxa"/>
            <w:tcBorders>
              <w:top w:val="single" w:sz="5" w:space="0" w:color="000000"/>
              <w:left w:val="single" w:sz="5" w:space="0" w:color="000000"/>
              <w:bottom w:val="single" w:sz="5" w:space="0" w:color="000000"/>
              <w:right w:val="single" w:sz="13" w:space="0" w:color="000000"/>
            </w:tcBorders>
            <w:vAlign w:val="center"/>
          </w:tcPr>
          <w:p w14:paraId="58546D3A" w14:textId="77777777" w:rsidR="0018137D" w:rsidRPr="00591394" w:rsidRDefault="0018137D" w:rsidP="00C6113D">
            <w:pPr>
              <w:keepNext/>
              <w:widowControl/>
              <w:spacing w:before="63" w:after="6" w:line="239" w:lineRule="exact"/>
              <w:ind w:left="115"/>
              <w:textAlignment w:val="baseline"/>
              <w:rPr>
                <w:color w:val="000000"/>
                <w:sz w:val="26"/>
                <w:szCs w:val="26"/>
              </w:rPr>
            </w:pPr>
            <w:r w:rsidRPr="00591394">
              <w:rPr>
                <w:color w:val="000000"/>
                <w:sz w:val="26"/>
                <w:szCs w:val="26"/>
              </w:rPr>
              <w:t>EE Kits</w:t>
            </w:r>
          </w:p>
        </w:tc>
        <w:tc>
          <w:tcPr>
            <w:tcW w:w="1440" w:type="dxa"/>
            <w:tcBorders>
              <w:top w:val="single" w:sz="5" w:space="0" w:color="000000"/>
              <w:left w:val="single" w:sz="13" w:space="0" w:color="000000"/>
              <w:bottom w:val="single" w:sz="5" w:space="0" w:color="000000"/>
              <w:right w:val="single" w:sz="5" w:space="0" w:color="000000"/>
            </w:tcBorders>
            <w:vAlign w:val="center"/>
          </w:tcPr>
          <w:p w14:paraId="39EF3824" w14:textId="77777777" w:rsidR="0018137D" w:rsidRPr="00591394" w:rsidRDefault="0018137D" w:rsidP="00C6113D">
            <w:pPr>
              <w:keepNext/>
              <w:widowControl/>
              <w:spacing w:before="63" w:after="6" w:line="239" w:lineRule="exact"/>
              <w:ind w:right="106"/>
              <w:jc w:val="right"/>
              <w:textAlignment w:val="baseline"/>
              <w:rPr>
                <w:color w:val="000000"/>
                <w:sz w:val="26"/>
                <w:szCs w:val="26"/>
              </w:rPr>
            </w:pPr>
            <w:r w:rsidRPr="00591394">
              <w:rPr>
                <w:color w:val="000000"/>
                <w:sz w:val="26"/>
                <w:szCs w:val="26"/>
              </w:rPr>
              <w:t>1,083,612</w:t>
            </w:r>
          </w:p>
        </w:tc>
        <w:tc>
          <w:tcPr>
            <w:tcW w:w="1080" w:type="dxa"/>
            <w:tcBorders>
              <w:top w:val="single" w:sz="5" w:space="0" w:color="000000"/>
              <w:left w:val="single" w:sz="5" w:space="0" w:color="000000"/>
              <w:bottom w:val="single" w:sz="5" w:space="0" w:color="000000"/>
              <w:right w:val="single" w:sz="5" w:space="0" w:color="000000"/>
            </w:tcBorders>
            <w:vAlign w:val="center"/>
          </w:tcPr>
          <w:p w14:paraId="29499066" w14:textId="77777777" w:rsidR="0018137D" w:rsidRPr="00591394" w:rsidRDefault="0018137D" w:rsidP="00C6113D">
            <w:pPr>
              <w:keepNext/>
              <w:widowControl/>
              <w:tabs>
                <w:tab w:val="decimal" w:pos="936"/>
              </w:tabs>
              <w:spacing w:before="63" w:after="6" w:line="239" w:lineRule="exact"/>
              <w:textAlignment w:val="baseline"/>
              <w:rPr>
                <w:color w:val="000000"/>
                <w:sz w:val="26"/>
                <w:szCs w:val="26"/>
              </w:rPr>
            </w:pPr>
            <w:r w:rsidRPr="00591394">
              <w:rPr>
                <w:color w:val="000000"/>
                <w:sz w:val="26"/>
                <w:szCs w:val="26"/>
              </w:rPr>
              <w:t>3.8%</w:t>
            </w:r>
          </w:p>
        </w:tc>
        <w:tc>
          <w:tcPr>
            <w:tcW w:w="1530" w:type="dxa"/>
            <w:tcBorders>
              <w:top w:val="single" w:sz="5" w:space="0" w:color="000000"/>
              <w:left w:val="single" w:sz="5" w:space="0" w:color="000000"/>
              <w:bottom w:val="single" w:sz="5" w:space="0" w:color="000000"/>
              <w:right w:val="single" w:sz="13" w:space="0" w:color="000000"/>
            </w:tcBorders>
            <w:vAlign w:val="center"/>
          </w:tcPr>
          <w:p w14:paraId="0635724C" w14:textId="77777777" w:rsidR="0018137D" w:rsidRPr="00591394" w:rsidRDefault="0018137D" w:rsidP="00C6113D">
            <w:pPr>
              <w:keepNext/>
              <w:widowControl/>
              <w:spacing w:before="63" w:after="6" w:line="239" w:lineRule="exact"/>
              <w:ind w:right="110"/>
              <w:jc w:val="right"/>
              <w:textAlignment w:val="baseline"/>
              <w:rPr>
                <w:color w:val="000000"/>
                <w:sz w:val="26"/>
                <w:szCs w:val="26"/>
              </w:rPr>
            </w:pPr>
            <w:r w:rsidRPr="00591394">
              <w:rPr>
                <w:color w:val="000000"/>
                <w:sz w:val="26"/>
                <w:szCs w:val="26"/>
              </w:rPr>
              <w:t>$684,109</w:t>
            </w:r>
          </w:p>
        </w:tc>
        <w:tc>
          <w:tcPr>
            <w:tcW w:w="1440" w:type="dxa"/>
            <w:tcBorders>
              <w:top w:val="single" w:sz="5" w:space="0" w:color="000000"/>
              <w:left w:val="single" w:sz="13" w:space="0" w:color="000000"/>
              <w:bottom w:val="single" w:sz="5" w:space="0" w:color="000000"/>
              <w:right w:val="single" w:sz="5" w:space="0" w:color="000000"/>
            </w:tcBorders>
            <w:vAlign w:val="center"/>
          </w:tcPr>
          <w:p w14:paraId="4B6E8DE6" w14:textId="77777777" w:rsidR="0018137D" w:rsidRPr="00591394" w:rsidRDefault="0018137D" w:rsidP="00C6113D">
            <w:pPr>
              <w:keepNext/>
              <w:widowControl/>
              <w:spacing w:before="63" w:after="6" w:line="239" w:lineRule="exact"/>
              <w:ind w:right="110"/>
              <w:jc w:val="right"/>
              <w:textAlignment w:val="baseline"/>
              <w:rPr>
                <w:color w:val="000000"/>
                <w:sz w:val="26"/>
                <w:szCs w:val="26"/>
              </w:rPr>
            </w:pPr>
            <w:r w:rsidRPr="00591394">
              <w:rPr>
                <w:color w:val="000000"/>
                <w:sz w:val="26"/>
                <w:szCs w:val="26"/>
              </w:rPr>
              <w:t>1,625,418</w:t>
            </w:r>
          </w:p>
        </w:tc>
        <w:tc>
          <w:tcPr>
            <w:tcW w:w="900" w:type="dxa"/>
            <w:tcBorders>
              <w:top w:val="single" w:sz="5" w:space="0" w:color="000000"/>
              <w:left w:val="single" w:sz="5" w:space="0" w:color="000000"/>
              <w:bottom w:val="single" w:sz="5" w:space="0" w:color="000000"/>
              <w:right w:val="single" w:sz="5" w:space="0" w:color="000000"/>
            </w:tcBorders>
            <w:vAlign w:val="center"/>
          </w:tcPr>
          <w:p w14:paraId="6B46848C" w14:textId="77777777" w:rsidR="0018137D" w:rsidRPr="00591394" w:rsidRDefault="0018137D" w:rsidP="00815523">
            <w:pPr>
              <w:keepNext/>
              <w:widowControl/>
              <w:tabs>
                <w:tab w:val="decimal" w:pos="936"/>
              </w:tabs>
              <w:spacing w:before="63" w:after="6" w:line="239" w:lineRule="exact"/>
              <w:textAlignment w:val="baseline"/>
              <w:rPr>
                <w:color w:val="000000"/>
                <w:sz w:val="26"/>
                <w:szCs w:val="26"/>
              </w:rPr>
            </w:pPr>
            <w:r w:rsidRPr="00591394">
              <w:rPr>
                <w:color w:val="000000"/>
                <w:sz w:val="26"/>
                <w:szCs w:val="26"/>
              </w:rPr>
              <w:t>7.7%</w:t>
            </w:r>
          </w:p>
        </w:tc>
        <w:tc>
          <w:tcPr>
            <w:tcW w:w="1536" w:type="dxa"/>
            <w:tcBorders>
              <w:top w:val="single" w:sz="5" w:space="0" w:color="000000"/>
              <w:left w:val="single" w:sz="5" w:space="0" w:color="000000"/>
              <w:bottom w:val="single" w:sz="5" w:space="0" w:color="000000"/>
              <w:right w:val="single" w:sz="13" w:space="0" w:color="000000"/>
            </w:tcBorders>
            <w:vAlign w:val="center"/>
          </w:tcPr>
          <w:p w14:paraId="0B57E074" w14:textId="77777777" w:rsidR="0018137D" w:rsidRPr="00591394" w:rsidRDefault="0018137D" w:rsidP="00C6113D">
            <w:pPr>
              <w:keepNext/>
              <w:widowControl/>
              <w:spacing w:before="63" w:after="6" w:line="239" w:lineRule="exact"/>
              <w:ind w:right="120"/>
              <w:jc w:val="right"/>
              <w:textAlignment w:val="baseline"/>
              <w:rPr>
                <w:color w:val="000000"/>
                <w:sz w:val="26"/>
                <w:szCs w:val="26"/>
              </w:rPr>
            </w:pPr>
            <w:r w:rsidRPr="00591394">
              <w:rPr>
                <w:color w:val="000000"/>
                <w:sz w:val="26"/>
                <w:szCs w:val="26"/>
              </w:rPr>
              <w:t>$891,239</w:t>
            </w:r>
          </w:p>
        </w:tc>
      </w:tr>
      <w:tr w:rsidR="0018137D" w:rsidRPr="00591394" w14:paraId="3F45AEA8" w14:textId="77777777" w:rsidTr="00CA5D5B">
        <w:trPr>
          <w:trHeight w:hRule="exact" w:val="312"/>
          <w:jc w:val="center"/>
        </w:trPr>
        <w:tc>
          <w:tcPr>
            <w:tcW w:w="1788" w:type="dxa"/>
            <w:tcBorders>
              <w:top w:val="single" w:sz="5" w:space="0" w:color="000000"/>
              <w:left w:val="single" w:sz="5" w:space="0" w:color="000000"/>
              <w:bottom w:val="single" w:sz="5" w:space="0" w:color="000000"/>
              <w:right w:val="single" w:sz="13" w:space="0" w:color="000000"/>
            </w:tcBorders>
            <w:vAlign w:val="center"/>
          </w:tcPr>
          <w:p w14:paraId="56AB67C2" w14:textId="77777777" w:rsidR="0018137D" w:rsidRPr="00591394" w:rsidRDefault="0018137D" w:rsidP="00C6113D">
            <w:pPr>
              <w:keepNext/>
              <w:widowControl/>
              <w:spacing w:before="63" w:line="235" w:lineRule="exact"/>
              <w:ind w:left="115"/>
              <w:textAlignment w:val="baseline"/>
              <w:rPr>
                <w:color w:val="000000"/>
                <w:sz w:val="26"/>
                <w:szCs w:val="26"/>
              </w:rPr>
            </w:pPr>
            <w:r w:rsidRPr="00591394">
              <w:rPr>
                <w:color w:val="000000"/>
                <w:sz w:val="26"/>
                <w:szCs w:val="26"/>
              </w:rPr>
              <w:t>Lighting</w:t>
            </w:r>
          </w:p>
        </w:tc>
        <w:tc>
          <w:tcPr>
            <w:tcW w:w="1440" w:type="dxa"/>
            <w:tcBorders>
              <w:top w:val="single" w:sz="5" w:space="0" w:color="000000"/>
              <w:left w:val="single" w:sz="13" w:space="0" w:color="000000"/>
              <w:bottom w:val="single" w:sz="5" w:space="0" w:color="000000"/>
              <w:right w:val="single" w:sz="5" w:space="0" w:color="000000"/>
            </w:tcBorders>
            <w:vAlign w:val="center"/>
          </w:tcPr>
          <w:p w14:paraId="08B84F60" w14:textId="77777777" w:rsidR="0018137D" w:rsidRPr="00591394" w:rsidRDefault="0018137D" w:rsidP="00C6113D">
            <w:pPr>
              <w:keepNext/>
              <w:widowControl/>
              <w:spacing w:before="63" w:line="235" w:lineRule="exact"/>
              <w:ind w:right="106"/>
              <w:jc w:val="right"/>
              <w:textAlignment w:val="baseline"/>
              <w:rPr>
                <w:color w:val="000000"/>
                <w:sz w:val="26"/>
                <w:szCs w:val="26"/>
              </w:rPr>
            </w:pPr>
            <w:r w:rsidRPr="00591394">
              <w:rPr>
                <w:color w:val="000000"/>
                <w:sz w:val="26"/>
                <w:szCs w:val="26"/>
              </w:rPr>
              <w:t>18,266,093</w:t>
            </w:r>
          </w:p>
        </w:tc>
        <w:tc>
          <w:tcPr>
            <w:tcW w:w="1080" w:type="dxa"/>
            <w:tcBorders>
              <w:top w:val="single" w:sz="5" w:space="0" w:color="000000"/>
              <w:left w:val="single" w:sz="5" w:space="0" w:color="000000"/>
              <w:bottom w:val="single" w:sz="5" w:space="0" w:color="000000"/>
              <w:right w:val="single" w:sz="5" w:space="0" w:color="000000"/>
            </w:tcBorders>
            <w:vAlign w:val="center"/>
          </w:tcPr>
          <w:p w14:paraId="21C9DDCF" w14:textId="77777777" w:rsidR="0018137D" w:rsidRPr="00591394" w:rsidRDefault="0018137D" w:rsidP="00C6113D">
            <w:pPr>
              <w:keepNext/>
              <w:widowControl/>
              <w:tabs>
                <w:tab w:val="decimal" w:pos="936"/>
              </w:tabs>
              <w:spacing w:before="63" w:line="235" w:lineRule="exact"/>
              <w:textAlignment w:val="baseline"/>
              <w:rPr>
                <w:color w:val="000000"/>
                <w:sz w:val="26"/>
                <w:szCs w:val="26"/>
              </w:rPr>
            </w:pPr>
            <w:r w:rsidRPr="00591394">
              <w:rPr>
                <w:color w:val="000000"/>
                <w:sz w:val="26"/>
                <w:szCs w:val="26"/>
              </w:rPr>
              <w:t>63.2%</w:t>
            </w:r>
          </w:p>
        </w:tc>
        <w:tc>
          <w:tcPr>
            <w:tcW w:w="1530" w:type="dxa"/>
            <w:tcBorders>
              <w:top w:val="single" w:sz="5" w:space="0" w:color="000000"/>
              <w:left w:val="single" w:sz="5" w:space="0" w:color="000000"/>
              <w:bottom w:val="single" w:sz="5" w:space="0" w:color="000000"/>
              <w:right w:val="single" w:sz="13" w:space="0" w:color="000000"/>
            </w:tcBorders>
            <w:vAlign w:val="center"/>
          </w:tcPr>
          <w:p w14:paraId="584F100F" w14:textId="77777777" w:rsidR="0018137D" w:rsidRPr="00591394" w:rsidRDefault="0018137D" w:rsidP="00C6113D">
            <w:pPr>
              <w:keepNext/>
              <w:widowControl/>
              <w:spacing w:before="63" w:line="235" w:lineRule="exact"/>
              <w:ind w:right="110"/>
              <w:jc w:val="right"/>
              <w:textAlignment w:val="baseline"/>
              <w:rPr>
                <w:color w:val="000000"/>
                <w:sz w:val="26"/>
                <w:szCs w:val="26"/>
              </w:rPr>
            </w:pPr>
            <w:r w:rsidRPr="00591394">
              <w:rPr>
                <w:color w:val="000000"/>
                <w:sz w:val="26"/>
                <w:szCs w:val="26"/>
              </w:rPr>
              <w:t>$9,517,344</w:t>
            </w:r>
          </w:p>
        </w:tc>
        <w:tc>
          <w:tcPr>
            <w:tcW w:w="1440" w:type="dxa"/>
            <w:tcBorders>
              <w:top w:val="single" w:sz="5" w:space="0" w:color="000000"/>
              <w:left w:val="single" w:sz="13" w:space="0" w:color="000000"/>
              <w:bottom w:val="single" w:sz="5" w:space="0" w:color="000000"/>
              <w:right w:val="single" w:sz="5" w:space="0" w:color="000000"/>
            </w:tcBorders>
            <w:vAlign w:val="center"/>
          </w:tcPr>
          <w:p w14:paraId="6C2802B0" w14:textId="77777777" w:rsidR="0018137D" w:rsidRPr="00591394" w:rsidRDefault="0018137D" w:rsidP="00C6113D">
            <w:pPr>
              <w:keepNext/>
              <w:widowControl/>
              <w:spacing w:before="63" w:line="235" w:lineRule="exact"/>
              <w:ind w:right="110"/>
              <w:jc w:val="right"/>
              <w:textAlignment w:val="baseline"/>
              <w:rPr>
                <w:color w:val="000000"/>
                <w:sz w:val="26"/>
                <w:szCs w:val="26"/>
              </w:rPr>
            </w:pPr>
            <w:r w:rsidRPr="00591394">
              <w:rPr>
                <w:color w:val="000000"/>
                <w:sz w:val="26"/>
                <w:szCs w:val="26"/>
              </w:rPr>
              <w:t>11,971,667</w:t>
            </w:r>
          </w:p>
        </w:tc>
        <w:tc>
          <w:tcPr>
            <w:tcW w:w="900" w:type="dxa"/>
            <w:tcBorders>
              <w:top w:val="single" w:sz="5" w:space="0" w:color="000000"/>
              <w:left w:val="single" w:sz="5" w:space="0" w:color="000000"/>
              <w:bottom w:val="single" w:sz="5" w:space="0" w:color="000000"/>
              <w:right w:val="single" w:sz="5" w:space="0" w:color="000000"/>
            </w:tcBorders>
            <w:vAlign w:val="center"/>
          </w:tcPr>
          <w:p w14:paraId="55FC01B6" w14:textId="77777777" w:rsidR="0018137D" w:rsidRPr="00591394" w:rsidRDefault="0018137D" w:rsidP="00815523">
            <w:pPr>
              <w:keepNext/>
              <w:widowControl/>
              <w:tabs>
                <w:tab w:val="decimal" w:pos="936"/>
              </w:tabs>
              <w:spacing w:before="63" w:line="235" w:lineRule="exact"/>
              <w:textAlignment w:val="baseline"/>
              <w:rPr>
                <w:color w:val="000000"/>
                <w:sz w:val="26"/>
                <w:szCs w:val="26"/>
              </w:rPr>
            </w:pPr>
            <w:r w:rsidRPr="00591394">
              <w:rPr>
                <w:color w:val="000000"/>
                <w:sz w:val="26"/>
                <w:szCs w:val="26"/>
              </w:rPr>
              <w:t>56.4%</w:t>
            </w:r>
          </w:p>
        </w:tc>
        <w:tc>
          <w:tcPr>
            <w:tcW w:w="1536" w:type="dxa"/>
            <w:tcBorders>
              <w:top w:val="single" w:sz="5" w:space="0" w:color="000000"/>
              <w:left w:val="single" w:sz="5" w:space="0" w:color="000000"/>
              <w:bottom w:val="single" w:sz="5" w:space="0" w:color="000000"/>
              <w:right w:val="single" w:sz="13" w:space="0" w:color="000000"/>
            </w:tcBorders>
            <w:vAlign w:val="center"/>
          </w:tcPr>
          <w:p w14:paraId="3FDA92FC" w14:textId="77777777" w:rsidR="0018137D" w:rsidRPr="00591394" w:rsidRDefault="0018137D" w:rsidP="00C6113D">
            <w:pPr>
              <w:keepNext/>
              <w:widowControl/>
              <w:spacing w:before="63" w:line="235" w:lineRule="exact"/>
              <w:ind w:right="120"/>
              <w:jc w:val="right"/>
              <w:textAlignment w:val="baseline"/>
              <w:rPr>
                <w:color w:val="000000"/>
                <w:sz w:val="26"/>
                <w:szCs w:val="26"/>
              </w:rPr>
            </w:pPr>
            <w:r w:rsidRPr="00591394">
              <w:rPr>
                <w:color w:val="000000"/>
                <w:sz w:val="26"/>
                <w:szCs w:val="26"/>
              </w:rPr>
              <w:t>$7,805,755</w:t>
            </w:r>
          </w:p>
        </w:tc>
      </w:tr>
      <w:tr w:rsidR="0018137D" w:rsidRPr="00591394" w14:paraId="787F29F6" w14:textId="77777777" w:rsidTr="00CA5D5B">
        <w:trPr>
          <w:trHeight w:hRule="exact" w:val="308"/>
          <w:jc w:val="center"/>
        </w:trPr>
        <w:tc>
          <w:tcPr>
            <w:tcW w:w="1788" w:type="dxa"/>
            <w:tcBorders>
              <w:top w:val="single" w:sz="5" w:space="0" w:color="000000"/>
              <w:left w:val="single" w:sz="5" w:space="0" w:color="000000"/>
              <w:bottom w:val="single" w:sz="5" w:space="0" w:color="000000"/>
              <w:right w:val="single" w:sz="13" w:space="0" w:color="000000"/>
            </w:tcBorders>
            <w:vAlign w:val="center"/>
          </w:tcPr>
          <w:p w14:paraId="6F4A2617" w14:textId="77777777" w:rsidR="0018137D" w:rsidRPr="00591394" w:rsidRDefault="0018137D" w:rsidP="00C6113D">
            <w:pPr>
              <w:keepNext/>
              <w:widowControl/>
              <w:spacing w:before="58" w:after="6" w:line="239" w:lineRule="exact"/>
              <w:ind w:left="115"/>
              <w:textAlignment w:val="baseline"/>
              <w:rPr>
                <w:color w:val="000000"/>
                <w:sz w:val="26"/>
                <w:szCs w:val="26"/>
              </w:rPr>
            </w:pPr>
            <w:r w:rsidRPr="00591394">
              <w:rPr>
                <w:color w:val="000000"/>
                <w:sz w:val="26"/>
                <w:szCs w:val="26"/>
              </w:rPr>
              <w:t>Audits</w:t>
            </w:r>
          </w:p>
        </w:tc>
        <w:tc>
          <w:tcPr>
            <w:tcW w:w="1440" w:type="dxa"/>
            <w:tcBorders>
              <w:top w:val="single" w:sz="5" w:space="0" w:color="000000"/>
              <w:left w:val="single" w:sz="13" w:space="0" w:color="000000"/>
              <w:bottom w:val="single" w:sz="5" w:space="0" w:color="000000"/>
              <w:right w:val="single" w:sz="5" w:space="0" w:color="000000"/>
            </w:tcBorders>
          </w:tcPr>
          <w:p w14:paraId="0AA43001" w14:textId="77777777" w:rsidR="0018137D" w:rsidRPr="00591394" w:rsidRDefault="0018137D" w:rsidP="00C6113D">
            <w:pPr>
              <w:keepNext/>
              <w:widowControl/>
              <w:textAlignment w:val="baseline"/>
              <w:rPr>
                <w:color w:val="000000"/>
                <w:sz w:val="26"/>
                <w:szCs w:val="26"/>
              </w:rPr>
            </w:pPr>
            <w:r w:rsidRPr="00591394">
              <w:rPr>
                <w:color w:val="000000"/>
                <w:sz w:val="26"/>
                <w:szCs w:val="26"/>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57D23C5A" w14:textId="77777777" w:rsidR="0018137D" w:rsidRPr="00591394" w:rsidRDefault="0018137D" w:rsidP="00C6113D">
            <w:pPr>
              <w:keepNext/>
              <w:widowControl/>
              <w:textAlignment w:val="baseline"/>
              <w:rPr>
                <w:color w:val="000000"/>
                <w:sz w:val="26"/>
                <w:szCs w:val="26"/>
              </w:rPr>
            </w:pPr>
            <w:r w:rsidRPr="00591394">
              <w:rPr>
                <w:color w:val="000000"/>
                <w:sz w:val="26"/>
                <w:szCs w:val="26"/>
              </w:rPr>
              <w:t xml:space="preserve"> </w:t>
            </w:r>
          </w:p>
        </w:tc>
        <w:tc>
          <w:tcPr>
            <w:tcW w:w="1530" w:type="dxa"/>
            <w:tcBorders>
              <w:top w:val="single" w:sz="5" w:space="0" w:color="000000"/>
              <w:left w:val="single" w:sz="5" w:space="0" w:color="000000"/>
              <w:bottom w:val="single" w:sz="5" w:space="0" w:color="000000"/>
              <w:right w:val="single" w:sz="13" w:space="0" w:color="000000"/>
            </w:tcBorders>
            <w:vAlign w:val="center"/>
          </w:tcPr>
          <w:p w14:paraId="3762260F" w14:textId="77777777" w:rsidR="0018137D" w:rsidRPr="00591394" w:rsidRDefault="0018137D" w:rsidP="00C6113D">
            <w:pPr>
              <w:keepNext/>
              <w:widowControl/>
              <w:spacing w:before="58" w:after="6" w:line="239" w:lineRule="exact"/>
              <w:ind w:right="110"/>
              <w:jc w:val="right"/>
              <w:textAlignment w:val="baseline"/>
              <w:rPr>
                <w:color w:val="000000"/>
                <w:sz w:val="26"/>
                <w:szCs w:val="26"/>
              </w:rPr>
            </w:pPr>
            <w:r w:rsidRPr="00591394">
              <w:rPr>
                <w:color w:val="000000"/>
                <w:sz w:val="26"/>
                <w:szCs w:val="26"/>
              </w:rPr>
              <w:t>$245,145</w:t>
            </w:r>
          </w:p>
        </w:tc>
        <w:tc>
          <w:tcPr>
            <w:tcW w:w="1440" w:type="dxa"/>
            <w:tcBorders>
              <w:top w:val="single" w:sz="5" w:space="0" w:color="000000"/>
              <w:left w:val="single" w:sz="13" w:space="0" w:color="000000"/>
              <w:bottom w:val="single" w:sz="5" w:space="0" w:color="000000"/>
              <w:right w:val="single" w:sz="5" w:space="0" w:color="000000"/>
            </w:tcBorders>
          </w:tcPr>
          <w:p w14:paraId="4B5ACD5D" w14:textId="77777777" w:rsidR="0018137D" w:rsidRPr="00591394" w:rsidRDefault="0018137D" w:rsidP="00C6113D">
            <w:pPr>
              <w:keepNext/>
              <w:widowControl/>
              <w:textAlignment w:val="baseline"/>
              <w:rPr>
                <w:color w:val="000000"/>
                <w:sz w:val="26"/>
                <w:szCs w:val="26"/>
              </w:rPr>
            </w:pPr>
            <w:r w:rsidRPr="00591394">
              <w:rPr>
                <w:color w:val="000000"/>
                <w:sz w:val="26"/>
                <w:szCs w:val="26"/>
              </w:rPr>
              <w:t xml:space="preserve"> </w:t>
            </w:r>
          </w:p>
        </w:tc>
        <w:tc>
          <w:tcPr>
            <w:tcW w:w="900" w:type="dxa"/>
            <w:tcBorders>
              <w:top w:val="single" w:sz="5" w:space="0" w:color="000000"/>
              <w:left w:val="single" w:sz="5" w:space="0" w:color="000000"/>
              <w:bottom w:val="single" w:sz="5" w:space="0" w:color="000000"/>
              <w:right w:val="single" w:sz="5" w:space="0" w:color="000000"/>
            </w:tcBorders>
          </w:tcPr>
          <w:p w14:paraId="7585404C" w14:textId="1DC7A63F" w:rsidR="0018137D" w:rsidRPr="00591394" w:rsidRDefault="0018137D" w:rsidP="00815523">
            <w:pPr>
              <w:keepNext/>
              <w:widowControl/>
              <w:textAlignment w:val="baseline"/>
              <w:rPr>
                <w:color w:val="000000"/>
                <w:sz w:val="26"/>
                <w:szCs w:val="26"/>
              </w:rPr>
            </w:pPr>
          </w:p>
        </w:tc>
        <w:tc>
          <w:tcPr>
            <w:tcW w:w="1536" w:type="dxa"/>
            <w:tcBorders>
              <w:top w:val="single" w:sz="5" w:space="0" w:color="000000"/>
              <w:left w:val="single" w:sz="5" w:space="0" w:color="000000"/>
              <w:bottom w:val="single" w:sz="5" w:space="0" w:color="000000"/>
              <w:right w:val="single" w:sz="13" w:space="0" w:color="000000"/>
            </w:tcBorders>
            <w:vAlign w:val="center"/>
          </w:tcPr>
          <w:p w14:paraId="1400A9CF" w14:textId="77777777" w:rsidR="0018137D" w:rsidRPr="00591394" w:rsidRDefault="0018137D" w:rsidP="00C6113D">
            <w:pPr>
              <w:keepNext/>
              <w:widowControl/>
              <w:spacing w:before="58" w:after="6" w:line="239" w:lineRule="exact"/>
              <w:ind w:right="120"/>
              <w:jc w:val="right"/>
              <w:textAlignment w:val="baseline"/>
              <w:rPr>
                <w:color w:val="000000"/>
                <w:sz w:val="26"/>
                <w:szCs w:val="26"/>
              </w:rPr>
            </w:pPr>
            <w:r w:rsidRPr="00591394">
              <w:rPr>
                <w:color w:val="000000"/>
                <w:sz w:val="26"/>
                <w:szCs w:val="26"/>
              </w:rPr>
              <w:t>$245,145</w:t>
            </w:r>
          </w:p>
        </w:tc>
      </w:tr>
      <w:tr w:rsidR="0018137D" w:rsidRPr="00591394" w14:paraId="5A19CC1D" w14:textId="77777777" w:rsidTr="00CA5D5B">
        <w:trPr>
          <w:trHeight w:hRule="exact" w:val="307"/>
          <w:jc w:val="center"/>
        </w:trPr>
        <w:tc>
          <w:tcPr>
            <w:tcW w:w="1788" w:type="dxa"/>
            <w:tcBorders>
              <w:top w:val="single" w:sz="5" w:space="0" w:color="000000"/>
              <w:left w:val="single" w:sz="5" w:space="0" w:color="000000"/>
              <w:bottom w:val="single" w:sz="5" w:space="0" w:color="000000"/>
              <w:right w:val="single" w:sz="13" w:space="0" w:color="000000"/>
            </w:tcBorders>
            <w:vAlign w:val="center"/>
          </w:tcPr>
          <w:p w14:paraId="4179B24F" w14:textId="77777777" w:rsidR="0018137D" w:rsidRPr="00591394" w:rsidRDefault="0018137D" w:rsidP="00C6113D">
            <w:pPr>
              <w:keepNext/>
              <w:widowControl/>
              <w:spacing w:before="58" w:line="239" w:lineRule="exact"/>
              <w:ind w:left="115"/>
              <w:textAlignment w:val="baseline"/>
              <w:rPr>
                <w:color w:val="000000"/>
                <w:sz w:val="26"/>
                <w:szCs w:val="26"/>
              </w:rPr>
            </w:pPr>
            <w:r w:rsidRPr="00591394">
              <w:rPr>
                <w:color w:val="000000"/>
                <w:sz w:val="26"/>
                <w:szCs w:val="26"/>
              </w:rPr>
              <w:t>LI-BEEP</w:t>
            </w:r>
          </w:p>
        </w:tc>
        <w:tc>
          <w:tcPr>
            <w:tcW w:w="1440" w:type="dxa"/>
            <w:tcBorders>
              <w:top w:val="single" w:sz="5" w:space="0" w:color="000000"/>
              <w:left w:val="single" w:sz="13" w:space="0" w:color="000000"/>
              <w:bottom w:val="single" w:sz="5" w:space="0" w:color="000000"/>
              <w:right w:val="single" w:sz="5" w:space="0" w:color="000000"/>
            </w:tcBorders>
            <w:vAlign w:val="center"/>
          </w:tcPr>
          <w:p w14:paraId="74BA68EC" w14:textId="77777777" w:rsidR="0018137D" w:rsidRPr="00591394" w:rsidRDefault="0018137D" w:rsidP="00C6113D">
            <w:pPr>
              <w:keepNext/>
              <w:widowControl/>
              <w:spacing w:before="58" w:line="239" w:lineRule="exact"/>
              <w:ind w:right="106"/>
              <w:jc w:val="right"/>
              <w:textAlignment w:val="baseline"/>
              <w:rPr>
                <w:color w:val="000000"/>
                <w:sz w:val="26"/>
                <w:szCs w:val="26"/>
              </w:rPr>
            </w:pPr>
            <w:r w:rsidRPr="00591394">
              <w:rPr>
                <w:color w:val="000000"/>
                <w:sz w:val="26"/>
                <w:szCs w:val="26"/>
              </w:rPr>
              <w:t>7,500,000</w:t>
            </w:r>
          </w:p>
        </w:tc>
        <w:tc>
          <w:tcPr>
            <w:tcW w:w="1080" w:type="dxa"/>
            <w:tcBorders>
              <w:top w:val="single" w:sz="5" w:space="0" w:color="000000"/>
              <w:left w:val="single" w:sz="5" w:space="0" w:color="000000"/>
              <w:bottom w:val="single" w:sz="5" w:space="0" w:color="000000"/>
              <w:right w:val="single" w:sz="5" w:space="0" w:color="000000"/>
            </w:tcBorders>
            <w:vAlign w:val="center"/>
          </w:tcPr>
          <w:p w14:paraId="2E5818FA" w14:textId="77777777" w:rsidR="0018137D" w:rsidRPr="00591394" w:rsidRDefault="0018137D" w:rsidP="00C6113D">
            <w:pPr>
              <w:keepNext/>
              <w:widowControl/>
              <w:tabs>
                <w:tab w:val="decimal" w:pos="936"/>
              </w:tabs>
              <w:spacing w:before="58" w:line="239" w:lineRule="exact"/>
              <w:textAlignment w:val="baseline"/>
              <w:rPr>
                <w:color w:val="000000"/>
                <w:sz w:val="26"/>
                <w:szCs w:val="26"/>
              </w:rPr>
            </w:pPr>
            <w:r w:rsidRPr="00591394">
              <w:rPr>
                <w:color w:val="000000"/>
                <w:sz w:val="26"/>
                <w:szCs w:val="26"/>
              </w:rPr>
              <w:t>26.0%</w:t>
            </w:r>
          </w:p>
        </w:tc>
        <w:tc>
          <w:tcPr>
            <w:tcW w:w="1530" w:type="dxa"/>
            <w:tcBorders>
              <w:top w:val="single" w:sz="5" w:space="0" w:color="000000"/>
              <w:left w:val="single" w:sz="5" w:space="0" w:color="000000"/>
              <w:bottom w:val="single" w:sz="5" w:space="0" w:color="000000"/>
              <w:right w:val="single" w:sz="13" w:space="0" w:color="000000"/>
            </w:tcBorders>
            <w:vAlign w:val="center"/>
          </w:tcPr>
          <w:p w14:paraId="04C2F063" w14:textId="77777777" w:rsidR="0018137D" w:rsidRPr="00591394" w:rsidRDefault="0018137D" w:rsidP="00C6113D">
            <w:pPr>
              <w:keepNext/>
              <w:widowControl/>
              <w:spacing w:before="58" w:line="239" w:lineRule="exact"/>
              <w:ind w:right="110"/>
              <w:jc w:val="right"/>
              <w:textAlignment w:val="baseline"/>
              <w:rPr>
                <w:color w:val="000000"/>
                <w:sz w:val="26"/>
                <w:szCs w:val="26"/>
              </w:rPr>
            </w:pPr>
            <w:r w:rsidRPr="00591394">
              <w:rPr>
                <w:color w:val="000000"/>
                <w:sz w:val="26"/>
                <w:szCs w:val="26"/>
              </w:rPr>
              <w:t>$1,115,174</w:t>
            </w:r>
          </w:p>
        </w:tc>
        <w:tc>
          <w:tcPr>
            <w:tcW w:w="1440" w:type="dxa"/>
            <w:tcBorders>
              <w:top w:val="single" w:sz="5" w:space="0" w:color="000000"/>
              <w:left w:val="single" w:sz="13" w:space="0" w:color="000000"/>
              <w:bottom w:val="single" w:sz="5" w:space="0" w:color="000000"/>
              <w:right w:val="single" w:sz="5" w:space="0" w:color="000000"/>
            </w:tcBorders>
            <w:vAlign w:val="center"/>
          </w:tcPr>
          <w:p w14:paraId="458CB6F8" w14:textId="77777777" w:rsidR="0018137D" w:rsidRPr="00591394" w:rsidRDefault="0018137D" w:rsidP="00C6113D">
            <w:pPr>
              <w:keepNext/>
              <w:widowControl/>
              <w:spacing w:before="58" w:line="239" w:lineRule="exact"/>
              <w:ind w:right="110"/>
              <w:jc w:val="right"/>
              <w:textAlignment w:val="baseline"/>
              <w:rPr>
                <w:color w:val="000000"/>
                <w:sz w:val="26"/>
                <w:szCs w:val="26"/>
              </w:rPr>
            </w:pPr>
            <w:r w:rsidRPr="00591394">
              <w:rPr>
                <w:color w:val="000000"/>
                <w:sz w:val="26"/>
                <w:szCs w:val="26"/>
              </w:rPr>
              <w:t>4,655,160</w:t>
            </w:r>
          </w:p>
        </w:tc>
        <w:tc>
          <w:tcPr>
            <w:tcW w:w="900" w:type="dxa"/>
            <w:tcBorders>
              <w:top w:val="single" w:sz="5" w:space="0" w:color="000000"/>
              <w:left w:val="single" w:sz="5" w:space="0" w:color="000000"/>
              <w:bottom w:val="single" w:sz="5" w:space="0" w:color="000000"/>
              <w:right w:val="single" w:sz="5" w:space="0" w:color="000000"/>
            </w:tcBorders>
            <w:vAlign w:val="center"/>
          </w:tcPr>
          <w:p w14:paraId="425419FE" w14:textId="77777777" w:rsidR="0018137D" w:rsidRPr="00591394" w:rsidRDefault="0018137D" w:rsidP="00815523">
            <w:pPr>
              <w:keepNext/>
              <w:widowControl/>
              <w:tabs>
                <w:tab w:val="decimal" w:pos="936"/>
              </w:tabs>
              <w:spacing w:before="58" w:line="239" w:lineRule="exact"/>
              <w:textAlignment w:val="baseline"/>
              <w:rPr>
                <w:color w:val="000000"/>
                <w:sz w:val="26"/>
                <w:szCs w:val="26"/>
              </w:rPr>
            </w:pPr>
            <w:r w:rsidRPr="00591394">
              <w:rPr>
                <w:color w:val="000000"/>
                <w:sz w:val="26"/>
                <w:szCs w:val="26"/>
              </w:rPr>
              <w:t>21.9%</w:t>
            </w:r>
          </w:p>
        </w:tc>
        <w:tc>
          <w:tcPr>
            <w:tcW w:w="1536" w:type="dxa"/>
            <w:tcBorders>
              <w:top w:val="single" w:sz="5" w:space="0" w:color="000000"/>
              <w:left w:val="single" w:sz="5" w:space="0" w:color="000000"/>
              <w:bottom w:val="single" w:sz="5" w:space="0" w:color="000000"/>
              <w:right w:val="single" w:sz="13" w:space="0" w:color="000000"/>
            </w:tcBorders>
            <w:vAlign w:val="center"/>
          </w:tcPr>
          <w:p w14:paraId="2F75ED35" w14:textId="77777777" w:rsidR="0018137D" w:rsidRPr="00591394" w:rsidRDefault="0018137D" w:rsidP="00C6113D">
            <w:pPr>
              <w:keepNext/>
              <w:widowControl/>
              <w:spacing w:before="58" w:line="239" w:lineRule="exact"/>
              <w:ind w:right="120"/>
              <w:jc w:val="right"/>
              <w:textAlignment w:val="baseline"/>
              <w:rPr>
                <w:color w:val="000000"/>
                <w:sz w:val="26"/>
                <w:szCs w:val="26"/>
              </w:rPr>
            </w:pPr>
            <w:r w:rsidRPr="00591394">
              <w:rPr>
                <w:color w:val="000000"/>
                <w:sz w:val="26"/>
                <w:szCs w:val="26"/>
              </w:rPr>
              <w:t>$692,175</w:t>
            </w:r>
          </w:p>
        </w:tc>
      </w:tr>
      <w:tr w:rsidR="0018137D" w:rsidRPr="00591394" w14:paraId="31031816" w14:textId="77777777" w:rsidTr="00CA5D5B">
        <w:trPr>
          <w:trHeight w:hRule="exact" w:val="317"/>
          <w:jc w:val="center"/>
        </w:trPr>
        <w:tc>
          <w:tcPr>
            <w:tcW w:w="1788" w:type="dxa"/>
            <w:tcBorders>
              <w:top w:val="single" w:sz="5" w:space="0" w:color="000000"/>
              <w:left w:val="single" w:sz="5" w:space="0" w:color="000000"/>
              <w:bottom w:val="single" w:sz="5" w:space="0" w:color="000000"/>
              <w:right w:val="single" w:sz="13" w:space="0" w:color="000000"/>
            </w:tcBorders>
            <w:vAlign w:val="center"/>
          </w:tcPr>
          <w:p w14:paraId="2AB867C7" w14:textId="77777777" w:rsidR="0018137D" w:rsidRPr="00591394" w:rsidRDefault="0018137D" w:rsidP="00C6113D">
            <w:pPr>
              <w:keepNext/>
              <w:widowControl/>
              <w:spacing w:before="63" w:after="5" w:line="239" w:lineRule="exact"/>
              <w:ind w:left="115"/>
              <w:textAlignment w:val="baseline"/>
              <w:rPr>
                <w:color w:val="000000"/>
                <w:sz w:val="26"/>
                <w:szCs w:val="26"/>
              </w:rPr>
            </w:pPr>
            <w:r w:rsidRPr="00591394">
              <w:rPr>
                <w:color w:val="000000"/>
                <w:sz w:val="26"/>
                <w:szCs w:val="26"/>
              </w:rPr>
              <w:t>Total</w:t>
            </w:r>
          </w:p>
        </w:tc>
        <w:tc>
          <w:tcPr>
            <w:tcW w:w="1440" w:type="dxa"/>
            <w:tcBorders>
              <w:top w:val="single" w:sz="5" w:space="0" w:color="000000"/>
              <w:left w:val="single" w:sz="13" w:space="0" w:color="000000"/>
              <w:bottom w:val="single" w:sz="5" w:space="0" w:color="000000"/>
              <w:right w:val="single" w:sz="5" w:space="0" w:color="000000"/>
            </w:tcBorders>
            <w:vAlign w:val="center"/>
          </w:tcPr>
          <w:p w14:paraId="7F71FEB4" w14:textId="77777777" w:rsidR="0018137D" w:rsidRPr="00591394" w:rsidRDefault="0018137D" w:rsidP="00C6113D">
            <w:pPr>
              <w:keepNext/>
              <w:widowControl/>
              <w:spacing w:before="63" w:after="5" w:line="239" w:lineRule="exact"/>
              <w:ind w:right="106"/>
              <w:jc w:val="right"/>
              <w:textAlignment w:val="baseline"/>
              <w:rPr>
                <w:color w:val="000000"/>
                <w:sz w:val="26"/>
                <w:szCs w:val="26"/>
              </w:rPr>
            </w:pPr>
            <w:r w:rsidRPr="00591394">
              <w:rPr>
                <w:color w:val="000000"/>
                <w:sz w:val="26"/>
                <w:szCs w:val="26"/>
              </w:rPr>
              <w:t>28,886,149</w:t>
            </w:r>
          </w:p>
        </w:tc>
        <w:tc>
          <w:tcPr>
            <w:tcW w:w="1080" w:type="dxa"/>
            <w:tcBorders>
              <w:top w:val="single" w:sz="5" w:space="0" w:color="000000"/>
              <w:left w:val="single" w:sz="5" w:space="0" w:color="000000"/>
              <w:bottom w:val="single" w:sz="5" w:space="0" w:color="000000"/>
              <w:right w:val="single" w:sz="5" w:space="0" w:color="000000"/>
            </w:tcBorders>
            <w:vAlign w:val="center"/>
          </w:tcPr>
          <w:p w14:paraId="53452F2F" w14:textId="77777777" w:rsidR="0018137D" w:rsidRPr="00591394" w:rsidRDefault="0018137D" w:rsidP="00C6113D">
            <w:pPr>
              <w:keepNext/>
              <w:widowControl/>
              <w:tabs>
                <w:tab w:val="decimal" w:pos="936"/>
              </w:tabs>
              <w:spacing w:before="63" w:after="5" w:line="239" w:lineRule="exact"/>
              <w:textAlignment w:val="baseline"/>
              <w:rPr>
                <w:color w:val="000000"/>
                <w:sz w:val="26"/>
                <w:szCs w:val="26"/>
              </w:rPr>
            </w:pPr>
            <w:r w:rsidRPr="00591394">
              <w:rPr>
                <w:color w:val="000000"/>
                <w:sz w:val="26"/>
                <w:szCs w:val="26"/>
              </w:rPr>
              <w:t>100.0%</w:t>
            </w:r>
          </w:p>
        </w:tc>
        <w:tc>
          <w:tcPr>
            <w:tcW w:w="1530" w:type="dxa"/>
            <w:tcBorders>
              <w:top w:val="single" w:sz="5" w:space="0" w:color="000000"/>
              <w:left w:val="single" w:sz="5" w:space="0" w:color="000000"/>
              <w:bottom w:val="single" w:sz="5" w:space="0" w:color="000000"/>
              <w:right w:val="single" w:sz="13" w:space="0" w:color="000000"/>
            </w:tcBorders>
            <w:vAlign w:val="center"/>
          </w:tcPr>
          <w:p w14:paraId="202FF837" w14:textId="77777777" w:rsidR="0018137D" w:rsidRPr="00591394" w:rsidRDefault="0018137D" w:rsidP="00C6113D">
            <w:pPr>
              <w:keepNext/>
              <w:widowControl/>
              <w:spacing w:before="63" w:after="5" w:line="239" w:lineRule="exact"/>
              <w:ind w:right="110"/>
              <w:jc w:val="right"/>
              <w:textAlignment w:val="baseline"/>
              <w:rPr>
                <w:color w:val="000000"/>
                <w:sz w:val="26"/>
                <w:szCs w:val="26"/>
              </w:rPr>
            </w:pPr>
            <w:r w:rsidRPr="00591394">
              <w:rPr>
                <w:color w:val="000000"/>
                <w:sz w:val="26"/>
                <w:szCs w:val="26"/>
              </w:rPr>
              <w:t>$15,678,939</w:t>
            </w:r>
          </w:p>
        </w:tc>
        <w:tc>
          <w:tcPr>
            <w:tcW w:w="1440" w:type="dxa"/>
            <w:tcBorders>
              <w:top w:val="single" w:sz="5" w:space="0" w:color="000000"/>
              <w:left w:val="single" w:sz="13" w:space="0" w:color="000000"/>
              <w:bottom w:val="single" w:sz="5" w:space="0" w:color="000000"/>
              <w:right w:val="single" w:sz="5" w:space="0" w:color="000000"/>
            </w:tcBorders>
            <w:vAlign w:val="center"/>
          </w:tcPr>
          <w:p w14:paraId="6B521D29" w14:textId="77777777" w:rsidR="0018137D" w:rsidRPr="00591394" w:rsidRDefault="0018137D" w:rsidP="00C6113D">
            <w:pPr>
              <w:keepNext/>
              <w:widowControl/>
              <w:spacing w:before="63" w:after="5" w:line="239" w:lineRule="exact"/>
              <w:ind w:right="110"/>
              <w:jc w:val="right"/>
              <w:textAlignment w:val="baseline"/>
              <w:rPr>
                <w:color w:val="000000"/>
                <w:sz w:val="26"/>
                <w:szCs w:val="26"/>
              </w:rPr>
            </w:pPr>
            <w:r w:rsidRPr="00591394">
              <w:rPr>
                <w:color w:val="000000"/>
                <w:sz w:val="26"/>
                <w:szCs w:val="26"/>
              </w:rPr>
              <w:t>21,241,964</w:t>
            </w:r>
          </w:p>
        </w:tc>
        <w:tc>
          <w:tcPr>
            <w:tcW w:w="900" w:type="dxa"/>
            <w:tcBorders>
              <w:top w:val="single" w:sz="5" w:space="0" w:color="000000"/>
              <w:left w:val="single" w:sz="5" w:space="0" w:color="000000"/>
              <w:bottom w:val="single" w:sz="5" w:space="0" w:color="000000"/>
              <w:right w:val="single" w:sz="5" w:space="0" w:color="000000"/>
            </w:tcBorders>
            <w:vAlign w:val="center"/>
          </w:tcPr>
          <w:p w14:paraId="48359D2A" w14:textId="77777777" w:rsidR="0018137D" w:rsidRPr="00591394" w:rsidRDefault="0018137D" w:rsidP="00815523">
            <w:pPr>
              <w:keepNext/>
              <w:widowControl/>
              <w:tabs>
                <w:tab w:val="decimal" w:pos="936"/>
              </w:tabs>
              <w:spacing w:before="63" w:after="5" w:line="239" w:lineRule="exact"/>
              <w:textAlignment w:val="baseline"/>
              <w:rPr>
                <w:color w:val="000000"/>
                <w:sz w:val="26"/>
                <w:szCs w:val="26"/>
              </w:rPr>
            </w:pPr>
            <w:r w:rsidRPr="00591394">
              <w:rPr>
                <w:color w:val="000000"/>
                <w:sz w:val="26"/>
                <w:szCs w:val="26"/>
              </w:rPr>
              <w:t>100.0%</w:t>
            </w:r>
          </w:p>
        </w:tc>
        <w:tc>
          <w:tcPr>
            <w:tcW w:w="1536" w:type="dxa"/>
            <w:tcBorders>
              <w:top w:val="single" w:sz="5" w:space="0" w:color="000000"/>
              <w:left w:val="single" w:sz="5" w:space="0" w:color="000000"/>
              <w:bottom w:val="single" w:sz="5" w:space="0" w:color="000000"/>
              <w:right w:val="single" w:sz="13" w:space="0" w:color="000000"/>
            </w:tcBorders>
            <w:vAlign w:val="center"/>
          </w:tcPr>
          <w:p w14:paraId="4BDB240E" w14:textId="77777777" w:rsidR="0018137D" w:rsidRPr="00591394" w:rsidRDefault="0018137D" w:rsidP="00C6113D">
            <w:pPr>
              <w:keepNext/>
              <w:widowControl/>
              <w:spacing w:before="63" w:after="5" w:line="239" w:lineRule="exact"/>
              <w:ind w:right="120"/>
              <w:jc w:val="right"/>
              <w:textAlignment w:val="baseline"/>
              <w:rPr>
                <w:color w:val="000000"/>
                <w:sz w:val="26"/>
                <w:szCs w:val="26"/>
              </w:rPr>
            </w:pPr>
            <w:r w:rsidRPr="00591394">
              <w:rPr>
                <w:color w:val="000000"/>
                <w:sz w:val="26"/>
                <w:szCs w:val="26"/>
              </w:rPr>
              <w:t>$15,678,939</w:t>
            </w:r>
          </w:p>
        </w:tc>
      </w:tr>
    </w:tbl>
    <w:p w14:paraId="7A5618FD" w14:textId="5787B939" w:rsidR="0018137D" w:rsidRPr="00591394" w:rsidRDefault="0018137D" w:rsidP="00C6113D">
      <w:pPr>
        <w:widowControl/>
        <w:ind w:right="1440"/>
        <w:rPr>
          <w:rFonts w:eastAsia="Calibri"/>
          <w:color w:val="000000"/>
          <w:sz w:val="26"/>
          <w:szCs w:val="26"/>
        </w:rPr>
      </w:pPr>
    </w:p>
    <w:p w14:paraId="0CD99D39" w14:textId="77777777" w:rsidR="00CE6FC9" w:rsidRPr="00591394" w:rsidRDefault="00CE6FC9" w:rsidP="00C6113D">
      <w:pPr>
        <w:widowControl/>
        <w:ind w:right="1440"/>
        <w:rPr>
          <w:rFonts w:eastAsia="Calibri"/>
          <w:color w:val="000000"/>
          <w:sz w:val="26"/>
          <w:szCs w:val="26"/>
        </w:rPr>
      </w:pPr>
    </w:p>
    <w:p w14:paraId="16D46B2A" w14:textId="6870AEE9" w:rsidR="00BC45FA" w:rsidRPr="00591394" w:rsidRDefault="00BC45FA" w:rsidP="00C6113D">
      <w:pPr>
        <w:pStyle w:val="ListParagraph"/>
        <w:widowControl/>
        <w:numPr>
          <w:ilvl w:val="0"/>
          <w:numId w:val="14"/>
        </w:numPr>
        <w:tabs>
          <w:tab w:val="clear" w:pos="720"/>
        </w:tabs>
        <w:ind w:left="1440" w:right="1440"/>
        <w:rPr>
          <w:rFonts w:eastAsia="Calibri"/>
          <w:color w:val="000000"/>
          <w:sz w:val="26"/>
          <w:szCs w:val="26"/>
        </w:rPr>
      </w:pPr>
      <w:r w:rsidRPr="00591394">
        <w:rPr>
          <w:rFonts w:eastAsia="Calibri"/>
          <w:color w:val="000000"/>
          <w:sz w:val="26"/>
          <w:szCs w:val="26"/>
        </w:rPr>
        <w:t>Duquesne Light will track the numbers of, and reasons for, LIEEP jobs that do not move forward, separately tracked for low income single-family, master-metered multifamily, and individually-metered multifamily properties.</w:t>
      </w:r>
    </w:p>
    <w:p w14:paraId="45F31828" w14:textId="77777777" w:rsidR="0047703B" w:rsidRPr="00591394" w:rsidRDefault="0047703B" w:rsidP="00C6113D">
      <w:pPr>
        <w:pStyle w:val="ListParagraph"/>
        <w:widowControl/>
        <w:ind w:left="1440" w:right="1440"/>
        <w:rPr>
          <w:rFonts w:eastAsia="Calibri"/>
          <w:color w:val="000000"/>
          <w:sz w:val="26"/>
          <w:szCs w:val="26"/>
        </w:rPr>
      </w:pPr>
    </w:p>
    <w:p w14:paraId="6E1FE1DA" w14:textId="19F28582" w:rsidR="00BC45FA" w:rsidRPr="00591394" w:rsidRDefault="00BC45FA" w:rsidP="00C6113D">
      <w:pPr>
        <w:pStyle w:val="ListParagraph"/>
        <w:widowControl/>
        <w:numPr>
          <w:ilvl w:val="0"/>
          <w:numId w:val="14"/>
        </w:numPr>
        <w:tabs>
          <w:tab w:val="clear" w:pos="720"/>
        </w:tabs>
        <w:ind w:left="1440" w:right="1440"/>
        <w:rPr>
          <w:rFonts w:eastAsia="Calibri"/>
          <w:color w:val="000000"/>
          <w:sz w:val="26"/>
          <w:szCs w:val="26"/>
        </w:rPr>
      </w:pPr>
      <w:r w:rsidRPr="00591394">
        <w:rPr>
          <w:rFonts w:eastAsia="Calibri"/>
          <w:color w:val="000000"/>
          <w:sz w:val="26"/>
          <w:szCs w:val="26"/>
        </w:rPr>
        <w:t>Duquesne Light will track the total number of LIEEP baseload and heating jobs, separated by the following segments: 1) low-income single family tenants; 2) low-income single family homeowners; 3) low-income master-metered multifamily tenants; and 4) low-income individually-metered multifamily tenants.</w:t>
      </w:r>
    </w:p>
    <w:p w14:paraId="65DD1051" w14:textId="77777777" w:rsidR="0047703B" w:rsidRPr="00591394" w:rsidRDefault="0047703B" w:rsidP="00C6113D">
      <w:pPr>
        <w:pStyle w:val="ListParagraph"/>
        <w:widowControl/>
        <w:rPr>
          <w:rFonts w:eastAsia="Calibri"/>
          <w:color w:val="000000"/>
          <w:sz w:val="26"/>
          <w:szCs w:val="26"/>
        </w:rPr>
      </w:pPr>
    </w:p>
    <w:p w14:paraId="58285FDB" w14:textId="55692FE4" w:rsidR="00BC45FA" w:rsidRPr="00591394" w:rsidRDefault="00BC45FA" w:rsidP="00C6113D">
      <w:pPr>
        <w:pStyle w:val="ListParagraph"/>
        <w:widowControl/>
        <w:numPr>
          <w:ilvl w:val="0"/>
          <w:numId w:val="14"/>
        </w:numPr>
        <w:tabs>
          <w:tab w:val="clear" w:pos="720"/>
        </w:tabs>
        <w:ind w:left="1440" w:right="1440"/>
        <w:rPr>
          <w:rFonts w:eastAsia="Calibri"/>
          <w:color w:val="000000"/>
          <w:sz w:val="26"/>
          <w:szCs w:val="26"/>
        </w:rPr>
      </w:pPr>
      <w:r w:rsidRPr="00591394">
        <w:rPr>
          <w:rFonts w:eastAsia="Calibri"/>
          <w:color w:val="000000"/>
          <w:sz w:val="26"/>
          <w:szCs w:val="26"/>
        </w:rPr>
        <w:t>Duquesne Light will also track the average LIEEP job costs and energy savings.</w:t>
      </w:r>
    </w:p>
    <w:p w14:paraId="3F5F18DE" w14:textId="77777777" w:rsidR="0047703B" w:rsidRPr="00591394" w:rsidRDefault="0047703B" w:rsidP="00C6113D">
      <w:pPr>
        <w:pStyle w:val="ListParagraph"/>
        <w:widowControl/>
        <w:ind w:left="1440" w:right="1440"/>
        <w:rPr>
          <w:rFonts w:eastAsia="Calibri"/>
          <w:color w:val="000000"/>
          <w:sz w:val="26"/>
          <w:szCs w:val="26"/>
        </w:rPr>
      </w:pPr>
    </w:p>
    <w:p w14:paraId="1FF2318C" w14:textId="3E49CAB9" w:rsidR="00BC45FA" w:rsidRPr="00591394" w:rsidRDefault="00BC45FA" w:rsidP="00C6113D">
      <w:pPr>
        <w:pStyle w:val="ListParagraph"/>
        <w:widowControl/>
        <w:numPr>
          <w:ilvl w:val="0"/>
          <w:numId w:val="14"/>
        </w:numPr>
        <w:tabs>
          <w:tab w:val="clear" w:pos="720"/>
        </w:tabs>
        <w:ind w:left="1440" w:right="1440"/>
        <w:rPr>
          <w:rFonts w:eastAsia="Calibri"/>
          <w:color w:val="000000"/>
          <w:sz w:val="26"/>
          <w:szCs w:val="26"/>
        </w:rPr>
      </w:pPr>
      <w:r w:rsidRPr="00591394">
        <w:rPr>
          <w:rFonts w:eastAsia="Calibri"/>
          <w:color w:val="000000"/>
          <w:sz w:val="26"/>
          <w:szCs w:val="26"/>
        </w:rPr>
        <w:lastRenderedPageBreak/>
        <w:t>Duquesne Light will provide the information specified in Paragraphs 32, 33, and 34, above, in its Income Eligible Advisory Group (“IEAG”) working group meetings.</w:t>
      </w:r>
    </w:p>
    <w:p w14:paraId="2FF2FF63" w14:textId="77777777" w:rsidR="0047703B" w:rsidRPr="00591394" w:rsidRDefault="0047703B" w:rsidP="00C6113D">
      <w:pPr>
        <w:pStyle w:val="ListParagraph"/>
        <w:widowControl/>
        <w:ind w:left="1440" w:right="1440"/>
        <w:rPr>
          <w:rFonts w:eastAsia="Calibri"/>
          <w:color w:val="000000"/>
          <w:sz w:val="26"/>
          <w:szCs w:val="26"/>
        </w:rPr>
      </w:pPr>
    </w:p>
    <w:p w14:paraId="3ABEFC1C" w14:textId="3C01C15A" w:rsidR="00BC45FA" w:rsidRPr="00591394" w:rsidRDefault="00BC45FA" w:rsidP="00C6113D">
      <w:pPr>
        <w:pStyle w:val="ListParagraph"/>
        <w:widowControl/>
        <w:numPr>
          <w:ilvl w:val="0"/>
          <w:numId w:val="15"/>
        </w:numPr>
        <w:tabs>
          <w:tab w:val="clear" w:pos="720"/>
        </w:tabs>
        <w:ind w:left="1440" w:right="1440"/>
        <w:rPr>
          <w:rFonts w:eastAsia="Calibri"/>
          <w:color w:val="000000"/>
          <w:sz w:val="26"/>
          <w:szCs w:val="26"/>
        </w:rPr>
      </w:pPr>
      <w:r w:rsidRPr="00591394">
        <w:rPr>
          <w:rFonts w:eastAsia="Calibri"/>
          <w:color w:val="000000"/>
          <w:sz w:val="26"/>
          <w:szCs w:val="26"/>
        </w:rPr>
        <w:t>Duquesne Light will discuss opportunities with the IEAG for increased coordination with community-based organization (“CBOs”), and other weatherization, energy efficiency, or housing remediation assistance programs in DLC’s service territory, and will consider in good faith the IEAG’s recommendations.</w:t>
      </w:r>
    </w:p>
    <w:p w14:paraId="2A637D80" w14:textId="77777777" w:rsidR="00EA2824" w:rsidRPr="00591394" w:rsidRDefault="00EA2824" w:rsidP="00C6113D">
      <w:pPr>
        <w:pStyle w:val="ListParagraph"/>
        <w:widowControl/>
        <w:ind w:left="1440" w:right="1440"/>
        <w:rPr>
          <w:rFonts w:eastAsia="Calibri"/>
          <w:color w:val="000000"/>
          <w:sz w:val="26"/>
          <w:szCs w:val="26"/>
        </w:rPr>
      </w:pPr>
    </w:p>
    <w:p w14:paraId="4BDA8F9E" w14:textId="4424482A" w:rsidR="00BC45FA" w:rsidRPr="00591394" w:rsidRDefault="00BC45FA" w:rsidP="00C6113D">
      <w:pPr>
        <w:pStyle w:val="ListParagraph"/>
        <w:widowControl/>
        <w:numPr>
          <w:ilvl w:val="0"/>
          <w:numId w:val="15"/>
        </w:numPr>
        <w:tabs>
          <w:tab w:val="clear" w:pos="720"/>
        </w:tabs>
        <w:ind w:left="1440" w:right="1440"/>
        <w:rPr>
          <w:rFonts w:eastAsia="Calibri"/>
          <w:color w:val="000000"/>
          <w:sz w:val="26"/>
          <w:szCs w:val="26"/>
        </w:rPr>
      </w:pPr>
      <w:r w:rsidRPr="00591394">
        <w:rPr>
          <w:rFonts w:eastAsia="Calibri"/>
          <w:color w:val="000000"/>
          <w:sz w:val="26"/>
          <w:szCs w:val="26"/>
        </w:rPr>
        <w:t>Duquesne Light shall modify its Phase IV Plan to allocate the projected costs and kWh savings for non-low income residential program measure categories as follows:</w:t>
      </w:r>
    </w:p>
    <w:p w14:paraId="4913962B" w14:textId="77777777" w:rsidR="00132374" w:rsidRPr="00591394" w:rsidRDefault="00132374" w:rsidP="007C2A02">
      <w:pPr>
        <w:pStyle w:val="ListParagraph"/>
        <w:widowControl/>
        <w:spacing w:line="360" w:lineRule="auto"/>
        <w:rPr>
          <w:rFonts w:eastAsia="Calibri"/>
          <w:color w:val="000000"/>
          <w:sz w:val="26"/>
          <w:szCs w:val="26"/>
        </w:rPr>
      </w:pPr>
    </w:p>
    <w:tbl>
      <w:tblPr>
        <w:tblW w:w="9587" w:type="dxa"/>
        <w:jc w:val="center"/>
        <w:tblLayout w:type="fixed"/>
        <w:tblCellMar>
          <w:left w:w="0" w:type="dxa"/>
          <w:right w:w="0" w:type="dxa"/>
        </w:tblCellMar>
        <w:tblLook w:val="04A0" w:firstRow="1" w:lastRow="0" w:firstColumn="1" w:lastColumn="0" w:noHBand="0" w:noVBand="1"/>
      </w:tblPr>
      <w:tblGrid>
        <w:gridCol w:w="1620"/>
        <w:gridCol w:w="1350"/>
        <w:gridCol w:w="1170"/>
        <w:gridCol w:w="1530"/>
        <w:gridCol w:w="1440"/>
        <w:gridCol w:w="1037"/>
        <w:gridCol w:w="1440"/>
      </w:tblGrid>
      <w:tr w:rsidR="00132374" w:rsidRPr="00591394" w14:paraId="1FCAD764" w14:textId="77777777" w:rsidTr="00DA3FC9">
        <w:trPr>
          <w:jc w:val="center"/>
        </w:trPr>
        <w:tc>
          <w:tcPr>
            <w:tcW w:w="1620" w:type="dxa"/>
            <w:tcBorders>
              <w:top w:val="single" w:sz="5" w:space="0" w:color="000000"/>
              <w:left w:val="single" w:sz="5" w:space="0" w:color="000000"/>
              <w:bottom w:val="single" w:sz="5" w:space="0" w:color="000000"/>
              <w:right w:val="single" w:sz="26" w:space="0" w:color="000000"/>
            </w:tcBorders>
          </w:tcPr>
          <w:p w14:paraId="124177E4" w14:textId="77777777" w:rsidR="00132374" w:rsidRPr="00FD58E2" w:rsidRDefault="00132374" w:rsidP="00380C60">
            <w:pPr>
              <w:widowControl/>
              <w:spacing w:before="40" w:after="40"/>
              <w:textAlignment w:val="baseline"/>
              <w:rPr>
                <w:color w:val="000000"/>
                <w:sz w:val="26"/>
                <w:szCs w:val="26"/>
              </w:rPr>
            </w:pPr>
          </w:p>
        </w:tc>
        <w:tc>
          <w:tcPr>
            <w:tcW w:w="4050" w:type="dxa"/>
            <w:gridSpan w:val="3"/>
            <w:tcBorders>
              <w:top w:val="single" w:sz="5" w:space="0" w:color="000000"/>
              <w:left w:val="single" w:sz="26" w:space="0" w:color="000000"/>
              <w:bottom w:val="single" w:sz="5" w:space="0" w:color="000000"/>
              <w:right w:val="single" w:sz="26" w:space="0" w:color="000000"/>
            </w:tcBorders>
            <w:vAlign w:val="center"/>
          </w:tcPr>
          <w:p w14:paraId="74A1151B" w14:textId="77777777" w:rsidR="00132374" w:rsidRPr="00FD58E2" w:rsidRDefault="00132374" w:rsidP="00380C60">
            <w:pPr>
              <w:widowControl/>
              <w:spacing w:before="40" w:after="40" w:line="249" w:lineRule="exact"/>
              <w:ind w:right="466"/>
              <w:jc w:val="right"/>
              <w:textAlignment w:val="baseline"/>
              <w:rPr>
                <w:b/>
                <w:i/>
                <w:color w:val="000000"/>
                <w:sz w:val="26"/>
                <w:szCs w:val="26"/>
              </w:rPr>
            </w:pPr>
            <w:r w:rsidRPr="00FD58E2">
              <w:rPr>
                <w:b/>
                <w:i/>
                <w:color w:val="000000"/>
                <w:sz w:val="26"/>
                <w:szCs w:val="26"/>
              </w:rPr>
              <w:t>Phase IV Plan as Filed 11/30/20</w:t>
            </w:r>
          </w:p>
        </w:tc>
        <w:tc>
          <w:tcPr>
            <w:tcW w:w="3917" w:type="dxa"/>
            <w:gridSpan w:val="3"/>
            <w:tcBorders>
              <w:top w:val="single" w:sz="5" w:space="0" w:color="000000"/>
              <w:left w:val="single" w:sz="26" w:space="0" w:color="000000"/>
              <w:bottom w:val="single" w:sz="5" w:space="0" w:color="000000"/>
              <w:right w:val="single" w:sz="5" w:space="0" w:color="000000"/>
            </w:tcBorders>
            <w:vAlign w:val="center"/>
          </w:tcPr>
          <w:p w14:paraId="62B39E40" w14:textId="77777777" w:rsidR="00132374" w:rsidRPr="00FD58E2" w:rsidRDefault="00132374" w:rsidP="00380C60">
            <w:pPr>
              <w:widowControl/>
              <w:spacing w:before="40" w:after="40" w:line="249" w:lineRule="exact"/>
              <w:jc w:val="center"/>
              <w:textAlignment w:val="baseline"/>
              <w:rPr>
                <w:b/>
                <w:i/>
                <w:color w:val="000000"/>
                <w:sz w:val="26"/>
                <w:szCs w:val="26"/>
              </w:rPr>
            </w:pPr>
            <w:r w:rsidRPr="00FD58E2">
              <w:rPr>
                <w:b/>
                <w:i/>
                <w:color w:val="000000"/>
                <w:sz w:val="26"/>
                <w:szCs w:val="26"/>
              </w:rPr>
              <w:t>Phase IV Plan as Revised</w:t>
            </w:r>
          </w:p>
        </w:tc>
      </w:tr>
      <w:tr w:rsidR="00DA3FC9" w:rsidRPr="00591394" w14:paraId="038CE8F5" w14:textId="77777777" w:rsidTr="00DA3FC9">
        <w:trPr>
          <w:jc w:val="center"/>
        </w:trPr>
        <w:tc>
          <w:tcPr>
            <w:tcW w:w="1620" w:type="dxa"/>
            <w:tcBorders>
              <w:top w:val="single" w:sz="5" w:space="0" w:color="000000"/>
              <w:left w:val="single" w:sz="5" w:space="0" w:color="000000"/>
              <w:bottom w:val="single" w:sz="5" w:space="0" w:color="000000"/>
              <w:right w:val="single" w:sz="26" w:space="0" w:color="000000"/>
            </w:tcBorders>
            <w:vAlign w:val="bottom"/>
          </w:tcPr>
          <w:p w14:paraId="43B5DE83" w14:textId="77777777" w:rsidR="00132374" w:rsidRPr="00FD58E2" w:rsidRDefault="00132374" w:rsidP="00DA3FC9">
            <w:pPr>
              <w:widowControl/>
              <w:spacing w:before="20" w:after="20"/>
              <w:ind w:left="115"/>
              <w:textAlignment w:val="baseline"/>
              <w:rPr>
                <w:b/>
                <w:color w:val="000000"/>
                <w:sz w:val="26"/>
                <w:szCs w:val="26"/>
              </w:rPr>
            </w:pPr>
            <w:r w:rsidRPr="00FD58E2">
              <w:rPr>
                <w:b/>
                <w:color w:val="000000"/>
                <w:sz w:val="26"/>
                <w:szCs w:val="26"/>
              </w:rPr>
              <w:t>Measure Category</w:t>
            </w:r>
          </w:p>
        </w:tc>
        <w:tc>
          <w:tcPr>
            <w:tcW w:w="1350" w:type="dxa"/>
            <w:tcBorders>
              <w:top w:val="single" w:sz="5" w:space="0" w:color="000000"/>
              <w:left w:val="single" w:sz="26" w:space="0" w:color="000000"/>
              <w:bottom w:val="single" w:sz="5" w:space="0" w:color="000000"/>
              <w:right w:val="single" w:sz="5" w:space="0" w:color="000000"/>
            </w:tcBorders>
            <w:vAlign w:val="bottom"/>
          </w:tcPr>
          <w:p w14:paraId="3326107F" w14:textId="77777777" w:rsidR="00132374" w:rsidRPr="00FD58E2" w:rsidRDefault="00132374" w:rsidP="00DA3FC9">
            <w:pPr>
              <w:widowControl/>
              <w:spacing w:before="20" w:after="20"/>
              <w:ind w:left="108"/>
              <w:jc w:val="center"/>
              <w:textAlignment w:val="baseline"/>
              <w:rPr>
                <w:b/>
                <w:color w:val="000000"/>
                <w:sz w:val="26"/>
                <w:szCs w:val="26"/>
              </w:rPr>
            </w:pPr>
            <w:r w:rsidRPr="00FD58E2">
              <w:rPr>
                <w:b/>
                <w:color w:val="000000"/>
                <w:sz w:val="26"/>
                <w:szCs w:val="26"/>
              </w:rPr>
              <w:t>Est. kWh Savings</w:t>
            </w:r>
          </w:p>
        </w:tc>
        <w:tc>
          <w:tcPr>
            <w:tcW w:w="1170" w:type="dxa"/>
            <w:tcBorders>
              <w:top w:val="single" w:sz="5" w:space="0" w:color="000000"/>
              <w:left w:val="single" w:sz="5" w:space="0" w:color="000000"/>
              <w:bottom w:val="single" w:sz="5" w:space="0" w:color="000000"/>
              <w:right w:val="single" w:sz="5" w:space="0" w:color="000000"/>
            </w:tcBorders>
          </w:tcPr>
          <w:p w14:paraId="5653A7DC" w14:textId="0697CD6A" w:rsidR="00132374" w:rsidRPr="00FD58E2" w:rsidRDefault="00132374" w:rsidP="00DA3FC9">
            <w:pPr>
              <w:widowControl/>
              <w:spacing w:before="20" w:after="20"/>
              <w:ind w:left="108" w:right="175"/>
              <w:jc w:val="center"/>
              <w:textAlignment w:val="baseline"/>
              <w:rPr>
                <w:b/>
                <w:color w:val="000000"/>
                <w:sz w:val="26"/>
                <w:szCs w:val="26"/>
              </w:rPr>
            </w:pPr>
            <w:r w:rsidRPr="00FD58E2">
              <w:rPr>
                <w:b/>
                <w:color w:val="000000"/>
                <w:sz w:val="26"/>
                <w:szCs w:val="26"/>
              </w:rPr>
              <w:t>% of Sector Savings</w:t>
            </w:r>
          </w:p>
        </w:tc>
        <w:tc>
          <w:tcPr>
            <w:tcW w:w="1530" w:type="dxa"/>
            <w:tcBorders>
              <w:top w:val="single" w:sz="5" w:space="0" w:color="000000"/>
              <w:left w:val="single" w:sz="5" w:space="0" w:color="000000"/>
              <w:bottom w:val="single" w:sz="5" w:space="0" w:color="000000"/>
              <w:right w:val="single" w:sz="26" w:space="0" w:color="000000"/>
            </w:tcBorders>
            <w:vAlign w:val="bottom"/>
          </w:tcPr>
          <w:p w14:paraId="625B86F3" w14:textId="77777777" w:rsidR="00132374" w:rsidRPr="00FD58E2" w:rsidRDefault="00132374" w:rsidP="00DA3FC9">
            <w:pPr>
              <w:widowControl/>
              <w:spacing w:before="20" w:after="20"/>
              <w:jc w:val="center"/>
              <w:textAlignment w:val="baseline"/>
              <w:rPr>
                <w:b/>
                <w:color w:val="000000"/>
                <w:sz w:val="26"/>
                <w:szCs w:val="26"/>
              </w:rPr>
            </w:pPr>
            <w:r w:rsidRPr="00FD58E2">
              <w:rPr>
                <w:b/>
                <w:color w:val="000000"/>
                <w:sz w:val="26"/>
                <w:szCs w:val="26"/>
              </w:rPr>
              <w:t>Est. Cost</w:t>
            </w:r>
          </w:p>
        </w:tc>
        <w:tc>
          <w:tcPr>
            <w:tcW w:w="1440" w:type="dxa"/>
            <w:tcBorders>
              <w:top w:val="single" w:sz="5" w:space="0" w:color="000000"/>
              <w:left w:val="single" w:sz="26" w:space="0" w:color="000000"/>
              <w:bottom w:val="single" w:sz="5" w:space="0" w:color="000000"/>
              <w:right w:val="single" w:sz="5" w:space="0" w:color="000000"/>
            </w:tcBorders>
            <w:vAlign w:val="bottom"/>
          </w:tcPr>
          <w:p w14:paraId="6C5504EC" w14:textId="77777777" w:rsidR="00132374" w:rsidRPr="00FD58E2" w:rsidRDefault="00132374" w:rsidP="00DA3FC9">
            <w:pPr>
              <w:widowControl/>
              <w:spacing w:before="20" w:after="20"/>
              <w:ind w:left="108"/>
              <w:jc w:val="center"/>
              <w:textAlignment w:val="baseline"/>
              <w:rPr>
                <w:b/>
                <w:color w:val="000000"/>
                <w:sz w:val="26"/>
                <w:szCs w:val="26"/>
              </w:rPr>
            </w:pPr>
            <w:r w:rsidRPr="00FD58E2">
              <w:rPr>
                <w:b/>
                <w:color w:val="000000"/>
                <w:sz w:val="26"/>
                <w:szCs w:val="26"/>
              </w:rPr>
              <w:t>Est. kWh Savings</w:t>
            </w:r>
          </w:p>
        </w:tc>
        <w:tc>
          <w:tcPr>
            <w:tcW w:w="1037" w:type="dxa"/>
            <w:tcBorders>
              <w:top w:val="single" w:sz="5" w:space="0" w:color="000000"/>
              <w:left w:val="single" w:sz="5" w:space="0" w:color="000000"/>
              <w:bottom w:val="single" w:sz="5" w:space="0" w:color="000000"/>
              <w:right w:val="single" w:sz="5" w:space="0" w:color="000000"/>
            </w:tcBorders>
          </w:tcPr>
          <w:p w14:paraId="14AABA1D" w14:textId="5515C5E2" w:rsidR="00132374" w:rsidRPr="00FD58E2" w:rsidRDefault="00132374" w:rsidP="00FF6FA8">
            <w:pPr>
              <w:widowControl/>
              <w:spacing w:before="20" w:after="20"/>
              <w:ind w:left="108" w:right="52"/>
              <w:jc w:val="center"/>
              <w:textAlignment w:val="baseline"/>
              <w:rPr>
                <w:b/>
                <w:color w:val="000000"/>
                <w:sz w:val="26"/>
                <w:szCs w:val="26"/>
              </w:rPr>
            </w:pPr>
            <w:r w:rsidRPr="00FD58E2">
              <w:rPr>
                <w:b/>
                <w:color w:val="000000"/>
                <w:sz w:val="26"/>
                <w:szCs w:val="26"/>
              </w:rPr>
              <w:t>% of Sector Savings</w:t>
            </w:r>
          </w:p>
        </w:tc>
        <w:tc>
          <w:tcPr>
            <w:tcW w:w="1440" w:type="dxa"/>
            <w:tcBorders>
              <w:top w:val="single" w:sz="5" w:space="0" w:color="000000"/>
              <w:left w:val="single" w:sz="5" w:space="0" w:color="000000"/>
              <w:bottom w:val="single" w:sz="5" w:space="0" w:color="000000"/>
              <w:right w:val="single" w:sz="5" w:space="0" w:color="000000"/>
            </w:tcBorders>
            <w:vAlign w:val="bottom"/>
          </w:tcPr>
          <w:p w14:paraId="74B29F0F" w14:textId="77777777" w:rsidR="00132374" w:rsidRPr="00FD58E2" w:rsidRDefault="00132374" w:rsidP="00DA3FC9">
            <w:pPr>
              <w:widowControl/>
              <w:spacing w:before="20" w:after="20"/>
              <w:ind w:right="133"/>
              <w:jc w:val="center"/>
              <w:textAlignment w:val="baseline"/>
              <w:rPr>
                <w:b/>
                <w:color w:val="000000"/>
                <w:sz w:val="26"/>
                <w:szCs w:val="26"/>
              </w:rPr>
            </w:pPr>
            <w:r w:rsidRPr="00FD58E2">
              <w:rPr>
                <w:b/>
                <w:color w:val="000000"/>
                <w:sz w:val="26"/>
                <w:szCs w:val="26"/>
              </w:rPr>
              <w:t>Est. Cost</w:t>
            </w:r>
          </w:p>
        </w:tc>
      </w:tr>
      <w:tr w:rsidR="00DA3FC9" w:rsidRPr="00591394" w14:paraId="248D72CC" w14:textId="77777777" w:rsidTr="00DA3FC9">
        <w:trPr>
          <w:jc w:val="center"/>
        </w:trPr>
        <w:tc>
          <w:tcPr>
            <w:tcW w:w="1620" w:type="dxa"/>
            <w:tcBorders>
              <w:top w:val="single" w:sz="5" w:space="0" w:color="000000"/>
              <w:left w:val="single" w:sz="5" w:space="0" w:color="000000"/>
              <w:bottom w:val="single" w:sz="5" w:space="0" w:color="000000"/>
              <w:right w:val="single" w:sz="26" w:space="0" w:color="000000"/>
            </w:tcBorders>
            <w:vAlign w:val="center"/>
          </w:tcPr>
          <w:p w14:paraId="4FD19EB3" w14:textId="77777777" w:rsidR="00132374" w:rsidRPr="00FD58E2" w:rsidRDefault="00132374" w:rsidP="00DA3FC9">
            <w:pPr>
              <w:widowControl/>
              <w:spacing w:before="20" w:after="20"/>
              <w:ind w:left="115"/>
              <w:textAlignment w:val="baseline"/>
              <w:rPr>
                <w:color w:val="000000"/>
                <w:sz w:val="26"/>
                <w:szCs w:val="26"/>
              </w:rPr>
            </w:pPr>
            <w:r w:rsidRPr="00FD58E2">
              <w:rPr>
                <w:color w:val="000000"/>
                <w:sz w:val="26"/>
                <w:szCs w:val="26"/>
              </w:rPr>
              <w:t>Appliance Recycling</w:t>
            </w:r>
          </w:p>
        </w:tc>
        <w:tc>
          <w:tcPr>
            <w:tcW w:w="1350" w:type="dxa"/>
            <w:tcBorders>
              <w:top w:val="single" w:sz="5" w:space="0" w:color="000000"/>
              <w:left w:val="single" w:sz="26" w:space="0" w:color="000000"/>
              <w:bottom w:val="single" w:sz="5" w:space="0" w:color="000000"/>
              <w:right w:val="single" w:sz="5" w:space="0" w:color="000000"/>
            </w:tcBorders>
            <w:vAlign w:val="center"/>
          </w:tcPr>
          <w:p w14:paraId="37C20C80" w14:textId="77777777" w:rsidR="00132374" w:rsidRPr="00FD58E2" w:rsidRDefault="00132374" w:rsidP="00DA3FC9">
            <w:pPr>
              <w:widowControl/>
              <w:spacing w:before="20" w:after="20"/>
              <w:ind w:right="106"/>
              <w:jc w:val="right"/>
              <w:textAlignment w:val="baseline"/>
              <w:rPr>
                <w:color w:val="000000"/>
                <w:sz w:val="26"/>
                <w:szCs w:val="26"/>
              </w:rPr>
            </w:pPr>
            <w:r w:rsidRPr="00FD58E2">
              <w:rPr>
                <w:color w:val="000000"/>
                <w:sz w:val="26"/>
                <w:szCs w:val="26"/>
              </w:rPr>
              <w:t>8,447,770</w:t>
            </w:r>
          </w:p>
        </w:tc>
        <w:tc>
          <w:tcPr>
            <w:tcW w:w="1170" w:type="dxa"/>
            <w:tcBorders>
              <w:top w:val="single" w:sz="5" w:space="0" w:color="000000"/>
              <w:left w:val="single" w:sz="5" w:space="0" w:color="000000"/>
              <w:bottom w:val="single" w:sz="5" w:space="0" w:color="000000"/>
              <w:right w:val="single" w:sz="5" w:space="0" w:color="000000"/>
            </w:tcBorders>
            <w:vAlign w:val="center"/>
          </w:tcPr>
          <w:p w14:paraId="2A664B51" w14:textId="77777777" w:rsidR="00132374" w:rsidRPr="00FD58E2" w:rsidRDefault="00132374" w:rsidP="00DA3FC9">
            <w:pPr>
              <w:widowControl/>
              <w:tabs>
                <w:tab w:val="decimal" w:pos="504"/>
              </w:tabs>
              <w:spacing w:before="20" w:after="20"/>
              <w:textAlignment w:val="baseline"/>
              <w:rPr>
                <w:color w:val="000000"/>
                <w:sz w:val="26"/>
                <w:szCs w:val="26"/>
              </w:rPr>
            </w:pPr>
            <w:r w:rsidRPr="00FD58E2">
              <w:rPr>
                <w:color w:val="000000"/>
                <w:sz w:val="26"/>
                <w:szCs w:val="26"/>
              </w:rPr>
              <w:t>8.80%</w:t>
            </w:r>
          </w:p>
        </w:tc>
        <w:tc>
          <w:tcPr>
            <w:tcW w:w="1530" w:type="dxa"/>
            <w:tcBorders>
              <w:top w:val="single" w:sz="5" w:space="0" w:color="000000"/>
              <w:left w:val="single" w:sz="5" w:space="0" w:color="000000"/>
              <w:bottom w:val="single" w:sz="5" w:space="0" w:color="000000"/>
              <w:right w:val="single" w:sz="26" w:space="0" w:color="000000"/>
            </w:tcBorders>
            <w:vAlign w:val="center"/>
          </w:tcPr>
          <w:p w14:paraId="31641A79" w14:textId="77777777" w:rsidR="00132374" w:rsidRPr="00FD58E2" w:rsidRDefault="00132374" w:rsidP="00DA3FC9">
            <w:pPr>
              <w:widowControl/>
              <w:spacing w:before="20" w:after="20"/>
              <w:ind w:right="111"/>
              <w:jc w:val="right"/>
              <w:textAlignment w:val="baseline"/>
              <w:rPr>
                <w:color w:val="000000"/>
                <w:sz w:val="26"/>
                <w:szCs w:val="26"/>
              </w:rPr>
            </w:pPr>
            <w:r w:rsidRPr="00FD58E2">
              <w:rPr>
                <w:color w:val="000000"/>
                <w:sz w:val="26"/>
                <w:szCs w:val="26"/>
              </w:rPr>
              <w:t>$1,756,574</w:t>
            </w:r>
          </w:p>
        </w:tc>
        <w:tc>
          <w:tcPr>
            <w:tcW w:w="1440" w:type="dxa"/>
            <w:tcBorders>
              <w:top w:val="single" w:sz="5" w:space="0" w:color="000000"/>
              <w:left w:val="single" w:sz="26" w:space="0" w:color="000000"/>
              <w:bottom w:val="single" w:sz="5" w:space="0" w:color="000000"/>
              <w:right w:val="single" w:sz="5" w:space="0" w:color="000000"/>
            </w:tcBorders>
            <w:vAlign w:val="center"/>
          </w:tcPr>
          <w:p w14:paraId="685868B3" w14:textId="77777777" w:rsidR="00132374" w:rsidRPr="00FD58E2" w:rsidRDefault="00132374" w:rsidP="00DA3FC9">
            <w:pPr>
              <w:widowControl/>
              <w:spacing w:before="20" w:after="20"/>
              <w:ind w:right="105"/>
              <w:jc w:val="right"/>
              <w:textAlignment w:val="baseline"/>
              <w:rPr>
                <w:color w:val="000000"/>
                <w:sz w:val="26"/>
                <w:szCs w:val="26"/>
              </w:rPr>
            </w:pPr>
            <w:r w:rsidRPr="00FD58E2">
              <w:rPr>
                <w:color w:val="000000"/>
                <w:sz w:val="26"/>
                <w:szCs w:val="26"/>
              </w:rPr>
              <w:t>12,439,431</w:t>
            </w:r>
          </w:p>
        </w:tc>
        <w:tc>
          <w:tcPr>
            <w:tcW w:w="1037" w:type="dxa"/>
            <w:tcBorders>
              <w:top w:val="single" w:sz="5" w:space="0" w:color="000000"/>
              <w:left w:val="single" w:sz="5" w:space="0" w:color="000000"/>
              <w:bottom w:val="single" w:sz="5" w:space="0" w:color="000000"/>
              <w:right w:val="single" w:sz="5" w:space="0" w:color="000000"/>
            </w:tcBorders>
            <w:vAlign w:val="center"/>
          </w:tcPr>
          <w:p w14:paraId="22B58594" w14:textId="77777777" w:rsidR="00132374" w:rsidRPr="00FD58E2" w:rsidRDefault="00132374" w:rsidP="00DA3FC9">
            <w:pPr>
              <w:widowControl/>
              <w:spacing w:before="20" w:after="20"/>
              <w:ind w:right="105"/>
              <w:jc w:val="right"/>
              <w:textAlignment w:val="baseline"/>
              <w:rPr>
                <w:color w:val="000000"/>
                <w:sz w:val="26"/>
                <w:szCs w:val="26"/>
              </w:rPr>
            </w:pPr>
            <w:r w:rsidRPr="00FD58E2">
              <w:rPr>
                <w:color w:val="000000"/>
                <w:sz w:val="26"/>
                <w:szCs w:val="26"/>
              </w:rPr>
              <w:t>13.80%</w:t>
            </w:r>
          </w:p>
        </w:tc>
        <w:tc>
          <w:tcPr>
            <w:tcW w:w="1440" w:type="dxa"/>
            <w:tcBorders>
              <w:top w:val="single" w:sz="5" w:space="0" w:color="000000"/>
              <w:left w:val="single" w:sz="5" w:space="0" w:color="000000"/>
              <w:bottom w:val="single" w:sz="5" w:space="0" w:color="000000"/>
              <w:right w:val="single" w:sz="5" w:space="0" w:color="000000"/>
            </w:tcBorders>
            <w:vAlign w:val="center"/>
          </w:tcPr>
          <w:p w14:paraId="28D23D7B" w14:textId="77777777" w:rsidR="00132374" w:rsidRPr="00FD58E2" w:rsidRDefault="00132374" w:rsidP="00DA3FC9">
            <w:pPr>
              <w:widowControl/>
              <w:spacing w:before="20" w:after="20"/>
              <w:ind w:right="110"/>
              <w:jc w:val="right"/>
              <w:textAlignment w:val="baseline"/>
              <w:rPr>
                <w:color w:val="000000"/>
                <w:sz w:val="26"/>
                <w:szCs w:val="26"/>
              </w:rPr>
            </w:pPr>
            <w:r w:rsidRPr="00FD58E2">
              <w:rPr>
                <w:color w:val="000000"/>
                <w:sz w:val="26"/>
                <w:szCs w:val="26"/>
              </w:rPr>
              <w:t>$2,586,620</w:t>
            </w:r>
          </w:p>
        </w:tc>
      </w:tr>
      <w:tr w:rsidR="00DA3FC9" w:rsidRPr="00591394" w14:paraId="12897C44" w14:textId="77777777" w:rsidTr="00DA3FC9">
        <w:trPr>
          <w:jc w:val="center"/>
        </w:trPr>
        <w:tc>
          <w:tcPr>
            <w:tcW w:w="1620" w:type="dxa"/>
            <w:tcBorders>
              <w:top w:val="single" w:sz="5" w:space="0" w:color="000000"/>
              <w:left w:val="single" w:sz="5" w:space="0" w:color="000000"/>
              <w:bottom w:val="single" w:sz="5" w:space="0" w:color="000000"/>
              <w:right w:val="single" w:sz="26" w:space="0" w:color="000000"/>
            </w:tcBorders>
            <w:vAlign w:val="center"/>
          </w:tcPr>
          <w:p w14:paraId="6179D127" w14:textId="77777777" w:rsidR="00132374" w:rsidRPr="00FD58E2" w:rsidRDefault="00132374" w:rsidP="00DA3FC9">
            <w:pPr>
              <w:widowControl/>
              <w:spacing w:before="20" w:after="20"/>
              <w:ind w:left="115"/>
              <w:textAlignment w:val="baseline"/>
              <w:rPr>
                <w:color w:val="000000"/>
                <w:sz w:val="26"/>
                <w:szCs w:val="26"/>
              </w:rPr>
            </w:pPr>
            <w:r w:rsidRPr="00FD58E2">
              <w:rPr>
                <w:color w:val="000000"/>
                <w:sz w:val="26"/>
                <w:szCs w:val="26"/>
              </w:rPr>
              <w:t>Downstream Rebates</w:t>
            </w:r>
          </w:p>
        </w:tc>
        <w:tc>
          <w:tcPr>
            <w:tcW w:w="1350" w:type="dxa"/>
            <w:tcBorders>
              <w:top w:val="single" w:sz="5" w:space="0" w:color="000000"/>
              <w:left w:val="single" w:sz="26" w:space="0" w:color="000000"/>
              <w:bottom w:val="single" w:sz="5" w:space="0" w:color="000000"/>
              <w:right w:val="single" w:sz="5" w:space="0" w:color="000000"/>
            </w:tcBorders>
            <w:vAlign w:val="center"/>
          </w:tcPr>
          <w:p w14:paraId="1959A53B" w14:textId="77777777" w:rsidR="00132374" w:rsidRPr="00FD58E2" w:rsidRDefault="00132374" w:rsidP="00DA3FC9">
            <w:pPr>
              <w:widowControl/>
              <w:spacing w:before="20" w:after="20"/>
              <w:ind w:right="106"/>
              <w:jc w:val="right"/>
              <w:textAlignment w:val="baseline"/>
              <w:rPr>
                <w:color w:val="000000"/>
                <w:sz w:val="26"/>
                <w:szCs w:val="26"/>
              </w:rPr>
            </w:pPr>
            <w:r w:rsidRPr="00FD58E2">
              <w:rPr>
                <w:color w:val="000000"/>
                <w:sz w:val="26"/>
                <w:szCs w:val="26"/>
              </w:rPr>
              <w:t>23,698,780</w:t>
            </w:r>
          </w:p>
        </w:tc>
        <w:tc>
          <w:tcPr>
            <w:tcW w:w="1170" w:type="dxa"/>
            <w:tcBorders>
              <w:top w:val="single" w:sz="5" w:space="0" w:color="000000"/>
              <w:left w:val="single" w:sz="5" w:space="0" w:color="000000"/>
              <w:bottom w:val="single" w:sz="5" w:space="0" w:color="000000"/>
              <w:right w:val="single" w:sz="5" w:space="0" w:color="000000"/>
            </w:tcBorders>
            <w:vAlign w:val="center"/>
          </w:tcPr>
          <w:p w14:paraId="1F2476AB" w14:textId="77777777" w:rsidR="00132374" w:rsidRPr="00FD58E2" w:rsidRDefault="00132374" w:rsidP="00DA3FC9">
            <w:pPr>
              <w:widowControl/>
              <w:tabs>
                <w:tab w:val="decimal" w:pos="504"/>
              </w:tabs>
              <w:spacing w:before="20" w:after="20"/>
              <w:textAlignment w:val="baseline"/>
              <w:rPr>
                <w:color w:val="000000"/>
                <w:sz w:val="26"/>
                <w:szCs w:val="26"/>
              </w:rPr>
            </w:pPr>
            <w:r w:rsidRPr="00FD58E2">
              <w:rPr>
                <w:color w:val="000000"/>
                <w:sz w:val="26"/>
                <w:szCs w:val="26"/>
              </w:rPr>
              <w:t>24.67%</w:t>
            </w:r>
          </w:p>
        </w:tc>
        <w:tc>
          <w:tcPr>
            <w:tcW w:w="1530" w:type="dxa"/>
            <w:tcBorders>
              <w:top w:val="single" w:sz="5" w:space="0" w:color="000000"/>
              <w:left w:val="single" w:sz="5" w:space="0" w:color="000000"/>
              <w:bottom w:val="single" w:sz="5" w:space="0" w:color="000000"/>
              <w:right w:val="single" w:sz="26" w:space="0" w:color="000000"/>
            </w:tcBorders>
            <w:vAlign w:val="center"/>
          </w:tcPr>
          <w:p w14:paraId="54E9345E" w14:textId="77777777" w:rsidR="00132374" w:rsidRPr="00FD58E2" w:rsidRDefault="00132374" w:rsidP="00DA3FC9">
            <w:pPr>
              <w:widowControl/>
              <w:spacing w:before="20" w:after="20"/>
              <w:ind w:right="111"/>
              <w:jc w:val="right"/>
              <w:textAlignment w:val="baseline"/>
              <w:rPr>
                <w:color w:val="000000"/>
                <w:sz w:val="26"/>
                <w:szCs w:val="26"/>
              </w:rPr>
            </w:pPr>
            <w:r w:rsidRPr="00FD58E2">
              <w:rPr>
                <w:color w:val="000000"/>
                <w:sz w:val="26"/>
                <w:szCs w:val="26"/>
              </w:rPr>
              <w:t>$5,619,083</w:t>
            </w:r>
          </w:p>
        </w:tc>
        <w:tc>
          <w:tcPr>
            <w:tcW w:w="1440" w:type="dxa"/>
            <w:tcBorders>
              <w:top w:val="single" w:sz="5" w:space="0" w:color="000000"/>
              <w:left w:val="single" w:sz="26" w:space="0" w:color="000000"/>
              <w:bottom w:val="single" w:sz="5" w:space="0" w:color="000000"/>
              <w:right w:val="single" w:sz="5" w:space="0" w:color="000000"/>
            </w:tcBorders>
            <w:vAlign w:val="center"/>
          </w:tcPr>
          <w:p w14:paraId="118AE779" w14:textId="77777777" w:rsidR="00132374" w:rsidRPr="00FD58E2" w:rsidRDefault="00132374" w:rsidP="00DA3FC9">
            <w:pPr>
              <w:widowControl/>
              <w:spacing w:before="20" w:after="20"/>
              <w:ind w:right="105"/>
              <w:jc w:val="right"/>
              <w:textAlignment w:val="baseline"/>
              <w:rPr>
                <w:color w:val="000000"/>
                <w:sz w:val="26"/>
                <w:szCs w:val="26"/>
              </w:rPr>
            </w:pPr>
            <w:r w:rsidRPr="00FD58E2">
              <w:rPr>
                <w:color w:val="000000"/>
                <w:sz w:val="26"/>
                <w:szCs w:val="26"/>
              </w:rPr>
              <w:t>23,698,780</w:t>
            </w:r>
          </w:p>
        </w:tc>
        <w:tc>
          <w:tcPr>
            <w:tcW w:w="1037" w:type="dxa"/>
            <w:tcBorders>
              <w:top w:val="single" w:sz="5" w:space="0" w:color="000000"/>
              <w:left w:val="single" w:sz="5" w:space="0" w:color="000000"/>
              <w:bottom w:val="single" w:sz="5" w:space="0" w:color="000000"/>
              <w:right w:val="single" w:sz="5" w:space="0" w:color="000000"/>
            </w:tcBorders>
            <w:vAlign w:val="center"/>
          </w:tcPr>
          <w:p w14:paraId="18DEC0F6" w14:textId="77777777" w:rsidR="00132374" w:rsidRPr="00FD58E2" w:rsidRDefault="00132374" w:rsidP="00DA3FC9">
            <w:pPr>
              <w:widowControl/>
              <w:spacing w:before="20" w:after="20"/>
              <w:ind w:right="105"/>
              <w:jc w:val="right"/>
              <w:textAlignment w:val="baseline"/>
              <w:rPr>
                <w:color w:val="000000"/>
                <w:sz w:val="26"/>
                <w:szCs w:val="26"/>
              </w:rPr>
            </w:pPr>
            <w:r w:rsidRPr="00FD58E2">
              <w:rPr>
                <w:color w:val="000000"/>
                <w:sz w:val="26"/>
                <w:szCs w:val="26"/>
              </w:rPr>
              <w:t>26.3%</w:t>
            </w:r>
          </w:p>
        </w:tc>
        <w:tc>
          <w:tcPr>
            <w:tcW w:w="1440" w:type="dxa"/>
            <w:tcBorders>
              <w:top w:val="single" w:sz="5" w:space="0" w:color="000000"/>
              <w:left w:val="single" w:sz="5" w:space="0" w:color="000000"/>
              <w:bottom w:val="single" w:sz="5" w:space="0" w:color="000000"/>
              <w:right w:val="single" w:sz="5" w:space="0" w:color="000000"/>
            </w:tcBorders>
            <w:vAlign w:val="center"/>
          </w:tcPr>
          <w:p w14:paraId="349D5318" w14:textId="77777777" w:rsidR="00132374" w:rsidRPr="00FD58E2" w:rsidRDefault="00132374" w:rsidP="00DA3FC9">
            <w:pPr>
              <w:widowControl/>
              <w:spacing w:before="20" w:after="20"/>
              <w:ind w:right="110"/>
              <w:jc w:val="right"/>
              <w:textAlignment w:val="baseline"/>
              <w:rPr>
                <w:color w:val="000000"/>
                <w:sz w:val="26"/>
                <w:szCs w:val="26"/>
              </w:rPr>
            </w:pPr>
            <w:r w:rsidRPr="00FD58E2">
              <w:rPr>
                <w:color w:val="000000"/>
                <w:sz w:val="26"/>
                <w:szCs w:val="26"/>
              </w:rPr>
              <w:t>$5,619,083</w:t>
            </w:r>
          </w:p>
        </w:tc>
      </w:tr>
      <w:tr w:rsidR="00DA3FC9" w:rsidRPr="00591394" w14:paraId="2DF90469" w14:textId="77777777" w:rsidTr="00DA3FC9">
        <w:trPr>
          <w:jc w:val="center"/>
        </w:trPr>
        <w:tc>
          <w:tcPr>
            <w:tcW w:w="1620" w:type="dxa"/>
            <w:tcBorders>
              <w:top w:val="single" w:sz="5" w:space="0" w:color="000000"/>
              <w:left w:val="single" w:sz="5" w:space="0" w:color="000000"/>
              <w:bottom w:val="single" w:sz="5" w:space="0" w:color="000000"/>
              <w:right w:val="single" w:sz="26" w:space="0" w:color="000000"/>
            </w:tcBorders>
            <w:vAlign w:val="center"/>
          </w:tcPr>
          <w:p w14:paraId="3F70E730" w14:textId="77777777" w:rsidR="00132374" w:rsidRPr="00FD58E2" w:rsidRDefault="00132374" w:rsidP="00DA3FC9">
            <w:pPr>
              <w:widowControl/>
              <w:spacing w:before="20" w:after="20"/>
              <w:ind w:left="115"/>
              <w:textAlignment w:val="baseline"/>
              <w:rPr>
                <w:color w:val="000000"/>
                <w:sz w:val="26"/>
                <w:szCs w:val="26"/>
              </w:rPr>
            </w:pPr>
            <w:r w:rsidRPr="00FD58E2">
              <w:rPr>
                <w:color w:val="000000"/>
                <w:sz w:val="26"/>
                <w:szCs w:val="26"/>
              </w:rPr>
              <w:t>Midstream Rebates</w:t>
            </w:r>
          </w:p>
        </w:tc>
        <w:tc>
          <w:tcPr>
            <w:tcW w:w="1350" w:type="dxa"/>
            <w:tcBorders>
              <w:top w:val="single" w:sz="5" w:space="0" w:color="000000"/>
              <w:left w:val="single" w:sz="26" w:space="0" w:color="000000"/>
              <w:bottom w:val="single" w:sz="5" w:space="0" w:color="000000"/>
              <w:right w:val="single" w:sz="5" w:space="0" w:color="000000"/>
            </w:tcBorders>
            <w:vAlign w:val="center"/>
          </w:tcPr>
          <w:p w14:paraId="6961F5E6" w14:textId="77777777" w:rsidR="00132374" w:rsidRPr="00FD58E2" w:rsidRDefault="00132374" w:rsidP="00DA3FC9">
            <w:pPr>
              <w:widowControl/>
              <w:spacing w:before="20" w:after="20"/>
              <w:ind w:right="106"/>
              <w:jc w:val="right"/>
              <w:textAlignment w:val="baseline"/>
              <w:rPr>
                <w:color w:val="000000"/>
                <w:sz w:val="26"/>
                <w:szCs w:val="26"/>
              </w:rPr>
            </w:pPr>
            <w:r w:rsidRPr="00FD58E2">
              <w:rPr>
                <w:color w:val="000000"/>
                <w:sz w:val="26"/>
                <w:szCs w:val="26"/>
              </w:rPr>
              <w:t>596,319</w:t>
            </w:r>
          </w:p>
        </w:tc>
        <w:tc>
          <w:tcPr>
            <w:tcW w:w="1170" w:type="dxa"/>
            <w:tcBorders>
              <w:top w:val="single" w:sz="5" w:space="0" w:color="000000"/>
              <w:left w:val="single" w:sz="5" w:space="0" w:color="000000"/>
              <w:bottom w:val="single" w:sz="5" w:space="0" w:color="000000"/>
              <w:right w:val="single" w:sz="5" w:space="0" w:color="000000"/>
            </w:tcBorders>
            <w:vAlign w:val="center"/>
          </w:tcPr>
          <w:p w14:paraId="6E23741C" w14:textId="77777777" w:rsidR="00132374" w:rsidRPr="00FD58E2" w:rsidRDefault="00132374" w:rsidP="00DA3FC9">
            <w:pPr>
              <w:widowControl/>
              <w:tabs>
                <w:tab w:val="decimal" w:pos="504"/>
              </w:tabs>
              <w:spacing w:before="20" w:after="20"/>
              <w:textAlignment w:val="baseline"/>
              <w:rPr>
                <w:color w:val="000000"/>
                <w:sz w:val="26"/>
                <w:szCs w:val="26"/>
              </w:rPr>
            </w:pPr>
            <w:r w:rsidRPr="00FD58E2">
              <w:rPr>
                <w:color w:val="000000"/>
                <w:sz w:val="26"/>
                <w:szCs w:val="26"/>
              </w:rPr>
              <w:t>0.62%</w:t>
            </w:r>
          </w:p>
        </w:tc>
        <w:tc>
          <w:tcPr>
            <w:tcW w:w="1530" w:type="dxa"/>
            <w:tcBorders>
              <w:top w:val="single" w:sz="5" w:space="0" w:color="000000"/>
              <w:left w:val="single" w:sz="5" w:space="0" w:color="000000"/>
              <w:bottom w:val="single" w:sz="5" w:space="0" w:color="000000"/>
              <w:right w:val="single" w:sz="26" w:space="0" w:color="000000"/>
            </w:tcBorders>
            <w:vAlign w:val="center"/>
          </w:tcPr>
          <w:p w14:paraId="612A442A" w14:textId="77777777" w:rsidR="00132374" w:rsidRPr="00FD58E2" w:rsidRDefault="00132374" w:rsidP="00DA3FC9">
            <w:pPr>
              <w:widowControl/>
              <w:spacing w:before="20" w:after="20"/>
              <w:ind w:right="111"/>
              <w:jc w:val="right"/>
              <w:textAlignment w:val="baseline"/>
              <w:rPr>
                <w:color w:val="000000"/>
                <w:sz w:val="26"/>
                <w:szCs w:val="26"/>
              </w:rPr>
            </w:pPr>
            <w:r w:rsidRPr="00FD58E2">
              <w:rPr>
                <w:color w:val="000000"/>
                <w:sz w:val="26"/>
                <w:szCs w:val="26"/>
              </w:rPr>
              <w:t>$214,043</w:t>
            </w:r>
          </w:p>
        </w:tc>
        <w:tc>
          <w:tcPr>
            <w:tcW w:w="1440" w:type="dxa"/>
            <w:tcBorders>
              <w:top w:val="single" w:sz="5" w:space="0" w:color="000000"/>
              <w:left w:val="single" w:sz="26" w:space="0" w:color="000000"/>
              <w:bottom w:val="single" w:sz="5" w:space="0" w:color="000000"/>
              <w:right w:val="single" w:sz="5" w:space="0" w:color="000000"/>
            </w:tcBorders>
            <w:vAlign w:val="center"/>
          </w:tcPr>
          <w:p w14:paraId="2D85F1F9" w14:textId="77777777" w:rsidR="00132374" w:rsidRPr="00FD58E2" w:rsidRDefault="00132374" w:rsidP="00DA3FC9">
            <w:pPr>
              <w:widowControl/>
              <w:spacing w:before="20" w:after="20"/>
              <w:ind w:right="105"/>
              <w:jc w:val="right"/>
              <w:textAlignment w:val="baseline"/>
              <w:rPr>
                <w:color w:val="000000"/>
                <w:sz w:val="26"/>
                <w:szCs w:val="26"/>
              </w:rPr>
            </w:pPr>
            <w:r w:rsidRPr="00FD58E2">
              <w:rPr>
                <w:color w:val="000000"/>
                <w:sz w:val="26"/>
                <w:szCs w:val="26"/>
              </w:rPr>
              <w:t>596,319</w:t>
            </w:r>
          </w:p>
        </w:tc>
        <w:tc>
          <w:tcPr>
            <w:tcW w:w="1037" w:type="dxa"/>
            <w:tcBorders>
              <w:top w:val="single" w:sz="5" w:space="0" w:color="000000"/>
              <w:left w:val="single" w:sz="5" w:space="0" w:color="000000"/>
              <w:bottom w:val="single" w:sz="5" w:space="0" w:color="000000"/>
              <w:right w:val="single" w:sz="5" w:space="0" w:color="000000"/>
            </w:tcBorders>
            <w:vAlign w:val="center"/>
          </w:tcPr>
          <w:p w14:paraId="06A0BAD2" w14:textId="77777777" w:rsidR="00132374" w:rsidRPr="00FD58E2" w:rsidRDefault="00132374" w:rsidP="00DA3FC9">
            <w:pPr>
              <w:widowControl/>
              <w:spacing w:before="20" w:after="20"/>
              <w:ind w:right="105"/>
              <w:jc w:val="right"/>
              <w:textAlignment w:val="baseline"/>
              <w:rPr>
                <w:color w:val="000000"/>
                <w:sz w:val="26"/>
                <w:szCs w:val="26"/>
              </w:rPr>
            </w:pPr>
            <w:r w:rsidRPr="00FD58E2">
              <w:rPr>
                <w:color w:val="000000"/>
                <w:sz w:val="26"/>
                <w:szCs w:val="26"/>
              </w:rPr>
              <w:t>0.7%</w:t>
            </w:r>
          </w:p>
        </w:tc>
        <w:tc>
          <w:tcPr>
            <w:tcW w:w="1440" w:type="dxa"/>
            <w:tcBorders>
              <w:top w:val="single" w:sz="5" w:space="0" w:color="000000"/>
              <w:left w:val="single" w:sz="5" w:space="0" w:color="000000"/>
              <w:bottom w:val="single" w:sz="5" w:space="0" w:color="000000"/>
              <w:right w:val="single" w:sz="5" w:space="0" w:color="000000"/>
            </w:tcBorders>
            <w:vAlign w:val="center"/>
          </w:tcPr>
          <w:p w14:paraId="5F2BCA34" w14:textId="77777777" w:rsidR="00132374" w:rsidRPr="00FD58E2" w:rsidRDefault="00132374" w:rsidP="00DA3FC9">
            <w:pPr>
              <w:widowControl/>
              <w:spacing w:before="20" w:after="20"/>
              <w:ind w:right="110"/>
              <w:jc w:val="right"/>
              <w:textAlignment w:val="baseline"/>
              <w:rPr>
                <w:color w:val="000000"/>
                <w:sz w:val="26"/>
                <w:szCs w:val="26"/>
              </w:rPr>
            </w:pPr>
            <w:r w:rsidRPr="00FD58E2">
              <w:rPr>
                <w:color w:val="000000"/>
                <w:sz w:val="26"/>
                <w:szCs w:val="26"/>
              </w:rPr>
              <w:t>$214,043</w:t>
            </w:r>
          </w:p>
        </w:tc>
      </w:tr>
      <w:tr w:rsidR="00DA3FC9" w:rsidRPr="00591394" w14:paraId="7E18F44B" w14:textId="77777777" w:rsidTr="00DA3FC9">
        <w:trPr>
          <w:trHeight w:val="411"/>
          <w:jc w:val="center"/>
        </w:trPr>
        <w:tc>
          <w:tcPr>
            <w:tcW w:w="1620" w:type="dxa"/>
            <w:tcBorders>
              <w:top w:val="single" w:sz="5" w:space="0" w:color="000000"/>
              <w:left w:val="single" w:sz="5" w:space="0" w:color="000000"/>
              <w:bottom w:val="single" w:sz="5" w:space="0" w:color="000000"/>
              <w:right w:val="single" w:sz="26" w:space="0" w:color="000000"/>
            </w:tcBorders>
            <w:vAlign w:val="center"/>
          </w:tcPr>
          <w:p w14:paraId="452AE99D" w14:textId="77777777" w:rsidR="00132374" w:rsidRPr="00FD58E2" w:rsidRDefault="00132374" w:rsidP="00DA3FC9">
            <w:pPr>
              <w:widowControl/>
              <w:ind w:left="115"/>
              <w:textAlignment w:val="baseline"/>
              <w:rPr>
                <w:color w:val="000000"/>
                <w:sz w:val="26"/>
                <w:szCs w:val="26"/>
              </w:rPr>
            </w:pPr>
            <w:r w:rsidRPr="00FD58E2">
              <w:rPr>
                <w:color w:val="000000"/>
                <w:sz w:val="26"/>
                <w:szCs w:val="26"/>
              </w:rPr>
              <w:t>Upstream Rebates</w:t>
            </w:r>
          </w:p>
        </w:tc>
        <w:tc>
          <w:tcPr>
            <w:tcW w:w="1350" w:type="dxa"/>
            <w:tcBorders>
              <w:top w:val="single" w:sz="5" w:space="0" w:color="000000"/>
              <w:left w:val="single" w:sz="26" w:space="0" w:color="000000"/>
              <w:bottom w:val="single" w:sz="5" w:space="0" w:color="000000"/>
              <w:right w:val="single" w:sz="5" w:space="0" w:color="000000"/>
            </w:tcBorders>
            <w:vAlign w:val="center"/>
          </w:tcPr>
          <w:p w14:paraId="1A511217" w14:textId="77777777" w:rsidR="00132374" w:rsidRPr="00FD58E2" w:rsidRDefault="00132374" w:rsidP="00DA3FC9">
            <w:pPr>
              <w:widowControl/>
              <w:ind w:right="106"/>
              <w:jc w:val="right"/>
              <w:textAlignment w:val="baseline"/>
              <w:rPr>
                <w:color w:val="000000"/>
                <w:sz w:val="26"/>
                <w:szCs w:val="26"/>
              </w:rPr>
            </w:pPr>
            <w:r w:rsidRPr="00FD58E2">
              <w:rPr>
                <w:color w:val="000000"/>
                <w:sz w:val="26"/>
                <w:szCs w:val="26"/>
              </w:rPr>
              <w:t>13,605,083</w:t>
            </w:r>
          </w:p>
        </w:tc>
        <w:tc>
          <w:tcPr>
            <w:tcW w:w="1170" w:type="dxa"/>
            <w:tcBorders>
              <w:top w:val="single" w:sz="5" w:space="0" w:color="000000"/>
              <w:left w:val="single" w:sz="5" w:space="0" w:color="000000"/>
              <w:bottom w:val="single" w:sz="5" w:space="0" w:color="000000"/>
              <w:right w:val="single" w:sz="5" w:space="0" w:color="000000"/>
            </w:tcBorders>
            <w:vAlign w:val="center"/>
          </w:tcPr>
          <w:p w14:paraId="332FBEF8" w14:textId="77777777" w:rsidR="00132374" w:rsidRPr="00FD58E2" w:rsidRDefault="00132374" w:rsidP="00DA3FC9">
            <w:pPr>
              <w:widowControl/>
              <w:tabs>
                <w:tab w:val="decimal" w:pos="504"/>
              </w:tabs>
              <w:textAlignment w:val="baseline"/>
              <w:rPr>
                <w:color w:val="000000"/>
                <w:sz w:val="26"/>
                <w:szCs w:val="26"/>
              </w:rPr>
            </w:pPr>
            <w:r w:rsidRPr="00FD58E2">
              <w:rPr>
                <w:color w:val="000000"/>
                <w:sz w:val="26"/>
                <w:szCs w:val="26"/>
              </w:rPr>
              <w:t>14.16%</w:t>
            </w:r>
          </w:p>
        </w:tc>
        <w:tc>
          <w:tcPr>
            <w:tcW w:w="1530" w:type="dxa"/>
            <w:tcBorders>
              <w:top w:val="single" w:sz="5" w:space="0" w:color="000000"/>
              <w:left w:val="single" w:sz="5" w:space="0" w:color="000000"/>
              <w:bottom w:val="single" w:sz="5" w:space="0" w:color="000000"/>
              <w:right w:val="single" w:sz="26" w:space="0" w:color="000000"/>
            </w:tcBorders>
            <w:vAlign w:val="center"/>
          </w:tcPr>
          <w:p w14:paraId="49BDF5ED" w14:textId="77777777" w:rsidR="00132374" w:rsidRPr="00FD58E2" w:rsidRDefault="00132374" w:rsidP="00DA3FC9">
            <w:pPr>
              <w:widowControl/>
              <w:ind w:right="111"/>
              <w:jc w:val="right"/>
              <w:textAlignment w:val="baseline"/>
              <w:rPr>
                <w:color w:val="000000"/>
                <w:sz w:val="26"/>
                <w:szCs w:val="26"/>
              </w:rPr>
            </w:pPr>
            <w:r w:rsidRPr="00FD58E2">
              <w:rPr>
                <w:color w:val="000000"/>
                <w:sz w:val="26"/>
                <w:szCs w:val="26"/>
              </w:rPr>
              <w:t>$3,761,058</w:t>
            </w:r>
          </w:p>
        </w:tc>
        <w:tc>
          <w:tcPr>
            <w:tcW w:w="1440" w:type="dxa"/>
            <w:tcBorders>
              <w:top w:val="single" w:sz="5" w:space="0" w:color="000000"/>
              <w:left w:val="single" w:sz="26" w:space="0" w:color="000000"/>
              <w:bottom w:val="single" w:sz="5" w:space="0" w:color="000000"/>
              <w:right w:val="single" w:sz="5" w:space="0" w:color="000000"/>
            </w:tcBorders>
            <w:vAlign w:val="center"/>
          </w:tcPr>
          <w:p w14:paraId="17906A07" w14:textId="77777777" w:rsidR="00132374" w:rsidRPr="00FD58E2" w:rsidRDefault="00132374" w:rsidP="00DA3FC9">
            <w:pPr>
              <w:widowControl/>
              <w:ind w:right="105"/>
              <w:jc w:val="right"/>
              <w:textAlignment w:val="baseline"/>
              <w:rPr>
                <w:color w:val="000000"/>
                <w:sz w:val="26"/>
                <w:szCs w:val="26"/>
              </w:rPr>
            </w:pPr>
            <w:r w:rsidRPr="00FD58E2">
              <w:rPr>
                <w:color w:val="000000"/>
                <w:sz w:val="26"/>
                <w:szCs w:val="26"/>
              </w:rPr>
              <w:t>13,605,083</w:t>
            </w:r>
          </w:p>
        </w:tc>
        <w:tc>
          <w:tcPr>
            <w:tcW w:w="1037" w:type="dxa"/>
            <w:tcBorders>
              <w:top w:val="single" w:sz="5" w:space="0" w:color="000000"/>
              <w:left w:val="single" w:sz="5" w:space="0" w:color="000000"/>
              <w:bottom w:val="single" w:sz="5" w:space="0" w:color="000000"/>
              <w:right w:val="single" w:sz="5" w:space="0" w:color="000000"/>
            </w:tcBorders>
            <w:vAlign w:val="center"/>
          </w:tcPr>
          <w:p w14:paraId="1A405BB9" w14:textId="77777777" w:rsidR="00132374" w:rsidRPr="00FD58E2" w:rsidRDefault="00132374" w:rsidP="00DA3FC9">
            <w:pPr>
              <w:widowControl/>
              <w:ind w:right="105"/>
              <w:jc w:val="right"/>
              <w:textAlignment w:val="baseline"/>
              <w:rPr>
                <w:color w:val="000000"/>
                <w:sz w:val="26"/>
                <w:szCs w:val="26"/>
              </w:rPr>
            </w:pPr>
            <w:r w:rsidRPr="00FD58E2">
              <w:rPr>
                <w:color w:val="000000"/>
                <w:sz w:val="26"/>
                <w:szCs w:val="26"/>
              </w:rPr>
              <w:t>15.1%</w:t>
            </w:r>
          </w:p>
        </w:tc>
        <w:tc>
          <w:tcPr>
            <w:tcW w:w="1440" w:type="dxa"/>
            <w:tcBorders>
              <w:top w:val="single" w:sz="5" w:space="0" w:color="000000"/>
              <w:left w:val="single" w:sz="5" w:space="0" w:color="000000"/>
              <w:bottom w:val="single" w:sz="5" w:space="0" w:color="000000"/>
              <w:right w:val="single" w:sz="5" w:space="0" w:color="000000"/>
            </w:tcBorders>
            <w:vAlign w:val="center"/>
          </w:tcPr>
          <w:p w14:paraId="320B7F21" w14:textId="77777777" w:rsidR="00132374" w:rsidRPr="00FD58E2" w:rsidRDefault="00132374" w:rsidP="00DA3FC9">
            <w:pPr>
              <w:widowControl/>
              <w:ind w:right="110"/>
              <w:jc w:val="right"/>
              <w:textAlignment w:val="baseline"/>
              <w:rPr>
                <w:color w:val="000000"/>
                <w:sz w:val="26"/>
                <w:szCs w:val="26"/>
              </w:rPr>
            </w:pPr>
            <w:r w:rsidRPr="00FD58E2">
              <w:rPr>
                <w:color w:val="000000"/>
                <w:sz w:val="26"/>
                <w:szCs w:val="26"/>
              </w:rPr>
              <w:t>$3,761,058</w:t>
            </w:r>
          </w:p>
        </w:tc>
      </w:tr>
      <w:tr w:rsidR="00DA3FC9" w:rsidRPr="00591394" w14:paraId="05BC0D4E" w14:textId="77777777" w:rsidTr="00DA3FC9">
        <w:trPr>
          <w:jc w:val="center"/>
        </w:trPr>
        <w:tc>
          <w:tcPr>
            <w:tcW w:w="1620" w:type="dxa"/>
            <w:tcBorders>
              <w:top w:val="single" w:sz="5" w:space="0" w:color="000000"/>
              <w:left w:val="single" w:sz="5" w:space="0" w:color="000000"/>
              <w:bottom w:val="single" w:sz="5" w:space="0" w:color="000000"/>
              <w:right w:val="single" w:sz="26" w:space="0" w:color="000000"/>
            </w:tcBorders>
            <w:vAlign w:val="center"/>
          </w:tcPr>
          <w:p w14:paraId="1E60E340" w14:textId="77777777" w:rsidR="00132374" w:rsidRPr="00FD58E2" w:rsidRDefault="00132374" w:rsidP="00DA3FC9">
            <w:pPr>
              <w:widowControl/>
              <w:ind w:left="115"/>
              <w:textAlignment w:val="baseline"/>
              <w:rPr>
                <w:color w:val="000000"/>
                <w:sz w:val="26"/>
                <w:szCs w:val="26"/>
              </w:rPr>
            </w:pPr>
            <w:r w:rsidRPr="00FD58E2">
              <w:rPr>
                <w:color w:val="000000"/>
                <w:sz w:val="26"/>
                <w:szCs w:val="26"/>
              </w:rPr>
              <w:t>R-BEEP</w:t>
            </w:r>
          </w:p>
        </w:tc>
        <w:tc>
          <w:tcPr>
            <w:tcW w:w="1350" w:type="dxa"/>
            <w:tcBorders>
              <w:top w:val="single" w:sz="5" w:space="0" w:color="000000"/>
              <w:left w:val="single" w:sz="26" w:space="0" w:color="000000"/>
              <w:bottom w:val="single" w:sz="5" w:space="0" w:color="000000"/>
              <w:right w:val="single" w:sz="5" w:space="0" w:color="000000"/>
            </w:tcBorders>
            <w:vAlign w:val="center"/>
          </w:tcPr>
          <w:p w14:paraId="05FAC76D" w14:textId="77777777" w:rsidR="00132374" w:rsidRPr="00FD58E2" w:rsidRDefault="00132374" w:rsidP="00DA3FC9">
            <w:pPr>
              <w:widowControl/>
              <w:ind w:right="106"/>
              <w:jc w:val="right"/>
              <w:textAlignment w:val="baseline"/>
              <w:rPr>
                <w:color w:val="000000"/>
                <w:sz w:val="26"/>
                <w:szCs w:val="26"/>
              </w:rPr>
            </w:pPr>
            <w:r w:rsidRPr="00FD58E2">
              <w:rPr>
                <w:color w:val="000000"/>
                <w:sz w:val="26"/>
                <w:szCs w:val="26"/>
              </w:rPr>
              <w:t>49,700,000</w:t>
            </w:r>
          </w:p>
        </w:tc>
        <w:tc>
          <w:tcPr>
            <w:tcW w:w="1170" w:type="dxa"/>
            <w:tcBorders>
              <w:top w:val="single" w:sz="5" w:space="0" w:color="000000"/>
              <w:left w:val="single" w:sz="5" w:space="0" w:color="000000"/>
              <w:bottom w:val="single" w:sz="5" w:space="0" w:color="000000"/>
              <w:right w:val="single" w:sz="5" w:space="0" w:color="000000"/>
            </w:tcBorders>
            <w:vAlign w:val="center"/>
          </w:tcPr>
          <w:p w14:paraId="00C1446B" w14:textId="77777777" w:rsidR="00132374" w:rsidRPr="00FD58E2" w:rsidRDefault="00132374" w:rsidP="00DA3FC9">
            <w:pPr>
              <w:widowControl/>
              <w:tabs>
                <w:tab w:val="decimal" w:pos="504"/>
              </w:tabs>
              <w:textAlignment w:val="baseline"/>
              <w:rPr>
                <w:color w:val="000000"/>
                <w:sz w:val="26"/>
                <w:szCs w:val="26"/>
              </w:rPr>
            </w:pPr>
            <w:r w:rsidRPr="00FD58E2">
              <w:rPr>
                <w:color w:val="000000"/>
                <w:sz w:val="26"/>
                <w:szCs w:val="26"/>
              </w:rPr>
              <w:t>51.74%</w:t>
            </w:r>
          </w:p>
        </w:tc>
        <w:tc>
          <w:tcPr>
            <w:tcW w:w="1530" w:type="dxa"/>
            <w:tcBorders>
              <w:top w:val="single" w:sz="5" w:space="0" w:color="000000"/>
              <w:left w:val="single" w:sz="5" w:space="0" w:color="000000"/>
              <w:bottom w:val="single" w:sz="5" w:space="0" w:color="000000"/>
              <w:right w:val="single" w:sz="26" w:space="0" w:color="000000"/>
            </w:tcBorders>
            <w:vAlign w:val="center"/>
          </w:tcPr>
          <w:p w14:paraId="116A699B" w14:textId="77777777" w:rsidR="00132374" w:rsidRPr="00FD58E2" w:rsidRDefault="00132374" w:rsidP="00DA3FC9">
            <w:pPr>
              <w:widowControl/>
              <w:ind w:right="111"/>
              <w:jc w:val="right"/>
              <w:textAlignment w:val="baseline"/>
              <w:rPr>
                <w:color w:val="000000"/>
                <w:sz w:val="26"/>
                <w:szCs w:val="26"/>
              </w:rPr>
            </w:pPr>
            <w:r w:rsidRPr="00FD58E2">
              <w:rPr>
                <w:color w:val="000000"/>
                <w:sz w:val="26"/>
                <w:szCs w:val="26"/>
              </w:rPr>
              <w:t>$4,165,713</w:t>
            </w:r>
          </w:p>
        </w:tc>
        <w:tc>
          <w:tcPr>
            <w:tcW w:w="1440" w:type="dxa"/>
            <w:tcBorders>
              <w:top w:val="single" w:sz="5" w:space="0" w:color="000000"/>
              <w:left w:val="single" w:sz="26" w:space="0" w:color="000000"/>
              <w:bottom w:val="single" w:sz="5" w:space="0" w:color="000000"/>
              <w:right w:val="single" w:sz="5" w:space="0" w:color="000000"/>
            </w:tcBorders>
            <w:vAlign w:val="center"/>
          </w:tcPr>
          <w:p w14:paraId="3A6223A5" w14:textId="77777777" w:rsidR="00132374" w:rsidRPr="00FD58E2" w:rsidRDefault="00132374" w:rsidP="00DA3FC9">
            <w:pPr>
              <w:widowControl/>
              <w:ind w:right="105"/>
              <w:jc w:val="right"/>
              <w:textAlignment w:val="baseline"/>
              <w:rPr>
                <w:color w:val="000000"/>
                <w:sz w:val="26"/>
                <w:szCs w:val="26"/>
              </w:rPr>
            </w:pPr>
            <w:r w:rsidRPr="00FD58E2">
              <w:rPr>
                <w:color w:val="000000"/>
                <w:sz w:val="26"/>
                <w:szCs w:val="26"/>
              </w:rPr>
              <w:t>39,797,494</w:t>
            </w:r>
          </w:p>
        </w:tc>
        <w:tc>
          <w:tcPr>
            <w:tcW w:w="1037" w:type="dxa"/>
            <w:tcBorders>
              <w:top w:val="single" w:sz="5" w:space="0" w:color="000000"/>
              <w:left w:val="single" w:sz="5" w:space="0" w:color="000000"/>
              <w:bottom w:val="single" w:sz="5" w:space="0" w:color="000000"/>
              <w:right w:val="single" w:sz="5" w:space="0" w:color="000000"/>
            </w:tcBorders>
            <w:vAlign w:val="center"/>
          </w:tcPr>
          <w:p w14:paraId="61FE4918" w14:textId="77777777" w:rsidR="00132374" w:rsidRPr="00FD58E2" w:rsidRDefault="00132374" w:rsidP="00DA3FC9">
            <w:pPr>
              <w:widowControl/>
              <w:ind w:right="105"/>
              <w:jc w:val="right"/>
              <w:textAlignment w:val="baseline"/>
              <w:rPr>
                <w:color w:val="000000"/>
                <w:sz w:val="26"/>
                <w:szCs w:val="26"/>
              </w:rPr>
            </w:pPr>
            <w:r w:rsidRPr="00FD58E2">
              <w:rPr>
                <w:color w:val="000000"/>
                <w:sz w:val="26"/>
                <w:szCs w:val="26"/>
              </w:rPr>
              <w:t>44.2%</w:t>
            </w:r>
          </w:p>
        </w:tc>
        <w:tc>
          <w:tcPr>
            <w:tcW w:w="1440" w:type="dxa"/>
            <w:tcBorders>
              <w:top w:val="single" w:sz="5" w:space="0" w:color="000000"/>
              <w:left w:val="single" w:sz="5" w:space="0" w:color="000000"/>
              <w:bottom w:val="single" w:sz="5" w:space="0" w:color="000000"/>
              <w:right w:val="single" w:sz="5" w:space="0" w:color="000000"/>
            </w:tcBorders>
            <w:vAlign w:val="center"/>
          </w:tcPr>
          <w:p w14:paraId="7346FF46" w14:textId="77777777" w:rsidR="00132374" w:rsidRPr="00FD58E2" w:rsidRDefault="00132374" w:rsidP="00DA3FC9">
            <w:pPr>
              <w:widowControl/>
              <w:ind w:right="110"/>
              <w:jc w:val="right"/>
              <w:textAlignment w:val="baseline"/>
              <w:rPr>
                <w:color w:val="000000"/>
                <w:sz w:val="26"/>
                <w:szCs w:val="26"/>
              </w:rPr>
            </w:pPr>
            <w:r w:rsidRPr="00FD58E2">
              <w:rPr>
                <w:color w:val="000000"/>
                <w:sz w:val="26"/>
                <w:szCs w:val="26"/>
              </w:rPr>
              <w:t>$3,335,667</w:t>
            </w:r>
          </w:p>
        </w:tc>
      </w:tr>
      <w:tr w:rsidR="00DA3FC9" w:rsidRPr="00591394" w14:paraId="78A60F63" w14:textId="77777777" w:rsidTr="00DA3FC9">
        <w:trPr>
          <w:jc w:val="center"/>
        </w:trPr>
        <w:tc>
          <w:tcPr>
            <w:tcW w:w="1620" w:type="dxa"/>
            <w:tcBorders>
              <w:top w:val="single" w:sz="5" w:space="0" w:color="000000"/>
              <w:left w:val="single" w:sz="5" w:space="0" w:color="000000"/>
              <w:bottom w:val="single" w:sz="5" w:space="0" w:color="000000"/>
              <w:right w:val="single" w:sz="26" w:space="0" w:color="000000"/>
            </w:tcBorders>
            <w:vAlign w:val="center"/>
          </w:tcPr>
          <w:p w14:paraId="1A5719F8" w14:textId="77777777" w:rsidR="00132374" w:rsidRPr="00FD58E2" w:rsidRDefault="00132374" w:rsidP="00DA3FC9">
            <w:pPr>
              <w:widowControl/>
              <w:ind w:left="115"/>
              <w:textAlignment w:val="baseline"/>
              <w:rPr>
                <w:color w:val="000000"/>
                <w:sz w:val="26"/>
                <w:szCs w:val="26"/>
              </w:rPr>
            </w:pPr>
            <w:r w:rsidRPr="00FD58E2">
              <w:rPr>
                <w:color w:val="000000"/>
                <w:sz w:val="26"/>
                <w:szCs w:val="26"/>
              </w:rPr>
              <w:t>Total</w:t>
            </w:r>
          </w:p>
        </w:tc>
        <w:tc>
          <w:tcPr>
            <w:tcW w:w="1350" w:type="dxa"/>
            <w:tcBorders>
              <w:top w:val="single" w:sz="5" w:space="0" w:color="000000"/>
              <w:left w:val="single" w:sz="26" w:space="0" w:color="000000"/>
              <w:bottom w:val="single" w:sz="5" w:space="0" w:color="000000"/>
              <w:right w:val="single" w:sz="5" w:space="0" w:color="000000"/>
            </w:tcBorders>
            <w:vAlign w:val="center"/>
          </w:tcPr>
          <w:p w14:paraId="1A8BEE27" w14:textId="77777777" w:rsidR="00132374" w:rsidRPr="00FD58E2" w:rsidRDefault="00132374" w:rsidP="00DA3FC9">
            <w:pPr>
              <w:widowControl/>
              <w:ind w:right="106"/>
              <w:jc w:val="right"/>
              <w:textAlignment w:val="baseline"/>
              <w:rPr>
                <w:color w:val="000000"/>
                <w:sz w:val="26"/>
                <w:szCs w:val="26"/>
              </w:rPr>
            </w:pPr>
            <w:r w:rsidRPr="00FD58E2">
              <w:rPr>
                <w:color w:val="000000"/>
                <w:sz w:val="26"/>
                <w:szCs w:val="26"/>
              </w:rPr>
              <w:t>96,047,953</w:t>
            </w:r>
          </w:p>
        </w:tc>
        <w:tc>
          <w:tcPr>
            <w:tcW w:w="1170" w:type="dxa"/>
            <w:tcBorders>
              <w:top w:val="single" w:sz="5" w:space="0" w:color="000000"/>
              <w:left w:val="single" w:sz="5" w:space="0" w:color="000000"/>
              <w:bottom w:val="single" w:sz="5" w:space="0" w:color="000000"/>
              <w:right w:val="single" w:sz="5" w:space="0" w:color="000000"/>
            </w:tcBorders>
            <w:vAlign w:val="center"/>
          </w:tcPr>
          <w:p w14:paraId="053C0458" w14:textId="77777777" w:rsidR="00132374" w:rsidRPr="00FD58E2" w:rsidRDefault="00132374" w:rsidP="00DA3FC9">
            <w:pPr>
              <w:widowControl/>
              <w:tabs>
                <w:tab w:val="decimal" w:pos="504"/>
              </w:tabs>
              <w:textAlignment w:val="baseline"/>
              <w:rPr>
                <w:color w:val="000000"/>
                <w:sz w:val="26"/>
                <w:szCs w:val="26"/>
              </w:rPr>
            </w:pPr>
            <w:r w:rsidRPr="00FD58E2">
              <w:rPr>
                <w:color w:val="000000"/>
                <w:sz w:val="26"/>
                <w:szCs w:val="26"/>
              </w:rPr>
              <w:t>100.00%</w:t>
            </w:r>
          </w:p>
        </w:tc>
        <w:tc>
          <w:tcPr>
            <w:tcW w:w="1530" w:type="dxa"/>
            <w:tcBorders>
              <w:top w:val="single" w:sz="5" w:space="0" w:color="000000"/>
              <w:left w:val="single" w:sz="5" w:space="0" w:color="000000"/>
              <w:bottom w:val="single" w:sz="5" w:space="0" w:color="000000"/>
              <w:right w:val="single" w:sz="26" w:space="0" w:color="000000"/>
            </w:tcBorders>
            <w:vAlign w:val="center"/>
          </w:tcPr>
          <w:p w14:paraId="6A7F63F5" w14:textId="77777777" w:rsidR="00132374" w:rsidRPr="00FD58E2" w:rsidRDefault="00132374" w:rsidP="00DA3FC9">
            <w:pPr>
              <w:widowControl/>
              <w:ind w:right="111"/>
              <w:jc w:val="right"/>
              <w:textAlignment w:val="baseline"/>
              <w:rPr>
                <w:color w:val="000000"/>
                <w:sz w:val="26"/>
                <w:szCs w:val="26"/>
              </w:rPr>
            </w:pPr>
            <w:r w:rsidRPr="00FD58E2">
              <w:rPr>
                <w:color w:val="000000"/>
                <w:sz w:val="26"/>
                <w:szCs w:val="26"/>
              </w:rPr>
              <w:t>$15,516,471</w:t>
            </w:r>
          </w:p>
        </w:tc>
        <w:tc>
          <w:tcPr>
            <w:tcW w:w="1440" w:type="dxa"/>
            <w:tcBorders>
              <w:top w:val="single" w:sz="5" w:space="0" w:color="000000"/>
              <w:left w:val="single" w:sz="26" w:space="0" w:color="000000"/>
              <w:bottom w:val="single" w:sz="5" w:space="0" w:color="000000"/>
              <w:right w:val="single" w:sz="5" w:space="0" w:color="000000"/>
            </w:tcBorders>
            <w:vAlign w:val="center"/>
          </w:tcPr>
          <w:p w14:paraId="342A8C7D" w14:textId="77777777" w:rsidR="00132374" w:rsidRPr="00FD58E2" w:rsidRDefault="00132374" w:rsidP="00DA3FC9">
            <w:pPr>
              <w:widowControl/>
              <w:ind w:right="105"/>
              <w:jc w:val="right"/>
              <w:textAlignment w:val="baseline"/>
              <w:rPr>
                <w:color w:val="000000"/>
                <w:sz w:val="26"/>
                <w:szCs w:val="26"/>
              </w:rPr>
            </w:pPr>
            <w:r w:rsidRPr="00FD58E2">
              <w:rPr>
                <w:color w:val="000000"/>
                <w:sz w:val="26"/>
                <w:szCs w:val="26"/>
              </w:rPr>
              <w:t>90,137,107</w:t>
            </w:r>
          </w:p>
        </w:tc>
        <w:tc>
          <w:tcPr>
            <w:tcW w:w="1037" w:type="dxa"/>
            <w:tcBorders>
              <w:top w:val="single" w:sz="5" w:space="0" w:color="000000"/>
              <w:left w:val="single" w:sz="5" w:space="0" w:color="000000"/>
              <w:bottom w:val="single" w:sz="5" w:space="0" w:color="000000"/>
              <w:right w:val="single" w:sz="5" w:space="0" w:color="000000"/>
            </w:tcBorders>
            <w:vAlign w:val="center"/>
          </w:tcPr>
          <w:p w14:paraId="5F5C731F" w14:textId="77777777" w:rsidR="00132374" w:rsidRPr="00FD58E2" w:rsidRDefault="00132374" w:rsidP="00DA3FC9">
            <w:pPr>
              <w:widowControl/>
              <w:ind w:right="105"/>
              <w:jc w:val="right"/>
              <w:textAlignment w:val="baseline"/>
              <w:rPr>
                <w:color w:val="000000"/>
                <w:sz w:val="26"/>
                <w:szCs w:val="26"/>
              </w:rPr>
            </w:pPr>
            <w:r w:rsidRPr="00FD58E2">
              <w:rPr>
                <w:color w:val="000000"/>
                <w:sz w:val="26"/>
                <w:szCs w:val="26"/>
              </w:rPr>
              <w:t>100.0%</w:t>
            </w:r>
          </w:p>
        </w:tc>
        <w:tc>
          <w:tcPr>
            <w:tcW w:w="1440" w:type="dxa"/>
            <w:tcBorders>
              <w:top w:val="single" w:sz="5" w:space="0" w:color="000000"/>
              <w:left w:val="single" w:sz="5" w:space="0" w:color="000000"/>
              <w:bottom w:val="single" w:sz="5" w:space="0" w:color="000000"/>
              <w:right w:val="single" w:sz="5" w:space="0" w:color="000000"/>
            </w:tcBorders>
            <w:vAlign w:val="center"/>
          </w:tcPr>
          <w:p w14:paraId="78B952B0" w14:textId="77777777" w:rsidR="00132374" w:rsidRPr="00FD58E2" w:rsidRDefault="00132374" w:rsidP="00DA3FC9">
            <w:pPr>
              <w:widowControl/>
              <w:ind w:right="110"/>
              <w:jc w:val="right"/>
              <w:textAlignment w:val="baseline"/>
              <w:rPr>
                <w:color w:val="000000"/>
                <w:sz w:val="26"/>
                <w:szCs w:val="26"/>
              </w:rPr>
            </w:pPr>
            <w:r w:rsidRPr="00FD58E2">
              <w:rPr>
                <w:color w:val="000000"/>
                <w:sz w:val="26"/>
                <w:szCs w:val="26"/>
              </w:rPr>
              <w:t>$15,516,471</w:t>
            </w:r>
          </w:p>
        </w:tc>
      </w:tr>
    </w:tbl>
    <w:p w14:paraId="15A94712" w14:textId="77777777" w:rsidR="00132374" w:rsidRPr="00591394" w:rsidRDefault="00132374" w:rsidP="00C6113D">
      <w:pPr>
        <w:widowControl/>
        <w:spacing w:after="259" w:line="20" w:lineRule="exact"/>
        <w:rPr>
          <w:sz w:val="26"/>
          <w:szCs w:val="26"/>
        </w:rPr>
      </w:pPr>
    </w:p>
    <w:p w14:paraId="7731167D" w14:textId="77777777" w:rsidR="00BC45FA" w:rsidRPr="00591394" w:rsidRDefault="00BC45FA" w:rsidP="00C6113D">
      <w:pPr>
        <w:pStyle w:val="ListParagraph"/>
        <w:widowControl/>
        <w:rPr>
          <w:rFonts w:eastAsia="Calibri"/>
          <w:color w:val="000000"/>
          <w:sz w:val="26"/>
          <w:szCs w:val="26"/>
        </w:rPr>
      </w:pPr>
    </w:p>
    <w:p w14:paraId="3138BA37" w14:textId="77556163" w:rsidR="00BC45FA" w:rsidRPr="00591394" w:rsidRDefault="00BC45FA" w:rsidP="00C6113D">
      <w:pPr>
        <w:pStyle w:val="ListParagraph"/>
        <w:widowControl/>
        <w:numPr>
          <w:ilvl w:val="0"/>
          <w:numId w:val="15"/>
        </w:numPr>
        <w:tabs>
          <w:tab w:val="clear" w:pos="720"/>
        </w:tabs>
        <w:ind w:left="1440" w:right="1440"/>
        <w:rPr>
          <w:rFonts w:eastAsia="Calibri"/>
          <w:color w:val="000000"/>
          <w:sz w:val="26"/>
          <w:szCs w:val="26"/>
        </w:rPr>
      </w:pPr>
      <w:r w:rsidRPr="00591394">
        <w:rPr>
          <w:rFonts w:eastAsia="Calibri"/>
          <w:color w:val="000000"/>
          <w:sz w:val="26"/>
          <w:szCs w:val="26"/>
        </w:rPr>
        <w:t xml:space="preserve">Duquesne Light will invest a portion of the 2% of costs allocated for its Pilot Program to explore measures for the residential sector that are reasonably cost-effective, achievable, implementable, and allowable under applicable law and Commission directives. Duquesne Light will hold at least one stakeholder meeting in the first program year of Phase IV, and additional meeting(s) as warranted, to discuss potential new measures and associated budgets, which may include residential fuel-switching, for low income and non-low income residential customers. Duquesne Light shall </w:t>
      </w:r>
      <w:r w:rsidRPr="00591394">
        <w:rPr>
          <w:rFonts w:eastAsia="Calibri"/>
          <w:color w:val="000000"/>
          <w:sz w:val="26"/>
          <w:szCs w:val="26"/>
        </w:rPr>
        <w:lastRenderedPageBreak/>
        <w:t>identify measures to be implemented through the Pilot Program by the end of Program Year 14, and shall implement such measures at full scale before the end of Phase IV, to the extent such measures remain reasonably cost-effective, achievable, implementable, and allowable under applicable law and Commission directives.</w:t>
      </w:r>
    </w:p>
    <w:p w14:paraId="218601B6" w14:textId="77777777" w:rsidR="004D6AE6" w:rsidRPr="00591394" w:rsidRDefault="004D6AE6" w:rsidP="00C6113D">
      <w:pPr>
        <w:pStyle w:val="ListParagraph"/>
        <w:widowControl/>
        <w:tabs>
          <w:tab w:val="left" w:pos="720"/>
        </w:tabs>
        <w:ind w:left="1440" w:right="1440"/>
        <w:rPr>
          <w:rFonts w:eastAsia="Calibri"/>
          <w:color w:val="000000"/>
          <w:sz w:val="26"/>
          <w:szCs w:val="26"/>
        </w:rPr>
      </w:pPr>
    </w:p>
    <w:p w14:paraId="14C50E08" w14:textId="25932B6A" w:rsidR="00BC45FA" w:rsidRPr="00591394" w:rsidRDefault="00BC45FA" w:rsidP="00C6113D">
      <w:pPr>
        <w:pStyle w:val="ListParagraph"/>
        <w:widowControl/>
        <w:numPr>
          <w:ilvl w:val="0"/>
          <w:numId w:val="16"/>
        </w:numPr>
        <w:tabs>
          <w:tab w:val="clear" w:pos="720"/>
        </w:tabs>
        <w:ind w:left="1440" w:right="1440"/>
        <w:rPr>
          <w:rFonts w:eastAsia="Calibri"/>
          <w:color w:val="000000"/>
          <w:sz w:val="26"/>
          <w:szCs w:val="26"/>
        </w:rPr>
      </w:pPr>
      <w:r w:rsidRPr="00591394">
        <w:rPr>
          <w:rFonts w:eastAsia="Calibri"/>
          <w:color w:val="000000"/>
          <w:sz w:val="26"/>
          <w:szCs w:val="26"/>
        </w:rPr>
        <w:t>Duquesne Light agrees that delivery year 2025/2026 shall be the first delivery year for which it may bid peak demand savings into the PJM Forward Capacity Market (“FCM”).</w:t>
      </w:r>
    </w:p>
    <w:p w14:paraId="19F536C9" w14:textId="77777777" w:rsidR="00EA2824" w:rsidRPr="00591394" w:rsidRDefault="00EA2824" w:rsidP="00C6113D">
      <w:pPr>
        <w:pStyle w:val="ListParagraph"/>
        <w:widowControl/>
        <w:ind w:left="1440" w:right="1440"/>
        <w:rPr>
          <w:rFonts w:eastAsia="Calibri"/>
          <w:color w:val="000000"/>
          <w:sz w:val="26"/>
          <w:szCs w:val="26"/>
        </w:rPr>
      </w:pPr>
    </w:p>
    <w:p w14:paraId="66B805F9" w14:textId="6F43761D" w:rsidR="00BC45FA" w:rsidRPr="00591394" w:rsidRDefault="00BC45FA" w:rsidP="00C6113D">
      <w:pPr>
        <w:pStyle w:val="ListParagraph"/>
        <w:widowControl/>
        <w:numPr>
          <w:ilvl w:val="0"/>
          <w:numId w:val="16"/>
        </w:numPr>
        <w:tabs>
          <w:tab w:val="clear" w:pos="720"/>
        </w:tabs>
        <w:ind w:left="1440" w:right="1440"/>
        <w:rPr>
          <w:rFonts w:eastAsia="Calibri"/>
          <w:color w:val="000000"/>
          <w:sz w:val="26"/>
          <w:szCs w:val="26"/>
        </w:rPr>
      </w:pPr>
      <w:r w:rsidRPr="00591394">
        <w:rPr>
          <w:rFonts w:eastAsia="Calibri"/>
          <w:color w:val="000000"/>
          <w:sz w:val="26"/>
          <w:szCs w:val="26"/>
        </w:rPr>
        <w:t>Duquesne Light will only bid those nonresidential peak demand savings that, in its judgment, are among the lowest risk of yielding a PJM penalty. Duquesne Light currently anticipates that such peak demand savings will result from nonresidential interior lighting measures. Duquesne Light shall not bid residential peak demand savings into the FCM.</w:t>
      </w:r>
    </w:p>
    <w:p w14:paraId="0A17201D" w14:textId="77777777" w:rsidR="00EA2824" w:rsidRPr="00591394" w:rsidRDefault="00EA2824" w:rsidP="00C6113D">
      <w:pPr>
        <w:pStyle w:val="ListParagraph"/>
        <w:widowControl/>
        <w:ind w:left="1440" w:right="1440"/>
        <w:rPr>
          <w:rFonts w:eastAsia="Calibri"/>
          <w:color w:val="000000"/>
          <w:sz w:val="26"/>
          <w:szCs w:val="26"/>
        </w:rPr>
      </w:pPr>
    </w:p>
    <w:p w14:paraId="3CC9FCB8" w14:textId="69D2BF49" w:rsidR="00BC45FA" w:rsidRPr="00591394" w:rsidRDefault="00BC45FA" w:rsidP="00C6113D">
      <w:pPr>
        <w:pStyle w:val="ListParagraph"/>
        <w:widowControl/>
        <w:numPr>
          <w:ilvl w:val="0"/>
          <w:numId w:val="16"/>
        </w:numPr>
        <w:tabs>
          <w:tab w:val="clear" w:pos="720"/>
        </w:tabs>
        <w:ind w:left="1440" w:right="1440"/>
        <w:rPr>
          <w:rFonts w:eastAsia="Calibri"/>
          <w:color w:val="000000"/>
          <w:sz w:val="26"/>
          <w:szCs w:val="26"/>
        </w:rPr>
      </w:pPr>
      <w:r w:rsidRPr="00591394">
        <w:rPr>
          <w:rFonts w:eastAsia="Calibri"/>
          <w:color w:val="000000"/>
          <w:sz w:val="26"/>
          <w:szCs w:val="26"/>
        </w:rPr>
        <w:t>Duquesne Light will allocate proceeds and penalties associated with FCM as described in Section 7.7 of the Phase IV Plan.</w:t>
      </w:r>
    </w:p>
    <w:p w14:paraId="55013F44" w14:textId="77777777" w:rsidR="00EA2824" w:rsidRPr="00591394" w:rsidRDefault="00EA2824" w:rsidP="00C6113D">
      <w:pPr>
        <w:pStyle w:val="ListParagraph"/>
        <w:widowControl/>
        <w:ind w:left="1440" w:right="1440"/>
        <w:rPr>
          <w:rFonts w:eastAsia="Calibri"/>
          <w:color w:val="000000"/>
          <w:sz w:val="26"/>
          <w:szCs w:val="26"/>
        </w:rPr>
      </w:pPr>
    </w:p>
    <w:p w14:paraId="2BF101D3" w14:textId="2BE4F530" w:rsidR="00BC45FA" w:rsidRPr="00591394" w:rsidRDefault="00BC45FA" w:rsidP="00C6113D">
      <w:pPr>
        <w:pStyle w:val="ListParagraph"/>
        <w:widowControl/>
        <w:numPr>
          <w:ilvl w:val="0"/>
          <w:numId w:val="16"/>
        </w:numPr>
        <w:tabs>
          <w:tab w:val="clear" w:pos="720"/>
        </w:tabs>
        <w:ind w:left="1440" w:right="1440"/>
        <w:rPr>
          <w:rFonts w:eastAsia="Calibri"/>
          <w:color w:val="000000"/>
          <w:sz w:val="26"/>
          <w:szCs w:val="26"/>
        </w:rPr>
      </w:pPr>
      <w:r w:rsidRPr="00591394">
        <w:rPr>
          <w:rFonts w:eastAsia="Calibri"/>
          <w:color w:val="000000"/>
          <w:sz w:val="26"/>
          <w:szCs w:val="26"/>
        </w:rPr>
        <w:t>Duquesne Light will include a FCM component in Rider 15A of its retail tariff as depicted in Exhibit DBO-1R to Duquesne Light Statement No. 2-R.</w:t>
      </w:r>
    </w:p>
    <w:p w14:paraId="099EF1FB" w14:textId="77777777" w:rsidR="00EA2824" w:rsidRPr="00591394" w:rsidRDefault="00EA2824" w:rsidP="00C6113D">
      <w:pPr>
        <w:widowControl/>
        <w:ind w:left="1440" w:right="1440"/>
        <w:rPr>
          <w:rFonts w:eastAsia="Calibri"/>
          <w:color w:val="000000"/>
          <w:sz w:val="26"/>
          <w:szCs w:val="26"/>
        </w:rPr>
      </w:pPr>
    </w:p>
    <w:p w14:paraId="57DFD378" w14:textId="16BA33C5" w:rsidR="00BC45FA" w:rsidRPr="00591394" w:rsidRDefault="00BC45FA" w:rsidP="00C6113D">
      <w:pPr>
        <w:pStyle w:val="ListParagraph"/>
        <w:widowControl/>
        <w:numPr>
          <w:ilvl w:val="0"/>
          <w:numId w:val="16"/>
        </w:numPr>
        <w:tabs>
          <w:tab w:val="clear" w:pos="720"/>
        </w:tabs>
        <w:ind w:left="1440" w:right="1440"/>
        <w:rPr>
          <w:rFonts w:eastAsia="Calibri"/>
          <w:color w:val="000000"/>
          <w:sz w:val="26"/>
          <w:szCs w:val="26"/>
        </w:rPr>
      </w:pPr>
      <w:r w:rsidRPr="00591394">
        <w:rPr>
          <w:rFonts w:eastAsia="Calibri"/>
          <w:color w:val="000000"/>
          <w:sz w:val="26"/>
          <w:szCs w:val="26"/>
        </w:rPr>
        <w:t xml:space="preserve">Duquesne Light shall separately track Phase III costs incurred after </w:t>
      </w:r>
      <w:proofErr w:type="gramStart"/>
      <w:r w:rsidRPr="00591394">
        <w:rPr>
          <w:rFonts w:eastAsia="Calibri"/>
          <w:color w:val="000000"/>
          <w:sz w:val="26"/>
          <w:szCs w:val="26"/>
        </w:rPr>
        <w:t>June 1, 2021, and</w:t>
      </w:r>
      <w:proofErr w:type="gramEnd"/>
      <w:r w:rsidRPr="00591394">
        <w:rPr>
          <w:rFonts w:eastAsia="Calibri"/>
          <w:color w:val="000000"/>
          <w:sz w:val="26"/>
          <w:szCs w:val="26"/>
        </w:rPr>
        <w:t xml:space="preserve"> shall report such costs as separate line items in its 1307(e) EEC surcharge reconciliations.</w:t>
      </w:r>
    </w:p>
    <w:p w14:paraId="1C076869" w14:textId="77777777" w:rsidR="00EA2824" w:rsidRPr="00591394" w:rsidRDefault="00EA2824" w:rsidP="00C6113D">
      <w:pPr>
        <w:pStyle w:val="ListParagraph"/>
        <w:widowControl/>
        <w:ind w:left="1440" w:right="1440"/>
        <w:rPr>
          <w:rFonts w:eastAsia="Calibri"/>
          <w:color w:val="000000"/>
          <w:sz w:val="26"/>
          <w:szCs w:val="26"/>
        </w:rPr>
      </w:pPr>
    </w:p>
    <w:p w14:paraId="40C077F0" w14:textId="177E8F16" w:rsidR="00BC45FA" w:rsidRPr="00591394" w:rsidRDefault="00BC45FA" w:rsidP="00C6113D">
      <w:pPr>
        <w:pStyle w:val="ListParagraph"/>
        <w:keepNext/>
        <w:widowControl/>
        <w:numPr>
          <w:ilvl w:val="0"/>
          <w:numId w:val="16"/>
        </w:numPr>
        <w:tabs>
          <w:tab w:val="clear" w:pos="720"/>
        </w:tabs>
        <w:ind w:left="1440" w:right="1440"/>
        <w:rPr>
          <w:rFonts w:eastAsia="Calibri"/>
          <w:color w:val="000000"/>
          <w:sz w:val="26"/>
          <w:szCs w:val="26"/>
        </w:rPr>
      </w:pPr>
      <w:r w:rsidRPr="00591394">
        <w:rPr>
          <w:rFonts w:eastAsia="Calibri"/>
          <w:color w:val="000000"/>
          <w:sz w:val="26"/>
          <w:szCs w:val="26"/>
        </w:rPr>
        <w:t xml:space="preserve">Duquesne Light shall separately track any proceeds and penalties associated with FCM </w:t>
      </w:r>
      <w:proofErr w:type="gramStart"/>
      <w:r w:rsidRPr="00591394">
        <w:rPr>
          <w:rFonts w:eastAsia="Calibri"/>
          <w:color w:val="000000"/>
          <w:sz w:val="26"/>
          <w:szCs w:val="26"/>
        </w:rPr>
        <w:t>participation, and</w:t>
      </w:r>
      <w:proofErr w:type="gramEnd"/>
      <w:r w:rsidRPr="00591394">
        <w:rPr>
          <w:rFonts w:eastAsia="Calibri"/>
          <w:color w:val="000000"/>
          <w:sz w:val="26"/>
          <w:szCs w:val="26"/>
        </w:rPr>
        <w:t xml:space="preserve"> shall report such proceeds/penalties as separate line items in its 1307(e) EEC surcharge reconciliations.</w:t>
      </w:r>
    </w:p>
    <w:p w14:paraId="54FB806B" w14:textId="77777777" w:rsidR="009173D4" w:rsidRPr="00591394" w:rsidRDefault="009173D4" w:rsidP="00B91F2F">
      <w:pPr>
        <w:pStyle w:val="ListParagraph"/>
        <w:keepNext/>
        <w:widowControl/>
        <w:spacing w:line="360" w:lineRule="auto"/>
        <w:ind w:left="86"/>
        <w:rPr>
          <w:rFonts w:eastAsia="Calibri"/>
          <w:color w:val="000000"/>
          <w:sz w:val="26"/>
          <w:szCs w:val="26"/>
        </w:rPr>
      </w:pPr>
    </w:p>
    <w:p w14:paraId="4F7A78F7" w14:textId="44962B88" w:rsidR="009173D4" w:rsidRPr="00591394" w:rsidRDefault="009173D4" w:rsidP="00C6113D">
      <w:pPr>
        <w:pStyle w:val="ListParagraph"/>
        <w:keepNext/>
        <w:widowControl/>
        <w:spacing w:line="360" w:lineRule="auto"/>
        <w:ind w:left="90"/>
        <w:rPr>
          <w:rFonts w:eastAsia="Calibri"/>
          <w:color w:val="000000"/>
          <w:sz w:val="26"/>
          <w:szCs w:val="26"/>
        </w:rPr>
      </w:pPr>
      <w:r w:rsidRPr="00591394">
        <w:rPr>
          <w:rFonts w:eastAsia="Calibri"/>
          <w:color w:val="000000"/>
          <w:sz w:val="26"/>
          <w:szCs w:val="26"/>
        </w:rPr>
        <w:t>Settlement at 6-</w:t>
      </w:r>
      <w:r w:rsidR="00DE15B6" w:rsidRPr="00591394">
        <w:rPr>
          <w:rFonts w:eastAsia="Calibri"/>
          <w:color w:val="000000"/>
          <w:sz w:val="26"/>
          <w:szCs w:val="26"/>
        </w:rPr>
        <w:t>9</w:t>
      </w:r>
      <w:r w:rsidRPr="00591394">
        <w:rPr>
          <w:rFonts w:eastAsia="Calibri"/>
          <w:color w:val="000000"/>
          <w:sz w:val="26"/>
          <w:szCs w:val="26"/>
        </w:rPr>
        <w:t>.</w:t>
      </w:r>
    </w:p>
    <w:p w14:paraId="287F6B62" w14:textId="77777777" w:rsidR="009173D4" w:rsidRPr="00591394" w:rsidRDefault="009173D4" w:rsidP="00C6113D">
      <w:pPr>
        <w:pStyle w:val="ListParagraph"/>
        <w:widowControl/>
        <w:spacing w:line="360" w:lineRule="auto"/>
        <w:ind w:left="90"/>
        <w:rPr>
          <w:rFonts w:eastAsia="Calibri"/>
          <w:color w:val="000000"/>
          <w:sz w:val="26"/>
          <w:szCs w:val="26"/>
        </w:rPr>
      </w:pPr>
    </w:p>
    <w:p w14:paraId="3B47454D" w14:textId="58B0439E" w:rsidR="006819A2" w:rsidRPr="00591394" w:rsidRDefault="009173D4" w:rsidP="00C6113D">
      <w:pPr>
        <w:pStyle w:val="ListParagraph"/>
        <w:widowControl/>
        <w:spacing w:line="360" w:lineRule="auto"/>
        <w:ind w:left="86"/>
        <w:rPr>
          <w:rFonts w:eastAsia="Calibri"/>
          <w:color w:val="000000"/>
          <w:sz w:val="26"/>
          <w:szCs w:val="26"/>
        </w:rPr>
      </w:pPr>
      <w:r w:rsidRPr="00591394">
        <w:rPr>
          <w:rFonts w:eastAsia="Calibri"/>
          <w:color w:val="000000"/>
          <w:sz w:val="26"/>
          <w:szCs w:val="26"/>
        </w:rPr>
        <w:lastRenderedPageBreak/>
        <w:tab/>
      </w:r>
      <w:r w:rsidRPr="00591394">
        <w:rPr>
          <w:rFonts w:eastAsia="Calibri"/>
          <w:color w:val="000000"/>
          <w:sz w:val="26"/>
          <w:szCs w:val="26"/>
        </w:rPr>
        <w:tab/>
        <w:t>In addition</w:t>
      </w:r>
      <w:r w:rsidR="004D5E37" w:rsidRPr="00591394">
        <w:rPr>
          <w:rFonts w:eastAsia="Calibri"/>
          <w:color w:val="000000"/>
          <w:sz w:val="26"/>
          <w:szCs w:val="26"/>
        </w:rPr>
        <w:t xml:space="preserve"> to the specific terms to which the </w:t>
      </w:r>
      <w:r w:rsidRPr="00591394">
        <w:rPr>
          <w:rFonts w:eastAsia="Calibri"/>
          <w:color w:val="000000"/>
          <w:sz w:val="26"/>
          <w:szCs w:val="26"/>
        </w:rPr>
        <w:t xml:space="preserve">Joint Petitioners </w:t>
      </w:r>
      <w:r w:rsidR="004D5E37" w:rsidRPr="00591394">
        <w:rPr>
          <w:rFonts w:eastAsia="Calibri"/>
          <w:color w:val="000000"/>
          <w:sz w:val="26"/>
          <w:szCs w:val="26"/>
        </w:rPr>
        <w:t xml:space="preserve">have agreed, the Settlement contains certain general, miscellaneous terms. </w:t>
      </w:r>
      <w:r w:rsidR="00FF68AC" w:rsidRPr="00591394">
        <w:rPr>
          <w:rFonts w:eastAsia="Calibri"/>
          <w:color w:val="000000"/>
          <w:sz w:val="26"/>
          <w:szCs w:val="26"/>
        </w:rPr>
        <w:t xml:space="preserve"> </w:t>
      </w:r>
      <w:r w:rsidR="00F7788E" w:rsidRPr="00591394">
        <w:rPr>
          <w:rFonts w:eastAsia="Calibri"/>
          <w:color w:val="000000"/>
          <w:sz w:val="26"/>
          <w:szCs w:val="26"/>
        </w:rPr>
        <w:t xml:space="preserve">The Settlement is conditioned upon the Commission’s approval of the terms and conditions without modification.  The Settlement establishes the procedure by which any of the Joint </w:t>
      </w:r>
      <w:r w:rsidR="008327BA" w:rsidRPr="00591394">
        <w:rPr>
          <w:rFonts w:eastAsia="Calibri"/>
          <w:color w:val="000000"/>
          <w:sz w:val="26"/>
          <w:szCs w:val="26"/>
        </w:rPr>
        <w:t>P</w:t>
      </w:r>
      <w:r w:rsidR="00F7788E" w:rsidRPr="00591394">
        <w:rPr>
          <w:rFonts w:eastAsia="Calibri"/>
          <w:color w:val="000000"/>
          <w:sz w:val="26"/>
          <w:szCs w:val="26"/>
        </w:rPr>
        <w:t>etitioners may withdraw from the Settlement and proceed to litigate this case if the Commission should act to disapprove or modify the Settlement.  Settlement</w:t>
      </w:r>
      <w:r w:rsidR="0082585C" w:rsidRPr="00591394">
        <w:rPr>
          <w:rFonts w:eastAsia="Calibri"/>
          <w:color w:val="000000"/>
          <w:sz w:val="26"/>
          <w:szCs w:val="26"/>
        </w:rPr>
        <w:t xml:space="preserve"> at 1</w:t>
      </w:r>
      <w:r w:rsidR="00652591" w:rsidRPr="00591394">
        <w:rPr>
          <w:rFonts w:eastAsia="Calibri"/>
          <w:color w:val="000000"/>
          <w:sz w:val="26"/>
          <w:szCs w:val="26"/>
        </w:rPr>
        <w:t>0</w:t>
      </w:r>
      <w:r w:rsidR="0082585C" w:rsidRPr="00591394">
        <w:rPr>
          <w:rFonts w:eastAsia="Calibri"/>
          <w:color w:val="000000"/>
          <w:sz w:val="26"/>
          <w:szCs w:val="26"/>
        </w:rPr>
        <w:t>,</w:t>
      </w:r>
      <w:r w:rsidR="00F7788E" w:rsidRPr="00591394">
        <w:rPr>
          <w:rFonts w:eastAsia="Calibri"/>
          <w:color w:val="000000"/>
          <w:sz w:val="26"/>
          <w:szCs w:val="26"/>
        </w:rPr>
        <w:t xml:space="preserve"> ¶ </w:t>
      </w:r>
      <w:r w:rsidR="00652591" w:rsidRPr="00591394">
        <w:rPr>
          <w:rFonts w:eastAsia="Calibri"/>
          <w:color w:val="000000"/>
          <w:sz w:val="26"/>
          <w:szCs w:val="26"/>
        </w:rPr>
        <w:t>50</w:t>
      </w:r>
      <w:r w:rsidR="0082585C" w:rsidRPr="00591394">
        <w:rPr>
          <w:rFonts w:eastAsia="Calibri"/>
          <w:color w:val="000000"/>
          <w:sz w:val="26"/>
          <w:szCs w:val="26"/>
        </w:rPr>
        <w:t>.</w:t>
      </w:r>
      <w:r w:rsidR="00F7788E" w:rsidRPr="00591394">
        <w:rPr>
          <w:rFonts w:eastAsia="Calibri"/>
          <w:color w:val="000000"/>
          <w:sz w:val="26"/>
          <w:szCs w:val="26"/>
        </w:rPr>
        <w:t xml:space="preserve"> In addition, the Settlement states that it does not constitute an admission against, or prejudice to, any position which any Joint Petitioner might adopt during subsequent litigation, including further litigation of this case.  Settlement </w:t>
      </w:r>
      <w:r w:rsidR="0082585C" w:rsidRPr="00591394">
        <w:rPr>
          <w:rFonts w:eastAsia="Calibri"/>
          <w:color w:val="000000"/>
          <w:sz w:val="26"/>
          <w:szCs w:val="26"/>
        </w:rPr>
        <w:t>at 1</w:t>
      </w:r>
      <w:r w:rsidR="00652591" w:rsidRPr="00591394">
        <w:rPr>
          <w:rFonts w:eastAsia="Calibri"/>
          <w:color w:val="000000"/>
          <w:sz w:val="26"/>
          <w:szCs w:val="26"/>
        </w:rPr>
        <w:t>0</w:t>
      </w:r>
      <w:r w:rsidR="0082585C" w:rsidRPr="00591394">
        <w:rPr>
          <w:rFonts w:eastAsia="Calibri"/>
          <w:color w:val="000000"/>
          <w:sz w:val="26"/>
          <w:szCs w:val="26"/>
        </w:rPr>
        <w:t xml:space="preserve">, </w:t>
      </w:r>
      <w:r w:rsidR="00F7788E" w:rsidRPr="00591394">
        <w:rPr>
          <w:rFonts w:eastAsia="Calibri"/>
          <w:color w:val="000000"/>
          <w:sz w:val="26"/>
          <w:szCs w:val="26"/>
        </w:rPr>
        <w:t>¶ 4</w:t>
      </w:r>
      <w:r w:rsidR="00652591" w:rsidRPr="00591394">
        <w:rPr>
          <w:rFonts w:eastAsia="Calibri"/>
          <w:color w:val="000000"/>
          <w:sz w:val="26"/>
          <w:szCs w:val="26"/>
        </w:rPr>
        <w:t>9</w:t>
      </w:r>
      <w:r w:rsidR="0082585C" w:rsidRPr="00591394">
        <w:rPr>
          <w:rFonts w:eastAsia="Calibri"/>
          <w:color w:val="000000"/>
          <w:sz w:val="26"/>
          <w:szCs w:val="26"/>
        </w:rPr>
        <w:t>.</w:t>
      </w:r>
    </w:p>
    <w:p w14:paraId="383A6561" w14:textId="77777777" w:rsidR="006819A2" w:rsidRPr="00591394" w:rsidRDefault="006819A2" w:rsidP="00C6113D">
      <w:pPr>
        <w:pStyle w:val="ListParagraph"/>
        <w:widowControl/>
        <w:spacing w:line="360" w:lineRule="auto"/>
        <w:ind w:left="90"/>
        <w:rPr>
          <w:rFonts w:eastAsia="Calibri"/>
          <w:color w:val="000000"/>
          <w:sz w:val="26"/>
          <w:szCs w:val="26"/>
        </w:rPr>
      </w:pPr>
    </w:p>
    <w:p w14:paraId="334FFBE0" w14:textId="34233C7C" w:rsidR="0082585C" w:rsidRPr="00591394" w:rsidRDefault="006819A2" w:rsidP="00B91F2F">
      <w:pPr>
        <w:pStyle w:val="ListParagraph"/>
        <w:widowControl/>
        <w:spacing w:line="360" w:lineRule="auto"/>
        <w:ind w:left="90"/>
        <w:rPr>
          <w:rFonts w:eastAsia="Calibri"/>
          <w:color w:val="000000"/>
          <w:sz w:val="26"/>
          <w:szCs w:val="26"/>
        </w:rPr>
      </w:pPr>
      <w:r w:rsidRPr="00591394">
        <w:rPr>
          <w:rFonts w:eastAsia="Calibri"/>
          <w:color w:val="000000"/>
          <w:sz w:val="26"/>
          <w:szCs w:val="26"/>
        </w:rPr>
        <w:tab/>
      </w:r>
      <w:r w:rsidRPr="00591394">
        <w:rPr>
          <w:rFonts w:eastAsia="Calibri"/>
          <w:color w:val="000000"/>
          <w:sz w:val="26"/>
          <w:szCs w:val="26"/>
        </w:rPr>
        <w:tab/>
        <w:t>Further, the Settlement provides that if the Commission adopts the Settlement without modification, the Joint Petitioners waive their individual rights to file Exceptions, requests for modification or clarification, and/or appeals with regard to the Settlement.</w:t>
      </w:r>
      <w:r w:rsidR="00F7788E" w:rsidRPr="00591394">
        <w:rPr>
          <w:rFonts w:eastAsia="Calibri"/>
          <w:color w:val="000000"/>
          <w:sz w:val="26"/>
          <w:szCs w:val="26"/>
        </w:rPr>
        <w:t xml:space="preserve"> </w:t>
      </w:r>
      <w:r w:rsidR="004D5E37" w:rsidRPr="00591394">
        <w:rPr>
          <w:rFonts w:eastAsia="Calibri"/>
          <w:color w:val="000000"/>
          <w:sz w:val="26"/>
          <w:szCs w:val="26"/>
        </w:rPr>
        <w:t xml:space="preserve"> </w:t>
      </w:r>
      <w:r w:rsidRPr="00591394">
        <w:rPr>
          <w:rFonts w:eastAsia="Calibri"/>
          <w:color w:val="000000"/>
          <w:sz w:val="26"/>
          <w:szCs w:val="26"/>
        </w:rPr>
        <w:t xml:space="preserve">Settlement </w:t>
      </w:r>
      <w:r w:rsidR="0082585C" w:rsidRPr="00591394">
        <w:rPr>
          <w:rFonts w:eastAsia="Calibri"/>
          <w:color w:val="000000"/>
          <w:sz w:val="26"/>
          <w:szCs w:val="26"/>
        </w:rPr>
        <w:t>at 1</w:t>
      </w:r>
      <w:r w:rsidR="00761411" w:rsidRPr="00591394">
        <w:rPr>
          <w:rFonts w:eastAsia="Calibri"/>
          <w:color w:val="000000"/>
          <w:sz w:val="26"/>
          <w:szCs w:val="26"/>
        </w:rPr>
        <w:t>1</w:t>
      </w:r>
      <w:r w:rsidR="0082585C" w:rsidRPr="00591394">
        <w:rPr>
          <w:rFonts w:eastAsia="Calibri"/>
          <w:color w:val="000000"/>
          <w:sz w:val="26"/>
          <w:szCs w:val="26"/>
        </w:rPr>
        <w:t xml:space="preserve">, </w:t>
      </w:r>
      <w:r w:rsidRPr="00591394">
        <w:rPr>
          <w:rFonts w:eastAsia="Calibri"/>
          <w:color w:val="000000"/>
          <w:sz w:val="26"/>
          <w:szCs w:val="26"/>
        </w:rPr>
        <w:t>¶ 5</w:t>
      </w:r>
      <w:r w:rsidR="00AE1E77" w:rsidRPr="00591394">
        <w:rPr>
          <w:rFonts w:eastAsia="Calibri"/>
          <w:color w:val="000000"/>
          <w:sz w:val="26"/>
          <w:szCs w:val="26"/>
        </w:rPr>
        <w:t>6</w:t>
      </w:r>
      <w:r w:rsidRPr="00591394">
        <w:rPr>
          <w:rFonts w:eastAsia="Calibri"/>
          <w:color w:val="000000"/>
          <w:sz w:val="26"/>
          <w:szCs w:val="26"/>
        </w:rPr>
        <w:t>.  The Joint Petitioners request that the Commission approve this Settlement</w:t>
      </w:r>
      <w:r w:rsidR="005E1F8F" w:rsidRPr="00591394">
        <w:rPr>
          <w:rFonts w:eastAsia="Calibri"/>
          <w:color w:val="000000"/>
          <w:sz w:val="26"/>
          <w:szCs w:val="26"/>
        </w:rPr>
        <w:t>,</w:t>
      </w:r>
      <w:r w:rsidRPr="00591394">
        <w:rPr>
          <w:rFonts w:eastAsia="Calibri"/>
          <w:color w:val="000000"/>
          <w:sz w:val="26"/>
          <w:szCs w:val="26"/>
        </w:rPr>
        <w:t xml:space="preserve"> including all terms and conditions thereof, without modification</w:t>
      </w:r>
      <w:r w:rsidR="009173D4" w:rsidRPr="00591394">
        <w:rPr>
          <w:rFonts w:eastAsia="Calibri"/>
          <w:color w:val="000000"/>
          <w:sz w:val="26"/>
          <w:szCs w:val="26"/>
        </w:rPr>
        <w:t xml:space="preserve"> </w:t>
      </w:r>
      <w:r w:rsidRPr="00591394">
        <w:rPr>
          <w:rFonts w:eastAsia="Calibri"/>
          <w:color w:val="000000"/>
          <w:sz w:val="26"/>
          <w:szCs w:val="26"/>
        </w:rPr>
        <w:t>and that Duquesne be permitted to implement its proposed Phase I</w:t>
      </w:r>
      <w:r w:rsidR="00761411" w:rsidRPr="00591394">
        <w:rPr>
          <w:rFonts w:eastAsia="Calibri"/>
          <w:color w:val="000000"/>
          <w:sz w:val="26"/>
          <w:szCs w:val="26"/>
        </w:rPr>
        <w:t>V</w:t>
      </w:r>
      <w:r w:rsidRPr="00591394">
        <w:rPr>
          <w:rFonts w:eastAsia="Calibri"/>
          <w:color w:val="000000"/>
          <w:sz w:val="26"/>
          <w:szCs w:val="26"/>
        </w:rPr>
        <w:t xml:space="preserve"> EE&amp;C Plan, as modified by the Settlement.  Settlement at 12.</w:t>
      </w:r>
    </w:p>
    <w:p w14:paraId="1E7E9EB6" w14:textId="77777777" w:rsidR="00305DB2" w:rsidRPr="00591394" w:rsidRDefault="007F0DD1" w:rsidP="00B91F2F">
      <w:pPr>
        <w:pStyle w:val="ListParagraph"/>
        <w:widowControl/>
        <w:spacing w:line="360" w:lineRule="auto"/>
        <w:ind w:left="90"/>
        <w:rPr>
          <w:rFonts w:eastAsia="Calibri"/>
          <w:color w:val="000000"/>
          <w:sz w:val="26"/>
          <w:szCs w:val="26"/>
        </w:rPr>
      </w:pPr>
      <w:r w:rsidRPr="00591394">
        <w:rPr>
          <w:rFonts w:eastAsia="Calibri"/>
          <w:color w:val="000000"/>
          <w:sz w:val="26"/>
          <w:szCs w:val="26"/>
        </w:rPr>
        <w:t xml:space="preserve"> </w:t>
      </w:r>
    </w:p>
    <w:p w14:paraId="7A9B79E4" w14:textId="77777777" w:rsidR="005E1F8F" w:rsidRPr="00591394" w:rsidRDefault="00305DB2" w:rsidP="00B91F2F">
      <w:pPr>
        <w:pStyle w:val="Heading3"/>
        <w:keepNext/>
      </w:pPr>
      <w:bookmarkStart w:id="34" w:name="_Toc66354632"/>
      <w:r w:rsidRPr="00591394">
        <w:t>3.</w:t>
      </w:r>
      <w:r w:rsidRPr="00591394">
        <w:tab/>
      </w:r>
      <w:r w:rsidR="009A154C" w:rsidRPr="00591394">
        <w:t>Positions of the Parties</w:t>
      </w:r>
      <w:bookmarkEnd w:id="34"/>
    </w:p>
    <w:p w14:paraId="39A00E7F" w14:textId="77777777" w:rsidR="00B74984" w:rsidRPr="00591394" w:rsidRDefault="00B74984" w:rsidP="00B91F2F">
      <w:pPr>
        <w:keepNext/>
        <w:widowControl/>
        <w:spacing w:line="360" w:lineRule="auto"/>
        <w:rPr>
          <w:sz w:val="26"/>
          <w:szCs w:val="26"/>
        </w:rPr>
      </w:pPr>
    </w:p>
    <w:p w14:paraId="4C5902EA" w14:textId="6CD1F7A3" w:rsidR="005E1F8F" w:rsidRPr="00591394" w:rsidRDefault="005E1F8F" w:rsidP="00B91F2F">
      <w:pPr>
        <w:keepNext/>
        <w:widowControl/>
        <w:spacing w:line="360" w:lineRule="auto"/>
        <w:ind w:firstLine="1440"/>
        <w:rPr>
          <w:sz w:val="26"/>
          <w:szCs w:val="26"/>
        </w:rPr>
      </w:pPr>
      <w:r w:rsidRPr="00591394">
        <w:rPr>
          <w:sz w:val="26"/>
          <w:szCs w:val="26"/>
        </w:rPr>
        <w:t xml:space="preserve">The Joint Petitioners assert that, </w:t>
      </w:r>
      <w:r w:rsidR="00AA10D7" w:rsidRPr="00591394">
        <w:rPr>
          <w:sz w:val="26"/>
          <w:szCs w:val="26"/>
        </w:rPr>
        <w:t>c</w:t>
      </w:r>
      <w:r w:rsidR="00FA3539" w:rsidRPr="00591394">
        <w:rPr>
          <w:sz w:val="26"/>
          <w:szCs w:val="26"/>
        </w:rPr>
        <w:t xml:space="preserve">onsistent with the requirements set forth in Act 129 and the Commission’s </w:t>
      </w:r>
      <w:r w:rsidR="00FA3539" w:rsidRPr="00591394">
        <w:rPr>
          <w:i/>
          <w:sz w:val="26"/>
          <w:szCs w:val="26"/>
        </w:rPr>
        <w:t>Phase IV Implementation Order</w:t>
      </w:r>
      <w:r w:rsidR="00FA3539" w:rsidRPr="00591394">
        <w:rPr>
          <w:sz w:val="26"/>
          <w:szCs w:val="26"/>
        </w:rPr>
        <w:t>, Duquesne’s Phase IV Plan covers the period from June 1,</w:t>
      </w:r>
      <w:r w:rsidR="00AA10D7" w:rsidRPr="00591394">
        <w:rPr>
          <w:sz w:val="26"/>
          <w:szCs w:val="26"/>
        </w:rPr>
        <w:t xml:space="preserve"> </w:t>
      </w:r>
      <w:r w:rsidR="00FA3539" w:rsidRPr="00591394">
        <w:rPr>
          <w:sz w:val="26"/>
          <w:szCs w:val="26"/>
        </w:rPr>
        <w:t>2021 through May 31, 2026 and (a) includes measures to achieve or exceed the required reductions and states the manner in which the consumption reductions will be achieved or exceeded; (b) complies with the designated expenditure cap of 2% of 2006 Annual Revenues over the five-year plan; (c) achieves a total cumulative energy reduction of at least 348,126 MWh by May 31, 2026, with at least 15% of the savings compliance target being achieved in each of the five program years; (d) achieves a minimum of 5.3% of the total required reductions from the low-</w:t>
      </w:r>
      <w:r w:rsidR="00FA3539" w:rsidRPr="00591394">
        <w:rPr>
          <w:sz w:val="26"/>
          <w:szCs w:val="26"/>
        </w:rPr>
        <w:lastRenderedPageBreak/>
        <w:t>income customer sector by May 31, 2026; (e) includes a proportionate number of energy efficiency measures for low</w:t>
      </w:r>
      <w:r w:rsidR="002B02BF" w:rsidRPr="00591394">
        <w:rPr>
          <w:sz w:val="26"/>
          <w:szCs w:val="26"/>
        </w:rPr>
        <w:t>-</w:t>
      </w:r>
      <w:r w:rsidR="00FA3539" w:rsidRPr="00591394">
        <w:rPr>
          <w:sz w:val="26"/>
          <w:szCs w:val="26"/>
        </w:rPr>
        <w:t>income households as compared to those households’ share of the total energy usage in the service territory; (f) offers at least one comprehensive program for residential customers and at least one comprehensive program for non-residential customers; (g) achieves peak demand reductions of at least 62 MW; (h)</w:t>
      </w:r>
      <w:r w:rsidR="00B91F2F">
        <w:rPr>
          <w:sz w:val="26"/>
          <w:szCs w:val="26"/>
        </w:rPr>
        <w:t> </w:t>
      </w:r>
      <w:r w:rsidR="00FA3539" w:rsidRPr="00591394">
        <w:rPr>
          <w:sz w:val="26"/>
          <w:szCs w:val="26"/>
        </w:rPr>
        <w:t>includes a contract with one CSP; (i) includes an analysis of administrative costs of the plan; (j) includes a reconcilable adjustment clause tariff mechanism in accordance with 66 Pa.</w:t>
      </w:r>
      <w:r w:rsidR="000D1D94" w:rsidRPr="00591394">
        <w:rPr>
          <w:sz w:val="26"/>
          <w:szCs w:val="26"/>
        </w:rPr>
        <w:t xml:space="preserve"> </w:t>
      </w:r>
      <w:r w:rsidR="00FA3539" w:rsidRPr="00591394">
        <w:rPr>
          <w:sz w:val="26"/>
          <w:szCs w:val="26"/>
        </w:rPr>
        <w:t>C.S. § 1307; and (k) demonstrates that the Phase IV Plan is cost-effective based on the Commission’s TRC</w:t>
      </w:r>
      <w:r w:rsidR="00F0068B" w:rsidRPr="00591394">
        <w:rPr>
          <w:sz w:val="26"/>
          <w:szCs w:val="26"/>
        </w:rPr>
        <w:t xml:space="preserve"> Test</w:t>
      </w:r>
      <w:r w:rsidR="00FA3539" w:rsidRPr="00591394">
        <w:rPr>
          <w:sz w:val="26"/>
          <w:szCs w:val="26"/>
        </w:rPr>
        <w:t>.</w:t>
      </w:r>
      <w:r w:rsidR="00585E83" w:rsidRPr="00591394">
        <w:rPr>
          <w:sz w:val="26"/>
          <w:szCs w:val="26"/>
        </w:rPr>
        <w:t xml:space="preserve">  </w:t>
      </w:r>
      <w:r w:rsidR="00FE52E8" w:rsidRPr="00591394">
        <w:rPr>
          <w:bCs/>
          <w:sz w:val="26"/>
          <w:szCs w:val="26"/>
        </w:rPr>
        <w:t>Settlement at 2-3.</w:t>
      </w:r>
    </w:p>
    <w:p w14:paraId="0DD1B09D" w14:textId="77777777" w:rsidR="00996930" w:rsidRPr="00591394" w:rsidRDefault="00996930" w:rsidP="00C6113D">
      <w:pPr>
        <w:widowControl/>
        <w:spacing w:line="360" w:lineRule="auto"/>
        <w:ind w:firstLine="1440"/>
        <w:rPr>
          <w:bCs/>
          <w:sz w:val="26"/>
          <w:szCs w:val="26"/>
        </w:rPr>
      </w:pPr>
    </w:p>
    <w:p w14:paraId="40713633" w14:textId="2BE88631" w:rsidR="00996930" w:rsidRPr="00591394" w:rsidRDefault="00996930" w:rsidP="00C6113D">
      <w:pPr>
        <w:widowControl/>
        <w:spacing w:line="360" w:lineRule="auto"/>
        <w:ind w:firstLine="1440"/>
        <w:rPr>
          <w:sz w:val="26"/>
          <w:szCs w:val="26"/>
        </w:rPr>
      </w:pPr>
      <w:r w:rsidRPr="00591394">
        <w:rPr>
          <w:sz w:val="26"/>
          <w:szCs w:val="26"/>
        </w:rPr>
        <w:t xml:space="preserve">As stated above, the Commission is required to review proposed settlements to determine if they are in the public interest.  In the instant proceeding, the Joint Petitioners unanimously assert that the proposed Settlement is in the best interests of </w:t>
      </w:r>
      <w:r w:rsidR="002474A5" w:rsidRPr="00591394">
        <w:rPr>
          <w:sz w:val="26"/>
          <w:szCs w:val="26"/>
        </w:rPr>
        <w:t xml:space="preserve">all </w:t>
      </w:r>
      <w:r w:rsidR="006239E5" w:rsidRPr="00591394">
        <w:rPr>
          <w:sz w:val="26"/>
          <w:szCs w:val="26"/>
        </w:rPr>
        <w:t>P</w:t>
      </w:r>
      <w:r w:rsidR="002474A5" w:rsidRPr="00591394">
        <w:rPr>
          <w:sz w:val="26"/>
          <w:szCs w:val="26"/>
        </w:rPr>
        <w:t>arties</w:t>
      </w:r>
      <w:r w:rsidR="009F4712" w:rsidRPr="00591394">
        <w:rPr>
          <w:sz w:val="26"/>
          <w:szCs w:val="26"/>
        </w:rPr>
        <w:t xml:space="preserve"> </w:t>
      </w:r>
      <w:r w:rsidRPr="00591394">
        <w:rPr>
          <w:sz w:val="26"/>
          <w:szCs w:val="26"/>
        </w:rPr>
        <w:t xml:space="preserve">and </w:t>
      </w:r>
      <w:r w:rsidR="009F4712" w:rsidRPr="00591394">
        <w:rPr>
          <w:sz w:val="26"/>
          <w:szCs w:val="26"/>
        </w:rPr>
        <w:t>Duquesne’s</w:t>
      </w:r>
      <w:r w:rsidRPr="00591394">
        <w:rPr>
          <w:sz w:val="26"/>
          <w:szCs w:val="26"/>
        </w:rPr>
        <w:t xml:space="preserve"> customers.  </w:t>
      </w:r>
      <w:r w:rsidRPr="00591394">
        <w:rPr>
          <w:i/>
          <w:sz w:val="26"/>
          <w:szCs w:val="26"/>
        </w:rPr>
        <w:t>Id</w:t>
      </w:r>
      <w:r w:rsidRPr="00591394">
        <w:rPr>
          <w:sz w:val="26"/>
          <w:szCs w:val="26"/>
        </w:rPr>
        <w:t xml:space="preserve">. at </w:t>
      </w:r>
      <w:r w:rsidR="009045C3" w:rsidRPr="00591394">
        <w:rPr>
          <w:sz w:val="26"/>
          <w:szCs w:val="26"/>
        </w:rPr>
        <w:t>10</w:t>
      </w:r>
      <w:r w:rsidRPr="00591394">
        <w:rPr>
          <w:sz w:val="26"/>
          <w:szCs w:val="26"/>
        </w:rPr>
        <w:t>.  The Joint Petitioners further assert that approval of the Settlement will avoid further administrative, and possible appellate, proceedings, thereby avoiding substantial costs to the Joint Petitioners</w:t>
      </w:r>
      <w:r w:rsidR="004A1776" w:rsidRPr="00591394">
        <w:rPr>
          <w:sz w:val="26"/>
          <w:szCs w:val="26"/>
        </w:rPr>
        <w:t xml:space="preserve">, the </w:t>
      </w:r>
      <w:r w:rsidR="00C62A15" w:rsidRPr="00591394">
        <w:rPr>
          <w:sz w:val="26"/>
          <w:szCs w:val="26"/>
        </w:rPr>
        <w:t>Commission, and</w:t>
      </w:r>
      <w:r w:rsidRPr="00591394">
        <w:rPr>
          <w:sz w:val="26"/>
          <w:szCs w:val="26"/>
        </w:rPr>
        <w:t xml:space="preserve"> Duquesne’s customers.  </w:t>
      </w:r>
      <w:r w:rsidRPr="00591394">
        <w:rPr>
          <w:i/>
          <w:sz w:val="26"/>
          <w:szCs w:val="26"/>
        </w:rPr>
        <w:t>Id</w:t>
      </w:r>
      <w:r w:rsidR="00224F70" w:rsidRPr="00591394">
        <w:rPr>
          <w:sz w:val="26"/>
          <w:szCs w:val="26"/>
        </w:rPr>
        <w:t xml:space="preserve"> at 9.</w:t>
      </w:r>
    </w:p>
    <w:p w14:paraId="52392116" w14:textId="77777777" w:rsidR="00996930" w:rsidRPr="00591394" w:rsidRDefault="00996930" w:rsidP="00C6113D">
      <w:pPr>
        <w:widowControl/>
        <w:spacing w:line="360" w:lineRule="auto"/>
        <w:rPr>
          <w:sz w:val="26"/>
          <w:szCs w:val="26"/>
        </w:rPr>
      </w:pPr>
    </w:p>
    <w:p w14:paraId="74B72BAB" w14:textId="0F4627FF" w:rsidR="00996930" w:rsidRPr="00591394" w:rsidRDefault="00996930" w:rsidP="00C6113D">
      <w:pPr>
        <w:widowControl/>
        <w:spacing w:line="360" w:lineRule="auto"/>
        <w:ind w:firstLine="1440"/>
        <w:rPr>
          <w:sz w:val="26"/>
          <w:szCs w:val="26"/>
        </w:rPr>
      </w:pPr>
      <w:r w:rsidRPr="00591394">
        <w:rPr>
          <w:sz w:val="26"/>
          <w:szCs w:val="26"/>
        </w:rPr>
        <w:t xml:space="preserve">Each of the </w:t>
      </w:r>
      <w:r w:rsidR="00D9053A" w:rsidRPr="00591394">
        <w:rPr>
          <w:sz w:val="26"/>
          <w:szCs w:val="26"/>
        </w:rPr>
        <w:t>four</w:t>
      </w:r>
      <w:r w:rsidRPr="00591394">
        <w:rPr>
          <w:sz w:val="26"/>
          <w:szCs w:val="26"/>
        </w:rPr>
        <w:t xml:space="preserve"> Joint Petitioners prepared a </w:t>
      </w:r>
      <w:r w:rsidR="00D75E77" w:rsidRPr="00591394">
        <w:rPr>
          <w:sz w:val="26"/>
          <w:szCs w:val="26"/>
        </w:rPr>
        <w:t>S</w:t>
      </w:r>
      <w:r w:rsidRPr="00591394">
        <w:rPr>
          <w:sz w:val="26"/>
          <w:szCs w:val="26"/>
        </w:rPr>
        <w:t xml:space="preserve">tatement in </w:t>
      </w:r>
      <w:r w:rsidR="00D75E77" w:rsidRPr="00591394">
        <w:rPr>
          <w:sz w:val="26"/>
          <w:szCs w:val="26"/>
        </w:rPr>
        <w:t>S</w:t>
      </w:r>
      <w:r w:rsidRPr="00591394">
        <w:rPr>
          <w:sz w:val="26"/>
          <w:szCs w:val="26"/>
        </w:rPr>
        <w:t xml:space="preserve">upport of the Settlement (Statements).  The Statements, which are appended to the Joint Petition as Appendices A through </w:t>
      </w:r>
      <w:r w:rsidR="009E365B" w:rsidRPr="00591394">
        <w:rPr>
          <w:sz w:val="26"/>
          <w:szCs w:val="26"/>
        </w:rPr>
        <w:t>D</w:t>
      </w:r>
      <w:r w:rsidRPr="00591394">
        <w:rPr>
          <w:sz w:val="26"/>
          <w:szCs w:val="26"/>
        </w:rPr>
        <w:t xml:space="preserve">, are </w:t>
      </w:r>
      <w:r w:rsidR="00150217" w:rsidRPr="00591394">
        <w:rPr>
          <w:sz w:val="26"/>
          <w:szCs w:val="26"/>
        </w:rPr>
        <w:t>summarized</w:t>
      </w:r>
      <w:r w:rsidRPr="00591394">
        <w:rPr>
          <w:sz w:val="26"/>
          <w:szCs w:val="26"/>
        </w:rPr>
        <w:t xml:space="preserve"> below.</w:t>
      </w:r>
    </w:p>
    <w:p w14:paraId="321347CB" w14:textId="77777777" w:rsidR="003A43C9" w:rsidRPr="00591394" w:rsidRDefault="003A43C9" w:rsidP="00C6113D">
      <w:pPr>
        <w:widowControl/>
        <w:spacing w:line="360" w:lineRule="auto"/>
        <w:ind w:firstLine="1440"/>
        <w:rPr>
          <w:sz w:val="26"/>
          <w:szCs w:val="26"/>
        </w:rPr>
      </w:pPr>
    </w:p>
    <w:p w14:paraId="28B5F636" w14:textId="7D8C1145" w:rsidR="003A43C9" w:rsidRPr="00591394" w:rsidRDefault="003A43C9" w:rsidP="00C6113D">
      <w:pPr>
        <w:widowControl/>
        <w:spacing w:line="360" w:lineRule="auto"/>
        <w:ind w:firstLine="1440"/>
        <w:rPr>
          <w:sz w:val="26"/>
          <w:szCs w:val="26"/>
        </w:rPr>
      </w:pPr>
      <w:r w:rsidRPr="00591394">
        <w:rPr>
          <w:sz w:val="26"/>
          <w:szCs w:val="26"/>
        </w:rPr>
        <w:t>Duquesne submits that, given the diverse interests of the Joint Petitioners, the fact that they have fully resolved their respective issues provides strong evidence that the proposed Settlement is reasonable and in the public interest.  Duquesne asserts that it provided responses to numerous interrogatories and requests for production of documents and provided additional information regarding its Phase I</w:t>
      </w:r>
      <w:r w:rsidR="00400D39" w:rsidRPr="00591394">
        <w:rPr>
          <w:sz w:val="26"/>
          <w:szCs w:val="26"/>
        </w:rPr>
        <w:t>V</w:t>
      </w:r>
      <w:r w:rsidRPr="00591394">
        <w:rPr>
          <w:sz w:val="26"/>
          <w:szCs w:val="26"/>
        </w:rPr>
        <w:t xml:space="preserve"> Plan to the Parties during informal discussions.  According to Duquesne, the Settlement represents a carefully </w:t>
      </w:r>
      <w:r w:rsidRPr="00591394">
        <w:rPr>
          <w:sz w:val="26"/>
          <w:szCs w:val="26"/>
        </w:rPr>
        <w:lastRenderedPageBreak/>
        <w:t>balanced compromise among the Joint Petitioners, who believe that its approval is in the publ</w:t>
      </w:r>
      <w:r w:rsidR="00B247BF" w:rsidRPr="00591394">
        <w:rPr>
          <w:sz w:val="26"/>
          <w:szCs w:val="26"/>
        </w:rPr>
        <w:t>ic interest.  Duquesne St</w:t>
      </w:r>
      <w:r w:rsidR="00A117C8" w:rsidRPr="00591394">
        <w:rPr>
          <w:sz w:val="26"/>
          <w:szCs w:val="26"/>
        </w:rPr>
        <w:t>atement in Support</w:t>
      </w:r>
      <w:r w:rsidRPr="00591394">
        <w:rPr>
          <w:sz w:val="26"/>
          <w:szCs w:val="26"/>
        </w:rPr>
        <w:t xml:space="preserve"> at 1-2.</w:t>
      </w:r>
    </w:p>
    <w:p w14:paraId="67B349AF" w14:textId="77777777" w:rsidR="00582A39" w:rsidRPr="00591394" w:rsidRDefault="00582A39" w:rsidP="00C6113D">
      <w:pPr>
        <w:widowControl/>
        <w:spacing w:line="360" w:lineRule="auto"/>
        <w:ind w:firstLine="1440"/>
        <w:rPr>
          <w:sz w:val="26"/>
          <w:szCs w:val="26"/>
        </w:rPr>
      </w:pPr>
    </w:p>
    <w:p w14:paraId="641EB722" w14:textId="7567FA82" w:rsidR="00656590" w:rsidRPr="00591394" w:rsidRDefault="00F30F3B" w:rsidP="00C6113D">
      <w:pPr>
        <w:widowControl/>
        <w:spacing w:line="360" w:lineRule="auto"/>
        <w:ind w:firstLine="1440"/>
        <w:rPr>
          <w:sz w:val="26"/>
          <w:szCs w:val="26"/>
        </w:rPr>
      </w:pPr>
      <w:r w:rsidRPr="00591394">
        <w:rPr>
          <w:sz w:val="26"/>
          <w:szCs w:val="26"/>
        </w:rPr>
        <w:t>Duquesne submits that its proposed Phase I</w:t>
      </w:r>
      <w:r w:rsidR="00822226" w:rsidRPr="00591394">
        <w:rPr>
          <w:sz w:val="26"/>
          <w:szCs w:val="26"/>
        </w:rPr>
        <w:t>V</w:t>
      </w:r>
      <w:r w:rsidRPr="00591394">
        <w:rPr>
          <w:sz w:val="26"/>
          <w:szCs w:val="26"/>
        </w:rPr>
        <w:t xml:space="preserve"> Plan complies with the Commission’s </w:t>
      </w:r>
      <w:r w:rsidRPr="00591394">
        <w:rPr>
          <w:i/>
          <w:sz w:val="26"/>
          <w:szCs w:val="26"/>
        </w:rPr>
        <w:t>Phase I</w:t>
      </w:r>
      <w:r w:rsidR="00822226" w:rsidRPr="00591394">
        <w:rPr>
          <w:i/>
          <w:sz w:val="26"/>
          <w:szCs w:val="26"/>
        </w:rPr>
        <w:t>V</w:t>
      </w:r>
      <w:r w:rsidRPr="00591394">
        <w:rPr>
          <w:i/>
          <w:sz w:val="26"/>
          <w:szCs w:val="26"/>
        </w:rPr>
        <w:t xml:space="preserve"> Implementation Order</w:t>
      </w:r>
      <w:r w:rsidRPr="00591394">
        <w:rPr>
          <w:sz w:val="26"/>
          <w:szCs w:val="26"/>
        </w:rPr>
        <w:t>, includi</w:t>
      </w:r>
      <w:r w:rsidR="00C35BAB" w:rsidRPr="00591394">
        <w:rPr>
          <w:sz w:val="26"/>
          <w:szCs w:val="26"/>
        </w:rPr>
        <w:t>ng the expenditure cap of $97.7</w:t>
      </w:r>
      <w:r w:rsidR="00BA5573" w:rsidRPr="00591394">
        <w:rPr>
          <w:sz w:val="26"/>
          <w:szCs w:val="26"/>
        </w:rPr>
        <w:t>3</w:t>
      </w:r>
      <w:r w:rsidRPr="00591394">
        <w:rPr>
          <w:sz w:val="26"/>
          <w:szCs w:val="26"/>
        </w:rPr>
        <w:t xml:space="preserve"> million, the allocation of costs to the customer class that receives the benefits of the EE&amp;C measures, and the requirement that the portfolio be cost-effective based on the Commission’s TRC Test.  </w:t>
      </w:r>
      <w:r w:rsidR="00DF24C6" w:rsidRPr="00591394">
        <w:rPr>
          <w:sz w:val="26"/>
          <w:szCs w:val="26"/>
        </w:rPr>
        <w:t>Duquesne states that its originally filed Phase I</w:t>
      </w:r>
      <w:r w:rsidR="00991FF0" w:rsidRPr="00591394">
        <w:rPr>
          <w:sz w:val="26"/>
          <w:szCs w:val="26"/>
        </w:rPr>
        <w:t>V</w:t>
      </w:r>
      <w:r w:rsidR="00DF24C6" w:rsidRPr="00591394">
        <w:rPr>
          <w:sz w:val="26"/>
          <w:szCs w:val="26"/>
        </w:rPr>
        <w:t xml:space="preserve"> Plan included a total of </w:t>
      </w:r>
      <w:r w:rsidR="00991FF0" w:rsidRPr="00591394">
        <w:rPr>
          <w:sz w:val="26"/>
          <w:szCs w:val="26"/>
        </w:rPr>
        <w:t>twelve</w:t>
      </w:r>
      <w:r w:rsidR="00DF24C6" w:rsidRPr="00591394">
        <w:rPr>
          <w:sz w:val="26"/>
          <w:szCs w:val="26"/>
        </w:rPr>
        <w:t xml:space="preserve"> programs</w:t>
      </w:r>
      <w:r w:rsidR="003700B5" w:rsidRPr="00591394">
        <w:rPr>
          <w:sz w:val="26"/>
          <w:szCs w:val="26"/>
        </w:rPr>
        <w:t xml:space="preserve"> designed to achieve an overall consumption reduction target of 383</w:t>
      </w:r>
      <w:r w:rsidR="00D24B70" w:rsidRPr="00591394">
        <w:rPr>
          <w:sz w:val="26"/>
          <w:szCs w:val="26"/>
        </w:rPr>
        <w:t xml:space="preserve">,733,096 kWh. </w:t>
      </w:r>
      <w:r w:rsidR="00DF24C6" w:rsidRPr="00591394">
        <w:rPr>
          <w:sz w:val="26"/>
          <w:szCs w:val="26"/>
        </w:rPr>
        <w:t xml:space="preserve"> According to Duquesne, the Plan includes measures for each of its customer classes, as required.  </w:t>
      </w:r>
      <w:r w:rsidR="00804EC7" w:rsidRPr="00591394">
        <w:rPr>
          <w:sz w:val="26"/>
          <w:szCs w:val="26"/>
        </w:rPr>
        <w:t>Duquesne St</w:t>
      </w:r>
      <w:r w:rsidR="00A117C8" w:rsidRPr="00591394">
        <w:rPr>
          <w:sz w:val="26"/>
          <w:szCs w:val="26"/>
        </w:rPr>
        <w:t>atement in Support</w:t>
      </w:r>
      <w:r w:rsidR="00C35BAB" w:rsidRPr="00591394">
        <w:rPr>
          <w:i/>
          <w:sz w:val="26"/>
          <w:szCs w:val="26"/>
        </w:rPr>
        <w:t xml:space="preserve"> </w:t>
      </w:r>
      <w:r w:rsidR="00C35BAB" w:rsidRPr="00591394">
        <w:rPr>
          <w:sz w:val="26"/>
          <w:szCs w:val="26"/>
        </w:rPr>
        <w:t xml:space="preserve">at </w:t>
      </w:r>
      <w:r w:rsidR="00AB65FB" w:rsidRPr="00591394">
        <w:rPr>
          <w:sz w:val="26"/>
          <w:szCs w:val="26"/>
        </w:rPr>
        <w:t>4</w:t>
      </w:r>
      <w:r w:rsidR="00804EC7" w:rsidRPr="00591394">
        <w:rPr>
          <w:sz w:val="26"/>
          <w:szCs w:val="26"/>
        </w:rPr>
        <w:t>-</w:t>
      </w:r>
      <w:r w:rsidR="00AB65FB" w:rsidRPr="00591394">
        <w:rPr>
          <w:sz w:val="26"/>
          <w:szCs w:val="26"/>
        </w:rPr>
        <w:t>5</w:t>
      </w:r>
      <w:r w:rsidR="00C35BAB" w:rsidRPr="00591394">
        <w:rPr>
          <w:sz w:val="26"/>
          <w:szCs w:val="26"/>
        </w:rPr>
        <w:t xml:space="preserve">. </w:t>
      </w:r>
    </w:p>
    <w:p w14:paraId="09647729" w14:textId="77777777" w:rsidR="00C35BAB" w:rsidRPr="00591394" w:rsidRDefault="00C35BAB" w:rsidP="00C6113D">
      <w:pPr>
        <w:widowControl/>
        <w:spacing w:line="360" w:lineRule="auto"/>
        <w:ind w:firstLine="1440"/>
        <w:rPr>
          <w:sz w:val="26"/>
          <w:szCs w:val="26"/>
        </w:rPr>
      </w:pPr>
      <w:r w:rsidRPr="00591394">
        <w:rPr>
          <w:sz w:val="26"/>
          <w:szCs w:val="26"/>
        </w:rPr>
        <w:t xml:space="preserve"> </w:t>
      </w:r>
    </w:p>
    <w:p w14:paraId="25848F6E" w14:textId="41FCCF59" w:rsidR="00676BF7" w:rsidRPr="00591394" w:rsidRDefault="00160F1C" w:rsidP="00C6113D">
      <w:pPr>
        <w:widowControl/>
        <w:spacing w:line="360" w:lineRule="auto"/>
        <w:ind w:firstLine="1440"/>
        <w:rPr>
          <w:sz w:val="26"/>
          <w:szCs w:val="26"/>
        </w:rPr>
      </w:pPr>
      <w:r w:rsidRPr="00591394">
        <w:rPr>
          <w:sz w:val="26"/>
          <w:szCs w:val="26"/>
        </w:rPr>
        <w:t>Duquesne</w:t>
      </w:r>
      <w:r w:rsidR="006B5514" w:rsidRPr="00591394">
        <w:rPr>
          <w:sz w:val="26"/>
          <w:szCs w:val="26"/>
        </w:rPr>
        <w:t xml:space="preserve"> notes that both CAUSE-PA and </w:t>
      </w:r>
      <w:r w:rsidR="008A3439" w:rsidRPr="00591394">
        <w:rPr>
          <w:sz w:val="26"/>
          <w:szCs w:val="26"/>
        </w:rPr>
        <w:t xml:space="preserve">the </w:t>
      </w:r>
      <w:r w:rsidR="006B5514" w:rsidRPr="00591394">
        <w:rPr>
          <w:sz w:val="26"/>
          <w:szCs w:val="26"/>
        </w:rPr>
        <w:t>OCA raised concerns with the effectiveness of the L</w:t>
      </w:r>
      <w:r w:rsidR="00C029FF" w:rsidRPr="00591394">
        <w:rPr>
          <w:sz w:val="26"/>
          <w:szCs w:val="26"/>
        </w:rPr>
        <w:t>I-BEEP low</w:t>
      </w:r>
      <w:r w:rsidRPr="00591394">
        <w:rPr>
          <w:sz w:val="26"/>
          <w:szCs w:val="26"/>
        </w:rPr>
        <w:t>-</w:t>
      </w:r>
      <w:r w:rsidR="00C029FF" w:rsidRPr="00591394">
        <w:rPr>
          <w:sz w:val="26"/>
          <w:szCs w:val="26"/>
        </w:rPr>
        <w:t xml:space="preserve">income program.  </w:t>
      </w:r>
      <w:r w:rsidR="00555720" w:rsidRPr="00591394">
        <w:rPr>
          <w:sz w:val="26"/>
          <w:szCs w:val="26"/>
        </w:rPr>
        <w:t>Duquesne</w:t>
      </w:r>
      <w:r w:rsidR="00B5462D" w:rsidRPr="00591394">
        <w:rPr>
          <w:sz w:val="26"/>
          <w:szCs w:val="26"/>
        </w:rPr>
        <w:t xml:space="preserve"> submits that </w:t>
      </w:r>
      <w:r w:rsidR="00F73E55" w:rsidRPr="00591394">
        <w:rPr>
          <w:sz w:val="26"/>
          <w:szCs w:val="26"/>
        </w:rPr>
        <w:t xml:space="preserve">the </w:t>
      </w:r>
      <w:r w:rsidR="00B5462D" w:rsidRPr="00591394">
        <w:rPr>
          <w:sz w:val="26"/>
          <w:szCs w:val="26"/>
        </w:rPr>
        <w:t xml:space="preserve">OCA </w:t>
      </w:r>
      <w:r w:rsidR="00F73E55" w:rsidRPr="00591394">
        <w:rPr>
          <w:sz w:val="26"/>
          <w:szCs w:val="26"/>
        </w:rPr>
        <w:t>w</w:t>
      </w:r>
      <w:r w:rsidR="00B5462D" w:rsidRPr="00591394">
        <w:rPr>
          <w:sz w:val="26"/>
          <w:szCs w:val="26"/>
        </w:rPr>
        <w:t xml:space="preserve">itness </w:t>
      </w:r>
      <w:r w:rsidR="00F73E55" w:rsidRPr="00591394">
        <w:rPr>
          <w:sz w:val="26"/>
          <w:szCs w:val="26"/>
        </w:rPr>
        <w:t xml:space="preserve">Ms. Stacy </w:t>
      </w:r>
      <w:r w:rsidR="00B5462D" w:rsidRPr="00591394">
        <w:rPr>
          <w:sz w:val="26"/>
          <w:szCs w:val="26"/>
        </w:rPr>
        <w:t xml:space="preserve">Sherwood </w:t>
      </w:r>
      <w:r w:rsidR="009D5CC1" w:rsidRPr="00591394">
        <w:rPr>
          <w:sz w:val="26"/>
          <w:szCs w:val="26"/>
        </w:rPr>
        <w:t xml:space="preserve">recommended that the </w:t>
      </w:r>
      <w:r w:rsidR="003A0586" w:rsidRPr="00591394">
        <w:rPr>
          <w:sz w:val="26"/>
          <w:szCs w:val="26"/>
        </w:rPr>
        <w:t>P</w:t>
      </w:r>
      <w:r w:rsidR="009D5CC1" w:rsidRPr="00591394">
        <w:rPr>
          <w:sz w:val="26"/>
          <w:szCs w:val="26"/>
        </w:rPr>
        <w:t>lan</w:t>
      </w:r>
      <w:r w:rsidR="009505F4" w:rsidRPr="00591394">
        <w:rPr>
          <w:sz w:val="26"/>
          <w:szCs w:val="26"/>
        </w:rPr>
        <w:t>’</w:t>
      </w:r>
      <w:r w:rsidR="009D5CC1" w:rsidRPr="00591394">
        <w:rPr>
          <w:sz w:val="26"/>
          <w:szCs w:val="26"/>
        </w:rPr>
        <w:t xml:space="preserve">s residential portfolio reflect a lower reliance on </w:t>
      </w:r>
      <w:r w:rsidR="00555720" w:rsidRPr="00591394">
        <w:rPr>
          <w:sz w:val="26"/>
          <w:szCs w:val="26"/>
        </w:rPr>
        <w:t>behavioral</w:t>
      </w:r>
      <w:r w:rsidR="009D5CC1" w:rsidRPr="00591394">
        <w:rPr>
          <w:sz w:val="26"/>
          <w:szCs w:val="26"/>
        </w:rPr>
        <w:t xml:space="preserve"> programs (R-BEEP and LI-BEEP</w:t>
      </w:r>
      <w:r w:rsidR="006C5F05" w:rsidRPr="00591394">
        <w:rPr>
          <w:sz w:val="26"/>
          <w:szCs w:val="26"/>
        </w:rPr>
        <w:t>, also known as Home Energy Reports</w:t>
      </w:r>
      <w:r w:rsidR="009D5CC1" w:rsidRPr="00591394">
        <w:rPr>
          <w:sz w:val="26"/>
          <w:szCs w:val="26"/>
        </w:rPr>
        <w:t>)</w:t>
      </w:r>
      <w:r w:rsidR="005E2A81" w:rsidRPr="00591394">
        <w:rPr>
          <w:sz w:val="26"/>
          <w:szCs w:val="26"/>
        </w:rPr>
        <w:t>, on the grounds that</w:t>
      </w:r>
      <w:r w:rsidR="007F5F67" w:rsidRPr="00591394">
        <w:rPr>
          <w:sz w:val="26"/>
          <w:szCs w:val="26"/>
        </w:rPr>
        <w:t>:</w:t>
      </w:r>
      <w:r w:rsidR="005E2A81" w:rsidRPr="00591394">
        <w:rPr>
          <w:sz w:val="26"/>
          <w:szCs w:val="26"/>
        </w:rPr>
        <w:t xml:space="preserve"> </w:t>
      </w:r>
      <w:r w:rsidR="00884E52" w:rsidRPr="00591394">
        <w:rPr>
          <w:sz w:val="26"/>
          <w:szCs w:val="26"/>
        </w:rPr>
        <w:t xml:space="preserve"> </w:t>
      </w:r>
      <w:r w:rsidR="005E2A81" w:rsidRPr="00591394">
        <w:rPr>
          <w:sz w:val="26"/>
          <w:szCs w:val="26"/>
        </w:rPr>
        <w:t xml:space="preserve">(1) savings from </w:t>
      </w:r>
      <w:r w:rsidR="00555720" w:rsidRPr="00591394">
        <w:rPr>
          <w:sz w:val="26"/>
          <w:szCs w:val="26"/>
        </w:rPr>
        <w:t>behavioral</w:t>
      </w:r>
      <w:r w:rsidR="005E2A81" w:rsidRPr="00591394">
        <w:rPr>
          <w:sz w:val="26"/>
          <w:szCs w:val="26"/>
        </w:rPr>
        <w:t xml:space="preserve"> measures might be lower than </w:t>
      </w:r>
      <w:r w:rsidR="00555720" w:rsidRPr="00591394">
        <w:rPr>
          <w:sz w:val="26"/>
          <w:szCs w:val="26"/>
        </w:rPr>
        <w:t>expected</w:t>
      </w:r>
      <w:r w:rsidR="005E2A81" w:rsidRPr="00591394">
        <w:rPr>
          <w:sz w:val="26"/>
          <w:szCs w:val="26"/>
        </w:rPr>
        <w:t xml:space="preserve"> </w:t>
      </w:r>
      <w:r w:rsidR="00555720" w:rsidRPr="00591394">
        <w:rPr>
          <w:sz w:val="26"/>
          <w:szCs w:val="26"/>
        </w:rPr>
        <w:t>due</w:t>
      </w:r>
      <w:r w:rsidR="005E2A81" w:rsidRPr="00591394">
        <w:rPr>
          <w:sz w:val="26"/>
          <w:szCs w:val="26"/>
        </w:rPr>
        <w:t xml:space="preserve"> to the impacts of COVID-19; </w:t>
      </w:r>
      <w:r w:rsidR="008A2FA9" w:rsidRPr="00591394">
        <w:rPr>
          <w:sz w:val="26"/>
          <w:szCs w:val="26"/>
        </w:rPr>
        <w:t xml:space="preserve">and (2) </w:t>
      </w:r>
      <w:r w:rsidR="00555720" w:rsidRPr="00591394">
        <w:rPr>
          <w:sz w:val="26"/>
          <w:szCs w:val="26"/>
        </w:rPr>
        <w:t>behavioral</w:t>
      </w:r>
      <w:r w:rsidR="008A2FA9" w:rsidRPr="00591394">
        <w:rPr>
          <w:sz w:val="26"/>
          <w:szCs w:val="26"/>
        </w:rPr>
        <w:t xml:space="preserve"> measures yield “short-lived” savings realized over a maximum of two years.  Duquesne Statement in Support at 16 (citing OCA St. 1</w:t>
      </w:r>
      <w:r w:rsidR="00E26D8B" w:rsidRPr="00591394">
        <w:rPr>
          <w:sz w:val="26"/>
          <w:szCs w:val="26"/>
        </w:rPr>
        <w:t xml:space="preserve"> at 14-15).  According to Duquesne, CAUSE-PA witness </w:t>
      </w:r>
      <w:r w:rsidR="00984B1C" w:rsidRPr="00591394">
        <w:rPr>
          <w:sz w:val="26"/>
          <w:szCs w:val="26"/>
        </w:rPr>
        <w:t xml:space="preserve">Mr. Jim </w:t>
      </w:r>
      <w:r w:rsidR="00E26D8B" w:rsidRPr="00591394">
        <w:rPr>
          <w:sz w:val="26"/>
          <w:szCs w:val="26"/>
        </w:rPr>
        <w:t>Grevatt expressed similar concerns regarding LI-</w:t>
      </w:r>
      <w:r w:rsidR="00555720" w:rsidRPr="00591394">
        <w:rPr>
          <w:sz w:val="26"/>
          <w:szCs w:val="26"/>
        </w:rPr>
        <w:t>BEEP and</w:t>
      </w:r>
      <w:r w:rsidR="00E26D8B" w:rsidRPr="00591394">
        <w:rPr>
          <w:sz w:val="26"/>
          <w:szCs w:val="26"/>
        </w:rPr>
        <w:t xml:space="preserve"> recommended that </w:t>
      </w:r>
      <w:r w:rsidR="00555720" w:rsidRPr="00591394">
        <w:rPr>
          <w:sz w:val="26"/>
          <w:szCs w:val="26"/>
        </w:rPr>
        <w:t>behavioral</w:t>
      </w:r>
      <w:r w:rsidR="00E26D8B" w:rsidRPr="00591394">
        <w:rPr>
          <w:sz w:val="26"/>
          <w:szCs w:val="26"/>
        </w:rPr>
        <w:t xml:space="preserve"> measures comprise no more than 5% of the Plan’s low-income savings target.  </w:t>
      </w:r>
      <w:r w:rsidR="00555720" w:rsidRPr="00591394">
        <w:rPr>
          <w:sz w:val="26"/>
          <w:szCs w:val="26"/>
        </w:rPr>
        <w:t>Duquesne</w:t>
      </w:r>
      <w:r w:rsidR="00E26D8B" w:rsidRPr="00591394">
        <w:rPr>
          <w:sz w:val="26"/>
          <w:szCs w:val="26"/>
        </w:rPr>
        <w:t xml:space="preserve"> Statement in </w:t>
      </w:r>
      <w:r w:rsidR="00555720" w:rsidRPr="00591394">
        <w:rPr>
          <w:sz w:val="26"/>
          <w:szCs w:val="26"/>
        </w:rPr>
        <w:t>Support</w:t>
      </w:r>
      <w:r w:rsidR="00E26D8B" w:rsidRPr="00591394">
        <w:rPr>
          <w:sz w:val="26"/>
          <w:szCs w:val="26"/>
        </w:rPr>
        <w:t xml:space="preserve"> at </w:t>
      </w:r>
      <w:r w:rsidR="009E3A0B" w:rsidRPr="00591394">
        <w:rPr>
          <w:sz w:val="26"/>
          <w:szCs w:val="26"/>
        </w:rPr>
        <w:t>16 (citing CAUSE-PA St</w:t>
      </w:r>
      <w:r w:rsidR="00984B1C" w:rsidRPr="00591394">
        <w:rPr>
          <w:sz w:val="26"/>
          <w:szCs w:val="26"/>
        </w:rPr>
        <w:t>.</w:t>
      </w:r>
      <w:r w:rsidR="009E3A0B" w:rsidRPr="00591394">
        <w:rPr>
          <w:sz w:val="26"/>
          <w:szCs w:val="26"/>
        </w:rPr>
        <w:t xml:space="preserve"> 1 at 25, Table 2).  </w:t>
      </w:r>
      <w:r w:rsidR="00337F59" w:rsidRPr="00591394">
        <w:rPr>
          <w:sz w:val="26"/>
          <w:szCs w:val="26"/>
        </w:rPr>
        <w:t xml:space="preserve">Duquesne explains that </w:t>
      </w:r>
      <w:r w:rsidR="00AE5BAE" w:rsidRPr="00591394">
        <w:rPr>
          <w:sz w:val="26"/>
          <w:szCs w:val="26"/>
        </w:rPr>
        <w:t xml:space="preserve">Ms. Sherwood did not propose a corresponding target for </w:t>
      </w:r>
      <w:r w:rsidR="00CB4379" w:rsidRPr="00591394">
        <w:rPr>
          <w:sz w:val="26"/>
          <w:szCs w:val="26"/>
        </w:rPr>
        <w:t>behavioral</w:t>
      </w:r>
      <w:r w:rsidR="00AE5BAE" w:rsidRPr="00591394">
        <w:rPr>
          <w:sz w:val="26"/>
          <w:szCs w:val="26"/>
        </w:rPr>
        <w:t xml:space="preserve"> measures</w:t>
      </w:r>
      <w:r w:rsidR="00E01052" w:rsidRPr="00591394">
        <w:rPr>
          <w:sz w:val="26"/>
          <w:szCs w:val="26"/>
        </w:rPr>
        <w:t xml:space="preserve"> and suggested that LI-BEEP funds may be better invested in LIEEP.  </w:t>
      </w:r>
      <w:r w:rsidR="00CB4379" w:rsidRPr="00591394">
        <w:rPr>
          <w:sz w:val="26"/>
          <w:szCs w:val="26"/>
        </w:rPr>
        <w:t>CAUSE</w:t>
      </w:r>
      <w:r w:rsidR="00B91F2F">
        <w:rPr>
          <w:sz w:val="26"/>
          <w:szCs w:val="26"/>
        </w:rPr>
        <w:noBreakHyphen/>
      </w:r>
      <w:r w:rsidR="00CB4379" w:rsidRPr="00591394">
        <w:rPr>
          <w:sz w:val="26"/>
          <w:szCs w:val="26"/>
        </w:rPr>
        <w:t>PA advocated expanding the budgets for comprehensive building shell and heating, cooling</w:t>
      </w:r>
      <w:r w:rsidR="00884E52" w:rsidRPr="00591394">
        <w:rPr>
          <w:sz w:val="26"/>
          <w:szCs w:val="26"/>
        </w:rPr>
        <w:t>,</w:t>
      </w:r>
      <w:r w:rsidR="00CB4379" w:rsidRPr="00591394">
        <w:rPr>
          <w:sz w:val="26"/>
          <w:szCs w:val="26"/>
        </w:rPr>
        <w:t xml:space="preserve"> and water heating measures.  </w:t>
      </w:r>
      <w:r w:rsidR="004A1005" w:rsidRPr="00591394">
        <w:rPr>
          <w:sz w:val="26"/>
          <w:szCs w:val="26"/>
        </w:rPr>
        <w:t xml:space="preserve">Duquesne Statement in Support at </w:t>
      </w:r>
      <w:r w:rsidR="00651065" w:rsidRPr="00591394">
        <w:rPr>
          <w:sz w:val="26"/>
          <w:szCs w:val="26"/>
        </w:rPr>
        <w:t>16.</w:t>
      </w:r>
    </w:p>
    <w:p w14:paraId="283BA37B" w14:textId="77777777" w:rsidR="00F62BEA" w:rsidRPr="00591394" w:rsidRDefault="00F62BEA" w:rsidP="00C6113D">
      <w:pPr>
        <w:widowControl/>
        <w:spacing w:line="360" w:lineRule="auto"/>
        <w:ind w:firstLine="1440"/>
        <w:rPr>
          <w:sz w:val="26"/>
          <w:szCs w:val="26"/>
        </w:rPr>
      </w:pPr>
    </w:p>
    <w:p w14:paraId="6BE87246" w14:textId="236625AA" w:rsidR="006C5F05" w:rsidRPr="00591394" w:rsidRDefault="006C5F05" w:rsidP="00C6113D">
      <w:pPr>
        <w:widowControl/>
        <w:spacing w:line="360" w:lineRule="auto"/>
        <w:ind w:firstLine="1440"/>
        <w:rPr>
          <w:sz w:val="26"/>
          <w:szCs w:val="26"/>
        </w:rPr>
      </w:pPr>
      <w:r w:rsidRPr="00591394">
        <w:rPr>
          <w:sz w:val="26"/>
          <w:szCs w:val="26"/>
        </w:rPr>
        <w:lastRenderedPageBreak/>
        <w:t>With regard to the specific terms of the proposed Settlement, Duquesne states that, in response to concerns with the effectiveness of the Low-</w:t>
      </w:r>
      <w:r w:rsidR="00884E52" w:rsidRPr="00591394">
        <w:rPr>
          <w:sz w:val="26"/>
          <w:szCs w:val="26"/>
        </w:rPr>
        <w:t>I</w:t>
      </w:r>
      <w:r w:rsidRPr="00591394">
        <w:rPr>
          <w:sz w:val="26"/>
          <w:szCs w:val="26"/>
        </w:rPr>
        <w:t>ncome Home Energy Reports Program raised by both CAUSE-PA and the OCA, the Company has agreed to significant modifications to this program.  Under the terms of the Settlement, Duquesne notes that the Company will do the following:</w:t>
      </w:r>
    </w:p>
    <w:p w14:paraId="4F74DB0B" w14:textId="77777777" w:rsidR="006C5F05" w:rsidRPr="00591394" w:rsidRDefault="006C5F05" w:rsidP="00B91F2F">
      <w:pPr>
        <w:widowControl/>
        <w:ind w:firstLine="1440"/>
        <w:rPr>
          <w:sz w:val="26"/>
          <w:szCs w:val="26"/>
        </w:rPr>
      </w:pPr>
    </w:p>
    <w:p w14:paraId="51041953" w14:textId="2AE3661F" w:rsidR="006C5F05" w:rsidRPr="00591394" w:rsidRDefault="006C5F05" w:rsidP="00C6113D">
      <w:pPr>
        <w:pStyle w:val="ListParagraph"/>
        <w:widowControl/>
        <w:numPr>
          <w:ilvl w:val="0"/>
          <w:numId w:val="10"/>
        </w:numPr>
        <w:ind w:left="2160" w:right="1440" w:hanging="720"/>
        <w:rPr>
          <w:sz w:val="26"/>
          <w:szCs w:val="26"/>
        </w:rPr>
      </w:pPr>
      <w:r w:rsidRPr="00591394">
        <w:rPr>
          <w:sz w:val="26"/>
          <w:szCs w:val="26"/>
        </w:rPr>
        <w:t>Reduce the budget for the Residential (</w:t>
      </w:r>
      <w:r w:rsidR="005B21B2" w:rsidRPr="00591394">
        <w:rPr>
          <w:sz w:val="26"/>
          <w:szCs w:val="26"/>
        </w:rPr>
        <w:t>non-low</w:t>
      </w:r>
      <w:r w:rsidR="00AB482A">
        <w:rPr>
          <w:sz w:val="26"/>
          <w:szCs w:val="26"/>
        </w:rPr>
        <w:t xml:space="preserve"> </w:t>
      </w:r>
      <w:r w:rsidR="005B21B2" w:rsidRPr="00591394">
        <w:rPr>
          <w:sz w:val="26"/>
          <w:szCs w:val="26"/>
        </w:rPr>
        <w:t>income</w:t>
      </w:r>
      <w:r w:rsidRPr="00591394">
        <w:rPr>
          <w:sz w:val="26"/>
          <w:szCs w:val="26"/>
        </w:rPr>
        <w:t>) Home Energy Reports Program from $4,165,713 to $3,335,667.</w:t>
      </w:r>
    </w:p>
    <w:p w14:paraId="254C674F" w14:textId="77777777" w:rsidR="006C5F05" w:rsidRPr="00591394" w:rsidRDefault="006C5F05" w:rsidP="00C6113D">
      <w:pPr>
        <w:pStyle w:val="ListParagraph"/>
        <w:widowControl/>
        <w:ind w:left="2160" w:right="1440"/>
        <w:rPr>
          <w:sz w:val="26"/>
          <w:szCs w:val="26"/>
        </w:rPr>
      </w:pPr>
    </w:p>
    <w:p w14:paraId="7F241996" w14:textId="77777777" w:rsidR="006C5F05" w:rsidRPr="00591394" w:rsidRDefault="006C5F05" w:rsidP="00C6113D">
      <w:pPr>
        <w:pStyle w:val="ListParagraph"/>
        <w:widowControl/>
        <w:numPr>
          <w:ilvl w:val="0"/>
          <w:numId w:val="10"/>
        </w:numPr>
        <w:ind w:left="2160" w:right="1440" w:hanging="720"/>
        <w:rPr>
          <w:sz w:val="26"/>
          <w:szCs w:val="26"/>
        </w:rPr>
      </w:pPr>
      <w:r w:rsidRPr="00591394">
        <w:rPr>
          <w:sz w:val="26"/>
          <w:szCs w:val="26"/>
        </w:rPr>
        <w:t>Reduce the budget for the Low Income Home Energy Report Program from $1,115,174 to $692,175.</w:t>
      </w:r>
    </w:p>
    <w:p w14:paraId="26F6922B" w14:textId="77777777" w:rsidR="006C5F05" w:rsidRPr="00591394" w:rsidRDefault="006C5F05" w:rsidP="00C6113D">
      <w:pPr>
        <w:widowControl/>
        <w:ind w:right="1440"/>
        <w:rPr>
          <w:sz w:val="26"/>
          <w:szCs w:val="26"/>
        </w:rPr>
      </w:pPr>
    </w:p>
    <w:p w14:paraId="5C524D11" w14:textId="3A06E14C" w:rsidR="006C5F05" w:rsidRPr="00591394" w:rsidRDefault="006C5F05" w:rsidP="00C6113D">
      <w:pPr>
        <w:pStyle w:val="ListParagraph"/>
        <w:widowControl/>
        <w:numPr>
          <w:ilvl w:val="0"/>
          <w:numId w:val="10"/>
        </w:numPr>
        <w:ind w:left="2160" w:right="1440" w:hanging="720"/>
        <w:rPr>
          <w:sz w:val="26"/>
          <w:szCs w:val="26"/>
        </w:rPr>
      </w:pPr>
      <w:r w:rsidRPr="00591394">
        <w:rPr>
          <w:sz w:val="26"/>
          <w:szCs w:val="26"/>
        </w:rPr>
        <w:t>Reduce the projected kWh savings attributable to the Low Income Home Energy Report Program from 7,500,000 to 4,655,160.</w:t>
      </w:r>
    </w:p>
    <w:p w14:paraId="76893CC0" w14:textId="77777777" w:rsidR="007F5F67" w:rsidRPr="00591394" w:rsidRDefault="007F5F67" w:rsidP="00B91F2F">
      <w:pPr>
        <w:widowControl/>
        <w:tabs>
          <w:tab w:val="left" w:pos="0"/>
        </w:tabs>
        <w:spacing w:line="360" w:lineRule="auto"/>
        <w:ind w:right="1440"/>
        <w:rPr>
          <w:sz w:val="26"/>
          <w:szCs w:val="26"/>
        </w:rPr>
      </w:pPr>
    </w:p>
    <w:p w14:paraId="6DCD70C4" w14:textId="2256C9D2" w:rsidR="006C5F05" w:rsidRPr="00591394" w:rsidRDefault="006C5F05" w:rsidP="00B91F2F">
      <w:pPr>
        <w:widowControl/>
        <w:tabs>
          <w:tab w:val="left" w:pos="0"/>
        </w:tabs>
        <w:spacing w:line="360" w:lineRule="auto"/>
        <w:ind w:right="1440"/>
        <w:rPr>
          <w:sz w:val="26"/>
          <w:szCs w:val="26"/>
        </w:rPr>
      </w:pPr>
      <w:r w:rsidRPr="00591394">
        <w:rPr>
          <w:sz w:val="26"/>
          <w:szCs w:val="26"/>
        </w:rPr>
        <w:t>Duquesne St</w:t>
      </w:r>
      <w:r w:rsidR="009A11B9" w:rsidRPr="00591394">
        <w:rPr>
          <w:sz w:val="26"/>
          <w:szCs w:val="26"/>
        </w:rPr>
        <w:t>atement in Support</w:t>
      </w:r>
      <w:r w:rsidRPr="00591394">
        <w:rPr>
          <w:sz w:val="26"/>
          <w:szCs w:val="26"/>
        </w:rPr>
        <w:t xml:space="preserve"> at 17-19.</w:t>
      </w:r>
    </w:p>
    <w:p w14:paraId="76829028" w14:textId="09E13F87" w:rsidR="006C5F05" w:rsidRPr="00591394" w:rsidRDefault="006C5F05" w:rsidP="00B91F2F">
      <w:pPr>
        <w:widowControl/>
        <w:spacing w:line="360" w:lineRule="auto"/>
        <w:ind w:firstLine="1440"/>
        <w:rPr>
          <w:sz w:val="26"/>
          <w:szCs w:val="26"/>
        </w:rPr>
      </w:pPr>
    </w:p>
    <w:p w14:paraId="3C9FC48A" w14:textId="75151560" w:rsidR="008351CB" w:rsidRPr="00591394" w:rsidRDefault="008351CB" w:rsidP="00B91F2F">
      <w:pPr>
        <w:widowControl/>
        <w:spacing w:line="360" w:lineRule="auto"/>
        <w:ind w:firstLine="1440"/>
        <w:textAlignment w:val="baseline"/>
        <w:rPr>
          <w:color w:val="000000"/>
          <w:sz w:val="26"/>
          <w:szCs w:val="26"/>
        </w:rPr>
      </w:pPr>
      <w:r w:rsidRPr="00591394">
        <w:rPr>
          <w:color w:val="000000"/>
          <w:sz w:val="26"/>
          <w:szCs w:val="26"/>
        </w:rPr>
        <w:t xml:space="preserve">Duquesne </w:t>
      </w:r>
      <w:r w:rsidR="006C34A6" w:rsidRPr="00591394">
        <w:rPr>
          <w:color w:val="000000"/>
          <w:sz w:val="26"/>
          <w:szCs w:val="26"/>
        </w:rPr>
        <w:t xml:space="preserve">states that it </w:t>
      </w:r>
      <w:r w:rsidRPr="00591394">
        <w:rPr>
          <w:color w:val="000000"/>
          <w:sz w:val="26"/>
          <w:szCs w:val="26"/>
        </w:rPr>
        <w:t>agreed to track information related to LIEEP projects.</w:t>
      </w:r>
      <w:r w:rsidR="005E42F5" w:rsidRPr="00591394">
        <w:rPr>
          <w:color w:val="000000"/>
          <w:sz w:val="26"/>
          <w:szCs w:val="26"/>
        </w:rPr>
        <w:t xml:space="preserve"> </w:t>
      </w:r>
      <w:r w:rsidRPr="00591394">
        <w:rPr>
          <w:color w:val="000000"/>
          <w:sz w:val="26"/>
          <w:szCs w:val="26"/>
        </w:rPr>
        <w:t xml:space="preserve"> </w:t>
      </w:r>
      <w:r w:rsidR="00900F67" w:rsidRPr="00591394">
        <w:rPr>
          <w:color w:val="000000"/>
          <w:sz w:val="26"/>
          <w:szCs w:val="26"/>
        </w:rPr>
        <w:t>Specifically, Duquesne</w:t>
      </w:r>
      <w:r w:rsidRPr="00591394">
        <w:rPr>
          <w:color w:val="000000"/>
          <w:sz w:val="26"/>
          <w:szCs w:val="26"/>
        </w:rPr>
        <w:t xml:space="preserve"> will track the numbers of, and reasons for, LIEEP jobs that do not move forward, separately tracked for low</w:t>
      </w:r>
      <w:r w:rsidR="002B02BF" w:rsidRPr="00591394">
        <w:rPr>
          <w:color w:val="000000"/>
          <w:sz w:val="26"/>
          <w:szCs w:val="26"/>
        </w:rPr>
        <w:t>-</w:t>
      </w:r>
      <w:r w:rsidRPr="00591394">
        <w:rPr>
          <w:color w:val="000000"/>
          <w:sz w:val="26"/>
          <w:szCs w:val="26"/>
        </w:rPr>
        <w:t xml:space="preserve">income single-family, master-metered multifamily, and individually-metered multifamily properties. </w:t>
      </w:r>
      <w:r w:rsidR="001B0930" w:rsidRPr="00591394">
        <w:rPr>
          <w:color w:val="000000"/>
          <w:sz w:val="26"/>
          <w:szCs w:val="26"/>
        </w:rPr>
        <w:t xml:space="preserve"> </w:t>
      </w:r>
      <w:r w:rsidRPr="00591394">
        <w:rPr>
          <w:color w:val="000000"/>
          <w:sz w:val="26"/>
          <w:szCs w:val="26"/>
        </w:rPr>
        <w:t xml:space="preserve">Duquesne will track the total number of LIEEP baseload and heating jobs, separated by the following segments: </w:t>
      </w:r>
      <w:r w:rsidR="00884E52" w:rsidRPr="00591394">
        <w:rPr>
          <w:color w:val="000000"/>
          <w:sz w:val="26"/>
          <w:szCs w:val="26"/>
        </w:rPr>
        <w:t xml:space="preserve"> </w:t>
      </w:r>
      <w:r w:rsidR="007F5F67" w:rsidRPr="00591394">
        <w:rPr>
          <w:color w:val="000000"/>
          <w:sz w:val="26"/>
          <w:szCs w:val="26"/>
        </w:rPr>
        <w:t>(</w:t>
      </w:r>
      <w:r w:rsidRPr="00591394">
        <w:rPr>
          <w:color w:val="000000"/>
          <w:sz w:val="26"/>
          <w:szCs w:val="26"/>
        </w:rPr>
        <w:t xml:space="preserve">1) low-income single-family tenants; </w:t>
      </w:r>
      <w:r w:rsidR="007F5F67" w:rsidRPr="00591394">
        <w:rPr>
          <w:color w:val="000000"/>
          <w:sz w:val="26"/>
          <w:szCs w:val="26"/>
        </w:rPr>
        <w:t>(</w:t>
      </w:r>
      <w:r w:rsidRPr="00591394">
        <w:rPr>
          <w:color w:val="000000"/>
          <w:sz w:val="26"/>
          <w:szCs w:val="26"/>
        </w:rPr>
        <w:t>2) low-income single</w:t>
      </w:r>
      <w:r w:rsidR="00AA5CE5" w:rsidRPr="00591394">
        <w:rPr>
          <w:color w:val="000000"/>
          <w:sz w:val="26"/>
          <w:szCs w:val="26"/>
        </w:rPr>
        <w:t>-</w:t>
      </w:r>
      <w:r w:rsidRPr="00591394">
        <w:rPr>
          <w:color w:val="000000"/>
          <w:sz w:val="26"/>
          <w:szCs w:val="26"/>
        </w:rPr>
        <w:t xml:space="preserve">family homeowners; </w:t>
      </w:r>
      <w:r w:rsidR="007F5F67" w:rsidRPr="00591394">
        <w:rPr>
          <w:color w:val="000000"/>
          <w:sz w:val="26"/>
          <w:szCs w:val="26"/>
        </w:rPr>
        <w:t>(</w:t>
      </w:r>
      <w:r w:rsidRPr="00591394">
        <w:rPr>
          <w:color w:val="000000"/>
          <w:sz w:val="26"/>
          <w:szCs w:val="26"/>
        </w:rPr>
        <w:t xml:space="preserve">3) low-income master-metered multifamily tenants; and </w:t>
      </w:r>
      <w:r w:rsidR="007F5F67" w:rsidRPr="00591394">
        <w:rPr>
          <w:color w:val="000000"/>
          <w:sz w:val="26"/>
          <w:szCs w:val="26"/>
        </w:rPr>
        <w:t>(</w:t>
      </w:r>
      <w:r w:rsidRPr="00591394">
        <w:rPr>
          <w:color w:val="000000"/>
          <w:sz w:val="26"/>
          <w:szCs w:val="26"/>
        </w:rPr>
        <w:t xml:space="preserve">4) low-income individually-metered multifamily tenants. </w:t>
      </w:r>
      <w:r w:rsidR="001B0930" w:rsidRPr="00591394">
        <w:rPr>
          <w:color w:val="000000"/>
          <w:sz w:val="26"/>
          <w:szCs w:val="26"/>
        </w:rPr>
        <w:t xml:space="preserve"> </w:t>
      </w:r>
      <w:r w:rsidRPr="00591394">
        <w:rPr>
          <w:color w:val="000000"/>
          <w:sz w:val="26"/>
          <w:szCs w:val="26"/>
        </w:rPr>
        <w:t xml:space="preserve">Duquesne will also track the average LIEEP job costs and energy savings. </w:t>
      </w:r>
      <w:r w:rsidR="001B0930" w:rsidRPr="00591394">
        <w:rPr>
          <w:color w:val="000000"/>
          <w:sz w:val="26"/>
          <w:szCs w:val="26"/>
        </w:rPr>
        <w:t xml:space="preserve"> </w:t>
      </w:r>
      <w:r w:rsidRPr="00591394">
        <w:rPr>
          <w:color w:val="000000"/>
          <w:sz w:val="26"/>
          <w:szCs w:val="26"/>
        </w:rPr>
        <w:t>Duquesne will provide the information specified above i</w:t>
      </w:r>
      <w:r w:rsidR="00900F67" w:rsidRPr="00591394">
        <w:rPr>
          <w:color w:val="000000"/>
          <w:sz w:val="26"/>
          <w:szCs w:val="26"/>
        </w:rPr>
        <w:t>n</w:t>
      </w:r>
      <w:r w:rsidRPr="00591394">
        <w:rPr>
          <w:color w:val="000000"/>
          <w:sz w:val="26"/>
          <w:szCs w:val="26"/>
        </w:rPr>
        <w:t xml:space="preserve"> its Income Eligible Advisory Group (IEAG)</w:t>
      </w:r>
      <w:r w:rsidR="00900F67" w:rsidRPr="00591394">
        <w:rPr>
          <w:color w:val="000000"/>
          <w:sz w:val="26"/>
          <w:szCs w:val="26"/>
        </w:rPr>
        <w:t xml:space="preserve"> </w:t>
      </w:r>
      <w:r w:rsidRPr="00591394">
        <w:rPr>
          <w:color w:val="000000"/>
          <w:sz w:val="26"/>
          <w:szCs w:val="26"/>
        </w:rPr>
        <w:t xml:space="preserve">working group meetings. </w:t>
      </w:r>
      <w:r w:rsidR="00900F67" w:rsidRPr="00591394">
        <w:rPr>
          <w:color w:val="000000"/>
          <w:sz w:val="26"/>
          <w:szCs w:val="26"/>
        </w:rPr>
        <w:t xml:space="preserve"> </w:t>
      </w:r>
      <w:r w:rsidRPr="00591394">
        <w:rPr>
          <w:color w:val="000000"/>
          <w:sz w:val="26"/>
          <w:szCs w:val="26"/>
        </w:rPr>
        <w:t xml:space="preserve">Duquesne </w:t>
      </w:r>
      <w:r w:rsidR="00A41688" w:rsidRPr="00591394">
        <w:rPr>
          <w:color w:val="000000"/>
          <w:sz w:val="26"/>
          <w:szCs w:val="26"/>
        </w:rPr>
        <w:t xml:space="preserve">provides that it </w:t>
      </w:r>
      <w:r w:rsidRPr="00591394">
        <w:rPr>
          <w:color w:val="000000"/>
          <w:sz w:val="26"/>
          <w:szCs w:val="26"/>
        </w:rPr>
        <w:t xml:space="preserve">will discuss opportunities with the IEAG for increased coordination with </w:t>
      </w:r>
      <w:r w:rsidR="00174357" w:rsidRPr="00591394">
        <w:rPr>
          <w:color w:val="000000"/>
          <w:sz w:val="26"/>
          <w:szCs w:val="26"/>
        </w:rPr>
        <w:t>Community-based Organizations (</w:t>
      </w:r>
      <w:r w:rsidRPr="00591394">
        <w:rPr>
          <w:color w:val="000000"/>
          <w:sz w:val="26"/>
          <w:szCs w:val="26"/>
        </w:rPr>
        <w:t>CBOs</w:t>
      </w:r>
      <w:r w:rsidR="00174357" w:rsidRPr="00591394">
        <w:rPr>
          <w:color w:val="000000"/>
          <w:sz w:val="26"/>
          <w:szCs w:val="26"/>
        </w:rPr>
        <w:t>)</w:t>
      </w:r>
      <w:r w:rsidRPr="00591394">
        <w:rPr>
          <w:color w:val="000000"/>
          <w:sz w:val="26"/>
          <w:szCs w:val="26"/>
        </w:rPr>
        <w:t xml:space="preserve">, and other weatherization, energy efficiency, or housing remediation assistance programs in </w:t>
      </w:r>
      <w:r w:rsidR="00CF6518" w:rsidRPr="00591394">
        <w:rPr>
          <w:color w:val="000000"/>
          <w:sz w:val="26"/>
          <w:szCs w:val="26"/>
        </w:rPr>
        <w:t>Duquesne’s</w:t>
      </w:r>
      <w:r w:rsidRPr="00591394">
        <w:rPr>
          <w:color w:val="000000"/>
          <w:sz w:val="26"/>
          <w:szCs w:val="26"/>
        </w:rPr>
        <w:t xml:space="preserve"> service territory, and will </w:t>
      </w:r>
      <w:r w:rsidRPr="00591394">
        <w:rPr>
          <w:color w:val="000000"/>
          <w:sz w:val="26"/>
          <w:szCs w:val="26"/>
        </w:rPr>
        <w:lastRenderedPageBreak/>
        <w:t xml:space="preserve">consider in good faith the IEAG’s recommendations. </w:t>
      </w:r>
      <w:r w:rsidR="00A41688" w:rsidRPr="00591394">
        <w:rPr>
          <w:color w:val="000000"/>
          <w:sz w:val="26"/>
          <w:szCs w:val="26"/>
        </w:rPr>
        <w:t xml:space="preserve"> </w:t>
      </w:r>
      <w:r w:rsidR="006C34A6" w:rsidRPr="00591394">
        <w:rPr>
          <w:color w:val="000000"/>
          <w:sz w:val="26"/>
          <w:szCs w:val="26"/>
        </w:rPr>
        <w:t>Duquesne Statement in Support at</w:t>
      </w:r>
      <w:r w:rsidR="00AB482A">
        <w:rPr>
          <w:color w:val="000000"/>
          <w:sz w:val="26"/>
          <w:szCs w:val="26"/>
        </w:rPr>
        <w:t> </w:t>
      </w:r>
      <w:r w:rsidR="006C34A6" w:rsidRPr="00591394">
        <w:rPr>
          <w:color w:val="000000"/>
          <w:sz w:val="26"/>
          <w:szCs w:val="26"/>
        </w:rPr>
        <w:t xml:space="preserve">17-18 citing </w:t>
      </w:r>
      <w:r w:rsidRPr="00591394">
        <w:rPr>
          <w:color w:val="000000"/>
          <w:sz w:val="26"/>
          <w:szCs w:val="26"/>
        </w:rPr>
        <w:t>Settlement at ¶¶ 29-34</w:t>
      </w:r>
      <w:r w:rsidR="006C34A6" w:rsidRPr="00591394">
        <w:rPr>
          <w:color w:val="000000"/>
          <w:sz w:val="26"/>
          <w:szCs w:val="26"/>
        </w:rPr>
        <w:t>)</w:t>
      </w:r>
      <w:r w:rsidRPr="00591394">
        <w:rPr>
          <w:color w:val="000000"/>
          <w:sz w:val="26"/>
          <w:szCs w:val="26"/>
        </w:rPr>
        <w:t>.</w:t>
      </w:r>
    </w:p>
    <w:p w14:paraId="214ECE39" w14:textId="77777777" w:rsidR="006C5F05" w:rsidRPr="00591394" w:rsidRDefault="006C5F05" w:rsidP="00C6113D">
      <w:pPr>
        <w:widowControl/>
        <w:spacing w:line="360" w:lineRule="auto"/>
        <w:ind w:firstLine="1440"/>
        <w:rPr>
          <w:sz w:val="26"/>
          <w:szCs w:val="26"/>
        </w:rPr>
      </w:pPr>
    </w:p>
    <w:p w14:paraId="1B9E3C50" w14:textId="2D64A606" w:rsidR="00026B3C" w:rsidRPr="00591394" w:rsidRDefault="00E7180E" w:rsidP="00C6113D">
      <w:pPr>
        <w:widowControl/>
        <w:spacing w:line="360" w:lineRule="auto"/>
        <w:ind w:firstLine="1440"/>
        <w:rPr>
          <w:sz w:val="26"/>
          <w:szCs w:val="26"/>
        </w:rPr>
      </w:pPr>
      <w:r w:rsidRPr="00591394">
        <w:rPr>
          <w:sz w:val="26"/>
          <w:szCs w:val="26"/>
        </w:rPr>
        <w:t xml:space="preserve">In response to </w:t>
      </w:r>
      <w:r w:rsidR="00486BF5" w:rsidRPr="00591394">
        <w:rPr>
          <w:sz w:val="26"/>
          <w:szCs w:val="26"/>
        </w:rPr>
        <w:t>the OCA</w:t>
      </w:r>
      <w:r w:rsidR="00DF14BF" w:rsidRPr="00591394">
        <w:rPr>
          <w:sz w:val="26"/>
          <w:szCs w:val="26"/>
        </w:rPr>
        <w:t>’s</w:t>
      </w:r>
      <w:r w:rsidR="00486BF5" w:rsidRPr="00591394">
        <w:rPr>
          <w:sz w:val="26"/>
          <w:szCs w:val="26"/>
        </w:rPr>
        <w:t xml:space="preserve"> suggestion</w:t>
      </w:r>
      <w:r w:rsidR="009F1DB8" w:rsidRPr="00591394">
        <w:rPr>
          <w:sz w:val="26"/>
          <w:szCs w:val="26"/>
        </w:rPr>
        <w:t xml:space="preserve"> that </w:t>
      </w:r>
      <w:r w:rsidR="0022610F" w:rsidRPr="00591394">
        <w:rPr>
          <w:sz w:val="26"/>
          <w:szCs w:val="26"/>
        </w:rPr>
        <w:t>Duquesne</w:t>
      </w:r>
      <w:r w:rsidR="009F1DB8" w:rsidRPr="00591394">
        <w:rPr>
          <w:sz w:val="26"/>
          <w:szCs w:val="26"/>
        </w:rPr>
        <w:t xml:space="preserve"> focus on long-lived</w:t>
      </w:r>
      <w:r w:rsidR="0022610F" w:rsidRPr="00591394">
        <w:rPr>
          <w:sz w:val="26"/>
          <w:szCs w:val="26"/>
        </w:rPr>
        <w:t>,</w:t>
      </w:r>
      <w:r w:rsidR="009F1DB8" w:rsidRPr="00591394">
        <w:rPr>
          <w:sz w:val="26"/>
          <w:szCs w:val="26"/>
        </w:rPr>
        <w:t xml:space="preserve"> deep savings measures rather than R-BEEP, </w:t>
      </w:r>
      <w:r w:rsidR="0022610F" w:rsidRPr="00591394">
        <w:rPr>
          <w:sz w:val="26"/>
          <w:szCs w:val="26"/>
        </w:rPr>
        <w:t>Duquesne</w:t>
      </w:r>
      <w:r w:rsidR="009F1DB8" w:rsidRPr="00591394">
        <w:rPr>
          <w:sz w:val="26"/>
          <w:szCs w:val="26"/>
        </w:rPr>
        <w:t xml:space="preserve"> </w:t>
      </w:r>
      <w:r w:rsidR="0022610F" w:rsidRPr="00591394">
        <w:rPr>
          <w:sz w:val="26"/>
          <w:szCs w:val="26"/>
        </w:rPr>
        <w:t>modified</w:t>
      </w:r>
      <w:r w:rsidR="009F1DB8" w:rsidRPr="00591394">
        <w:rPr>
          <w:sz w:val="26"/>
          <w:szCs w:val="26"/>
        </w:rPr>
        <w:t xml:space="preserve"> its projected costs and savings.  </w:t>
      </w:r>
      <w:r w:rsidR="00F930DC" w:rsidRPr="00591394">
        <w:rPr>
          <w:sz w:val="26"/>
          <w:szCs w:val="26"/>
        </w:rPr>
        <w:t>Duquesne submits that it agreed to invest a portion of the 2% of costs allocated for its Pilot Program to explore measures for the residential sector that are reasonably cost-</w:t>
      </w:r>
      <w:r w:rsidR="00617AE3" w:rsidRPr="00591394">
        <w:rPr>
          <w:sz w:val="26"/>
          <w:szCs w:val="26"/>
        </w:rPr>
        <w:t xml:space="preserve">effective. </w:t>
      </w:r>
      <w:r w:rsidR="00F930DC" w:rsidRPr="00591394">
        <w:rPr>
          <w:sz w:val="26"/>
          <w:szCs w:val="26"/>
        </w:rPr>
        <w:t xml:space="preserve"> </w:t>
      </w:r>
      <w:r w:rsidR="00617AE3" w:rsidRPr="00591394">
        <w:rPr>
          <w:sz w:val="26"/>
          <w:szCs w:val="26"/>
        </w:rPr>
        <w:t>Duquesne</w:t>
      </w:r>
      <w:r w:rsidR="00F930DC" w:rsidRPr="00591394">
        <w:rPr>
          <w:sz w:val="26"/>
          <w:szCs w:val="26"/>
        </w:rPr>
        <w:t xml:space="preserve"> will hold at least one stakeholder meeting in the first program year and additional </w:t>
      </w:r>
      <w:r w:rsidR="00617AE3" w:rsidRPr="00591394">
        <w:rPr>
          <w:sz w:val="26"/>
          <w:szCs w:val="26"/>
        </w:rPr>
        <w:t>meetings</w:t>
      </w:r>
      <w:r w:rsidR="00F930DC" w:rsidRPr="00591394">
        <w:rPr>
          <w:sz w:val="26"/>
          <w:szCs w:val="26"/>
        </w:rPr>
        <w:t xml:space="preserve"> as </w:t>
      </w:r>
      <w:r w:rsidR="00617AE3" w:rsidRPr="00591394">
        <w:rPr>
          <w:sz w:val="26"/>
          <w:szCs w:val="26"/>
        </w:rPr>
        <w:t>warranted</w:t>
      </w:r>
      <w:r w:rsidR="00F930DC" w:rsidRPr="00591394">
        <w:rPr>
          <w:sz w:val="26"/>
          <w:szCs w:val="26"/>
        </w:rPr>
        <w:t xml:space="preserve"> to discuss potential new measures and </w:t>
      </w:r>
      <w:r w:rsidR="00F21CC3" w:rsidRPr="00591394">
        <w:rPr>
          <w:sz w:val="26"/>
          <w:szCs w:val="26"/>
        </w:rPr>
        <w:t>associated budge</w:t>
      </w:r>
      <w:r w:rsidR="00617AE3" w:rsidRPr="00591394">
        <w:rPr>
          <w:sz w:val="26"/>
          <w:szCs w:val="26"/>
        </w:rPr>
        <w:t>t</w:t>
      </w:r>
      <w:r w:rsidR="00F21CC3" w:rsidRPr="00591394">
        <w:rPr>
          <w:sz w:val="26"/>
          <w:szCs w:val="26"/>
        </w:rPr>
        <w:t xml:space="preserve">s, which may </w:t>
      </w:r>
      <w:r w:rsidR="00617AE3" w:rsidRPr="00591394">
        <w:rPr>
          <w:sz w:val="26"/>
          <w:szCs w:val="26"/>
        </w:rPr>
        <w:t>include</w:t>
      </w:r>
      <w:r w:rsidR="00F21CC3" w:rsidRPr="00591394">
        <w:rPr>
          <w:sz w:val="26"/>
          <w:szCs w:val="26"/>
        </w:rPr>
        <w:t xml:space="preserve"> residential fuel switching, for </w:t>
      </w:r>
      <w:r w:rsidR="00617AE3" w:rsidRPr="00591394">
        <w:rPr>
          <w:sz w:val="26"/>
          <w:szCs w:val="26"/>
        </w:rPr>
        <w:t>low</w:t>
      </w:r>
      <w:r w:rsidR="002B02BF" w:rsidRPr="00591394">
        <w:rPr>
          <w:sz w:val="26"/>
          <w:szCs w:val="26"/>
        </w:rPr>
        <w:t>-</w:t>
      </w:r>
      <w:r w:rsidR="00F21CC3" w:rsidRPr="00591394">
        <w:rPr>
          <w:sz w:val="26"/>
          <w:szCs w:val="26"/>
        </w:rPr>
        <w:t>income and non-low income residential c</w:t>
      </w:r>
      <w:r w:rsidR="00617AE3" w:rsidRPr="00591394">
        <w:rPr>
          <w:sz w:val="26"/>
          <w:szCs w:val="26"/>
        </w:rPr>
        <w:t>ustomers</w:t>
      </w:r>
      <w:r w:rsidR="00F21CC3" w:rsidRPr="00591394">
        <w:rPr>
          <w:sz w:val="26"/>
          <w:szCs w:val="26"/>
        </w:rPr>
        <w:t>.  Duquesne Sta</w:t>
      </w:r>
      <w:r w:rsidR="00617AE3" w:rsidRPr="00591394">
        <w:rPr>
          <w:sz w:val="26"/>
          <w:szCs w:val="26"/>
        </w:rPr>
        <w:t>t</w:t>
      </w:r>
      <w:r w:rsidR="00F21CC3" w:rsidRPr="00591394">
        <w:rPr>
          <w:sz w:val="26"/>
          <w:szCs w:val="26"/>
        </w:rPr>
        <w:t>ement in Support at 19-20</w:t>
      </w:r>
      <w:r w:rsidR="00FA5366" w:rsidRPr="00591394">
        <w:rPr>
          <w:sz w:val="26"/>
          <w:szCs w:val="26"/>
        </w:rPr>
        <w:t xml:space="preserve"> (citing Settlement at </w:t>
      </w:r>
      <w:r w:rsidR="00302CFA" w:rsidRPr="00591394">
        <w:rPr>
          <w:sz w:val="26"/>
          <w:szCs w:val="26"/>
        </w:rPr>
        <w:t xml:space="preserve">¶ 38).  </w:t>
      </w:r>
    </w:p>
    <w:p w14:paraId="7B75CE84" w14:textId="77777777" w:rsidR="002C7B97" w:rsidRPr="00591394" w:rsidRDefault="002C7B97" w:rsidP="00C6113D">
      <w:pPr>
        <w:widowControl/>
        <w:spacing w:line="360" w:lineRule="auto"/>
        <w:ind w:firstLine="1440"/>
        <w:rPr>
          <w:sz w:val="26"/>
          <w:szCs w:val="26"/>
        </w:rPr>
      </w:pPr>
    </w:p>
    <w:p w14:paraId="7127F659" w14:textId="105721A9" w:rsidR="00A17C7C" w:rsidRPr="00591394" w:rsidRDefault="00C658BB" w:rsidP="00C6113D">
      <w:pPr>
        <w:widowControl/>
        <w:spacing w:line="360" w:lineRule="auto"/>
        <w:ind w:firstLine="1440"/>
        <w:rPr>
          <w:sz w:val="26"/>
          <w:szCs w:val="26"/>
        </w:rPr>
      </w:pPr>
      <w:r w:rsidRPr="00591394">
        <w:rPr>
          <w:sz w:val="26"/>
          <w:szCs w:val="26"/>
        </w:rPr>
        <w:t xml:space="preserve">With regard to its proposed </w:t>
      </w:r>
      <w:r w:rsidR="00A17C7C" w:rsidRPr="00591394">
        <w:rPr>
          <w:sz w:val="26"/>
          <w:szCs w:val="26"/>
        </w:rPr>
        <w:t xml:space="preserve">plan to bid savings into PJM’s FCM, Duquesne </w:t>
      </w:r>
      <w:r w:rsidR="00FD05C1" w:rsidRPr="00591394">
        <w:rPr>
          <w:sz w:val="26"/>
          <w:szCs w:val="26"/>
        </w:rPr>
        <w:t xml:space="preserve">has agreed to several commitments for its plan.  </w:t>
      </w:r>
      <w:r w:rsidR="007676EF" w:rsidRPr="00591394">
        <w:rPr>
          <w:sz w:val="26"/>
          <w:szCs w:val="26"/>
        </w:rPr>
        <w:t>Duquesne</w:t>
      </w:r>
      <w:r w:rsidR="00FD05C1" w:rsidRPr="00591394">
        <w:rPr>
          <w:sz w:val="26"/>
          <w:szCs w:val="26"/>
        </w:rPr>
        <w:t xml:space="preserve"> agrees that delivery year 2025/2026 will be the first </w:t>
      </w:r>
      <w:r w:rsidR="007676EF" w:rsidRPr="00591394">
        <w:rPr>
          <w:sz w:val="26"/>
          <w:szCs w:val="26"/>
        </w:rPr>
        <w:t>delivery</w:t>
      </w:r>
      <w:r w:rsidR="00FD05C1" w:rsidRPr="00591394">
        <w:rPr>
          <w:sz w:val="26"/>
          <w:szCs w:val="26"/>
        </w:rPr>
        <w:t xml:space="preserve"> year for which it may bid peak demand savings into the </w:t>
      </w:r>
      <w:r w:rsidR="00DB6CAF" w:rsidRPr="00591394">
        <w:rPr>
          <w:sz w:val="26"/>
          <w:szCs w:val="26"/>
        </w:rPr>
        <w:t xml:space="preserve">FCM.  </w:t>
      </w:r>
      <w:r w:rsidR="007676EF" w:rsidRPr="00591394">
        <w:rPr>
          <w:sz w:val="26"/>
          <w:szCs w:val="26"/>
        </w:rPr>
        <w:t>Duquesne</w:t>
      </w:r>
      <w:r w:rsidR="00DB6CAF" w:rsidRPr="00591394">
        <w:rPr>
          <w:sz w:val="26"/>
          <w:szCs w:val="26"/>
        </w:rPr>
        <w:t xml:space="preserve"> will only bid nonresidential peak demand savings that it considers low risk of </w:t>
      </w:r>
      <w:r w:rsidR="007676EF" w:rsidRPr="00591394">
        <w:rPr>
          <w:sz w:val="26"/>
          <w:szCs w:val="26"/>
        </w:rPr>
        <w:t>yielding</w:t>
      </w:r>
      <w:r w:rsidR="00DB6CAF" w:rsidRPr="00591394">
        <w:rPr>
          <w:sz w:val="26"/>
          <w:szCs w:val="26"/>
        </w:rPr>
        <w:t xml:space="preserve"> a PJM penalty.  </w:t>
      </w:r>
      <w:r w:rsidR="00C277B5" w:rsidRPr="00591394">
        <w:rPr>
          <w:sz w:val="26"/>
          <w:szCs w:val="26"/>
        </w:rPr>
        <w:t xml:space="preserve">Duquesne </w:t>
      </w:r>
      <w:r w:rsidR="007676EF" w:rsidRPr="00591394">
        <w:rPr>
          <w:sz w:val="26"/>
          <w:szCs w:val="26"/>
        </w:rPr>
        <w:t>Statement</w:t>
      </w:r>
      <w:r w:rsidR="00C277B5" w:rsidRPr="00591394">
        <w:rPr>
          <w:sz w:val="26"/>
          <w:szCs w:val="26"/>
        </w:rPr>
        <w:t xml:space="preserve"> in </w:t>
      </w:r>
      <w:r w:rsidR="007676EF" w:rsidRPr="00591394">
        <w:rPr>
          <w:sz w:val="26"/>
          <w:szCs w:val="26"/>
        </w:rPr>
        <w:t>Support</w:t>
      </w:r>
      <w:r w:rsidR="00C277B5" w:rsidRPr="00591394">
        <w:rPr>
          <w:sz w:val="26"/>
          <w:szCs w:val="26"/>
        </w:rPr>
        <w:t xml:space="preserve"> at 20 (citing Settlement </w:t>
      </w:r>
      <w:r w:rsidR="00072CDA" w:rsidRPr="00591394">
        <w:rPr>
          <w:sz w:val="26"/>
          <w:szCs w:val="26"/>
        </w:rPr>
        <w:t xml:space="preserve">¶ 37).  </w:t>
      </w:r>
    </w:p>
    <w:p w14:paraId="37F773E3" w14:textId="2B25A887" w:rsidR="0041199A" w:rsidRPr="00591394" w:rsidRDefault="0041199A" w:rsidP="00C6113D">
      <w:pPr>
        <w:widowControl/>
        <w:spacing w:line="360" w:lineRule="auto"/>
        <w:ind w:firstLine="1440"/>
        <w:rPr>
          <w:sz w:val="26"/>
          <w:szCs w:val="26"/>
        </w:rPr>
      </w:pPr>
    </w:p>
    <w:p w14:paraId="6273B66A" w14:textId="484E3605" w:rsidR="0041199A" w:rsidRPr="00591394" w:rsidRDefault="0041199A" w:rsidP="00C6113D">
      <w:pPr>
        <w:widowControl/>
        <w:spacing w:line="360" w:lineRule="auto"/>
        <w:ind w:firstLine="1440"/>
        <w:textAlignment w:val="baseline"/>
        <w:rPr>
          <w:color w:val="000000"/>
          <w:sz w:val="26"/>
          <w:szCs w:val="26"/>
        </w:rPr>
      </w:pPr>
      <w:r w:rsidRPr="00591394">
        <w:rPr>
          <w:color w:val="000000"/>
          <w:sz w:val="26"/>
          <w:szCs w:val="26"/>
        </w:rPr>
        <w:t xml:space="preserve">Duquesne shall not bid residential peak demand savings into the FCM. </w:t>
      </w:r>
      <w:r w:rsidR="001D465C" w:rsidRPr="00591394">
        <w:rPr>
          <w:color w:val="000000"/>
          <w:sz w:val="26"/>
          <w:szCs w:val="26"/>
        </w:rPr>
        <w:t xml:space="preserve"> </w:t>
      </w:r>
      <w:r w:rsidRPr="00591394">
        <w:rPr>
          <w:i/>
          <w:color w:val="000000"/>
          <w:sz w:val="26"/>
          <w:szCs w:val="26"/>
        </w:rPr>
        <w:t xml:space="preserve">See </w:t>
      </w:r>
      <w:r w:rsidRPr="00591394">
        <w:rPr>
          <w:color w:val="000000"/>
          <w:sz w:val="26"/>
          <w:szCs w:val="26"/>
        </w:rPr>
        <w:t>Settlement ¶ 38.</w:t>
      </w:r>
      <w:r w:rsidR="00E9085B" w:rsidRPr="00591394">
        <w:rPr>
          <w:color w:val="000000"/>
          <w:sz w:val="26"/>
          <w:szCs w:val="26"/>
        </w:rPr>
        <w:t xml:space="preserve">  </w:t>
      </w:r>
      <w:r w:rsidRPr="00591394">
        <w:rPr>
          <w:color w:val="000000"/>
          <w:sz w:val="26"/>
          <w:szCs w:val="26"/>
        </w:rPr>
        <w:t xml:space="preserve">Furthermore, Duquesne will allocate proceeds and penalties associated with FCM as described in </w:t>
      </w:r>
      <w:r w:rsidR="00AE4127" w:rsidRPr="00591394">
        <w:rPr>
          <w:color w:val="000000"/>
          <w:sz w:val="26"/>
          <w:szCs w:val="26"/>
        </w:rPr>
        <w:t xml:space="preserve">Revised Phase IV </w:t>
      </w:r>
      <w:r w:rsidRPr="00591394">
        <w:rPr>
          <w:color w:val="000000"/>
          <w:sz w:val="26"/>
          <w:szCs w:val="26"/>
        </w:rPr>
        <w:t>Plan Section 7.7, and will include a FCM component in Rider 15A of its retail tariff as depicted in Exhibit DBO-1R to Duquesne Light Statement 2-R.</w:t>
      </w:r>
      <w:r w:rsidR="00032EE3" w:rsidRPr="00591394">
        <w:rPr>
          <w:color w:val="000000"/>
          <w:sz w:val="26"/>
          <w:szCs w:val="26"/>
        </w:rPr>
        <w:t xml:space="preserve">  Duquesne Statement in Support at </w:t>
      </w:r>
      <w:r w:rsidR="00892952" w:rsidRPr="00591394">
        <w:rPr>
          <w:color w:val="000000"/>
          <w:sz w:val="26"/>
          <w:szCs w:val="26"/>
        </w:rPr>
        <w:t xml:space="preserve">20-21 (citing </w:t>
      </w:r>
      <w:r w:rsidRPr="00591394">
        <w:rPr>
          <w:color w:val="000000"/>
          <w:sz w:val="26"/>
          <w:szCs w:val="26"/>
        </w:rPr>
        <w:t>Settlement ¶¶</w:t>
      </w:r>
      <w:r w:rsidR="008811F7">
        <w:rPr>
          <w:color w:val="000000"/>
          <w:sz w:val="26"/>
          <w:szCs w:val="26"/>
        </w:rPr>
        <w:t> </w:t>
      </w:r>
      <w:r w:rsidRPr="00591394">
        <w:rPr>
          <w:color w:val="000000"/>
          <w:sz w:val="26"/>
          <w:szCs w:val="26"/>
        </w:rPr>
        <w:t>39</w:t>
      </w:r>
      <w:r w:rsidR="008811F7">
        <w:rPr>
          <w:color w:val="000000"/>
          <w:sz w:val="26"/>
          <w:szCs w:val="26"/>
        </w:rPr>
        <w:noBreakHyphen/>
      </w:r>
      <w:r w:rsidRPr="00591394">
        <w:rPr>
          <w:color w:val="000000"/>
          <w:sz w:val="26"/>
          <w:szCs w:val="26"/>
        </w:rPr>
        <w:t>40</w:t>
      </w:r>
      <w:r w:rsidR="00892952" w:rsidRPr="00591394">
        <w:rPr>
          <w:color w:val="000000"/>
          <w:sz w:val="26"/>
          <w:szCs w:val="26"/>
        </w:rPr>
        <w:t>)</w:t>
      </w:r>
      <w:r w:rsidRPr="00591394">
        <w:rPr>
          <w:color w:val="000000"/>
          <w:sz w:val="26"/>
          <w:szCs w:val="26"/>
        </w:rPr>
        <w:t>.</w:t>
      </w:r>
    </w:p>
    <w:p w14:paraId="50238C59" w14:textId="77777777" w:rsidR="0041199A" w:rsidRPr="00591394" w:rsidRDefault="0041199A" w:rsidP="00C6113D">
      <w:pPr>
        <w:widowControl/>
        <w:spacing w:line="360" w:lineRule="auto"/>
        <w:ind w:firstLine="1440"/>
        <w:textAlignment w:val="baseline"/>
        <w:rPr>
          <w:color w:val="000000"/>
          <w:sz w:val="26"/>
          <w:szCs w:val="26"/>
        </w:rPr>
      </w:pPr>
    </w:p>
    <w:p w14:paraId="3D56D23F" w14:textId="6C8688D0" w:rsidR="0041199A" w:rsidRPr="00591394" w:rsidRDefault="0041199A" w:rsidP="00C6113D">
      <w:pPr>
        <w:widowControl/>
        <w:spacing w:line="360" w:lineRule="auto"/>
        <w:ind w:firstLine="1440"/>
        <w:textAlignment w:val="baseline"/>
        <w:rPr>
          <w:color w:val="000000"/>
          <w:sz w:val="26"/>
          <w:szCs w:val="26"/>
        </w:rPr>
      </w:pPr>
      <w:r w:rsidRPr="00591394">
        <w:rPr>
          <w:color w:val="000000"/>
          <w:sz w:val="26"/>
          <w:szCs w:val="26"/>
        </w:rPr>
        <w:t xml:space="preserve">In response to </w:t>
      </w:r>
      <w:r w:rsidR="00E8470F" w:rsidRPr="00591394">
        <w:rPr>
          <w:color w:val="000000"/>
          <w:sz w:val="26"/>
          <w:szCs w:val="26"/>
        </w:rPr>
        <w:t xml:space="preserve">the </w:t>
      </w:r>
      <w:r w:rsidRPr="00591394">
        <w:rPr>
          <w:color w:val="000000"/>
          <w:sz w:val="26"/>
          <w:szCs w:val="26"/>
        </w:rPr>
        <w:t>OCA’s concerns with the tracking of Phase III costs incurred after June 1</w:t>
      </w:r>
      <w:r w:rsidR="007255C8" w:rsidRPr="00591394">
        <w:rPr>
          <w:color w:val="000000"/>
          <w:sz w:val="26"/>
          <w:szCs w:val="26"/>
        </w:rPr>
        <w:t>,</w:t>
      </w:r>
      <w:r w:rsidRPr="00591394">
        <w:rPr>
          <w:color w:val="000000"/>
          <w:sz w:val="26"/>
          <w:szCs w:val="26"/>
        </w:rPr>
        <w:t xml:space="preserve"> 2021, Duquesne agreed to separately track Phase III costs incurred </w:t>
      </w:r>
      <w:r w:rsidRPr="00591394">
        <w:rPr>
          <w:color w:val="000000"/>
          <w:sz w:val="26"/>
          <w:szCs w:val="26"/>
        </w:rPr>
        <w:lastRenderedPageBreak/>
        <w:t xml:space="preserve">after </w:t>
      </w:r>
      <w:r w:rsidR="007255C8" w:rsidRPr="00591394">
        <w:rPr>
          <w:color w:val="000000"/>
          <w:sz w:val="26"/>
          <w:szCs w:val="26"/>
        </w:rPr>
        <w:t>June 1, 2021 and</w:t>
      </w:r>
      <w:r w:rsidRPr="00591394">
        <w:rPr>
          <w:color w:val="000000"/>
          <w:sz w:val="26"/>
          <w:szCs w:val="26"/>
        </w:rPr>
        <w:t xml:space="preserve"> report such costs as separate line items in its 1307(e) EEC surcharge reconciliations. </w:t>
      </w:r>
      <w:r w:rsidR="007255C8" w:rsidRPr="00591394">
        <w:rPr>
          <w:color w:val="000000"/>
          <w:sz w:val="26"/>
          <w:szCs w:val="26"/>
        </w:rPr>
        <w:t xml:space="preserve"> </w:t>
      </w:r>
      <w:r w:rsidRPr="00591394">
        <w:rPr>
          <w:color w:val="000000"/>
          <w:sz w:val="26"/>
          <w:szCs w:val="26"/>
        </w:rPr>
        <w:t xml:space="preserve">Duquesne also will separately track any proceeds and penalties associated with FCM </w:t>
      </w:r>
      <w:r w:rsidR="0094663A" w:rsidRPr="00591394">
        <w:rPr>
          <w:color w:val="000000"/>
          <w:sz w:val="26"/>
          <w:szCs w:val="26"/>
        </w:rPr>
        <w:t>participation and</w:t>
      </w:r>
      <w:r w:rsidRPr="00591394">
        <w:rPr>
          <w:color w:val="000000"/>
          <w:sz w:val="26"/>
          <w:szCs w:val="26"/>
        </w:rPr>
        <w:t xml:space="preserve"> shall report such proceeds/penalties as separate line items in its 1307(e) EEC surcharge reconciliations. </w:t>
      </w:r>
      <w:r w:rsidR="00892952" w:rsidRPr="00591394">
        <w:rPr>
          <w:color w:val="000000"/>
          <w:sz w:val="26"/>
          <w:szCs w:val="26"/>
        </w:rPr>
        <w:t xml:space="preserve"> Duquesne Statement in Support at </w:t>
      </w:r>
      <w:r w:rsidR="0094663A" w:rsidRPr="00591394">
        <w:rPr>
          <w:color w:val="000000"/>
          <w:sz w:val="26"/>
          <w:szCs w:val="26"/>
        </w:rPr>
        <w:t xml:space="preserve">21 (citing </w:t>
      </w:r>
      <w:r w:rsidRPr="00591394">
        <w:rPr>
          <w:color w:val="000000"/>
          <w:sz w:val="26"/>
          <w:szCs w:val="26"/>
        </w:rPr>
        <w:t>Settlement ¶¶ 41-42</w:t>
      </w:r>
      <w:r w:rsidR="0094663A" w:rsidRPr="00591394">
        <w:rPr>
          <w:color w:val="000000"/>
          <w:sz w:val="26"/>
          <w:szCs w:val="26"/>
        </w:rPr>
        <w:t>)</w:t>
      </w:r>
      <w:r w:rsidRPr="00591394">
        <w:rPr>
          <w:color w:val="000000"/>
          <w:sz w:val="26"/>
          <w:szCs w:val="26"/>
        </w:rPr>
        <w:t>.</w:t>
      </w:r>
    </w:p>
    <w:p w14:paraId="63AE0651" w14:textId="77777777" w:rsidR="00B247BF" w:rsidRPr="00591394" w:rsidRDefault="00B247BF" w:rsidP="00C6113D">
      <w:pPr>
        <w:widowControl/>
        <w:tabs>
          <w:tab w:val="left" w:pos="0"/>
        </w:tabs>
        <w:spacing w:line="360" w:lineRule="auto"/>
        <w:ind w:right="1440"/>
        <w:rPr>
          <w:sz w:val="26"/>
          <w:szCs w:val="26"/>
        </w:rPr>
      </w:pPr>
    </w:p>
    <w:p w14:paraId="544B2B37" w14:textId="499BE8A7" w:rsidR="004B1E4D" w:rsidRPr="00591394" w:rsidRDefault="00B247BF" w:rsidP="00C6113D">
      <w:pPr>
        <w:widowControl/>
        <w:tabs>
          <w:tab w:val="left" w:pos="0"/>
        </w:tabs>
        <w:spacing w:line="360" w:lineRule="auto"/>
        <w:rPr>
          <w:sz w:val="26"/>
          <w:szCs w:val="26"/>
        </w:rPr>
      </w:pPr>
      <w:r w:rsidRPr="00591394">
        <w:rPr>
          <w:sz w:val="26"/>
          <w:szCs w:val="26"/>
        </w:rPr>
        <w:tab/>
      </w:r>
      <w:r w:rsidRPr="00591394">
        <w:rPr>
          <w:sz w:val="26"/>
          <w:szCs w:val="26"/>
        </w:rPr>
        <w:tab/>
      </w:r>
      <w:r w:rsidR="00716A0B" w:rsidRPr="00591394">
        <w:rPr>
          <w:sz w:val="26"/>
          <w:szCs w:val="26"/>
        </w:rPr>
        <w:t xml:space="preserve">In its Statement, CAUSE-PA </w:t>
      </w:r>
      <w:r w:rsidR="004B1E4D" w:rsidRPr="00591394">
        <w:rPr>
          <w:sz w:val="26"/>
          <w:szCs w:val="26"/>
        </w:rPr>
        <w:t xml:space="preserve">submits </w:t>
      </w:r>
      <w:r w:rsidR="00716A0B" w:rsidRPr="00591394">
        <w:rPr>
          <w:sz w:val="26"/>
          <w:szCs w:val="26"/>
        </w:rPr>
        <w:t xml:space="preserve">that the proposed terms and conditions of the </w:t>
      </w:r>
      <w:r w:rsidR="0093263F" w:rsidRPr="00591394">
        <w:rPr>
          <w:sz w:val="26"/>
          <w:szCs w:val="26"/>
        </w:rPr>
        <w:t>Settlement are</w:t>
      </w:r>
      <w:r w:rsidR="00716A0B" w:rsidRPr="00591394">
        <w:rPr>
          <w:sz w:val="26"/>
          <w:szCs w:val="26"/>
        </w:rPr>
        <w:t xml:space="preserve"> in the public interest and should be approved.  CAUSE-PA St</w:t>
      </w:r>
      <w:r w:rsidR="00CA30F3" w:rsidRPr="00591394">
        <w:rPr>
          <w:sz w:val="26"/>
          <w:szCs w:val="26"/>
        </w:rPr>
        <w:t>atement in Support</w:t>
      </w:r>
      <w:r w:rsidR="00716A0B" w:rsidRPr="00591394">
        <w:rPr>
          <w:sz w:val="26"/>
          <w:szCs w:val="26"/>
        </w:rPr>
        <w:t xml:space="preserve"> at 1.  CAUSE-PA states that the Settlement </w:t>
      </w:r>
      <w:r w:rsidR="00411666" w:rsidRPr="00591394">
        <w:rPr>
          <w:sz w:val="26"/>
          <w:szCs w:val="26"/>
        </w:rPr>
        <w:t xml:space="preserve">addresses issue of concern of CAUSE-PA, balances the interests of the </w:t>
      </w:r>
      <w:r w:rsidR="0077609F" w:rsidRPr="00591394">
        <w:rPr>
          <w:sz w:val="26"/>
          <w:szCs w:val="26"/>
        </w:rPr>
        <w:t>P</w:t>
      </w:r>
      <w:r w:rsidR="00411666" w:rsidRPr="00591394">
        <w:rPr>
          <w:sz w:val="26"/>
          <w:szCs w:val="26"/>
        </w:rPr>
        <w:t>arties, and fairly resolves a number of important issues in the proceeding</w:t>
      </w:r>
      <w:r w:rsidR="00302AB7" w:rsidRPr="00591394">
        <w:rPr>
          <w:sz w:val="26"/>
          <w:szCs w:val="26"/>
        </w:rPr>
        <w:t xml:space="preserve">.  CAUSE-PA provides that, if approved, the Settlement will avoid substantial </w:t>
      </w:r>
      <w:r w:rsidR="009671BD" w:rsidRPr="00591394">
        <w:rPr>
          <w:sz w:val="26"/>
          <w:szCs w:val="26"/>
        </w:rPr>
        <w:t>litigation</w:t>
      </w:r>
      <w:r w:rsidR="00302AB7" w:rsidRPr="00591394">
        <w:rPr>
          <w:sz w:val="26"/>
          <w:szCs w:val="26"/>
        </w:rPr>
        <w:t xml:space="preserve"> and associated cos</w:t>
      </w:r>
      <w:r w:rsidR="009671BD" w:rsidRPr="00591394">
        <w:rPr>
          <w:sz w:val="26"/>
          <w:szCs w:val="26"/>
        </w:rPr>
        <w:t>ts</w:t>
      </w:r>
      <w:r w:rsidR="00302AB7" w:rsidRPr="00591394">
        <w:rPr>
          <w:sz w:val="26"/>
          <w:szCs w:val="26"/>
        </w:rPr>
        <w:t xml:space="preserve">, and will eliminate the possibility of further </w:t>
      </w:r>
      <w:r w:rsidR="009671BD" w:rsidRPr="00591394">
        <w:rPr>
          <w:sz w:val="26"/>
          <w:szCs w:val="26"/>
        </w:rPr>
        <w:t>appeals</w:t>
      </w:r>
      <w:r w:rsidR="00302AB7" w:rsidRPr="00591394">
        <w:rPr>
          <w:sz w:val="26"/>
          <w:szCs w:val="26"/>
        </w:rPr>
        <w:t xml:space="preserve"> and associated co</w:t>
      </w:r>
      <w:r w:rsidR="002D5D90" w:rsidRPr="00591394">
        <w:rPr>
          <w:sz w:val="26"/>
          <w:szCs w:val="26"/>
        </w:rPr>
        <w:t>s</w:t>
      </w:r>
      <w:r w:rsidR="00302AB7" w:rsidRPr="00591394">
        <w:rPr>
          <w:sz w:val="26"/>
          <w:szCs w:val="26"/>
        </w:rPr>
        <w:t xml:space="preserve">ts.  </w:t>
      </w:r>
      <w:r w:rsidR="00716A0B" w:rsidRPr="00591394">
        <w:rPr>
          <w:i/>
          <w:sz w:val="26"/>
          <w:szCs w:val="26"/>
        </w:rPr>
        <w:t>Id</w:t>
      </w:r>
      <w:r w:rsidR="0093263F" w:rsidRPr="00591394">
        <w:rPr>
          <w:sz w:val="26"/>
          <w:szCs w:val="26"/>
        </w:rPr>
        <w:t>. at 2</w:t>
      </w:r>
      <w:r w:rsidR="00716A0B" w:rsidRPr="00591394">
        <w:rPr>
          <w:sz w:val="26"/>
          <w:szCs w:val="26"/>
        </w:rPr>
        <w:t xml:space="preserve">. </w:t>
      </w:r>
    </w:p>
    <w:p w14:paraId="62C5B1DF" w14:textId="77777777" w:rsidR="004B1E4D" w:rsidRPr="00591394" w:rsidRDefault="004B1E4D" w:rsidP="00C6113D">
      <w:pPr>
        <w:widowControl/>
        <w:spacing w:line="360" w:lineRule="auto"/>
        <w:ind w:firstLine="1440"/>
        <w:rPr>
          <w:sz w:val="26"/>
          <w:szCs w:val="26"/>
        </w:rPr>
      </w:pPr>
    </w:p>
    <w:p w14:paraId="080FF854" w14:textId="2D639E18" w:rsidR="00184809" w:rsidRPr="00591394" w:rsidRDefault="00346625" w:rsidP="00C6113D">
      <w:pPr>
        <w:widowControl/>
        <w:spacing w:line="360" w:lineRule="auto"/>
        <w:ind w:firstLine="1440"/>
        <w:rPr>
          <w:sz w:val="26"/>
          <w:szCs w:val="26"/>
        </w:rPr>
      </w:pPr>
      <w:r w:rsidRPr="00591394">
        <w:rPr>
          <w:sz w:val="26"/>
          <w:szCs w:val="26"/>
        </w:rPr>
        <w:t>CAUSE-PA</w:t>
      </w:r>
      <w:r w:rsidR="004B1E4D" w:rsidRPr="00591394">
        <w:rPr>
          <w:sz w:val="26"/>
          <w:szCs w:val="26"/>
        </w:rPr>
        <w:t xml:space="preserve"> </w:t>
      </w:r>
      <w:r w:rsidR="0080714B" w:rsidRPr="00591394">
        <w:rPr>
          <w:sz w:val="26"/>
          <w:szCs w:val="26"/>
        </w:rPr>
        <w:t xml:space="preserve">supports the </w:t>
      </w:r>
      <w:r w:rsidR="00C313CF" w:rsidRPr="00591394">
        <w:rPr>
          <w:sz w:val="26"/>
          <w:szCs w:val="26"/>
        </w:rPr>
        <w:t xml:space="preserve">reallocation of approximately $2 million </w:t>
      </w:r>
      <w:r w:rsidR="003E2267" w:rsidRPr="00591394">
        <w:rPr>
          <w:sz w:val="26"/>
          <w:szCs w:val="26"/>
        </w:rPr>
        <w:t>into more durable, comprehensive measures that will result in greater direct bill savings for low</w:t>
      </w:r>
      <w:r w:rsidR="002B02BF" w:rsidRPr="00591394">
        <w:rPr>
          <w:sz w:val="26"/>
          <w:szCs w:val="26"/>
        </w:rPr>
        <w:t>-</w:t>
      </w:r>
      <w:r w:rsidR="003E2267" w:rsidRPr="00591394">
        <w:rPr>
          <w:sz w:val="26"/>
          <w:szCs w:val="26"/>
        </w:rPr>
        <w:t xml:space="preserve">income customers.  </w:t>
      </w:r>
      <w:r w:rsidR="00184809" w:rsidRPr="00591394">
        <w:rPr>
          <w:sz w:val="26"/>
          <w:szCs w:val="26"/>
        </w:rPr>
        <w:t xml:space="preserve">CAUSE-PA Statement in Support at 4 (citing Settlement </w:t>
      </w:r>
      <w:r w:rsidR="003C7599" w:rsidRPr="00591394">
        <w:rPr>
          <w:sz w:val="26"/>
          <w:szCs w:val="26"/>
        </w:rPr>
        <w:t xml:space="preserve">¶ 31).  CAUSE-PA provides that its witness, Mr. Grevatt recommended that the Company shift the relative percent of savings derived from </w:t>
      </w:r>
      <w:r w:rsidR="003A4034" w:rsidRPr="00591394">
        <w:rPr>
          <w:sz w:val="26"/>
          <w:szCs w:val="26"/>
        </w:rPr>
        <w:t>lighting</w:t>
      </w:r>
      <w:r w:rsidR="003C7599" w:rsidRPr="00591394">
        <w:rPr>
          <w:sz w:val="26"/>
          <w:szCs w:val="26"/>
        </w:rPr>
        <w:t xml:space="preserve"> and LI</w:t>
      </w:r>
      <w:r w:rsidR="003A4034" w:rsidRPr="00591394">
        <w:rPr>
          <w:sz w:val="26"/>
          <w:szCs w:val="26"/>
        </w:rPr>
        <w:t>-</w:t>
      </w:r>
      <w:r w:rsidR="003C7599" w:rsidRPr="00591394">
        <w:rPr>
          <w:sz w:val="26"/>
          <w:szCs w:val="26"/>
        </w:rPr>
        <w:t xml:space="preserve">BEEP measures to measures that would result in more long-lived and increased </w:t>
      </w:r>
      <w:r w:rsidR="003A4034" w:rsidRPr="00591394">
        <w:rPr>
          <w:sz w:val="26"/>
          <w:szCs w:val="26"/>
        </w:rPr>
        <w:t>direct</w:t>
      </w:r>
      <w:r w:rsidR="003C7599" w:rsidRPr="00591394">
        <w:rPr>
          <w:sz w:val="26"/>
          <w:szCs w:val="26"/>
        </w:rPr>
        <w:t xml:space="preserve"> bill savings for lo</w:t>
      </w:r>
      <w:r w:rsidRPr="00591394">
        <w:rPr>
          <w:sz w:val="26"/>
          <w:szCs w:val="26"/>
        </w:rPr>
        <w:t>w</w:t>
      </w:r>
      <w:r w:rsidR="002B02BF" w:rsidRPr="00591394">
        <w:rPr>
          <w:sz w:val="26"/>
          <w:szCs w:val="26"/>
        </w:rPr>
        <w:t>-</w:t>
      </w:r>
      <w:r w:rsidR="003C7599" w:rsidRPr="00591394">
        <w:rPr>
          <w:sz w:val="26"/>
          <w:szCs w:val="26"/>
        </w:rPr>
        <w:t xml:space="preserve">income households.  </w:t>
      </w:r>
      <w:r w:rsidR="003A4034" w:rsidRPr="00591394">
        <w:rPr>
          <w:sz w:val="26"/>
          <w:szCs w:val="26"/>
        </w:rPr>
        <w:t>CAUSE-PA Statement in Support at 4 (citing CAUSE-PA St. 1 at 26</w:t>
      </w:r>
      <w:r w:rsidR="00413D37" w:rsidRPr="00591394">
        <w:rPr>
          <w:sz w:val="26"/>
          <w:szCs w:val="26"/>
        </w:rPr>
        <w:t>)</w:t>
      </w:r>
      <w:r w:rsidR="003A4034" w:rsidRPr="00591394">
        <w:rPr>
          <w:sz w:val="26"/>
          <w:szCs w:val="26"/>
        </w:rPr>
        <w:t>.</w:t>
      </w:r>
      <w:r w:rsidR="00413D37" w:rsidRPr="00591394">
        <w:rPr>
          <w:sz w:val="26"/>
          <w:szCs w:val="26"/>
        </w:rPr>
        <w:t xml:space="preserve">  </w:t>
      </w:r>
      <w:r w:rsidR="003A4034" w:rsidRPr="00591394">
        <w:rPr>
          <w:sz w:val="26"/>
          <w:szCs w:val="26"/>
        </w:rPr>
        <w:t xml:space="preserve">  </w:t>
      </w:r>
    </w:p>
    <w:p w14:paraId="59B20C44" w14:textId="6D511FA8" w:rsidR="00184809" w:rsidRPr="00591394" w:rsidRDefault="00184809" w:rsidP="00C6113D">
      <w:pPr>
        <w:widowControl/>
        <w:spacing w:line="360" w:lineRule="auto"/>
        <w:ind w:firstLine="1440"/>
        <w:rPr>
          <w:sz w:val="26"/>
          <w:szCs w:val="26"/>
        </w:rPr>
      </w:pPr>
    </w:p>
    <w:p w14:paraId="138A763B" w14:textId="162CC562" w:rsidR="000F6FE9" w:rsidRPr="00591394" w:rsidRDefault="00413D37" w:rsidP="00C6113D">
      <w:pPr>
        <w:widowControl/>
        <w:spacing w:line="360" w:lineRule="auto"/>
        <w:ind w:firstLine="1440"/>
        <w:rPr>
          <w:sz w:val="26"/>
          <w:szCs w:val="26"/>
        </w:rPr>
      </w:pPr>
      <w:r w:rsidRPr="00591394">
        <w:rPr>
          <w:sz w:val="26"/>
          <w:szCs w:val="26"/>
        </w:rPr>
        <w:t xml:space="preserve">CAUSE-PA </w:t>
      </w:r>
      <w:r w:rsidR="004F094D" w:rsidRPr="00591394">
        <w:rPr>
          <w:sz w:val="26"/>
          <w:szCs w:val="26"/>
        </w:rPr>
        <w:t>notes that the Settlement also provides that the Company will increase its tracking of LIEEP jobs</w:t>
      </w:r>
      <w:r w:rsidR="00BA3B48" w:rsidRPr="00591394">
        <w:rPr>
          <w:sz w:val="26"/>
          <w:szCs w:val="26"/>
        </w:rPr>
        <w:t xml:space="preserve"> that do not move forward by </w:t>
      </w:r>
      <w:r w:rsidR="008B0847" w:rsidRPr="00591394">
        <w:rPr>
          <w:sz w:val="26"/>
          <w:szCs w:val="26"/>
        </w:rPr>
        <w:t>single family, multifamily, and meter type</w:t>
      </w:r>
      <w:r w:rsidR="004F094D" w:rsidRPr="00591394">
        <w:rPr>
          <w:sz w:val="26"/>
          <w:szCs w:val="26"/>
        </w:rPr>
        <w:t xml:space="preserve">.  </w:t>
      </w:r>
      <w:r w:rsidR="00F40E91" w:rsidRPr="00591394">
        <w:rPr>
          <w:sz w:val="26"/>
          <w:szCs w:val="26"/>
        </w:rPr>
        <w:t xml:space="preserve">CAUSE-PA submits that these Settlement provisions improve Duquesne’s tracking and recording of LIEEP jobs and helps to ensure the Commission, the Company, interested parties, and stakeholders are provided additional data to evaluate the effectiveness and savings achieved through the Plan’s </w:t>
      </w:r>
      <w:r w:rsidR="008B0847" w:rsidRPr="00591394">
        <w:rPr>
          <w:sz w:val="26"/>
          <w:szCs w:val="26"/>
        </w:rPr>
        <w:t>low</w:t>
      </w:r>
      <w:r w:rsidR="002B02BF" w:rsidRPr="00591394">
        <w:rPr>
          <w:sz w:val="26"/>
          <w:szCs w:val="26"/>
        </w:rPr>
        <w:t>-</w:t>
      </w:r>
      <w:r w:rsidR="00F40E91" w:rsidRPr="00591394">
        <w:rPr>
          <w:sz w:val="26"/>
          <w:szCs w:val="26"/>
        </w:rPr>
        <w:t>income mea</w:t>
      </w:r>
      <w:r w:rsidR="008B0847" w:rsidRPr="00591394">
        <w:rPr>
          <w:sz w:val="26"/>
          <w:szCs w:val="26"/>
        </w:rPr>
        <w:t>sures</w:t>
      </w:r>
      <w:r w:rsidR="00F40E91" w:rsidRPr="00591394">
        <w:rPr>
          <w:sz w:val="26"/>
          <w:szCs w:val="26"/>
        </w:rPr>
        <w:t xml:space="preserve">.  </w:t>
      </w:r>
      <w:r w:rsidR="00D357E7" w:rsidRPr="00591394">
        <w:rPr>
          <w:sz w:val="26"/>
          <w:szCs w:val="26"/>
        </w:rPr>
        <w:t xml:space="preserve">According to CAUSE-PA, this additional data tracking will help in evaluating </w:t>
      </w:r>
      <w:r w:rsidR="00D357E7" w:rsidRPr="00591394">
        <w:rPr>
          <w:sz w:val="26"/>
          <w:szCs w:val="26"/>
        </w:rPr>
        <w:lastRenderedPageBreak/>
        <w:t xml:space="preserve">whether customers benefit from LIEEP, </w:t>
      </w:r>
      <w:r w:rsidR="008B0847" w:rsidRPr="00591394">
        <w:rPr>
          <w:sz w:val="26"/>
          <w:szCs w:val="26"/>
        </w:rPr>
        <w:t>regardless</w:t>
      </w:r>
      <w:r w:rsidR="00D357E7" w:rsidRPr="00591394">
        <w:rPr>
          <w:sz w:val="26"/>
          <w:szCs w:val="26"/>
        </w:rPr>
        <w:t xml:space="preserve"> of </w:t>
      </w:r>
      <w:r w:rsidR="000F6FE9" w:rsidRPr="00591394">
        <w:rPr>
          <w:sz w:val="26"/>
          <w:szCs w:val="26"/>
        </w:rPr>
        <w:t>whether</w:t>
      </w:r>
      <w:r w:rsidR="008E6221" w:rsidRPr="00591394">
        <w:rPr>
          <w:sz w:val="26"/>
          <w:szCs w:val="26"/>
        </w:rPr>
        <w:t xml:space="preserve"> they are homeowners or tenants and regardless of meter type.  CAUSE-PA Statement in Support at 5 (citing Settlement ¶</w:t>
      </w:r>
      <w:r w:rsidR="00BA3B48" w:rsidRPr="00591394">
        <w:rPr>
          <w:sz w:val="26"/>
          <w:szCs w:val="26"/>
        </w:rPr>
        <w:t xml:space="preserve"> 32).</w:t>
      </w:r>
    </w:p>
    <w:p w14:paraId="48277085" w14:textId="77777777" w:rsidR="00AA382E" w:rsidRPr="00591394" w:rsidRDefault="00AA382E" w:rsidP="00C6113D">
      <w:pPr>
        <w:widowControl/>
        <w:spacing w:line="360" w:lineRule="auto"/>
        <w:ind w:firstLine="1440"/>
        <w:rPr>
          <w:sz w:val="26"/>
          <w:szCs w:val="26"/>
        </w:rPr>
      </w:pPr>
    </w:p>
    <w:p w14:paraId="2EE55650" w14:textId="71594C2E" w:rsidR="00B82449" w:rsidRPr="00591394" w:rsidRDefault="00842F3D" w:rsidP="00C6113D">
      <w:pPr>
        <w:widowControl/>
        <w:spacing w:line="360" w:lineRule="auto"/>
        <w:ind w:firstLine="1440"/>
        <w:rPr>
          <w:sz w:val="26"/>
          <w:szCs w:val="26"/>
        </w:rPr>
      </w:pPr>
      <w:r w:rsidRPr="00591394">
        <w:rPr>
          <w:sz w:val="26"/>
          <w:szCs w:val="26"/>
        </w:rPr>
        <w:t xml:space="preserve">Additionally, CAUSE-PA </w:t>
      </w:r>
      <w:r w:rsidR="00DD49FE" w:rsidRPr="00591394">
        <w:rPr>
          <w:sz w:val="26"/>
          <w:szCs w:val="26"/>
        </w:rPr>
        <w:t xml:space="preserve">submits that the </w:t>
      </w:r>
      <w:r w:rsidR="00F52AF3" w:rsidRPr="00591394">
        <w:rPr>
          <w:sz w:val="26"/>
          <w:szCs w:val="26"/>
        </w:rPr>
        <w:t>Settlement</w:t>
      </w:r>
      <w:r w:rsidR="00DD49FE" w:rsidRPr="00591394">
        <w:rPr>
          <w:sz w:val="26"/>
          <w:szCs w:val="26"/>
        </w:rPr>
        <w:t xml:space="preserve"> requires the Company to discuss opportunities with its IEAG </w:t>
      </w:r>
      <w:r w:rsidR="0091211B" w:rsidRPr="00591394">
        <w:rPr>
          <w:sz w:val="26"/>
          <w:szCs w:val="26"/>
        </w:rPr>
        <w:t xml:space="preserve">for increased coordination with </w:t>
      </w:r>
      <w:r w:rsidR="005D09E9" w:rsidRPr="00591394">
        <w:rPr>
          <w:sz w:val="26"/>
          <w:szCs w:val="26"/>
        </w:rPr>
        <w:t>CBOs, as</w:t>
      </w:r>
      <w:r w:rsidR="006C2792" w:rsidRPr="00591394">
        <w:rPr>
          <w:sz w:val="26"/>
          <w:szCs w:val="26"/>
        </w:rPr>
        <w:t xml:space="preserve"> well as other weatherization, energy efficiency, or housing remediation assi</w:t>
      </w:r>
      <w:r w:rsidR="00F52AF3" w:rsidRPr="00591394">
        <w:rPr>
          <w:sz w:val="26"/>
          <w:szCs w:val="26"/>
        </w:rPr>
        <w:t>stance</w:t>
      </w:r>
      <w:r w:rsidR="006C2792" w:rsidRPr="00591394">
        <w:rPr>
          <w:sz w:val="26"/>
          <w:szCs w:val="26"/>
        </w:rPr>
        <w:t xml:space="preserve"> programs and to consider in good faith IEAG’s recommendations.  CAUSE-PA Statement in Support at 6 (citing </w:t>
      </w:r>
      <w:r w:rsidR="00580F8D" w:rsidRPr="00591394">
        <w:rPr>
          <w:sz w:val="26"/>
          <w:szCs w:val="26"/>
        </w:rPr>
        <w:t xml:space="preserve">Settlement ¶ 36).  </w:t>
      </w:r>
    </w:p>
    <w:p w14:paraId="6DE9C636" w14:textId="77777777" w:rsidR="00B82449" w:rsidRPr="00591394" w:rsidRDefault="00B82449" w:rsidP="00C6113D">
      <w:pPr>
        <w:widowControl/>
        <w:spacing w:line="360" w:lineRule="auto"/>
        <w:ind w:firstLine="1440"/>
        <w:rPr>
          <w:sz w:val="26"/>
          <w:szCs w:val="26"/>
        </w:rPr>
      </w:pPr>
    </w:p>
    <w:p w14:paraId="7A247FD2" w14:textId="730C2B1F" w:rsidR="0097314D" w:rsidRPr="00591394" w:rsidRDefault="00457B11" w:rsidP="00C6113D">
      <w:pPr>
        <w:widowControl/>
        <w:spacing w:line="360" w:lineRule="auto"/>
        <w:ind w:firstLine="1440"/>
        <w:rPr>
          <w:sz w:val="26"/>
          <w:szCs w:val="26"/>
        </w:rPr>
      </w:pPr>
      <w:r w:rsidRPr="00591394">
        <w:rPr>
          <w:sz w:val="26"/>
          <w:szCs w:val="26"/>
        </w:rPr>
        <w:t xml:space="preserve">Finally, CAUSE-PA </w:t>
      </w:r>
      <w:r w:rsidR="0097314D" w:rsidRPr="00591394">
        <w:rPr>
          <w:sz w:val="26"/>
          <w:szCs w:val="26"/>
        </w:rPr>
        <w:t xml:space="preserve">notes that the Company will invest a portion of the 2% of costs allocated for its </w:t>
      </w:r>
      <w:r w:rsidR="00F52AF3" w:rsidRPr="00591394">
        <w:rPr>
          <w:sz w:val="26"/>
          <w:szCs w:val="26"/>
        </w:rPr>
        <w:t>Pilot</w:t>
      </w:r>
      <w:r w:rsidR="0097314D" w:rsidRPr="00591394">
        <w:rPr>
          <w:sz w:val="26"/>
          <w:szCs w:val="26"/>
        </w:rPr>
        <w:t xml:space="preserve"> Program to explore measures for the residential sector that are reasonabl</w:t>
      </w:r>
      <w:r w:rsidR="0029609E" w:rsidRPr="00591394">
        <w:rPr>
          <w:sz w:val="26"/>
          <w:szCs w:val="26"/>
        </w:rPr>
        <w:t>y</w:t>
      </w:r>
      <w:r w:rsidR="0097314D" w:rsidRPr="00591394">
        <w:rPr>
          <w:sz w:val="26"/>
          <w:szCs w:val="26"/>
        </w:rPr>
        <w:t xml:space="preserve"> cost-effective, achievable, implementable, a</w:t>
      </w:r>
      <w:r w:rsidR="00F52AF3" w:rsidRPr="00591394">
        <w:rPr>
          <w:sz w:val="26"/>
          <w:szCs w:val="26"/>
        </w:rPr>
        <w:t>n</w:t>
      </w:r>
      <w:r w:rsidR="0097314D" w:rsidRPr="00591394">
        <w:rPr>
          <w:sz w:val="26"/>
          <w:szCs w:val="26"/>
        </w:rPr>
        <w:t xml:space="preserve">d allowable under applicable law and Commission directives.  </w:t>
      </w:r>
      <w:r w:rsidR="00F81DB9" w:rsidRPr="00591394">
        <w:rPr>
          <w:sz w:val="26"/>
          <w:szCs w:val="26"/>
        </w:rPr>
        <w:t xml:space="preserve">The Company is required to hold at least one stakeholder meeting in the first program year </w:t>
      </w:r>
      <w:r w:rsidR="00196D35" w:rsidRPr="00591394">
        <w:rPr>
          <w:sz w:val="26"/>
          <w:szCs w:val="26"/>
        </w:rPr>
        <w:t xml:space="preserve">and additional meetings as warranted to discuss new measures and potential budgets.  </w:t>
      </w:r>
      <w:r w:rsidR="000D5351" w:rsidRPr="00591394">
        <w:rPr>
          <w:sz w:val="26"/>
          <w:szCs w:val="26"/>
        </w:rPr>
        <w:t>CAUSE-PA notes that the Company is required to identify measures to be implemented th</w:t>
      </w:r>
      <w:r w:rsidR="00F6199A" w:rsidRPr="00591394">
        <w:rPr>
          <w:sz w:val="26"/>
          <w:szCs w:val="26"/>
        </w:rPr>
        <w:t>rough</w:t>
      </w:r>
      <w:r w:rsidR="000D5351" w:rsidRPr="00591394">
        <w:rPr>
          <w:sz w:val="26"/>
          <w:szCs w:val="26"/>
        </w:rPr>
        <w:t xml:space="preserve"> the Pilot </w:t>
      </w:r>
      <w:r w:rsidR="00F6199A" w:rsidRPr="00591394">
        <w:rPr>
          <w:sz w:val="26"/>
          <w:szCs w:val="26"/>
        </w:rPr>
        <w:t>Program</w:t>
      </w:r>
      <w:r w:rsidR="000D5351" w:rsidRPr="00591394">
        <w:rPr>
          <w:sz w:val="26"/>
          <w:szCs w:val="26"/>
        </w:rPr>
        <w:t xml:space="preserve"> by the</w:t>
      </w:r>
      <w:r w:rsidR="004D0BBB" w:rsidRPr="00591394">
        <w:rPr>
          <w:sz w:val="26"/>
          <w:szCs w:val="26"/>
        </w:rPr>
        <w:t xml:space="preserve"> end of </w:t>
      </w:r>
      <w:r w:rsidR="00F6199A" w:rsidRPr="00591394">
        <w:rPr>
          <w:sz w:val="26"/>
          <w:szCs w:val="26"/>
        </w:rPr>
        <w:t>Program</w:t>
      </w:r>
      <w:r w:rsidR="004D0BBB" w:rsidRPr="00591394">
        <w:rPr>
          <w:sz w:val="26"/>
          <w:szCs w:val="26"/>
        </w:rPr>
        <w:t xml:space="preserve"> </w:t>
      </w:r>
      <w:r w:rsidR="00F6199A" w:rsidRPr="00591394">
        <w:rPr>
          <w:sz w:val="26"/>
          <w:szCs w:val="26"/>
        </w:rPr>
        <w:t>Y</w:t>
      </w:r>
      <w:r w:rsidR="004D0BBB" w:rsidRPr="00591394">
        <w:rPr>
          <w:sz w:val="26"/>
          <w:szCs w:val="26"/>
        </w:rPr>
        <w:t>ear 14 and to implement these measures at full scale before the end of Phase</w:t>
      </w:r>
      <w:r w:rsidR="003B0A4F">
        <w:rPr>
          <w:sz w:val="26"/>
          <w:szCs w:val="26"/>
        </w:rPr>
        <w:t> </w:t>
      </w:r>
      <w:r w:rsidR="004D0BBB" w:rsidRPr="00591394">
        <w:rPr>
          <w:sz w:val="26"/>
          <w:szCs w:val="26"/>
        </w:rPr>
        <w:t xml:space="preserve">IV.  </w:t>
      </w:r>
      <w:r w:rsidR="008E3D9E" w:rsidRPr="00591394">
        <w:rPr>
          <w:sz w:val="26"/>
          <w:szCs w:val="26"/>
        </w:rPr>
        <w:t xml:space="preserve">CAUSE-PA asserts that this provision represents a reasonable compromise that </w:t>
      </w:r>
      <w:r w:rsidR="00F6199A" w:rsidRPr="00591394">
        <w:rPr>
          <w:sz w:val="26"/>
          <w:szCs w:val="26"/>
        </w:rPr>
        <w:t>appropriately</w:t>
      </w:r>
      <w:r w:rsidR="008E3D9E" w:rsidRPr="00591394">
        <w:rPr>
          <w:sz w:val="26"/>
          <w:szCs w:val="26"/>
        </w:rPr>
        <w:t xml:space="preserve"> balances the interest of the </w:t>
      </w:r>
      <w:r w:rsidR="000F6A46" w:rsidRPr="00591394">
        <w:rPr>
          <w:sz w:val="26"/>
          <w:szCs w:val="26"/>
        </w:rPr>
        <w:t>P</w:t>
      </w:r>
      <w:r w:rsidR="008E3D9E" w:rsidRPr="00591394">
        <w:rPr>
          <w:sz w:val="26"/>
          <w:szCs w:val="26"/>
        </w:rPr>
        <w:t xml:space="preserve">arties and stakeholders in this proceeding.  </w:t>
      </w:r>
      <w:r w:rsidR="003B32FF" w:rsidRPr="00591394">
        <w:rPr>
          <w:sz w:val="26"/>
          <w:szCs w:val="26"/>
        </w:rPr>
        <w:t>CAUSE-PA Statement in Support at 6-7 (citing Settlement ¶ 38).</w:t>
      </w:r>
    </w:p>
    <w:p w14:paraId="6D90D4F8" w14:textId="77777777" w:rsidR="006A664A" w:rsidRPr="00591394" w:rsidRDefault="006A664A" w:rsidP="00C6113D">
      <w:pPr>
        <w:widowControl/>
        <w:spacing w:line="360" w:lineRule="auto"/>
        <w:ind w:firstLine="1440"/>
        <w:rPr>
          <w:sz w:val="26"/>
          <w:szCs w:val="26"/>
        </w:rPr>
      </w:pPr>
    </w:p>
    <w:p w14:paraId="0CCC448A" w14:textId="71D9705D" w:rsidR="006A1FA7" w:rsidRPr="00591394" w:rsidRDefault="00605AE8" w:rsidP="00C6113D">
      <w:pPr>
        <w:widowControl/>
        <w:spacing w:line="360" w:lineRule="auto"/>
        <w:ind w:firstLine="1440"/>
        <w:rPr>
          <w:sz w:val="26"/>
          <w:szCs w:val="26"/>
        </w:rPr>
      </w:pPr>
      <w:r w:rsidRPr="00591394">
        <w:rPr>
          <w:sz w:val="26"/>
          <w:szCs w:val="26"/>
        </w:rPr>
        <w:t>In its Statement</w:t>
      </w:r>
      <w:r w:rsidR="005223E8" w:rsidRPr="00591394">
        <w:rPr>
          <w:sz w:val="26"/>
          <w:szCs w:val="26"/>
        </w:rPr>
        <w:t xml:space="preserve"> in Support</w:t>
      </w:r>
      <w:r w:rsidRPr="00591394">
        <w:rPr>
          <w:sz w:val="26"/>
          <w:szCs w:val="26"/>
        </w:rPr>
        <w:t>, the OCA</w:t>
      </w:r>
      <w:r w:rsidR="00865CDB" w:rsidRPr="00591394">
        <w:rPr>
          <w:sz w:val="26"/>
          <w:szCs w:val="26"/>
        </w:rPr>
        <w:t xml:space="preserve"> </w:t>
      </w:r>
      <w:r w:rsidR="005223E8" w:rsidRPr="00591394">
        <w:rPr>
          <w:sz w:val="26"/>
          <w:szCs w:val="26"/>
        </w:rPr>
        <w:t>provides</w:t>
      </w:r>
      <w:r w:rsidR="00865CDB" w:rsidRPr="00591394">
        <w:rPr>
          <w:sz w:val="26"/>
          <w:szCs w:val="26"/>
        </w:rPr>
        <w:t xml:space="preserve"> that </w:t>
      </w:r>
      <w:r w:rsidR="00FF477F" w:rsidRPr="00591394">
        <w:rPr>
          <w:sz w:val="26"/>
          <w:szCs w:val="26"/>
        </w:rPr>
        <w:t>its Witness, Ms.</w:t>
      </w:r>
      <w:r w:rsidR="00665A6E">
        <w:rPr>
          <w:sz w:val="26"/>
          <w:szCs w:val="26"/>
        </w:rPr>
        <w:t> </w:t>
      </w:r>
      <w:r w:rsidR="00FF477F" w:rsidRPr="00591394">
        <w:rPr>
          <w:sz w:val="26"/>
          <w:szCs w:val="26"/>
        </w:rPr>
        <w:t xml:space="preserve">Sherwood expressed concerns that savings from the R-BEEP and LI-BEEP programs </w:t>
      </w:r>
      <w:r w:rsidR="00AA09CC" w:rsidRPr="00591394">
        <w:rPr>
          <w:sz w:val="26"/>
          <w:szCs w:val="26"/>
        </w:rPr>
        <w:t xml:space="preserve">may be lower than expected due to the impacts of COVID-19 and limited ability for participants to lower their at-home usage since more people are working and taking classes from home.  </w:t>
      </w:r>
      <w:r w:rsidR="002F579E" w:rsidRPr="00591394">
        <w:rPr>
          <w:sz w:val="26"/>
          <w:szCs w:val="26"/>
        </w:rPr>
        <w:t xml:space="preserve">The OCA recommended that Duquesne explore deeper savings programs to prudently invest ratepayers’ funds to meet the Commission </w:t>
      </w:r>
      <w:r w:rsidR="006A1FA7" w:rsidRPr="00591394">
        <w:rPr>
          <w:sz w:val="26"/>
          <w:szCs w:val="26"/>
        </w:rPr>
        <w:t xml:space="preserve">recommendation that </w:t>
      </w:r>
      <w:r w:rsidR="009E1838" w:rsidRPr="00591394">
        <w:rPr>
          <w:sz w:val="26"/>
          <w:szCs w:val="26"/>
        </w:rPr>
        <w:t>t</w:t>
      </w:r>
      <w:r w:rsidR="006A1FA7" w:rsidRPr="00591394">
        <w:rPr>
          <w:sz w:val="26"/>
          <w:szCs w:val="26"/>
        </w:rPr>
        <w:t xml:space="preserve">here be a comprehensive focus on longer-lived deep </w:t>
      </w:r>
      <w:r w:rsidR="009D3C19" w:rsidRPr="00591394">
        <w:rPr>
          <w:sz w:val="26"/>
          <w:szCs w:val="26"/>
        </w:rPr>
        <w:t>savings</w:t>
      </w:r>
      <w:r w:rsidR="006A1FA7" w:rsidRPr="00591394">
        <w:rPr>
          <w:sz w:val="26"/>
          <w:szCs w:val="26"/>
        </w:rPr>
        <w:t xml:space="preserve"> measures.  OCA </w:t>
      </w:r>
      <w:r w:rsidR="006A1FA7" w:rsidRPr="00591394">
        <w:rPr>
          <w:sz w:val="26"/>
          <w:szCs w:val="26"/>
        </w:rPr>
        <w:lastRenderedPageBreak/>
        <w:t xml:space="preserve">Statement in Support at 4-5 (citing </w:t>
      </w:r>
      <w:r w:rsidR="002573E1" w:rsidRPr="00591394">
        <w:rPr>
          <w:sz w:val="26"/>
          <w:szCs w:val="26"/>
        </w:rPr>
        <w:t>OCA St. 1 at 14-15).  The OCA notes that the Settlement addresses these con</w:t>
      </w:r>
      <w:r w:rsidR="00C35D6B" w:rsidRPr="00591394">
        <w:rPr>
          <w:sz w:val="26"/>
          <w:szCs w:val="26"/>
        </w:rPr>
        <w:t xml:space="preserve">cerns by reducing the </w:t>
      </w:r>
      <w:r w:rsidR="009D3C19" w:rsidRPr="00591394">
        <w:rPr>
          <w:sz w:val="26"/>
          <w:szCs w:val="26"/>
        </w:rPr>
        <w:t>Company’s</w:t>
      </w:r>
      <w:r w:rsidR="00C35D6B" w:rsidRPr="00591394">
        <w:rPr>
          <w:sz w:val="26"/>
          <w:szCs w:val="26"/>
        </w:rPr>
        <w:t xml:space="preserve"> reliance on the Home Energy Reports.  </w:t>
      </w:r>
      <w:r w:rsidR="004928B6" w:rsidRPr="00591394">
        <w:rPr>
          <w:sz w:val="26"/>
          <w:szCs w:val="26"/>
        </w:rPr>
        <w:t>Specifically, the Settlement provi</w:t>
      </w:r>
      <w:r w:rsidR="00687D28" w:rsidRPr="00591394">
        <w:rPr>
          <w:sz w:val="26"/>
          <w:szCs w:val="26"/>
        </w:rPr>
        <w:t xml:space="preserve">des that the Company will reduce the Residential Behavior kWh savings from 51.74% to 44.2%.  </w:t>
      </w:r>
      <w:r w:rsidR="00B56DB7" w:rsidRPr="00591394">
        <w:rPr>
          <w:sz w:val="26"/>
          <w:szCs w:val="26"/>
        </w:rPr>
        <w:t>OCA Statement in Support at</w:t>
      </w:r>
      <w:r w:rsidR="003B0A4F">
        <w:rPr>
          <w:sz w:val="26"/>
          <w:szCs w:val="26"/>
        </w:rPr>
        <w:t> </w:t>
      </w:r>
      <w:r w:rsidR="00B56DB7" w:rsidRPr="00591394">
        <w:rPr>
          <w:sz w:val="26"/>
          <w:szCs w:val="26"/>
        </w:rPr>
        <w:t xml:space="preserve">5 (citing </w:t>
      </w:r>
      <w:r w:rsidR="00687D28" w:rsidRPr="00591394">
        <w:rPr>
          <w:sz w:val="26"/>
          <w:szCs w:val="26"/>
        </w:rPr>
        <w:t>Settlement at ¶ 37</w:t>
      </w:r>
      <w:r w:rsidR="00930BF4" w:rsidRPr="00591394">
        <w:rPr>
          <w:sz w:val="26"/>
          <w:szCs w:val="26"/>
        </w:rPr>
        <w:t>)</w:t>
      </w:r>
      <w:r w:rsidR="00687D28" w:rsidRPr="00591394">
        <w:rPr>
          <w:sz w:val="26"/>
          <w:szCs w:val="26"/>
        </w:rPr>
        <w:t xml:space="preserve">.  </w:t>
      </w:r>
      <w:r w:rsidR="00D645FE" w:rsidRPr="00591394">
        <w:rPr>
          <w:sz w:val="26"/>
          <w:szCs w:val="26"/>
        </w:rPr>
        <w:t xml:space="preserve">The OCA notes that along with the reduction in savings </w:t>
      </w:r>
      <w:r w:rsidR="00106153" w:rsidRPr="00591394">
        <w:rPr>
          <w:sz w:val="26"/>
          <w:szCs w:val="26"/>
        </w:rPr>
        <w:t xml:space="preserve">projections for the Home Energy Reports, the Settlement also requires the Company to invest 2% of its Pilot Program costs on residential </w:t>
      </w:r>
      <w:r w:rsidR="00B56DB7" w:rsidRPr="00591394">
        <w:rPr>
          <w:sz w:val="26"/>
          <w:szCs w:val="26"/>
        </w:rPr>
        <w:t xml:space="preserve">measures that will be implemented in Phase IV.  </w:t>
      </w:r>
      <w:r w:rsidR="00930BF4" w:rsidRPr="00591394">
        <w:rPr>
          <w:sz w:val="26"/>
          <w:szCs w:val="26"/>
        </w:rPr>
        <w:t xml:space="preserve">OCA Statement in Support at 5 (citing Settlement at ¶ 38).   </w:t>
      </w:r>
    </w:p>
    <w:p w14:paraId="041FB23E" w14:textId="77777777" w:rsidR="006A1FA7" w:rsidRPr="00591394" w:rsidRDefault="006A1FA7" w:rsidP="00C6113D">
      <w:pPr>
        <w:widowControl/>
        <w:spacing w:line="360" w:lineRule="auto"/>
        <w:ind w:firstLine="1440"/>
        <w:rPr>
          <w:sz w:val="26"/>
          <w:szCs w:val="26"/>
        </w:rPr>
      </w:pPr>
    </w:p>
    <w:p w14:paraId="2419BB8F" w14:textId="566C2BF0" w:rsidR="006A1FA7" w:rsidRPr="00591394" w:rsidRDefault="002337FB" w:rsidP="00C6113D">
      <w:pPr>
        <w:widowControl/>
        <w:spacing w:line="360" w:lineRule="auto"/>
        <w:ind w:firstLine="1440"/>
        <w:rPr>
          <w:sz w:val="26"/>
          <w:szCs w:val="26"/>
        </w:rPr>
      </w:pPr>
      <w:r w:rsidRPr="00591394">
        <w:rPr>
          <w:sz w:val="26"/>
          <w:szCs w:val="26"/>
        </w:rPr>
        <w:t xml:space="preserve">Next, the OCA </w:t>
      </w:r>
      <w:r w:rsidR="00246F3C" w:rsidRPr="00591394">
        <w:rPr>
          <w:sz w:val="26"/>
          <w:szCs w:val="26"/>
        </w:rPr>
        <w:t xml:space="preserve">recommended that </w:t>
      </w:r>
      <w:r w:rsidR="006D7F60" w:rsidRPr="00591394">
        <w:rPr>
          <w:sz w:val="26"/>
          <w:szCs w:val="26"/>
        </w:rPr>
        <w:t>Duquesne</w:t>
      </w:r>
      <w:r w:rsidR="00246F3C" w:rsidRPr="00591394">
        <w:rPr>
          <w:sz w:val="26"/>
          <w:szCs w:val="26"/>
        </w:rPr>
        <w:t xml:space="preserve"> develop a more </w:t>
      </w:r>
      <w:r w:rsidR="006D7F60" w:rsidRPr="00591394">
        <w:rPr>
          <w:sz w:val="26"/>
          <w:szCs w:val="26"/>
        </w:rPr>
        <w:t>detailed</w:t>
      </w:r>
      <w:r w:rsidR="00246F3C" w:rsidRPr="00591394">
        <w:rPr>
          <w:sz w:val="26"/>
          <w:szCs w:val="26"/>
        </w:rPr>
        <w:t xml:space="preserve"> approach to </w:t>
      </w:r>
      <w:r w:rsidR="00E530F4" w:rsidRPr="00591394">
        <w:rPr>
          <w:sz w:val="26"/>
          <w:szCs w:val="26"/>
        </w:rPr>
        <w:t>its proposed bidding of demand reduction resources into the PJM FCM</w:t>
      </w:r>
      <w:r w:rsidR="00246F3C" w:rsidRPr="00591394">
        <w:rPr>
          <w:sz w:val="26"/>
          <w:szCs w:val="26"/>
        </w:rPr>
        <w:t xml:space="preserve">, including which measures will be bid in and how </w:t>
      </w:r>
      <w:r w:rsidR="006D7F60" w:rsidRPr="00591394">
        <w:rPr>
          <w:sz w:val="26"/>
          <w:szCs w:val="26"/>
        </w:rPr>
        <w:t>Duquesne</w:t>
      </w:r>
      <w:r w:rsidR="00246F3C" w:rsidRPr="00591394">
        <w:rPr>
          <w:sz w:val="26"/>
          <w:szCs w:val="26"/>
        </w:rPr>
        <w:t xml:space="preserve"> will shield ratepayers fr</w:t>
      </w:r>
      <w:r w:rsidR="00FC2839" w:rsidRPr="00591394">
        <w:rPr>
          <w:sz w:val="26"/>
          <w:szCs w:val="26"/>
        </w:rPr>
        <w:t>o</w:t>
      </w:r>
      <w:r w:rsidR="00246F3C" w:rsidRPr="00591394">
        <w:rPr>
          <w:sz w:val="26"/>
          <w:szCs w:val="26"/>
        </w:rPr>
        <w:t xml:space="preserve">m realizing penalties.  </w:t>
      </w:r>
      <w:r w:rsidR="00480C69" w:rsidRPr="00591394">
        <w:rPr>
          <w:sz w:val="26"/>
          <w:szCs w:val="26"/>
        </w:rPr>
        <w:t xml:space="preserve">The OCA provides that </w:t>
      </w:r>
      <w:r w:rsidR="00482E98" w:rsidRPr="00591394">
        <w:rPr>
          <w:sz w:val="26"/>
          <w:szCs w:val="26"/>
        </w:rPr>
        <w:t xml:space="preserve">the Settlement provisions address </w:t>
      </w:r>
      <w:r w:rsidR="006D7F60" w:rsidRPr="00591394">
        <w:rPr>
          <w:sz w:val="26"/>
          <w:szCs w:val="26"/>
        </w:rPr>
        <w:t>these</w:t>
      </w:r>
      <w:r w:rsidR="00482E98" w:rsidRPr="00591394">
        <w:rPr>
          <w:sz w:val="26"/>
          <w:szCs w:val="26"/>
        </w:rPr>
        <w:t xml:space="preserve"> concerns because Duquesne ag</w:t>
      </w:r>
      <w:r w:rsidR="00C56421" w:rsidRPr="00591394">
        <w:rPr>
          <w:sz w:val="26"/>
          <w:szCs w:val="26"/>
        </w:rPr>
        <w:t>rees to bid only non-res</w:t>
      </w:r>
      <w:r w:rsidR="006D7F60" w:rsidRPr="00591394">
        <w:rPr>
          <w:sz w:val="26"/>
          <w:szCs w:val="26"/>
        </w:rPr>
        <w:t xml:space="preserve">idential </w:t>
      </w:r>
      <w:r w:rsidR="00C56421" w:rsidRPr="00591394">
        <w:rPr>
          <w:sz w:val="26"/>
          <w:szCs w:val="26"/>
        </w:rPr>
        <w:t xml:space="preserve">peak demand savings that </w:t>
      </w:r>
      <w:r w:rsidR="006D7F60" w:rsidRPr="00591394">
        <w:rPr>
          <w:sz w:val="26"/>
          <w:szCs w:val="26"/>
        </w:rPr>
        <w:t>Duquesne</w:t>
      </w:r>
      <w:r w:rsidR="00C56421" w:rsidRPr="00591394">
        <w:rPr>
          <w:sz w:val="26"/>
          <w:szCs w:val="26"/>
        </w:rPr>
        <w:t xml:space="preserve"> deems lowe</w:t>
      </w:r>
      <w:r w:rsidR="006D7F60" w:rsidRPr="00591394">
        <w:rPr>
          <w:sz w:val="26"/>
          <w:szCs w:val="26"/>
        </w:rPr>
        <w:t xml:space="preserve">st risk.  </w:t>
      </w:r>
      <w:r w:rsidR="00E530F4" w:rsidRPr="00591394">
        <w:rPr>
          <w:sz w:val="26"/>
          <w:szCs w:val="26"/>
        </w:rPr>
        <w:t>OCA Statement in Support at 6</w:t>
      </w:r>
      <w:r w:rsidR="00480C69" w:rsidRPr="00591394">
        <w:rPr>
          <w:sz w:val="26"/>
          <w:szCs w:val="26"/>
        </w:rPr>
        <w:t>-7</w:t>
      </w:r>
      <w:r w:rsidR="00E530F4" w:rsidRPr="00591394">
        <w:rPr>
          <w:sz w:val="26"/>
          <w:szCs w:val="26"/>
        </w:rPr>
        <w:t xml:space="preserve"> (citing Settlement at ¶</w:t>
      </w:r>
      <w:r w:rsidR="008811F7">
        <w:rPr>
          <w:sz w:val="26"/>
          <w:szCs w:val="26"/>
        </w:rPr>
        <w:t> </w:t>
      </w:r>
      <w:r w:rsidR="00480C69" w:rsidRPr="00591394">
        <w:rPr>
          <w:sz w:val="26"/>
          <w:szCs w:val="26"/>
        </w:rPr>
        <w:t>40</w:t>
      </w:r>
      <w:r w:rsidR="00E530F4" w:rsidRPr="00591394">
        <w:rPr>
          <w:sz w:val="26"/>
          <w:szCs w:val="26"/>
        </w:rPr>
        <w:t xml:space="preserve">).  </w:t>
      </w:r>
    </w:p>
    <w:p w14:paraId="3C69A832" w14:textId="77777777" w:rsidR="001D1B52" w:rsidRPr="00591394" w:rsidRDefault="001D1B52" w:rsidP="00C6113D">
      <w:pPr>
        <w:widowControl/>
        <w:spacing w:line="360" w:lineRule="auto"/>
        <w:ind w:firstLine="1440"/>
        <w:rPr>
          <w:sz w:val="26"/>
          <w:szCs w:val="26"/>
        </w:rPr>
      </w:pPr>
    </w:p>
    <w:p w14:paraId="2B712438" w14:textId="1B85881F" w:rsidR="00A52F83" w:rsidRPr="00591394" w:rsidRDefault="002C7144" w:rsidP="00C6113D">
      <w:pPr>
        <w:widowControl/>
        <w:spacing w:line="360" w:lineRule="auto"/>
        <w:ind w:firstLine="1440"/>
        <w:rPr>
          <w:sz w:val="26"/>
          <w:szCs w:val="26"/>
        </w:rPr>
      </w:pPr>
      <w:r w:rsidRPr="00591394">
        <w:rPr>
          <w:sz w:val="26"/>
          <w:szCs w:val="26"/>
        </w:rPr>
        <w:t xml:space="preserve">Finally, the OCA contends that the </w:t>
      </w:r>
      <w:r w:rsidR="00865CDB" w:rsidRPr="00591394">
        <w:rPr>
          <w:sz w:val="26"/>
          <w:szCs w:val="26"/>
        </w:rPr>
        <w:t xml:space="preserve">Settlement adopts its recommendation to </w:t>
      </w:r>
      <w:r w:rsidRPr="00591394">
        <w:rPr>
          <w:sz w:val="26"/>
          <w:szCs w:val="26"/>
        </w:rPr>
        <w:t xml:space="preserve">clarify </w:t>
      </w:r>
      <w:r w:rsidR="004815DE" w:rsidRPr="00591394">
        <w:rPr>
          <w:sz w:val="26"/>
          <w:szCs w:val="26"/>
        </w:rPr>
        <w:t>how it will treat Phase III costs</w:t>
      </w:r>
      <w:r w:rsidR="00A52F83" w:rsidRPr="00591394">
        <w:rPr>
          <w:sz w:val="26"/>
          <w:szCs w:val="26"/>
        </w:rPr>
        <w:t xml:space="preserve"> by separately tracking and reporting them in its 1307</w:t>
      </w:r>
      <w:r w:rsidR="00D94D5A" w:rsidRPr="00591394">
        <w:rPr>
          <w:sz w:val="26"/>
          <w:szCs w:val="26"/>
        </w:rPr>
        <w:t>(e)</w:t>
      </w:r>
      <w:r w:rsidR="00A52F83" w:rsidRPr="00591394">
        <w:rPr>
          <w:sz w:val="26"/>
          <w:szCs w:val="26"/>
        </w:rPr>
        <w:t xml:space="preserve"> surcharge reconciliations.  </w:t>
      </w:r>
      <w:r w:rsidR="00D02246" w:rsidRPr="00591394">
        <w:rPr>
          <w:sz w:val="26"/>
          <w:szCs w:val="26"/>
        </w:rPr>
        <w:t xml:space="preserve">The OCA provides that the separate tracking of Phase III costs incurred after June 1, 2021 is in the public interest as it ensures the appropriate use of the Phase III budget.  OCA Statement in Support at </w:t>
      </w:r>
      <w:r w:rsidR="00A43F16" w:rsidRPr="00591394">
        <w:rPr>
          <w:sz w:val="26"/>
          <w:szCs w:val="26"/>
        </w:rPr>
        <w:t>7</w:t>
      </w:r>
      <w:r w:rsidR="00D02246" w:rsidRPr="00591394">
        <w:rPr>
          <w:sz w:val="26"/>
          <w:szCs w:val="26"/>
        </w:rPr>
        <w:t xml:space="preserve"> (citing Settlement at ¶ 43).  </w:t>
      </w:r>
    </w:p>
    <w:p w14:paraId="77F5AF86" w14:textId="77777777" w:rsidR="00046700" w:rsidRPr="00591394" w:rsidRDefault="00046700" w:rsidP="00C6113D">
      <w:pPr>
        <w:widowControl/>
        <w:spacing w:line="360" w:lineRule="auto"/>
        <w:ind w:firstLine="1440"/>
        <w:rPr>
          <w:sz w:val="26"/>
          <w:szCs w:val="26"/>
        </w:rPr>
      </w:pPr>
    </w:p>
    <w:p w14:paraId="3DD5D557" w14:textId="26F69FB5" w:rsidR="00A33F39" w:rsidRPr="00591394" w:rsidRDefault="00093C1B" w:rsidP="00C6113D">
      <w:pPr>
        <w:widowControl/>
        <w:spacing w:line="360" w:lineRule="auto"/>
        <w:ind w:firstLine="1440"/>
        <w:rPr>
          <w:sz w:val="26"/>
          <w:szCs w:val="26"/>
        </w:rPr>
      </w:pPr>
      <w:r w:rsidRPr="00591394">
        <w:rPr>
          <w:sz w:val="26"/>
          <w:szCs w:val="26"/>
        </w:rPr>
        <w:t xml:space="preserve">CAAP notes in its Statement in Support, that its witness Ms. </w:t>
      </w:r>
      <w:r w:rsidR="00C35817" w:rsidRPr="00591394">
        <w:rPr>
          <w:sz w:val="26"/>
          <w:szCs w:val="26"/>
        </w:rPr>
        <w:t xml:space="preserve">Susan </w:t>
      </w:r>
      <w:r w:rsidRPr="00591394">
        <w:rPr>
          <w:sz w:val="26"/>
          <w:szCs w:val="26"/>
        </w:rPr>
        <w:t xml:space="preserve">Moore’s testimony supported the recommendation of CAUSE-PA and addressed the need for more comprehensive, long-lasting measures to be provided to low-income ratepayers.  CAAP submits that the Company has agreed to increase the number of comprehensive measures in the low-income portion of its plan.  </w:t>
      </w:r>
      <w:r w:rsidR="00FC4DC2" w:rsidRPr="00591394">
        <w:rPr>
          <w:sz w:val="26"/>
          <w:szCs w:val="26"/>
        </w:rPr>
        <w:t xml:space="preserve">CAAP provides that the </w:t>
      </w:r>
      <w:r w:rsidR="004F0B61" w:rsidRPr="00591394">
        <w:rPr>
          <w:sz w:val="26"/>
          <w:szCs w:val="26"/>
        </w:rPr>
        <w:t>Settlement as it relates to measures available to low</w:t>
      </w:r>
      <w:r w:rsidR="00C35817" w:rsidRPr="00591394">
        <w:rPr>
          <w:sz w:val="26"/>
          <w:szCs w:val="26"/>
        </w:rPr>
        <w:t>-</w:t>
      </w:r>
      <w:r w:rsidR="004F0B61" w:rsidRPr="00591394">
        <w:rPr>
          <w:sz w:val="26"/>
          <w:szCs w:val="26"/>
        </w:rPr>
        <w:t xml:space="preserve">income customers will result in lower </w:t>
      </w:r>
      <w:r w:rsidR="00A33F39" w:rsidRPr="00591394">
        <w:rPr>
          <w:sz w:val="26"/>
          <w:szCs w:val="26"/>
        </w:rPr>
        <w:t>energy</w:t>
      </w:r>
      <w:r w:rsidR="004F0B61" w:rsidRPr="00591394">
        <w:rPr>
          <w:sz w:val="26"/>
          <w:szCs w:val="26"/>
        </w:rPr>
        <w:t xml:space="preserve"> use and </w:t>
      </w:r>
      <w:r w:rsidR="004F0B61" w:rsidRPr="00591394">
        <w:rPr>
          <w:sz w:val="26"/>
          <w:szCs w:val="26"/>
        </w:rPr>
        <w:lastRenderedPageBreak/>
        <w:t xml:space="preserve">utility costs for those vulnerable customers.  </w:t>
      </w:r>
      <w:r w:rsidR="0077178D" w:rsidRPr="00591394">
        <w:rPr>
          <w:sz w:val="26"/>
          <w:szCs w:val="26"/>
        </w:rPr>
        <w:t xml:space="preserve">CAAP provides further that </w:t>
      </w:r>
      <w:r w:rsidR="00B370BF" w:rsidRPr="00591394">
        <w:rPr>
          <w:sz w:val="26"/>
          <w:szCs w:val="26"/>
        </w:rPr>
        <w:t>those additional measure</w:t>
      </w:r>
      <w:r w:rsidR="00A33F39" w:rsidRPr="00591394">
        <w:rPr>
          <w:sz w:val="26"/>
          <w:szCs w:val="26"/>
        </w:rPr>
        <w:t>s</w:t>
      </w:r>
      <w:r w:rsidR="00B370BF" w:rsidRPr="00591394">
        <w:rPr>
          <w:sz w:val="26"/>
          <w:szCs w:val="26"/>
        </w:rPr>
        <w:t xml:space="preserve"> </w:t>
      </w:r>
      <w:r w:rsidR="00A33F39" w:rsidRPr="00591394">
        <w:rPr>
          <w:sz w:val="26"/>
          <w:szCs w:val="26"/>
        </w:rPr>
        <w:t>that</w:t>
      </w:r>
      <w:r w:rsidR="00B370BF" w:rsidRPr="00591394">
        <w:rPr>
          <w:sz w:val="26"/>
          <w:szCs w:val="26"/>
        </w:rPr>
        <w:t xml:space="preserve"> promote conservation </w:t>
      </w:r>
      <w:r w:rsidR="00A33F39" w:rsidRPr="00591394">
        <w:rPr>
          <w:sz w:val="26"/>
          <w:szCs w:val="26"/>
        </w:rPr>
        <w:t>will</w:t>
      </w:r>
      <w:r w:rsidR="00B370BF" w:rsidRPr="00591394">
        <w:rPr>
          <w:sz w:val="26"/>
          <w:szCs w:val="26"/>
        </w:rPr>
        <w:t xml:space="preserve"> benefit the public generally.  </w:t>
      </w:r>
      <w:r w:rsidR="00371F1F" w:rsidRPr="00591394">
        <w:rPr>
          <w:sz w:val="26"/>
          <w:szCs w:val="26"/>
        </w:rPr>
        <w:t xml:space="preserve">CAAP Statement in Support at 1-2.  </w:t>
      </w:r>
    </w:p>
    <w:p w14:paraId="507E6DFE" w14:textId="77777777" w:rsidR="00A33F39" w:rsidRPr="00591394" w:rsidRDefault="00A33F39" w:rsidP="00C6113D">
      <w:pPr>
        <w:widowControl/>
        <w:spacing w:line="360" w:lineRule="auto"/>
        <w:ind w:firstLine="1440"/>
        <w:rPr>
          <w:sz w:val="26"/>
          <w:szCs w:val="26"/>
        </w:rPr>
      </w:pPr>
    </w:p>
    <w:p w14:paraId="75C570D2" w14:textId="09779919" w:rsidR="00DA411B" w:rsidRPr="00591394" w:rsidRDefault="00DA411B" w:rsidP="00C6113D">
      <w:pPr>
        <w:pStyle w:val="Heading3"/>
        <w:numPr>
          <w:ilvl w:val="0"/>
          <w:numId w:val="10"/>
        </w:numPr>
        <w:ind w:left="1440" w:hanging="720"/>
      </w:pPr>
      <w:bookmarkStart w:id="35" w:name="_Toc66354633"/>
      <w:r w:rsidRPr="00591394">
        <w:t>Disposition</w:t>
      </w:r>
      <w:bookmarkEnd w:id="35"/>
    </w:p>
    <w:p w14:paraId="517826DC" w14:textId="77777777" w:rsidR="00254467" w:rsidRPr="00591394" w:rsidRDefault="00254467" w:rsidP="00C6113D">
      <w:pPr>
        <w:pStyle w:val="ListParagraph"/>
        <w:widowControl/>
        <w:ind w:left="1800"/>
        <w:rPr>
          <w:sz w:val="26"/>
          <w:szCs w:val="26"/>
        </w:rPr>
      </w:pPr>
    </w:p>
    <w:p w14:paraId="5E5C4C13" w14:textId="0F8A36B7" w:rsidR="00CE5962" w:rsidRPr="00591394" w:rsidRDefault="007D2E5E" w:rsidP="00C6113D">
      <w:pPr>
        <w:widowControl/>
        <w:spacing w:line="360" w:lineRule="auto"/>
        <w:ind w:firstLine="1440"/>
        <w:rPr>
          <w:sz w:val="26"/>
          <w:szCs w:val="26"/>
        </w:rPr>
      </w:pPr>
      <w:r w:rsidRPr="00591394">
        <w:rPr>
          <w:sz w:val="26"/>
          <w:szCs w:val="26"/>
        </w:rPr>
        <w:t>As stated above, all Parties to this proceeding either support, or do not oppose, the terms of the proposed Settlement.  The Settlement provides for certain modifications to the Phase I</w:t>
      </w:r>
      <w:r w:rsidR="00046700" w:rsidRPr="00591394">
        <w:rPr>
          <w:sz w:val="26"/>
          <w:szCs w:val="26"/>
        </w:rPr>
        <w:t>V</w:t>
      </w:r>
      <w:r w:rsidRPr="00591394">
        <w:rPr>
          <w:sz w:val="26"/>
          <w:szCs w:val="26"/>
        </w:rPr>
        <w:t xml:space="preserve"> Plan initially proposed by </w:t>
      </w:r>
      <w:r w:rsidR="00C35817" w:rsidRPr="00591394">
        <w:rPr>
          <w:sz w:val="26"/>
          <w:szCs w:val="26"/>
        </w:rPr>
        <w:t>Duquesne and</w:t>
      </w:r>
      <w:r w:rsidRPr="00591394">
        <w:rPr>
          <w:sz w:val="26"/>
          <w:szCs w:val="26"/>
        </w:rPr>
        <w:t xml:space="preserve"> represents a compromise among the Joint Petitioners that resolves all of the issues that have been raised in this proceeding.  Based on our review of the record, we conclude that the proposed Settlement is in the public interest and shall approve it without modification</w:t>
      </w:r>
      <w:r w:rsidR="0029609E" w:rsidRPr="00591394">
        <w:rPr>
          <w:sz w:val="26"/>
          <w:szCs w:val="26"/>
        </w:rPr>
        <w:t>.</w:t>
      </w:r>
    </w:p>
    <w:p w14:paraId="15DF4BAC" w14:textId="0380D46D" w:rsidR="007D2E5E" w:rsidRPr="00591394" w:rsidRDefault="007D2E5E" w:rsidP="00C6113D">
      <w:pPr>
        <w:widowControl/>
        <w:spacing w:line="360" w:lineRule="auto"/>
        <w:rPr>
          <w:sz w:val="26"/>
          <w:szCs w:val="26"/>
        </w:rPr>
      </w:pPr>
    </w:p>
    <w:p w14:paraId="3266C600" w14:textId="204CAA78" w:rsidR="006A664A" w:rsidRPr="00591394" w:rsidRDefault="00D135E0" w:rsidP="00C6113D">
      <w:pPr>
        <w:widowControl/>
        <w:spacing w:line="360" w:lineRule="auto"/>
        <w:ind w:firstLine="1440"/>
        <w:rPr>
          <w:sz w:val="26"/>
          <w:szCs w:val="26"/>
        </w:rPr>
      </w:pPr>
      <w:r w:rsidRPr="00591394">
        <w:rPr>
          <w:sz w:val="26"/>
          <w:szCs w:val="26"/>
        </w:rPr>
        <w:t xml:space="preserve">We </w:t>
      </w:r>
      <w:proofErr w:type="gramStart"/>
      <w:r w:rsidR="00CB07BA" w:rsidRPr="00591394">
        <w:rPr>
          <w:sz w:val="26"/>
          <w:szCs w:val="26"/>
        </w:rPr>
        <w:t xml:space="preserve">are in </w:t>
      </w:r>
      <w:r w:rsidRPr="00591394">
        <w:rPr>
          <w:sz w:val="26"/>
          <w:szCs w:val="26"/>
        </w:rPr>
        <w:t>agree</w:t>
      </w:r>
      <w:r w:rsidR="00CB07BA" w:rsidRPr="00591394">
        <w:rPr>
          <w:sz w:val="26"/>
          <w:szCs w:val="26"/>
        </w:rPr>
        <w:t>ment</w:t>
      </w:r>
      <w:proofErr w:type="gramEnd"/>
      <w:r w:rsidRPr="00591394">
        <w:rPr>
          <w:sz w:val="26"/>
          <w:szCs w:val="26"/>
        </w:rPr>
        <w:t xml:space="preserve"> with </w:t>
      </w:r>
      <w:r w:rsidR="00CB07BA" w:rsidRPr="00591394">
        <w:rPr>
          <w:sz w:val="26"/>
          <w:szCs w:val="26"/>
        </w:rPr>
        <w:t xml:space="preserve">the </w:t>
      </w:r>
      <w:r w:rsidRPr="00591394">
        <w:rPr>
          <w:sz w:val="26"/>
          <w:szCs w:val="26"/>
        </w:rPr>
        <w:t xml:space="preserve">Joint Petitioners that the proposed Settlement represents a reasonable compromise and resolution of the issues that the Joint Petitioners raised in this proceeding.  In the instant proceeding, the Joint Petitioners unanimously assert that the proposed Settlement is in the best interests of Duquesne and its </w:t>
      </w:r>
      <w:r w:rsidR="005E27C4" w:rsidRPr="00591394">
        <w:rPr>
          <w:sz w:val="26"/>
          <w:szCs w:val="26"/>
        </w:rPr>
        <w:t>customers and</w:t>
      </w:r>
      <w:r w:rsidRPr="00591394">
        <w:rPr>
          <w:sz w:val="26"/>
          <w:szCs w:val="26"/>
        </w:rPr>
        <w:t xml:space="preserve"> reflects a carefully balanced compromise of the interests of all of the Joint Petitioners</w:t>
      </w:r>
      <w:r w:rsidR="002870E9" w:rsidRPr="00591394">
        <w:rPr>
          <w:sz w:val="26"/>
          <w:szCs w:val="26"/>
        </w:rPr>
        <w:t xml:space="preserve">. </w:t>
      </w:r>
      <w:r w:rsidRPr="00591394">
        <w:rPr>
          <w:sz w:val="26"/>
          <w:szCs w:val="26"/>
        </w:rPr>
        <w:t xml:space="preserve"> </w:t>
      </w:r>
      <w:r w:rsidR="00217A8C" w:rsidRPr="00591394">
        <w:rPr>
          <w:sz w:val="26"/>
          <w:szCs w:val="26"/>
        </w:rPr>
        <w:t>Settlement</w:t>
      </w:r>
      <w:r w:rsidR="002870E9" w:rsidRPr="00591394">
        <w:rPr>
          <w:i/>
          <w:sz w:val="26"/>
          <w:szCs w:val="26"/>
        </w:rPr>
        <w:t xml:space="preserve"> </w:t>
      </w:r>
      <w:r w:rsidR="002870E9" w:rsidRPr="00591394">
        <w:rPr>
          <w:sz w:val="26"/>
          <w:szCs w:val="26"/>
        </w:rPr>
        <w:t xml:space="preserve">at 6.  </w:t>
      </w:r>
      <w:r w:rsidRPr="00591394">
        <w:rPr>
          <w:sz w:val="26"/>
          <w:szCs w:val="26"/>
        </w:rPr>
        <w:t xml:space="preserve">The Joint Petitioners further assert, and we agree, that approval of the Settlement will avoid further administrative, and possible appellate, proceedings, thereby avoiding substantial costs to the Joint Petitioners and to Duquesne’s customers by lending certainty to the outcome of this proceeding.  </w:t>
      </w:r>
      <w:r w:rsidRPr="00591394">
        <w:rPr>
          <w:i/>
          <w:sz w:val="26"/>
          <w:szCs w:val="26"/>
        </w:rPr>
        <w:t>Id</w:t>
      </w:r>
      <w:r w:rsidRPr="00591394">
        <w:rPr>
          <w:sz w:val="26"/>
          <w:szCs w:val="26"/>
        </w:rPr>
        <w:t xml:space="preserve">. at </w:t>
      </w:r>
      <w:r w:rsidR="00534E52" w:rsidRPr="00591394">
        <w:rPr>
          <w:sz w:val="26"/>
          <w:szCs w:val="26"/>
        </w:rPr>
        <w:t>9-</w:t>
      </w:r>
      <w:r w:rsidRPr="00591394">
        <w:rPr>
          <w:sz w:val="26"/>
          <w:szCs w:val="26"/>
        </w:rPr>
        <w:t xml:space="preserve">10. </w:t>
      </w:r>
    </w:p>
    <w:p w14:paraId="2BC6B08A" w14:textId="77777777" w:rsidR="00D135E0" w:rsidRPr="00591394" w:rsidRDefault="00D135E0" w:rsidP="00C6113D">
      <w:pPr>
        <w:widowControl/>
        <w:spacing w:line="360" w:lineRule="auto"/>
        <w:ind w:firstLine="1440"/>
        <w:rPr>
          <w:sz w:val="26"/>
          <w:szCs w:val="26"/>
        </w:rPr>
      </w:pPr>
      <w:r w:rsidRPr="00591394">
        <w:rPr>
          <w:sz w:val="26"/>
          <w:szCs w:val="26"/>
        </w:rPr>
        <w:t xml:space="preserve"> </w:t>
      </w:r>
    </w:p>
    <w:p w14:paraId="67BB6839" w14:textId="57AB3D6F" w:rsidR="00872280" w:rsidRPr="00591394" w:rsidRDefault="000F77DB" w:rsidP="00C6113D">
      <w:pPr>
        <w:widowControl/>
        <w:spacing w:line="360" w:lineRule="auto"/>
        <w:ind w:firstLine="1440"/>
        <w:textAlignment w:val="baseline"/>
        <w:rPr>
          <w:color w:val="000000"/>
          <w:sz w:val="26"/>
          <w:szCs w:val="26"/>
        </w:rPr>
      </w:pPr>
      <w:r w:rsidRPr="00591394">
        <w:rPr>
          <w:sz w:val="26"/>
          <w:szCs w:val="26"/>
        </w:rPr>
        <w:t>In addition, w</w:t>
      </w:r>
      <w:r w:rsidR="00482EE5" w:rsidRPr="00591394">
        <w:rPr>
          <w:sz w:val="26"/>
          <w:szCs w:val="26"/>
        </w:rPr>
        <w:t xml:space="preserve">e </w:t>
      </w:r>
      <w:r w:rsidR="005F31E6" w:rsidRPr="00591394">
        <w:rPr>
          <w:sz w:val="26"/>
          <w:szCs w:val="26"/>
        </w:rPr>
        <w:t xml:space="preserve">conclude that Duquesne’s </w:t>
      </w:r>
      <w:r w:rsidR="005F31E6" w:rsidRPr="00591394">
        <w:rPr>
          <w:i/>
          <w:iCs/>
          <w:sz w:val="26"/>
          <w:szCs w:val="26"/>
        </w:rPr>
        <w:t>Revised Phase I</w:t>
      </w:r>
      <w:r w:rsidR="00534E52" w:rsidRPr="00591394">
        <w:rPr>
          <w:i/>
          <w:iCs/>
          <w:sz w:val="26"/>
          <w:szCs w:val="26"/>
        </w:rPr>
        <w:t>V</w:t>
      </w:r>
      <w:r w:rsidR="005F31E6" w:rsidRPr="00591394">
        <w:rPr>
          <w:i/>
          <w:iCs/>
          <w:sz w:val="26"/>
          <w:szCs w:val="26"/>
        </w:rPr>
        <w:t xml:space="preserve"> Plan</w:t>
      </w:r>
      <w:r w:rsidR="005F31E6" w:rsidRPr="00591394">
        <w:rPr>
          <w:sz w:val="26"/>
          <w:szCs w:val="26"/>
        </w:rPr>
        <w:t xml:space="preserve"> </w:t>
      </w:r>
      <w:r w:rsidR="001A1AF4" w:rsidRPr="00591394">
        <w:rPr>
          <w:sz w:val="26"/>
          <w:szCs w:val="26"/>
        </w:rPr>
        <w:t xml:space="preserve">filed pursuant to the </w:t>
      </w:r>
      <w:r w:rsidR="005F31E6" w:rsidRPr="00591394">
        <w:rPr>
          <w:sz w:val="26"/>
          <w:szCs w:val="26"/>
        </w:rPr>
        <w:t>Settlement</w:t>
      </w:r>
      <w:r w:rsidRPr="00591394">
        <w:rPr>
          <w:sz w:val="26"/>
          <w:szCs w:val="26"/>
        </w:rPr>
        <w:t xml:space="preserve"> is in the public interest because it</w:t>
      </w:r>
      <w:r w:rsidR="005F31E6" w:rsidRPr="00591394">
        <w:rPr>
          <w:sz w:val="26"/>
          <w:szCs w:val="26"/>
        </w:rPr>
        <w:t xml:space="preserve"> conforms to the Commission’s previously described requirements as </w:t>
      </w:r>
      <w:r w:rsidR="00CB07BA" w:rsidRPr="00591394">
        <w:rPr>
          <w:sz w:val="26"/>
          <w:szCs w:val="26"/>
        </w:rPr>
        <w:t xml:space="preserve">set forth in </w:t>
      </w:r>
      <w:r w:rsidR="005F31E6" w:rsidRPr="00591394">
        <w:rPr>
          <w:sz w:val="26"/>
          <w:szCs w:val="26"/>
        </w:rPr>
        <w:t xml:space="preserve">Act 129 and </w:t>
      </w:r>
      <w:r w:rsidR="00CB07BA" w:rsidRPr="00591394">
        <w:rPr>
          <w:sz w:val="26"/>
          <w:szCs w:val="26"/>
        </w:rPr>
        <w:t xml:space="preserve">our </w:t>
      </w:r>
      <w:r w:rsidR="00CB07BA" w:rsidRPr="00591394">
        <w:rPr>
          <w:i/>
          <w:sz w:val="26"/>
          <w:szCs w:val="26"/>
        </w:rPr>
        <w:t>Phase</w:t>
      </w:r>
      <w:r w:rsidR="00544FBF">
        <w:rPr>
          <w:i/>
          <w:sz w:val="26"/>
          <w:szCs w:val="26"/>
        </w:rPr>
        <w:t> </w:t>
      </w:r>
      <w:r w:rsidR="00CB07BA" w:rsidRPr="00591394">
        <w:rPr>
          <w:i/>
          <w:sz w:val="26"/>
          <w:szCs w:val="26"/>
        </w:rPr>
        <w:t>I</w:t>
      </w:r>
      <w:r w:rsidR="00534E52" w:rsidRPr="00591394">
        <w:rPr>
          <w:i/>
          <w:sz w:val="26"/>
          <w:szCs w:val="26"/>
        </w:rPr>
        <w:t>V</w:t>
      </w:r>
      <w:r w:rsidR="00CB07BA" w:rsidRPr="00591394">
        <w:rPr>
          <w:i/>
          <w:sz w:val="26"/>
          <w:szCs w:val="26"/>
        </w:rPr>
        <w:t xml:space="preserve"> Implementation Order</w:t>
      </w:r>
      <w:r w:rsidR="00CB07BA" w:rsidRPr="00591394">
        <w:rPr>
          <w:sz w:val="26"/>
          <w:szCs w:val="26"/>
        </w:rPr>
        <w:t xml:space="preserve">.  </w:t>
      </w:r>
      <w:r w:rsidR="005F31E6" w:rsidRPr="00591394">
        <w:rPr>
          <w:sz w:val="26"/>
          <w:szCs w:val="26"/>
        </w:rPr>
        <w:t>We find that co</w:t>
      </w:r>
      <w:r w:rsidR="00CB07BA" w:rsidRPr="00591394">
        <w:rPr>
          <w:sz w:val="26"/>
          <w:szCs w:val="26"/>
        </w:rPr>
        <w:t>nsistent with the</w:t>
      </w:r>
      <w:r w:rsidR="005F31E6" w:rsidRPr="00591394">
        <w:rPr>
          <w:sz w:val="26"/>
          <w:szCs w:val="26"/>
        </w:rPr>
        <w:t>se</w:t>
      </w:r>
      <w:r w:rsidR="00CB07BA" w:rsidRPr="00591394">
        <w:rPr>
          <w:sz w:val="26"/>
          <w:szCs w:val="26"/>
        </w:rPr>
        <w:t xml:space="preserve"> requirements, Duquesne’s </w:t>
      </w:r>
      <w:r w:rsidR="00CB07BA" w:rsidRPr="00591394">
        <w:rPr>
          <w:i/>
          <w:iCs/>
          <w:sz w:val="26"/>
          <w:szCs w:val="26"/>
        </w:rPr>
        <w:t>Revised Phase I</w:t>
      </w:r>
      <w:r w:rsidR="00534E52" w:rsidRPr="00591394">
        <w:rPr>
          <w:i/>
          <w:iCs/>
          <w:sz w:val="26"/>
          <w:szCs w:val="26"/>
        </w:rPr>
        <w:t>V</w:t>
      </w:r>
      <w:r w:rsidR="00CB07BA" w:rsidRPr="00591394">
        <w:rPr>
          <w:i/>
          <w:iCs/>
          <w:sz w:val="26"/>
          <w:szCs w:val="26"/>
        </w:rPr>
        <w:t xml:space="preserve"> Plan</w:t>
      </w:r>
      <w:r w:rsidR="00CB07BA" w:rsidRPr="00591394">
        <w:rPr>
          <w:sz w:val="26"/>
          <w:szCs w:val="26"/>
        </w:rPr>
        <w:t>:</w:t>
      </w:r>
      <w:r w:rsidR="0029609E" w:rsidRPr="00591394">
        <w:rPr>
          <w:sz w:val="26"/>
          <w:szCs w:val="26"/>
        </w:rPr>
        <w:t xml:space="preserve"> </w:t>
      </w:r>
      <w:r w:rsidR="00872280" w:rsidRPr="00591394">
        <w:rPr>
          <w:color w:val="000000"/>
          <w:sz w:val="26"/>
          <w:szCs w:val="26"/>
        </w:rPr>
        <w:t xml:space="preserve"> (a) includes measures to achieve or exceed the required reductions and states the manner in which the consumption reductions will be </w:t>
      </w:r>
      <w:r w:rsidR="00872280" w:rsidRPr="00591394">
        <w:rPr>
          <w:color w:val="000000"/>
          <w:sz w:val="26"/>
          <w:szCs w:val="26"/>
        </w:rPr>
        <w:lastRenderedPageBreak/>
        <w:t>achieved or exceeded; (b) complies with the designated expenditure cap of 2% of 2006 Annual Revenues over the five-year plan; (c) achieves a total cumulative energy reduction of at least 348,126 MWh by May 31, 2026, with at least 15% of the savings compliance target being achieved in each of the five program years; (d) achieves a minimum of 5.3% of the total required reductions from the low-income customer sector by May 31, 2026; (e)</w:t>
      </w:r>
      <w:r w:rsidR="00C6113D">
        <w:rPr>
          <w:color w:val="000000"/>
          <w:sz w:val="26"/>
          <w:szCs w:val="26"/>
        </w:rPr>
        <w:t> </w:t>
      </w:r>
      <w:r w:rsidR="00872280" w:rsidRPr="00591394">
        <w:rPr>
          <w:color w:val="000000"/>
          <w:sz w:val="26"/>
          <w:szCs w:val="26"/>
        </w:rPr>
        <w:t>includes a proportionate number of energy efficiency measures for low</w:t>
      </w:r>
      <w:r w:rsidR="002B02BF" w:rsidRPr="00591394">
        <w:rPr>
          <w:color w:val="000000"/>
          <w:sz w:val="26"/>
          <w:szCs w:val="26"/>
        </w:rPr>
        <w:t>-</w:t>
      </w:r>
      <w:r w:rsidR="00872280" w:rsidRPr="00591394">
        <w:rPr>
          <w:color w:val="000000"/>
          <w:sz w:val="26"/>
          <w:szCs w:val="26"/>
        </w:rPr>
        <w:t>income households as compared to those households’ share of the total energy usage in the service territory; (f) offers at least one comprehensive program for residential customers and at least one comprehensive program for non-residential customers; (g)</w:t>
      </w:r>
      <w:r w:rsidR="00544FBF">
        <w:rPr>
          <w:color w:val="000000"/>
          <w:sz w:val="26"/>
          <w:szCs w:val="26"/>
        </w:rPr>
        <w:t> </w:t>
      </w:r>
      <w:r w:rsidR="00872280" w:rsidRPr="00591394">
        <w:rPr>
          <w:color w:val="000000"/>
          <w:sz w:val="26"/>
          <w:szCs w:val="26"/>
        </w:rPr>
        <w:t>achieves peak demand reductions of at least 62 MW; (h) includes a contract with one</w:t>
      </w:r>
      <w:r w:rsidR="008F16AB" w:rsidRPr="00591394">
        <w:rPr>
          <w:color w:val="000000"/>
          <w:sz w:val="26"/>
          <w:szCs w:val="26"/>
        </w:rPr>
        <w:t xml:space="preserve"> </w:t>
      </w:r>
      <w:r w:rsidR="00872280" w:rsidRPr="00591394">
        <w:rPr>
          <w:color w:val="000000"/>
          <w:sz w:val="26"/>
          <w:szCs w:val="26"/>
        </w:rPr>
        <w:t>CSP; (i) includes an analysis of administrative costs of the plan; (j) includes a reconcilable adjustment clause tariff mechanism in accordance with 66 Pa.</w:t>
      </w:r>
      <w:r w:rsidR="0031453D" w:rsidRPr="00591394">
        <w:rPr>
          <w:color w:val="000000"/>
          <w:sz w:val="26"/>
          <w:szCs w:val="26"/>
        </w:rPr>
        <w:t xml:space="preserve"> </w:t>
      </w:r>
      <w:r w:rsidR="00872280" w:rsidRPr="00591394">
        <w:rPr>
          <w:color w:val="000000"/>
          <w:sz w:val="26"/>
          <w:szCs w:val="26"/>
        </w:rPr>
        <w:t>C.S. § 1307; and (k) demonstrates that the Phase IV Plan is cost-effective based on the Commission’s T</w:t>
      </w:r>
      <w:r w:rsidR="008F16AB" w:rsidRPr="00591394">
        <w:rPr>
          <w:color w:val="000000"/>
          <w:sz w:val="26"/>
          <w:szCs w:val="26"/>
        </w:rPr>
        <w:t>RC</w:t>
      </w:r>
      <w:r w:rsidR="00872280" w:rsidRPr="00591394">
        <w:rPr>
          <w:color w:val="000000"/>
          <w:sz w:val="26"/>
          <w:szCs w:val="26"/>
        </w:rPr>
        <w:t xml:space="preserve"> Test.</w:t>
      </w:r>
      <w:r w:rsidR="00006B83" w:rsidRPr="00591394">
        <w:rPr>
          <w:color w:val="000000"/>
          <w:sz w:val="26"/>
          <w:szCs w:val="26"/>
        </w:rPr>
        <w:t xml:space="preserve">  </w:t>
      </w:r>
    </w:p>
    <w:p w14:paraId="3BD8ACCD" w14:textId="026A11C3" w:rsidR="00060FC2" w:rsidRPr="00591394" w:rsidRDefault="00060FC2" w:rsidP="00C6113D">
      <w:pPr>
        <w:widowControl/>
        <w:spacing w:line="360" w:lineRule="auto"/>
        <w:ind w:firstLine="1440"/>
        <w:textAlignment w:val="baseline"/>
        <w:rPr>
          <w:color w:val="000000"/>
          <w:sz w:val="26"/>
          <w:szCs w:val="26"/>
        </w:rPr>
      </w:pPr>
    </w:p>
    <w:p w14:paraId="1601E0A9" w14:textId="0B5F88F1" w:rsidR="00060FC2" w:rsidRPr="00591394" w:rsidRDefault="00060FC2" w:rsidP="00C6113D">
      <w:pPr>
        <w:widowControl/>
        <w:spacing w:line="360" w:lineRule="auto"/>
        <w:ind w:firstLine="1440"/>
        <w:contextualSpacing/>
        <w:rPr>
          <w:sz w:val="26"/>
          <w:szCs w:val="26"/>
        </w:rPr>
      </w:pPr>
      <w:r w:rsidRPr="00591394">
        <w:rPr>
          <w:sz w:val="26"/>
          <w:szCs w:val="26"/>
        </w:rPr>
        <w:t xml:space="preserve">On the basis of our review of </w:t>
      </w:r>
      <w:r w:rsidR="00D15452" w:rsidRPr="00591394">
        <w:rPr>
          <w:sz w:val="26"/>
          <w:szCs w:val="26"/>
        </w:rPr>
        <w:t>Duquesne’s</w:t>
      </w:r>
      <w:r w:rsidRPr="00591394">
        <w:rPr>
          <w:sz w:val="26"/>
          <w:szCs w:val="26"/>
        </w:rPr>
        <w:t xml:space="preserve"> </w:t>
      </w:r>
      <w:r w:rsidRPr="00591394">
        <w:rPr>
          <w:i/>
          <w:iCs/>
          <w:sz w:val="26"/>
          <w:szCs w:val="26"/>
        </w:rPr>
        <w:t>Re</w:t>
      </w:r>
      <w:r w:rsidR="00D15452" w:rsidRPr="00591394">
        <w:rPr>
          <w:i/>
          <w:iCs/>
          <w:sz w:val="26"/>
          <w:szCs w:val="26"/>
        </w:rPr>
        <w:t xml:space="preserve">vised Phase IV </w:t>
      </w:r>
      <w:r w:rsidRPr="00591394">
        <w:rPr>
          <w:i/>
          <w:iCs/>
          <w:sz w:val="26"/>
          <w:szCs w:val="26"/>
        </w:rPr>
        <w:t>Plan</w:t>
      </w:r>
      <w:r w:rsidRPr="00591394">
        <w:rPr>
          <w:sz w:val="26"/>
          <w:szCs w:val="26"/>
        </w:rPr>
        <w:t xml:space="preserve">, we shall approve the Plan, having found </w:t>
      </w:r>
      <w:r w:rsidR="00D15452" w:rsidRPr="00591394">
        <w:rPr>
          <w:sz w:val="26"/>
          <w:szCs w:val="26"/>
        </w:rPr>
        <w:t xml:space="preserve">it </w:t>
      </w:r>
      <w:r w:rsidRPr="00591394">
        <w:rPr>
          <w:sz w:val="26"/>
          <w:szCs w:val="26"/>
        </w:rPr>
        <w:t xml:space="preserve">to be reasonable and consistent with Act 129 and the </w:t>
      </w:r>
      <w:r w:rsidRPr="00591394">
        <w:rPr>
          <w:i/>
          <w:sz w:val="26"/>
          <w:szCs w:val="26"/>
        </w:rPr>
        <w:t>Phase IV Implementation Order</w:t>
      </w:r>
      <w:r w:rsidRPr="00591394">
        <w:rPr>
          <w:sz w:val="26"/>
          <w:szCs w:val="26"/>
        </w:rPr>
        <w:t>.</w:t>
      </w:r>
    </w:p>
    <w:p w14:paraId="52ECEE77" w14:textId="1B9A3A56" w:rsidR="00872280" w:rsidRPr="00591394" w:rsidRDefault="00872280" w:rsidP="00C6113D">
      <w:pPr>
        <w:widowControl/>
        <w:spacing w:line="360" w:lineRule="auto"/>
        <w:ind w:firstLine="1440"/>
        <w:rPr>
          <w:sz w:val="26"/>
          <w:szCs w:val="26"/>
        </w:rPr>
      </w:pPr>
    </w:p>
    <w:p w14:paraId="7D2E1579" w14:textId="7BCF6E10" w:rsidR="00AA16B7" w:rsidRPr="00591394" w:rsidRDefault="00B74984" w:rsidP="00C6113D">
      <w:pPr>
        <w:pStyle w:val="Heading1"/>
        <w:keepNext/>
        <w:rPr>
          <w:szCs w:val="26"/>
        </w:rPr>
      </w:pPr>
      <w:bookmarkStart w:id="36" w:name="_Toc66354634"/>
      <w:r w:rsidRPr="00591394">
        <w:rPr>
          <w:szCs w:val="26"/>
        </w:rPr>
        <w:t>V</w:t>
      </w:r>
      <w:r w:rsidR="0052737A" w:rsidRPr="00591394">
        <w:rPr>
          <w:szCs w:val="26"/>
        </w:rPr>
        <w:t>I</w:t>
      </w:r>
      <w:r w:rsidRPr="00591394">
        <w:rPr>
          <w:szCs w:val="26"/>
        </w:rPr>
        <w:t>.</w:t>
      </w:r>
      <w:r w:rsidRPr="00591394">
        <w:rPr>
          <w:szCs w:val="26"/>
        </w:rPr>
        <w:tab/>
        <w:t>Conclusion</w:t>
      </w:r>
      <w:bookmarkEnd w:id="36"/>
    </w:p>
    <w:p w14:paraId="6BFAC6FA" w14:textId="77777777" w:rsidR="00AA16B7" w:rsidRPr="00591394" w:rsidRDefault="00AA16B7" w:rsidP="00C6113D">
      <w:pPr>
        <w:keepNext/>
        <w:widowControl/>
        <w:spacing w:line="360" w:lineRule="auto"/>
        <w:rPr>
          <w:sz w:val="26"/>
          <w:szCs w:val="26"/>
        </w:rPr>
      </w:pPr>
    </w:p>
    <w:p w14:paraId="0EB06720" w14:textId="048C9C8D" w:rsidR="00977070" w:rsidRPr="00591394" w:rsidRDefault="0034737D" w:rsidP="00C6113D">
      <w:pPr>
        <w:keepNext/>
        <w:widowControl/>
        <w:spacing w:line="360" w:lineRule="auto"/>
        <w:ind w:firstLine="1440"/>
        <w:rPr>
          <w:b/>
          <w:sz w:val="26"/>
          <w:szCs w:val="26"/>
        </w:rPr>
      </w:pPr>
      <w:r w:rsidRPr="00591394">
        <w:rPr>
          <w:sz w:val="26"/>
          <w:szCs w:val="26"/>
        </w:rPr>
        <w:t xml:space="preserve">For the reasons set forth, </w:t>
      </w:r>
      <w:r w:rsidRPr="00591394">
        <w:rPr>
          <w:i/>
          <w:sz w:val="26"/>
          <w:szCs w:val="26"/>
        </w:rPr>
        <w:t xml:space="preserve">supra, </w:t>
      </w:r>
      <w:r w:rsidRPr="00591394">
        <w:rPr>
          <w:sz w:val="26"/>
          <w:szCs w:val="26"/>
        </w:rPr>
        <w:t>and b</w:t>
      </w:r>
      <w:r w:rsidR="00C97B96" w:rsidRPr="00591394">
        <w:rPr>
          <w:sz w:val="26"/>
          <w:szCs w:val="26"/>
        </w:rPr>
        <w:t>ased on our review of the record and the appl</w:t>
      </w:r>
      <w:r w:rsidRPr="00591394">
        <w:rPr>
          <w:sz w:val="26"/>
          <w:szCs w:val="26"/>
        </w:rPr>
        <w:t>icable law, we will grant Duquesne’s</w:t>
      </w:r>
      <w:r w:rsidR="00C97B96" w:rsidRPr="00591394">
        <w:rPr>
          <w:sz w:val="26"/>
          <w:szCs w:val="26"/>
        </w:rPr>
        <w:t xml:space="preserve"> Petition</w:t>
      </w:r>
      <w:r w:rsidR="00482EE5" w:rsidRPr="00591394">
        <w:rPr>
          <w:sz w:val="26"/>
          <w:szCs w:val="26"/>
        </w:rPr>
        <w:t xml:space="preserve"> for </w:t>
      </w:r>
      <w:r w:rsidR="00F7128C" w:rsidRPr="00591394">
        <w:rPr>
          <w:sz w:val="26"/>
          <w:szCs w:val="26"/>
        </w:rPr>
        <w:t>A</w:t>
      </w:r>
      <w:r w:rsidR="00482EE5" w:rsidRPr="00591394">
        <w:rPr>
          <w:sz w:val="26"/>
          <w:szCs w:val="26"/>
        </w:rPr>
        <w:t>pproval of its Energy Efficiency and Conservation Phase I</w:t>
      </w:r>
      <w:r w:rsidR="006457DB" w:rsidRPr="00591394">
        <w:rPr>
          <w:sz w:val="26"/>
          <w:szCs w:val="26"/>
        </w:rPr>
        <w:t>V</w:t>
      </w:r>
      <w:r w:rsidR="00482EE5" w:rsidRPr="00591394">
        <w:rPr>
          <w:sz w:val="26"/>
          <w:szCs w:val="26"/>
        </w:rPr>
        <w:t xml:space="preserve"> Plan</w:t>
      </w:r>
      <w:r w:rsidRPr="00591394">
        <w:rPr>
          <w:sz w:val="26"/>
          <w:szCs w:val="26"/>
        </w:rPr>
        <w:t xml:space="preserve">, approve the Petition for Full </w:t>
      </w:r>
      <w:r w:rsidR="00C97B96" w:rsidRPr="00591394">
        <w:rPr>
          <w:sz w:val="26"/>
          <w:szCs w:val="26"/>
        </w:rPr>
        <w:t xml:space="preserve">Settlement, </w:t>
      </w:r>
      <w:r w:rsidRPr="00591394">
        <w:rPr>
          <w:sz w:val="26"/>
          <w:szCs w:val="26"/>
        </w:rPr>
        <w:t>and approve Duquesne’s Revised Phase I</w:t>
      </w:r>
      <w:r w:rsidR="006457DB" w:rsidRPr="00591394">
        <w:rPr>
          <w:sz w:val="26"/>
          <w:szCs w:val="26"/>
        </w:rPr>
        <w:t>V</w:t>
      </w:r>
      <w:r w:rsidRPr="00591394">
        <w:rPr>
          <w:sz w:val="26"/>
          <w:szCs w:val="26"/>
        </w:rPr>
        <w:t xml:space="preserve"> EE&amp;C Plan, </w:t>
      </w:r>
      <w:r w:rsidR="00C97B96" w:rsidRPr="00591394">
        <w:rPr>
          <w:sz w:val="26"/>
          <w:szCs w:val="26"/>
        </w:rPr>
        <w:t xml:space="preserve">consistent with this Opinion and </w:t>
      </w:r>
      <w:r w:rsidR="009E7980" w:rsidRPr="00591394">
        <w:rPr>
          <w:sz w:val="26"/>
          <w:szCs w:val="26"/>
        </w:rPr>
        <w:t xml:space="preserve">Order; </w:t>
      </w:r>
      <w:r w:rsidR="009E7980" w:rsidRPr="00591394">
        <w:rPr>
          <w:b/>
          <w:bCs/>
          <w:sz w:val="26"/>
          <w:szCs w:val="26"/>
        </w:rPr>
        <w:t>THEREFORE</w:t>
      </w:r>
      <w:r w:rsidR="00977070" w:rsidRPr="00591394">
        <w:rPr>
          <w:b/>
          <w:bCs/>
          <w:sz w:val="26"/>
          <w:szCs w:val="26"/>
        </w:rPr>
        <w:t>,</w:t>
      </w:r>
      <w:r w:rsidR="00977070" w:rsidRPr="00591394">
        <w:rPr>
          <w:b/>
          <w:sz w:val="26"/>
          <w:szCs w:val="26"/>
        </w:rPr>
        <w:t xml:space="preserve"> </w:t>
      </w:r>
    </w:p>
    <w:p w14:paraId="2070E54F" w14:textId="77777777" w:rsidR="00977070" w:rsidRPr="00591394" w:rsidRDefault="00977070" w:rsidP="00C6113D">
      <w:pPr>
        <w:widowControl/>
        <w:spacing w:line="360" w:lineRule="auto"/>
        <w:rPr>
          <w:b/>
          <w:sz w:val="26"/>
          <w:szCs w:val="26"/>
        </w:rPr>
      </w:pPr>
    </w:p>
    <w:p w14:paraId="2619C165" w14:textId="77777777" w:rsidR="00977070" w:rsidRPr="00591394" w:rsidRDefault="00977070" w:rsidP="00C6113D">
      <w:pPr>
        <w:widowControl/>
        <w:spacing w:line="360" w:lineRule="auto"/>
        <w:ind w:firstLine="1440"/>
        <w:rPr>
          <w:b/>
          <w:sz w:val="26"/>
          <w:szCs w:val="26"/>
        </w:rPr>
      </w:pPr>
      <w:r w:rsidRPr="00591394">
        <w:rPr>
          <w:b/>
          <w:sz w:val="26"/>
          <w:szCs w:val="26"/>
        </w:rPr>
        <w:t>IT IS ORDERED:</w:t>
      </w:r>
    </w:p>
    <w:p w14:paraId="451D1449" w14:textId="77777777" w:rsidR="00DE4341" w:rsidRPr="00591394" w:rsidRDefault="00DE4341" w:rsidP="00C6113D">
      <w:pPr>
        <w:widowControl/>
        <w:spacing w:line="360" w:lineRule="auto"/>
        <w:ind w:firstLine="1440"/>
        <w:rPr>
          <w:b/>
          <w:sz w:val="26"/>
          <w:szCs w:val="26"/>
        </w:rPr>
      </w:pPr>
    </w:p>
    <w:p w14:paraId="07A01122" w14:textId="4BFEC4D9" w:rsidR="0034737D" w:rsidRPr="00591394" w:rsidRDefault="0034737D" w:rsidP="00544FBF">
      <w:pPr>
        <w:pStyle w:val="ListParagraph"/>
        <w:widowControl/>
        <w:numPr>
          <w:ilvl w:val="0"/>
          <w:numId w:val="11"/>
        </w:numPr>
        <w:spacing w:line="360" w:lineRule="auto"/>
        <w:ind w:left="0" w:firstLine="1440"/>
        <w:rPr>
          <w:sz w:val="26"/>
          <w:szCs w:val="26"/>
        </w:rPr>
      </w:pPr>
      <w:r w:rsidRPr="00591394">
        <w:rPr>
          <w:sz w:val="26"/>
          <w:szCs w:val="26"/>
        </w:rPr>
        <w:lastRenderedPageBreak/>
        <w:t>That the Petition of Duquesne Light Company for Approval of its Energy Efficiency and Conservation Phase I</w:t>
      </w:r>
      <w:r w:rsidR="006457DB" w:rsidRPr="00591394">
        <w:rPr>
          <w:sz w:val="26"/>
          <w:szCs w:val="26"/>
        </w:rPr>
        <w:t>V</w:t>
      </w:r>
      <w:r w:rsidRPr="00591394">
        <w:rPr>
          <w:sz w:val="26"/>
          <w:szCs w:val="26"/>
        </w:rPr>
        <w:t xml:space="preserve"> Plan is granted, consistent with this Opinion and Order. </w:t>
      </w:r>
    </w:p>
    <w:p w14:paraId="07D296A5" w14:textId="77777777" w:rsidR="006457DB" w:rsidRPr="00591394" w:rsidRDefault="006457DB" w:rsidP="00544FBF">
      <w:pPr>
        <w:widowControl/>
        <w:spacing w:line="360" w:lineRule="auto"/>
        <w:rPr>
          <w:sz w:val="26"/>
          <w:szCs w:val="26"/>
        </w:rPr>
      </w:pPr>
    </w:p>
    <w:p w14:paraId="22BE0C50" w14:textId="53D1C0FC" w:rsidR="0034737D" w:rsidRPr="00591394" w:rsidRDefault="0034737D" w:rsidP="00544FBF">
      <w:pPr>
        <w:pStyle w:val="ListParagraph"/>
        <w:keepNext/>
        <w:widowControl/>
        <w:numPr>
          <w:ilvl w:val="0"/>
          <w:numId w:val="11"/>
        </w:numPr>
        <w:spacing w:line="360" w:lineRule="auto"/>
        <w:ind w:left="0" w:firstLine="1440"/>
        <w:rPr>
          <w:sz w:val="26"/>
          <w:szCs w:val="26"/>
        </w:rPr>
      </w:pPr>
      <w:r w:rsidRPr="00591394">
        <w:rPr>
          <w:sz w:val="26"/>
          <w:szCs w:val="26"/>
        </w:rPr>
        <w:t>That Duquesne Light Company is permitted to implement its revised Energy Efficiency and Conservation Phase I</w:t>
      </w:r>
      <w:r w:rsidR="00B849F6" w:rsidRPr="00591394">
        <w:rPr>
          <w:sz w:val="26"/>
          <w:szCs w:val="26"/>
        </w:rPr>
        <w:t>V</w:t>
      </w:r>
      <w:r w:rsidRPr="00591394">
        <w:rPr>
          <w:sz w:val="26"/>
          <w:szCs w:val="26"/>
        </w:rPr>
        <w:t xml:space="preserve"> Plan, as filed on </w:t>
      </w:r>
      <w:r w:rsidR="000C2D0A" w:rsidRPr="00591394">
        <w:rPr>
          <w:sz w:val="26"/>
          <w:szCs w:val="26"/>
        </w:rPr>
        <w:t>March 1</w:t>
      </w:r>
      <w:r w:rsidRPr="00591394">
        <w:rPr>
          <w:sz w:val="26"/>
          <w:szCs w:val="26"/>
        </w:rPr>
        <w:t>, 20</w:t>
      </w:r>
      <w:r w:rsidR="000C2D0A" w:rsidRPr="00591394">
        <w:rPr>
          <w:sz w:val="26"/>
          <w:szCs w:val="26"/>
        </w:rPr>
        <w:t>21</w:t>
      </w:r>
      <w:r w:rsidRPr="00591394">
        <w:rPr>
          <w:sz w:val="26"/>
          <w:szCs w:val="26"/>
        </w:rPr>
        <w:t>, consistent with this Opinion and Order.</w:t>
      </w:r>
    </w:p>
    <w:p w14:paraId="6FEB0D0F" w14:textId="77777777" w:rsidR="0034737D" w:rsidRPr="00591394" w:rsidRDefault="0034737D" w:rsidP="00544FBF">
      <w:pPr>
        <w:widowControl/>
        <w:spacing w:line="360" w:lineRule="auto"/>
        <w:ind w:left="2160" w:hanging="720"/>
        <w:rPr>
          <w:sz w:val="26"/>
          <w:szCs w:val="26"/>
        </w:rPr>
      </w:pPr>
    </w:p>
    <w:p w14:paraId="2760FAE7" w14:textId="584EC5CA" w:rsidR="0034737D" w:rsidRPr="00591394" w:rsidRDefault="0034737D" w:rsidP="00544FBF">
      <w:pPr>
        <w:pStyle w:val="ListParagraph"/>
        <w:widowControl/>
        <w:numPr>
          <w:ilvl w:val="0"/>
          <w:numId w:val="11"/>
        </w:numPr>
        <w:spacing w:line="360" w:lineRule="auto"/>
        <w:ind w:left="0" w:firstLine="1440"/>
        <w:rPr>
          <w:sz w:val="26"/>
          <w:szCs w:val="26"/>
        </w:rPr>
      </w:pPr>
      <w:r w:rsidRPr="00591394">
        <w:rPr>
          <w:sz w:val="26"/>
          <w:szCs w:val="26"/>
        </w:rPr>
        <w:t>That the Joint Petition for Full Settlement filed on February 1</w:t>
      </w:r>
      <w:r w:rsidR="00840184" w:rsidRPr="00591394">
        <w:rPr>
          <w:sz w:val="26"/>
          <w:szCs w:val="26"/>
        </w:rPr>
        <w:t>8</w:t>
      </w:r>
      <w:r w:rsidRPr="00591394">
        <w:rPr>
          <w:sz w:val="26"/>
          <w:szCs w:val="26"/>
        </w:rPr>
        <w:t>, 20</w:t>
      </w:r>
      <w:r w:rsidR="00840184" w:rsidRPr="00591394">
        <w:rPr>
          <w:sz w:val="26"/>
          <w:szCs w:val="26"/>
        </w:rPr>
        <w:t>21</w:t>
      </w:r>
      <w:r w:rsidRPr="00591394">
        <w:rPr>
          <w:sz w:val="26"/>
          <w:szCs w:val="26"/>
        </w:rPr>
        <w:t xml:space="preserve"> is approved.</w:t>
      </w:r>
    </w:p>
    <w:p w14:paraId="4E862C89" w14:textId="77777777" w:rsidR="0034737D" w:rsidRPr="00591394" w:rsidRDefault="0034737D" w:rsidP="00544FBF">
      <w:pPr>
        <w:pStyle w:val="ListParagraph"/>
        <w:widowControl/>
        <w:spacing w:line="360" w:lineRule="auto"/>
        <w:rPr>
          <w:sz w:val="26"/>
          <w:szCs w:val="26"/>
        </w:rPr>
      </w:pPr>
    </w:p>
    <w:p w14:paraId="25100D50" w14:textId="7D22E31A" w:rsidR="00DE4341" w:rsidRPr="00591394" w:rsidRDefault="0034737D" w:rsidP="00544FBF">
      <w:pPr>
        <w:pStyle w:val="ListParagraph"/>
        <w:keepNext/>
        <w:widowControl/>
        <w:numPr>
          <w:ilvl w:val="0"/>
          <w:numId w:val="11"/>
        </w:numPr>
        <w:spacing w:line="360" w:lineRule="auto"/>
        <w:ind w:left="0" w:firstLine="1440"/>
        <w:rPr>
          <w:sz w:val="26"/>
          <w:szCs w:val="26"/>
        </w:rPr>
      </w:pPr>
      <w:r w:rsidRPr="00591394">
        <w:rPr>
          <w:sz w:val="26"/>
          <w:szCs w:val="26"/>
        </w:rPr>
        <w:t>That any directive, requirement, disposition</w:t>
      </w:r>
      <w:r w:rsidR="00654F57" w:rsidRPr="00591394">
        <w:rPr>
          <w:sz w:val="26"/>
          <w:szCs w:val="26"/>
        </w:rPr>
        <w:t>,</w:t>
      </w:r>
      <w:r w:rsidRPr="00591394">
        <w:rPr>
          <w:sz w:val="26"/>
          <w:szCs w:val="26"/>
        </w:rPr>
        <w:t xml:space="preserve"> or the like contained in the body of this Opinion and Order, which is not the subject of an individual Ordering </w:t>
      </w:r>
      <w:r w:rsidR="009C742F" w:rsidRPr="00591394">
        <w:rPr>
          <w:sz w:val="26"/>
          <w:szCs w:val="26"/>
        </w:rPr>
        <w:t>P</w:t>
      </w:r>
      <w:r w:rsidRPr="00591394">
        <w:rPr>
          <w:sz w:val="26"/>
          <w:szCs w:val="26"/>
        </w:rPr>
        <w:t>aragraph, shall have the full force and effect as if fully contained in this part.</w:t>
      </w:r>
    </w:p>
    <w:p w14:paraId="73DB7A52" w14:textId="3081DC1A" w:rsidR="00DE4341" w:rsidRPr="00591394" w:rsidRDefault="00DE4341" w:rsidP="00C6113D">
      <w:pPr>
        <w:keepNext/>
        <w:widowControl/>
        <w:spacing w:line="360" w:lineRule="auto"/>
        <w:ind w:left="2160" w:hanging="720"/>
        <w:rPr>
          <w:sz w:val="26"/>
          <w:szCs w:val="26"/>
        </w:rPr>
      </w:pPr>
    </w:p>
    <w:p w14:paraId="45F087D6" w14:textId="31CB8685" w:rsidR="007915B6" w:rsidRPr="00591394" w:rsidRDefault="00C375C3" w:rsidP="00C6113D">
      <w:pPr>
        <w:keepNext/>
        <w:widowControl/>
        <w:tabs>
          <w:tab w:val="left" w:pos="-720"/>
        </w:tabs>
        <w:suppressAutoHyphens/>
        <w:rPr>
          <w:b/>
          <w:sz w:val="26"/>
          <w:szCs w:val="26"/>
        </w:rPr>
      </w:pPr>
      <w:r w:rsidRPr="009F01BA">
        <w:rPr>
          <w:b/>
          <w:noProof/>
        </w:rPr>
        <w:drawing>
          <wp:anchor distT="0" distB="0" distL="114300" distR="114300" simplePos="0" relativeHeight="251659264" behindDoc="1" locked="0" layoutInCell="1" allowOverlap="1" wp14:anchorId="75A3633F" wp14:editId="7A40C930">
            <wp:simplePos x="0" y="0"/>
            <wp:positionH relativeFrom="column">
              <wp:posOffset>2990850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915B6" w:rsidRPr="00591394">
        <w:rPr>
          <w:b/>
          <w:sz w:val="26"/>
          <w:szCs w:val="26"/>
        </w:rPr>
        <w:tab/>
      </w:r>
      <w:r w:rsidR="007915B6" w:rsidRPr="00591394">
        <w:rPr>
          <w:b/>
          <w:sz w:val="26"/>
          <w:szCs w:val="26"/>
        </w:rPr>
        <w:tab/>
      </w:r>
      <w:r w:rsidR="007915B6" w:rsidRPr="00591394">
        <w:rPr>
          <w:b/>
          <w:sz w:val="26"/>
          <w:szCs w:val="26"/>
        </w:rPr>
        <w:tab/>
      </w:r>
      <w:r w:rsidR="007915B6" w:rsidRPr="00591394">
        <w:rPr>
          <w:b/>
          <w:sz w:val="26"/>
          <w:szCs w:val="26"/>
        </w:rPr>
        <w:tab/>
      </w:r>
      <w:r w:rsidR="007915B6" w:rsidRPr="00591394">
        <w:rPr>
          <w:b/>
          <w:sz w:val="26"/>
          <w:szCs w:val="26"/>
        </w:rPr>
        <w:tab/>
      </w:r>
      <w:r w:rsidR="007915B6" w:rsidRPr="00591394">
        <w:rPr>
          <w:b/>
          <w:sz w:val="26"/>
          <w:szCs w:val="26"/>
        </w:rPr>
        <w:tab/>
      </w:r>
      <w:r w:rsidR="007915B6" w:rsidRPr="00591394">
        <w:rPr>
          <w:b/>
          <w:sz w:val="26"/>
          <w:szCs w:val="26"/>
        </w:rPr>
        <w:tab/>
        <w:t>BY THE COMMISSION,</w:t>
      </w:r>
    </w:p>
    <w:p w14:paraId="3797F3E2" w14:textId="36E95B11" w:rsidR="007915B6" w:rsidRPr="00591394" w:rsidRDefault="007915B6" w:rsidP="00C6113D">
      <w:pPr>
        <w:keepNext/>
        <w:widowControl/>
        <w:tabs>
          <w:tab w:val="left" w:pos="-720"/>
        </w:tabs>
        <w:suppressAutoHyphens/>
        <w:rPr>
          <w:b/>
          <w:sz w:val="26"/>
          <w:szCs w:val="26"/>
        </w:rPr>
      </w:pPr>
    </w:p>
    <w:p w14:paraId="5B740875" w14:textId="4F05EFC0" w:rsidR="007915B6" w:rsidRPr="00591394" w:rsidRDefault="00C375C3" w:rsidP="00C375C3">
      <w:pPr>
        <w:keepNext/>
        <w:widowControl/>
        <w:tabs>
          <w:tab w:val="left" w:pos="-720"/>
          <w:tab w:val="left" w:pos="5595"/>
        </w:tabs>
        <w:suppressAutoHyphens/>
        <w:rPr>
          <w:b/>
          <w:sz w:val="26"/>
          <w:szCs w:val="26"/>
        </w:rPr>
      </w:pPr>
      <w:r>
        <w:rPr>
          <w:b/>
          <w:sz w:val="26"/>
          <w:szCs w:val="26"/>
        </w:rPr>
        <w:tab/>
      </w:r>
    </w:p>
    <w:p w14:paraId="0D7544CD" w14:textId="77777777" w:rsidR="007915B6" w:rsidRPr="00591394" w:rsidRDefault="007915B6" w:rsidP="00C6113D">
      <w:pPr>
        <w:keepNext/>
        <w:widowControl/>
        <w:tabs>
          <w:tab w:val="left" w:pos="-720"/>
        </w:tabs>
        <w:suppressAutoHyphens/>
        <w:rPr>
          <w:b/>
          <w:sz w:val="26"/>
          <w:szCs w:val="26"/>
        </w:rPr>
      </w:pPr>
    </w:p>
    <w:p w14:paraId="66DD2D35" w14:textId="77777777" w:rsidR="007915B6" w:rsidRPr="00591394" w:rsidRDefault="007915B6" w:rsidP="00C6113D">
      <w:pPr>
        <w:keepNext/>
        <w:widowControl/>
        <w:tabs>
          <w:tab w:val="left" w:pos="-720"/>
        </w:tabs>
        <w:suppressAutoHyphens/>
        <w:rPr>
          <w:sz w:val="26"/>
          <w:szCs w:val="26"/>
        </w:rPr>
      </w:pPr>
      <w:r w:rsidRPr="00591394">
        <w:rPr>
          <w:sz w:val="26"/>
          <w:szCs w:val="26"/>
        </w:rPr>
        <w:tab/>
      </w:r>
      <w:r w:rsidRPr="00591394">
        <w:rPr>
          <w:sz w:val="26"/>
          <w:szCs w:val="26"/>
        </w:rPr>
        <w:tab/>
      </w:r>
      <w:r w:rsidRPr="00591394">
        <w:rPr>
          <w:sz w:val="26"/>
          <w:szCs w:val="26"/>
        </w:rPr>
        <w:tab/>
      </w:r>
      <w:r w:rsidRPr="00591394">
        <w:rPr>
          <w:sz w:val="26"/>
          <w:szCs w:val="26"/>
        </w:rPr>
        <w:tab/>
      </w:r>
      <w:r w:rsidRPr="00591394">
        <w:rPr>
          <w:sz w:val="26"/>
          <w:szCs w:val="26"/>
        </w:rPr>
        <w:tab/>
      </w:r>
      <w:r w:rsidRPr="00591394">
        <w:rPr>
          <w:sz w:val="26"/>
          <w:szCs w:val="26"/>
        </w:rPr>
        <w:tab/>
      </w:r>
      <w:r w:rsidRPr="00591394">
        <w:rPr>
          <w:sz w:val="26"/>
          <w:szCs w:val="26"/>
        </w:rPr>
        <w:tab/>
        <w:t>Rosemary Chiavetta</w:t>
      </w:r>
    </w:p>
    <w:p w14:paraId="4E1C480F" w14:textId="77777777" w:rsidR="007915B6" w:rsidRPr="00591394" w:rsidRDefault="007915B6" w:rsidP="00C6113D">
      <w:pPr>
        <w:keepNext/>
        <w:widowControl/>
        <w:tabs>
          <w:tab w:val="left" w:pos="-720"/>
        </w:tabs>
        <w:suppressAutoHyphens/>
        <w:rPr>
          <w:sz w:val="26"/>
          <w:szCs w:val="26"/>
        </w:rPr>
      </w:pPr>
      <w:r w:rsidRPr="00591394">
        <w:rPr>
          <w:sz w:val="26"/>
          <w:szCs w:val="26"/>
        </w:rPr>
        <w:tab/>
      </w:r>
      <w:r w:rsidRPr="00591394">
        <w:rPr>
          <w:sz w:val="26"/>
          <w:szCs w:val="26"/>
        </w:rPr>
        <w:tab/>
      </w:r>
      <w:r w:rsidRPr="00591394">
        <w:rPr>
          <w:sz w:val="26"/>
          <w:szCs w:val="26"/>
        </w:rPr>
        <w:tab/>
      </w:r>
      <w:r w:rsidRPr="00591394">
        <w:rPr>
          <w:sz w:val="26"/>
          <w:szCs w:val="26"/>
        </w:rPr>
        <w:tab/>
      </w:r>
      <w:r w:rsidRPr="00591394">
        <w:rPr>
          <w:sz w:val="26"/>
          <w:szCs w:val="26"/>
        </w:rPr>
        <w:tab/>
      </w:r>
      <w:r w:rsidRPr="00591394">
        <w:rPr>
          <w:sz w:val="26"/>
          <w:szCs w:val="26"/>
        </w:rPr>
        <w:tab/>
      </w:r>
      <w:r w:rsidRPr="00591394">
        <w:rPr>
          <w:sz w:val="26"/>
          <w:szCs w:val="26"/>
        </w:rPr>
        <w:tab/>
        <w:t>Secretary</w:t>
      </w:r>
    </w:p>
    <w:p w14:paraId="2E054051" w14:textId="77777777" w:rsidR="007915B6" w:rsidRPr="00591394" w:rsidRDefault="007915B6" w:rsidP="00C6113D">
      <w:pPr>
        <w:keepNext/>
        <w:widowControl/>
        <w:tabs>
          <w:tab w:val="left" w:pos="-720"/>
        </w:tabs>
        <w:suppressAutoHyphens/>
        <w:rPr>
          <w:sz w:val="26"/>
          <w:szCs w:val="26"/>
        </w:rPr>
      </w:pPr>
    </w:p>
    <w:p w14:paraId="1A81273D" w14:textId="77777777" w:rsidR="007915B6" w:rsidRPr="00591394" w:rsidRDefault="007915B6" w:rsidP="00C6113D">
      <w:pPr>
        <w:keepNext/>
        <w:widowControl/>
        <w:tabs>
          <w:tab w:val="left" w:pos="-720"/>
        </w:tabs>
        <w:suppressAutoHyphens/>
        <w:rPr>
          <w:sz w:val="26"/>
          <w:szCs w:val="26"/>
        </w:rPr>
      </w:pPr>
    </w:p>
    <w:p w14:paraId="67CB1165" w14:textId="77777777" w:rsidR="007915B6" w:rsidRPr="00591394" w:rsidRDefault="007915B6" w:rsidP="00C6113D">
      <w:pPr>
        <w:keepNext/>
        <w:widowControl/>
        <w:tabs>
          <w:tab w:val="left" w:pos="-720"/>
        </w:tabs>
        <w:suppressAutoHyphens/>
        <w:rPr>
          <w:sz w:val="26"/>
          <w:szCs w:val="26"/>
        </w:rPr>
      </w:pPr>
      <w:r w:rsidRPr="00591394">
        <w:rPr>
          <w:sz w:val="26"/>
          <w:szCs w:val="26"/>
        </w:rPr>
        <w:t>(SEAL)</w:t>
      </w:r>
    </w:p>
    <w:p w14:paraId="74673F68" w14:textId="77777777" w:rsidR="007915B6" w:rsidRPr="00591394" w:rsidRDefault="007915B6" w:rsidP="00C6113D">
      <w:pPr>
        <w:keepNext/>
        <w:widowControl/>
        <w:tabs>
          <w:tab w:val="left" w:pos="-720"/>
        </w:tabs>
        <w:suppressAutoHyphens/>
        <w:rPr>
          <w:sz w:val="26"/>
          <w:szCs w:val="26"/>
        </w:rPr>
      </w:pPr>
    </w:p>
    <w:p w14:paraId="37F87251" w14:textId="481ED0C3" w:rsidR="007915B6" w:rsidRPr="00591394" w:rsidRDefault="001457FA" w:rsidP="00C6113D">
      <w:pPr>
        <w:keepNext/>
        <w:widowControl/>
        <w:tabs>
          <w:tab w:val="left" w:pos="-720"/>
        </w:tabs>
        <w:suppressAutoHyphens/>
        <w:rPr>
          <w:sz w:val="26"/>
          <w:szCs w:val="26"/>
        </w:rPr>
      </w:pPr>
      <w:r w:rsidRPr="00591394">
        <w:rPr>
          <w:sz w:val="26"/>
          <w:szCs w:val="26"/>
        </w:rPr>
        <w:t xml:space="preserve">ORDER ADOPTED:  March </w:t>
      </w:r>
      <w:r w:rsidR="00F5658B" w:rsidRPr="00591394">
        <w:rPr>
          <w:sz w:val="26"/>
          <w:szCs w:val="26"/>
        </w:rPr>
        <w:t>25, 2021</w:t>
      </w:r>
      <w:r w:rsidR="007915B6" w:rsidRPr="00591394">
        <w:rPr>
          <w:sz w:val="26"/>
          <w:szCs w:val="26"/>
        </w:rPr>
        <w:t xml:space="preserve"> </w:t>
      </w:r>
    </w:p>
    <w:p w14:paraId="514658E1" w14:textId="77777777" w:rsidR="007915B6" w:rsidRPr="00591394" w:rsidRDefault="007915B6" w:rsidP="00C6113D">
      <w:pPr>
        <w:keepNext/>
        <w:widowControl/>
        <w:tabs>
          <w:tab w:val="left" w:pos="-720"/>
        </w:tabs>
        <w:suppressAutoHyphens/>
        <w:rPr>
          <w:sz w:val="26"/>
          <w:szCs w:val="26"/>
        </w:rPr>
      </w:pPr>
    </w:p>
    <w:p w14:paraId="12CC8635" w14:textId="5C5E325A" w:rsidR="007915B6" w:rsidRPr="00591394" w:rsidRDefault="007915B6" w:rsidP="00C6113D">
      <w:pPr>
        <w:keepNext/>
        <w:widowControl/>
        <w:tabs>
          <w:tab w:val="left" w:pos="-720"/>
        </w:tabs>
        <w:suppressAutoHyphens/>
        <w:rPr>
          <w:sz w:val="26"/>
          <w:szCs w:val="26"/>
        </w:rPr>
      </w:pPr>
      <w:r w:rsidRPr="00591394">
        <w:rPr>
          <w:sz w:val="26"/>
          <w:szCs w:val="26"/>
        </w:rPr>
        <w:t xml:space="preserve">ORDER ENTERED:  </w:t>
      </w:r>
      <w:r w:rsidR="00C375C3">
        <w:rPr>
          <w:sz w:val="26"/>
          <w:szCs w:val="26"/>
        </w:rPr>
        <w:t>March 25, 2021</w:t>
      </w:r>
    </w:p>
    <w:p w14:paraId="4B456A42" w14:textId="77777777" w:rsidR="00DE4341" w:rsidRPr="00591394" w:rsidRDefault="00DE4341" w:rsidP="007915B6">
      <w:pPr>
        <w:tabs>
          <w:tab w:val="left" w:pos="5760"/>
        </w:tabs>
        <w:spacing w:line="360" w:lineRule="auto"/>
        <w:ind w:firstLine="1440"/>
        <w:rPr>
          <w:sz w:val="26"/>
          <w:szCs w:val="26"/>
        </w:rPr>
      </w:pPr>
    </w:p>
    <w:sectPr w:rsidR="00DE4341" w:rsidRPr="00591394" w:rsidSect="001D6EF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053D0" w14:textId="77777777" w:rsidR="00BE15CE" w:rsidRDefault="00BE15CE" w:rsidP="00CC5552">
      <w:r>
        <w:separator/>
      </w:r>
    </w:p>
  </w:endnote>
  <w:endnote w:type="continuationSeparator" w:id="0">
    <w:p w14:paraId="01AC5A10" w14:textId="77777777" w:rsidR="00BE15CE" w:rsidRDefault="00BE15CE" w:rsidP="00CC5552">
      <w:r>
        <w:continuationSeparator/>
      </w:r>
    </w:p>
  </w:endnote>
  <w:endnote w:type="continuationNotice" w:id="1">
    <w:p w14:paraId="62596431" w14:textId="77777777" w:rsidR="00BE15CE" w:rsidRDefault="00BE1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972628"/>
      <w:docPartObj>
        <w:docPartGallery w:val="Page Numbers (Bottom of Page)"/>
        <w:docPartUnique/>
      </w:docPartObj>
    </w:sdtPr>
    <w:sdtEndPr/>
    <w:sdtContent>
      <w:p w14:paraId="7254849B" w14:textId="688D92EE" w:rsidR="0053564C" w:rsidRDefault="0053564C" w:rsidP="001D6EF2">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1085D" w14:textId="6A07FB4E" w:rsidR="0053564C" w:rsidRPr="00591394" w:rsidRDefault="0053564C" w:rsidP="00591394">
    <w:pPr>
      <w:pStyle w:val="Footer"/>
      <w:tabs>
        <w:tab w:val="clear" w:pos="4680"/>
        <w:tab w:val="clear" w:pos="9360"/>
      </w:tabs>
      <w:jc w:val="center"/>
      <w:rPr>
        <w:sz w:val="26"/>
        <w:szCs w:val="26"/>
      </w:rPr>
    </w:pPr>
    <w:r w:rsidRPr="00591394">
      <w:rPr>
        <w:sz w:val="26"/>
        <w:szCs w:val="26"/>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537595"/>
      <w:docPartObj>
        <w:docPartGallery w:val="Page Numbers (Bottom of Page)"/>
        <w:docPartUnique/>
      </w:docPartObj>
    </w:sdtPr>
    <w:sdtEndPr>
      <w:rPr>
        <w:noProof/>
        <w:sz w:val="26"/>
        <w:szCs w:val="26"/>
      </w:rPr>
    </w:sdtEndPr>
    <w:sdtContent>
      <w:p w14:paraId="4F0BC954" w14:textId="059819DD" w:rsidR="0053564C" w:rsidRPr="00591394" w:rsidRDefault="0053564C" w:rsidP="00591394">
        <w:pPr>
          <w:pStyle w:val="Footer"/>
          <w:jc w:val="center"/>
          <w:rPr>
            <w:sz w:val="26"/>
            <w:szCs w:val="26"/>
          </w:rPr>
        </w:pPr>
        <w:r w:rsidRPr="00591394">
          <w:rPr>
            <w:sz w:val="26"/>
            <w:szCs w:val="26"/>
          </w:rPr>
          <w:fldChar w:fldCharType="begin"/>
        </w:r>
        <w:r w:rsidRPr="00591394">
          <w:rPr>
            <w:sz w:val="26"/>
            <w:szCs w:val="26"/>
          </w:rPr>
          <w:instrText xml:space="preserve"> PAGE   \* MERGEFORMAT </w:instrText>
        </w:r>
        <w:r w:rsidRPr="00591394">
          <w:rPr>
            <w:sz w:val="26"/>
            <w:szCs w:val="26"/>
          </w:rPr>
          <w:fldChar w:fldCharType="separate"/>
        </w:r>
        <w:r w:rsidRPr="00591394">
          <w:rPr>
            <w:noProof/>
            <w:sz w:val="26"/>
            <w:szCs w:val="26"/>
          </w:rPr>
          <w:t>2</w:t>
        </w:r>
        <w:r w:rsidRPr="0059139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6DA57" w14:textId="77777777" w:rsidR="00BE15CE" w:rsidRDefault="00BE15CE" w:rsidP="00CC5552">
      <w:r>
        <w:separator/>
      </w:r>
    </w:p>
  </w:footnote>
  <w:footnote w:type="continuationSeparator" w:id="0">
    <w:p w14:paraId="099E66DE" w14:textId="77777777" w:rsidR="00BE15CE" w:rsidRDefault="00BE15CE" w:rsidP="00CC5552">
      <w:r>
        <w:continuationSeparator/>
      </w:r>
    </w:p>
  </w:footnote>
  <w:footnote w:type="continuationNotice" w:id="1">
    <w:p w14:paraId="69712691" w14:textId="77777777" w:rsidR="00BE15CE" w:rsidRDefault="00BE15CE"/>
  </w:footnote>
  <w:footnote w:id="2">
    <w:p w14:paraId="555C57A0" w14:textId="4DA87614" w:rsidR="0053564C" w:rsidRPr="006337D5" w:rsidRDefault="0053564C" w:rsidP="00DE51B7">
      <w:pPr>
        <w:pStyle w:val="FootnoteText"/>
        <w:ind w:firstLine="720"/>
        <w:rPr>
          <w:sz w:val="26"/>
          <w:szCs w:val="26"/>
        </w:rPr>
      </w:pPr>
      <w:r w:rsidRPr="006337D5">
        <w:rPr>
          <w:rStyle w:val="FootnoteReference"/>
          <w:sz w:val="26"/>
          <w:szCs w:val="26"/>
        </w:rPr>
        <w:footnoteRef/>
      </w:r>
      <w:r w:rsidRPr="006337D5">
        <w:rPr>
          <w:sz w:val="26"/>
          <w:szCs w:val="26"/>
        </w:rPr>
        <w:t xml:space="preserve"> </w:t>
      </w:r>
      <w:r w:rsidRPr="006337D5">
        <w:rPr>
          <w:sz w:val="26"/>
          <w:szCs w:val="26"/>
        </w:rPr>
        <w:tab/>
        <w:t>It is unclear as to why the notice was republished on January 9, 2021.  The notice</w:t>
      </w:r>
      <w:r>
        <w:rPr>
          <w:sz w:val="26"/>
          <w:szCs w:val="26"/>
        </w:rPr>
        <w:t>,</w:t>
      </w:r>
      <w:r w:rsidRPr="006337D5">
        <w:rPr>
          <w:sz w:val="26"/>
          <w:szCs w:val="26"/>
        </w:rPr>
        <w:t xml:space="preserve"> as published on January 9, 2021, provides that comments and recommendations are to be filed within 20 days, which is January 29, 2021.</w:t>
      </w:r>
    </w:p>
  </w:footnote>
  <w:footnote w:id="3">
    <w:p w14:paraId="0CD026AD" w14:textId="739C1181" w:rsidR="0053564C" w:rsidRPr="00367074" w:rsidRDefault="0053564C" w:rsidP="00367074">
      <w:pPr>
        <w:pStyle w:val="FootnoteText"/>
        <w:keepLines/>
        <w:ind w:firstLine="720"/>
        <w:rPr>
          <w:sz w:val="26"/>
          <w:szCs w:val="26"/>
        </w:rPr>
      </w:pPr>
      <w:r w:rsidRPr="006337D5">
        <w:rPr>
          <w:rStyle w:val="FootnoteReference"/>
          <w:sz w:val="26"/>
          <w:szCs w:val="26"/>
        </w:rPr>
        <w:footnoteRef/>
      </w:r>
      <w:r w:rsidRPr="006337D5">
        <w:rPr>
          <w:sz w:val="26"/>
          <w:szCs w:val="26"/>
        </w:rPr>
        <w:t xml:space="preserve"> </w:t>
      </w:r>
      <w:r w:rsidRPr="006337D5">
        <w:rPr>
          <w:sz w:val="26"/>
          <w:szCs w:val="26"/>
        </w:rPr>
        <w:tab/>
        <w:t>This Motion was also filed at Docket No. M-2020-3020824 (Petition of PPL Electric Utilities Corporation for Approval of its Act 129 Phase IV Energy Efficiency and Conservation Plan), Docket No. M-2020-3020830 (Petition of PECO Energy Company for Approval of its Act 129 Phase IV Energy Efficiency and Conservation Plan), and Docket Nos. M-2020-3020820, M-2020-3020821, M</w:t>
      </w:r>
      <w:r>
        <w:rPr>
          <w:sz w:val="26"/>
          <w:szCs w:val="26"/>
        </w:rPr>
        <w:noBreakHyphen/>
      </w:r>
      <w:r w:rsidRPr="006337D5">
        <w:rPr>
          <w:sz w:val="26"/>
          <w:szCs w:val="26"/>
        </w:rPr>
        <w:t>2020</w:t>
      </w:r>
      <w:r>
        <w:rPr>
          <w:sz w:val="26"/>
          <w:szCs w:val="26"/>
        </w:rPr>
        <w:noBreakHyphen/>
      </w:r>
      <w:r w:rsidRPr="006337D5">
        <w:rPr>
          <w:sz w:val="26"/>
          <w:szCs w:val="26"/>
        </w:rPr>
        <w:t>3020822, and M-2020-3020823</w:t>
      </w:r>
      <w:r w:rsidRPr="0015072D">
        <w:t xml:space="preserve"> </w:t>
      </w:r>
      <w:r w:rsidRPr="006337D5">
        <w:rPr>
          <w:sz w:val="26"/>
          <w:szCs w:val="26"/>
        </w:rPr>
        <w:t>(Consolidated Petitions of Metropolitan Edison Company, Pennsylvania Electric Company, Pennsylvania Power Company, and West Penn Power Company for Approval of Act 129 Phase IV Energy Efficiency and Conservation Plans).</w:t>
      </w:r>
    </w:p>
  </w:footnote>
  <w:footnote w:id="4">
    <w:p w14:paraId="4C205802" w14:textId="4152D59E" w:rsidR="0053564C" w:rsidRPr="006337D5" w:rsidRDefault="0053564C" w:rsidP="001A55CA">
      <w:pPr>
        <w:pStyle w:val="FootnoteText"/>
        <w:ind w:firstLine="720"/>
        <w:rPr>
          <w:sz w:val="26"/>
          <w:szCs w:val="26"/>
        </w:rPr>
      </w:pPr>
      <w:r w:rsidRPr="006337D5">
        <w:rPr>
          <w:rStyle w:val="FootnoteReference"/>
          <w:sz w:val="26"/>
          <w:szCs w:val="26"/>
        </w:rPr>
        <w:footnoteRef/>
      </w:r>
      <w:r w:rsidRPr="006337D5">
        <w:rPr>
          <w:sz w:val="26"/>
          <w:szCs w:val="26"/>
        </w:rPr>
        <w:t xml:space="preserve"> </w:t>
      </w:r>
      <w:r w:rsidRPr="006337D5">
        <w:rPr>
          <w:sz w:val="26"/>
          <w:szCs w:val="26"/>
        </w:rPr>
        <w:tab/>
        <w:t>Due to the short period of time between the scheduling of the conference and the conference itself, a court reporter was not scheduled, and the conference was held off the record.  The ALJs discussed only procedural matters with the</w:t>
      </w:r>
      <w:r>
        <w:rPr>
          <w:sz w:val="26"/>
          <w:szCs w:val="26"/>
        </w:rPr>
        <w:t xml:space="preserve"> P</w:t>
      </w:r>
      <w:r w:rsidRPr="006337D5">
        <w:rPr>
          <w:sz w:val="26"/>
          <w:szCs w:val="26"/>
        </w:rPr>
        <w:t>arties.</w:t>
      </w:r>
    </w:p>
  </w:footnote>
  <w:footnote w:id="5">
    <w:p w14:paraId="34264D1A" w14:textId="3CABB30B" w:rsidR="0053564C" w:rsidRPr="0043419B" w:rsidRDefault="0053564C" w:rsidP="0043419B">
      <w:pPr>
        <w:pStyle w:val="FootnoteText"/>
        <w:ind w:firstLine="720"/>
        <w:rPr>
          <w:sz w:val="26"/>
          <w:szCs w:val="26"/>
        </w:rPr>
      </w:pPr>
      <w:r w:rsidRPr="006337D5">
        <w:rPr>
          <w:rStyle w:val="FootnoteReference"/>
          <w:sz w:val="26"/>
          <w:szCs w:val="26"/>
        </w:rPr>
        <w:footnoteRef/>
      </w:r>
      <w:r w:rsidRPr="006337D5">
        <w:rPr>
          <w:sz w:val="26"/>
          <w:szCs w:val="26"/>
        </w:rPr>
        <w:t xml:space="preserve"> </w:t>
      </w:r>
      <w:r w:rsidRPr="006337D5">
        <w:rPr>
          <w:sz w:val="26"/>
          <w:szCs w:val="26"/>
        </w:rPr>
        <w:tab/>
        <w:t xml:space="preserve">In his February 5, 2021 email to the ALJs, the Company’s counsel advised that, although OSBA is not a party to the Joint </w:t>
      </w:r>
      <w:r>
        <w:rPr>
          <w:sz w:val="26"/>
          <w:szCs w:val="26"/>
        </w:rPr>
        <w:t>Stipulation</w:t>
      </w:r>
      <w:r w:rsidRPr="006337D5">
        <w:rPr>
          <w:sz w:val="26"/>
          <w:szCs w:val="26"/>
        </w:rPr>
        <w:t>, it had no objection to it.</w:t>
      </w:r>
    </w:p>
  </w:footnote>
  <w:footnote w:id="6">
    <w:p w14:paraId="36A513F3" w14:textId="6CDBDD5B" w:rsidR="0053564C" w:rsidRPr="0066725E" w:rsidRDefault="0053564C" w:rsidP="0066725E">
      <w:pPr>
        <w:pStyle w:val="FootnoteText"/>
        <w:ind w:firstLine="720"/>
        <w:rPr>
          <w:sz w:val="26"/>
          <w:szCs w:val="26"/>
        </w:rPr>
      </w:pPr>
      <w:r w:rsidRPr="0066725E">
        <w:rPr>
          <w:rStyle w:val="FootnoteReference"/>
          <w:sz w:val="26"/>
          <w:szCs w:val="26"/>
        </w:rPr>
        <w:footnoteRef/>
      </w:r>
      <w:r w:rsidRPr="0066725E">
        <w:rPr>
          <w:sz w:val="26"/>
          <w:szCs w:val="26"/>
        </w:rPr>
        <w:t xml:space="preserve"> </w:t>
      </w:r>
      <w:r w:rsidRPr="005D68D4">
        <w:rPr>
          <w:sz w:val="26"/>
        </w:rPr>
        <w:tab/>
      </w:r>
      <w:r w:rsidRPr="0066725E">
        <w:rPr>
          <w:i/>
          <w:iCs/>
          <w:sz w:val="26"/>
          <w:szCs w:val="26"/>
        </w:rPr>
        <w:t>See 2021 Technical Reference Manual, Volume 1</w:t>
      </w:r>
      <w:r w:rsidRPr="0066725E">
        <w:rPr>
          <w:sz w:val="26"/>
          <w:szCs w:val="26"/>
        </w:rPr>
        <w:t xml:space="preserve"> at page 10. </w:t>
      </w:r>
      <w:hyperlink r:id="rId1" w:history="1">
        <w:r w:rsidRPr="0066725E">
          <w:rPr>
            <w:rStyle w:val="Hyperlink"/>
            <w:sz w:val="26"/>
            <w:szCs w:val="26"/>
          </w:rPr>
          <w:t>http://www.puc.pa.gov/pcdocs/1631001.docx</w:t>
        </w:r>
      </w:hyperlink>
      <w:r w:rsidRPr="001360D1">
        <w:rPr>
          <w:rStyle w:val="Hyperlink"/>
          <w:color w:val="auto"/>
          <w:sz w:val="26"/>
          <w:szCs w:val="26"/>
          <w:u w:val="none"/>
        </w:rPr>
        <w:t>.</w:t>
      </w:r>
    </w:p>
  </w:footnote>
  <w:footnote w:id="7">
    <w:p w14:paraId="7272133F" w14:textId="66BFF57C" w:rsidR="0053564C" w:rsidRPr="00550C04" w:rsidRDefault="0053564C" w:rsidP="00550C04">
      <w:pPr>
        <w:pStyle w:val="FootnoteText"/>
        <w:ind w:firstLine="720"/>
        <w:rPr>
          <w:sz w:val="26"/>
          <w:szCs w:val="26"/>
        </w:rPr>
      </w:pPr>
      <w:r w:rsidRPr="00550C04">
        <w:rPr>
          <w:rStyle w:val="FootnoteReference"/>
          <w:sz w:val="26"/>
          <w:szCs w:val="26"/>
        </w:rPr>
        <w:footnoteRef/>
      </w:r>
      <w:r w:rsidRPr="00550C04">
        <w:rPr>
          <w:sz w:val="26"/>
          <w:szCs w:val="26"/>
        </w:rPr>
        <w:t xml:space="preserve"> </w:t>
      </w:r>
      <w:r>
        <w:rPr>
          <w:sz w:val="26"/>
          <w:szCs w:val="26"/>
        </w:rPr>
        <w:tab/>
      </w:r>
      <w:r w:rsidRPr="00550C04">
        <w:rPr>
          <w:i/>
          <w:sz w:val="26"/>
          <w:szCs w:val="26"/>
        </w:rPr>
        <w:t xml:space="preserve">See Report of the Act 129 Low-Income Working Group </w:t>
      </w:r>
      <w:r w:rsidRPr="00550C04">
        <w:rPr>
          <w:sz w:val="26"/>
          <w:szCs w:val="26"/>
        </w:rPr>
        <w:t>at Docket No. M</w:t>
      </w:r>
      <w:r>
        <w:rPr>
          <w:sz w:val="26"/>
          <w:szCs w:val="26"/>
        </w:rPr>
        <w:noBreakHyphen/>
      </w:r>
      <w:r w:rsidRPr="00550C04">
        <w:rPr>
          <w:sz w:val="26"/>
          <w:szCs w:val="26"/>
        </w:rPr>
        <w:t>2009-2146801, Table 1 at page 6, that was adopted by the Commission in an April</w:t>
      </w:r>
      <w:r>
        <w:rPr>
          <w:sz w:val="26"/>
          <w:szCs w:val="26"/>
        </w:rPr>
        <w:t> </w:t>
      </w:r>
      <w:r w:rsidRPr="00550C04">
        <w:rPr>
          <w:sz w:val="26"/>
          <w:szCs w:val="26"/>
        </w:rPr>
        <w:t>27,</w:t>
      </w:r>
      <w:r>
        <w:rPr>
          <w:sz w:val="26"/>
          <w:szCs w:val="26"/>
        </w:rPr>
        <w:t> </w:t>
      </w:r>
      <w:r w:rsidRPr="00550C04">
        <w:rPr>
          <w:sz w:val="26"/>
          <w:szCs w:val="26"/>
        </w:rPr>
        <w:t xml:space="preserve">2010 Secretarial Letter at the same Docket. </w:t>
      </w:r>
    </w:p>
  </w:footnote>
  <w:footnote w:id="8">
    <w:p w14:paraId="1A0E9166" w14:textId="564CC089" w:rsidR="0053564C" w:rsidRPr="005406B2" w:rsidRDefault="0053564C" w:rsidP="0066725E">
      <w:pPr>
        <w:pStyle w:val="FootnoteText"/>
        <w:spacing w:after="120"/>
        <w:ind w:firstLine="720"/>
        <w:rPr>
          <w:sz w:val="26"/>
          <w:szCs w:val="26"/>
        </w:rPr>
      </w:pPr>
      <w:r w:rsidRPr="005406B2">
        <w:rPr>
          <w:rStyle w:val="FootnoteReference"/>
          <w:sz w:val="26"/>
          <w:szCs w:val="26"/>
        </w:rPr>
        <w:footnoteRef/>
      </w:r>
      <w:r w:rsidRPr="005406B2">
        <w:rPr>
          <w:sz w:val="26"/>
          <w:szCs w:val="26"/>
        </w:rPr>
        <w:t xml:space="preserve"> </w:t>
      </w:r>
      <w:r w:rsidRPr="005406B2">
        <w:rPr>
          <w:sz w:val="26"/>
          <w:szCs w:val="26"/>
        </w:rPr>
        <w:tab/>
        <w:t xml:space="preserve">After November 30, 2013, and every five years thereafter, </w:t>
      </w:r>
      <w:r>
        <w:rPr>
          <w:sz w:val="26"/>
          <w:szCs w:val="26"/>
        </w:rPr>
        <w:t xml:space="preserve">the Commission is </w:t>
      </w:r>
      <w:r w:rsidRPr="005406B2">
        <w:rPr>
          <w:sz w:val="26"/>
          <w:szCs w:val="26"/>
        </w:rPr>
        <w:t>to evaluate the costs and benefits of the program established under 66 Pa. C.S. §</w:t>
      </w:r>
      <w:r>
        <w:rPr>
          <w:sz w:val="26"/>
          <w:szCs w:val="26"/>
        </w:rPr>
        <w:t> </w:t>
      </w:r>
      <w:r w:rsidRPr="005406B2">
        <w:rPr>
          <w:sz w:val="26"/>
          <w:szCs w:val="26"/>
        </w:rPr>
        <w:t>2806.1(a) and of approved EE&amp;C plans using a total resource cost test or a cost-benefit analysis of our determination.  66 Pa. C.S. § 2806.1(c)(3).</w:t>
      </w:r>
    </w:p>
  </w:footnote>
  <w:footnote w:id="9">
    <w:p w14:paraId="3BECADE0" w14:textId="5923693C" w:rsidR="0053564C" w:rsidRPr="0066725E" w:rsidRDefault="0053564C" w:rsidP="0066725E">
      <w:pPr>
        <w:pStyle w:val="FootnoteText"/>
        <w:ind w:firstLine="720"/>
        <w:rPr>
          <w:sz w:val="26"/>
          <w:szCs w:val="26"/>
        </w:rPr>
      </w:pPr>
      <w:r w:rsidRPr="0066725E">
        <w:rPr>
          <w:rStyle w:val="FootnoteReference"/>
          <w:sz w:val="26"/>
          <w:szCs w:val="26"/>
        </w:rPr>
        <w:footnoteRef/>
      </w:r>
      <w:r w:rsidRPr="0066725E">
        <w:rPr>
          <w:sz w:val="26"/>
          <w:szCs w:val="26"/>
        </w:rPr>
        <w:t xml:space="preserve"> </w:t>
      </w:r>
      <w:r w:rsidRPr="005D68D4">
        <w:rPr>
          <w:sz w:val="26"/>
        </w:rPr>
        <w:tab/>
      </w:r>
      <w:hyperlink r:id="rId2" w:history="1">
        <w:r w:rsidRPr="0066725E">
          <w:rPr>
            <w:rStyle w:val="Hyperlink"/>
            <w:sz w:val="26"/>
            <w:szCs w:val="26"/>
          </w:rPr>
          <w:t>http://www.puc.pa.gov/pcdocs/1648126.docx</w:t>
        </w:r>
      </w:hyperlink>
      <w:r>
        <w:rPr>
          <w:sz w:val="26"/>
          <w:szCs w:val="26"/>
        </w:rPr>
        <w:t>.</w:t>
      </w:r>
    </w:p>
  </w:footnote>
  <w:footnote w:id="10">
    <w:p w14:paraId="61D89D84" w14:textId="19846EA0" w:rsidR="0053564C" w:rsidRPr="00644160" w:rsidRDefault="0053564C" w:rsidP="0066725E">
      <w:pPr>
        <w:pStyle w:val="FootnoteText"/>
        <w:spacing w:after="120"/>
        <w:ind w:firstLine="720"/>
        <w:rPr>
          <w:sz w:val="26"/>
          <w:szCs w:val="26"/>
        </w:rPr>
      </w:pPr>
      <w:r w:rsidRPr="00644160">
        <w:rPr>
          <w:rStyle w:val="FootnoteReference"/>
          <w:sz w:val="26"/>
          <w:szCs w:val="26"/>
        </w:rPr>
        <w:footnoteRef/>
      </w:r>
      <w:r w:rsidRPr="00644160">
        <w:rPr>
          <w:sz w:val="26"/>
          <w:szCs w:val="26"/>
        </w:rPr>
        <w:t xml:space="preserve"> </w:t>
      </w:r>
      <w:r>
        <w:rPr>
          <w:sz w:val="26"/>
          <w:szCs w:val="26"/>
        </w:rPr>
        <w:tab/>
      </w:r>
      <w:r w:rsidRPr="00644160">
        <w:rPr>
          <w:i/>
          <w:sz w:val="26"/>
          <w:szCs w:val="26"/>
        </w:rPr>
        <w:t>See Phase III Implementation Order</w:t>
      </w:r>
      <w:r w:rsidRPr="00644160">
        <w:rPr>
          <w:sz w:val="26"/>
          <w:szCs w:val="26"/>
        </w:rPr>
        <w:t xml:space="preserve"> at page 149.</w:t>
      </w:r>
    </w:p>
  </w:footnote>
  <w:footnote w:id="11">
    <w:p w14:paraId="4E1FC35E" w14:textId="67095F1A" w:rsidR="0053564C" w:rsidRPr="00644160" w:rsidRDefault="0053564C" w:rsidP="00BB2C12">
      <w:pPr>
        <w:pStyle w:val="FootnoteText"/>
        <w:ind w:firstLine="720"/>
        <w:rPr>
          <w:sz w:val="26"/>
          <w:szCs w:val="26"/>
        </w:rPr>
      </w:pPr>
      <w:r w:rsidRPr="00644160">
        <w:rPr>
          <w:rStyle w:val="FootnoteReference"/>
          <w:sz w:val="26"/>
          <w:szCs w:val="26"/>
        </w:rPr>
        <w:footnoteRef/>
      </w:r>
      <w:r w:rsidRPr="00644160">
        <w:rPr>
          <w:sz w:val="26"/>
          <w:szCs w:val="26"/>
        </w:rPr>
        <w:t xml:space="preserve"> </w:t>
      </w:r>
      <w:r w:rsidRPr="00644160">
        <w:rPr>
          <w:sz w:val="26"/>
          <w:szCs w:val="26"/>
        </w:rPr>
        <w:tab/>
        <w:t>Due to the timing of the filing, the reconciliation statement will contain 10</w:t>
      </w:r>
      <w:r>
        <w:rPr>
          <w:sz w:val="26"/>
          <w:szCs w:val="26"/>
        </w:rPr>
        <w:t> </w:t>
      </w:r>
      <w:r w:rsidRPr="00644160">
        <w:rPr>
          <w:sz w:val="26"/>
          <w:szCs w:val="26"/>
        </w:rPr>
        <w:t>months of revenues and expenses.  The remaining two months of Program Year 12 will be reconciled with the Program Year 13 revenues and expenses.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0526E"/>
    <w:multiLevelType w:val="multilevel"/>
    <w:tmpl w:val="3C0C2362"/>
    <w:lvl w:ilvl="0">
      <w:start w:val="3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538A1"/>
    <w:multiLevelType w:val="hybridMultilevel"/>
    <w:tmpl w:val="C2CEDA2A"/>
    <w:lvl w:ilvl="0" w:tplc="5164BCA0">
      <w:start w:val="2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5A25CE"/>
    <w:multiLevelType w:val="hybridMultilevel"/>
    <w:tmpl w:val="A18C1B3E"/>
    <w:lvl w:ilvl="0" w:tplc="59E2C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5AE2"/>
    <w:multiLevelType w:val="hybridMultilevel"/>
    <w:tmpl w:val="97BEC2DE"/>
    <w:lvl w:ilvl="0" w:tplc="B4268782">
      <w:start w:val="1"/>
      <w:numFmt w:val="decimal"/>
      <w:lvlText w:val="%1."/>
      <w:lvlJc w:val="left"/>
      <w:pPr>
        <w:ind w:left="1080" w:hanging="360"/>
      </w:pPr>
      <w:rPr>
        <w:rFonts w:hint="default"/>
        <w:b/>
      </w:rPr>
    </w:lvl>
    <w:lvl w:ilvl="1" w:tplc="59A4819C">
      <w:start w:val="1"/>
      <w:numFmt w:val="lowerLetter"/>
      <w:lvlText w:val="%2."/>
      <w:lvlJc w:val="left"/>
      <w:pPr>
        <w:ind w:left="180" w:hanging="360"/>
      </w:pPr>
      <w:rPr>
        <w:b/>
      </w:rPr>
    </w:lvl>
    <w:lvl w:ilvl="2" w:tplc="0409001B">
      <w:start w:val="1"/>
      <w:numFmt w:val="lowerRoman"/>
      <w:lvlText w:val="%3."/>
      <w:lvlJc w:val="right"/>
      <w:pPr>
        <w:ind w:left="990" w:hanging="180"/>
      </w:pPr>
    </w:lvl>
    <w:lvl w:ilvl="3" w:tplc="628AE6E0">
      <w:numFmt w:val="bullet"/>
      <w:lvlText w:val="•"/>
      <w:lvlJc w:val="left"/>
      <w:pPr>
        <w:ind w:left="1710" w:hanging="360"/>
      </w:pPr>
      <w:rPr>
        <w:rFonts w:ascii="Times New Roman" w:eastAsia="Times New Roman" w:hAnsi="Times New Roman" w:cs="Times New Roman" w:hint="default"/>
      </w:r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16C544F9"/>
    <w:multiLevelType w:val="hybridMultilevel"/>
    <w:tmpl w:val="9A24FCCE"/>
    <w:lvl w:ilvl="0" w:tplc="126E5BCC">
      <w:start w:val="1"/>
      <w:numFmt w:val="bullet"/>
      <w:pStyle w:val="PUC11Bullet"/>
      <w:lvlText w:val=""/>
      <w:lvlJc w:val="left"/>
      <w:pPr>
        <w:ind w:left="180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EF8388B"/>
    <w:multiLevelType w:val="hybridMultilevel"/>
    <w:tmpl w:val="3276520E"/>
    <w:lvl w:ilvl="0" w:tplc="960E1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10557B"/>
    <w:multiLevelType w:val="multilevel"/>
    <w:tmpl w:val="E5660860"/>
    <w:lvl w:ilvl="0">
      <w:start w:val="1"/>
      <w:numFmt w:val="decimal"/>
      <w:pStyle w:val="PUCTOCHeading"/>
      <w:lvlText w:val="%1."/>
      <w:lvlJc w:val="left"/>
      <w:pPr>
        <w:ind w:left="360" w:hanging="360"/>
      </w:pPr>
      <w:rPr>
        <w:rFonts w:ascii="Times New Roman" w:hAnsi="Times New Roman" w:cs="Times New Roman" w:hint="default"/>
        <w:b/>
      </w:rPr>
    </w:lvl>
    <w:lvl w:ilvl="1">
      <w:start w:val="1"/>
      <w:numFmt w:val="decimal"/>
      <w:pStyle w:val="PUC11TitleDescription"/>
      <w:lvlText w:val="%1.%2."/>
      <w:lvlJc w:val="left"/>
      <w:pPr>
        <w:ind w:left="1782" w:hanging="432"/>
      </w:pPr>
      <w:rPr>
        <w:rFonts w:hint="default"/>
        <w:b w:val="0"/>
        <w:sz w:val="24"/>
        <w:szCs w:val="24"/>
      </w:rPr>
    </w:lvl>
    <w:lvl w:ilvl="2">
      <w:start w:val="1"/>
      <w:numFmt w:val="decimal"/>
      <w:pStyle w:val="PUC111Sub-Title"/>
      <w:lvlText w:val="%1.%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6C7300"/>
    <w:multiLevelType w:val="hybridMultilevel"/>
    <w:tmpl w:val="4A02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B2F54"/>
    <w:multiLevelType w:val="hybridMultilevel"/>
    <w:tmpl w:val="D2B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6EC"/>
    <w:multiLevelType w:val="multilevel"/>
    <w:tmpl w:val="4E9E6322"/>
    <w:lvl w:ilvl="0">
      <w:start w:val="4"/>
      <w:numFmt w:val="upperLetter"/>
      <w:lvlText w:val="%1."/>
      <w:lvlJc w:val="left"/>
      <w:pPr>
        <w:tabs>
          <w:tab w:val="left" w:pos="288"/>
        </w:tabs>
        <w:ind w:left="720"/>
      </w:pPr>
      <w:rPr>
        <w:rFonts w:ascii="Times New Roman" w:eastAsia="Times New Roman" w:hAnsi="Times New Roman"/>
        <w:strike w:val="0"/>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E53921"/>
    <w:multiLevelType w:val="multilevel"/>
    <w:tmpl w:val="B086AC36"/>
    <w:lvl w:ilvl="0">
      <w:start w:val="3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32930"/>
    <w:multiLevelType w:val="hybridMultilevel"/>
    <w:tmpl w:val="1B0AA7E2"/>
    <w:lvl w:ilvl="0" w:tplc="FFFFFFFF">
      <w:start w:val="1"/>
      <w:numFmt w:val="decimal"/>
      <w:pStyle w:val="BodyText"/>
      <w:lvlText w:val="%1."/>
      <w:lvlJc w:val="left"/>
      <w:pPr>
        <w:tabs>
          <w:tab w:val="num" w:pos="2160"/>
        </w:tabs>
        <w:ind w:left="0" w:firstLine="720"/>
      </w:pPr>
      <w:rPr>
        <w:rFonts w:hint="default"/>
        <w:b w:val="0"/>
        <w:vertAlign w:val="baseline"/>
      </w:rPr>
    </w:lvl>
    <w:lvl w:ilvl="1" w:tplc="FFFFFFFF">
      <w:start w:val="1"/>
      <w:numFmt w:val="lowerLetter"/>
      <w:lvlText w:val="%2."/>
      <w:lvlJc w:val="left"/>
      <w:pPr>
        <w:tabs>
          <w:tab w:val="num" w:pos="810"/>
        </w:tabs>
        <w:ind w:left="810" w:hanging="360"/>
      </w:pPr>
    </w:lvl>
    <w:lvl w:ilvl="2" w:tplc="FFFFFFFF">
      <w:start w:val="1"/>
      <w:numFmt w:val="lowerRoman"/>
      <w:lvlText w:val="%3."/>
      <w:lvlJc w:val="right"/>
      <w:pPr>
        <w:tabs>
          <w:tab w:val="num" w:pos="1530"/>
        </w:tabs>
        <w:ind w:left="1530" w:hanging="180"/>
      </w:pPr>
    </w:lvl>
    <w:lvl w:ilvl="3" w:tplc="FFFFFFFF" w:tentative="1">
      <w:start w:val="1"/>
      <w:numFmt w:val="decimal"/>
      <w:lvlText w:val="%4."/>
      <w:lvlJc w:val="left"/>
      <w:pPr>
        <w:tabs>
          <w:tab w:val="num" w:pos="2250"/>
        </w:tabs>
        <w:ind w:left="2250" w:hanging="360"/>
      </w:pPr>
    </w:lvl>
    <w:lvl w:ilvl="4" w:tplc="FFFFFFFF" w:tentative="1">
      <w:start w:val="1"/>
      <w:numFmt w:val="lowerLetter"/>
      <w:lvlText w:val="%5."/>
      <w:lvlJc w:val="left"/>
      <w:pPr>
        <w:tabs>
          <w:tab w:val="num" w:pos="2970"/>
        </w:tabs>
        <w:ind w:left="2970" w:hanging="360"/>
      </w:pPr>
    </w:lvl>
    <w:lvl w:ilvl="5" w:tplc="FFFFFFFF" w:tentative="1">
      <w:start w:val="1"/>
      <w:numFmt w:val="lowerRoman"/>
      <w:lvlText w:val="%6."/>
      <w:lvlJc w:val="right"/>
      <w:pPr>
        <w:tabs>
          <w:tab w:val="num" w:pos="3690"/>
        </w:tabs>
        <w:ind w:left="3690" w:hanging="180"/>
      </w:pPr>
    </w:lvl>
    <w:lvl w:ilvl="6" w:tplc="FFFFFFFF" w:tentative="1">
      <w:start w:val="1"/>
      <w:numFmt w:val="decimal"/>
      <w:lvlText w:val="%7."/>
      <w:lvlJc w:val="left"/>
      <w:pPr>
        <w:tabs>
          <w:tab w:val="num" w:pos="4410"/>
        </w:tabs>
        <w:ind w:left="4410" w:hanging="360"/>
      </w:pPr>
    </w:lvl>
    <w:lvl w:ilvl="7" w:tplc="FFFFFFFF" w:tentative="1">
      <w:start w:val="1"/>
      <w:numFmt w:val="lowerLetter"/>
      <w:lvlText w:val="%8."/>
      <w:lvlJc w:val="left"/>
      <w:pPr>
        <w:tabs>
          <w:tab w:val="num" w:pos="5130"/>
        </w:tabs>
        <w:ind w:left="5130" w:hanging="360"/>
      </w:pPr>
    </w:lvl>
    <w:lvl w:ilvl="8" w:tplc="FFFFFFFF" w:tentative="1">
      <w:start w:val="1"/>
      <w:numFmt w:val="lowerRoman"/>
      <w:lvlText w:val="%9."/>
      <w:lvlJc w:val="right"/>
      <w:pPr>
        <w:tabs>
          <w:tab w:val="num" w:pos="5850"/>
        </w:tabs>
        <w:ind w:left="5850" w:hanging="180"/>
      </w:pPr>
    </w:lvl>
  </w:abstractNum>
  <w:abstractNum w:abstractNumId="12" w15:restartNumberingAfterBreak="0">
    <w:nsid w:val="32D72A89"/>
    <w:multiLevelType w:val="multilevel"/>
    <w:tmpl w:val="EE60A0A4"/>
    <w:lvl w:ilvl="0">
      <w:start w:val="30"/>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4E3317E"/>
    <w:multiLevelType w:val="hybridMultilevel"/>
    <w:tmpl w:val="E67CA8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161099"/>
    <w:multiLevelType w:val="multilevel"/>
    <w:tmpl w:val="BC5C8D06"/>
    <w:lvl w:ilvl="0">
      <w:start w:val="1"/>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01027"/>
    <w:multiLevelType w:val="hybridMultilevel"/>
    <w:tmpl w:val="D2A0CA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67D86"/>
    <w:multiLevelType w:val="hybridMultilevel"/>
    <w:tmpl w:val="81F2C8FE"/>
    <w:lvl w:ilvl="0" w:tplc="6DAE0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9980599"/>
    <w:multiLevelType w:val="hybridMultilevel"/>
    <w:tmpl w:val="A32EA824"/>
    <w:lvl w:ilvl="0" w:tplc="114837D4">
      <w:start w:val="1"/>
      <w:numFmt w:val="bullet"/>
      <w:lvlText w:val=""/>
      <w:lvlJc w:val="left"/>
      <w:pPr>
        <w:ind w:left="1440" w:hanging="360"/>
      </w:pPr>
      <w:rPr>
        <w:rFonts w:ascii="Symbol" w:hAnsi="Symbol" w:cs="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C1551"/>
    <w:multiLevelType w:val="hybridMultilevel"/>
    <w:tmpl w:val="4C1E99C2"/>
    <w:lvl w:ilvl="0" w:tplc="57F4A7FA">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ACE6A51"/>
    <w:multiLevelType w:val="hybridMultilevel"/>
    <w:tmpl w:val="C114B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02428"/>
    <w:multiLevelType w:val="hybridMultilevel"/>
    <w:tmpl w:val="A85EA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A5580"/>
    <w:multiLevelType w:val="multilevel"/>
    <w:tmpl w:val="92CE529C"/>
    <w:lvl w:ilvl="0">
      <w:start w:val="47"/>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D87980"/>
    <w:multiLevelType w:val="multilevel"/>
    <w:tmpl w:val="20D26EDA"/>
    <w:lvl w:ilvl="0">
      <w:start w:val="29"/>
      <w:numFmt w:val="decimal"/>
      <w:lvlText w:val="%1."/>
      <w:lvlJc w:val="left"/>
      <w:pPr>
        <w:tabs>
          <w:tab w:val="num" w:pos="648"/>
        </w:tabs>
        <w:ind w:left="720" w:firstLine="0"/>
      </w:pPr>
      <w:rPr>
        <w:rFonts w:ascii="Times New Roman" w:eastAsia="Times New Roman" w:hAnsi="Times New Roman"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3"/>
  </w:num>
  <w:num w:numId="3">
    <w:abstractNumId w:val="7"/>
  </w:num>
  <w:num w:numId="4">
    <w:abstractNumId w:val="6"/>
  </w:num>
  <w:num w:numId="5">
    <w:abstractNumId w:val="4"/>
  </w:num>
  <w:num w:numId="6">
    <w:abstractNumId w:val="2"/>
  </w:num>
  <w:num w:numId="7">
    <w:abstractNumId w:val="11"/>
  </w:num>
  <w:num w:numId="8">
    <w:abstractNumId w:val="14"/>
  </w:num>
  <w:num w:numId="9">
    <w:abstractNumId w:val="1"/>
  </w:num>
  <w:num w:numId="10">
    <w:abstractNumId w:val="5"/>
  </w:num>
  <w:num w:numId="11">
    <w:abstractNumId w:val="17"/>
  </w:num>
  <w:num w:numId="12">
    <w:abstractNumId w:val="25"/>
  </w:num>
  <w:num w:numId="13">
    <w:abstractNumId w:val="24"/>
  </w:num>
  <w:num w:numId="14">
    <w:abstractNumId w:val="12"/>
  </w:num>
  <w:num w:numId="15">
    <w:abstractNumId w:val="10"/>
  </w:num>
  <w:num w:numId="16">
    <w:abstractNumId w:val="0"/>
  </w:num>
  <w:num w:numId="17">
    <w:abstractNumId w:val="23"/>
  </w:num>
  <w:num w:numId="18">
    <w:abstractNumId w:val="18"/>
  </w:num>
  <w:num w:numId="19">
    <w:abstractNumId w:val="20"/>
  </w:num>
  <w:num w:numId="20">
    <w:abstractNumId w:val="3"/>
  </w:num>
  <w:num w:numId="21">
    <w:abstractNumId w:val="3"/>
    <w:lvlOverride w:ilvl="0">
      <w:startOverride w:val="1"/>
    </w:lvlOverride>
  </w:num>
  <w:num w:numId="22">
    <w:abstractNumId w:val="15"/>
  </w:num>
  <w:num w:numId="23">
    <w:abstractNumId w:val="9"/>
  </w:num>
  <w:num w:numId="24">
    <w:abstractNumId w:val="8"/>
  </w:num>
  <w:num w:numId="25">
    <w:abstractNumId w:val="22"/>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0B1"/>
    <w:rsid w:val="000008EE"/>
    <w:rsid w:val="00000D47"/>
    <w:rsid w:val="00001FC8"/>
    <w:rsid w:val="00002FCA"/>
    <w:rsid w:val="00004263"/>
    <w:rsid w:val="00004664"/>
    <w:rsid w:val="00004C09"/>
    <w:rsid w:val="00005095"/>
    <w:rsid w:val="0000550B"/>
    <w:rsid w:val="00006685"/>
    <w:rsid w:val="00006B83"/>
    <w:rsid w:val="000078C2"/>
    <w:rsid w:val="00010865"/>
    <w:rsid w:val="00015B28"/>
    <w:rsid w:val="00016636"/>
    <w:rsid w:val="00016D57"/>
    <w:rsid w:val="000172D7"/>
    <w:rsid w:val="00017852"/>
    <w:rsid w:val="00017BA1"/>
    <w:rsid w:val="00020AD5"/>
    <w:rsid w:val="00021C50"/>
    <w:rsid w:val="00021E46"/>
    <w:rsid w:val="00022B74"/>
    <w:rsid w:val="00024A3D"/>
    <w:rsid w:val="0002524C"/>
    <w:rsid w:val="00025F3F"/>
    <w:rsid w:val="00026B3C"/>
    <w:rsid w:val="00026CD2"/>
    <w:rsid w:val="00027A0F"/>
    <w:rsid w:val="000306FC"/>
    <w:rsid w:val="00031B70"/>
    <w:rsid w:val="0003269E"/>
    <w:rsid w:val="00032EE3"/>
    <w:rsid w:val="000335EF"/>
    <w:rsid w:val="00033809"/>
    <w:rsid w:val="00036116"/>
    <w:rsid w:val="00036EB7"/>
    <w:rsid w:val="00037933"/>
    <w:rsid w:val="00040A8E"/>
    <w:rsid w:val="00040AEA"/>
    <w:rsid w:val="00045D6D"/>
    <w:rsid w:val="000461B0"/>
    <w:rsid w:val="00046700"/>
    <w:rsid w:val="00047874"/>
    <w:rsid w:val="00047F4A"/>
    <w:rsid w:val="000523D1"/>
    <w:rsid w:val="00052B8F"/>
    <w:rsid w:val="00054612"/>
    <w:rsid w:val="0005572E"/>
    <w:rsid w:val="00056286"/>
    <w:rsid w:val="00056924"/>
    <w:rsid w:val="00057120"/>
    <w:rsid w:val="00060FC2"/>
    <w:rsid w:val="00060FCE"/>
    <w:rsid w:val="000612FD"/>
    <w:rsid w:val="00061F4C"/>
    <w:rsid w:val="000642AA"/>
    <w:rsid w:val="000649EC"/>
    <w:rsid w:val="00065434"/>
    <w:rsid w:val="00066DC0"/>
    <w:rsid w:val="00066EE5"/>
    <w:rsid w:val="00067260"/>
    <w:rsid w:val="00071B3A"/>
    <w:rsid w:val="00072808"/>
    <w:rsid w:val="00072CDA"/>
    <w:rsid w:val="0007437C"/>
    <w:rsid w:val="0007456F"/>
    <w:rsid w:val="00076F35"/>
    <w:rsid w:val="000817C6"/>
    <w:rsid w:val="00081925"/>
    <w:rsid w:val="00083126"/>
    <w:rsid w:val="00084573"/>
    <w:rsid w:val="00084AF9"/>
    <w:rsid w:val="0008517D"/>
    <w:rsid w:val="0008606B"/>
    <w:rsid w:val="000871D1"/>
    <w:rsid w:val="0008731E"/>
    <w:rsid w:val="0008732C"/>
    <w:rsid w:val="000918D4"/>
    <w:rsid w:val="00091D95"/>
    <w:rsid w:val="000920B5"/>
    <w:rsid w:val="00093164"/>
    <w:rsid w:val="00093A65"/>
    <w:rsid w:val="00093C1B"/>
    <w:rsid w:val="000949AF"/>
    <w:rsid w:val="0009612D"/>
    <w:rsid w:val="00096AB5"/>
    <w:rsid w:val="00097504"/>
    <w:rsid w:val="000A14D7"/>
    <w:rsid w:val="000A22DC"/>
    <w:rsid w:val="000A260E"/>
    <w:rsid w:val="000A365D"/>
    <w:rsid w:val="000A41E3"/>
    <w:rsid w:val="000A4B0D"/>
    <w:rsid w:val="000A5101"/>
    <w:rsid w:val="000A6BDA"/>
    <w:rsid w:val="000A749C"/>
    <w:rsid w:val="000A79E2"/>
    <w:rsid w:val="000A7DD4"/>
    <w:rsid w:val="000B216D"/>
    <w:rsid w:val="000B2755"/>
    <w:rsid w:val="000B45F5"/>
    <w:rsid w:val="000B4DFE"/>
    <w:rsid w:val="000B4EAE"/>
    <w:rsid w:val="000B5238"/>
    <w:rsid w:val="000B607A"/>
    <w:rsid w:val="000B63B2"/>
    <w:rsid w:val="000B6B15"/>
    <w:rsid w:val="000C0E1C"/>
    <w:rsid w:val="000C13ED"/>
    <w:rsid w:val="000C2136"/>
    <w:rsid w:val="000C2AE3"/>
    <w:rsid w:val="000C2D0A"/>
    <w:rsid w:val="000C3EDC"/>
    <w:rsid w:val="000C49D4"/>
    <w:rsid w:val="000C697F"/>
    <w:rsid w:val="000C709A"/>
    <w:rsid w:val="000D01A2"/>
    <w:rsid w:val="000D0252"/>
    <w:rsid w:val="000D0320"/>
    <w:rsid w:val="000D1D94"/>
    <w:rsid w:val="000D2CDF"/>
    <w:rsid w:val="000D35DF"/>
    <w:rsid w:val="000D50D2"/>
    <w:rsid w:val="000D5351"/>
    <w:rsid w:val="000D6E88"/>
    <w:rsid w:val="000D78FC"/>
    <w:rsid w:val="000D7F1D"/>
    <w:rsid w:val="000E1636"/>
    <w:rsid w:val="000E174B"/>
    <w:rsid w:val="000E1C95"/>
    <w:rsid w:val="000E27E9"/>
    <w:rsid w:val="000E34BB"/>
    <w:rsid w:val="000E3CB0"/>
    <w:rsid w:val="000E41E4"/>
    <w:rsid w:val="000E622E"/>
    <w:rsid w:val="000F0C7A"/>
    <w:rsid w:val="000F179E"/>
    <w:rsid w:val="000F3132"/>
    <w:rsid w:val="000F4307"/>
    <w:rsid w:val="000F6A46"/>
    <w:rsid w:val="000F6FE9"/>
    <w:rsid w:val="000F751D"/>
    <w:rsid w:val="000F77DB"/>
    <w:rsid w:val="000F7FC7"/>
    <w:rsid w:val="0010158F"/>
    <w:rsid w:val="00101F51"/>
    <w:rsid w:val="001026CA"/>
    <w:rsid w:val="00103D72"/>
    <w:rsid w:val="0010437D"/>
    <w:rsid w:val="00104D19"/>
    <w:rsid w:val="00104D9B"/>
    <w:rsid w:val="00106153"/>
    <w:rsid w:val="001072B4"/>
    <w:rsid w:val="00114546"/>
    <w:rsid w:val="00117095"/>
    <w:rsid w:val="00117CB2"/>
    <w:rsid w:val="00120B39"/>
    <w:rsid w:val="001211EF"/>
    <w:rsid w:val="001216E4"/>
    <w:rsid w:val="001238E5"/>
    <w:rsid w:val="00123A2E"/>
    <w:rsid w:val="00124071"/>
    <w:rsid w:val="0012412B"/>
    <w:rsid w:val="00124393"/>
    <w:rsid w:val="001267D4"/>
    <w:rsid w:val="00130778"/>
    <w:rsid w:val="00132374"/>
    <w:rsid w:val="00133116"/>
    <w:rsid w:val="00135972"/>
    <w:rsid w:val="001360D1"/>
    <w:rsid w:val="001360FC"/>
    <w:rsid w:val="00142857"/>
    <w:rsid w:val="0014328A"/>
    <w:rsid w:val="001447A0"/>
    <w:rsid w:val="0014497F"/>
    <w:rsid w:val="00145166"/>
    <w:rsid w:val="001457FA"/>
    <w:rsid w:val="0014640C"/>
    <w:rsid w:val="00146DDD"/>
    <w:rsid w:val="00146E58"/>
    <w:rsid w:val="00147145"/>
    <w:rsid w:val="00150096"/>
    <w:rsid w:val="00150217"/>
    <w:rsid w:val="001508E4"/>
    <w:rsid w:val="00151AAD"/>
    <w:rsid w:val="00151B3C"/>
    <w:rsid w:val="0015380A"/>
    <w:rsid w:val="0015437A"/>
    <w:rsid w:val="0015527B"/>
    <w:rsid w:val="00160F1C"/>
    <w:rsid w:val="00160F26"/>
    <w:rsid w:val="00161867"/>
    <w:rsid w:val="001641CE"/>
    <w:rsid w:val="00164DA4"/>
    <w:rsid w:val="00164E1F"/>
    <w:rsid w:val="001651D6"/>
    <w:rsid w:val="001654E4"/>
    <w:rsid w:val="00166298"/>
    <w:rsid w:val="001663C8"/>
    <w:rsid w:val="001674C4"/>
    <w:rsid w:val="001735F2"/>
    <w:rsid w:val="00174357"/>
    <w:rsid w:val="00174D3D"/>
    <w:rsid w:val="00174ED3"/>
    <w:rsid w:val="00177D65"/>
    <w:rsid w:val="0018060B"/>
    <w:rsid w:val="00180797"/>
    <w:rsid w:val="0018093A"/>
    <w:rsid w:val="0018137D"/>
    <w:rsid w:val="00182478"/>
    <w:rsid w:val="0018251B"/>
    <w:rsid w:val="00183E23"/>
    <w:rsid w:val="00184809"/>
    <w:rsid w:val="00185BA9"/>
    <w:rsid w:val="00186A97"/>
    <w:rsid w:val="001923A6"/>
    <w:rsid w:val="00192444"/>
    <w:rsid w:val="0019530E"/>
    <w:rsid w:val="00195665"/>
    <w:rsid w:val="00196D35"/>
    <w:rsid w:val="001A1AF4"/>
    <w:rsid w:val="001A35A0"/>
    <w:rsid w:val="001A49F5"/>
    <w:rsid w:val="001A4B54"/>
    <w:rsid w:val="001A4B82"/>
    <w:rsid w:val="001A55CA"/>
    <w:rsid w:val="001B0930"/>
    <w:rsid w:val="001B13BE"/>
    <w:rsid w:val="001B1DB4"/>
    <w:rsid w:val="001B21FA"/>
    <w:rsid w:val="001B2EFD"/>
    <w:rsid w:val="001B686D"/>
    <w:rsid w:val="001C1066"/>
    <w:rsid w:val="001C13A4"/>
    <w:rsid w:val="001C2030"/>
    <w:rsid w:val="001C4978"/>
    <w:rsid w:val="001C6B30"/>
    <w:rsid w:val="001C78A8"/>
    <w:rsid w:val="001C7D0D"/>
    <w:rsid w:val="001D0ED2"/>
    <w:rsid w:val="001D107D"/>
    <w:rsid w:val="001D1B52"/>
    <w:rsid w:val="001D1C14"/>
    <w:rsid w:val="001D4355"/>
    <w:rsid w:val="001D465C"/>
    <w:rsid w:val="001D5904"/>
    <w:rsid w:val="001D5A7B"/>
    <w:rsid w:val="001D5EB1"/>
    <w:rsid w:val="001D5F0F"/>
    <w:rsid w:val="001D61B6"/>
    <w:rsid w:val="001D6EF2"/>
    <w:rsid w:val="001E0B61"/>
    <w:rsid w:val="001E1276"/>
    <w:rsid w:val="001E2B75"/>
    <w:rsid w:val="001E4F0E"/>
    <w:rsid w:val="001E6819"/>
    <w:rsid w:val="001E6A14"/>
    <w:rsid w:val="001E6FCA"/>
    <w:rsid w:val="001E7FE0"/>
    <w:rsid w:val="001F227B"/>
    <w:rsid w:val="001F285E"/>
    <w:rsid w:val="001F288D"/>
    <w:rsid w:val="001F2BBC"/>
    <w:rsid w:val="001F3E16"/>
    <w:rsid w:val="001F4414"/>
    <w:rsid w:val="001F54D5"/>
    <w:rsid w:val="00200C3D"/>
    <w:rsid w:val="00201B7A"/>
    <w:rsid w:val="00202524"/>
    <w:rsid w:val="002029D5"/>
    <w:rsid w:val="0020444E"/>
    <w:rsid w:val="00204A3C"/>
    <w:rsid w:val="00210736"/>
    <w:rsid w:val="00210F81"/>
    <w:rsid w:val="00211622"/>
    <w:rsid w:val="00212400"/>
    <w:rsid w:val="00216719"/>
    <w:rsid w:val="00217A3A"/>
    <w:rsid w:val="00217A8C"/>
    <w:rsid w:val="00222D87"/>
    <w:rsid w:val="00223C42"/>
    <w:rsid w:val="00224AB4"/>
    <w:rsid w:val="00224F70"/>
    <w:rsid w:val="00225698"/>
    <w:rsid w:val="00225872"/>
    <w:rsid w:val="0022610F"/>
    <w:rsid w:val="0022698E"/>
    <w:rsid w:val="00227912"/>
    <w:rsid w:val="00227A02"/>
    <w:rsid w:val="00227E1C"/>
    <w:rsid w:val="002311EE"/>
    <w:rsid w:val="00231A8D"/>
    <w:rsid w:val="002337FB"/>
    <w:rsid w:val="00235943"/>
    <w:rsid w:val="00236FDB"/>
    <w:rsid w:val="002370F5"/>
    <w:rsid w:val="00237544"/>
    <w:rsid w:val="00237ACB"/>
    <w:rsid w:val="00240ACA"/>
    <w:rsid w:val="00240D7B"/>
    <w:rsid w:val="00241299"/>
    <w:rsid w:val="00241A3B"/>
    <w:rsid w:val="00244313"/>
    <w:rsid w:val="00244965"/>
    <w:rsid w:val="00245FA3"/>
    <w:rsid w:val="00246177"/>
    <w:rsid w:val="0024686B"/>
    <w:rsid w:val="00246F3C"/>
    <w:rsid w:val="002474A5"/>
    <w:rsid w:val="0025054E"/>
    <w:rsid w:val="00254467"/>
    <w:rsid w:val="00255437"/>
    <w:rsid w:val="00255462"/>
    <w:rsid w:val="00255C0E"/>
    <w:rsid w:val="002573E1"/>
    <w:rsid w:val="00260161"/>
    <w:rsid w:val="00260957"/>
    <w:rsid w:val="00263D6A"/>
    <w:rsid w:val="00264646"/>
    <w:rsid w:val="00264717"/>
    <w:rsid w:val="00270DDD"/>
    <w:rsid w:val="0027195D"/>
    <w:rsid w:val="0027232D"/>
    <w:rsid w:val="00274D0F"/>
    <w:rsid w:val="00275C2C"/>
    <w:rsid w:val="00275CF8"/>
    <w:rsid w:val="002760D5"/>
    <w:rsid w:val="00276926"/>
    <w:rsid w:val="00277500"/>
    <w:rsid w:val="00281A5F"/>
    <w:rsid w:val="00283E72"/>
    <w:rsid w:val="00285874"/>
    <w:rsid w:val="00285983"/>
    <w:rsid w:val="002870E9"/>
    <w:rsid w:val="002906C4"/>
    <w:rsid w:val="002918E4"/>
    <w:rsid w:val="00291F68"/>
    <w:rsid w:val="00294626"/>
    <w:rsid w:val="00295216"/>
    <w:rsid w:val="0029609E"/>
    <w:rsid w:val="002A060A"/>
    <w:rsid w:val="002A3E75"/>
    <w:rsid w:val="002A4450"/>
    <w:rsid w:val="002A4AB1"/>
    <w:rsid w:val="002A4D02"/>
    <w:rsid w:val="002A724E"/>
    <w:rsid w:val="002B02BF"/>
    <w:rsid w:val="002B0A9D"/>
    <w:rsid w:val="002B2296"/>
    <w:rsid w:val="002B31FD"/>
    <w:rsid w:val="002B352A"/>
    <w:rsid w:val="002B4407"/>
    <w:rsid w:val="002B57F4"/>
    <w:rsid w:val="002B67B7"/>
    <w:rsid w:val="002B6BA8"/>
    <w:rsid w:val="002C01F8"/>
    <w:rsid w:val="002C0429"/>
    <w:rsid w:val="002C19E4"/>
    <w:rsid w:val="002C5F60"/>
    <w:rsid w:val="002C6CC4"/>
    <w:rsid w:val="002C7144"/>
    <w:rsid w:val="002C7B97"/>
    <w:rsid w:val="002D13C4"/>
    <w:rsid w:val="002D275E"/>
    <w:rsid w:val="002D2767"/>
    <w:rsid w:val="002D45CA"/>
    <w:rsid w:val="002D5D90"/>
    <w:rsid w:val="002D6357"/>
    <w:rsid w:val="002D6DC6"/>
    <w:rsid w:val="002D7584"/>
    <w:rsid w:val="002D786B"/>
    <w:rsid w:val="002D7E45"/>
    <w:rsid w:val="002E1B52"/>
    <w:rsid w:val="002E20BC"/>
    <w:rsid w:val="002E3026"/>
    <w:rsid w:val="002E3F06"/>
    <w:rsid w:val="002E4D0F"/>
    <w:rsid w:val="002E6FFA"/>
    <w:rsid w:val="002E7F8F"/>
    <w:rsid w:val="002F11C8"/>
    <w:rsid w:val="002F280F"/>
    <w:rsid w:val="002F3F04"/>
    <w:rsid w:val="002F41BA"/>
    <w:rsid w:val="002F4950"/>
    <w:rsid w:val="002F529D"/>
    <w:rsid w:val="002F579E"/>
    <w:rsid w:val="002F6798"/>
    <w:rsid w:val="002F733F"/>
    <w:rsid w:val="002F7823"/>
    <w:rsid w:val="00300275"/>
    <w:rsid w:val="00300335"/>
    <w:rsid w:val="00300A07"/>
    <w:rsid w:val="00300D98"/>
    <w:rsid w:val="00300F58"/>
    <w:rsid w:val="003018AA"/>
    <w:rsid w:val="00301DF8"/>
    <w:rsid w:val="00302795"/>
    <w:rsid w:val="00302AB7"/>
    <w:rsid w:val="00302CFA"/>
    <w:rsid w:val="0030348A"/>
    <w:rsid w:val="003039A9"/>
    <w:rsid w:val="00303B99"/>
    <w:rsid w:val="0030554A"/>
    <w:rsid w:val="00305670"/>
    <w:rsid w:val="00305DB2"/>
    <w:rsid w:val="00305F6F"/>
    <w:rsid w:val="0030714F"/>
    <w:rsid w:val="003073E2"/>
    <w:rsid w:val="003075FE"/>
    <w:rsid w:val="00307DDF"/>
    <w:rsid w:val="00311247"/>
    <w:rsid w:val="00311E1D"/>
    <w:rsid w:val="0031453D"/>
    <w:rsid w:val="00314A43"/>
    <w:rsid w:val="00320071"/>
    <w:rsid w:val="00321539"/>
    <w:rsid w:val="00322040"/>
    <w:rsid w:val="00322AF3"/>
    <w:rsid w:val="003240B8"/>
    <w:rsid w:val="00324450"/>
    <w:rsid w:val="00325422"/>
    <w:rsid w:val="00326E11"/>
    <w:rsid w:val="00327991"/>
    <w:rsid w:val="00332788"/>
    <w:rsid w:val="00332929"/>
    <w:rsid w:val="003329F7"/>
    <w:rsid w:val="00333FDA"/>
    <w:rsid w:val="00337F59"/>
    <w:rsid w:val="00340ACE"/>
    <w:rsid w:val="00340CCF"/>
    <w:rsid w:val="00340D19"/>
    <w:rsid w:val="00342E0A"/>
    <w:rsid w:val="00344B85"/>
    <w:rsid w:val="00346625"/>
    <w:rsid w:val="00346E90"/>
    <w:rsid w:val="0034737D"/>
    <w:rsid w:val="00347383"/>
    <w:rsid w:val="003515E8"/>
    <w:rsid w:val="003518C8"/>
    <w:rsid w:val="00351E81"/>
    <w:rsid w:val="00357A27"/>
    <w:rsid w:val="00357D05"/>
    <w:rsid w:val="003622CA"/>
    <w:rsid w:val="00363030"/>
    <w:rsid w:val="0036462C"/>
    <w:rsid w:val="00364A42"/>
    <w:rsid w:val="00364D71"/>
    <w:rsid w:val="00364E89"/>
    <w:rsid w:val="00367074"/>
    <w:rsid w:val="003700B5"/>
    <w:rsid w:val="00370B16"/>
    <w:rsid w:val="00371607"/>
    <w:rsid w:val="003718BE"/>
    <w:rsid w:val="00371DAE"/>
    <w:rsid w:val="00371F03"/>
    <w:rsid w:val="00371F1F"/>
    <w:rsid w:val="003755FB"/>
    <w:rsid w:val="0037577C"/>
    <w:rsid w:val="00380B4C"/>
    <w:rsid w:val="00380B64"/>
    <w:rsid w:val="00380C60"/>
    <w:rsid w:val="00382BC0"/>
    <w:rsid w:val="0038312F"/>
    <w:rsid w:val="00384D7E"/>
    <w:rsid w:val="00385502"/>
    <w:rsid w:val="0038609E"/>
    <w:rsid w:val="00391117"/>
    <w:rsid w:val="00391A43"/>
    <w:rsid w:val="003930D3"/>
    <w:rsid w:val="00393174"/>
    <w:rsid w:val="00393D63"/>
    <w:rsid w:val="00394BC1"/>
    <w:rsid w:val="0039752F"/>
    <w:rsid w:val="003A041D"/>
    <w:rsid w:val="003A0586"/>
    <w:rsid w:val="003A11FE"/>
    <w:rsid w:val="003A4034"/>
    <w:rsid w:val="003A43C9"/>
    <w:rsid w:val="003A4F6C"/>
    <w:rsid w:val="003B0611"/>
    <w:rsid w:val="003B0A4F"/>
    <w:rsid w:val="003B1713"/>
    <w:rsid w:val="003B3280"/>
    <w:rsid w:val="003B32FF"/>
    <w:rsid w:val="003B41D3"/>
    <w:rsid w:val="003B42D9"/>
    <w:rsid w:val="003C06EC"/>
    <w:rsid w:val="003C13E9"/>
    <w:rsid w:val="003C3140"/>
    <w:rsid w:val="003C3E02"/>
    <w:rsid w:val="003C3FE8"/>
    <w:rsid w:val="003C42D4"/>
    <w:rsid w:val="003C4EC8"/>
    <w:rsid w:val="003C62D0"/>
    <w:rsid w:val="003C6D58"/>
    <w:rsid w:val="003C73F9"/>
    <w:rsid w:val="003C7599"/>
    <w:rsid w:val="003D05F6"/>
    <w:rsid w:val="003D0F88"/>
    <w:rsid w:val="003D39F0"/>
    <w:rsid w:val="003D5F07"/>
    <w:rsid w:val="003D6AB5"/>
    <w:rsid w:val="003D74DB"/>
    <w:rsid w:val="003D7B2E"/>
    <w:rsid w:val="003D7FB4"/>
    <w:rsid w:val="003E0EFF"/>
    <w:rsid w:val="003E2267"/>
    <w:rsid w:val="003E3D91"/>
    <w:rsid w:val="003E3FF5"/>
    <w:rsid w:val="003E4554"/>
    <w:rsid w:val="003E5354"/>
    <w:rsid w:val="003E5980"/>
    <w:rsid w:val="003E7F42"/>
    <w:rsid w:val="003F034E"/>
    <w:rsid w:val="003F436C"/>
    <w:rsid w:val="003F4C4E"/>
    <w:rsid w:val="003F52C6"/>
    <w:rsid w:val="003F558E"/>
    <w:rsid w:val="003F564C"/>
    <w:rsid w:val="003F6240"/>
    <w:rsid w:val="00400538"/>
    <w:rsid w:val="00400AF9"/>
    <w:rsid w:val="00400D39"/>
    <w:rsid w:val="00401176"/>
    <w:rsid w:val="00403D6E"/>
    <w:rsid w:val="00405543"/>
    <w:rsid w:val="004056B0"/>
    <w:rsid w:val="00406E70"/>
    <w:rsid w:val="00407AC0"/>
    <w:rsid w:val="00410E55"/>
    <w:rsid w:val="00411477"/>
    <w:rsid w:val="00411666"/>
    <w:rsid w:val="00411796"/>
    <w:rsid w:val="0041199A"/>
    <w:rsid w:val="00411AF6"/>
    <w:rsid w:val="004126DE"/>
    <w:rsid w:val="00412E30"/>
    <w:rsid w:val="00413547"/>
    <w:rsid w:val="00413D37"/>
    <w:rsid w:val="00416B09"/>
    <w:rsid w:val="004170AF"/>
    <w:rsid w:val="00420675"/>
    <w:rsid w:val="00420E1B"/>
    <w:rsid w:val="00424BC2"/>
    <w:rsid w:val="00425663"/>
    <w:rsid w:val="00425DC8"/>
    <w:rsid w:val="004312EE"/>
    <w:rsid w:val="00431411"/>
    <w:rsid w:val="00432BB7"/>
    <w:rsid w:val="004331E9"/>
    <w:rsid w:val="004333C5"/>
    <w:rsid w:val="00433FB4"/>
    <w:rsid w:val="0043419B"/>
    <w:rsid w:val="00434B18"/>
    <w:rsid w:val="00441207"/>
    <w:rsid w:val="004422CA"/>
    <w:rsid w:val="00442510"/>
    <w:rsid w:val="00443807"/>
    <w:rsid w:val="00443F38"/>
    <w:rsid w:val="00445EA4"/>
    <w:rsid w:val="004462F7"/>
    <w:rsid w:val="00451C06"/>
    <w:rsid w:val="004537A0"/>
    <w:rsid w:val="00453938"/>
    <w:rsid w:val="00453D87"/>
    <w:rsid w:val="0045655C"/>
    <w:rsid w:val="00457B11"/>
    <w:rsid w:val="0046019D"/>
    <w:rsid w:val="0046293F"/>
    <w:rsid w:val="00463471"/>
    <w:rsid w:val="00464536"/>
    <w:rsid w:val="0046514E"/>
    <w:rsid w:val="0046623C"/>
    <w:rsid w:val="0046631D"/>
    <w:rsid w:val="0046634F"/>
    <w:rsid w:val="00467739"/>
    <w:rsid w:val="00470D0C"/>
    <w:rsid w:val="00473E92"/>
    <w:rsid w:val="004744BA"/>
    <w:rsid w:val="00474E22"/>
    <w:rsid w:val="0047608F"/>
    <w:rsid w:val="00476554"/>
    <w:rsid w:val="0047703B"/>
    <w:rsid w:val="004778C3"/>
    <w:rsid w:val="00480888"/>
    <w:rsid w:val="00480C69"/>
    <w:rsid w:val="004813D4"/>
    <w:rsid w:val="004815DE"/>
    <w:rsid w:val="00481680"/>
    <w:rsid w:val="00482E98"/>
    <w:rsid w:val="00482EE5"/>
    <w:rsid w:val="00482EF1"/>
    <w:rsid w:val="00483591"/>
    <w:rsid w:val="00486BF5"/>
    <w:rsid w:val="004911D5"/>
    <w:rsid w:val="00491D91"/>
    <w:rsid w:val="004928B6"/>
    <w:rsid w:val="00493575"/>
    <w:rsid w:val="004946D3"/>
    <w:rsid w:val="0049580C"/>
    <w:rsid w:val="00495875"/>
    <w:rsid w:val="00496F90"/>
    <w:rsid w:val="0049768F"/>
    <w:rsid w:val="004A04E5"/>
    <w:rsid w:val="004A1005"/>
    <w:rsid w:val="004A1495"/>
    <w:rsid w:val="004A1776"/>
    <w:rsid w:val="004A2165"/>
    <w:rsid w:val="004A2D28"/>
    <w:rsid w:val="004A3A9A"/>
    <w:rsid w:val="004A404D"/>
    <w:rsid w:val="004A5F74"/>
    <w:rsid w:val="004B00CD"/>
    <w:rsid w:val="004B1052"/>
    <w:rsid w:val="004B1E4D"/>
    <w:rsid w:val="004B1F5A"/>
    <w:rsid w:val="004B2D8E"/>
    <w:rsid w:val="004B4024"/>
    <w:rsid w:val="004B4906"/>
    <w:rsid w:val="004B6385"/>
    <w:rsid w:val="004B6B14"/>
    <w:rsid w:val="004C315F"/>
    <w:rsid w:val="004C34C6"/>
    <w:rsid w:val="004C4C58"/>
    <w:rsid w:val="004C5B13"/>
    <w:rsid w:val="004D0364"/>
    <w:rsid w:val="004D0BBB"/>
    <w:rsid w:val="004D2029"/>
    <w:rsid w:val="004D372F"/>
    <w:rsid w:val="004D44CE"/>
    <w:rsid w:val="004D5E37"/>
    <w:rsid w:val="004D69DC"/>
    <w:rsid w:val="004D6AE6"/>
    <w:rsid w:val="004E13AA"/>
    <w:rsid w:val="004E2B63"/>
    <w:rsid w:val="004E2B75"/>
    <w:rsid w:val="004E4551"/>
    <w:rsid w:val="004E47EC"/>
    <w:rsid w:val="004E514F"/>
    <w:rsid w:val="004E737F"/>
    <w:rsid w:val="004E7AC5"/>
    <w:rsid w:val="004F03DE"/>
    <w:rsid w:val="004F094D"/>
    <w:rsid w:val="004F0B61"/>
    <w:rsid w:val="004F0FD1"/>
    <w:rsid w:val="004F1942"/>
    <w:rsid w:val="004F22DA"/>
    <w:rsid w:val="004F2C8B"/>
    <w:rsid w:val="004F4ECE"/>
    <w:rsid w:val="004F59A2"/>
    <w:rsid w:val="004F5E63"/>
    <w:rsid w:val="004F7BC3"/>
    <w:rsid w:val="00501497"/>
    <w:rsid w:val="00502165"/>
    <w:rsid w:val="005047E5"/>
    <w:rsid w:val="00504834"/>
    <w:rsid w:val="00504C7A"/>
    <w:rsid w:val="00505AEE"/>
    <w:rsid w:val="0050632E"/>
    <w:rsid w:val="0050752D"/>
    <w:rsid w:val="005103E7"/>
    <w:rsid w:val="00510E33"/>
    <w:rsid w:val="00510E6A"/>
    <w:rsid w:val="0051168B"/>
    <w:rsid w:val="00511DC6"/>
    <w:rsid w:val="00511EF3"/>
    <w:rsid w:val="00514306"/>
    <w:rsid w:val="00514507"/>
    <w:rsid w:val="005157D8"/>
    <w:rsid w:val="00521325"/>
    <w:rsid w:val="00521350"/>
    <w:rsid w:val="00521C6A"/>
    <w:rsid w:val="00521F9C"/>
    <w:rsid w:val="005223E8"/>
    <w:rsid w:val="005240F8"/>
    <w:rsid w:val="00524B45"/>
    <w:rsid w:val="00524D83"/>
    <w:rsid w:val="00525900"/>
    <w:rsid w:val="005260CA"/>
    <w:rsid w:val="0052737A"/>
    <w:rsid w:val="00531461"/>
    <w:rsid w:val="00531907"/>
    <w:rsid w:val="005322F9"/>
    <w:rsid w:val="00534E52"/>
    <w:rsid w:val="0053564C"/>
    <w:rsid w:val="00536011"/>
    <w:rsid w:val="005371B1"/>
    <w:rsid w:val="005376E4"/>
    <w:rsid w:val="005406B2"/>
    <w:rsid w:val="005415E0"/>
    <w:rsid w:val="00541D30"/>
    <w:rsid w:val="005439C8"/>
    <w:rsid w:val="00544FBF"/>
    <w:rsid w:val="00550B79"/>
    <w:rsid w:val="00550C04"/>
    <w:rsid w:val="0055150B"/>
    <w:rsid w:val="00552E14"/>
    <w:rsid w:val="005532A9"/>
    <w:rsid w:val="005532F9"/>
    <w:rsid w:val="00553A2B"/>
    <w:rsid w:val="0055440B"/>
    <w:rsid w:val="00555720"/>
    <w:rsid w:val="0055708D"/>
    <w:rsid w:val="0056024F"/>
    <w:rsid w:val="00560B65"/>
    <w:rsid w:val="00561CA6"/>
    <w:rsid w:val="00563884"/>
    <w:rsid w:val="00563CF0"/>
    <w:rsid w:val="005647BE"/>
    <w:rsid w:val="005655ED"/>
    <w:rsid w:val="00566299"/>
    <w:rsid w:val="00570131"/>
    <w:rsid w:val="005725F6"/>
    <w:rsid w:val="00580F8D"/>
    <w:rsid w:val="005812C1"/>
    <w:rsid w:val="005817B7"/>
    <w:rsid w:val="00582A39"/>
    <w:rsid w:val="00582B4A"/>
    <w:rsid w:val="0058388B"/>
    <w:rsid w:val="00585826"/>
    <w:rsid w:val="00585E83"/>
    <w:rsid w:val="00586817"/>
    <w:rsid w:val="005873D2"/>
    <w:rsid w:val="00587507"/>
    <w:rsid w:val="00590E41"/>
    <w:rsid w:val="00591394"/>
    <w:rsid w:val="005914CB"/>
    <w:rsid w:val="00592ABC"/>
    <w:rsid w:val="00594F9E"/>
    <w:rsid w:val="00596A0B"/>
    <w:rsid w:val="00596E05"/>
    <w:rsid w:val="00596F85"/>
    <w:rsid w:val="005970FA"/>
    <w:rsid w:val="0059735F"/>
    <w:rsid w:val="005A0176"/>
    <w:rsid w:val="005A088E"/>
    <w:rsid w:val="005A08B7"/>
    <w:rsid w:val="005A2298"/>
    <w:rsid w:val="005A28C1"/>
    <w:rsid w:val="005A4353"/>
    <w:rsid w:val="005A72FC"/>
    <w:rsid w:val="005B0388"/>
    <w:rsid w:val="005B109A"/>
    <w:rsid w:val="005B21B2"/>
    <w:rsid w:val="005B2439"/>
    <w:rsid w:val="005B3A51"/>
    <w:rsid w:val="005B5D3F"/>
    <w:rsid w:val="005B7C90"/>
    <w:rsid w:val="005C00F8"/>
    <w:rsid w:val="005C04B4"/>
    <w:rsid w:val="005C054B"/>
    <w:rsid w:val="005C2FD5"/>
    <w:rsid w:val="005C3698"/>
    <w:rsid w:val="005C4261"/>
    <w:rsid w:val="005C5378"/>
    <w:rsid w:val="005C5D34"/>
    <w:rsid w:val="005C610D"/>
    <w:rsid w:val="005C6583"/>
    <w:rsid w:val="005D09E9"/>
    <w:rsid w:val="005D2AB9"/>
    <w:rsid w:val="005D496E"/>
    <w:rsid w:val="005D56C7"/>
    <w:rsid w:val="005D5D4A"/>
    <w:rsid w:val="005D5D75"/>
    <w:rsid w:val="005D6364"/>
    <w:rsid w:val="005D68D4"/>
    <w:rsid w:val="005D696E"/>
    <w:rsid w:val="005D75EE"/>
    <w:rsid w:val="005D7C20"/>
    <w:rsid w:val="005E0047"/>
    <w:rsid w:val="005E1F8F"/>
    <w:rsid w:val="005E27C4"/>
    <w:rsid w:val="005E2A81"/>
    <w:rsid w:val="005E2D07"/>
    <w:rsid w:val="005E346A"/>
    <w:rsid w:val="005E34A5"/>
    <w:rsid w:val="005E35E0"/>
    <w:rsid w:val="005E42F5"/>
    <w:rsid w:val="005E5470"/>
    <w:rsid w:val="005E66FD"/>
    <w:rsid w:val="005E6960"/>
    <w:rsid w:val="005E7EB8"/>
    <w:rsid w:val="005F0DCE"/>
    <w:rsid w:val="005F18D6"/>
    <w:rsid w:val="005F2D6B"/>
    <w:rsid w:val="005F2E0D"/>
    <w:rsid w:val="005F31E6"/>
    <w:rsid w:val="005F47EC"/>
    <w:rsid w:val="005F4D1B"/>
    <w:rsid w:val="005F5584"/>
    <w:rsid w:val="005F5913"/>
    <w:rsid w:val="005F599E"/>
    <w:rsid w:val="005F712E"/>
    <w:rsid w:val="00601052"/>
    <w:rsid w:val="00602819"/>
    <w:rsid w:val="00602A26"/>
    <w:rsid w:val="00603024"/>
    <w:rsid w:val="00605AE8"/>
    <w:rsid w:val="00605C10"/>
    <w:rsid w:val="006116E3"/>
    <w:rsid w:val="00612DE5"/>
    <w:rsid w:val="00615E53"/>
    <w:rsid w:val="00617ADD"/>
    <w:rsid w:val="00617AE3"/>
    <w:rsid w:val="00622265"/>
    <w:rsid w:val="006239E5"/>
    <w:rsid w:val="00624400"/>
    <w:rsid w:val="00624E51"/>
    <w:rsid w:val="00626119"/>
    <w:rsid w:val="00626162"/>
    <w:rsid w:val="00627892"/>
    <w:rsid w:val="00633390"/>
    <w:rsid w:val="006337D5"/>
    <w:rsid w:val="00633BAF"/>
    <w:rsid w:val="00634426"/>
    <w:rsid w:val="00634719"/>
    <w:rsid w:val="006349D3"/>
    <w:rsid w:val="006353AB"/>
    <w:rsid w:val="0063570E"/>
    <w:rsid w:val="0063595B"/>
    <w:rsid w:val="00636740"/>
    <w:rsid w:val="00636C4C"/>
    <w:rsid w:val="0063781D"/>
    <w:rsid w:val="00641B51"/>
    <w:rsid w:val="0064249B"/>
    <w:rsid w:val="006426A9"/>
    <w:rsid w:val="00644160"/>
    <w:rsid w:val="00644ABF"/>
    <w:rsid w:val="006457DB"/>
    <w:rsid w:val="00645FDD"/>
    <w:rsid w:val="0064671F"/>
    <w:rsid w:val="00646AF7"/>
    <w:rsid w:val="00647995"/>
    <w:rsid w:val="006502D9"/>
    <w:rsid w:val="006503E8"/>
    <w:rsid w:val="00650700"/>
    <w:rsid w:val="00651065"/>
    <w:rsid w:val="00652591"/>
    <w:rsid w:val="00654418"/>
    <w:rsid w:val="00654A4A"/>
    <w:rsid w:val="00654F57"/>
    <w:rsid w:val="0065545A"/>
    <w:rsid w:val="006554F1"/>
    <w:rsid w:val="00656590"/>
    <w:rsid w:val="00661476"/>
    <w:rsid w:val="006626A4"/>
    <w:rsid w:val="00663E67"/>
    <w:rsid w:val="006647DB"/>
    <w:rsid w:val="00665A6E"/>
    <w:rsid w:val="006661CF"/>
    <w:rsid w:val="0066725E"/>
    <w:rsid w:val="00671416"/>
    <w:rsid w:val="00672B55"/>
    <w:rsid w:val="006738B4"/>
    <w:rsid w:val="00674295"/>
    <w:rsid w:val="0067449F"/>
    <w:rsid w:val="00674899"/>
    <w:rsid w:val="00675B67"/>
    <w:rsid w:val="00676BF7"/>
    <w:rsid w:val="00676D31"/>
    <w:rsid w:val="00677D93"/>
    <w:rsid w:val="006818A8"/>
    <w:rsid w:val="006819A2"/>
    <w:rsid w:val="00681A51"/>
    <w:rsid w:val="00681E5A"/>
    <w:rsid w:val="00682469"/>
    <w:rsid w:val="00683D97"/>
    <w:rsid w:val="00684508"/>
    <w:rsid w:val="00684FCA"/>
    <w:rsid w:val="00685515"/>
    <w:rsid w:val="00686094"/>
    <w:rsid w:val="0068619E"/>
    <w:rsid w:val="00686B5C"/>
    <w:rsid w:val="00687D28"/>
    <w:rsid w:val="006923B1"/>
    <w:rsid w:val="00693094"/>
    <w:rsid w:val="00694F02"/>
    <w:rsid w:val="006954FA"/>
    <w:rsid w:val="00696997"/>
    <w:rsid w:val="006A1FA7"/>
    <w:rsid w:val="006A52F5"/>
    <w:rsid w:val="006A636C"/>
    <w:rsid w:val="006A664A"/>
    <w:rsid w:val="006A758C"/>
    <w:rsid w:val="006A76E2"/>
    <w:rsid w:val="006B18A9"/>
    <w:rsid w:val="006B5514"/>
    <w:rsid w:val="006B5929"/>
    <w:rsid w:val="006C1EEC"/>
    <w:rsid w:val="006C23D0"/>
    <w:rsid w:val="006C2792"/>
    <w:rsid w:val="006C34A6"/>
    <w:rsid w:val="006C38B9"/>
    <w:rsid w:val="006C3FEA"/>
    <w:rsid w:val="006C4FA8"/>
    <w:rsid w:val="006C5720"/>
    <w:rsid w:val="006C59E4"/>
    <w:rsid w:val="006C5F05"/>
    <w:rsid w:val="006C69E7"/>
    <w:rsid w:val="006C742C"/>
    <w:rsid w:val="006D10AE"/>
    <w:rsid w:val="006D1D6B"/>
    <w:rsid w:val="006D29F2"/>
    <w:rsid w:val="006D483F"/>
    <w:rsid w:val="006D68AA"/>
    <w:rsid w:val="006D7CA2"/>
    <w:rsid w:val="006D7F60"/>
    <w:rsid w:val="006E065B"/>
    <w:rsid w:val="006E09D3"/>
    <w:rsid w:val="006E1E6C"/>
    <w:rsid w:val="006E4A11"/>
    <w:rsid w:val="006E5505"/>
    <w:rsid w:val="006E6C1D"/>
    <w:rsid w:val="006E70FB"/>
    <w:rsid w:val="006F1352"/>
    <w:rsid w:val="006F2362"/>
    <w:rsid w:val="006F240A"/>
    <w:rsid w:val="006F253A"/>
    <w:rsid w:val="006F2E64"/>
    <w:rsid w:val="006F2FB3"/>
    <w:rsid w:val="006F3559"/>
    <w:rsid w:val="006F531B"/>
    <w:rsid w:val="006F5370"/>
    <w:rsid w:val="006F5601"/>
    <w:rsid w:val="006F62BC"/>
    <w:rsid w:val="006F79DA"/>
    <w:rsid w:val="00700033"/>
    <w:rsid w:val="00702493"/>
    <w:rsid w:val="00702B6D"/>
    <w:rsid w:val="00707A79"/>
    <w:rsid w:val="007131A9"/>
    <w:rsid w:val="00714F3B"/>
    <w:rsid w:val="00716211"/>
    <w:rsid w:val="007166F7"/>
    <w:rsid w:val="00716A0B"/>
    <w:rsid w:val="00716AEF"/>
    <w:rsid w:val="00717076"/>
    <w:rsid w:val="00717296"/>
    <w:rsid w:val="00717908"/>
    <w:rsid w:val="00720891"/>
    <w:rsid w:val="007209ED"/>
    <w:rsid w:val="0072444E"/>
    <w:rsid w:val="00724DEB"/>
    <w:rsid w:val="007255C8"/>
    <w:rsid w:val="00727370"/>
    <w:rsid w:val="007277EF"/>
    <w:rsid w:val="00727B81"/>
    <w:rsid w:val="00732FAA"/>
    <w:rsid w:val="00732FEF"/>
    <w:rsid w:val="00735D9E"/>
    <w:rsid w:val="0074064E"/>
    <w:rsid w:val="0074109C"/>
    <w:rsid w:val="00741DC6"/>
    <w:rsid w:val="00742335"/>
    <w:rsid w:val="0074253D"/>
    <w:rsid w:val="00742842"/>
    <w:rsid w:val="007433CC"/>
    <w:rsid w:val="007437E3"/>
    <w:rsid w:val="00744DDF"/>
    <w:rsid w:val="00747665"/>
    <w:rsid w:val="00747E92"/>
    <w:rsid w:val="00750AF7"/>
    <w:rsid w:val="007524D6"/>
    <w:rsid w:val="00752633"/>
    <w:rsid w:val="00753376"/>
    <w:rsid w:val="007543B0"/>
    <w:rsid w:val="00755FCE"/>
    <w:rsid w:val="007568A9"/>
    <w:rsid w:val="00761411"/>
    <w:rsid w:val="00761514"/>
    <w:rsid w:val="00761B21"/>
    <w:rsid w:val="00761E41"/>
    <w:rsid w:val="00762A47"/>
    <w:rsid w:val="00763CE7"/>
    <w:rsid w:val="0076507D"/>
    <w:rsid w:val="007667B4"/>
    <w:rsid w:val="007676EF"/>
    <w:rsid w:val="0077178D"/>
    <w:rsid w:val="00774574"/>
    <w:rsid w:val="007753B8"/>
    <w:rsid w:val="00775570"/>
    <w:rsid w:val="00775C65"/>
    <w:rsid w:val="0077609F"/>
    <w:rsid w:val="0077639A"/>
    <w:rsid w:val="00780C02"/>
    <w:rsid w:val="0078100C"/>
    <w:rsid w:val="0078157F"/>
    <w:rsid w:val="00782DCB"/>
    <w:rsid w:val="007833BB"/>
    <w:rsid w:val="00783733"/>
    <w:rsid w:val="00783A6C"/>
    <w:rsid w:val="00786F48"/>
    <w:rsid w:val="0078772C"/>
    <w:rsid w:val="007878E4"/>
    <w:rsid w:val="00787C3F"/>
    <w:rsid w:val="007915B6"/>
    <w:rsid w:val="00792A51"/>
    <w:rsid w:val="00793005"/>
    <w:rsid w:val="007932AF"/>
    <w:rsid w:val="007935A1"/>
    <w:rsid w:val="00794A70"/>
    <w:rsid w:val="007963BD"/>
    <w:rsid w:val="00796A15"/>
    <w:rsid w:val="00797DFA"/>
    <w:rsid w:val="007A0A87"/>
    <w:rsid w:val="007A20A3"/>
    <w:rsid w:val="007A4783"/>
    <w:rsid w:val="007A5191"/>
    <w:rsid w:val="007B0500"/>
    <w:rsid w:val="007B111B"/>
    <w:rsid w:val="007B164B"/>
    <w:rsid w:val="007B1AA8"/>
    <w:rsid w:val="007B2C7E"/>
    <w:rsid w:val="007B2F46"/>
    <w:rsid w:val="007B3AE8"/>
    <w:rsid w:val="007B3E18"/>
    <w:rsid w:val="007B4418"/>
    <w:rsid w:val="007B5F62"/>
    <w:rsid w:val="007B66B3"/>
    <w:rsid w:val="007B6B0B"/>
    <w:rsid w:val="007B6BF6"/>
    <w:rsid w:val="007B7077"/>
    <w:rsid w:val="007B7960"/>
    <w:rsid w:val="007C227A"/>
    <w:rsid w:val="007C2A02"/>
    <w:rsid w:val="007C3003"/>
    <w:rsid w:val="007C5153"/>
    <w:rsid w:val="007C5B98"/>
    <w:rsid w:val="007C6470"/>
    <w:rsid w:val="007C6B60"/>
    <w:rsid w:val="007C6F85"/>
    <w:rsid w:val="007D153C"/>
    <w:rsid w:val="007D19EB"/>
    <w:rsid w:val="007D24FF"/>
    <w:rsid w:val="007D298C"/>
    <w:rsid w:val="007D2E5E"/>
    <w:rsid w:val="007D3AA0"/>
    <w:rsid w:val="007D3FE2"/>
    <w:rsid w:val="007D519C"/>
    <w:rsid w:val="007D5690"/>
    <w:rsid w:val="007D69FA"/>
    <w:rsid w:val="007E1600"/>
    <w:rsid w:val="007E3CCC"/>
    <w:rsid w:val="007E406B"/>
    <w:rsid w:val="007E56CF"/>
    <w:rsid w:val="007E6A94"/>
    <w:rsid w:val="007E7DFF"/>
    <w:rsid w:val="007F0DD1"/>
    <w:rsid w:val="007F13C4"/>
    <w:rsid w:val="007F1EC8"/>
    <w:rsid w:val="007F2115"/>
    <w:rsid w:val="007F3272"/>
    <w:rsid w:val="007F36EA"/>
    <w:rsid w:val="007F4FEC"/>
    <w:rsid w:val="007F5F67"/>
    <w:rsid w:val="008012D6"/>
    <w:rsid w:val="008016BF"/>
    <w:rsid w:val="00801832"/>
    <w:rsid w:val="008023A5"/>
    <w:rsid w:val="008025E8"/>
    <w:rsid w:val="0080429F"/>
    <w:rsid w:val="00804581"/>
    <w:rsid w:val="00804EC7"/>
    <w:rsid w:val="00806361"/>
    <w:rsid w:val="0080714B"/>
    <w:rsid w:val="00810603"/>
    <w:rsid w:val="008124C2"/>
    <w:rsid w:val="00812B08"/>
    <w:rsid w:val="008130CE"/>
    <w:rsid w:val="00814283"/>
    <w:rsid w:val="00815523"/>
    <w:rsid w:val="0081640E"/>
    <w:rsid w:val="00817388"/>
    <w:rsid w:val="008177CE"/>
    <w:rsid w:val="00817D10"/>
    <w:rsid w:val="00817E3E"/>
    <w:rsid w:val="00820088"/>
    <w:rsid w:val="00820209"/>
    <w:rsid w:val="008202AC"/>
    <w:rsid w:val="00820F35"/>
    <w:rsid w:val="00820FEC"/>
    <w:rsid w:val="00821AEC"/>
    <w:rsid w:val="00822226"/>
    <w:rsid w:val="0082393D"/>
    <w:rsid w:val="0082585C"/>
    <w:rsid w:val="00826E7F"/>
    <w:rsid w:val="00830D51"/>
    <w:rsid w:val="00831427"/>
    <w:rsid w:val="008314E6"/>
    <w:rsid w:val="0083181B"/>
    <w:rsid w:val="008327BA"/>
    <w:rsid w:val="008330C4"/>
    <w:rsid w:val="0083324D"/>
    <w:rsid w:val="008337FD"/>
    <w:rsid w:val="008351CB"/>
    <w:rsid w:val="00840184"/>
    <w:rsid w:val="00841485"/>
    <w:rsid w:val="00841733"/>
    <w:rsid w:val="00841DD7"/>
    <w:rsid w:val="00842F3D"/>
    <w:rsid w:val="00844666"/>
    <w:rsid w:val="00844D38"/>
    <w:rsid w:val="00844D85"/>
    <w:rsid w:val="008475FB"/>
    <w:rsid w:val="008524BE"/>
    <w:rsid w:val="00853BC2"/>
    <w:rsid w:val="00854278"/>
    <w:rsid w:val="008559CD"/>
    <w:rsid w:val="00856063"/>
    <w:rsid w:val="00860032"/>
    <w:rsid w:val="0086236A"/>
    <w:rsid w:val="00865269"/>
    <w:rsid w:val="008659FD"/>
    <w:rsid w:val="00865C3A"/>
    <w:rsid w:val="00865CDB"/>
    <w:rsid w:val="0087035A"/>
    <w:rsid w:val="008716EF"/>
    <w:rsid w:val="00872280"/>
    <w:rsid w:val="00872EDD"/>
    <w:rsid w:val="0087347D"/>
    <w:rsid w:val="00875B41"/>
    <w:rsid w:val="00876D02"/>
    <w:rsid w:val="00880A45"/>
    <w:rsid w:val="008811F7"/>
    <w:rsid w:val="008812C8"/>
    <w:rsid w:val="0088195D"/>
    <w:rsid w:val="00882DAD"/>
    <w:rsid w:val="00884E52"/>
    <w:rsid w:val="00887BD0"/>
    <w:rsid w:val="0089049B"/>
    <w:rsid w:val="00892952"/>
    <w:rsid w:val="00892DA5"/>
    <w:rsid w:val="008949B1"/>
    <w:rsid w:val="00894D0C"/>
    <w:rsid w:val="0089665F"/>
    <w:rsid w:val="0089713E"/>
    <w:rsid w:val="008A0353"/>
    <w:rsid w:val="008A10F3"/>
    <w:rsid w:val="008A2762"/>
    <w:rsid w:val="008A2FA9"/>
    <w:rsid w:val="008A3439"/>
    <w:rsid w:val="008A4CA2"/>
    <w:rsid w:val="008A5C0F"/>
    <w:rsid w:val="008B0847"/>
    <w:rsid w:val="008B1596"/>
    <w:rsid w:val="008B2274"/>
    <w:rsid w:val="008B3E4F"/>
    <w:rsid w:val="008C06CC"/>
    <w:rsid w:val="008C09C4"/>
    <w:rsid w:val="008C0AA8"/>
    <w:rsid w:val="008C1F44"/>
    <w:rsid w:val="008C4080"/>
    <w:rsid w:val="008C58A7"/>
    <w:rsid w:val="008C646F"/>
    <w:rsid w:val="008C66B7"/>
    <w:rsid w:val="008D12F5"/>
    <w:rsid w:val="008D163D"/>
    <w:rsid w:val="008D2B52"/>
    <w:rsid w:val="008D2EE4"/>
    <w:rsid w:val="008D4F4A"/>
    <w:rsid w:val="008E2BD8"/>
    <w:rsid w:val="008E325C"/>
    <w:rsid w:val="008E3D9E"/>
    <w:rsid w:val="008E3E4B"/>
    <w:rsid w:val="008E3FA0"/>
    <w:rsid w:val="008E4EF9"/>
    <w:rsid w:val="008E6221"/>
    <w:rsid w:val="008E68B3"/>
    <w:rsid w:val="008E6DFC"/>
    <w:rsid w:val="008E7710"/>
    <w:rsid w:val="008F0EAE"/>
    <w:rsid w:val="008F16AB"/>
    <w:rsid w:val="008F19C5"/>
    <w:rsid w:val="008F2FE8"/>
    <w:rsid w:val="008F4F09"/>
    <w:rsid w:val="008F4FCB"/>
    <w:rsid w:val="008F742C"/>
    <w:rsid w:val="00900087"/>
    <w:rsid w:val="00900F67"/>
    <w:rsid w:val="00903F34"/>
    <w:rsid w:val="009043B4"/>
    <w:rsid w:val="009045C3"/>
    <w:rsid w:val="00905C0A"/>
    <w:rsid w:val="0091211B"/>
    <w:rsid w:val="009122F8"/>
    <w:rsid w:val="00913349"/>
    <w:rsid w:val="00914FED"/>
    <w:rsid w:val="00915520"/>
    <w:rsid w:val="009173D4"/>
    <w:rsid w:val="009201A1"/>
    <w:rsid w:val="00921131"/>
    <w:rsid w:val="00921F92"/>
    <w:rsid w:val="00923E87"/>
    <w:rsid w:val="009247F5"/>
    <w:rsid w:val="00924DCD"/>
    <w:rsid w:val="00926AB2"/>
    <w:rsid w:val="0092722F"/>
    <w:rsid w:val="00930463"/>
    <w:rsid w:val="00930BF4"/>
    <w:rsid w:val="0093149B"/>
    <w:rsid w:val="00931649"/>
    <w:rsid w:val="0093263F"/>
    <w:rsid w:val="00934B78"/>
    <w:rsid w:val="0093599C"/>
    <w:rsid w:val="00936ACE"/>
    <w:rsid w:val="00940677"/>
    <w:rsid w:val="009407FE"/>
    <w:rsid w:val="00942436"/>
    <w:rsid w:val="00944C10"/>
    <w:rsid w:val="00944CB4"/>
    <w:rsid w:val="00944FF3"/>
    <w:rsid w:val="009459AE"/>
    <w:rsid w:val="0094663A"/>
    <w:rsid w:val="00946B1A"/>
    <w:rsid w:val="009505F4"/>
    <w:rsid w:val="00950F6E"/>
    <w:rsid w:val="0095319A"/>
    <w:rsid w:val="009533A8"/>
    <w:rsid w:val="00953BBD"/>
    <w:rsid w:val="009559ED"/>
    <w:rsid w:val="009560EA"/>
    <w:rsid w:val="00956376"/>
    <w:rsid w:val="00957603"/>
    <w:rsid w:val="00957902"/>
    <w:rsid w:val="00957A1D"/>
    <w:rsid w:val="009603AD"/>
    <w:rsid w:val="00960AFC"/>
    <w:rsid w:val="00960C75"/>
    <w:rsid w:val="0096487B"/>
    <w:rsid w:val="0096557E"/>
    <w:rsid w:val="009671BD"/>
    <w:rsid w:val="0097314D"/>
    <w:rsid w:val="00974D58"/>
    <w:rsid w:val="009757D1"/>
    <w:rsid w:val="00976A8C"/>
    <w:rsid w:val="00977070"/>
    <w:rsid w:val="009806DA"/>
    <w:rsid w:val="00980754"/>
    <w:rsid w:val="00980BAE"/>
    <w:rsid w:val="00980E7E"/>
    <w:rsid w:val="00981535"/>
    <w:rsid w:val="009825C8"/>
    <w:rsid w:val="0098301E"/>
    <w:rsid w:val="009832CF"/>
    <w:rsid w:val="00983ABE"/>
    <w:rsid w:val="0098409F"/>
    <w:rsid w:val="00984B1C"/>
    <w:rsid w:val="00985537"/>
    <w:rsid w:val="009859B4"/>
    <w:rsid w:val="00987161"/>
    <w:rsid w:val="009877DF"/>
    <w:rsid w:val="00991698"/>
    <w:rsid w:val="00991C17"/>
    <w:rsid w:val="00991FF0"/>
    <w:rsid w:val="009929F3"/>
    <w:rsid w:val="00992D1E"/>
    <w:rsid w:val="0099344F"/>
    <w:rsid w:val="009936E7"/>
    <w:rsid w:val="009945CD"/>
    <w:rsid w:val="00996930"/>
    <w:rsid w:val="00997EB2"/>
    <w:rsid w:val="009A06F5"/>
    <w:rsid w:val="009A0788"/>
    <w:rsid w:val="009A0E92"/>
    <w:rsid w:val="009A10AF"/>
    <w:rsid w:val="009A11B9"/>
    <w:rsid w:val="009A154C"/>
    <w:rsid w:val="009A17EC"/>
    <w:rsid w:val="009A1DF8"/>
    <w:rsid w:val="009A7363"/>
    <w:rsid w:val="009B03DF"/>
    <w:rsid w:val="009B14E3"/>
    <w:rsid w:val="009B2F28"/>
    <w:rsid w:val="009B6AF0"/>
    <w:rsid w:val="009B72D7"/>
    <w:rsid w:val="009C0047"/>
    <w:rsid w:val="009C0B04"/>
    <w:rsid w:val="009C0F12"/>
    <w:rsid w:val="009C0FE3"/>
    <w:rsid w:val="009C1C91"/>
    <w:rsid w:val="009C292D"/>
    <w:rsid w:val="009C33F7"/>
    <w:rsid w:val="009C45A6"/>
    <w:rsid w:val="009C4D3C"/>
    <w:rsid w:val="009C5408"/>
    <w:rsid w:val="009C5F0C"/>
    <w:rsid w:val="009C67C0"/>
    <w:rsid w:val="009C742F"/>
    <w:rsid w:val="009D1035"/>
    <w:rsid w:val="009D13D0"/>
    <w:rsid w:val="009D2068"/>
    <w:rsid w:val="009D2E18"/>
    <w:rsid w:val="009D3C19"/>
    <w:rsid w:val="009D4269"/>
    <w:rsid w:val="009D46EC"/>
    <w:rsid w:val="009D5CC1"/>
    <w:rsid w:val="009D7D33"/>
    <w:rsid w:val="009E1375"/>
    <w:rsid w:val="009E1735"/>
    <w:rsid w:val="009E1838"/>
    <w:rsid w:val="009E365B"/>
    <w:rsid w:val="009E3A0B"/>
    <w:rsid w:val="009E434D"/>
    <w:rsid w:val="009E4DD4"/>
    <w:rsid w:val="009E4E3F"/>
    <w:rsid w:val="009E6332"/>
    <w:rsid w:val="009E6884"/>
    <w:rsid w:val="009E698B"/>
    <w:rsid w:val="009E7980"/>
    <w:rsid w:val="009E7D4B"/>
    <w:rsid w:val="009F0CC0"/>
    <w:rsid w:val="009F1547"/>
    <w:rsid w:val="009F1C90"/>
    <w:rsid w:val="009F1DB8"/>
    <w:rsid w:val="009F2AD7"/>
    <w:rsid w:val="009F4712"/>
    <w:rsid w:val="009F4ABA"/>
    <w:rsid w:val="009F5632"/>
    <w:rsid w:val="009F5635"/>
    <w:rsid w:val="00A02D41"/>
    <w:rsid w:val="00A02D4F"/>
    <w:rsid w:val="00A036BD"/>
    <w:rsid w:val="00A037CC"/>
    <w:rsid w:val="00A03E09"/>
    <w:rsid w:val="00A066AE"/>
    <w:rsid w:val="00A10DD9"/>
    <w:rsid w:val="00A111C9"/>
    <w:rsid w:val="00A117C8"/>
    <w:rsid w:val="00A12C6B"/>
    <w:rsid w:val="00A14117"/>
    <w:rsid w:val="00A14579"/>
    <w:rsid w:val="00A149FA"/>
    <w:rsid w:val="00A176D4"/>
    <w:rsid w:val="00A17C7C"/>
    <w:rsid w:val="00A17DF0"/>
    <w:rsid w:val="00A20F78"/>
    <w:rsid w:val="00A2145F"/>
    <w:rsid w:val="00A218F1"/>
    <w:rsid w:val="00A22C89"/>
    <w:rsid w:val="00A23BD6"/>
    <w:rsid w:val="00A23C93"/>
    <w:rsid w:val="00A27295"/>
    <w:rsid w:val="00A27DEE"/>
    <w:rsid w:val="00A31B93"/>
    <w:rsid w:val="00A33F39"/>
    <w:rsid w:val="00A35DA7"/>
    <w:rsid w:val="00A36473"/>
    <w:rsid w:val="00A3746B"/>
    <w:rsid w:val="00A375EF"/>
    <w:rsid w:val="00A40B08"/>
    <w:rsid w:val="00A41688"/>
    <w:rsid w:val="00A4246B"/>
    <w:rsid w:val="00A42D30"/>
    <w:rsid w:val="00A4332F"/>
    <w:rsid w:val="00A43F16"/>
    <w:rsid w:val="00A445CE"/>
    <w:rsid w:val="00A44CE5"/>
    <w:rsid w:val="00A47BA9"/>
    <w:rsid w:val="00A522E2"/>
    <w:rsid w:val="00A528C2"/>
    <w:rsid w:val="00A52F83"/>
    <w:rsid w:val="00A53044"/>
    <w:rsid w:val="00A53D42"/>
    <w:rsid w:val="00A54AFD"/>
    <w:rsid w:val="00A54E85"/>
    <w:rsid w:val="00A56804"/>
    <w:rsid w:val="00A5731F"/>
    <w:rsid w:val="00A61B06"/>
    <w:rsid w:val="00A61B26"/>
    <w:rsid w:val="00A62113"/>
    <w:rsid w:val="00A66BA3"/>
    <w:rsid w:val="00A66DE0"/>
    <w:rsid w:val="00A6759C"/>
    <w:rsid w:val="00A67923"/>
    <w:rsid w:val="00A70764"/>
    <w:rsid w:val="00A713ED"/>
    <w:rsid w:val="00A714B8"/>
    <w:rsid w:val="00A73B38"/>
    <w:rsid w:val="00A742DA"/>
    <w:rsid w:val="00A74901"/>
    <w:rsid w:val="00A75733"/>
    <w:rsid w:val="00A75FF7"/>
    <w:rsid w:val="00A76308"/>
    <w:rsid w:val="00A76AB7"/>
    <w:rsid w:val="00A76EB1"/>
    <w:rsid w:val="00A77265"/>
    <w:rsid w:val="00A77C08"/>
    <w:rsid w:val="00A77CD5"/>
    <w:rsid w:val="00A77F6F"/>
    <w:rsid w:val="00A80324"/>
    <w:rsid w:val="00A81527"/>
    <w:rsid w:val="00A82058"/>
    <w:rsid w:val="00A831D3"/>
    <w:rsid w:val="00A84AE7"/>
    <w:rsid w:val="00A85544"/>
    <w:rsid w:val="00A869B0"/>
    <w:rsid w:val="00A87EA8"/>
    <w:rsid w:val="00A907C3"/>
    <w:rsid w:val="00A9289F"/>
    <w:rsid w:val="00A92C1D"/>
    <w:rsid w:val="00A95E12"/>
    <w:rsid w:val="00AA09CC"/>
    <w:rsid w:val="00AA0C77"/>
    <w:rsid w:val="00AA10D7"/>
    <w:rsid w:val="00AA16B7"/>
    <w:rsid w:val="00AA1D27"/>
    <w:rsid w:val="00AA204C"/>
    <w:rsid w:val="00AA2998"/>
    <w:rsid w:val="00AA2D57"/>
    <w:rsid w:val="00AA382E"/>
    <w:rsid w:val="00AA4B25"/>
    <w:rsid w:val="00AA56D0"/>
    <w:rsid w:val="00AA5CE5"/>
    <w:rsid w:val="00AA63C6"/>
    <w:rsid w:val="00AA7B67"/>
    <w:rsid w:val="00AB03BB"/>
    <w:rsid w:val="00AB0C9F"/>
    <w:rsid w:val="00AB143A"/>
    <w:rsid w:val="00AB2490"/>
    <w:rsid w:val="00AB3624"/>
    <w:rsid w:val="00AB3D94"/>
    <w:rsid w:val="00AB3FAE"/>
    <w:rsid w:val="00AB482A"/>
    <w:rsid w:val="00AB507D"/>
    <w:rsid w:val="00AB52CD"/>
    <w:rsid w:val="00AB56A6"/>
    <w:rsid w:val="00AB5B8C"/>
    <w:rsid w:val="00AB64ED"/>
    <w:rsid w:val="00AB65C1"/>
    <w:rsid w:val="00AB65FB"/>
    <w:rsid w:val="00AC003C"/>
    <w:rsid w:val="00AC0103"/>
    <w:rsid w:val="00AC1404"/>
    <w:rsid w:val="00AC26A0"/>
    <w:rsid w:val="00AC293A"/>
    <w:rsid w:val="00AC50A1"/>
    <w:rsid w:val="00AD039F"/>
    <w:rsid w:val="00AD3902"/>
    <w:rsid w:val="00AD6010"/>
    <w:rsid w:val="00AE00A8"/>
    <w:rsid w:val="00AE13EA"/>
    <w:rsid w:val="00AE1E77"/>
    <w:rsid w:val="00AE2741"/>
    <w:rsid w:val="00AE2FB4"/>
    <w:rsid w:val="00AE33FF"/>
    <w:rsid w:val="00AE4127"/>
    <w:rsid w:val="00AE527C"/>
    <w:rsid w:val="00AE5BAE"/>
    <w:rsid w:val="00AE6A1F"/>
    <w:rsid w:val="00AE74CB"/>
    <w:rsid w:val="00AF069E"/>
    <w:rsid w:val="00AF06D5"/>
    <w:rsid w:val="00AF09DD"/>
    <w:rsid w:val="00AF11C0"/>
    <w:rsid w:val="00AF130E"/>
    <w:rsid w:val="00AF1E9B"/>
    <w:rsid w:val="00AF1F01"/>
    <w:rsid w:val="00AF3D78"/>
    <w:rsid w:val="00AF5434"/>
    <w:rsid w:val="00AF56F0"/>
    <w:rsid w:val="00AF5807"/>
    <w:rsid w:val="00AF5F91"/>
    <w:rsid w:val="00AF65A9"/>
    <w:rsid w:val="00B00B90"/>
    <w:rsid w:val="00B022B7"/>
    <w:rsid w:val="00B02655"/>
    <w:rsid w:val="00B05102"/>
    <w:rsid w:val="00B05632"/>
    <w:rsid w:val="00B056C4"/>
    <w:rsid w:val="00B06882"/>
    <w:rsid w:val="00B123D4"/>
    <w:rsid w:val="00B128B0"/>
    <w:rsid w:val="00B146A1"/>
    <w:rsid w:val="00B16A34"/>
    <w:rsid w:val="00B17B18"/>
    <w:rsid w:val="00B21BED"/>
    <w:rsid w:val="00B21F95"/>
    <w:rsid w:val="00B2244D"/>
    <w:rsid w:val="00B247BF"/>
    <w:rsid w:val="00B25453"/>
    <w:rsid w:val="00B2597D"/>
    <w:rsid w:val="00B26457"/>
    <w:rsid w:val="00B27F89"/>
    <w:rsid w:val="00B3099D"/>
    <w:rsid w:val="00B30A4C"/>
    <w:rsid w:val="00B31B9C"/>
    <w:rsid w:val="00B32300"/>
    <w:rsid w:val="00B3346E"/>
    <w:rsid w:val="00B3369A"/>
    <w:rsid w:val="00B34300"/>
    <w:rsid w:val="00B34D6C"/>
    <w:rsid w:val="00B3508D"/>
    <w:rsid w:val="00B36C97"/>
    <w:rsid w:val="00B36DC1"/>
    <w:rsid w:val="00B370BF"/>
    <w:rsid w:val="00B37D43"/>
    <w:rsid w:val="00B40AF8"/>
    <w:rsid w:val="00B40F0A"/>
    <w:rsid w:val="00B42023"/>
    <w:rsid w:val="00B42328"/>
    <w:rsid w:val="00B42B87"/>
    <w:rsid w:val="00B447CC"/>
    <w:rsid w:val="00B44AED"/>
    <w:rsid w:val="00B471C6"/>
    <w:rsid w:val="00B50526"/>
    <w:rsid w:val="00B5062F"/>
    <w:rsid w:val="00B53336"/>
    <w:rsid w:val="00B53C4C"/>
    <w:rsid w:val="00B5462D"/>
    <w:rsid w:val="00B5544F"/>
    <w:rsid w:val="00B558BF"/>
    <w:rsid w:val="00B55E5D"/>
    <w:rsid w:val="00B56DB7"/>
    <w:rsid w:val="00B57FA7"/>
    <w:rsid w:val="00B60824"/>
    <w:rsid w:val="00B60A36"/>
    <w:rsid w:val="00B61B68"/>
    <w:rsid w:val="00B6209C"/>
    <w:rsid w:val="00B62D70"/>
    <w:rsid w:val="00B63339"/>
    <w:rsid w:val="00B64EAF"/>
    <w:rsid w:val="00B66867"/>
    <w:rsid w:val="00B66994"/>
    <w:rsid w:val="00B67F22"/>
    <w:rsid w:val="00B715DC"/>
    <w:rsid w:val="00B71A89"/>
    <w:rsid w:val="00B71AFB"/>
    <w:rsid w:val="00B72466"/>
    <w:rsid w:val="00B73C97"/>
    <w:rsid w:val="00B74984"/>
    <w:rsid w:val="00B76340"/>
    <w:rsid w:val="00B8049A"/>
    <w:rsid w:val="00B81CFC"/>
    <w:rsid w:val="00B82449"/>
    <w:rsid w:val="00B82971"/>
    <w:rsid w:val="00B82C72"/>
    <w:rsid w:val="00B835A1"/>
    <w:rsid w:val="00B842DF"/>
    <w:rsid w:val="00B849F6"/>
    <w:rsid w:val="00B85E95"/>
    <w:rsid w:val="00B87028"/>
    <w:rsid w:val="00B90C76"/>
    <w:rsid w:val="00B91F2F"/>
    <w:rsid w:val="00B94786"/>
    <w:rsid w:val="00B94FC2"/>
    <w:rsid w:val="00BA1E38"/>
    <w:rsid w:val="00BA3B48"/>
    <w:rsid w:val="00BA499E"/>
    <w:rsid w:val="00BA5573"/>
    <w:rsid w:val="00BA6577"/>
    <w:rsid w:val="00BA70CC"/>
    <w:rsid w:val="00BA78B6"/>
    <w:rsid w:val="00BA7C49"/>
    <w:rsid w:val="00BB11B3"/>
    <w:rsid w:val="00BB26AD"/>
    <w:rsid w:val="00BB2C12"/>
    <w:rsid w:val="00BB424D"/>
    <w:rsid w:val="00BB79BD"/>
    <w:rsid w:val="00BB7DA1"/>
    <w:rsid w:val="00BC01C9"/>
    <w:rsid w:val="00BC2897"/>
    <w:rsid w:val="00BC45FA"/>
    <w:rsid w:val="00BC4DB1"/>
    <w:rsid w:val="00BC7208"/>
    <w:rsid w:val="00BD0B48"/>
    <w:rsid w:val="00BD12E6"/>
    <w:rsid w:val="00BD1FAB"/>
    <w:rsid w:val="00BD2991"/>
    <w:rsid w:val="00BD2A0A"/>
    <w:rsid w:val="00BD2BE8"/>
    <w:rsid w:val="00BD4287"/>
    <w:rsid w:val="00BD4F14"/>
    <w:rsid w:val="00BD5D0F"/>
    <w:rsid w:val="00BD62E8"/>
    <w:rsid w:val="00BD6F23"/>
    <w:rsid w:val="00BD7C68"/>
    <w:rsid w:val="00BE0BD5"/>
    <w:rsid w:val="00BE15CE"/>
    <w:rsid w:val="00BE1CBC"/>
    <w:rsid w:val="00BE29DC"/>
    <w:rsid w:val="00BE2EE1"/>
    <w:rsid w:val="00BE4E8E"/>
    <w:rsid w:val="00BF090A"/>
    <w:rsid w:val="00BF4C17"/>
    <w:rsid w:val="00BF4EBD"/>
    <w:rsid w:val="00BF697A"/>
    <w:rsid w:val="00BF6ADB"/>
    <w:rsid w:val="00C0054D"/>
    <w:rsid w:val="00C027F5"/>
    <w:rsid w:val="00C029FF"/>
    <w:rsid w:val="00C02F56"/>
    <w:rsid w:val="00C03776"/>
    <w:rsid w:val="00C04361"/>
    <w:rsid w:val="00C04827"/>
    <w:rsid w:val="00C04EF5"/>
    <w:rsid w:val="00C06D35"/>
    <w:rsid w:val="00C10CB4"/>
    <w:rsid w:val="00C1138A"/>
    <w:rsid w:val="00C113AA"/>
    <w:rsid w:val="00C12D68"/>
    <w:rsid w:val="00C12D73"/>
    <w:rsid w:val="00C13821"/>
    <w:rsid w:val="00C13F74"/>
    <w:rsid w:val="00C14051"/>
    <w:rsid w:val="00C143D8"/>
    <w:rsid w:val="00C155B8"/>
    <w:rsid w:val="00C15F73"/>
    <w:rsid w:val="00C2037B"/>
    <w:rsid w:val="00C213A3"/>
    <w:rsid w:val="00C22FF7"/>
    <w:rsid w:val="00C237DA"/>
    <w:rsid w:val="00C25E11"/>
    <w:rsid w:val="00C277B5"/>
    <w:rsid w:val="00C27F76"/>
    <w:rsid w:val="00C3054D"/>
    <w:rsid w:val="00C309AD"/>
    <w:rsid w:val="00C30DA4"/>
    <w:rsid w:val="00C313CF"/>
    <w:rsid w:val="00C31B45"/>
    <w:rsid w:val="00C33599"/>
    <w:rsid w:val="00C34505"/>
    <w:rsid w:val="00C34999"/>
    <w:rsid w:val="00C34C95"/>
    <w:rsid w:val="00C35380"/>
    <w:rsid w:val="00C35817"/>
    <w:rsid w:val="00C35BAB"/>
    <w:rsid w:val="00C35D6B"/>
    <w:rsid w:val="00C3705B"/>
    <w:rsid w:val="00C37373"/>
    <w:rsid w:val="00C37391"/>
    <w:rsid w:val="00C37485"/>
    <w:rsid w:val="00C375C3"/>
    <w:rsid w:val="00C41DE9"/>
    <w:rsid w:val="00C445B8"/>
    <w:rsid w:val="00C44719"/>
    <w:rsid w:val="00C44D92"/>
    <w:rsid w:val="00C44F9D"/>
    <w:rsid w:val="00C466D3"/>
    <w:rsid w:val="00C468AD"/>
    <w:rsid w:val="00C50108"/>
    <w:rsid w:val="00C51CF0"/>
    <w:rsid w:val="00C52B5F"/>
    <w:rsid w:val="00C53BEA"/>
    <w:rsid w:val="00C53E4F"/>
    <w:rsid w:val="00C56253"/>
    <w:rsid w:val="00C56421"/>
    <w:rsid w:val="00C57160"/>
    <w:rsid w:val="00C57C39"/>
    <w:rsid w:val="00C60C07"/>
    <w:rsid w:val="00C61011"/>
    <w:rsid w:val="00C6113D"/>
    <w:rsid w:val="00C62A15"/>
    <w:rsid w:val="00C639B0"/>
    <w:rsid w:val="00C641A4"/>
    <w:rsid w:val="00C6572C"/>
    <w:rsid w:val="00C658BB"/>
    <w:rsid w:val="00C70BED"/>
    <w:rsid w:val="00C70CFF"/>
    <w:rsid w:val="00C71FEC"/>
    <w:rsid w:val="00C72C98"/>
    <w:rsid w:val="00C74927"/>
    <w:rsid w:val="00C74A14"/>
    <w:rsid w:val="00C75655"/>
    <w:rsid w:val="00C76487"/>
    <w:rsid w:val="00C777CB"/>
    <w:rsid w:val="00C8186A"/>
    <w:rsid w:val="00C819D2"/>
    <w:rsid w:val="00C837C3"/>
    <w:rsid w:val="00C84497"/>
    <w:rsid w:val="00C84986"/>
    <w:rsid w:val="00C859A7"/>
    <w:rsid w:val="00C868F6"/>
    <w:rsid w:val="00C874C4"/>
    <w:rsid w:val="00C9137C"/>
    <w:rsid w:val="00C91644"/>
    <w:rsid w:val="00C921E7"/>
    <w:rsid w:val="00C949C7"/>
    <w:rsid w:val="00C94B5A"/>
    <w:rsid w:val="00C961E1"/>
    <w:rsid w:val="00C9663B"/>
    <w:rsid w:val="00C96B2D"/>
    <w:rsid w:val="00C97B96"/>
    <w:rsid w:val="00C97CE4"/>
    <w:rsid w:val="00CA1688"/>
    <w:rsid w:val="00CA30F3"/>
    <w:rsid w:val="00CA403F"/>
    <w:rsid w:val="00CA40CC"/>
    <w:rsid w:val="00CA5D5B"/>
    <w:rsid w:val="00CA6D2F"/>
    <w:rsid w:val="00CA7B7C"/>
    <w:rsid w:val="00CA7C0B"/>
    <w:rsid w:val="00CB07BA"/>
    <w:rsid w:val="00CB25CF"/>
    <w:rsid w:val="00CB361F"/>
    <w:rsid w:val="00CB4379"/>
    <w:rsid w:val="00CB582B"/>
    <w:rsid w:val="00CB6E2B"/>
    <w:rsid w:val="00CB6FF7"/>
    <w:rsid w:val="00CB7302"/>
    <w:rsid w:val="00CC0332"/>
    <w:rsid w:val="00CC1E9F"/>
    <w:rsid w:val="00CC223F"/>
    <w:rsid w:val="00CC2EAB"/>
    <w:rsid w:val="00CC445D"/>
    <w:rsid w:val="00CC4ABE"/>
    <w:rsid w:val="00CC4F97"/>
    <w:rsid w:val="00CC5552"/>
    <w:rsid w:val="00CC5896"/>
    <w:rsid w:val="00CC5B7C"/>
    <w:rsid w:val="00CD0C96"/>
    <w:rsid w:val="00CD1138"/>
    <w:rsid w:val="00CD2722"/>
    <w:rsid w:val="00CD3C9C"/>
    <w:rsid w:val="00CD4D08"/>
    <w:rsid w:val="00CD4EBF"/>
    <w:rsid w:val="00CD525D"/>
    <w:rsid w:val="00CE097D"/>
    <w:rsid w:val="00CE14B0"/>
    <w:rsid w:val="00CE2077"/>
    <w:rsid w:val="00CE3810"/>
    <w:rsid w:val="00CE3F70"/>
    <w:rsid w:val="00CE4D91"/>
    <w:rsid w:val="00CE52B4"/>
    <w:rsid w:val="00CE5962"/>
    <w:rsid w:val="00CE5DCD"/>
    <w:rsid w:val="00CE6FC9"/>
    <w:rsid w:val="00CE701C"/>
    <w:rsid w:val="00CE7599"/>
    <w:rsid w:val="00CE7733"/>
    <w:rsid w:val="00CF1B50"/>
    <w:rsid w:val="00CF3882"/>
    <w:rsid w:val="00CF414A"/>
    <w:rsid w:val="00CF4FF0"/>
    <w:rsid w:val="00CF5B47"/>
    <w:rsid w:val="00CF5F73"/>
    <w:rsid w:val="00CF6518"/>
    <w:rsid w:val="00D01B53"/>
    <w:rsid w:val="00D02246"/>
    <w:rsid w:val="00D02271"/>
    <w:rsid w:val="00D03BFB"/>
    <w:rsid w:val="00D03E44"/>
    <w:rsid w:val="00D04170"/>
    <w:rsid w:val="00D10135"/>
    <w:rsid w:val="00D104F9"/>
    <w:rsid w:val="00D122F0"/>
    <w:rsid w:val="00D126EC"/>
    <w:rsid w:val="00D135E0"/>
    <w:rsid w:val="00D13D91"/>
    <w:rsid w:val="00D14323"/>
    <w:rsid w:val="00D145A5"/>
    <w:rsid w:val="00D15452"/>
    <w:rsid w:val="00D15B08"/>
    <w:rsid w:val="00D16008"/>
    <w:rsid w:val="00D166D4"/>
    <w:rsid w:val="00D20F5F"/>
    <w:rsid w:val="00D21036"/>
    <w:rsid w:val="00D23428"/>
    <w:rsid w:val="00D234A3"/>
    <w:rsid w:val="00D24956"/>
    <w:rsid w:val="00D24B70"/>
    <w:rsid w:val="00D24D67"/>
    <w:rsid w:val="00D30254"/>
    <w:rsid w:val="00D322F6"/>
    <w:rsid w:val="00D33768"/>
    <w:rsid w:val="00D33D87"/>
    <w:rsid w:val="00D35077"/>
    <w:rsid w:val="00D357E7"/>
    <w:rsid w:val="00D35A6E"/>
    <w:rsid w:val="00D408A8"/>
    <w:rsid w:val="00D40FEF"/>
    <w:rsid w:val="00D44F8E"/>
    <w:rsid w:val="00D46DAE"/>
    <w:rsid w:val="00D51B28"/>
    <w:rsid w:val="00D51C8F"/>
    <w:rsid w:val="00D5204B"/>
    <w:rsid w:val="00D54C10"/>
    <w:rsid w:val="00D54ED5"/>
    <w:rsid w:val="00D55CD0"/>
    <w:rsid w:val="00D57973"/>
    <w:rsid w:val="00D60CE2"/>
    <w:rsid w:val="00D61016"/>
    <w:rsid w:val="00D612EC"/>
    <w:rsid w:val="00D6153E"/>
    <w:rsid w:val="00D621C7"/>
    <w:rsid w:val="00D623C4"/>
    <w:rsid w:val="00D62667"/>
    <w:rsid w:val="00D64128"/>
    <w:rsid w:val="00D645FE"/>
    <w:rsid w:val="00D64EBA"/>
    <w:rsid w:val="00D722DF"/>
    <w:rsid w:val="00D73493"/>
    <w:rsid w:val="00D73659"/>
    <w:rsid w:val="00D743E4"/>
    <w:rsid w:val="00D7509D"/>
    <w:rsid w:val="00D75E77"/>
    <w:rsid w:val="00D76502"/>
    <w:rsid w:val="00D76CB9"/>
    <w:rsid w:val="00D76DCE"/>
    <w:rsid w:val="00D778F1"/>
    <w:rsid w:val="00D806DD"/>
    <w:rsid w:val="00D82E48"/>
    <w:rsid w:val="00D83ADF"/>
    <w:rsid w:val="00D84675"/>
    <w:rsid w:val="00D8526A"/>
    <w:rsid w:val="00D85DBD"/>
    <w:rsid w:val="00D86252"/>
    <w:rsid w:val="00D8723B"/>
    <w:rsid w:val="00D87D8B"/>
    <w:rsid w:val="00D9053A"/>
    <w:rsid w:val="00D90DD0"/>
    <w:rsid w:val="00D917F3"/>
    <w:rsid w:val="00D91D77"/>
    <w:rsid w:val="00D92862"/>
    <w:rsid w:val="00D94D5A"/>
    <w:rsid w:val="00D968CC"/>
    <w:rsid w:val="00D97BAA"/>
    <w:rsid w:val="00DA25E9"/>
    <w:rsid w:val="00DA3AF3"/>
    <w:rsid w:val="00DA3FC9"/>
    <w:rsid w:val="00DA411B"/>
    <w:rsid w:val="00DA5455"/>
    <w:rsid w:val="00DA5464"/>
    <w:rsid w:val="00DA5C2B"/>
    <w:rsid w:val="00DA65C9"/>
    <w:rsid w:val="00DA6A18"/>
    <w:rsid w:val="00DA6D30"/>
    <w:rsid w:val="00DB23C0"/>
    <w:rsid w:val="00DB45FD"/>
    <w:rsid w:val="00DB5EFB"/>
    <w:rsid w:val="00DB619B"/>
    <w:rsid w:val="00DB64FD"/>
    <w:rsid w:val="00DB6CAF"/>
    <w:rsid w:val="00DB6EF1"/>
    <w:rsid w:val="00DB705C"/>
    <w:rsid w:val="00DB78E0"/>
    <w:rsid w:val="00DC19BB"/>
    <w:rsid w:val="00DC1B02"/>
    <w:rsid w:val="00DC2D6A"/>
    <w:rsid w:val="00DC350D"/>
    <w:rsid w:val="00DC5D60"/>
    <w:rsid w:val="00DC6404"/>
    <w:rsid w:val="00DC69C5"/>
    <w:rsid w:val="00DD1924"/>
    <w:rsid w:val="00DD1AE8"/>
    <w:rsid w:val="00DD49FE"/>
    <w:rsid w:val="00DD50D1"/>
    <w:rsid w:val="00DD5305"/>
    <w:rsid w:val="00DD6CAF"/>
    <w:rsid w:val="00DD756A"/>
    <w:rsid w:val="00DD7FDF"/>
    <w:rsid w:val="00DE0268"/>
    <w:rsid w:val="00DE15B6"/>
    <w:rsid w:val="00DE1703"/>
    <w:rsid w:val="00DE2C6B"/>
    <w:rsid w:val="00DE4341"/>
    <w:rsid w:val="00DE4693"/>
    <w:rsid w:val="00DE4E7A"/>
    <w:rsid w:val="00DE501C"/>
    <w:rsid w:val="00DE51B7"/>
    <w:rsid w:val="00DE5955"/>
    <w:rsid w:val="00DE7794"/>
    <w:rsid w:val="00DF0EA3"/>
    <w:rsid w:val="00DF14BF"/>
    <w:rsid w:val="00DF1DE1"/>
    <w:rsid w:val="00DF24C6"/>
    <w:rsid w:val="00DF47D5"/>
    <w:rsid w:val="00DF4D0C"/>
    <w:rsid w:val="00DF568D"/>
    <w:rsid w:val="00DF6492"/>
    <w:rsid w:val="00E00A35"/>
    <w:rsid w:val="00E00CCB"/>
    <w:rsid w:val="00E01052"/>
    <w:rsid w:val="00E042C7"/>
    <w:rsid w:val="00E0520A"/>
    <w:rsid w:val="00E0781A"/>
    <w:rsid w:val="00E11475"/>
    <w:rsid w:val="00E121DA"/>
    <w:rsid w:val="00E1583C"/>
    <w:rsid w:val="00E15E88"/>
    <w:rsid w:val="00E175A7"/>
    <w:rsid w:val="00E178E0"/>
    <w:rsid w:val="00E20055"/>
    <w:rsid w:val="00E20168"/>
    <w:rsid w:val="00E20740"/>
    <w:rsid w:val="00E20E92"/>
    <w:rsid w:val="00E245DA"/>
    <w:rsid w:val="00E24645"/>
    <w:rsid w:val="00E26288"/>
    <w:rsid w:val="00E2696A"/>
    <w:rsid w:val="00E26D8B"/>
    <w:rsid w:val="00E270EC"/>
    <w:rsid w:val="00E31701"/>
    <w:rsid w:val="00E31BCB"/>
    <w:rsid w:val="00E31F13"/>
    <w:rsid w:val="00E321A4"/>
    <w:rsid w:val="00E32963"/>
    <w:rsid w:val="00E337BC"/>
    <w:rsid w:val="00E350CD"/>
    <w:rsid w:val="00E372A9"/>
    <w:rsid w:val="00E4001B"/>
    <w:rsid w:val="00E43B13"/>
    <w:rsid w:val="00E45934"/>
    <w:rsid w:val="00E51FDE"/>
    <w:rsid w:val="00E530F4"/>
    <w:rsid w:val="00E534B2"/>
    <w:rsid w:val="00E54893"/>
    <w:rsid w:val="00E552EF"/>
    <w:rsid w:val="00E56489"/>
    <w:rsid w:val="00E568AA"/>
    <w:rsid w:val="00E56B66"/>
    <w:rsid w:val="00E60F16"/>
    <w:rsid w:val="00E61F3C"/>
    <w:rsid w:val="00E631FE"/>
    <w:rsid w:val="00E64633"/>
    <w:rsid w:val="00E64653"/>
    <w:rsid w:val="00E64F58"/>
    <w:rsid w:val="00E658A6"/>
    <w:rsid w:val="00E66251"/>
    <w:rsid w:val="00E705B7"/>
    <w:rsid w:val="00E7086E"/>
    <w:rsid w:val="00E70ECC"/>
    <w:rsid w:val="00E7180E"/>
    <w:rsid w:val="00E71A89"/>
    <w:rsid w:val="00E72EB0"/>
    <w:rsid w:val="00E73643"/>
    <w:rsid w:val="00E77197"/>
    <w:rsid w:val="00E81B1A"/>
    <w:rsid w:val="00E83781"/>
    <w:rsid w:val="00E8470F"/>
    <w:rsid w:val="00E84A28"/>
    <w:rsid w:val="00E84FB3"/>
    <w:rsid w:val="00E87037"/>
    <w:rsid w:val="00E87D6B"/>
    <w:rsid w:val="00E90557"/>
    <w:rsid w:val="00E9085B"/>
    <w:rsid w:val="00E912F9"/>
    <w:rsid w:val="00E91D5C"/>
    <w:rsid w:val="00E93572"/>
    <w:rsid w:val="00E93ABB"/>
    <w:rsid w:val="00E941A7"/>
    <w:rsid w:val="00E94366"/>
    <w:rsid w:val="00E949B0"/>
    <w:rsid w:val="00E96B43"/>
    <w:rsid w:val="00EA0142"/>
    <w:rsid w:val="00EA0157"/>
    <w:rsid w:val="00EA1EF9"/>
    <w:rsid w:val="00EA2824"/>
    <w:rsid w:val="00EA2CA0"/>
    <w:rsid w:val="00EA30FC"/>
    <w:rsid w:val="00EA327F"/>
    <w:rsid w:val="00EA3699"/>
    <w:rsid w:val="00EA4F90"/>
    <w:rsid w:val="00EA6449"/>
    <w:rsid w:val="00EA7237"/>
    <w:rsid w:val="00EA78A7"/>
    <w:rsid w:val="00EB055B"/>
    <w:rsid w:val="00EB112A"/>
    <w:rsid w:val="00EB5EBB"/>
    <w:rsid w:val="00EC02E1"/>
    <w:rsid w:val="00EC0719"/>
    <w:rsid w:val="00EC1212"/>
    <w:rsid w:val="00EC1D3D"/>
    <w:rsid w:val="00EC2758"/>
    <w:rsid w:val="00EC3331"/>
    <w:rsid w:val="00EC4056"/>
    <w:rsid w:val="00EC461D"/>
    <w:rsid w:val="00EC5514"/>
    <w:rsid w:val="00EC677E"/>
    <w:rsid w:val="00EC6AD1"/>
    <w:rsid w:val="00EC7E67"/>
    <w:rsid w:val="00ED1C0A"/>
    <w:rsid w:val="00ED4B86"/>
    <w:rsid w:val="00ED5B5C"/>
    <w:rsid w:val="00ED70BD"/>
    <w:rsid w:val="00ED728D"/>
    <w:rsid w:val="00EE0B3E"/>
    <w:rsid w:val="00EE2D03"/>
    <w:rsid w:val="00EE37BB"/>
    <w:rsid w:val="00EE4E5A"/>
    <w:rsid w:val="00EE4F7C"/>
    <w:rsid w:val="00EE523F"/>
    <w:rsid w:val="00EE55E2"/>
    <w:rsid w:val="00EE67D8"/>
    <w:rsid w:val="00EE7729"/>
    <w:rsid w:val="00EE7CE5"/>
    <w:rsid w:val="00EF06E8"/>
    <w:rsid w:val="00EF1B9C"/>
    <w:rsid w:val="00EF2644"/>
    <w:rsid w:val="00EF4099"/>
    <w:rsid w:val="00EF495A"/>
    <w:rsid w:val="00EF6863"/>
    <w:rsid w:val="00EF6BDC"/>
    <w:rsid w:val="00EF73B5"/>
    <w:rsid w:val="00EF7FD4"/>
    <w:rsid w:val="00F0068B"/>
    <w:rsid w:val="00F00E95"/>
    <w:rsid w:val="00F0134B"/>
    <w:rsid w:val="00F01C4C"/>
    <w:rsid w:val="00F020F6"/>
    <w:rsid w:val="00F0253A"/>
    <w:rsid w:val="00F02786"/>
    <w:rsid w:val="00F02BDD"/>
    <w:rsid w:val="00F03BA4"/>
    <w:rsid w:val="00F0434F"/>
    <w:rsid w:val="00F049BD"/>
    <w:rsid w:val="00F0670F"/>
    <w:rsid w:val="00F06928"/>
    <w:rsid w:val="00F06B33"/>
    <w:rsid w:val="00F07DAC"/>
    <w:rsid w:val="00F07FA6"/>
    <w:rsid w:val="00F10C9B"/>
    <w:rsid w:val="00F13036"/>
    <w:rsid w:val="00F1357B"/>
    <w:rsid w:val="00F13C16"/>
    <w:rsid w:val="00F13C6F"/>
    <w:rsid w:val="00F15C4C"/>
    <w:rsid w:val="00F1652A"/>
    <w:rsid w:val="00F17076"/>
    <w:rsid w:val="00F206C1"/>
    <w:rsid w:val="00F21B6C"/>
    <w:rsid w:val="00F21CC3"/>
    <w:rsid w:val="00F21D1A"/>
    <w:rsid w:val="00F22865"/>
    <w:rsid w:val="00F24D75"/>
    <w:rsid w:val="00F24E8C"/>
    <w:rsid w:val="00F257DE"/>
    <w:rsid w:val="00F261E3"/>
    <w:rsid w:val="00F30F3B"/>
    <w:rsid w:val="00F31D23"/>
    <w:rsid w:val="00F32BA3"/>
    <w:rsid w:val="00F32FE9"/>
    <w:rsid w:val="00F33F7E"/>
    <w:rsid w:val="00F3485D"/>
    <w:rsid w:val="00F34E42"/>
    <w:rsid w:val="00F34F33"/>
    <w:rsid w:val="00F36D1F"/>
    <w:rsid w:val="00F3769E"/>
    <w:rsid w:val="00F37929"/>
    <w:rsid w:val="00F37BE7"/>
    <w:rsid w:val="00F4097B"/>
    <w:rsid w:val="00F40E91"/>
    <w:rsid w:val="00F40F06"/>
    <w:rsid w:val="00F42669"/>
    <w:rsid w:val="00F43B31"/>
    <w:rsid w:val="00F44055"/>
    <w:rsid w:val="00F44A4F"/>
    <w:rsid w:val="00F44A96"/>
    <w:rsid w:val="00F45845"/>
    <w:rsid w:val="00F46946"/>
    <w:rsid w:val="00F46957"/>
    <w:rsid w:val="00F4749B"/>
    <w:rsid w:val="00F50721"/>
    <w:rsid w:val="00F50A2A"/>
    <w:rsid w:val="00F51CB8"/>
    <w:rsid w:val="00F52AF3"/>
    <w:rsid w:val="00F52F62"/>
    <w:rsid w:val="00F5499B"/>
    <w:rsid w:val="00F54EB3"/>
    <w:rsid w:val="00F55212"/>
    <w:rsid w:val="00F5658B"/>
    <w:rsid w:val="00F56CE9"/>
    <w:rsid w:val="00F60894"/>
    <w:rsid w:val="00F60C98"/>
    <w:rsid w:val="00F61151"/>
    <w:rsid w:val="00F618A9"/>
    <w:rsid w:val="00F6199A"/>
    <w:rsid w:val="00F62BEA"/>
    <w:rsid w:val="00F62C80"/>
    <w:rsid w:val="00F634E8"/>
    <w:rsid w:val="00F639D8"/>
    <w:rsid w:val="00F643E4"/>
    <w:rsid w:val="00F64ECE"/>
    <w:rsid w:val="00F65CEF"/>
    <w:rsid w:val="00F67B6E"/>
    <w:rsid w:val="00F7128C"/>
    <w:rsid w:val="00F7329E"/>
    <w:rsid w:val="00F73E55"/>
    <w:rsid w:val="00F73F92"/>
    <w:rsid w:val="00F749CB"/>
    <w:rsid w:val="00F760FB"/>
    <w:rsid w:val="00F77765"/>
    <w:rsid w:val="00F7788E"/>
    <w:rsid w:val="00F77EC3"/>
    <w:rsid w:val="00F80B79"/>
    <w:rsid w:val="00F81DB9"/>
    <w:rsid w:val="00F85E15"/>
    <w:rsid w:val="00F85E98"/>
    <w:rsid w:val="00F928D2"/>
    <w:rsid w:val="00F930DC"/>
    <w:rsid w:val="00F935D6"/>
    <w:rsid w:val="00F94877"/>
    <w:rsid w:val="00FA21DE"/>
    <w:rsid w:val="00FA2219"/>
    <w:rsid w:val="00FA3539"/>
    <w:rsid w:val="00FA397B"/>
    <w:rsid w:val="00FA4AD8"/>
    <w:rsid w:val="00FA5366"/>
    <w:rsid w:val="00FA692C"/>
    <w:rsid w:val="00FA75DE"/>
    <w:rsid w:val="00FA7854"/>
    <w:rsid w:val="00FA7C8B"/>
    <w:rsid w:val="00FB0249"/>
    <w:rsid w:val="00FB3A51"/>
    <w:rsid w:val="00FB3E83"/>
    <w:rsid w:val="00FB4024"/>
    <w:rsid w:val="00FB40C7"/>
    <w:rsid w:val="00FB45DB"/>
    <w:rsid w:val="00FB51B5"/>
    <w:rsid w:val="00FB773C"/>
    <w:rsid w:val="00FB7D8F"/>
    <w:rsid w:val="00FC118F"/>
    <w:rsid w:val="00FC19F1"/>
    <w:rsid w:val="00FC1F70"/>
    <w:rsid w:val="00FC245D"/>
    <w:rsid w:val="00FC2839"/>
    <w:rsid w:val="00FC32EA"/>
    <w:rsid w:val="00FC4D74"/>
    <w:rsid w:val="00FC4DC2"/>
    <w:rsid w:val="00FC5D6D"/>
    <w:rsid w:val="00FC629D"/>
    <w:rsid w:val="00FD05C1"/>
    <w:rsid w:val="00FD0632"/>
    <w:rsid w:val="00FD0906"/>
    <w:rsid w:val="00FD1833"/>
    <w:rsid w:val="00FD323B"/>
    <w:rsid w:val="00FD3D36"/>
    <w:rsid w:val="00FD4DAA"/>
    <w:rsid w:val="00FD58E2"/>
    <w:rsid w:val="00FD6657"/>
    <w:rsid w:val="00FD74B7"/>
    <w:rsid w:val="00FE0552"/>
    <w:rsid w:val="00FE32C9"/>
    <w:rsid w:val="00FE348C"/>
    <w:rsid w:val="00FE4A8E"/>
    <w:rsid w:val="00FE52E8"/>
    <w:rsid w:val="00FE54A4"/>
    <w:rsid w:val="00FE55AE"/>
    <w:rsid w:val="00FE5CE1"/>
    <w:rsid w:val="00FF1A54"/>
    <w:rsid w:val="00FF2ED8"/>
    <w:rsid w:val="00FF34F1"/>
    <w:rsid w:val="00FF477F"/>
    <w:rsid w:val="00FF5051"/>
    <w:rsid w:val="00FF5E04"/>
    <w:rsid w:val="00FF68AC"/>
    <w:rsid w:val="00FF6FA8"/>
    <w:rsid w:val="00FF755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B0554"/>
  <w15:docId w15:val="{84AA1713-9F9B-4E8F-939B-7F423AEE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744BA"/>
    <w:pPr>
      <w:widowControl/>
      <w:spacing w:line="360" w:lineRule="auto"/>
      <w:jc w:val="center"/>
      <w:outlineLvl w:val="0"/>
    </w:pPr>
    <w:rPr>
      <w:b/>
      <w:sz w:val="26"/>
    </w:rPr>
  </w:style>
  <w:style w:type="paragraph" w:styleId="Heading2">
    <w:name w:val="heading 2"/>
    <w:basedOn w:val="Normal"/>
    <w:next w:val="Normal"/>
    <w:link w:val="Heading2Char"/>
    <w:uiPriority w:val="9"/>
    <w:unhideWhenUsed/>
    <w:qFormat/>
    <w:rsid w:val="004744BA"/>
    <w:pPr>
      <w:widowControl/>
      <w:spacing w:line="360" w:lineRule="auto"/>
      <w:outlineLvl w:val="1"/>
    </w:pPr>
    <w:rPr>
      <w:b/>
      <w:sz w:val="26"/>
    </w:rPr>
  </w:style>
  <w:style w:type="paragraph" w:styleId="Heading3">
    <w:name w:val="heading 3"/>
    <w:basedOn w:val="Normal"/>
    <w:next w:val="Normal"/>
    <w:link w:val="Heading3Char"/>
    <w:unhideWhenUsed/>
    <w:qFormat/>
    <w:rsid w:val="004744BA"/>
    <w:pPr>
      <w:widowControl/>
      <w:spacing w:line="360" w:lineRule="auto"/>
      <w:ind w:firstLine="720"/>
      <w:outlineLvl w:val="2"/>
    </w:pPr>
    <w:rPr>
      <w:b/>
      <w:sz w:val="26"/>
      <w:szCs w:val="26"/>
    </w:rPr>
  </w:style>
  <w:style w:type="paragraph" w:styleId="Heading4">
    <w:name w:val="heading 4"/>
    <w:basedOn w:val="p3"/>
    <w:next w:val="BodyTextIndent3"/>
    <w:link w:val="Heading4Char"/>
    <w:qFormat/>
    <w:rsid w:val="002906C4"/>
    <w:pPr>
      <w:keepNext/>
      <w:tabs>
        <w:tab w:val="clear" w:pos="204"/>
        <w:tab w:val="left" w:pos="720"/>
      </w:tabs>
      <w:spacing w:line="360" w:lineRule="auto"/>
      <w:ind w:left="1800" w:hanging="360"/>
      <w:outlineLvl w:val="3"/>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C5552"/>
    <w:pPr>
      <w:tabs>
        <w:tab w:val="center" w:pos="4680"/>
        <w:tab w:val="right" w:pos="9360"/>
      </w:tabs>
    </w:pPr>
  </w:style>
  <w:style w:type="character" w:customStyle="1" w:styleId="HeaderChar">
    <w:name w:val="Header Char"/>
    <w:basedOn w:val="DefaultParagraphFont"/>
    <w:link w:val="Header"/>
    <w:uiPriority w:val="99"/>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744BA"/>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4744BA"/>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4744BA"/>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591394"/>
    <w:pPr>
      <w:tabs>
        <w:tab w:val="left" w:pos="720"/>
        <w:tab w:val="right" w:leader="dot" w:pos="9350"/>
      </w:tabs>
      <w:spacing w:after="100"/>
    </w:pPr>
  </w:style>
  <w:style w:type="paragraph" w:styleId="TOC2">
    <w:name w:val="toc 2"/>
    <w:basedOn w:val="Normal"/>
    <w:next w:val="Normal"/>
    <w:autoRedefine/>
    <w:uiPriority w:val="39"/>
    <w:unhideWhenUsed/>
    <w:rsid w:val="00591394"/>
    <w:pPr>
      <w:tabs>
        <w:tab w:val="left" w:pos="1440"/>
        <w:tab w:val="right" w:leader="dot" w:pos="9350"/>
      </w:tabs>
      <w:spacing w:after="100"/>
      <w:ind w:left="720"/>
    </w:pPr>
  </w:style>
  <w:style w:type="paragraph" w:styleId="TOC3">
    <w:name w:val="toc 3"/>
    <w:basedOn w:val="Normal"/>
    <w:next w:val="Normal"/>
    <w:autoRedefine/>
    <w:uiPriority w:val="39"/>
    <w:unhideWhenUsed/>
    <w:rsid w:val="00591394"/>
    <w:pPr>
      <w:tabs>
        <w:tab w:val="left" w:pos="2160"/>
        <w:tab w:val="right" w:leader="dot" w:pos="9350"/>
      </w:tabs>
      <w:spacing w:after="100"/>
      <w:ind w:left="144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Footnote Text Char1 Char,Footnote Text Char Char Char,ALTS FOOTNOTE Char Char Char,fn Char Char Char,Footnote Text Char2 Char Char Char,Footnote Text1 Char"/>
    <w:basedOn w:val="Normal"/>
    <w:link w:val="FootnoteTextChar"/>
    <w:uiPriority w:val="99"/>
    <w:unhideWhenUsed/>
    <w:qFormat/>
    <w:rsid w:val="003D0F88"/>
    <w:pPr>
      <w:widowControl/>
    </w:pPr>
  </w:style>
  <w:style w:type="character" w:customStyle="1" w:styleId="FootnoteTextChar">
    <w:name w:val="Footnote Text Char"/>
    <w:aliases w:val="TBG Style Char,ALTS FOOTNOTE Char,Footnote Text 2 Char,fn Char,Footnote text Char,FOOTNOTE Char,Footnote Text Char1 Char Char,Footnote Text Char Char Char Char,ALTS FOOTNOTE Char Char Char Char,fn Char Char Char Char"/>
    <w:basedOn w:val="DefaultParagraphFont"/>
    <w:link w:val="FootnoteText"/>
    <w:uiPriority w:val="99"/>
    <w:rsid w:val="003D0F88"/>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Footnote_Reference,Style 42"/>
    <w:basedOn w:val="DefaultParagraphFont"/>
    <w:uiPriority w:val="99"/>
    <w:unhideWhenUsed/>
    <w:qFormat/>
    <w:rsid w:val="003D0F88"/>
    <w:rPr>
      <w:vertAlign w:val="superscript"/>
    </w:rPr>
  </w:style>
  <w:style w:type="paragraph" w:customStyle="1" w:styleId="p3">
    <w:name w:val="p3"/>
    <w:basedOn w:val="Normal"/>
    <w:uiPriority w:val="99"/>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unhideWhenUsed/>
    <w:qFormat/>
    <w:rsid w:val="00AC293A"/>
    <w:pPr>
      <w:keepNext/>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qFormat/>
    <w:rsid w:val="00FE54A4"/>
    <w:rPr>
      <w:i/>
      <w:iCs/>
    </w:rPr>
  </w:style>
  <w:style w:type="paragraph" w:customStyle="1" w:styleId="PUCTOCHeading">
    <w:name w:val="#PUC TOC Heading"/>
    <w:basedOn w:val="ListParagraph"/>
    <w:qFormat/>
    <w:rsid w:val="006353AB"/>
    <w:pPr>
      <w:widowControl/>
      <w:numPr>
        <w:numId w:val="4"/>
      </w:numPr>
      <w:spacing w:after="200"/>
      <w:contextualSpacing w:val="0"/>
    </w:pPr>
    <w:rPr>
      <w:rFonts w:eastAsia="Cambria"/>
      <w:b/>
      <w:sz w:val="24"/>
      <w:szCs w:val="24"/>
    </w:rPr>
  </w:style>
  <w:style w:type="paragraph" w:customStyle="1" w:styleId="PUC11TitleDescription">
    <w:name w:val="#PUC 1.1 Title/Description"/>
    <w:basedOn w:val="Normal"/>
    <w:qFormat/>
    <w:rsid w:val="006353AB"/>
    <w:pPr>
      <w:widowControl/>
      <w:numPr>
        <w:ilvl w:val="1"/>
        <w:numId w:val="4"/>
      </w:numPr>
      <w:spacing w:before="360"/>
      <w:ind w:left="907" w:hanging="547"/>
    </w:pPr>
    <w:rPr>
      <w:rFonts w:eastAsia="Cambria"/>
      <w:sz w:val="24"/>
      <w:szCs w:val="24"/>
    </w:rPr>
  </w:style>
  <w:style w:type="paragraph" w:customStyle="1" w:styleId="PUC111Sub-Title">
    <w:name w:val="#PUC 1.1.1 Sub-Title"/>
    <w:basedOn w:val="PUC11TitleDescription"/>
    <w:next w:val="Normal"/>
    <w:qFormat/>
    <w:rsid w:val="006353AB"/>
    <w:pPr>
      <w:numPr>
        <w:ilvl w:val="2"/>
      </w:numPr>
      <w:tabs>
        <w:tab w:val="left" w:pos="900"/>
      </w:tabs>
      <w:spacing w:after="120"/>
      <w:ind w:left="1440" w:hanging="720"/>
    </w:pPr>
  </w:style>
  <w:style w:type="paragraph" w:customStyle="1" w:styleId="PUC111Paragraph">
    <w:name w:val="#PUC 1.1.1 Paragraph"/>
    <w:basedOn w:val="Normal"/>
    <w:qFormat/>
    <w:rsid w:val="00FF5E04"/>
    <w:pPr>
      <w:widowControl/>
      <w:spacing w:before="240" w:after="120"/>
      <w:ind w:left="907"/>
    </w:pPr>
    <w:rPr>
      <w:rFonts w:eastAsia="Cambria"/>
      <w:sz w:val="24"/>
      <w:szCs w:val="24"/>
    </w:rPr>
  </w:style>
  <w:style w:type="paragraph" w:customStyle="1" w:styleId="PUC11Bullet">
    <w:name w:val="#PUC 1.1 Bullet"/>
    <w:basedOn w:val="PUC11TitleDescription"/>
    <w:rsid w:val="00A95E12"/>
    <w:pPr>
      <w:numPr>
        <w:ilvl w:val="0"/>
        <w:numId w:val="5"/>
      </w:numPr>
      <w:spacing w:before="120" w:after="120"/>
      <w:ind w:left="1786" w:hanging="432"/>
    </w:pPr>
    <w:rPr>
      <w:rFonts w:eastAsia="Times New Roman"/>
    </w:rPr>
  </w:style>
  <w:style w:type="paragraph" w:customStyle="1" w:styleId="PUC111Bullet">
    <w:name w:val="#PUC 1.1.1 Bullet"/>
    <w:basedOn w:val="PUC11Bullet"/>
    <w:qFormat/>
    <w:rsid w:val="00A95E12"/>
  </w:style>
  <w:style w:type="paragraph" w:styleId="BodyText">
    <w:name w:val="Body Text"/>
    <w:aliases w:val="Body Text Char Char,Body Text Char Char Char,Body Text Char Char Char Char Char,Body Text Char Char Char1,Body Text Char Char1 Char,Body Text Char1,Body Text Char1 Char,Body Text Char1 Char Char Char,Body Text Char1 Char1"/>
    <w:basedOn w:val="Normal"/>
    <w:link w:val="BodyTextChar"/>
    <w:rsid w:val="00BC4DB1"/>
    <w:pPr>
      <w:widowControl/>
      <w:numPr>
        <w:numId w:val="7"/>
      </w:numPr>
      <w:tabs>
        <w:tab w:val="left" w:pos="720"/>
      </w:tabs>
      <w:spacing w:line="480" w:lineRule="auto"/>
    </w:pPr>
    <w:rPr>
      <w:sz w:val="24"/>
    </w:rPr>
  </w:style>
  <w:style w:type="character" w:customStyle="1" w:styleId="BodyTextChar">
    <w:name w:val="Body Text Char"/>
    <w:aliases w:val="Body Text Char Char Char2,Body Text Char Char Char Char,Body Text Char Char Char Char Char Char,Body Text Char Char Char1 Char,Body Text Char Char1 Char Char,Body Text Char1 Char2,Body Text Char1 Char Char,Body Text Char1 Char1 Char"/>
    <w:basedOn w:val="DefaultParagraphFont"/>
    <w:link w:val="BodyText"/>
    <w:rsid w:val="00BC4DB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8517D"/>
    <w:rPr>
      <w:sz w:val="16"/>
      <w:szCs w:val="16"/>
    </w:rPr>
  </w:style>
  <w:style w:type="paragraph" w:styleId="CommentText">
    <w:name w:val="annotation text"/>
    <w:basedOn w:val="Normal"/>
    <w:link w:val="CommentTextChar"/>
    <w:uiPriority w:val="99"/>
    <w:semiHidden/>
    <w:unhideWhenUsed/>
    <w:rsid w:val="0008517D"/>
  </w:style>
  <w:style w:type="character" w:customStyle="1" w:styleId="CommentTextChar">
    <w:name w:val="Comment Text Char"/>
    <w:basedOn w:val="DefaultParagraphFont"/>
    <w:link w:val="CommentText"/>
    <w:uiPriority w:val="99"/>
    <w:semiHidden/>
    <w:rsid w:val="00085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517D"/>
    <w:rPr>
      <w:b/>
      <w:bCs/>
    </w:rPr>
  </w:style>
  <w:style w:type="character" w:customStyle="1" w:styleId="CommentSubjectChar">
    <w:name w:val="Comment Subject Char"/>
    <w:basedOn w:val="CommentTextChar"/>
    <w:link w:val="CommentSubject"/>
    <w:uiPriority w:val="99"/>
    <w:semiHidden/>
    <w:rsid w:val="0008517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2906C4"/>
    <w:rPr>
      <w:rFonts w:ascii="Times New Roman" w:eastAsia="Times New Roman" w:hAnsi="Times New Roman" w:cs="Times New Roman"/>
      <w:b/>
      <w:sz w:val="26"/>
      <w:szCs w:val="26"/>
    </w:rPr>
  </w:style>
  <w:style w:type="paragraph" w:styleId="BodyTextIndent3">
    <w:name w:val="Body Text Indent 3"/>
    <w:basedOn w:val="Normal"/>
    <w:link w:val="BodyTextIndent3Char"/>
    <w:uiPriority w:val="99"/>
    <w:semiHidden/>
    <w:unhideWhenUsed/>
    <w:rsid w:val="002906C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906C4"/>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5D68D4"/>
    <w:rPr>
      <w:color w:val="605E5C"/>
      <w:shd w:val="clear" w:color="auto" w:fill="E1DFDD"/>
    </w:rPr>
  </w:style>
  <w:style w:type="paragraph" w:styleId="BodyText2">
    <w:name w:val="Body Text 2"/>
    <w:basedOn w:val="Normal"/>
    <w:link w:val="BodyText2Char"/>
    <w:uiPriority w:val="99"/>
    <w:unhideWhenUsed/>
    <w:rsid w:val="00DD5305"/>
    <w:pPr>
      <w:widowControl/>
      <w:spacing w:after="120" w:line="480" w:lineRule="auto"/>
    </w:pPr>
  </w:style>
  <w:style w:type="character" w:customStyle="1" w:styleId="BodyText2Char">
    <w:name w:val="Body Text 2 Char"/>
    <w:basedOn w:val="DefaultParagraphFont"/>
    <w:link w:val="BodyText2"/>
    <w:uiPriority w:val="99"/>
    <w:rsid w:val="00DD53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pcdocs/1648126.docx" TargetMode="External"/><Relationship Id="rId1" Type="http://schemas.openxmlformats.org/officeDocument/2006/relationships/hyperlink" Target="http://www.puc.pa.gov/pcdocs/16310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A425-4213-4992-A9E7-24751DEF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12574</Words>
  <Characters>71675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Sheffer, Ryan</cp:lastModifiedBy>
  <cp:revision>3</cp:revision>
  <cp:lastPrinted>2016-02-25T15:10:00Z</cp:lastPrinted>
  <dcterms:created xsi:type="dcterms:W3CDTF">2021-03-18T17:32:00Z</dcterms:created>
  <dcterms:modified xsi:type="dcterms:W3CDTF">2021-03-25T14:59:00Z</dcterms:modified>
</cp:coreProperties>
</file>