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7B051" w14:textId="77777777" w:rsidR="0038698E" w:rsidRPr="00217AC0" w:rsidRDefault="0038698E" w:rsidP="00217AC0">
      <w:pPr>
        <w:widowControl/>
        <w:suppressAutoHyphens/>
        <w:jc w:val="center"/>
        <w:rPr>
          <w:b/>
          <w:sz w:val="26"/>
          <w:szCs w:val="26"/>
        </w:rPr>
      </w:pPr>
      <w:r w:rsidRPr="00217AC0">
        <w:rPr>
          <w:b/>
          <w:sz w:val="26"/>
          <w:szCs w:val="26"/>
        </w:rPr>
        <w:t>PENNSYLVANIA</w:t>
      </w:r>
    </w:p>
    <w:p w14:paraId="1223F68F" w14:textId="77777777" w:rsidR="0038698E" w:rsidRPr="00217AC0" w:rsidRDefault="0038698E" w:rsidP="00217AC0">
      <w:pPr>
        <w:widowControl/>
        <w:suppressAutoHyphens/>
        <w:jc w:val="center"/>
        <w:rPr>
          <w:sz w:val="26"/>
          <w:szCs w:val="26"/>
        </w:rPr>
      </w:pPr>
      <w:r w:rsidRPr="00217AC0">
        <w:rPr>
          <w:b/>
          <w:sz w:val="26"/>
          <w:szCs w:val="26"/>
        </w:rPr>
        <w:t>PUBLIC UTILITY COMMISSION</w:t>
      </w:r>
    </w:p>
    <w:p w14:paraId="08B68B58" w14:textId="0A7FB5CC" w:rsidR="0038698E" w:rsidRPr="00217AC0" w:rsidRDefault="0038698E" w:rsidP="00217AC0">
      <w:pPr>
        <w:widowControl/>
        <w:suppressAutoHyphens/>
        <w:jc w:val="center"/>
        <w:rPr>
          <w:b/>
          <w:sz w:val="26"/>
          <w:szCs w:val="26"/>
        </w:rPr>
      </w:pPr>
      <w:r w:rsidRPr="00217AC0">
        <w:rPr>
          <w:b/>
          <w:sz w:val="26"/>
          <w:szCs w:val="26"/>
        </w:rPr>
        <w:t xml:space="preserve">Harrisburg, PA </w:t>
      </w:r>
      <w:r w:rsidR="00FE2A75" w:rsidRPr="00217AC0">
        <w:rPr>
          <w:b/>
          <w:sz w:val="26"/>
          <w:szCs w:val="26"/>
        </w:rPr>
        <w:t xml:space="preserve"> </w:t>
      </w:r>
      <w:r w:rsidRPr="00217AC0">
        <w:rPr>
          <w:b/>
          <w:sz w:val="26"/>
          <w:szCs w:val="26"/>
        </w:rPr>
        <w:t>171</w:t>
      </w:r>
      <w:r w:rsidR="00F148E4" w:rsidRPr="00217AC0">
        <w:rPr>
          <w:b/>
          <w:sz w:val="26"/>
          <w:szCs w:val="26"/>
        </w:rPr>
        <w:t>20</w:t>
      </w:r>
    </w:p>
    <w:p w14:paraId="1A40D713" w14:textId="22D40D63" w:rsidR="0038698E" w:rsidRPr="00217AC0" w:rsidRDefault="0038698E" w:rsidP="00217AC0">
      <w:pPr>
        <w:widowControl/>
        <w:suppressAutoHyphens/>
        <w:rPr>
          <w:sz w:val="26"/>
          <w:szCs w:val="26"/>
        </w:rPr>
      </w:pPr>
    </w:p>
    <w:p w14:paraId="3C124AFC" w14:textId="77777777" w:rsidR="00CC5420" w:rsidRPr="00217AC0" w:rsidRDefault="00CC5420" w:rsidP="00217AC0">
      <w:pPr>
        <w:widowControl/>
        <w:suppressAutoHyphens/>
        <w:rPr>
          <w:sz w:val="26"/>
          <w:szCs w:val="26"/>
        </w:rPr>
      </w:pPr>
    </w:p>
    <w:p w14:paraId="4487B0F8" w14:textId="68D73333" w:rsidR="0038698E" w:rsidRPr="00217AC0" w:rsidRDefault="0038698E" w:rsidP="00217AC0">
      <w:pPr>
        <w:widowControl/>
        <w:suppressAutoHyphens/>
        <w:jc w:val="right"/>
        <w:rPr>
          <w:sz w:val="26"/>
          <w:szCs w:val="26"/>
        </w:rPr>
      </w:pPr>
      <w:r w:rsidRPr="00217AC0">
        <w:rPr>
          <w:sz w:val="26"/>
          <w:szCs w:val="26"/>
        </w:rPr>
        <w:t xml:space="preserve">Public Meeting held </w:t>
      </w:r>
      <w:r w:rsidR="00CC5420" w:rsidRPr="00217AC0">
        <w:rPr>
          <w:sz w:val="26"/>
          <w:szCs w:val="26"/>
        </w:rPr>
        <w:t>April 15</w:t>
      </w:r>
      <w:r w:rsidRPr="00217AC0">
        <w:rPr>
          <w:sz w:val="26"/>
          <w:szCs w:val="26"/>
        </w:rPr>
        <w:t>, 20</w:t>
      </w:r>
      <w:r w:rsidR="00B104A2" w:rsidRPr="00217AC0">
        <w:rPr>
          <w:sz w:val="26"/>
          <w:szCs w:val="26"/>
        </w:rPr>
        <w:t>2</w:t>
      </w:r>
      <w:r w:rsidR="00E46FB4" w:rsidRPr="00217AC0">
        <w:rPr>
          <w:sz w:val="26"/>
          <w:szCs w:val="26"/>
        </w:rPr>
        <w:t>1</w:t>
      </w:r>
    </w:p>
    <w:p w14:paraId="4EB26273" w14:textId="596E1B0C" w:rsidR="0038698E" w:rsidRPr="00217AC0" w:rsidRDefault="0038698E" w:rsidP="00217AC0">
      <w:pPr>
        <w:widowControl/>
        <w:suppressAutoHyphens/>
        <w:rPr>
          <w:sz w:val="26"/>
          <w:szCs w:val="26"/>
        </w:rPr>
      </w:pPr>
    </w:p>
    <w:p w14:paraId="7010854E" w14:textId="77777777" w:rsidR="00FE2807" w:rsidRPr="00217AC0" w:rsidRDefault="00FE2807" w:rsidP="00217AC0">
      <w:pPr>
        <w:widowControl/>
        <w:suppressAutoHyphens/>
        <w:rPr>
          <w:sz w:val="26"/>
          <w:szCs w:val="26"/>
        </w:rPr>
      </w:pPr>
    </w:p>
    <w:p w14:paraId="2C77AB1F" w14:textId="77777777" w:rsidR="0038698E" w:rsidRPr="00217AC0" w:rsidRDefault="0038698E" w:rsidP="00217AC0">
      <w:pPr>
        <w:widowControl/>
        <w:suppressAutoHyphens/>
        <w:rPr>
          <w:sz w:val="26"/>
          <w:szCs w:val="26"/>
        </w:rPr>
      </w:pPr>
      <w:r w:rsidRPr="00217AC0">
        <w:rPr>
          <w:sz w:val="26"/>
          <w:szCs w:val="26"/>
        </w:rPr>
        <w:t>Commissioners Present:</w:t>
      </w:r>
    </w:p>
    <w:p w14:paraId="05EC99D5" w14:textId="77777777" w:rsidR="0038698E" w:rsidRPr="00217AC0" w:rsidRDefault="0038698E" w:rsidP="00217AC0">
      <w:pPr>
        <w:widowControl/>
        <w:suppressAutoHyphens/>
        <w:rPr>
          <w:sz w:val="26"/>
          <w:szCs w:val="26"/>
        </w:rPr>
      </w:pPr>
    </w:p>
    <w:p w14:paraId="60D6447D" w14:textId="08750E88" w:rsidR="0038698E" w:rsidRPr="00217AC0" w:rsidRDefault="000D7B91" w:rsidP="00217AC0">
      <w:pPr>
        <w:widowControl/>
        <w:ind w:firstLine="720"/>
        <w:rPr>
          <w:sz w:val="26"/>
          <w:szCs w:val="26"/>
        </w:rPr>
      </w:pPr>
      <w:r w:rsidRPr="00217AC0">
        <w:rPr>
          <w:sz w:val="26"/>
          <w:szCs w:val="26"/>
        </w:rPr>
        <w:t xml:space="preserve">Gladys Brown Dutrieuille, Chairman </w:t>
      </w:r>
    </w:p>
    <w:p w14:paraId="708DE3E4" w14:textId="5B04D773" w:rsidR="0038698E" w:rsidRPr="00217AC0" w:rsidRDefault="0038698E" w:rsidP="00217AC0">
      <w:pPr>
        <w:widowControl/>
        <w:ind w:firstLine="720"/>
        <w:rPr>
          <w:sz w:val="26"/>
          <w:szCs w:val="26"/>
        </w:rPr>
      </w:pPr>
      <w:r w:rsidRPr="00217AC0">
        <w:rPr>
          <w:sz w:val="26"/>
          <w:szCs w:val="26"/>
        </w:rPr>
        <w:t>David W. Sweet, Vice Chairman</w:t>
      </w:r>
    </w:p>
    <w:p w14:paraId="0E6C8569" w14:textId="42238E2E" w:rsidR="0038698E" w:rsidRPr="00217AC0" w:rsidRDefault="0038698E" w:rsidP="00217AC0">
      <w:pPr>
        <w:widowControl/>
        <w:ind w:firstLine="720"/>
        <w:rPr>
          <w:sz w:val="26"/>
          <w:szCs w:val="26"/>
        </w:rPr>
      </w:pPr>
      <w:r w:rsidRPr="00217AC0">
        <w:rPr>
          <w:sz w:val="26"/>
          <w:szCs w:val="26"/>
        </w:rPr>
        <w:t>John F. Coleman, Jr.</w:t>
      </w:r>
    </w:p>
    <w:p w14:paraId="7446D00D" w14:textId="171ABEBA" w:rsidR="0038698E" w:rsidRPr="00217AC0" w:rsidRDefault="00B01567" w:rsidP="00217AC0">
      <w:pPr>
        <w:widowControl/>
        <w:ind w:firstLine="720"/>
        <w:rPr>
          <w:sz w:val="26"/>
          <w:szCs w:val="26"/>
        </w:rPr>
      </w:pPr>
      <w:r w:rsidRPr="00217AC0">
        <w:rPr>
          <w:sz w:val="26"/>
          <w:szCs w:val="26"/>
        </w:rPr>
        <w:t>Ralph V. Yanora</w:t>
      </w:r>
      <w:r w:rsidR="00CA585A">
        <w:rPr>
          <w:sz w:val="26"/>
          <w:szCs w:val="26"/>
        </w:rPr>
        <w:t>, Statement</w:t>
      </w:r>
    </w:p>
    <w:p w14:paraId="6BE16230" w14:textId="44D6FB65" w:rsidR="0038698E" w:rsidRPr="00217AC0" w:rsidRDefault="0038698E" w:rsidP="00217AC0">
      <w:pPr>
        <w:widowControl/>
        <w:suppressAutoHyphens/>
        <w:rPr>
          <w:sz w:val="26"/>
          <w:szCs w:val="26"/>
        </w:rPr>
      </w:pPr>
    </w:p>
    <w:p w14:paraId="0677277D" w14:textId="77777777" w:rsidR="00FE2807" w:rsidRPr="00217AC0" w:rsidRDefault="00FE2807" w:rsidP="00217AC0">
      <w:pPr>
        <w:widowControl/>
        <w:suppressAutoHyphens/>
        <w:rPr>
          <w:sz w:val="26"/>
          <w:szCs w:val="26"/>
        </w:rPr>
      </w:pPr>
    </w:p>
    <w:p w14:paraId="437C6CBE" w14:textId="57F10980" w:rsidR="00401247" w:rsidRPr="00217AC0" w:rsidRDefault="00401247" w:rsidP="00217AC0">
      <w:pPr>
        <w:widowControl/>
        <w:tabs>
          <w:tab w:val="left" w:pos="-720"/>
        </w:tabs>
        <w:suppressAutoHyphens/>
        <w:jc w:val="both"/>
        <w:rPr>
          <w:sz w:val="26"/>
          <w:szCs w:val="26"/>
        </w:rPr>
      </w:pPr>
      <w:r w:rsidRPr="00217AC0">
        <w:rPr>
          <w:sz w:val="26"/>
          <w:szCs w:val="26"/>
        </w:rPr>
        <w:t>Pennsylvania Public Utility Commission</w:t>
      </w:r>
      <w:r w:rsidR="00CC5420" w:rsidRPr="00217AC0">
        <w:rPr>
          <w:sz w:val="26"/>
          <w:szCs w:val="26"/>
        </w:rPr>
        <w:tab/>
      </w:r>
      <w:r w:rsidR="00CC5420" w:rsidRPr="00217AC0">
        <w:rPr>
          <w:sz w:val="26"/>
          <w:szCs w:val="26"/>
        </w:rPr>
        <w:tab/>
      </w:r>
      <w:r w:rsidR="00CC5420" w:rsidRPr="00217AC0">
        <w:rPr>
          <w:sz w:val="26"/>
          <w:szCs w:val="26"/>
        </w:rPr>
        <w:tab/>
      </w:r>
      <w:r w:rsidR="00CC5420" w:rsidRPr="00217AC0">
        <w:rPr>
          <w:sz w:val="26"/>
          <w:szCs w:val="26"/>
        </w:rPr>
        <w:tab/>
      </w:r>
      <w:r w:rsidR="00CC5420" w:rsidRPr="00217AC0">
        <w:rPr>
          <w:sz w:val="26"/>
          <w:szCs w:val="26"/>
        </w:rPr>
        <w:tab/>
      </w:r>
      <w:r w:rsidRPr="00217AC0">
        <w:rPr>
          <w:sz w:val="26"/>
          <w:szCs w:val="26"/>
        </w:rPr>
        <w:t>R-20</w:t>
      </w:r>
      <w:r w:rsidR="00E46FB4" w:rsidRPr="00217AC0">
        <w:rPr>
          <w:sz w:val="26"/>
          <w:szCs w:val="26"/>
        </w:rPr>
        <w:t>20</w:t>
      </w:r>
      <w:r w:rsidRPr="00217AC0">
        <w:rPr>
          <w:sz w:val="26"/>
          <w:szCs w:val="26"/>
        </w:rPr>
        <w:t>-</w:t>
      </w:r>
      <w:r w:rsidR="00CC5420" w:rsidRPr="00217AC0">
        <w:rPr>
          <w:sz w:val="26"/>
          <w:szCs w:val="26"/>
        </w:rPr>
        <w:t>3020256</w:t>
      </w:r>
    </w:p>
    <w:p w14:paraId="362E299A" w14:textId="396CAFC0" w:rsidR="00401247" w:rsidRPr="00217AC0" w:rsidRDefault="00401247" w:rsidP="00217AC0">
      <w:pPr>
        <w:widowControl/>
        <w:rPr>
          <w:sz w:val="26"/>
          <w:szCs w:val="26"/>
        </w:rPr>
      </w:pPr>
      <w:r w:rsidRPr="00217AC0">
        <w:rPr>
          <w:sz w:val="26"/>
          <w:szCs w:val="26"/>
        </w:rPr>
        <w:t>Office of</w:t>
      </w:r>
      <w:r w:rsidR="00CC5420" w:rsidRPr="00217AC0">
        <w:rPr>
          <w:sz w:val="26"/>
          <w:szCs w:val="26"/>
        </w:rPr>
        <w:t xml:space="preserve"> Consumer Advocate</w:t>
      </w:r>
      <w:r w:rsidR="00CC5420" w:rsidRPr="00217AC0">
        <w:rPr>
          <w:sz w:val="26"/>
          <w:szCs w:val="26"/>
        </w:rPr>
        <w:tab/>
      </w:r>
      <w:r w:rsidR="00CC5420" w:rsidRPr="00217AC0">
        <w:rPr>
          <w:sz w:val="26"/>
          <w:szCs w:val="26"/>
        </w:rPr>
        <w:tab/>
      </w:r>
      <w:r w:rsidR="00CC5420" w:rsidRPr="00217AC0">
        <w:rPr>
          <w:sz w:val="26"/>
          <w:szCs w:val="26"/>
        </w:rPr>
        <w:tab/>
      </w:r>
      <w:r w:rsidR="00CC5420" w:rsidRPr="00217AC0">
        <w:rPr>
          <w:sz w:val="26"/>
          <w:szCs w:val="26"/>
        </w:rPr>
        <w:tab/>
      </w:r>
      <w:r w:rsidR="00CC5420" w:rsidRPr="00217AC0">
        <w:rPr>
          <w:sz w:val="26"/>
          <w:szCs w:val="26"/>
        </w:rPr>
        <w:tab/>
      </w:r>
      <w:r w:rsidR="00CC5420" w:rsidRPr="00217AC0">
        <w:rPr>
          <w:sz w:val="26"/>
          <w:szCs w:val="26"/>
        </w:rPr>
        <w:tab/>
      </w:r>
      <w:r w:rsidRPr="00217AC0">
        <w:rPr>
          <w:sz w:val="26"/>
          <w:szCs w:val="26"/>
        </w:rPr>
        <w:t>C-2</w:t>
      </w:r>
      <w:r w:rsidR="00E46FB4" w:rsidRPr="00217AC0">
        <w:rPr>
          <w:sz w:val="26"/>
          <w:szCs w:val="26"/>
        </w:rPr>
        <w:t>020</w:t>
      </w:r>
      <w:r w:rsidRPr="00217AC0">
        <w:rPr>
          <w:sz w:val="26"/>
          <w:szCs w:val="26"/>
        </w:rPr>
        <w:t>-</w:t>
      </w:r>
      <w:r w:rsidR="00CC5420" w:rsidRPr="00217AC0">
        <w:rPr>
          <w:sz w:val="26"/>
          <w:szCs w:val="26"/>
        </w:rPr>
        <w:t>3021583</w:t>
      </w:r>
    </w:p>
    <w:p w14:paraId="23FED99B" w14:textId="46FFC6C2" w:rsidR="00401247" w:rsidRPr="00217AC0" w:rsidRDefault="00E46FB4" w:rsidP="00217AC0">
      <w:pPr>
        <w:widowControl/>
        <w:tabs>
          <w:tab w:val="left" w:pos="-720"/>
        </w:tabs>
        <w:suppressAutoHyphens/>
        <w:jc w:val="both"/>
        <w:rPr>
          <w:sz w:val="26"/>
          <w:szCs w:val="26"/>
        </w:rPr>
      </w:pPr>
      <w:r w:rsidRPr="00217AC0">
        <w:rPr>
          <w:sz w:val="26"/>
          <w:szCs w:val="26"/>
        </w:rPr>
        <w:t>Office of</w:t>
      </w:r>
      <w:r w:rsidR="00CC5420" w:rsidRPr="00217AC0">
        <w:rPr>
          <w:sz w:val="26"/>
          <w:szCs w:val="26"/>
        </w:rPr>
        <w:t xml:space="preserve"> Small Business Advocate</w:t>
      </w:r>
      <w:r w:rsidR="00CC5420" w:rsidRPr="00217AC0">
        <w:rPr>
          <w:sz w:val="26"/>
          <w:szCs w:val="26"/>
        </w:rPr>
        <w:tab/>
      </w:r>
      <w:r w:rsidR="00CC5420" w:rsidRPr="00217AC0">
        <w:rPr>
          <w:sz w:val="26"/>
          <w:szCs w:val="26"/>
        </w:rPr>
        <w:tab/>
      </w:r>
      <w:r w:rsidR="00CC5420" w:rsidRPr="00217AC0">
        <w:rPr>
          <w:sz w:val="26"/>
          <w:szCs w:val="26"/>
        </w:rPr>
        <w:tab/>
      </w:r>
      <w:r w:rsidR="00CC5420" w:rsidRPr="00217AC0">
        <w:rPr>
          <w:sz w:val="26"/>
          <w:szCs w:val="26"/>
        </w:rPr>
        <w:tab/>
      </w:r>
      <w:r w:rsidR="00CC5420" w:rsidRPr="00217AC0">
        <w:rPr>
          <w:sz w:val="26"/>
          <w:szCs w:val="26"/>
        </w:rPr>
        <w:tab/>
      </w:r>
      <w:r w:rsidRPr="00217AC0">
        <w:rPr>
          <w:sz w:val="26"/>
          <w:szCs w:val="26"/>
        </w:rPr>
        <w:t>C-2020-</w:t>
      </w:r>
      <w:r w:rsidR="00CC5420" w:rsidRPr="00217AC0">
        <w:rPr>
          <w:sz w:val="26"/>
          <w:szCs w:val="26"/>
        </w:rPr>
        <w:t>3021576</w:t>
      </w:r>
    </w:p>
    <w:p w14:paraId="0B84259B" w14:textId="77777777" w:rsidR="00E46FB4" w:rsidRPr="00217AC0" w:rsidRDefault="00E46FB4" w:rsidP="00217AC0">
      <w:pPr>
        <w:widowControl/>
        <w:tabs>
          <w:tab w:val="left" w:pos="-720"/>
        </w:tabs>
        <w:suppressAutoHyphens/>
        <w:jc w:val="both"/>
        <w:rPr>
          <w:sz w:val="26"/>
          <w:szCs w:val="26"/>
        </w:rPr>
      </w:pPr>
    </w:p>
    <w:p w14:paraId="02EECEED" w14:textId="21CB9CFB" w:rsidR="00401247" w:rsidRPr="00217AC0" w:rsidRDefault="00401247" w:rsidP="00217AC0">
      <w:pPr>
        <w:widowControl/>
        <w:tabs>
          <w:tab w:val="left" w:pos="-720"/>
        </w:tabs>
        <w:suppressAutoHyphens/>
        <w:jc w:val="both"/>
        <w:rPr>
          <w:sz w:val="26"/>
          <w:szCs w:val="26"/>
        </w:rPr>
      </w:pPr>
      <w:r w:rsidRPr="00217AC0">
        <w:rPr>
          <w:sz w:val="26"/>
          <w:szCs w:val="26"/>
        </w:rPr>
        <w:tab/>
        <w:t>v.</w:t>
      </w:r>
    </w:p>
    <w:p w14:paraId="1E8515BE" w14:textId="77777777" w:rsidR="00401247" w:rsidRPr="00217AC0" w:rsidRDefault="00401247" w:rsidP="00217AC0">
      <w:pPr>
        <w:widowControl/>
        <w:tabs>
          <w:tab w:val="left" w:pos="-720"/>
        </w:tabs>
        <w:suppressAutoHyphens/>
        <w:jc w:val="both"/>
        <w:rPr>
          <w:sz w:val="26"/>
          <w:szCs w:val="26"/>
        </w:rPr>
      </w:pPr>
    </w:p>
    <w:p w14:paraId="729FE3FA" w14:textId="6650F81F" w:rsidR="00401247" w:rsidRPr="00217AC0" w:rsidRDefault="00401247" w:rsidP="00217AC0">
      <w:pPr>
        <w:widowControl/>
        <w:tabs>
          <w:tab w:val="left" w:pos="-720"/>
        </w:tabs>
        <w:suppressAutoHyphens/>
        <w:jc w:val="both"/>
        <w:rPr>
          <w:sz w:val="26"/>
          <w:szCs w:val="26"/>
        </w:rPr>
      </w:pPr>
      <w:r w:rsidRPr="00217AC0">
        <w:rPr>
          <w:sz w:val="26"/>
          <w:szCs w:val="26"/>
        </w:rPr>
        <w:t>C</w:t>
      </w:r>
      <w:r w:rsidR="00CC5420" w:rsidRPr="00217AC0">
        <w:rPr>
          <w:sz w:val="26"/>
          <w:szCs w:val="26"/>
        </w:rPr>
        <w:t>ity of Bethlehem – Water Department</w:t>
      </w:r>
    </w:p>
    <w:p w14:paraId="33E469C3" w14:textId="49F5355B" w:rsidR="00344C68" w:rsidRPr="00217AC0" w:rsidRDefault="00344C68" w:rsidP="00217AC0">
      <w:pPr>
        <w:widowControl/>
        <w:rPr>
          <w:b/>
          <w:sz w:val="26"/>
          <w:szCs w:val="26"/>
        </w:rPr>
      </w:pPr>
    </w:p>
    <w:p w14:paraId="5F0CBB59" w14:textId="067C36A1" w:rsidR="00865783" w:rsidRPr="00217AC0" w:rsidRDefault="00865783" w:rsidP="00217AC0">
      <w:pPr>
        <w:widowControl/>
        <w:rPr>
          <w:b/>
          <w:sz w:val="26"/>
          <w:szCs w:val="26"/>
        </w:rPr>
      </w:pPr>
    </w:p>
    <w:p w14:paraId="6648642D" w14:textId="0237FA34" w:rsidR="00865783" w:rsidRPr="00217AC0" w:rsidRDefault="00865783" w:rsidP="00217AC0">
      <w:pPr>
        <w:widowControl/>
        <w:rPr>
          <w:b/>
          <w:sz w:val="26"/>
          <w:szCs w:val="26"/>
        </w:rPr>
      </w:pPr>
    </w:p>
    <w:p w14:paraId="388646ED" w14:textId="7F90CB11" w:rsidR="00865783" w:rsidRPr="00217AC0" w:rsidRDefault="00865783" w:rsidP="00217AC0">
      <w:pPr>
        <w:widowControl/>
        <w:jc w:val="center"/>
        <w:rPr>
          <w:b/>
          <w:sz w:val="26"/>
          <w:szCs w:val="26"/>
        </w:rPr>
      </w:pPr>
      <w:r w:rsidRPr="00217AC0">
        <w:rPr>
          <w:b/>
          <w:sz w:val="26"/>
          <w:szCs w:val="26"/>
        </w:rPr>
        <w:t>OPINION AND ORDER</w:t>
      </w:r>
    </w:p>
    <w:p w14:paraId="0DACE716" w14:textId="5FF5408D" w:rsidR="00865783" w:rsidRPr="00217AC0" w:rsidRDefault="00865783" w:rsidP="00217AC0">
      <w:pPr>
        <w:widowControl/>
        <w:rPr>
          <w:b/>
          <w:sz w:val="26"/>
          <w:szCs w:val="26"/>
        </w:rPr>
      </w:pPr>
    </w:p>
    <w:p w14:paraId="73D1DD0B" w14:textId="5519DD5D" w:rsidR="00865783" w:rsidRPr="00217AC0" w:rsidRDefault="00865783" w:rsidP="00217AC0">
      <w:pPr>
        <w:widowControl/>
        <w:rPr>
          <w:b/>
          <w:sz w:val="26"/>
          <w:szCs w:val="26"/>
        </w:rPr>
      </w:pPr>
    </w:p>
    <w:p w14:paraId="5C4E280D" w14:textId="77777777" w:rsidR="00865783" w:rsidRPr="00217AC0" w:rsidRDefault="00865783" w:rsidP="00217AC0">
      <w:pPr>
        <w:widowControl/>
        <w:rPr>
          <w:b/>
          <w:sz w:val="26"/>
          <w:szCs w:val="26"/>
        </w:rPr>
      </w:pPr>
    </w:p>
    <w:p w14:paraId="66190575" w14:textId="4BA4339F" w:rsidR="00865783" w:rsidRPr="00217AC0" w:rsidRDefault="00865783" w:rsidP="00217AC0">
      <w:pPr>
        <w:widowControl/>
        <w:rPr>
          <w:b/>
          <w:sz w:val="26"/>
          <w:szCs w:val="26"/>
        </w:rPr>
      </w:pPr>
    </w:p>
    <w:p w14:paraId="5658B961" w14:textId="77777777" w:rsidR="00865783" w:rsidRPr="00217AC0" w:rsidRDefault="00865783" w:rsidP="00217AC0">
      <w:pPr>
        <w:widowControl/>
        <w:rPr>
          <w:b/>
          <w:sz w:val="26"/>
          <w:szCs w:val="26"/>
        </w:rPr>
      </w:pPr>
    </w:p>
    <w:p w14:paraId="5F8C4DF9" w14:textId="249841CB" w:rsidR="00540231" w:rsidRPr="00217AC0" w:rsidRDefault="00540231" w:rsidP="00217AC0">
      <w:pPr>
        <w:widowControl/>
        <w:rPr>
          <w:b/>
          <w:sz w:val="26"/>
          <w:szCs w:val="26"/>
        </w:rPr>
      </w:pPr>
    </w:p>
    <w:bookmarkStart w:id="0" w:name="_Hlk523834991" w:displacedByCustomXml="next"/>
    <w:sdt>
      <w:sdtPr>
        <w:rPr>
          <w:sz w:val="26"/>
          <w:szCs w:val="26"/>
        </w:rPr>
        <w:id w:val="934635144"/>
        <w:docPartObj>
          <w:docPartGallery w:val="Table of Contents"/>
          <w:docPartUnique/>
        </w:docPartObj>
      </w:sdtPr>
      <w:sdtEndPr>
        <w:rPr>
          <w:noProof/>
        </w:rPr>
      </w:sdtEndPr>
      <w:sdtContent>
        <w:p w14:paraId="24056A15" w14:textId="77777777" w:rsidR="00A32A88" w:rsidRPr="00217AC0" w:rsidRDefault="00A32A88" w:rsidP="00217AC0">
          <w:pPr>
            <w:widowControl/>
            <w:spacing w:before="480" w:line="360" w:lineRule="auto"/>
            <w:jc w:val="center"/>
            <w:rPr>
              <w:sz w:val="26"/>
              <w:szCs w:val="26"/>
            </w:rPr>
            <w:sectPr w:rsidR="00A32A88" w:rsidRPr="00217AC0" w:rsidSect="003742CF">
              <w:footerReference w:type="even" r:id="rId8"/>
              <w:footerReference w:type="default" r:id="rId9"/>
              <w:footerReference w:type="first" r:id="rId10"/>
              <w:pgSz w:w="12240" w:h="15840"/>
              <w:pgMar w:top="1440" w:right="1440" w:bottom="1440" w:left="1440" w:header="720" w:footer="720" w:gutter="0"/>
              <w:cols w:space="720"/>
              <w:titlePg/>
              <w:docGrid w:linePitch="360"/>
            </w:sectPr>
          </w:pPr>
        </w:p>
        <w:p w14:paraId="6D81C4A3" w14:textId="082F921F" w:rsidR="005A74D5" w:rsidRPr="00217AC0" w:rsidRDefault="005A74D5" w:rsidP="00217AC0">
          <w:pPr>
            <w:widowControl/>
            <w:spacing w:line="360" w:lineRule="auto"/>
            <w:jc w:val="center"/>
            <w:rPr>
              <w:b/>
              <w:bCs/>
              <w:sz w:val="26"/>
              <w:szCs w:val="26"/>
              <w:lang w:eastAsia="ja-JP"/>
            </w:rPr>
          </w:pPr>
          <w:r w:rsidRPr="00217AC0">
            <w:rPr>
              <w:b/>
              <w:sz w:val="26"/>
              <w:szCs w:val="26"/>
            </w:rPr>
            <w:lastRenderedPageBreak/>
            <w:t>Table of</w:t>
          </w:r>
          <w:r w:rsidRPr="00217AC0">
            <w:rPr>
              <w:sz w:val="26"/>
              <w:szCs w:val="26"/>
            </w:rPr>
            <w:t xml:space="preserve"> </w:t>
          </w:r>
          <w:r w:rsidRPr="00217AC0">
            <w:rPr>
              <w:b/>
              <w:bCs/>
              <w:sz w:val="26"/>
              <w:szCs w:val="26"/>
              <w:lang w:eastAsia="ja-JP"/>
            </w:rPr>
            <w:t>Contents</w:t>
          </w:r>
        </w:p>
        <w:p w14:paraId="26618FF6" w14:textId="77777777" w:rsidR="005A74D5" w:rsidRPr="00217AC0" w:rsidRDefault="005A74D5" w:rsidP="00217AC0">
          <w:pPr>
            <w:widowControl/>
            <w:ind w:firstLine="1440"/>
            <w:rPr>
              <w:sz w:val="26"/>
              <w:szCs w:val="26"/>
              <w:lang w:eastAsia="ja-JP"/>
            </w:rPr>
          </w:pPr>
        </w:p>
        <w:p w14:paraId="48692F36" w14:textId="1A7AA164" w:rsidR="00327059" w:rsidRDefault="005A74D5">
          <w:pPr>
            <w:pStyle w:val="TOC1"/>
            <w:tabs>
              <w:tab w:val="left" w:pos="720"/>
              <w:tab w:val="right" w:leader="dot" w:pos="9350"/>
            </w:tabs>
            <w:rPr>
              <w:rFonts w:asciiTheme="minorHAnsi" w:eastAsiaTheme="minorEastAsia" w:hAnsiTheme="minorHAnsi" w:cstheme="minorBidi"/>
              <w:noProof/>
              <w:sz w:val="22"/>
              <w:szCs w:val="22"/>
            </w:rPr>
          </w:pPr>
          <w:r w:rsidRPr="00217AC0">
            <w:rPr>
              <w:szCs w:val="26"/>
            </w:rPr>
            <w:fldChar w:fldCharType="begin"/>
          </w:r>
          <w:r w:rsidRPr="00217AC0">
            <w:rPr>
              <w:szCs w:val="26"/>
            </w:rPr>
            <w:instrText xml:space="preserve"> TOC \o "1-4" \h \z \u </w:instrText>
          </w:r>
          <w:r w:rsidRPr="00217AC0">
            <w:rPr>
              <w:szCs w:val="26"/>
            </w:rPr>
            <w:fldChar w:fldCharType="separate"/>
          </w:r>
          <w:hyperlink w:anchor="_Toc69230501" w:history="1">
            <w:r w:rsidR="00327059" w:rsidRPr="001D168F">
              <w:rPr>
                <w:rStyle w:val="Hyperlink"/>
                <w:noProof/>
              </w:rPr>
              <w:t>I.</w:t>
            </w:r>
            <w:r w:rsidR="00327059">
              <w:rPr>
                <w:rFonts w:asciiTheme="minorHAnsi" w:eastAsiaTheme="minorEastAsia" w:hAnsiTheme="minorHAnsi" w:cstheme="minorBidi"/>
                <w:noProof/>
                <w:sz w:val="22"/>
                <w:szCs w:val="22"/>
              </w:rPr>
              <w:tab/>
            </w:r>
            <w:r w:rsidR="00327059" w:rsidRPr="001D168F">
              <w:rPr>
                <w:rStyle w:val="Hyperlink"/>
                <w:noProof/>
              </w:rPr>
              <w:t>Background</w:t>
            </w:r>
            <w:r w:rsidR="00327059">
              <w:rPr>
                <w:noProof/>
                <w:webHidden/>
              </w:rPr>
              <w:tab/>
            </w:r>
            <w:r w:rsidR="00327059">
              <w:rPr>
                <w:noProof/>
                <w:webHidden/>
              </w:rPr>
              <w:fldChar w:fldCharType="begin"/>
            </w:r>
            <w:r w:rsidR="00327059">
              <w:rPr>
                <w:noProof/>
                <w:webHidden/>
              </w:rPr>
              <w:instrText xml:space="preserve"> PAGEREF _Toc69230501 \h </w:instrText>
            </w:r>
            <w:r w:rsidR="00327059">
              <w:rPr>
                <w:noProof/>
                <w:webHidden/>
              </w:rPr>
            </w:r>
            <w:r w:rsidR="00327059">
              <w:rPr>
                <w:noProof/>
                <w:webHidden/>
              </w:rPr>
              <w:fldChar w:fldCharType="separate"/>
            </w:r>
            <w:r w:rsidR="00327059">
              <w:rPr>
                <w:noProof/>
                <w:webHidden/>
              </w:rPr>
              <w:t>3</w:t>
            </w:r>
            <w:r w:rsidR="00327059">
              <w:rPr>
                <w:noProof/>
                <w:webHidden/>
              </w:rPr>
              <w:fldChar w:fldCharType="end"/>
            </w:r>
          </w:hyperlink>
        </w:p>
        <w:p w14:paraId="0644F3E7" w14:textId="79B3666C" w:rsidR="00327059" w:rsidRDefault="00CA585A">
          <w:pPr>
            <w:pStyle w:val="TOC1"/>
            <w:tabs>
              <w:tab w:val="left" w:pos="720"/>
              <w:tab w:val="right" w:leader="dot" w:pos="9350"/>
            </w:tabs>
            <w:rPr>
              <w:rFonts w:asciiTheme="minorHAnsi" w:eastAsiaTheme="minorEastAsia" w:hAnsiTheme="minorHAnsi" w:cstheme="minorBidi"/>
              <w:noProof/>
              <w:sz w:val="22"/>
              <w:szCs w:val="22"/>
            </w:rPr>
          </w:pPr>
          <w:hyperlink w:anchor="_Toc69230502" w:history="1">
            <w:r w:rsidR="00327059" w:rsidRPr="001D168F">
              <w:rPr>
                <w:rStyle w:val="Hyperlink"/>
                <w:noProof/>
              </w:rPr>
              <w:t>II.</w:t>
            </w:r>
            <w:r w:rsidR="00327059">
              <w:rPr>
                <w:rFonts w:asciiTheme="minorHAnsi" w:eastAsiaTheme="minorEastAsia" w:hAnsiTheme="minorHAnsi" w:cstheme="minorBidi"/>
                <w:noProof/>
                <w:sz w:val="22"/>
                <w:szCs w:val="22"/>
              </w:rPr>
              <w:tab/>
            </w:r>
            <w:r w:rsidR="00327059" w:rsidRPr="001D168F">
              <w:rPr>
                <w:rStyle w:val="Hyperlink"/>
                <w:noProof/>
              </w:rPr>
              <w:t>History of Proceeding</w:t>
            </w:r>
            <w:r w:rsidR="00327059">
              <w:rPr>
                <w:noProof/>
                <w:webHidden/>
              </w:rPr>
              <w:tab/>
            </w:r>
            <w:r w:rsidR="00327059">
              <w:rPr>
                <w:noProof/>
                <w:webHidden/>
              </w:rPr>
              <w:fldChar w:fldCharType="begin"/>
            </w:r>
            <w:r w:rsidR="00327059">
              <w:rPr>
                <w:noProof/>
                <w:webHidden/>
              </w:rPr>
              <w:instrText xml:space="preserve"> PAGEREF _Toc69230502 \h </w:instrText>
            </w:r>
            <w:r w:rsidR="00327059">
              <w:rPr>
                <w:noProof/>
                <w:webHidden/>
              </w:rPr>
            </w:r>
            <w:r w:rsidR="00327059">
              <w:rPr>
                <w:noProof/>
                <w:webHidden/>
              </w:rPr>
              <w:fldChar w:fldCharType="separate"/>
            </w:r>
            <w:r w:rsidR="00327059">
              <w:rPr>
                <w:noProof/>
                <w:webHidden/>
              </w:rPr>
              <w:t>5</w:t>
            </w:r>
            <w:r w:rsidR="00327059">
              <w:rPr>
                <w:noProof/>
                <w:webHidden/>
              </w:rPr>
              <w:fldChar w:fldCharType="end"/>
            </w:r>
          </w:hyperlink>
        </w:p>
        <w:p w14:paraId="1E4D8AC2" w14:textId="3A87B625" w:rsidR="00327059" w:rsidRDefault="00CA585A">
          <w:pPr>
            <w:pStyle w:val="TOC1"/>
            <w:tabs>
              <w:tab w:val="left" w:pos="720"/>
              <w:tab w:val="right" w:leader="dot" w:pos="9350"/>
            </w:tabs>
            <w:rPr>
              <w:rFonts w:asciiTheme="minorHAnsi" w:eastAsiaTheme="minorEastAsia" w:hAnsiTheme="minorHAnsi" w:cstheme="minorBidi"/>
              <w:noProof/>
              <w:sz w:val="22"/>
              <w:szCs w:val="22"/>
            </w:rPr>
          </w:pPr>
          <w:hyperlink w:anchor="_Toc69230503" w:history="1">
            <w:r w:rsidR="00327059" w:rsidRPr="001D168F">
              <w:rPr>
                <w:rStyle w:val="Hyperlink"/>
                <w:noProof/>
              </w:rPr>
              <w:t>III.</w:t>
            </w:r>
            <w:r w:rsidR="00327059">
              <w:rPr>
                <w:rFonts w:asciiTheme="minorHAnsi" w:eastAsiaTheme="minorEastAsia" w:hAnsiTheme="minorHAnsi" w:cstheme="minorBidi"/>
                <w:noProof/>
                <w:sz w:val="22"/>
                <w:szCs w:val="22"/>
              </w:rPr>
              <w:tab/>
            </w:r>
            <w:r w:rsidR="00327059" w:rsidRPr="001D168F">
              <w:rPr>
                <w:rStyle w:val="Hyperlink"/>
                <w:noProof/>
              </w:rPr>
              <w:t>Legal Standards</w:t>
            </w:r>
            <w:r w:rsidR="00327059">
              <w:rPr>
                <w:noProof/>
                <w:webHidden/>
              </w:rPr>
              <w:tab/>
            </w:r>
            <w:r w:rsidR="00327059">
              <w:rPr>
                <w:noProof/>
                <w:webHidden/>
              </w:rPr>
              <w:fldChar w:fldCharType="begin"/>
            </w:r>
            <w:r w:rsidR="00327059">
              <w:rPr>
                <w:noProof/>
                <w:webHidden/>
              </w:rPr>
              <w:instrText xml:space="preserve"> PAGEREF _Toc69230503 \h </w:instrText>
            </w:r>
            <w:r w:rsidR="00327059">
              <w:rPr>
                <w:noProof/>
                <w:webHidden/>
              </w:rPr>
            </w:r>
            <w:r w:rsidR="00327059">
              <w:rPr>
                <w:noProof/>
                <w:webHidden/>
              </w:rPr>
              <w:fldChar w:fldCharType="separate"/>
            </w:r>
            <w:r w:rsidR="00327059">
              <w:rPr>
                <w:noProof/>
                <w:webHidden/>
              </w:rPr>
              <w:t>8</w:t>
            </w:r>
            <w:r w:rsidR="00327059">
              <w:rPr>
                <w:noProof/>
                <w:webHidden/>
              </w:rPr>
              <w:fldChar w:fldCharType="end"/>
            </w:r>
          </w:hyperlink>
        </w:p>
        <w:p w14:paraId="1FD103E7" w14:textId="668BE6E3" w:rsidR="00327059" w:rsidRDefault="00CA585A">
          <w:pPr>
            <w:pStyle w:val="TOC2"/>
            <w:rPr>
              <w:rFonts w:asciiTheme="minorHAnsi" w:eastAsiaTheme="minorEastAsia" w:hAnsiTheme="minorHAnsi" w:cstheme="minorBidi"/>
              <w:noProof/>
              <w:sz w:val="22"/>
              <w:szCs w:val="22"/>
            </w:rPr>
          </w:pPr>
          <w:hyperlink w:anchor="_Toc69230504" w:history="1">
            <w:r w:rsidR="00327059" w:rsidRPr="001D168F">
              <w:rPr>
                <w:rStyle w:val="Hyperlink"/>
                <w:noProof/>
              </w:rPr>
              <w:t>A.</w:t>
            </w:r>
            <w:r w:rsidR="00327059">
              <w:rPr>
                <w:rFonts w:asciiTheme="minorHAnsi" w:eastAsiaTheme="minorEastAsia" w:hAnsiTheme="minorHAnsi" w:cstheme="minorBidi"/>
                <w:noProof/>
                <w:sz w:val="22"/>
                <w:szCs w:val="22"/>
              </w:rPr>
              <w:tab/>
            </w:r>
            <w:r w:rsidR="00327059" w:rsidRPr="001D168F">
              <w:rPr>
                <w:rStyle w:val="Hyperlink"/>
                <w:noProof/>
              </w:rPr>
              <w:t>Justness and Reasonableness of Rates</w:t>
            </w:r>
            <w:r w:rsidR="00327059">
              <w:rPr>
                <w:noProof/>
                <w:webHidden/>
              </w:rPr>
              <w:tab/>
            </w:r>
            <w:r w:rsidR="00327059">
              <w:rPr>
                <w:noProof/>
                <w:webHidden/>
              </w:rPr>
              <w:fldChar w:fldCharType="begin"/>
            </w:r>
            <w:r w:rsidR="00327059">
              <w:rPr>
                <w:noProof/>
                <w:webHidden/>
              </w:rPr>
              <w:instrText xml:space="preserve"> PAGEREF _Toc69230504 \h </w:instrText>
            </w:r>
            <w:r w:rsidR="00327059">
              <w:rPr>
                <w:noProof/>
                <w:webHidden/>
              </w:rPr>
            </w:r>
            <w:r w:rsidR="00327059">
              <w:rPr>
                <w:noProof/>
                <w:webHidden/>
              </w:rPr>
              <w:fldChar w:fldCharType="separate"/>
            </w:r>
            <w:r w:rsidR="00327059">
              <w:rPr>
                <w:noProof/>
                <w:webHidden/>
              </w:rPr>
              <w:t>8</w:t>
            </w:r>
            <w:r w:rsidR="00327059">
              <w:rPr>
                <w:noProof/>
                <w:webHidden/>
              </w:rPr>
              <w:fldChar w:fldCharType="end"/>
            </w:r>
          </w:hyperlink>
        </w:p>
        <w:p w14:paraId="308F7D13" w14:textId="1AFBC760" w:rsidR="00327059" w:rsidRDefault="00CA585A">
          <w:pPr>
            <w:pStyle w:val="TOC2"/>
            <w:rPr>
              <w:rFonts w:asciiTheme="minorHAnsi" w:eastAsiaTheme="minorEastAsia" w:hAnsiTheme="minorHAnsi" w:cstheme="minorBidi"/>
              <w:noProof/>
              <w:sz w:val="22"/>
              <w:szCs w:val="22"/>
            </w:rPr>
          </w:pPr>
          <w:hyperlink w:anchor="_Toc69230505" w:history="1">
            <w:r w:rsidR="00327059" w:rsidRPr="001D168F">
              <w:rPr>
                <w:rStyle w:val="Hyperlink"/>
                <w:noProof/>
              </w:rPr>
              <w:t>B.</w:t>
            </w:r>
            <w:r w:rsidR="00327059">
              <w:rPr>
                <w:rFonts w:asciiTheme="minorHAnsi" w:eastAsiaTheme="minorEastAsia" w:hAnsiTheme="minorHAnsi" w:cstheme="minorBidi"/>
                <w:noProof/>
                <w:sz w:val="22"/>
                <w:szCs w:val="22"/>
              </w:rPr>
              <w:tab/>
            </w:r>
            <w:r w:rsidR="00327059" w:rsidRPr="001D168F">
              <w:rPr>
                <w:rStyle w:val="Hyperlink"/>
                <w:noProof/>
              </w:rPr>
              <w:t>Settlements Must Serve the Public Interest</w:t>
            </w:r>
            <w:r w:rsidR="00327059">
              <w:rPr>
                <w:noProof/>
                <w:webHidden/>
              </w:rPr>
              <w:tab/>
            </w:r>
            <w:r w:rsidR="00327059">
              <w:rPr>
                <w:noProof/>
                <w:webHidden/>
              </w:rPr>
              <w:fldChar w:fldCharType="begin"/>
            </w:r>
            <w:r w:rsidR="00327059">
              <w:rPr>
                <w:noProof/>
                <w:webHidden/>
              </w:rPr>
              <w:instrText xml:space="preserve"> PAGEREF _Toc69230505 \h </w:instrText>
            </w:r>
            <w:r w:rsidR="00327059">
              <w:rPr>
                <w:noProof/>
                <w:webHidden/>
              </w:rPr>
            </w:r>
            <w:r w:rsidR="00327059">
              <w:rPr>
                <w:noProof/>
                <w:webHidden/>
              </w:rPr>
              <w:fldChar w:fldCharType="separate"/>
            </w:r>
            <w:r w:rsidR="00327059">
              <w:rPr>
                <w:noProof/>
                <w:webHidden/>
              </w:rPr>
              <w:t>11</w:t>
            </w:r>
            <w:r w:rsidR="00327059">
              <w:rPr>
                <w:noProof/>
                <w:webHidden/>
              </w:rPr>
              <w:fldChar w:fldCharType="end"/>
            </w:r>
          </w:hyperlink>
        </w:p>
        <w:p w14:paraId="0BBE18AC" w14:textId="1CAB9EB3" w:rsidR="00327059" w:rsidRDefault="00CA585A">
          <w:pPr>
            <w:pStyle w:val="TOC1"/>
            <w:tabs>
              <w:tab w:val="left" w:pos="720"/>
              <w:tab w:val="right" w:leader="dot" w:pos="9350"/>
            </w:tabs>
            <w:rPr>
              <w:rFonts w:asciiTheme="minorHAnsi" w:eastAsiaTheme="minorEastAsia" w:hAnsiTheme="minorHAnsi" w:cstheme="minorBidi"/>
              <w:noProof/>
              <w:sz w:val="22"/>
              <w:szCs w:val="22"/>
            </w:rPr>
          </w:pPr>
          <w:hyperlink w:anchor="_Toc69230506" w:history="1">
            <w:r w:rsidR="00327059" w:rsidRPr="001D168F">
              <w:rPr>
                <w:rStyle w:val="Hyperlink"/>
                <w:noProof/>
              </w:rPr>
              <w:t>IV.</w:t>
            </w:r>
            <w:r w:rsidR="00327059">
              <w:rPr>
                <w:rFonts w:asciiTheme="minorHAnsi" w:eastAsiaTheme="minorEastAsia" w:hAnsiTheme="minorHAnsi" w:cstheme="minorBidi"/>
                <w:noProof/>
                <w:sz w:val="22"/>
                <w:szCs w:val="22"/>
              </w:rPr>
              <w:tab/>
            </w:r>
            <w:r w:rsidR="00327059" w:rsidRPr="001D168F">
              <w:rPr>
                <w:rStyle w:val="Hyperlink"/>
                <w:noProof/>
              </w:rPr>
              <w:t>Joint Petition for Settlement</w:t>
            </w:r>
            <w:r w:rsidR="00327059">
              <w:rPr>
                <w:noProof/>
                <w:webHidden/>
              </w:rPr>
              <w:tab/>
            </w:r>
            <w:r w:rsidR="00327059">
              <w:rPr>
                <w:noProof/>
                <w:webHidden/>
              </w:rPr>
              <w:fldChar w:fldCharType="begin"/>
            </w:r>
            <w:r w:rsidR="00327059">
              <w:rPr>
                <w:noProof/>
                <w:webHidden/>
              </w:rPr>
              <w:instrText xml:space="preserve"> PAGEREF _Toc69230506 \h </w:instrText>
            </w:r>
            <w:r w:rsidR="00327059">
              <w:rPr>
                <w:noProof/>
                <w:webHidden/>
              </w:rPr>
            </w:r>
            <w:r w:rsidR="00327059">
              <w:rPr>
                <w:noProof/>
                <w:webHidden/>
              </w:rPr>
              <w:fldChar w:fldCharType="separate"/>
            </w:r>
            <w:r w:rsidR="00327059">
              <w:rPr>
                <w:noProof/>
                <w:webHidden/>
              </w:rPr>
              <w:t>14</w:t>
            </w:r>
            <w:r w:rsidR="00327059">
              <w:rPr>
                <w:noProof/>
                <w:webHidden/>
              </w:rPr>
              <w:fldChar w:fldCharType="end"/>
            </w:r>
          </w:hyperlink>
        </w:p>
        <w:p w14:paraId="16C53F00" w14:textId="6066706D" w:rsidR="00327059" w:rsidRDefault="00CA585A">
          <w:pPr>
            <w:pStyle w:val="TOC2"/>
            <w:rPr>
              <w:rFonts w:asciiTheme="minorHAnsi" w:eastAsiaTheme="minorEastAsia" w:hAnsiTheme="minorHAnsi" w:cstheme="minorBidi"/>
              <w:noProof/>
              <w:sz w:val="22"/>
              <w:szCs w:val="22"/>
            </w:rPr>
          </w:pPr>
          <w:hyperlink w:anchor="_Toc69230507" w:history="1">
            <w:r w:rsidR="00327059" w:rsidRPr="001D168F">
              <w:rPr>
                <w:rStyle w:val="Hyperlink"/>
                <w:noProof/>
              </w:rPr>
              <w:t>A.</w:t>
            </w:r>
            <w:r w:rsidR="00327059">
              <w:rPr>
                <w:rFonts w:asciiTheme="minorHAnsi" w:eastAsiaTheme="minorEastAsia" w:hAnsiTheme="minorHAnsi" w:cstheme="minorBidi"/>
                <w:noProof/>
                <w:sz w:val="22"/>
                <w:szCs w:val="22"/>
              </w:rPr>
              <w:tab/>
            </w:r>
            <w:r w:rsidR="00327059" w:rsidRPr="001D168F">
              <w:rPr>
                <w:rStyle w:val="Hyperlink"/>
                <w:noProof/>
              </w:rPr>
              <w:t>Terms and Conditions of the Settlement</w:t>
            </w:r>
            <w:r w:rsidR="00327059">
              <w:rPr>
                <w:noProof/>
                <w:webHidden/>
              </w:rPr>
              <w:tab/>
            </w:r>
            <w:r w:rsidR="00327059">
              <w:rPr>
                <w:noProof/>
                <w:webHidden/>
              </w:rPr>
              <w:fldChar w:fldCharType="begin"/>
            </w:r>
            <w:r w:rsidR="00327059">
              <w:rPr>
                <w:noProof/>
                <w:webHidden/>
              </w:rPr>
              <w:instrText xml:space="preserve"> PAGEREF _Toc69230507 \h </w:instrText>
            </w:r>
            <w:r w:rsidR="00327059">
              <w:rPr>
                <w:noProof/>
                <w:webHidden/>
              </w:rPr>
            </w:r>
            <w:r w:rsidR="00327059">
              <w:rPr>
                <w:noProof/>
                <w:webHidden/>
              </w:rPr>
              <w:fldChar w:fldCharType="separate"/>
            </w:r>
            <w:r w:rsidR="00327059">
              <w:rPr>
                <w:noProof/>
                <w:webHidden/>
              </w:rPr>
              <w:t>14</w:t>
            </w:r>
            <w:r w:rsidR="00327059">
              <w:rPr>
                <w:noProof/>
                <w:webHidden/>
              </w:rPr>
              <w:fldChar w:fldCharType="end"/>
            </w:r>
          </w:hyperlink>
        </w:p>
        <w:p w14:paraId="280EA58A" w14:textId="455567EB" w:rsidR="00327059" w:rsidRDefault="00CA585A">
          <w:pPr>
            <w:pStyle w:val="TOC2"/>
            <w:rPr>
              <w:rFonts w:asciiTheme="minorHAnsi" w:eastAsiaTheme="minorEastAsia" w:hAnsiTheme="minorHAnsi" w:cstheme="minorBidi"/>
              <w:noProof/>
              <w:sz w:val="22"/>
              <w:szCs w:val="22"/>
            </w:rPr>
          </w:pPr>
          <w:hyperlink w:anchor="_Toc69230508" w:history="1">
            <w:r w:rsidR="00327059" w:rsidRPr="001D168F">
              <w:rPr>
                <w:rStyle w:val="Hyperlink"/>
                <w:noProof/>
              </w:rPr>
              <w:t>B.</w:t>
            </w:r>
            <w:r w:rsidR="00327059">
              <w:rPr>
                <w:rFonts w:asciiTheme="minorHAnsi" w:eastAsiaTheme="minorEastAsia" w:hAnsiTheme="minorHAnsi" w:cstheme="minorBidi"/>
                <w:noProof/>
                <w:sz w:val="22"/>
                <w:szCs w:val="22"/>
              </w:rPr>
              <w:tab/>
            </w:r>
            <w:r w:rsidR="00327059" w:rsidRPr="001D168F">
              <w:rPr>
                <w:rStyle w:val="Hyperlink"/>
                <w:noProof/>
              </w:rPr>
              <w:t>Positions of the Parties</w:t>
            </w:r>
            <w:r w:rsidR="00327059">
              <w:rPr>
                <w:noProof/>
                <w:webHidden/>
              </w:rPr>
              <w:tab/>
            </w:r>
            <w:r w:rsidR="00327059">
              <w:rPr>
                <w:noProof/>
                <w:webHidden/>
              </w:rPr>
              <w:fldChar w:fldCharType="begin"/>
            </w:r>
            <w:r w:rsidR="00327059">
              <w:rPr>
                <w:noProof/>
                <w:webHidden/>
              </w:rPr>
              <w:instrText xml:space="preserve"> PAGEREF _Toc69230508 \h </w:instrText>
            </w:r>
            <w:r w:rsidR="00327059">
              <w:rPr>
                <w:noProof/>
                <w:webHidden/>
              </w:rPr>
            </w:r>
            <w:r w:rsidR="00327059">
              <w:rPr>
                <w:noProof/>
                <w:webHidden/>
              </w:rPr>
              <w:fldChar w:fldCharType="separate"/>
            </w:r>
            <w:r w:rsidR="00327059">
              <w:rPr>
                <w:noProof/>
                <w:webHidden/>
              </w:rPr>
              <w:t>17</w:t>
            </w:r>
            <w:r w:rsidR="00327059">
              <w:rPr>
                <w:noProof/>
                <w:webHidden/>
              </w:rPr>
              <w:fldChar w:fldCharType="end"/>
            </w:r>
          </w:hyperlink>
        </w:p>
        <w:p w14:paraId="54F15DFF" w14:textId="0748F2B0" w:rsidR="00327059" w:rsidRDefault="00CA585A">
          <w:pPr>
            <w:pStyle w:val="TOC3"/>
            <w:rPr>
              <w:rFonts w:asciiTheme="minorHAnsi" w:eastAsiaTheme="minorEastAsia" w:hAnsiTheme="minorHAnsi" w:cstheme="minorBidi"/>
              <w:noProof/>
              <w:sz w:val="22"/>
              <w:szCs w:val="22"/>
            </w:rPr>
          </w:pPr>
          <w:hyperlink w:anchor="_Toc69230509" w:history="1">
            <w:r w:rsidR="00327059" w:rsidRPr="001D168F">
              <w:rPr>
                <w:rStyle w:val="Hyperlink"/>
                <w:noProof/>
              </w:rPr>
              <w:t>1.</w:t>
            </w:r>
            <w:r w:rsidR="00327059">
              <w:rPr>
                <w:rFonts w:asciiTheme="minorHAnsi" w:eastAsiaTheme="minorEastAsia" w:hAnsiTheme="minorHAnsi" w:cstheme="minorBidi"/>
                <w:noProof/>
                <w:sz w:val="22"/>
                <w:szCs w:val="22"/>
              </w:rPr>
              <w:tab/>
            </w:r>
            <w:r w:rsidR="00327059" w:rsidRPr="001D168F">
              <w:rPr>
                <w:rStyle w:val="Hyperlink"/>
                <w:noProof/>
              </w:rPr>
              <w:t>Statements in Support of the Joint Petition</w:t>
            </w:r>
            <w:r w:rsidR="00327059">
              <w:rPr>
                <w:noProof/>
                <w:webHidden/>
              </w:rPr>
              <w:tab/>
            </w:r>
            <w:r w:rsidR="00327059">
              <w:rPr>
                <w:noProof/>
                <w:webHidden/>
              </w:rPr>
              <w:fldChar w:fldCharType="begin"/>
            </w:r>
            <w:r w:rsidR="00327059">
              <w:rPr>
                <w:noProof/>
                <w:webHidden/>
              </w:rPr>
              <w:instrText xml:space="preserve"> PAGEREF _Toc69230509 \h </w:instrText>
            </w:r>
            <w:r w:rsidR="00327059">
              <w:rPr>
                <w:noProof/>
                <w:webHidden/>
              </w:rPr>
            </w:r>
            <w:r w:rsidR="00327059">
              <w:rPr>
                <w:noProof/>
                <w:webHidden/>
              </w:rPr>
              <w:fldChar w:fldCharType="separate"/>
            </w:r>
            <w:r w:rsidR="00327059">
              <w:rPr>
                <w:noProof/>
                <w:webHidden/>
              </w:rPr>
              <w:t>17</w:t>
            </w:r>
            <w:r w:rsidR="00327059">
              <w:rPr>
                <w:noProof/>
                <w:webHidden/>
              </w:rPr>
              <w:fldChar w:fldCharType="end"/>
            </w:r>
          </w:hyperlink>
        </w:p>
        <w:p w14:paraId="4AAFE8B0" w14:textId="18E3F566" w:rsidR="00327059" w:rsidRDefault="00CA585A">
          <w:pPr>
            <w:pStyle w:val="TOC4"/>
            <w:rPr>
              <w:rFonts w:asciiTheme="minorHAnsi" w:eastAsiaTheme="minorEastAsia" w:hAnsiTheme="minorHAnsi" w:cstheme="minorBidi"/>
              <w:noProof/>
              <w:sz w:val="22"/>
              <w:szCs w:val="22"/>
            </w:rPr>
          </w:pPr>
          <w:hyperlink w:anchor="_Toc69230510" w:history="1">
            <w:r w:rsidR="00327059" w:rsidRPr="001D168F">
              <w:rPr>
                <w:rStyle w:val="Hyperlink"/>
                <w:noProof/>
              </w:rPr>
              <w:t>a.</w:t>
            </w:r>
            <w:r w:rsidR="00327059">
              <w:rPr>
                <w:rFonts w:asciiTheme="minorHAnsi" w:eastAsiaTheme="minorEastAsia" w:hAnsiTheme="minorHAnsi" w:cstheme="minorBidi"/>
                <w:noProof/>
                <w:sz w:val="22"/>
                <w:szCs w:val="22"/>
              </w:rPr>
              <w:tab/>
            </w:r>
            <w:r w:rsidR="00327059" w:rsidRPr="001D168F">
              <w:rPr>
                <w:rStyle w:val="Hyperlink"/>
                <w:noProof/>
              </w:rPr>
              <w:t>Bethlehem</w:t>
            </w:r>
            <w:r w:rsidR="00327059">
              <w:rPr>
                <w:noProof/>
                <w:webHidden/>
              </w:rPr>
              <w:tab/>
            </w:r>
            <w:r w:rsidR="00327059">
              <w:rPr>
                <w:noProof/>
                <w:webHidden/>
              </w:rPr>
              <w:fldChar w:fldCharType="begin"/>
            </w:r>
            <w:r w:rsidR="00327059">
              <w:rPr>
                <w:noProof/>
                <w:webHidden/>
              </w:rPr>
              <w:instrText xml:space="preserve"> PAGEREF _Toc69230510 \h </w:instrText>
            </w:r>
            <w:r w:rsidR="00327059">
              <w:rPr>
                <w:noProof/>
                <w:webHidden/>
              </w:rPr>
            </w:r>
            <w:r w:rsidR="00327059">
              <w:rPr>
                <w:noProof/>
                <w:webHidden/>
              </w:rPr>
              <w:fldChar w:fldCharType="separate"/>
            </w:r>
            <w:r w:rsidR="00327059">
              <w:rPr>
                <w:noProof/>
                <w:webHidden/>
              </w:rPr>
              <w:t>18</w:t>
            </w:r>
            <w:r w:rsidR="00327059">
              <w:rPr>
                <w:noProof/>
                <w:webHidden/>
              </w:rPr>
              <w:fldChar w:fldCharType="end"/>
            </w:r>
          </w:hyperlink>
        </w:p>
        <w:p w14:paraId="597E74BD" w14:textId="79F2C9FF" w:rsidR="00327059" w:rsidRDefault="00CA585A">
          <w:pPr>
            <w:pStyle w:val="TOC4"/>
            <w:rPr>
              <w:rFonts w:asciiTheme="minorHAnsi" w:eastAsiaTheme="minorEastAsia" w:hAnsiTheme="minorHAnsi" w:cstheme="minorBidi"/>
              <w:noProof/>
              <w:sz w:val="22"/>
              <w:szCs w:val="22"/>
            </w:rPr>
          </w:pPr>
          <w:hyperlink w:anchor="_Toc69230511" w:history="1">
            <w:r w:rsidR="00327059" w:rsidRPr="001D168F">
              <w:rPr>
                <w:rStyle w:val="Hyperlink"/>
                <w:noProof/>
              </w:rPr>
              <w:t>b.</w:t>
            </w:r>
            <w:r w:rsidR="00327059">
              <w:rPr>
                <w:rFonts w:asciiTheme="minorHAnsi" w:eastAsiaTheme="minorEastAsia" w:hAnsiTheme="minorHAnsi" w:cstheme="minorBidi"/>
                <w:noProof/>
                <w:sz w:val="22"/>
                <w:szCs w:val="22"/>
              </w:rPr>
              <w:tab/>
            </w:r>
            <w:r w:rsidR="00327059" w:rsidRPr="001D168F">
              <w:rPr>
                <w:rStyle w:val="Hyperlink"/>
                <w:noProof/>
              </w:rPr>
              <w:t>I&amp;E</w:t>
            </w:r>
            <w:r w:rsidR="00327059">
              <w:rPr>
                <w:noProof/>
                <w:webHidden/>
              </w:rPr>
              <w:tab/>
            </w:r>
            <w:r w:rsidR="00327059">
              <w:rPr>
                <w:noProof/>
                <w:webHidden/>
              </w:rPr>
              <w:fldChar w:fldCharType="begin"/>
            </w:r>
            <w:r w:rsidR="00327059">
              <w:rPr>
                <w:noProof/>
                <w:webHidden/>
              </w:rPr>
              <w:instrText xml:space="preserve"> PAGEREF _Toc69230511 \h </w:instrText>
            </w:r>
            <w:r w:rsidR="00327059">
              <w:rPr>
                <w:noProof/>
                <w:webHidden/>
              </w:rPr>
            </w:r>
            <w:r w:rsidR="00327059">
              <w:rPr>
                <w:noProof/>
                <w:webHidden/>
              </w:rPr>
              <w:fldChar w:fldCharType="separate"/>
            </w:r>
            <w:r w:rsidR="00327059">
              <w:rPr>
                <w:noProof/>
                <w:webHidden/>
              </w:rPr>
              <w:t>20</w:t>
            </w:r>
            <w:r w:rsidR="00327059">
              <w:rPr>
                <w:noProof/>
                <w:webHidden/>
              </w:rPr>
              <w:fldChar w:fldCharType="end"/>
            </w:r>
          </w:hyperlink>
        </w:p>
        <w:p w14:paraId="63515777" w14:textId="2CB2FD37" w:rsidR="00327059" w:rsidRDefault="00CA585A">
          <w:pPr>
            <w:pStyle w:val="TOC3"/>
            <w:rPr>
              <w:rFonts w:asciiTheme="minorHAnsi" w:eastAsiaTheme="minorEastAsia" w:hAnsiTheme="minorHAnsi" w:cstheme="minorBidi"/>
              <w:noProof/>
              <w:sz w:val="22"/>
              <w:szCs w:val="22"/>
            </w:rPr>
          </w:pPr>
          <w:hyperlink w:anchor="_Toc69230512" w:history="1">
            <w:r w:rsidR="00327059" w:rsidRPr="001D168F">
              <w:rPr>
                <w:rStyle w:val="Hyperlink"/>
                <w:noProof/>
              </w:rPr>
              <w:t>2.</w:t>
            </w:r>
            <w:r w:rsidR="00327059">
              <w:rPr>
                <w:rFonts w:asciiTheme="minorHAnsi" w:eastAsiaTheme="minorEastAsia" w:hAnsiTheme="minorHAnsi" w:cstheme="minorBidi"/>
                <w:noProof/>
                <w:sz w:val="22"/>
                <w:szCs w:val="22"/>
              </w:rPr>
              <w:tab/>
            </w:r>
            <w:r w:rsidR="00327059" w:rsidRPr="001D168F">
              <w:rPr>
                <w:rStyle w:val="Hyperlink"/>
                <w:noProof/>
              </w:rPr>
              <w:t>Comments in Opposition to the Joint Petition (Objections)</w:t>
            </w:r>
            <w:r w:rsidR="00327059">
              <w:rPr>
                <w:noProof/>
                <w:webHidden/>
              </w:rPr>
              <w:tab/>
            </w:r>
            <w:r w:rsidR="00327059">
              <w:rPr>
                <w:noProof/>
                <w:webHidden/>
              </w:rPr>
              <w:fldChar w:fldCharType="begin"/>
            </w:r>
            <w:r w:rsidR="00327059">
              <w:rPr>
                <w:noProof/>
                <w:webHidden/>
              </w:rPr>
              <w:instrText xml:space="preserve"> PAGEREF _Toc69230512 \h </w:instrText>
            </w:r>
            <w:r w:rsidR="00327059">
              <w:rPr>
                <w:noProof/>
                <w:webHidden/>
              </w:rPr>
            </w:r>
            <w:r w:rsidR="00327059">
              <w:rPr>
                <w:noProof/>
                <w:webHidden/>
              </w:rPr>
              <w:fldChar w:fldCharType="separate"/>
            </w:r>
            <w:r w:rsidR="00327059">
              <w:rPr>
                <w:noProof/>
                <w:webHidden/>
              </w:rPr>
              <w:t>21</w:t>
            </w:r>
            <w:r w:rsidR="00327059">
              <w:rPr>
                <w:noProof/>
                <w:webHidden/>
              </w:rPr>
              <w:fldChar w:fldCharType="end"/>
            </w:r>
          </w:hyperlink>
        </w:p>
        <w:p w14:paraId="42956425" w14:textId="29C4FE40" w:rsidR="00327059" w:rsidRDefault="00CA585A">
          <w:pPr>
            <w:pStyle w:val="TOC4"/>
            <w:rPr>
              <w:rFonts w:asciiTheme="minorHAnsi" w:eastAsiaTheme="minorEastAsia" w:hAnsiTheme="minorHAnsi" w:cstheme="minorBidi"/>
              <w:noProof/>
              <w:sz w:val="22"/>
              <w:szCs w:val="22"/>
            </w:rPr>
          </w:pPr>
          <w:hyperlink w:anchor="_Toc69230513" w:history="1">
            <w:r w:rsidR="00327059" w:rsidRPr="001D168F">
              <w:rPr>
                <w:rStyle w:val="Hyperlink"/>
                <w:noProof/>
              </w:rPr>
              <w:t>a.</w:t>
            </w:r>
            <w:r w:rsidR="00327059">
              <w:rPr>
                <w:rFonts w:asciiTheme="minorHAnsi" w:eastAsiaTheme="minorEastAsia" w:hAnsiTheme="minorHAnsi" w:cstheme="minorBidi"/>
                <w:noProof/>
                <w:sz w:val="22"/>
                <w:szCs w:val="22"/>
              </w:rPr>
              <w:tab/>
            </w:r>
            <w:r w:rsidR="00327059" w:rsidRPr="001D168F">
              <w:rPr>
                <w:rStyle w:val="Hyperlink"/>
                <w:noProof/>
              </w:rPr>
              <w:t>OCA</w:t>
            </w:r>
            <w:r w:rsidR="00327059">
              <w:rPr>
                <w:noProof/>
                <w:webHidden/>
              </w:rPr>
              <w:tab/>
            </w:r>
            <w:r w:rsidR="00327059">
              <w:rPr>
                <w:noProof/>
                <w:webHidden/>
              </w:rPr>
              <w:fldChar w:fldCharType="begin"/>
            </w:r>
            <w:r w:rsidR="00327059">
              <w:rPr>
                <w:noProof/>
                <w:webHidden/>
              </w:rPr>
              <w:instrText xml:space="preserve"> PAGEREF _Toc69230513 \h </w:instrText>
            </w:r>
            <w:r w:rsidR="00327059">
              <w:rPr>
                <w:noProof/>
                <w:webHidden/>
              </w:rPr>
            </w:r>
            <w:r w:rsidR="00327059">
              <w:rPr>
                <w:noProof/>
                <w:webHidden/>
              </w:rPr>
              <w:fldChar w:fldCharType="separate"/>
            </w:r>
            <w:r w:rsidR="00327059">
              <w:rPr>
                <w:noProof/>
                <w:webHidden/>
              </w:rPr>
              <w:t>21</w:t>
            </w:r>
            <w:r w:rsidR="00327059">
              <w:rPr>
                <w:noProof/>
                <w:webHidden/>
              </w:rPr>
              <w:fldChar w:fldCharType="end"/>
            </w:r>
          </w:hyperlink>
        </w:p>
        <w:p w14:paraId="782FB934" w14:textId="7F7B7F60" w:rsidR="00327059" w:rsidRDefault="00CA585A">
          <w:pPr>
            <w:pStyle w:val="TOC4"/>
            <w:rPr>
              <w:rFonts w:asciiTheme="minorHAnsi" w:eastAsiaTheme="minorEastAsia" w:hAnsiTheme="minorHAnsi" w:cstheme="minorBidi"/>
              <w:noProof/>
              <w:sz w:val="22"/>
              <w:szCs w:val="22"/>
            </w:rPr>
          </w:pPr>
          <w:hyperlink w:anchor="_Toc69230514" w:history="1">
            <w:r w:rsidR="00327059" w:rsidRPr="001D168F">
              <w:rPr>
                <w:rStyle w:val="Hyperlink"/>
                <w:noProof/>
              </w:rPr>
              <w:t>b.</w:t>
            </w:r>
            <w:r w:rsidR="00327059">
              <w:rPr>
                <w:rFonts w:asciiTheme="minorHAnsi" w:eastAsiaTheme="minorEastAsia" w:hAnsiTheme="minorHAnsi" w:cstheme="minorBidi"/>
                <w:noProof/>
                <w:sz w:val="22"/>
                <w:szCs w:val="22"/>
              </w:rPr>
              <w:tab/>
            </w:r>
            <w:r w:rsidR="00327059" w:rsidRPr="001D168F">
              <w:rPr>
                <w:rStyle w:val="Hyperlink"/>
                <w:noProof/>
              </w:rPr>
              <w:t>OSBA</w:t>
            </w:r>
            <w:r w:rsidR="00327059">
              <w:rPr>
                <w:noProof/>
                <w:webHidden/>
              </w:rPr>
              <w:tab/>
            </w:r>
            <w:r w:rsidR="00327059">
              <w:rPr>
                <w:noProof/>
                <w:webHidden/>
              </w:rPr>
              <w:fldChar w:fldCharType="begin"/>
            </w:r>
            <w:r w:rsidR="00327059">
              <w:rPr>
                <w:noProof/>
                <w:webHidden/>
              </w:rPr>
              <w:instrText xml:space="preserve"> PAGEREF _Toc69230514 \h </w:instrText>
            </w:r>
            <w:r w:rsidR="00327059">
              <w:rPr>
                <w:noProof/>
                <w:webHidden/>
              </w:rPr>
            </w:r>
            <w:r w:rsidR="00327059">
              <w:rPr>
                <w:noProof/>
                <w:webHidden/>
              </w:rPr>
              <w:fldChar w:fldCharType="separate"/>
            </w:r>
            <w:r w:rsidR="00327059">
              <w:rPr>
                <w:noProof/>
                <w:webHidden/>
              </w:rPr>
              <w:t>23</w:t>
            </w:r>
            <w:r w:rsidR="00327059">
              <w:rPr>
                <w:noProof/>
                <w:webHidden/>
              </w:rPr>
              <w:fldChar w:fldCharType="end"/>
            </w:r>
          </w:hyperlink>
        </w:p>
        <w:p w14:paraId="59E0F0F5" w14:textId="300169BD" w:rsidR="00327059" w:rsidRDefault="00CA585A">
          <w:pPr>
            <w:pStyle w:val="TOC3"/>
            <w:rPr>
              <w:rFonts w:asciiTheme="minorHAnsi" w:eastAsiaTheme="minorEastAsia" w:hAnsiTheme="minorHAnsi" w:cstheme="minorBidi"/>
              <w:noProof/>
              <w:sz w:val="22"/>
              <w:szCs w:val="22"/>
            </w:rPr>
          </w:pPr>
          <w:hyperlink w:anchor="_Toc69230515" w:history="1">
            <w:r w:rsidR="00327059" w:rsidRPr="001D168F">
              <w:rPr>
                <w:rStyle w:val="Hyperlink"/>
                <w:noProof/>
              </w:rPr>
              <w:t>3.</w:t>
            </w:r>
            <w:r w:rsidR="00327059">
              <w:rPr>
                <w:rFonts w:asciiTheme="minorHAnsi" w:eastAsiaTheme="minorEastAsia" w:hAnsiTheme="minorHAnsi" w:cstheme="minorBidi"/>
                <w:noProof/>
                <w:sz w:val="22"/>
                <w:szCs w:val="22"/>
              </w:rPr>
              <w:tab/>
            </w:r>
            <w:r w:rsidR="00327059" w:rsidRPr="001D168F">
              <w:rPr>
                <w:rStyle w:val="Hyperlink"/>
                <w:noProof/>
              </w:rPr>
              <w:t>Reply Comments to OCA’s Objections</w:t>
            </w:r>
            <w:r w:rsidR="00327059">
              <w:rPr>
                <w:noProof/>
                <w:webHidden/>
              </w:rPr>
              <w:tab/>
            </w:r>
            <w:r w:rsidR="00327059">
              <w:rPr>
                <w:noProof/>
                <w:webHidden/>
              </w:rPr>
              <w:fldChar w:fldCharType="begin"/>
            </w:r>
            <w:r w:rsidR="00327059">
              <w:rPr>
                <w:noProof/>
                <w:webHidden/>
              </w:rPr>
              <w:instrText xml:space="preserve"> PAGEREF _Toc69230515 \h </w:instrText>
            </w:r>
            <w:r w:rsidR="00327059">
              <w:rPr>
                <w:noProof/>
                <w:webHidden/>
              </w:rPr>
            </w:r>
            <w:r w:rsidR="00327059">
              <w:rPr>
                <w:noProof/>
                <w:webHidden/>
              </w:rPr>
              <w:fldChar w:fldCharType="separate"/>
            </w:r>
            <w:r w:rsidR="00327059">
              <w:rPr>
                <w:noProof/>
                <w:webHidden/>
              </w:rPr>
              <w:t>23</w:t>
            </w:r>
            <w:r w:rsidR="00327059">
              <w:rPr>
                <w:noProof/>
                <w:webHidden/>
              </w:rPr>
              <w:fldChar w:fldCharType="end"/>
            </w:r>
          </w:hyperlink>
        </w:p>
        <w:p w14:paraId="2588C497" w14:textId="7E03483D" w:rsidR="00327059" w:rsidRDefault="00CA585A">
          <w:pPr>
            <w:pStyle w:val="TOC4"/>
            <w:rPr>
              <w:rFonts w:asciiTheme="minorHAnsi" w:eastAsiaTheme="minorEastAsia" w:hAnsiTheme="minorHAnsi" w:cstheme="minorBidi"/>
              <w:noProof/>
              <w:sz w:val="22"/>
              <w:szCs w:val="22"/>
            </w:rPr>
          </w:pPr>
          <w:hyperlink w:anchor="_Toc69230516" w:history="1">
            <w:r w:rsidR="00327059" w:rsidRPr="001D168F">
              <w:rPr>
                <w:rStyle w:val="Hyperlink"/>
                <w:noProof/>
              </w:rPr>
              <w:t>a.</w:t>
            </w:r>
            <w:r w:rsidR="00327059">
              <w:rPr>
                <w:rFonts w:asciiTheme="minorHAnsi" w:eastAsiaTheme="minorEastAsia" w:hAnsiTheme="minorHAnsi" w:cstheme="minorBidi"/>
                <w:noProof/>
                <w:sz w:val="22"/>
                <w:szCs w:val="22"/>
              </w:rPr>
              <w:tab/>
            </w:r>
            <w:r w:rsidR="00327059" w:rsidRPr="001D168F">
              <w:rPr>
                <w:rStyle w:val="Hyperlink"/>
                <w:noProof/>
              </w:rPr>
              <w:t>Bethlehem</w:t>
            </w:r>
            <w:r w:rsidR="00327059">
              <w:rPr>
                <w:noProof/>
                <w:webHidden/>
              </w:rPr>
              <w:tab/>
            </w:r>
            <w:r w:rsidR="00327059">
              <w:rPr>
                <w:noProof/>
                <w:webHidden/>
              </w:rPr>
              <w:fldChar w:fldCharType="begin"/>
            </w:r>
            <w:r w:rsidR="00327059">
              <w:rPr>
                <w:noProof/>
                <w:webHidden/>
              </w:rPr>
              <w:instrText xml:space="preserve"> PAGEREF _Toc69230516 \h </w:instrText>
            </w:r>
            <w:r w:rsidR="00327059">
              <w:rPr>
                <w:noProof/>
                <w:webHidden/>
              </w:rPr>
            </w:r>
            <w:r w:rsidR="00327059">
              <w:rPr>
                <w:noProof/>
                <w:webHidden/>
              </w:rPr>
              <w:fldChar w:fldCharType="separate"/>
            </w:r>
            <w:r w:rsidR="00327059">
              <w:rPr>
                <w:noProof/>
                <w:webHidden/>
              </w:rPr>
              <w:t>23</w:t>
            </w:r>
            <w:r w:rsidR="00327059">
              <w:rPr>
                <w:noProof/>
                <w:webHidden/>
              </w:rPr>
              <w:fldChar w:fldCharType="end"/>
            </w:r>
          </w:hyperlink>
        </w:p>
        <w:p w14:paraId="0AEAA9AE" w14:textId="383D74B7" w:rsidR="00327059" w:rsidRDefault="00CA585A">
          <w:pPr>
            <w:pStyle w:val="TOC4"/>
            <w:rPr>
              <w:rFonts w:asciiTheme="minorHAnsi" w:eastAsiaTheme="minorEastAsia" w:hAnsiTheme="minorHAnsi" w:cstheme="minorBidi"/>
              <w:noProof/>
              <w:sz w:val="22"/>
              <w:szCs w:val="22"/>
            </w:rPr>
          </w:pPr>
          <w:hyperlink w:anchor="_Toc69230517" w:history="1">
            <w:r w:rsidR="00327059" w:rsidRPr="001D168F">
              <w:rPr>
                <w:rStyle w:val="Hyperlink"/>
                <w:noProof/>
              </w:rPr>
              <w:t>b.</w:t>
            </w:r>
            <w:r w:rsidR="00327059">
              <w:rPr>
                <w:rFonts w:asciiTheme="minorHAnsi" w:eastAsiaTheme="minorEastAsia" w:hAnsiTheme="minorHAnsi" w:cstheme="minorBidi"/>
                <w:noProof/>
                <w:sz w:val="22"/>
                <w:szCs w:val="22"/>
              </w:rPr>
              <w:tab/>
            </w:r>
            <w:r w:rsidR="00327059" w:rsidRPr="001D168F">
              <w:rPr>
                <w:rStyle w:val="Hyperlink"/>
                <w:noProof/>
              </w:rPr>
              <w:t>I&amp;E</w:t>
            </w:r>
            <w:r w:rsidR="00327059">
              <w:rPr>
                <w:noProof/>
                <w:webHidden/>
              </w:rPr>
              <w:tab/>
            </w:r>
            <w:r w:rsidR="00327059">
              <w:rPr>
                <w:noProof/>
                <w:webHidden/>
              </w:rPr>
              <w:fldChar w:fldCharType="begin"/>
            </w:r>
            <w:r w:rsidR="00327059">
              <w:rPr>
                <w:noProof/>
                <w:webHidden/>
              </w:rPr>
              <w:instrText xml:space="preserve"> PAGEREF _Toc69230517 \h </w:instrText>
            </w:r>
            <w:r w:rsidR="00327059">
              <w:rPr>
                <w:noProof/>
                <w:webHidden/>
              </w:rPr>
            </w:r>
            <w:r w:rsidR="00327059">
              <w:rPr>
                <w:noProof/>
                <w:webHidden/>
              </w:rPr>
              <w:fldChar w:fldCharType="separate"/>
            </w:r>
            <w:r w:rsidR="00327059">
              <w:rPr>
                <w:noProof/>
                <w:webHidden/>
              </w:rPr>
              <w:t>26</w:t>
            </w:r>
            <w:r w:rsidR="00327059">
              <w:rPr>
                <w:noProof/>
                <w:webHidden/>
              </w:rPr>
              <w:fldChar w:fldCharType="end"/>
            </w:r>
          </w:hyperlink>
        </w:p>
        <w:p w14:paraId="677C1D00" w14:textId="4ED57079" w:rsidR="00327059" w:rsidRDefault="00CA585A">
          <w:pPr>
            <w:pStyle w:val="TOC2"/>
            <w:rPr>
              <w:rFonts w:asciiTheme="minorHAnsi" w:eastAsiaTheme="minorEastAsia" w:hAnsiTheme="minorHAnsi" w:cstheme="minorBidi"/>
              <w:noProof/>
              <w:sz w:val="22"/>
              <w:szCs w:val="22"/>
            </w:rPr>
          </w:pPr>
          <w:hyperlink w:anchor="_Toc69230518" w:history="1">
            <w:r w:rsidR="00327059" w:rsidRPr="001D168F">
              <w:rPr>
                <w:rStyle w:val="Hyperlink"/>
                <w:noProof/>
              </w:rPr>
              <w:t>C.</w:t>
            </w:r>
            <w:r w:rsidR="00327059">
              <w:rPr>
                <w:rFonts w:asciiTheme="minorHAnsi" w:eastAsiaTheme="minorEastAsia" w:hAnsiTheme="minorHAnsi" w:cstheme="minorBidi"/>
                <w:noProof/>
                <w:sz w:val="22"/>
                <w:szCs w:val="22"/>
              </w:rPr>
              <w:tab/>
            </w:r>
            <w:r w:rsidR="00327059" w:rsidRPr="001D168F">
              <w:rPr>
                <w:rStyle w:val="Hyperlink"/>
                <w:noProof/>
              </w:rPr>
              <w:t>Recommended Decision</w:t>
            </w:r>
            <w:r w:rsidR="00327059">
              <w:rPr>
                <w:noProof/>
                <w:webHidden/>
              </w:rPr>
              <w:tab/>
            </w:r>
            <w:r w:rsidR="00327059">
              <w:rPr>
                <w:noProof/>
                <w:webHidden/>
              </w:rPr>
              <w:fldChar w:fldCharType="begin"/>
            </w:r>
            <w:r w:rsidR="00327059">
              <w:rPr>
                <w:noProof/>
                <w:webHidden/>
              </w:rPr>
              <w:instrText xml:space="preserve"> PAGEREF _Toc69230518 \h </w:instrText>
            </w:r>
            <w:r w:rsidR="00327059">
              <w:rPr>
                <w:noProof/>
                <w:webHidden/>
              </w:rPr>
            </w:r>
            <w:r w:rsidR="00327059">
              <w:rPr>
                <w:noProof/>
                <w:webHidden/>
              </w:rPr>
              <w:fldChar w:fldCharType="separate"/>
            </w:r>
            <w:r w:rsidR="00327059">
              <w:rPr>
                <w:noProof/>
                <w:webHidden/>
              </w:rPr>
              <w:t>28</w:t>
            </w:r>
            <w:r w:rsidR="00327059">
              <w:rPr>
                <w:noProof/>
                <w:webHidden/>
              </w:rPr>
              <w:fldChar w:fldCharType="end"/>
            </w:r>
          </w:hyperlink>
        </w:p>
        <w:p w14:paraId="1F7169F6" w14:textId="637F5A77" w:rsidR="00327059" w:rsidRDefault="00CA585A">
          <w:pPr>
            <w:pStyle w:val="TOC2"/>
            <w:rPr>
              <w:rFonts w:asciiTheme="minorHAnsi" w:eastAsiaTheme="minorEastAsia" w:hAnsiTheme="minorHAnsi" w:cstheme="minorBidi"/>
              <w:noProof/>
              <w:sz w:val="22"/>
              <w:szCs w:val="22"/>
            </w:rPr>
          </w:pPr>
          <w:hyperlink w:anchor="_Toc69230519" w:history="1">
            <w:r w:rsidR="00327059" w:rsidRPr="001D168F">
              <w:rPr>
                <w:rStyle w:val="Hyperlink"/>
                <w:noProof/>
              </w:rPr>
              <w:t>D.</w:t>
            </w:r>
            <w:r w:rsidR="00327059">
              <w:rPr>
                <w:rFonts w:asciiTheme="minorHAnsi" w:eastAsiaTheme="minorEastAsia" w:hAnsiTheme="minorHAnsi" w:cstheme="minorBidi"/>
                <w:noProof/>
                <w:sz w:val="22"/>
                <w:szCs w:val="22"/>
              </w:rPr>
              <w:tab/>
            </w:r>
            <w:r w:rsidR="00327059" w:rsidRPr="001D168F">
              <w:rPr>
                <w:rStyle w:val="Hyperlink"/>
                <w:noProof/>
              </w:rPr>
              <w:t>Disposition</w:t>
            </w:r>
            <w:r w:rsidR="00327059">
              <w:rPr>
                <w:noProof/>
                <w:webHidden/>
              </w:rPr>
              <w:tab/>
            </w:r>
            <w:r w:rsidR="00327059">
              <w:rPr>
                <w:noProof/>
                <w:webHidden/>
              </w:rPr>
              <w:fldChar w:fldCharType="begin"/>
            </w:r>
            <w:r w:rsidR="00327059">
              <w:rPr>
                <w:noProof/>
                <w:webHidden/>
              </w:rPr>
              <w:instrText xml:space="preserve"> PAGEREF _Toc69230519 \h </w:instrText>
            </w:r>
            <w:r w:rsidR="00327059">
              <w:rPr>
                <w:noProof/>
                <w:webHidden/>
              </w:rPr>
            </w:r>
            <w:r w:rsidR="00327059">
              <w:rPr>
                <w:noProof/>
                <w:webHidden/>
              </w:rPr>
              <w:fldChar w:fldCharType="separate"/>
            </w:r>
            <w:r w:rsidR="00327059">
              <w:rPr>
                <w:noProof/>
                <w:webHidden/>
              </w:rPr>
              <w:t>29</w:t>
            </w:r>
            <w:r w:rsidR="00327059">
              <w:rPr>
                <w:noProof/>
                <w:webHidden/>
              </w:rPr>
              <w:fldChar w:fldCharType="end"/>
            </w:r>
          </w:hyperlink>
        </w:p>
        <w:p w14:paraId="5CFAB77D" w14:textId="2647F245" w:rsidR="00327059" w:rsidRDefault="00CA585A">
          <w:pPr>
            <w:pStyle w:val="TOC1"/>
            <w:tabs>
              <w:tab w:val="left" w:pos="720"/>
              <w:tab w:val="right" w:leader="dot" w:pos="9350"/>
            </w:tabs>
            <w:rPr>
              <w:rFonts w:asciiTheme="minorHAnsi" w:eastAsiaTheme="minorEastAsia" w:hAnsiTheme="minorHAnsi" w:cstheme="minorBidi"/>
              <w:noProof/>
              <w:sz w:val="22"/>
              <w:szCs w:val="22"/>
            </w:rPr>
          </w:pPr>
          <w:hyperlink w:anchor="_Toc69230520" w:history="1">
            <w:r w:rsidR="00327059" w:rsidRPr="001D168F">
              <w:rPr>
                <w:rStyle w:val="Hyperlink"/>
                <w:noProof/>
              </w:rPr>
              <w:t>V.</w:t>
            </w:r>
            <w:r w:rsidR="00327059">
              <w:rPr>
                <w:rFonts w:asciiTheme="minorHAnsi" w:eastAsiaTheme="minorEastAsia" w:hAnsiTheme="minorHAnsi" w:cstheme="minorBidi"/>
                <w:noProof/>
                <w:sz w:val="22"/>
                <w:szCs w:val="22"/>
              </w:rPr>
              <w:tab/>
            </w:r>
            <w:r w:rsidR="00327059" w:rsidRPr="001D168F">
              <w:rPr>
                <w:rStyle w:val="Hyperlink"/>
                <w:noProof/>
              </w:rPr>
              <w:t>Issues Resolved Among the Parties</w:t>
            </w:r>
            <w:r w:rsidR="00327059">
              <w:rPr>
                <w:noProof/>
                <w:webHidden/>
              </w:rPr>
              <w:tab/>
            </w:r>
            <w:r w:rsidR="00327059">
              <w:rPr>
                <w:noProof/>
                <w:webHidden/>
              </w:rPr>
              <w:fldChar w:fldCharType="begin"/>
            </w:r>
            <w:r w:rsidR="00327059">
              <w:rPr>
                <w:noProof/>
                <w:webHidden/>
              </w:rPr>
              <w:instrText xml:space="preserve"> PAGEREF _Toc69230520 \h </w:instrText>
            </w:r>
            <w:r w:rsidR="00327059">
              <w:rPr>
                <w:noProof/>
                <w:webHidden/>
              </w:rPr>
            </w:r>
            <w:r w:rsidR="00327059">
              <w:rPr>
                <w:noProof/>
                <w:webHidden/>
              </w:rPr>
              <w:fldChar w:fldCharType="separate"/>
            </w:r>
            <w:r w:rsidR="00327059">
              <w:rPr>
                <w:noProof/>
                <w:webHidden/>
              </w:rPr>
              <w:t>38</w:t>
            </w:r>
            <w:r w:rsidR="00327059">
              <w:rPr>
                <w:noProof/>
                <w:webHidden/>
              </w:rPr>
              <w:fldChar w:fldCharType="end"/>
            </w:r>
          </w:hyperlink>
        </w:p>
        <w:p w14:paraId="195E2E4C" w14:textId="3FE564C7" w:rsidR="00327059" w:rsidRDefault="00CA585A">
          <w:pPr>
            <w:pStyle w:val="TOC1"/>
            <w:tabs>
              <w:tab w:val="left" w:pos="720"/>
              <w:tab w:val="right" w:leader="dot" w:pos="9350"/>
            </w:tabs>
            <w:rPr>
              <w:rFonts w:asciiTheme="minorHAnsi" w:eastAsiaTheme="minorEastAsia" w:hAnsiTheme="minorHAnsi" w:cstheme="minorBidi"/>
              <w:noProof/>
              <w:sz w:val="22"/>
              <w:szCs w:val="22"/>
            </w:rPr>
          </w:pPr>
          <w:hyperlink w:anchor="_Toc69230521" w:history="1">
            <w:r w:rsidR="00327059" w:rsidRPr="001D168F">
              <w:rPr>
                <w:rStyle w:val="Hyperlink"/>
                <w:noProof/>
              </w:rPr>
              <w:t>VI.</w:t>
            </w:r>
            <w:r w:rsidR="00327059">
              <w:rPr>
                <w:rFonts w:asciiTheme="minorHAnsi" w:eastAsiaTheme="minorEastAsia" w:hAnsiTheme="minorHAnsi" w:cstheme="minorBidi"/>
                <w:noProof/>
                <w:sz w:val="22"/>
                <w:szCs w:val="22"/>
              </w:rPr>
              <w:tab/>
            </w:r>
            <w:r w:rsidR="00327059" w:rsidRPr="001D168F">
              <w:rPr>
                <w:rStyle w:val="Hyperlink"/>
                <w:noProof/>
              </w:rPr>
              <w:t>Exceptions and Replies</w:t>
            </w:r>
            <w:r w:rsidR="00327059">
              <w:rPr>
                <w:noProof/>
                <w:webHidden/>
              </w:rPr>
              <w:tab/>
            </w:r>
            <w:r w:rsidR="00327059">
              <w:rPr>
                <w:noProof/>
                <w:webHidden/>
              </w:rPr>
              <w:fldChar w:fldCharType="begin"/>
            </w:r>
            <w:r w:rsidR="00327059">
              <w:rPr>
                <w:noProof/>
                <w:webHidden/>
              </w:rPr>
              <w:instrText xml:space="preserve"> PAGEREF _Toc69230521 \h </w:instrText>
            </w:r>
            <w:r w:rsidR="00327059">
              <w:rPr>
                <w:noProof/>
                <w:webHidden/>
              </w:rPr>
            </w:r>
            <w:r w:rsidR="00327059">
              <w:rPr>
                <w:noProof/>
                <w:webHidden/>
              </w:rPr>
              <w:fldChar w:fldCharType="separate"/>
            </w:r>
            <w:r w:rsidR="00327059">
              <w:rPr>
                <w:noProof/>
                <w:webHidden/>
              </w:rPr>
              <w:t>41</w:t>
            </w:r>
            <w:r w:rsidR="00327059">
              <w:rPr>
                <w:noProof/>
                <w:webHidden/>
              </w:rPr>
              <w:fldChar w:fldCharType="end"/>
            </w:r>
          </w:hyperlink>
        </w:p>
        <w:p w14:paraId="4D22E510" w14:textId="1B81C2B7" w:rsidR="00327059" w:rsidRDefault="00CA585A">
          <w:pPr>
            <w:pStyle w:val="TOC2"/>
            <w:rPr>
              <w:rFonts w:asciiTheme="minorHAnsi" w:eastAsiaTheme="minorEastAsia" w:hAnsiTheme="minorHAnsi" w:cstheme="minorBidi"/>
              <w:noProof/>
              <w:sz w:val="22"/>
              <w:szCs w:val="22"/>
            </w:rPr>
          </w:pPr>
          <w:hyperlink w:anchor="_Toc69230522" w:history="1">
            <w:r w:rsidR="00327059" w:rsidRPr="001D168F">
              <w:rPr>
                <w:rStyle w:val="Hyperlink"/>
                <w:rFonts w:eastAsiaTheme="minorHAnsi"/>
                <w:noProof/>
              </w:rPr>
              <w:t>A.</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Approval of Settlement</w:t>
            </w:r>
            <w:r w:rsidR="00327059">
              <w:rPr>
                <w:noProof/>
                <w:webHidden/>
              </w:rPr>
              <w:tab/>
            </w:r>
            <w:r w:rsidR="00327059">
              <w:rPr>
                <w:noProof/>
                <w:webHidden/>
              </w:rPr>
              <w:fldChar w:fldCharType="begin"/>
            </w:r>
            <w:r w:rsidR="00327059">
              <w:rPr>
                <w:noProof/>
                <w:webHidden/>
              </w:rPr>
              <w:instrText xml:space="preserve"> PAGEREF _Toc69230522 \h </w:instrText>
            </w:r>
            <w:r w:rsidR="00327059">
              <w:rPr>
                <w:noProof/>
                <w:webHidden/>
              </w:rPr>
            </w:r>
            <w:r w:rsidR="00327059">
              <w:rPr>
                <w:noProof/>
                <w:webHidden/>
              </w:rPr>
              <w:fldChar w:fldCharType="separate"/>
            </w:r>
            <w:r w:rsidR="00327059">
              <w:rPr>
                <w:noProof/>
                <w:webHidden/>
              </w:rPr>
              <w:t>42</w:t>
            </w:r>
            <w:r w:rsidR="00327059">
              <w:rPr>
                <w:noProof/>
                <w:webHidden/>
              </w:rPr>
              <w:fldChar w:fldCharType="end"/>
            </w:r>
          </w:hyperlink>
        </w:p>
        <w:p w14:paraId="4EBA6D47" w14:textId="76F9B782" w:rsidR="00327059" w:rsidRDefault="00CA585A">
          <w:pPr>
            <w:pStyle w:val="TOC3"/>
            <w:rPr>
              <w:rFonts w:asciiTheme="minorHAnsi" w:eastAsiaTheme="minorEastAsia" w:hAnsiTheme="minorHAnsi" w:cstheme="minorBidi"/>
              <w:noProof/>
              <w:sz w:val="22"/>
              <w:szCs w:val="22"/>
            </w:rPr>
          </w:pPr>
          <w:hyperlink w:anchor="_Toc69230523" w:history="1">
            <w:r w:rsidR="00327059" w:rsidRPr="001D168F">
              <w:rPr>
                <w:rStyle w:val="Hyperlink"/>
                <w:rFonts w:eastAsiaTheme="minorHAnsi"/>
                <w:noProof/>
              </w:rPr>
              <w:t>1.</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Positions of the Parties</w:t>
            </w:r>
            <w:r w:rsidR="00327059">
              <w:rPr>
                <w:noProof/>
                <w:webHidden/>
              </w:rPr>
              <w:tab/>
            </w:r>
            <w:r w:rsidR="00327059">
              <w:rPr>
                <w:noProof/>
                <w:webHidden/>
              </w:rPr>
              <w:fldChar w:fldCharType="begin"/>
            </w:r>
            <w:r w:rsidR="00327059">
              <w:rPr>
                <w:noProof/>
                <w:webHidden/>
              </w:rPr>
              <w:instrText xml:space="preserve"> PAGEREF _Toc69230523 \h </w:instrText>
            </w:r>
            <w:r w:rsidR="00327059">
              <w:rPr>
                <w:noProof/>
                <w:webHidden/>
              </w:rPr>
            </w:r>
            <w:r w:rsidR="00327059">
              <w:rPr>
                <w:noProof/>
                <w:webHidden/>
              </w:rPr>
              <w:fldChar w:fldCharType="separate"/>
            </w:r>
            <w:r w:rsidR="00327059">
              <w:rPr>
                <w:noProof/>
                <w:webHidden/>
              </w:rPr>
              <w:t>42</w:t>
            </w:r>
            <w:r w:rsidR="00327059">
              <w:rPr>
                <w:noProof/>
                <w:webHidden/>
              </w:rPr>
              <w:fldChar w:fldCharType="end"/>
            </w:r>
          </w:hyperlink>
        </w:p>
        <w:p w14:paraId="60FF2E28" w14:textId="682E8014" w:rsidR="00327059" w:rsidRDefault="00CA585A">
          <w:pPr>
            <w:pStyle w:val="TOC3"/>
            <w:rPr>
              <w:rFonts w:asciiTheme="minorHAnsi" w:eastAsiaTheme="minorEastAsia" w:hAnsiTheme="minorHAnsi" w:cstheme="minorBidi"/>
              <w:noProof/>
              <w:sz w:val="22"/>
              <w:szCs w:val="22"/>
            </w:rPr>
          </w:pPr>
          <w:hyperlink w:anchor="_Toc69230524" w:history="1">
            <w:r w:rsidR="00327059" w:rsidRPr="001D168F">
              <w:rPr>
                <w:rStyle w:val="Hyperlink"/>
                <w:rFonts w:eastAsiaTheme="minorHAnsi"/>
                <w:noProof/>
              </w:rPr>
              <w:t>2.</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Recommended Decision</w:t>
            </w:r>
            <w:r w:rsidR="00327059">
              <w:rPr>
                <w:noProof/>
                <w:webHidden/>
              </w:rPr>
              <w:tab/>
            </w:r>
            <w:r w:rsidR="00327059">
              <w:rPr>
                <w:noProof/>
                <w:webHidden/>
              </w:rPr>
              <w:fldChar w:fldCharType="begin"/>
            </w:r>
            <w:r w:rsidR="00327059">
              <w:rPr>
                <w:noProof/>
                <w:webHidden/>
              </w:rPr>
              <w:instrText xml:space="preserve"> PAGEREF _Toc69230524 \h </w:instrText>
            </w:r>
            <w:r w:rsidR="00327059">
              <w:rPr>
                <w:noProof/>
                <w:webHidden/>
              </w:rPr>
            </w:r>
            <w:r w:rsidR="00327059">
              <w:rPr>
                <w:noProof/>
                <w:webHidden/>
              </w:rPr>
              <w:fldChar w:fldCharType="separate"/>
            </w:r>
            <w:r w:rsidR="00327059">
              <w:rPr>
                <w:noProof/>
                <w:webHidden/>
              </w:rPr>
              <w:t>43</w:t>
            </w:r>
            <w:r w:rsidR="00327059">
              <w:rPr>
                <w:noProof/>
                <w:webHidden/>
              </w:rPr>
              <w:fldChar w:fldCharType="end"/>
            </w:r>
          </w:hyperlink>
        </w:p>
        <w:p w14:paraId="389AADEA" w14:textId="7E9445BC" w:rsidR="00327059" w:rsidRDefault="00CA585A">
          <w:pPr>
            <w:pStyle w:val="TOC3"/>
            <w:rPr>
              <w:rFonts w:asciiTheme="minorHAnsi" w:eastAsiaTheme="minorEastAsia" w:hAnsiTheme="minorHAnsi" w:cstheme="minorBidi"/>
              <w:noProof/>
              <w:sz w:val="22"/>
              <w:szCs w:val="22"/>
            </w:rPr>
          </w:pPr>
          <w:hyperlink w:anchor="_Toc69230525" w:history="1">
            <w:r w:rsidR="00327059" w:rsidRPr="001D168F">
              <w:rPr>
                <w:rStyle w:val="Hyperlink"/>
                <w:rFonts w:eastAsiaTheme="minorHAnsi"/>
                <w:noProof/>
              </w:rPr>
              <w:t>3.</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OCA Exception No. 1 and Replies</w:t>
            </w:r>
            <w:r w:rsidR="00327059">
              <w:rPr>
                <w:noProof/>
                <w:webHidden/>
              </w:rPr>
              <w:tab/>
            </w:r>
            <w:r w:rsidR="00327059">
              <w:rPr>
                <w:noProof/>
                <w:webHidden/>
              </w:rPr>
              <w:fldChar w:fldCharType="begin"/>
            </w:r>
            <w:r w:rsidR="00327059">
              <w:rPr>
                <w:noProof/>
                <w:webHidden/>
              </w:rPr>
              <w:instrText xml:space="preserve"> PAGEREF _Toc69230525 \h </w:instrText>
            </w:r>
            <w:r w:rsidR="00327059">
              <w:rPr>
                <w:noProof/>
                <w:webHidden/>
              </w:rPr>
            </w:r>
            <w:r w:rsidR="00327059">
              <w:rPr>
                <w:noProof/>
                <w:webHidden/>
              </w:rPr>
              <w:fldChar w:fldCharType="separate"/>
            </w:r>
            <w:r w:rsidR="00327059">
              <w:rPr>
                <w:noProof/>
                <w:webHidden/>
              </w:rPr>
              <w:t>44</w:t>
            </w:r>
            <w:r w:rsidR="00327059">
              <w:rPr>
                <w:noProof/>
                <w:webHidden/>
              </w:rPr>
              <w:fldChar w:fldCharType="end"/>
            </w:r>
          </w:hyperlink>
        </w:p>
        <w:p w14:paraId="210ECDBD" w14:textId="0A01238C" w:rsidR="00327059" w:rsidRDefault="00CA585A">
          <w:pPr>
            <w:pStyle w:val="TOC3"/>
            <w:rPr>
              <w:rFonts w:asciiTheme="minorHAnsi" w:eastAsiaTheme="minorEastAsia" w:hAnsiTheme="minorHAnsi" w:cstheme="minorBidi"/>
              <w:noProof/>
              <w:sz w:val="22"/>
              <w:szCs w:val="22"/>
            </w:rPr>
          </w:pPr>
          <w:hyperlink w:anchor="_Toc69230526" w:history="1">
            <w:r w:rsidR="00327059" w:rsidRPr="001D168F">
              <w:rPr>
                <w:rStyle w:val="Hyperlink"/>
                <w:rFonts w:eastAsiaTheme="minorHAnsi"/>
                <w:noProof/>
              </w:rPr>
              <w:t>4.</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Disposition</w:t>
            </w:r>
            <w:r w:rsidR="00327059">
              <w:rPr>
                <w:noProof/>
                <w:webHidden/>
              </w:rPr>
              <w:tab/>
            </w:r>
            <w:r w:rsidR="00327059">
              <w:rPr>
                <w:noProof/>
                <w:webHidden/>
              </w:rPr>
              <w:fldChar w:fldCharType="begin"/>
            </w:r>
            <w:r w:rsidR="00327059">
              <w:rPr>
                <w:noProof/>
                <w:webHidden/>
              </w:rPr>
              <w:instrText xml:space="preserve"> PAGEREF _Toc69230526 \h </w:instrText>
            </w:r>
            <w:r w:rsidR="00327059">
              <w:rPr>
                <w:noProof/>
                <w:webHidden/>
              </w:rPr>
            </w:r>
            <w:r w:rsidR="00327059">
              <w:rPr>
                <w:noProof/>
                <w:webHidden/>
              </w:rPr>
              <w:fldChar w:fldCharType="separate"/>
            </w:r>
            <w:r w:rsidR="00327059">
              <w:rPr>
                <w:noProof/>
                <w:webHidden/>
              </w:rPr>
              <w:t>47</w:t>
            </w:r>
            <w:r w:rsidR="00327059">
              <w:rPr>
                <w:noProof/>
                <w:webHidden/>
              </w:rPr>
              <w:fldChar w:fldCharType="end"/>
            </w:r>
          </w:hyperlink>
        </w:p>
        <w:p w14:paraId="4FF79C6F" w14:textId="09361691" w:rsidR="00327059" w:rsidRDefault="00CA585A">
          <w:pPr>
            <w:pStyle w:val="TOC2"/>
            <w:rPr>
              <w:rFonts w:asciiTheme="minorHAnsi" w:eastAsiaTheme="minorEastAsia" w:hAnsiTheme="minorHAnsi" w:cstheme="minorBidi"/>
              <w:noProof/>
              <w:sz w:val="22"/>
              <w:szCs w:val="22"/>
            </w:rPr>
          </w:pPr>
          <w:hyperlink w:anchor="_Toc69230527" w:history="1">
            <w:r w:rsidR="00327059" w:rsidRPr="001D168F">
              <w:rPr>
                <w:rStyle w:val="Hyperlink"/>
                <w:rFonts w:eastAsiaTheme="minorHAnsi"/>
                <w:noProof/>
              </w:rPr>
              <w:t>B.</w:t>
            </w:r>
            <w:r w:rsidR="00327059">
              <w:rPr>
                <w:rFonts w:asciiTheme="minorHAnsi" w:eastAsiaTheme="minorEastAsia" w:hAnsiTheme="minorHAnsi" w:cstheme="minorBidi"/>
                <w:noProof/>
                <w:sz w:val="22"/>
                <w:szCs w:val="22"/>
              </w:rPr>
              <w:tab/>
            </w:r>
            <w:r w:rsidR="00327059" w:rsidRPr="001D168F">
              <w:rPr>
                <w:rStyle w:val="Hyperlink"/>
                <w:noProof/>
              </w:rPr>
              <w:t>Rate Base</w:t>
            </w:r>
            <w:r w:rsidR="00327059">
              <w:rPr>
                <w:noProof/>
                <w:webHidden/>
              </w:rPr>
              <w:tab/>
            </w:r>
            <w:r w:rsidR="00327059">
              <w:rPr>
                <w:noProof/>
                <w:webHidden/>
              </w:rPr>
              <w:fldChar w:fldCharType="begin"/>
            </w:r>
            <w:r w:rsidR="00327059">
              <w:rPr>
                <w:noProof/>
                <w:webHidden/>
              </w:rPr>
              <w:instrText xml:space="preserve"> PAGEREF _Toc69230527 \h </w:instrText>
            </w:r>
            <w:r w:rsidR="00327059">
              <w:rPr>
                <w:noProof/>
                <w:webHidden/>
              </w:rPr>
            </w:r>
            <w:r w:rsidR="00327059">
              <w:rPr>
                <w:noProof/>
                <w:webHidden/>
              </w:rPr>
              <w:fldChar w:fldCharType="separate"/>
            </w:r>
            <w:r w:rsidR="00327059">
              <w:rPr>
                <w:noProof/>
                <w:webHidden/>
              </w:rPr>
              <w:t>51</w:t>
            </w:r>
            <w:r w:rsidR="00327059">
              <w:rPr>
                <w:noProof/>
                <w:webHidden/>
              </w:rPr>
              <w:fldChar w:fldCharType="end"/>
            </w:r>
          </w:hyperlink>
        </w:p>
        <w:p w14:paraId="693920D1" w14:textId="168F340E" w:rsidR="00327059" w:rsidRDefault="00CA585A">
          <w:pPr>
            <w:pStyle w:val="TOC3"/>
            <w:rPr>
              <w:rFonts w:asciiTheme="minorHAnsi" w:eastAsiaTheme="minorEastAsia" w:hAnsiTheme="minorHAnsi" w:cstheme="minorBidi"/>
              <w:noProof/>
              <w:sz w:val="22"/>
              <w:szCs w:val="22"/>
            </w:rPr>
          </w:pPr>
          <w:hyperlink w:anchor="_Toc69230528" w:history="1">
            <w:r w:rsidR="00327059" w:rsidRPr="001D168F">
              <w:rPr>
                <w:rStyle w:val="Hyperlink"/>
                <w:rFonts w:eastAsiaTheme="minorHAnsi"/>
                <w:noProof/>
              </w:rPr>
              <w:t>1.</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Plant in Service – Water Treatment Emergency Generator</w:t>
            </w:r>
            <w:r w:rsidR="00327059">
              <w:rPr>
                <w:noProof/>
                <w:webHidden/>
              </w:rPr>
              <w:tab/>
            </w:r>
            <w:r w:rsidR="00327059">
              <w:rPr>
                <w:noProof/>
                <w:webHidden/>
              </w:rPr>
              <w:fldChar w:fldCharType="begin"/>
            </w:r>
            <w:r w:rsidR="00327059">
              <w:rPr>
                <w:noProof/>
                <w:webHidden/>
              </w:rPr>
              <w:instrText xml:space="preserve"> PAGEREF _Toc69230528 \h </w:instrText>
            </w:r>
            <w:r w:rsidR="00327059">
              <w:rPr>
                <w:noProof/>
                <w:webHidden/>
              </w:rPr>
            </w:r>
            <w:r w:rsidR="00327059">
              <w:rPr>
                <w:noProof/>
                <w:webHidden/>
              </w:rPr>
              <w:fldChar w:fldCharType="separate"/>
            </w:r>
            <w:r w:rsidR="00327059">
              <w:rPr>
                <w:noProof/>
                <w:webHidden/>
              </w:rPr>
              <w:t>53</w:t>
            </w:r>
            <w:r w:rsidR="00327059">
              <w:rPr>
                <w:noProof/>
                <w:webHidden/>
              </w:rPr>
              <w:fldChar w:fldCharType="end"/>
            </w:r>
          </w:hyperlink>
        </w:p>
        <w:p w14:paraId="4FACF19A" w14:textId="37A7A251" w:rsidR="00327059" w:rsidRDefault="00CA585A">
          <w:pPr>
            <w:pStyle w:val="TOC4"/>
            <w:rPr>
              <w:rFonts w:asciiTheme="minorHAnsi" w:eastAsiaTheme="minorEastAsia" w:hAnsiTheme="minorHAnsi" w:cstheme="minorBidi"/>
              <w:noProof/>
              <w:sz w:val="22"/>
              <w:szCs w:val="22"/>
            </w:rPr>
          </w:pPr>
          <w:hyperlink w:anchor="_Toc69230529" w:history="1">
            <w:r w:rsidR="00327059" w:rsidRPr="001D168F">
              <w:rPr>
                <w:rStyle w:val="Hyperlink"/>
                <w:rFonts w:eastAsiaTheme="minorHAnsi"/>
                <w:noProof/>
              </w:rPr>
              <w:t>a.</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Positions of the Parties</w:t>
            </w:r>
            <w:r w:rsidR="00327059">
              <w:rPr>
                <w:noProof/>
                <w:webHidden/>
              </w:rPr>
              <w:tab/>
            </w:r>
            <w:r w:rsidR="00327059">
              <w:rPr>
                <w:noProof/>
                <w:webHidden/>
              </w:rPr>
              <w:fldChar w:fldCharType="begin"/>
            </w:r>
            <w:r w:rsidR="00327059">
              <w:rPr>
                <w:noProof/>
                <w:webHidden/>
              </w:rPr>
              <w:instrText xml:space="preserve"> PAGEREF _Toc69230529 \h </w:instrText>
            </w:r>
            <w:r w:rsidR="00327059">
              <w:rPr>
                <w:noProof/>
                <w:webHidden/>
              </w:rPr>
            </w:r>
            <w:r w:rsidR="00327059">
              <w:rPr>
                <w:noProof/>
                <w:webHidden/>
              </w:rPr>
              <w:fldChar w:fldCharType="separate"/>
            </w:r>
            <w:r w:rsidR="00327059">
              <w:rPr>
                <w:noProof/>
                <w:webHidden/>
              </w:rPr>
              <w:t>53</w:t>
            </w:r>
            <w:r w:rsidR="00327059">
              <w:rPr>
                <w:noProof/>
                <w:webHidden/>
              </w:rPr>
              <w:fldChar w:fldCharType="end"/>
            </w:r>
          </w:hyperlink>
        </w:p>
        <w:p w14:paraId="38BD8E91" w14:textId="09D9004C" w:rsidR="00327059" w:rsidRDefault="00CA585A">
          <w:pPr>
            <w:pStyle w:val="TOC4"/>
            <w:rPr>
              <w:rFonts w:asciiTheme="minorHAnsi" w:eastAsiaTheme="minorEastAsia" w:hAnsiTheme="minorHAnsi" w:cstheme="minorBidi"/>
              <w:noProof/>
              <w:sz w:val="22"/>
              <w:szCs w:val="22"/>
            </w:rPr>
          </w:pPr>
          <w:hyperlink w:anchor="_Toc69230530" w:history="1">
            <w:r w:rsidR="00327059" w:rsidRPr="001D168F">
              <w:rPr>
                <w:rStyle w:val="Hyperlink"/>
                <w:rFonts w:eastAsiaTheme="minorHAnsi"/>
                <w:noProof/>
              </w:rPr>
              <w:t>b.</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Recommended Decision</w:t>
            </w:r>
            <w:r w:rsidR="00327059">
              <w:rPr>
                <w:noProof/>
                <w:webHidden/>
              </w:rPr>
              <w:tab/>
            </w:r>
            <w:r w:rsidR="00327059">
              <w:rPr>
                <w:noProof/>
                <w:webHidden/>
              </w:rPr>
              <w:fldChar w:fldCharType="begin"/>
            </w:r>
            <w:r w:rsidR="00327059">
              <w:rPr>
                <w:noProof/>
                <w:webHidden/>
              </w:rPr>
              <w:instrText xml:space="preserve"> PAGEREF _Toc69230530 \h </w:instrText>
            </w:r>
            <w:r w:rsidR="00327059">
              <w:rPr>
                <w:noProof/>
                <w:webHidden/>
              </w:rPr>
            </w:r>
            <w:r w:rsidR="00327059">
              <w:rPr>
                <w:noProof/>
                <w:webHidden/>
              </w:rPr>
              <w:fldChar w:fldCharType="separate"/>
            </w:r>
            <w:r w:rsidR="00327059">
              <w:rPr>
                <w:noProof/>
                <w:webHidden/>
              </w:rPr>
              <w:t>54</w:t>
            </w:r>
            <w:r w:rsidR="00327059">
              <w:rPr>
                <w:noProof/>
                <w:webHidden/>
              </w:rPr>
              <w:fldChar w:fldCharType="end"/>
            </w:r>
          </w:hyperlink>
        </w:p>
        <w:p w14:paraId="5B13208C" w14:textId="718353C3" w:rsidR="00327059" w:rsidRDefault="00CA585A">
          <w:pPr>
            <w:pStyle w:val="TOC4"/>
            <w:rPr>
              <w:rFonts w:asciiTheme="minorHAnsi" w:eastAsiaTheme="minorEastAsia" w:hAnsiTheme="minorHAnsi" w:cstheme="minorBidi"/>
              <w:noProof/>
              <w:sz w:val="22"/>
              <w:szCs w:val="22"/>
            </w:rPr>
          </w:pPr>
          <w:hyperlink w:anchor="_Toc69230531" w:history="1">
            <w:r w:rsidR="00327059" w:rsidRPr="001D168F">
              <w:rPr>
                <w:rStyle w:val="Hyperlink"/>
                <w:rFonts w:eastAsiaTheme="minorHAnsi"/>
                <w:noProof/>
              </w:rPr>
              <w:t>c.</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OCA Exception No. 2 and Replies</w:t>
            </w:r>
            <w:r w:rsidR="00327059">
              <w:rPr>
                <w:noProof/>
                <w:webHidden/>
              </w:rPr>
              <w:tab/>
            </w:r>
            <w:r w:rsidR="00327059">
              <w:rPr>
                <w:noProof/>
                <w:webHidden/>
              </w:rPr>
              <w:fldChar w:fldCharType="begin"/>
            </w:r>
            <w:r w:rsidR="00327059">
              <w:rPr>
                <w:noProof/>
                <w:webHidden/>
              </w:rPr>
              <w:instrText xml:space="preserve"> PAGEREF _Toc69230531 \h </w:instrText>
            </w:r>
            <w:r w:rsidR="00327059">
              <w:rPr>
                <w:noProof/>
                <w:webHidden/>
              </w:rPr>
            </w:r>
            <w:r w:rsidR="00327059">
              <w:rPr>
                <w:noProof/>
                <w:webHidden/>
              </w:rPr>
              <w:fldChar w:fldCharType="separate"/>
            </w:r>
            <w:r w:rsidR="00327059">
              <w:rPr>
                <w:noProof/>
                <w:webHidden/>
              </w:rPr>
              <w:t>55</w:t>
            </w:r>
            <w:r w:rsidR="00327059">
              <w:rPr>
                <w:noProof/>
                <w:webHidden/>
              </w:rPr>
              <w:fldChar w:fldCharType="end"/>
            </w:r>
          </w:hyperlink>
        </w:p>
        <w:p w14:paraId="07D48CD4" w14:textId="74419479" w:rsidR="00327059" w:rsidRDefault="00CA585A">
          <w:pPr>
            <w:pStyle w:val="TOC4"/>
            <w:rPr>
              <w:rFonts w:asciiTheme="minorHAnsi" w:eastAsiaTheme="minorEastAsia" w:hAnsiTheme="minorHAnsi" w:cstheme="minorBidi"/>
              <w:noProof/>
              <w:sz w:val="22"/>
              <w:szCs w:val="22"/>
            </w:rPr>
          </w:pPr>
          <w:hyperlink w:anchor="_Toc69230532" w:history="1">
            <w:r w:rsidR="00327059" w:rsidRPr="001D168F">
              <w:rPr>
                <w:rStyle w:val="Hyperlink"/>
                <w:rFonts w:eastAsiaTheme="minorHAnsi"/>
                <w:noProof/>
              </w:rPr>
              <w:t>d.</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Disposition</w:t>
            </w:r>
            <w:r w:rsidR="00327059">
              <w:rPr>
                <w:noProof/>
                <w:webHidden/>
              </w:rPr>
              <w:tab/>
            </w:r>
            <w:r w:rsidR="00327059">
              <w:rPr>
                <w:noProof/>
                <w:webHidden/>
              </w:rPr>
              <w:fldChar w:fldCharType="begin"/>
            </w:r>
            <w:r w:rsidR="00327059">
              <w:rPr>
                <w:noProof/>
                <w:webHidden/>
              </w:rPr>
              <w:instrText xml:space="preserve"> PAGEREF _Toc69230532 \h </w:instrText>
            </w:r>
            <w:r w:rsidR="00327059">
              <w:rPr>
                <w:noProof/>
                <w:webHidden/>
              </w:rPr>
            </w:r>
            <w:r w:rsidR="00327059">
              <w:rPr>
                <w:noProof/>
                <w:webHidden/>
              </w:rPr>
              <w:fldChar w:fldCharType="separate"/>
            </w:r>
            <w:r w:rsidR="00327059">
              <w:rPr>
                <w:noProof/>
                <w:webHidden/>
              </w:rPr>
              <w:t>55</w:t>
            </w:r>
            <w:r w:rsidR="00327059">
              <w:rPr>
                <w:noProof/>
                <w:webHidden/>
              </w:rPr>
              <w:fldChar w:fldCharType="end"/>
            </w:r>
          </w:hyperlink>
        </w:p>
        <w:p w14:paraId="002B5F0F" w14:textId="5B7C0463" w:rsidR="00327059" w:rsidRDefault="00CA585A">
          <w:pPr>
            <w:pStyle w:val="TOC3"/>
            <w:rPr>
              <w:rFonts w:asciiTheme="minorHAnsi" w:eastAsiaTheme="minorEastAsia" w:hAnsiTheme="minorHAnsi" w:cstheme="minorBidi"/>
              <w:noProof/>
              <w:sz w:val="22"/>
              <w:szCs w:val="22"/>
            </w:rPr>
          </w:pPr>
          <w:hyperlink w:anchor="_Toc69230533" w:history="1">
            <w:r w:rsidR="00327059" w:rsidRPr="001D168F">
              <w:rPr>
                <w:rStyle w:val="Hyperlink"/>
                <w:rFonts w:eastAsiaTheme="minorHAnsi"/>
                <w:noProof/>
              </w:rPr>
              <w:t>2.</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Plant in Service – Fire Pump Station</w:t>
            </w:r>
            <w:r w:rsidR="00327059">
              <w:rPr>
                <w:noProof/>
                <w:webHidden/>
              </w:rPr>
              <w:tab/>
            </w:r>
            <w:r w:rsidR="00327059">
              <w:rPr>
                <w:noProof/>
                <w:webHidden/>
              </w:rPr>
              <w:fldChar w:fldCharType="begin"/>
            </w:r>
            <w:r w:rsidR="00327059">
              <w:rPr>
                <w:noProof/>
                <w:webHidden/>
              </w:rPr>
              <w:instrText xml:space="preserve"> PAGEREF _Toc69230533 \h </w:instrText>
            </w:r>
            <w:r w:rsidR="00327059">
              <w:rPr>
                <w:noProof/>
                <w:webHidden/>
              </w:rPr>
            </w:r>
            <w:r w:rsidR="00327059">
              <w:rPr>
                <w:noProof/>
                <w:webHidden/>
              </w:rPr>
              <w:fldChar w:fldCharType="separate"/>
            </w:r>
            <w:r w:rsidR="00327059">
              <w:rPr>
                <w:noProof/>
                <w:webHidden/>
              </w:rPr>
              <w:t>56</w:t>
            </w:r>
            <w:r w:rsidR="00327059">
              <w:rPr>
                <w:noProof/>
                <w:webHidden/>
              </w:rPr>
              <w:fldChar w:fldCharType="end"/>
            </w:r>
          </w:hyperlink>
        </w:p>
        <w:p w14:paraId="1AEA8537" w14:textId="3A818C90" w:rsidR="00327059" w:rsidRDefault="00CA585A">
          <w:pPr>
            <w:pStyle w:val="TOC4"/>
            <w:rPr>
              <w:rFonts w:asciiTheme="minorHAnsi" w:eastAsiaTheme="minorEastAsia" w:hAnsiTheme="minorHAnsi" w:cstheme="minorBidi"/>
              <w:noProof/>
              <w:sz w:val="22"/>
              <w:szCs w:val="22"/>
            </w:rPr>
          </w:pPr>
          <w:hyperlink w:anchor="_Toc69230534" w:history="1">
            <w:r w:rsidR="00327059" w:rsidRPr="001D168F">
              <w:rPr>
                <w:rStyle w:val="Hyperlink"/>
                <w:rFonts w:eastAsiaTheme="minorHAnsi"/>
                <w:noProof/>
              </w:rPr>
              <w:t>a.</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Positions of the Parties</w:t>
            </w:r>
            <w:r w:rsidR="00327059">
              <w:rPr>
                <w:noProof/>
                <w:webHidden/>
              </w:rPr>
              <w:tab/>
            </w:r>
            <w:r w:rsidR="00327059">
              <w:rPr>
                <w:noProof/>
                <w:webHidden/>
              </w:rPr>
              <w:fldChar w:fldCharType="begin"/>
            </w:r>
            <w:r w:rsidR="00327059">
              <w:rPr>
                <w:noProof/>
                <w:webHidden/>
              </w:rPr>
              <w:instrText xml:space="preserve"> PAGEREF _Toc69230534 \h </w:instrText>
            </w:r>
            <w:r w:rsidR="00327059">
              <w:rPr>
                <w:noProof/>
                <w:webHidden/>
              </w:rPr>
            </w:r>
            <w:r w:rsidR="00327059">
              <w:rPr>
                <w:noProof/>
                <w:webHidden/>
              </w:rPr>
              <w:fldChar w:fldCharType="separate"/>
            </w:r>
            <w:r w:rsidR="00327059">
              <w:rPr>
                <w:noProof/>
                <w:webHidden/>
              </w:rPr>
              <w:t>56</w:t>
            </w:r>
            <w:r w:rsidR="00327059">
              <w:rPr>
                <w:noProof/>
                <w:webHidden/>
              </w:rPr>
              <w:fldChar w:fldCharType="end"/>
            </w:r>
          </w:hyperlink>
        </w:p>
        <w:p w14:paraId="32053C64" w14:textId="717857B1" w:rsidR="00327059" w:rsidRDefault="00CA585A">
          <w:pPr>
            <w:pStyle w:val="TOC4"/>
            <w:rPr>
              <w:rFonts w:asciiTheme="minorHAnsi" w:eastAsiaTheme="minorEastAsia" w:hAnsiTheme="minorHAnsi" w:cstheme="minorBidi"/>
              <w:noProof/>
              <w:sz w:val="22"/>
              <w:szCs w:val="22"/>
            </w:rPr>
          </w:pPr>
          <w:hyperlink w:anchor="_Toc69230535" w:history="1">
            <w:r w:rsidR="00327059" w:rsidRPr="001D168F">
              <w:rPr>
                <w:rStyle w:val="Hyperlink"/>
                <w:rFonts w:eastAsiaTheme="minorHAnsi"/>
                <w:noProof/>
              </w:rPr>
              <w:t>b.</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Recommended Decision</w:t>
            </w:r>
            <w:r w:rsidR="00327059">
              <w:rPr>
                <w:noProof/>
                <w:webHidden/>
              </w:rPr>
              <w:tab/>
            </w:r>
            <w:r w:rsidR="00327059">
              <w:rPr>
                <w:noProof/>
                <w:webHidden/>
              </w:rPr>
              <w:fldChar w:fldCharType="begin"/>
            </w:r>
            <w:r w:rsidR="00327059">
              <w:rPr>
                <w:noProof/>
                <w:webHidden/>
              </w:rPr>
              <w:instrText xml:space="preserve"> PAGEREF _Toc69230535 \h </w:instrText>
            </w:r>
            <w:r w:rsidR="00327059">
              <w:rPr>
                <w:noProof/>
                <w:webHidden/>
              </w:rPr>
            </w:r>
            <w:r w:rsidR="00327059">
              <w:rPr>
                <w:noProof/>
                <w:webHidden/>
              </w:rPr>
              <w:fldChar w:fldCharType="separate"/>
            </w:r>
            <w:r w:rsidR="00327059">
              <w:rPr>
                <w:noProof/>
                <w:webHidden/>
              </w:rPr>
              <w:t>57</w:t>
            </w:r>
            <w:r w:rsidR="00327059">
              <w:rPr>
                <w:noProof/>
                <w:webHidden/>
              </w:rPr>
              <w:fldChar w:fldCharType="end"/>
            </w:r>
          </w:hyperlink>
        </w:p>
        <w:p w14:paraId="0DEA8D0A" w14:textId="5BE8DEE9" w:rsidR="00327059" w:rsidRDefault="00CA585A">
          <w:pPr>
            <w:pStyle w:val="TOC4"/>
            <w:rPr>
              <w:rFonts w:asciiTheme="minorHAnsi" w:eastAsiaTheme="minorEastAsia" w:hAnsiTheme="minorHAnsi" w:cstheme="minorBidi"/>
              <w:noProof/>
              <w:sz w:val="22"/>
              <w:szCs w:val="22"/>
            </w:rPr>
          </w:pPr>
          <w:hyperlink w:anchor="_Toc69230536" w:history="1">
            <w:r w:rsidR="00327059" w:rsidRPr="001D168F">
              <w:rPr>
                <w:rStyle w:val="Hyperlink"/>
                <w:rFonts w:eastAsiaTheme="minorHAnsi"/>
                <w:noProof/>
              </w:rPr>
              <w:t>c.</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City Exception No. 1 and Replies</w:t>
            </w:r>
            <w:r w:rsidR="00327059">
              <w:rPr>
                <w:noProof/>
                <w:webHidden/>
              </w:rPr>
              <w:tab/>
            </w:r>
            <w:r w:rsidR="00327059">
              <w:rPr>
                <w:noProof/>
                <w:webHidden/>
              </w:rPr>
              <w:fldChar w:fldCharType="begin"/>
            </w:r>
            <w:r w:rsidR="00327059">
              <w:rPr>
                <w:noProof/>
                <w:webHidden/>
              </w:rPr>
              <w:instrText xml:space="preserve"> PAGEREF _Toc69230536 \h </w:instrText>
            </w:r>
            <w:r w:rsidR="00327059">
              <w:rPr>
                <w:noProof/>
                <w:webHidden/>
              </w:rPr>
            </w:r>
            <w:r w:rsidR="00327059">
              <w:rPr>
                <w:noProof/>
                <w:webHidden/>
              </w:rPr>
              <w:fldChar w:fldCharType="separate"/>
            </w:r>
            <w:r w:rsidR="00327059">
              <w:rPr>
                <w:noProof/>
                <w:webHidden/>
              </w:rPr>
              <w:t>57</w:t>
            </w:r>
            <w:r w:rsidR="00327059">
              <w:rPr>
                <w:noProof/>
                <w:webHidden/>
              </w:rPr>
              <w:fldChar w:fldCharType="end"/>
            </w:r>
          </w:hyperlink>
        </w:p>
        <w:p w14:paraId="7A3181C2" w14:textId="5BDD5B42" w:rsidR="00327059" w:rsidRDefault="00CA585A">
          <w:pPr>
            <w:pStyle w:val="TOC4"/>
            <w:rPr>
              <w:rFonts w:asciiTheme="minorHAnsi" w:eastAsiaTheme="minorEastAsia" w:hAnsiTheme="minorHAnsi" w:cstheme="minorBidi"/>
              <w:noProof/>
              <w:sz w:val="22"/>
              <w:szCs w:val="22"/>
            </w:rPr>
          </w:pPr>
          <w:hyperlink w:anchor="_Toc69230537" w:history="1">
            <w:r w:rsidR="00327059" w:rsidRPr="001D168F">
              <w:rPr>
                <w:rStyle w:val="Hyperlink"/>
                <w:rFonts w:eastAsiaTheme="minorHAnsi"/>
                <w:noProof/>
              </w:rPr>
              <w:t>d.</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Disposition</w:t>
            </w:r>
            <w:r w:rsidR="00327059">
              <w:rPr>
                <w:noProof/>
                <w:webHidden/>
              </w:rPr>
              <w:tab/>
            </w:r>
            <w:r w:rsidR="00327059">
              <w:rPr>
                <w:noProof/>
                <w:webHidden/>
              </w:rPr>
              <w:fldChar w:fldCharType="begin"/>
            </w:r>
            <w:r w:rsidR="00327059">
              <w:rPr>
                <w:noProof/>
                <w:webHidden/>
              </w:rPr>
              <w:instrText xml:space="preserve"> PAGEREF _Toc69230537 \h </w:instrText>
            </w:r>
            <w:r w:rsidR="00327059">
              <w:rPr>
                <w:noProof/>
                <w:webHidden/>
              </w:rPr>
            </w:r>
            <w:r w:rsidR="00327059">
              <w:rPr>
                <w:noProof/>
                <w:webHidden/>
              </w:rPr>
              <w:fldChar w:fldCharType="separate"/>
            </w:r>
            <w:r w:rsidR="00327059">
              <w:rPr>
                <w:noProof/>
                <w:webHidden/>
              </w:rPr>
              <w:t>58</w:t>
            </w:r>
            <w:r w:rsidR="00327059">
              <w:rPr>
                <w:noProof/>
                <w:webHidden/>
              </w:rPr>
              <w:fldChar w:fldCharType="end"/>
            </w:r>
          </w:hyperlink>
        </w:p>
        <w:p w14:paraId="584BFA78" w14:textId="78D56877" w:rsidR="00327059" w:rsidRDefault="00CA585A">
          <w:pPr>
            <w:pStyle w:val="TOC3"/>
            <w:rPr>
              <w:rFonts w:asciiTheme="minorHAnsi" w:eastAsiaTheme="minorEastAsia" w:hAnsiTheme="minorHAnsi" w:cstheme="minorBidi"/>
              <w:noProof/>
              <w:sz w:val="22"/>
              <w:szCs w:val="22"/>
            </w:rPr>
          </w:pPr>
          <w:hyperlink w:anchor="_Toc69230538" w:history="1">
            <w:r w:rsidR="00327059" w:rsidRPr="001D168F">
              <w:rPr>
                <w:rStyle w:val="Hyperlink"/>
                <w:rFonts w:eastAsiaTheme="minorHAnsi"/>
                <w:noProof/>
              </w:rPr>
              <w:t>3.</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Cash Working Capital</w:t>
            </w:r>
            <w:r w:rsidR="00327059">
              <w:rPr>
                <w:noProof/>
                <w:webHidden/>
              </w:rPr>
              <w:tab/>
            </w:r>
            <w:r w:rsidR="00327059">
              <w:rPr>
                <w:noProof/>
                <w:webHidden/>
              </w:rPr>
              <w:fldChar w:fldCharType="begin"/>
            </w:r>
            <w:r w:rsidR="00327059">
              <w:rPr>
                <w:noProof/>
                <w:webHidden/>
              </w:rPr>
              <w:instrText xml:space="preserve"> PAGEREF _Toc69230538 \h </w:instrText>
            </w:r>
            <w:r w:rsidR="00327059">
              <w:rPr>
                <w:noProof/>
                <w:webHidden/>
              </w:rPr>
            </w:r>
            <w:r w:rsidR="00327059">
              <w:rPr>
                <w:noProof/>
                <w:webHidden/>
              </w:rPr>
              <w:fldChar w:fldCharType="separate"/>
            </w:r>
            <w:r w:rsidR="00327059">
              <w:rPr>
                <w:noProof/>
                <w:webHidden/>
              </w:rPr>
              <w:t>59</w:t>
            </w:r>
            <w:r w:rsidR="00327059">
              <w:rPr>
                <w:noProof/>
                <w:webHidden/>
              </w:rPr>
              <w:fldChar w:fldCharType="end"/>
            </w:r>
          </w:hyperlink>
        </w:p>
        <w:p w14:paraId="75D4A555" w14:textId="7373B72A" w:rsidR="00327059" w:rsidRDefault="00CA585A">
          <w:pPr>
            <w:pStyle w:val="TOC4"/>
            <w:rPr>
              <w:rFonts w:asciiTheme="minorHAnsi" w:eastAsiaTheme="minorEastAsia" w:hAnsiTheme="minorHAnsi" w:cstheme="minorBidi"/>
              <w:noProof/>
              <w:sz w:val="22"/>
              <w:szCs w:val="22"/>
            </w:rPr>
          </w:pPr>
          <w:hyperlink w:anchor="_Toc69230539" w:history="1">
            <w:r w:rsidR="00327059" w:rsidRPr="001D168F">
              <w:rPr>
                <w:rStyle w:val="Hyperlink"/>
                <w:rFonts w:eastAsiaTheme="minorHAnsi"/>
                <w:noProof/>
              </w:rPr>
              <w:t>a.</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Positions of the Parties</w:t>
            </w:r>
            <w:r w:rsidR="00327059">
              <w:rPr>
                <w:noProof/>
                <w:webHidden/>
              </w:rPr>
              <w:tab/>
            </w:r>
            <w:r w:rsidR="00327059">
              <w:rPr>
                <w:noProof/>
                <w:webHidden/>
              </w:rPr>
              <w:fldChar w:fldCharType="begin"/>
            </w:r>
            <w:r w:rsidR="00327059">
              <w:rPr>
                <w:noProof/>
                <w:webHidden/>
              </w:rPr>
              <w:instrText xml:space="preserve"> PAGEREF _Toc69230539 \h </w:instrText>
            </w:r>
            <w:r w:rsidR="00327059">
              <w:rPr>
                <w:noProof/>
                <w:webHidden/>
              </w:rPr>
            </w:r>
            <w:r w:rsidR="00327059">
              <w:rPr>
                <w:noProof/>
                <w:webHidden/>
              </w:rPr>
              <w:fldChar w:fldCharType="separate"/>
            </w:r>
            <w:r w:rsidR="00327059">
              <w:rPr>
                <w:noProof/>
                <w:webHidden/>
              </w:rPr>
              <w:t>59</w:t>
            </w:r>
            <w:r w:rsidR="00327059">
              <w:rPr>
                <w:noProof/>
                <w:webHidden/>
              </w:rPr>
              <w:fldChar w:fldCharType="end"/>
            </w:r>
          </w:hyperlink>
        </w:p>
        <w:p w14:paraId="79D7A29D" w14:textId="44A66E9E" w:rsidR="00327059" w:rsidRDefault="00CA585A">
          <w:pPr>
            <w:pStyle w:val="TOC4"/>
            <w:rPr>
              <w:rFonts w:asciiTheme="minorHAnsi" w:eastAsiaTheme="minorEastAsia" w:hAnsiTheme="minorHAnsi" w:cstheme="minorBidi"/>
              <w:noProof/>
              <w:sz w:val="22"/>
              <w:szCs w:val="22"/>
            </w:rPr>
          </w:pPr>
          <w:hyperlink w:anchor="_Toc69230540" w:history="1">
            <w:r w:rsidR="00327059" w:rsidRPr="001D168F">
              <w:rPr>
                <w:rStyle w:val="Hyperlink"/>
                <w:rFonts w:eastAsiaTheme="minorHAnsi"/>
                <w:noProof/>
              </w:rPr>
              <w:t>b.</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Recommended Decision</w:t>
            </w:r>
            <w:r w:rsidR="00327059">
              <w:rPr>
                <w:noProof/>
                <w:webHidden/>
              </w:rPr>
              <w:tab/>
            </w:r>
            <w:r w:rsidR="00327059">
              <w:rPr>
                <w:noProof/>
                <w:webHidden/>
              </w:rPr>
              <w:fldChar w:fldCharType="begin"/>
            </w:r>
            <w:r w:rsidR="00327059">
              <w:rPr>
                <w:noProof/>
                <w:webHidden/>
              </w:rPr>
              <w:instrText xml:space="preserve"> PAGEREF _Toc69230540 \h </w:instrText>
            </w:r>
            <w:r w:rsidR="00327059">
              <w:rPr>
                <w:noProof/>
                <w:webHidden/>
              </w:rPr>
            </w:r>
            <w:r w:rsidR="00327059">
              <w:rPr>
                <w:noProof/>
                <w:webHidden/>
              </w:rPr>
              <w:fldChar w:fldCharType="separate"/>
            </w:r>
            <w:r w:rsidR="00327059">
              <w:rPr>
                <w:noProof/>
                <w:webHidden/>
              </w:rPr>
              <w:t>59</w:t>
            </w:r>
            <w:r w:rsidR="00327059">
              <w:rPr>
                <w:noProof/>
                <w:webHidden/>
              </w:rPr>
              <w:fldChar w:fldCharType="end"/>
            </w:r>
          </w:hyperlink>
        </w:p>
        <w:p w14:paraId="6086613C" w14:textId="37E509D8" w:rsidR="00327059" w:rsidRDefault="00CA585A">
          <w:pPr>
            <w:pStyle w:val="TOC4"/>
            <w:rPr>
              <w:rFonts w:asciiTheme="minorHAnsi" w:eastAsiaTheme="minorEastAsia" w:hAnsiTheme="minorHAnsi" w:cstheme="minorBidi"/>
              <w:noProof/>
              <w:sz w:val="22"/>
              <w:szCs w:val="22"/>
            </w:rPr>
          </w:pPr>
          <w:hyperlink w:anchor="_Toc69230541" w:history="1">
            <w:r w:rsidR="00327059" w:rsidRPr="001D168F">
              <w:rPr>
                <w:rStyle w:val="Hyperlink"/>
                <w:rFonts w:eastAsiaTheme="minorHAnsi"/>
                <w:noProof/>
              </w:rPr>
              <w:t>c.</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City Exception No. 2 and Replies</w:t>
            </w:r>
            <w:r w:rsidR="00327059">
              <w:rPr>
                <w:noProof/>
                <w:webHidden/>
              </w:rPr>
              <w:tab/>
            </w:r>
            <w:r w:rsidR="00327059">
              <w:rPr>
                <w:noProof/>
                <w:webHidden/>
              </w:rPr>
              <w:fldChar w:fldCharType="begin"/>
            </w:r>
            <w:r w:rsidR="00327059">
              <w:rPr>
                <w:noProof/>
                <w:webHidden/>
              </w:rPr>
              <w:instrText xml:space="preserve"> PAGEREF _Toc69230541 \h </w:instrText>
            </w:r>
            <w:r w:rsidR="00327059">
              <w:rPr>
                <w:noProof/>
                <w:webHidden/>
              </w:rPr>
            </w:r>
            <w:r w:rsidR="00327059">
              <w:rPr>
                <w:noProof/>
                <w:webHidden/>
              </w:rPr>
              <w:fldChar w:fldCharType="separate"/>
            </w:r>
            <w:r w:rsidR="00327059">
              <w:rPr>
                <w:noProof/>
                <w:webHidden/>
              </w:rPr>
              <w:t>60</w:t>
            </w:r>
            <w:r w:rsidR="00327059">
              <w:rPr>
                <w:noProof/>
                <w:webHidden/>
              </w:rPr>
              <w:fldChar w:fldCharType="end"/>
            </w:r>
          </w:hyperlink>
        </w:p>
        <w:p w14:paraId="1E4D32E9" w14:textId="7D68186A" w:rsidR="00327059" w:rsidRDefault="00CA585A">
          <w:pPr>
            <w:pStyle w:val="TOC4"/>
            <w:rPr>
              <w:rFonts w:asciiTheme="minorHAnsi" w:eastAsiaTheme="minorEastAsia" w:hAnsiTheme="minorHAnsi" w:cstheme="minorBidi"/>
              <w:noProof/>
              <w:sz w:val="22"/>
              <w:szCs w:val="22"/>
            </w:rPr>
          </w:pPr>
          <w:hyperlink w:anchor="_Toc69230542" w:history="1">
            <w:r w:rsidR="00327059" w:rsidRPr="001D168F">
              <w:rPr>
                <w:rStyle w:val="Hyperlink"/>
                <w:rFonts w:eastAsiaTheme="minorHAnsi"/>
                <w:noProof/>
              </w:rPr>
              <w:t>d.</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Disposition</w:t>
            </w:r>
            <w:r w:rsidR="00327059">
              <w:rPr>
                <w:noProof/>
                <w:webHidden/>
              </w:rPr>
              <w:tab/>
            </w:r>
            <w:r w:rsidR="00327059">
              <w:rPr>
                <w:noProof/>
                <w:webHidden/>
              </w:rPr>
              <w:fldChar w:fldCharType="begin"/>
            </w:r>
            <w:r w:rsidR="00327059">
              <w:rPr>
                <w:noProof/>
                <w:webHidden/>
              </w:rPr>
              <w:instrText xml:space="preserve"> PAGEREF _Toc69230542 \h </w:instrText>
            </w:r>
            <w:r w:rsidR="00327059">
              <w:rPr>
                <w:noProof/>
                <w:webHidden/>
              </w:rPr>
            </w:r>
            <w:r w:rsidR="00327059">
              <w:rPr>
                <w:noProof/>
                <w:webHidden/>
              </w:rPr>
              <w:fldChar w:fldCharType="separate"/>
            </w:r>
            <w:r w:rsidR="00327059">
              <w:rPr>
                <w:noProof/>
                <w:webHidden/>
              </w:rPr>
              <w:t>60</w:t>
            </w:r>
            <w:r w:rsidR="00327059">
              <w:rPr>
                <w:noProof/>
                <w:webHidden/>
              </w:rPr>
              <w:fldChar w:fldCharType="end"/>
            </w:r>
          </w:hyperlink>
        </w:p>
        <w:p w14:paraId="12A6CEA4" w14:textId="74D9227F" w:rsidR="00327059" w:rsidRDefault="00CA585A">
          <w:pPr>
            <w:pStyle w:val="TOC2"/>
            <w:rPr>
              <w:rFonts w:asciiTheme="minorHAnsi" w:eastAsiaTheme="minorEastAsia" w:hAnsiTheme="minorHAnsi" w:cstheme="minorBidi"/>
              <w:noProof/>
              <w:sz w:val="22"/>
              <w:szCs w:val="22"/>
            </w:rPr>
          </w:pPr>
          <w:hyperlink w:anchor="_Toc69230543" w:history="1">
            <w:r w:rsidR="00327059" w:rsidRPr="001D168F">
              <w:rPr>
                <w:rStyle w:val="Hyperlink"/>
                <w:noProof/>
              </w:rPr>
              <w:t>C.</w:t>
            </w:r>
            <w:r w:rsidR="00327059">
              <w:rPr>
                <w:rFonts w:asciiTheme="minorHAnsi" w:eastAsiaTheme="minorEastAsia" w:hAnsiTheme="minorHAnsi" w:cstheme="minorBidi"/>
                <w:noProof/>
                <w:sz w:val="22"/>
                <w:szCs w:val="22"/>
              </w:rPr>
              <w:tab/>
            </w:r>
            <w:r w:rsidR="00327059" w:rsidRPr="001D168F">
              <w:rPr>
                <w:rStyle w:val="Hyperlink"/>
                <w:noProof/>
              </w:rPr>
              <w:t>Rate Case Expense</w:t>
            </w:r>
            <w:r w:rsidR="00327059">
              <w:rPr>
                <w:noProof/>
                <w:webHidden/>
              </w:rPr>
              <w:tab/>
            </w:r>
            <w:r w:rsidR="00327059">
              <w:rPr>
                <w:noProof/>
                <w:webHidden/>
              </w:rPr>
              <w:fldChar w:fldCharType="begin"/>
            </w:r>
            <w:r w:rsidR="00327059">
              <w:rPr>
                <w:noProof/>
                <w:webHidden/>
              </w:rPr>
              <w:instrText xml:space="preserve"> PAGEREF _Toc69230543 \h </w:instrText>
            </w:r>
            <w:r w:rsidR="00327059">
              <w:rPr>
                <w:noProof/>
                <w:webHidden/>
              </w:rPr>
            </w:r>
            <w:r w:rsidR="00327059">
              <w:rPr>
                <w:noProof/>
                <w:webHidden/>
              </w:rPr>
              <w:fldChar w:fldCharType="separate"/>
            </w:r>
            <w:r w:rsidR="00327059">
              <w:rPr>
                <w:noProof/>
                <w:webHidden/>
              </w:rPr>
              <w:t>61</w:t>
            </w:r>
            <w:r w:rsidR="00327059">
              <w:rPr>
                <w:noProof/>
                <w:webHidden/>
              </w:rPr>
              <w:fldChar w:fldCharType="end"/>
            </w:r>
          </w:hyperlink>
        </w:p>
        <w:p w14:paraId="245233AF" w14:textId="1645D3C0" w:rsidR="00327059" w:rsidRDefault="00CA585A">
          <w:pPr>
            <w:pStyle w:val="TOC3"/>
            <w:rPr>
              <w:rFonts w:asciiTheme="minorHAnsi" w:eastAsiaTheme="minorEastAsia" w:hAnsiTheme="minorHAnsi" w:cstheme="minorBidi"/>
              <w:noProof/>
              <w:sz w:val="22"/>
              <w:szCs w:val="22"/>
            </w:rPr>
          </w:pPr>
          <w:hyperlink w:anchor="_Toc69230544" w:history="1">
            <w:r w:rsidR="00327059" w:rsidRPr="001D168F">
              <w:rPr>
                <w:rStyle w:val="Hyperlink"/>
                <w:rFonts w:eastAsiaTheme="minorHAnsi"/>
                <w:noProof/>
              </w:rPr>
              <w:t>1.</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Positions of the Parties</w:t>
            </w:r>
            <w:r w:rsidR="00327059">
              <w:rPr>
                <w:noProof/>
                <w:webHidden/>
              </w:rPr>
              <w:tab/>
            </w:r>
            <w:r w:rsidR="00327059">
              <w:rPr>
                <w:noProof/>
                <w:webHidden/>
              </w:rPr>
              <w:fldChar w:fldCharType="begin"/>
            </w:r>
            <w:r w:rsidR="00327059">
              <w:rPr>
                <w:noProof/>
                <w:webHidden/>
              </w:rPr>
              <w:instrText xml:space="preserve"> PAGEREF _Toc69230544 \h </w:instrText>
            </w:r>
            <w:r w:rsidR="00327059">
              <w:rPr>
                <w:noProof/>
                <w:webHidden/>
              </w:rPr>
            </w:r>
            <w:r w:rsidR="00327059">
              <w:rPr>
                <w:noProof/>
                <w:webHidden/>
              </w:rPr>
              <w:fldChar w:fldCharType="separate"/>
            </w:r>
            <w:r w:rsidR="00327059">
              <w:rPr>
                <w:noProof/>
                <w:webHidden/>
              </w:rPr>
              <w:t>61</w:t>
            </w:r>
            <w:r w:rsidR="00327059">
              <w:rPr>
                <w:noProof/>
                <w:webHidden/>
              </w:rPr>
              <w:fldChar w:fldCharType="end"/>
            </w:r>
          </w:hyperlink>
        </w:p>
        <w:p w14:paraId="00958CB5" w14:textId="6D812E5D" w:rsidR="00327059" w:rsidRDefault="00CA585A">
          <w:pPr>
            <w:pStyle w:val="TOC3"/>
            <w:rPr>
              <w:rFonts w:asciiTheme="minorHAnsi" w:eastAsiaTheme="minorEastAsia" w:hAnsiTheme="minorHAnsi" w:cstheme="minorBidi"/>
              <w:noProof/>
              <w:sz w:val="22"/>
              <w:szCs w:val="22"/>
            </w:rPr>
          </w:pPr>
          <w:hyperlink w:anchor="_Toc69230545" w:history="1">
            <w:r w:rsidR="00327059" w:rsidRPr="001D168F">
              <w:rPr>
                <w:rStyle w:val="Hyperlink"/>
                <w:rFonts w:eastAsiaTheme="minorHAnsi"/>
                <w:noProof/>
              </w:rPr>
              <w:t>2.</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Recommended Decision</w:t>
            </w:r>
            <w:r w:rsidR="00327059">
              <w:rPr>
                <w:noProof/>
                <w:webHidden/>
              </w:rPr>
              <w:tab/>
            </w:r>
            <w:r w:rsidR="00327059">
              <w:rPr>
                <w:noProof/>
                <w:webHidden/>
              </w:rPr>
              <w:fldChar w:fldCharType="begin"/>
            </w:r>
            <w:r w:rsidR="00327059">
              <w:rPr>
                <w:noProof/>
                <w:webHidden/>
              </w:rPr>
              <w:instrText xml:space="preserve"> PAGEREF _Toc69230545 \h </w:instrText>
            </w:r>
            <w:r w:rsidR="00327059">
              <w:rPr>
                <w:noProof/>
                <w:webHidden/>
              </w:rPr>
            </w:r>
            <w:r w:rsidR="00327059">
              <w:rPr>
                <w:noProof/>
                <w:webHidden/>
              </w:rPr>
              <w:fldChar w:fldCharType="separate"/>
            </w:r>
            <w:r w:rsidR="00327059">
              <w:rPr>
                <w:noProof/>
                <w:webHidden/>
              </w:rPr>
              <w:t>63</w:t>
            </w:r>
            <w:r w:rsidR="00327059">
              <w:rPr>
                <w:noProof/>
                <w:webHidden/>
              </w:rPr>
              <w:fldChar w:fldCharType="end"/>
            </w:r>
          </w:hyperlink>
        </w:p>
        <w:p w14:paraId="04439DDA" w14:textId="5162DE73" w:rsidR="00327059" w:rsidRDefault="00CA585A">
          <w:pPr>
            <w:pStyle w:val="TOC3"/>
            <w:rPr>
              <w:rFonts w:asciiTheme="minorHAnsi" w:eastAsiaTheme="minorEastAsia" w:hAnsiTheme="minorHAnsi" w:cstheme="minorBidi"/>
              <w:noProof/>
              <w:sz w:val="22"/>
              <w:szCs w:val="22"/>
            </w:rPr>
          </w:pPr>
          <w:hyperlink w:anchor="_Toc69230546" w:history="1">
            <w:r w:rsidR="00327059" w:rsidRPr="001D168F">
              <w:rPr>
                <w:rStyle w:val="Hyperlink"/>
                <w:rFonts w:eastAsiaTheme="minorHAnsi"/>
                <w:noProof/>
              </w:rPr>
              <w:t>3.</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Exceptions and Replies</w:t>
            </w:r>
            <w:r w:rsidR="00327059">
              <w:rPr>
                <w:noProof/>
                <w:webHidden/>
              </w:rPr>
              <w:tab/>
            </w:r>
            <w:r w:rsidR="00327059">
              <w:rPr>
                <w:noProof/>
                <w:webHidden/>
              </w:rPr>
              <w:fldChar w:fldCharType="begin"/>
            </w:r>
            <w:r w:rsidR="00327059">
              <w:rPr>
                <w:noProof/>
                <w:webHidden/>
              </w:rPr>
              <w:instrText xml:space="preserve"> PAGEREF _Toc69230546 \h </w:instrText>
            </w:r>
            <w:r w:rsidR="00327059">
              <w:rPr>
                <w:noProof/>
                <w:webHidden/>
              </w:rPr>
            </w:r>
            <w:r w:rsidR="00327059">
              <w:rPr>
                <w:noProof/>
                <w:webHidden/>
              </w:rPr>
              <w:fldChar w:fldCharType="separate"/>
            </w:r>
            <w:r w:rsidR="00327059">
              <w:rPr>
                <w:noProof/>
                <w:webHidden/>
              </w:rPr>
              <w:t>64</w:t>
            </w:r>
            <w:r w:rsidR="00327059">
              <w:rPr>
                <w:noProof/>
                <w:webHidden/>
              </w:rPr>
              <w:fldChar w:fldCharType="end"/>
            </w:r>
          </w:hyperlink>
        </w:p>
        <w:p w14:paraId="310B5A1D" w14:textId="3FB2D51F" w:rsidR="00327059" w:rsidRDefault="00CA585A">
          <w:pPr>
            <w:pStyle w:val="TOC4"/>
            <w:rPr>
              <w:rFonts w:asciiTheme="minorHAnsi" w:eastAsiaTheme="minorEastAsia" w:hAnsiTheme="minorHAnsi" w:cstheme="minorBidi"/>
              <w:noProof/>
              <w:sz w:val="22"/>
              <w:szCs w:val="22"/>
            </w:rPr>
          </w:pPr>
          <w:hyperlink w:anchor="_Toc69230547" w:history="1">
            <w:r w:rsidR="00327059" w:rsidRPr="001D168F">
              <w:rPr>
                <w:rStyle w:val="Hyperlink"/>
                <w:rFonts w:eastAsiaTheme="minorHAnsi"/>
                <w:noProof/>
              </w:rPr>
              <w:t>a.</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City Exception No. 3 and Replies</w:t>
            </w:r>
            <w:r w:rsidR="00327059">
              <w:rPr>
                <w:noProof/>
                <w:webHidden/>
              </w:rPr>
              <w:tab/>
            </w:r>
            <w:r w:rsidR="00327059">
              <w:rPr>
                <w:noProof/>
                <w:webHidden/>
              </w:rPr>
              <w:fldChar w:fldCharType="begin"/>
            </w:r>
            <w:r w:rsidR="00327059">
              <w:rPr>
                <w:noProof/>
                <w:webHidden/>
              </w:rPr>
              <w:instrText xml:space="preserve"> PAGEREF _Toc69230547 \h </w:instrText>
            </w:r>
            <w:r w:rsidR="00327059">
              <w:rPr>
                <w:noProof/>
                <w:webHidden/>
              </w:rPr>
            </w:r>
            <w:r w:rsidR="00327059">
              <w:rPr>
                <w:noProof/>
                <w:webHidden/>
              </w:rPr>
              <w:fldChar w:fldCharType="separate"/>
            </w:r>
            <w:r w:rsidR="00327059">
              <w:rPr>
                <w:noProof/>
                <w:webHidden/>
              </w:rPr>
              <w:t>64</w:t>
            </w:r>
            <w:r w:rsidR="00327059">
              <w:rPr>
                <w:noProof/>
                <w:webHidden/>
              </w:rPr>
              <w:fldChar w:fldCharType="end"/>
            </w:r>
          </w:hyperlink>
        </w:p>
        <w:p w14:paraId="1B8CC610" w14:textId="3E5D12F3" w:rsidR="00327059" w:rsidRDefault="00CA585A">
          <w:pPr>
            <w:pStyle w:val="TOC4"/>
            <w:rPr>
              <w:rFonts w:asciiTheme="minorHAnsi" w:eastAsiaTheme="minorEastAsia" w:hAnsiTheme="minorHAnsi" w:cstheme="minorBidi"/>
              <w:noProof/>
              <w:sz w:val="22"/>
              <w:szCs w:val="22"/>
            </w:rPr>
          </w:pPr>
          <w:hyperlink w:anchor="_Toc69230548" w:history="1">
            <w:r w:rsidR="00327059" w:rsidRPr="001D168F">
              <w:rPr>
                <w:rStyle w:val="Hyperlink"/>
                <w:rFonts w:eastAsiaTheme="minorHAnsi"/>
                <w:noProof/>
              </w:rPr>
              <w:t>b.</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OCA Exception No. 4 and Replies</w:t>
            </w:r>
            <w:r w:rsidR="00327059">
              <w:rPr>
                <w:noProof/>
                <w:webHidden/>
              </w:rPr>
              <w:tab/>
            </w:r>
            <w:r w:rsidR="00327059">
              <w:rPr>
                <w:noProof/>
                <w:webHidden/>
              </w:rPr>
              <w:fldChar w:fldCharType="begin"/>
            </w:r>
            <w:r w:rsidR="00327059">
              <w:rPr>
                <w:noProof/>
                <w:webHidden/>
              </w:rPr>
              <w:instrText xml:space="preserve"> PAGEREF _Toc69230548 \h </w:instrText>
            </w:r>
            <w:r w:rsidR="00327059">
              <w:rPr>
                <w:noProof/>
                <w:webHidden/>
              </w:rPr>
            </w:r>
            <w:r w:rsidR="00327059">
              <w:rPr>
                <w:noProof/>
                <w:webHidden/>
              </w:rPr>
              <w:fldChar w:fldCharType="separate"/>
            </w:r>
            <w:r w:rsidR="00327059">
              <w:rPr>
                <w:noProof/>
                <w:webHidden/>
              </w:rPr>
              <w:t>66</w:t>
            </w:r>
            <w:r w:rsidR="00327059">
              <w:rPr>
                <w:noProof/>
                <w:webHidden/>
              </w:rPr>
              <w:fldChar w:fldCharType="end"/>
            </w:r>
          </w:hyperlink>
        </w:p>
        <w:p w14:paraId="02971EDB" w14:textId="4B82963F" w:rsidR="00327059" w:rsidRDefault="00CA585A">
          <w:pPr>
            <w:pStyle w:val="TOC3"/>
            <w:rPr>
              <w:rFonts w:asciiTheme="minorHAnsi" w:eastAsiaTheme="minorEastAsia" w:hAnsiTheme="minorHAnsi" w:cstheme="minorBidi"/>
              <w:noProof/>
              <w:sz w:val="22"/>
              <w:szCs w:val="22"/>
            </w:rPr>
          </w:pPr>
          <w:hyperlink w:anchor="_Toc69230549" w:history="1">
            <w:r w:rsidR="00327059" w:rsidRPr="001D168F">
              <w:rPr>
                <w:rStyle w:val="Hyperlink"/>
                <w:rFonts w:eastAsiaTheme="minorHAnsi"/>
                <w:noProof/>
              </w:rPr>
              <w:t>4.</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Disposition</w:t>
            </w:r>
            <w:r w:rsidR="00327059">
              <w:rPr>
                <w:noProof/>
                <w:webHidden/>
              </w:rPr>
              <w:tab/>
            </w:r>
            <w:r w:rsidR="00327059">
              <w:rPr>
                <w:noProof/>
                <w:webHidden/>
              </w:rPr>
              <w:fldChar w:fldCharType="begin"/>
            </w:r>
            <w:r w:rsidR="00327059">
              <w:rPr>
                <w:noProof/>
                <w:webHidden/>
              </w:rPr>
              <w:instrText xml:space="preserve"> PAGEREF _Toc69230549 \h </w:instrText>
            </w:r>
            <w:r w:rsidR="00327059">
              <w:rPr>
                <w:noProof/>
                <w:webHidden/>
              </w:rPr>
            </w:r>
            <w:r w:rsidR="00327059">
              <w:rPr>
                <w:noProof/>
                <w:webHidden/>
              </w:rPr>
              <w:fldChar w:fldCharType="separate"/>
            </w:r>
            <w:r w:rsidR="00327059">
              <w:rPr>
                <w:noProof/>
                <w:webHidden/>
              </w:rPr>
              <w:t>67</w:t>
            </w:r>
            <w:r w:rsidR="00327059">
              <w:rPr>
                <w:noProof/>
                <w:webHidden/>
              </w:rPr>
              <w:fldChar w:fldCharType="end"/>
            </w:r>
          </w:hyperlink>
        </w:p>
        <w:p w14:paraId="7A877AE1" w14:textId="4AD49F8B" w:rsidR="00327059" w:rsidRDefault="00CA585A">
          <w:pPr>
            <w:pStyle w:val="TOC2"/>
            <w:rPr>
              <w:rFonts w:asciiTheme="minorHAnsi" w:eastAsiaTheme="minorEastAsia" w:hAnsiTheme="minorHAnsi" w:cstheme="minorBidi"/>
              <w:noProof/>
              <w:sz w:val="22"/>
              <w:szCs w:val="22"/>
            </w:rPr>
          </w:pPr>
          <w:hyperlink w:anchor="_Toc69230550" w:history="1">
            <w:r w:rsidR="00327059" w:rsidRPr="001D168F">
              <w:rPr>
                <w:rStyle w:val="Hyperlink"/>
                <w:noProof/>
              </w:rPr>
              <w:t>D.</w:t>
            </w:r>
            <w:r w:rsidR="00327059">
              <w:rPr>
                <w:rFonts w:asciiTheme="minorHAnsi" w:eastAsiaTheme="minorEastAsia" w:hAnsiTheme="minorHAnsi" w:cstheme="minorBidi"/>
                <w:noProof/>
                <w:sz w:val="22"/>
                <w:szCs w:val="22"/>
              </w:rPr>
              <w:tab/>
            </w:r>
            <w:r w:rsidR="00327059" w:rsidRPr="001D168F">
              <w:rPr>
                <w:rStyle w:val="Hyperlink"/>
                <w:noProof/>
              </w:rPr>
              <w:t>Salaries and Wage Expenses / Social Security Expense</w:t>
            </w:r>
            <w:r w:rsidR="00327059">
              <w:rPr>
                <w:noProof/>
                <w:webHidden/>
              </w:rPr>
              <w:tab/>
            </w:r>
            <w:r w:rsidR="00327059">
              <w:rPr>
                <w:noProof/>
                <w:webHidden/>
              </w:rPr>
              <w:fldChar w:fldCharType="begin"/>
            </w:r>
            <w:r w:rsidR="00327059">
              <w:rPr>
                <w:noProof/>
                <w:webHidden/>
              </w:rPr>
              <w:instrText xml:space="preserve"> PAGEREF _Toc69230550 \h </w:instrText>
            </w:r>
            <w:r w:rsidR="00327059">
              <w:rPr>
                <w:noProof/>
                <w:webHidden/>
              </w:rPr>
            </w:r>
            <w:r w:rsidR="00327059">
              <w:rPr>
                <w:noProof/>
                <w:webHidden/>
              </w:rPr>
              <w:fldChar w:fldCharType="separate"/>
            </w:r>
            <w:r w:rsidR="00327059">
              <w:rPr>
                <w:noProof/>
                <w:webHidden/>
              </w:rPr>
              <w:t>68</w:t>
            </w:r>
            <w:r w:rsidR="00327059">
              <w:rPr>
                <w:noProof/>
                <w:webHidden/>
              </w:rPr>
              <w:fldChar w:fldCharType="end"/>
            </w:r>
          </w:hyperlink>
        </w:p>
        <w:p w14:paraId="3A81FE98" w14:textId="4790F1C8" w:rsidR="00327059" w:rsidRDefault="00CA585A">
          <w:pPr>
            <w:pStyle w:val="TOC3"/>
            <w:rPr>
              <w:rFonts w:asciiTheme="minorHAnsi" w:eastAsiaTheme="minorEastAsia" w:hAnsiTheme="minorHAnsi" w:cstheme="minorBidi"/>
              <w:noProof/>
              <w:sz w:val="22"/>
              <w:szCs w:val="22"/>
            </w:rPr>
          </w:pPr>
          <w:hyperlink w:anchor="_Toc69230551" w:history="1">
            <w:r w:rsidR="00327059" w:rsidRPr="001D168F">
              <w:rPr>
                <w:rStyle w:val="Hyperlink"/>
                <w:rFonts w:eastAsiaTheme="minorHAnsi"/>
                <w:noProof/>
              </w:rPr>
              <w:t>1.</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Positions of the Parties</w:t>
            </w:r>
            <w:r w:rsidR="00327059">
              <w:rPr>
                <w:noProof/>
                <w:webHidden/>
              </w:rPr>
              <w:tab/>
            </w:r>
            <w:r w:rsidR="00327059">
              <w:rPr>
                <w:noProof/>
                <w:webHidden/>
              </w:rPr>
              <w:fldChar w:fldCharType="begin"/>
            </w:r>
            <w:r w:rsidR="00327059">
              <w:rPr>
                <w:noProof/>
                <w:webHidden/>
              </w:rPr>
              <w:instrText xml:space="preserve"> PAGEREF _Toc69230551 \h </w:instrText>
            </w:r>
            <w:r w:rsidR="00327059">
              <w:rPr>
                <w:noProof/>
                <w:webHidden/>
              </w:rPr>
            </w:r>
            <w:r w:rsidR="00327059">
              <w:rPr>
                <w:noProof/>
                <w:webHidden/>
              </w:rPr>
              <w:fldChar w:fldCharType="separate"/>
            </w:r>
            <w:r w:rsidR="00327059">
              <w:rPr>
                <w:noProof/>
                <w:webHidden/>
              </w:rPr>
              <w:t>68</w:t>
            </w:r>
            <w:r w:rsidR="00327059">
              <w:rPr>
                <w:noProof/>
                <w:webHidden/>
              </w:rPr>
              <w:fldChar w:fldCharType="end"/>
            </w:r>
          </w:hyperlink>
        </w:p>
        <w:p w14:paraId="2810CEEF" w14:textId="7F33FC2C" w:rsidR="00327059" w:rsidRDefault="00CA585A">
          <w:pPr>
            <w:pStyle w:val="TOC3"/>
            <w:rPr>
              <w:rFonts w:asciiTheme="minorHAnsi" w:eastAsiaTheme="minorEastAsia" w:hAnsiTheme="minorHAnsi" w:cstheme="minorBidi"/>
              <w:noProof/>
              <w:sz w:val="22"/>
              <w:szCs w:val="22"/>
            </w:rPr>
          </w:pPr>
          <w:hyperlink w:anchor="_Toc69230552" w:history="1">
            <w:r w:rsidR="00327059" w:rsidRPr="001D168F">
              <w:rPr>
                <w:rStyle w:val="Hyperlink"/>
                <w:rFonts w:eastAsiaTheme="minorHAnsi"/>
                <w:noProof/>
              </w:rPr>
              <w:t>2.</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Recommended Decision</w:t>
            </w:r>
            <w:r w:rsidR="00327059">
              <w:rPr>
                <w:noProof/>
                <w:webHidden/>
              </w:rPr>
              <w:tab/>
            </w:r>
            <w:r w:rsidR="00327059">
              <w:rPr>
                <w:noProof/>
                <w:webHidden/>
              </w:rPr>
              <w:fldChar w:fldCharType="begin"/>
            </w:r>
            <w:r w:rsidR="00327059">
              <w:rPr>
                <w:noProof/>
                <w:webHidden/>
              </w:rPr>
              <w:instrText xml:space="preserve"> PAGEREF _Toc69230552 \h </w:instrText>
            </w:r>
            <w:r w:rsidR="00327059">
              <w:rPr>
                <w:noProof/>
                <w:webHidden/>
              </w:rPr>
            </w:r>
            <w:r w:rsidR="00327059">
              <w:rPr>
                <w:noProof/>
                <w:webHidden/>
              </w:rPr>
              <w:fldChar w:fldCharType="separate"/>
            </w:r>
            <w:r w:rsidR="00327059">
              <w:rPr>
                <w:noProof/>
                <w:webHidden/>
              </w:rPr>
              <w:t>70</w:t>
            </w:r>
            <w:r w:rsidR="00327059">
              <w:rPr>
                <w:noProof/>
                <w:webHidden/>
              </w:rPr>
              <w:fldChar w:fldCharType="end"/>
            </w:r>
          </w:hyperlink>
        </w:p>
        <w:p w14:paraId="27DF65C4" w14:textId="3888630B" w:rsidR="00327059" w:rsidRDefault="00CA585A">
          <w:pPr>
            <w:pStyle w:val="TOC3"/>
            <w:rPr>
              <w:rFonts w:asciiTheme="minorHAnsi" w:eastAsiaTheme="minorEastAsia" w:hAnsiTheme="minorHAnsi" w:cstheme="minorBidi"/>
              <w:noProof/>
              <w:sz w:val="22"/>
              <w:szCs w:val="22"/>
            </w:rPr>
          </w:pPr>
          <w:hyperlink w:anchor="_Toc69230553" w:history="1">
            <w:r w:rsidR="00327059" w:rsidRPr="001D168F">
              <w:rPr>
                <w:rStyle w:val="Hyperlink"/>
                <w:rFonts w:eastAsiaTheme="minorHAnsi"/>
                <w:noProof/>
              </w:rPr>
              <w:t>3.</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OCA Exception No. 3 and Replies</w:t>
            </w:r>
            <w:r w:rsidR="00327059">
              <w:rPr>
                <w:noProof/>
                <w:webHidden/>
              </w:rPr>
              <w:tab/>
            </w:r>
            <w:r w:rsidR="00327059">
              <w:rPr>
                <w:noProof/>
                <w:webHidden/>
              </w:rPr>
              <w:fldChar w:fldCharType="begin"/>
            </w:r>
            <w:r w:rsidR="00327059">
              <w:rPr>
                <w:noProof/>
                <w:webHidden/>
              </w:rPr>
              <w:instrText xml:space="preserve"> PAGEREF _Toc69230553 \h </w:instrText>
            </w:r>
            <w:r w:rsidR="00327059">
              <w:rPr>
                <w:noProof/>
                <w:webHidden/>
              </w:rPr>
            </w:r>
            <w:r w:rsidR="00327059">
              <w:rPr>
                <w:noProof/>
                <w:webHidden/>
              </w:rPr>
              <w:fldChar w:fldCharType="separate"/>
            </w:r>
            <w:r w:rsidR="00327059">
              <w:rPr>
                <w:noProof/>
                <w:webHidden/>
              </w:rPr>
              <w:t>70</w:t>
            </w:r>
            <w:r w:rsidR="00327059">
              <w:rPr>
                <w:noProof/>
                <w:webHidden/>
              </w:rPr>
              <w:fldChar w:fldCharType="end"/>
            </w:r>
          </w:hyperlink>
        </w:p>
        <w:p w14:paraId="404FD9DC" w14:textId="311AE651" w:rsidR="00327059" w:rsidRDefault="00CA585A">
          <w:pPr>
            <w:pStyle w:val="TOC3"/>
            <w:rPr>
              <w:rFonts w:asciiTheme="minorHAnsi" w:eastAsiaTheme="minorEastAsia" w:hAnsiTheme="minorHAnsi" w:cstheme="minorBidi"/>
              <w:noProof/>
              <w:sz w:val="22"/>
              <w:szCs w:val="22"/>
            </w:rPr>
          </w:pPr>
          <w:hyperlink w:anchor="_Toc69230554" w:history="1">
            <w:r w:rsidR="00327059" w:rsidRPr="001D168F">
              <w:rPr>
                <w:rStyle w:val="Hyperlink"/>
                <w:rFonts w:eastAsiaTheme="minorHAnsi"/>
                <w:noProof/>
              </w:rPr>
              <w:t>4.</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Disposition</w:t>
            </w:r>
            <w:r w:rsidR="00327059">
              <w:rPr>
                <w:noProof/>
                <w:webHidden/>
              </w:rPr>
              <w:tab/>
            </w:r>
            <w:r w:rsidR="00327059">
              <w:rPr>
                <w:noProof/>
                <w:webHidden/>
              </w:rPr>
              <w:fldChar w:fldCharType="begin"/>
            </w:r>
            <w:r w:rsidR="00327059">
              <w:rPr>
                <w:noProof/>
                <w:webHidden/>
              </w:rPr>
              <w:instrText xml:space="preserve"> PAGEREF _Toc69230554 \h </w:instrText>
            </w:r>
            <w:r w:rsidR="00327059">
              <w:rPr>
                <w:noProof/>
                <w:webHidden/>
              </w:rPr>
            </w:r>
            <w:r w:rsidR="00327059">
              <w:rPr>
                <w:noProof/>
                <w:webHidden/>
              </w:rPr>
              <w:fldChar w:fldCharType="separate"/>
            </w:r>
            <w:r w:rsidR="00327059">
              <w:rPr>
                <w:noProof/>
                <w:webHidden/>
              </w:rPr>
              <w:t>71</w:t>
            </w:r>
            <w:r w:rsidR="00327059">
              <w:rPr>
                <w:noProof/>
                <w:webHidden/>
              </w:rPr>
              <w:fldChar w:fldCharType="end"/>
            </w:r>
          </w:hyperlink>
        </w:p>
        <w:p w14:paraId="5265959A" w14:textId="175191B9" w:rsidR="00327059" w:rsidRDefault="00CA585A">
          <w:pPr>
            <w:pStyle w:val="TOC2"/>
            <w:rPr>
              <w:rFonts w:asciiTheme="minorHAnsi" w:eastAsiaTheme="minorEastAsia" w:hAnsiTheme="minorHAnsi" w:cstheme="minorBidi"/>
              <w:noProof/>
              <w:sz w:val="22"/>
              <w:szCs w:val="22"/>
            </w:rPr>
          </w:pPr>
          <w:hyperlink w:anchor="_Toc69230555" w:history="1">
            <w:r w:rsidR="00327059" w:rsidRPr="001D168F">
              <w:rPr>
                <w:rStyle w:val="Hyperlink"/>
                <w:noProof/>
              </w:rPr>
              <w:t>E.</w:t>
            </w:r>
            <w:r w:rsidR="00327059">
              <w:rPr>
                <w:rFonts w:asciiTheme="minorHAnsi" w:eastAsiaTheme="minorEastAsia" w:hAnsiTheme="minorHAnsi" w:cstheme="minorBidi"/>
                <w:noProof/>
                <w:sz w:val="22"/>
                <w:szCs w:val="22"/>
              </w:rPr>
              <w:tab/>
            </w:r>
            <w:r w:rsidR="00327059" w:rsidRPr="001D168F">
              <w:rPr>
                <w:rStyle w:val="Hyperlink"/>
                <w:noProof/>
              </w:rPr>
              <w:t>East Allen Township Equipment Maintenance Expense</w:t>
            </w:r>
            <w:r w:rsidR="00327059">
              <w:rPr>
                <w:noProof/>
                <w:webHidden/>
              </w:rPr>
              <w:tab/>
            </w:r>
            <w:r w:rsidR="00327059">
              <w:rPr>
                <w:noProof/>
                <w:webHidden/>
              </w:rPr>
              <w:fldChar w:fldCharType="begin"/>
            </w:r>
            <w:r w:rsidR="00327059">
              <w:rPr>
                <w:noProof/>
                <w:webHidden/>
              </w:rPr>
              <w:instrText xml:space="preserve"> PAGEREF _Toc69230555 \h </w:instrText>
            </w:r>
            <w:r w:rsidR="00327059">
              <w:rPr>
                <w:noProof/>
                <w:webHidden/>
              </w:rPr>
            </w:r>
            <w:r w:rsidR="00327059">
              <w:rPr>
                <w:noProof/>
                <w:webHidden/>
              </w:rPr>
              <w:fldChar w:fldCharType="separate"/>
            </w:r>
            <w:r w:rsidR="00327059">
              <w:rPr>
                <w:noProof/>
                <w:webHidden/>
              </w:rPr>
              <w:t>72</w:t>
            </w:r>
            <w:r w:rsidR="00327059">
              <w:rPr>
                <w:noProof/>
                <w:webHidden/>
              </w:rPr>
              <w:fldChar w:fldCharType="end"/>
            </w:r>
          </w:hyperlink>
        </w:p>
        <w:p w14:paraId="1E291621" w14:textId="77F11DBD" w:rsidR="00327059" w:rsidRDefault="00CA585A">
          <w:pPr>
            <w:pStyle w:val="TOC3"/>
            <w:rPr>
              <w:rFonts w:asciiTheme="minorHAnsi" w:eastAsiaTheme="minorEastAsia" w:hAnsiTheme="minorHAnsi" w:cstheme="minorBidi"/>
              <w:noProof/>
              <w:sz w:val="22"/>
              <w:szCs w:val="22"/>
            </w:rPr>
          </w:pPr>
          <w:hyperlink w:anchor="_Toc69230556" w:history="1">
            <w:r w:rsidR="00327059" w:rsidRPr="001D168F">
              <w:rPr>
                <w:rStyle w:val="Hyperlink"/>
                <w:rFonts w:eastAsiaTheme="minorHAnsi"/>
                <w:noProof/>
              </w:rPr>
              <w:t>1.</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Positions of the Parties</w:t>
            </w:r>
            <w:r w:rsidR="00327059">
              <w:rPr>
                <w:noProof/>
                <w:webHidden/>
              </w:rPr>
              <w:tab/>
            </w:r>
            <w:r w:rsidR="00327059">
              <w:rPr>
                <w:noProof/>
                <w:webHidden/>
              </w:rPr>
              <w:fldChar w:fldCharType="begin"/>
            </w:r>
            <w:r w:rsidR="00327059">
              <w:rPr>
                <w:noProof/>
                <w:webHidden/>
              </w:rPr>
              <w:instrText xml:space="preserve"> PAGEREF _Toc69230556 \h </w:instrText>
            </w:r>
            <w:r w:rsidR="00327059">
              <w:rPr>
                <w:noProof/>
                <w:webHidden/>
              </w:rPr>
            </w:r>
            <w:r w:rsidR="00327059">
              <w:rPr>
                <w:noProof/>
                <w:webHidden/>
              </w:rPr>
              <w:fldChar w:fldCharType="separate"/>
            </w:r>
            <w:r w:rsidR="00327059">
              <w:rPr>
                <w:noProof/>
                <w:webHidden/>
              </w:rPr>
              <w:t>72</w:t>
            </w:r>
            <w:r w:rsidR="00327059">
              <w:rPr>
                <w:noProof/>
                <w:webHidden/>
              </w:rPr>
              <w:fldChar w:fldCharType="end"/>
            </w:r>
          </w:hyperlink>
        </w:p>
        <w:p w14:paraId="2942BA05" w14:textId="0149D4B7" w:rsidR="00327059" w:rsidRDefault="00CA585A">
          <w:pPr>
            <w:pStyle w:val="TOC3"/>
            <w:rPr>
              <w:rFonts w:asciiTheme="minorHAnsi" w:eastAsiaTheme="minorEastAsia" w:hAnsiTheme="minorHAnsi" w:cstheme="minorBidi"/>
              <w:noProof/>
              <w:sz w:val="22"/>
              <w:szCs w:val="22"/>
            </w:rPr>
          </w:pPr>
          <w:hyperlink w:anchor="_Toc69230557" w:history="1">
            <w:r w:rsidR="00327059" w:rsidRPr="001D168F">
              <w:rPr>
                <w:rStyle w:val="Hyperlink"/>
                <w:rFonts w:eastAsiaTheme="minorHAnsi"/>
                <w:noProof/>
              </w:rPr>
              <w:t>2.</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Recommended Decision</w:t>
            </w:r>
            <w:r w:rsidR="00327059">
              <w:rPr>
                <w:noProof/>
                <w:webHidden/>
              </w:rPr>
              <w:tab/>
            </w:r>
            <w:r w:rsidR="00327059">
              <w:rPr>
                <w:noProof/>
                <w:webHidden/>
              </w:rPr>
              <w:fldChar w:fldCharType="begin"/>
            </w:r>
            <w:r w:rsidR="00327059">
              <w:rPr>
                <w:noProof/>
                <w:webHidden/>
              </w:rPr>
              <w:instrText xml:space="preserve"> PAGEREF _Toc69230557 \h </w:instrText>
            </w:r>
            <w:r w:rsidR="00327059">
              <w:rPr>
                <w:noProof/>
                <w:webHidden/>
              </w:rPr>
            </w:r>
            <w:r w:rsidR="00327059">
              <w:rPr>
                <w:noProof/>
                <w:webHidden/>
              </w:rPr>
              <w:fldChar w:fldCharType="separate"/>
            </w:r>
            <w:r w:rsidR="00327059">
              <w:rPr>
                <w:noProof/>
                <w:webHidden/>
              </w:rPr>
              <w:t>73</w:t>
            </w:r>
            <w:r w:rsidR="00327059">
              <w:rPr>
                <w:noProof/>
                <w:webHidden/>
              </w:rPr>
              <w:fldChar w:fldCharType="end"/>
            </w:r>
          </w:hyperlink>
        </w:p>
        <w:p w14:paraId="7FE716F9" w14:textId="26DA55F0" w:rsidR="00327059" w:rsidRDefault="00CA585A">
          <w:pPr>
            <w:pStyle w:val="TOC3"/>
            <w:rPr>
              <w:rFonts w:asciiTheme="minorHAnsi" w:eastAsiaTheme="minorEastAsia" w:hAnsiTheme="minorHAnsi" w:cstheme="minorBidi"/>
              <w:noProof/>
              <w:sz w:val="22"/>
              <w:szCs w:val="22"/>
            </w:rPr>
          </w:pPr>
          <w:hyperlink w:anchor="_Toc69230558" w:history="1">
            <w:r w:rsidR="00327059" w:rsidRPr="001D168F">
              <w:rPr>
                <w:rStyle w:val="Hyperlink"/>
                <w:rFonts w:eastAsiaTheme="minorHAnsi"/>
                <w:noProof/>
              </w:rPr>
              <w:t>3.</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City Exception No. 4 and Replies</w:t>
            </w:r>
            <w:r w:rsidR="00327059">
              <w:rPr>
                <w:noProof/>
                <w:webHidden/>
              </w:rPr>
              <w:tab/>
            </w:r>
            <w:r w:rsidR="00327059">
              <w:rPr>
                <w:noProof/>
                <w:webHidden/>
              </w:rPr>
              <w:fldChar w:fldCharType="begin"/>
            </w:r>
            <w:r w:rsidR="00327059">
              <w:rPr>
                <w:noProof/>
                <w:webHidden/>
              </w:rPr>
              <w:instrText xml:space="preserve"> PAGEREF _Toc69230558 \h </w:instrText>
            </w:r>
            <w:r w:rsidR="00327059">
              <w:rPr>
                <w:noProof/>
                <w:webHidden/>
              </w:rPr>
            </w:r>
            <w:r w:rsidR="00327059">
              <w:rPr>
                <w:noProof/>
                <w:webHidden/>
              </w:rPr>
              <w:fldChar w:fldCharType="separate"/>
            </w:r>
            <w:r w:rsidR="00327059">
              <w:rPr>
                <w:noProof/>
                <w:webHidden/>
              </w:rPr>
              <w:t>73</w:t>
            </w:r>
            <w:r w:rsidR="00327059">
              <w:rPr>
                <w:noProof/>
                <w:webHidden/>
              </w:rPr>
              <w:fldChar w:fldCharType="end"/>
            </w:r>
          </w:hyperlink>
        </w:p>
        <w:p w14:paraId="5F694165" w14:textId="2A8D359D" w:rsidR="00327059" w:rsidRDefault="00CA585A">
          <w:pPr>
            <w:pStyle w:val="TOC3"/>
            <w:rPr>
              <w:rFonts w:asciiTheme="minorHAnsi" w:eastAsiaTheme="minorEastAsia" w:hAnsiTheme="minorHAnsi" w:cstheme="minorBidi"/>
              <w:noProof/>
              <w:sz w:val="22"/>
              <w:szCs w:val="22"/>
            </w:rPr>
          </w:pPr>
          <w:hyperlink w:anchor="_Toc69230559" w:history="1">
            <w:r w:rsidR="00327059" w:rsidRPr="001D168F">
              <w:rPr>
                <w:rStyle w:val="Hyperlink"/>
                <w:rFonts w:eastAsiaTheme="minorHAnsi"/>
                <w:noProof/>
              </w:rPr>
              <w:t>4.</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Disposition</w:t>
            </w:r>
            <w:r w:rsidR="00327059">
              <w:rPr>
                <w:noProof/>
                <w:webHidden/>
              </w:rPr>
              <w:tab/>
            </w:r>
            <w:r w:rsidR="00327059">
              <w:rPr>
                <w:noProof/>
                <w:webHidden/>
              </w:rPr>
              <w:fldChar w:fldCharType="begin"/>
            </w:r>
            <w:r w:rsidR="00327059">
              <w:rPr>
                <w:noProof/>
                <w:webHidden/>
              </w:rPr>
              <w:instrText xml:space="preserve"> PAGEREF _Toc69230559 \h </w:instrText>
            </w:r>
            <w:r w:rsidR="00327059">
              <w:rPr>
                <w:noProof/>
                <w:webHidden/>
              </w:rPr>
            </w:r>
            <w:r w:rsidR="00327059">
              <w:rPr>
                <w:noProof/>
                <w:webHidden/>
              </w:rPr>
              <w:fldChar w:fldCharType="separate"/>
            </w:r>
            <w:r w:rsidR="00327059">
              <w:rPr>
                <w:noProof/>
                <w:webHidden/>
              </w:rPr>
              <w:t>74</w:t>
            </w:r>
            <w:r w:rsidR="00327059">
              <w:rPr>
                <w:noProof/>
                <w:webHidden/>
              </w:rPr>
              <w:fldChar w:fldCharType="end"/>
            </w:r>
          </w:hyperlink>
        </w:p>
        <w:p w14:paraId="63FEB21B" w14:textId="6321AB03" w:rsidR="00327059" w:rsidRDefault="00CA585A">
          <w:pPr>
            <w:pStyle w:val="TOC2"/>
            <w:rPr>
              <w:rFonts w:asciiTheme="minorHAnsi" w:eastAsiaTheme="minorEastAsia" w:hAnsiTheme="minorHAnsi" w:cstheme="minorBidi"/>
              <w:noProof/>
              <w:sz w:val="22"/>
              <w:szCs w:val="22"/>
            </w:rPr>
          </w:pPr>
          <w:hyperlink w:anchor="_Toc69230560" w:history="1">
            <w:r w:rsidR="00327059" w:rsidRPr="001D168F">
              <w:rPr>
                <w:rStyle w:val="Hyperlink"/>
                <w:noProof/>
              </w:rPr>
              <w:t>F.</w:t>
            </w:r>
            <w:r w:rsidR="00327059">
              <w:rPr>
                <w:rFonts w:asciiTheme="minorHAnsi" w:eastAsiaTheme="minorEastAsia" w:hAnsiTheme="minorHAnsi" w:cstheme="minorBidi"/>
                <w:noProof/>
                <w:sz w:val="22"/>
                <w:szCs w:val="22"/>
              </w:rPr>
              <w:tab/>
            </w:r>
            <w:r w:rsidR="00327059" w:rsidRPr="001D168F">
              <w:rPr>
                <w:rStyle w:val="Hyperlink"/>
                <w:noProof/>
              </w:rPr>
              <w:t>Water Filtration Related Expenses</w:t>
            </w:r>
            <w:r w:rsidR="00327059">
              <w:rPr>
                <w:noProof/>
                <w:webHidden/>
              </w:rPr>
              <w:tab/>
            </w:r>
            <w:r w:rsidR="00327059">
              <w:rPr>
                <w:noProof/>
                <w:webHidden/>
              </w:rPr>
              <w:fldChar w:fldCharType="begin"/>
            </w:r>
            <w:r w:rsidR="00327059">
              <w:rPr>
                <w:noProof/>
                <w:webHidden/>
              </w:rPr>
              <w:instrText xml:space="preserve"> PAGEREF _Toc69230560 \h </w:instrText>
            </w:r>
            <w:r w:rsidR="00327059">
              <w:rPr>
                <w:noProof/>
                <w:webHidden/>
              </w:rPr>
            </w:r>
            <w:r w:rsidR="00327059">
              <w:rPr>
                <w:noProof/>
                <w:webHidden/>
              </w:rPr>
              <w:fldChar w:fldCharType="separate"/>
            </w:r>
            <w:r w:rsidR="00327059">
              <w:rPr>
                <w:noProof/>
                <w:webHidden/>
              </w:rPr>
              <w:t>75</w:t>
            </w:r>
            <w:r w:rsidR="00327059">
              <w:rPr>
                <w:noProof/>
                <w:webHidden/>
              </w:rPr>
              <w:fldChar w:fldCharType="end"/>
            </w:r>
          </w:hyperlink>
        </w:p>
        <w:p w14:paraId="3D039DA9" w14:textId="06DE21CB" w:rsidR="00327059" w:rsidRDefault="00CA585A">
          <w:pPr>
            <w:pStyle w:val="TOC3"/>
            <w:rPr>
              <w:rFonts w:asciiTheme="minorHAnsi" w:eastAsiaTheme="minorEastAsia" w:hAnsiTheme="minorHAnsi" w:cstheme="minorBidi"/>
              <w:noProof/>
              <w:sz w:val="22"/>
              <w:szCs w:val="22"/>
            </w:rPr>
          </w:pPr>
          <w:hyperlink w:anchor="_Toc69230561" w:history="1">
            <w:r w:rsidR="00327059" w:rsidRPr="001D168F">
              <w:rPr>
                <w:rStyle w:val="Hyperlink"/>
                <w:noProof/>
              </w:rPr>
              <w:t>1.</w:t>
            </w:r>
            <w:r w:rsidR="00327059">
              <w:rPr>
                <w:rFonts w:asciiTheme="minorHAnsi" w:eastAsiaTheme="minorEastAsia" w:hAnsiTheme="minorHAnsi" w:cstheme="minorBidi"/>
                <w:noProof/>
                <w:sz w:val="22"/>
                <w:szCs w:val="22"/>
              </w:rPr>
              <w:tab/>
            </w:r>
            <w:r w:rsidR="00327059" w:rsidRPr="001D168F">
              <w:rPr>
                <w:rStyle w:val="Hyperlink"/>
                <w:noProof/>
              </w:rPr>
              <w:t>Positions of the Parties</w:t>
            </w:r>
            <w:r w:rsidR="00327059">
              <w:rPr>
                <w:noProof/>
                <w:webHidden/>
              </w:rPr>
              <w:tab/>
            </w:r>
            <w:r w:rsidR="00327059">
              <w:rPr>
                <w:noProof/>
                <w:webHidden/>
              </w:rPr>
              <w:fldChar w:fldCharType="begin"/>
            </w:r>
            <w:r w:rsidR="00327059">
              <w:rPr>
                <w:noProof/>
                <w:webHidden/>
              </w:rPr>
              <w:instrText xml:space="preserve"> PAGEREF _Toc69230561 \h </w:instrText>
            </w:r>
            <w:r w:rsidR="00327059">
              <w:rPr>
                <w:noProof/>
                <w:webHidden/>
              </w:rPr>
            </w:r>
            <w:r w:rsidR="00327059">
              <w:rPr>
                <w:noProof/>
                <w:webHidden/>
              </w:rPr>
              <w:fldChar w:fldCharType="separate"/>
            </w:r>
            <w:r w:rsidR="00327059">
              <w:rPr>
                <w:noProof/>
                <w:webHidden/>
              </w:rPr>
              <w:t>75</w:t>
            </w:r>
            <w:r w:rsidR="00327059">
              <w:rPr>
                <w:noProof/>
                <w:webHidden/>
              </w:rPr>
              <w:fldChar w:fldCharType="end"/>
            </w:r>
          </w:hyperlink>
        </w:p>
        <w:p w14:paraId="4EC42CCB" w14:textId="16FD8D0A" w:rsidR="00327059" w:rsidRDefault="00CA585A">
          <w:pPr>
            <w:pStyle w:val="TOC4"/>
            <w:rPr>
              <w:rFonts w:asciiTheme="minorHAnsi" w:eastAsiaTheme="minorEastAsia" w:hAnsiTheme="minorHAnsi" w:cstheme="minorBidi"/>
              <w:noProof/>
              <w:sz w:val="22"/>
              <w:szCs w:val="22"/>
            </w:rPr>
          </w:pPr>
          <w:hyperlink w:anchor="_Toc69230562" w:history="1">
            <w:r w:rsidR="00327059" w:rsidRPr="001D168F">
              <w:rPr>
                <w:rStyle w:val="Hyperlink"/>
                <w:rFonts w:eastAsiaTheme="minorHAnsi"/>
                <w:noProof/>
              </w:rPr>
              <w:t>a.</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Department Contracts Expense</w:t>
            </w:r>
            <w:r w:rsidR="00327059">
              <w:rPr>
                <w:noProof/>
                <w:webHidden/>
              </w:rPr>
              <w:tab/>
            </w:r>
            <w:r w:rsidR="00327059">
              <w:rPr>
                <w:noProof/>
                <w:webHidden/>
              </w:rPr>
              <w:fldChar w:fldCharType="begin"/>
            </w:r>
            <w:r w:rsidR="00327059">
              <w:rPr>
                <w:noProof/>
                <w:webHidden/>
              </w:rPr>
              <w:instrText xml:space="preserve"> PAGEREF _Toc69230562 \h </w:instrText>
            </w:r>
            <w:r w:rsidR="00327059">
              <w:rPr>
                <w:noProof/>
                <w:webHidden/>
              </w:rPr>
            </w:r>
            <w:r w:rsidR="00327059">
              <w:rPr>
                <w:noProof/>
                <w:webHidden/>
              </w:rPr>
              <w:fldChar w:fldCharType="separate"/>
            </w:r>
            <w:r w:rsidR="00327059">
              <w:rPr>
                <w:noProof/>
                <w:webHidden/>
              </w:rPr>
              <w:t>75</w:t>
            </w:r>
            <w:r w:rsidR="00327059">
              <w:rPr>
                <w:noProof/>
                <w:webHidden/>
              </w:rPr>
              <w:fldChar w:fldCharType="end"/>
            </w:r>
          </w:hyperlink>
        </w:p>
        <w:p w14:paraId="56F73DC3" w14:textId="50651EA0" w:rsidR="00327059" w:rsidRDefault="00CA585A">
          <w:pPr>
            <w:pStyle w:val="TOC4"/>
            <w:rPr>
              <w:rFonts w:asciiTheme="minorHAnsi" w:eastAsiaTheme="minorEastAsia" w:hAnsiTheme="minorHAnsi" w:cstheme="minorBidi"/>
              <w:noProof/>
              <w:sz w:val="22"/>
              <w:szCs w:val="22"/>
            </w:rPr>
          </w:pPr>
          <w:hyperlink w:anchor="_Toc69230563" w:history="1">
            <w:r w:rsidR="00327059" w:rsidRPr="001D168F">
              <w:rPr>
                <w:rStyle w:val="Hyperlink"/>
                <w:rFonts w:eastAsiaTheme="minorHAnsi"/>
                <w:noProof/>
              </w:rPr>
              <w:t>b.</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Heating Oil Expense</w:t>
            </w:r>
            <w:r w:rsidR="00327059">
              <w:rPr>
                <w:noProof/>
                <w:webHidden/>
              </w:rPr>
              <w:tab/>
            </w:r>
            <w:r w:rsidR="00327059">
              <w:rPr>
                <w:noProof/>
                <w:webHidden/>
              </w:rPr>
              <w:fldChar w:fldCharType="begin"/>
            </w:r>
            <w:r w:rsidR="00327059">
              <w:rPr>
                <w:noProof/>
                <w:webHidden/>
              </w:rPr>
              <w:instrText xml:space="preserve"> PAGEREF _Toc69230563 \h </w:instrText>
            </w:r>
            <w:r w:rsidR="00327059">
              <w:rPr>
                <w:noProof/>
                <w:webHidden/>
              </w:rPr>
            </w:r>
            <w:r w:rsidR="00327059">
              <w:rPr>
                <w:noProof/>
                <w:webHidden/>
              </w:rPr>
              <w:fldChar w:fldCharType="separate"/>
            </w:r>
            <w:r w:rsidR="00327059">
              <w:rPr>
                <w:noProof/>
                <w:webHidden/>
              </w:rPr>
              <w:t>76</w:t>
            </w:r>
            <w:r w:rsidR="00327059">
              <w:rPr>
                <w:noProof/>
                <w:webHidden/>
              </w:rPr>
              <w:fldChar w:fldCharType="end"/>
            </w:r>
          </w:hyperlink>
        </w:p>
        <w:p w14:paraId="66094FC2" w14:textId="23EBD75B" w:rsidR="00327059" w:rsidRDefault="00CA585A">
          <w:pPr>
            <w:pStyle w:val="TOC4"/>
            <w:rPr>
              <w:rFonts w:asciiTheme="minorHAnsi" w:eastAsiaTheme="minorEastAsia" w:hAnsiTheme="minorHAnsi" w:cstheme="minorBidi"/>
              <w:noProof/>
              <w:sz w:val="22"/>
              <w:szCs w:val="22"/>
            </w:rPr>
          </w:pPr>
          <w:hyperlink w:anchor="_Toc69230564" w:history="1">
            <w:r w:rsidR="00327059" w:rsidRPr="001D168F">
              <w:rPr>
                <w:rStyle w:val="Hyperlink"/>
                <w:rFonts w:eastAsiaTheme="minorHAnsi"/>
                <w:noProof/>
              </w:rPr>
              <w:t>c.</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Equipment Maintenance Expense</w:t>
            </w:r>
            <w:r w:rsidR="00327059">
              <w:rPr>
                <w:noProof/>
                <w:webHidden/>
              </w:rPr>
              <w:tab/>
            </w:r>
            <w:r w:rsidR="00327059">
              <w:rPr>
                <w:noProof/>
                <w:webHidden/>
              </w:rPr>
              <w:fldChar w:fldCharType="begin"/>
            </w:r>
            <w:r w:rsidR="00327059">
              <w:rPr>
                <w:noProof/>
                <w:webHidden/>
              </w:rPr>
              <w:instrText xml:space="preserve"> PAGEREF _Toc69230564 \h </w:instrText>
            </w:r>
            <w:r w:rsidR="00327059">
              <w:rPr>
                <w:noProof/>
                <w:webHidden/>
              </w:rPr>
            </w:r>
            <w:r w:rsidR="00327059">
              <w:rPr>
                <w:noProof/>
                <w:webHidden/>
              </w:rPr>
              <w:fldChar w:fldCharType="separate"/>
            </w:r>
            <w:r w:rsidR="00327059">
              <w:rPr>
                <w:noProof/>
                <w:webHidden/>
              </w:rPr>
              <w:t>76</w:t>
            </w:r>
            <w:r w:rsidR="00327059">
              <w:rPr>
                <w:noProof/>
                <w:webHidden/>
              </w:rPr>
              <w:fldChar w:fldCharType="end"/>
            </w:r>
          </w:hyperlink>
        </w:p>
        <w:p w14:paraId="0E45B13A" w14:textId="61A5B258" w:rsidR="00327059" w:rsidRDefault="00CA585A">
          <w:pPr>
            <w:pStyle w:val="TOC3"/>
            <w:rPr>
              <w:rFonts w:asciiTheme="minorHAnsi" w:eastAsiaTheme="minorEastAsia" w:hAnsiTheme="minorHAnsi" w:cstheme="minorBidi"/>
              <w:noProof/>
              <w:sz w:val="22"/>
              <w:szCs w:val="22"/>
            </w:rPr>
          </w:pPr>
          <w:hyperlink w:anchor="_Toc69230565" w:history="1">
            <w:r w:rsidR="00327059" w:rsidRPr="001D168F">
              <w:rPr>
                <w:rStyle w:val="Hyperlink"/>
                <w:rFonts w:eastAsiaTheme="minorHAnsi"/>
                <w:noProof/>
              </w:rPr>
              <w:t>2.</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Recommended Decision</w:t>
            </w:r>
            <w:r w:rsidR="00327059">
              <w:rPr>
                <w:noProof/>
                <w:webHidden/>
              </w:rPr>
              <w:tab/>
            </w:r>
            <w:r w:rsidR="00327059">
              <w:rPr>
                <w:noProof/>
                <w:webHidden/>
              </w:rPr>
              <w:fldChar w:fldCharType="begin"/>
            </w:r>
            <w:r w:rsidR="00327059">
              <w:rPr>
                <w:noProof/>
                <w:webHidden/>
              </w:rPr>
              <w:instrText xml:space="preserve"> PAGEREF _Toc69230565 \h </w:instrText>
            </w:r>
            <w:r w:rsidR="00327059">
              <w:rPr>
                <w:noProof/>
                <w:webHidden/>
              </w:rPr>
            </w:r>
            <w:r w:rsidR="00327059">
              <w:rPr>
                <w:noProof/>
                <w:webHidden/>
              </w:rPr>
              <w:fldChar w:fldCharType="separate"/>
            </w:r>
            <w:r w:rsidR="00327059">
              <w:rPr>
                <w:noProof/>
                <w:webHidden/>
              </w:rPr>
              <w:t>77</w:t>
            </w:r>
            <w:r w:rsidR="00327059">
              <w:rPr>
                <w:noProof/>
                <w:webHidden/>
              </w:rPr>
              <w:fldChar w:fldCharType="end"/>
            </w:r>
          </w:hyperlink>
        </w:p>
        <w:p w14:paraId="22ACB931" w14:textId="2315388E" w:rsidR="00327059" w:rsidRDefault="00CA585A">
          <w:pPr>
            <w:pStyle w:val="TOC4"/>
            <w:rPr>
              <w:rFonts w:asciiTheme="minorHAnsi" w:eastAsiaTheme="minorEastAsia" w:hAnsiTheme="minorHAnsi" w:cstheme="minorBidi"/>
              <w:noProof/>
              <w:sz w:val="22"/>
              <w:szCs w:val="22"/>
            </w:rPr>
          </w:pPr>
          <w:hyperlink w:anchor="_Toc69230566" w:history="1">
            <w:r w:rsidR="00327059" w:rsidRPr="001D168F">
              <w:rPr>
                <w:rStyle w:val="Hyperlink"/>
                <w:noProof/>
              </w:rPr>
              <w:t>a.</w:t>
            </w:r>
            <w:r w:rsidR="00327059">
              <w:rPr>
                <w:rFonts w:asciiTheme="minorHAnsi" w:eastAsiaTheme="minorEastAsia" w:hAnsiTheme="minorHAnsi" w:cstheme="minorBidi"/>
                <w:noProof/>
                <w:sz w:val="22"/>
                <w:szCs w:val="22"/>
              </w:rPr>
              <w:tab/>
            </w:r>
            <w:r w:rsidR="00327059" w:rsidRPr="001D168F">
              <w:rPr>
                <w:rStyle w:val="Hyperlink"/>
                <w:noProof/>
              </w:rPr>
              <w:t>Department Contracts Expense</w:t>
            </w:r>
            <w:r w:rsidR="00327059">
              <w:rPr>
                <w:noProof/>
                <w:webHidden/>
              </w:rPr>
              <w:tab/>
            </w:r>
            <w:r w:rsidR="00327059">
              <w:rPr>
                <w:noProof/>
                <w:webHidden/>
              </w:rPr>
              <w:fldChar w:fldCharType="begin"/>
            </w:r>
            <w:r w:rsidR="00327059">
              <w:rPr>
                <w:noProof/>
                <w:webHidden/>
              </w:rPr>
              <w:instrText xml:space="preserve"> PAGEREF _Toc69230566 \h </w:instrText>
            </w:r>
            <w:r w:rsidR="00327059">
              <w:rPr>
                <w:noProof/>
                <w:webHidden/>
              </w:rPr>
            </w:r>
            <w:r w:rsidR="00327059">
              <w:rPr>
                <w:noProof/>
                <w:webHidden/>
              </w:rPr>
              <w:fldChar w:fldCharType="separate"/>
            </w:r>
            <w:r w:rsidR="00327059">
              <w:rPr>
                <w:noProof/>
                <w:webHidden/>
              </w:rPr>
              <w:t>77</w:t>
            </w:r>
            <w:r w:rsidR="00327059">
              <w:rPr>
                <w:noProof/>
                <w:webHidden/>
              </w:rPr>
              <w:fldChar w:fldCharType="end"/>
            </w:r>
          </w:hyperlink>
        </w:p>
        <w:p w14:paraId="57494C57" w14:textId="04984B32" w:rsidR="00327059" w:rsidRDefault="00CA585A">
          <w:pPr>
            <w:pStyle w:val="TOC4"/>
            <w:rPr>
              <w:rFonts w:asciiTheme="minorHAnsi" w:eastAsiaTheme="minorEastAsia" w:hAnsiTheme="minorHAnsi" w:cstheme="minorBidi"/>
              <w:noProof/>
              <w:sz w:val="22"/>
              <w:szCs w:val="22"/>
            </w:rPr>
          </w:pPr>
          <w:hyperlink w:anchor="_Toc69230567" w:history="1">
            <w:r w:rsidR="00327059" w:rsidRPr="001D168F">
              <w:rPr>
                <w:rStyle w:val="Hyperlink"/>
                <w:noProof/>
              </w:rPr>
              <w:t>b.</w:t>
            </w:r>
            <w:r w:rsidR="00327059">
              <w:rPr>
                <w:rFonts w:asciiTheme="minorHAnsi" w:eastAsiaTheme="minorEastAsia" w:hAnsiTheme="minorHAnsi" w:cstheme="minorBidi"/>
                <w:noProof/>
                <w:sz w:val="22"/>
                <w:szCs w:val="22"/>
              </w:rPr>
              <w:tab/>
            </w:r>
            <w:r w:rsidR="00327059" w:rsidRPr="001D168F">
              <w:rPr>
                <w:rStyle w:val="Hyperlink"/>
                <w:noProof/>
              </w:rPr>
              <w:t>Heating Oil Expense</w:t>
            </w:r>
            <w:r w:rsidR="00327059">
              <w:rPr>
                <w:noProof/>
                <w:webHidden/>
              </w:rPr>
              <w:tab/>
            </w:r>
            <w:r w:rsidR="00327059">
              <w:rPr>
                <w:noProof/>
                <w:webHidden/>
              </w:rPr>
              <w:fldChar w:fldCharType="begin"/>
            </w:r>
            <w:r w:rsidR="00327059">
              <w:rPr>
                <w:noProof/>
                <w:webHidden/>
              </w:rPr>
              <w:instrText xml:space="preserve"> PAGEREF _Toc69230567 \h </w:instrText>
            </w:r>
            <w:r w:rsidR="00327059">
              <w:rPr>
                <w:noProof/>
                <w:webHidden/>
              </w:rPr>
            </w:r>
            <w:r w:rsidR="00327059">
              <w:rPr>
                <w:noProof/>
                <w:webHidden/>
              </w:rPr>
              <w:fldChar w:fldCharType="separate"/>
            </w:r>
            <w:r w:rsidR="00327059">
              <w:rPr>
                <w:noProof/>
                <w:webHidden/>
              </w:rPr>
              <w:t>77</w:t>
            </w:r>
            <w:r w:rsidR="00327059">
              <w:rPr>
                <w:noProof/>
                <w:webHidden/>
              </w:rPr>
              <w:fldChar w:fldCharType="end"/>
            </w:r>
          </w:hyperlink>
        </w:p>
        <w:p w14:paraId="320280A5" w14:textId="0051E656" w:rsidR="00327059" w:rsidRDefault="00CA585A">
          <w:pPr>
            <w:pStyle w:val="TOC4"/>
            <w:rPr>
              <w:rFonts w:asciiTheme="minorHAnsi" w:eastAsiaTheme="minorEastAsia" w:hAnsiTheme="minorHAnsi" w:cstheme="minorBidi"/>
              <w:noProof/>
              <w:sz w:val="22"/>
              <w:szCs w:val="22"/>
            </w:rPr>
          </w:pPr>
          <w:hyperlink w:anchor="_Toc69230568" w:history="1">
            <w:r w:rsidR="00327059" w:rsidRPr="001D168F">
              <w:rPr>
                <w:rStyle w:val="Hyperlink"/>
                <w:noProof/>
              </w:rPr>
              <w:t>c.</w:t>
            </w:r>
            <w:r w:rsidR="00327059">
              <w:rPr>
                <w:rFonts w:asciiTheme="minorHAnsi" w:eastAsiaTheme="minorEastAsia" w:hAnsiTheme="minorHAnsi" w:cstheme="minorBidi"/>
                <w:noProof/>
                <w:sz w:val="22"/>
                <w:szCs w:val="22"/>
              </w:rPr>
              <w:tab/>
            </w:r>
            <w:r w:rsidR="00327059" w:rsidRPr="001D168F">
              <w:rPr>
                <w:rStyle w:val="Hyperlink"/>
                <w:noProof/>
              </w:rPr>
              <w:t>Equipment Maintenance Expense</w:t>
            </w:r>
            <w:r w:rsidR="00327059">
              <w:rPr>
                <w:noProof/>
                <w:webHidden/>
              </w:rPr>
              <w:tab/>
            </w:r>
            <w:r w:rsidR="00327059">
              <w:rPr>
                <w:noProof/>
                <w:webHidden/>
              </w:rPr>
              <w:fldChar w:fldCharType="begin"/>
            </w:r>
            <w:r w:rsidR="00327059">
              <w:rPr>
                <w:noProof/>
                <w:webHidden/>
              </w:rPr>
              <w:instrText xml:space="preserve"> PAGEREF _Toc69230568 \h </w:instrText>
            </w:r>
            <w:r w:rsidR="00327059">
              <w:rPr>
                <w:noProof/>
                <w:webHidden/>
              </w:rPr>
            </w:r>
            <w:r w:rsidR="00327059">
              <w:rPr>
                <w:noProof/>
                <w:webHidden/>
              </w:rPr>
              <w:fldChar w:fldCharType="separate"/>
            </w:r>
            <w:r w:rsidR="00327059">
              <w:rPr>
                <w:noProof/>
                <w:webHidden/>
              </w:rPr>
              <w:t>77</w:t>
            </w:r>
            <w:r w:rsidR="00327059">
              <w:rPr>
                <w:noProof/>
                <w:webHidden/>
              </w:rPr>
              <w:fldChar w:fldCharType="end"/>
            </w:r>
          </w:hyperlink>
        </w:p>
        <w:p w14:paraId="250E0805" w14:textId="603F38D1" w:rsidR="00327059" w:rsidRDefault="00CA585A">
          <w:pPr>
            <w:pStyle w:val="TOC3"/>
            <w:rPr>
              <w:rFonts w:asciiTheme="minorHAnsi" w:eastAsiaTheme="minorEastAsia" w:hAnsiTheme="minorHAnsi" w:cstheme="minorBidi"/>
              <w:noProof/>
              <w:sz w:val="22"/>
              <w:szCs w:val="22"/>
            </w:rPr>
          </w:pPr>
          <w:hyperlink w:anchor="_Toc69230569" w:history="1">
            <w:r w:rsidR="00327059" w:rsidRPr="001D168F">
              <w:rPr>
                <w:rStyle w:val="Hyperlink"/>
                <w:noProof/>
              </w:rPr>
              <w:t>3.</w:t>
            </w:r>
            <w:r w:rsidR="00327059">
              <w:rPr>
                <w:rFonts w:asciiTheme="minorHAnsi" w:eastAsiaTheme="minorEastAsia" w:hAnsiTheme="minorHAnsi" w:cstheme="minorBidi"/>
                <w:noProof/>
                <w:sz w:val="22"/>
                <w:szCs w:val="22"/>
              </w:rPr>
              <w:tab/>
            </w:r>
            <w:r w:rsidR="00327059" w:rsidRPr="001D168F">
              <w:rPr>
                <w:rStyle w:val="Hyperlink"/>
                <w:noProof/>
              </w:rPr>
              <w:t>City Exception No. 5 and Replies</w:t>
            </w:r>
            <w:r w:rsidR="00327059">
              <w:rPr>
                <w:noProof/>
                <w:webHidden/>
              </w:rPr>
              <w:tab/>
            </w:r>
            <w:r w:rsidR="00327059">
              <w:rPr>
                <w:noProof/>
                <w:webHidden/>
              </w:rPr>
              <w:fldChar w:fldCharType="begin"/>
            </w:r>
            <w:r w:rsidR="00327059">
              <w:rPr>
                <w:noProof/>
                <w:webHidden/>
              </w:rPr>
              <w:instrText xml:space="preserve"> PAGEREF _Toc69230569 \h </w:instrText>
            </w:r>
            <w:r w:rsidR="00327059">
              <w:rPr>
                <w:noProof/>
                <w:webHidden/>
              </w:rPr>
            </w:r>
            <w:r w:rsidR="00327059">
              <w:rPr>
                <w:noProof/>
                <w:webHidden/>
              </w:rPr>
              <w:fldChar w:fldCharType="separate"/>
            </w:r>
            <w:r w:rsidR="00327059">
              <w:rPr>
                <w:noProof/>
                <w:webHidden/>
              </w:rPr>
              <w:t>78</w:t>
            </w:r>
            <w:r w:rsidR="00327059">
              <w:rPr>
                <w:noProof/>
                <w:webHidden/>
              </w:rPr>
              <w:fldChar w:fldCharType="end"/>
            </w:r>
          </w:hyperlink>
        </w:p>
        <w:p w14:paraId="265665A2" w14:textId="5EB2C362" w:rsidR="00327059" w:rsidRDefault="00CA585A">
          <w:pPr>
            <w:pStyle w:val="TOC3"/>
            <w:rPr>
              <w:rFonts w:asciiTheme="minorHAnsi" w:eastAsiaTheme="minorEastAsia" w:hAnsiTheme="minorHAnsi" w:cstheme="minorBidi"/>
              <w:noProof/>
              <w:sz w:val="22"/>
              <w:szCs w:val="22"/>
            </w:rPr>
          </w:pPr>
          <w:hyperlink w:anchor="_Toc69230570" w:history="1">
            <w:r w:rsidR="00327059" w:rsidRPr="001D168F">
              <w:rPr>
                <w:rStyle w:val="Hyperlink"/>
                <w:noProof/>
              </w:rPr>
              <w:t>4.</w:t>
            </w:r>
            <w:r w:rsidR="00327059">
              <w:rPr>
                <w:rFonts w:asciiTheme="minorHAnsi" w:eastAsiaTheme="minorEastAsia" w:hAnsiTheme="minorHAnsi" w:cstheme="minorBidi"/>
                <w:noProof/>
                <w:sz w:val="22"/>
                <w:szCs w:val="22"/>
              </w:rPr>
              <w:tab/>
            </w:r>
            <w:r w:rsidR="00327059" w:rsidRPr="001D168F">
              <w:rPr>
                <w:rStyle w:val="Hyperlink"/>
                <w:noProof/>
              </w:rPr>
              <w:t>Disposition</w:t>
            </w:r>
            <w:r w:rsidR="00327059">
              <w:rPr>
                <w:noProof/>
                <w:webHidden/>
              </w:rPr>
              <w:tab/>
            </w:r>
            <w:r w:rsidR="00327059">
              <w:rPr>
                <w:noProof/>
                <w:webHidden/>
              </w:rPr>
              <w:fldChar w:fldCharType="begin"/>
            </w:r>
            <w:r w:rsidR="00327059">
              <w:rPr>
                <w:noProof/>
                <w:webHidden/>
              </w:rPr>
              <w:instrText xml:space="preserve"> PAGEREF _Toc69230570 \h </w:instrText>
            </w:r>
            <w:r w:rsidR="00327059">
              <w:rPr>
                <w:noProof/>
                <w:webHidden/>
              </w:rPr>
            </w:r>
            <w:r w:rsidR="00327059">
              <w:rPr>
                <w:noProof/>
                <w:webHidden/>
              </w:rPr>
              <w:fldChar w:fldCharType="separate"/>
            </w:r>
            <w:r w:rsidR="00327059">
              <w:rPr>
                <w:noProof/>
                <w:webHidden/>
              </w:rPr>
              <w:t>79</w:t>
            </w:r>
            <w:r w:rsidR="00327059">
              <w:rPr>
                <w:noProof/>
                <w:webHidden/>
              </w:rPr>
              <w:fldChar w:fldCharType="end"/>
            </w:r>
          </w:hyperlink>
        </w:p>
        <w:p w14:paraId="5B85CC12" w14:textId="6EE37A4B" w:rsidR="00327059" w:rsidRDefault="00CA585A">
          <w:pPr>
            <w:pStyle w:val="TOC2"/>
            <w:rPr>
              <w:rFonts w:asciiTheme="minorHAnsi" w:eastAsiaTheme="minorEastAsia" w:hAnsiTheme="minorHAnsi" w:cstheme="minorBidi"/>
              <w:noProof/>
              <w:sz w:val="22"/>
              <w:szCs w:val="22"/>
            </w:rPr>
          </w:pPr>
          <w:hyperlink w:anchor="_Toc69230571" w:history="1">
            <w:r w:rsidR="00327059" w:rsidRPr="001D168F">
              <w:rPr>
                <w:rStyle w:val="Hyperlink"/>
                <w:noProof/>
              </w:rPr>
              <w:t>G.</w:t>
            </w:r>
            <w:r w:rsidR="00327059">
              <w:rPr>
                <w:rFonts w:asciiTheme="minorHAnsi" w:eastAsiaTheme="minorEastAsia" w:hAnsiTheme="minorHAnsi" w:cstheme="minorBidi"/>
                <w:noProof/>
                <w:sz w:val="22"/>
                <w:szCs w:val="22"/>
              </w:rPr>
              <w:tab/>
            </w:r>
            <w:r w:rsidR="00327059" w:rsidRPr="001D168F">
              <w:rPr>
                <w:rStyle w:val="Hyperlink"/>
                <w:noProof/>
              </w:rPr>
              <w:t>Depreciation Expense</w:t>
            </w:r>
            <w:r w:rsidR="00327059">
              <w:rPr>
                <w:noProof/>
                <w:webHidden/>
              </w:rPr>
              <w:tab/>
            </w:r>
            <w:r w:rsidR="00327059">
              <w:rPr>
                <w:noProof/>
                <w:webHidden/>
              </w:rPr>
              <w:fldChar w:fldCharType="begin"/>
            </w:r>
            <w:r w:rsidR="00327059">
              <w:rPr>
                <w:noProof/>
                <w:webHidden/>
              </w:rPr>
              <w:instrText xml:space="preserve"> PAGEREF _Toc69230571 \h </w:instrText>
            </w:r>
            <w:r w:rsidR="00327059">
              <w:rPr>
                <w:noProof/>
                <w:webHidden/>
              </w:rPr>
            </w:r>
            <w:r w:rsidR="00327059">
              <w:rPr>
                <w:noProof/>
                <w:webHidden/>
              </w:rPr>
              <w:fldChar w:fldCharType="separate"/>
            </w:r>
            <w:r w:rsidR="00327059">
              <w:rPr>
                <w:noProof/>
                <w:webHidden/>
              </w:rPr>
              <w:t>80</w:t>
            </w:r>
            <w:r w:rsidR="00327059">
              <w:rPr>
                <w:noProof/>
                <w:webHidden/>
              </w:rPr>
              <w:fldChar w:fldCharType="end"/>
            </w:r>
          </w:hyperlink>
        </w:p>
        <w:p w14:paraId="36F2AEAC" w14:textId="264F72C7" w:rsidR="00327059" w:rsidRDefault="00CA585A">
          <w:pPr>
            <w:pStyle w:val="TOC3"/>
            <w:rPr>
              <w:rFonts w:asciiTheme="minorHAnsi" w:eastAsiaTheme="minorEastAsia" w:hAnsiTheme="minorHAnsi" w:cstheme="minorBidi"/>
              <w:noProof/>
              <w:sz w:val="22"/>
              <w:szCs w:val="22"/>
            </w:rPr>
          </w:pPr>
          <w:hyperlink w:anchor="_Toc69230572" w:history="1">
            <w:r w:rsidR="00327059" w:rsidRPr="001D168F">
              <w:rPr>
                <w:rStyle w:val="Hyperlink"/>
                <w:rFonts w:eastAsiaTheme="minorHAnsi"/>
                <w:noProof/>
              </w:rPr>
              <w:t>1.</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Positions of the Parties</w:t>
            </w:r>
            <w:r w:rsidR="00327059">
              <w:rPr>
                <w:noProof/>
                <w:webHidden/>
              </w:rPr>
              <w:tab/>
            </w:r>
            <w:r w:rsidR="00327059">
              <w:rPr>
                <w:noProof/>
                <w:webHidden/>
              </w:rPr>
              <w:fldChar w:fldCharType="begin"/>
            </w:r>
            <w:r w:rsidR="00327059">
              <w:rPr>
                <w:noProof/>
                <w:webHidden/>
              </w:rPr>
              <w:instrText xml:space="preserve"> PAGEREF _Toc69230572 \h </w:instrText>
            </w:r>
            <w:r w:rsidR="00327059">
              <w:rPr>
                <w:noProof/>
                <w:webHidden/>
              </w:rPr>
            </w:r>
            <w:r w:rsidR="00327059">
              <w:rPr>
                <w:noProof/>
                <w:webHidden/>
              </w:rPr>
              <w:fldChar w:fldCharType="separate"/>
            </w:r>
            <w:r w:rsidR="00327059">
              <w:rPr>
                <w:noProof/>
                <w:webHidden/>
              </w:rPr>
              <w:t>80</w:t>
            </w:r>
            <w:r w:rsidR="00327059">
              <w:rPr>
                <w:noProof/>
                <w:webHidden/>
              </w:rPr>
              <w:fldChar w:fldCharType="end"/>
            </w:r>
          </w:hyperlink>
        </w:p>
        <w:p w14:paraId="1723D80D" w14:textId="4DB4BBB6" w:rsidR="00327059" w:rsidRDefault="00CA585A">
          <w:pPr>
            <w:pStyle w:val="TOC3"/>
            <w:rPr>
              <w:rFonts w:asciiTheme="minorHAnsi" w:eastAsiaTheme="minorEastAsia" w:hAnsiTheme="minorHAnsi" w:cstheme="minorBidi"/>
              <w:noProof/>
              <w:sz w:val="22"/>
              <w:szCs w:val="22"/>
            </w:rPr>
          </w:pPr>
          <w:hyperlink w:anchor="_Toc69230573" w:history="1">
            <w:r w:rsidR="00327059" w:rsidRPr="001D168F">
              <w:rPr>
                <w:rStyle w:val="Hyperlink"/>
                <w:rFonts w:eastAsiaTheme="minorHAnsi"/>
                <w:noProof/>
              </w:rPr>
              <w:t>2.</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Recommended Decision</w:t>
            </w:r>
            <w:r w:rsidR="00327059">
              <w:rPr>
                <w:noProof/>
                <w:webHidden/>
              </w:rPr>
              <w:tab/>
            </w:r>
            <w:r w:rsidR="00327059">
              <w:rPr>
                <w:noProof/>
                <w:webHidden/>
              </w:rPr>
              <w:fldChar w:fldCharType="begin"/>
            </w:r>
            <w:r w:rsidR="00327059">
              <w:rPr>
                <w:noProof/>
                <w:webHidden/>
              </w:rPr>
              <w:instrText xml:space="preserve"> PAGEREF _Toc69230573 \h </w:instrText>
            </w:r>
            <w:r w:rsidR="00327059">
              <w:rPr>
                <w:noProof/>
                <w:webHidden/>
              </w:rPr>
            </w:r>
            <w:r w:rsidR="00327059">
              <w:rPr>
                <w:noProof/>
                <w:webHidden/>
              </w:rPr>
              <w:fldChar w:fldCharType="separate"/>
            </w:r>
            <w:r w:rsidR="00327059">
              <w:rPr>
                <w:noProof/>
                <w:webHidden/>
              </w:rPr>
              <w:t>81</w:t>
            </w:r>
            <w:r w:rsidR="00327059">
              <w:rPr>
                <w:noProof/>
                <w:webHidden/>
              </w:rPr>
              <w:fldChar w:fldCharType="end"/>
            </w:r>
          </w:hyperlink>
        </w:p>
        <w:p w14:paraId="55241CD9" w14:textId="7E160085" w:rsidR="00327059" w:rsidRDefault="00CA585A">
          <w:pPr>
            <w:pStyle w:val="TOC3"/>
            <w:rPr>
              <w:rFonts w:asciiTheme="minorHAnsi" w:eastAsiaTheme="minorEastAsia" w:hAnsiTheme="minorHAnsi" w:cstheme="minorBidi"/>
              <w:noProof/>
              <w:sz w:val="22"/>
              <w:szCs w:val="22"/>
            </w:rPr>
          </w:pPr>
          <w:hyperlink w:anchor="_Toc69230574" w:history="1">
            <w:r w:rsidR="00327059" w:rsidRPr="001D168F">
              <w:rPr>
                <w:rStyle w:val="Hyperlink"/>
                <w:rFonts w:eastAsiaTheme="minorHAnsi"/>
                <w:noProof/>
              </w:rPr>
              <w:t>3.</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City Exception No. 6 and Replies</w:t>
            </w:r>
            <w:r w:rsidR="00327059">
              <w:rPr>
                <w:noProof/>
                <w:webHidden/>
              </w:rPr>
              <w:tab/>
            </w:r>
            <w:r w:rsidR="00327059">
              <w:rPr>
                <w:noProof/>
                <w:webHidden/>
              </w:rPr>
              <w:fldChar w:fldCharType="begin"/>
            </w:r>
            <w:r w:rsidR="00327059">
              <w:rPr>
                <w:noProof/>
                <w:webHidden/>
              </w:rPr>
              <w:instrText xml:space="preserve"> PAGEREF _Toc69230574 \h </w:instrText>
            </w:r>
            <w:r w:rsidR="00327059">
              <w:rPr>
                <w:noProof/>
                <w:webHidden/>
              </w:rPr>
            </w:r>
            <w:r w:rsidR="00327059">
              <w:rPr>
                <w:noProof/>
                <w:webHidden/>
              </w:rPr>
              <w:fldChar w:fldCharType="separate"/>
            </w:r>
            <w:r w:rsidR="00327059">
              <w:rPr>
                <w:noProof/>
                <w:webHidden/>
              </w:rPr>
              <w:t>81</w:t>
            </w:r>
            <w:r w:rsidR="00327059">
              <w:rPr>
                <w:noProof/>
                <w:webHidden/>
              </w:rPr>
              <w:fldChar w:fldCharType="end"/>
            </w:r>
          </w:hyperlink>
        </w:p>
        <w:p w14:paraId="65739E86" w14:textId="1E4D1D4C" w:rsidR="00327059" w:rsidRDefault="00CA585A">
          <w:pPr>
            <w:pStyle w:val="TOC3"/>
            <w:rPr>
              <w:rFonts w:asciiTheme="minorHAnsi" w:eastAsiaTheme="minorEastAsia" w:hAnsiTheme="minorHAnsi" w:cstheme="minorBidi"/>
              <w:noProof/>
              <w:sz w:val="22"/>
              <w:szCs w:val="22"/>
            </w:rPr>
          </w:pPr>
          <w:hyperlink w:anchor="_Toc69230575" w:history="1">
            <w:r w:rsidR="00327059" w:rsidRPr="001D168F">
              <w:rPr>
                <w:rStyle w:val="Hyperlink"/>
                <w:rFonts w:eastAsiaTheme="minorHAnsi"/>
                <w:noProof/>
              </w:rPr>
              <w:t>4.</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Disposition</w:t>
            </w:r>
            <w:r w:rsidR="00327059">
              <w:rPr>
                <w:noProof/>
                <w:webHidden/>
              </w:rPr>
              <w:tab/>
            </w:r>
            <w:r w:rsidR="00327059">
              <w:rPr>
                <w:noProof/>
                <w:webHidden/>
              </w:rPr>
              <w:fldChar w:fldCharType="begin"/>
            </w:r>
            <w:r w:rsidR="00327059">
              <w:rPr>
                <w:noProof/>
                <w:webHidden/>
              </w:rPr>
              <w:instrText xml:space="preserve"> PAGEREF _Toc69230575 \h </w:instrText>
            </w:r>
            <w:r w:rsidR="00327059">
              <w:rPr>
                <w:noProof/>
                <w:webHidden/>
              </w:rPr>
            </w:r>
            <w:r w:rsidR="00327059">
              <w:rPr>
                <w:noProof/>
                <w:webHidden/>
              </w:rPr>
              <w:fldChar w:fldCharType="separate"/>
            </w:r>
            <w:r w:rsidR="00327059">
              <w:rPr>
                <w:noProof/>
                <w:webHidden/>
              </w:rPr>
              <w:t>82</w:t>
            </w:r>
            <w:r w:rsidR="00327059">
              <w:rPr>
                <w:noProof/>
                <w:webHidden/>
              </w:rPr>
              <w:fldChar w:fldCharType="end"/>
            </w:r>
          </w:hyperlink>
        </w:p>
        <w:p w14:paraId="1F9577E3" w14:textId="240620B2" w:rsidR="00327059" w:rsidRDefault="00CA585A">
          <w:pPr>
            <w:pStyle w:val="TOC2"/>
            <w:rPr>
              <w:rFonts w:asciiTheme="minorHAnsi" w:eastAsiaTheme="minorEastAsia" w:hAnsiTheme="minorHAnsi" w:cstheme="minorBidi"/>
              <w:noProof/>
              <w:sz w:val="22"/>
              <w:szCs w:val="22"/>
            </w:rPr>
          </w:pPr>
          <w:hyperlink w:anchor="_Toc69230576" w:history="1">
            <w:r w:rsidR="00327059" w:rsidRPr="001D168F">
              <w:rPr>
                <w:rStyle w:val="Hyperlink"/>
                <w:rFonts w:eastAsiaTheme="minorHAnsi"/>
                <w:noProof/>
              </w:rPr>
              <w:t>H.</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Fair Rate of Return</w:t>
            </w:r>
            <w:r w:rsidR="00327059">
              <w:rPr>
                <w:noProof/>
                <w:webHidden/>
              </w:rPr>
              <w:tab/>
            </w:r>
            <w:r w:rsidR="00327059">
              <w:rPr>
                <w:noProof/>
                <w:webHidden/>
              </w:rPr>
              <w:fldChar w:fldCharType="begin"/>
            </w:r>
            <w:r w:rsidR="00327059">
              <w:rPr>
                <w:noProof/>
                <w:webHidden/>
              </w:rPr>
              <w:instrText xml:space="preserve"> PAGEREF _Toc69230576 \h </w:instrText>
            </w:r>
            <w:r w:rsidR="00327059">
              <w:rPr>
                <w:noProof/>
                <w:webHidden/>
              </w:rPr>
            </w:r>
            <w:r w:rsidR="00327059">
              <w:rPr>
                <w:noProof/>
                <w:webHidden/>
              </w:rPr>
              <w:fldChar w:fldCharType="separate"/>
            </w:r>
            <w:r w:rsidR="00327059">
              <w:rPr>
                <w:noProof/>
                <w:webHidden/>
              </w:rPr>
              <w:t>82</w:t>
            </w:r>
            <w:r w:rsidR="00327059">
              <w:rPr>
                <w:noProof/>
                <w:webHidden/>
              </w:rPr>
              <w:fldChar w:fldCharType="end"/>
            </w:r>
          </w:hyperlink>
        </w:p>
        <w:p w14:paraId="442506F2" w14:textId="70AF8A6B" w:rsidR="00327059" w:rsidRDefault="00CA585A">
          <w:pPr>
            <w:pStyle w:val="TOC3"/>
            <w:rPr>
              <w:rFonts w:asciiTheme="minorHAnsi" w:eastAsiaTheme="minorEastAsia" w:hAnsiTheme="minorHAnsi" w:cstheme="minorBidi"/>
              <w:noProof/>
              <w:sz w:val="22"/>
              <w:szCs w:val="22"/>
            </w:rPr>
          </w:pPr>
          <w:hyperlink w:anchor="_Toc69230577" w:history="1">
            <w:r w:rsidR="00327059" w:rsidRPr="001D168F">
              <w:rPr>
                <w:rStyle w:val="Hyperlink"/>
                <w:rFonts w:eastAsiaTheme="minorHAnsi"/>
                <w:noProof/>
              </w:rPr>
              <w:t>1.</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Positions of the Parties</w:t>
            </w:r>
            <w:r w:rsidR="00327059">
              <w:rPr>
                <w:noProof/>
                <w:webHidden/>
              </w:rPr>
              <w:tab/>
            </w:r>
            <w:r w:rsidR="00327059">
              <w:rPr>
                <w:noProof/>
                <w:webHidden/>
              </w:rPr>
              <w:fldChar w:fldCharType="begin"/>
            </w:r>
            <w:r w:rsidR="00327059">
              <w:rPr>
                <w:noProof/>
                <w:webHidden/>
              </w:rPr>
              <w:instrText xml:space="preserve"> PAGEREF _Toc69230577 \h </w:instrText>
            </w:r>
            <w:r w:rsidR="00327059">
              <w:rPr>
                <w:noProof/>
                <w:webHidden/>
              </w:rPr>
            </w:r>
            <w:r w:rsidR="00327059">
              <w:rPr>
                <w:noProof/>
                <w:webHidden/>
              </w:rPr>
              <w:fldChar w:fldCharType="separate"/>
            </w:r>
            <w:r w:rsidR="00327059">
              <w:rPr>
                <w:noProof/>
                <w:webHidden/>
              </w:rPr>
              <w:t>82</w:t>
            </w:r>
            <w:r w:rsidR="00327059">
              <w:rPr>
                <w:noProof/>
                <w:webHidden/>
              </w:rPr>
              <w:fldChar w:fldCharType="end"/>
            </w:r>
          </w:hyperlink>
        </w:p>
        <w:p w14:paraId="5B8856B1" w14:textId="5D36D4AD" w:rsidR="00327059" w:rsidRDefault="00CA585A">
          <w:pPr>
            <w:pStyle w:val="TOC3"/>
            <w:rPr>
              <w:rFonts w:asciiTheme="minorHAnsi" w:eastAsiaTheme="minorEastAsia" w:hAnsiTheme="minorHAnsi" w:cstheme="minorBidi"/>
              <w:noProof/>
              <w:sz w:val="22"/>
              <w:szCs w:val="22"/>
            </w:rPr>
          </w:pPr>
          <w:hyperlink w:anchor="_Toc69230578" w:history="1">
            <w:r w:rsidR="00327059" w:rsidRPr="001D168F">
              <w:rPr>
                <w:rStyle w:val="Hyperlink"/>
                <w:rFonts w:eastAsiaTheme="minorHAnsi"/>
                <w:noProof/>
              </w:rPr>
              <w:t>2.</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Recommended Decision</w:t>
            </w:r>
            <w:r w:rsidR="00327059">
              <w:rPr>
                <w:noProof/>
                <w:webHidden/>
              </w:rPr>
              <w:tab/>
            </w:r>
            <w:r w:rsidR="00327059">
              <w:rPr>
                <w:noProof/>
                <w:webHidden/>
              </w:rPr>
              <w:fldChar w:fldCharType="begin"/>
            </w:r>
            <w:r w:rsidR="00327059">
              <w:rPr>
                <w:noProof/>
                <w:webHidden/>
              </w:rPr>
              <w:instrText xml:space="preserve"> PAGEREF _Toc69230578 \h </w:instrText>
            </w:r>
            <w:r w:rsidR="00327059">
              <w:rPr>
                <w:noProof/>
                <w:webHidden/>
              </w:rPr>
            </w:r>
            <w:r w:rsidR="00327059">
              <w:rPr>
                <w:noProof/>
                <w:webHidden/>
              </w:rPr>
              <w:fldChar w:fldCharType="separate"/>
            </w:r>
            <w:r w:rsidR="00327059">
              <w:rPr>
                <w:noProof/>
                <w:webHidden/>
              </w:rPr>
              <w:t>84</w:t>
            </w:r>
            <w:r w:rsidR="00327059">
              <w:rPr>
                <w:noProof/>
                <w:webHidden/>
              </w:rPr>
              <w:fldChar w:fldCharType="end"/>
            </w:r>
          </w:hyperlink>
        </w:p>
        <w:p w14:paraId="1872A9E8" w14:textId="7FBD91E2" w:rsidR="00327059" w:rsidRDefault="00CA585A">
          <w:pPr>
            <w:pStyle w:val="TOC3"/>
            <w:rPr>
              <w:rFonts w:asciiTheme="minorHAnsi" w:eastAsiaTheme="minorEastAsia" w:hAnsiTheme="minorHAnsi" w:cstheme="minorBidi"/>
              <w:noProof/>
              <w:sz w:val="22"/>
              <w:szCs w:val="22"/>
            </w:rPr>
          </w:pPr>
          <w:hyperlink w:anchor="_Toc69230579" w:history="1">
            <w:r w:rsidR="00327059" w:rsidRPr="001D168F">
              <w:rPr>
                <w:rStyle w:val="Hyperlink"/>
                <w:rFonts w:eastAsiaTheme="minorHAnsi"/>
                <w:noProof/>
              </w:rPr>
              <w:t>3.</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OCA Exception No. 5 and Replies</w:t>
            </w:r>
            <w:r w:rsidR="00327059">
              <w:rPr>
                <w:noProof/>
                <w:webHidden/>
              </w:rPr>
              <w:tab/>
            </w:r>
            <w:r w:rsidR="00327059">
              <w:rPr>
                <w:noProof/>
                <w:webHidden/>
              </w:rPr>
              <w:fldChar w:fldCharType="begin"/>
            </w:r>
            <w:r w:rsidR="00327059">
              <w:rPr>
                <w:noProof/>
                <w:webHidden/>
              </w:rPr>
              <w:instrText xml:space="preserve"> PAGEREF _Toc69230579 \h </w:instrText>
            </w:r>
            <w:r w:rsidR="00327059">
              <w:rPr>
                <w:noProof/>
                <w:webHidden/>
              </w:rPr>
            </w:r>
            <w:r w:rsidR="00327059">
              <w:rPr>
                <w:noProof/>
                <w:webHidden/>
              </w:rPr>
              <w:fldChar w:fldCharType="separate"/>
            </w:r>
            <w:r w:rsidR="00327059">
              <w:rPr>
                <w:noProof/>
                <w:webHidden/>
              </w:rPr>
              <w:t>84</w:t>
            </w:r>
            <w:r w:rsidR="00327059">
              <w:rPr>
                <w:noProof/>
                <w:webHidden/>
              </w:rPr>
              <w:fldChar w:fldCharType="end"/>
            </w:r>
          </w:hyperlink>
        </w:p>
        <w:p w14:paraId="01ECE873" w14:textId="2613B2CB" w:rsidR="00327059" w:rsidRDefault="00CA585A">
          <w:pPr>
            <w:pStyle w:val="TOC3"/>
            <w:rPr>
              <w:rFonts w:asciiTheme="minorHAnsi" w:eastAsiaTheme="minorEastAsia" w:hAnsiTheme="minorHAnsi" w:cstheme="minorBidi"/>
              <w:noProof/>
              <w:sz w:val="22"/>
              <w:szCs w:val="22"/>
            </w:rPr>
          </w:pPr>
          <w:hyperlink w:anchor="_Toc69230580" w:history="1">
            <w:r w:rsidR="00327059" w:rsidRPr="001D168F">
              <w:rPr>
                <w:rStyle w:val="Hyperlink"/>
                <w:rFonts w:eastAsiaTheme="minorHAnsi"/>
                <w:noProof/>
              </w:rPr>
              <w:t>4.</w:t>
            </w:r>
            <w:r w:rsidR="00327059">
              <w:rPr>
                <w:rFonts w:asciiTheme="minorHAnsi" w:eastAsiaTheme="minorEastAsia" w:hAnsiTheme="minorHAnsi" w:cstheme="minorBidi"/>
                <w:noProof/>
                <w:sz w:val="22"/>
                <w:szCs w:val="22"/>
              </w:rPr>
              <w:tab/>
            </w:r>
            <w:r w:rsidR="00327059" w:rsidRPr="001D168F">
              <w:rPr>
                <w:rStyle w:val="Hyperlink"/>
                <w:rFonts w:eastAsiaTheme="minorHAnsi"/>
                <w:noProof/>
              </w:rPr>
              <w:t>Disposition</w:t>
            </w:r>
            <w:r w:rsidR="00327059">
              <w:rPr>
                <w:noProof/>
                <w:webHidden/>
              </w:rPr>
              <w:tab/>
            </w:r>
            <w:r w:rsidR="00327059">
              <w:rPr>
                <w:noProof/>
                <w:webHidden/>
              </w:rPr>
              <w:fldChar w:fldCharType="begin"/>
            </w:r>
            <w:r w:rsidR="00327059">
              <w:rPr>
                <w:noProof/>
                <w:webHidden/>
              </w:rPr>
              <w:instrText xml:space="preserve"> PAGEREF _Toc69230580 \h </w:instrText>
            </w:r>
            <w:r w:rsidR="00327059">
              <w:rPr>
                <w:noProof/>
                <w:webHidden/>
              </w:rPr>
            </w:r>
            <w:r w:rsidR="00327059">
              <w:rPr>
                <w:noProof/>
                <w:webHidden/>
              </w:rPr>
              <w:fldChar w:fldCharType="separate"/>
            </w:r>
            <w:r w:rsidR="00327059">
              <w:rPr>
                <w:noProof/>
                <w:webHidden/>
              </w:rPr>
              <w:t>85</w:t>
            </w:r>
            <w:r w:rsidR="00327059">
              <w:rPr>
                <w:noProof/>
                <w:webHidden/>
              </w:rPr>
              <w:fldChar w:fldCharType="end"/>
            </w:r>
          </w:hyperlink>
        </w:p>
        <w:p w14:paraId="789E3BF8" w14:textId="7965BA52" w:rsidR="00327059" w:rsidRDefault="00CA585A">
          <w:pPr>
            <w:pStyle w:val="TOC1"/>
            <w:tabs>
              <w:tab w:val="left" w:pos="720"/>
              <w:tab w:val="right" w:leader="dot" w:pos="9350"/>
            </w:tabs>
            <w:rPr>
              <w:rFonts w:asciiTheme="minorHAnsi" w:eastAsiaTheme="minorEastAsia" w:hAnsiTheme="minorHAnsi" w:cstheme="minorBidi"/>
              <w:noProof/>
              <w:sz w:val="22"/>
              <w:szCs w:val="22"/>
            </w:rPr>
          </w:pPr>
          <w:hyperlink w:anchor="_Toc69230581" w:history="1">
            <w:r w:rsidR="00327059" w:rsidRPr="001D168F">
              <w:rPr>
                <w:rStyle w:val="Hyperlink"/>
                <w:noProof/>
              </w:rPr>
              <w:t>VII.</w:t>
            </w:r>
            <w:r w:rsidR="00327059">
              <w:rPr>
                <w:rFonts w:asciiTheme="minorHAnsi" w:eastAsiaTheme="minorEastAsia" w:hAnsiTheme="minorHAnsi" w:cstheme="minorBidi"/>
                <w:noProof/>
                <w:sz w:val="22"/>
                <w:szCs w:val="22"/>
              </w:rPr>
              <w:tab/>
            </w:r>
            <w:r w:rsidR="00327059" w:rsidRPr="001D168F">
              <w:rPr>
                <w:rStyle w:val="Hyperlink"/>
                <w:noProof/>
              </w:rPr>
              <w:t>Conclusion</w:t>
            </w:r>
            <w:r w:rsidR="00327059">
              <w:rPr>
                <w:noProof/>
                <w:webHidden/>
              </w:rPr>
              <w:tab/>
            </w:r>
            <w:r w:rsidR="00327059">
              <w:rPr>
                <w:noProof/>
                <w:webHidden/>
              </w:rPr>
              <w:fldChar w:fldCharType="begin"/>
            </w:r>
            <w:r w:rsidR="00327059">
              <w:rPr>
                <w:noProof/>
                <w:webHidden/>
              </w:rPr>
              <w:instrText xml:space="preserve"> PAGEREF _Toc69230581 \h </w:instrText>
            </w:r>
            <w:r w:rsidR="00327059">
              <w:rPr>
                <w:noProof/>
                <w:webHidden/>
              </w:rPr>
            </w:r>
            <w:r w:rsidR="00327059">
              <w:rPr>
                <w:noProof/>
                <w:webHidden/>
              </w:rPr>
              <w:fldChar w:fldCharType="separate"/>
            </w:r>
            <w:r w:rsidR="00327059">
              <w:rPr>
                <w:noProof/>
                <w:webHidden/>
              </w:rPr>
              <w:t>85</w:t>
            </w:r>
            <w:r w:rsidR="00327059">
              <w:rPr>
                <w:noProof/>
                <w:webHidden/>
              </w:rPr>
              <w:fldChar w:fldCharType="end"/>
            </w:r>
          </w:hyperlink>
        </w:p>
        <w:p w14:paraId="4CC2016A" w14:textId="696FA223" w:rsidR="005A74D5" w:rsidRPr="00217AC0" w:rsidRDefault="005A74D5" w:rsidP="00217AC0">
          <w:pPr>
            <w:widowControl/>
            <w:rPr>
              <w:noProof/>
              <w:sz w:val="26"/>
              <w:szCs w:val="26"/>
            </w:rPr>
          </w:pPr>
          <w:r w:rsidRPr="00217AC0">
            <w:rPr>
              <w:sz w:val="26"/>
              <w:szCs w:val="26"/>
            </w:rPr>
            <w:fldChar w:fldCharType="end"/>
          </w:r>
        </w:p>
      </w:sdtContent>
    </w:sdt>
    <w:bookmarkEnd w:id="0" w:displacedByCustomXml="prev"/>
    <w:p w14:paraId="2E3C9DF1" w14:textId="1B5510A1" w:rsidR="005A74D5" w:rsidRPr="00217AC0" w:rsidRDefault="005A74D5" w:rsidP="00217AC0">
      <w:pPr>
        <w:widowControl/>
        <w:spacing w:line="360" w:lineRule="auto"/>
        <w:jc w:val="center"/>
        <w:rPr>
          <w:b/>
          <w:sz w:val="26"/>
          <w:szCs w:val="26"/>
        </w:rPr>
      </w:pPr>
    </w:p>
    <w:p w14:paraId="296BC070" w14:textId="25C25B43" w:rsidR="005B7603" w:rsidRPr="00217AC0" w:rsidRDefault="005B7603" w:rsidP="00217AC0">
      <w:pPr>
        <w:widowControl/>
        <w:spacing w:line="360" w:lineRule="auto"/>
        <w:jc w:val="center"/>
        <w:rPr>
          <w:b/>
          <w:sz w:val="26"/>
          <w:szCs w:val="26"/>
        </w:rPr>
      </w:pPr>
    </w:p>
    <w:p w14:paraId="7C58F892" w14:textId="77777777" w:rsidR="00A32A88" w:rsidRPr="00217AC0" w:rsidRDefault="00A32A88" w:rsidP="00217AC0">
      <w:pPr>
        <w:widowControl/>
        <w:spacing w:line="360" w:lineRule="auto"/>
        <w:rPr>
          <w:b/>
          <w:sz w:val="26"/>
          <w:szCs w:val="26"/>
        </w:rPr>
        <w:sectPr w:rsidR="00A32A88" w:rsidRPr="00217AC0" w:rsidSect="00A32A88">
          <w:pgSz w:w="12240" w:h="15840"/>
          <w:pgMar w:top="1440" w:right="1440" w:bottom="1440" w:left="1440" w:header="720" w:footer="720" w:gutter="0"/>
          <w:pgNumType w:fmt="lowerRoman" w:start="1"/>
          <w:cols w:space="720"/>
          <w:titlePg/>
          <w:docGrid w:linePitch="360"/>
        </w:sectPr>
      </w:pPr>
    </w:p>
    <w:p w14:paraId="7A0F3CB7" w14:textId="693522CD" w:rsidR="00CE01AD" w:rsidRPr="00217AC0" w:rsidRDefault="00CE01AD" w:rsidP="00217AC0">
      <w:pPr>
        <w:widowControl/>
        <w:spacing w:line="360" w:lineRule="auto"/>
        <w:rPr>
          <w:b/>
          <w:sz w:val="26"/>
          <w:szCs w:val="26"/>
        </w:rPr>
      </w:pPr>
      <w:r w:rsidRPr="00217AC0">
        <w:rPr>
          <w:b/>
          <w:sz w:val="26"/>
          <w:szCs w:val="26"/>
        </w:rPr>
        <w:lastRenderedPageBreak/>
        <w:t>BY THE COMMISSION:</w:t>
      </w:r>
    </w:p>
    <w:p w14:paraId="467B9228" w14:textId="77777777" w:rsidR="00275807" w:rsidRPr="00217AC0" w:rsidRDefault="00275807" w:rsidP="00217AC0">
      <w:pPr>
        <w:widowControl/>
        <w:spacing w:line="360" w:lineRule="auto"/>
        <w:rPr>
          <w:b/>
          <w:sz w:val="26"/>
          <w:szCs w:val="26"/>
        </w:rPr>
      </w:pPr>
    </w:p>
    <w:p w14:paraId="2E6E3A84" w14:textId="30BF4566" w:rsidR="00584FED" w:rsidRPr="00217AC0" w:rsidRDefault="000F1318" w:rsidP="00217AC0">
      <w:pPr>
        <w:widowControl/>
        <w:tabs>
          <w:tab w:val="left" w:pos="-720"/>
        </w:tabs>
        <w:suppressAutoHyphens/>
        <w:spacing w:line="360" w:lineRule="auto"/>
        <w:ind w:firstLine="1440"/>
        <w:rPr>
          <w:sz w:val="26"/>
          <w:szCs w:val="26"/>
        </w:rPr>
      </w:pPr>
      <w:r w:rsidRPr="00217AC0">
        <w:rPr>
          <w:sz w:val="26"/>
          <w:szCs w:val="26"/>
        </w:rPr>
        <w:t xml:space="preserve">Before the </w:t>
      </w:r>
      <w:r w:rsidR="005C7928" w:rsidRPr="00217AC0">
        <w:rPr>
          <w:sz w:val="26"/>
          <w:szCs w:val="26"/>
        </w:rPr>
        <w:t xml:space="preserve">Pennsylvania Public Utility </w:t>
      </w:r>
      <w:r w:rsidRPr="00217AC0">
        <w:rPr>
          <w:sz w:val="26"/>
          <w:szCs w:val="26"/>
        </w:rPr>
        <w:t xml:space="preserve">Commission </w:t>
      </w:r>
      <w:r w:rsidR="005C7928" w:rsidRPr="00217AC0">
        <w:rPr>
          <w:sz w:val="26"/>
          <w:szCs w:val="26"/>
        </w:rPr>
        <w:t xml:space="preserve">(Commission) </w:t>
      </w:r>
      <w:r w:rsidRPr="00217AC0">
        <w:rPr>
          <w:sz w:val="26"/>
          <w:szCs w:val="26"/>
        </w:rPr>
        <w:t>for co</w:t>
      </w:r>
      <w:r w:rsidR="00893951" w:rsidRPr="00217AC0">
        <w:rPr>
          <w:sz w:val="26"/>
          <w:szCs w:val="26"/>
        </w:rPr>
        <w:t xml:space="preserve">nsideration and </w:t>
      </w:r>
      <w:bookmarkStart w:id="1" w:name="_Hlk37835909"/>
      <w:r w:rsidR="00893951" w:rsidRPr="00217AC0">
        <w:rPr>
          <w:sz w:val="26"/>
          <w:szCs w:val="26"/>
        </w:rPr>
        <w:t>disposition</w:t>
      </w:r>
      <w:r w:rsidR="00D340F2" w:rsidRPr="00217AC0">
        <w:rPr>
          <w:sz w:val="26"/>
          <w:szCs w:val="26"/>
        </w:rPr>
        <w:t xml:space="preserve"> </w:t>
      </w:r>
      <w:r w:rsidR="00584FED" w:rsidRPr="00217AC0">
        <w:rPr>
          <w:sz w:val="26"/>
          <w:szCs w:val="26"/>
        </w:rPr>
        <w:t xml:space="preserve">is the Recommended Decision (R.D.) of Administrative Law Judge (ALJ) Steven K. Haas, issued on February 11, 2021, and the Exceptions and Reply Exceptions filed thereto, in the above-captioned proceeding.  </w:t>
      </w:r>
    </w:p>
    <w:p w14:paraId="67271CFD" w14:textId="77777777" w:rsidR="00584FED" w:rsidRPr="00217AC0" w:rsidRDefault="00584FED" w:rsidP="00217AC0">
      <w:pPr>
        <w:widowControl/>
        <w:tabs>
          <w:tab w:val="left" w:pos="-720"/>
        </w:tabs>
        <w:suppressAutoHyphens/>
        <w:spacing w:line="360" w:lineRule="auto"/>
        <w:ind w:firstLine="1440"/>
        <w:rPr>
          <w:sz w:val="26"/>
          <w:szCs w:val="26"/>
        </w:rPr>
      </w:pPr>
    </w:p>
    <w:p w14:paraId="7E5381FA" w14:textId="36C67A63" w:rsidR="0050244F" w:rsidRPr="00217AC0" w:rsidRDefault="00656A3C" w:rsidP="00217AC0">
      <w:pPr>
        <w:widowControl/>
        <w:tabs>
          <w:tab w:val="left" w:pos="-720"/>
        </w:tabs>
        <w:suppressAutoHyphens/>
        <w:spacing w:line="360" w:lineRule="auto"/>
        <w:ind w:firstLine="1440"/>
        <w:rPr>
          <w:sz w:val="26"/>
          <w:szCs w:val="26"/>
        </w:rPr>
      </w:pPr>
      <w:r w:rsidRPr="00217AC0">
        <w:rPr>
          <w:sz w:val="26"/>
          <w:szCs w:val="26"/>
        </w:rPr>
        <w:t>Exceptions</w:t>
      </w:r>
      <w:r w:rsidR="00584FED" w:rsidRPr="00217AC0">
        <w:rPr>
          <w:sz w:val="26"/>
          <w:szCs w:val="26"/>
        </w:rPr>
        <w:t xml:space="preserve"> to the Recommended Decision were filed by</w:t>
      </w:r>
      <w:r w:rsidR="003C6715" w:rsidRPr="00217AC0">
        <w:rPr>
          <w:sz w:val="26"/>
          <w:szCs w:val="26"/>
        </w:rPr>
        <w:t xml:space="preserve"> </w:t>
      </w:r>
      <w:r w:rsidR="00CC5420" w:rsidRPr="00217AC0">
        <w:rPr>
          <w:sz w:val="26"/>
          <w:szCs w:val="26"/>
        </w:rPr>
        <w:t>the City of Bethlehem</w:t>
      </w:r>
      <w:r w:rsidR="003C6715" w:rsidRPr="00217AC0">
        <w:rPr>
          <w:sz w:val="26"/>
          <w:szCs w:val="26"/>
        </w:rPr>
        <w:t xml:space="preserve"> (C</w:t>
      </w:r>
      <w:r w:rsidR="005E028C" w:rsidRPr="00217AC0">
        <w:rPr>
          <w:sz w:val="26"/>
          <w:szCs w:val="26"/>
        </w:rPr>
        <w:t>ity</w:t>
      </w:r>
      <w:r w:rsidR="003C6715" w:rsidRPr="00217AC0">
        <w:rPr>
          <w:sz w:val="26"/>
          <w:szCs w:val="26"/>
        </w:rPr>
        <w:t xml:space="preserve"> or </w:t>
      </w:r>
      <w:r w:rsidR="005E028C" w:rsidRPr="00217AC0">
        <w:rPr>
          <w:sz w:val="26"/>
          <w:szCs w:val="26"/>
        </w:rPr>
        <w:t xml:space="preserve">Bethlehem) and </w:t>
      </w:r>
      <w:r w:rsidR="003C6715" w:rsidRPr="00217AC0">
        <w:rPr>
          <w:sz w:val="26"/>
          <w:szCs w:val="26"/>
        </w:rPr>
        <w:t>the Office of Consumer Advocate (OCA)</w:t>
      </w:r>
      <w:r w:rsidR="00584FED" w:rsidRPr="00217AC0">
        <w:rPr>
          <w:sz w:val="26"/>
          <w:szCs w:val="26"/>
        </w:rPr>
        <w:t xml:space="preserve"> </w:t>
      </w:r>
      <w:r w:rsidRPr="00217AC0">
        <w:rPr>
          <w:sz w:val="26"/>
          <w:szCs w:val="26"/>
        </w:rPr>
        <w:t xml:space="preserve">on </w:t>
      </w:r>
      <w:r w:rsidR="005E028C" w:rsidRPr="00217AC0">
        <w:rPr>
          <w:sz w:val="26"/>
          <w:szCs w:val="26"/>
        </w:rPr>
        <w:t>February 24, 2021</w:t>
      </w:r>
      <w:r w:rsidR="00584FED" w:rsidRPr="00217AC0">
        <w:rPr>
          <w:sz w:val="26"/>
          <w:szCs w:val="26"/>
        </w:rPr>
        <w:t xml:space="preserve">.  </w:t>
      </w:r>
      <w:r w:rsidRPr="00217AC0">
        <w:rPr>
          <w:sz w:val="26"/>
          <w:szCs w:val="26"/>
        </w:rPr>
        <w:t xml:space="preserve">Replies to Exceptions were filed by </w:t>
      </w:r>
      <w:r w:rsidR="005E028C" w:rsidRPr="00217AC0">
        <w:rPr>
          <w:sz w:val="26"/>
          <w:szCs w:val="26"/>
        </w:rPr>
        <w:t>the City</w:t>
      </w:r>
      <w:r w:rsidR="00A66FEB" w:rsidRPr="00217AC0">
        <w:rPr>
          <w:sz w:val="26"/>
          <w:szCs w:val="26"/>
        </w:rPr>
        <w:t>,</w:t>
      </w:r>
      <w:r w:rsidR="005E028C" w:rsidRPr="00217AC0">
        <w:rPr>
          <w:sz w:val="26"/>
          <w:szCs w:val="26"/>
        </w:rPr>
        <w:t xml:space="preserve"> the OCA</w:t>
      </w:r>
      <w:r w:rsidR="00A66FEB" w:rsidRPr="00217AC0">
        <w:rPr>
          <w:sz w:val="26"/>
          <w:szCs w:val="26"/>
        </w:rPr>
        <w:t>, and the Commission’s Bureau of Investigation and Enforcement (I&amp;E)</w:t>
      </w:r>
      <w:r w:rsidRPr="00217AC0">
        <w:rPr>
          <w:sz w:val="26"/>
          <w:szCs w:val="26"/>
        </w:rPr>
        <w:t xml:space="preserve"> on </w:t>
      </w:r>
      <w:r w:rsidR="005E028C" w:rsidRPr="00217AC0">
        <w:rPr>
          <w:sz w:val="26"/>
          <w:szCs w:val="26"/>
        </w:rPr>
        <w:t>March 2, 2021</w:t>
      </w:r>
      <w:r w:rsidRPr="00217AC0">
        <w:rPr>
          <w:sz w:val="26"/>
          <w:szCs w:val="26"/>
        </w:rPr>
        <w:t>.</w:t>
      </w:r>
    </w:p>
    <w:p w14:paraId="2A29A94F" w14:textId="63C36E64" w:rsidR="00584FED" w:rsidRPr="00217AC0" w:rsidRDefault="00584FED" w:rsidP="00217AC0">
      <w:pPr>
        <w:widowControl/>
        <w:tabs>
          <w:tab w:val="left" w:pos="-720"/>
        </w:tabs>
        <w:suppressAutoHyphens/>
        <w:spacing w:line="360" w:lineRule="auto"/>
        <w:ind w:firstLine="1440"/>
        <w:rPr>
          <w:sz w:val="26"/>
          <w:szCs w:val="26"/>
        </w:rPr>
      </w:pPr>
    </w:p>
    <w:p w14:paraId="5B6EDC5A" w14:textId="08C7B325" w:rsidR="00584FED" w:rsidRPr="00217AC0" w:rsidRDefault="00584FED" w:rsidP="00217AC0">
      <w:pPr>
        <w:widowControl/>
        <w:tabs>
          <w:tab w:val="left" w:pos="-720"/>
        </w:tabs>
        <w:suppressAutoHyphens/>
        <w:spacing w:line="360" w:lineRule="auto"/>
        <w:ind w:firstLine="1440"/>
        <w:rPr>
          <w:sz w:val="26"/>
          <w:szCs w:val="26"/>
        </w:rPr>
      </w:pPr>
      <w:r w:rsidRPr="00217AC0">
        <w:rPr>
          <w:sz w:val="26"/>
          <w:szCs w:val="26"/>
        </w:rPr>
        <w:t>Also, before the Commission is the Joint Petition for Approval of Partial Settlement of Rate Investigation (Joint Petition or Settlement) between the City and I&amp;E</w:t>
      </w:r>
      <w:r w:rsidR="00C747A4" w:rsidRPr="00217AC0">
        <w:rPr>
          <w:sz w:val="26"/>
          <w:szCs w:val="26"/>
        </w:rPr>
        <w:t xml:space="preserve"> (Joint Petitioners or Settling Parties), filed on December 28, 2020.</w:t>
      </w:r>
      <w:r w:rsidR="00C747A4" w:rsidRPr="00217AC0">
        <w:rPr>
          <w:rStyle w:val="FootnoteReference"/>
          <w:sz w:val="26"/>
          <w:szCs w:val="26"/>
        </w:rPr>
        <w:footnoteReference w:id="2"/>
      </w:r>
      <w:r w:rsidR="00C747A4" w:rsidRPr="00217AC0">
        <w:rPr>
          <w:sz w:val="26"/>
          <w:szCs w:val="26"/>
        </w:rPr>
        <w:t xml:space="preserve">  </w:t>
      </w:r>
    </w:p>
    <w:bookmarkEnd w:id="1"/>
    <w:p w14:paraId="75A59337" w14:textId="0B41B7A5" w:rsidR="00326EBF" w:rsidRPr="00217AC0" w:rsidRDefault="00326EBF" w:rsidP="00217AC0">
      <w:pPr>
        <w:widowControl/>
        <w:tabs>
          <w:tab w:val="left" w:pos="-720"/>
        </w:tabs>
        <w:suppressAutoHyphens/>
        <w:spacing w:line="360" w:lineRule="auto"/>
        <w:rPr>
          <w:sz w:val="26"/>
          <w:szCs w:val="26"/>
        </w:rPr>
      </w:pPr>
    </w:p>
    <w:p w14:paraId="2BA113F9" w14:textId="0C4A14D6" w:rsidR="00317685" w:rsidRPr="00217AC0" w:rsidRDefault="00317685" w:rsidP="00217AC0">
      <w:pPr>
        <w:widowControl/>
        <w:spacing w:line="360" w:lineRule="auto"/>
        <w:ind w:firstLine="1440"/>
        <w:rPr>
          <w:sz w:val="26"/>
          <w:szCs w:val="26"/>
        </w:rPr>
      </w:pPr>
      <w:r w:rsidRPr="00217AC0">
        <w:rPr>
          <w:sz w:val="26"/>
          <w:szCs w:val="26"/>
        </w:rPr>
        <w:t xml:space="preserve">For the reasons stated, </w:t>
      </w:r>
      <w:r w:rsidRPr="00217AC0">
        <w:rPr>
          <w:i/>
          <w:sz w:val="26"/>
          <w:szCs w:val="26"/>
        </w:rPr>
        <w:t>infra</w:t>
      </w:r>
      <w:r w:rsidRPr="00217AC0">
        <w:rPr>
          <w:sz w:val="26"/>
          <w:szCs w:val="26"/>
        </w:rPr>
        <w:t xml:space="preserve">, we </w:t>
      </w:r>
      <w:r w:rsidR="00471425" w:rsidRPr="00217AC0">
        <w:rPr>
          <w:sz w:val="26"/>
          <w:szCs w:val="26"/>
        </w:rPr>
        <w:t>shall</w:t>
      </w:r>
      <w:r w:rsidR="00BD66D4" w:rsidRPr="00217AC0">
        <w:rPr>
          <w:sz w:val="26"/>
          <w:szCs w:val="26"/>
        </w:rPr>
        <w:t xml:space="preserve"> adopt the Settling Parties’ Joint Petition, and approve the Settlement</w:t>
      </w:r>
      <w:r w:rsidR="00FB58BA" w:rsidRPr="00217AC0">
        <w:rPr>
          <w:sz w:val="26"/>
          <w:szCs w:val="26"/>
        </w:rPr>
        <w:t xml:space="preserve">, without modification, as in the public interest.  Additionally, we shall: </w:t>
      </w:r>
      <w:r w:rsidR="00471425" w:rsidRPr="00217AC0">
        <w:rPr>
          <w:sz w:val="26"/>
          <w:szCs w:val="26"/>
        </w:rPr>
        <w:t xml:space="preserve">(1) </w:t>
      </w:r>
      <w:r w:rsidR="00BD66D4" w:rsidRPr="00217AC0">
        <w:rPr>
          <w:sz w:val="26"/>
          <w:szCs w:val="26"/>
        </w:rPr>
        <w:t>deny</w:t>
      </w:r>
      <w:r w:rsidRPr="00217AC0">
        <w:rPr>
          <w:sz w:val="26"/>
          <w:szCs w:val="26"/>
        </w:rPr>
        <w:t xml:space="preserve"> the Exceptions</w:t>
      </w:r>
      <w:r w:rsidR="00BD66D4" w:rsidRPr="00217AC0">
        <w:rPr>
          <w:sz w:val="26"/>
          <w:szCs w:val="26"/>
        </w:rPr>
        <w:t xml:space="preserve"> of the OCA</w:t>
      </w:r>
      <w:r w:rsidR="006E66CC" w:rsidRPr="00217AC0">
        <w:rPr>
          <w:sz w:val="26"/>
          <w:szCs w:val="26"/>
        </w:rPr>
        <w:t xml:space="preserve"> and</w:t>
      </w:r>
      <w:r w:rsidR="00471425" w:rsidRPr="00217AC0">
        <w:rPr>
          <w:sz w:val="26"/>
          <w:szCs w:val="26"/>
        </w:rPr>
        <w:t xml:space="preserve"> the City</w:t>
      </w:r>
      <w:r w:rsidR="006E66CC" w:rsidRPr="00217AC0">
        <w:rPr>
          <w:sz w:val="26"/>
          <w:szCs w:val="26"/>
        </w:rPr>
        <w:t>;</w:t>
      </w:r>
      <w:r w:rsidR="00FB58BA" w:rsidRPr="00217AC0">
        <w:rPr>
          <w:sz w:val="26"/>
          <w:szCs w:val="26"/>
        </w:rPr>
        <w:t xml:space="preserve"> and</w:t>
      </w:r>
      <w:r w:rsidR="00471425" w:rsidRPr="00217AC0">
        <w:rPr>
          <w:sz w:val="26"/>
          <w:szCs w:val="26"/>
        </w:rPr>
        <w:t xml:space="preserve"> (2)</w:t>
      </w:r>
      <w:r w:rsidRPr="00217AC0">
        <w:rPr>
          <w:sz w:val="26"/>
          <w:szCs w:val="26"/>
        </w:rPr>
        <w:t xml:space="preserve"> adopt the ALJ</w:t>
      </w:r>
      <w:r w:rsidR="00BC1D33" w:rsidRPr="00217AC0">
        <w:rPr>
          <w:sz w:val="26"/>
          <w:szCs w:val="26"/>
        </w:rPr>
        <w:t>’s</w:t>
      </w:r>
      <w:r w:rsidRPr="00217AC0">
        <w:rPr>
          <w:sz w:val="26"/>
          <w:szCs w:val="26"/>
        </w:rPr>
        <w:t xml:space="preserve"> Recommended Decision, as modified, consistent with this Opinion and Order</w:t>
      </w:r>
      <w:r w:rsidR="00FB58BA" w:rsidRPr="00217AC0">
        <w:rPr>
          <w:sz w:val="26"/>
          <w:szCs w:val="26"/>
        </w:rPr>
        <w:t>.</w:t>
      </w:r>
    </w:p>
    <w:p w14:paraId="61E9E883" w14:textId="77777777" w:rsidR="00317685" w:rsidRPr="00217AC0" w:rsidRDefault="00317685" w:rsidP="00217AC0">
      <w:pPr>
        <w:widowControl/>
        <w:tabs>
          <w:tab w:val="left" w:pos="-720"/>
        </w:tabs>
        <w:suppressAutoHyphens/>
        <w:spacing w:line="360" w:lineRule="auto"/>
        <w:rPr>
          <w:sz w:val="26"/>
          <w:szCs w:val="26"/>
        </w:rPr>
      </w:pPr>
    </w:p>
    <w:p w14:paraId="4F1A3656" w14:textId="54220BB2" w:rsidR="00C127AE" w:rsidRPr="00217AC0" w:rsidRDefault="00326EBF" w:rsidP="00217AC0">
      <w:pPr>
        <w:widowControl/>
        <w:tabs>
          <w:tab w:val="left" w:pos="-720"/>
        </w:tabs>
        <w:spacing w:line="360" w:lineRule="auto"/>
        <w:ind w:firstLine="1440"/>
        <w:rPr>
          <w:sz w:val="26"/>
          <w:szCs w:val="26"/>
        </w:rPr>
      </w:pPr>
      <w:r w:rsidRPr="00217AC0">
        <w:rPr>
          <w:sz w:val="26"/>
          <w:szCs w:val="26"/>
        </w:rPr>
        <w:lastRenderedPageBreak/>
        <w:t xml:space="preserve">As discussed below, </w:t>
      </w:r>
      <w:r w:rsidR="00DC4B6F" w:rsidRPr="00217AC0">
        <w:rPr>
          <w:sz w:val="26"/>
          <w:szCs w:val="26"/>
        </w:rPr>
        <w:t xml:space="preserve">the genesis of this proceeding involved a general rate increase in which </w:t>
      </w:r>
      <w:r w:rsidR="006C3FF6" w:rsidRPr="00217AC0">
        <w:rPr>
          <w:sz w:val="26"/>
          <w:szCs w:val="26"/>
        </w:rPr>
        <w:t>the City</w:t>
      </w:r>
      <w:r w:rsidR="00260CDE" w:rsidRPr="00217AC0">
        <w:rPr>
          <w:sz w:val="26"/>
          <w:szCs w:val="26"/>
        </w:rPr>
        <w:t xml:space="preserve"> proposed </w:t>
      </w:r>
      <w:r w:rsidR="006C3FF6" w:rsidRPr="00217AC0">
        <w:rPr>
          <w:sz w:val="26"/>
          <w:szCs w:val="26"/>
        </w:rPr>
        <w:t xml:space="preserve">base </w:t>
      </w:r>
      <w:r w:rsidR="00260CDE" w:rsidRPr="00217AC0">
        <w:rPr>
          <w:sz w:val="26"/>
          <w:szCs w:val="26"/>
        </w:rPr>
        <w:t>rate change</w:t>
      </w:r>
      <w:r w:rsidR="00A170D9" w:rsidRPr="00217AC0">
        <w:rPr>
          <w:sz w:val="26"/>
          <w:szCs w:val="26"/>
        </w:rPr>
        <w:t>s</w:t>
      </w:r>
      <w:r w:rsidR="00260CDE" w:rsidRPr="00217AC0">
        <w:rPr>
          <w:sz w:val="26"/>
          <w:szCs w:val="26"/>
        </w:rPr>
        <w:t xml:space="preserve"> that would have increased its annual</w:t>
      </w:r>
      <w:r w:rsidR="0092534F" w:rsidRPr="00217AC0">
        <w:rPr>
          <w:sz w:val="26"/>
          <w:szCs w:val="26"/>
        </w:rPr>
        <w:t xml:space="preserve"> operating</w:t>
      </w:r>
      <w:r w:rsidR="00260CDE" w:rsidRPr="00217AC0">
        <w:rPr>
          <w:sz w:val="26"/>
          <w:szCs w:val="26"/>
        </w:rPr>
        <w:t xml:space="preserve"> revenues by $</w:t>
      </w:r>
      <w:r w:rsidR="0092534F" w:rsidRPr="00217AC0">
        <w:rPr>
          <w:sz w:val="26"/>
          <w:szCs w:val="26"/>
        </w:rPr>
        <w:t xml:space="preserve">2,691,114, which is comprised of an increase in water revenue for </w:t>
      </w:r>
      <w:r w:rsidR="006E66CC" w:rsidRPr="00217AC0">
        <w:rPr>
          <w:sz w:val="26"/>
          <w:szCs w:val="26"/>
        </w:rPr>
        <w:t>customers within the City limits</w:t>
      </w:r>
      <w:r w:rsidR="00197C24" w:rsidRPr="00217AC0">
        <w:rPr>
          <w:sz w:val="26"/>
          <w:szCs w:val="26"/>
        </w:rPr>
        <w:t xml:space="preserve"> (</w:t>
      </w:r>
      <w:r w:rsidR="0092534F" w:rsidRPr="00217AC0">
        <w:rPr>
          <w:sz w:val="26"/>
          <w:szCs w:val="26"/>
        </w:rPr>
        <w:t>inside</w:t>
      </w:r>
      <w:r w:rsidR="005D1575" w:rsidRPr="00217AC0">
        <w:rPr>
          <w:sz w:val="26"/>
          <w:szCs w:val="26"/>
        </w:rPr>
        <w:t>-C</w:t>
      </w:r>
      <w:r w:rsidR="0092534F" w:rsidRPr="00217AC0">
        <w:rPr>
          <w:sz w:val="26"/>
          <w:szCs w:val="26"/>
        </w:rPr>
        <w:t>ity customers</w:t>
      </w:r>
      <w:r w:rsidR="00197C24" w:rsidRPr="00217AC0">
        <w:rPr>
          <w:sz w:val="26"/>
          <w:szCs w:val="26"/>
        </w:rPr>
        <w:t>)</w:t>
      </w:r>
      <w:r w:rsidR="0092534F" w:rsidRPr="00217AC0">
        <w:rPr>
          <w:sz w:val="26"/>
          <w:szCs w:val="26"/>
        </w:rPr>
        <w:t xml:space="preserve"> of $1,782,693 and an increase in water revenue for </w:t>
      </w:r>
      <w:r w:rsidR="00197C24" w:rsidRPr="00217AC0">
        <w:rPr>
          <w:sz w:val="26"/>
          <w:szCs w:val="26"/>
        </w:rPr>
        <w:t>customers residing outside of the City limits (</w:t>
      </w:r>
      <w:r w:rsidR="0092534F" w:rsidRPr="00217AC0">
        <w:rPr>
          <w:sz w:val="26"/>
          <w:szCs w:val="26"/>
        </w:rPr>
        <w:t>jurisdictional</w:t>
      </w:r>
      <w:r w:rsidR="00197C24" w:rsidRPr="00217AC0">
        <w:rPr>
          <w:sz w:val="26"/>
          <w:szCs w:val="26"/>
        </w:rPr>
        <w:t xml:space="preserve"> or outside-City)</w:t>
      </w:r>
      <w:r w:rsidR="0092534F" w:rsidRPr="00217AC0">
        <w:rPr>
          <w:sz w:val="26"/>
          <w:szCs w:val="26"/>
        </w:rPr>
        <w:t xml:space="preserve"> customers of $908,421</w:t>
      </w:r>
      <w:r w:rsidR="005D1575" w:rsidRPr="00217AC0">
        <w:rPr>
          <w:sz w:val="26"/>
          <w:szCs w:val="26"/>
        </w:rPr>
        <w:t>, or approximately 1</w:t>
      </w:r>
      <w:r w:rsidR="00C76F83" w:rsidRPr="00217AC0">
        <w:rPr>
          <w:sz w:val="26"/>
          <w:szCs w:val="26"/>
        </w:rPr>
        <w:t>1.0</w:t>
      </w:r>
      <w:r w:rsidR="005D1575" w:rsidRPr="00217AC0">
        <w:rPr>
          <w:sz w:val="26"/>
          <w:szCs w:val="26"/>
        </w:rPr>
        <w:t>%, based on a future test year (FTY) ending December 31, 2020.</w:t>
      </w:r>
      <w:r w:rsidR="005D1575" w:rsidRPr="00217AC0">
        <w:rPr>
          <w:rStyle w:val="FootnoteReference"/>
          <w:sz w:val="26"/>
          <w:szCs w:val="26"/>
        </w:rPr>
        <w:footnoteReference w:id="3"/>
      </w:r>
      <w:r w:rsidR="005D1575" w:rsidRPr="00217AC0">
        <w:rPr>
          <w:sz w:val="26"/>
          <w:szCs w:val="26"/>
          <w:vertAlign w:val="superscript"/>
        </w:rPr>
        <w:t>,</w:t>
      </w:r>
      <w:r w:rsidR="00BD66D4" w:rsidRPr="00217AC0">
        <w:rPr>
          <w:sz w:val="26"/>
          <w:szCs w:val="26"/>
          <w:vertAlign w:val="superscript"/>
        </w:rPr>
        <w:t xml:space="preserve"> </w:t>
      </w:r>
      <w:r w:rsidR="005D1575" w:rsidRPr="00217AC0">
        <w:rPr>
          <w:rStyle w:val="FootnoteReference"/>
          <w:sz w:val="26"/>
          <w:szCs w:val="26"/>
        </w:rPr>
        <w:footnoteReference w:id="4"/>
      </w:r>
      <w:r w:rsidR="00BD66D4" w:rsidRPr="00217AC0">
        <w:rPr>
          <w:sz w:val="26"/>
          <w:szCs w:val="26"/>
          <w:vertAlign w:val="superscript"/>
        </w:rPr>
        <w:t xml:space="preserve"> </w:t>
      </w:r>
      <w:r w:rsidR="00BD66D4" w:rsidRPr="00217AC0">
        <w:rPr>
          <w:sz w:val="26"/>
          <w:szCs w:val="26"/>
        </w:rPr>
        <w:t xml:space="preserve"> </w:t>
      </w:r>
      <w:r w:rsidR="00C76F83" w:rsidRPr="00217AC0">
        <w:rPr>
          <w:sz w:val="26"/>
          <w:szCs w:val="26"/>
        </w:rPr>
        <w:t>City St. No. 1, Attachment 1 at 4; City Exh. CEH-1, Sch. A.</w:t>
      </w:r>
      <w:r w:rsidR="00B942F5" w:rsidRPr="00217AC0">
        <w:rPr>
          <w:sz w:val="26"/>
          <w:szCs w:val="26"/>
        </w:rPr>
        <w:t xml:space="preserve">  </w:t>
      </w:r>
      <w:r w:rsidR="00202635" w:rsidRPr="00217AC0">
        <w:rPr>
          <w:sz w:val="26"/>
          <w:szCs w:val="26"/>
        </w:rPr>
        <w:t xml:space="preserve">In this Opinion and Order, we shall approve the Joint Petition, which embodies a “black box” settlement, </w:t>
      </w:r>
      <w:r w:rsidR="00C32A58" w:rsidRPr="00217AC0">
        <w:rPr>
          <w:sz w:val="26"/>
          <w:szCs w:val="26"/>
        </w:rPr>
        <w:t>permitting</w:t>
      </w:r>
      <w:r w:rsidR="00202635" w:rsidRPr="00217AC0">
        <w:rPr>
          <w:sz w:val="26"/>
          <w:szCs w:val="26"/>
        </w:rPr>
        <w:t xml:space="preserve"> the City to file new tariff rates designed to provide a</w:t>
      </w:r>
      <w:r w:rsidR="001468F6" w:rsidRPr="00217AC0">
        <w:rPr>
          <w:sz w:val="26"/>
          <w:szCs w:val="26"/>
        </w:rPr>
        <w:t xml:space="preserve"> distribution base rate increase of $689,932,</w:t>
      </w:r>
      <w:r w:rsidR="00074336" w:rsidRPr="00217AC0">
        <w:rPr>
          <w:sz w:val="26"/>
          <w:szCs w:val="26"/>
        </w:rPr>
        <w:t xml:space="preserve"> or approximately </w:t>
      </w:r>
      <w:r w:rsidR="001468F6" w:rsidRPr="00217AC0">
        <w:rPr>
          <w:sz w:val="26"/>
          <w:szCs w:val="26"/>
        </w:rPr>
        <w:t xml:space="preserve">8.4% over present revenues, </w:t>
      </w:r>
      <w:r w:rsidR="001F1230" w:rsidRPr="00217AC0">
        <w:rPr>
          <w:sz w:val="26"/>
          <w:szCs w:val="26"/>
        </w:rPr>
        <w:t xml:space="preserve">from outside-City customers, </w:t>
      </w:r>
      <w:r w:rsidR="001468F6" w:rsidRPr="00217AC0">
        <w:rPr>
          <w:sz w:val="26"/>
          <w:szCs w:val="26"/>
        </w:rPr>
        <w:t>approximately $218,000 less than what was requested by the City</w:t>
      </w:r>
      <w:r w:rsidR="001F1230" w:rsidRPr="00217AC0">
        <w:rPr>
          <w:sz w:val="26"/>
          <w:szCs w:val="26"/>
        </w:rPr>
        <w:t>.</w:t>
      </w:r>
      <w:r w:rsidR="001F1230" w:rsidRPr="00217AC0">
        <w:rPr>
          <w:rStyle w:val="FootnoteReference"/>
          <w:sz w:val="26"/>
          <w:szCs w:val="26"/>
        </w:rPr>
        <w:footnoteReference w:id="5"/>
      </w:r>
      <w:r w:rsidR="00FB385B" w:rsidRPr="00217AC0">
        <w:rPr>
          <w:sz w:val="26"/>
          <w:szCs w:val="26"/>
        </w:rPr>
        <w:t xml:space="preserve">  Joint Petition at 3.</w:t>
      </w:r>
      <w:r w:rsidR="00FE3DDA" w:rsidRPr="00217AC0">
        <w:rPr>
          <w:sz w:val="26"/>
          <w:szCs w:val="26"/>
        </w:rPr>
        <w:t xml:space="preserve">  </w:t>
      </w:r>
    </w:p>
    <w:p w14:paraId="6D97E742" w14:textId="6733CAFB" w:rsidR="0039757E" w:rsidRPr="00217AC0" w:rsidRDefault="00C127AE" w:rsidP="00217AC0">
      <w:pPr>
        <w:widowControl/>
        <w:tabs>
          <w:tab w:val="left" w:pos="-720"/>
        </w:tabs>
        <w:spacing w:line="360" w:lineRule="auto"/>
        <w:ind w:firstLine="1440"/>
        <w:rPr>
          <w:sz w:val="26"/>
          <w:szCs w:val="26"/>
        </w:rPr>
      </w:pPr>
      <w:r w:rsidRPr="00217AC0">
        <w:rPr>
          <w:sz w:val="26"/>
          <w:szCs w:val="26"/>
        </w:rPr>
        <w:lastRenderedPageBreak/>
        <w:t xml:space="preserve">As discussed </w:t>
      </w:r>
      <w:r w:rsidRPr="00217AC0">
        <w:rPr>
          <w:i/>
          <w:iCs/>
          <w:sz w:val="26"/>
          <w:szCs w:val="26"/>
        </w:rPr>
        <w:t>infra</w:t>
      </w:r>
      <w:r w:rsidRPr="00217AC0">
        <w:rPr>
          <w:sz w:val="26"/>
          <w:szCs w:val="26"/>
        </w:rPr>
        <w:t>, under the terms of the</w:t>
      </w:r>
      <w:r w:rsidR="00FF4A64" w:rsidRPr="00217AC0">
        <w:rPr>
          <w:sz w:val="26"/>
          <w:szCs w:val="26"/>
        </w:rPr>
        <w:t xml:space="preserve"> </w:t>
      </w:r>
      <w:r w:rsidRPr="00217AC0">
        <w:rPr>
          <w:sz w:val="26"/>
          <w:szCs w:val="26"/>
        </w:rPr>
        <w:t xml:space="preserve">Settlement, the approved </w:t>
      </w:r>
      <w:bookmarkStart w:id="2" w:name="_Hlk66177315"/>
      <w:r w:rsidRPr="00217AC0">
        <w:rPr>
          <w:sz w:val="26"/>
          <w:szCs w:val="26"/>
        </w:rPr>
        <w:t>increase to</w:t>
      </w:r>
      <w:r w:rsidR="00FF4A64" w:rsidRPr="00217AC0">
        <w:rPr>
          <w:sz w:val="26"/>
          <w:szCs w:val="26"/>
        </w:rPr>
        <w:t xml:space="preserve"> the City’s</w:t>
      </w:r>
      <w:r w:rsidRPr="00217AC0">
        <w:rPr>
          <w:sz w:val="26"/>
          <w:szCs w:val="26"/>
        </w:rPr>
        <w:t xml:space="preserve"> annual operating revenues</w:t>
      </w:r>
      <w:r w:rsidR="00FF4A64" w:rsidRPr="00217AC0">
        <w:rPr>
          <w:sz w:val="26"/>
          <w:szCs w:val="26"/>
        </w:rPr>
        <w:t xml:space="preserve"> from </w:t>
      </w:r>
      <w:r w:rsidR="0001072A" w:rsidRPr="00217AC0">
        <w:rPr>
          <w:sz w:val="26"/>
          <w:szCs w:val="26"/>
        </w:rPr>
        <w:t>jurisdictional</w:t>
      </w:r>
      <w:r w:rsidR="00FF4A64" w:rsidRPr="00217AC0">
        <w:rPr>
          <w:sz w:val="26"/>
          <w:szCs w:val="26"/>
        </w:rPr>
        <w:t xml:space="preserve"> service</w:t>
      </w:r>
      <w:bookmarkEnd w:id="2"/>
      <w:r w:rsidRPr="00217AC0">
        <w:rPr>
          <w:sz w:val="26"/>
          <w:szCs w:val="26"/>
        </w:rPr>
        <w:t xml:space="preserve"> is proposed to be </w:t>
      </w:r>
      <w:r w:rsidR="00FF4A64" w:rsidRPr="00217AC0">
        <w:rPr>
          <w:sz w:val="26"/>
          <w:szCs w:val="26"/>
        </w:rPr>
        <w:t xml:space="preserve">$689,932, which reflects a substantial decrease from the City’s </w:t>
      </w:r>
      <w:r w:rsidR="0039757E" w:rsidRPr="00217AC0">
        <w:rPr>
          <w:sz w:val="26"/>
          <w:szCs w:val="26"/>
        </w:rPr>
        <w:t>original</w:t>
      </w:r>
      <w:r w:rsidR="00DC6048" w:rsidRPr="00217AC0">
        <w:rPr>
          <w:sz w:val="26"/>
          <w:szCs w:val="26"/>
        </w:rPr>
        <w:t>ly requested</w:t>
      </w:r>
      <w:r w:rsidR="0039757E" w:rsidRPr="00217AC0">
        <w:rPr>
          <w:sz w:val="26"/>
          <w:szCs w:val="26"/>
        </w:rPr>
        <w:t xml:space="preserve"> $908,421 rate increase for outside-City customers.  Specifically, </w:t>
      </w:r>
      <w:bookmarkStart w:id="3" w:name="_Hlk66351071"/>
      <w:r w:rsidR="0039757E" w:rsidRPr="00217AC0">
        <w:rPr>
          <w:sz w:val="26"/>
          <w:szCs w:val="26"/>
        </w:rPr>
        <w:t>the</w:t>
      </w:r>
      <w:r w:rsidR="0001072A" w:rsidRPr="00217AC0">
        <w:rPr>
          <w:sz w:val="26"/>
          <w:szCs w:val="26"/>
        </w:rPr>
        <w:t xml:space="preserve"> S</w:t>
      </w:r>
      <w:r w:rsidR="0039757E" w:rsidRPr="00217AC0">
        <w:rPr>
          <w:sz w:val="26"/>
          <w:szCs w:val="26"/>
        </w:rPr>
        <w:t>ettlement increase of $689,932 is approximately the midpoint between the City’s request of $908,421 and both I&amp;E’s litigated position of $474,161 and the OCA’s “business as usual” position of $446,173</w:t>
      </w:r>
      <w:r w:rsidR="00FE3DDA" w:rsidRPr="00217AC0">
        <w:rPr>
          <w:sz w:val="26"/>
          <w:szCs w:val="26"/>
        </w:rPr>
        <w:t>, which not only reflects a reasonable compromise, but mitigates a rate increase at a time in which many ratepayers are suffering economic hardship due to the 2019 Coronavirus</w:t>
      </w:r>
      <w:r w:rsidR="001601FC" w:rsidRPr="00217AC0">
        <w:rPr>
          <w:sz w:val="26"/>
          <w:szCs w:val="26"/>
        </w:rPr>
        <w:t xml:space="preserve"> (COVID-19) </w:t>
      </w:r>
      <w:r w:rsidR="00C96381" w:rsidRPr="00217AC0">
        <w:rPr>
          <w:sz w:val="26"/>
          <w:szCs w:val="26"/>
        </w:rPr>
        <w:t>p</w:t>
      </w:r>
      <w:r w:rsidR="001601FC" w:rsidRPr="00217AC0">
        <w:rPr>
          <w:sz w:val="26"/>
          <w:szCs w:val="26"/>
        </w:rPr>
        <w:t>andemic emergency, while providing the City with a level of revenue to earn a sufficient return to ensure the City’s continued provision of safe reliable water service within the Commonwealth</w:t>
      </w:r>
      <w:bookmarkEnd w:id="3"/>
      <w:r w:rsidR="001601FC" w:rsidRPr="00217AC0">
        <w:rPr>
          <w:sz w:val="26"/>
          <w:szCs w:val="26"/>
        </w:rPr>
        <w:t>.</w:t>
      </w:r>
      <w:r w:rsidR="0039757E" w:rsidRPr="00217AC0">
        <w:rPr>
          <w:sz w:val="26"/>
          <w:szCs w:val="26"/>
        </w:rPr>
        <w:t xml:space="preserve">  </w:t>
      </w:r>
      <w:r w:rsidR="0000040B" w:rsidRPr="00217AC0">
        <w:rPr>
          <w:sz w:val="26"/>
          <w:szCs w:val="26"/>
        </w:rPr>
        <w:t xml:space="preserve">I&amp;E St. No. 1-SR at 5; </w:t>
      </w:r>
      <w:r w:rsidR="0039757E" w:rsidRPr="00217AC0">
        <w:rPr>
          <w:sz w:val="26"/>
          <w:szCs w:val="26"/>
        </w:rPr>
        <w:t>OCA M.B. at 8.</w:t>
      </w:r>
      <w:r w:rsidR="00FE3DDA" w:rsidRPr="00217AC0">
        <w:rPr>
          <w:sz w:val="26"/>
          <w:szCs w:val="26"/>
        </w:rPr>
        <w:t xml:space="preserve">  Notably, no customer complaints were filed in opposition to the City’s proposed rate increase</w:t>
      </w:r>
      <w:r w:rsidR="001601FC" w:rsidRPr="00217AC0">
        <w:rPr>
          <w:sz w:val="26"/>
          <w:szCs w:val="26"/>
        </w:rPr>
        <w:t>.</w:t>
      </w:r>
    </w:p>
    <w:p w14:paraId="0742D9A9" w14:textId="28F57AC9" w:rsidR="00C127AE" w:rsidRPr="00217AC0" w:rsidRDefault="00C127AE" w:rsidP="00217AC0">
      <w:pPr>
        <w:widowControl/>
        <w:tabs>
          <w:tab w:val="left" w:pos="-720"/>
        </w:tabs>
        <w:spacing w:line="360" w:lineRule="auto"/>
        <w:rPr>
          <w:sz w:val="26"/>
          <w:szCs w:val="26"/>
        </w:rPr>
      </w:pPr>
    </w:p>
    <w:p w14:paraId="6C7449CF" w14:textId="6574105B" w:rsidR="001601FC" w:rsidRPr="00217AC0" w:rsidRDefault="001601FC" w:rsidP="00217AC0">
      <w:pPr>
        <w:widowControl/>
        <w:tabs>
          <w:tab w:val="left" w:pos="-720"/>
        </w:tabs>
        <w:spacing w:line="360" w:lineRule="auto"/>
        <w:ind w:firstLine="1440"/>
        <w:rPr>
          <w:sz w:val="26"/>
          <w:szCs w:val="26"/>
        </w:rPr>
      </w:pPr>
      <w:r w:rsidRPr="00217AC0">
        <w:rPr>
          <w:sz w:val="26"/>
          <w:szCs w:val="26"/>
        </w:rPr>
        <w:t xml:space="preserve">Therefore, based on our review of the record, we shall approve an increase in water base rates, as shown </w:t>
      </w:r>
      <w:r w:rsidR="002C5D97" w:rsidRPr="00217AC0">
        <w:rPr>
          <w:sz w:val="26"/>
          <w:szCs w:val="26"/>
        </w:rPr>
        <w:t>in Appendix B (Proof of Revenue) to the Joint Petition</w:t>
      </w:r>
      <w:r w:rsidRPr="00217AC0">
        <w:rPr>
          <w:sz w:val="26"/>
          <w:szCs w:val="26"/>
        </w:rPr>
        <w:t>, designed to produce an</w:t>
      </w:r>
      <w:r w:rsidR="00526D6D" w:rsidRPr="00217AC0">
        <w:rPr>
          <w:sz w:val="26"/>
          <w:szCs w:val="26"/>
        </w:rPr>
        <w:t xml:space="preserve"> increase in annual operating revenue from outside-City customers of $689,932</w:t>
      </w:r>
      <w:r w:rsidR="00AC017E" w:rsidRPr="00217AC0">
        <w:rPr>
          <w:sz w:val="26"/>
          <w:szCs w:val="26"/>
        </w:rPr>
        <w:t>, as reasonable and in the public interest.</w:t>
      </w:r>
    </w:p>
    <w:p w14:paraId="2BCBA742" w14:textId="77777777" w:rsidR="00526D6D" w:rsidRPr="00217AC0" w:rsidRDefault="00526D6D" w:rsidP="00217AC0">
      <w:pPr>
        <w:widowControl/>
        <w:tabs>
          <w:tab w:val="left" w:pos="-720"/>
        </w:tabs>
        <w:spacing w:line="360" w:lineRule="auto"/>
        <w:ind w:firstLine="1440"/>
        <w:rPr>
          <w:sz w:val="26"/>
          <w:szCs w:val="26"/>
        </w:rPr>
      </w:pPr>
    </w:p>
    <w:p w14:paraId="6422F3F1" w14:textId="00C76E24" w:rsidR="00B00BC3" w:rsidRPr="00217AC0" w:rsidRDefault="007357EB" w:rsidP="00217AC0">
      <w:pPr>
        <w:pStyle w:val="Heading1"/>
      </w:pPr>
      <w:bookmarkStart w:id="4" w:name="_Toc69230501"/>
      <w:r w:rsidRPr="00217AC0">
        <w:t>Background</w:t>
      </w:r>
      <w:bookmarkEnd w:id="4"/>
    </w:p>
    <w:p w14:paraId="0A156998" w14:textId="5028C22A" w:rsidR="008175BD" w:rsidRPr="00217AC0" w:rsidRDefault="008175BD" w:rsidP="00217AC0">
      <w:pPr>
        <w:widowControl/>
        <w:spacing w:line="360" w:lineRule="auto"/>
        <w:ind w:firstLine="1440"/>
        <w:rPr>
          <w:sz w:val="26"/>
          <w:szCs w:val="26"/>
        </w:rPr>
      </w:pPr>
    </w:p>
    <w:p w14:paraId="51F881B0" w14:textId="2824BEA1" w:rsidR="00042C54" w:rsidRPr="00217AC0" w:rsidRDefault="002C1CA4" w:rsidP="00217AC0">
      <w:pPr>
        <w:widowControl/>
        <w:spacing w:line="360" w:lineRule="auto"/>
        <w:ind w:firstLine="1440"/>
        <w:rPr>
          <w:sz w:val="26"/>
          <w:szCs w:val="26"/>
        </w:rPr>
      </w:pPr>
      <w:r w:rsidRPr="00217AC0">
        <w:rPr>
          <w:sz w:val="26"/>
          <w:szCs w:val="26"/>
        </w:rPr>
        <w:t>The City is a</w:t>
      </w:r>
      <w:r w:rsidR="00E36D3B" w:rsidRPr="00217AC0">
        <w:rPr>
          <w:sz w:val="26"/>
          <w:szCs w:val="26"/>
        </w:rPr>
        <w:t xml:space="preserve"> municipal</w:t>
      </w:r>
      <w:r w:rsidRPr="00217AC0">
        <w:rPr>
          <w:sz w:val="26"/>
          <w:szCs w:val="26"/>
        </w:rPr>
        <w:t xml:space="preserve"> public utility water system</w:t>
      </w:r>
      <w:r w:rsidR="006248EB" w:rsidRPr="00217AC0">
        <w:rPr>
          <w:sz w:val="26"/>
          <w:szCs w:val="26"/>
        </w:rPr>
        <w:t>, supplying drinking water for residential, commercial, industrial, institutional, resale, and public uses, as well as for fire protection purposes,</w:t>
      </w:r>
      <w:r w:rsidRPr="00217AC0">
        <w:rPr>
          <w:sz w:val="26"/>
          <w:szCs w:val="26"/>
        </w:rPr>
        <w:t xml:space="preserve"> that</w:t>
      </w:r>
      <w:r w:rsidR="0037775F" w:rsidRPr="00217AC0">
        <w:rPr>
          <w:sz w:val="26"/>
          <w:szCs w:val="26"/>
        </w:rPr>
        <w:t>, as of December 31, 2019</w:t>
      </w:r>
      <w:r w:rsidRPr="00217AC0">
        <w:rPr>
          <w:sz w:val="26"/>
          <w:szCs w:val="26"/>
        </w:rPr>
        <w:t xml:space="preserve"> provide</w:t>
      </w:r>
      <w:r w:rsidR="0037775F" w:rsidRPr="00217AC0">
        <w:rPr>
          <w:sz w:val="26"/>
          <w:szCs w:val="26"/>
        </w:rPr>
        <w:t>d</w:t>
      </w:r>
      <w:r w:rsidRPr="00217AC0">
        <w:rPr>
          <w:sz w:val="26"/>
          <w:szCs w:val="26"/>
        </w:rPr>
        <w:t xml:space="preserve"> water service to approximately 13,496 customers outside the City limits and 22,940 customers inside the City limits.  City St. No. 1 at 6</w:t>
      </w:r>
      <w:r w:rsidR="002331D4" w:rsidRPr="00217AC0">
        <w:rPr>
          <w:sz w:val="26"/>
          <w:szCs w:val="26"/>
        </w:rPr>
        <w:t>-7</w:t>
      </w:r>
      <w:r w:rsidRPr="00217AC0">
        <w:rPr>
          <w:sz w:val="26"/>
          <w:szCs w:val="26"/>
        </w:rPr>
        <w:t>.</w:t>
      </w:r>
      <w:r w:rsidR="00042C54" w:rsidRPr="00217AC0">
        <w:rPr>
          <w:sz w:val="26"/>
          <w:szCs w:val="26"/>
        </w:rPr>
        <w:t xml:space="preserve">  Although the City operates and maintains the distribution systems that service the City and nearby communities</w:t>
      </w:r>
      <w:r w:rsidR="00C47928" w:rsidRPr="00217AC0">
        <w:rPr>
          <w:sz w:val="26"/>
          <w:szCs w:val="26"/>
        </w:rPr>
        <w:t xml:space="preserve">, it does this in accordance with the terms of a Lease Agreement between </w:t>
      </w:r>
      <w:r w:rsidR="002A0954" w:rsidRPr="00217AC0">
        <w:rPr>
          <w:sz w:val="26"/>
          <w:szCs w:val="26"/>
        </w:rPr>
        <w:t>itself</w:t>
      </w:r>
      <w:r w:rsidR="00C47928" w:rsidRPr="00217AC0">
        <w:rPr>
          <w:sz w:val="26"/>
          <w:szCs w:val="26"/>
        </w:rPr>
        <w:t xml:space="preserve"> and the Bethlehem </w:t>
      </w:r>
      <w:r w:rsidR="00C47928" w:rsidRPr="00217AC0">
        <w:rPr>
          <w:sz w:val="26"/>
          <w:szCs w:val="26"/>
        </w:rPr>
        <w:lastRenderedPageBreak/>
        <w:t>Authority, who owns all water system assets including land, buildings, and infrastructure</w:t>
      </w:r>
      <w:r w:rsidR="002501D2" w:rsidRPr="00217AC0">
        <w:rPr>
          <w:sz w:val="26"/>
          <w:szCs w:val="26"/>
        </w:rPr>
        <w:t xml:space="preserve"> while serving as a financing authority for these systems</w:t>
      </w:r>
      <w:r w:rsidR="00C47928" w:rsidRPr="00217AC0">
        <w:rPr>
          <w:sz w:val="26"/>
          <w:szCs w:val="26"/>
        </w:rPr>
        <w:t xml:space="preserve">.  </w:t>
      </w:r>
      <w:r w:rsidR="00C47928" w:rsidRPr="00217AC0">
        <w:rPr>
          <w:i/>
          <w:iCs/>
          <w:sz w:val="26"/>
          <w:szCs w:val="26"/>
        </w:rPr>
        <w:t>Id.</w:t>
      </w:r>
      <w:r w:rsidR="00C47928" w:rsidRPr="00217AC0">
        <w:rPr>
          <w:sz w:val="26"/>
          <w:szCs w:val="26"/>
        </w:rPr>
        <w:t xml:space="preserve"> at 3-4.  </w:t>
      </w:r>
    </w:p>
    <w:p w14:paraId="038C9C28" w14:textId="2331AE80" w:rsidR="0045188F" w:rsidRPr="00217AC0" w:rsidRDefault="0045188F" w:rsidP="00217AC0">
      <w:pPr>
        <w:widowControl/>
        <w:spacing w:line="360" w:lineRule="auto"/>
        <w:ind w:firstLine="1440"/>
        <w:rPr>
          <w:sz w:val="26"/>
          <w:szCs w:val="26"/>
        </w:rPr>
      </w:pPr>
    </w:p>
    <w:p w14:paraId="22ABBB80" w14:textId="4B5198AE" w:rsidR="00121203" w:rsidRPr="00217AC0" w:rsidRDefault="00332761" w:rsidP="00217AC0">
      <w:pPr>
        <w:widowControl/>
        <w:spacing w:line="360" w:lineRule="auto"/>
        <w:ind w:firstLine="1440"/>
        <w:rPr>
          <w:sz w:val="26"/>
          <w:szCs w:val="26"/>
        </w:rPr>
      </w:pPr>
      <w:r w:rsidRPr="00217AC0">
        <w:rPr>
          <w:sz w:val="26"/>
          <w:szCs w:val="26"/>
        </w:rPr>
        <w:t xml:space="preserve">The City’s testimony provided three specific reasons for its requested </w:t>
      </w:r>
      <w:r w:rsidR="00EF3688" w:rsidRPr="00217AC0">
        <w:rPr>
          <w:sz w:val="26"/>
          <w:szCs w:val="26"/>
        </w:rPr>
        <w:t>$</w:t>
      </w:r>
      <w:r w:rsidR="00FA07D3" w:rsidRPr="00217AC0">
        <w:rPr>
          <w:sz w:val="26"/>
          <w:szCs w:val="26"/>
        </w:rPr>
        <w:t>2,691,114</w:t>
      </w:r>
      <w:r w:rsidR="00EF3688" w:rsidRPr="00217AC0">
        <w:rPr>
          <w:sz w:val="26"/>
          <w:szCs w:val="26"/>
        </w:rPr>
        <w:t xml:space="preserve"> </w:t>
      </w:r>
      <w:r w:rsidRPr="00217AC0">
        <w:rPr>
          <w:sz w:val="26"/>
          <w:szCs w:val="26"/>
        </w:rPr>
        <w:t>increase in annual operating water revenue</w:t>
      </w:r>
      <w:r w:rsidR="00FA07D3" w:rsidRPr="00217AC0">
        <w:rPr>
          <w:sz w:val="26"/>
          <w:szCs w:val="26"/>
        </w:rPr>
        <w:t xml:space="preserve"> of which $908,421 applies to Commission jurisdictional outside-City customers:</w:t>
      </w:r>
      <w:r w:rsidR="00327059">
        <w:rPr>
          <w:sz w:val="26"/>
          <w:szCs w:val="26"/>
        </w:rPr>
        <w:t xml:space="preserve"> </w:t>
      </w:r>
      <w:r w:rsidRPr="00217AC0">
        <w:rPr>
          <w:sz w:val="26"/>
          <w:szCs w:val="26"/>
        </w:rPr>
        <w:t>(1) to provide sufficient revenues to enable it to continue to discharge, properly, its public duty to furnish adequate, safe, and reliable water service pursuant to the safe drinking water standards prescribed and enforced by the Pennsylvania Department of Environmental Protection and the Federal Environmental Protection</w:t>
      </w:r>
      <w:r w:rsidR="00E36D3B" w:rsidRPr="00217AC0">
        <w:rPr>
          <w:sz w:val="26"/>
          <w:szCs w:val="26"/>
        </w:rPr>
        <w:t xml:space="preserve"> Agency; (2) to provide the cash flow necessary to continue to operate, maintain and renew its facilities properly and meet its financial obligations; and (3) to afford the opportunity to achieve an adequate rate of return on the original cost invested in the water property.  City St. No. 1 at 10.</w:t>
      </w:r>
      <w:r w:rsidR="00C87FD2" w:rsidRPr="00217AC0">
        <w:rPr>
          <w:sz w:val="26"/>
          <w:szCs w:val="26"/>
        </w:rPr>
        <w:t xml:space="preserve">  The City’s rate design proposal maintains the current monthly</w:t>
      </w:r>
      <w:r w:rsidR="00CC2903" w:rsidRPr="00217AC0">
        <w:rPr>
          <w:sz w:val="26"/>
          <w:szCs w:val="26"/>
        </w:rPr>
        <w:t xml:space="preserve"> or quarterly</w:t>
      </w:r>
      <w:r w:rsidR="00C87FD2" w:rsidRPr="00217AC0">
        <w:rPr>
          <w:sz w:val="26"/>
          <w:szCs w:val="26"/>
        </w:rPr>
        <w:t xml:space="preserve"> customer charge for all classes and recovers its requested increase through volumetric usage rates.  City Exh. CEH-1, Sch. 8.  </w:t>
      </w:r>
      <w:r w:rsidR="001833FA" w:rsidRPr="00217AC0">
        <w:rPr>
          <w:sz w:val="26"/>
          <w:szCs w:val="26"/>
        </w:rPr>
        <w:t>The Settlement simply scales back the City’s requested volumetric usage rates, in order to recover the base rate</w:t>
      </w:r>
      <w:r w:rsidR="00040423" w:rsidRPr="00217AC0">
        <w:rPr>
          <w:sz w:val="26"/>
          <w:szCs w:val="26"/>
        </w:rPr>
        <w:t xml:space="preserve"> revenue</w:t>
      </w:r>
      <w:r w:rsidR="001833FA" w:rsidRPr="00217AC0">
        <w:rPr>
          <w:sz w:val="26"/>
          <w:szCs w:val="26"/>
        </w:rPr>
        <w:t xml:space="preserve"> increase under the </w:t>
      </w:r>
      <w:r w:rsidR="00E73E11" w:rsidRPr="00217AC0">
        <w:rPr>
          <w:sz w:val="26"/>
          <w:szCs w:val="26"/>
        </w:rPr>
        <w:t>Joint Petition.  The</w:t>
      </w:r>
      <w:r w:rsidR="001D3602" w:rsidRPr="00217AC0">
        <w:rPr>
          <w:sz w:val="26"/>
          <w:szCs w:val="26"/>
        </w:rPr>
        <w:t xml:space="preserve"> increases to the consumption charges provided for under the</w:t>
      </w:r>
      <w:r w:rsidR="00E73E11" w:rsidRPr="00217AC0">
        <w:rPr>
          <w:sz w:val="26"/>
          <w:szCs w:val="26"/>
        </w:rPr>
        <w:t xml:space="preserve"> </w:t>
      </w:r>
      <w:r w:rsidR="001D3602" w:rsidRPr="00217AC0">
        <w:rPr>
          <w:sz w:val="26"/>
          <w:szCs w:val="26"/>
        </w:rPr>
        <w:t xml:space="preserve">Settlement are </w:t>
      </w:r>
      <w:r w:rsidR="00675E1E" w:rsidRPr="00217AC0">
        <w:rPr>
          <w:sz w:val="26"/>
          <w:szCs w:val="26"/>
        </w:rPr>
        <w:t>as follows: (1) the residential consumption charge will increase from $4.266 to $4.782 per thousand gallons; (2) the non-residential (commercial, industrial, and public)</w:t>
      </w:r>
      <w:r w:rsidR="00983215" w:rsidRPr="00217AC0">
        <w:rPr>
          <w:sz w:val="26"/>
          <w:szCs w:val="26"/>
        </w:rPr>
        <w:t xml:space="preserve"> consumption charge will increase from $3.333 to $3.843 per thousand gallons; and (3) for other water utilities, the consumption charge will increase from $3.969 to $4.498 per thousand gallons.  Joint Petition, Appendix B at 2.  </w:t>
      </w:r>
      <w:r w:rsidR="00872A25" w:rsidRPr="00217AC0">
        <w:rPr>
          <w:sz w:val="26"/>
          <w:szCs w:val="26"/>
        </w:rPr>
        <w:t>These increases to the City’s consumption charges, under the Settlement, produce increases in outside-City revenues ranging from 8.</w:t>
      </w:r>
      <w:r w:rsidR="00CC135B" w:rsidRPr="00217AC0">
        <w:rPr>
          <w:sz w:val="26"/>
          <w:szCs w:val="26"/>
        </w:rPr>
        <w:t>2</w:t>
      </w:r>
      <w:r w:rsidR="00872A25" w:rsidRPr="00217AC0">
        <w:rPr>
          <w:sz w:val="26"/>
          <w:szCs w:val="26"/>
        </w:rPr>
        <w:t xml:space="preserve">% for the residential class to 12.6% for the industrial class, in lieu of the City’s request, which would have produced increases of 12.7% and 18.2% for those classes, respectively.  </w:t>
      </w:r>
      <w:bookmarkStart w:id="5" w:name="_Hlk68069588"/>
      <w:r w:rsidR="00872A25" w:rsidRPr="00217AC0">
        <w:rPr>
          <w:sz w:val="26"/>
          <w:szCs w:val="26"/>
        </w:rPr>
        <w:t>Joint Petition, Appendix B at 1</w:t>
      </w:r>
      <w:bookmarkEnd w:id="5"/>
      <w:r w:rsidR="00872A25" w:rsidRPr="00217AC0">
        <w:rPr>
          <w:sz w:val="26"/>
          <w:szCs w:val="26"/>
        </w:rPr>
        <w:t xml:space="preserve">; City Exh. CEH-1, Sch. A. </w:t>
      </w:r>
    </w:p>
    <w:p w14:paraId="71B4A14F" w14:textId="77777777" w:rsidR="00C21766" w:rsidRPr="00217AC0" w:rsidRDefault="00C21766" w:rsidP="00217AC0">
      <w:pPr>
        <w:widowControl/>
        <w:spacing w:line="360" w:lineRule="auto"/>
        <w:ind w:firstLine="1440"/>
        <w:rPr>
          <w:sz w:val="26"/>
          <w:szCs w:val="26"/>
        </w:rPr>
      </w:pPr>
    </w:p>
    <w:p w14:paraId="57ACE3E3" w14:textId="6B115EF1" w:rsidR="002B0C7E" w:rsidRPr="00217AC0" w:rsidRDefault="007357EB" w:rsidP="00217AC0">
      <w:pPr>
        <w:pStyle w:val="Heading1"/>
        <w:keepNext/>
        <w:keepLines/>
      </w:pPr>
      <w:bookmarkStart w:id="6" w:name="_Toc69230502"/>
      <w:r w:rsidRPr="00217AC0">
        <w:lastRenderedPageBreak/>
        <w:t>History of Proceeding</w:t>
      </w:r>
      <w:bookmarkEnd w:id="6"/>
    </w:p>
    <w:p w14:paraId="147421E3" w14:textId="77777777" w:rsidR="00C21766" w:rsidRPr="00217AC0" w:rsidRDefault="00C21766" w:rsidP="00217AC0">
      <w:pPr>
        <w:keepNext/>
        <w:keepLines/>
        <w:widowControl/>
        <w:spacing w:line="360" w:lineRule="auto"/>
        <w:rPr>
          <w:sz w:val="26"/>
          <w:szCs w:val="26"/>
        </w:rPr>
      </w:pPr>
    </w:p>
    <w:p w14:paraId="1D925171" w14:textId="73C9EC06" w:rsidR="00825D3D" w:rsidRPr="00217AC0" w:rsidRDefault="007B62A9" w:rsidP="00217AC0">
      <w:pPr>
        <w:keepNext/>
        <w:keepLines/>
        <w:widowControl/>
        <w:spacing w:line="360" w:lineRule="auto"/>
        <w:ind w:firstLine="1440"/>
        <w:rPr>
          <w:sz w:val="26"/>
          <w:szCs w:val="26"/>
        </w:rPr>
      </w:pPr>
      <w:r w:rsidRPr="00217AC0">
        <w:rPr>
          <w:sz w:val="26"/>
          <w:szCs w:val="26"/>
        </w:rPr>
        <w:t xml:space="preserve">On </w:t>
      </w:r>
      <w:r w:rsidR="00DD1CC4" w:rsidRPr="00217AC0">
        <w:rPr>
          <w:sz w:val="26"/>
          <w:szCs w:val="26"/>
        </w:rPr>
        <w:t>July 31</w:t>
      </w:r>
      <w:r w:rsidRPr="00217AC0">
        <w:rPr>
          <w:sz w:val="26"/>
          <w:szCs w:val="26"/>
        </w:rPr>
        <w:t xml:space="preserve">, 2020, </w:t>
      </w:r>
      <w:r w:rsidR="00DD1CC4" w:rsidRPr="00217AC0">
        <w:rPr>
          <w:sz w:val="26"/>
          <w:szCs w:val="26"/>
        </w:rPr>
        <w:t>the City</w:t>
      </w:r>
      <w:r w:rsidRPr="00217AC0">
        <w:rPr>
          <w:sz w:val="26"/>
          <w:szCs w:val="26"/>
        </w:rPr>
        <w:t xml:space="preserve"> filed </w:t>
      </w:r>
      <w:bookmarkStart w:id="7" w:name="_Hlk65565519"/>
      <w:r w:rsidRPr="00217AC0">
        <w:rPr>
          <w:sz w:val="26"/>
          <w:szCs w:val="26"/>
        </w:rPr>
        <w:t xml:space="preserve">Supplement No. </w:t>
      </w:r>
      <w:r w:rsidR="00DD1CC4" w:rsidRPr="00217AC0">
        <w:rPr>
          <w:sz w:val="26"/>
          <w:szCs w:val="26"/>
        </w:rPr>
        <w:t>15 to Tariff Water – Pa.</w:t>
      </w:r>
      <w:r w:rsidR="00452872">
        <w:rPr>
          <w:sz w:val="26"/>
          <w:szCs w:val="26"/>
        </w:rPr>
        <w:t> </w:t>
      </w:r>
      <w:r w:rsidR="00DD1CC4" w:rsidRPr="00217AC0">
        <w:rPr>
          <w:sz w:val="26"/>
          <w:szCs w:val="26"/>
        </w:rPr>
        <w:t>P.U.C. No. 6 (Supplement No. 15)</w:t>
      </w:r>
      <w:bookmarkEnd w:id="7"/>
      <w:r w:rsidR="00DD1CC4" w:rsidRPr="00217AC0">
        <w:rPr>
          <w:sz w:val="26"/>
          <w:szCs w:val="26"/>
        </w:rPr>
        <w:t>, with an effective date of September 29, 2020, with the Commission</w:t>
      </w:r>
      <w:r w:rsidR="006D2E43" w:rsidRPr="00217AC0">
        <w:rPr>
          <w:sz w:val="26"/>
          <w:szCs w:val="26"/>
        </w:rPr>
        <w:t xml:space="preserve">, containing proposed changes to base rates designed to produce an annual increase of $908,421, or approximately 11.0%, in water service revenue for </w:t>
      </w:r>
      <w:r w:rsidR="007477BC" w:rsidRPr="00217AC0">
        <w:rPr>
          <w:sz w:val="26"/>
          <w:szCs w:val="26"/>
        </w:rPr>
        <w:t>jurisdictional</w:t>
      </w:r>
      <w:r w:rsidR="006D2E43" w:rsidRPr="00217AC0">
        <w:rPr>
          <w:sz w:val="26"/>
          <w:szCs w:val="26"/>
        </w:rPr>
        <w:t xml:space="preserve"> customers based on a FTY ending December 31, 2020</w:t>
      </w:r>
      <w:r w:rsidR="00DD1CC4" w:rsidRPr="00217AC0">
        <w:rPr>
          <w:sz w:val="26"/>
          <w:szCs w:val="26"/>
        </w:rPr>
        <w:t>.</w:t>
      </w:r>
      <w:r w:rsidR="00825D3D" w:rsidRPr="00217AC0">
        <w:rPr>
          <w:sz w:val="26"/>
          <w:szCs w:val="26"/>
          <w:vertAlign w:val="superscript"/>
        </w:rPr>
        <w:t xml:space="preserve"> </w:t>
      </w:r>
      <w:r w:rsidR="00825D3D" w:rsidRPr="00217AC0">
        <w:rPr>
          <w:sz w:val="26"/>
          <w:szCs w:val="26"/>
          <w:vertAlign w:val="superscript"/>
        </w:rPr>
        <w:footnoteReference w:id="6"/>
      </w:r>
    </w:p>
    <w:p w14:paraId="3DE27013" w14:textId="22475830" w:rsidR="00DD1CC4" w:rsidRPr="00217AC0" w:rsidRDefault="00DD1CC4" w:rsidP="00217AC0">
      <w:pPr>
        <w:keepNext/>
        <w:widowControl/>
        <w:spacing w:line="360" w:lineRule="auto"/>
        <w:ind w:firstLine="1440"/>
        <w:rPr>
          <w:sz w:val="26"/>
          <w:szCs w:val="26"/>
        </w:rPr>
      </w:pPr>
    </w:p>
    <w:p w14:paraId="3466AA27" w14:textId="0182B838" w:rsidR="0076525B" w:rsidRPr="00217AC0" w:rsidRDefault="007B62A9" w:rsidP="00217AC0">
      <w:pPr>
        <w:widowControl/>
        <w:spacing w:line="360" w:lineRule="auto"/>
        <w:ind w:firstLine="1440"/>
        <w:rPr>
          <w:sz w:val="26"/>
          <w:szCs w:val="26"/>
        </w:rPr>
      </w:pPr>
      <w:r w:rsidRPr="00217AC0">
        <w:rPr>
          <w:sz w:val="26"/>
          <w:szCs w:val="26"/>
        </w:rPr>
        <w:t xml:space="preserve">On </w:t>
      </w:r>
      <w:r w:rsidR="0076525B" w:rsidRPr="00217AC0">
        <w:rPr>
          <w:sz w:val="26"/>
          <w:szCs w:val="26"/>
        </w:rPr>
        <w:t>August 14</w:t>
      </w:r>
      <w:r w:rsidRPr="00217AC0">
        <w:rPr>
          <w:sz w:val="26"/>
          <w:szCs w:val="26"/>
        </w:rPr>
        <w:t xml:space="preserve">, 2020, </w:t>
      </w:r>
      <w:r w:rsidR="003C6715" w:rsidRPr="00217AC0">
        <w:rPr>
          <w:sz w:val="26"/>
          <w:szCs w:val="26"/>
        </w:rPr>
        <w:t>I</w:t>
      </w:r>
      <w:r w:rsidRPr="00217AC0">
        <w:rPr>
          <w:sz w:val="26"/>
          <w:szCs w:val="26"/>
        </w:rPr>
        <w:t xml:space="preserve">&amp;E filed a Notice of Appearance.  On </w:t>
      </w:r>
      <w:r w:rsidR="0076525B" w:rsidRPr="00217AC0">
        <w:rPr>
          <w:sz w:val="26"/>
          <w:szCs w:val="26"/>
        </w:rPr>
        <w:t>August</w:t>
      </w:r>
      <w:r w:rsidR="00452872">
        <w:rPr>
          <w:sz w:val="26"/>
          <w:szCs w:val="26"/>
        </w:rPr>
        <w:t> </w:t>
      </w:r>
      <w:r w:rsidR="0076525B" w:rsidRPr="00217AC0">
        <w:rPr>
          <w:sz w:val="26"/>
          <w:szCs w:val="26"/>
        </w:rPr>
        <w:t>27</w:t>
      </w:r>
      <w:r w:rsidRPr="00217AC0">
        <w:rPr>
          <w:sz w:val="26"/>
          <w:szCs w:val="26"/>
        </w:rPr>
        <w:t>,</w:t>
      </w:r>
      <w:r w:rsidR="00452872">
        <w:rPr>
          <w:sz w:val="26"/>
          <w:szCs w:val="26"/>
        </w:rPr>
        <w:t> </w:t>
      </w:r>
      <w:r w:rsidRPr="00217AC0">
        <w:rPr>
          <w:sz w:val="26"/>
          <w:szCs w:val="26"/>
        </w:rPr>
        <w:t>2020, the</w:t>
      </w:r>
      <w:r w:rsidR="003C6715" w:rsidRPr="00217AC0">
        <w:rPr>
          <w:sz w:val="26"/>
          <w:szCs w:val="26"/>
        </w:rPr>
        <w:t xml:space="preserve"> </w:t>
      </w:r>
      <w:r w:rsidRPr="00217AC0">
        <w:rPr>
          <w:sz w:val="26"/>
          <w:szCs w:val="26"/>
        </w:rPr>
        <w:t>OSBA</w:t>
      </w:r>
      <w:r w:rsidR="0076525B" w:rsidRPr="00217AC0">
        <w:rPr>
          <w:sz w:val="26"/>
          <w:szCs w:val="26"/>
        </w:rPr>
        <w:t xml:space="preserve"> filed a Notice of Appearance, Public Statement and Formal Complaint at Docket No. C-2020-3021576.  Also, on August 27, 2020, the OCA filed its Notice of Appearance, Public Statement, and Formal Complaint at Docket No. C</w:t>
      </w:r>
      <w:r w:rsidR="00452872">
        <w:rPr>
          <w:sz w:val="26"/>
          <w:szCs w:val="26"/>
        </w:rPr>
        <w:noBreakHyphen/>
      </w:r>
      <w:r w:rsidR="0076525B" w:rsidRPr="00217AC0">
        <w:rPr>
          <w:sz w:val="26"/>
          <w:szCs w:val="26"/>
        </w:rPr>
        <w:t>2020</w:t>
      </w:r>
      <w:r w:rsidR="00452872">
        <w:rPr>
          <w:sz w:val="26"/>
          <w:szCs w:val="26"/>
        </w:rPr>
        <w:noBreakHyphen/>
      </w:r>
      <w:r w:rsidR="00506DB5" w:rsidRPr="00217AC0">
        <w:rPr>
          <w:sz w:val="26"/>
          <w:szCs w:val="26"/>
        </w:rPr>
        <w:t>3021583.</w:t>
      </w:r>
    </w:p>
    <w:p w14:paraId="5ABACC11" w14:textId="77777777" w:rsidR="007B62A9" w:rsidRPr="00217AC0" w:rsidRDefault="007B62A9" w:rsidP="00217AC0">
      <w:pPr>
        <w:widowControl/>
        <w:spacing w:line="360" w:lineRule="auto"/>
        <w:rPr>
          <w:sz w:val="26"/>
          <w:szCs w:val="26"/>
        </w:rPr>
      </w:pPr>
    </w:p>
    <w:p w14:paraId="1C33911A" w14:textId="5FF2BF70" w:rsidR="00A018B8" w:rsidRPr="00217AC0" w:rsidRDefault="007B62A9" w:rsidP="00217AC0">
      <w:pPr>
        <w:widowControl/>
        <w:spacing w:line="360" w:lineRule="auto"/>
        <w:ind w:firstLine="1440"/>
        <w:rPr>
          <w:sz w:val="26"/>
          <w:szCs w:val="26"/>
        </w:rPr>
      </w:pPr>
      <w:r w:rsidRPr="00217AC0">
        <w:rPr>
          <w:sz w:val="26"/>
          <w:szCs w:val="26"/>
        </w:rPr>
        <w:t xml:space="preserve">By Order entered </w:t>
      </w:r>
      <w:r w:rsidR="00A018B8" w:rsidRPr="00217AC0">
        <w:rPr>
          <w:sz w:val="26"/>
          <w:szCs w:val="26"/>
        </w:rPr>
        <w:t>September 17</w:t>
      </w:r>
      <w:r w:rsidRPr="00217AC0">
        <w:rPr>
          <w:sz w:val="26"/>
          <w:szCs w:val="26"/>
        </w:rPr>
        <w:t xml:space="preserve">, 2020, the Commission suspended the implementation of Supplement No. </w:t>
      </w:r>
      <w:r w:rsidR="00A018B8" w:rsidRPr="00217AC0">
        <w:rPr>
          <w:sz w:val="26"/>
          <w:szCs w:val="26"/>
        </w:rPr>
        <w:t>15</w:t>
      </w:r>
      <w:r w:rsidRPr="00217AC0">
        <w:rPr>
          <w:sz w:val="26"/>
          <w:szCs w:val="26"/>
        </w:rPr>
        <w:t xml:space="preserve"> by operation of law, pursuant to 66 Pa. C.S. §</w:t>
      </w:r>
      <w:r w:rsidR="007477BC" w:rsidRPr="00217AC0">
        <w:rPr>
          <w:sz w:val="26"/>
          <w:szCs w:val="26"/>
        </w:rPr>
        <w:t> </w:t>
      </w:r>
      <w:r w:rsidRPr="00217AC0">
        <w:rPr>
          <w:sz w:val="26"/>
          <w:szCs w:val="26"/>
        </w:rPr>
        <w:t xml:space="preserve">1308(d), until </w:t>
      </w:r>
      <w:r w:rsidR="00A018B8" w:rsidRPr="00217AC0">
        <w:rPr>
          <w:sz w:val="26"/>
          <w:szCs w:val="26"/>
        </w:rPr>
        <w:t>April 29</w:t>
      </w:r>
      <w:r w:rsidRPr="00217AC0">
        <w:rPr>
          <w:sz w:val="26"/>
          <w:szCs w:val="26"/>
        </w:rPr>
        <w:t>, 2021, unless permitted by Commission Order to become effective at an earlier date, and instituted an investigation into the lawfulness, justness, and reasonableness of the rates, rules, and regulations proposed.</w:t>
      </w:r>
      <w:r w:rsidR="00A018B8" w:rsidRPr="00217AC0">
        <w:rPr>
          <w:sz w:val="26"/>
          <w:szCs w:val="26"/>
        </w:rPr>
        <w:t xml:space="preserve">  Through this Order, the Commission assigned the matter to the Office of Administrative Law Judge for </w:t>
      </w:r>
      <w:r w:rsidR="00A018B8" w:rsidRPr="00217AC0">
        <w:rPr>
          <w:sz w:val="26"/>
          <w:szCs w:val="26"/>
        </w:rPr>
        <w:lastRenderedPageBreak/>
        <w:t>Alternative Dispute Resolution, if possible, and for scheduling of hearings as necessary for issuance of a Recommended Decision.  On September 23, 2020, the City declined mediation and filed a suspension tariff (</w:t>
      </w:r>
      <w:r w:rsidR="001E72CE" w:rsidRPr="00217AC0">
        <w:rPr>
          <w:sz w:val="26"/>
          <w:szCs w:val="26"/>
        </w:rPr>
        <w:t>Supplement No. 16 to Tariff Water – Pa. P.U.C. No. 6 (Supplement No. 16))</w:t>
      </w:r>
      <w:r w:rsidR="00A018B8" w:rsidRPr="00217AC0">
        <w:rPr>
          <w:sz w:val="26"/>
          <w:szCs w:val="26"/>
        </w:rPr>
        <w:t>, suspending its proposed tariff to April 29, 2021</w:t>
      </w:r>
      <w:r w:rsidR="001E72CE" w:rsidRPr="00217AC0">
        <w:rPr>
          <w:sz w:val="26"/>
          <w:szCs w:val="26"/>
        </w:rPr>
        <w:t>.</w:t>
      </w:r>
    </w:p>
    <w:p w14:paraId="150962DB" w14:textId="77777777" w:rsidR="007B62A9" w:rsidRPr="00217AC0" w:rsidRDefault="007B62A9" w:rsidP="00217AC0">
      <w:pPr>
        <w:widowControl/>
        <w:spacing w:line="360" w:lineRule="auto"/>
        <w:rPr>
          <w:sz w:val="26"/>
          <w:szCs w:val="26"/>
        </w:rPr>
      </w:pPr>
    </w:p>
    <w:p w14:paraId="6F055171" w14:textId="405FADF1" w:rsidR="001E72CE" w:rsidRPr="00217AC0" w:rsidRDefault="007B62A9" w:rsidP="00217AC0">
      <w:pPr>
        <w:widowControl/>
        <w:spacing w:line="360" w:lineRule="auto"/>
        <w:ind w:firstLine="1440"/>
        <w:rPr>
          <w:sz w:val="26"/>
          <w:szCs w:val="26"/>
        </w:rPr>
      </w:pPr>
      <w:r w:rsidRPr="00217AC0">
        <w:rPr>
          <w:sz w:val="26"/>
          <w:szCs w:val="26"/>
        </w:rPr>
        <w:t xml:space="preserve">On </w:t>
      </w:r>
      <w:r w:rsidR="001E72CE" w:rsidRPr="00217AC0">
        <w:rPr>
          <w:sz w:val="26"/>
          <w:szCs w:val="26"/>
        </w:rPr>
        <w:t>October 8</w:t>
      </w:r>
      <w:r w:rsidRPr="00217AC0">
        <w:rPr>
          <w:sz w:val="26"/>
          <w:szCs w:val="26"/>
        </w:rPr>
        <w:t xml:space="preserve">, 2020, </w:t>
      </w:r>
      <w:r w:rsidR="002C5E13" w:rsidRPr="00217AC0">
        <w:rPr>
          <w:sz w:val="26"/>
          <w:szCs w:val="26"/>
        </w:rPr>
        <w:t xml:space="preserve">a telephonic Prehearing Conference was held before ALJ Haas, during which the Parties, upon approval of ALJ Hass, established modified rules for discovery as well as a </w:t>
      </w:r>
      <w:r w:rsidR="00CC528A" w:rsidRPr="00217AC0">
        <w:rPr>
          <w:sz w:val="26"/>
          <w:szCs w:val="26"/>
        </w:rPr>
        <w:t>litigation</w:t>
      </w:r>
      <w:r w:rsidR="002C5E13" w:rsidRPr="00217AC0">
        <w:rPr>
          <w:sz w:val="26"/>
          <w:szCs w:val="26"/>
        </w:rPr>
        <w:t xml:space="preserve"> schedule, among other things.  Present during this conference were counsel representing the following:</w:t>
      </w:r>
      <w:r w:rsidR="00327059">
        <w:rPr>
          <w:sz w:val="26"/>
          <w:szCs w:val="26"/>
        </w:rPr>
        <w:t xml:space="preserve"> </w:t>
      </w:r>
      <w:r w:rsidR="00806D9B" w:rsidRPr="00217AC0">
        <w:rPr>
          <w:sz w:val="26"/>
          <w:szCs w:val="26"/>
        </w:rPr>
        <w:t>The</w:t>
      </w:r>
      <w:r w:rsidR="00CC528A" w:rsidRPr="00217AC0">
        <w:rPr>
          <w:sz w:val="26"/>
          <w:szCs w:val="26"/>
        </w:rPr>
        <w:t xml:space="preserve"> City</w:t>
      </w:r>
      <w:r w:rsidR="002C5E13" w:rsidRPr="00217AC0">
        <w:rPr>
          <w:sz w:val="26"/>
          <w:szCs w:val="26"/>
        </w:rPr>
        <w:t xml:space="preserve">, the OCA, the OSBA, </w:t>
      </w:r>
      <w:r w:rsidR="00CC528A" w:rsidRPr="00217AC0">
        <w:rPr>
          <w:sz w:val="26"/>
          <w:szCs w:val="26"/>
        </w:rPr>
        <w:t xml:space="preserve">and </w:t>
      </w:r>
      <w:r w:rsidR="002C5E13" w:rsidRPr="00217AC0">
        <w:rPr>
          <w:sz w:val="26"/>
          <w:szCs w:val="26"/>
        </w:rPr>
        <w:t>I&amp;E</w:t>
      </w:r>
      <w:r w:rsidR="00CC528A" w:rsidRPr="00217AC0">
        <w:rPr>
          <w:sz w:val="26"/>
          <w:szCs w:val="26"/>
        </w:rPr>
        <w:t xml:space="preserve">. </w:t>
      </w:r>
      <w:r w:rsidR="002C5E13" w:rsidRPr="00217AC0">
        <w:rPr>
          <w:sz w:val="26"/>
          <w:szCs w:val="26"/>
        </w:rPr>
        <w:t xml:space="preserve"> A Scheduling Order memorializing the litigation schedule was issued on October 8, 2020.</w:t>
      </w:r>
    </w:p>
    <w:p w14:paraId="6B3694B5" w14:textId="4501D874" w:rsidR="001E72CE" w:rsidRPr="00217AC0" w:rsidRDefault="001E72CE" w:rsidP="00217AC0">
      <w:pPr>
        <w:widowControl/>
        <w:spacing w:line="360" w:lineRule="auto"/>
        <w:ind w:firstLine="1440"/>
        <w:rPr>
          <w:sz w:val="26"/>
          <w:szCs w:val="26"/>
        </w:rPr>
      </w:pPr>
    </w:p>
    <w:p w14:paraId="3AA81B03" w14:textId="0989B077" w:rsidR="00CC528A" w:rsidRPr="00217AC0" w:rsidRDefault="00CC528A" w:rsidP="00217AC0">
      <w:pPr>
        <w:widowControl/>
        <w:spacing w:line="360" w:lineRule="auto"/>
        <w:ind w:firstLine="1440"/>
        <w:rPr>
          <w:sz w:val="26"/>
          <w:szCs w:val="26"/>
        </w:rPr>
      </w:pPr>
      <w:r w:rsidRPr="00217AC0">
        <w:rPr>
          <w:sz w:val="26"/>
          <w:szCs w:val="26"/>
        </w:rPr>
        <w:t xml:space="preserve">Pursuant to the litigation schedule, the City served direct, rebuttal, surrebuttal and rejoinder testimony in support of Supplement No. 15. </w:t>
      </w:r>
      <w:r w:rsidR="006947B7" w:rsidRPr="00217AC0">
        <w:rPr>
          <w:sz w:val="26"/>
          <w:szCs w:val="26"/>
        </w:rPr>
        <w:t xml:space="preserve"> </w:t>
      </w:r>
      <w:r w:rsidRPr="00217AC0">
        <w:rPr>
          <w:sz w:val="26"/>
          <w:szCs w:val="26"/>
        </w:rPr>
        <w:t>I&amp;E</w:t>
      </w:r>
      <w:r w:rsidR="006947B7" w:rsidRPr="00217AC0">
        <w:rPr>
          <w:sz w:val="26"/>
          <w:szCs w:val="26"/>
        </w:rPr>
        <w:t xml:space="preserve"> served direct and surrebuttal testimony, and the </w:t>
      </w:r>
      <w:r w:rsidRPr="00217AC0">
        <w:rPr>
          <w:sz w:val="26"/>
          <w:szCs w:val="26"/>
        </w:rPr>
        <w:t xml:space="preserve">OCA and </w:t>
      </w:r>
      <w:r w:rsidR="006947B7" w:rsidRPr="00217AC0">
        <w:rPr>
          <w:sz w:val="26"/>
          <w:szCs w:val="26"/>
        </w:rPr>
        <w:t xml:space="preserve">the </w:t>
      </w:r>
      <w:r w:rsidRPr="00217AC0">
        <w:rPr>
          <w:sz w:val="26"/>
          <w:szCs w:val="26"/>
        </w:rPr>
        <w:t>OSBA served direct</w:t>
      </w:r>
      <w:r w:rsidR="006947B7" w:rsidRPr="00217AC0">
        <w:rPr>
          <w:sz w:val="26"/>
          <w:szCs w:val="26"/>
        </w:rPr>
        <w:t>, rebuttal,</w:t>
      </w:r>
      <w:r w:rsidRPr="00217AC0">
        <w:rPr>
          <w:sz w:val="26"/>
          <w:szCs w:val="26"/>
        </w:rPr>
        <w:t xml:space="preserve"> and surrebuttal testimony in opposition to the proposed rate increase in whole or part.</w:t>
      </w:r>
      <w:r w:rsidR="006947B7" w:rsidRPr="00217AC0">
        <w:rPr>
          <w:sz w:val="26"/>
          <w:szCs w:val="26"/>
        </w:rPr>
        <w:t xml:space="preserve">  </w:t>
      </w:r>
      <w:r w:rsidRPr="00217AC0">
        <w:rPr>
          <w:sz w:val="26"/>
          <w:szCs w:val="26"/>
        </w:rPr>
        <w:t>Discovery, which had been initiated</w:t>
      </w:r>
      <w:r w:rsidR="006947B7" w:rsidRPr="00217AC0">
        <w:rPr>
          <w:sz w:val="26"/>
          <w:szCs w:val="26"/>
        </w:rPr>
        <w:t xml:space="preserve"> prior to the Prehearing Conference remained ongoing.</w:t>
      </w:r>
    </w:p>
    <w:p w14:paraId="05A32B22" w14:textId="5FBA7936" w:rsidR="006947B7" w:rsidRPr="00217AC0" w:rsidRDefault="006947B7" w:rsidP="00217AC0">
      <w:pPr>
        <w:widowControl/>
        <w:spacing w:line="360" w:lineRule="auto"/>
        <w:ind w:firstLine="1440"/>
        <w:rPr>
          <w:sz w:val="26"/>
          <w:szCs w:val="26"/>
        </w:rPr>
      </w:pPr>
    </w:p>
    <w:p w14:paraId="0FC8FFDC" w14:textId="78C91540" w:rsidR="006947B7" w:rsidRPr="00217AC0" w:rsidRDefault="006947B7" w:rsidP="00217AC0">
      <w:pPr>
        <w:widowControl/>
        <w:spacing w:line="360" w:lineRule="auto"/>
        <w:ind w:firstLine="1440"/>
        <w:rPr>
          <w:sz w:val="26"/>
          <w:szCs w:val="26"/>
        </w:rPr>
      </w:pPr>
      <w:r w:rsidRPr="00217AC0">
        <w:rPr>
          <w:sz w:val="26"/>
          <w:szCs w:val="26"/>
        </w:rPr>
        <w:t xml:space="preserve">On December 11, 2020, counsel for the City advised ALJ Haas that the City and I&amp;E had achieved a settlement of issues, without joinder of the OCA and the OSBA.  On December 28, 2020, the City and I&amp;E filed their Joint Petition proposing, </w:t>
      </w:r>
      <w:r w:rsidRPr="00217AC0">
        <w:rPr>
          <w:i/>
          <w:iCs/>
          <w:sz w:val="26"/>
          <w:szCs w:val="26"/>
        </w:rPr>
        <w:t>inter alia</w:t>
      </w:r>
      <w:r w:rsidRPr="00217AC0">
        <w:rPr>
          <w:sz w:val="26"/>
          <w:szCs w:val="26"/>
        </w:rPr>
        <w:t xml:space="preserve">, an annual increase of $689,932 in water service revenue for </w:t>
      </w:r>
      <w:r w:rsidR="007477BC" w:rsidRPr="00217AC0">
        <w:rPr>
          <w:sz w:val="26"/>
          <w:szCs w:val="26"/>
        </w:rPr>
        <w:t>jurisdictional</w:t>
      </w:r>
      <w:r w:rsidRPr="00217AC0">
        <w:rPr>
          <w:sz w:val="26"/>
          <w:szCs w:val="26"/>
        </w:rPr>
        <w:t xml:space="preserve"> customers.</w:t>
      </w:r>
    </w:p>
    <w:p w14:paraId="72D9B374" w14:textId="210905CE" w:rsidR="00CC528A" w:rsidRPr="00217AC0" w:rsidRDefault="00CC528A" w:rsidP="00217AC0">
      <w:pPr>
        <w:widowControl/>
        <w:spacing w:line="360" w:lineRule="auto"/>
        <w:ind w:firstLine="1440"/>
        <w:rPr>
          <w:sz w:val="26"/>
          <w:szCs w:val="26"/>
        </w:rPr>
      </w:pPr>
    </w:p>
    <w:p w14:paraId="723061CF" w14:textId="53666997" w:rsidR="006947B7" w:rsidRPr="00217AC0" w:rsidRDefault="006947B7" w:rsidP="00217AC0">
      <w:pPr>
        <w:widowControl/>
        <w:spacing w:line="360" w:lineRule="auto"/>
        <w:ind w:firstLine="1440"/>
        <w:rPr>
          <w:sz w:val="26"/>
          <w:szCs w:val="26"/>
        </w:rPr>
      </w:pPr>
      <w:r w:rsidRPr="00217AC0">
        <w:rPr>
          <w:sz w:val="26"/>
          <w:szCs w:val="26"/>
        </w:rPr>
        <w:t xml:space="preserve">An evidentiary hearing was held on December 17, 2020.  Prior to the hearing, the </w:t>
      </w:r>
      <w:r w:rsidR="007477BC" w:rsidRPr="00217AC0">
        <w:rPr>
          <w:sz w:val="26"/>
          <w:szCs w:val="26"/>
        </w:rPr>
        <w:t>P</w:t>
      </w:r>
      <w:r w:rsidRPr="00217AC0">
        <w:rPr>
          <w:sz w:val="26"/>
          <w:szCs w:val="26"/>
        </w:rPr>
        <w:t>arties agreed to a mutual waiver of cross examination of all witness.  The City, I&amp;E, the OCA and the OSBA participated in the hearing.  Testimony and exhibits were stipulated into the evidentiary record.</w:t>
      </w:r>
      <w:r w:rsidR="004342FA" w:rsidRPr="00217AC0">
        <w:rPr>
          <w:sz w:val="26"/>
          <w:szCs w:val="26"/>
        </w:rPr>
        <w:t xml:space="preserve">  Also, during the evidentiary hearing held on </w:t>
      </w:r>
      <w:r w:rsidR="004342FA" w:rsidRPr="00217AC0">
        <w:rPr>
          <w:sz w:val="26"/>
          <w:szCs w:val="26"/>
        </w:rPr>
        <w:lastRenderedPageBreak/>
        <w:t>December 17, 2020, ALJ Haas set January 8, 2021 and January 12, 2021 as the respective due dates for Comments and Reply Comments on the Settlement.</w:t>
      </w:r>
    </w:p>
    <w:p w14:paraId="3F206F50" w14:textId="77777777" w:rsidR="004342FA" w:rsidRPr="00217AC0" w:rsidRDefault="004342FA" w:rsidP="00217AC0">
      <w:pPr>
        <w:widowControl/>
        <w:spacing w:line="360" w:lineRule="auto"/>
        <w:rPr>
          <w:sz w:val="26"/>
          <w:szCs w:val="26"/>
        </w:rPr>
      </w:pPr>
    </w:p>
    <w:p w14:paraId="0B5A242B" w14:textId="77777777" w:rsidR="001A6D4A" w:rsidRPr="00217AC0" w:rsidRDefault="006947B7" w:rsidP="00217AC0">
      <w:pPr>
        <w:widowControl/>
        <w:spacing w:line="360" w:lineRule="auto"/>
        <w:ind w:firstLine="1440"/>
        <w:rPr>
          <w:sz w:val="26"/>
          <w:szCs w:val="26"/>
        </w:rPr>
      </w:pPr>
      <w:r w:rsidRPr="00217AC0">
        <w:rPr>
          <w:sz w:val="26"/>
          <w:szCs w:val="26"/>
        </w:rPr>
        <w:t xml:space="preserve">The City, the OCA and the OSBA filed Main Briefs on </w:t>
      </w:r>
      <w:r w:rsidR="001758E3" w:rsidRPr="00217AC0">
        <w:rPr>
          <w:sz w:val="26"/>
          <w:szCs w:val="26"/>
        </w:rPr>
        <w:t>December 30, 2020 and</w:t>
      </w:r>
      <w:r w:rsidRPr="00217AC0">
        <w:rPr>
          <w:sz w:val="26"/>
          <w:szCs w:val="26"/>
        </w:rPr>
        <w:t xml:space="preserve"> Reply Briefs on January 8, 2021.</w:t>
      </w:r>
      <w:r w:rsidR="004342FA" w:rsidRPr="00217AC0">
        <w:rPr>
          <w:rStyle w:val="FootnoteReference"/>
          <w:sz w:val="26"/>
          <w:szCs w:val="26"/>
        </w:rPr>
        <w:footnoteReference w:id="7"/>
      </w:r>
      <w:r w:rsidRPr="00217AC0">
        <w:rPr>
          <w:sz w:val="26"/>
          <w:szCs w:val="26"/>
        </w:rPr>
        <w:t xml:space="preserve">  I&amp;E did not file briefs. </w:t>
      </w:r>
    </w:p>
    <w:p w14:paraId="1CA37153" w14:textId="77777777" w:rsidR="001A6D4A" w:rsidRPr="00217AC0" w:rsidRDefault="001A6D4A" w:rsidP="00217AC0">
      <w:pPr>
        <w:widowControl/>
        <w:spacing w:line="360" w:lineRule="auto"/>
        <w:ind w:firstLine="1440"/>
        <w:rPr>
          <w:sz w:val="26"/>
          <w:szCs w:val="26"/>
        </w:rPr>
      </w:pPr>
    </w:p>
    <w:p w14:paraId="617605E5" w14:textId="1AEDAA56" w:rsidR="006947B7" w:rsidRPr="00217AC0" w:rsidRDefault="001A6D4A" w:rsidP="00217AC0">
      <w:pPr>
        <w:widowControl/>
        <w:spacing w:line="360" w:lineRule="auto"/>
        <w:ind w:firstLine="1440"/>
        <w:rPr>
          <w:sz w:val="26"/>
          <w:szCs w:val="26"/>
        </w:rPr>
      </w:pPr>
      <w:r w:rsidRPr="00217AC0">
        <w:rPr>
          <w:sz w:val="26"/>
          <w:szCs w:val="26"/>
        </w:rPr>
        <w:t xml:space="preserve">The City and I&amp;E filed their respective Reply Comments in response to the OCA’s Comments and in support of the Settlement on January 12, 2021.  </w:t>
      </w:r>
      <w:r w:rsidR="006947B7" w:rsidRPr="00217AC0">
        <w:rPr>
          <w:sz w:val="26"/>
          <w:szCs w:val="26"/>
        </w:rPr>
        <w:t xml:space="preserve">The record closed on January 12, </w:t>
      </w:r>
      <w:r w:rsidR="00B86FB0" w:rsidRPr="00217AC0">
        <w:rPr>
          <w:sz w:val="26"/>
          <w:szCs w:val="26"/>
        </w:rPr>
        <w:t>2021;</w:t>
      </w:r>
      <w:r w:rsidR="006947B7" w:rsidRPr="00217AC0">
        <w:rPr>
          <w:sz w:val="26"/>
          <w:szCs w:val="26"/>
        </w:rPr>
        <w:t xml:space="preserve"> the date </w:t>
      </w:r>
      <w:r w:rsidR="001758E3" w:rsidRPr="00217AC0">
        <w:rPr>
          <w:sz w:val="26"/>
          <w:szCs w:val="26"/>
        </w:rPr>
        <w:t>R</w:t>
      </w:r>
      <w:r w:rsidR="006947B7" w:rsidRPr="00217AC0">
        <w:rPr>
          <w:sz w:val="26"/>
          <w:szCs w:val="26"/>
        </w:rPr>
        <w:t xml:space="preserve">eply </w:t>
      </w:r>
      <w:r w:rsidRPr="00217AC0">
        <w:rPr>
          <w:sz w:val="26"/>
          <w:szCs w:val="26"/>
        </w:rPr>
        <w:t>Comments</w:t>
      </w:r>
      <w:r w:rsidR="006947B7" w:rsidRPr="00217AC0">
        <w:rPr>
          <w:sz w:val="26"/>
          <w:szCs w:val="26"/>
        </w:rPr>
        <w:t xml:space="preserve"> were due.</w:t>
      </w:r>
      <w:r w:rsidR="00051E8F" w:rsidRPr="00217AC0">
        <w:rPr>
          <w:rStyle w:val="FootnoteReference"/>
          <w:sz w:val="26"/>
          <w:szCs w:val="26"/>
        </w:rPr>
        <w:footnoteReference w:id="8"/>
      </w:r>
    </w:p>
    <w:p w14:paraId="71F2795C" w14:textId="77777777" w:rsidR="007B62A9" w:rsidRPr="00217AC0" w:rsidRDefault="007B62A9" w:rsidP="00217AC0">
      <w:pPr>
        <w:widowControl/>
        <w:spacing w:line="360" w:lineRule="auto"/>
        <w:rPr>
          <w:sz w:val="26"/>
          <w:szCs w:val="26"/>
        </w:rPr>
      </w:pPr>
    </w:p>
    <w:p w14:paraId="2C5664A2" w14:textId="4D9EE6DE" w:rsidR="00A47804" w:rsidRPr="00217AC0" w:rsidRDefault="007B62A9" w:rsidP="00217AC0">
      <w:pPr>
        <w:widowControl/>
        <w:spacing w:line="360" w:lineRule="auto"/>
        <w:ind w:firstLine="1440"/>
        <w:rPr>
          <w:sz w:val="26"/>
          <w:szCs w:val="26"/>
        </w:rPr>
      </w:pPr>
      <w:r w:rsidRPr="00217AC0">
        <w:rPr>
          <w:sz w:val="26"/>
          <w:szCs w:val="26"/>
        </w:rPr>
        <w:t xml:space="preserve">In the Recommended Decision, issued on </w:t>
      </w:r>
      <w:r w:rsidR="00A47804" w:rsidRPr="00217AC0">
        <w:rPr>
          <w:sz w:val="26"/>
          <w:szCs w:val="26"/>
        </w:rPr>
        <w:t>February 11, 2021</w:t>
      </w:r>
      <w:r w:rsidRPr="00217AC0">
        <w:rPr>
          <w:sz w:val="26"/>
          <w:szCs w:val="26"/>
        </w:rPr>
        <w:t xml:space="preserve">, ALJ </w:t>
      </w:r>
      <w:r w:rsidR="00A47804" w:rsidRPr="00217AC0">
        <w:rPr>
          <w:sz w:val="26"/>
          <w:szCs w:val="26"/>
        </w:rPr>
        <w:t>Haas</w:t>
      </w:r>
      <w:r w:rsidRPr="00217AC0">
        <w:rPr>
          <w:sz w:val="26"/>
          <w:szCs w:val="26"/>
        </w:rPr>
        <w:t xml:space="preserve"> recommended </w:t>
      </w:r>
      <w:r w:rsidR="00827BC5" w:rsidRPr="00217AC0">
        <w:rPr>
          <w:sz w:val="26"/>
          <w:szCs w:val="26"/>
        </w:rPr>
        <w:t xml:space="preserve">approval of the Settlement, without modification, finding that it was supported by substantial evidence and is in the public interest.  R.D. at 1.  While recommending approval of the Settlement, ALJ Haas also addressed the OCA’s and the OSBA’s recommended ratemaking adjustments, indicating that </w:t>
      </w:r>
      <w:r w:rsidR="00D27E11" w:rsidRPr="00217AC0">
        <w:rPr>
          <w:sz w:val="26"/>
          <w:szCs w:val="26"/>
        </w:rPr>
        <w:t>his recommendations on them</w:t>
      </w:r>
      <w:r w:rsidR="00F17FEC" w:rsidRPr="00217AC0">
        <w:rPr>
          <w:sz w:val="26"/>
          <w:szCs w:val="26"/>
        </w:rPr>
        <w:t xml:space="preserve"> were</w:t>
      </w:r>
      <w:r w:rsidR="00D27E11" w:rsidRPr="00217AC0">
        <w:rPr>
          <w:sz w:val="26"/>
          <w:szCs w:val="26"/>
        </w:rPr>
        <w:t xml:space="preserve"> presented in the event that the Commission disagrees with the recommendation and ultimately determines that modifications to the Joint Petition are necessary.  </w:t>
      </w:r>
      <w:r w:rsidR="00D27E11" w:rsidRPr="00217AC0">
        <w:rPr>
          <w:i/>
          <w:iCs/>
          <w:sz w:val="26"/>
          <w:szCs w:val="26"/>
        </w:rPr>
        <w:t>Id</w:t>
      </w:r>
      <w:r w:rsidR="00D27E11" w:rsidRPr="00217AC0">
        <w:rPr>
          <w:sz w:val="26"/>
          <w:szCs w:val="26"/>
        </w:rPr>
        <w:t>.</w:t>
      </w:r>
      <w:r w:rsidR="00F17FEC" w:rsidRPr="00217AC0">
        <w:rPr>
          <w:sz w:val="26"/>
          <w:szCs w:val="26"/>
        </w:rPr>
        <w:t xml:space="preserve">  The ALJ addressed </w:t>
      </w:r>
      <w:r w:rsidR="004B0BB9" w:rsidRPr="00217AC0">
        <w:rPr>
          <w:sz w:val="26"/>
          <w:szCs w:val="26"/>
        </w:rPr>
        <w:t>the OCA’s and the OSBA’s adjustments to the City’s ratemaking claims on pages 22 through 57 of the Recommended Decision.</w:t>
      </w:r>
    </w:p>
    <w:p w14:paraId="1A69DF21" w14:textId="77777777" w:rsidR="00642F8C" w:rsidRPr="00217AC0" w:rsidRDefault="00642F8C" w:rsidP="00217AC0">
      <w:pPr>
        <w:widowControl/>
        <w:spacing w:line="360" w:lineRule="auto"/>
        <w:rPr>
          <w:sz w:val="26"/>
          <w:szCs w:val="26"/>
        </w:rPr>
      </w:pPr>
    </w:p>
    <w:p w14:paraId="0CAA285C" w14:textId="06C0E737" w:rsidR="00F148E4" w:rsidRPr="00217AC0" w:rsidRDefault="007B62A9" w:rsidP="00217AC0">
      <w:pPr>
        <w:widowControl/>
        <w:spacing w:line="360" w:lineRule="auto"/>
        <w:ind w:firstLine="1440"/>
        <w:rPr>
          <w:sz w:val="26"/>
          <w:szCs w:val="26"/>
        </w:rPr>
      </w:pPr>
      <w:r w:rsidRPr="00217AC0">
        <w:rPr>
          <w:sz w:val="26"/>
          <w:szCs w:val="26"/>
        </w:rPr>
        <w:t xml:space="preserve">As previously noted, </w:t>
      </w:r>
      <w:r w:rsidR="004B0BB9" w:rsidRPr="00217AC0">
        <w:rPr>
          <w:sz w:val="26"/>
          <w:szCs w:val="26"/>
        </w:rPr>
        <w:t xml:space="preserve">the City and the OCA </w:t>
      </w:r>
      <w:r w:rsidR="00153AE6" w:rsidRPr="00217AC0">
        <w:rPr>
          <w:sz w:val="26"/>
          <w:szCs w:val="26"/>
        </w:rPr>
        <w:t xml:space="preserve">filed </w:t>
      </w:r>
      <w:r w:rsidRPr="00217AC0">
        <w:rPr>
          <w:sz w:val="26"/>
          <w:szCs w:val="26"/>
        </w:rPr>
        <w:t>Exceptions to the Recommended Decision on</w:t>
      </w:r>
      <w:r w:rsidR="00153AE6" w:rsidRPr="00217AC0">
        <w:rPr>
          <w:sz w:val="26"/>
          <w:szCs w:val="26"/>
        </w:rPr>
        <w:t xml:space="preserve"> </w:t>
      </w:r>
      <w:r w:rsidR="004B0BB9" w:rsidRPr="00217AC0">
        <w:rPr>
          <w:sz w:val="26"/>
          <w:szCs w:val="26"/>
        </w:rPr>
        <w:t>February 24, 2021</w:t>
      </w:r>
      <w:r w:rsidR="00153AE6" w:rsidRPr="00217AC0">
        <w:rPr>
          <w:sz w:val="26"/>
          <w:szCs w:val="26"/>
        </w:rPr>
        <w:t xml:space="preserve">.  On </w:t>
      </w:r>
      <w:r w:rsidR="004B0BB9" w:rsidRPr="00217AC0">
        <w:rPr>
          <w:sz w:val="26"/>
          <w:szCs w:val="26"/>
        </w:rPr>
        <w:t>March 2, 2021</w:t>
      </w:r>
      <w:r w:rsidR="00153AE6" w:rsidRPr="00217AC0">
        <w:rPr>
          <w:sz w:val="26"/>
          <w:szCs w:val="26"/>
        </w:rPr>
        <w:t xml:space="preserve">, </w:t>
      </w:r>
      <w:r w:rsidR="004B0BB9" w:rsidRPr="00217AC0">
        <w:rPr>
          <w:sz w:val="26"/>
          <w:szCs w:val="26"/>
        </w:rPr>
        <w:t>the City</w:t>
      </w:r>
      <w:r w:rsidR="00A66FEB" w:rsidRPr="00217AC0">
        <w:rPr>
          <w:sz w:val="26"/>
          <w:szCs w:val="26"/>
        </w:rPr>
        <w:t>,</w:t>
      </w:r>
      <w:r w:rsidR="004B0BB9" w:rsidRPr="00217AC0">
        <w:rPr>
          <w:sz w:val="26"/>
          <w:szCs w:val="26"/>
        </w:rPr>
        <w:t xml:space="preserve"> the OCA</w:t>
      </w:r>
      <w:r w:rsidR="00A66FEB" w:rsidRPr="00217AC0">
        <w:rPr>
          <w:sz w:val="26"/>
          <w:szCs w:val="26"/>
        </w:rPr>
        <w:t>, and I&amp;E</w:t>
      </w:r>
      <w:r w:rsidR="00153AE6" w:rsidRPr="00217AC0">
        <w:rPr>
          <w:sz w:val="26"/>
          <w:szCs w:val="26"/>
        </w:rPr>
        <w:t xml:space="preserve"> filed their Replies to Exceptions.</w:t>
      </w:r>
    </w:p>
    <w:p w14:paraId="55591110" w14:textId="77F5C143" w:rsidR="003B3F33" w:rsidRPr="00217AC0" w:rsidRDefault="00DA2034" w:rsidP="00217AC0">
      <w:pPr>
        <w:pStyle w:val="Heading1"/>
        <w:keepNext/>
        <w:keepLines/>
      </w:pPr>
      <w:bookmarkStart w:id="8" w:name="_Hlk35439594"/>
      <w:bookmarkStart w:id="9" w:name="_Toc69230503"/>
      <w:r w:rsidRPr="00217AC0">
        <w:lastRenderedPageBreak/>
        <w:t>Legal Standards</w:t>
      </w:r>
      <w:bookmarkEnd w:id="8"/>
      <w:bookmarkEnd w:id="9"/>
    </w:p>
    <w:p w14:paraId="2A04297E" w14:textId="77777777" w:rsidR="003B3F33" w:rsidRPr="00217AC0" w:rsidRDefault="003B3F33" w:rsidP="00217AC0">
      <w:pPr>
        <w:keepNext/>
        <w:keepLines/>
        <w:widowControl/>
        <w:spacing w:line="360" w:lineRule="auto"/>
        <w:rPr>
          <w:sz w:val="26"/>
          <w:szCs w:val="26"/>
        </w:rPr>
      </w:pPr>
    </w:p>
    <w:p w14:paraId="1BC0FE9F" w14:textId="4208595D" w:rsidR="003B3F33" w:rsidRPr="00217AC0" w:rsidRDefault="003B3F33" w:rsidP="00217AC0">
      <w:pPr>
        <w:pStyle w:val="Heading2"/>
        <w:widowControl/>
        <w:ind w:hanging="720"/>
      </w:pPr>
      <w:bookmarkStart w:id="10" w:name="_Toc69230504"/>
      <w:r w:rsidRPr="00217AC0">
        <w:t>Justness and Reasonableness of Rates</w:t>
      </w:r>
      <w:bookmarkEnd w:id="10"/>
    </w:p>
    <w:p w14:paraId="09E1A4B2" w14:textId="77777777" w:rsidR="003B3F33" w:rsidRPr="00217AC0" w:rsidRDefault="003B3F33" w:rsidP="00217AC0">
      <w:pPr>
        <w:keepNext/>
        <w:widowControl/>
        <w:spacing w:line="360" w:lineRule="auto"/>
        <w:rPr>
          <w:sz w:val="26"/>
          <w:szCs w:val="26"/>
        </w:rPr>
      </w:pPr>
    </w:p>
    <w:p w14:paraId="13711EAE" w14:textId="7EB30792" w:rsidR="00155774" w:rsidRPr="00217AC0" w:rsidRDefault="00155774" w:rsidP="00217AC0">
      <w:pPr>
        <w:keepNext/>
        <w:widowControl/>
        <w:tabs>
          <w:tab w:val="left" w:pos="-720"/>
        </w:tabs>
        <w:spacing w:line="360" w:lineRule="auto"/>
        <w:ind w:firstLine="1440"/>
        <w:contextualSpacing/>
        <w:rPr>
          <w:rFonts w:eastAsia="Calibri"/>
          <w:sz w:val="26"/>
          <w:szCs w:val="26"/>
        </w:rPr>
      </w:pPr>
      <w:r w:rsidRPr="00217AC0">
        <w:rPr>
          <w:rFonts w:eastAsia="Calibri"/>
          <w:sz w:val="26"/>
          <w:szCs w:val="26"/>
        </w:rPr>
        <w:t xml:space="preserve">In deciding this or any other general rate increase case brought under Section 1308(d) of the </w:t>
      </w:r>
      <w:r w:rsidR="007477BC" w:rsidRPr="00217AC0">
        <w:rPr>
          <w:rFonts w:eastAsia="Calibri"/>
          <w:sz w:val="26"/>
          <w:szCs w:val="26"/>
        </w:rPr>
        <w:t>Public Utility Code (</w:t>
      </w:r>
      <w:r w:rsidRPr="00217AC0">
        <w:rPr>
          <w:rFonts w:eastAsia="Calibri"/>
          <w:sz w:val="26"/>
          <w:szCs w:val="26"/>
        </w:rPr>
        <w:t>Code</w:t>
      </w:r>
      <w:r w:rsidR="007477BC" w:rsidRPr="00217AC0">
        <w:rPr>
          <w:rFonts w:eastAsia="Calibri"/>
          <w:sz w:val="26"/>
          <w:szCs w:val="26"/>
        </w:rPr>
        <w:t>)</w:t>
      </w:r>
      <w:r w:rsidRPr="00217AC0">
        <w:rPr>
          <w:rFonts w:eastAsia="Calibri"/>
          <w:sz w:val="26"/>
          <w:szCs w:val="26"/>
        </w:rPr>
        <w:t xml:space="preserve">, 66 Pa. C.S. § 1308(d), certain general principles always apply.  A public utility is entitled to an opportunity to earn a fair rate of return on the value of the property dedicated to public service.  </w:t>
      </w:r>
      <w:r w:rsidRPr="00217AC0">
        <w:rPr>
          <w:rFonts w:eastAsia="Calibri"/>
          <w:i/>
          <w:sz w:val="26"/>
          <w:szCs w:val="26"/>
        </w:rPr>
        <w:t>Pa. PUC v.</w:t>
      </w:r>
      <w:r w:rsidRPr="00217AC0">
        <w:rPr>
          <w:rFonts w:eastAsia="Calibri"/>
          <w:sz w:val="26"/>
          <w:szCs w:val="26"/>
        </w:rPr>
        <w:t xml:space="preserve"> </w:t>
      </w:r>
      <w:r w:rsidRPr="00217AC0">
        <w:rPr>
          <w:rFonts w:eastAsia="Calibri"/>
          <w:i/>
          <w:sz w:val="26"/>
          <w:szCs w:val="26"/>
        </w:rPr>
        <w:t>Pennsylvania Gas and Water Co.</w:t>
      </w:r>
      <w:r w:rsidRPr="00217AC0">
        <w:rPr>
          <w:rFonts w:eastAsia="Calibri"/>
          <w:iCs/>
          <w:sz w:val="26"/>
          <w:szCs w:val="26"/>
        </w:rPr>
        <w:t>,</w:t>
      </w:r>
      <w:r w:rsidRPr="00217AC0">
        <w:rPr>
          <w:rFonts w:eastAsia="Calibri"/>
          <w:sz w:val="26"/>
          <w:szCs w:val="26"/>
        </w:rPr>
        <w:t xml:space="preserve"> 341 A.2d 239, 251 (Pa. Cmwlth. 1975).  In determining a fair rate of return, the Commission is guided by the criteria provided by the United States Supreme Court in the landmark cases of </w:t>
      </w:r>
      <w:r w:rsidRPr="00217AC0">
        <w:rPr>
          <w:rFonts w:eastAsia="Calibri"/>
          <w:i/>
          <w:sz w:val="26"/>
          <w:szCs w:val="26"/>
        </w:rPr>
        <w:t>Bluefield Water Works and Improvement Co. v. Public Service Comm’n of West Virginia</w:t>
      </w:r>
      <w:r w:rsidRPr="00217AC0">
        <w:rPr>
          <w:rFonts w:eastAsia="Calibri"/>
          <w:sz w:val="26"/>
          <w:szCs w:val="26"/>
        </w:rPr>
        <w:t xml:space="preserve">, 262 U.S. 679 (1923) </w:t>
      </w:r>
      <w:r w:rsidRPr="00217AC0">
        <w:rPr>
          <w:rFonts w:eastAsia="Calibri"/>
          <w:i/>
          <w:iCs/>
          <w:sz w:val="26"/>
          <w:szCs w:val="26"/>
        </w:rPr>
        <w:t xml:space="preserve">(Bluefield) </w:t>
      </w:r>
      <w:r w:rsidRPr="00217AC0">
        <w:rPr>
          <w:rFonts w:eastAsia="Calibri"/>
          <w:sz w:val="26"/>
          <w:szCs w:val="26"/>
        </w:rPr>
        <w:t xml:space="preserve">and </w:t>
      </w:r>
      <w:r w:rsidRPr="00217AC0">
        <w:rPr>
          <w:rFonts w:eastAsia="Calibri"/>
          <w:i/>
          <w:sz w:val="26"/>
          <w:szCs w:val="26"/>
        </w:rPr>
        <w:t>Federal Power Comm’n v. Hope Natural Gas Co.</w:t>
      </w:r>
      <w:r w:rsidRPr="00217AC0">
        <w:rPr>
          <w:rFonts w:eastAsia="Calibri"/>
          <w:sz w:val="26"/>
          <w:szCs w:val="26"/>
        </w:rPr>
        <w:t xml:space="preserve">, 320 U.S. 591 (1944) </w:t>
      </w:r>
      <w:r w:rsidRPr="00217AC0">
        <w:rPr>
          <w:rFonts w:eastAsia="Calibri"/>
          <w:i/>
          <w:iCs/>
          <w:sz w:val="26"/>
          <w:szCs w:val="26"/>
        </w:rPr>
        <w:t>(Hope Natural Gas)</w:t>
      </w:r>
      <w:r w:rsidRPr="00217AC0">
        <w:rPr>
          <w:rFonts w:eastAsia="Calibri"/>
          <w:sz w:val="26"/>
          <w:szCs w:val="26"/>
        </w:rPr>
        <w:t xml:space="preserve">.  In </w:t>
      </w:r>
      <w:r w:rsidRPr="00217AC0">
        <w:rPr>
          <w:rFonts w:eastAsia="Calibri"/>
          <w:i/>
          <w:sz w:val="26"/>
          <w:szCs w:val="26"/>
        </w:rPr>
        <w:t>Bluefield</w:t>
      </w:r>
      <w:r w:rsidRPr="00217AC0">
        <w:rPr>
          <w:rFonts w:eastAsia="Calibri"/>
          <w:sz w:val="26"/>
          <w:szCs w:val="26"/>
        </w:rPr>
        <w:t>, the Court stated:</w:t>
      </w:r>
    </w:p>
    <w:p w14:paraId="75B2AC62" w14:textId="77777777" w:rsidR="00155774" w:rsidRPr="00217AC0" w:rsidRDefault="00155774" w:rsidP="00217AC0">
      <w:pPr>
        <w:widowControl/>
        <w:tabs>
          <w:tab w:val="left" w:pos="-720"/>
        </w:tabs>
        <w:ind w:firstLine="1440"/>
        <w:contextualSpacing/>
        <w:rPr>
          <w:rFonts w:eastAsia="Calibri"/>
          <w:sz w:val="26"/>
          <w:szCs w:val="26"/>
        </w:rPr>
      </w:pPr>
    </w:p>
    <w:p w14:paraId="628C2E20" w14:textId="77777777" w:rsidR="00155774" w:rsidRPr="00217AC0" w:rsidRDefault="00155774" w:rsidP="00217AC0">
      <w:pPr>
        <w:widowControl/>
        <w:ind w:left="1440" w:right="1440"/>
        <w:contextualSpacing/>
        <w:rPr>
          <w:rFonts w:eastAsia="Calibri"/>
          <w:sz w:val="26"/>
          <w:szCs w:val="26"/>
        </w:rPr>
      </w:pPr>
      <w:r w:rsidRPr="00217AC0">
        <w:rPr>
          <w:rFonts w:eastAsia="Calibri"/>
          <w:sz w:val="26"/>
          <w:szCs w:val="26"/>
        </w:rPr>
        <w:t>A public utility is entitled to such rates as will permit it to earn a return on the value of the property which it employs for the convenience of the public equal to that generally being made at the same time and in the same general part of the country on investments in other business undertakings which are attended by corresponding risks and uncertainties; but it has no constitutional right to profits such as are realized or anticipated in highly profitable enterprises or speculative ventures.  The return should be reasonably sufficient to assure confidence in the financial soundness of the utility and should be adequate, under efficient and economical management, to maintain and support its credit and enable it to raise the money necessary for the proper discharge of its public duties.  A rate of return may be too high or too low by changes affecting opportunities for investment, the money market and business conditions generally.</w:t>
      </w:r>
    </w:p>
    <w:p w14:paraId="36D26BA6" w14:textId="5B2A536B" w:rsidR="00155774" w:rsidRPr="00217AC0" w:rsidRDefault="00155774" w:rsidP="00452872">
      <w:pPr>
        <w:widowControl/>
        <w:spacing w:line="360" w:lineRule="auto"/>
        <w:ind w:left="1440" w:right="1440"/>
        <w:contextualSpacing/>
        <w:rPr>
          <w:rFonts w:eastAsia="Calibri"/>
          <w:sz w:val="26"/>
          <w:szCs w:val="26"/>
        </w:rPr>
      </w:pPr>
    </w:p>
    <w:p w14:paraId="417899F8" w14:textId="4B6C1159" w:rsidR="00155774" w:rsidRPr="00217AC0" w:rsidRDefault="00155774" w:rsidP="00217AC0">
      <w:pPr>
        <w:widowControl/>
        <w:spacing w:line="360" w:lineRule="auto"/>
        <w:ind w:right="1440"/>
        <w:contextualSpacing/>
        <w:rPr>
          <w:rFonts w:eastAsia="Calibri"/>
          <w:sz w:val="26"/>
          <w:szCs w:val="26"/>
        </w:rPr>
      </w:pPr>
      <w:r w:rsidRPr="00217AC0">
        <w:rPr>
          <w:rFonts w:eastAsia="Calibri"/>
          <w:i/>
          <w:sz w:val="26"/>
          <w:szCs w:val="26"/>
        </w:rPr>
        <w:t>Bluefield</w:t>
      </w:r>
      <w:r w:rsidRPr="00217AC0">
        <w:rPr>
          <w:rFonts w:eastAsia="Calibri"/>
          <w:sz w:val="26"/>
          <w:szCs w:val="26"/>
        </w:rPr>
        <w:t>, 262 U.S. at 692-693.</w:t>
      </w:r>
    </w:p>
    <w:p w14:paraId="0BE26C89" w14:textId="77777777" w:rsidR="00155774" w:rsidRPr="00217AC0" w:rsidRDefault="00155774" w:rsidP="00217AC0">
      <w:pPr>
        <w:widowControl/>
        <w:spacing w:line="360" w:lineRule="auto"/>
        <w:ind w:right="1440"/>
        <w:contextualSpacing/>
        <w:rPr>
          <w:rFonts w:eastAsia="Calibri"/>
          <w:sz w:val="26"/>
          <w:szCs w:val="26"/>
        </w:rPr>
      </w:pPr>
    </w:p>
    <w:p w14:paraId="4AB790B1" w14:textId="77777777" w:rsidR="00155774" w:rsidRPr="00217AC0" w:rsidRDefault="00155774" w:rsidP="00217AC0">
      <w:pPr>
        <w:widowControl/>
        <w:tabs>
          <w:tab w:val="left" w:pos="-720"/>
        </w:tabs>
        <w:spacing w:line="360" w:lineRule="auto"/>
        <w:ind w:firstLine="1440"/>
        <w:contextualSpacing/>
        <w:rPr>
          <w:sz w:val="26"/>
          <w:szCs w:val="26"/>
        </w:rPr>
      </w:pPr>
      <w:r w:rsidRPr="00217AC0">
        <w:rPr>
          <w:sz w:val="26"/>
          <w:szCs w:val="26"/>
        </w:rPr>
        <w:lastRenderedPageBreak/>
        <w:t xml:space="preserve">Section 1301(a) of the Code mandates that “[e]very rate made, demanded, or received by any public utility ... shall be just and reasonable, and in conformity with [the] regulations or orders of the [C]ommission.”  66 Pa. C.S. § 1301(a).  Pursuant to the just and reasonable standard, a utility may obtain “a rate that allows it to recover those expenses that are reasonably necessary to provide service to its customers [,] as well as a reasonable rate of return on its investment.” </w:t>
      </w:r>
      <w:r w:rsidRPr="00217AC0">
        <w:rPr>
          <w:i/>
          <w:iCs/>
          <w:sz w:val="26"/>
          <w:szCs w:val="26"/>
        </w:rPr>
        <w:t>City of Lancaster Sewer Fund v. Pa. PUC</w:t>
      </w:r>
      <w:r w:rsidRPr="00217AC0">
        <w:rPr>
          <w:sz w:val="26"/>
          <w:szCs w:val="26"/>
        </w:rPr>
        <w:t>, 793 A.2d 978, 982 (Pa. Cmwlth. 2002) (</w:t>
      </w:r>
      <w:r w:rsidRPr="00217AC0">
        <w:rPr>
          <w:i/>
          <w:iCs/>
          <w:sz w:val="26"/>
          <w:szCs w:val="26"/>
        </w:rPr>
        <w:t>City of Lancaster</w:t>
      </w:r>
      <w:r w:rsidRPr="00217AC0">
        <w:rPr>
          <w:sz w:val="26"/>
          <w:szCs w:val="26"/>
        </w:rPr>
        <w:t xml:space="preserve">).  There is no single way to arrive at just and reasonable rates, and “[t]he [Commission] has broad discretion in determining whether rates are reasonable” and “is vested with discretion to decide what factors it will consider in setting or evaluating a utility’s rates.”  </w:t>
      </w:r>
      <w:r w:rsidRPr="00217AC0">
        <w:rPr>
          <w:i/>
          <w:iCs/>
          <w:sz w:val="26"/>
          <w:szCs w:val="26"/>
        </w:rPr>
        <w:t>Popowsky v. Pa. PUC</w:t>
      </w:r>
      <w:r w:rsidRPr="00217AC0">
        <w:rPr>
          <w:sz w:val="26"/>
          <w:szCs w:val="26"/>
        </w:rPr>
        <w:t>, 683 A.2d 958, 961 (Pa. Cmwlth. 1996) (</w:t>
      </w:r>
      <w:r w:rsidRPr="00217AC0">
        <w:rPr>
          <w:i/>
          <w:iCs/>
          <w:sz w:val="26"/>
          <w:szCs w:val="26"/>
        </w:rPr>
        <w:t>Popowsky II</w:t>
      </w:r>
      <w:r w:rsidRPr="00217AC0">
        <w:rPr>
          <w:sz w:val="26"/>
          <w:szCs w:val="26"/>
        </w:rPr>
        <w:t xml:space="preserve">). </w:t>
      </w:r>
    </w:p>
    <w:p w14:paraId="7F36A8B8" w14:textId="77777777" w:rsidR="00155774" w:rsidRPr="00217AC0" w:rsidRDefault="00155774" w:rsidP="00217AC0">
      <w:pPr>
        <w:widowControl/>
        <w:tabs>
          <w:tab w:val="left" w:pos="-720"/>
        </w:tabs>
        <w:spacing w:line="360" w:lineRule="auto"/>
        <w:ind w:firstLine="1440"/>
        <w:contextualSpacing/>
        <w:rPr>
          <w:sz w:val="26"/>
          <w:szCs w:val="26"/>
        </w:rPr>
      </w:pPr>
    </w:p>
    <w:p w14:paraId="6EF3938D" w14:textId="77777777" w:rsidR="00155774" w:rsidRPr="00217AC0" w:rsidRDefault="00155774" w:rsidP="00217AC0">
      <w:pPr>
        <w:widowControl/>
        <w:spacing w:line="360" w:lineRule="auto"/>
        <w:ind w:firstLine="1440"/>
        <w:contextualSpacing/>
        <w:rPr>
          <w:rFonts w:eastAsia="Calibri"/>
          <w:sz w:val="26"/>
          <w:szCs w:val="26"/>
        </w:rPr>
      </w:pPr>
      <w:r w:rsidRPr="00217AC0">
        <w:rPr>
          <w:rFonts w:eastAsia="Calibri"/>
          <w:sz w:val="26"/>
          <w:szCs w:val="26"/>
        </w:rPr>
        <w:t>The burden of proof to establish the justness and reasonableness of every element of a public utility’s rate increase request rests solely upon the public utility in all proceedings filed under Section 1308(d) of the Code.  The standard to be met by the public utility is set forth in Section 315(a) of the Code, 66 Pa. C.S. § 315(a), as follows:</w:t>
      </w:r>
    </w:p>
    <w:p w14:paraId="11707A0B" w14:textId="77777777" w:rsidR="00155774" w:rsidRPr="00217AC0" w:rsidRDefault="00155774" w:rsidP="00217AC0">
      <w:pPr>
        <w:widowControl/>
        <w:ind w:left="1440" w:right="1440"/>
        <w:contextualSpacing/>
        <w:rPr>
          <w:rFonts w:eastAsia="Calibri"/>
          <w:b/>
          <w:sz w:val="26"/>
          <w:szCs w:val="26"/>
        </w:rPr>
      </w:pPr>
    </w:p>
    <w:p w14:paraId="2306A82D" w14:textId="77777777" w:rsidR="00155774" w:rsidRPr="00217AC0" w:rsidRDefault="00155774" w:rsidP="00217AC0">
      <w:pPr>
        <w:widowControl/>
        <w:ind w:left="1440" w:right="1440"/>
        <w:contextualSpacing/>
        <w:rPr>
          <w:rFonts w:eastAsia="Calibri"/>
          <w:sz w:val="26"/>
          <w:szCs w:val="26"/>
        </w:rPr>
      </w:pPr>
      <w:r w:rsidRPr="00217AC0">
        <w:rPr>
          <w:rFonts w:eastAsia="Calibri"/>
          <w:b/>
          <w:sz w:val="26"/>
          <w:szCs w:val="26"/>
        </w:rPr>
        <w:t>Reasonableness of rates.</w:t>
      </w:r>
      <w:r w:rsidRPr="00217AC0">
        <w:rPr>
          <w:rFonts w:eastAsia="Calibri"/>
          <w:sz w:val="26"/>
          <w:szCs w:val="26"/>
        </w:rPr>
        <w:t xml:space="preserve"> – In any proceeding upon the motion of the commission, involving any proposed or existing rate of any public utility, or in any proceedings upon complaint involving any proposed increase in rates, the burden of proof to show that the rate involved is just and reasonable shall be upon the public utility.</w:t>
      </w:r>
    </w:p>
    <w:p w14:paraId="516E9852" w14:textId="77777777" w:rsidR="00155774" w:rsidRPr="00217AC0" w:rsidRDefault="00155774" w:rsidP="00217AC0">
      <w:pPr>
        <w:widowControl/>
        <w:spacing w:line="480" w:lineRule="auto"/>
        <w:ind w:left="1440" w:right="1440"/>
        <w:contextualSpacing/>
        <w:rPr>
          <w:rFonts w:eastAsia="Calibri"/>
          <w:sz w:val="26"/>
          <w:szCs w:val="26"/>
        </w:rPr>
      </w:pPr>
    </w:p>
    <w:p w14:paraId="1AD650B1" w14:textId="77777777" w:rsidR="00155774" w:rsidRPr="00217AC0" w:rsidRDefault="00155774" w:rsidP="00217AC0">
      <w:pPr>
        <w:widowControl/>
        <w:spacing w:line="360" w:lineRule="auto"/>
        <w:ind w:firstLine="1440"/>
        <w:contextualSpacing/>
        <w:rPr>
          <w:rFonts w:eastAsia="Calibri"/>
          <w:sz w:val="26"/>
          <w:szCs w:val="26"/>
        </w:rPr>
      </w:pPr>
      <w:r w:rsidRPr="00217AC0">
        <w:rPr>
          <w:rFonts w:eastAsia="Calibri"/>
          <w:sz w:val="26"/>
          <w:szCs w:val="26"/>
        </w:rPr>
        <w:t>In reviewing Section 315(a) of the Code, the Pennsylvania Commonwealth Court interpreted a public utility’s burden of proof in a rate proceeding as follows:</w:t>
      </w:r>
    </w:p>
    <w:p w14:paraId="2AE2540B" w14:textId="77777777" w:rsidR="00155774" w:rsidRPr="00217AC0" w:rsidRDefault="00155774" w:rsidP="00217AC0">
      <w:pPr>
        <w:widowControl/>
        <w:ind w:firstLine="1440"/>
        <w:contextualSpacing/>
        <w:rPr>
          <w:rFonts w:eastAsia="Calibri"/>
          <w:sz w:val="26"/>
          <w:szCs w:val="26"/>
        </w:rPr>
      </w:pPr>
    </w:p>
    <w:p w14:paraId="47BEF73F" w14:textId="12870DEF" w:rsidR="00155774" w:rsidRPr="00217AC0" w:rsidRDefault="00155774" w:rsidP="00217AC0">
      <w:pPr>
        <w:widowControl/>
        <w:ind w:left="1440" w:right="1440"/>
        <w:contextualSpacing/>
        <w:rPr>
          <w:rFonts w:eastAsia="Calibri"/>
          <w:sz w:val="26"/>
          <w:szCs w:val="26"/>
        </w:rPr>
      </w:pPr>
      <w:r w:rsidRPr="00217AC0">
        <w:rPr>
          <w:rFonts w:eastAsia="Calibri"/>
          <w:sz w:val="26"/>
          <w:szCs w:val="26"/>
        </w:rPr>
        <w:t>Section 315(a) of the Public Utility Code, 66 Pa. C.S. §</w:t>
      </w:r>
      <w:r w:rsidR="00FE7E7B">
        <w:rPr>
          <w:rFonts w:eastAsia="Calibri"/>
          <w:sz w:val="26"/>
          <w:szCs w:val="26"/>
        </w:rPr>
        <w:t> </w:t>
      </w:r>
      <w:r w:rsidRPr="00217AC0">
        <w:rPr>
          <w:rFonts w:eastAsia="Calibri"/>
          <w:sz w:val="26"/>
          <w:szCs w:val="26"/>
        </w:rPr>
        <w:t xml:space="preserve">315(a), places the burden of proving the justness and reasonableness of a proposed rate hike squarely on the public utility.  </w:t>
      </w:r>
      <w:r w:rsidRPr="00217AC0">
        <w:rPr>
          <w:rFonts w:eastAsia="Calibri"/>
          <w:i/>
          <w:sz w:val="26"/>
          <w:szCs w:val="26"/>
        </w:rPr>
        <w:t>It is well-established that the evidence adduced by a utility to meet this burden must be substantial</w:t>
      </w:r>
      <w:r w:rsidRPr="00217AC0">
        <w:rPr>
          <w:rFonts w:eastAsia="Calibri"/>
          <w:sz w:val="26"/>
          <w:szCs w:val="26"/>
        </w:rPr>
        <w:t>.</w:t>
      </w:r>
    </w:p>
    <w:p w14:paraId="04201025" w14:textId="77777777" w:rsidR="00155774" w:rsidRPr="00217AC0" w:rsidRDefault="00155774" w:rsidP="00217AC0">
      <w:pPr>
        <w:widowControl/>
        <w:spacing w:line="360" w:lineRule="auto"/>
        <w:ind w:right="1296"/>
        <w:contextualSpacing/>
        <w:rPr>
          <w:rFonts w:eastAsia="Calibri"/>
          <w:sz w:val="26"/>
          <w:szCs w:val="26"/>
        </w:rPr>
      </w:pPr>
    </w:p>
    <w:p w14:paraId="5D181044" w14:textId="77777777" w:rsidR="00155774" w:rsidRPr="00217AC0" w:rsidRDefault="00155774" w:rsidP="00217AC0">
      <w:pPr>
        <w:widowControl/>
        <w:spacing w:line="360" w:lineRule="auto"/>
        <w:contextualSpacing/>
        <w:rPr>
          <w:rFonts w:eastAsia="Calibri"/>
          <w:sz w:val="26"/>
          <w:szCs w:val="26"/>
        </w:rPr>
      </w:pPr>
      <w:r w:rsidRPr="00217AC0">
        <w:rPr>
          <w:rFonts w:eastAsia="Calibri"/>
          <w:i/>
          <w:sz w:val="26"/>
          <w:szCs w:val="26"/>
        </w:rPr>
        <w:lastRenderedPageBreak/>
        <w:t>Lower Frederick Twp. Water Co. v. Pa. PUC</w:t>
      </w:r>
      <w:r w:rsidRPr="00217AC0">
        <w:rPr>
          <w:rFonts w:eastAsia="Calibri"/>
          <w:sz w:val="26"/>
          <w:szCs w:val="26"/>
        </w:rPr>
        <w:t xml:space="preserve">, 409 A.2d 505, 507 (Pa. Cmwlth. 1980) (emphasis added).  </w:t>
      </w:r>
      <w:r w:rsidRPr="00217AC0">
        <w:rPr>
          <w:rFonts w:eastAsia="Calibri"/>
          <w:i/>
          <w:sz w:val="26"/>
          <w:szCs w:val="26"/>
        </w:rPr>
        <w:t>See also</w:t>
      </w:r>
      <w:r w:rsidRPr="00217AC0">
        <w:rPr>
          <w:rFonts w:eastAsia="Calibri"/>
          <w:sz w:val="26"/>
          <w:szCs w:val="26"/>
        </w:rPr>
        <w:t xml:space="preserve">, </w:t>
      </w:r>
      <w:r w:rsidRPr="00217AC0">
        <w:rPr>
          <w:rFonts w:eastAsia="Calibri"/>
          <w:i/>
          <w:sz w:val="26"/>
          <w:szCs w:val="26"/>
        </w:rPr>
        <w:t>Brockway Glass Co. v. Pa. PUC</w:t>
      </w:r>
      <w:r w:rsidRPr="00217AC0">
        <w:rPr>
          <w:rFonts w:eastAsia="Calibri"/>
          <w:sz w:val="26"/>
          <w:szCs w:val="26"/>
        </w:rPr>
        <w:t>, 437 A.2d 1067 (Pa. Cmwlth. 1981).</w:t>
      </w:r>
    </w:p>
    <w:p w14:paraId="7F34DCB6" w14:textId="77777777" w:rsidR="00155774" w:rsidRPr="00217AC0" w:rsidRDefault="00155774" w:rsidP="00217AC0">
      <w:pPr>
        <w:widowControl/>
        <w:spacing w:line="360" w:lineRule="auto"/>
        <w:contextualSpacing/>
        <w:rPr>
          <w:rFonts w:eastAsia="Calibri"/>
          <w:sz w:val="26"/>
          <w:szCs w:val="26"/>
        </w:rPr>
      </w:pPr>
    </w:p>
    <w:p w14:paraId="2A04346B" w14:textId="77777777" w:rsidR="00155774" w:rsidRPr="00217AC0" w:rsidRDefault="00155774" w:rsidP="00217AC0">
      <w:pPr>
        <w:widowControl/>
        <w:spacing w:line="360" w:lineRule="auto"/>
        <w:ind w:firstLine="1440"/>
        <w:contextualSpacing/>
        <w:rPr>
          <w:rFonts w:eastAsia="Calibri"/>
          <w:sz w:val="26"/>
          <w:szCs w:val="26"/>
        </w:rPr>
      </w:pPr>
      <w:r w:rsidRPr="00217AC0">
        <w:rPr>
          <w:rFonts w:eastAsia="Calibri"/>
          <w:sz w:val="26"/>
          <w:szCs w:val="26"/>
        </w:rPr>
        <w:t>In general rate increase proceedings, it is well established that the burden of proof does not shift to parties challenging a requested rate increase.  Rather, the utility’s burden of establishing the justness and reasonableness of every component of its rate request is an affirmative one, and that burden remains with the public utility throughout the course of the rate proceeding.  There is no similar burden placed on parties to justify a proposed adjustment to the Company’s filing.  The Pennsylvania Supreme Court has held:</w:t>
      </w:r>
    </w:p>
    <w:p w14:paraId="7E5BC1E9" w14:textId="77777777" w:rsidR="00155774" w:rsidRPr="00217AC0" w:rsidRDefault="00155774" w:rsidP="00217AC0">
      <w:pPr>
        <w:widowControl/>
        <w:ind w:firstLine="1440"/>
        <w:contextualSpacing/>
        <w:rPr>
          <w:rFonts w:eastAsia="Calibri"/>
          <w:sz w:val="26"/>
          <w:szCs w:val="26"/>
        </w:rPr>
      </w:pPr>
    </w:p>
    <w:p w14:paraId="212B0E11" w14:textId="77777777" w:rsidR="00155774" w:rsidRPr="00217AC0" w:rsidRDefault="00155774" w:rsidP="00217AC0">
      <w:pPr>
        <w:widowControl/>
        <w:ind w:left="1440" w:right="1440"/>
        <w:contextualSpacing/>
        <w:rPr>
          <w:rFonts w:eastAsia="Calibri"/>
          <w:sz w:val="26"/>
          <w:szCs w:val="26"/>
        </w:rPr>
      </w:pPr>
      <w:r w:rsidRPr="00217AC0">
        <w:rPr>
          <w:rFonts w:eastAsia="Calibri"/>
          <w:sz w:val="26"/>
          <w:szCs w:val="26"/>
        </w:rPr>
        <w:t>[T]he appellants did not have the burden of proving that the plant additions were improper, unnecessary or too costly; on the contrary, that burden is, by statute, on the utility to demonstrate the reasonable necessity and cost of the installations, and that is the burden which the utility patently failed to carry.</w:t>
      </w:r>
    </w:p>
    <w:p w14:paraId="0BC776EC" w14:textId="028F95D3" w:rsidR="00155774" w:rsidRPr="00217AC0" w:rsidRDefault="00155774" w:rsidP="00FE7E7B">
      <w:pPr>
        <w:keepNext/>
        <w:widowControl/>
        <w:spacing w:line="360" w:lineRule="auto"/>
        <w:ind w:left="1440" w:right="1296"/>
        <w:contextualSpacing/>
        <w:rPr>
          <w:rFonts w:eastAsia="Calibri"/>
          <w:sz w:val="26"/>
          <w:szCs w:val="26"/>
        </w:rPr>
      </w:pPr>
    </w:p>
    <w:p w14:paraId="7E29FFEA" w14:textId="77777777" w:rsidR="00155774" w:rsidRPr="00217AC0" w:rsidRDefault="00155774" w:rsidP="00217AC0">
      <w:pPr>
        <w:keepNext/>
        <w:widowControl/>
        <w:spacing w:line="360" w:lineRule="auto"/>
        <w:ind w:right="1440"/>
        <w:contextualSpacing/>
        <w:rPr>
          <w:rFonts w:eastAsia="Calibri"/>
          <w:sz w:val="26"/>
          <w:szCs w:val="26"/>
        </w:rPr>
      </w:pPr>
      <w:r w:rsidRPr="00217AC0">
        <w:rPr>
          <w:rFonts w:eastAsia="Calibri"/>
          <w:i/>
          <w:sz w:val="26"/>
          <w:szCs w:val="26"/>
        </w:rPr>
        <w:t>Berner v. Pa. PUC</w:t>
      </w:r>
      <w:r w:rsidRPr="00217AC0">
        <w:rPr>
          <w:rFonts w:eastAsia="Calibri"/>
          <w:sz w:val="26"/>
          <w:szCs w:val="26"/>
        </w:rPr>
        <w:t>, 116 A.2d 738, 744 (Pa. 1955).</w:t>
      </w:r>
    </w:p>
    <w:p w14:paraId="2C4BBF73" w14:textId="77777777" w:rsidR="00155774" w:rsidRPr="00217AC0" w:rsidRDefault="00155774" w:rsidP="00217AC0">
      <w:pPr>
        <w:widowControl/>
        <w:spacing w:line="360" w:lineRule="auto"/>
        <w:ind w:right="1440"/>
        <w:contextualSpacing/>
        <w:rPr>
          <w:rFonts w:eastAsia="Calibri"/>
          <w:sz w:val="26"/>
          <w:szCs w:val="26"/>
        </w:rPr>
      </w:pPr>
    </w:p>
    <w:p w14:paraId="70FC79F6" w14:textId="77777777" w:rsidR="00155774" w:rsidRPr="00217AC0" w:rsidRDefault="00155774" w:rsidP="00217AC0">
      <w:pPr>
        <w:widowControl/>
        <w:tabs>
          <w:tab w:val="left" w:pos="-720"/>
        </w:tabs>
        <w:spacing w:line="360" w:lineRule="auto"/>
        <w:ind w:firstLine="1440"/>
        <w:contextualSpacing/>
        <w:rPr>
          <w:rFonts w:eastAsia="Calibri"/>
          <w:sz w:val="26"/>
          <w:szCs w:val="26"/>
        </w:rPr>
      </w:pPr>
      <w:r w:rsidRPr="00217AC0">
        <w:rPr>
          <w:rFonts w:eastAsia="Calibri"/>
          <w:sz w:val="26"/>
          <w:szCs w:val="26"/>
        </w:rPr>
        <w:t>This does not mean, however, that in proving that its proposed rates are just and reasonable, a public utility must affirmatively defend every claim it has made in its filing, even those which no other party has questioned.  As the Pennsylvania Commonwealth Court has held:</w:t>
      </w:r>
    </w:p>
    <w:p w14:paraId="20DFD4BF" w14:textId="77777777" w:rsidR="00155774" w:rsidRPr="00217AC0" w:rsidRDefault="00155774" w:rsidP="00217AC0">
      <w:pPr>
        <w:widowControl/>
        <w:ind w:left="1440" w:right="1296"/>
        <w:contextualSpacing/>
        <w:rPr>
          <w:rFonts w:eastAsia="Calibri"/>
          <w:sz w:val="26"/>
          <w:szCs w:val="26"/>
        </w:rPr>
      </w:pPr>
    </w:p>
    <w:p w14:paraId="45F158F6" w14:textId="77777777" w:rsidR="00155774" w:rsidRPr="00217AC0" w:rsidRDefault="00155774" w:rsidP="00217AC0">
      <w:pPr>
        <w:widowControl/>
        <w:ind w:left="1440" w:right="1440"/>
        <w:contextualSpacing/>
        <w:rPr>
          <w:rFonts w:eastAsia="Calibri"/>
          <w:sz w:val="26"/>
          <w:szCs w:val="26"/>
        </w:rPr>
      </w:pPr>
      <w:r w:rsidRPr="00217AC0">
        <w:rPr>
          <w:rFonts w:eastAsia="Calibri"/>
          <w:sz w:val="26"/>
          <w:szCs w:val="26"/>
        </w:rPr>
        <w:t>While it is axiomatic that a utility has the burden of proving the justness and reasonableness of its proposed rates, it cannot be called upon to account for every action absent prior notice that such action is to be challenged.</w:t>
      </w:r>
    </w:p>
    <w:p w14:paraId="56EEAA56" w14:textId="77777777" w:rsidR="00155774" w:rsidRPr="00217AC0" w:rsidRDefault="00155774" w:rsidP="00217AC0">
      <w:pPr>
        <w:widowControl/>
        <w:spacing w:line="360" w:lineRule="auto"/>
        <w:ind w:left="1440" w:right="1296"/>
        <w:contextualSpacing/>
        <w:rPr>
          <w:rFonts w:eastAsia="Calibri"/>
          <w:sz w:val="26"/>
          <w:szCs w:val="26"/>
        </w:rPr>
      </w:pPr>
    </w:p>
    <w:p w14:paraId="778FFC01" w14:textId="4629D7DB" w:rsidR="00155774" w:rsidRPr="00217AC0" w:rsidRDefault="00155774" w:rsidP="00217AC0">
      <w:pPr>
        <w:widowControl/>
        <w:spacing w:line="360" w:lineRule="auto"/>
        <w:contextualSpacing/>
        <w:rPr>
          <w:rFonts w:eastAsia="Calibri"/>
          <w:sz w:val="26"/>
          <w:szCs w:val="26"/>
        </w:rPr>
      </w:pPr>
      <w:r w:rsidRPr="00217AC0">
        <w:rPr>
          <w:rFonts w:eastAsia="Calibri"/>
          <w:i/>
          <w:sz w:val="26"/>
          <w:szCs w:val="26"/>
        </w:rPr>
        <w:t>Allegheny Center Assocs. v. Pa. PUC</w:t>
      </w:r>
      <w:r w:rsidRPr="00217AC0">
        <w:rPr>
          <w:rFonts w:eastAsia="Calibri"/>
          <w:sz w:val="26"/>
          <w:szCs w:val="26"/>
        </w:rPr>
        <w:t xml:space="preserve">, 570 A.2d 149, 153 (Pa. Cmwlth. 1990) (citation omitted).  </w:t>
      </w:r>
      <w:r w:rsidRPr="00217AC0">
        <w:rPr>
          <w:rFonts w:eastAsia="Calibri"/>
          <w:i/>
          <w:sz w:val="26"/>
          <w:szCs w:val="26"/>
        </w:rPr>
        <w:t>See also, Pa. PUC v. Equitable Gas Co.</w:t>
      </w:r>
      <w:r w:rsidRPr="00217AC0">
        <w:rPr>
          <w:rFonts w:eastAsia="Calibri"/>
          <w:sz w:val="26"/>
          <w:szCs w:val="26"/>
        </w:rPr>
        <w:t>, 73 Pa. P.U.C. 310, 359-360 (1990).</w:t>
      </w:r>
    </w:p>
    <w:p w14:paraId="10405B99" w14:textId="77777777" w:rsidR="00155774" w:rsidRPr="00217AC0" w:rsidRDefault="00155774" w:rsidP="00217AC0">
      <w:pPr>
        <w:widowControl/>
        <w:spacing w:line="360" w:lineRule="auto"/>
        <w:ind w:firstLine="1440"/>
        <w:contextualSpacing/>
        <w:rPr>
          <w:rFonts w:eastAsia="Calibri"/>
          <w:sz w:val="26"/>
          <w:szCs w:val="26"/>
        </w:rPr>
      </w:pPr>
      <w:r w:rsidRPr="00217AC0">
        <w:rPr>
          <w:rFonts w:eastAsia="Calibri"/>
          <w:sz w:val="26"/>
          <w:szCs w:val="26"/>
        </w:rPr>
        <w:lastRenderedPageBreak/>
        <w:t>Additionally, Section 315(a) of the Code, 66 Pa. C.S. § 315(a), cannot reasonably be read to place the burden of proof on the utility with respect to an issue the utility did not include in its general rate case filing and which, frequently, the utility would oppose.  Inasmuch as the Legislature is not presumed to intend an absurd result in interpretation of its enactments,</w:t>
      </w:r>
      <w:r w:rsidRPr="00217AC0">
        <w:rPr>
          <w:rFonts w:eastAsia="Calibri"/>
          <w:sz w:val="26"/>
          <w:szCs w:val="26"/>
          <w:vertAlign w:val="superscript"/>
        </w:rPr>
        <w:footnoteReference w:id="9"/>
      </w:r>
      <w:r w:rsidRPr="00217AC0">
        <w:rPr>
          <w:rFonts w:eastAsia="Calibri"/>
          <w:sz w:val="26"/>
          <w:szCs w:val="26"/>
        </w:rPr>
        <w:t xml:space="preserve"> the burden of proof must be on the party who proposes a rate increase beyond that sought by the utility.  The mere rejection of evidence contrary to that adduced by the public utility is not an impermissible shifting of the evidentiary burden.  </w:t>
      </w:r>
      <w:r w:rsidRPr="00217AC0">
        <w:rPr>
          <w:rFonts w:eastAsia="Calibri"/>
          <w:i/>
          <w:sz w:val="26"/>
          <w:szCs w:val="26"/>
        </w:rPr>
        <w:t>United States Steel Corp. v. Pa. PUC</w:t>
      </w:r>
      <w:r w:rsidRPr="00217AC0">
        <w:rPr>
          <w:rFonts w:eastAsia="Calibri"/>
          <w:sz w:val="26"/>
          <w:szCs w:val="26"/>
        </w:rPr>
        <w:t>, 456 A.2d 686 (Pa. Cmwlth. 1983).</w:t>
      </w:r>
    </w:p>
    <w:p w14:paraId="1006B275" w14:textId="77777777" w:rsidR="00155774" w:rsidRPr="00217AC0" w:rsidRDefault="00155774" w:rsidP="00217AC0">
      <w:pPr>
        <w:widowControl/>
        <w:tabs>
          <w:tab w:val="left" w:pos="-720"/>
        </w:tabs>
        <w:spacing w:line="360" w:lineRule="auto"/>
        <w:ind w:firstLine="1440"/>
        <w:contextualSpacing/>
        <w:rPr>
          <w:rFonts w:eastAsia="Calibri"/>
          <w:sz w:val="26"/>
          <w:szCs w:val="26"/>
        </w:rPr>
      </w:pPr>
    </w:p>
    <w:p w14:paraId="6BF8FCFB" w14:textId="77777777" w:rsidR="00155774" w:rsidRPr="00217AC0" w:rsidRDefault="00155774" w:rsidP="00217AC0">
      <w:pPr>
        <w:widowControl/>
        <w:tabs>
          <w:tab w:val="left" w:pos="-720"/>
        </w:tabs>
        <w:spacing w:line="360" w:lineRule="auto"/>
        <w:ind w:firstLine="1440"/>
        <w:contextualSpacing/>
        <w:rPr>
          <w:rFonts w:eastAsia="Calibri"/>
          <w:sz w:val="26"/>
          <w:szCs w:val="26"/>
        </w:rPr>
      </w:pPr>
      <w:r w:rsidRPr="00217AC0">
        <w:rPr>
          <w:rFonts w:eastAsia="Calibri"/>
          <w:sz w:val="26"/>
          <w:szCs w:val="26"/>
        </w:rPr>
        <w:t xml:space="preserve">In analyzing a proposed general rate increase, the Commission determines a rate of return to be applied to a rate base measured by the aggregate value of all the utility’s property used and useful in the public service.  The Commission determines a proper rate of return by calculating the utility’s capital structure and the cost of the different types of capital during the period in issue.  The Commission is granted wide discretion, because of its administrative expertise, in determining the cost of capital.  </w:t>
      </w:r>
      <w:r w:rsidRPr="00217AC0">
        <w:rPr>
          <w:rFonts w:eastAsia="Calibri"/>
          <w:i/>
          <w:sz w:val="26"/>
          <w:szCs w:val="26"/>
        </w:rPr>
        <w:t>Equitable Gas Co. v. Pa. PUC</w:t>
      </w:r>
      <w:r w:rsidRPr="00217AC0">
        <w:rPr>
          <w:rFonts w:eastAsia="Calibri"/>
          <w:sz w:val="26"/>
          <w:szCs w:val="26"/>
        </w:rPr>
        <w:t>, 405 A.2d 1055, 1059 (Pa. Cmwlth. 1979) (determination of cost of capital is basically a matter of judgment which should be left to the regulatory agency and not disturbed absent an abuse of discretion).</w:t>
      </w:r>
    </w:p>
    <w:p w14:paraId="4AC36CF1" w14:textId="5CBC47A0" w:rsidR="002863A0" w:rsidRPr="00217AC0" w:rsidRDefault="002863A0" w:rsidP="00217AC0">
      <w:pPr>
        <w:keepNext/>
        <w:keepLines/>
        <w:widowControl/>
        <w:spacing w:line="360" w:lineRule="auto"/>
        <w:contextualSpacing/>
        <w:rPr>
          <w:b/>
          <w:sz w:val="26"/>
          <w:szCs w:val="26"/>
        </w:rPr>
      </w:pPr>
    </w:p>
    <w:p w14:paraId="3E149BBE" w14:textId="41486DFD" w:rsidR="003B3F33" w:rsidRPr="00217AC0" w:rsidRDefault="003B3F33" w:rsidP="00217AC0">
      <w:pPr>
        <w:pStyle w:val="Heading2"/>
        <w:widowControl/>
        <w:ind w:hanging="720"/>
      </w:pPr>
      <w:bookmarkStart w:id="11" w:name="_Toc69230505"/>
      <w:r w:rsidRPr="00217AC0">
        <w:t>Settlements Must Serve the Public Interest</w:t>
      </w:r>
      <w:bookmarkEnd w:id="11"/>
    </w:p>
    <w:p w14:paraId="007B4A7D" w14:textId="6D610133" w:rsidR="003B3F33" w:rsidRPr="00217AC0" w:rsidRDefault="003B3F33" w:rsidP="00217AC0">
      <w:pPr>
        <w:keepNext/>
        <w:keepLines/>
        <w:widowControl/>
        <w:spacing w:line="360" w:lineRule="auto"/>
        <w:contextualSpacing/>
        <w:rPr>
          <w:b/>
          <w:sz w:val="26"/>
          <w:szCs w:val="26"/>
        </w:rPr>
      </w:pPr>
    </w:p>
    <w:p w14:paraId="7DC5CEBC" w14:textId="04F8CDC8" w:rsidR="003B3F33" w:rsidRPr="00217AC0" w:rsidRDefault="003B3F33" w:rsidP="00217AC0">
      <w:pPr>
        <w:keepNext/>
        <w:widowControl/>
        <w:spacing w:line="360" w:lineRule="auto"/>
        <w:ind w:firstLine="1440"/>
        <w:contextualSpacing/>
        <w:rPr>
          <w:sz w:val="26"/>
          <w:szCs w:val="26"/>
        </w:rPr>
      </w:pPr>
      <w:r w:rsidRPr="00217AC0">
        <w:rPr>
          <w:sz w:val="26"/>
          <w:szCs w:val="26"/>
        </w:rPr>
        <w:t>The policy of the Commission is to encourage settlements, and the Commission has stated that settlement rates are often preferable to those achieved at the conclusion of a fully litigated proceeding.  52 Pa. Code §§ 5.231, 69.401.  A full settlement of all the issues in a proceeding eliminates the time, effort</w:t>
      </w:r>
      <w:r w:rsidR="00717142" w:rsidRPr="00217AC0">
        <w:rPr>
          <w:sz w:val="26"/>
          <w:szCs w:val="26"/>
        </w:rPr>
        <w:t>,</w:t>
      </w:r>
      <w:r w:rsidRPr="00217AC0">
        <w:rPr>
          <w:sz w:val="26"/>
          <w:szCs w:val="26"/>
        </w:rPr>
        <w:t xml:space="preserve"> and expense that otherwise would have been used in litigating the proceeding, while a partial settlement </w:t>
      </w:r>
      <w:r w:rsidRPr="00217AC0">
        <w:rPr>
          <w:sz w:val="26"/>
          <w:szCs w:val="26"/>
        </w:rPr>
        <w:lastRenderedPageBreak/>
        <w:t>may significantly reduce the time, effort</w:t>
      </w:r>
      <w:r w:rsidR="00717142" w:rsidRPr="00217AC0">
        <w:rPr>
          <w:sz w:val="26"/>
          <w:szCs w:val="26"/>
        </w:rPr>
        <w:t>,</w:t>
      </w:r>
      <w:r w:rsidRPr="00217AC0">
        <w:rPr>
          <w:sz w:val="26"/>
          <w:szCs w:val="26"/>
        </w:rPr>
        <w:t xml:space="preserve"> and expense of litigating a case.  A settlement, whether whole or partial, benefits not only the named parties directly, but, indirectly, all customers of the public utility involved in the case.  </w:t>
      </w:r>
    </w:p>
    <w:p w14:paraId="2898F11E" w14:textId="77777777" w:rsidR="003B3F33" w:rsidRPr="00217AC0" w:rsidRDefault="003B3F33" w:rsidP="00217AC0">
      <w:pPr>
        <w:widowControl/>
        <w:suppressAutoHyphens/>
        <w:spacing w:line="360" w:lineRule="auto"/>
        <w:ind w:firstLine="1440"/>
        <w:contextualSpacing/>
        <w:rPr>
          <w:sz w:val="26"/>
          <w:szCs w:val="26"/>
        </w:rPr>
      </w:pPr>
    </w:p>
    <w:p w14:paraId="0E66D841" w14:textId="640BC36A" w:rsidR="003B3F33" w:rsidRPr="00217AC0" w:rsidRDefault="003B3F33" w:rsidP="00217AC0">
      <w:pPr>
        <w:widowControl/>
        <w:spacing w:line="360" w:lineRule="auto"/>
        <w:ind w:firstLine="1440"/>
        <w:contextualSpacing/>
        <w:rPr>
          <w:sz w:val="26"/>
          <w:szCs w:val="26"/>
        </w:rPr>
      </w:pPr>
      <w:r w:rsidRPr="00217AC0">
        <w:rPr>
          <w:sz w:val="26"/>
          <w:szCs w:val="26"/>
        </w:rPr>
        <w:t xml:space="preserve">The Settlement, in this case, is a “black box” settlement.  This means that the </w:t>
      </w:r>
      <w:r w:rsidR="007477BC" w:rsidRPr="00217AC0">
        <w:rPr>
          <w:sz w:val="26"/>
          <w:szCs w:val="26"/>
        </w:rPr>
        <w:t>P</w:t>
      </w:r>
      <w:r w:rsidRPr="00217AC0">
        <w:rPr>
          <w:sz w:val="26"/>
          <w:szCs w:val="26"/>
        </w:rPr>
        <w:t>arties were not able to agree on each and every element of the revenue requirement calculation.  The Commission has recognized that “black box” settlements can serve an important purpose in reaching consensus in rate cases:</w:t>
      </w:r>
    </w:p>
    <w:p w14:paraId="1A82EC9D" w14:textId="77777777" w:rsidR="003B3F33" w:rsidRPr="00217AC0" w:rsidRDefault="003B3F33" w:rsidP="00217AC0">
      <w:pPr>
        <w:widowControl/>
        <w:ind w:left="1440" w:right="1440"/>
        <w:contextualSpacing/>
        <w:rPr>
          <w:sz w:val="26"/>
          <w:szCs w:val="26"/>
        </w:rPr>
      </w:pPr>
    </w:p>
    <w:p w14:paraId="2BBC02F3" w14:textId="3E53F82A" w:rsidR="003B3F33" w:rsidRPr="00217AC0" w:rsidRDefault="003B3F33" w:rsidP="00217AC0">
      <w:pPr>
        <w:widowControl/>
        <w:ind w:left="1440" w:right="1440"/>
        <w:contextualSpacing/>
        <w:rPr>
          <w:sz w:val="26"/>
          <w:szCs w:val="26"/>
        </w:rPr>
      </w:pPr>
      <w:r w:rsidRPr="00217AC0">
        <w:rPr>
          <w:sz w:val="26"/>
          <w:szCs w:val="26"/>
        </w:rPr>
        <w:t xml:space="preserve">We have historically permitted the use of “black box” settlements as a means of promoting settlement among the parties in contentious base rate proceedings.  Settlement of rate cases saves a significant amount of time and expense for customers, companies, and the Commission and often results in alternatives that may not have been realized during the litigation process.  Determining a company’s revenue requirement is a calculation involving many complex and interrelated adjustments that affect expenses, depreciation, rate base, taxes and the company’s cost of capital.  Reaching an agreement between various parties on each component of a rate increase can be difficult and impractical in many cases.  </w:t>
      </w:r>
    </w:p>
    <w:p w14:paraId="66C9FBCB" w14:textId="377FDA81" w:rsidR="003B3F33" w:rsidRPr="00217AC0" w:rsidRDefault="003B3F33" w:rsidP="00217AC0">
      <w:pPr>
        <w:widowControl/>
        <w:ind w:left="1440" w:right="1440"/>
        <w:contextualSpacing/>
        <w:rPr>
          <w:sz w:val="26"/>
          <w:szCs w:val="26"/>
        </w:rPr>
      </w:pPr>
    </w:p>
    <w:p w14:paraId="3EEE66C6" w14:textId="77777777" w:rsidR="007477BC" w:rsidRPr="00217AC0" w:rsidRDefault="007477BC" w:rsidP="00217AC0">
      <w:pPr>
        <w:widowControl/>
        <w:spacing w:line="360" w:lineRule="auto"/>
        <w:ind w:left="1440" w:right="1440"/>
        <w:contextualSpacing/>
        <w:rPr>
          <w:sz w:val="26"/>
          <w:szCs w:val="26"/>
        </w:rPr>
      </w:pPr>
    </w:p>
    <w:p w14:paraId="6DCD7A94" w14:textId="3589B83F" w:rsidR="003B3F33" w:rsidRPr="00217AC0" w:rsidRDefault="003B3F33" w:rsidP="00217AC0">
      <w:pPr>
        <w:widowControl/>
        <w:spacing w:line="360" w:lineRule="auto"/>
        <w:rPr>
          <w:rFonts w:eastAsiaTheme="minorHAnsi"/>
          <w:color w:val="000000"/>
          <w:sz w:val="26"/>
          <w:szCs w:val="26"/>
        </w:rPr>
      </w:pPr>
      <w:r w:rsidRPr="00217AC0">
        <w:rPr>
          <w:rFonts w:eastAsiaTheme="minorHAnsi"/>
          <w:i/>
          <w:color w:val="000000"/>
          <w:sz w:val="26"/>
          <w:szCs w:val="26"/>
        </w:rPr>
        <w:t>Pa.</w:t>
      </w:r>
      <w:r w:rsidRPr="00217AC0">
        <w:rPr>
          <w:rFonts w:eastAsiaTheme="minorHAnsi"/>
          <w:color w:val="000000"/>
          <w:sz w:val="26"/>
          <w:szCs w:val="26"/>
        </w:rPr>
        <w:t xml:space="preserve"> </w:t>
      </w:r>
      <w:r w:rsidRPr="00217AC0">
        <w:rPr>
          <w:rFonts w:eastAsiaTheme="minorHAnsi"/>
          <w:i/>
          <w:color w:val="000000"/>
          <w:sz w:val="26"/>
          <w:szCs w:val="26"/>
        </w:rPr>
        <w:t>PUC v. Peoples TWP LLC</w:t>
      </w:r>
      <w:r w:rsidRPr="00217AC0">
        <w:rPr>
          <w:rFonts w:eastAsiaTheme="minorHAnsi"/>
          <w:color w:val="000000"/>
          <w:sz w:val="26"/>
          <w:szCs w:val="26"/>
        </w:rPr>
        <w:t>, Docket No. R-2013-2355886 (Order entered December</w:t>
      </w:r>
      <w:r w:rsidR="00FE7E7B">
        <w:rPr>
          <w:rFonts w:eastAsiaTheme="minorHAnsi"/>
          <w:color w:val="000000"/>
          <w:sz w:val="26"/>
          <w:szCs w:val="26"/>
        </w:rPr>
        <w:t> </w:t>
      </w:r>
      <w:r w:rsidRPr="00217AC0">
        <w:rPr>
          <w:rFonts w:eastAsiaTheme="minorHAnsi"/>
          <w:color w:val="000000"/>
          <w:sz w:val="26"/>
          <w:szCs w:val="26"/>
        </w:rPr>
        <w:t>19, 2013)</w:t>
      </w:r>
      <w:r w:rsidR="00DF516E">
        <w:rPr>
          <w:rFonts w:eastAsiaTheme="minorHAnsi"/>
          <w:color w:val="000000"/>
          <w:sz w:val="26"/>
          <w:szCs w:val="26"/>
        </w:rPr>
        <w:t xml:space="preserve"> (</w:t>
      </w:r>
      <w:r w:rsidR="00DF516E" w:rsidRPr="00C92CD6">
        <w:rPr>
          <w:rFonts w:eastAsiaTheme="minorHAnsi"/>
          <w:i/>
          <w:iCs/>
          <w:color w:val="000000"/>
          <w:sz w:val="26"/>
          <w:szCs w:val="26"/>
        </w:rPr>
        <w:t>Peoples TWP</w:t>
      </w:r>
      <w:r w:rsidR="00DF516E">
        <w:rPr>
          <w:rFonts w:eastAsiaTheme="minorHAnsi"/>
          <w:color w:val="000000"/>
          <w:sz w:val="26"/>
          <w:szCs w:val="26"/>
        </w:rPr>
        <w:t>)</w:t>
      </w:r>
      <w:r w:rsidRPr="00217AC0">
        <w:rPr>
          <w:rFonts w:eastAsiaTheme="minorHAnsi"/>
          <w:color w:val="000000"/>
          <w:sz w:val="26"/>
          <w:szCs w:val="26"/>
        </w:rPr>
        <w:t>, at 28 (citations omitted).</w:t>
      </w:r>
    </w:p>
    <w:p w14:paraId="7EE465D1" w14:textId="77777777" w:rsidR="003B3F33" w:rsidRPr="00217AC0" w:rsidRDefault="003B3F33" w:rsidP="00217AC0">
      <w:pPr>
        <w:widowControl/>
        <w:suppressAutoHyphens/>
        <w:spacing w:line="360" w:lineRule="auto"/>
        <w:contextualSpacing/>
        <w:rPr>
          <w:sz w:val="26"/>
          <w:szCs w:val="26"/>
        </w:rPr>
      </w:pPr>
    </w:p>
    <w:p w14:paraId="1B22EC0E" w14:textId="77777777" w:rsidR="003B3F33" w:rsidRPr="00217AC0" w:rsidRDefault="003B3F33" w:rsidP="00217AC0">
      <w:pPr>
        <w:widowControl/>
        <w:suppressAutoHyphens/>
        <w:spacing w:line="360" w:lineRule="auto"/>
        <w:ind w:firstLine="1440"/>
        <w:contextualSpacing/>
        <w:rPr>
          <w:sz w:val="26"/>
          <w:szCs w:val="26"/>
        </w:rPr>
      </w:pPr>
      <w:r w:rsidRPr="00217AC0">
        <w:rPr>
          <w:sz w:val="26"/>
          <w:szCs w:val="26"/>
        </w:rPr>
        <w:t xml:space="preserve">Rate increase proceedings are expensive to litigate, and the reasonable cost of such litigation is an operating expense recovered in the rates approved by the Commission.  Partial or full settlements allow the parties to avoid the substantial costs of preparing and serving testimony and the cross-examination of witnesses in lengthy hearings, the preparation and service of briefs, reply briefs, exceptions and replies to exceptions, together with the briefs and reply briefs necessitated by any appeal of the Commission’s decision, yielding significant expense savings for the company’s </w:t>
      </w:r>
      <w:r w:rsidRPr="00217AC0">
        <w:rPr>
          <w:sz w:val="26"/>
          <w:szCs w:val="26"/>
        </w:rPr>
        <w:lastRenderedPageBreak/>
        <w:t>customers.  For this and other sound reasons, settlements are encouraged by long-standing Commission policy.</w:t>
      </w:r>
    </w:p>
    <w:p w14:paraId="25C68292" w14:textId="77777777" w:rsidR="003B3F33" w:rsidRPr="00217AC0" w:rsidRDefault="003B3F33" w:rsidP="00217AC0">
      <w:pPr>
        <w:widowControl/>
        <w:suppressAutoHyphens/>
        <w:spacing w:line="360" w:lineRule="auto"/>
        <w:ind w:firstLine="1440"/>
        <w:contextualSpacing/>
        <w:rPr>
          <w:sz w:val="26"/>
          <w:szCs w:val="26"/>
        </w:rPr>
      </w:pPr>
    </w:p>
    <w:p w14:paraId="4B8BD854" w14:textId="7C3AFFB1" w:rsidR="003B3F33" w:rsidRPr="00217AC0" w:rsidRDefault="003B3F33" w:rsidP="00217AC0">
      <w:pPr>
        <w:widowControl/>
        <w:tabs>
          <w:tab w:val="left" w:pos="-720"/>
        </w:tabs>
        <w:spacing w:line="360" w:lineRule="auto"/>
        <w:ind w:firstLine="1440"/>
        <w:rPr>
          <w:color w:val="000000"/>
          <w:sz w:val="26"/>
          <w:szCs w:val="26"/>
        </w:rPr>
      </w:pPr>
      <w:r w:rsidRPr="00217AC0">
        <w:rPr>
          <w:sz w:val="26"/>
          <w:szCs w:val="26"/>
        </w:rPr>
        <w:t xml:space="preserve">Despite the policy favoring settlements, the Commission does not simply rubber stamp settlements without further inquiry.  In order to accept a settlement such as those proposed here, the Commission must determine that the proposed terms and conditions are in the public interest.  </w:t>
      </w:r>
      <w:r w:rsidRPr="00217AC0">
        <w:rPr>
          <w:i/>
          <w:sz w:val="26"/>
          <w:szCs w:val="26"/>
        </w:rPr>
        <w:t>Pa. PUC v. York Water Co.</w:t>
      </w:r>
      <w:r w:rsidRPr="00217AC0">
        <w:rPr>
          <w:sz w:val="26"/>
          <w:szCs w:val="26"/>
        </w:rPr>
        <w:t>, Docket No. R</w:t>
      </w:r>
      <w:r w:rsidRPr="00217AC0">
        <w:rPr>
          <w:sz w:val="26"/>
          <w:szCs w:val="26"/>
        </w:rPr>
        <w:noBreakHyphen/>
        <w:t xml:space="preserve">00049165 (Order entered October 4, 2004); </w:t>
      </w:r>
      <w:r w:rsidRPr="00217AC0">
        <w:rPr>
          <w:i/>
          <w:sz w:val="26"/>
          <w:szCs w:val="26"/>
        </w:rPr>
        <w:t>Pa. PUC v. C. S. Water and Sewer Assoc.</w:t>
      </w:r>
      <w:r w:rsidRPr="00217AC0">
        <w:rPr>
          <w:sz w:val="26"/>
          <w:szCs w:val="26"/>
        </w:rPr>
        <w:t>, 74 Pa. P.U.C. 767 (1991)</w:t>
      </w:r>
      <w:r w:rsidR="00893E22" w:rsidRPr="00217AC0">
        <w:rPr>
          <w:sz w:val="26"/>
          <w:szCs w:val="26"/>
        </w:rPr>
        <w:t xml:space="preserve"> (</w:t>
      </w:r>
      <w:bookmarkStart w:id="12" w:name="_Hlk67038413"/>
      <w:r w:rsidR="00893E22" w:rsidRPr="00217AC0">
        <w:rPr>
          <w:i/>
          <w:iCs/>
          <w:sz w:val="26"/>
          <w:szCs w:val="26"/>
        </w:rPr>
        <w:t>CS Water and Sewer</w:t>
      </w:r>
      <w:bookmarkEnd w:id="12"/>
      <w:r w:rsidR="00893E22" w:rsidRPr="00217AC0">
        <w:rPr>
          <w:sz w:val="26"/>
          <w:szCs w:val="26"/>
        </w:rPr>
        <w:t>)</w:t>
      </w:r>
      <w:r w:rsidRPr="00217AC0">
        <w:rPr>
          <w:sz w:val="26"/>
          <w:szCs w:val="26"/>
        </w:rPr>
        <w:t>.  The focus of the inquiry for determining whether a proposed settlement should be approved by the Commission is whether the proposed terms and conditions foster, promote</w:t>
      </w:r>
      <w:r w:rsidR="00717142" w:rsidRPr="00217AC0">
        <w:rPr>
          <w:sz w:val="26"/>
          <w:szCs w:val="26"/>
        </w:rPr>
        <w:t>,</w:t>
      </w:r>
      <w:r w:rsidRPr="00217AC0">
        <w:rPr>
          <w:sz w:val="26"/>
          <w:szCs w:val="26"/>
        </w:rPr>
        <w:t xml:space="preserve"> and serve the public interest.  </w:t>
      </w:r>
      <w:r w:rsidRPr="00217AC0">
        <w:rPr>
          <w:i/>
          <w:sz w:val="26"/>
          <w:szCs w:val="26"/>
        </w:rPr>
        <w:t>Pa. PUC, et al. v. City of Lancaster – Bureau of Water</w:t>
      </w:r>
      <w:r w:rsidRPr="00217AC0">
        <w:rPr>
          <w:sz w:val="26"/>
          <w:szCs w:val="26"/>
        </w:rPr>
        <w:t xml:space="preserve">, Docket Nos. R-2010-2179103, </w:t>
      </w:r>
      <w:r w:rsidRPr="00217AC0">
        <w:rPr>
          <w:i/>
          <w:sz w:val="26"/>
          <w:szCs w:val="26"/>
        </w:rPr>
        <w:t>et</w:t>
      </w:r>
      <w:r w:rsidR="00FE7E7B">
        <w:rPr>
          <w:i/>
          <w:sz w:val="26"/>
          <w:szCs w:val="26"/>
        </w:rPr>
        <w:t> </w:t>
      </w:r>
      <w:r w:rsidRPr="00217AC0">
        <w:rPr>
          <w:i/>
          <w:sz w:val="26"/>
          <w:szCs w:val="26"/>
        </w:rPr>
        <w:t>al</w:t>
      </w:r>
      <w:r w:rsidRPr="00217AC0">
        <w:rPr>
          <w:sz w:val="26"/>
          <w:szCs w:val="26"/>
        </w:rPr>
        <w:t xml:space="preserve">. (Order entered July 14, 2011), citing </w:t>
      </w:r>
      <w:r w:rsidRPr="00217AC0">
        <w:rPr>
          <w:i/>
          <w:sz w:val="26"/>
          <w:szCs w:val="26"/>
        </w:rPr>
        <w:t>Warner v. GTE North, Inc</w:t>
      </w:r>
      <w:r w:rsidRPr="00217AC0">
        <w:rPr>
          <w:sz w:val="26"/>
          <w:szCs w:val="26"/>
        </w:rPr>
        <w:t>., Docket No. C</w:t>
      </w:r>
      <w:r w:rsidRPr="00217AC0">
        <w:rPr>
          <w:sz w:val="26"/>
          <w:szCs w:val="26"/>
        </w:rPr>
        <w:noBreakHyphen/>
        <w:t xml:space="preserve">00902815 (Order entered April 1, 1996) and </w:t>
      </w:r>
      <w:bookmarkStart w:id="13" w:name="_Hlk66353704"/>
      <w:r w:rsidRPr="00217AC0">
        <w:rPr>
          <w:i/>
          <w:sz w:val="26"/>
          <w:szCs w:val="26"/>
        </w:rPr>
        <w:t>CS Water and Sewer</w:t>
      </w:r>
      <w:bookmarkEnd w:id="13"/>
      <w:r w:rsidRPr="00217AC0">
        <w:rPr>
          <w:i/>
          <w:sz w:val="26"/>
          <w:szCs w:val="26"/>
        </w:rPr>
        <w:t xml:space="preserve">.  </w:t>
      </w:r>
      <w:r w:rsidRPr="00217AC0">
        <w:rPr>
          <w:rFonts w:eastAsia="Calibri"/>
          <w:snapToGrid w:val="0"/>
          <w:sz w:val="26"/>
          <w:szCs w:val="26"/>
        </w:rPr>
        <w:t>Because the Joint Petitioners request</w:t>
      </w:r>
      <w:r w:rsidR="007477BC" w:rsidRPr="00217AC0">
        <w:rPr>
          <w:rFonts w:eastAsia="Calibri"/>
          <w:snapToGrid w:val="0"/>
          <w:sz w:val="26"/>
          <w:szCs w:val="26"/>
        </w:rPr>
        <w:t xml:space="preserve"> that</w:t>
      </w:r>
      <w:r w:rsidRPr="00217AC0">
        <w:rPr>
          <w:rFonts w:eastAsia="Calibri"/>
          <w:snapToGrid w:val="0"/>
          <w:sz w:val="26"/>
          <w:szCs w:val="26"/>
        </w:rPr>
        <w:t xml:space="preserve"> the Commission enter </w:t>
      </w:r>
      <w:r w:rsidRPr="00217AC0">
        <w:rPr>
          <w:bCs/>
          <w:sz w:val="26"/>
          <w:szCs w:val="26"/>
        </w:rPr>
        <w:t>an order in this proceeding approving the Settlement without modification, they share</w:t>
      </w:r>
      <w:r w:rsidRPr="00217AC0">
        <w:rPr>
          <w:sz w:val="26"/>
          <w:szCs w:val="26"/>
        </w:rPr>
        <w:t xml:space="preserve"> the burden of proof to show that the terms and conditions of the Settlement are in the public interest.  </w:t>
      </w:r>
      <w:r w:rsidRPr="00217AC0">
        <w:rPr>
          <w:i/>
          <w:iCs/>
          <w:sz w:val="26"/>
          <w:szCs w:val="26"/>
        </w:rPr>
        <w:t>See</w:t>
      </w:r>
      <w:r w:rsidRPr="00217AC0">
        <w:rPr>
          <w:sz w:val="26"/>
          <w:szCs w:val="26"/>
        </w:rPr>
        <w:t xml:space="preserve"> </w:t>
      </w:r>
      <w:r w:rsidRPr="00217AC0">
        <w:rPr>
          <w:rFonts w:eastAsia="Calibri"/>
          <w:snapToGrid w:val="0"/>
          <w:sz w:val="26"/>
          <w:szCs w:val="26"/>
        </w:rPr>
        <w:t>66 Pa. C.S. § 332(a) (“Except as may be otherwise provided in section 315…or other provisions of this part . . . the proponent of a rule or order has the burden of proof.”)</w:t>
      </w:r>
    </w:p>
    <w:p w14:paraId="34D6EE83" w14:textId="77777777" w:rsidR="003B3F33" w:rsidRPr="00217AC0" w:rsidRDefault="003B3F33" w:rsidP="00217AC0">
      <w:pPr>
        <w:keepNext/>
        <w:keepLines/>
        <w:widowControl/>
        <w:spacing w:line="360" w:lineRule="auto"/>
        <w:contextualSpacing/>
        <w:rPr>
          <w:b/>
          <w:sz w:val="26"/>
          <w:szCs w:val="26"/>
        </w:rPr>
      </w:pPr>
    </w:p>
    <w:p w14:paraId="25C26552" w14:textId="30D26194" w:rsidR="00155774" w:rsidRPr="00217AC0" w:rsidRDefault="00155774" w:rsidP="00217AC0">
      <w:pPr>
        <w:widowControl/>
        <w:spacing w:line="360" w:lineRule="auto"/>
        <w:ind w:firstLine="1440"/>
        <w:contextualSpacing/>
        <w:rPr>
          <w:sz w:val="26"/>
          <w:szCs w:val="26"/>
        </w:rPr>
      </w:pPr>
      <w:r w:rsidRPr="00217AC0">
        <w:rPr>
          <w:sz w:val="26"/>
          <w:szCs w:val="26"/>
        </w:rPr>
        <w:t xml:space="preserve">As a preliminary matter, we note that any issue or exception that we do not specifically delineate shall be deemed to have been duly considered and denied without further discussion.  We are not required to consider expressly or at length each contention or argument raised by the parties.  </w:t>
      </w:r>
      <w:r w:rsidRPr="00217AC0">
        <w:rPr>
          <w:i/>
          <w:sz w:val="26"/>
          <w:szCs w:val="26"/>
        </w:rPr>
        <w:t>Consolidated Rail Corp. v. Pa. PUC</w:t>
      </w:r>
      <w:r w:rsidRPr="00217AC0">
        <w:rPr>
          <w:sz w:val="26"/>
          <w:szCs w:val="26"/>
        </w:rPr>
        <w:t xml:space="preserve">, 625 A.2d 741 (Pa. Cmwlth. 1993); </w:t>
      </w:r>
      <w:r w:rsidRPr="00217AC0">
        <w:rPr>
          <w:i/>
          <w:sz w:val="26"/>
          <w:szCs w:val="26"/>
        </w:rPr>
        <w:t>also see,</w:t>
      </w:r>
      <w:r w:rsidRPr="00217AC0">
        <w:rPr>
          <w:sz w:val="26"/>
          <w:szCs w:val="26"/>
        </w:rPr>
        <w:t xml:space="preserve"> </w:t>
      </w:r>
      <w:r w:rsidRPr="00217AC0">
        <w:rPr>
          <w:i/>
          <w:sz w:val="26"/>
          <w:szCs w:val="26"/>
        </w:rPr>
        <w:t>generally</w:t>
      </w:r>
      <w:r w:rsidRPr="00217AC0">
        <w:rPr>
          <w:sz w:val="26"/>
          <w:szCs w:val="26"/>
        </w:rPr>
        <w:t xml:space="preserve">, </w:t>
      </w:r>
      <w:r w:rsidRPr="00217AC0">
        <w:rPr>
          <w:i/>
          <w:sz w:val="26"/>
          <w:szCs w:val="26"/>
        </w:rPr>
        <w:t>University of Pennsylvania v. Pa. PUC</w:t>
      </w:r>
      <w:r w:rsidRPr="00217AC0">
        <w:rPr>
          <w:sz w:val="26"/>
          <w:szCs w:val="26"/>
        </w:rPr>
        <w:t>, 485</w:t>
      </w:r>
      <w:r w:rsidR="00FE7E7B">
        <w:rPr>
          <w:sz w:val="26"/>
          <w:szCs w:val="26"/>
        </w:rPr>
        <w:t> </w:t>
      </w:r>
      <w:r w:rsidRPr="00217AC0">
        <w:rPr>
          <w:sz w:val="26"/>
          <w:szCs w:val="26"/>
        </w:rPr>
        <w:t>A.2d 1217 (Pa. Cmwlth. 1984).</w:t>
      </w:r>
    </w:p>
    <w:p w14:paraId="0F2CA6AF" w14:textId="3F03435E" w:rsidR="00155774" w:rsidRPr="00217AC0" w:rsidRDefault="00155774" w:rsidP="00217AC0">
      <w:pPr>
        <w:widowControl/>
        <w:spacing w:line="360" w:lineRule="auto"/>
        <w:contextualSpacing/>
        <w:rPr>
          <w:b/>
          <w:sz w:val="26"/>
          <w:szCs w:val="26"/>
        </w:rPr>
      </w:pPr>
    </w:p>
    <w:p w14:paraId="2798C1EB" w14:textId="131FAE5B" w:rsidR="004B66E5" w:rsidRPr="00217AC0" w:rsidRDefault="004B66E5" w:rsidP="00217AC0">
      <w:pPr>
        <w:widowControl/>
        <w:spacing w:line="360" w:lineRule="auto"/>
        <w:ind w:firstLine="1440"/>
        <w:contextualSpacing/>
        <w:rPr>
          <w:sz w:val="26"/>
          <w:szCs w:val="26"/>
        </w:rPr>
      </w:pPr>
      <w:r w:rsidRPr="00217AC0">
        <w:rPr>
          <w:sz w:val="26"/>
          <w:szCs w:val="26"/>
        </w:rPr>
        <w:t xml:space="preserve">In </w:t>
      </w:r>
      <w:r w:rsidR="0024751F" w:rsidRPr="00217AC0">
        <w:rPr>
          <w:sz w:val="26"/>
          <w:szCs w:val="26"/>
        </w:rPr>
        <w:t>his</w:t>
      </w:r>
      <w:r w:rsidRPr="00217AC0">
        <w:rPr>
          <w:sz w:val="26"/>
          <w:szCs w:val="26"/>
        </w:rPr>
        <w:t xml:space="preserve"> Recommended Decision, the ALJ reached seven Conclusions of Law.  R.D. at 58-59.  The Conclusions of Law are incorporated herein by reference and are </w:t>
      </w:r>
      <w:r w:rsidRPr="00217AC0">
        <w:rPr>
          <w:sz w:val="26"/>
          <w:szCs w:val="26"/>
        </w:rPr>
        <w:lastRenderedPageBreak/>
        <w:t>adopted without comment unless they are either expressly or by necessary implication rejected or modified by this Opinion and Order.</w:t>
      </w:r>
    </w:p>
    <w:p w14:paraId="66E42EA7" w14:textId="77777777" w:rsidR="00155774" w:rsidRPr="00217AC0" w:rsidRDefault="00155774" w:rsidP="00217AC0">
      <w:pPr>
        <w:keepNext/>
        <w:keepLines/>
        <w:widowControl/>
        <w:spacing w:line="360" w:lineRule="auto"/>
        <w:contextualSpacing/>
        <w:rPr>
          <w:b/>
          <w:sz w:val="26"/>
          <w:szCs w:val="26"/>
        </w:rPr>
      </w:pPr>
    </w:p>
    <w:p w14:paraId="65C7281D" w14:textId="72A3DACF" w:rsidR="00D046DE" w:rsidRPr="00217AC0" w:rsidRDefault="0024751F" w:rsidP="00217AC0">
      <w:pPr>
        <w:pStyle w:val="Heading1"/>
        <w:keepNext/>
      </w:pPr>
      <w:bookmarkStart w:id="14" w:name="_Toc69230506"/>
      <w:r w:rsidRPr="00217AC0">
        <w:t>Joint Petition for Settlement</w:t>
      </w:r>
      <w:bookmarkEnd w:id="14"/>
    </w:p>
    <w:p w14:paraId="59720AA3" w14:textId="4EF546D2" w:rsidR="00E25A00" w:rsidRPr="00217AC0" w:rsidRDefault="00E25A00" w:rsidP="00217AC0">
      <w:pPr>
        <w:keepNext/>
        <w:keepLines/>
        <w:widowControl/>
        <w:spacing w:line="360" w:lineRule="auto"/>
        <w:contextualSpacing/>
        <w:rPr>
          <w:b/>
          <w:sz w:val="26"/>
          <w:szCs w:val="26"/>
        </w:rPr>
      </w:pPr>
    </w:p>
    <w:p w14:paraId="0E2C14F3" w14:textId="130E29D8" w:rsidR="009235EB" w:rsidRPr="00217AC0" w:rsidRDefault="009235EB" w:rsidP="00217AC0">
      <w:pPr>
        <w:pStyle w:val="Heading2"/>
        <w:widowControl/>
        <w:numPr>
          <w:ilvl w:val="0"/>
          <w:numId w:val="40"/>
        </w:numPr>
        <w:ind w:hanging="720"/>
      </w:pPr>
      <w:bookmarkStart w:id="15" w:name="_Toc55888187"/>
      <w:bookmarkStart w:id="16" w:name="_Toc69230507"/>
      <w:bookmarkStart w:id="17" w:name="_Hlk54185476"/>
      <w:r w:rsidRPr="00217AC0">
        <w:t>Terms and Conditions of the Settlement</w:t>
      </w:r>
      <w:bookmarkEnd w:id="15"/>
      <w:bookmarkEnd w:id="16"/>
    </w:p>
    <w:bookmarkEnd w:id="17"/>
    <w:p w14:paraId="32AAC78C" w14:textId="2A1DF7E9" w:rsidR="0024751F" w:rsidRPr="00217AC0" w:rsidRDefault="0024751F" w:rsidP="00217AC0">
      <w:pPr>
        <w:keepNext/>
        <w:keepLines/>
        <w:widowControl/>
        <w:spacing w:line="360" w:lineRule="auto"/>
        <w:contextualSpacing/>
        <w:rPr>
          <w:b/>
          <w:sz w:val="26"/>
          <w:szCs w:val="26"/>
        </w:rPr>
      </w:pPr>
    </w:p>
    <w:p w14:paraId="1FD833DB" w14:textId="2BFAF947" w:rsidR="00D87054" w:rsidRPr="00217AC0" w:rsidRDefault="009235EB" w:rsidP="00217AC0">
      <w:pPr>
        <w:keepNext/>
        <w:keepLines/>
        <w:widowControl/>
        <w:spacing w:line="360" w:lineRule="auto"/>
        <w:ind w:firstLine="1440"/>
        <w:contextualSpacing/>
        <w:rPr>
          <w:rFonts w:eastAsiaTheme="minorHAnsi"/>
          <w:sz w:val="26"/>
          <w:szCs w:val="26"/>
        </w:rPr>
      </w:pPr>
      <w:r w:rsidRPr="00217AC0">
        <w:rPr>
          <w:rFonts w:eastAsiaTheme="minorHAnsi"/>
          <w:sz w:val="26"/>
          <w:szCs w:val="26"/>
        </w:rPr>
        <w:t xml:space="preserve">As previously indicated, the Settlement is a “black box” agreement, which </w:t>
      </w:r>
      <w:r w:rsidR="00B63D91" w:rsidRPr="00217AC0">
        <w:rPr>
          <w:rFonts w:eastAsiaTheme="minorHAnsi"/>
          <w:sz w:val="26"/>
          <w:szCs w:val="26"/>
        </w:rPr>
        <w:t xml:space="preserve">means that </w:t>
      </w:r>
      <w:r w:rsidR="007628C8" w:rsidRPr="00217AC0">
        <w:rPr>
          <w:rFonts w:eastAsiaTheme="minorHAnsi"/>
          <w:sz w:val="26"/>
          <w:szCs w:val="26"/>
        </w:rPr>
        <w:t>it does not reflect a specific resolution of every element of the revenue requirement, including rate of return, but rather represents the Settling Parties’ agreed upon final revenue increase amount based on their respective individual analyses of the various revenue and expense items.</w:t>
      </w:r>
      <w:r w:rsidR="00A66E40" w:rsidRPr="00217AC0">
        <w:rPr>
          <w:rFonts w:eastAsiaTheme="minorHAnsi"/>
          <w:sz w:val="26"/>
          <w:szCs w:val="26"/>
        </w:rPr>
        <w:t xml:space="preserve">  The Settlement, if approved, will result in rates, presented in Appendix A to the Joint Petition, designed to produce additional annual water revenue from outside-City customers of $689,932, in lieu of the originally proposed </w:t>
      </w:r>
      <w:r w:rsidR="00412346" w:rsidRPr="00217AC0">
        <w:rPr>
          <w:rFonts w:eastAsiaTheme="minorHAnsi"/>
          <w:sz w:val="26"/>
          <w:szCs w:val="26"/>
        </w:rPr>
        <w:t>revenue</w:t>
      </w:r>
      <w:r w:rsidR="00A66E40" w:rsidRPr="00217AC0">
        <w:rPr>
          <w:rFonts w:eastAsiaTheme="minorHAnsi"/>
          <w:sz w:val="26"/>
          <w:szCs w:val="26"/>
        </w:rPr>
        <w:t xml:space="preserve"> increase of $908,421</w:t>
      </w:r>
      <w:r w:rsidR="00412346" w:rsidRPr="00217AC0">
        <w:rPr>
          <w:rFonts w:eastAsiaTheme="minorHAnsi"/>
          <w:sz w:val="26"/>
          <w:szCs w:val="26"/>
        </w:rPr>
        <w:t>.  In addition to the agreement on an overall annual revenue increase, the City and I&amp;E also agreed on several other provisions involving a tariff language change, unaccounted for water (UFW) commitments and the City’s Class Demand Study.</w:t>
      </w:r>
      <w:r w:rsidR="00D87054" w:rsidRPr="00217AC0">
        <w:rPr>
          <w:rFonts w:eastAsiaTheme="minorHAnsi"/>
          <w:sz w:val="26"/>
          <w:szCs w:val="26"/>
        </w:rPr>
        <w:t xml:space="preserve">  Joint Petition at ¶ 16(b)-(d). </w:t>
      </w:r>
    </w:p>
    <w:p w14:paraId="6A126C0A" w14:textId="5FC7AE32" w:rsidR="00D87054" w:rsidRPr="00217AC0" w:rsidRDefault="00D87054" w:rsidP="00217AC0">
      <w:pPr>
        <w:keepNext/>
        <w:keepLines/>
        <w:widowControl/>
        <w:spacing w:line="360" w:lineRule="auto"/>
        <w:ind w:firstLine="1440"/>
        <w:contextualSpacing/>
        <w:rPr>
          <w:rFonts w:eastAsiaTheme="minorHAnsi"/>
          <w:sz w:val="26"/>
          <w:szCs w:val="26"/>
        </w:rPr>
      </w:pPr>
    </w:p>
    <w:p w14:paraId="438DE9B9" w14:textId="62DE7FA4" w:rsidR="007628C8" w:rsidRPr="00217AC0" w:rsidRDefault="00D87054" w:rsidP="00217AC0">
      <w:pPr>
        <w:widowControl/>
        <w:spacing w:line="360" w:lineRule="auto"/>
        <w:ind w:firstLine="1440"/>
        <w:rPr>
          <w:color w:val="000000"/>
          <w:sz w:val="26"/>
          <w:szCs w:val="26"/>
        </w:rPr>
      </w:pPr>
      <w:r w:rsidRPr="00217AC0">
        <w:rPr>
          <w:sz w:val="26"/>
          <w:szCs w:val="26"/>
        </w:rPr>
        <w:t>The Joint Petition consists of a seven-page document with the settlement rates in the form of a tariff supplement attached as Appendix A</w:t>
      </w:r>
      <w:r w:rsidR="00BA598F" w:rsidRPr="00217AC0">
        <w:rPr>
          <w:sz w:val="26"/>
          <w:szCs w:val="26"/>
        </w:rPr>
        <w:t>, a proof of revenue for the Appendix A settlement rates attached as Appendix B, and Appendices C and D, constituting Statements in Support of the Joint Petition submitted by the City and I&amp;E, respectively.</w:t>
      </w:r>
      <w:r w:rsidR="00356CCA" w:rsidRPr="00217AC0">
        <w:rPr>
          <w:sz w:val="26"/>
          <w:szCs w:val="26"/>
        </w:rPr>
        <w:t xml:space="preserve">  </w:t>
      </w:r>
      <w:r w:rsidRPr="00217AC0">
        <w:rPr>
          <w:rFonts w:eastAsiaTheme="minorHAnsi"/>
          <w:sz w:val="26"/>
          <w:szCs w:val="26"/>
        </w:rPr>
        <w:t xml:space="preserve">In support of their agreement, </w:t>
      </w:r>
      <w:r w:rsidR="00356CCA" w:rsidRPr="00217AC0">
        <w:rPr>
          <w:rFonts w:eastAsiaTheme="minorHAnsi"/>
          <w:sz w:val="26"/>
          <w:szCs w:val="26"/>
        </w:rPr>
        <w:t>the City</w:t>
      </w:r>
      <w:r w:rsidRPr="00217AC0">
        <w:rPr>
          <w:rFonts w:eastAsiaTheme="minorHAnsi"/>
          <w:sz w:val="26"/>
          <w:szCs w:val="26"/>
        </w:rPr>
        <w:t xml:space="preserve"> and I&amp;E provided the following</w:t>
      </w:r>
      <w:r w:rsidR="00356CCA" w:rsidRPr="00217AC0">
        <w:rPr>
          <w:color w:val="000000"/>
          <w:sz w:val="26"/>
          <w:szCs w:val="26"/>
        </w:rPr>
        <w:t xml:space="preserve"> terms and conditions, excerpted in relevant part:</w:t>
      </w:r>
    </w:p>
    <w:p w14:paraId="4D137E06" w14:textId="77777777" w:rsidR="003436C2" w:rsidRPr="00217AC0" w:rsidRDefault="003436C2" w:rsidP="00217AC0">
      <w:pPr>
        <w:widowControl/>
        <w:spacing w:line="360" w:lineRule="auto"/>
        <w:contextualSpacing/>
        <w:rPr>
          <w:rFonts w:eastAsiaTheme="minorHAnsi"/>
          <w:sz w:val="26"/>
          <w:szCs w:val="26"/>
        </w:rPr>
      </w:pPr>
    </w:p>
    <w:p w14:paraId="5AF3818D" w14:textId="3D266424" w:rsidR="003436C2" w:rsidRPr="00217AC0" w:rsidRDefault="003436C2" w:rsidP="00217AC0">
      <w:pPr>
        <w:keepNext/>
        <w:keepLines/>
        <w:widowControl/>
        <w:ind w:left="2160" w:right="1440" w:hanging="720"/>
        <w:contextualSpacing/>
        <w:rPr>
          <w:rFonts w:eastAsiaTheme="minorHAnsi"/>
          <w:b/>
          <w:bCs/>
          <w:sz w:val="26"/>
          <w:szCs w:val="26"/>
        </w:rPr>
      </w:pPr>
      <w:r w:rsidRPr="00217AC0">
        <w:rPr>
          <w:rFonts w:eastAsiaTheme="minorHAnsi"/>
          <w:b/>
          <w:bCs/>
          <w:sz w:val="26"/>
          <w:szCs w:val="26"/>
        </w:rPr>
        <w:lastRenderedPageBreak/>
        <w:t xml:space="preserve">(a) </w:t>
      </w:r>
      <w:r w:rsidRPr="00217AC0">
        <w:rPr>
          <w:rFonts w:eastAsiaTheme="minorHAnsi"/>
          <w:b/>
          <w:bCs/>
          <w:sz w:val="26"/>
          <w:szCs w:val="26"/>
        </w:rPr>
        <w:tab/>
        <w:t>Increase in Annual Revenue, Rate Design and Scale Back</w:t>
      </w:r>
    </w:p>
    <w:p w14:paraId="4330B84B" w14:textId="77777777" w:rsidR="003436C2" w:rsidRPr="00217AC0" w:rsidRDefault="003436C2" w:rsidP="00217AC0">
      <w:pPr>
        <w:keepNext/>
        <w:keepLines/>
        <w:widowControl/>
        <w:ind w:left="2160" w:right="1440"/>
        <w:contextualSpacing/>
        <w:rPr>
          <w:rFonts w:eastAsiaTheme="minorHAnsi"/>
          <w:sz w:val="26"/>
          <w:szCs w:val="26"/>
        </w:rPr>
      </w:pPr>
    </w:p>
    <w:p w14:paraId="2FB6E77D" w14:textId="59375BF7" w:rsidR="003436C2" w:rsidRPr="00217AC0" w:rsidRDefault="003436C2" w:rsidP="00217AC0">
      <w:pPr>
        <w:keepNext/>
        <w:keepLines/>
        <w:widowControl/>
        <w:ind w:left="1440" w:right="1440" w:firstLine="720"/>
        <w:contextualSpacing/>
        <w:rPr>
          <w:rFonts w:eastAsiaTheme="minorHAnsi"/>
          <w:sz w:val="26"/>
          <w:szCs w:val="26"/>
        </w:rPr>
      </w:pPr>
      <w:r w:rsidRPr="00217AC0">
        <w:rPr>
          <w:rFonts w:eastAsiaTheme="minorHAnsi"/>
          <w:sz w:val="26"/>
          <w:szCs w:val="26"/>
        </w:rPr>
        <w:t xml:space="preserve">Joint Petitioners respectfully request that the Commission act as soon as possible to approve this Joint Petition and grant the City special permission to file a tariff supplement in the form attached hereto as Appendix A, to become effective for service on one day’s notice, following entry of a Commission order approving the Joint Petition. </w:t>
      </w:r>
    </w:p>
    <w:p w14:paraId="3BCFE77A" w14:textId="77777777" w:rsidR="000142D5" w:rsidRPr="00217AC0" w:rsidRDefault="000142D5" w:rsidP="00217AC0">
      <w:pPr>
        <w:widowControl/>
        <w:ind w:left="1440" w:right="1440" w:firstLine="720"/>
        <w:contextualSpacing/>
        <w:rPr>
          <w:rFonts w:eastAsiaTheme="minorHAnsi"/>
          <w:sz w:val="26"/>
          <w:szCs w:val="26"/>
        </w:rPr>
      </w:pPr>
    </w:p>
    <w:p w14:paraId="16DB662D" w14:textId="116CAE66" w:rsidR="003436C2" w:rsidRPr="00217AC0" w:rsidRDefault="003436C2" w:rsidP="00217AC0">
      <w:pPr>
        <w:widowControl/>
        <w:ind w:left="1440" w:right="1440" w:firstLine="720"/>
        <w:contextualSpacing/>
        <w:rPr>
          <w:rFonts w:eastAsiaTheme="minorHAnsi"/>
          <w:sz w:val="26"/>
          <w:szCs w:val="26"/>
        </w:rPr>
      </w:pPr>
      <w:r w:rsidRPr="00217AC0">
        <w:rPr>
          <w:rFonts w:eastAsiaTheme="minorHAnsi"/>
          <w:sz w:val="26"/>
          <w:szCs w:val="26"/>
        </w:rPr>
        <w:t>The settlement rates presented in Appendix A are designed to produce additional annual revenue of $689,932, in lieu of the originally proposed rate increase of $908,421.</w:t>
      </w:r>
      <w:r w:rsidR="00BB43D6" w:rsidRPr="00217AC0">
        <w:rPr>
          <w:rFonts w:eastAsiaTheme="minorHAnsi"/>
          <w:sz w:val="26"/>
          <w:szCs w:val="26"/>
        </w:rPr>
        <w:t xml:space="preserve">  </w:t>
      </w:r>
      <w:r w:rsidRPr="00217AC0">
        <w:rPr>
          <w:rFonts w:eastAsiaTheme="minorHAnsi"/>
          <w:sz w:val="26"/>
          <w:szCs w:val="26"/>
        </w:rPr>
        <w:t xml:space="preserve">The settlement rates are designed reflective of the approximate revenue allocation scale back of rates as proposed by OSBA which incorporates the revised peaking factors for the Sale for Resale class. </w:t>
      </w:r>
    </w:p>
    <w:p w14:paraId="5DF6F4F1" w14:textId="77777777" w:rsidR="000142D5" w:rsidRPr="00217AC0" w:rsidRDefault="000142D5" w:rsidP="00217AC0">
      <w:pPr>
        <w:widowControl/>
        <w:ind w:left="1440" w:right="1440" w:firstLine="1440"/>
        <w:contextualSpacing/>
        <w:rPr>
          <w:rFonts w:eastAsiaTheme="minorHAnsi"/>
          <w:sz w:val="26"/>
          <w:szCs w:val="26"/>
        </w:rPr>
      </w:pPr>
    </w:p>
    <w:p w14:paraId="79EB95ED" w14:textId="661F9CA9" w:rsidR="003436C2" w:rsidRPr="00217AC0" w:rsidRDefault="003436C2" w:rsidP="00217AC0">
      <w:pPr>
        <w:widowControl/>
        <w:ind w:left="1440" w:right="1440" w:firstLine="720"/>
        <w:contextualSpacing/>
        <w:rPr>
          <w:rFonts w:eastAsiaTheme="minorHAnsi"/>
          <w:sz w:val="26"/>
          <w:szCs w:val="26"/>
        </w:rPr>
      </w:pPr>
      <w:r w:rsidRPr="00217AC0">
        <w:rPr>
          <w:rFonts w:eastAsiaTheme="minorHAnsi"/>
          <w:sz w:val="26"/>
          <w:szCs w:val="26"/>
        </w:rPr>
        <w:t xml:space="preserve">A proof of revenue for the Appendix A settlement rates is attached hereto as Appendix B. </w:t>
      </w:r>
    </w:p>
    <w:p w14:paraId="65C9FACD" w14:textId="77777777" w:rsidR="000142D5" w:rsidRPr="00217AC0" w:rsidRDefault="000142D5" w:rsidP="00217AC0">
      <w:pPr>
        <w:widowControl/>
        <w:ind w:left="1440" w:right="1440" w:firstLine="1440"/>
        <w:contextualSpacing/>
        <w:rPr>
          <w:rFonts w:eastAsiaTheme="minorHAnsi"/>
          <w:sz w:val="26"/>
          <w:szCs w:val="26"/>
        </w:rPr>
      </w:pPr>
    </w:p>
    <w:p w14:paraId="72CE399A" w14:textId="7FEE7CF0" w:rsidR="000142D5" w:rsidRPr="00217AC0" w:rsidRDefault="003436C2" w:rsidP="00217AC0">
      <w:pPr>
        <w:widowControl/>
        <w:ind w:left="2160" w:right="1440" w:hanging="720"/>
        <w:contextualSpacing/>
        <w:rPr>
          <w:rFonts w:eastAsiaTheme="minorHAnsi"/>
          <w:b/>
          <w:bCs/>
          <w:sz w:val="26"/>
          <w:szCs w:val="26"/>
        </w:rPr>
      </w:pPr>
      <w:r w:rsidRPr="00217AC0">
        <w:rPr>
          <w:rFonts w:eastAsiaTheme="minorHAnsi"/>
          <w:b/>
          <w:bCs/>
          <w:sz w:val="26"/>
          <w:szCs w:val="26"/>
        </w:rPr>
        <w:t xml:space="preserve">(b) </w:t>
      </w:r>
      <w:r w:rsidR="000142D5" w:rsidRPr="00217AC0">
        <w:rPr>
          <w:rFonts w:eastAsiaTheme="minorHAnsi"/>
          <w:b/>
          <w:bCs/>
          <w:sz w:val="26"/>
          <w:szCs w:val="26"/>
        </w:rPr>
        <w:tab/>
      </w:r>
      <w:r w:rsidRPr="00217AC0">
        <w:rPr>
          <w:rFonts w:eastAsiaTheme="minorHAnsi"/>
          <w:b/>
          <w:bCs/>
          <w:sz w:val="26"/>
          <w:szCs w:val="26"/>
        </w:rPr>
        <w:t>Other Tariff Changes – Elimination of Lower</w:t>
      </w:r>
      <w:r w:rsidR="000142D5" w:rsidRPr="00217AC0">
        <w:rPr>
          <w:rFonts w:eastAsiaTheme="minorHAnsi"/>
          <w:b/>
          <w:bCs/>
          <w:sz w:val="26"/>
          <w:szCs w:val="26"/>
        </w:rPr>
        <w:t xml:space="preserve"> Saucon Honor System Rate</w:t>
      </w:r>
    </w:p>
    <w:p w14:paraId="7DABB65C" w14:textId="77777777" w:rsidR="003436C2" w:rsidRPr="00217AC0" w:rsidRDefault="003436C2" w:rsidP="00217AC0">
      <w:pPr>
        <w:widowControl/>
        <w:numPr>
          <w:ilvl w:val="0"/>
          <w:numId w:val="6"/>
        </w:numPr>
        <w:ind w:left="1440" w:right="1440"/>
        <w:contextualSpacing/>
        <w:rPr>
          <w:rFonts w:eastAsiaTheme="minorHAnsi"/>
          <w:sz w:val="26"/>
          <w:szCs w:val="26"/>
        </w:rPr>
      </w:pPr>
    </w:p>
    <w:p w14:paraId="3F7FDE69" w14:textId="5501E5E5" w:rsidR="003436C2" w:rsidRPr="00217AC0" w:rsidRDefault="003436C2" w:rsidP="00217AC0">
      <w:pPr>
        <w:widowControl/>
        <w:ind w:left="1440" w:right="1440" w:firstLine="720"/>
        <w:contextualSpacing/>
        <w:rPr>
          <w:rFonts w:eastAsiaTheme="minorHAnsi"/>
          <w:sz w:val="26"/>
          <w:szCs w:val="26"/>
        </w:rPr>
      </w:pPr>
      <w:r w:rsidRPr="00217AC0">
        <w:rPr>
          <w:rFonts w:eastAsiaTheme="minorHAnsi"/>
          <w:sz w:val="26"/>
          <w:szCs w:val="26"/>
        </w:rPr>
        <w:t xml:space="preserve">Appendix A implements the proposed elimination of the Lower Saucon Honor System Rate as proposed in Supplement No. 15, which Joint Petitioners agree is reasonable and appropriate. </w:t>
      </w:r>
    </w:p>
    <w:p w14:paraId="44DD5FED" w14:textId="77777777" w:rsidR="000142D5" w:rsidRPr="00217AC0" w:rsidRDefault="000142D5" w:rsidP="00217AC0">
      <w:pPr>
        <w:widowControl/>
        <w:ind w:left="1440" w:right="1440" w:firstLine="1440"/>
        <w:contextualSpacing/>
        <w:rPr>
          <w:rFonts w:eastAsiaTheme="minorHAnsi"/>
          <w:sz w:val="26"/>
          <w:szCs w:val="26"/>
        </w:rPr>
      </w:pPr>
    </w:p>
    <w:p w14:paraId="278426B5" w14:textId="4342423C" w:rsidR="003436C2" w:rsidRPr="00217AC0" w:rsidRDefault="003436C2" w:rsidP="00217AC0">
      <w:pPr>
        <w:widowControl/>
        <w:numPr>
          <w:ilvl w:val="0"/>
          <w:numId w:val="7"/>
        </w:numPr>
        <w:ind w:left="1440" w:right="1440"/>
        <w:contextualSpacing/>
        <w:rPr>
          <w:rFonts w:eastAsiaTheme="minorHAnsi"/>
          <w:sz w:val="26"/>
          <w:szCs w:val="26"/>
        </w:rPr>
      </w:pPr>
      <w:r w:rsidRPr="00217AC0">
        <w:rPr>
          <w:rFonts w:eastAsiaTheme="minorHAnsi"/>
          <w:b/>
          <w:bCs/>
          <w:sz w:val="26"/>
          <w:szCs w:val="26"/>
        </w:rPr>
        <w:t xml:space="preserve">(c) </w:t>
      </w:r>
      <w:r w:rsidR="000142D5" w:rsidRPr="00217AC0">
        <w:rPr>
          <w:rFonts w:eastAsiaTheme="minorHAnsi"/>
          <w:b/>
          <w:bCs/>
          <w:sz w:val="26"/>
          <w:szCs w:val="26"/>
        </w:rPr>
        <w:tab/>
      </w:r>
      <w:r w:rsidRPr="00217AC0">
        <w:rPr>
          <w:rFonts w:eastAsiaTheme="minorHAnsi"/>
          <w:b/>
          <w:bCs/>
          <w:sz w:val="26"/>
          <w:szCs w:val="26"/>
        </w:rPr>
        <w:t xml:space="preserve">Unaccounted for Water (“UFW”) </w:t>
      </w:r>
    </w:p>
    <w:p w14:paraId="13CDA8F3" w14:textId="77777777" w:rsidR="003436C2" w:rsidRPr="00217AC0" w:rsidRDefault="003436C2" w:rsidP="00217AC0">
      <w:pPr>
        <w:widowControl/>
        <w:ind w:left="1440" w:right="1440" w:firstLine="1440"/>
        <w:contextualSpacing/>
        <w:rPr>
          <w:rFonts w:eastAsiaTheme="minorHAnsi"/>
          <w:sz w:val="26"/>
          <w:szCs w:val="26"/>
        </w:rPr>
      </w:pPr>
    </w:p>
    <w:p w14:paraId="28B52882" w14:textId="01662BC9" w:rsidR="000142D5" w:rsidRPr="00217AC0" w:rsidRDefault="003436C2" w:rsidP="00217AC0">
      <w:pPr>
        <w:widowControl/>
        <w:ind w:left="1440" w:right="1440" w:firstLine="720"/>
        <w:contextualSpacing/>
        <w:rPr>
          <w:rFonts w:eastAsiaTheme="minorHAnsi"/>
          <w:sz w:val="26"/>
          <w:szCs w:val="26"/>
        </w:rPr>
      </w:pPr>
      <w:r w:rsidRPr="00217AC0">
        <w:rPr>
          <w:rFonts w:eastAsiaTheme="minorHAnsi"/>
          <w:sz w:val="26"/>
          <w:szCs w:val="26"/>
        </w:rPr>
        <w:t>Going forward, and starting with the UFW calculation for calendar year 2020, the City will begin using the Commission Section 500 method for the purpose of assisting the Commission in its review of future rate cases.</w:t>
      </w:r>
      <w:r w:rsidR="00BB43D6" w:rsidRPr="00217AC0">
        <w:rPr>
          <w:rFonts w:eastAsiaTheme="minorHAnsi"/>
          <w:sz w:val="26"/>
          <w:szCs w:val="26"/>
        </w:rPr>
        <w:t xml:space="preserve">  </w:t>
      </w:r>
      <w:r w:rsidRPr="00217AC0">
        <w:rPr>
          <w:rFonts w:eastAsiaTheme="minorHAnsi"/>
          <w:sz w:val="26"/>
          <w:szCs w:val="26"/>
        </w:rPr>
        <w:t xml:space="preserve">The </w:t>
      </w:r>
      <w:r w:rsidR="007477BC" w:rsidRPr="00217AC0">
        <w:rPr>
          <w:rFonts w:eastAsiaTheme="minorHAnsi"/>
          <w:sz w:val="26"/>
          <w:szCs w:val="26"/>
        </w:rPr>
        <w:t>C</w:t>
      </w:r>
      <w:r w:rsidRPr="00217AC0">
        <w:rPr>
          <w:rFonts w:eastAsiaTheme="minorHAnsi"/>
          <w:sz w:val="26"/>
          <w:szCs w:val="26"/>
        </w:rPr>
        <w:t xml:space="preserve">ity will take steps to maintain UFW below 20% and, in its next </w:t>
      </w:r>
      <w:r w:rsidRPr="00217AC0">
        <w:rPr>
          <w:rFonts w:eastAsiaTheme="minorHAnsi"/>
          <w:sz w:val="26"/>
          <w:szCs w:val="26"/>
        </w:rPr>
        <w:lastRenderedPageBreak/>
        <w:t>base rate case, if UFW is above 20%, provide a narrative explanation of possible reasons for it.</w:t>
      </w:r>
      <w:r w:rsidR="002615AE" w:rsidRPr="00217AC0">
        <w:rPr>
          <w:rStyle w:val="FootnoteReference"/>
          <w:rFonts w:eastAsiaTheme="minorHAnsi"/>
          <w:sz w:val="26"/>
          <w:szCs w:val="26"/>
        </w:rPr>
        <w:footnoteReference w:id="10"/>
      </w:r>
    </w:p>
    <w:p w14:paraId="5EAB45D8" w14:textId="77777777" w:rsidR="000142D5" w:rsidRPr="00217AC0" w:rsidRDefault="000142D5" w:rsidP="00217AC0">
      <w:pPr>
        <w:widowControl/>
        <w:ind w:right="1440"/>
        <w:contextualSpacing/>
        <w:rPr>
          <w:rFonts w:eastAsiaTheme="minorHAnsi"/>
          <w:sz w:val="26"/>
          <w:szCs w:val="26"/>
        </w:rPr>
      </w:pPr>
    </w:p>
    <w:p w14:paraId="6BA3537F" w14:textId="34BC7876" w:rsidR="000142D5" w:rsidRPr="00217AC0" w:rsidRDefault="000142D5" w:rsidP="00217AC0">
      <w:pPr>
        <w:widowControl/>
        <w:numPr>
          <w:ilvl w:val="0"/>
          <w:numId w:val="8"/>
        </w:numPr>
        <w:ind w:left="1440" w:right="1440"/>
        <w:contextualSpacing/>
        <w:rPr>
          <w:rFonts w:eastAsiaTheme="minorHAnsi"/>
          <w:sz w:val="26"/>
          <w:szCs w:val="26"/>
        </w:rPr>
      </w:pPr>
      <w:r w:rsidRPr="00217AC0">
        <w:rPr>
          <w:rFonts w:eastAsiaTheme="minorHAnsi"/>
          <w:b/>
          <w:bCs/>
          <w:sz w:val="26"/>
          <w:szCs w:val="26"/>
        </w:rPr>
        <w:t xml:space="preserve">(d) </w:t>
      </w:r>
      <w:r w:rsidRPr="00217AC0">
        <w:rPr>
          <w:rFonts w:eastAsiaTheme="minorHAnsi"/>
          <w:b/>
          <w:bCs/>
          <w:sz w:val="26"/>
          <w:szCs w:val="26"/>
        </w:rPr>
        <w:tab/>
        <w:t xml:space="preserve">Customer Class Demand Study </w:t>
      </w:r>
    </w:p>
    <w:p w14:paraId="3D660B6D" w14:textId="77777777" w:rsidR="000142D5" w:rsidRPr="00217AC0" w:rsidRDefault="000142D5" w:rsidP="00217AC0">
      <w:pPr>
        <w:widowControl/>
        <w:numPr>
          <w:ilvl w:val="0"/>
          <w:numId w:val="8"/>
        </w:numPr>
        <w:ind w:left="1440" w:right="1440"/>
        <w:contextualSpacing/>
        <w:rPr>
          <w:rFonts w:eastAsiaTheme="minorHAnsi"/>
          <w:sz w:val="26"/>
          <w:szCs w:val="26"/>
        </w:rPr>
      </w:pPr>
    </w:p>
    <w:p w14:paraId="4DD7B65E" w14:textId="73C71BC8" w:rsidR="000142D5" w:rsidRPr="00217AC0" w:rsidRDefault="000142D5" w:rsidP="00217AC0">
      <w:pPr>
        <w:widowControl/>
        <w:ind w:left="1440" w:right="1440" w:firstLine="720"/>
        <w:contextualSpacing/>
        <w:rPr>
          <w:rFonts w:eastAsiaTheme="minorHAnsi"/>
          <w:sz w:val="26"/>
          <w:szCs w:val="26"/>
        </w:rPr>
      </w:pPr>
      <w:r w:rsidRPr="00217AC0">
        <w:rPr>
          <w:rFonts w:eastAsiaTheme="minorHAnsi"/>
          <w:sz w:val="26"/>
          <w:szCs w:val="26"/>
        </w:rPr>
        <w:t>Joint Petitioners agree that the City’s demand study as described in City of Bethlehem Statement No. 1 and presented as Exhibit CEH-2 and revised in Exhibit CEH-3 is acceptable.</w:t>
      </w:r>
    </w:p>
    <w:p w14:paraId="315BB181" w14:textId="77777777" w:rsidR="007477BC" w:rsidRPr="00217AC0" w:rsidRDefault="007477BC" w:rsidP="00217AC0">
      <w:pPr>
        <w:widowControl/>
        <w:spacing w:line="360" w:lineRule="auto"/>
        <w:contextualSpacing/>
        <w:rPr>
          <w:b/>
          <w:sz w:val="26"/>
          <w:szCs w:val="26"/>
        </w:rPr>
      </w:pPr>
    </w:p>
    <w:p w14:paraId="5097B6F5" w14:textId="0013B69F" w:rsidR="0024751F" w:rsidRPr="00217AC0" w:rsidRDefault="007D3105" w:rsidP="00217AC0">
      <w:pPr>
        <w:widowControl/>
        <w:spacing w:line="360" w:lineRule="auto"/>
        <w:contextualSpacing/>
        <w:rPr>
          <w:bCs/>
          <w:sz w:val="26"/>
          <w:szCs w:val="26"/>
        </w:rPr>
      </w:pPr>
      <w:r w:rsidRPr="00217AC0">
        <w:rPr>
          <w:bCs/>
          <w:sz w:val="26"/>
          <w:szCs w:val="26"/>
        </w:rPr>
        <w:t>Joint Petition at ¶ 16(a)-(d).</w:t>
      </w:r>
    </w:p>
    <w:p w14:paraId="0F519881" w14:textId="48543CD2" w:rsidR="007D3105" w:rsidRPr="00217AC0" w:rsidRDefault="007D3105" w:rsidP="00217AC0">
      <w:pPr>
        <w:widowControl/>
        <w:spacing w:line="360" w:lineRule="auto"/>
        <w:contextualSpacing/>
        <w:rPr>
          <w:bCs/>
          <w:sz w:val="26"/>
          <w:szCs w:val="26"/>
        </w:rPr>
      </w:pPr>
    </w:p>
    <w:p w14:paraId="244F13CE" w14:textId="7CE42CD2" w:rsidR="00F5721E" w:rsidRPr="00217AC0" w:rsidRDefault="00D777A6" w:rsidP="00217AC0">
      <w:pPr>
        <w:widowControl/>
        <w:spacing w:line="360" w:lineRule="auto"/>
        <w:ind w:firstLine="1440"/>
        <w:rPr>
          <w:color w:val="000000"/>
          <w:sz w:val="26"/>
          <w:szCs w:val="26"/>
        </w:rPr>
      </w:pPr>
      <w:r w:rsidRPr="00217AC0">
        <w:rPr>
          <w:color w:val="000000"/>
          <w:sz w:val="26"/>
          <w:szCs w:val="26"/>
        </w:rPr>
        <w:t xml:space="preserve">In addition to the specific terms to which the Joint Petitioners have agreed, the Joint Settlement contains other general terms and conditions typically found in settlements submitted to the Commission.  </w:t>
      </w:r>
      <w:r w:rsidR="00A30441" w:rsidRPr="00217AC0">
        <w:rPr>
          <w:color w:val="000000"/>
          <w:sz w:val="26"/>
          <w:szCs w:val="26"/>
        </w:rPr>
        <w:t xml:space="preserve">Specifically, the Joint Petitioners agreed that the Joint Settlement is conditioned upon the Commission’s approval of all of the terms and conditions contained therein without modification.  </w:t>
      </w:r>
      <w:r w:rsidR="00F5721E" w:rsidRPr="00217AC0">
        <w:rPr>
          <w:color w:val="000000"/>
          <w:sz w:val="26"/>
          <w:szCs w:val="26"/>
        </w:rPr>
        <w:t xml:space="preserve">The Joint Petition establishes the procedure by which any of the Joint Petitioners may withdraw from the Joint Settlement if the Commission should act to modify or reject the Joint Settlement.  In addition, the Joint Petitioners asserted that although the Joint Settlement is proffered to settle the instant case, it may not be cited as precedent in any future proceeding, except to the </w:t>
      </w:r>
      <w:r w:rsidR="00F5721E" w:rsidRPr="00217AC0">
        <w:rPr>
          <w:color w:val="000000"/>
          <w:sz w:val="26"/>
          <w:szCs w:val="26"/>
        </w:rPr>
        <w:lastRenderedPageBreak/>
        <w:t>extent required to implement any term specifically agreed to by the Joint Petitioners.  Further, the Joint Petitioners submitted that the Settlement is made without any admission against, or prejudice to, any position which any of the Joint Petitioners might adopt in future proceedings, except to the extent necessary to effectuate or enforce any term specifically agreed to in the Joint Settlement before us.  Joint Petition at 5-6.</w:t>
      </w:r>
    </w:p>
    <w:p w14:paraId="62AE0F02" w14:textId="08B77EDC" w:rsidR="007D3105" w:rsidRPr="00217AC0" w:rsidRDefault="007D3105" w:rsidP="00217AC0">
      <w:pPr>
        <w:widowControl/>
        <w:spacing w:line="360" w:lineRule="auto"/>
        <w:ind w:firstLine="1440"/>
        <w:contextualSpacing/>
        <w:rPr>
          <w:bCs/>
          <w:sz w:val="26"/>
          <w:szCs w:val="26"/>
        </w:rPr>
      </w:pPr>
    </w:p>
    <w:p w14:paraId="31B8A07B" w14:textId="31A0D663" w:rsidR="007514D5" w:rsidRPr="00217AC0" w:rsidRDefault="007514D5" w:rsidP="00217AC0">
      <w:pPr>
        <w:widowControl/>
        <w:spacing w:line="360" w:lineRule="auto"/>
        <w:ind w:firstLine="1440"/>
        <w:contextualSpacing/>
        <w:rPr>
          <w:rFonts w:eastAsia="Calibri"/>
          <w:sz w:val="26"/>
          <w:szCs w:val="26"/>
        </w:rPr>
      </w:pPr>
      <w:r w:rsidRPr="00217AC0">
        <w:rPr>
          <w:color w:val="000000"/>
          <w:sz w:val="26"/>
          <w:szCs w:val="26"/>
        </w:rPr>
        <w:t>The Joint Petitioners respectfully requested that the Commission</w:t>
      </w:r>
      <w:r w:rsidR="007477BC" w:rsidRPr="00217AC0">
        <w:rPr>
          <w:color w:val="000000"/>
          <w:sz w:val="26"/>
          <w:szCs w:val="26"/>
        </w:rPr>
        <w:t>:</w:t>
      </w:r>
      <w:r w:rsidRPr="00217AC0">
        <w:rPr>
          <w:color w:val="000000"/>
          <w:sz w:val="26"/>
          <w:szCs w:val="26"/>
        </w:rPr>
        <w:t xml:space="preserve"> (1) approve the Joint Settlement; (2) grant the City permission to file a tariff supplement consistent with Appendix A;</w:t>
      </w:r>
      <w:r w:rsidR="007477BC" w:rsidRPr="00217AC0">
        <w:rPr>
          <w:color w:val="000000"/>
          <w:sz w:val="26"/>
          <w:szCs w:val="26"/>
        </w:rPr>
        <w:t xml:space="preserve"> and</w:t>
      </w:r>
      <w:r w:rsidRPr="00217AC0">
        <w:rPr>
          <w:color w:val="000000"/>
          <w:sz w:val="26"/>
          <w:szCs w:val="26"/>
        </w:rPr>
        <w:t xml:space="preserve"> (3) dismiss, with prejudice, the Formal Complaints of the OSBA and the OCA.  Joint Petition at 7.</w:t>
      </w:r>
    </w:p>
    <w:p w14:paraId="3638862F" w14:textId="40665357" w:rsidR="000142D5" w:rsidRPr="00217AC0" w:rsidRDefault="000142D5" w:rsidP="00217AC0">
      <w:pPr>
        <w:widowControl/>
        <w:spacing w:line="360" w:lineRule="auto"/>
        <w:contextualSpacing/>
        <w:rPr>
          <w:b/>
          <w:sz w:val="26"/>
          <w:szCs w:val="26"/>
        </w:rPr>
      </w:pPr>
    </w:p>
    <w:p w14:paraId="247165C6" w14:textId="2D12ABC7" w:rsidR="00E54CFF" w:rsidRPr="00217AC0" w:rsidRDefault="00E54CFF" w:rsidP="00217AC0">
      <w:pPr>
        <w:pStyle w:val="Heading2"/>
        <w:widowControl/>
        <w:ind w:hanging="720"/>
      </w:pPr>
      <w:bookmarkStart w:id="18" w:name="_Toc69230508"/>
      <w:r w:rsidRPr="00217AC0">
        <w:t>Positions of the Parties</w:t>
      </w:r>
      <w:bookmarkEnd w:id="18"/>
    </w:p>
    <w:p w14:paraId="309803DA" w14:textId="77777777" w:rsidR="00E54CFF" w:rsidRPr="00217AC0" w:rsidRDefault="00E54CFF" w:rsidP="00217AC0">
      <w:pPr>
        <w:keepNext/>
        <w:widowControl/>
        <w:spacing w:line="360" w:lineRule="auto"/>
        <w:contextualSpacing/>
        <w:rPr>
          <w:b/>
          <w:sz w:val="26"/>
          <w:szCs w:val="26"/>
        </w:rPr>
      </w:pPr>
    </w:p>
    <w:p w14:paraId="07C40C22" w14:textId="00E6381F" w:rsidR="007514D5" w:rsidRPr="00217AC0" w:rsidRDefault="00E54CFF" w:rsidP="00217AC0">
      <w:pPr>
        <w:pStyle w:val="Heading3"/>
        <w:keepNext/>
        <w:ind w:left="1440" w:hanging="720"/>
      </w:pPr>
      <w:bookmarkStart w:id="19" w:name="_Toc69230509"/>
      <w:r w:rsidRPr="00217AC0">
        <w:t>Statements in Support of the Joint Petition</w:t>
      </w:r>
      <w:bookmarkEnd w:id="19"/>
    </w:p>
    <w:p w14:paraId="70500C32" w14:textId="2C01BFBB" w:rsidR="000142D5" w:rsidRPr="00217AC0" w:rsidRDefault="000142D5" w:rsidP="00217AC0">
      <w:pPr>
        <w:keepNext/>
        <w:widowControl/>
        <w:spacing w:line="360" w:lineRule="auto"/>
        <w:contextualSpacing/>
        <w:rPr>
          <w:b/>
          <w:sz w:val="26"/>
          <w:szCs w:val="26"/>
        </w:rPr>
      </w:pPr>
    </w:p>
    <w:p w14:paraId="525B8329" w14:textId="4867A445" w:rsidR="00842568" w:rsidRPr="00217AC0" w:rsidRDefault="00842568" w:rsidP="00217AC0">
      <w:pPr>
        <w:keepNext/>
        <w:widowControl/>
        <w:spacing w:line="360" w:lineRule="auto"/>
        <w:ind w:firstLine="1440"/>
        <w:contextualSpacing/>
        <w:rPr>
          <w:bCs/>
          <w:sz w:val="26"/>
          <w:szCs w:val="26"/>
        </w:rPr>
      </w:pPr>
      <w:r w:rsidRPr="00217AC0">
        <w:rPr>
          <w:bCs/>
          <w:sz w:val="26"/>
          <w:szCs w:val="26"/>
        </w:rPr>
        <w:t xml:space="preserve">The Statements in Support from the City and I&amp;E, included with the Joint Petition, address how the Settlement is consistent with Commission policy encouraging settlements as a means of reducing the time and expense that would otherwise be expended by the Parties in fully litigated proceedings.  City Statement in Support at 2-4; I&amp;E Statement in Support at 4-6 (citing, 52 Pa. Code § 5.231(a)).  The Settling Parties submit that the Settlement reflects a compromise of positions, and therefore satisfies the public interest review, which as the City explained, is the lens through which the Commission is charged with evaluating partial settlements.  City Statement in Support at 3-4 (citing, </w:t>
      </w:r>
      <w:r w:rsidRPr="00217AC0">
        <w:rPr>
          <w:bCs/>
          <w:i/>
          <w:iCs/>
          <w:sz w:val="26"/>
          <w:szCs w:val="26"/>
        </w:rPr>
        <w:t>Pa. PUC v. Philadelphia Gas Works</w:t>
      </w:r>
      <w:r w:rsidRPr="00217AC0">
        <w:rPr>
          <w:bCs/>
          <w:sz w:val="26"/>
          <w:szCs w:val="26"/>
        </w:rPr>
        <w:t>, Docket No. R-2020-3017206 (Order entered November 19, 2020) (</w:t>
      </w:r>
      <w:r w:rsidRPr="00217AC0">
        <w:rPr>
          <w:bCs/>
          <w:i/>
          <w:iCs/>
          <w:sz w:val="26"/>
          <w:szCs w:val="26"/>
        </w:rPr>
        <w:t>PGW</w:t>
      </w:r>
      <w:r w:rsidRPr="00217AC0">
        <w:rPr>
          <w:bCs/>
          <w:sz w:val="26"/>
          <w:szCs w:val="26"/>
        </w:rPr>
        <w:t>) at 66); I&amp;E Statement in Support at 6-7, 12.</w:t>
      </w:r>
    </w:p>
    <w:p w14:paraId="7BE57B06" w14:textId="2DAD9023" w:rsidR="005F3390" w:rsidRPr="00217AC0" w:rsidRDefault="005F3390" w:rsidP="00217AC0">
      <w:pPr>
        <w:widowControl/>
        <w:spacing w:line="360" w:lineRule="auto"/>
        <w:ind w:firstLine="1440"/>
        <w:contextualSpacing/>
        <w:rPr>
          <w:bCs/>
          <w:sz w:val="26"/>
          <w:szCs w:val="26"/>
        </w:rPr>
      </w:pPr>
    </w:p>
    <w:p w14:paraId="767F6B66" w14:textId="3BE9FFDC" w:rsidR="005F3390" w:rsidRPr="00217AC0" w:rsidRDefault="005F3390" w:rsidP="00217AC0">
      <w:pPr>
        <w:widowControl/>
        <w:spacing w:line="360" w:lineRule="auto"/>
        <w:ind w:firstLine="1440"/>
        <w:contextualSpacing/>
        <w:rPr>
          <w:bCs/>
          <w:sz w:val="26"/>
          <w:szCs w:val="26"/>
        </w:rPr>
      </w:pPr>
      <w:r w:rsidRPr="00217AC0">
        <w:rPr>
          <w:bCs/>
          <w:sz w:val="26"/>
          <w:szCs w:val="26"/>
        </w:rPr>
        <w:t xml:space="preserve">In its Main Brief the City asserted that approval of the </w:t>
      </w:r>
      <w:r w:rsidRPr="00217AC0">
        <w:rPr>
          <w:color w:val="000000"/>
          <w:sz w:val="26"/>
          <w:szCs w:val="26"/>
        </w:rPr>
        <w:t>Joint Petition would be consistent with the Commission’s approval of a partial settlement in</w:t>
      </w:r>
      <w:bookmarkStart w:id="20" w:name="_Hlk66175833"/>
      <w:r w:rsidRPr="00217AC0">
        <w:rPr>
          <w:color w:val="000000"/>
          <w:sz w:val="26"/>
          <w:szCs w:val="26"/>
        </w:rPr>
        <w:t xml:space="preserve"> </w:t>
      </w:r>
      <w:r w:rsidRPr="00217AC0">
        <w:rPr>
          <w:i/>
          <w:iCs/>
          <w:sz w:val="26"/>
          <w:szCs w:val="26"/>
        </w:rPr>
        <w:t>PGW</w:t>
      </w:r>
      <w:r w:rsidRPr="00217AC0">
        <w:rPr>
          <w:sz w:val="26"/>
          <w:szCs w:val="26"/>
        </w:rPr>
        <w:t>,</w:t>
      </w:r>
      <w:r w:rsidRPr="00217AC0">
        <w:rPr>
          <w:color w:val="000000"/>
          <w:sz w:val="26"/>
          <w:szCs w:val="26"/>
        </w:rPr>
        <w:t xml:space="preserve"> </w:t>
      </w:r>
      <w:bookmarkEnd w:id="20"/>
      <w:r w:rsidRPr="00217AC0">
        <w:rPr>
          <w:color w:val="000000"/>
          <w:sz w:val="26"/>
          <w:szCs w:val="26"/>
        </w:rPr>
        <w:t xml:space="preserve">and the Recommended Decision of ALJ Conrad A. Johnson recommending that the Commission </w:t>
      </w:r>
      <w:r w:rsidRPr="00217AC0">
        <w:rPr>
          <w:color w:val="000000"/>
          <w:sz w:val="26"/>
          <w:szCs w:val="26"/>
        </w:rPr>
        <w:lastRenderedPageBreak/>
        <w:t xml:space="preserve">approve a “non-unanimous” settlement in </w:t>
      </w:r>
      <w:r w:rsidRPr="00217AC0">
        <w:rPr>
          <w:i/>
          <w:iCs/>
          <w:sz w:val="26"/>
          <w:szCs w:val="26"/>
        </w:rPr>
        <w:t>Pa. PUC v. Pennsylvania-American Water Company</w:t>
      </w:r>
      <w:r w:rsidRPr="00217AC0">
        <w:rPr>
          <w:sz w:val="26"/>
          <w:szCs w:val="26"/>
        </w:rPr>
        <w:t>, Docket Nos. R-2020-3019369 and R-2020-3019371 (</w:t>
      </w:r>
      <w:r w:rsidR="005B1E03" w:rsidRPr="00217AC0">
        <w:rPr>
          <w:sz w:val="26"/>
          <w:szCs w:val="26"/>
        </w:rPr>
        <w:t>Order entered February</w:t>
      </w:r>
      <w:r w:rsidR="0067309E">
        <w:rPr>
          <w:sz w:val="26"/>
          <w:szCs w:val="26"/>
        </w:rPr>
        <w:t> </w:t>
      </w:r>
      <w:r w:rsidR="005B1E03" w:rsidRPr="00217AC0">
        <w:rPr>
          <w:sz w:val="26"/>
          <w:szCs w:val="26"/>
        </w:rPr>
        <w:t>25, 2021</w:t>
      </w:r>
      <w:r w:rsidRPr="00217AC0">
        <w:rPr>
          <w:sz w:val="26"/>
          <w:szCs w:val="26"/>
        </w:rPr>
        <w:t>) (</w:t>
      </w:r>
      <w:r w:rsidRPr="00217AC0">
        <w:rPr>
          <w:i/>
          <w:iCs/>
          <w:sz w:val="26"/>
          <w:szCs w:val="26"/>
        </w:rPr>
        <w:t>PAWC</w:t>
      </w:r>
      <w:r w:rsidRPr="00217AC0">
        <w:rPr>
          <w:sz w:val="26"/>
          <w:szCs w:val="26"/>
        </w:rPr>
        <w:t xml:space="preserve">).  City M.B. at 10.  </w:t>
      </w:r>
    </w:p>
    <w:p w14:paraId="7124E4EA" w14:textId="77777777" w:rsidR="00842568" w:rsidRPr="00217AC0" w:rsidRDefault="00842568" w:rsidP="00217AC0">
      <w:pPr>
        <w:widowControl/>
        <w:spacing w:line="360" w:lineRule="auto"/>
        <w:contextualSpacing/>
        <w:rPr>
          <w:b/>
          <w:sz w:val="26"/>
          <w:szCs w:val="26"/>
        </w:rPr>
      </w:pPr>
    </w:p>
    <w:p w14:paraId="17932DAE" w14:textId="29EB2734" w:rsidR="00DE0F58" w:rsidRPr="00217AC0" w:rsidRDefault="00BF2A42" w:rsidP="00217AC0">
      <w:pPr>
        <w:pStyle w:val="Heading4"/>
        <w:widowControl/>
      </w:pPr>
      <w:bookmarkStart w:id="21" w:name="_Toc69230510"/>
      <w:r w:rsidRPr="00217AC0">
        <w:t>Bethlehem</w:t>
      </w:r>
      <w:bookmarkEnd w:id="21"/>
    </w:p>
    <w:p w14:paraId="51F9C780" w14:textId="2AC41BC6" w:rsidR="00DE0F58" w:rsidRPr="00217AC0" w:rsidRDefault="00DE0F58" w:rsidP="00217AC0">
      <w:pPr>
        <w:keepNext/>
        <w:widowControl/>
        <w:spacing w:line="360" w:lineRule="auto"/>
        <w:rPr>
          <w:sz w:val="26"/>
          <w:szCs w:val="26"/>
        </w:rPr>
      </w:pPr>
    </w:p>
    <w:p w14:paraId="08416B63" w14:textId="2D2B165E" w:rsidR="000A7584" w:rsidRPr="00217AC0" w:rsidRDefault="000A7584" w:rsidP="00217AC0">
      <w:pPr>
        <w:keepNext/>
        <w:widowControl/>
        <w:spacing w:line="360" w:lineRule="auto"/>
        <w:ind w:firstLine="1440"/>
        <w:rPr>
          <w:sz w:val="26"/>
          <w:szCs w:val="26"/>
        </w:rPr>
      </w:pPr>
      <w:r w:rsidRPr="00217AC0">
        <w:rPr>
          <w:sz w:val="26"/>
          <w:szCs w:val="26"/>
        </w:rPr>
        <w:t>As a signatory to the Joint Settlement, in its Statement of Support, the City asserted that</w:t>
      </w:r>
      <w:r w:rsidR="00997581" w:rsidRPr="00217AC0">
        <w:rPr>
          <w:sz w:val="26"/>
          <w:szCs w:val="26"/>
        </w:rPr>
        <w:t>, absent rate relief and</w:t>
      </w:r>
      <w:r w:rsidRPr="00217AC0">
        <w:rPr>
          <w:sz w:val="26"/>
          <w:szCs w:val="26"/>
        </w:rPr>
        <w:t xml:space="preserve"> given</w:t>
      </w:r>
      <w:r w:rsidR="00997581" w:rsidRPr="00217AC0">
        <w:rPr>
          <w:sz w:val="26"/>
          <w:szCs w:val="26"/>
        </w:rPr>
        <w:t xml:space="preserve"> that</w:t>
      </w:r>
      <w:r w:rsidRPr="00217AC0">
        <w:rPr>
          <w:sz w:val="26"/>
          <w:szCs w:val="26"/>
        </w:rPr>
        <w:t xml:space="preserve"> its last base rate increase was in 2014, its overall rate of return on its FTY rate base would be an inadequate 5.57%, representing a financial position that would jeopardize the City’s ability to continue to operate, maintain and renew its facilities properly and meet its financial obligations, which, in turn, would compromise its ability to provide safe, reliable and adequate service</w:t>
      </w:r>
      <w:r w:rsidR="0040575F" w:rsidRPr="00217AC0">
        <w:rPr>
          <w:sz w:val="26"/>
          <w:szCs w:val="26"/>
        </w:rPr>
        <w:t xml:space="preserve"> to its customers</w:t>
      </w:r>
      <w:r w:rsidRPr="00217AC0">
        <w:rPr>
          <w:sz w:val="26"/>
          <w:szCs w:val="26"/>
        </w:rPr>
        <w:t xml:space="preserve">.  City Statement in Support at 4-5.  </w:t>
      </w:r>
    </w:p>
    <w:p w14:paraId="406A3C31" w14:textId="034FB7B9" w:rsidR="000A7584" w:rsidRPr="00217AC0" w:rsidRDefault="000A7584" w:rsidP="00217AC0">
      <w:pPr>
        <w:widowControl/>
        <w:tabs>
          <w:tab w:val="left" w:pos="2640"/>
        </w:tabs>
        <w:spacing w:line="360" w:lineRule="auto"/>
        <w:ind w:firstLine="1440"/>
        <w:rPr>
          <w:sz w:val="26"/>
          <w:szCs w:val="26"/>
        </w:rPr>
      </w:pPr>
    </w:p>
    <w:p w14:paraId="339F02B2" w14:textId="1D97454D" w:rsidR="00E81975" w:rsidRPr="00217AC0" w:rsidRDefault="00E81975" w:rsidP="00217AC0">
      <w:pPr>
        <w:widowControl/>
        <w:tabs>
          <w:tab w:val="left" w:pos="2640"/>
        </w:tabs>
        <w:spacing w:line="360" w:lineRule="auto"/>
        <w:ind w:firstLine="1440"/>
        <w:rPr>
          <w:sz w:val="26"/>
          <w:szCs w:val="26"/>
        </w:rPr>
      </w:pPr>
      <w:r w:rsidRPr="00217AC0">
        <w:rPr>
          <w:sz w:val="26"/>
          <w:szCs w:val="26"/>
        </w:rPr>
        <w:t xml:space="preserve">Although less than the $908,421 increase in annual operating revenue </w:t>
      </w:r>
      <w:r w:rsidR="00B37FA7" w:rsidRPr="00217AC0">
        <w:rPr>
          <w:sz w:val="26"/>
          <w:szCs w:val="26"/>
        </w:rPr>
        <w:t xml:space="preserve">originally </w:t>
      </w:r>
      <w:r w:rsidRPr="00217AC0">
        <w:rPr>
          <w:sz w:val="26"/>
          <w:szCs w:val="26"/>
        </w:rPr>
        <w:t>sought from outside-City service, which the City contended it has fully supported with financial data submitted in support of Supplement No. 15, the City explained that it accepts the reduced annual increase of $689,932 provided for in the Joint Petition, as it reflects a compromise of the positions of the City and I&amp;E</w:t>
      </w:r>
      <w:r w:rsidR="00A313FC" w:rsidRPr="00217AC0">
        <w:rPr>
          <w:sz w:val="26"/>
          <w:szCs w:val="26"/>
        </w:rPr>
        <w:t>, which, consistent with Commission policy, fosters and promotes the public interest.</w:t>
      </w:r>
      <w:r w:rsidR="000B3E38" w:rsidRPr="00217AC0">
        <w:rPr>
          <w:sz w:val="26"/>
          <w:szCs w:val="26"/>
        </w:rPr>
        <w:t xml:space="preserve">  </w:t>
      </w:r>
      <w:r w:rsidR="007C1099" w:rsidRPr="00217AC0">
        <w:rPr>
          <w:i/>
          <w:iCs/>
          <w:sz w:val="26"/>
          <w:szCs w:val="26"/>
        </w:rPr>
        <w:t>Id</w:t>
      </w:r>
      <w:r w:rsidR="007C1099" w:rsidRPr="00217AC0">
        <w:rPr>
          <w:sz w:val="26"/>
          <w:szCs w:val="26"/>
        </w:rPr>
        <w:t>.</w:t>
      </w:r>
      <w:r w:rsidR="000B3E38" w:rsidRPr="00217AC0">
        <w:rPr>
          <w:sz w:val="26"/>
          <w:szCs w:val="26"/>
        </w:rPr>
        <w:t xml:space="preserve"> at 6-7.</w:t>
      </w:r>
      <w:r w:rsidR="00C140E4" w:rsidRPr="00217AC0">
        <w:rPr>
          <w:sz w:val="26"/>
          <w:szCs w:val="26"/>
        </w:rPr>
        <w:t xml:space="preserve">  Specifically, the City, highlighting the </w:t>
      </w:r>
      <w:r w:rsidR="00C140E4" w:rsidRPr="00217AC0">
        <w:rPr>
          <w:color w:val="000000"/>
          <w:sz w:val="26"/>
          <w:szCs w:val="26"/>
        </w:rPr>
        <w:t xml:space="preserve">reduction of monthly and quarterly customer bills that will result from approval of the Settlement rates versus those that would have been implemented under Supplement No. 15, contended that such a reduction from the City’s original filing is in the public interest.  </w:t>
      </w:r>
      <w:r w:rsidR="00C140E4" w:rsidRPr="00217AC0">
        <w:rPr>
          <w:i/>
          <w:iCs/>
          <w:color w:val="000000"/>
          <w:sz w:val="26"/>
          <w:szCs w:val="26"/>
        </w:rPr>
        <w:t>Id</w:t>
      </w:r>
      <w:r w:rsidR="00C140E4" w:rsidRPr="00217AC0">
        <w:rPr>
          <w:color w:val="000000"/>
          <w:sz w:val="26"/>
          <w:szCs w:val="26"/>
        </w:rPr>
        <w:t xml:space="preserve">. at 5. </w:t>
      </w:r>
    </w:p>
    <w:p w14:paraId="57F2002D" w14:textId="79FDB196" w:rsidR="009A4722" w:rsidRPr="00217AC0" w:rsidRDefault="009A4722" w:rsidP="00217AC0">
      <w:pPr>
        <w:widowControl/>
        <w:tabs>
          <w:tab w:val="left" w:pos="2640"/>
        </w:tabs>
        <w:spacing w:line="360" w:lineRule="auto"/>
        <w:ind w:firstLine="1440"/>
        <w:rPr>
          <w:sz w:val="26"/>
          <w:szCs w:val="26"/>
        </w:rPr>
      </w:pPr>
    </w:p>
    <w:p w14:paraId="1492AF45" w14:textId="4F4A5318" w:rsidR="009A4722" w:rsidRPr="00217AC0" w:rsidRDefault="009A4722" w:rsidP="00217AC0">
      <w:pPr>
        <w:widowControl/>
        <w:tabs>
          <w:tab w:val="left" w:pos="2640"/>
        </w:tabs>
        <w:spacing w:line="360" w:lineRule="auto"/>
        <w:ind w:firstLine="1440"/>
        <w:rPr>
          <w:sz w:val="26"/>
          <w:szCs w:val="26"/>
        </w:rPr>
      </w:pPr>
      <w:r w:rsidRPr="00217AC0">
        <w:rPr>
          <w:sz w:val="26"/>
          <w:szCs w:val="26"/>
        </w:rPr>
        <w:t>The City noted that the Settlement was reached after an extensive investigation of its filing and related information obtained through the discovery process, to determine the amount of revenue the City needs to provide safe, effective, and reliable service to its customers.  The City added in its Statement</w:t>
      </w:r>
      <w:r w:rsidR="007477BC" w:rsidRPr="00217AC0">
        <w:rPr>
          <w:sz w:val="26"/>
          <w:szCs w:val="26"/>
        </w:rPr>
        <w:t xml:space="preserve"> of Support</w:t>
      </w:r>
      <w:r w:rsidRPr="00217AC0">
        <w:rPr>
          <w:sz w:val="26"/>
          <w:szCs w:val="26"/>
        </w:rPr>
        <w:t xml:space="preserve"> that such extensive </w:t>
      </w:r>
      <w:r w:rsidRPr="00217AC0">
        <w:rPr>
          <w:sz w:val="26"/>
          <w:szCs w:val="26"/>
        </w:rPr>
        <w:lastRenderedPageBreak/>
        <w:t>investigation included, in addition to discovery, submission of multiple rounds of testimony by the Parties and extensive negotiations among the Joint Petitioners.</w:t>
      </w:r>
      <w:r w:rsidR="007C1099" w:rsidRPr="00217AC0">
        <w:rPr>
          <w:sz w:val="26"/>
          <w:szCs w:val="26"/>
        </w:rPr>
        <w:t xml:space="preserve">  </w:t>
      </w:r>
      <w:r w:rsidR="007C1099" w:rsidRPr="00217AC0">
        <w:rPr>
          <w:i/>
          <w:iCs/>
          <w:sz w:val="26"/>
          <w:szCs w:val="26"/>
        </w:rPr>
        <w:t>Id.</w:t>
      </w:r>
      <w:r w:rsidR="007C1099" w:rsidRPr="00217AC0">
        <w:rPr>
          <w:sz w:val="26"/>
          <w:szCs w:val="26"/>
        </w:rPr>
        <w:t xml:space="preserve"> at 6.</w:t>
      </w:r>
    </w:p>
    <w:p w14:paraId="3CE68EDA" w14:textId="74031350" w:rsidR="00E81975" w:rsidRPr="00217AC0" w:rsidRDefault="00E81975" w:rsidP="00217AC0">
      <w:pPr>
        <w:widowControl/>
        <w:tabs>
          <w:tab w:val="left" w:pos="2640"/>
        </w:tabs>
        <w:spacing w:line="360" w:lineRule="auto"/>
        <w:ind w:firstLine="1440"/>
        <w:rPr>
          <w:sz w:val="26"/>
          <w:szCs w:val="26"/>
        </w:rPr>
      </w:pPr>
    </w:p>
    <w:p w14:paraId="7657CC2F" w14:textId="6EF1B163" w:rsidR="006924B1" w:rsidRPr="00217AC0" w:rsidRDefault="006924B1" w:rsidP="00217AC0">
      <w:pPr>
        <w:widowControl/>
        <w:tabs>
          <w:tab w:val="left" w:pos="2640"/>
        </w:tabs>
        <w:spacing w:line="360" w:lineRule="auto"/>
        <w:ind w:firstLine="1440"/>
        <w:rPr>
          <w:sz w:val="26"/>
          <w:szCs w:val="26"/>
        </w:rPr>
      </w:pPr>
      <w:r w:rsidRPr="00217AC0">
        <w:rPr>
          <w:sz w:val="26"/>
          <w:szCs w:val="26"/>
        </w:rPr>
        <w:t xml:space="preserve">As the increase to the City’s annual operating revenues from outside-City service was a matter of interest to all </w:t>
      </w:r>
      <w:r w:rsidR="001B60C7" w:rsidRPr="00217AC0">
        <w:rPr>
          <w:sz w:val="26"/>
          <w:szCs w:val="26"/>
        </w:rPr>
        <w:t>Parties</w:t>
      </w:r>
      <w:r w:rsidRPr="00217AC0">
        <w:rPr>
          <w:sz w:val="26"/>
          <w:szCs w:val="26"/>
        </w:rPr>
        <w:t xml:space="preserve"> in this proceeding, so was the accompanying </w:t>
      </w:r>
      <w:r w:rsidR="00AC0825" w:rsidRPr="00217AC0">
        <w:rPr>
          <w:sz w:val="26"/>
          <w:szCs w:val="26"/>
        </w:rPr>
        <w:t xml:space="preserve">rate design and </w:t>
      </w:r>
      <w:r w:rsidRPr="00217AC0">
        <w:rPr>
          <w:sz w:val="26"/>
          <w:szCs w:val="26"/>
        </w:rPr>
        <w:t>distribution of any imposed revenue increase among the City’s customer classes.</w:t>
      </w:r>
      <w:r w:rsidR="001B60C7" w:rsidRPr="00217AC0">
        <w:rPr>
          <w:sz w:val="26"/>
          <w:szCs w:val="26"/>
        </w:rPr>
        <w:t xml:space="preserve">  The City noted that, although the OSBA is not a </w:t>
      </w:r>
      <w:r w:rsidR="007477BC" w:rsidRPr="00217AC0">
        <w:rPr>
          <w:sz w:val="26"/>
          <w:szCs w:val="26"/>
        </w:rPr>
        <w:t>P</w:t>
      </w:r>
      <w:r w:rsidR="001B60C7" w:rsidRPr="00217AC0">
        <w:rPr>
          <w:sz w:val="26"/>
          <w:szCs w:val="26"/>
        </w:rPr>
        <w:t>arty to the Joint Petition, I&amp;E and the City accepted the OSBA’s scale back as appropriate for settlement purposes</w:t>
      </w:r>
      <w:r w:rsidR="008D3411" w:rsidRPr="00217AC0">
        <w:rPr>
          <w:sz w:val="26"/>
          <w:szCs w:val="26"/>
        </w:rPr>
        <w:t>.</w:t>
      </w:r>
      <w:r w:rsidR="008D3411" w:rsidRPr="00217AC0">
        <w:rPr>
          <w:rStyle w:val="FootnoteReference"/>
          <w:sz w:val="26"/>
          <w:szCs w:val="26"/>
        </w:rPr>
        <w:footnoteReference w:id="11"/>
      </w:r>
      <w:r w:rsidR="008D3411" w:rsidRPr="00217AC0">
        <w:rPr>
          <w:sz w:val="26"/>
          <w:szCs w:val="26"/>
        </w:rPr>
        <w:t xml:space="preserve">  </w:t>
      </w:r>
      <w:r w:rsidR="00865FB3" w:rsidRPr="00217AC0">
        <w:rPr>
          <w:sz w:val="26"/>
          <w:szCs w:val="26"/>
        </w:rPr>
        <w:t xml:space="preserve">Therefore, the City submitted that the rate design and scale back reflected in the Settlement furthers the public interest, since “the settlement scale back resolves the competing positions in the allocation of revenue among outside-City customers and does so in a mutually acceptable way.”  </w:t>
      </w:r>
      <w:r w:rsidR="00865FB3" w:rsidRPr="00217AC0">
        <w:rPr>
          <w:i/>
          <w:iCs/>
          <w:sz w:val="26"/>
          <w:szCs w:val="26"/>
        </w:rPr>
        <w:t>Id</w:t>
      </w:r>
      <w:r w:rsidR="00865FB3" w:rsidRPr="00217AC0">
        <w:rPr>
          <w:sz w:val="26"/>
          <w:szCs w:val="26"/>
        </w:rPr>
        <w:t>. at 7-8.</w:t>
      </w:r>
      <w:r w:rsidR="00AC0825" w:rsidRPr="00217AC0">
        <w:rPr>
          <w:sz w:val="26"/>
          <w:szCs w:val="26"/>
        </w:rPr>
        <w:t xml:space="preserve">  It should be noted that in</w:t>
      </w:r>
      <w:r w:rsidR="00A641F9" w:rsidRPr="00217AC0">
        <w:rPr>
          <w:sz w:val="26"/>
          <w:szCs w:val="26"/>
        </w:rPr>
        <w:t xml:space="preserve"> its</w:t>
      </w:r>
      <w:r w:rsidR="00AC0825" w:rsidRPr="00217AC0">
        <w:rPr>
          <w:sz w:val="26"/>
          <w:szCs w:val="26"/>
        </w:rPr>
        <w:t xml:space="preserve"> Main Brief</w:t>
      </w:r>
      <w:r w:rsidR="00A641F9" w:rsidRPr="00217AC0">
        <w:rPr>
          <w:sz w:val="26"/>
          <w:szCs w:val="26"/>
        </w:rPr>
        <w:t>, the OCA</w:t>
      </w:r>
      <w:r w:rsidR="00AC0825" w:rsidRPr="00217AC0">
        <w:rPr>
          <w:sz w:val="26"/>
          <w:szCs w:val="26"/>
        </w:rPr>
        <w:t xml:space="preserve"> determined that it would not oppose the scale back approach supported by the City and</w:t>
      </w:r>
      <w:r w:rsidR="00A641F9" w:rsidRPr="00217AC0">
        <w:rPr>
          <w:sz w:val="26"/>
          <w:szCs w:val="26"/>
        </w:rPr>
        <w:t xml:space="preserve"> the</w:t>
      </w:r>
      <w:r w:rsidR="00AC0825" w:rsidRPr="00217AC0">
        <w:rPr>
          <w:sz w:val="26"/>
          <w:szCs w:val="26"/>
        </w:rPr>
        <w:t xml:space="preserve"> OSBA if an increase approved by the Commission is less than the City’s initially proposed increase.  OCA M.B. at 67.  Furthermore, to recover the rate increase under the Settlement, the City and I&amp;E agreed to increase the single block consumption rate for all customer classes while leaving the customer charge unchanged.  City M.B. at 46.  </w:t>
      </w:r>
    </w:p>
    <w:p w14:paraId="593F5B20" w14:textId="77777777" w:rsidR="006924B1" w:rsidRPr="00217AC0" w:rsidRDefault="006924B1" w:rsidP="00217AC0">
      <w:pPr>
        <w:widowControl/>
        <w:tabs>
          <w:tab w:val="left" w:pos="2640"/>
        </w:tabs>
        <w:spacing w:line="360" w:lineRule="auto"/>
        <w:ind w:firstLine="1440"/>
        <w:rPr>
          <w:sz w:val="26"/>
          <w:szCs w:val="26"/>
        </w:rPr>
      </w:pPr>
    </w:p>
    <w:p w14:paraId="55928C5C" w14:textId="23C60359" w:rsidR="006924B1" w:rsidRPr="00217AC0" w:rsidRDefault="008B61BC" w:rsidP="00217AC0">
      <w:pPr>
        <w:widowControl/>
        <w:tabs>
          <w:tab w:val="left" w:pos="2640"/>
        </w:tabs>
        <w:spacing w:line="360" w:lineRule="auto"/>
        <w:ind w:firstLine="1440"/>
        <w:rPr>
          <w:sz w:val="26"/>
          <w:szCs w:val="26"/>
        </w:rPr>
      </w:pPr>
      <w:r w:rsidRPr="00217AC0">
        <w:rPr>
          <w:sz w:val="26"/>
          <w:szCs w:val="26"/>
        </w:rPr>
        <w:t>The City contended that the other provisions (i.e., elimination of Lower Saucon Honor System Rate, unaccounted for water,</w:t>
      </w:r>
      <w:r w:rsidR="00144E73" w:rsidRPr="00217AC0">
        <w:rPr>
          <w:sz w:val="26"/>
          <w:szCs w:val="26"/>
        </w:rPr>
        <w:t xml:space="preserve"> and</w:t>
      </w:r>
      <w:r w:rsidRPr="00217AC0">
        <w:rPr>
          <w:sz w:val="26"/>
          <w:szCs w:val="26"/>
        </w:rPr>
        <w:t xml:space="preserve"> Demand Study), coupled with the Settling Parties’ agreement as to the amount of increase in the City’s annual water revenue for outside-City service, further provide an appropriate basis for resolution of the instant rate litigation.</w:t>
      </w:r>
      <w:r w:rsidR="00084237" w:rsidRPr="00217AC0">
        <w:rPr>
          <w:sz w:val="26"/>
          <w:szCs w:val="26"/>
        </w:rPr>
        <w:t xml:space="preserve">  </w:t>
      </w:r>
      <w:r w:rsidR="00084237" w:rsidRPr="00217AC0">
        <w:rPr>
          <w:i/>
          <w:iCs/>
          <w:sz w:val="26"/>
          <w:szCs w:val="26"/>
        </w:rPr>
        <w:t>Id</w:t>
      </w:r>
      <w:r w:rsidR="00084237" w:rsidRPr="00217AC0">
        <w:rPr>
          <w:sz w:val="26"/>
          <w:szCs w:val="26"/>
        </w:rPr>
        <w:t xml:space="preserve">. at 8-9.  </w:t>
      </w:r>
    </w:p>
    <w:p w14:paraId="03AA8DC8" w14:textId="10C82C1F" w:rsidR="00DE0F58" w:rsidRPr="00217AC0" w:rsidRDefault="00DE0F58" w:rsidP="00217AC0">
      <w:pPr>
        <w:pStyle w:val="Heading4"/>
        <w:widowControl/>
      </w:pPr>
      <w:bookmarkStart w:id="22" w:name="_Toc69230511"/>
      <w:r w:rsidRPr="00217AC0">
        <w:lastRenderedPageBreak/>
        <w:t>I&amp;E</w:t>
      </w:r>
      <w:bookmarkEnd w:id="22"/>
    </w:p>
    <w:p w14:paraId="78182E8D" w14:textId="7C7128E7" w:rsidR="00DE0F58" w:rsidRPr="00217AC0" w:rsidRDefault="00DE0F58" w:rsidP="00217AC0">
      <w:pPr>
        <w:keepNext/>
        <w:widowControl/>
        <w:spacing w:line="360" w:lineRule="auto"/>
        <w:contextualSpacing/>
        <w:rPr>
          <w:b/>
          <w:sz w:val="26"/>
          <w:szCs w:val="26"/>
        </w:rPr>
      </w:pPr>
    </w:p>
    <w:p w14:paraId="7A33C878" w14:textId="2C65A869" w:rsidR="00B420E2" w:rsidRPr="00217AC0" w:rsidRDefault="009E1046" w:rsidP="00217AC0">
      <w:pPr>
        <w:keepNext/>
        <w:widowControl/>
        <w:spacing w:line="360" w:lineRule="auto"/>
        <w:ind w:firstLine="1440"/>
        <w:contextualSpacing/>
        <w:rPr>
          <w:sz w:val="26"/>
          <w:szCs w:val="26"/>
        </w:rPr>
      </w:pPr>
      <w:r w:rsidRPr="00217AC0">
        <w:rPr>
          <w:bCs/>
          <w:sz w:val="26"/>
          <w:szCs w:val="26"/>
        </w:rPr>
        <w:t>As a signatory to the Settlement, in its Statement in Support, I&amp;E</w:t>
      </w:r>
      <w:r w:rsidR="007044ED" w:rsidRPr="00217AC0">
        <w:rPr>
          <w:bCs/>
          <w:sz w:val="26"/>
          <w:szCs w:val="26"/>
        </w:rPr>
        <w:t xml:space="preserve"> essentially concurred in all the reasons offered in support of the Joint Petition by the City, specifically</w:t>
      </w:r>
      <w:r w:rsidRPr="00217AC0">
        <w:rPr>
          <w:bCs/>
          <w:sz w:val="26"/>
          <w:szCs w:val="26"/>
        </w:rPr>
        <w:t xml:space="preserve"> </w:t>
      </w:r>
      <w:r w:rsidRPr="00217AC0">
        <w:rPr>
          <w:sz w:val="26"/>
          <w:szCs w:val="26"/>
        </w:rPr>
        <w:t>asser</w:t>
      </w:r>
      <w:r w:rsidR="007044ED" w:rsidRPr="00217AC0">
        <w:rPr>
          <w:sz w:val="26"/>
          <w:szCs w:val="26"/>
        </w:rPr>
        <w:t>ting</w:t>
      </w:r>
      <w:r w:rsidRPr="00217AC0">
        <w:rPr>
          <w:sz w:val="26"/>
          <w:szCs w:val="26"/>
        </w:rPr>
        <w:t xml:space="preserve"> that the Settlement satisfies all applicable legal standards and results in terms that are preferable to those that may have been achieved at the end of a fully litigated proceeding.  I&amp;E Statement in Support at 5.  According to I&amp;E, </w:t>
      </w:r>
      <w:r w:rsidR="002E7769" w:rsidRPr="00217AC0">
        <w:rPr>
          <w:sz w:val="26"/>
          <w:szCs w:val="26"/>
        </w:rPr>
        <w:t xml:space="preserve">the increase in revenue from </w:t>
      </w:r>
      <w:r w:rsidR="00A641F9" w:rsidRPr="00217AC0">
        <w:rPr>
          <w:sz w:val="26"/>
          <w:szCs w:val="26"/>
        </w:rPr>
        <w:t xml:space="preserve">jurisdictional </w:t>
      </w:r>
      <w:r w:rsidR="002E7769" w:rsidRPr="00217AC0">
        <w:rPr>
          <w:sz w:val="26"/>
          <w:szCs w:val="26"/>
        </w:rPr>
        <w:t>outside-City customers</w:t>
      </w:r>
      <w:r w:rsidRPr="00217AC0">
        <w:rPr>
          <w:sz w:val="26"/>
          <w:szCs w:val="26"/>
        </w:rPr>
        <w:t xml:space="preserve"> is appropriate</w:t>
      </w:r>
      <w:r w:rsidR="00B420E2" w:rsidRPr="00217AC0">
        <w:rPr>
          <w:sz w:val="26"/>
          <w:szCs w:val="26"/>
        </w:rPr>
        <w:t>, as it balances the interests of the City and its customers in a fair and equitable manner, by allowing the City sufficient additional revenue to meet its operating and capital expenses and providing the opportunity to earn a reasonable return on its investment, and in turn</w:t>
      </w:r>
      <w:r w:rsidR="00F52895" w:rsidRPr="00217AC0">
        <w:rPr>
          <w:sz w:val="26"/>
          <w:szCs w:val="26"/>
        </w:rPr>
        <w:t>, ensuring that customers will continue to receive safe and reliable service at just and reasonable rates.</w:t>
      </w:r>
      <w:r w:rsidR="00EE0294" w:rsidRPr="00217AC0">
        <w:rPr>
          <w:sz w:val="26"/>
          <w:szCs w:val="26"/>
        </w:rPr>
        <w:t xml:space="preserve">  </w:t>
      </w:r>
      <w:r w:rsidR="00EE0294" w:rsidRPr="00217AC0">
        <w:rPr>
          <w:i/>
          <w:iCs/>
          <w:sz w:val="26"/>
          <w:szCs w:val="26"/>
        </w:rPr>
        <w:t>Id.</w:t>
      </w:r>
      <w:r w:rsidR="00EE0294" w:rsidRPr="00217AC0">
        <w:rPr>
          <w:sz w:val="26"/>
          <w:szCs w:val="26"/>
        </w:rPr>
        <w:t xml:space="preserve"> at 7.</w:t>
      </w:r>
    </w:p>
    <w:p w14:paraId="71161C46" w14:textId="041BE27A" w:rsidR="00B420E2" w:rsidRPr="00217AC0" w:rsidRDefault="00B420E2" w:rsidP="00217AC0">
      <w:pPr>
        <w:widowControl/>
        <w:spacing w:line="360" w:lineRule="auto"/>
        <w:ind w:firstLine="1440"/>
        <w:contextualSpacing/>
        <w:rPr>
          <w:sz w:val="26"/>
          <w:szCs w:val="26"/>
        </w:rPr>
      </w:pPr>
    </w:p>
    <w:p w14:paraId="55B6EBB4" w14:textId="25CF8DE5" w:rsidR="005C0629" w:rsidRPr="00217AC0" w:rsidRDefault="00EC6034" w:rsidP="00217AC0">
      <w:pPr>
        <w:widowControl/>
        <w:spacing w:line="360" w:lineRule="auto"/>
        <w:ind w:firstLine="1440"/>
        <w:contextualSpacing/>
        <w:rPr>
          <w:sz w:val="26"/>
          <w:szCs w:val="26"/>
        </w:rPr>
      </w:pPr>
      <w:r w:rsidRPr="00217AC0">
        <w:rPr>
          <w:sz w:val="26"/>
          <w:szCs w:val="26"/>
        </w:rPr>
        <w:t>I&amp;E also supported the cost allocation and the resulting scale back agreed upon in the Settlement, submitting that the settlement rates in Appendix A to the Joint Petition provide for reasonable progress in moving the applicable customer classes closer to their cost of service, consistent with the principles of gradualism.</w:t>
      </w:r>
      <w:r w:rsidR="00266167" w:rsidRPr="00217AC0">
        <w:rPr>
          <w:sz w:val="26"/>
          <w:szCs w:val="26"/>
        </w:rPr>
        <w:t xml:space="preserve"> </w:t>
      </w:r>
      <w:r w:rsidRPr="00217AC0">
        <w:rPr>
          <w:sz w:val="26"/>
          <w:szCs w:val="26"/>
        </w:rPr>
        <w:t xml:space="preserve"> </w:t>
      </w:r>
      <w:r w:rsidRPr="00217AC0">
        <w:rPr>
          <w:i/>
          <w:iCs/>
          <w:sz w:val="26"/>
          <w:szCs w:val="26"/>
        </w:rPr>
        <w:t>Id.</w:t>
      </w:r>
      <w:r w:rsidRPr="00217AC0">
        <w:rPr>
          <w:sz w:val="26"/>
          <w:szCs w:val="26"/>
        </w:rPr>
        <w:t xml:space="preserve"> at 7-8.</w:t>
      </w:r>
      <w:r w:rsidR="00367FAB" w:rsidRPr="00217AC0">
        <w:rPr>
          <w:sz w:val="26"/>
          <w:szCs w:val="26"/>
        </w:rPr>
        <w:t xml:space="preserve">  In concurrence with the City, I&amp;E also noted its support of the uncontested elimination of the Lower Saucon Honor System Rate, implemented in Appendix A to the Joint Petition, as well as the</w:t>
      </w:r>
      <w:r w:rsidR="007F0EBA" w:rsidRPr="00217AC0">
        <w:rPr>
          <w:sz w:val="26"/>
          <w:szCs w:val="26"/>
        </w:rPr>
        <w:t xml:space="preserve"> other</w:t>
      </w:r>
      <w:r w:rsidR="00367FAB" w:rsidRPr="00217AC0">
        <w:rPr>
          <w:sz w:val="26"/>
          <w:szCs w:val="26"/>
        </w:rPr>
        <w:t xml:space="preserve"> uncontested provisions contained in the Settlement, expressing the City’s commitment to address and correct high levels of UFW</w:t>
      </w:r>
      <w:r w:rsidR="007F0EBA" w:rsidRPr="00217AC0">
        <w:rPr>
          <w:sz w:val="26"/>
          <w:szCs w:val="26"/>
        </w:rPr>
        <w:t xml:space="preserve"> and the Parties’ acceptance of the results of the City’s Demand Study used in its cost of service study presented in City Exhibit CEH-2R.  I&amp;E contended that its extensive analysis in this proceeding demonstrates a rate increase for the City is warranted, and although the increase under the Settlement is higher than I&amp;E’s litigated position, it is a reasonable balance of positions.</w:t>
      </w:r>
    </w:p>
    <w:p w14:paraId="26834430" w14:textId="77777777" w:rsidR="009733E9" w:rsidRPr="00217AC0" w:rsidRDefault="009733E9" w:rsidP="00217AC0">
      <w:pPr>
        <w:widowControl/>
        <w:spacing w:line="360" w:lineRule="auto"/>
        <w:ind w:firstLine="1440"/>
        <w:contextualSpacing/>
        <w:rPr>
          <w:sz w:val="26"/>
          <w:szCs w:val="26"/>
        </w:rPr>
      </w:pPr>
    </w:p>
    <w:p w14:paraId="443F1540" w14:textId="7CA7E615" w:rsidR="00DE0F58" w:rsidRPr="00217AC0" w:rsidRDefault="002D716A" w:rsidP="00217AC0">
      <w:pPr>
        <w:pStyle w:val="Heading3"/>
        <w:keepNext/>
        <w:ind w:left="1440" w:hanging="720"/>
      </w:pPr>
      <w:bookmarkStart w:id="23" w:name="_Toc69230512"/>
      <w:r w:rsidRPr="00217AC0">
        <w:lastRenderedPageBreak/>
        <w:t>Comments in Opposition</w:t>
      </w:r>
      <w:r w:rsidR="003C3797" w:rsidRPr="00217AC0">
        <w:t xml:space="preserve"> to the Joint Petition</w:t>
      </w:r>
      <w:r w:rsidR="00B74EB8" w:rsidRPr="00217AC0">
        <w:t xml:space="preserve"> (Objections)</w:t>
      </w:r>
      <w:bookmarkEnd w:id="23"/>
    </w:p>
    <w:p w14:paraId="173CEE1A" w14:textId="1787270D" w:rsidR="00DE0F58" w:rsidRPr="00217AC0" w:rsidRDefault="00DE0F58" w:rsidP="00217AC0">
      <w:pPr>
        <w:keepNext/>
        <w:widowControl/>
        <w:spacing w:line="360" w:lineRule="auto"/>
        <w:contextualSpacing/>
        <w:rPr>
          <w:b/>
          <w:sz w:val="26"/>
          <w:szCs w:val="26"/>
        </w:rPr>
      </w:pPr>
    </w:p>
    <w:p w14:paraId="36F1DBC4" w14:textId="7AC06F5B" w:rsidR="00DE0F58" w:rsidRPr="00217AC0" w:rsidRDefault="009A7AEC" w:rsidP="00217AC0">
      <w:pPr>
        <w:pStyle w:val="Heading4"/>
        <w:widowControl/>
        <w:numPr>
          <w:ilvl w:val="0"/>
          <w:numId w:val="9"/>
        </w:numPr>
        <w:ind w:left="2160" w:hanging="720"/>
      </w:pPr>
      <w:bookmarkStart w:id="24" w:name="_Toc69230513"/>
      <w:r w:rsidRPr="00217AC0">
        <w:t>OCA</w:t>
      </w:r>
      <w:bookmarkEnd w:id="24"/>
    </w:p>
    <w:p w14:paraId="12134F8B" w14:textId="4EDEE49F" w:rsidR="005C0629" w:rsidRPr="00217AC0" w:rsidRDefault="005C0629" w:rsidP="00217AC0">
      <w:pPr>
        <w:keepNext/>
        <w:widowControl/>
        <w:spacing w:line="360" w:lineRule="auto"/>
        <w:contextualSpacing/>
        <w:rPr>
          <w:b/>
          <w:sz w:val="26"/>
          <w:szCs w:val="26"/>
        </w:rPr>
      </w:pPr>
    </w:p>
    <w:p w14:paraId="57F575E9" w14:textId="6678E47D" w:rsidR="00C94867" w:rsidRPr="00217AC0" w:rsidRDefault="00795450" w:rsidP="00217AC0">
      <w:pPr>
        <w:keepNext/>
        <w:widowControl/>
        <w:spacing w:line="360" w:lineRule="auto"/>
        <w:ind w:firstLine="1440"/>
        <w:contextualSpacing/>
        <w:rPr>
          <w:bCs/>
          <w:sz w:val="26"/>
          <w:szCs w:val="26"/>
        </w:rPr>
      </w:pPr>
      <w:r w:rsidRPr="00217AC0">
        <w:rPr>
          <w:bCs/>
          <w:sz w:val="26"/>
          <w:szCs w:val="26"/>
        </w:rPr>
        <w:t>As previously indicated, the OCA provided a Statement in Opposition to the Joint Petition as part of its Reply Brief.</w:t>
      </w:r>
      <w:r w:rsidR="001C6734" w:rsidRPr="00217AC0">
        <w:rPr>
          <w:rStyle w:val="FootnoteReference"/>
          <w:bCs/>
          <w:sz w:val="26"/>
          <w:szCs w:val="26"/>
        </w:rPr>
        <w:footnoteReference w:id="12"/>
      </w:r>
      <w:r w:rsidRPr="00217AC0">
        <w:rPr>
          <w:bCs/>
          <w:sz w:val="26"/>
          <w:szCs w:val="26"/>
        </w:rPr>
        <w:t xml:space="preserve">  The OCA asked the Commission to deny the City’s requested rate increase</w:t>
      </w:r>
      <w:r w:rsidR="001C6734" w:rsidRPr="00217AC0">
        <w:rPr>
          <w:bCs/>
          <w:sz w:val="26"/>
          <w:szCs w:val="26"/>
        </w:rPr>
        <w:t xml:space="preserve"> “due to current societal and economic conditions” as a result of the COVID-19 pandemic</w:t>
      </w:r>
      <w:r w:rsidR="004647E7" w:rsidRPr="00217AC0">
        <w:rPr>
          <w:bCs/>
          <w:sz w:val="26"/>
          <w:szCs w:val="26"/>
        </w:rPr>
        <w:t xml:space="preserve">, </w:t>
      </w:r>
      <w:bookmarkStart w:id="25" w:name="_Hlk67036155"/>
      <w:r w:rsidR="004647E7" w:rsidRPr="00217AC0">
        <w:rPr>
          <w:bCs/>
          <w:sz w:val="26"/>
          <w:szCs w:val="26"/>
        </w:rPr>
        <w:t>as well as the uncertainties surrounding the City’s FTY projections</w:t>
      </w:r>
      <w:r w:rsidR="001C6734" w:rsidRPr="00217AC0">
        <w:rPr>
          <w:bCs/>
          <w:sz w:val="26"/>
          <w:szCs w:val="26"/>
        </w:rPr>
        <w:t>.</w:t>
      </w:r>
      <w:r w:rsidR="001C6734" w:rsidRPr="00217AC0">
        <w:rPr>
          <w:rStyle w:val="FootnoteReference"/>
          <w:bCs/>
          <w:sz w:val="26"/>
          <w:szCs w:val="26"/>
        </w:rPr>
        <w:footnoteReference w:id="13"/>
      </w:r>
      <w:r w:rsidR="001231CE" w:rsidRPr="00217AC0">
        <w:rPr>
          <w:bCs/>
          <w:sz w:val="26"/>
          <w:szCs w:val="26"/>
        </w:rPr>
        <w:t xml:space="preserve">  OCA R.B. at 9-10</w:t>
      </w:r>
      <w:r w:rsidR="004647E7" w:rsidRPr="00217AC0">
        <w:rPr>
          <w:bCs/>
          <w:sz w:val="26"/>
          <w:szCs w:val="26"/>
        </w:rPr>
        <w:t>, 14</w:t>
      </w:r>
      <w:bookmarkEnd w:id="25"/>
      <w:r w:rsidR="001231CE" w:rsidRPr="00217AC0">
        <w:rPr>
          <w:bCs/>
          <w:sz w:val="26"/>
          <w:szCs w:val="26"/>
        </w:rPr>
        <w:t>.</w:t>
      </w:r>
      <w:r w:rsidR="009D085B" w:rsidRPr="00217AC0">
        <w:rPr>
          <w:bCs/>
          <w:sz w:val="26"/>
          <w:szCs w:val="26"/>
        </w:rPr>
        <w:t xml:space="preserve">  Regarding revenue requirement,</w:t>
      </w:r>
      <w:r w:rsidR="00984F46" w:rsidRPr="00217AC0">
        <w:rPr>
          <w:sz w:val="26"/>
          <w:szCs w:val="26"/>
        </w:rPr>
        <w:t xml:space="preserve"> the OCA disputed the evidence relied upon by the Joint Petitioners and proposed that the OCA’s witnesses and exhibits presented a more credible view of the City’s financial position, which did not demonstrate a need for a rate increase.  Specifically,</w:t>
      </w:r>
      <w:r w:rsidR="009D085B" w:rsidRPr="00217AC0">
        <w:rPr>
          <w:bCs/>
          <w:sz w:val="26"/>
          <w:szCs w:val="26"/>
        </w:rPr>
        <w:t xml:space="preserve"> the OCA averred the City’s existing rates are adequate because they produce an overall rate of return of 5.65%</w:t>
      </w:r>
      <w:r w:rsidR="00514441" w:rsidRPr="00217AC0">
        <w:rPr>
          <w:bCs/>
          <w:sz w:val="26"/>
          <w:szCs w:val="26"/>
        </w:rPr>
        <w:t>, providing, according to the OCA, a reasonable return in these circumstances</w:t>
      </w:r>
      <w:r w:rsidR="009D085B" w:rsidRPr="00217AC0">
        <w:rPr>
          <w:bCs/>
          <w:sz w:val="26"/>
          <w:szCs w:val="26"/>
        </w:rPr>
        <w:t>.</w:t>
      </w:r>
      <w:r w:rsidR="00027C2F" w:rsidRPr="00217AC0">
        <w:rPr>
          <w:rStyle w:val="FootnoteReference"/>
          <w:sz w:val="26"/>
          <w:szCs w:val="26"/>
        </w:rPr>
        <w:footnoteReference w:id="14"/>
      </w:r>
      <w:r w:rsidR="00027C2F" w:rsidRPr="00217AC0">
        <w:rPr>
          <w:bCs/>
          <w:sz w:val="26"/>
          <w:szCs w:val="26"/>
        </w:rPr>
        <w:t xml:space="preserve">  </w:t>
      </w:r>
      <w:r w:rsidR="00AE3171" w:rsidRPr="00217AC0">
        <w:rPr>
          <w:bCs/>
          <w:i/>
          <w:iCs/>
          <w:sz w:val="26"/>
          <w:szCs w:val="26"/>
        </w:rPr>
        <w:t>Id</w:t>
      </w:r>
      <w:r w:rsidR="00027C2F" w:rsidRPr="00217AC0">
        <w:rPr>
          <w:bCs/>
          <w:sz w:val="26"/>
          <w:szCs w:val="26"/>
        </w:rPr>
        <w:t>. at 12 (citing, OCA M.B. at 9-24).</w:t>
      </w:r>
      <w:r w:rsidR="00AE3171" w:rsidRPr="00217AC0">
        <w:rPr>
          <w:bCs/>
          <w:sz w:val="26"/>
          <w:szCs w:val="26"/>
        </w:rPr>
        <w:t xml:space="preserve">  </w:t>
      </w:r>
      <w:r w:rsidR="00F128C2" w:rsidRPr="00217AC0">
        <w:rPr>
          <w:bCs/>
          <w:sz w:val="26"/>
          <w:szCs w:val="26"/>
        </w:rPr>
        <w:t>Likewise, the OCA</w:t>
      </w:r>
      <w:r w:rsidR="00085E29" w:rsidRPr="00217AC0">
        <w:rPr>
          <w:bCs/>
          <w:sz w:val="26"/>
          <w:szCs w:val="26"/>
        </w:rPr>
        <w:t xml:space="preserve"> </w:t>
      </w:r>
      <w:r w:rsidR="00AE3171" w:rsidRPr="00217AC0">
        <w:rPr>
          <w:bCs/>
          <w:sz w:val="26"/>
          <w:szCs w:val="26"/>
        </w:rPr>
        <w:t>contended that increasing base rates f</w:t>
      </w:r>
      <w:r w:rsidR="00A641F9" w:rsidRPr="00217AC0">
        <w:rPr>
          <w:bCs/>
          <w:sz w:val="26"/>
          <w:szCs w:val="26"/>
        </w:rPr>
        <w:t>or</w:t>
      </w:r>
      <w:r w:rsidR="00AE3171" w:rsidRPr="00217AC0">
        <w:rPr>
          <w:bCs/>
          <w:sz w:val="26"/>
          <w:szCs w:val="26"/>
        </w:rPr>
        <w:t xml:space="preserve"> outside-City customers by $689,932</w:t>
      </w:r>
      <w:r w:rsidR="003E1643" w:rsidRPr="00217AC0">
        <w:rPr>
          <w:bCs/>
          <w:sz w:val="26"/>
          <w:szCs w:val="26"/>
        </w:rPr>
        <w:t>, as provided for in the Settlement,</w:t>
      </w:r>
      <w:r w:rsidR="00AE3171" w:rsidRPr="00217AC0">
        <w:rPr>
          <w:bCs/>
          <w:sz w:val="26"/>
          <w:szCs w:val="26"/>
        </w:rPr>
        <w:t xml:space="preserve"> “is not supported by the evidence of record in this case.”  </w:t>
      </w:r>
      <w:r w:rsidR="00AE3171" w:rsidRPr="00217AC0">
        <w:rPr>
          <w:bCs/>
          <w:i/>
          <w:iCs/>
          <w:sz w:val="26"/>
          <w:szCs w:val="26"/>
        </w:rPr>
        <w:t>Id</w:t>
      </w:r>
      <w:r w:rsidR="00AE3171" w:rsidRPr="00217AC0">
        <w:rPr>
          <w:bCs/>
          <w:sz w:val="26"/>
          <w:szCs w:val="26"/>
        </w:rPr>
        <w:t>. at 12.</w:t>
      </w:r>
      <w:r w:rsidR="00EE237E" w:rsidRPr="00217AC0">
        <w:rPr>
          <w:bCs/>
          <w:sz w:val="26"/>
          <w:szCs w:val="26"/>
        </w:rPr>
        <w:t xml:space="preserve">  </w:t>
      </w:r>
    </w:p>
    <w:p w14:paraId="46B4F2F5" w14:textId="7E08C61E" w:rsidR="003B44CD" w:rsidRPr="00217AC0" w:rsidRDefault="003B44CD" w:rsidP="00217AC0">
      <w:pPr>
        <w:widowControl/>
        <w:spacing w:line="360" w:lineRule="auto"/>
        <w:ind w:firstLine="1440"/>
        <w:contextualSpacing/>
        <w:rPr>
          <w:bCs/>
          <w:sz w:val="26"/>
          <w:szCs w:val="26"/>
        </w:rPr>
      </w:pPr>
    </w:p>
    <w:p w14:paraId="09B84CD6" w14:textId="46E2735D" w:rsidR="00C854A9" w:rsidRPr="00217AC0" w:rsidRDefault="00C854A9" w:rsidP="00217AC0">
      <w:pPr>
        <w:widowControl/>
        <w:spacing w:line="360" w:lineRule="auto"/>
        <w:ind w:firstLine="1440"/>
        <w:contextualSpacing/>
        <w:rPr>
          <w:bCs/>
          <w:sz w:val="26"/>
          <w:szCs w:val="26"/>
        </w:rPr>
      </w:pPr>
      <w:r w:rsidRPr="00217AC0">
        <w:rPr>
          <w:bCs/>
          <w:sz w:val="26"/>
          <w:szCs w:val="26"/>
        </w:rPr>
        <w:t xml:space="preserve">In support of its opposition to the Settlement, the OCA cited to ALJ Katrina L. Dunderdale’s Recommended Decision in </w:t>
      </w:r>
      <w:r w:rsidRPr="00217AC0">
        <w:rPr>
          <w:bCs/>
          <w:i/>
          <w:iCs/>
          <w:sz w:val="26"/>
          <w:szCs w:val="26"/>
        </w:rPr>
        <w:t>Pa. PUC v. Columbia Gas of Pennsylvania, Inc</w:t>
      </w:r>
      <w:r w:rsidRPr="00217AC0">
        <w:rPr>
          <w:bCs/>
          <w:sz w:val="26"/>
          <w:szCs w:val="26"/>
        </w:rPr>
        <w:t>., Docket No. R-2020-3018835 (Order entered February 19, 2021)</w:t>
      </w:r>
      <w:r w:rsidR="002D6784" w:rsidRPr="00217AC0">
        <w:rPr>
          <w:bCs/>
          <w:sz w:val="26"/>
          <w:szCs w:val="26"/>
        </w:rPr>
        <w:t xml:space="preserve"> (</w:t>
      </w:r>
      <w:r w:rsidR="002D6784" w:rsidRPr="00217AC0">
        <w:rPr>
          <w:bCs/>
          <w:i/>
          <w:iCs/>
          <w:sz w:val="26"/>
          <w:szCs w:val="26"/>
        </w:rPr>
        <w:t>Columbia</w:t>
      </w:r>
      <w:r w:rsidR="00A86203" w:rsidRPr="00217AC0">
        <w:rPr>
          <w:bCs/>
          <w:i/>
          <w:iCs/>
          <w:sz w:val="26"/>
          <w:szCs w:val="26"/>
        </w:rPr>
        <w:t xml:space="preserve"> Gas</w:t>
      </w:r>
      <w:r w:rsidR="002D6784" w:rsidRPr="00217AC0">
        <w:rPr>
          <w:bCs/>
          <w:sz w:val="26"/>
          <w:szCs w:val="26"/>
        </w:rPr>
        <w:t>)</w:t>
      </w:r>
      <w:r w:rsidRPr="00217AC0">
        <w:rPr>
          <w:bCs/>
          <w:sz w:val="26"/>
          <w:szCs w:val="26"/>
        </w:rPr>
        <w:t xml:space="preserve">, in </w:t>
      </w:r>
      <w:r w:rsidRPr="00217AC0">
        <w:rPr>
          <w:bCs/>
          <w:sz w:val="26"/>
          <w:szCs w:val="26"/>
        </w:rPr>
        <w:lastRenderedPageBreak/>
        <w:t xml:space="preserve">which the ALJ recommended denial of the rate increase for reasons related to the COVID-19 pandemic.  OCA R.B. at 11-12.  </w:t>
      </w:r>
    </w:p>
    <w:p w14:paraId="625031CB" w14:textId="77777777" w:rsidR="00C26664" w:rsidRPr="00217AC0" w:rsidRDefault="00C26664" w:rsidP="00217AC0">
      <w:pPr>
        <w:widowControl/>
        <w:spacing w:line="360" w:lineRule="auto"/>
        <w:contextualSpacing/>
        <w:rPr>
          <w:bCs/>
          <w:sz w:val="26"/>
          <w:szCs w:val="26"/>
        </w:rPr>
      </w:pPr>
    </w:p>
    <w:p w14:paraId="3684A5E6" w14:textId="18790CEE" w:rsidR="00EC68B5" w:rsidRPr="00217AC0" w:rsidRDefault="00EC68B5" w:rsidP="00217AC0">
      <w:pPr>
        <w:widowControl/>
        <w:spacing w:line="360" w:lineRule="auto"/>
        <w:ind w:firstLine="1440"/>
        <w:contextualSpacing/>
        <w:rPr>
          <w:bCs/>
          <w:sz w:val="26"/>
          <w:szCs w:val="26"/>
        </w:rPr>
      </w:pPr>
      <w:r w:rsidRPr="00217AC0">
        <w:rPr>
          <w:bCs/>
          <w:sz w:val="26"/>
          <w:szCs w:val="26"/>
        </w:rPr>
        <w:t>With regard to the pandemic’s impact on customers, the OCA cited unemployment rates, as of September 2020, of the working population in Lehigh and Northampton Counties, portions of which are served by the City, of 8.3% and 7.6%, respectively.</w:t>
      </w:r>
      <w:r w:rsidRPr="00217AC0">
        <w:rPr>
          <w:bCs/>
          <w:sz w:val="26"/>
          <w:szCs w:val="26"/>
          <w:vertAlign w:val="superscript"/>
        </w:rPr>
        <w:footnoteReference w:id="15"/>
      </w:r>
      <w:r w:rsidRPr="00217AC0">
        <w:rPr>
          <w:bCs/>
          <w:sz w:val="26"/>
          <w:szCs w:val="26"/>
        </w:rPr>
        <w:t xml:space="preserve">  OCA St. No. 1 at 11.  In surrebuttal testimony, the OCA noted declining unemployment rates from September</w:t>
      </w:r>
      <w:r w:rsidR="00DF388F" w:rsidRPr="00217AC0">
        <w:rPr>
          <w:bCs/>
          <w:sz w:val="26"/>
          <w:szCs w:val="26"/>
        </w:rPr>
        <w:t xml:space="preserve"> 2020</w:t>
      </w:r>
      <w:r w:rsidRPr="00217AC0">
        <w:rPr>
          <w:bCs/>
          <w:sz w:val="26"/>
          <w:szCs w:val="26"/>
        </w:rPr>
        <w:t xml:space="preserve"> to October 2020, with unemployment rates in Lehigh County of 7.4% and Northampton County of 6.8%.  OCA St. No. 1S at 2.  Nevertheless, the OCA contended that the current economic situation justifies summarily denying the City’s</w:t>
      </w:r>
      <w:r w:rsidR="00A641F9" w:rsidRPr="00217AC0">
        <w:rPr>
          <w:bCs/>
          <w:sz w:val="26"/>
          <w:szCs w:val="26"/>
        </w:rPr>
        <w:t xml:space="preserve"> request for</w:t>
      </w:r>
      <w:r w:rsidRPr="00217AC0">
        <w:rPr>
          <w:bCs/>
          <w:sz w:val="26"/>
          <w:szCs w:val="26"/>
        </w:rPr>
        <w:t xml:space="preserve"> rate relief.</w:t>
      </w:r>
    </w:p>
    <w:p w14:paraId="31A562C3" w14:textId="494F377B" w:rsidR="003B44CD" w:rsidRPr="00217AC0" w:rsidRDefault="003B44CD" w:rsidP="00217AC0">
      <w:pPr>
        <w:widowControl/>
        <w:spacing w:line="360" w:lineRule="auto"/>
        <w:ind w:firstLine="1440"/>
        <w:contextualSpacing/>
        <w:rPr>
          <w:bCs/>
          <w:sz w:val="26"/>
          <w:szCs w:val="26"/>
        </w:rPr>
      </w:pPr>
    </w:p>
    <w:p w14:paraId="350AF0C4" w14:textId="4EF335DD" w:rsidR="00685868" w:rsidRPr="00217AC0" w:rsidRDefault="00573964" w:rsidP="00217AC0">
      <w:pPr>
        <w:widowControl/>
        <w:spacing w:line="360" w:lineRule="auto"/>
        <w:ind w:firstLine="1440"/>
        <w:contextualSpacing/>
        <w:rPr>
          <w:bCs/>
          <w:sz w:val="26"/>
          <w:szCs w:val="26"/>
        </w:rPr>
      </w:pPr>
      <w:r w:rsidRPr="00217AC0">
        <w:rPr>
          <w:bCs/>
          <w:sz w:val="26"/>
          <w:szCs w:val="26"/>
        </w:rPr>
        <w:t>Further, the OCA c</w:t>
      </w:r>
      <w:r w:rsidR="00204C43" w:rsidRPr="00217AC0">
        <w:rPr>
          <w:bCs/>
          <w:sz w:val="26"/>
          <w:szCs w:val="26"/>
        </w:rPr>
        <w:t>oncluded</w:t>
      </w:r>
      <w:r w:rsidRPr="00217AC0">
        <w:rPr>
          <w:bCs/>
          <w:sz w:val="26"/>
          <w:szCs w:val="26"/>
        </w:rPr>
        <w:t xml:space="preserve"> tha</w:t>
      </w:r>
      <w:r w:rsidR="00204C43" w:rsidRPr="00217AC0">
        <w:rPr>
          <w:bCs/>
          <w:sz w:val="26"/>
          <w:szCs w:val="26"/>
        </w:rPr>
        <w:t xml:space="preserve">t, </w:t>
      </w:r>
      <w:r w:rsidRPr="00217AC0">
        <w:rPr>
          <w:bCs/>
          <w:sz w:val="26"/>
          <w:szCs w:val="26"/>
        </w:rPr>
        <w:t>assuming some of the City’s FTY projections are accurate</w:t>
      </w:r>
      <w:r w:rsidR="00204C43" w:rsidRPr="00217AC0">
        <w:rPr>
          <w:bCs/>
          <w:sz w:val="26"/>
          <w:szCs w:val="26"/>
        </w:rPr>
        <w:t xml:space="preserve"> and </w:t>
      </w:r>
      <w:r w:rsidR="00B33D60" w:rsidRPr="00217AC0">
        <w:rPr>
          <w:bCs/>
          <w:sz w:val="26"/>
          <w:szCs w:val="26"/>
        </w:rPr>
        <w:t>removing</w:t>
      </w:r>
      <w:r w:rsidR="002C79AC" w:rsidRPr="00217AC0">
        <w:rPr>
          <w:bCs/>
          <w:sz w:val="26"/>
          <w:szCs w:val="26"/>
        </w:rPr>
        <w:t xml:space="preserve"> any consideration of the pandemic</w:t>
      </w:r>
      <w:r w:rsidRPr="00217AC0">
        <w:rPr>
          <w:bCs/>
          <w:sz w:val="26"/>
          <w:szCs w:val="26"/>
        </w:rPr>
        <w:t>, the City ha</w:t>
      </w:r>
      <w:r w:rsidR="00BD14E9" w:rsidRPr="00217AC0">
        <w:rPr>
          <w:bCs/>
          <w:sz w:val="26"/>
          <w:szCs w:val="26"/>
        </w:rPr>
        <w:t>s</w:t>
      </w:r>
      <w:r w:rsidR="00685868" w:rsidRPr="00217AC0">
        <w:rPr>
          <w:bCs/>
          <w:sz w:val="26"/>
          <w:szCs w:val="26"/>
        </w:rPr>
        <w:t xml:space="preserve">, at most, an additional revenue requirement of </w:t>
      </w:r>
      <w:r w:rsidRPr="00217AC0">
        <w:rPr>
          <w:bCs/>
          <w:sz w:val="26"/>
          <w:szCs w:val="26"/>
        </w:rPr>
        <w:t>$443,666</w:t>
      </w:r>
      <w:r w:rsidR="00685868" w:rsidRPr="00217AC0">
        <w:rPr>
          <w:bCs/>
          <w:sz w:val="26"/>
          <w:szCs w:val="26"/>
        </w:rPr>
        <w:t xml:space="preserve"> for jurisdictional service to outside-City customers</w:t>
      </w:r>
      <w:r w:rsidR="00D34B5D" w:rsidRPr="00217AC0">
        <w:rPr>
          <w:bCs/>
          <w:sz w:val="26"/>
          <w:szCs w:val="26"/>
        </w:rPr>
        <w:t xml:space="preserve"> at an overall rate of return of 6.57%</w:t>
      </w:r>
      <w:r w:rsidR="00C26664" w:rsidRPr="00217AC0">
        <w:rPr>
          <w:rStyle w:val="FootnoteReference"/>
          <w:sz w:val="26"/>
          <w:szCs w:val="26"/>
        </w:rPr>
        <w:footnoteReference w:id="16"/>
      </w:r>
      <w:r w:rsidR="00513922" w:rsidRPr="00217AC0">
        <w:rPr>
          <w:bCs/>
          <w:sz w:val="26"/>
          <w:szCs w:val="26"/>
        </w:rPr>
        <w:t xml:space="preserve"> (OCA’s “business as usual” approach, including cost of equity and accounting adjustments). </w:t>
      </w:r>
      <w:r w:rsidR="00685868" w:rsidRPr="00217AC0">
        <w:rPr>
          <w:bCs/>
          <w:sz w:val="26"/>
          <w:szCs w:val="26"/>
        </w:rPr>
        <w:t xml:space="preserve"> OCA St. No. 2S at 1-2</w:t>
      </w:r>
      <w:r w:rsidR="00D34B5D" w:rsidRPr="00217AC0">
        <w:rPr>
          <w:bCs/>
          <w:sz w:val="26"/>
          <w:szCs w:val="26"/>
        </w:rPr>
        <w:t>; OCA R.B. at 10</w:t>
      </w:r>
      <w:r w:rsidR="00C26664" w:rsidRPr="00217AC0">
        <w:rPr>
          <w:bCs/>
          <w:sz w:val="26"/>
          <w:szCs w:val="26"/>
        </w:rPr>
        <w:t>.</w:t>
      </w:r>
      <w:r w:rsidR="00526469" w:rsidRPr="00217AC0">
        <w:rPr>
          <w:bCs/>
          <w:sz w:val="26"/>
          <w:szCs w:val="26"/>
        </w:rPr>
        <w:t xml:space="preserve">  However, the OCA submitted that an overall return of 5.65%, resulting </w:t>
      </w:r>
      <w:r w:rsidR="00526469" w:rsidRPr="00217AC0">
        <w:rPr>
          <w:bCs/>
          <w:sz w:val="26"/>
          <w:szCs w:val="26"/>
        </w:rPr>
        <w:lastRenderedPageBreak/>
        <w:t>from a denial of any rate increase at this time, although less than the “business as usual” approach, is sufficient for the City to cover its debt costs, operation and maintenance expense and provide safe, adequate</w:t>
      </w:r>
      <w:r w:rsidR="00B040D7" w:rsidRPr="00217AC0">
        <w:rPr>
          <w:bCs/>
          <w:sz w:val="26"/>
          <w:szCs w:val="26"/>
        </w:rPr>
        <w:t>,</w:t>
      </w:r>
      <w:r w:rsidR="00526469" w:rsidRPr="00217AC0">
        <w:rPr>
          <w:bCs/>
          <w:sz w:val="26"/>
          <w:szCs w:val="26"/>
        </w:rPr>
        <w:t xml:space="preserve"> and reliable service in this time of a pandemic.  OCA</w:t>
      </w:r>
      <w:r w:rsidR="0093332F">
        <w:rPr>
          <w:bCs/>
          <w:sz w:val="26"/>
          <w:szCs w:val="26"/>
        </w:rPr>
        <w:t> </w:t>
      </w:r>
      <w:r w:rsidR="00526469" w:rsidRPr="00217AC0">
        <w:rPr>
          <w:bCs/>
          <w:sz w:val="26"/>
          <w:szCs w:val="26"/>
        </w:rPr>
        <w:t xml:space="preserve">R.B. at 12; OCA M.B. at 15-22.  </w:t>
      </w:r>
    </w:p>
    <w:p w14:paraId="4FC4B72A" w14:textId="41D41B8C" w:rsidR="009A7AEC" w:rsidRPr="00217AC0" w:rsidRDefault="009A7AEC" w:rsidP="00217AC0">
      <w:pPr>
        <w:widowControl/>
        <w:spacing w:line="360" w:lineRule="auto"/>
        <w:contextualSpacing/>
        <w:rPr>
          <w:bCs/>
          <w:sz w:val="26"/>
          <w:szCs w:val="26"/>
        </w:rPr>
      </w:pPr>
    </w:p>
    <w:p w14:paraId="56787683" w14:textId="2C11BFBE" w:rsidR="005C0629" w:rsidRPr="00217AC0" w:rsidRDefault="009A7AEC" w:rsidP="00217AC0">
      <w:pPr>
        <w:pStyle w:val="Heading4"/>
        <w:widowControl/>
      </w:pPr>
      <w:bookmarkStart w:id="28" w:name="_Toc69230514"/>
      <w:r w:rsidRPr="00217AC0">
        <w:t>OSBA</w:t>
      </w:r>
      <w:bookmarkEnd w:id="28"/>
    </w:p>
    <w:p w14:paraId="143439DA" w14:textId="0C73F34F" w:rsidR="00DE0F58" w:rsidRPr="00217AC0" w:rsidRDefault="00DE0F58" w:rsidP="00217AC0">
      <w:pPr>
        <w:keepNext/>
        <w:widowControl/>
        <w:spacing w:line="360" w:lineRule="auto"/>
        <w:contextualSpacing/>
        <w:rPr>
          <w:b/>
          <w:sz w:val="26"/>
          <w:szCs w:val="26"/>
        </w:rPr>
      </w:pPr>
    </w:p>
    <w:p w14:paraId="5749D2AC" w14:textId="6B647DC6" w:rsidR="00B23760" w:rsidRPr="00217AC0" w:rsidRDefault="00B23760" w:rsidP="00217AC0">
      <w:pPr>
        <w:keepNext/>
        <w:widowControl/>
        <w:spacing w:line="360" w:lineRule="auto"/>
        <w:ind w:firstLine="1440"/>
        <w:contextualSpacing/>
        <w:rPr>
          <w:bCs/>
          <w:sz w:val="26"/>
          <w:szCs w:val="26"/>
        </w:rPr>
      </w:pPr>
      <w:r w:rsidRPr="00217AC0">
        <w:rPr>
          <w:bCs/>
          <w:sz w:val="26"/>
          <w:szCs w:val="26"/>
        </w:rPr>
        <w:t xml:space="preserve">Although the OSBA did not file Objections to the Joint Petition, the OSBA did argue in its </w:t>
      </w:r>
      <w:r w:rsidR="00E56576" w:rsidRPr="00217AC0">
        <w:rPr>
          <w:bCs/>
          <w:sz w:val="26"/>
          <w:szCs w:val="26"/>
        </w:rPr>
        <w:t xml:space="preserve">Main Brief against approval of any rate increase to the City due to the impact of the COVID-19 pandemic.  </w:t>
      </w:r>
      <w:r w:rsidR="00A641F9" w:rsidRPr="00217AC0">
        <w:rPr>
          <w:bCs/>
          <w:sz w:val="26"/>
          <w:szCs w:val="26"/>
        </w:rPr>
        <w:t xml:space="preserve">The </w:t>
      </w:r>
      <w:r w:rsidR="00E56576" w:rsidRPr="00217AC0">
        <w:rPr>
          <w:bCs/>
          <w:sz w:val="26"/>
          <w:szCs w:val="26"/>
        </w:rPr>
        <w:t>OSBA’s argument is summarized on page five of its Main Brief, as it stated, “…our concern with increasing customer rates at this time is essentially two-fold:</w:t>
      </w:r>
      <w:r w:rsidR="00327059">
        <w:rPr>
          <w:bCs/>
          <w:sz w:val="26"/>
          <w:szCs w:val="26"/>
        </w:rPr>
        <w:t xml:space="preserve"> </w:t>
      </w:r>
      <w:r w:rsidR="00E56576" w:rsidRPr="00217AC0">
        <w:rPr>
          <w:bCs/>
          <w:sz w:val="26"/>
          <w:szCs w:val="26"/>
        </w:rPr>
        <w:t>how many Commonwealth small businesses will be critical</w:t>
      </w:r>
      <w:r w:rsidR="004E2C4D" w:rsidRPr="00217AC0">
        <w:rPr>
          <w:bCs/>
          <w:sz w:val="26"/>
          <w:szCs w:val="26"/>
        </w:rPr>
        <w:t xml:space="preserve">ly (and/or permanently) </w:t>
      </w:r>
      <w:r w:rsidR="00E56576" w:rsidRPr="00217AC0">
        <w:rPr>
          <w:bCs/>
          <w:sz w:val="26"/>
          <w:szCs w:val="26"/>
        </w:rPr>
        <w:t>affected by the C</w:t>
      </w:r>
      <w:r w:rsidR="004E2C4D" w:rsidRPr="00217AC0">
        <w:rPr>
          <w:bCs/>
          <w:sz w:val="26"/>
          <w:szCs w:val="26"/>
        </w:rPr>
        <w:t>OVID</w:t>
      </w:r>
      <w:r w:rsidR="00E56576" w:rsidRPr="00217AC0">
        <w:rPr>
          <w:bCs/>
          <w:sz w:val="26"/>
          <w:szCs w:val="26"/>
        </w:rPr>
        <w:t>-19 Pandemic; and how long will this Pandemic last</w:t>
      </w:r>
      <w:r w:rsidR="004E2C4D" w:rsidRPr="00217AC0">
        <w:rPr>
          <w:bCs/>
          <w:sz w:val="26"/>
          <w:szCs w:val="26"/>
        </w:rPr>
        <w:t>?</w:t>
      </w:r>
      <w:r w:rsidR="00E56576" w:rsidRPr="00217AC0">
        <w:rPr>
          <w:bCs/>
          <w:sz w:val="26"/>
          <w:szCs w:val="26"/>
        </w:rPr>
        <w:t xml:space="preserve">”  OSBA M.B. at 5.  </w:t>
      </w:r>
    </w:p>
    <w:p w14:paraId="2EE6672F" w14:textId="5032A2BF" w:rsidR="009A7AEC" w:rsidRPr="00217AC0" w:rsidRDefault="009A7AEC" w:rsidP="00217AC0">
      <w:pPr>
        <w:widowControl/>
        <w:spacing w:line="360" w:lineRule="auto"/>
        <w:contextualSpacing/>
        <w:rPr>
          <w:b/>
          <w:sz w:val="26"/>
          <w:szCs w:val="26"/>
        </w:rPr>
      </w:pPr>
    </w:p>
    <w:p w14:paraId="419A619D" w14:textId="3D8D1114" w:rsidR="002D716A" w:rsidRPr="00217AC0" w:rsidRDefault="002D716A" w:rsidP="00217AC0">
      <w:pPr>
        <w:pStyle w:val="Heading3"/>
        <w:keepNext/>
        <w:ind w:left="1440" w:hanging="720"/>
      </w:pPr>
      <w:bookmarkStart w:id="29" w:name="_Toc69230515"/>
      <w:r w:rsidRPr="00217AC0">
        <w:t>Reply Comments to OCA’s Objections</w:t>
      </w:r>
      <w:bookmarkEnd w:id="29"/>
    </w:p>
    <w:p w14:paraId="3687226C" w14:textId="2957847A" w:rsidR="002D716A" w:rsidRPr="00217AC0" w:rsidRDefault="002D716A" w:rsidP="00217AC0">
      <w:pPr>
        <w:keepNext/>
        <w:widowControl/>
        <w:spacing w:line="360" w:lineRule="auto"/>
        <w:contextualSpacing/>
        <w:rPr>
          <w:b/>
          <w:sz w:val="26"/>
          <w:szCs w:val="26"/>
        </w:rPr>
      </w:pPr>
    </w:p>
    <w:p w14:paraId="1D821650" w14:textId="7A86A58A" w:rsidR="002D716A" w:rsidRPr="00217AC0" w:rsidRDefault="002D716A" w:rsidP="00217AC0">
      <w:pPr>
        <w:pStyle w:val="Heading4"/>
        <w:widowControl/>
        <w:numPr>
          <w:ilvl w:val="0"/>
          <w:numId w:val="41"/>
        </w:numPr>
        <w:ind w:left="2160" w:hanging="720"/>
      </w:pPr>
      <w:bookmarkStart w:id="30" w:name="_Toc69230516"/>
      <w:r w:rsidRPr="00217AC0">
        <w:t>Bethlehem</w:t>
      </w:r>
      <w:bookmarkEnd w:id="30"/>
    </w:p>
    <w:p w14:paraId="3D780BD9" w14:textId="1A899F30" w:rsidR="002D716A" w:rsidRPr="00217AC0" w:rsidRDefault="002D716A" w:rsidP="00217AC0">
      <w:pPr>
        <w:keepNext/>
        <w:widowControl/>
        <w:spacing w:line="360" w:lineRule="auto"/>
        <w:contextualSpacing/>
        <w:rPr>
          <w:b/>
          <w:sz w:val="26"/>
          <w:szCs w:val="26"/>
        </w:rPr>
      </w:pPr>
    </w:p>
    <w:p w14:paraId="2CACB840" w14:textId="75CB6CB0" w:rsidR="002D716A" w:rsidRPr="00217AC0" w:rsidRDefault="00F122A7" w:rsidP="00217AC0">
      <w:pPr>
        <w:keepNext/>
        <w:widowControl/>
        <w:spacing w:line="360" w:lineRule="auto"/>
        <w:ind w:firstLine="1440"/>
        <w:contextualSpacing/>
        <w:rPr>
          <w:bCs/>
          <w:sz w:val="26"/>
          <w:szCs w:val="26"/>
        </w:rPr>
      </w:pPr>
      <w:r w:rsidRPr="00217AC0">
        <w:rPr>
          <w:bCs/>
          <w:sz w:val="26"/>
          <w:szCs w:val="26"/>
        </w:rPr>
        <w:t>The City began</w:t>
      </w:r>
      <w:r w:rsidR="00B40829" w:rsidRPr="00217AC0">
        <w:rPr>
          <w:bCs/>
          <w:sz w:val="26"/>
          <w:szCs w:val="26"/>
        </w:rPr>
        <w:t xml:space="preserve"> its Reply Comments</w:t>
      </w:r>
      <w:r w:rsidRPr="00217AC0">
        <w:rPr>
          <w:bCs/>
          <w:sz w:val="26"/>
          <w:szCs w:val="26"/>
        </w:rPr>
        <w:t xml:space="preserve"> by highlighting the Commission’s standards for reviewing a nonunanimous settlement, with which the OCA concurred.  Specifically, in </w:t>
      </w:r>
      <w:r w:rsidRPr="00217AC0">
        <w:rPr>
          <w:bCs/>
          <w:i/>
          <w:iCs/>
          <w:sz w:val="26"/>
          <w:szCs w:val="26"/>
        </w:rPr>
        <w:t>Joint Application of West Penn Power Company d/b/a Allegheny Power, Trans-Allegheny Interstate Line Company and FirstEnergy Corp</w:t>
      </w:r>
      <w:r w:rsidRPr="00217AC0">
        <w:rPr>
          <w:bCs/>
          <w:sz w:val="26"/>
          <w:szCs w:val="26"/>
        </w:rPr>
        <w:t>., Docket Nos. A</w:t>
      </w:r>
      <w:r w:rsidR="0093332F">
        <w:rPr>
          <w:bCs/>
          <w:sz w:val="26"/>
          <w:szCs w:val="26"/>
        </w:rPr>
        <w:noBreakHyphen/>
      </w:r>
      <w:r w:rsidRPr="00217AC0">
        <w:rPr>
          <w:bCs/>
          <w:sz w:val="26"/>
          <w:szCs w:val="26"/>
        </w:rPr>
        <w:t>2010</w:t>
      </w:r>
      <w:r w:rsidR="0093332F">
        <w:rPr>
          <w:bCs/>
          <w:sz w:val="26"/>
          <w:szCs w:val="26"/>
        </w:rPr>
        <w:noBreakHyphen/>
      </w:r>
      <w:r w:rsidRPr="00217AC0">
        <w:rPr>
          <w:bCs/>
          <w:sz w:val="26"/>
          <w:szCs w:val="26"/>
        </w:rPr>
        <w:t>2176520 and A-2010-2176732 (Order entered March 8, 2011) (</w:t>
      </w:r>
      <w:r w:rsidRPr="00217AC0">
        <w:rPr>
          <w:bCs/>
          <w:i/>
          <w:iCs/>
          <w:sz w:val="26"/>
          <w:szCs w:val="26"/>
        </w:rPr>
        <w:t>West Penn</w:t>
      </w:r>
      <w:r w:rsidRPr="00217AC0">
        <w:rPr>
          <w:bCs/>
          <w:sz w:val="26"/>
          <w:szCs w:val="26"/>
        </w:rPr>
        <w:t>), the Commission stated</w:t>
      </w:r>
      <w:r w:rsidR="000162F1" w:rsidRPr="00217AC0">
        <w:rPr>
          <w:bCs/>
          <w:sz w:val="26"/>
          <w:szCs w:val="26"/>
        </w:rPr>
        <w:t xml:space="preserve"> that “the Commission’s standards for reviewing a nonunanimous settlement, as proposed here, are the same as those for deciding a fully contested case.  Accordingly, substantial evidence consistent with statutory requirements must support the proposed settlement.”  City Reply Comments at 2-3.  </w:t>
      </w:r>
      <w:r w:rsidR="00E95A82" w:rsidRPr="00217AC0">
        <w:rPr>
          <w:bCs/>
          <w:sz w:val="26"/>
          <w:szCs w:val="26"/>
        </w:rPr>
        <w:t xml:space="preserve">The City </w:t>
      </w:r>
      <w:r w:rsidR="00925562" w:rsidRPr="00217AC0">
        <w:rPr>
          <w:bCs/>
          <w:sz w:val="26"/>
          <w:szCs w:val="26"/>
        </w:rPr>
        <w:t xml:space="preserve">maintained that its originally proposed increase is supported by substantial evidence, </w:t>
      </w:r>
      <w:r w:rsidR="00787E72" w:rsidRPr="00217AC0">
        <w:rPr>
          <w:bCs/>
          <w:sz w:val="26"/>
          <w:szCs w:val="26"/>
        </w:rPr>
        <w:t>s</w:t>
      </w:r>
      <w:r w:rsidR="00925562" w:rsidRPr="00217AC0">
        <w:rPr>
          <w:bCs/>
          <w:sz w:val="26"/>
          <w:szCs w:val="26"/>
        </w:rPr>
        <w:t>atisf</w:t>
      </w:r>
      <w:r w:rsidR="00787E72" w:rsidRPr="00217AC0">
        <w:rPr>
          <w:bCs/>
          <w:sz w:val="26"/>
          <w:szCs w:val="26"/>
        </w:rPr>
        <w:t>ying</w:t>
      </w:r>
      <w:r w:rsidR="00925562" w:rsidRPr="00217AC0">
        <w:rPr>
          <w:bCs/>
          <w:sz w:val="26"/>
          <w:szCs w:val="26"/>
        </w:rPr>
        <w:t xml:space="preserve"> this criterion, </w:t>
      </w:r>
      <w:r w:rsidR="00925562" w:rsidRPr="00217AC0">
        <w:rPr>
          <w:bCs/>
          <w:sz w:val="26"/>
          <w:szCs w:val="26"/>
        </w:rPr>
        <w:lastRenderedPageBreak/>
        <w:t xml:space="preserve">and consequently so does the revenue increase </w:t>
      </w:r>
      <w:r w:rsidR="00787E72" w:rsidRPr="00217AC0">
        <w:rPr>
          <w:bCs/>
          <w:sz w:val="26"/>
          <w:szCs w:val="26"/>
        </w:rPr>
        <w:t>under</w:t>
      </w:r>
      <w:r w:rsidR="00E95A82" w:rsidRPr="00217AC0">
        <w:rPr>
          <w:bCs/>
          <w:sz w:val="26"/>
          <w:szCs w:val="26"/>
        </w:rPr>
        <w:t xml:space="preserve"> the Settlemen</w:t>
      </w:r>
      <w:r w:rsidR="00925562" w:rsidRPr="00217AC0">
        <w:rPr>
          <w:bCs/>
          <w:sz w:val="26"/>
          <w:szCs w:val="26"/>
        </w:rPr>
        <w:t>t</w:t>
      </w:r>
      <w:r w:rsidR="00E95A82" w:rsidRPr="00217AC0">
        <w:rPr>
          <w:bCs/>
          <w:sz w:val="26"/>
          <w:szCs w:val="26"/>
        </w:rPr>
        <w:t xml:space="preserve">.  </w:t>
      </w:r>
      <w:r w:rsidR="00E95A82" w:rsidRPr="00217AC0">
        <w:rPr>
          <w:bCs/>
          <w:i/>
          <w:iCs/>
          <w:sz w:val="26"/>
          <w:szCs w:val="26"/>
        </w:rPr>
        <w:t>Id</w:t>
      </w:r>
      <w:r w:rsidR="00E95A82" w:rsidRPr="00217AC0">
        <w:rPr>
          <w:bCs/>
          <w:sz w:val="26"/>
          <w:szCs w:val="26"/>
        </w:rPr>
        <w:t>. at 3.</w:t>
      </w:r>
      <w:r w:rsidR="00040FA6" w:rsidRPr="00217AC0">
        <w:rPr>
          <w:bCs/>
          <w:sz w:val="26"/>
          <w:szCs w:val="26"/>
        </w:rPr>
        <w:t xml:space="preserve">  Likewise, the City maintained that the Settlement satisfies the public interest standard, under which partial settlements are to be evaluated, as indicated in </w:t>
      </w:r>
      <w:r w:rsidR="00040FA6" w:rsidRPr="00217AC0">
        <w:rPr>
          <w:bCs/>
          <w:i/>
          <w:iCs/>
          <w:sz w:val="26"/>
          <w:szCs w:val="26"/>
        </w:rPr>
        <w:t>PGW</w:t>
      </w:r>
      <w:r w:rsidR="001608DC" w:rsidRPr="00217AC0">
        <w:rPr>
          <w:bCs/>
          <w:sz w:val="26"/>
          <w:szCs w:val="26"/>
        </w:rPr>
        <w:t>, since the settlement increase is at a level reduced from the City’s original filing, reflecting a compromise of the positions of the City and I&amp;E</w:t>
      </w:r>
      <w:r w:rsidR="00040FA6" w:rsidRPr="00217AC0">
        <w:rPr>
          <w:bCs/>
          <w:sz w:val="26"/>
          <w:szCs w:val="26"/>
        </w:rPr>
        <w:t xml:space="preserve">.  </w:t>
      </w:r>
      <w:r w:rsidR="00040FA6" w:rsidRPr="00217AC0">
        <w:rPr>
          <w:bCs/>
          <w:i/>
          <w:iCs/>
          <w:sz w:val="26"/>
          <w:szCs w:val="26"/>
        </w:rPr>
        <w:t>Id</w:t>
      </w:r>
      <w:r w:rsidR="00040FA6" w:rsidRPr="00217AC0">
        <w:rPr>
          <w:bCs/>
          <w:sz w:val="26"/>
          <w:szCs w:val="26"/>
        </w:rPr>
        <w:t>. at 3</w:t>
      </w:r>
      <w:r w:rsidR="001608DC" w:rsidRPr="00217AC0">
        <w:rPr>
          <w:bCs/>
          <w:sz w:val="26"/>
          <w:szCs w:val="26"/>
        </w:rPr>
        <w:t>-5</w:t>
      </w:r>
      <w:r w:rsidR="00040FA6" w:rsidRPr="00217AC0">
        <w:rPr>
          <w:bCs/>
          <w:sz w:val="26"/>
          <w:szCs w:val="26"/>
        </w:rPr>
        <w:t xml:space="preserve">.  </w:t>
      </w:r>
    </w:p>
    <w:p w14:paraId="1812D10D" w14:textId="7FF507AE" w:rsidR="002D716A" w:rsidRPr="00217AC0" w:rsidRDefault="002D716A" w:rsidP="00217AC0">
      <w:pPr>
        <w:widowControl/>
        <w:spacing w:line="360" w:lineRule="auto"/>
        <w:contextualSpacing/>
        <w:rPr>
          <w:bCs/>
          <w:sz w:val="26"/>
          <w:szCs w:val="26"/>
        </w:rPr>
      </w:pPr>
    </w:p>
    <w:p w14:paraId="16B89F26" w14:textId="71552AAD" w:rsidR="002E2908" w:rsidRPr="00217AC0" w:rsidRDefault="00A86203" w:rsidP="00217AC0">
      <w:pPr>
        <w:widowControl/>
        <w:spacing w:line="360" w:lineRule="auto"/>
        <w:ind w:firstLine="1440"/>
        <w:contextualSpacing/>
        <w:rPr>
          <w:bCs/>
          <w:sz w:val="26"/>
          <w:szCs w:val="26"/>
        </w:rPr>
      </w:pPr>
      <w:r w:rsidRPr="00217AC0">
        <w:rPr>
          <w:bCs/>
          <w:sz w:val="26"/>
          <w:szCs w:val="26"/>
        </w:rPr>
        <w:t xml:space="preserve">Contrary to the OCA’s reliance on the ALJ’s recommendation in the recent </w:t>
      </w:r>
      <w:r w:rsidRPr="00217AC0">
        <w:rPr>
          <w:bCs/>
          <w:i/>
          <w:iCs/>
          <w:sz w:val="26"/>
          <w:szCs w:val="26"/>
        </w:rPr>
        <w:t>Columbia Gas</w:t>
      </w:r>
      <w:r w:rsidRPr="00217AC0">
        <w:rPr>
          <w:bCs/>
          <w:sz w:val="26"/>
          <w:szCs w:val="26"/>
        </w:rPr>
        <w:t xml:space="preserve"> proceeding, </w:t>
      </w:r>
      <w:r w:rsidR="00661A1B" w:rsidRPr="00217AC0">
        <w:rPr>
          <w:bCs/>
          <w:sz w:val="26"/>
          <w:szCs w:val="26"/>
        </w:rPr>
        <w:t xml:space="preserve">which neither involved a settlement nor had been </w:t>
      </w:r>
      <w:r w:rsidR="006E171B" w:rsidRPr="00217AC0">
        <w:rPr>
          <w:bCs/>
          <w:sz w:val="26"/>
          <w:szCs w:val="26"/>
        </w:rPr>
        <w:t>decided upon</w:t>
      </w:r>
      <w:r w:rsidR="00661A1B" w:rsidRPr="00217AC0">
        <w:rPr>
          <w:bCs/>
          <w:sz w:val="26"/>
          <w:szCs w:val="26"/>
        </w:rPr>
        <w:t xml:space="preserve"> by the Commission prior to the issuance of ALJ Haas’ Recommended Decision in the instant proceeding, </w:t>
      </w:r>
      <w:r w:rsidR="006E171B" w:rsidRPr="00217AC0">
        <w:rPr>
          <w:bCs/>
          <w:sz w:val="26"/>
          <w:szCs w:val="26"/>
        </w:rPr>
        <w:t xml:space="preserve">the City </w:t>
      </w:r>
      <w:r w:rsidR="001568F1" w:rsidRPr="00217AC0">
        <w:rPr>
          <w:bCs/>
          <w:sz w:val="26"/>
          <w:szCs w:val="26"/>
        </w:rPr>
        <w:t>maintained its contention</w:t>
      </w:r>
      <w:r w:rsidR="006E171B" w:rsidRPr="00217AC0">
        <w:rPr>
          <w:bCs/>
          <w:sz w:val="26"/>
          <w:szCs w:val="26"/>
        </w:rPr>
        <w:t xml:space="preserve"> </w:t>
      </w:r>
      <w:r w:rsidR="00493620" w:rsidRPr="00217AC0">
        <w:rPr>
          <w:bCs/>
          <w:sz w:val="26"/>
          <w:szCs w:val="26"/>
        </w:rPr>
        <w:t xml:space="preserve">that more pertinent to this proceeding is the Commission’s decision approving a partial settlement in </w:t>
      </w:r>
      <w:r w:rsidR="00493620" w:rsidRPr="00217AC0">
        <w:rPr>
          <w:bCs/>
          <w:i/>
          <w:iCs/>
          <w:sz w:val="26"/>
          <w:szCs w:val="26"/>
        </w:rPr>
        <w:t>PGW</w:t>
      </w:r>
      <w:r w:rsidR="004B09A2" w:rsidRPr="00217AC0">
        <w:rPr>
          <w:bCs/>
          <w:sz w:val="26"/>
          <w:szCs w:val="26"/>
        </w:rPr>
        <w:t>,</w:t>
      </w:r>
      <w:r w:rsidR="009251E7" w:rsidRPr="00217AC0">
        <w:rPr>
          <w:rStyle w:val="FootnoteReference"/>
          <w:bCs/>
          <w:sz w:val="26"/>
          <w:szCs w:val="26"/>
        </w:rPr>
        <w:footnoteReference w:id="17"/>
      </w:r>
      <w:r w:rsidR="00493620" w:rsidRPr="00217AC0">
        <w:rPr>
          <w:bCs/>
          <w:sz w:val="26"/>
          <w:szCs w:val="26"/>
        </w:rPr>
        <w:t xml:space="preserve"> and the Recommended Decision approving a “non-unanimous” settlement in </w:t>
      </w:r>
      <w:r w:rsidR="00493620" w:rsidRPr="00217AC0">
        <w:rPr>
          <w:bCs/>
          <w:i/>
          <w:iCs/>
          <w:sz w:val="26"/>
          <w:szCs w:val="26"/>
        </w:rPr>
        <w:t>PAWC</w:t>
      </w:r>
      <w:r w:rsidR="00D731E6" w:rsidRPr="00217AC0">
        <w:rPr>
          <w:bCs/>
          <w:sz w:val="26"/>
          <w:szCs w:val="26"/>
        </w:rPr>
        <w:t>,</w:t>
      </w:r>
      <w:r w:rsidR="006C6DD4" w:rsidRPr="00217AC0">
        <w:rPr>
          <w:rStyle w:val="FootnoteReference"/>
          <w:bCs/>
          <w:sz w:val="26"/>
          <w:szCs w:val="26"/>
        </w:rPr>
        <w:footnoteReference w:id="18"/>
      </w:r>
      <w:r w:rsidR="00D731E6" w:rsidRPr="00217AC0">
        <w:rPr>
          <w:bCs/>
          <w:sz w:val="26"/>
          <w:szCs w:val="26"/>
        </w:rPr>
        <w:t xml:space="preserve"> both of which took place during the COVID-19 pandemic</w:t>
      </w:r>
      <w:r w:rsidR="006C6DD4" w:rsidRPr="00217AC0">
        <w:rPr>
          <w:bCs/>
          <w:sz w:val="26"/>
          <w:szCs w:val="26"/>
        </w:rPr>
        <w:t xml:space="preserve">, </w:t>
      </w:r>
      <w:r w:rsidR="00C71C63" w:rsidRPr="00217AC0">
        <w:rPr>
          <w:bCs/>
          <w:sz w:val="26"/>
          <w:szCs w:val="26"/>
        </w:rPr>
        <w:t>d</w:t>
      </w:r>
      <w:r w:rsidR="006C6DD4" w:rsidRPr="00217AC0">
        <w:rPr>
          <w:bCs/>
          <w:sz w:val="26"/>
          <w:szCs w:val="26"/>
        </w:rPr>
        <w:t>emonstrat</w:t>
      </w:r>
      <w:r w:rsidR="00C71C63" w:rsidRPr="00217AC0">
        <w:rPr>
          <w:bCs/>
          <w:sz w:val="26"/>
          <w:szCs w:val="26"/>
        </w:rPr>
        <w:t>ing</w:t>
      </w:r>
      <w:r w:rsidR="006C6DD4" w:rsidRPr="00217AC0">
        <w:rPr>
          <w:bCs/>
          <w:sz w:val="26"/>
          <w:szCs w:val="26"/>
        </w:rPr>
        <w:t xml:space="preserve"> that “[t]he Commission, clearly, is granting rate relief to utilities during the COVID pandemic</w:t>
      </w:r>
      <w:r w:rsidR="00493620" w:rsidRPr="00217AC0">
        <w:rPr>
          <w:bCs/>
          <w:sz w:val="26"/>
          <w:szCs w:val="26"/>
        </w:rPr>
        <w:t>.</w:t>
      </w:r>
      <w:r w:rsidR="006C6DD4" w:rsidRPr="00217AC0">
        <w:rPr>
          <w:bCs/>
          <w:sz w:val="26"/>
          <w:szCs w:val="26"/>
        </w:rPr>
        <w:t>”</w:t>
      </w:r>
      <w:r w:rsidR="009C01AA" w:rsidRPr="00217AC0">
        <w:rPr>
          <w:sz w:val="26"/>
          <w:szCs w:val="26"/>
        </w:rPr>
        <w:t xml:space="preserve">  </w:t>
      </w:r>
      <w:r w:rsidR="009C01AA" w:rsidRPr="00217AC0">
        <w:rPr>
          <w:bCs/>
          <w:sz w:val="26"/>
          <w:szCs w:val="26"/>
        </w:rPr>
        <w:t xml:space="preserve">As a municipal entity, similar, in that respect, to PGW, the City argued that the Settlement embodies a settlement similar to the resolution determined to be acceptable by the OCA and the OSBA in </w:t>
      </w:r>
      <w:r w:rsidR="009C01AA" w:rsidRPr="00217AC0">
        <w:rPr>
          <w:bCs/>
          <w:i/>
          <w:iCs/>
          <w:sz w:val="26"/>
          <w:szCs w:val="26"/>
        </w:rPr>
        <w:t>PGW</w:t>
      </w:r>
      <w:r w:rsidR="009C01AA" w:rsidRPr="00217AC0">
        <w:rPr>
          <w:bCs/>
          <w:sz w:val="26"/>
          <w:szCs w:val="26"/>
        </w:rPr>
        <w:t xml:space="preserve">, irrespective of the nature of their argument in that proceeding, recommending rejection of PGW’s rate increase due to the unprecedented and continuing COVID-19 pandemic.  </w:t>
      </w:r>
      <w:r w:rsidR="00493620" w:rsidRPr="00217AC0">
        <w:rPr>
          <w:bCs/>
          <w:i/>
          <w:iCs/>
          <w:sz w:val="26"/>
          <w:szCs w:val="26"/>
        </w:rPr>
        <w:t>Id</w:t>
      </w:r>
      <w:r w:rsidR="00493620" w:rsidRPr="00217AC0">
        <w:rPr>
          <w:bCs/>
          <w:sz w:val="26"/>
          <w:szCs w:val="26"/>
        </w:rPr>
        <w:t>. at 4-5.</w:t>
      </w:r>
    </w:p>
    <w:p w14:paraId="79046D96" w14:textId="51FB6C54" w:rsidR="009C01AA" w:rsidRPr="00217AC0" w:rsidRDefault="009C01AA" w:rsidP="00217AC0">
      <w:pPr>
        <w:widowControl/>
        <w:spacing w:line="360" w:lineRule="auto"/>
        <w:ind w:firstLine="1440"/>
        <w:contextualSpacing/>
        <w:rPr>
          <w:bCs/>
          <w:sz w:val="26"/>
          <w:szCs w:val="26"/>
        </w:rPr>
      </w:pPr>
      <w:r w:rsidRPr="00217AC0">
        <w:rPr>
          <w:bCs/>
          <w:sz w:val="26"/>
          <w:szCs w:val="26"/>
        </w:rPr>
        <w:lastRenderedPageBreak/>
        <w:t xml:space="preserve">Regarding </w:t>
      </w:r>
      <w:r w:rsidRPr="00217AC0">
        <w:rPr>
          <w:bCs/>
          <w:i/>
          <w:iCs/>
          <w:sz w:val="26"/>
          <w:szCs w:val="26"/>
        </w:rPr>
        <w:t>PAWC</w:t>
      </w:r>
      <w:r w:rsidRPr="00217AC0">
        <w:rPr>
          <w:bCs/>
          <w:sz w:val="26"/>
          <w:szCs w:val="26"/>
        </w:rPr>
        <w:t xml:space="preserve">, where the OCA similarly sought to have the Commission reject a base rate filing because of COVID-19 concerns, the City noted the differences between a large publicly owned utility, such as PAWC, and a municipal entity with a much smaller service area and only 13,496 outside-City customers.  Specifically, not only were there zero customer complaints filed in opposition to the City’s proposed rate increase, but even at the City’s original request, the total monthly bill for a 5/8-inch residential customer using 4,000 gallons per month would be $28.52, less than half the existing rates of PAWC at $64.37.  </w:t>
      </w:r>
      <w:r w:rsidRPr="00217AC0">
        <w:rPr>
          <w:bCs/>
          <w:i/>
          <w:iCs/>
          <w:sz w:val="26"/>
          <w:szCs w:val="26"/>
        </w:rPr>
        <w:t>Id</w:t>
      </w:r>
      <w:r w:rsidRPr="00217AC0">
        <w:rPr>
          <w:bCs/>
          <w:sz w:val="26"/>
          <w:szCs w:val="26"/>
        </w:rPr>
        <w:t xml:space="preserve">. at 7.  Additionally, in support of its position the OCA suggested, as it similarly did in </w:t>
      </w:r>
      <w:r w:rsidRPr="00217AC0">
        <w:rPr>
          <w:bCs/>
          <w:i/>
          <w:iCs/>
          <w:sz w:val="26"/>
          <w:szCs w:val="26"/>
        </w:rPr>
        <w:t>PAWC</w:t>
      </w:r>
      <w:r w:rsidRPr="00217AC0">
        <w:rPr>
          <w:bCs/>
          <w:sz w:val="26"/>
          <w:szCs w:val="26"/>
        </w:rPr>
        <w:t>, that the City can avoid the need for additional revenue by holding off on all but the absolute necessary system improvement projects.</w:t>
      </w:r>
      <w:r w:rsidRPr="00217AC0">
        <w:rPr>
          <w:bCs/>
          <w:sz w:val="26"/>
          <w:szCs w:val="26"/>
          <w:vertAlign w:val="superscript"/>
        </w:rPr>
        <w:footnoteReference w:id="19"/>
      </w:r>
      <w:r w:rsidRPr="00217AC0">
        <w:rPr>
          <w:bCs/>
          <w:sz w:val="26"/>
          <w:szCs w:val="26"/>
        </w:rPr>
        <w:t xml:space="preserve">  In response, the City contended that it is not</w:t>
      </w:r>
      <w:r w:rsidRPr="00217AC0">
        <w:rPr>
          <w:bCs/>
          <w:i/>
          <w:sz w:val="26"/>
          <w:szCs w:val="26"/>
        </w:rPr>
        <w:t xml:space="preserve"> </w:t>
      </w:r>
      <w:r w:rsidRPr="00217AC0">
        <w:rPr>
          <w:bCs/>
          <w:sz w:val="26"/>
          <w:szCs w:val="26"/>
        </w:rPr>
        <w:t xml:space="preserve">a large utility and it has no growth-related projects or longer-term system rehabilitation projects that could be deferred.  The City noted that it included just five capital projects in its FTY claim, later withdrawing three, and the OCA does not identify any projects that could be deferred. </w:t>
      </w:r>
      <w:r w:rsidRPr="00217AC0">
        <w:rPr>
          <w:bCs/>
          <w:i/>
          <w:iCs/>
          <w:sz w:val="26"/>
          <w:szCs w:val="26"/>
        </w:rPr>
        <w:t>See</w:t>
      </w:r>
      <w:r w:rsidRPr="00217AC0">
        <w:rPr>
          <w:bCs/>
          <w:sz w:val="26"/>
          <w:szCs w:val="26"/>
        </w:rPr>
        <w:t xml:space="preserve"> City R.B. at 5-6.  </w:t>
      </w:r>
    </w:p>
    <w:p w14:paraId="50214280" w14:textId="77777777" w:rsidR="004B1B62" w:rsidRPr="00217AC0" w:rsidRDefault="004B1B62" w:rsidP="00217AC0">
      <w:pPr>
        <w:widowControl/>
        <w:spacing w:line="360" w:lineRule="auto"/>
        <w:ind w:firstLine="1440"/>
        <w:contextualSpacing/>
        <w:rPr>
          <w:bCs/>
          <w:sz w:val="26"/>
          <w:szCs w:val="26"/>
        </w:rPr>
      </w:pPr>
    </w:p>
    <w:p w14:paraId="40AA4332" w14:textId="6E4CABDE" w:rsidR="00ED1902" w:rsidRPr="00217AC0" w:rsidRDefault="00ED1902" w:rsidP="00217AC0">
      <w:pPr>
        <w:widowControl/>
        <w:spacing w:line="360" w:lineRule="auto"/>
        <w:ind w:firstLine="1440"/>
        <w:contextualSpacing/>
        <w:rPr>
          <w:bCs/>
          <w:sz w:val="26"/>
          <w:szCs w:val="26"/>
        </w:rPr>
      </w:pPr>
      <w:r w:rsidRPr="00217AC0">
        <w:rPr>
          <w:bCs/>
          <w:sz w:val="26"/>
          <w:szCs w:val="26"/>
        </w:rPr>
        <w:t>Moreover, the City argued that the Commission has no authority under the Code to deny the City rate relief because of the COVID-19 pandemic, as proposed by the OCA and the OSBA.</w:t>
      </w:r>
      <w:r w:rsidR="00DC0B40" w:rsidRPr="00217AC0">
        <w:rPr>
          <w:bCs/>
          <w:sz w:val="26"/>
          <w:szCs w:val="26"/>
        </w:rPr>
        <w:t xml:space="preserve">  The City noted that the Commission addressed its statutory ratemaking authority in </w:t>
      </w:r>
      <w:r w:rsidR="00DC0B40" w:rsidRPr="00217AC0">
        <w:rPr>
          <w:bCs/>
          <w:i/>
          <w:sz w:val="26"/>
          <w:szCs w:val="26"/>
        </w:rPr>
        <w:t>PGW</w:t>
      </w:r>
      <w:r w:rsidR="00DC0B40" w:rsidRPr="00217AC0">
        <w:rPr>
          <w:bCs/>
          <w:iCs/>
          <w:sz w:val="26"/>
          <w:szCs w:val="26"/>
        </w:rPr>
        <w:t>, holding</w:t>
      </w:r>
      <w:r w:rsidR="00DC0B40" w:rsidRPr="00217AC0">
        <w:rPr>
          <w:bCs/>
          <w:sz w:val="26"/>
          <w:szCs w:val="26"/>
        </w:rPr>
        <w:t xml:space="preserve"> that it has no authority to alter a utility</w:t>
      </w:r>
      <w:r w:rsidR="00004769" w:rsidRPr="00217AC0">
        <w:rPr>
          <w:bCs/>
          <w:sz w:val="26"/>
          <w:szCs w:val="26"/>
        </w:rPr>
        <w:t>’</w:t>
      </w:r>
      <w:r w:rsidR="00DC0B40" w:rsidRPr="00217AC0">
        <w:rPr>
          <w:bCs/>
          <w:sz w:val="26"/>
          <w:szCs w:val="26"/>
        </w:rPr>
        <w:t xml:space="preserve">s substantive right of a rate increase going into effect at the end of the seven-month statutory deadline.  </w:t>
      </w:r>
      <w:r w:rsidR="002435E3" w:rsidRPr="00217AC0">
        <w:rPr>
          <w:bCs/>
          <w:sz w:val="26"/>
          <w:szCs w:val="26"/>
        </w:rPr>
        <w:t xml:space="preserve">City Reply Comments at 8 </w:t>
      </w:r>
      <w:r w:rsidR="00DC0B40" w:rsidRPr="00217AC0">
        <w:rPr>
          <w:bCs/>
          <w:sz w:val="26"/>
          <w:szCs w:val="26"/>
        </w:rPr>
        <w:t xml:space="preserve">(citing, </w:t>
      </w:r>
      <w:r w:rsidR="00DC0B40" w:rsidRPr="00217AC0">
        <w:rPr>
          <w:bCs/>
          <w:i/>
          <w:iCs/>
          <w:sz w:val="26"/>
          <w:szCs w:val="26"/>
        </w:rPr>
        <w:t>PGW</w:t>
      </w:r>
      <w:r w:rsidR="00DC0B40" w:rsidRPr="00217AC0">
        <w:rPr>
          <w:bCs/>
          <w:sz w:val="26"/>
          <w:szCs w:val="26"/>
        </w:rPr>
        <w:t xml:space="preserve"> at 13).  </w:t>
      </w:r>
      <w:r w:rsidR="00004769" w:rsidRPr="00217AC0">
        <w:rPr>
          <w:bCs/>
          <w:sz w:val="26"/>
          <w:szCs w:val="26"/>
        </w:rPr>
        <w:t xml:space="preserve">The City, therefore, contended that a </w:t>
      </w:r>
      <w:r w:rsidR="00DC0B40" w:rsidRPr="00217AC0">
        <w:rPr>
          <w:bCs/>
          <w:sz w:val="26"/>
          <w:szCs w:val="26"/>
        </w:rPr>
        <w:t xml:space="preserve">Commission decision adopting the </w:t>
      </w:r>
      <w:r w:rsidR="00004769" w:rsidRPr="00217AC0">
        <w:rPr>
          <w:bCs/>
          <w:sz w:val="26"/>
          <w:szCs w:val="26"/>
        </w:rPr>
        <w:t>“</w:t>
      </w:r>
      <w:r w:rsidR="00DC0B40" w:rsidRPr="00217AC0">
        <w:rPr>
          <w:bCs/>
          <w:sz w:val="26"/>
          <w:szCs w:val="26"/>
        </w:rPr>
        <w:t>no increase</w:t>
      </w:r>
      <w:r w:rsidR="00004769" w:rsidRPr="00217AC0">
        <w:rPr>
          <w:bCs/>
          <w:sz w:val="26"/>
          <w:szCs w:val="26"/>
        </w:rPr>
        <w:t>”</w:t>
      </w:r>
      <w:r w:rsidR="00DC0B40" w:rsidRPr="00217AC0">
        <w:rPr>
          <w:bCs/>
          <w:sz w:val="26"/>
          <w:szCs w:val="26"/>
        </w:rPr>
        <w:t xml:space="preserve"> proposal submitted by</w:t>
      </w:r>
      <w:r w:rsidR="00004769" w:rsidRPr="00217AC0">
        <w:rPr>
          <w:bCs/>
          <w:sz w:val="26"/>
          <w:szCs w:val="26"/>
        </w:rPr>
        <w:t xml:space="preserve"> the</w:t>
      </w:r>
      <w:r w:rsidR="00DC0B40" w:rsidRPr="00217AC0">
        <w:rPr>
          <w:bCs/>
          <w:sz w:val="26"/>
          <w:szCs w:val="26"/>
        </w:rPr>
        <w:t xml:space="preserve"> OCA and </w:t>
      </w:r>
      <w:r w:rsidR="00004769" w:rsidRPr="00217AC0">
        <w:rPr>
          <w:bCs/>
          <w:sz w:val="26"/>
          <w:szCs w:val="26"/>
        </w:rPr>
        <w:t xml:space="preserve">the </w:t>
      </w:r>
      <w:r w:rsidR="00DC0B40" w:rsidRPr="00217AC0">
        <w:rPr>
          <w:bCs/>
          <w:sz w:val="26"/>
          <w:szCs w:val="26"/>
        </w:rPr>
        <w:t>OSBA would violate the Code and the Commission</w:t>
      </w:r>
      <w:r w:rsidR="00004769" w:rsidRPr="00217AC0">
        <w:rPr>
          <w:bCs/>
          <w:sz w:val="26"/>
          <w:szCs w:val="26"/>
        </w:rPr>
        <w:t>’s</w:t>
      </w:r>
      <w:r w:rsidR="00DC0B40" w:rsidRPr="00217AC0">
        <w:rPr>
          <w:bCs/>
          <w:sz w:val="26"/>
          <w:szCs w:val="26"/>
        </w:rPr>
        <w:t xml:space="preserve"> statutory </w:t>
      </w:r>
      <w:r w:rsidR="00DC0B40" w:rsidRPr="00217AC0">
        <w:rPr>
          <w:bCs/>
          <w:sz w:val="26"/>
          <w:szCs w:val="26"/>
        </w:rPr>
        <w:lastRenderedPageBreak/>
        <w:t>obligation to set just and reasonable rates.</w:t>
      </w:r>
      <w:r w:rsidR="002435E3" w:rsidRPr="00217AC0">
        <w:rPr>
          <w:bCs/>
          <w:sz w:val="26"/>
          <w:szCs w:val="26"/>
        </w:rPr>
        <w:t xml:space="preserve">  Specifically, the City submitted that, </w:t>
      </w:r>
      <w:r w:rsidR="00407F5C" w:rsidRPr="00217AC0">
        <w:rPr>
          <w:bCs/>
          <w:sz w:val="26"/>
          <w:szCs w:val="26"/>
        </w:rPr>
        <w:t>“</w:t>
      </w:r>
      <w:r w:rsidR="002435E3" w:rsidRPr="00217AC0">
        <w:rPr>
          <w:bCs/>
          <w:sz w:val="26"/>
          <w:szCs w:val="26"/>
        </w:rPr>
        <w:t xml:space="preserve">if the Commission has no authority to postpone the implementation of a rate increase to after </w:t>
      </w:r>
      <w:r w:rsidR="00407F5C" w:rsidRPr="00217AC0">
        <w:rPr>
          <w:bCs/>
          <w:sz w:val="26"/>
          <w:szCs w:val="26"/>
        </w:rPr>
        <w:t>the seven-month statutory deadline, then it has no authority to reject an otherwise meritorious rate filing with the assumption that the utility can refile the case after the seven-month deadline.”  City Reply Comments at 8.</w:t>
      </w:r>
    </w:p>
    <w:p w14:paraId="0E6A5FE2" w14:textId="21ED1AE0" w:rsidR="00E92699" w:rsidRPr="00217AC0" w:rsidRDefault="00E92699" w:rsidP="00217AC0">
      <w:pPr>
        <w:widowControl/>
        <w:spacing w:line="360" w:lineRule="auto"/>
        <w:ind w:firstLine="1440"/>
        <w:contextualSpacing/>
        <w:rPr>
          <w:bCs/>
          <w:sz w:val="26"/>
          <w:szCs w:val="26"/>
        </w:rPr>
      </w:pPr>
    </w:p>
    <w:p w14:paraId="2DFAFD63" w14:textId="7F4CD328" w:rsidR="00ED1902" w:rsidRPr="00217AC0" w:rsidRDefault="00851E5B" w:rsidP="00217AC0">
      <w:pPr>
        <w:widowControl/>
        <w:spacing w:line="360" w:lineRule="auto"/>
        <w:ind w:firstLine="1440"/>
        <w:contextualSpacing/>
        <w:rPr>
          <w:bCs/>
          <w:sz w:val="26"/>
          <w:szCs w:val="26"/>
        </w:rPr>
      </w:pPr>
      <w:r w:rsidRPr="00217AC0">
        <w:rPr>
          <w:bCs/>
          <w:sz w:val="26"/>
          <w:szCs w:val="26"/>
        </w:rPr>
        <w:t xml:space="preserve">In addressing the OCA’s concerns about recent and current unemployment rates, as a result of the COVID-19 pandemic, the City argued that, while the current unemployment rates cited by the OCA are certainly significant, they are not unprecedented.  The City cited to </w:t>
      </w:r>
      <w:r w:rsidR="00CC078B" w:rsidRPr="00217AC0">
        <w:rPr>
          <w:bCs/>
          <w:sz w:val="26"/>
          <w:szCs w:val="26"/>
        </w:rPr>
        <w:t xml:space="preserve">2010 </w:t>
      </w:r>
      <w:r w:rsidRPr="00217AC0">
        <w:rPr>
          <w:bCs/>
          <w:sz w:val="26"/>
          <w:szCs w:val="26"/>
        </w:rPr>
        <w:t xml:space="preserve">unemployment rates in Lehigh and Northampton Counties </w:t>
      </w:r>
      <w:r w:rsidR="00CC078B" w:rsidRPr="00217AC0">
        <w:rPr>
          <w:bCs/>
          <w:sz w:val="26"/>
          <w:szCs w:val="26"/>
        </w:rPr>
        <w:t>of 10% and 9.7%, respectively, as a result of the financial crisis, noting that, while unique, the high unemployment rate is not an unprecedented economic crisis.  The City noted that it filed a rate case in June 2011 and received approval for an increase totaling $730,000 from the Commission during this period.  The City noted, moreover, that the unemployment rate has improved since the March 2020 shut down, dropping from a high of 16.1% in April 2020 to the September 2020 rate of 8.1%.  City Reply Comments at 8 (citing, City M.B. at 12-13).</w:t>
      </w:r>
    </w:p>
    <w:p w14:paraId="7166E077" w14:textId="39FDC932" w:rsidR="002E2908" w:rsidRPr="00217AC0" w:rsidRDefault="002E2908" w:rsidP="00217AC0">
      <w:pPr>
        <w:widowControl/>
        <w:spacing w:line="360" w:lineRule="auto"/>
        <w:contextualSpacing/>
        <w:rPr>
          <w:b/>
          <w:sz w:val="26"/>
          <w:szCs w:val="26"/>
        </w:rPr>
      </w:pPr>
    </w:p>
    <w:p w14:paraId="581C6250" w14:textId="31C30091" w:rsidR="00ED0963" w:rsidRPr="00217AC0" w:rsidRDefault="00DE2860" w:rsidP="00217AC0">
      <w:pPr>
        <w:widowControl/>
        <w:spacing w:line="360" w:lineRule="auto"/>
        <w:ind w:firstLine="1440"/>
        <w:contextualSpacing/>
        <w:rPr>
          <w:bCs/>
          <w:sz w:val="26"/>
          <w:szCs w:val="26"/>
        </w:rPr>
      </w:pPr>
      <w:r w:rsidRPr="00217AC0">
        <w:rPr>
          <w:bCs/>
          <w:sz w:val="26"/>
          <w:szCs w:val="26"/>
        </w:rPr>
        <w:t xml:space="preserve">Furthermore, the City highlighted the steps it has taken to assist </w:t>
      </w:r>
      <w:r w:rsidR="0008000C" w:rsidRPr="00217AC0">
        <w:rPr>
          <w:bCs/>
          <w:sz w:val="26"/>
          <w:szCs w:val="26"/>
        </w:rPr>
        <w:t>financially troubled customers</w:t>
      </w:r>
      <w:r w:rsidRPr="00217AC0">
        <w:rPr>
          <w:bCs/>
          <w:sz w:val="26"/>
          <w:szCs w:val="26"/>
        </w:rPr>
        <w:t xml:space="preserve"> during the COVID-19 pandemic.</w:t>
      </w:r>
      <w:r w:rsidR="0008000C" w:rsidRPr="00217AC0">
        <w:rPr>
          <w:bCs/>
          <w:sz w:val="26"/>
          <w:szCs w:val="26"/>
        </w:rPr>
        <w:t xml:space="preserve">  It noted first that it is not terminating service to customers.  It is also continuing to offer payment arrangements to customers and waiving all new late payment charges.  City Reply Comments at 7 (citing, City M.B. at 11-12; City R.B. at 6-7; City Statement in Support at 9-10).</w:t>
      </w:r>
    </w:p>
    <w:p w14:paraId="653FCCB5" w14:textId="77777777" w:rsidR="00ED0963" w:rsidRPr="00217AC0" w:rsidRDefault="00ED0963" w:rsidP="00217AC0">
      <w:pPr>
        <w:widowControl/>
        <w:spacing w:line="360" w:lineRule="auto"/>
        <w:contextualSpacing/>
        <w:rPr>
          <w:b/>
          <w:sz w:val="26"/>
          <w:szCs w:val="26"/>
        </w:rPr>
      </w:pPr>
    </w:p>
    <w:p w14:paraId="58A77FF8" w14:textId="46EE21BA" w:rsidR="002D716A" w:rsidRPr="00217AC0" w:rsidRDefault="002D716A" w:rsidP="00217AC0">
      <w:pPr>
        <w:pStyle w:val="Heading4"/>
        <w:widowControl/>
      </w:pPr>
      <w:bookmarkStart w:id="31" w:name="_Toc69230517"/>
      <w:r w:rsidRPr="00217AC0">
        <w:t>I&amp;E</w:t>
      </w:r>
      <w:bookmarkEnd w:id="31"/>
    </w:p>
    <w:p w14:paraId="64FF028E" w14:textId="4F0617A5" w:rsidR="002D716A" w:rsidRPr="00217AC0" w:rsidRDefault="002D716A" w:rsidP="00217AC0">
      <w:pPr>
        <w:keepNext/>
        <w:widowControl/>
        <w:spacing w:line="360" w:lineRule="auto"/>
        <w:contextualSpacing/>
        <w:rPr>
          <w:b/>
          <w:sz w:val="26"/>
          <w:szCs w:val="26"/>
        </w:rPr>
      </w:pPr>
    </w:p>
    <w:p w14:paraId="34CCCE93" w14:textId="093A10F1" w:rsidR="00AC44FD" w:rsidRPr="00217AC0" w:rsidRDefault="00AC44FD" w:rsidP="00217AC0">
      <w:pPr>
        <w:keepNext/>
        <w:widowControl/>
        <w:spacing w:line="360" w:lineRule="auto"/>
        <w:ind w:firstLine="1440"/>
        <w:contextualSpacing/>
        <w:rPr>
          <w:bCs/>
          <w:sz w:val="26"/>
          <w:szCs w:val="26"/>
        </w:rPr>
      </w:pPr>
      <w:r w:rsidRPr="00217AC0">
        <w:rPr>
          <w:bCs/>
          <w:sz w:val="26"/>
          <w:szCs w:val="26"/>
        </w:rPr>
        <w:t xml:space="preserve">As previously indicated, I&amp;E also submitted Reply Comments in response to the OCA’s Comments and in support of the Settlement.  I&amp;E submitted that because the Settlement balances the interests of the City, its customers, and the regulated </w:t>
      </w:r>
      <w:r w:rsidRPr="00217AC0">
        <w:rPr>
          <w:bCs/>
          <w:sz w:val="26"/>
          <w:szCs w:val="26"/>
        </w:rPr>
        <w:lastRenderedPageBreak/>
        <w:t>community as a whole, as I&amp;E has determined after thorough investigation, the Settlement should be approved as in the public interest.</w:t>
      </w:r>
      <w:r w:rsidRPr="00217AC0">
        <w:rPr>
          <w:bCs/>
          <w:sz w:val="26"/>
          <w:szCs w:val="26"/>
          <w:vertAlign w:val="superscript"/>
        </w:rPr>
        <w:footnoteReference w:id="20"/>
      </w:r>
      <w:r w:rsidRPr="00217AC0">
        <w:rPr>
          <w:bCs/>
          <w:sz w:val="26"/>
          <w:szCs w:val="26"/>
        </w:rPr>
        <w:t xml:space="preserve">  </w:t>
      </w:r>
      <w:bookmarkStart w:id="32" w:name="_Hlk67046213"/>
      <w:r w:rsidRPr="00217AC0">
        <w:rPr>
          <w:bCs/>
          <w:sz w:val="26"/>
          <w:szCs w:val="26"/>
        </w:rPr>
        <w:t>I&amp;E Reply Comments at 2</w:t>
      </w:r>
      <w:bookmarkEnd w:id="32"/>
      <w:r w:rsidRPr="00217AC0">
        <w:rPr>
          <w:bCs/>
          <w:sz w:val="26"/>
          <w:szCs w:val="26"/>
        </w:rPr>
        <w:t>.  Specifically, I&amp;E averred that the $689,932 annual increase in operating revenues from outside-City customers is reasonable</w:t>
      </w:r>
      <w:r w:rsidR="00A641F9" w:rsidRPr="00217AC0">
        <w:rPr>
          <w:bCs/>
          <w:sz w:val="26"/>
          <w:szCs w:val="26"/>
        </w:rPr>
        <w:t xml:space="preserve"> for</w:t>
      </w:r>
      <w:r w:rsidRPr="00217AC0">
        <w:rPr>
          <w:bCs/>
          <w:sz w:val="26"/>
          <w:szCs w:val="26"/>
        </w:rPr>
        <w:t xml:space="preserve"> three reasons: (1) it benefits ratepayers by lowering the proposed rate increase by $218,489; (2) it satisfies the City’s claim for additional revenue to provide safe and reliable service; and (3) it is unrealistic to expect any party to win all their positions through litigation.  Therefore, a settlement amount approximately halfway between revenue requirement positions is a reasonable compromise.</w:t>
      </w:r>
      <w:r w:rsidRPr="00217AC0">
        <w:rPr>
          <w:rStyle w:val="FootnoteReference"/>
          <w:bCs/>
          <w:sz w:val="26"/>
          <w:szCs w:val="26"/>
        </w:rPr>
        <w:footnoteReference w:id="21"/>
      </w:r>
      <w:r w:rsidRPr="00217AC0">
        <w:rPr>
          <w:bCs/>
          <w:sz w:val="26"/>
          <w:szCs w:val="26"/>
        </w:rPr>
        <w:t xml:space="preserve">  </w:t>
      </w:r>
      <w:r w:rsidRPr="00217AC0">
        <w:rPr>
          <w:bCs/>
          <w:i/>
          <w:iCs/>
          <w:sz w:val="26"/>
          <w:szCs w:val="26"/>
        </w:rPr>
        <w:t>Id</w:t>
      </w:r>
      <w:r w:rsidRPr="00217AC0">
        <w:rPr>
          <w:bCs/>
          <w:sz w:val="26"/>
          <w:szCs w:val="26"/>
        </w:rPr>
        <w:t xml:space="preserve">. at 2-3.  </w:t>
      </w:r>
    </w:p>
    <w:p w14:paraId="37C5FEAB" w14:textId="214A13DD" w:rsidR="002D716A" w:rsidRPr="00217AC0" w:rsidRDefault="002D716A" w:rsidP="00217AC0">
      <w:pPr>
        <w:widowControl/>
        <w:spacing w:line="360" w:lineRule="auto"/>
        <w:ind w:firstLine="1440"/>
        <w:contextualSpacing/>
        <w:rPr>
          <w:bCs/>
          <w:sz w:val="26"/>
          <w:szCs w:val="26"/>
        </w:rPr>
      </w:pPr>
    </w:p>
    <w:p w14:paraId="184F8646" w14:textId="4381E5A8" w:rsidR="00881C4D" w:rsidRPr="00217AC0" w:rsidRDefault="00881C4D" w:rsidP="00217AC0">
      <w:pPr>
        <w:widowControl/>
        <w:spacing w:line="360" w:lineRule="auto"/>
        <w:ind w:firstLine="1440"/>
        <w:contextualSpacing/>
        <w:rPr>
          <w:bCs/>
          <w:sz w:val="26"/>
          <w:szCs w:val="26"/>
        </w:rPr>
      </w:pPr>
      <w:r w:rsidRPr="00217AC0">
        <w:rPr>
          <w:bCs/>
          <w:sz w:val="26"/>
          <w:szCs w:val="26"/>
        </w:rPr>
        <w:t xml:space="preserve">I&amp;E asserted that the Joint </w:t>
      </w:r>
      <w:r w:rsidR="00A641F9" w:rsidRPr="00217AC0">
        <w:rPr>
          <w:bCs/>
          <w:sz w:val="26"/>
          <w:szCs w:val="26"/>
        </w:rPr>
        <w:t>Petition</w:t>
      </w:r>
      <w:r w:rsidRPr="00217AC0">
        <w:rPr>
          <w:bCs/>
          <w:sz w:val="26"/>
          <w:szCs w:val="26"/>
        </w:rPr>
        <w:t xml:space="preserve">’s revenue requirement provisions provide for Settlement </w:t>
      </w:r>
      <w:r w:rsidR="00FB78F1" w:rsidRPr="00217AC0">
        <w:rPr>
          <w:bCs/>
          <w:sz w:val="26"/>
          <w:szCs w:val="26"/>
        </w:rPr>
        <w:t>r</w:t>
      </w:r>
      <w:r w:rsidRPr="00217AC0">
        <w:rPr>
          <w:bCs/>
          <w:sz w:val="26"/>
          <w:szCs w:val="26"/>
        </w:rPr>
        <w:t xml:space="preserve">ates that are consistent with the legal standards articulated in </w:t>
      </w:r>
      <w:r w:rsidRPr="00217AC0">
        <w:rPr>
          <w:bCs/>
          <w:i/>
          <w:iCs/>
          <w:sz w:val="26"/>
          <w:szCs w:val="26"/>
        </w:rPr>
        <w:t>Bluefield</w:t>
      </w:r>
      <w:r w:rsidRPr="00217AC0">
        <w:rPr>
          <w:bCs/>
          <w:sz w:val="26"/>
          <w:szCs w:val="26"/>
        </w:rPr>
        <w:t xml:space="preserve"> and </w:t>
      </w:r>
      <w:r w:rsidRPr="00217AC0">
        <w:rPr>
          <w:bCs/>
          <w:i/>
          <w:iCs/>
          <w:sz w:val="26"/>
          <w:szCs w:val="26"/>
        </w:rPr>
        <w:t>Hope Natural Gas</w:t>
      </w:r>
      <w:r w:rsidRPr="00217AC0">
        <w:rPr>
          <w:bCs/>
          <w:i/>
          <w:sz w:val="26"/>
          <w:szCs w:val="26"/>
        </w:rPr>
        <w:t>,</w:t>
      </w:r>
      <w:r w:rsidRPr="00217AC0">
        <w:rPr>
          <w:bCs/>
          <w:sz w:val="26"/>
          <w:szCs w:val="26"/>
        </w:rPr>
        <w:t xml:space="preserve"> </w:t>
      </w:r>
      <w:r w:rsidRPr="00217AC0">
        <w:rPr>
          <w:bCs/>
          <w:i/>
          <w:iCs/>
          <w:sz w:val="26"/>
          <w:szCs w:val="26"/>
        </w:rPr>
        <w:t>supra</w:t>
      </w:r>
      <w:r w:rsidRPr="00217AC0">
        <w:rPr>
          <w:bCs/>
          <w:sz w:val="26"/>
          <w:szCs w:val="26"/>
        </w:rPr>
        <w:t>.</w:t>
      </w:r>
      <w:r w:rsidR="006A6E74" w:rsidRPr="00217AC0">
        <w:rPr>
          <w:bCs/>
          <w:sz w:val="26"/>
          <w:szCs w:val="26"/>
        </w:rPr>
        <w:t xml:space="preserve">  I&amp;E</w:t>
      </w:r>
      <w:r w:rsidR="007A2CF1" w:rsidRPr="00217AC0">
        <w:rPr>
          <w:bCs/>
          <w:sz w:val="26"/>
          <w:szCs w:val="26"/>
        </w:rPr>
        <w:t xml:space="preserve"> specifically</w:t>
      </w:r>
      <w:r w:rsidR="006A6E74" w:rsidRPr="00217AC0">
        <w:rPr>
          <w:bCs/>
          <w:sz w:val="26"/>
          <w:szCs w:val="26"/>
        </w:rPr>
        <w:t xml:space="preserve"> noted that, although </w:t>
      </w:r>
      <w:r w:rsidR="000E7668" w:rsidRPr="00217AC0">
        <w:rPr>
          <w:bCs/>
          <w:sz w:val="26"/>
          <w:szCs w:val="26"/>
        </w:rPr>
        <w:t>the Settlement</w:t>
      </w:r>
      <w:r w:rsidR="006A6E74" w:rsidRPr="00217AC0">
        <w:rPr>
          <w:bCs/>
          <w:sz w:val="26"/>
          <w:szCs w:val="26"/>
        </w:rPr>
        <w:t xml:space="preserve"> is a “black box” settle</w:t>
      </w:r>
      <w:r w:rsidR="000E7668" w:rsidRPr="00217AC0">
        <w:rPr>
          <w:bCs/>
          <w:sz w:val="26"/>
          <w:szCs w:val="26"/>
        </w:rPr>
        <w:t xml:space="preserve">ment, as there has been no agreement upon individual issues regarding revenue requirement, it disputes the OCA’s contention that an overall rate of return of 5.65% under the City’s existing rates is adequate, since I&amp;E’s DCF analysis demonstrated a rate of return of 6.75% is reasonable and the OCA’s own “business as usual” analysis reflected a rate of return of 6.57%.  </w:t>
      </w:r>
      <w:r w:rsidR="000E7668" w:rsidRPr="00217AC0">
        <w:rPr>
          <w:bCs/>
          <w:i/>
          <w:iCs/>
          <w:sz w:val="26"/>
          <w:szCs w:val="26"/>
        </w:rPr>
        <w:t>Id</w:t>
      </w:r>
      <w:r w:rsidR="000E7668" w:rsidRPr="00217AC0">
        <w:rPr>
          <w:bCs/>
          <w:sz w:val="26"/>
          <w:szCs w:val="26"/>
        </w:rPr>
        <w:t xml:space="preserve">. at 3-5.  </w:t>
      </w:r>
    </w:p>
    <w:p w14:paraId="31E8C49A" w14:textId="6BDAE3F9" w:rsidR="00E87AA7" w:rsidRPr="00217AC0" w:rsidRDefault="00E87AA7" w:rsidP="00217AC0">
      <w:pPr>
        <w:widowControl/>
        <w:spacing w:line="360" w:lineRule="auto"/>
        <w:ind w:firstLine="1440"/>
        <w:contextualSpacing/>
        <w:rPr>
          <w:bCs/>
          <w:sz w:val="26"/>
          <w:szCs w:val="26"/>
        </w:rPr>
      </w:pPr>
    </w:p>
    <w:p w14:paraId="4768C137" w14:textId="395B79D5" w:rsidR="000E7668" w:rsidRPr="00217AC0" w:rsidRDefault="0037374E" w:rsidP="00217AC0">
      <w:pPr>
        <w:widowControl/>
        <w:spacing w:line="360" w:lineRule="auto"/>
        <w:ind w:firstLine="1440"/>
        <w:contextualSpacing/>
        <w:rPr>
          <w:bCs/>
          <w:sz w:val="26"/>
          <w:szCs w:val="26"/>
        </w:rPr>
      </w:pPr>
      <w:r w:rsidRPr="00217AC0">
        <w:rPr>
          <w:bCs/>
          <w:sz w:val="26"/>
          <w:szCs w:val="26"/>
        </w:rPr>
        <w:t xml:space="preserve">Similar to the City, I&amp;E argued </w:t>
      </w:r>
      <w:r w:rsidR="00D25099" w:rsidRPr="00217AC0">
        <w:rPr>
          <w:bCs/>
          <w:sz w:val="26"/>
          <w:szCs w:val="26"/>
        </w:rPr>
        <w:t>that</w:t>
      </w:r>
      <w:r w:rsidRPr="00217AC0">
        <w:rPr>
          <w:bCs/>
          <w:sz w:val="26"/>
          <w:szCs w:val="26"/>
        </w:rPr>
        <w:t xml:space="preserve"> contrary to the OCA’s contention, the Commission has continued to approve rate increases</w:t>
      </w:r>
      <w:r w:rsidR="008006EE" w:rsidRPr="00217AC0">
        <w:rPr>
          <w:bCs/>
          <w:sz w:val="26"/>
          <w:szCs w:val="26"/>
        </w:rPr>
        <w:t xml:space="preserve">, notwithstanding similar arguments </w:t>
      </w:r>
      <w:r w:rsidR="008006EE" w:rsidRPr="00217AC0">
        <w:rPr>
          <w:bCs/>
          <w:sz w:val="26"/>
          <w:szCs w:val="26"/>
        </w:rPr>
        <w:lastRenderedPageBreak/>
        <w:t>from the OCA regarding the impacts</w:t>
      </w:r>
      <w:r w:rsidR="004C3F3D" w:rsidRPr="00217AC0">
        <w:rPr>
          <w:bCs/>
          <w:sz w:val="26"/>
          <w:szCs w:val="26"/>
        </w:rPr>
        <w:t xml:space="preserve"> of the COVID-19 pandemic</w:t>
      </w:r>
      <w:r w:rsidRPr="00217AC0">
        <w:rPr>
          <w:bCs/>
          <w:sz w:val="26"/>
          <w:szCs w:val="26"/>
        </w:rPr>
        <w:t xml:space="preserve">.  </w:t>
      </w:r>
      <w:r w:rsidR="000570C3" w:rsidRPr="00217AC0">
        <w:rPr>
          <w:bCs/>
          <w:sz w:val="26"/>
          <w:szCs w:val="26"/>
        </w:rPr>
        <w:t xml:space="preserve">I&amp;E specifically noted that it “is unaware of the Commission denying a rate increase because of COVID.”  </w:t>
      </w:r>
      <w:r w:rsidR="000570C3" w:rsidRPr="00217AC0">
        <w:rPr>
          <w:bCs/>
          <w:i/>
          <w:iCs/>
          <w:sz w:val="26"/>
          <w:szCs w:val="26"/>
        </w:rPr>
        <w:t>Id</w:t>
      </w:r>
      <w:r w:rsidR="000570C3" w:rsidRPr="00217AC0">
        <w:rPr>
          <w:bCs/>
          <w:sz w:val="26"/>
          <w:szCs w:val="26"/>
        </w:rPr>
        <w:t>. at</w:t>
      </w:r>
      <w:r w:rsidR="00BF79C6" w:rsidRPr="00217AC0">
        <w:rPr>
          <w:bCs/>
          <w:sz w:val="26"/>
          <w:szCs w:val="26"/>
        </w:rPr>
        <w:t> </w:t>
      </w:r>
      <w:r w:rsidR="000570C3" w:rsidRPr="00217AC0">
        <w:rPr>
          <w:bCs/>
          <w:sz w:val="26"/>
          <w:szCs w:val="26"/>
        </w:rPr>
        <w:t xml:space="preserve">5.  </w:t>
      </w:r>
    </w:p>
    <w:p w14:paraId="2AA1B8C2" w14:textId="77777777" w:rsidR="0037374E" w:rsidRPr="00217AC0" w:rsidRDefault="0037374E" w:rsidP="00217AC0">
      <w:pPr>
        <w:widowControl/>
        <w:spacing w:line="360" w:lineRule="auto"/>
        <w:contextualSpacing/>
        <w:rPr>
          <w:b/>
          <w:sz w:val="26"/>
          <w:szCs w:val="26"/>
        </w:rPr>
      </w:pPr>
    </w:p>
    <w:p w14:paraId="2B6D1318" w14:textId="499C5DCB" w:rsidR="009A7AEC" w:rsidRPr="00217AC0" w:rsidRDefault="003A02A4" w:rsidP="00217AC0">
      <w:pPr>
        <w:pStyle w:val="Heading2"/>
        <w:widowControl/>
        <w:ind w:hanging="720"/>
      </w:pPr>
      <w:bookmarkStart w:id="34" w:name="_Toc69230518"/>
      <w:r w:rsidRPr="00217AC0">
        <w:t>Recommended Decision</w:t>
      </w:r>
      <w:bookmarkEnd w:id="34"/>
    </w:p>
    <w:p w14:paraId="4A4571C1" w14:textId="6DC9393A" w:rsidR="003A02A4" w:rsidRPr="00217AC0" w:rsidRDefault="003A02A4" w:rsidP="00217AC0">
      <w:pPr>
        <w:keepNext/>
        <w:widowControl/>
        <w:spacing w:line="360" w:lineRule="auto"/>
        <w:contextualSpacing/>
        <w:rPr>
          <w:b/>
          <w:sz w:val="26"/>
          <w:szCs w:val="26"/>
        </w:rPr>
      </w:pPr>
    </w:p>
    <w:p w14:paraId="04EBEAA1" w14:textId="3F04B217" w:rsidR="00DA7738" w:rsidRPr="00217AC0" w:rsidRDefault="00C742DD" w:rsidP="00217AC0">
      <w:pPr>
        <w:keepNext/>
        <w:widowControl/>
        <w:spacing w:line="360" w:lineRule="auto"/>
        <w:ind w:firstLine="1440"/>
        <w:contextualSpacing/>
        <w:rPr>
          <w:bCs/>
          <w:sz w:val="26"/>
          <w:szCs w:val="26"/>
        </w:rPr>
      </w:pPr>
      <w:r w:rsidRPr="00217AC0">
        <w:rPr>
          <w:bCs/>
          <w:sz w:val="26"/>
          <w:szCs w:val="26"/>
        </w:rPr>
        <w:t>The ALJ recommended adoption of the Joint Petition</w:t>
      </w:r>
      <w:r w:rsidR="00206A2D" w:rsidRPr="00217AC0">
        <w:rPr>
          <w:bCs/>
          <w:sz w:val="26"/>
          <w:szCs w:val="26"/>
        </w:rPr>
        <w:t>, without modification</w:t>
      </w:r>
      <w:r w:rsidR="00DA7738" w:rsidRPr="00217AC0">
        <w:rPr>
          <w:bCs/>
          <w:sz w:val="26"/>
          <w:szCs w:val="26"/>
        </w:rPr>
        <w:t>.  The ALJ’s analysis turned on:</w:t>
      </w:r>
      <w:r w:rsidR="00327059">
        <w:rPr>
          <w:bCs/>
          <w:sz w:val="26"/>
          <w:szCs w:val="26"/>
        </w:rPr>
        <w:t xml:space="preserve"> </w:t>
      </w:r>
      <w:r w:rsidR="00DA7738" w:rsidRPr="00217AC0">
        <w:rPr>
          <w:bCs/>
          <w:sz w:val="26"/>
          <w:szCs w:val="26"/>
        </w:rPr>
        <w:t xml:space="preserve">(1) a review of the substantial record evidence; (2) the positions of the Parties; (3) weighing, on balance, the Company’s interests in sufficient revenues for its continued provision of safe and reliable service and a reasonable rate of return; and (4) the interest of the City’s customers in safe and reliable service at affordable rates.  In balancing these interests, the ALJ expressly considered that the Settlement contemplated, and sought to mitigate the serious economic hardship many may suffer due to the COVID-19 pandemic emergency.  The ALJ reviewed the Joint Petition under the standards applicable for the granting of a rate increase under the </w:t>
      </w:r>
      <w:r w:rsidR="00DA7738" w:rsidRPr="00217AC0">
        <w:rPr>
          <w:bCs/>
          <w:i/>
          <w:iCs/>
          <w:sz w:val="26"/>
          <w:szCs w:val="26"/>
        </w:rPr>
        <w:t>Bluefield</w:t>
      </w:r>
      <w:r w:rsidR="00DA7738" w:rsidRPr="00217AC0">
        <w:rPr>
          <w:bCs/>
          <w:sz w:val="26"/>
          <w:szCs w:val="26"/>
        </w:rPr>
        <w:t xml:space="preserve"> and </w:t>
      </w:r>
      <w:r w:rsidR="00DA7738" w:rsidRPr="00217AC0">
        <w:rPr>
          <w:bCs/>
          <w:i/>
          <w:iCs/>
          <w:sz w:val="26"/>
          <w:szCs w:val="26"/>
        </w:rPr>
        <w:t>Hope</w:t>
      </w:r>
      <w:r w:rsidR="00DA7738" w:rsidRPr="00217AC0">
        <w:rPr>
          <w:bCs/>
          <w:sz w:val="26"/>
          <w:szCs w:val="26"/>
        </w:rPr>
        <w:t xml:space="preserve"> </w:t>
      </w:r>
      <w:r w:rsidR="00DA7738" w:rsidRPr="00217AC0">
        <w:rPr>
          <w:bCs/>
          <w:i/>
          <w:iCs/>
          <w:sz w:val="26"/>
          <w:szCs w:val="26"/>
        </w:rPr>
        <w:t>Natural Gas</w:t>
      </w:r>
      <w:r w:rsidR="00DA7738" w:rsidRPr="00217AC0">
        <w:rPr>
          <w:bCs/>
          <w:sz w:val="26"/>
          <w:szCs w:val="26"/>
        </w:rPr>
        <w:t xml:space="preserve"> decisions, as well as the Commission guidance for consideration of whether to approve a Settlement, as set forth in </w:t>
      </w:r>
      <w:r w:rsidR="00DA7738" w:rsidRPr="00217AC0">
        <w:rPr>
          <w:bCs/>
          <w:i/>
          <w:iCs/>
          <w:sz w:val="26"/>
          <w:szCs w:val="26"/>
        </w:rPr>
        <w:t>CS Water and Sewer</w:t>
      </w:r>
      <w:r w:rsidR="00DA7738" w:rsidRPr="00217AC0">
        <w:rPr>
          <w:bCs/>
          <w:sz w:val="26"/>
          <w:szCs w:val="26"/>
        </w:rPr>
        <w:t>.  Upon review, the ALJ concluded that the terms of the “black box” settlement were supported by substantial evidence and is in the public interest, and therefore, should be approved.  R.D. at</w:t>
      </w:r>
      <w:r w:rsidR="008B4914" w:rsidRPr="00217AC0">
        <w:rPr>
          <w:bCs/>
          <w:sz w:val="26"/>
          <w:szCs w:val="26"/>
        </w:rPr>
        <w:t xml:space="preserve"> 5-7, 14-20</w:t>
      </w:r>
      <w:r w:rsidR="0022772C" w:rsidRPr="00217AC0">
        <w:rPr>
          <w:bCs/>
          <w:sz w:val="26"/>
          <w:szCs w:val="26"/>
        </w:rPr>
        <w:t>, 27-28</w:t>
      </w:r>
      <w:r w:rsidR="008B4914" w:rsidRPr="00217AC0">
        <w:rPr>
          <w:bCs/>
          <w:sz w:val="26"/>
          <w:szCs w:val="26"/>
        </w:rPr>
        <w:t>, 54, 56-58</w:t>
      </w:r>
      <w:r w:rsidR="00DA7738" w:rsidRPr="00217AC0">
        <w:rPr>
          <w:bCs/>
          <w:sz w:val="26"/>
          <w:szCs w:val="26"/>
        </w:rPr>
        <w:t>.</w:t>
      </w:r>
      <w:r w:rsidR="00A641F9" w:rsidRPr="00217AC0">
        <w:rPr>
          <w:bCs/>
          <w:sz w:val="26"/>
          <w:szCs w:val="26"/>
        </w:rPr>
        <w:t xml:space="preserve">  </w:t>
      </w:r>
      <w:r w:rsidR="0022772C" w:rsidRPr="00217AC0">
        <w:rPr>
          <w:bCs/>
          <w:sz w:val="26"/>
          <w:szCs w:val="26"/>
        </w:rPr>
        <w:t xml:space="preserve">Furthermore, the ALJ agreed with the City’s argument that the Commission has no current authority under the Code to deny the City a rate increase on the basis of the COVID-19 pandemic.  </w:t>
      </w:r>
      <w:r w:rsidR="0022772C" w:rsidRPr="00217AC0">
        <w:rPr>
          <w:bCs/>
          <w:i/>
          <w:iCs/>
          <w:sz w:val="26"/>
          <w:szCs w:val="26"/>
        </w:rPr>
        <w:t>Id</w:t>
      </w:r>
      <w:r w:rsidR="0022772C" w:rsidRPr="00217AC0">
        <w:rPr>
          <w:bCs/>
          <w:sz w:val="26"/>
          <w:szCs w:val="26"/>
        </w:rPr>
        <w:t xml:space="preserve">. at 20.  </w:t>
      </w:r>
    </w:p>
    <w:p w14:paraId="083F1190" w14:textId="700EC81A" w:rsidR="00893E22" w:rsidRPr="00217AC0" w:rsidRDefault="00893E22" w:rsidP="00217AC0">
      <w:pPr>
        <w:widowControl/>
        <w:spacing w:line="360" w:lineRule="auto"/>
        <w:contextualSpacing/>
        <w:rPr>
          <w:bCs/>
          <w:sz w:val="26"/>
          <w:szCs w:val="26"/>
        </w:rPr>
      </w:pPr>
    </w:p>
    <w:p w14:paraId="021F802A" w14:textId="7789973F" w:rsidR="007B1E2E" w:rsidRPr="00217AC0" w:rsidRDefault="007B1E2E" w:rsidP="00217AC0">
      <w:pPr>
        <w:widowControl/>
        <w:spacing w:line="360" w:lineRule="auto"/>
        <w:ind w:firstLine="1440"/>
        <w:contextualSpacing/>
        <w:rPr>
          <w:bCs/>
          <w:sz w:val="26"/>
          <w:szCs w:val="26"/>
        </w:rPr>
      </w:pPr>
      <w:r w:rsidRPr="00217AC0">
        <w:rPr>
          <w:bCs/>
          <w:sz w:val="26"/>
          <w:szCs w:val="26"/>
        </w:rPr>
        <w:t xml:space="preserve">While recommending approval of the Settlement, ALJ Haas also addressed the OCA’s and the OSBA’s proposed ratemaking adjustments but did so </w:t>
      </w:r>
      <w:r w:rsidRPr="00217AC0">
        <w:rPr>
          <w:bCs/>
          <w:i/>
          <w:iCs/>
          <w:sz w:val="26"/>
          <w:szCs w:val="26"/>
        </w:rPr>
        <w:t xml:space="preserve">only </w:t>
      </w:r>
      <w:r w:rsidRPr="00217AC0">
        <w:rPr>
          <w:bCs/>
          <w:sz w:val="26"/>
          <w:szCs w:val="26"/>
        </w:rPr>
        <w:t>in the event that the Commission wants to look past the Joint Petition and consider the adjustments proposed by the OCA and the OSBA.</w:t>
      </w:r>
      <w:r w:rsidR="0022772C" w:rsidRPr="00217AC0">
        <w:rPr>
          <w:bCs/>
          <w:sz w:val="26"/>
          <w:szCs w:val="26"/>
        </w:rPr>
        <w:t xml:space="preserve">  R.D. at 22-26, 29-51.</w:t>
      </w:r>
    </w:p>
    <w:p w14:paraId="531F47B6" w14:textId="77777777" w:rsidR="00893E22" w:rsidRPr="00217AC0" w:rsidRDefault="00893E22" w:rsidP="00217AC0">
      <w:pPr>
        <w:widowControl/>
        <w:spacing w:line="360" w:lineRule="auto"/>
        <w:contextualSpacing/>
        <w:rPr>
          <w:bCs/>
          <w:sz w:val="26"/>
          <w:szCs w:val="26"/>
        </w:rPr>
      </w:pPr>
    </w:p>
    <w:p w14:paraId="10694DFF" w14:textId="3C3B0AE1" w:rsidR="003A02A4" w:rsidRPr="00217AC0" w:rsidRDefault="003A02A4" w:rsidP="00217AC0">
      <w:pPr>
        <w:pStyle w:val="Heading2"/>
        <w:widowControl/>
        <w:ind w:hanging="720"/>
      </w:pPr>
      <w:bookmarkStart w:id="35" w:name="_Toc69230519"/>
      <w:r w:rsidRPr="00217AC0">
        <w:lastRenderedPageBreak/>
        <w:t>Disposition</w:t>
      </w:r>
      <w:bookmarkEnd w:id="35"/>
    </w:p>
    <w:p w14:paraId="735E7627" w14:textId="700372BF" w:rsidR="0009690C" w:rsidRPr="00217AC0" w:rsidRDefault="0009690C" w:rsidP="00217AC0">
      <w:pPr>
        <w:keepNext/>
        <w:widowControl/>
        <w:spacing w:line="360" w:lineRule="auto"/>
        <w:contextualSpacing/>
        <w:rPr>
          <w:b/>
          <w:sz w:val="26"/>
          <w:szCs w:val="26"/>
        </w:rPr>
      </w:pPr>
    </w:p>
    <w:p w14:paraId="3C2EEED9" w14:textId="3230F2E6" w:rsidR="00F84205" w:rsidRPr="00217AC0" w:rsidRDefault="00F84205" w:rsidP="00217AC0">
      <w:pPr>
        <w:keepNext/>
        <w:widowControl/>
        <w:spacing w:line="360" w:lineRule="auto"/>
        <w:ind w:firstLine="1440"/>
        <w:rPr>
          <w:rFonts w:eastAsia="Calibri"/>
          <w:sz w:val="26"/>
          <w:szCs w:val="26"/>
        </w:rPr>
      </w:pPr>
      <w:r w:rsidRPr="00217AC0">
        <w:rPr>
          <w:rFonts w:eastAsia="Calibri"/>
          <w:sz w:val="26"/>
          <w:szCs w:val="26"/>
        </w:rPr>
        <w:t>As set forth above and discussed in more detail</w:t>
      </w:r>
      <w:r w:rsidR="00E3169E" w:rsidRPr="00217AC0">
        <w:rPr>
          <w:rFonts w:eastAsia="Calibri"/>
          <w:sz w:val="26"/>
          <w:szCs w:val="26"/>
        </w:rPr>
        <w:t>,</w:t>
      </w:r>
      <w:r w:rsidRPr="00217AC0">
        <w:rPr>
          <w:rFonts w:eastAsia="Calibri"/>
          <w:sz w:val="26"/>
          <w:szCs w:val="26"/>
        </w:rPr>
        <w:t xml:space="preserve"> </w:t>
      </w:r>
      <w:r w:rsidRPr="00217AC0">
        <w:rPr>
          <w:rFonts w:eastAsia="Calibri"/>
          <w:i/>
          <w:iCs/>
          <w:sz w:val="26"/>
          <w:szCs w:val="26"/>
        </w:rPr>
        <w:t>infra</w:t>
      </w:r>
      <w:r w:rsidRPr="00217AC0">
        <w:rPr>
          <w:rFonts w:eastAsia="Calibri"/>
          <w:sz w:val="26"/>
          <w:szCs w:val="26"/>
        </w:rPr>
        <w:t>, in the Exceptions and Replies, having thoroughly reviewed the City’s rate filing, the supporting evidence of record, and the proposed rates in the Settlement, we conclude that it is in the best interest of the public to approve the Joint Petition.  In taking this action, we concur with the Joint Petitioners and the ALJ that certain provisions of the Joint Petition directly benefit the impacted customers and help manage the cost of water utility service during this time of COVID-19 pandemic emergency.  Among those provisions are:</w:t>
      </w:r>
      <w:r w:rsidR="00C86EE0" w:rsidRPr="00217AC0">
        <w:rPr>
          <w:rFonts w:eastAsia="Calibri"/>
          <w:sz w:val="26"/>
          <w:szCs w:val="26"/>
        </w:rPr>
        <w:t xml:space="preserve"> </w:t>
      </w:r>
      <w:r w:rsidRPr="00217AC0">
        <w:rPr>
          <w:rFonts w:eastAsia="Calibri"/>
          <w:sz w:val="26"/>
          <w:szCs w:val="26"/>
        </w:rPr>
        <w:t>(1) the reduced revenue increase of</w:t>
      </w:r>
      <w:r w:rsidR="00EB03E2" w:rsidRPr="00217AC0">
        <w:rPr>
          <w:rFonts w:eastAsia="Calibri"/>
          <w:sz w:val="26"/>
          <w:szCs w:val="26"/>
        </w:rPr>
        <w:t xml:space="preserve"> $689,932,</w:t>
      </w:r>
      <w:r w:rsidRPr="00217AC0">
        <w:rPr>
          <w:rFonts w:eastAsia="Calibri"/>
          <w:sz w:val="26"/>
          <w:szCs w:val="26"/>
        </w:rPr>
        <w:t xml:space="preserve"> nearly 25% less than the City’s original request of $908,421; and (2) provisions to monitor the utility’s UFW to maintain a level below 20%, and document potential causes where the level exceeds 20%.  R.D. at 14-16; City Statement in Support at 2-4; I&amp;E Statement in Support at 4-7, 12. </w:t>
      </w:r>
    </w:p>
    <w:p w14:paraId="6F8DCDA0" w14:textId="77777777" w:rsidR="00F84205" w:rsidRPr="00217AC0" w:rsidRDefault="00F84205" w:rsidP="00217AC0">
      <w:pPr>
        <w:widowControl/>
        <w:spacing w:line="360" w:lineRule="auto"/>
        <w:rPr>
          <w:rFonts w:eastAsia="Calibri"/>
          <w:sz w:val="26"/>
          <w:szCs w:val="26"/>
        </w:rPr>
      </w:pPr>
    </w:p>
    <w:p w14:paraId="2E166850" w14:textId="04DC9385" w:rsidR="00F84205" w:rsidRPr="00217AC0" w:rsidRDefault="00F84205" w:rsidP="00217AC0">
      <w:pPr>
        <w:widowControl/>
        <w:spacing w:line="360" w:lineRule="auto"/>
        <w:ind w:firstLine="1440"/>
        <w:rPr>
          <w:rFonts w:eastAsia="Calibri"/>
          <w:sz w:val="26"/>
          <w:szCs w:val="26"/>
        </w:rPr>
      </w:pPr>
      <w:r w:rsidRPr="00217AC0">
        <w:rPr>
          <w:rFonts w:eastAsia="Calibri"/>
          <w:sz w:val="26"/>
          <w:szCs w:val="26"/>
        </w:rPr>
        <w:t xml:space="preserve">We note our approval that the revenue increase under the terms of the Settlement acknowledges that, while the City may have a substantiated case for a rate increase, the COVID-19 pandemic is still ongoing, and therefore, it is appropriate, on balance, to consider factors which will mitigate the economic burden on ratepayers in this time of state-wide emergency.  Under its terms, the Joint Petitioners achieved a settlement which reduces the City’s originally proposed rate </w:t>
      </w:r>
      <w:r w:rsidRPr="00217AC0">
        <w:rPr>
          <w:sz w:val="26"/>
          <w:szCs w:val="26"/>
        </w:rPr>
        <w:t>increases to the City’s consumption charges in outside-City revenues ranging from 8.</w:t>
      </w:r>
      <w:r w:rsidR="00CC135B" w:rsidRPr="00217AC0">
        <w:rPr>
          <w:sz w:val="26"/>
          <w:szCs w:val="26"/>
        </w:rPr>
        <w:t>2</w:t>
      </w:r>
      <w:r w:rsidRPr="00217AC0">
        <w:rPr>
          <w:sz w:val="26"/>
          <w:szCs w:val="26"/>
        </w:rPr>
        <w:t xml:space="preserve">% for the residential class to 12.6% for the industrial class, in lieu of the City’s request, which would have produced increases of 12.7% and 18.2% for those classes, respectively.  The Settlement thereby </w:t>
      </w:r>
      <w:r w:rsidRPr="00217AC0">
        <w:rPr>
          <w:rFonts w:eastAsia="Calibri"/>
          <w:sz w:val="26"/>
          <w:szCs w:val="26"/>
        </w:rPr>
        <w:t xml:space="preserve">mitigates the economic burden on ratepayers, while affording the City sufficient revenue necessary to maintain safe and reliable water service.  </w:t>
      </w:r>
    </w:p>
    <w:p w14:paraId="36CDD419" w14:textId="114E865F" w:rsidR="00F66EEE" w:rsidRPr="00217AC0" w:rsidRDefault="00F66EEE" w:rsidP="00217AC0">
      <w:pPr>
        <w:widowControl/>
        <w:spacing w:line="360" w:lineRule="auto"/>
        <w:ind w:firstLine="1440"/>
        <w:rPr>
          <w:rFonts w:eastAsia="Calibri"/>
          <w:sz w:val="26"/>
          <w:szCs w:val="26"/>
        </w:rPr>
      </w:pPr>
    </w:p>
    <w:p w14:paraId="0555E123" w14:textId="4B0A39A5" w:rsidR="00042E9E" w:rsidRPr="00217AC0" w:rsidRDefault="00F66EEE" w:rsidP="00217AC0">
      <w:pPr>
        <w:widowControl/>
        <w:spacing w:line="360" w:lineRule="auto"/>
        <w:ind w:firstLine="1440"/>
        <w:rPr>
          <w:rFonts w:eastAsia="Calibri"/>
          <w:sz w:val="26"/>
          <w:szCs w:val="26"/>
        </w:rPr>
      </w:pPr>
      <w:r w:rsidRPr="00217AC0">
        <w:rPr>
          <w:rFonts w:eastAsia="Calibri"/>
          <w:sz w:val="26"/>
          <w:szCs w:val="26"/>
        </w:rPr>
        <w:t xml:space="preserve">Furthermore, notwithstanding the Commission’s existing Chapter 56 Regulations, containing strong consumer protections, the Commission </w:t>
      </w:r>
      <w:r w:rsidR="00806A80" w:rsidRPr="00217AC0">
        <w:rPr>
          <w:rFonts w:eastAsia="Calibri"/>
          <w:sz w:val="26"/>
          <w:szCs w:val="26"/>
        </w:rPr>
        <w:t xml:space="preserve">has been </w:t>
      </w:r>
      <w:r w:rsidRPr="00217AC0">
        <w:rPr>
          <w:rFonts w:eastAsia="Calibri"/>
          <w:sz w:val="26"/>
          <w:szCs w:val="26"/>
        </w:rPr>
        <w:t xml:space="preserve">cognizant </w:t>
      </w:r>
      <w:r w:rsidR="00806A80" w:rsidRPr="00217AC0">
        <w:rPr>
          <w:rFonts w:eastAsia="Calibri"/>
          <w:sz w:val="26"/>
          <w:szCs w:val="26"/>
        </w:rPr>
        <w:t xml:space="preserve">of the fact that there are customers who are experiencing financial problems as a result of </w:t>
      </w:r>
      <w:r w:rsidR="00806A80" w:rsidRPr="00217AC0">
        <w:rPr>
          <w:rFonts w:eastAsia="Calibri"/>
          <w:sz w:val="26"/>
          <w:szCs w:val="26"/>
        </w:rPr>
        <w:lastRenderedPageBreak/>
        <w:t>the COVID-19 pandemic and remains committed to protecting consumers through proactive measures during this</w:t>
      </w:r>
      <w:r w:rsidR="00077674" w:rsidRPr="00217AC0">
        <w:rPr>
          <w:rFonts w:eastAsia="Calibri"/>
          <w:sz w:val="26"/>
          <w:szCs w:val="26"/>
        </w:rPr>
        <w:t xml:space="preserve"> critical</w:t>
      </w:r>
      <w:r w:rsidR="00806A80" w:rsidRPr="00217AC0">
        <w:rPr>
          <w:rFonts w:eastAsia="Calibri"/>
          <w:sz w:val="26"/>
          <w:szCs w:val="26"/>
        </w:rPr>
        <w:t xml:space="preserve"> time, as demonstrated through the issuance of our Emergency Order on March 13, 2020 and through the measured approach </w:t>
      </w:r>
      <w:r w:rsidR="0034005A" w:rsidRPr="00217AC0">
        <w:rPr>
          <w:rFonts w:eastAsia="Calibri"/>
          <w:sz w:val="26"/>
          <w:szCs w:val="26"/>
        </w:rPr>
        <w:t>of</w:t>
      </w:r>
      <w:r w:rsidR="00077674" w:rsidRPr="00217AC0">
        <w:rPr>
          <w:rFonts w:eastAsia="Calibri"/>
          <w:sz w:val="26"/>
          <w:szCs w:val="26"/>
        </w:rPr>
        <w:t xml:space="preserve"> our Order entered on October 13, 2020, lifting the absolute ban on shut-offs effective November</w:t>
      </w:r>
      <w:r w:rsidR="0093332F">
        <w:rPr>
          <w:rFonts w:eastAsia="Calibri"/>
          <w:sz w:val="26"/>
          <w:szCs w:val="26"/>
        </w:rPr>
        <w:t> </w:t>
      </w:r>
      <w:r w:rsidR="00077674" w:rsidRPr="00217AC0">
        <w:rPr>
          <w:rFonts w:eastAsia="Calibri"/>
          <w:sz w:val="26"/>
          <w:szCs w:val="26"/>
        </w:rPr>
        <w:t>9,</w:t>
      </w:r>
      <w:r w:rsidR="0093332F">
        <w:rPr>
          <w:rFonts w:eastAsia="Calibri"/>
          <w:sz w:val="26"/>
          <w:szCs w:val="26"/>
        </w:rPr>
        <w:t> </w:t>
      </w:r>
      <w:r w:rsidR="00077674" w:rsidRPr="00217AC0">
        <w:rPr>
          <w:rFonts w:eastAsia="Calibri"/>
          <w:sz w:val="26"/>
          <w:szCs w:val="26"/>
        </w:rPr>
        <w:t>2020, and replacing it with specific limitations on affected utilities’ ability to terminate service.</w:t>
      </w:r>
      <w:r w:rsidR="00077674" w:rsidRPr="00217AC0">
        <w:rPr>
          <w:rStyle w:val="FootnoteReference"/>
          <w:rFonts w:eastAsia="Calibri"/>
          <w:sz w:val="26"/>
          <w:szCs w:val="26"/>
        </w:rPr>
        <w:footnoteReference w:id="22"/>
      </w:r>
      <w:r w:rsidR="00C12175" w:rsidRPr="00217AC0">
        <w:rPr>
          <w:rFonts w:eastAsia="Calibri"/>
          <w:sz w:val="26"/>
          <w:szCs w:val="26"/>
        </w:rPr>
        <w:t xml:space="preserve">  The next phase of our response to the COVID-19 pandemic, initiated by the </w:t>
      </w:r>
      <w:r w:rsidR="00C12175" w:rsidRPr="00217AC0">
        <w:rPr>
          <w:rFonts w:eastAsia="Calibri"/>
          <w:i/>
          <w:iCs/>
          <w:sz w:val="26"/>
          <w:szCs w:val="26"/>
        </w:rPr>
        <w:t>March 2020 Emergency Order</w:t>
      </w:r>
      <w:r w:rsidR="007F1263" w:rsidRPr="00217AC0">
        <w:rPr>
          <w:rFonts w:eastAsia="Calibri"/>
          <w:sz w:val="26"/>
          <w:szCs w:val="26"/>
        </w:rPr>
        <w:t xml:space="preserve">, </w:t>
      </w:r>
      <w:r w:rsidR="0096054B" w:rsidRPr="00217AC0">
        <w:rPr>
          <w:rFonts w:eastAsia="Calibri"/>
          <w:sz w:val="26"/>
          <w:szCs w:val="26"/>
        </w:rPr>
        <w:t>acknowledges that the pandemic’s effect on the Commonwealth’s unemployment levels have changed, which was an area of concern to the OCA in the instant proceeding.</w:t>
      </w:r>
      <w:r w:rsidR="005F04EB" w:rsidRPr="00217AC0">
        <w:rPr>
          <w:rFonts w:eastAsia="Calibri"/>
          <w:sz w:val="26"/>
          <w:szCs w:val="26"/>
        </w:rPr>
        <w:t xml:space="preserve">  Our Order, entered on March 18, 2021, takes additional steps toward returning to pre-COVID-19 </w:t>
      </w:r>
      <w:r w:rsidR="00A06FE3" w:rsidRPr="00217AC0">
        <w:rPr>
          <w:rFonts w:eastAsia="Calibri"/>
          <w:sz w:val="26"/>
          <w:szCs w:val="26"/>
        </w:rPr>
        <w:t>pandemic procedures for collecting amounts due for utility service.</w:t>
      </w:r>
      <w:r w:rsidR="00A06FE3" w:rsidRPr="00217AC0">
        <w:rPr>
          <w:rStyle w:val="FootnoteReference"/>
          <w:rFonts w:eastAsia="Calibri"/>
          <w:sz w:val="26"/>
          <w:szCs w:val="26"/>
        </w:rPr>
        <w:footnoteReference w:id="23"/>
      </w:r>
      <w:r w:rsidR="004B47C0" w:rsidRPr="00217AC0">
        <w:rPr>
          <w:rFonts w:eastAsia="Calibri"/>
          <w:sz w:val="26"/>
          <w:szCs w:val="26"/>
        </w:rPr>
        <w:t xml:space="preserve">  </w:t>
      </w:r>
      <w:r w:rsidR="00A6431E" w:rsidRPr="00217AC0">
        <w:rPr>
          <w:rFonts w:eastAsia="Calibri"/>
          <w:sz w:val="26"/>
          <w:szCs w:val="26"/>
        </w:rPr>
        <w:t>As we noted in our</w:t>
      </w:r>
      <w:r w:rsidR="004B47C0" w:rsidRPr="00217AC0">
        <w:rPr>
          <w:rFonts w:eastAsia="Calibri"/>
          <w:sz w:val="26"/>
          <w:szCs w:val="26"/>
        </w:rPr>
        <w:t xml:space="preserve"> </w:t>
      </w:r>
      <w:r w:rsidR="004B47C0" w:rsidRPr="00217AC0">
        <w:rPr>
          <w:rFonts w:eastAsia="Calibri"/>
          <w:i/>
          <w:iCs/>
          <w:sz w:val="26"/>
          <w:szCs w:val="26"/>
        </w:rPr>
        <w:t>March 2021 Order</w:t>
      </w:r>
      <w:r w:rsidR="00A6431E" w:rsidRPr="00217AC0">
        <w:rPr>
          <w:rFonts w:eastAsia="Calibri"/>
          <w:sz w:val="26"/>
          <w:szCs w:val="26"/>
        </w:rPr>
        <w:t xml:space="preserve">, </w:t>
      </w:r>
      <w:r w:rsidR="004B47C0" w:rsidRPr="00217AC0">
        <w:rPr>
          <w:rFonts w:eastAsia="Calibri"/>
          <w:sz w:val="26"/>
          <w:szCs w:val="26"/>
        </w:rPr>
        <w:t xml:space="preserve">the economy has improved since </w:t>
      </w:r>
      <w:r w:rsidR="00A6431E" w:rsidRPr="00217AC0">
        <w:rPr>
          <w:rFonts w:eastAsia="Calibri"/>
          <w:sz w:val="26"/>
          <w:szCs w:val="26"/>
        </w:rPr>
        <w:t>our</w:t>
      </w:r>
      <w:r w:rsidR="004B47C0" w:rsidRPr="00217AC0">
        <w:rPr>
          <w:rFonts w:eastAsia="Calibri"/>
          <w:sz w:val="26"/>
          <w:szCs w:val="26"/>
        </w:rPr>
        <w:t xml:space="preserve"> </w:t>
      </w:r>
      <w:r w:rsidR="004B47C0" w:rsidRPr="00217AC0">
        <w:rPr>
          <w:rFonts w:eastAsia="Calibri"/>
          <w:i/>
          <w:iCs/>
          <w:sz w:val="26"/>
          <w:szCs w:val="26"/>
        </w:rPr>
        <w:t>October 2020 Order</w:t>
      </w:r>
      <w:r w:rsidR="004B47C0" w:rsidRPr="00217AC0">
        <w:rPr>
          <w:rFonts w:eastAsia="Calibri"/>
          <w:sz w:val="26"/>
          <w:szCs w:val="26"/>
        </w:rPr>
        <w:t xml:space="preserve"> was entered and specifically</w:t>
      </w:r>
      <w:r w:rsidR="00A641F9" w:rsidRPr="00217AC0">
        <w:rPr>
          <w:rFonts w:eastAsia="Calibri"/>
          <w:sz w:val="26"/>
          <w:szCs w:val="26"/>
        </w:rPr>
        <w:t>,</w:t>
      </w:r>
      <w:r w:rsidR="00A6431E" w:rsidRPr="00217AC0">
        <w:rPr>
          <w:rFonts w:eastAsia="Calibri"/>
          <w:sz w:val="26"/>
          <w:szCs w:val="26"/>
        </w:rPr>
        <w:t xml:space="preserve"> we</w:t>
      </w:r>
      <w:r w:rsidR="004B47C0" w:rsidRPr="00217AC0">
        <w:rPr>
          <w:rFonts w:eastAsia="Calibri"/>
          <w:sz w:val="26"/>
          <w:szCs w:val="26"/>
        </w:rPr>
        <w:t xml:space="preserve"> stated that “Pennsylvania’s unemployment rate has improved from an astounding 16.2% in April 2020, to 10.2% in August 2020, to 7.1% in December 2020.  This downward trajectory bodes well for Pennsylvania’s economy if this trend continues.  February 2021 </w:t>
      </w:r>
      <w:r w:rsidR="004B47C0" w:rsidRPr="00217AC0">
        <w:rPr>
          <w:rFonts w:eastAsia="Calibri"/>
          <w:sz w:val="26"/>
          <w:szCs w:val="26"/>
        </w:rPr>
        <w:lastRenderedPageBreak/>
        <w:t xml:space="preserve">Pennsylvania statistics are not yet available, but the national unemployment rate for February at 6.2%, represents a continuing downward trend.”  </w:t>
      </w:r>
      <w:r w:rsidR="004B47C0" w:rsidRPr="00217AC0">
        <w:rPr>
          <w:rFonts w:eastAsia="Calibri"/>
          <w:i/>
          <w:iCs/>
          <w:sz w:val="26"/>
          <w:szCs w:val="26"/>
        </w:rPr>
        <w:t>March 2021 Order</w:t>
      </w:r>
      <w:r w:rsidR="004B47C0" w:rsidRPr="00217AC0">
        <w:rPr>
          <w:rFonts w:eastAsia="Calibri"/>
          <w:sz w:val="26"/>
          <w:szCs w:val="26"/>
        </w:rPr>
        <w:t xml:space="preserve"> at 2 (citations omitted).</w:t>
      </w:r>
      <w:r w:rsidR="006D098D" w:rsidRPr="00217AC0">
        <w:rPr>
          <w:rFonts w:eastAsia="Calibri"/>
          <w:sz w:val="26"/>
          <w:szCs w:val="26"/>
        </w:rPr>
        <w:t xml:space="preserve">  The </w:t>
      </w:r>
      <w:r w:rsidR="006D098D" w:rsidRPr="00217AC0">
        <w:rPr>
          <w:rFonts w:eastAsia="Calibri"/>
          <w:i/>
          <w:iCs/>
          <w:sz w:val="26"/>
          <w:szCs w:val="26"/>
        </w:rPr>
        <w:t>March 2021 Order</w:t>
      </w:r>
      <w:r w:rsidR="006D098D" w:rsidRPr="00217AC0">
        <w:rPr>
          <w:rFonts w:eastAsia="Calibri"/>
          <w:sz w:val="26"/>
          <w:szCs w:val="26"/>
        </w:rPr>
        <w:t xml:space="preserve"> also </w:t>
      </w:r>
      <w:r w:rsidR="00576211" w:rsidRPr="00217AC0">
        <w:rPr>
          <w:rFonts w:eastAsia="Calibri"/>
          <w:sz w:val="26"/>
          <w:szCs w:val="26"/>
        </w:rPr>
        <w:t>noted that both Congress and the General Assembly have enacted legislation providing economic assistance during the pandemic, including utility assistance.</w:t>
      </w:r>
      <w:r w:rsidR="00576211" w:rsidRPr="00217AC0">
        <w:rPr>
          <w:rStyle w:val="FootnoteReference"/>
          <w:rFonts w:eastAsia="Calibri"/>
          <w:sz w:val="26"/>
          <w:szCs w:val="26"/>
        </w:rPr>
        <w:footnoteReference w:id="24"/>
      </w:r>
      <w:r w:rsidR="00042E9E" w:rsidRPr="00217AC0">
        <w:rPr>
          <w:rFonts w:eastAsia="Calibri"/>
          <w:sz w:val="26"/>
          <w:szCs w:val="26"/>
        </w:rPr>
        <w:t xml:space="preserve">  In short, </w:t>
      </w:r>
      <w:r w:rsidR="00A6431E" w:rsidRPr="00217AC0">
        <w:rPr>
          <w:rFonts w:eastAsia="Calibri"/>
          <w:sz w:val="26"/>
          <w:szCs w:val="26"/>
        </w:rPr>
        <w:t>our</w:t>
      </w:r>
      <w:r w:rsidR="00042E9E" w:rsidRPr="00217AC0">
        <w:rPr>
          <w:rFonts w:eastAsia="Calibri"/>
          <w:sz w:val="26"/>
          <w:szCs w:val="26"/>
        </w:rPr>
        <w:t xml:space="preserve"> </w:t>
      </w:r>
      <w:r w:rsidR="00042E9E" w:rsidRPr="00217AC0">
        <w:rPr>
          <w:rFonts w:eastAsia="Calibri"/>
          <w:i/>
          <w:iCs/>
          <w:sz w:val="26"/>
          <w:szCs w:val="26"/>
        </w:rPr>
        <w:t>March 2021 Order</w:t>
      </w:r>
      <w:r w:rsidR="00042E9E" w:rsidRPr="00217AC0">
        <w:rPr>
          <w:rFonts w:eastAsia="Calibri"/>
          <w:sz w:val="26"/>
          <w:szCs w:val="26"/>
        </w:rPr>
        <w:t xml:space="preserve"> concluded</w:t>
      </w:r>
      <w:r w:rsidR="00A6431E" w:rsidRPr="00217AC0">
        <w:rPr>
          <w:rFonts w:eastAsia="Calibri"/>
          <w:sz w:val="26"/>
          <w:szCs w:val="26"/>
        </w:rPr>
        <w:t>,</w:t>
      </w:r>
      <w:r w:rsidR="002E702F" w:rsidRPr="00217AC0">
        <w:rPr>
          <w:rFonts w:eastAsia="Calibri"/>
          <w:sz w:val="26"/>
          <w:szCs w:val="26"/>
        </w:rPr>
        <w:t xml:space="preserve"> in view of the improving economic trend</w:t>
      </w:r>
      <w:r w:rsidR="00A6431E" w:rsidRPr="00217AC0">
        <w:rPr>
          <w:rFonts w:eastAsia="Calibri"/>
          <w:sz w:val="26"/>
          <w:szCs w:val="26"/>
        </w:rPr>
        <w:t>,</w:t>
      </w:r>
      <w:r w:rsidR="00042E9E" w:rsidRPr="00217AC0">
        <w:rPr>
          <w:rFonts w:eastAsia="Calibri"/>
          <w:sz w:val="26"/>
          <w:szCs w:val="26"/>
        </w:rPr>
        <w:t xml:space="preserve"> “it is time to return to the regular collections process as set forth in the Public Utility Code and the Commission’s Regulations, with some additional protections.”  </w:t>
      </w:r>
      <w:r w:rsidR="00042E9E" w:rsidRPr="00217AC0">
        <w:rPr>
          <w:rFonts w:eastAsia="Calibri"/>
          <w:i/>
          <w:iCs/>
          <w:sz w:val="26"/>
          <w:szCs w:val="26"/>
        </w:rPr>
        <w:t>March 2021 Order</w:t>
      </w:r>
      <w:r w:rsidR="00042E9E" w:rsidRPr="00217AC0">
        <w:rPr>
          <w:rFonts w:eastAsia="Calibri"/>
          <w:sz w:val="26"/>
          <w:szCs w:val="26"/>
        </w:rPr>
        <w:t xml:space="preserve"> at 3. </w:t>
      </w:r>
    </w:p>
    <w:p w14:paraId="2CACA233" w14:textId="77777777" w:rsidR="00F84205" w:rsidRPr="00217AC0" w:rsidRDefault="00F84205" w:rsidP="00217AC0">
      <w:pPr>
        <w:widowControl/>
        <w:spacing w:line="360" w:lineRule="auto"/>
        <w:contextualSpacing/>
        <w:rPr>
          <w:b/>
          <w:sz w:val="26"/>
          <w:szCs w:val="26"/>
        </w:rPr>
      </w:pPr>
    </w:p>
    <w:p w14:paraId="75D74FE6" w14:textId="77777777" w:rsidR="00F84205" w:rsidRPr="00217AC0" w:rsidRDefault="00F84205" w:rsidP="00217AC0">
      <w:pPr>
        <w:widowControl/>
        <w:spacing w:line="360" w:lineRule="auto"/>
        <w:ind w:firstLine="1440"/>
        <w:contextualSpacing/>
        <w:rPr>
          <w:bCs/>
          <w:sz w:val="26"/>
          <w:szCs w:val="26"/>
        </w:rPr>
      </w:pPr>
      <w:r w:rsidRPr="00217AC0">
        <w:rPr>
          <w:bCs/>
          <w:sz w:val="26"/>
          <w:szCs w:val="26"/>
        </w:rPr>
        <w:t xml:space="preserve">We also note that our disposition of the settlement in this case requires our consideration whether a nonunanimous settlement is just and reasonable and in the public interest.  As previously noted, in a prior case, deciding whether to approve a nonunanimous settlement involving a contested merger, the Commission has expressly stated that: </w:t>
      </w:r>
    </w:p>
    <w:p w14:paraId="60210E6F" w14:textId="77777777" w:rsidR="00F84205" w:rsidRPr="00217AC0" w:rsidRDefault="00F84205" w:rsidP="00217AC0">
      <w:pPr>
        <w:widowControl/>
        <w:spacing w:line="360" w:lineRule="auto"/>
        <w:contextualSpacing/>
        <w:rPr>
          <w:b/>
          <w:sz w:val="26"/>
          <w:szCs w:val="26"/>
        </w:rPr>
      </w:pPr>
    </w:p>
    <w:p w14:paraId="6F33971B" w14:textId="77777777" w:rsidR="00F84205" w:rsidRPr="00217AC0" w:rsidRDefault="00F84205" w:rsidP="00217AC0">
      <w:pPr>
        <w:widowControl/>
        <w:ind w:left="1440" w:right="1440" w:firstLine="720"/>
        <w:rPr>
          <w:sz w:val="26"/>
          <w:szCs w:val="26"/>
        </w:rPr>
      </w:pPr>
      <w:r w:rsidRPr="00217AC0">
        <w:rPr>
          <w:sz w:val="26"/>
          <w:szCs w:val="26"/>
        </w:rPr>
        <w:t>…[T]he Commission’s standards for reviewing a non-unanimous settlement, as proposed here, are the same as those for deciding a fully contested case.  Accordingly, substantial evidence consistent with the statutory requirements must support the proposed settlement.</w:t>
      </w:r>
    </w:p>
    <w:p w14:paraId="3DFD71EC" w14:textId="77777777" w:rsidR="00A641F9" w:rsidRPr="00217AC0" w:rsidRDefault="00A641F9" w:rsidP="00217AC0">
      <w:pPr>
        <w:widowControl/>
        <w:spacing w:line="360" w:lineRule="auto"/>
        <w:ind w:left="1440" w:right="1440" w:firstLine="720"/>
        <w:rPr>
          <w:sz w:val="26"/>
          <w:szCs w:val="26"/>
        </w:rPr>
      </w:pPr>
    </w:p>
    <w:p w14:paraId="72DE303D" w14:textId="42FD4127" w:rsidR="00C92CD6" w:rsidRDefault="00F84205" w:rsidP="00217AC0">
      <w:pPr>
        <w:widowControl/>
        <w:spacing w:line="360" w:lineRule="auto"/>
        <w:contextualSpacing/>
        <w:rPr>
          <w:bCs/>
          <w:sz w:val="26"/>
          <w:szCs w:val="26"/>
        </w:rPr>
      </w:pPr>
      <w:r w:rsidRPr="00217AC0">
        <w:rPr>
          <w:bCs/>
          <w:i/>
          <w:iCs/>
          <w:sz w:val="26"/>
          <w:szCs w:val="26"/>
        </w:rPr>
        <w:t>West Penn</w:t>
      </w:r>
      <w:r w:rsidRPr="00217AC0">
        <w:rPr>
          <w:bCs/>
          <w:sz w:val="26"/>
          <w:szCs w:val="26"/>
        </w:rPr>
        <w:t xml:space="preserve"> at 17 (citations omitted).  </w:t>
      </w:r>
      <w:r w:rsidRPr="00217AC0">
        <w:rPr>
          <w:sz w:val="26"/>
          <w:szCs w:val="26"/>
        </w:rPr>
        <w:t>Further, i</w:t>
      </w:r>
      <w:r w:rsidRPr="00217AC0">
        <w:rPr>
          <w:bCs/>
          <w:sz w:val="26"/>
          <w:szCs w:val="26"/>
        </w:rPr>
        <w:t xml:space="preserve">n our recent Opinion and Order in </w:t>
      </w:r>
      <w:r w:rsidRPr="00217AC0">
        <w:rPr>
          <w:bCs/>
          <w:i/>
          <w:iCs/>
          <w:sz w:val="26"/>
          <w:szCs w:val="26"/>
        </w:rPr>
        <w:t>PAWC</w:t>
      </w:r>
      <w:r w:rsidRPr="00217AC0">
        <w:rPr>
          <w:bCs/>
          <w:sz w:val="26"/>
          <w:szCs w:val="26"/>
        </w:rPr>
        <w:t>, we acknowledged that the standard for approval of settlement remains the same for a partial settlement, whether involving a partial settlement of issues, or a partial settlement of the parties involved (</w:t>
      </w:r>
      <w:r w:rsidRPr="00217AC0">
        <w:rPr>
          <w:bCs/>
          <w:i/>
          <w:iCs/>
          <w:sz w:val="26"/>
          <w:szCs w:val="26"/>
        </w:rPr>
        <w:t>i.e.</w:t>
      </w:r>
      <w:r w:rsidRPr="00217AC0">
        <w:rPr>
          <w:bCs/>
          <w:sz w:val="26"/>
          <w:szCs w:val="26"/>
        </w:rPr>
        <w:t xml:space="preserve">, nonunanimous).  </w:t>
      </w:r>
      <w:r w:rsidR="00A641F9" w:rsidRPr="00217AC0">
        <w:rPr>
          <w:bCs/>
          <w:i/>
          <w:iCs/>
          <w:sz w:val="26"/>
          <w:szCs w:val="26"/>
        </w:rPr>
        <w:t>PAWC</w:t>
      </w:r>
      <w:r w:rsidRPr="00217AC0">
        <w:rPr>
          <w:bCs/>
          <w:sz w:val="26"/>
          <w:szCs w:val="26"/>
        </w:rPr>
        <w:t xml:space="preserve"> at 40.  </w:t>
      </w:r>
    </w:p>
    <w:p w14:paraId="08B957ED" w14:textId="77777777" w:rsidR="00C92CD6" w:rsidRPr="00217AC0" w:rsidRDefault="00C92CD6" w:rsidP="00217AC0">
      <w:pPr>
        <w:widowControl/>
        <w:spacing w:line="360" w:lineRule="auto"/>
        <w:contextualSpacing/>
        <w:rPr>
          <w:bCs/>
          <w:sz w:val="26"/>
          <w:szCs w:val="26"/>
        </w:rPr>
      </w:pPr>
    </w:p>
    <w:p w14:paraId="28F50F58" w14:textId="77777777" w:rsidR="00F84205" w:rsidRPr="00217AC0" w:rsidRDefault="00F84205" w:rsidP="00217AC0">
      <w:pPr>
        <w:widowControl/>
        <w:spacing w:line="360" w:lineRule="auto"/>
        <w:ind w:firstLine="1440"/>
        <w:contextualSpacing/>
        <w:rPr>
          <w:bCs/>
          <w:sz w:val="26"/>
          <w:szCs w:val="26"/>
        </w:rPr>
      </w:pPr>
      <w:r w:rsidRPr="00217AC0">
        <w:rPr>
          <w:bCs/>
          <w:sz w:val="26"/>
          <w:szCs w:val="26"/>
        </w:rPr>
        <w:lastRenderedPageBreak/>
        <w:t xml:space="preserve">It is understood that, per </w:t>
      </w:r>
      <w:r w:rsidRPr="00217AC0">
        <w:rPr>
          <w:i/>
          <w:iCs/>
          <w:sz w:val="26"/>
          <w:szCs w:val="26"/>
        </w:rPr>
        <w:t>Popowsky II,</w:t>
      </w:r>
      <w:r w:rsidRPr="00217AC0">
        <w:rPr>
          <w:bCs/>
          <w:sz w:val="26"/>
          <w:szCs w:val="26"/>
        </w:rPr>
        <w:t xml:space="preserve"> in rate proceedings, the Commission ha</w:t>
      </w:r>
      <w:r w:rsidR="00A641F9" w:rsidRPr="00217AC0">
        <w:rPr>
          <w:bCs/>
          <w:sz w:val="26"/>
          <w:szCs w:val="26"/>
        </w:rPr>
        <w:t>s</w:t>
      </w:r>
      <w:r w:rsidRPr="00217AC0">
        <w:rPr>
          <w:bCs/>
          <w:sz w:val="26"/>
          <w:szCs w:val="26"/>
        </w:rPr>
        <w:t xml:space="preserve"> broad discretion to determine what factors are relevant to consider and what weight is to be given to those factors, when determining whether the proposed rate increase should be approved.  Therefore, while the standard for approval of a partial or nonunanimous settlement remains whether the settlement is reasonable and in the public interest </w:t>
      </w:r>
      <w:r w:rsidRPr="00217AC0">
        <w:rPr>
          <w:bCs/>
          <w:i/>
          <w:iCs/>
          <w:sz w:val="26"/>
          <w:szCs w:val="26"/>
        </w:rPr>
        <w:t>per</w:t>
      </w:r>
      <w:r w:rsidRPr="00217AC0">
        <w:rPr>
          <w:bCs/>
          <w:sz w:val="26"/>
          <w:szCs w:val="26"/>
        </w:rPr>
        <w:t xml:space="preserve"> </w:t>
      </w:r>
      <w:r w:rsidRPr="00217AC0">
        <w:rPr>
          <w:i/>
          <w:iCs/>
          <w:sz w:val="26"/>
          <w:szCs w:val="26"/>
        </w:rPr>
        <w:t>Pa.</w:t>
      </w:r>
      <w:r w:rsidR="0093332F">
        <w:rPr>
          <w:i/>
          <w:iCs/>
          <w:sz w:val="26"/>
          <w:szCs w:val="26"/>
        </w:rPr>
        <w:t> </w:t>
      </w:r>
      <w:r w:rsidRPr="00217AC0">
        <w:rPr>
          <w:i/>
          <w:iCs/>
          <w:sz w:val="26"/>
          <w:szCs w:val="26"/>
        </w:rPr>
        <w:t>PUC v. Philadelphia Electric Company</w:t>
      </w:r>
      <w:r w:rsidRPr="00217AC0">
        <w:rPr>
          <w:rFonts w:eastAsiaTheme="minorHAnsi"/>
          <w:bCs/>
          <w:i/>
          <w:iCs/>
          <w:sz w:val="26"/>
          <w:szCs w:val="26"/>
        </w:rPr>
        <w:t xml:space="preserve"> </w:t>
      </w:r>
      <w:r w:rsidRPr="00217AC0">
        <w:rPr>
          <w:rFonts w:eastAsiaTheme="minorHAnsi"/>
          <w:bCs/>
          <w:sz w:val="26"/>
          <w:szCs w:val="26"/>
        </w:rPr>
        <w:t>and</w:t>
      </w:r>
      <w:r w:rsidRPr="00217AC0">
        <w:rPr>
          <w:rFonts w:eastAsiaTheme="minorHAnsi"/>
          <w:bCs/>
          <w:i/>
          <w:iCs/>
          <w:sz w:val="26"/>
          <w:szCs w:val="26"/>
        </w:rPr>
        <w:t xml:space="preserve"> CS Water and Sewer</w:t>
      </w:r>
      <w:r w:rsidRPr="00217AC0">
        <w:rPr>
          <w:bCs/>
          <w:sz w:val="26"/>
          <w:szCs w:val="26"/>
        </w:rPr>
        <w:t xml:space="preserve">, the Commission’s discretion continues to include consideration of whatever factors are deemed relevant in a given case per </w:t>
      </w:r>
      <w:r w:rsidRPr="00217AC0">
        <w:rPr>
          <w:i/>
          <w:iCs/>
          <w:sz w:val="26"/>
          <w:szCs w:val="26"/>
        </w:rPr>
        <w:t>Popowsky II</w:t>
      </w:r>
      <w:r w:rsidRPr="00217AC0">
        <w:rPr>
          <w:bCs/>
          <w:sz w:val="26"/>
          <w:szCs w:val="26"/>
        </w:rPr>
        <w:t xml:space="preserve">.  Such factors may be weighed differently as the Commission deems appropriate in the given circumstances.  </w:t>
      </w:r>
    </w:p>
    <w:p w14:paraId="5C5A5DB6" w14:textId="77777777" w:rsidR="00F84205" w:rsidRPr="00217AC0" w:rsidRDefault="00F84205" w:rsidP="00217AC0">
      <w:pPr>
        <w:widowControl/>
        <w:spacing w:line="360" w:lineRule="auto"/>
        <w:contextualSpacing/>
        <w:rPr>
          <w:b/>
          <w:sz w:val="26"/>
          <w:szCs w:val="26"/>
        </w:rPr>
      </w:pPr>
    </w:p>
    <w:p w14:paraId="641BB66B" w14:textId="07DE5312" w:rsidR="005C1B07" w:rsidRDefault="005C1B07" w:rsidP="005C1B07">
      <w:pPr>
        <w:widowControl/>
        <w:spacing w:line="360" w:lineRule="auto"/>
        <w:ind w:firstLine="1440"/>
        <w:contextualSpacing/>
        <w:rPr>
          <w:bCs/>
          <w:sz w:val="26"/>
          <w:szCs w:val="26"/>
        </w:rPr>
      </w:pPr>
      <w:r w:rsidRPr="005C1B07">
        <w:rPr>
          <w:bCs/>
          <w:sz w:val="26"/>
          <w:szCs w:val="26"/>
        </w:rPr>
        <w:t>We underscore our discretion regarding what factors to consider and what weight they are to be afforded in all rate proceedings.</w:t>
      </w:r>
      <w:r w:rsidR="00C92CD6">
        <w:rPr>
          <w:bCs/>
          <w:sz w:val="26"/>
          <w:szCs w:val="26"/>
        </w:rPr>
        <w:t xml:space="preserve">  </w:t>
      </w:r>
      <w:r w:rsidRPr="005C1B07">
        <w:rPr>
          <w:bCs/>
          <w:sz w:val="26"/>
          <w:szCs w:val="26"/>
        </w:rPr>
        <w:t>We note a recent increase in the occurrence of nonunanimous settlements.</w:t>
      </w:r>
      <w:r w:rsidR="00C92CD6">
        <w:rPr>
          <w:bCs/>
          <w:sz w:val="26"/>
          <w:szCs w:val="26"/>
        </w:rPr>
        <w:t xml:space="preserve">  </w:t>
      </w:r>
      <w:r w:rsidRPr="005C1B07">
        <w:rPr>
          <w:bCs/>
          <w:sz w:val="26"/>
          <w:szCs w:val="26"/>
        </w:rPr>
        <w:t xml:space="preserve">As noted </w:t>
      </w:r>
      <w:r w:rsidRPr="00C92CD6">
        <w:rPr>
          <w:bCs/>
          <w:i/>
          <w:iCs/>
          <w:sz w:val="26"/>
          <w:szCs w:val="26"/>
        </w:rPr>
        <w:t>supra</w:t>
      </w:r>
      <w:r w:rsidRPr="005C1B07">
        <w:rPr>
          <w:bCs/>
          <w:sz w:val="26"/>
          <w:szCs w:val="26"/>
        </w:rPr>
        <w:t xml:space="preserve">., the Commission has articulated its general policy favoring settlements.  </w:t>
      </w:r>
      <w:r w:rsidRPr="00C92CD6">
        <w:rPr>
          <w:bCs/>
          <w:i/>
          <w:iCs/>
          <w:sz w:val="26"/>
          <w:szCs w:val="26"/>
        </w:rPr>
        <w:t>See</w:t>
      </w:r>
      <w:r w:rsidRPr="005C1B07">
        <w:rPr>
          <w:bCs/>
          <w:sz w:val="26"/>
          <w:szCs w:val="26"/>
        </w:rPr>
        <w:t xml:space="preserve"> </w:t>
      </w:r>
      <w:r w:rsidR="00DF516E" w:rsidRPr="00C92CD6">
        <w:rPr>
          <w:bCs/>
          <w:i/>
          <w:iCs/>
          <w:sz w:val="26"/>
          <w:szCs w:val="26"/>
        </w:rPr>
        <w:t>Peoples TWP</w:t>
      </w:r>
      <w:r w:rsidRPr="005C1B07">
        <w:rPr>
          <w:bCs/>
          <w:sz w:val="26"/>
          <w:szCs w:val="26"/>
        </w:rPr>
        <w:t>; 52 Pa. Code §§ 5.231, 69.401.</w:t>
      </w:r>
      <w:r w:rsidR="00C92CD6">
        <w:rPr>
          <w:bCs/>
          <w:sz w:val="26"/>
          <w:szCs w:val="26"/>
        </w:rPr>
        <w:t xml:space="preserve">  </w:t>
      </w:r>
      <w:r w:rsidRPr="005C1B07">
        <w:rPr>
          <w:bCs/>
          <w:sz w:val="26"/>
          <w:szCs w:val="26"/>
        </w:rPr>
        <w:t xml:space="preserve">While we do not find it necessary to disfavor or reject a settlement </w:t>
      </w:r>
      <w:r w:rsidR="00416BB1">
        <w:rPr>
          <w:bCs/>
          <w:sz w:val="26"/>
          <w:szCs w:val="26"/>
        </w:rPr>
        <w:t xml:space="preserve">because </w:t>
      </w:r>
      <w:r w:rsidRPr="005C1B07">
        <w:rPr>
          <w:bCs/>
          <w:sz w:val="26"/>
          <w:szCs w:val="26"/>
        </w:rPr>
        <w:t xml:space="preserve">it is nonunanimous, </w:t>
      </w:r>
      <w:r w:rsidRPr="00C92CD6">
        <w:rPr>
          <w:bCs/>
          <w:i/>
          <w:iCs/>
          <w:sz w:val="26"/>
          <w:szCs w:val="26"/>
        </w:rPr>
        <w:t>per se</w:t>
      </w:r>
      <w:r w:rsidRPr="005C1B07">
        <w:rPr>
          <w:bCs/>
          <w:sz w:val="26"/>
          <w:szCs w:val="26"/>
        </w:rPr>
        <w:t>, we note there are sound policy reasons to ensure appropriate due process for non-settling parties that do not support the proposed settlement or wish to continue litigation.</w:t>
      </w:r>
    </w:p>
    <w:p w14:paraId="338A07FD" w14:textId="77777777" w:rsidR="00753029" w:rsidRPr="005C1B07" w:rsidRDefault="00753029" w:rsidP="005C1B07">
      <w:pPr>
        <w:widowControl/>
        <w:spacing w:line="360" w:lineRule="auto"/>
        <w:ind w:firstLine="1440"/>
        <w:contextualSpacing/>
        <w:rPr>
          <w:bCs/>
          <w:sz w:val="26"/>
          <w:szCs w:val="26"/>
        </w:rPr>
      </w:pPr>
    </w:p>
    <w:p w14:paraId="163220EF" w14:textId="2449392F" w:rsidR="005C1B07" w:rsidRDefault="005C1B07" w:rsidP="005C1B07">
      <w:pPr>
        <w:widowControl/>
        <w:spacing w:line="360" w:lineRule="auto"/>
        <w:ind w:firstLine="1440"/>
        <w:contextualSpacing/>
        <w:rPr>
          <w:bCs/>
          <w:sz w:val="26"/>
          <w:szCs w:val="26"/>
        </w:rPr>
      </w:pPr>
      <w:r w:rsidRPr="005C1B07">
        <w:rPr>
          <w:bCs/>
          <w:sz w:val="26"/>
          <w:szCs w:val="26"/>
        </w:rPr>
        <w:t xml:space="preserve">For example, here the Joint Petitioners assert that our recent Opinion and Order in </w:t>
      </w:r>
      <w:r w:rsidRPr="00C92CD6">
        <w:rPr>
          <w:bCs/>
          <w:i/>
          <w:iCs/>
          <w:sz w:val="26"/>
          <w:szCs w:val="26"/>
        </w:rPr>
        <w:t>PAWC</w:t>
      </w:r>
      <w:r w:rsidRPr="005C1B07">
        <w:rPr>
          <w:bCs/>
          <w:sz w:val="26"/>
          <w:szCs w:val="26"/>
        </w:rPr>
        <w:t xml:space="preserve">, approving a rate increase by adoption of a nonunanimous settlement, supports our approval of the nonunanimous settlement in the present case.  The proponents of the nonunanimous settlement assert that, per </w:t>
      </w:r>
      <w:r w:rsidRPr="00C92CD6">
        <w:rPr>
          <w:bCs/>
          <w:i/>
          <w:iCs/>
          <w:sz w:val="26"/>
          <w:szCs w:val="26"/>
        </w:rPr>
        <w:t>PGW</w:t>
      </w:r>
      <w:r w:rsidRPr="005C1B07">
        <w:rPr>
          <w:bCs/>
          <w:sz w:val="26"/>
          <w:szCs w:val="26"/>
        </w:rPr>
        <w:t xml:space="preserve">, the standard for approval of partial settlements is the “lens through which” the Commission is bound to review the terms of settlement.  While accurate, the recitation of the standard for approval of partial settlements does not set forth </w:t>
      </w:r>
      <w:r w:rsidR="003C74BE">
        <w:rPr>
          <w:bCs/>
          <w:sz w:val="26"/>
          <w:szCs w:val="26"/>
        </w:rPr>
        <w:t xml:space="preserve">all </w:t>
      </w:r>
      <w:r w:rsidRPr="005C1B07">
        <w:rPr>
          <w:bCs/>
          <w:sz w:val="26"/>
          <w:szCs w:val="26"/>
        </w:rPr>
        <w:t xml:space="preserve">potentially relevant considerations for approval of a nonunanimous settlement. </w:t>
      </w:r>
    </w:p>
    <w:p w14:paraId="1B00457B" w14:textId="77777777" w:rsidR="00753029" w:rsidRPr="005C1B07" w:rsidRDefault="00753029" w:rsidP="005C1B07">
      <w:pPr>
        <w:widowControl/>
        <w:spacing w:line="360" w:lineRule="auto"/>
        <w:ind w:firstLine="1440"/>
        <w:contextualSpacing/>
        <w:rPr>
          <w:bCs/>
          <w:sz w:val="26"/>
          <w:szCs w:val="26"/>
        </w:rPr>
      </w:pPr>
    </w:p>
    <w:p w14:paraId="1C26202E" w14:textId="2D94BF0C" w:rsidR="005C1B07" w:rsidRDefault="005C1B07" w:rsidP="005C1B07">
      <w:pPr>
        <w:widowControl/>
        <w:spacing w:line="360" w:lineRule="auto"/>
        <w:ind w:firstLine="1440"/>
        <w:contextualSpacing/>
        <w:rPr>
          <w:bCs/>
          <w:sz w:val="26"/>
          <w:szCs w:val="26"/>
        </w:rPr>
      </w:pPr>
      <w:r w:rsidRPr="005C1B07">
        <w:rPr>
          <w:bCs/>
          <w:sz w:val="26"/>
          <w:szCs w:val="26"/>
        </w:rPr>
        <w:lastRenderedPageBreak/>
        <w:t xml:space="preserve">In rate proceedings, the use of a nonunanimous settlement raises the obvious concern that the Commission continue to respect the non-settling parties’ right to notice and the opportunity to be heard.  Therefore, </w:t>
      </w:r>
      <w:r w:rsidR="004309F3">
        <w:rPr>
          <w:bCs/>
          <w:sz w:val="26"/>
          <w:szCs w:val="26"/>
        </w:rPr>
        <w:t xml:space="preserve">where </w:t>
      </w:r>
      <w:r w:rsidR="003C74BE">
        <w:rPr>
          <w:bCs/>
          <w:sz w:val="26"/>
          <w:szCs w:val="26"/>
        </w:rPr>
        <w:t xml:space="preserve">a nonunanimous settlement is proposed to </w:t>
      </w:r>
      <w:r w:rsidRPr="005C1B07">
        <w:rPr>
          <w:bCs/>
          <w:sz w:val="26"/>
          <w:szCs w:val="26"/>
        </w:rPr>
        <w:t xml:space="preserve">resolve </w:t>
      </w:r>
      <w:r w:rsidR="004309F3">
        <w:rPr>
          <w:bCs/>
          <w:sz w:val="26"/>
          <w:szCs w:val="26"/>
        </w:rPr>
        <w:t>litigation</w:t>
      </w:r>
      <w:r w:rsidRPr="005C1B07">
        <w:rPr>
          <w:bCs/>
          <w:sz w:val="26"/>
          <w:szCs w:val="26"/>
        </w:rPr>
        <w:t xml:space="preserve">, the agency’s review </w:t>
      </w:r>
      <w:r w:rsidR="004309F3">
        <w:rPr>
          <w:bCs/>
          <w:sz w:val="26"/>
          <w:szCs w:val="26"/>
        </w:rPr>
        <w:t xml:space="preserve">of the entire matter </w:t>
      </w:r>
      <w:r w:rsidRPr="005C1B07">
        <w:rPr>
          <w:bCs/>
          <w:sz w:val="26"/>
          <w:szCs w:val="26"/>
        </w:rPr>
        <w:t xml:space="preserve">should ensure that evidence and argument presented by non-settling parties receives a full and fair consideration. </w:t>
      </w:r>
    </w:p>
    <w:p w14:paraId="75677FA2" w14:textId="77777777" w:rsidR="00753029" w:rsidRPr="005C1B07" w:rsidRDefault="00753029" w:rsidP="005C1B07">
      <w:pPr>
        <w:widowControl/>
        <w:spacing w:line="360" w:lineRule="auto"/>
        <w:ind w:firstLine="1440"/>
        <w:contextualSpacing/>
        <w:rPr>
          <w:bCs/>
          <w:sz w:val="26"/>
          <w:szCs w:val="26"/>
        </w:rPr>
      </w:pPr>
    </w:p>
    <w:p w14:paraId="7DAD56C1" w14:textId="1598F9F7" w:rsidR="005C1B07" w:rsidRDefault="005C1B07" w:rsidP="005C1B07">
      <w:pPr>
        <w:widowControl/>
        <w:spacing w:line="360" w:lineRule="auto"/>
        <w:ind w:firstLine="1440"/>
        <w:contextualSpacing/>
        <w:rPr>
          <w:bCs/>
          <w:sz w:val="26"/>
          <w:szCs w:val="26"/>
        </w:rPr>
      </w:pPr>
      <w:r w:rsidRPr="005C1B07">
        <w:rPr>
          <w:bCs/>
          <w:sz w:val="26"/>
          <w:szCs w:val="26"/>
        </w:rPr>
        <w:t xml:space="preserve">Considerations which may ensure fairness to all the parties include, inter alia, independent assessment by the Commission whether the nonunanimous settlement is reasonable and in the public interest; fact-finding hearings to determine whether the settlement is in the public interest and supported by substantial evidence; and the range of interests represented in the nonunanimous settlement.  </w:t>
      </w:r>
      <w:r w:rsidR="009A6B66">
        <w:rPr>
          <w:bCs/>
          <w:sz w:val="26"/>
          <w:szCs w:val="26"/>
        </w:rPr>
        <w:t>T</w:t>
      </w:r>
      <w:r w:rsidRPr="005C1B07">
        <w:rPr>
          <w:bCs/>
          <w:sz w:val="26"/>
          <w:szCs w:val="26"/>
        </w:rPr>
        <w:t>he Commission’s procedures already provide for many of these safeguards including, inter alia: (1) the Commission’s independent review and determination whether the settlement is reasonable and in the public interest; (2) the non-settling party’s opportunity to object to the settlement; (3)</w:t>
      </w:r>
      <w:r w:rsidR="00DF516E">
        <w:rPr>
          <w:bCs/>
          <w:sz w:val="26"/>
          <w:szCs w:val="26"/>
        </w:rPr>
        <w:t xml:space="preserve"> </w:t>
      </w:r>
      <w:r w:rsidRPr="005C1B07">
        <w:rPr>
          <w:bCs/>
          <w:sz w:val="26"/>
          <w:szCs w:val="26"/>
        </w:rPr>
        <w:t xml:space="preserve">the non-settling party’s opportunity to fully litigate contested issues; </w:t>
      </w:r>
      <w:r w:rsidR="00C92CD6">
        <w:rPr>
          <w:bCs/>
          <w:sz w:val="26"/>
          <w:szCs w:val="26"/>
        </w:rPr>
        <w:t xml:space="preserve">and </w:t>
      </w:r>
      <w:r w:rsidRPr="005C1B07">
        <w:rPr>
          <w:bCs/>
          <w:sz w:val="26"/>
          <w:szCs w:val="26"/>
        </w:rPr>
        <w:t>(4)</w:t>
      </w:r>
      <w:r w:rsidR="00C92CD6">
        <w:rPr>
          <w:bCs/>
          <w:sz w:val="26"/>
          <w:szCs w:val="26"/>
        </w:rPr>
        <w:t xml:space="preserve"> </w:t>
      </w:r>
      <w:r w:rsidRPr="005C1B07">
        <w:rPr>
          <w:bCs/>
          <w:sz w:val="26"/>
          <w:szCs w:val="26"/>
        </w:rPr>
        <w:t xml:space="preserve">the non-settling party’s opportunity for fact-finding hearings on the terms of settlement and contested issues. </w:t>
      </w:r>
    </w:p>
    <w:p w14:paraId="567FFFF9" w14:textId="77777777" w:rsidR="00753029" w:rsidRPr="005C1B07" w:rsidRDefault="00753029" w:rsidP="005C1B07">
      <w:pPr>
        <w:widowControl/>
        <w:spacing w:line="360" w:lineRule="auto"/>
        <w:ind w:firstLine="1440"/>
        <w:contextualSpacing/>
        <w:rPr>
          <w:bCs/>
          <w:sz w:val="26"/>
          <w:szCs w:val="26"/>
        </w:rPr>
      </w:pPr>
    </w:p>
    <w:p w14:paraId="7DE62657" w14:textId="12600CB1" w:rsidR="005C1B07" w:rsidRDefault="005C1B07" w:rsidP="005C1B07">
      <w:pPr>
        <w:widowControl/>
        <w:spacing w:line="360" w:lineRule="auto"/>
        <w:ind w:firstLine="1440"/>
        <w:contextualSpacing/>
        <w:rPr>
          <w:bCs/>
          <w:sz w:val="26"/>
          <w:szCs w:val="26"/>
        </w:rPr>
      </w:pPr>
      <w:r w:rsidRPr="005C1B07">
        <w:rPr>
          <w:bCs/>
          <w:sz w:val="26"/>
          <w:szCs w:val="26"/>
        </w:rPr>
        <w:t xml:space="preserve">For example, in </w:t>
      </w:r>
      <w:r w:rsidRPr="00C92CD6">
        <w:rPr>
          <w:bCs/>
          <w:i/>
          <w:iCs/>
          <w:sz w:val="26"/>
          <w:szCs w:val="26"/>
        </w:rPr>
        <w:t>PAWC</w:t>
      </w:r>
      <w:r w:rsidRPr="005C1B07">
        <w:rPr>
          <w:bCs/>
          <w:sz w:val="26"/>
          <w:szCs w:val="26"/>
        </w:rPr>
        <w:t xml:space="preserve"> the record reflected a fully contested, on the record proceeding, in which all the parties had fully litigated their positions and presented evidence at hearing.  The nonunanimous settlement reached in </w:t>
      </w:r>
      <w:r w:rsidRPr="00C92CD6">
        <w:rPr>
          <w:bCs/>
          <w:i/>
          <w:iCs/>
          <w:sz w:val="26"/>
          <w:szCs w:val="26"/>
        </w:rPr>
        <w:t>PAWC</w:t>
      </w:r>
      <w:r w:rsidRPr="005C1B07">
        <w:rPr>
          <w:bCs/>
          <w:sz w:val="26"/>
          <w:szCs w:val="26"/>
        </w:rPr>
        <w:t xml:space="preserve"> was achieved at a point following the full litigation of the issues presented.  In contrast, the procedural posture in the present case reflects that the City engaged in settlement negotiations with the Parties, the City and I&amp;E and arrived at the agreed upon settlement terms, after which the ALJ provided the </w:t>
      </w:r>
      <w:r w:rsidR="00670980">
        <w:rPr>
          <w:bCs/>
          <w:sz w:val="26"/>
          <w:szCs w:val="26"/>
        </w:rPr>
        <w:t>N</w:t>
      </w:r>
      <w:r w:rsidRPr="005C1B07">
        <w:rPr>
          <w:bCs/>
          <w:sz w:val="26"/>
          <w:szCs w:val="26"/>
        </w:rPr>
        <w:t>on-</w:t>
      </w:r>
      <w:r w:rsidR="00670980">
        <w:rPr>
          <w:bCs/>
          <w:sz w:val="26"/>
          <w:szCs w:val="26"/>
        </w:rPr>
        <w:t>S</w:t>
      </w:r>
      <w:r w:rsidRPr="005C1B07">
        <w:rPr>
          <w:bCs/>
          <w:sz w:val="26"/>
          <w:szCs w:val="26"/>
        </w:rPr>
        <w:t xml:space="preserve">ettling </w:t>
      </w:r>
      <w:r w:rsidR="00670980">
        <w:rPr>
          <w:bCs/>
          <w:sz w:val="26"/>
          <w:szCs w:val="26"/>
        </w:rPr>
        <w:t>P</w:t>
      </w:r>
      <w:r w:rsidRPr="005C1B07">
        <w:rPr>
          <w:bCs/>
          <w:sz w:val="26"/>
          <w:szCs w:val="26"/>
        </w:rPr>
        <w:t xml:space="preserve">arties the opportunity to fully litigate any contested issues.  R.D. at 2-3. </w:t>
      </w:r>
    </w:p>
    <w:p w14:paraId="19B449C2" w14:textId="77777777" w:rsidR="00753029" w:rsidRPr="005C1B07" w:rsidRDefault="00753029" w:rsidP="005C1B07">
      <w:pPr>
        <w:widowControl/>
        <w:spacing w:line="360" w:lineRule="auto"/>
        <w:ind w:firstLine="1440"/>
        <w:contextualSpacing/>
        <w:rPr>
          <w:bCs/>
          <w:sz w:val="26"/>
          <w:szCs w:val="26"/>
        </w:rPr>
      </w:pPr>
    </w:p>
    <w:p w14:paraId="6D5E952E" w14:textId="28BA3952" w:rsidR="00753029" w:rsidRDefault="005C1B07" w:rsidP="005C1B07">
      <w:pPr>
        <w:widowControl/>
        <w:spacing w:line="360" w:lineRule="auto"/>
        <w:ind w:firstLine="1440"/>
        <w:contextualSpacing/>
        <w:rPr>
          <w:bCs/>
          <w:sz w:val="26"/>
          <w:szCs w:val="26"/>
        </w:rPr>
      </w:pPr>
      <w:r w:rsidRPr="005C1B07">
        <w:rPr>
          <w:bCs/>
          <w:sz w:val="26"/>
          <w:szCs w:val="26"/>
        </w:rPr>
        <w:lastRenderedPageBreak/>
        <w:t xml:space="preserve">We note that a proceeding’s procedural history is significant since it reveals whether and how all the parties were afforded due process.  In </w:t>
      </w:r>
      <w:r w:rsidRPr="00C92CD6">
        <w:rPr>
          <w:bCs/>
          <w:i/>
          <w:iCs/>
          <w:sz w:val="26"/>
          <w:szCs w:val="26"/>
        </w:rPr>
        <w:t>PAWC</w:t>
      </w:r>
      <w:r w:rsidRPr="005C1B07">
        <w:rPr>
          <w:bCs/>
          <w:sz w:val="26"/>
          <w:szCs w:val="26"/>
        </w:rPr>
        <w:t xml:space="preserve">, where the settlement was achieved after a fully contested, fully litigated rate proceeding, and where the non-settling parties could object to the settlement, there was no question that all the parties had been afforded full and fair notice and opportunity to be heard.  Similarly, in the present case, where the Settlement was achieved prior to a fully contested and litigated proceeding by all the </w:t>
      </w:r>
      <w:r w:rsidR="00670980">
        <w:rPr>
          <w:bCs/>
          <w:sz w:val="26"/>
          <w:szCs w:val="26"/>
        </w:rPr>
        <w:t>P</w:t>
      </w:r>
      <w:r w:rsidRPr="005C1B07">
        <w:rPr>
          <w:bCs/>
          <w:sz w:val="26"/>
          <w:szCs w:val="26"/>
        </w:rPr>
        <w:t xml:space="preserve">arties, ALJ Haas ensured the Non-Settling Parties were afforded full and fair notice and opportunity to be heard, by both their opportunity to object to the Settlement and by affording them the subsequent opportunity to fully litigate any issue which remained contested.  R.D. at 2-3,6. </w:t>
      </w:r>
    </w:p>
    <w:p w14:paraId="62A42BDB" w14:textId="77777777" w:rsidR="00F84205" w:rsidRPr="00217AC0" w:rsidRDefault="00F84205" w:rsidP="00217AC0">
      <w:pPr>
        <w:widowControl/>
        <w:spacing w:line="360" w:lineRule="auto"/>
        <w:contextualSpacing/>
        <w:rPr>
          <w:b/>
          <w:sz w:val="26"/>
          <w:szCs w:val="26"/>
        </w:rPr>
      </w:pPr>
    </w:p>
    <w:p w14:paraId="4F334D9E" w14:textId="020B3C48" w:rsidR="00F84205" w:rsidRPr="00217AC0" w:rsidRDefault="00F84205" w:rsidP="00217AC0">
      <w:pPr>
        <w:widowControl/>
        <w:spacing w:line="360" w:lineRule="auto"/>
        <w:ind w:firstLine="1440"/>
        <w:contextualSpacing/>
        <w:rPr>
          <w:rFonts w:eastAsia="Calibri"/>
          <w:sz w:val="26"/>
          <w:szCs w:val="26"/>
        </w:rPr>
      </w:pPr>
      <w:r w:rsidRPr="00217AC0">
        <w:rPr>
          <w:bCs/>
          <w:sz w:val="26"/>
          <w:szCs w:val="26"/>
        </w:rPr>
        <w:t xml:space="preserve">Turning now to the Settlement in the present case, upon review, we shall approve the Settlement.  As discussed previously, we find that all the Parties were afforded due process in this proceeding, and that the matters in contention by the Non-Settling Parties did not assert a basis to undermine our finding that the Settlement was reasonable and in the public intertest.  </w:t>
      </w:r>
      <w:r w:rsidRPr="00217AC0">
        <w:rPr>
          <w:rFonts w:eastAsia="Calibri"/>
          <w:bCs/>
          <w:sz w:val="26"/>
          <w:szCs w:val="26"/>
        </w:rPr>
        <w:t>In</w:t>
      </w:r>
      <w:r w:rsidRPr="00217AC0">
        <w:rPr>
          <w:rFonts w:eastAsia="Calibri"/>
          <w:sz w:val="26"/>
          <w:szCs w:val="26"/>
        </w:rPr>
        <w:t xml:space="preserve"> the present case, the Settlement provides a benefit to the ratepayers, by a reduction in the overall rate increase originally sought by the City and limiting the rate increase to an amount necessary for the City to provide safe and reliable water service to its customers.  R.D. at 6; </w:t>
      </w:r>
      <w:r w:rsidRPr="00217AC0">
        <w:rPr>
          <w:sz w:val="26"/>
          <w:szCs w:val="26"/>
        </w:rPr>
        <w:t>City Statement in Support at 4-5; I&amp;E Statement in Support at 5-7.</w:t>
      </w:r>
      <w:r w:rsidRPr="00217AC0">
        <w:rPr>
          <w:rFonts w:eastAsia="Calibri"/>
          <w:sz w:val="26"/>
          <w:szCs w:val="26"/>
        </w:rPr>
        <w:t xml:space="preserve"> </w:t>
      </w:r>
    </w:p>
    <w:p w14:paraId="7E359729" w14:textId="77777777" w:rsidR="00F84205" w:rsidRPr="00217AC0" w:rsidRDefault="00F84205" w:rsidP="00217AC0">
      <w:pPr>
        <w:widowControl/>
        <w:spacing w:line="360" w:lineRule="auto"/>
        <w:ind w:firstLine="1440"/>
        <w:contextualSpacing/>
        <w:rPr>
          <w:b/>
          <w:sz w:val="26"/>
          <w:szCs w:val="26"/>
        </w:rPr>
      </w:pPr>
    </w:p>
    <w:p w14:paraId="68F50E42" w14:textId="19651D03" w:rsidR="00F84205" w:rsidRPr="00217AC0" w:rsidRDefault="00F84205" w:rsidP="00217AC0">
      <w:pPr>
        <w:widowControl/>
        <w:spacing w:line="360" w:lineRule="auto"/>
        <w:ind w:firstLine="1440"/>
        <w:rPr>
          <w:rFonts w:eastAsia="Calibri"/>
          <w:sz w:val="26"/>
          <w:szCs w:val="26"/>
        </w:rPr>
      </w:pPr>
      <w:r w:rsidRPr="00217AC0">
        <w:rPr>
          <w:rFonts w:eastAsia="Calibri"/>
          <w:sz w:val="26"/>
          <w:szCs w:val="26"/>
        </w:rPr>
        <w:t xml:space="preserve">While we acknowledge the rate increase amount was achieved under the terms of a “black box” settlement, which does not necessarily attribute specific factors relied upon in the specified rate increase, we expressly find that the substantial evidence of record supports the rate increase agreed to under the terms of the Settlement.  The stipulated base rate increase of $689,932 is approximately a 25% reduction to the City’s original request, for which the City submitted supporting data and direct and rebuttal testimony to substantiate.  We are further persuaded by I&amp;E’s endorsement of the Settlement rates, based upon I&amp;E’s thorough analysis of the City’s ratemaking claims in </w:t>
      </w:r>
      <w:r w:rsidRPr="00217AC0">
        <w:rPr>
          <w:rFonts w:eastAsia="Calibri"/>
          <w:sz w:val="26"/>
          <w:szCs w:val="26"/>
        </w:rPr>
        <w:lastRenderedPageBreak/>
        <w:t xml:space="preserve">its base rate filing, and review of the evidence obtained through the discovery process to determine the amount of revenue the City needs to provide safe, effective, and reliable service to its customers.  </w:t>
      </w:r>
      <w:r w:rsidRPr="00217AC0">
        <w:rPr>
          <w:rFonts w:eastAsia="Calibri"/>
          <w:i/>
          <w:iCs/>
          <w:sz w:val="26"/>
          <w:szCs w:val="26"/>
        </w:rPr>
        <w:t>See</w:t>
      </w:r>
      <w:r w:rsidRPr="00217AC0">
        <w:rPr>
          <w:rFonts w:eastAsia="Calibri"/>
          <w:sz w:val="26"/>
          <w:szCs w:val="26"/>
        </w:rPr>
        <w:t xml:space="preserve"> I&amp;E Statement in Support at 7.</w:t>
      </w:r>
    </w:p>
    <w:p w14:paraId="553B8153" w14:textId="66DD2BC9" w:rsidR="004E3777" w:rsidRPr="00217AC0" w:rsidRDefault="004E3777" w:rsidP="00217AC0">
      <w:pPr>
        <w:widowControl/>
        <w:spacing w:line="360" w:lineRule="auto"/>
        <w:ind w:firstLine="1440"/>
        <w:rPr>
          <w:rFonts w:eastAsia="Calibri"/>
          <w:sz w:val="26"/>
          <w:szCs w:val="26"/>
        </w:rPr>
      </w:pPr>
    </w:p>
    <w:p w14:paraId="73A440A1" w14:textId="0BCE2523" w:rsidR="00B85871" w:rsidRPr="00217AC0" w:rsidRDefault="004E3777" w:rsidP="00217AC0">
      <w:pPr>
        <w:widowControl/>
        <w:spacing w:line="360" w:lineRule="auto"/>
        <w:ind w:firstLine="1440"/>
        <w:rPr>
          <w:sz w:val="26"/>
          <w:szCs w:val="26"/>
        </w:rPr>
      </w:pPr>
      <w:r w:rsidRPr="00217AC0">
        <w:rPr>
          <w:rFonts w:eastAsia="Calibri"/>
          <w:sz w:val="26"/>
          <w:szCs w:val="26"/>
        </w:rPr>
        <w:t>We note that although the OCA filed an objection to the Settlement, it does not contest any specific provision concerning revenue allocation or rate design</w:t>
      </w:r>
      <w:r w:rsidR="00595D02" w:rsidRPr="00217AC0">
        <w:rPr>
          <w:rFonts w:eastAsia="Calibri"/>
          <w:sz w:val="26"/>
          <w:szCs w:val="26"/>
        </w:rPr>
        <w:t xml:space="preserve">, which, consistent with the stipulated revenue increase and the other provisions contained in the Settlement, were achieved through compromise.  </w:t>
      </w:r>
      <w:r w:rsidR="00B85871" w:rsidRPr="00217AC0">
        <w:rPr>
          <w:rFonts w:eastAsia="Calibri"/>
          <w:sz w:val="26"/>
          <w:szCs w:val="26"/>
        </w:rPr>
        <w:t>As the Settling Parties concede,</w:t>
      </w:r>
      <w:r w:rsidR="00D64B3F" w:rsidRPr="00217AC0">
        <w:rPr>
          <w:rFonts w:eastAsia="Calibri"/>
          <w:sz w:val="26"/>
          <w:szCs w:val="26"/>
        </w:rPr>
        <w:t xml:space="preserve"> </w:t>
      </w:r>
      <w:r w:rsidR="00B85871" w:rsidRPr="00217AC0">
        <w:rPr>
          <w:rFonts w:eastAsia="Calibri"/>
          <w:sz w:val="26"/>
          <w:szCs w:val="26"/>
        </w:rPr>
        <w:t xml:space="preserve">this is a </w:t>
      </w:r>
      <w:r w:rsidR="00D64B3F" w:rsidRPr="00217AC0">
        <w:rPr>
          <w:rFonts w:eastAsia="Calibri"/>
          <w:sz w:val="26"/>
          <w:szCs w:val="26"/>
        </w:rPr>
        <w:t>“</w:t>
      </w:r>
      <w:r w:rsidR="00B85871" w:rsidRPr="00217AC0">
        <w:rPr>
          <w:rFonts w:eastAsia="Calibri"/>
          <w:sz w:val="26"/>
          <w:szCs w:val="26"/>
        </w:rPr>
        <w:t>black box</w:t>
      </w:r>
      <w:r w:rsidR="00D64B3F" w:rsidRPr="00217AC0">
        <w:rPr>
          <w:rFonts w:eastAsia="Calibri"/>
          <w:sz w:val="26"/>
          <w:szCs w:val="26"/>
        </w:rPr>
        <w:t xml:space="preserve">” </w:t>
      </w:r>
      <w:r w:rsidR="00B85871" w:rsidRPr="00217AC0">
        <w:rPr>
          <w:rFonts w:eastAsia="Calibri"/>
          <w:sz w:val="26"/>
          <w:szCs w:val="26"/>
        </w:rPr>
        <w:t>settlement as to the revenue requiremen</w:t>
      </w:r>
      <w:r w:rsidR="00D64B3F" w:rsidRPr="00217AC0">
        <w:rPr>
          <w:rFonts w:eastAsia="Calibri"/>
          <w:sz w:val="26"/>
          <w:szCs w:val="26"/>
        </w:rPr>
        <w:t xml:space="preserve">t.  Likewise, the Settlement does not provide any indication as to how specific costs are allocated among the various customer classes served by the City.  </w:t>
      </w:r>
      <w:r w:rsidR="00664A93" w:rsidRPr="00217AC0">
        <w:rPr>
          <w:rFonts w:eastAsia="Calibri"/>
          <w:sz w:val="26"/>
          <w:szCs w:val="26"/>
        </w:rPr>
        <w:t>However, we agree with the ALJ’s finding that, considering the discussions presented by the Parties</w:t>
      </w:r>
      <w:r w:rsidR="00AE7E41" w:rsidRPr="00217AC0">
        <w:rPr>
          <w:rFonts w:eastAsia="Calibri"/>
          <w:sz w:val="26"/>
          <w:szCs w:val="26"/>
        </w:rPr>
        <w:t xml:space="preserve"> summarized on pages 52 through 57 of the ALJ’s Recommended Decision</w:t>
      </w:r>
      <w:r w:rsidR="00664A93" w:rsidRPr="00217AC0">
        <w:rPr>
          <w:rFonts w:eastAsia="Calibri"/>
          <w:sz w:val="26"/>
          <w:szCs w:val="26"/>
        </w:rPr>
        <w:t>, the revenue allocation and rate design provided for under the Settlement is an appropriate resolution of the Parties’ positions, affording appropriate primary consideration to cost causation principles per</w:t>
      </w:r>
      <w:r w:rsidR="00664A93" w:rsidRPr="00217AC0">
        <w:rPr>
          <w:rFonts w:eastAsia="Calibri"/>
          <w:i/>
          <w:sz w:val="26"/>
          <w:szCs w:val="26"/>
        </w:rPr>
        <w:t xml:space="preserve"> Lloyd v. Pa. PUC, </w:t>
      </w:r>
      <w:r w:rsidR="00664A93" w:rsidRPr="00217AC0">
        <w:rPr>
          <w:rFonts w:eastAsia="Calibri"/>
          <w:sz w:val="26"/>
          <w:szCs w:val="26"/>
        </w:rPr>
        <w:t>904 A.2d 1010 (Pa. Cmwlth. 2006)</w:t>
      </w:r>
      <w:r w:rsidR="00E7209E" w:rsidRPr="00217AC0">
        <w:rPr>
          <w:rFonts w:eastAsia="Calibri"/>
          <w:sz w:val="26"/>
          <w:szCs w:val="26"/>
        </w:rPr>
        <w:t xml:space="preserve"> (</w:t>
      </w:r>
      <w:r w:rsidR="00E7209E" w:rsidRPr="00217AC0">
        <w:rPr>
          <w:rFonts w:eastAsia="Calibri"/>
          <w:i/>
          <w:iCs/>
          <w:sz w:val="26"/>
          <w:szCs w:val="26"/>
        </w:rPr>
        <w:t>Lloyd</w:t>
      </w:r>
      <w:r w:rsidR="00E7209E" w:rsidRPr="00217AC0">
        <w:rPr>
          <w:rFonts w:eastAsia="Calibri"/>
          <w:sz w:val="26"/>
          <w:szCs w:val="26"/>
        </w:rPr>
        <w:t>)</w:t>
      </w:r>
      <w:r w:rsidR="00664A93" w:rsidRPr="00217AC0">
        <w:rPr>
          <w:rFonts w:eastAsia="Calibri"/>
          <w:sz w:val="26"/>
          <w:szCs w:val="26"/>
        </w:rPr>
        <w:t xml:space="preserve"> in tandem with secondary consideration for the value of service, gradualism, and conservation.  </w:t>
      </w:r>
      <w:r w:rsidR="00664A93" w:rsidRPr="00217AC0">
        <w:rPr>
          <w:rFonts w:eastAsia="Calibri"/>
          <w:i/>
          <w:iCs/>
          <w:sz w:val="26"/>
          <w:szCs w:val="26"/>
        </w:rPr>
        <w:t>See</w:t>
      </w:r>
      <w:r w:rsidR="00664A93" w:rsidRPr="00217AC0">
        <w:rPr>
          <w:rFonts w:eastAsia="Calibri"/>
          <w:sz w:val="26"/>
          <w:szCs w:val="26"/>
        </w:rPr>
        <w:t xml:space="preserve"> R.D. at 52-57.</w:t>
      </w:r>
      <w:r w:rsidR="00266167" w:rsidRPr="00217AC0">
        <w:rPr>
          <w:rFonts w:eastAsia="Calibri"/>
          <w:sz w:val="26"/>
          <w:szCs w:val="26"/>
        </w:rPr>
        <w:t xml:space="preserve">  </w:t>
      </w:r>
      <w:r w:rsidR="00266167" w:rsidRPr="00217AC0">
        <w:rPr>
          <w:sz w:val="26"/>
          <w:szCs w:val="26"/>
        </w:rPr>
        <w:t xml:space="preserve">Based on the results of the OSBA’s </w:t>
      </w:r>
      <w:r w:rsidR="002F2390" w:rsidRPr="00217AC0">
        <w:rPr>
          <w:sz w:val="26"/>
          <w:szCs w:val="26"/>
        </w:rPr>
        <w:t>changes to the City’s cost of service study, with which the City</w:t>
      </w:r>
      <w:r w:rsidR="00E41123" w:rsidRPr="00217AC0">
        <w:rPr>
          <w:sz w:val="26"/>
          <w:szCs w:val="26"/>
        </w:rPr>
        <w:t>,</w:t>
      </w:r>
      <w:r w:rsidR="002F2390" w:rsidRPr="00217AC0">
        <w:rPr>
          <w:sz w:val="26"/>
          <w:szCs w:val="26"/>
        </w:rPr>
        <w:t xml:space="preserve"> I&amp;E</w:t>
      </w:r>
      <w:r w:rsidR="00E41123" w:rsidRPr="00217AC0">
        <w:rPr>
          <w:sz w:val="26"/>
          <w:szCs w:val="26"/>
        </w:rPr>
        <w:t>, and the</w:t>
      </w:r>
      <w:r w:rsidR="002F2390" w:rsidRPr="00217AC0">
        <w:rPr>
          <w:sz w:val="26"/>
          <w:szCs w:val="26"/>
        </w:rPr>
        <w:t xml:space="preserve"> </w:t>
      </w:r>
      <w:r w:rsidR="00E41123" w:rsidRPr="00217AC0">
        <w:rPr>
          <w:sz w:val="26"/>
          <w:szCs w:val="26"/>
        </w:rPr>
        <w:t xml:space="preserve">OCA </w:t>
      </w:r>
      <w:r w:rsidR="002F2390" w:rsidRPr="00217AC0">
        <w:rPr>
          <w:sz w:val="26"/>
          <w:szCs w:val="26"/>
        </w:rPr>
        <w:t>agree</w:t>
      </w:r>
      <w:r w:rsidR="00266167" w:rsidRPr="00217AC0">
        <w:rPr>
          <w:sz w:val="26"/>
          <w:szCs w:val="26"/>
        </w:rPr>
        <w:t>,</w:t>
      </w:r>
      <w:r w:rsidR="00E41123" w:rsidRPr="00217AC0">
        <w:rPr>
          <w:rStyle w:val="FootnoteReference"/>
          <w:sz w:val="26"/>
          <w:szCs w:val="26"/>
        </w:rPr>
        <w:footnoteReference w:id="25"/>
      </w:r>
      <w:r w:rsidR="00266167" w:rsidRPr="00217AC0">
        <w:rPr>
          <w:sz w:val="26"/>
          <w:szCs w:val="26"/>
        </w:rPr>
        <w:t xml:space="preserve"> </w:t>
      </w:r>
      <w:r w:rsidR="002F2390" w:rsidRPr="00217AC0">
        <w:rPr>
          <w:sz w:val="26"/>
          <w:szCs w:val="26"/>
        </w:rPr>
        <w:t>the OSBA</w:t>
      </w:r>
      <w:r w:rsidR="00266167" w:rsidRPr="00217AC0">
        <w:rPr>
          <w:sz w:val="26"/>
          <w:szCs w:val="26"/>
        </w:rPr>
        <w:t xml:space="preserve"> illustrated the effect</w:t>
      </w:r>
      <w:r w:rsidR="002F2390" w:rsidRPr="00217AC0">
        <w:rPr>
          <w:sz w:val="26"/>
          <w:szCs w:val="26"/>
        </w:rPr>
        <w:t xml:space="preserve"> the</w:t>
      </w:r>
      <w:r w:rsidR="00266167" w:rsidRPr="00217AC0">
        <w:rPr>
          <w:sz w:val="26"/>
          <w:szCs w:val="26"/>
        </w:rPr>
        <w:t xml:space="preserve"> </w:t>
      </w:r>
      <w:r w:rsidR="002F2390" w:rsidRPr="00217AC0">
        <w:rPr>
          <w:sz w:val="26"/>
          <w:szCs w:val="26"/>
        </w:rPr>
        <w:t xml:space="preserve">City’s </w:t>
      </w:r>
      <w:r w:rsidR="00266167" w:rsidRPr="00217AC0">
        <w:rPr>
          <w:sz w:val="26"/>
          <w:szCs w:val="26"/>
        </w:rPr>
        <w:t>proposed revenue allocation would have on the “subsidies” paid and received by each rate class, as follows:</w:t>
      </w:r>
    </w:p>
    <w:p w14:paraId="77A3D6A8" w14:textId="77777777" w:rsidR="00B42C93" w:rsidRPr="00217AC0" w:rsidRDefault="00B42C93" w:rsidP="00217AC0">
      <w:pPr>
        <w:widowControl/>
        <w:spacing w:line="360" w:lineRule="auto"/>
        <w:ind w:firstLine="1440"/>
        <w:rPr>
          <w:rFonts w:eastAsia="Calibri"/>
          <w:sz w:val="26"/>
          <w:szCs w:val="26"/>
        </w:rPr>
      </w:pP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890"/>
        <w:gridCol w:w="1890"/>
        <w:gridCol w:w="1440"/>
      </w:tblGrid>
      <w:tr w:rsidR="00536BC9" w:rsidRPr="00217AC0" w14:paraId="2983F100" w14:textId="77777777" w:rsidTr="002F2390">
        <w:trPr>
          <w:trHeight w:val="737"/>
          <w:jc w:val="center"/>
        </w:trPr>
        <w:tc>
          <w:tcPr>
            <w:tcW w:w="7645" w:type="dxa"/>
            <w:gridSpan w:val="4"/>
            <w:tcBorders>
              <w:bottom w:val="single" w:sz="4" w:space="0" w:color="auto"/>
            </w:tcBorders>
            <w:vAlign w:val="center"/>
          </w:tcPr>
          <w:p w14:paraId="2F110546" w14:textId="27B95062" w:rsidR="00536BC9" w:rsidRPr="00217AC0" w:rsidRDefault="00536BC9" w:rsidP="00217AC0">
            <w:pPr>
              <w:keepNext/>
              <w:keepLines/>
              <w:widowControl/>
              <w:jc w:val="center"/>
              <w:rPr>
                <w:b/>
                <w:sz w:val="26"/>
                <w:szCs w:val="26"/>
              </w:rPr>
            </w:pPr>
            <w:r w:rsidRPr="00217AC0">
              <w:rPr>
                <w:b/>
                <w:sz w:val="26"/>
                <w:szCs w:val="26"/>
              </w:rPr>
              <w:lastRenderedPageBreak/>
              <w:t>OSBA Schedule BK-</w:t>
            </w:r>
            <w:r w:rsidR="002B38D2" w:rsidRPr="00217AC0">
              <w:rPr>
                <w:b/>
                <w:sz w:val="26"/>
                <w:szCs w:val="26"/>
              </w:rPr>
              <w:t>3</w:t>
            </w:r>
            <w:r w:rsidRPr="00217AC0">
              <w:rPr>
                <w:b/>
                <w:sz w:val="26"/>
                <w:szCs w:val="26"/>
              </w:rPr>
              <w:t xml:space="preserve"> </w:t>
            </w:r>
          </w:p>
          <w:p w14:paraId="3B04281F" w14:textId="77777777" w:rsidR="00536BC9" w:rsidRPr="00217AC0" w:rsidRDefault="00536BC9" w:rsidP="00217AC0">
            <w:pPr>
              <w:keepNext/>
              <w:keepLines/>
              <w:widowControl/>
              <w:jc w:val="center"/>
              <w:rPr>
                <w:b/>
                <w:sz w:val="26"/>
                <w:szCs w:val="26"/>
              </w:rPr>
            </w:pPr>
            <w:r w:rsidRPr="00217AC0">
              <w:rPr>
                <w:b/>
                <w:sz w:val="26"/>
                <w:szCs w:val="26"/>
              </w:rPr>
              <w:t>Subsidy Given (Received)</w:t>
            </w:r>
          </w:p>
        </w:tc>
      </w:tr>
      <w:tr w:rsidR="00536BC9" w:rsidRPr="00217AC0" w14:paraId="37E58439" w14:textId="77777777" w:rsidTr="00C92CD6">
        <w:trPr>
          <w:trHeight w:val="503"/>
          <w:jc w:val="center"/>
        </w:trPr>
        <w:tc>
          <w:tcPr>
            <w:tcW w:w="2425" w:type="dxa"/>
            <w:tcBorders>
              <w:bottom w:val="single" w:sz="4" w:space="0" w:color="auto"/>
            </w:tcBorders>
            <w:vAlign w:val="bottom"/>
          </w:tcPr>
          <w:p w14:paraId="45C14845" w14:textId="77777777" w:rsidR="00536BC9" w:rsidRPr="00217AC0" w:rsidRDefault="00536BC9" w:rsidP="00217AC0">
            <w:pPr>
              <w:keepNext/>
              <w:keepLines/>
              <w:widowControl/>
              <w:rPr>
                <w:b/>
                <w:sz w:val="26"/>
                <w:szCs w:val="26"/>
              </w:rPr>
            </w:pPr>
            <w:r w:rsidRPr="00217AC0">
              <w:rPr>
                <w:b/>
                <w:sz w:val="26"/>
                <w:szCs w:val="26"/>
              </w:rPr>
              <w:t>Class</w:t>
            </w:r>
          </w:p>
        </w:tc>
        <w:tc>
          <w:tcPr>
            <w:tcW w:w="1890" w:type="dxa"/>
            <w:tcBorders>
              <w:bottom w:val="single" w:sz="4" w:space="0" w:color="auto"/>
            </w:tcBorders>
            <w:vAlign w:val="bottom"/>
          </w:tcPr>
          <w:p w14:paraId="22FE4C8B" w14:textId="77777777" w:rsidR="00536BC9" w:rsidRPr="00217AC0" w:rsidRDefault="00536BC9" w:rsidP="00217AC0">
            <w:pPr>
              <w:keepNext/>
              <w:keepLines/>
              <w:widowControl/>
              <w:jc w:val="center"/>
              <w:rPr>
                <w:b/>
                <w:sz w:val="26"/>
                <w:szCs w:val="26"/>
              </w:rPr>
            </w:pPr>
            <w:r w:rsidRPr="00217AC0">
              <w:rPr>
                <w:b/>
                <w:sz w:val="26"/>
                <w:szCs w:val="26"/>
              </w:rPr>
              <w:t>Under</w:t>
            </w:r>
          </w:p>
          <w:p w14:paraId="10CB434C" w14:textId="77777777" w:rsidR="00536BC9" w:rsidRPr="00217AC0" w:rsidRDefault="00536BC9" w:rsidP="00217AC0">
            <w:pPr>
              <w:keepNext/>
              <w:keepLines/>
              <w:widowControl/>
              <w:jc w:val="center"/>
              <w:rPr>
                <w:b/>
                <w:sz w:val="26"/>
                <w:szCs w:val="26"/>
              </w:rPr>
            </w:pPr>
            <w:r w:rsidRPr="00217AC0">
              <w:rPr>
                <w:b/>
                <w:sz w:val="26"/>
                <w:szCs w:val="26"/>
              </w:rPr>
              <w:t>Present Rates</w:t>
            </w:r>
          </w:p>
        </w:tc>
        <w:tc>
          <w:tcPr>
            <w:tcW w:w="1890" w:type="dxa"/>
            <w:tcBorders>
              <w:bottom w:val="single" w:sz="4" w:space="0" w:color="auto"/>
            </w:tcBorders>
            <w:vAlign w:val="bottom"/>
          </w:tcPr>
          <w:p w14:paraId="60E16312" w14:textId="77777777" w:rsidR="00536BC9" w:rsidRPr="00217AC0" w:rsidRDefault="00536BC9" w:rsidP="00217AC0">
            <w:pPr>
              <w:keepNext/>
              <w:keepLines/>
              <w:widowControl/>
              <w:jc w:val="center"/>
              <w:rPr>
                <w:b/>
                <w:sz w:val="26"/>
                <w:szCs w:val="26"/>
              </w:rPr>
            </w:pPr>
            <w:r w:rsidRPr="00217AC0">
              <w:rPr>
                <w:b/>
                <w:sz w:val="26"/>
                <w:szCs w:val="26"/>
              </w:rPr>
              <w:t>Under</w:t>
            </w:r>
          </w:p>
          <w:p w14:paraId="41A286AD" w14:textId="0963AD45" w:rsidR="00536BC9" w:rsidRPr="00217AC0" w:rsidRDefault="00E361D0" w:rsidP="00217AC0">
            <w:pPr>
              <w:keepNext/>
              <w:keepLines/>
              <w:widowControl/>
              <w:jc w:val="center"/>
              <w:rPr>
                <w:b/>
                <w:sz w:val="26"/>
                <w:szCs w:val="26"/>
              </w:rPr>
            </w:pPr>
            <w:r w:rsidRPr="00217AC0">
              <w:rPr>
                <w:b/>
                <w:sz w:val="26"/>
                <w:szCs w:val="26"/>
              </w:rPr>
              <w:t xml:space="preserve">City </w:t>
            </w:r>
            <w:r w:rsidR="00536BC9" w:rsidRPr="00217AC0">
              <w:rPr>
                <w:b/>
                <w:sz w:val="26"/>
                <w:szCs w:val="26"/>
              </w:rPr>
              <w:t>Proposed Rates</w:t>
            </w:r>
          </w:p>
        </w:tc>
        <w:tc>
          <w:tcPr>
            <w:tcW w:w="1440" w:type="dxa"/>
            <w:tcBorders>
              <w:bottom w:val="single" w:sz="4" w:space="0" w:color="auto"/>
            </w:tcBorders>
            <w:vAlign w:val="bottom"/>
          </w:tcPr>
          <w:p w14:paraId="13156C39" w14:textId="77777777" w:rsidR="00536BC9" w:rsidRPr="00217AC0" w:rsidRDefault="00536BC9" w:rsidP="00B66710">
            <w:pPr>
              <w:keepNext/>
              <w:keepLines/>
              <w:widowControl/>
              <w:jc w:val="center"/>
              <w:rPr>
                <w:b/>
                <w:sz w:val="26"/>
                <w:szCs w:val="26"/>
              </w:rPr>
            </w:pPr>
            <w:r w:rsidRPr="00217AC0">
              <w:rPr>
                <w:b/>
                <w:sz w:val="26"/>
                <w:szCs w:val="26"/>
              </w:rPr>
              <w:t>Reduction in Subsidy</w:t>
            </w:r>
          </w:p>
        </w:tc>
      </w:tr>
      <w:tr w:rsidR="00536BC9" w:rsidRPr="00217AC0" w14:paraId="714AE5BD" w14:textId="77777777" w:rsidTr="00C92CD6">
        <w:trPr>
          <w:trHeight w:val="422"/>
          <w:jc w:val="center"/>
        </w:trPr>
        <w:tc>
          <w:tcPr>
            <w:tcW w:w="2425" w:type="dxa"/>
            <w:tcBorders>
              <w:top w:val="single" w:sz="4" w:space="0" w:color="auto"/>
              <w:left w:val="single" w:sz="4" w:space="0" w:color="auto"/>
              <w:bottom w:val="nil"/>
              <w:right w:val="single" w:sz="4" w:space="0" w:color="auto"/>
            </w:tcBorders>
            <w:vAlign w:val="bottom"/>
          </w:tcPr>
          <w:p w14:paraId="7B0E5D6A" w14:textId="77777777" w:rsidR="00536BC9" w:rsidRPr="00217AC0" w:rsidRDefault="00536BC9" w:rsidP="00217AC0">
            <w:pPr>
              <w:keepNext/>
              <w:keepLines/>
              <w:widowControl/>
              <w:rPr>
                <w:sz w:val="26"/>
                <w:szCs w:val="26"/>
              </w:rPr>
            </w:pPr>
            <w:r w:rsidRPr="00217AC0">
              <w:rPr>
                <w:sz w:val="26"/>
                <w:szCs w:val="26"/>
              </w:rPr>
              <w:t>Residential</w:t>
            </w:r>
          </w:p>
        </w:tc>
        <w:tc>
          <w:tcPr>
            <w:tcW w:w="1890" w:type="dxa"/>
            <w:tcBorders>
              <w:top w:val="single" w:sz="4" w:space="0" w:color="auto"/>
              <w:left w:val="single" w:sz="4" w:space="0" w:color="auto"/>
              <w:bottom w:val="nil"/>
              <w:right w:val="single" w:sz="4" w:space="0" w:color="auto"/>
            </w:tcBorders>
            <w:vAlign w:val="bottom"/>
          </w:tcPr>
          <w:p w14:paraId="71229C1F" w14:textId="77777777" w:rsidR="00536BC9" w:rsidRPr="00217AC0" w:rsidRDefault="00536BC9" w:rsidP="00217AC0">
            <w:pPr>
              <w:keepNext/>
              <w:keepLines/>
              <w:widowControl/>
              <w:jc w:val="center"/>
              <w:rPr>
                <w:sz w:val="26"/>
                <w:szCs w:val="26"/>
              </w:rPr>
            </w:pPr>
            <w:r w:rsidRPr="00217AC0">
              <w:rPr>
                <w:sz w:val="26"/>
                <w:szCs w:val="26"/>
              </w:rPr>
              <w:t>($75,778)</w:t>
            </w:r>
          </w:p>
        </w:tc>
        <w:tc>
          <w:tcPr>
            <w:tcW w:w="1890" w:type="dxa"/>
            <w:tcBorders>
              <w:top w:val="single" w:sz="4" w:space="0" w:color="auto"/>
              <w:left w:val="single" w:sz="4" w:space="0" w:color="auto"/>
              <w:bottom w:val="nil"/>
              <w:right w:val="single" w:sz="4" w:space="0" w:color="auto"/>
            </w:tcBorders>
            <w:vAlign w:val="bottom"/>
          </w:tcPr>
          <w:p w14:paraId="57CC51C3" w14:textId="77777777" w:rsidR="00536BC9" w:rsidRPr="00217AC0" w:rsidRDefault="00536BC9" w:rsidP="00217AC0">
            <w:pPr>
              <w:keepNext/>
              <w:keepLines/>
              <w:widowControl/>
              <w:jc w:val="center"/>
              <w:rPr>
                <w:sz w:val="26"/>
                <w:szCs w:val="26"/>
              </w:rPr>
            </w:pPr>
            <w:r w:rsidRPr="00217AC0">
              <w:rPr>
                <w:sz w:val="26"/>
                <w:szCs w:val="26"/>
              </w:rPr>
              <w:t>$47,417</w:t>
            </w:r>
          </w:p>
        </w:tc>
        <w:tc>
          <w:tcPr>
            <w:tcW w:w="1440" w:type="dxa"/>
            <w:tcBorders>
              <w:top w:val="single" w:sz="4" w:space="0" w:color="auto"/>
              <w:left w:val="single" w:sz="4" w:space="0" w:color="auto"/>
              <w:bottom w:val="nil"/>
              <w:right w:val="single" w:sz="4" w:space="0" w:color="auto"/>
            </w:tcBorders>
            <w:vAlign w:val="bottom"/>
          </w:tcPr>
          <w:p w14:paraId="54699376" w14:textId="3266AB57" w:rsidR="00536BC9" w:rsidRPr="00217AC0" w:rsidRDefault="002B38D2" w:rsidP="00217AC0">
            <w:pPr>
              <w:keepNext/>
              <w:keepLines/>
              <w:widowControl/>
              <w:jc w:val="center"/>
              <w:rPr>
                <w:sz w:val="26"/>
                <w:szCs w:val="26"/>
              </w:rPr>
            </w:pPr>
            <w:r w:rsidRPr="00217AC0">
              <w:rPr>
                <w:sz w:val="26"/>
                <w:szCs w:val="26"/>
              </w:rPr>
              <w:t>37</w:t>
            </w:r>
            <w:r w:rsidR="00536BC9" w:rsidRPr="00217AC0">
              <w:rPr>
                <w:sz w:val="26"/>
                <w:szCs w:val="26"/>
              </w:rPr>
              <w:t>%</w:t>
            </w:r>
          </w:p>
        </w:tc>
      </w:tr>
      <w:tr w:rsidR="00536BC9" w:rsidRPr="00217AC0" w14:paraId="0FF6594C" w14:textId="77777777" w:rsidTr="00C92CD6">
        <w:trPr>
          <w:trHeight w:val="423"/>
          <w:jc w:val="center"/>
        </w:trPr>
        <w:tc>
          <w:tcPr>
            <w:tcW w:w="2425" w:type="dxa"/>
            <w:tcBorders>
              <w:top w:val="nil"/>
              <w:left w:val="single" w:sz="4" w:space="0" w:color="auto"/>
              <w:bottom w:val="nil"/>
              <w:right w:val="single" w:sz="4" w:space="0" w:color="auto"/>
            </w:tcBorders>
            <w:vAlign w:val="bottom"/>
          </w:tcPr>
          <w:p w14:paraId="615C75A0" w14:textId="77777777" w:rsidR="00536BC9" w:rsidRPr="00217AC0" w:rsidRDefault="00536BC9" w:rsidP="00217AC0">
            <w:pPr>
              <w:keepNext/>
              <w:keepLines/>
              <w:widowControl/>
              <w:rPr>
                <w:sz w:val="26"/>
                <w:szCs w:val="26"/>
              </w:rPr>
            </w:pPr>
            <w:r w:rsidRPr="00217AC0">
              <w:rPr>
                <w:sz w:val="26"/>
                <w:szCs w:val="26"/>
              </w:rPr>
              <w:t>Commercial/Public</w:t>
            </w:r>
          </w:p>
        </w:tc>
        <w:tc>
          <w:tcPr>
            <w:tcW w:w="1890" w:type="dxa"/>
            <w:tcBorders>
              <w:top w:val="nil"/>
              <w:left w:val="single" w:sz="4" w:space="0" w:color="auto"/>
              <w:bottom w:val="nil"/>
              <w:right w:val="single" w:sz="4" w:space="0" w:color="auto"/>
            </w:tcBorders>
            <w:vAlign w:val="bottom"/>
          </w:tcPr>
          <w:p w14:paraId="33195F9B" w14:textId="77777777" w:rsidR="00536BC9" w:rsidRPr="00217AC0" w:rsidRDefault="00536BC9" w:rsidP="00217AC0">
            <w:pPr>
              <w:keepNext/>
              <w:keepLines/>
              <w:widowControl/>
              <w:jc w:val="center"/>
              <w:rPr>
                <w:sz w:val="26"/>
                <w:szCs w:val="26"/>
              </w:rPr>
            </w:pPr>
            <w:r w:rsidRPr="00217AC0">
              <w:rPr>
                <w:sz w:val="26"/>
                <w:szCs w:val="26"/>
              </w:rPr>
              <w:t>($67,747)</w:t>
            </w:r>
          </w:p>
        </w:tc>
        <w:tc>
          <w:tcPr>
            <w:tcW w:w="1890" w:type="dxa"/>
            <w:tcBorders>
              <w:top w:val="nil"/>
              <w:left w:val="single" w:sz="4" w:space="0" w:color="auto"/>
              <w:bottom w:val="nil"/>
              <w:right w:val="single" w:sz="4" w:space="0" w:color="auto"/>
            </w:tcBorders>
            <w:vAlign w:val="bottom"/>
          </w:tcPr>
          <w:p w14:paraId="6F758709" w14:textId="77777777" w:rsidR="00536BC9" w:rsidRPr="00217AC0" w:rsidRDefault="00536BC9" w:rsidP="00217AC0">
            <w:pPr>
              <w:keepNext/>
              <w:keepLines/>
              <w:widowControl/>
              <w:jc w:val="center"/>
              <w:rPr>
                <w:sz w:val="26"/>
                <w:szCs w:val="26"/>
              </w:rPr>
            </w:pPr>
            <w:r w:rsidRPr="00217AC0">
              <w:rPr>
                <w:sz w:val="26"/>
                <w:szCs w:val="26"/>
              </w:rPr>
              <w:t>$4,474</w:t>
            </w:r>
          </w:p>
        </w:tc>
        <w:tc>
          <w:tcPr>
            <w:tcW w:w="1440" w:type="dxa"/>
            <w:tcBorders>
              <w:top w:val="nil"/>
              <w:left w:val="single" w:sz="4" w:space="0" w:color="auto"/>
              <w:bottom w:val="nil"/>
              <w:right w:val="single" w:sz="4" w:space="0" w:color="auto"/>
            </w:tcBorders>
            <w:vAlign w:val="bottom"/>
          </w:tcPr>
          <w:p w14:paraId="0ACA5A49" w14:textId="15F1388C" w:rsidR="00536BC9" w:rsidRPr="00217AC0" w:rsidRDefault="002B38D2" w:rsidP="00217AC0">
            <w:pPr>
              <w:keepNext/>
              <w:keepLines/>
              <w:widowControl/>
              <w:jc w:val="center"/>
              <w:rPr>
                <w:sz w:val="26"/>
                <w:szCs w:val="26"/>
              </w:rPr>
            </w:pPr>
            <w:r w:rsidRPr="00217AC0">
              <w:rPr>
                <w:sz w:val="26"/>
                <w:szCs w:val="26"/>
              </w:rPr>
              <w:t>93</w:t>
            </w:r>
            <w:r w:rsidR="00536BC9" w:rsidRPr="00217AC0">
              <w:rPr>
                <w:sz w:val="26"/>
                <w:szCs w:val="26"/>
              </w:rPr>
              <w:t>%</w:t>
            </w:r>
          </w:p>
        </w:tc>
      </w:tr>
      <w:tr w:rsidR="00536BC9" w:rsidRPr="00217AC0" w14:paraId="1DBCBFDB" w14:textId="77777777" w:rsidTr="00C92CD6">
        <w:trPr>
          <w:trHeight w:val="450"/>
          <w:jc w:val="center"/>
        </w:trPr>
        <w:tc>
          <w:tcPr>
            <w:tcW w:w="2425" w:type="dxa"/>
            <w:tcBorders>
              <w:top w:val="nil"/>
              <w:left w:val="single" w:sz="4" w:space="0" w:color="auto"/>
              <w:bottom w:val="nil"/>
              <w:right w:val="single" w:sz="4" w:space="0" w:color="auto"/>
            </w:tcBorders>
            <w:vAlign w:val="bottom"/>
          </w:tcPr>
          <w:p w14:paraId="78CC639D" w14:textId="77777777" w:rsidR="00536BC9" w:rsidRPr="00217AC0" w:rsidRDefault="00536BC9" w:rsidP="00217AC0">
            <w:pPr>
              <w:keepNext/>
              <w:keepLines/>
              <w:widowControl/>
              <w:rPr>
                <w:sz w:val="26"/>
                <w:szCs w:val="26"/>
              </w:rPr>
            </w:pPr>
            <w:r w:rsidRPr="00217AC0">
              <w:rPr>
                <w:sz w:val="26"/>
                <w:szCs w:val="26"/>
              </w:rPr>
              <w:t>Industrial</w:t>
            </w:r>
          </w:p>
        </w:tc>
        <w:tc>
          <w:tcPr>
            <w:tcW w:w="1890" w:type="dxa"/>
            <w:tcBorders>
              <w:top w:val="nil"/>
              <w:left w:val="single" w:sz="4" w:space="0" w:color="auto"/>
              <w:bottom w:val="nil"/>
              <w:right w:val="single" w:sz="4" w:space="0" w:color="auto"/>
            </w:tcBorders>
            <w:vAlign w:val="bottom"/>
          </w:tcPr>
          <w:p w14:paraId="54168847" w14:textId="77777777" w:rsidR="00536BC9" w:rsidRPr="00217AC0" w:rsidRDefault="00536BC9" w:rsidP="00217AC0">
            <w:pPr>
              <w:keepNext/>
              <w:keepLines/>
              <w:widowControl/>
              <w:jc w:val="center"/>
              <w:rPr>
                <w:sz w:val="26"/>
                <w:szCs w:val="26"/>
              </w:rPr>
            </w:pPr>
            <w:r w:rsidRPr="00217AC0">
              <w:rPr>
                <w:sz w:val="26"/>
                <w:szCs w:val="26"/>
              </w:rPr>
              <w:t>($90,241)</w:t>
            </w:r>
          </w:p>
        </w:tc>
        <w:tc>
          <w:tcPr>
            <w:tcW w:w="1890" w:type="dxa"/>
            <w:tcBorders>
              <w:top w:val="nil"/>
              <w:left w:val="single" w:sz="4" w:space="0" w:color="auto"/>
              <w:bottom w:val="nil"/>
              <w:right w:val="single" w:sz="4" w:space="0" w:color="auto"/>
            </w:tcBorders>
            <w:vAlign w:val="bottom"/>
          </w:tcPr>
          <w:p w14:paraId="7F76EA93" w14:textId="77777777" w:rsidR="00536BC9" w:rsidRPr="00217AC0" w:rsidRDefault="00536BC9" w:rsidP="00217AC0">
            <w:pPr>
              <w:keepNext/>
              <w:keepLines/>
              <w:widowControl/>
              <w:jc w:val="center"/>
              <w:rPr>
                <w:sz w:val="26"/>
                <w:szCs w:val="26"/>
              </w:rPr>
            </w:pPr>
            <w:r w:rsidRPr="00217AC0">
              <w:rPr>
                <w:sz w:val="26"/>
                <w:szCs w:val="26"/>
              </w:rPr>
              <w:t>($74,411)</w:t>
            </w:r>
          </w:p>
        </w:tc>
        <w:tc>
          <w:tcPr>
            <w:tcW w:w="1440" w:type="dxa"/>
            <w:tcBorders>
              <w:top w:val="nil"/>
              <w:left w:val="single" w:sz="4" w:space="0" w:color="auto"/>
              <w:bottom w:val="nil"/>
              <w:right w:val="single" w:sz="4" w:space="0" w:color="auto"/>
            </w:tcBorders>
            <w:vAlign w:val="bottom"/>
          </w:tcPr>
          <w:p w14:paraId="101200FE" w14:textId="54541CE0" w:rsidR="00536BC9" w:rsidRPr="00217AC0" w:rsidRDefault="002B38D2" w:rsidP="00217AC0">
            <w:pPr>
              <w:keepNext/>
              <w:keepLines/>
              <w:widowControl/>
              <w:jc w:val="center"/>
              <w:rPr>
                <w:sz w:val="26"/>
                <w:szCs w:val="26"/>
              </w:rPr>
            </w:pPr>
            <w:r w:rsidRPr="00217AC0">
              <w:rPr>
                <w:sz w:val="26"/>
                <w:szCs w:val="26"/>
              </w:rPr>
              <w:t>18</w:t>
            </w:r>
            <w:r w:rsidR="00536BC9" w:rsidRPr="00217AC0">
              <w:rPr>
                <w:sz w:val="26"/>
                <w:szCs w:val="26"/>
              </w:rPr>
              <w:t>%</w:t>
            </w:r>
          </w:p>
        </w:tc>
      </w:tr>
      <w:tr w:rsidR="00536BC9" w:rsidRPr="00217AC0" w14:paraId="0AE1E062" w14:textId="77777777" w:rsidTr="00C92CD6">
        <w:trPr>
          <w:trHeight w:val="450"/>
          <w:jc w:val="center"/>
        </w:trPr>
        <w:tc>
          <w:tcPr>
            <w:tcW w:w="2425" w:type="dxa"/>
            <w:tcBorders>
              <w:top w:val="nil"/>
              <w:left w:val="single" w:sz="4" w:space="0" w:color="auto"/>
              <w:bottom w:val="nil"/>
              <w:right w:val="single" w:sz="4" w:space="0" w:color="auto"/>
            </w:tcBorders>
            <w:vAlign w:val="bottom"/>
          </w:tcPr>
          <w:p w14:paraId="6D18F525" w14:textId="4CDFBE58" w:rsidR="00536BC9" w:rsidRPr="00217AC0" w:rsidRDefault="00536BC9" w:rsidP="00217AC0">
            <w:pPr>
              <w:keepNext/>
              <w:keepLines/>
              <w:widowControl/>
              <w:rPr>
                <w:sz w:val="26"/>
                <w:szCs w:val="26"/>
              </w:rPr>
            </w:pPr>
            <w:r w:rsidRPr="00217AC0">
              <w:rPr>
                <w:sz w:val="26"/>
                <w:szCs w:val="26"/>
              </w:rPr>
              <w:t>Oth</w:t>
            </w:r>
            <w:r w:rsidR="002F2390" w:rsidRPr="00217AC0">
              <w:rPr>
                <w:sz w:val="26"/>
                <w:szCs w:val="26"/>
              </w:rPr>
              <w:t>er</w:t>
            </w:r>
            <w:r w:rsidRPr="00217AC0">
              <w:rPr>
                <w:sz w:val="26"/>
                <w:szCs w:val="26"/>
              </w:rPr>
              <w:t xml:space="preserve"> Water Utilities</w:t>
            </w:r>
          </w:p>
        </w:tc>
        <w:tc>
          <w:tcPr>
            <w:tcW w:w="1890" w:type="dxa"/>
            <w:tcBorders>
              <w:top w:val="nil"/>
              <w:left w:val="single" w:sz="4" w:space="0" w:color="auto"/>
              <w:bottom w:val="nil"/>
              <w:right w:val="single" w:sz="4" w:space="0" w:color="auto"/>
            </w:tcBorders>
            <w:vAlign w:val="bottom"/>
          </w:tcPr>
          <w:p w14:paraId="71817C4F" w14:textId="77777777" w:rsidR="00536BC9" w:rsidRPr="00217AC0" w:rsidRDefault="00536BC9" w:rsidP="00217AC0">
            <w:pPr>
              <w:keepNext/>
              <w:keepLines/>
              <w:widowControl/>
              <w:jc w:val="center"/>
              <w:rPr>
                <w:sz w:val="26"/>
                <w:szCs w:val="26"/>
              </w:rPr>
            </w:pPr>
            <w:r w:rsidRPr="00217AC0">
              <w:rPr>
                <w:sz w:val="26"/>
                <w:szCs w:val="26"/>
              </w:rPr>
              <w:t>($35,459)</w:t>
            </w:r>
          </w:p>
        </w:tc>
        <w:tc>
          <w:tcPr>
            <w:tcW w:w="1890" w:type="dxa"/>
            <w:tcBorders>
              <w:top w:val="nil"/>
              <w:left w:val="single" w:sz="4" w:space="0" w:color="auto"/>
              <w:bottom w:val="nil"/>
              <w:right w:val="single" w:sz="4" w:space="0" w:color="auto"/>
            </w:tcBorders>
            <w:vAlign w:val="bottom"/>
          </w:tcPr>
          <w:p w14:paraId="0F8AC3E2" w14:textId="77777777" w:rsidR="00536BC9" w:rsidRPr="00217AC0" w:rsidRDefault="00536BC9" w:rsidP="00217AC0">
            <w:pPr>
              <w:keepNext/>
              <w:keepLines/>
              <w:widowControl/>
              <w:jc w:val="center"/>
              <w:rPr>
                <w:sz w:val="26"/>
                <w:szCs w:val="26"/>
              </w:rPr>
            </w:pPr>
            <w:r w:rsidRPr="00217AC0">
              <w:rPr>
                <w:sz w:val="26"/>
                <w:szCs w:val="26"/>
              </w:rPr>
              <w:t>($123,612)</w:t>
            </w:r>
          </w:p>
        </w:tc>
        <w:tc>
          <w:tcPr>
            <w:tcW w:w="1440" w:type="dxa"/>
            <w:tcBorders>
              <w:top w:val="nil"/>
              <w:left w:val="single" w:sz="4" w:space="0" w:color="auto"/>
              <w:bottom w:val="nil"/>
              <w:right w:val="single" w:sz="4" w:space="0" w:color="auto"/>
            </w:tcBorders>
            <w:vAlign w:val="bottom"/>
          </w:tcPr>
          <w:p w14:paraId="59897F34" w14:textId="6E46BEB6" w:rsidR="00536BC9" w:rsidRPr="00217AC0" w:rsidRDefault="00536BC9" w:rsidP="00217AC0">
            <w:pPr>
              <w:keepNext/>
              <w:keepLines/>
              <w:widowControl/>
              <w:jc w:val="center"/>
              <w:rPr>
                <w:sz w:val="26"/>
                <w:szCs w:val="26"/>
              </w:rPr>
            </w:pPr>
            <w:r w:rsidRPr="00217AC0">
              <w:rPr>
                <w:sz w:val="26"/>
                <w:szCs w:val="26"/>
              </w:rPr>
              <w:t>(</w:t>
            </w:r>
            <w:r w:rsidR="002B38D2" w:rsidRPr="00217AC0">
              <w:rPr>
                <w:sz w:val="26"/>
                <w:szCs w:val="26"/>
              </w:rPr>
              <w:t>249</w:t>
            </w:r>
            <w:r w:rsidRPr="00217AC0">
              <w:rPr>
                <w:sz w:val="26"/>
                <w:szCs w:val="26"/>
              </w:rPr>
              <w:t>%)</w:t>
            </w:r>
          </w:p>
        </w:tc>
      </w:tr>
      <w:tr w:rsidR="00536BC9" w:rsidRPr="00217AC0" w14:paraId="06980D38" w14:textId="77777777" w:rsidTr="00C92CD6">
        <w:trPr>
          <w:trHeight w:val="450"/>
          <w:jc w:val="center"/>
        </w:trPr>
        <w:tc>
          <w:tcPr>
            <w:tcW w:w="2425" w:type="dxa"/>
            <w:tcBorders>
              <w:top w:val="nil"/>
              <w:left w:val="single" w:sz="4" w:space="0" w:color="auto"/>
              <w:bottom w:val="nil"/>
              <w:right w:val="single" w:sz="4" w:space="0" w:color="auto"/>
            </w:tcBorders>
            <w:vAlign w:val="bottom"/>
          </w:tcPr>
          <w:p w14:paraId="1669D80F" w14:textId="77777777" w:rsidR="00536BC9" w:rsidRPr="00217AC0" w:rsidRDefault="00536BC9" w:rsidP="00217AC0">
            <w:pPr>
              <w:keepNext/>
              <w:keepLines/>
              <w:widowControl/>
              <w:rPr>
                <w:sz w:val="26"/>
                <w:szCs w:val="26"/>
              </w:rPr>
            </w:pPr>
            <w:r w:rsidRPr="00217AC0">
              <w:rPr>
                <w:sz w:val="26"/>
                <w:szCs w:val="26"/>
              </w:rPr>
              <w:t>Private Fire</w:t>
            </w:r>
          </w:p>
        </w:tc>
        <w:tc>
          <w:tcPr>
            <w:tcW w:w="1890" w:type="dxa"/>
            <w:tcBorders>
              <w:top w:val="nil"/>
              <w:left w:val="single" w:sz="4" w:space="0" w:color="auto"/>
              <w:bottom w:val="nil"/>
              <w:right w:val="single" w:sz="4" w:space="0" w:color="auto"/>
            </w:tcBorders>
            <w:vAlign w:val="bottom"/>
          </w:tcPr>
          <w:p w14:paraId="759283B9" w14:textId="77777777" w:rsidR="00536BC9" w:rsidRPr="00217AC0" w:rsidRDefault="00536BC9" w:rsidP="00217AC0">
            <w:pPr>
              <w:keepNext/>
              <w:keepLines/>
              <w:widowControl/>
              <w:jc w:val="center"/>
              <w:rPr>
                <w:sz w:val="26"/>
                <w:szCs w:val="26"/>
              </w:rPr>
            </w:pPr>
            <w:r w:rsidRPr="00217AC0">
              <w:rPr>
                <w:sz w:val="26"/>
                <w:szCs w:val="26"/>
              </w:rPr>
              <w:t>$199,387</w:t>
            </w:r>
          </w:p>
        </w:tc>
        <w:tc>
          <w:tcPr>
            <w:tcW w:w="1890" w:type="dxa"/>
            <w:tcBorders>
              <w:top w:val="nil"/>
              <w:left w:val="single" w:sz="4" w:space="0" w:color="auto"/>
              <w:bottom w:val="nil"/>
              <w:right w:val="single" w:sz="4" w:space="0" w:color="auto"/>
            </w:tcBorders>
            <w:vAlign w:val="bottom"/>
          </w:tcPr>
          <w:p w14:paraId="10D44CF7" w14:textId="77777777" w:rsidR="00536BC9" w:rsidRPr="00217AC0" w:rsidRDefault="00536BC9" w:rsidP="00217AC0">
            <w:pPr>
              <w:keepNext/>
              <w:keepLines/>
              <w:widowControl/>
              <w:jc w:val="center"/>
              <w:rPr>
                <w:sz w:val="26"/>
                <w:szCs w:val="26"/>
              </w:rPr>
            </w:pPr>
            <w:r w:rsidRPr="00217AC0">
              <w:rPr>
                <w:sz w:val="26"/>
                <w:szCs w:val="26"/>
              </w:rPr>
              <w:t>$146,132</w:t>
            </w:r>
          </w:p>
        </w:tc>
        <w:tc>
          <w:tcPr>
            <w:tcW w:w="1440" w:type="dxa"/>
            <w:tcBorders>
              <w:top w:val="nil"/>
              <w:left w:val="single" w:sz="4" w:space="0" w:color="auto"/>
              <w:bottom w:val="nil"/>
              <w:right w:val="single" w:sz="4" w:space="0" w:color="auto"/>
            </w:tcBorders>
            <w:vAlign w:val="bottom"/>
          </w:tcPr>
          <w:p w14:paraId="3B9963D7" w14:textId="4EE7B704" w:rsidR="00536BC9" w:rsidRPr="00217AC0" w:rsidRDefault="002B38D2" w:rsidP="00217AC0">
            <w:pPr>
              <w:keepNext/>
              <w:keepLines/>
              <w:widowControl/>
              <w:jc w:val="center"/>
              <w:rPr>
                <w:sz w:val="26"/>
                <w:szCs w:val="26"/>
              </w:rPr>
            </w:pPr>
            <w:r w:rsidRPr="00217AC0">
              <w:rPr>
                <w:sz w:val="26"/>
                <w:szCs w:val="26"/>
              </w:rPr>
              <w:t>27%</w:t>
            </w:r>
          </w:p>
        </w:tc>
      </w:tr>
      <w:tr w:rsidR="00536BC9" w:rsidRPr="00217AC0" w14:paraId="43EEDAB6" w14:textId="77777777" w:rsidTr="00C92CD6">
        <w:trPr>
          <w:trHeight w:val="450"/>
          <w:jc w:val="center"/>
        </w:trPr>
        <w:tc>
          <w:tcPr>
            <w:tcW w:w="2425" w:type="dxa"/>
            <w:tcBorders>
              <w:top w:val="nil"/>
              <w:left w:val="single" w:sz="4" w:space="0" w:color="auto"/>
              <w:bottom w:val="single" w:sz="4" w:space="0" w:color="auto"/>
              <w:right w:val="single" w:sz="4" w:space="0" w:color="auto"/>
            </w:tcBorders>
            <w:vAlign w:val="bottom"/>
          </w:tcPr>
          <w:p w14:paraId="123FD638" w14:textId="77777777" w:rsidR="00536BC9" w:rsidRPr="00217AC0" w:rsidRDefault="00536BC9" w:rsidP="00217AC0">
            <w:pPr>
              <w:keepNext/>
              <w:keepLines/>
              <w:widowControl/>
              <w:rPr>
                <w:sz w:val="26"/>
                <w:szCs w:val="26"/>
              </w:rPr>
            </w:pPr>
            <w:r w:rsidRPr="00217AC0">
              <w:rPr>
                <w:sz w:val="26"/>
                <w:szCs w:val="26"/>
              </w:rPr>
              <w:t>Public Fire</w:t>
            </w:r>
          </w:p>
        </w:tc>
        <w:tc>
          <w:tcPr>
            <w:tcW w:w="1890" w:type="dxa"/>
            <w:tcBorders>
              <w:top w:val="nil"/>
              <w:left w:val="single" w:sz="4" w:space="0" w:color="auto"/>
              <w:bottom w:val="single" w:sz="4" w:space="0" w:color="auto"/>
            </w:tcBorders>
            <w:vAlign w:val="bottom"/>
          </w:tcPr>
          <w:p w14:paraId="3609D0A6" w14:textId="77777777" w:rsidR="00536BC9" w:rsidRPr="00217AC0" w:rsidRDefault="00536BC9" w:rsidP="00217AC0">
            <w:pPr>
              <w:keepNext/>
              <w:keepLines/>
              <w:widowControl/>
              <w:jc w:val="center"/>
              <w:rPr>
                <w:sz w:val="26"/>
                <w:szCs w:val="26"/>
              </w:rPr>
            </w:pPr>
            <w:r w:rsidRPr="00217AC0">
              <w:rPr>
                <w:sz w:val="26"/>
                <w:szCs w:val="26"/>
              </w:rPr>
              <w:t>$69,838</w:t>
            </w:r>
          </w:p>
        </w:tc>
        <w:tc>
          <w:tcPr>
            <w:tcW w:w="1890" w:type="dxa"/>
            <w:tcBorders>
              <w:top w:val="nil"/>
              <w:bottom w:val="single" w:sz="4" w:space="0" w:color="auto"/>
            </w:tcBorders>
            <w:vAlign w:val="bottom"/>
          </w:tcPr>
          <w:p w14:paraId="319653E3" w14:textId="77777777" w:rsidR="00536BC9" w:rsidRPr="00217AC0" w:rsidRDefault="00536BC9" w:rsidP="00217AC0">
            <w:pPr>
              <w:keepNext/>
              <w:keepLines/>
              <w:widowControl/>
              <w:jc w:val="center"/>
              <w:rPr>
                <w:sz w:val="26"/>
                <w:szCs w:val="26"/>
              </w:rPr>
            </w:pPr>
            <w:r w:rsidRPr="00217AC0">
              <w:rPr>
                <w:sz w:val="26"/>
                <w:szCs w:val="26"/>
              </w:rPr>
              <w:t>$0</w:t>
            </w:r>
          </w:p>
        </w:tc>
        <w:tc>
          <w:tcPr>
            <w:tcW w:w="1440" w:type="dxa"/>
            <w:tcBorders>
              <w:top w:val="nil"/>
              <w:bottom w:val="single" w:sz="4" w:space="0" w:color="auto"/>
            </w:tcBorders>
            <w:vAlign w:val="bottom"/>
          </w:tcPr>
          <w:p w14:paraId="6F1CEE4C" w14:textId="562D5738" w:rsidR="00536BC9" w:rsidRPr="00217AC0" w:rsidRDefault="002B38D2" w:rsidP="00217AC0">
            <w:pPr>
              <w:keepNext/>
              <w:keepLines/>
              <w:widowControl/>
              <w:jc w:val="center"/>
              <w:rPr>
                <w:sz w:val="26"/>
                <w:szCs w:val="26"/>
              </w:rPr>
            </w:pPr>
            <w:r w:rsidRPr="00217AC0">
              <w:rPr>
                <w:sz w:val="26"/>
                <w:szCs w:val="26"/>
              </w:rPr>
              <w:t>100</w:t>
            </w:r>
            <w:r w:rsidR="00536BC9" w:rsidRPr="00217AC0">
              <w:rPr>
                <w:sz w:val="26"/>
                <w:szCs w:val="26"/>
              </w:rPr>
              <w:t>%</w:t>
            </w:r>
          </w:p>
        </w:tc>
      </w:tr>
      <w:tr w:rsidR="00536BC9" w:rsidRPr="00217AC0" w14:paraId="703C54D0" w14:textId="77777777" w:rsidTr="00C92CD6">
        <w:trPr>
          <w:trHeight w:val="503"/>
          <w:jc w:val="center"/>
        </w:trPr>
        <w:tc>
          <w:tcPr>
            <w:tcW w:w="2425" w:type="dxa"/>
            <w:tcBorders>
              <w:top w:val="single" w:sz="4" w:space="0" w:color="auto"/>
              <w:bottom w:val="single" w:sz="4" w:space="0" w:color="auto"/>
            </w:tcBorders>
            <w:vAlign w:val="bottom"/>
          </w:tcPr>
          <w:p w14:paraId="3D4950C2" w14:textId="77777777" w:rsidR="00536BC9" w:rsidRPr="00217AC0" w:rsidRDefault="00536BC9" w:rsidP="00217AC0">
            <w:pPr>
              <w:keepNext/>
              <w:keepLines/>
              <w:widowControl/>
              <w:jc w:val="center"/>
              <w:rPr>
                <w:b/>
                <w:sz w:val="26"/>
                <w:szCs w:val="26"/>
              </w:rPr>
            </w:pPr>
            <w:r w:rsidRPr="00217AC0">
              <w:rPr>
                <w:b/>
                <w:sz w:val="26"/>
                <w:szCs w:val="26"/>
              </w:rPr>
              <w:t>Total</w:t>
            </w:r>
          </w:p>
        </w:tc>
        <w:tc>
          <w:tcPr>
            <w:tcW w:w="1890" w:type="dxa"/>
            <w:tcBorders>
              <w:bottom w:val="single" w:sz="4" w:space="0" w:color="auto"/>
            </w:tcBorders>
            <w:vAlign w:val="bottom"/>
          </w:tcPr>
          <w:p w14:paraId="40ABF7BF" w14:textId="77777777" w:rsidR="00536BC9" w:rsidRPr="00217AC0" w:rsidRDefault="00536BC9" w:rsidP="00217AC0">
            <w:pPr>
              <w:keepNext/>
              <w:keepLines/>
              <w:widowControl/>
              <w:jc w:val="center"/>
              <w:rPr>
                <w:b/>
                <w:sz w:val="26"/>
                <w:szCs w:val="26"/>
              </w:rPr>
            </w:pPr>
            <w:r w:rsidRPr="00217AC0">
              <w:rPr>
                <w:b/>
                <w:sz w:val="26"/>
                <w:szCs w:val="26"/>
              </w:rPr>
              <w:t>$0</w:t>
            </w:r>
          </w:p>
        </w:tc>
        <w:tc>
          <w:tcPr>
            <w:tcW w:w="1890" w:type="dxa"/>
            <w:tcBorders>
              <w:bottom w:val="single" w:sz="4" w:space="0" w:color="auto"/>
            </w:tcBorders>
            <w:vAlign w:val="bottom"/>
          </w:tcPr>
          <w:p w14:paraId="204C28FD" w14:textId="77777777" w:rsidR="00536BC9" w:rsidRPr="00217AC0" w:rsidRDefault="00536BC9" w:rsidP="00217AC0">
            <w:pPr>
              <w:keepNext/>
              <w:keepLines/>
              <w:widowControl/>
              <w:jc w:val="center"/>
              <w:rPr>
                <w:b/>
                <w:sz w:val="26"/>
                <w:szCs w:val="26"/>
              </w:rPr>
            </w:pPr>
            <w:r w:rsidRPr="00217AC0">
              <w:rPr>
                <w:b/>
                <w:sz w:val="26"/>
                <w:szCs w:val="26"/>
              </w:rPr>
              <w:t>$0</w:t>
            </w:r>
          </w:p>
        </w:tc>
        <w:tc>
          <w:tcPr>
            <w:tcW w:w="1440" w:type="dxa"/>
            <w:tcBorders>
              <w:bottom w:val="nil"/>
              <w:right w:val="nil"/>
            </w:tcBorders>
          </w:tcPr>
          <w:p w14:paraId="24CD3A25" w14:textId="77777777" w:rsidR="00536BC9" w:rsidRPr="00217AC0" w:rsidRDefault="00536BC9" w:rsidP="00217AC0">
            <w:pPr>
              <w:keepNext/>
              <w:keepLines/>
              <w:widowControl/>
              <w:jc w:val="center"/>
              <w:rPr>
                <w:b/>
                <w:sz w:val="26"/>
                <w:szCs w:val="26"/>
              </w:rPr>
            </w:pPr>
          </w:p>
        </w:tc>
      </w:tr>
    </w:tbl>
    <w:p w14:paraId="66C6A0A5" w14:textId="48C720C2" w:rsidR="00B85871" w:rsidRPr="00217AC0" w:rsidRDefault="00D64B3F" w:rsidP="00217AC0">
      <w:pPr>
        <w:widowControl/>
        <w:tabs>
          <w:tab w:val="left" w:pos="2970"/>
        </w:tabs>
        <w:spacing w:line="360" w:lineRule="auto"/>
        <w:ind w:firstLine="1440"/>
        <w:rPr>
          <w:rFonts w:eastAsia="Calibri"/>
          <w:sz w:val="26"/>
          <w:szCs w:val="26"/>
        </w:rPr>
      </w:pPr>
      <w:r w:rsidRPr="00217AC0">
        <w:rPr>
          <w:rFonts w:eastAsia="Calibri"/>
          <w:sz w:val="26"/>
          <w:szCs w:val="26"/>
        </w:rPr>
        <w:tab/>
      </w:r>
    </w:p>
    <w:p w14:paraId="7ADE6BBD" w14:textId="739A1391" w:rsidR="002D758F" w:rsidRPr="00217AC0" w:rsidRDefault="002F2390" w:rsidP="00217AC0">
      <w:pPr>
        <w:widowControl/>
        <w:tabs>
          <w:tab w:val="left" w:pos="2970"/>
        </w:tabs>
        <w:spacing w:line="360" w:lineRule="auto"/>
        <w:rPr>
          <w:rFonts w:eastAsia="Calibri"/>
          <w:sz w:val="26"/>
          <w:szCs w:val="26"/>
        </w:rPr>
      </w:pPr>
      <w:r w:rsidRPr="00217AC0">
        <w:rPr>
          <w:rFonts w:eastAsia="Calibri"/>
          <w:sz w:val="26"/>
          <w:szCs w:val="26"/>
        </w:rPr>
        <w:t>As noted by the OSBA, the proper yardstick for measuring the degree of movement toward cost of service is the change in the absolute level of class subsidies at present and proposed rates.  OSBA St. No. 1 at 7.  As seen in the table above, all outside-City customer classes are moving closer to cost of service under the City’s proposed revenue allocation, except for</w:t>
      </w:r>
      <w:r w:rsidR="00911291" w:rsidRPr="00217AC0">
        <w:rPr>
          <w:rFonts w:eastAsia="Calibri"/>
          <w:sz w:val="26"/>
          <w:szCs w:val="26"/>
        </w:rPr>
        <w:t xml:space="preserve"> the Resale class (Other Water Utilities)</w:t>
      </w:r>
      <w:r w:rsidRPr="00217AC0">
        <w:rPr>
          <w:rFonts w:eastAsia="Calibri"/>
          <w:sz w:val="26"/>
          <w:szCs w:val="26"/>
        </w:rPr>
        <w:t xml:space="preserve">.  </w:t>
      </w:r>
      <w:r w:rsidR="00573475" w:rsidRPr="00217AC0">
        <w:rPr>
          <w:rFonts w:eastAsia="Calibri"/>
          <w:sz w:val="26"/>
          <w:szCs w:val="26"/>
        </w:rPr>
        <w:t xml:space="preserve">As such, the OSBA recommended </w:t>
      </w:r>
      <w:r w:rsidR="004152E6" w:rsidRPr="00217AC0">
        <w:rPr>
          <w:rFonts w:eastAsia="Calibri"/>
          <w:sz w:val="26"/>
          <w:szCs w:val="26"/>
        </w:rPr>
        <w:t xml:space="preserve">a </w:t>
      </w:r>
      <w:r w:rsidR="00573475" w:rsidRPr="00217AC0">
        <w:rPr>
          <w:rFonts w:eastAsia="Calibri"/>
          <w:sz w:val="26"/>
          <w:szCs w:val="26"/>
        </w:rPr>
        <w:t>revenue allocation</w:t>
      </w:r>
      <w:r w:rsidR="00281A4F" w:rsidRPr="00217AC0">
        <w:rPr>
          <w:rFonts w:eastAsia="Calibri"/>
          <w:sz w:val="26"/>
          <w:szCs w:val="26"/>
        </w:rPr>
        <w:t xml:space="preserve"> of the City’s overall recommended increase of $2.691 million</w:t>
      </w:r>
      <w:r w:rsidR="002D758F" w:rsidRPr="00217AC0">
        <w:rPr>
          <w:rFonts w:eastAsia="Calibri"/>
          <w:sz w:val="26"/>
          <w:szCs w:val="26"/>
        </w:rPr>
        <w:t xml:space="preserve"> that would move the Resale class closer to cost of service as follows:</w:t>
      </w:r>
    </w:p>
    <w:p w14:paraId="78ED907E" w14:textId="77777777" w:rsidR="00D64BC5" w:rsidRPr="00217AC0" w:rsidRDefault="00D64BC5" w:rsidP="00217AC0">
      <w:pPr>
        <w:widowControl/>
        <w:tabs>
          <w:tab w:val="left" w:pos="2970"/>
        </w:tabs>
        <w:spacing w:line="360" w:lineRule="auto"/>
        <w:rPr>
          <w:rFonts w:eastAsia="Calibri"/>
          <w:sz w:val="26"/>
          <w:szCs w:val="26"/>
        </w:rPr>
      </w:pPr>
    </w:p>
    <w:p w14:paraId="7006AE39" w14:textId="3C98345D" w:rsidR="00FC42FE" w:rsidRPr="00217AC0" w:rsidRDefault="00FC42FE" w:rsidP="00217AC0">
      <w:pPr>
        <w:widowControl/>
        <w:tabs>
          <w:tab w:val="left" w:pos="2970"/>
        </w:tabs>
        <w:spacing w:line="360" w:lineRule="auto"/>
        <w:jc w:val="center"/>
        <w:rPr>
          <w:rFonts w:eastAsia="Calibri"/>
          <w:sz w:val="26"/>
          <w:szCs w:val="26"/>
        </w:rPr>
      </w:pPr>
      <w:r w:rsidRPr="00217AC0">
        <w:rPr>
          <w:noProof/>
          <w:sz w:val="26"/>
          <w:szCs w:val="26"/>
        </w:rPr>
        <w:lastRenderedPageBreak/>
        <w:drawing>
          <wp:inline distT="0" distB="0" distL="0" distR="0" wp14:anchorId="361DB112" wp14:editId="63A583F9">
            <wp:extent cx="5943600" cy="28611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921" t="25129" r="50930" b="16423"/>
                    <a:stretch/>
                  </pic:blipFill>
                  <pic:spPr bwMode="auto">
                    <a:xfrm>
                      <a:off x="0" y="0"/>
                      <a:ext cx="5943600" cy="2861103"/>
                    </a:xfrm>
                    <a:prstGeom prst="rect">
                      <a:avLst/>
                    </a:prstGeom>
                    <a:ln>
                      <a:noFill/>
                    </a:ln>
                    <a:extLst>
                      <a:ext uri="{53640926-AAD7-44D8-BBD7-CCE9431645EC}">
                        <a14:shadowObscured xmlns:a14="http://schemas.microsoft.com/office/drawing/2010/main"/>
                      </a:ext>
                    </a:extLst>
                  </pic:spPr>
                </pic:pic>
              </a:graphicData>
            </a:graphic>
          </wp:inline>
        </w:drawing>
      </w:r>
    </w:p>
    <w:p w14:paraId="5A44BB9D" w14:textId="77777777" w:rsidR="00FC42FE" w:rsidRPr="00217AC0" w:rsidRDefault="00FC42FE" w:rsidP="00217AC0">
      <w:pPr>
        <w:widowControl/>
        <w:tabs>
          <w:tab w:val="left" w:pos="2970"/>
        </w:tabs>
        <w:spacing w:line="360" w:lineRule="auto"/>
        <w:rPr>
          <w:rFonts w:eastAsia="Calibri"/>
          <w:sz w:val="26"/>
          <w:szCs w:val="26"/>
        </w:rPr>
      </w:pPr>
    </w:p>
    <w:p w14:paraId="33C4E4C1" w14:textId="50E2C8AE" w:rsidR="002F2390" w:rsidRDefault="00B64F3F" w:rsidP="00217AC0">
      <w:pPr>
        <w:widowControl/>
        <w:tabs>
          <w:tab w:val="left" w:pos="2970"/>
        </w:tabs>
        <w:spacing w:line="360" w:lineRule="auto"/>
        <w:rPr>
          <w:rFonts w:eastAsia="Calibri"/>
          <w:sz w:val="26"/>
          <w:szCs w:val="26"/>
        </w:rPr>
      </w:pPr>
      <w:r w:rsidRPr="00217AC0">
        <w:rPr>
          <w:rFonts w:eastAsia="Calibri"/>
          <w:i/>
          <w:iCs/>
          <w:sz w:val="26"/>
          <w:szCs w:val="26"/>
        </w:rPr>
        <w:t>See</w:t>
      </w:r>
      <w:r w:rsidRPr="00217AC0">
        <w:rPr>
          <w:rFonts w:eastAsia="Calibri"/>
          <w:sz w:val="26"/>
          <w:szCs w:val="26"/>
        </w:rPr>
        <w:t xml:space="preserve"> OSBA Schs. BK-1, 4</w:t>
      </w:r>
      <w:r w:rsidR="00FC42FE" w:rsidRPr="00217AC0">
        <w:rPr>
          <w:rFonts w:eastAsia="Calibri"/>
          <w:sz w:val="26"/>
          <w:szCs w:val="26"/>
        </w:rPr>
        <w:t xml:space="preserve">; </w:t>
      </w:r>
      <w:r w:rsidR="00CC135B" w:rsidRPr="00217AC0">
        <w:rPr>
          <w:sz w:val="26"/>
          <w:szCs w:val="26"/>
        </w:rPr>
        <w:t>Joint Petition, Appendix B at 1</w:t>
      </w:r>
      <w:r w:rsidRPr="00217AC0">
        <w:rPr>
          <w:rFonts w:eastAsia="Calibri"/>
          <w:sz w:val="26"/>
          <w:szCs w:val="26"/>
        </w:rPr>
        <w:t xml:space="preserve">.  </w:t>
      </w:r>
      <w:r w:rsidR="00432461" w:rsidRPr="00217AC0">
        <w:rPr>
          <w:rFonts w:eastAsia="Calibri"/>
          <w:sz w:val="26"/>
          <w:szCs w:val="26"/>
        </w:rPr>
        <w:t xml:space="preserve">The settlement rates in Appendix A to the Joint Petition are designed based on the approximate revenue allocation and proportional scale back of the target class increases shown </w:t>
      </w:r>
      <w:r w:rsidR="00284E29" w:rsidRPr="00217AC0">
        <w:rPr>
          <w:rFonts w:eastAsia="Calibri"/>
          <w:sz w:val="26"/>
          <w:szCs w:val="26"/>
        </w:rPr>
        <w:t xml:space="preserve">in column 4 in the table above.  </w:t>
      </w:r>
      <w:r w:rsidR="001A2EE1" w:rsidRPr="00217AC0">
        <w:rPr>
          <w:rFonts w:eastAsia="Calibri"/>
          <w:sz w:val="26"/>
          <w:szCs w:val="26"/>
        </w:rPr>
        <w:t xml:space="preserve">Furthermore, the Settlement applies the OSBA’s scale back </w:t>
      </w:r>
      <w:r w:rsidR="000F5B25" w:rsidRPr="00217AC0">
        <w:rPr>
          <w:rFonts w:eastAsia="Calibri"/>
          <w:sz w:val="26"/>
          <w:szCs w:val="26"/>
        </w:rPr>
        <w:t>recommendation to the single block consumption rate for each customer class, following the widely accepted approach among the Parties of maintaining existing monthly customer charges while increasing volumetric rates.</w:t>
      </w:r>
      <w:r w:rsidR="00EF5550" w:rsidRPr="00217AC0">
        <w:rPr>
          <w:rFonts w:eastAsia="Calibri"/>
          <w:sz w:val="26"/>
          <w:szCs w:val="26"/>
        </w:rPr>
        <w:t xml:space="preserve">  Accordingly, we find that the rate design and scale back reflected in the Settlement is consistent with </w:t>
      </w:r>
      <w:r w:rsidR="00EF5550" w:rsidRPr="00217AC0">
        <w:rPr>
          <w:rFonts w:eastAsia="Calibri"/>
          <w:i/>
          <w:iCs/>
          <w:sz w:val="26"/>
          <w:szCs w:val="26"/>
        </w:rPr>
        <w:t>Lloyd</w:t>
      </w:r>
      <w:r w:rsidR="00EF5550" w:rsidRPr="00217AC0">
        <w:rPr>
          <w:rFonts w:eastAsia="Calibri"/>
          <w:sz w:val="26"/>
          <w:szCs w:val="26"/>
        </w:rPr>
        <w:t xml:space="preserve"> and in the public interest.</w:t>
      </w:r>
    </w:p>
    <w:p w14:paraId="2739A709" w14:textId="77777777" w:rsidR="0093332F" w:rsidRPr="00217AC0" w:rsidRDefault="0093332F" w:rsidP="00217AC0">
      <w:pPr>
        <w:widowControl/>
        <w:tabs>
          <w:tab w:val="left" w:pos="2970"/>
        </w:tabs>
        <w:spacing w:line="360" w:lineRule="auto"/>
        <w:rPr>
          <w:rFonts w:eastAsia="Calibri"/>
          <w:sz w:val="26"/>
          <w:szCs w:val="26"/>
        </w:rPr>
      </w:pPr>
    </w:p>
    <w:p w14:paraId="7AFBFA68" w14:textId="716355EA" w:rsidR="00F84205" w:rsidRPr="00217AC0" w:rsidRDefault="00F84205" w:rsidP="00217AC0">
      <w:pPr>
        <w:widowControl/>
        <w:spacing w:line="360" w:lineRule="auto"/>
        <w:ind w:firstLine="1440"/>
        <w:rPr>
          <w:rFonts w:eastAsia="Calibri"/>
          <w:sz w:val="26"/>
          <w:szCs w:val="26"/>
        </w:rPr>
      </w:pPr>
      <w:r w:rsidRPr="00217AC0">
        <w:rPr>
          <w:rFonts w:eastAsia="Calibri"/>
          <w:sz w:val="26"/>
          <w:szCs w:val="26"/>
        </w:rPr>
        <w:t xml:space="preserve">Viewed in its entirety, the Joint Petition fairly and equitably resolves the issues impacting residential consumers, business customers, and the public interest at large and represents a fair balance of the interests of the City and its customers.  We note that the Joint Petition was nonunanimous, and therefore its provisions remained subject to litigation of the Non-Settling Parties.  However, in the same respect that a “partial settlement” of issues benefits all parties, here, the Joint Petition served to focus the proceedings, and narrow the matters in contention before the ALJ.  </w:t>
      </w:r>
    </w:p>
    <w:p w14:paraId="1E6E8DFF" w14:textId="6D59A1D7" w:rsidR="00012897" w:rsidRPr="00217AC0" w:rsidRDefault="00F84205" w:rsidP="00217AC0">
      <w:pPr>
        <w:widowControl/>
        <w:spacing w:line="360" w:lineRule="auto"/>
        <w:ind w:firstLine="1440"/>
        <w:rPr>
          <w:rFonts w:eastAsia="Calibri"/>
          <w:sz w:val="26"/>
          <w:szCs w:val="26"/>
        </w:rPr>
      </w:pPr>
      <w:r w:rsidRPr="00217AC0">
        <w:rPr>
          <w:rFonts w:eastAsia="Calibri"/>
          <w:sz w:val="26"/>
          <w:szCs w:val="26"/>
        </w:rPr>
        <w:lastRenderedPageBreak/>
        <w:t>Additionally, we find that the Settlement will result in significant savings of time and expenses for all Parties involved by reducing or avoiding the necessity of further administrative proceedings, as well as reducing or avoiding the need for possible appellate court proceedings, thereby conserving administrative resources.  Further, the Settlement provides regulatory certainty with respect to the disposition of issues which benefits all Parties.  For the reasons stated herein and in the Joint Petitioners’ Statements in Support, we concur with the ALJ’s conclusion that the Settlement is supported by substantial evidence and is in the public interest. Accordingly, we shall adopt the ALJ’s Recommended Decision that grants the Joint Petition and approves the Settlement.</w:t>
      </w:r>
    </w:p>
    <w:p w14:paraId="2DC768A0" w14:textId="77777777" w:rsidR="00664A93" w:rsidRPr="00217AC0" w:rsidRDefault="00664A93" w:rsidP="00217AC0">
      <w:pPr>
        <w:widowControl/>
        <w:spacing w:line="360" w:lineRule="auto"/>
        <w:ind w:firstLine="1440"/>
        <w:rPr>
          <w:b/>
          <w:sz w:val="26"/>
          <w:szCs w:val="26"/>
        </w:rPr>
      </w:pPr>
    </w:p>
    <w:p w14:paraId="1A4920E1" w14:textId="117FB6C7" w:rsidR="0009690C" w:rsidRPr="00217AC0" w:rsidRDefault="0009690C" w:rsidP="00217AC0">
      <w:pPr>
        <w:pStyle w:val="Heading1"/>
        <w:keepNext/>
      </w:pPr>
      <w:bookmarkStart w:id="37" w:name="_Toc69230520"/>
      <w:r w:rsidRPr="00217AC0">
        <w:t>Issues Resolved Among the Parties</w:t>
      </w:r>
      <w:bookmarkEnd w:id="37"/>
    </w:p>
    <w:p w14:paraId="30277D18" w14:textId="0AAA50C5" w:rsidR="0009690C" w:rsidRPr="00217AC0" w:rsidRDefault="0009690C" w:rsidP="00217AC0">
      <w:pPr>
        <w:keepNext/>
        <w:widowControl/>
        <w:spacing w:line="360" w:lineRule="auto"/>
        <w:contextualSpacing/>
        <w:rPr>
          <w:b/>
          <w:sz w:val="26"/>
          <w:szCs w:val="26"/>
        </w:rPr>
      </w:pPr>
    </w:p>
    <w:p w14:paraId="151A6840" w14:textId="65235B1F" w:rsidR="00F84205" w:rsidRPr="00217AC0" w:rsidRDefault="00722477" w:rsidP="00217AC0">
      <w:pPr>
        <w:keepNext/>
        <w:widowControl/>
        <w:spacing w:line="360" w:lineRule="auto"/>
        <w:ind w:firstLine="1440"/>
        <w:contextualSpacing/>
        <w:rPr>
          <w:sz w:val="26"/>
          <w:szCs w:val="26"/>
        </w:rPr>
      </w:pPr>
      <w:r w:rsidRPr="00217AC0">
        <w:rPr>
          <w:bCs/>
          <w:sz w:val="26"/>
          <w:szCs w:val="26"/>
        </w:rPr>
        <w:t xml:space="preserve">In addition </w:t>
      </w:r>
      <w:r w:rsidR="00395446" w:rsidRPr="00217AC0">
        <w:rPr>
          <w:bCs/>
          <w:sz w:val="26"/>
          <w:szCs w:val="26"/>
        </w:rPr>
        <w:t xml:space="preserve">to the Joint Petition entered into with I&amp;E, the City has </w:t>
      </w:r>
      <w:r w:rsidR="00F11914" w:rsidRPr="00217AC0">
        <w:rPr>
          <w:bCs/>
          <w:sz w:val="26"/>
          <w:szCs w:val="26"/>
        </w:rPr>
        <w:t>entered into a Stipulation with the OCA to address certain quality of service issues that were a concern of the OCA, including a valve exercising schedule, fire hydrant testing, pressure surveys, UFW measurement, customer complaints and customer meter age.</w:t>
      </w:r>
      <w:r w:rsidR="009F3D04" w:rsidRPr="00217AC0">
        <w:rPr>
          <w:rStyle w:val="FootnoteReference"/>
          <w:bCs/>
          <w:sz w:val="26"/>
          <w:szCs w:val="26"/>
        </w:rPr>
        <w:footnoteReference w:id="26"/>
      </w:r>
      <w:r w:rsidR="00F84205" w:rsidRPr="00217AC0">
        <w:rPr>
          <w:bCs/>
          <w:sz w:val="26"/>
          <w:szCs w:val="26"/>
        </w:rPr>
        <w:t xml:space="preserve">  </w:t>
      </w:r>
      <w:r w:rsidR="00E55973" w:rsidRPr="00217AC0">
        <w:rPr>
          <w:sz w:val="26"/>
          <w:szCs w:val="26"/>
        </w:rPr>
        <w:t>In addition to</w:t>
      </w:r>
      <w:r w:rsidR="00F84205" w:rsidRPr="00217AC0">
        <w:rPr>
          <w:sz w:val="26"/>
          <w:szCs w:val="26"/>
        </w:rPr>
        <w:t xml:space="preserve"> our adoption of the Settlement and the ALJ’s Recommended Decision, we also adopt the terms of the Stipulation entered between the City and the OCA, discussed in more detail, </w:t>
      </w:r>
      <w:r w:rsidR="00F84205" w:rsidRPr="00217AC0">
        <w:rPr>
          <w:i/>
          <w:iCs/>
          <w:sz w:val="26"/>
          <w:szCs w:val="26"/>
        </w:rPr>
        <w:t>infra</w:t>
      </w:r>
      <w:r w:rsidR="00F84205" w:rsidRPr="0093332F">
        <w:rPr>
          <w:sz w:val="26"/>
          <w:szCs w:val="26"/>
        </w:rPr>
        <w:t>,</w:t>
      </w:r>
      <w:r w:rsidR="00F84205" w:rsidRPr="00217AC0">
        <w:rPr>
          <w:i/>
          <w:iCs/>
          <w:sz w:val="26"/>
          <w:szCs w:val="26"/>
        </w:rPr>
        <w:t xml:space="preserve"> </w:t>
      </w:r>
      <w:r w:rsidR="00F84205" w:rsidRPr="00217AC0">
        <w:rPr>
          <w:sz w:val="26"/>
          <w:szCs w:val="26"/>
        </w:rPr>
        <w:t xml:space="preserve">which provide for important terms and conditions in the interest of consumers.  We commend the Parties for reaching mutual agreement on the issues addressed therein.  While not contained in the Settlement, the agreement arose under the good faith negotiations between the Parties during this rate proceeding and serve an important benefit to the public interest.  Finally, we note that the agreements reflect the City’s good faith negotiations with a </w:t>
      </w:r>
      <w:r w:rsidR="007B4BB6" w:rsidRPr="00217AC0">
        <w:rPr>
          <w:sz w:val="26"/>
          <w:szCs w:val="26"/>
        </w:rPr>
        <w:t>N</w:t>
      </w:r>
      <w:r w:rsidR="00F84205" w:rsidRPr="00217AC0">
        <w:rPr>
          <w:sz w:val="26"/>
          <w:szCs w:val="26"/>
        </w:rPr>
        <w:t>on-</w:t>
      </w:r>
      <w:r w:rsidR="007B4BB6" w:rsidRPr="00217AC0">
        <w:rPr>
          <w:sz w:val="26"/>
          <w:szCs w:val="26"/>
        </w:rPr>
        <w:t>S</w:t>
      </w:r>
      <w:r w:rsidR="00F84205" w:rsidRPr="00217AC0">
        <w:rPr>
          <w:sz w:val="26"/>
          <w:szCs w:val="26"/>
        </w:rPr>
        <w:t xml:space="preserve">ettling </w:t>
      </w:r>
      <w:r w:rsidR="007B4BB6" w:rsidRPr="00217AC0">
        <w:rPr>
          <w:sz w:val="26"/>
          <w:szCs w:val="26"/>
        </w:rPr>
        <w:t>P</w:t>
      </w:r>
      <w:r w:rsidR="00F84205" w:rsidRPr="00217AC0">
        <w:rPr>
          <w:sz w:val="26"/>
          <w:szCs w:val="26"/>
        </w:rPr>
        <w:t>arty and voluntary efforts to enhance benefits to its customers.</w:t>
      </w:r>
    </w:p>
    <w:p w14:paraId="186BA5B5" w14:textId="77777777" w:rsidR="00B166C9" w:rsidRPr="00217AC0" w:rsidRDefault="00B166C9" w:rsidP="00217AC0">
      <w:pPr>
        <w:widowControl/>
        <w:spacing w:line="360" w:lineRule="auto"/>
        <w:ind w:firstLine="1440"/>
        <w:contextualSpacing/>
        <w:rPr>
          <w:sz w:val="26"/>
          <w:szCs w:val="26"/>
        </w:rPr>
      </w:pPr>
    </w:p>
    <w:p w14:paraId="42E939C2" w14:textId="57C1D12B" w:rsidR="00722477" w:rsidRPr="00217AC0" w:rsidRDefault="00F11914" w:rsidP="00217AC0">
      <w:pPr>
        <w:widowControl/>
        <w:spacing w:line="360" w:lineRule="auto"/>
        <w:ind w:firstLine="1440"/>
        <w:contextualSpacing/>
        <w:rPr>
          <w:bCs/>
          <w:sz w:val="26"/>
          <w:szCs w:val="26"/>
        </w:rPr>
      </w:pPr>
      <w:r w:rsidRPr="00217AC0">
        <w:rPr>
          <w:bCs/>
          <w:sz w:val="26"/>
          <w:szCs w:val="26"/>
        </w:rPr>
        <w:lastRenderedPageBreak/>
        <w:t xml:space="preserve">Specifically, the </w:t>
      </w:r>
      <w:r w:rsidR="00D64BC5" w:rsidRPr="00217AC0">
        <w:rPr>
          <w:bCs/>
          <w:sz w:val="26"/>
          <w:szCs w:val="26"/>
        </w:rPr>
        <w:t>City</w:t>
      </w:r>
      <w:r w:rsidRPr="00217AC0">
        <w:rPr>
          <w:bCs/>
          <w:sz w:val="26"/>
          <w:szCs w:val="26"/>
        </w:rPr>
        <w:t xml:space="preserve"> agreed to take the following actions to comply fully with the Stipulation:  </w:t>
      </w:r>
    </w:p>
    <w:p w14:paraId="4E5FAD09" w14:textId="164527CA" w:rsidR="00F11914" w:rsidRPr="00217AC0" w:rsidRDefault="00F11914" w:rsidP="00217AC0">
      <w:pPr>
        <w:widowControl/>
        <w:spacing w:line="360" w:lineRule="auto"/>
        <w:ind w:firstLine="1440"/>
        <w:contextualSpacing/>
        <w:rPr>
          <w:bCs/>
          <w:sz w:val="26"/>
          <w:szCs w:val="26"/>
        </w:rPr>
      </w:pPr>
    </w:p>
    <w:p w14:paraId="06015DC5" w14:textId="59AC2594" w:rsidR="00F11914" w:rsidRPr="00217AC0" w:rsidRDefault="00F11914" w:rsidP="00217AC0">
      <w:pPr>
        <w:pStyle w:val="ListParagraph"/>
        <w:widowControl/>
        <w:numPr>
          <w:ilvl w:val="1"/>
          <w:numId w:val="1"/>
        </w:numPr>
        <w:ind w:left="2160" w:right="1440" w:hanging="720"/>
        <w:rPr>
          <w:bCs/>
          <w:sz w:val="26"/>
          <w:szCs w:val="26"/>
        </w:rPr>
      </w:pPr>
      <w:r w:rsidRPr="00217AC0">
        <w:rPr>
          <w:bCs/>
          <w:sz w:val="26"/>
          <w:szCs w:val="26"/>
        </w:rPr>
        <w:t>The City will exercise approximately 900 valves per year in the jurisdictional areas so that all valves are exercised at least once in a 5-year period.</w:t>
      </w:r>
    </w:p>
    <w:p w14:paraId="3C2A8797" w14:textId="77777777" w:rsidR="00F11914" w:rsidRPr="00217AC0" w:rsidRDefault="00F11914" w:rsidP="00217AC0">
      <w:pPr>
        <w:pStyle w:val="ListParagraph"/>
        <w:widowControl/>
        <w:ind w:left="2160" w:right="1440" w:hanging="720"/>
        <w:rPr>
          <w:bCs/>
          <w:sz w:val="26"/>
          <w:szCs w:val="26"/>
        </w:rPr>
      </w:pPr>
    </w:p>
    <w:p w14:paraId="7B87CE25" w14:textId="00B85719" w:rsidR="00F11914" w:rsidRPr="00217AC0" w:rsidRDefault="00F11914" w:rsidP="00217AC0">
      <w:pPr>
        <w:pStyle w:val="ListParagraph"/>
        <w:widowControl/>
        <w:numPr>
          <w:ilvl w:val="1"/>
          <w:numId w:val="1"/>
        </w:numPr>
        <w:ind w:left="2160" w:right="1440" w:hanging="720"/>
        <w:rPr>
          <w:bCs/>
          <w:sz w:val="26"/>
          <w:szCs w:val="26"/>
        </w:rPr>
      </w:pPr>
      <w:r w:rsidRPr="00217AC0">
        <w:rPr>
          <w:bCs/>
          <w:sz w:val="26"/>
          <w:szCs w:val="26"/>
        </w:rPr>
        <w:t>The City will establish and document an ongoing program and schedule for maintenance or replacement of inoperable valves identified as such in the annual valve exercise program, subject to availability of resources to affect such improvements.</w:t>
      </w:r>
    </w:p>
    <w:p w14:paraId="74BC8493" w14:textId="77777777" w:rsidR="00F11914" w:rsidRPr="00217AC0" w:rsidRDefault="00F11914" w:rsidP="00217AC0">
      <w:pPr>
        <w:pStyle w:val="ListParagraph"/>
        <w:widowControl/>
        <w:ind w:left="2160" w:hanging="720"/>
        <w:rPr>
          <w:bCs/>
          <w:sz w:val="26"/>
          <w:szCs w:val="26"/>
        </w:rPr>
      </w:pPr>
    </w:p>
    <w:p w14:paraId="0850ED4C" w14:textId="0B29D27D" w:rsidR="00F11914" w:rsidRPr="00217AC0" w:rsidRDefault="00F11914" w:rsidP="00217AC0">
      <w:pPr>
        <w:pStyle w:val="ListParagraph"/>
        <w:widowControl/>
        <w:numPr>
          <w:ilvl w:val="1"/>
          <w:numId w:val="1"/>
        </w:numPr>
        <w:ind w:left="2160" w:right="1440" w:hanging="720"/>
        <w:rPr>
          <w:bCs/>
          <w:sz w:val="26"/>
          <w:szCs w:val="26"/>
        </w:rPr>
      </w:pPr>
      <w:r w:rsidRPr="00217AC0">
        <w:rPr>
          <w:bCs/>
          <w:sz w:val="26"/>
          <w:szCs w:val="26"/>
        </w:rPr>
        <w:t>For the sixty-five (65) fire hydrants in its jurisdictional areas that cannot provide minimum flow of 500 gpm at 20 psig, the City will test these hydrants no later than October 31, 2021 to confirm capacity and will appropriately mark those that do not meet the minimum flow and pressure requirements as recommended.</w:t>
      </w:r>
    </w:p>
    <w:p w14:paraId="7406EB85" w14:textId="77777777" w:rsidR="00F11914" w:rsidRPr="00217AC0" w:rsidRDefault="00F11914" w:rsidP="00217AC0">
      <w:pPr>
        <w:pStyle w:val="ListParagraph"/>
        <w:widowControl/>
        <w:ind w:left="2160" w:hanging="720"/>
        <w:rPr>
          <w:bCs/>
          <w:sz w:val="26"/>
          <w:szCs w:val="26"/>
        </w:rPr>
      </w:pPr>
    </w:p>
    <w:p w14:paraId="08ABC524" w14:textId="6C234935" w:rsidR="00F11914" w:rsidRPr="00217AC0" w:rsidRDefault="00F11914" w:rsidP="00217AC0">
      <w:pPr>
        <w:pStyle w:val="ListParagraph"/>
        <w:widowControl/>
        <w:numPr>
          <w:ilvl w:val="1"/>
          <w:numId w:val="1"/>
        </w:numPr>
        <w:ind w:left="2160" w:right="1440" w:hanging="720"/>
        <w:rPr>
          <w:bCs/>
          <w:sz w:val="26"/>
          <w:szCs w:val="26"/>
        </w:rPr>
      </w:pPr>
      <w:r w:rsidRPr="00217AC0">
        <w:rPr>
          <w:bCs/>
          <w:sz w:val="26"/>
          <w:szCs w:val="26"/>
        </w:rPr>
        <w:t>Regarding the City’s four small community well systems, the City will perform pressure surveys in accordance with regulatory requirements starting in calendar year 2021.</w:t>
      </w:r>
    </w:p>
    <w:p w14:paraId="783EC214" w14:textId="77777777" w:rsidR="00F11914" w:rsidRPr="00217AC0" w:rsidRDefault="00F11914" w:rsidP="00217AC0">
      <w:pPr>
        <w:pStyle w:val="ListParagraph"/>
        <w:widowControl/>
        <w:ind w:left="2160" w:hanging="720"/>
        <w:rPr>
          <w:bCs/>
          <w:sz w:val="26"/>
          <w:szCs w:val="26"/>
        </w:rPr>
      </w:pPr>
    </w:p>
    <w:p w14:paraId="5F304B0F" w14:textId="7D45467B" w:rsidR="00F11914" w:rsidRPr="00217AC0" w:rsidRDefault="00F11914" w:rsidP="00217AC0">
      <w:pPr>
        <w:pStyle w:val="ListParagraph"/>
        <w:widowControl/>
        <w:numPr>
          <w:ilvl w:val="1"/>
          <w:numId w:val="1"/>
        </w:numPr>
        <w:ind w:left="2160" w:right="1440" w:hanging="720"/>
        <w:rPr>
          <w:bCs/>
          <w:sz w:val="26"/>
          <w:szCs w:val="26"/>
        </w:rPr>
      </w:pPr>
      <w:r w:rsidRPr="00217AC0">
        <w:rPr>
          <w:bCs/>
          <w:sz w:val="26"/>
          <w:szCs w:val="26"/>
        </w:rPr>
        <w:t>Going forward, and starting with the UFW calculation for calendar year 2020, the City will begin using the Commission Section 500 method for the purpose of assisting the Commission in its review of future rate cases. The City will take steps to maintain UFW below 20% and, in its next base rate case, if UFW is above 20%, provide a narrative explanation of possible reasons for it.</w:t>
      </w:r>
    </w:p>
    <w:p w14:paraId="5C0DCA9E" w14:textId="77777777" w:rsidR="00F11914" w:rsidRPr="00217AC0" w:rsidRDefault="00F11914" w:rsidP="00217AC0">
      <w:pPr>
        <w:pStyle w:val="ListParagraph"/>
        <w:widowControl/>
        <w:ind w:left="2160" w:hanging="720"/>
        <w:rPr>
          <w:bCs/>
          <w:sz w:val="26"/>
          <w:szCs w:val="26"/>
        </w:rPr>
      </w:pPr>
    </w:p>
    <w:p w14:paraId="72627781" w14:textId="182AEFBD" w:rsidR="00F11914" w:rsidRPr="00217AC0" w:rsidRDefault="00F11914" w:rsidP="00217AC0">
      <w:pPr>
        <w:pStyle w:val="ListParagraph"/>
        <w:widowControl/>
        <w:numPr>
          <w:ilvl w:val="1"/>
          <w:numId w:val="1"/>
        </w:numPr>
        <w:ind w:left="2160" w:right="1440" w:hanging="720"/>
        <w:rPr>
          <w:bCs/>
          <w:sz w:val="26"/>
          <w:szCs w:val="26"/>
        </w:rPr>
      </w:pPr>
      <w:r w:rsidRPr="00217AC0">
        <w:rPr>
          <w:bCs/>
          <w:sz w:val="26"/>
          <w:szCs w:val="26"/>
        </w:rPr>
        <w:t>The City shall establish and maintain a single complaint log in live Excel format that satisfies 52</w:t>
      </w:r>
      <w:r w:rsidR="0093332F">
        <w:rPr>
          <w:bCs/>
          <w:sz w:val="26"/>
          <w:szCs w:val="26"/>
        </w:rPr>
        <w:t> </w:t>
      </w:r>
      <w:r w:rsidRPr="00217AC0">
        <w:rPr>
          <w:bCs/>
          <w:sz w:val="26"/>
          <w:szCs w:val="26"/>
        </w:rPr>
        <w:t>Pa.</w:t>
      </w:r>
      <w:r w:rsidR="0093332F">
        <w:rPr>
          <w:bCs/>
          <w:sz w:val="26"/>
          <w:szCs w:val="26"/>
        </w:rPr>
        <w:t> </w:t>
      </w:r>
      <w:r w:rsidRPr="00217AC0">
        <w:rPr>
          <w:bCs/>
          <w:sz w:val="26"/>
          <w:szCs w:val="26"/>
        </w:rPr>
        <w:t xml:space="preserve">Code § 65.3. The following categories shall be part of the log so that the data can be sorted by date and location: dirty water, taste, odor, color, customer property damage, leaking meter, request for meter </w:t>
      </w:r>
      <w:r w:rsidRPr="00217AC0">
        <w:rPr>
          <w:bCs/>
          <w:sz w:val="26"/>
          <w:szCs w:val="26"/>
        </w:rPr>
        <w:lastRenderedPageBreak/>
        <w:t>testing, request for water testing, incomplete surface restoration, and lead service lines.</w:t>
      </w:r>
    </w:p>
    <w:p w14:paraId="612D1F1E" w14:textId="77777777" w:rsidR="00F11914" w:rsidRPr="00217AC0" w:rsidRDefault="00F11914" w:rsidP="00217AC0">
      <w:pPr>
        <w:pStyle w:val="ListParagraph"/>
        <w:widowControl/>
        <w:ind w:left="2160" w:hanging="720"/>
        <w:rPr>
          <w:bCs/>
          <w:sz w:val="26"/>
          <w:szCs w:val="26"/>
        </w:rPr>
      </w:pPr>
    </w:p>
    <w:p w14:paraId="761422A8" w14:textId="501C9F90" w:rsidR="00F11914" w:rsidRPr="00217AC0" w:rsidRDefault="00F11914" w:rsidP="00217AC0">
      <w:pPr>
        <w:pStyle w:val="ListParagraph"/>
        <w:widowControl/>
        <w:numPr>
          <w:ilvl w:val="1"/>
          <w:numId w:val="1"/>
        </w:numPr>
        <w:ind w:left="2160" w:right="1440" w:hanging="720"/>
        <w:rPr>
          <w:bCs/>
          <w:sz w:val="26"/>
          <w:szCs w:val="26"/>
        </w:rPr>
      </w:pPr>
      <w:r w:rsidRPr="00217AC0">
        <w:rPr>
          <w:bCs/>
          <w:sz w:val="26"/>
          <w:szCs w:val="26"/>
        </w:rPr>
        <w:t>The City will submit a schedule to OCA and the Commission indicating the number and size of meters that need to be replaced or tested in order to comply with the requirements of 52 Pa. Code § 65.8. within seven years. The schedule will be submitted within 6 months of the entry of an order in this proceeding.</w:t>
      </w:r>
      <w:r w:rsidR="0053267F" w:rsidRPr="00217AC0">
        <w:rPr>
          <w:rStyle w:val="FootnoteReference"/>
          <w:bCs/>
          <w:sz w:val="26"/>
          <w:szCs w:val="26"/>
        </w:rPr>
        <w:footnoteReference w:id="27"/>
      </w:r>
    </w:p>
    <w:p w14:paraId="223A9CD9" w14:textId="77777777" w:rsidR="00B166C9" w:rsidRPr="00217AC0" w:rsidRDefault="00B166C9" w:rsidP="00217AC0">
      <w:pPr>
        <w:widowControl/>
        <w:spacing w:line="360" w:lineRule="auto"/>
        <w:ind w:right="1440"/>
        <w:rPr>
          <w:bCs/>
          <w:sz w:val="26"/>
          <w:szCs w:val="26"/>
        </w:rPr>
      </w:pPr>
    </w:p>
    <w:p w14:paraId="4A781646" w14:textId="667FFC42" w:rsidR="00F11914" w:rsidRPr="00217AC0" w:rsidRDefault="00AB1B60" w:rsidP="00217AC0">
      <w:pPr>
        <w:widowControl/>
        <w:spacing w:line="360" w:lineRule="auto"/>
        <w:contextualSpacing/>
        <w:rPr>
          <w:bCs/>
          <w:sz w:val="26"/>
          <w:szCs w:val="26"/>
        </w:rPr>
      </w:pPr>
      <w:r w:rsidRPr="00217AC0">
        <w:rPr>
          <w:bCs/>
          <w:sz w:val="26"/>
          <w:szCs w:val="26"/>
        </w:rPr>
        <w:t>Attachment B to the City’s Main Brief.</w:t>
      </w:r>
    </w:p>
    <w:p w14:paraId="56FD4CE3" w14:textId="4E7B834B" w:rsidR="00AB1B60" w:rsidRPr="00217AC0" w:rsidRDefault="00AB1B60" w:rsidP="00217AC0">
      <w:pPr>
        <w:widowControl/>
        <w:spacing w:line="360" w:lineRule="auto"/>
        <w:contextualSpacing/>
        <w:rPr>
          <w:bCs/>
          <w:sz w:val="26"/>
          <w:szCs w:val="26"/>
        </w:rPr>
      </w:pPr>
    </w:p>
    <w:p w14:paraId="7368C47C" w14:textId="0D73A323" w:rsidR="00AB1B60" w:rsidRPr="00217AC0" w:rsidRDefault="00F55C9D" w:rsidP="00217AC0">
      <w:pPr>
        <w:widowControl/>
        <w:spacing w:line="360" w:lineRule="auto"/>
        <w:ind w:firstLine="1440"/>
        <w:contextualSpacing/>
        <w:rPr>
          <w:bCs/>
          <w:sz w:val="26"/>
          <w:szCs w:val="26"/>
        </w:rPr>
      </w:pPr>
      <w:r w:rsidRPr="00217AC0">
        <w:rPr>
          <w:bCs/>
          <w:sz w:val="26"/>
          <w:szCs w:val="26"/>
        </w:rPr>
        <w:t>Further, as noted by the City in its Main Brief, the following ratemaking adjustments, listed below, originally proposed by the OCA have been resolved or withdrawn:</w:t>
      </w:r>
    </w:p>
    <w:p w14:paraId="284638C7" w14:textId="28FCF393" w:rsidR="00F55C9D" w:rsidRPr="00217AC0" w:rsidRDefault="00F55C9D" w:rsidP="0093332F">
      <w:pPr>
        <w:widowControl/>
        <w:ind w:firstLine="1440"/>
        <w:contextualSpacing/>
        <w:rPr>
          <w:bCs/>
          <w:sz w:val="26"/>
          <w:szCs w:val="26"/>
        </w:rPr>
      </w:pPr>
    </w:p>
    <w:p w14:paraId="4DE7F0D2" w14:textId="77777777" w:rsidR="00F55C9D" w:rsidRPr="00217AC0" w:rsidRDefault="00F55C9D" w:rsidP="00217AC0">
      <w:pPr>
        <w:keepNext/>
        <w:keepLines/>
        <w:widowControl/>
        <w:ind w:left="1440" w:right="1440"/>
        <w:textAlignment w:val="baseline"/>
        <w:rPr>
          <w:b/>
          <w:bCs/>
          <w:color w:val="000000"/>
          <w:sz w:val="26"/>
          <w:szCs w:val="26"/>
        </w:rPr>
      </w:pPr>
      <w:r w:rsidRPr="00217AC0">
        <w:rPr>
          <w:b/>
          <w:bCs/>
          <w:color w:val="000000"/>
          <w:sz w:val="26"/>
          <w:szCs w:val="26"/>
        </w:rPr>
        <w:t>Rate Base</w:t>
      </w:r>
    </w:p>
    <w:p w14:paraId="560E881F" w14:textId="77777777" w:rsidR="00F55C9D" w:rsidRPr="00217AC0" w:rsidRDefault="00F55C9D" w:rsidP="00217AC0">
      <w:pPr>
        <w:keepNext/>
        <w:keepLines/>
        <w:widowControl/>
        <w:ind w:left="1440" w:right="1440" w:firstLine="720"/>
        <w:textAlignment w:val="baseline"/>
        <w:rPr>
          <w:color w:val="000000"/>
          <w:sz w:val="26"/>
          <w:szCs w:val="26"/>
        </w:rPr>
      </w:pPr>
      <w:r w:rsidRPr="00217AC0">
        <w:rPr>
          <w:color w:val="000000"/>
          <w:sz w:val="26"/>
          <w:szCs w:val="26"/>
        </w:rPr>
        <w:t>Well Generator</w:t>
      </w:r>
    </w:p>
    <w:p w14:paraId="0688F351" w14:textId="77777777" w:rsidR="00F55C9D" w:rsidRPr="00217AC0" w:rsidRDefault="00F55C9D" w:rsidP="00217AC0">
      <w:pPr>
        <w:keepNext/>
        <w:keepLines/>
        <w:widowControl/>
        <w:ind w:left="1440" w:right="1440" w:firstLine="720"/>
        <w:textAlignment w:val="baseline"/>
        <w:rPr>
          <w:color w:val="000000"/>
          <w:sz w:val="26"/>
          <w:szCs w:val="26"/>
        </w:rPr>
      </w:pPr>
      <w:r w:rsidRPr="00217AC0">
        <w:rPr>
          <w:color w:val="000000"/>
          <w:sz w:val="26"/>
          <w:szCs w:val="26"/>
        </w:rPr>
        <w:t>Roof Replacement</w:t>
      </w:r>
    </w:p>
    <w:p w14:paraId="4EEB2D09" w14:textId="7E7B23B2" w:rsidR="00F55C9D" w:rsidRPr="00217AC0" w:rsidRDefault="00F55C9D" w:rsidP="00217AC0">
      <w:pPr>
        <w:widowControl/>
        <w:ind w:left="1440" w:right="1440" w:firstLine="720"/>
        <w:textAlignment w:val="baseline"/>
        <w:rPr>
          <w:color w:val="000000"/>
          <w:sz w:val="26"/>
          <w:szCs w:val="26"/>
        </w:rPr>
      </w:pPr>
      <w:r w:rsidRPr="00217AC0">
        <w:rPr>
          <w:color w:val="000000"/>
          <w:sz w:val="26"/>
          <w:szCs w:val="26"/>
        </w:rPr>
        <w:t>Hecktown Road Bridge Main Replacement</w:t>
      </w:r>
    </w:p>
    <w:p w14:paraId="55155CF9" w14:textId="77777777" w:rsidR="00F55C9D" w:rsidRPr="00217AC0" w:rsidRDefault="00F55C9D" w:rsidP="00217AC0">
      <w:pPr>
        <w:widowControl/>
        <w:ind w:left="1440" w:right="1440" w:firstLine="720"/>
        <w:textAlignment w:val="baseline"/>
        <w:rPr>
          <w:color w:val="000000"/>
          <w:sz w:val="26"/>
          <w:szCs w:val="26"/>
        </w:rPr>
      </w:pPr>
    </w:p>
    <w:p w14:paraId="2F2B9E78" w14:textId="77777777" w:rsidR="00F55C9D" w:rsidRPr="00217AC0" w:rsidRDefault="00F55C9D" w:rsidP="00217AC0">
      <w:pPr>
        <w:widowControl/>
        <w:ind w:left="1440" w:right="1440"/>
        <w:textAlignment w:val="baseline"/>
        <w:rPr>
          <w:b/>
          <w:bCs/>
          <w:color w:val="000000"/>
          <w:sz w:val="26"/>
          <w:szCs w:val="26"/>
        </w:rPr>
      </w:pPr>
      <w:r w:rsidRPr="00217AC0">
        <w:rPr>
          <w:b/>
          <w:bCs/>
          <w:color w:val="000000"/>
          <w:sz w:val="26"/>
          <w:szCs w:val="26"/>
        </w:rPr>
        <w:t>Expenses</w:t>
      </w:r>
    </w:p>
    <w:p w14:paraId="376B2029" w14:textId="77777777" w:rsidR="00F55C9D" w:rsidRPr="00217AC0" w:rsidRDefault="00F55C9D" w:rsidP="00217AC0">
      <w:pPr>
        <w:widowControl/>
        <w:ind w:left="1440" w:right="1440" w:firstLine="720"/>
        <w:textAlignment w:val="baseline"/>
        <w:rPr>
          <w:color w:val="000000"/>
          <w:sz w:val="26"/>
          <w:szCs w:val="26"/>
        </w:rPr>
      </w:pPr>
      <w:r w:rsidRPr="00217AC0">
        <w:rPr>
          <w:color w:val="000000"/>
          <w:sz w:val="26"/>
          <w:szCs w:val="26"/>
        </w:rPr>
        <w:t>Uncollectible Account Expense</w:t>
      </w:r>
    </w:p>
    <w:p w14:paraId="23BD9213" w14:textId="77777777" w:rsidR="00F55C9D" w:rsidRPr="00217AC0" w:rsidRDefault="00F55C9D" w:rsidP="00217AC0">
      <w:pPr>
        <w:widowControl/>
        <w:ind w:left="1440" w:right="1440" w:firstLine="720"/>
        <w:textAlignment w:val="baseline"/>
        <w:rPr>
          <w:color w:val="000000"/>
          <w:sz w:val="26"/>
          <w:szCs w:val="26"/>
        </w:rPr>
      </w:pPr>
      <w:r w:rsidRPr="00217AC0">
        <w:rPr>
          <w:color w:val="000000"/>
          <w:sz w:val="26"/>
          <w:szCs w:val="26"/>
        </w:rPr>
        <w:t>Professional Services Expense</w:t>
      </w:r>
    </w:p>
    <w:p w14:paraId="3A9999D3" w14:textId="77777777" w:rsidR="00F55C9D" w:rsidRPr="00217AC0" w:rsidRDefault="00F55C9D" w:rsidP="00217AC0">
      <w:pPr>
        <w:widowControl/>
        <w:ind w:left="1440" w:right="1440" w:firstLine="720"/>
        <w:textAlignment w:val="baseline"/>
        <w:rPr>
          <w:color w:val="000000"/>
          <w:sz w:val="26"/>
          <w:szCs w:val="26"/>
        </w:rPr>
      </w:pPr>
      <w:r w:rsidRPr="00217AC0">
        <w:rPr>
          <w:color w:val="000000"/>
          <w:sz w:val="26"/>
          <w:szCs w:val="26"/>
        </w:rPr>
        <w:t>East Allen Township Expense — Other Expense</w:t>
      </w:r>
    </w:p>
    <w:p w14:paraId="31AF12F6" w14:textId="77777777" w:rsidR="00F55C9D" w:rsidRPr="00217AC0" w:rsidRDefault="00F55C9D" w:rsidP="00217AC0">
      <w:pPr>
        <w:widowControl/>
        <w:ind w:left="1440" w:right="1440" w:firstLine="720"/>
        <w:textAlignment w:val="baseline"/>
        <w:rPr>
          <w:color w:val="000000"/>
          <w:sz w:val="26"/>
          <w:szCs w:val="26"/>
        </w:rPr>
      </w:pPr>
      <w:r w:rsidRPr="00217AC0">
        <w:rPr>
          <w:color w:val="000000"/>
          <w:sz w:val="26"/>
          <w:szCs w:val="26"/>
        </w:rPr>
        <w:t>Water Filtration Expense — Oil Expenses</w:t>
      </w:r>
    </w:p>
    <w:p w14:paraId="24774302" w14:textId="77777777" w:rsidR="00F55C9D" w:rsidRPr="00217AC0" w:rsidRDefault="00F55C9D" w:rsidP="00EF3341">
      <w:pPr>
        <w:keepNext/>
        <w:widowControl/>
        <w:ind w:left="1440" w:right="1440" w:firstLine="720"/>
        <w:textAlignment w:val="baseline"/>
        <w:rPr>
          <w:color w:val="000000"/>
          <w:sz w:val="26"/>
          <w:szCs w:val="26"/>
        </w:rPr>
      </w:pPr>
      <w:r w:rsidRPr="00217AC0">
        <w:rPr>
          <w:color w:val="000000"/>
          <w:sz w:val="26"/>
          <w:szCs w:val="26"/>
        </w:rPr>
        <w:lastRenderedPageBreak/>
        <w:t>Chemical Expense — Fluoride</w:t>
      </w:r>
    </w:p>
    <w:p w14:paraId="0E525CD3" w14:textId="77777777" w:rsidR="00F55C9D" w:rsidRPr="00217AC0" w:rsidRDefault="00F55C9D" w:rsidP="00217AC0">
      <w:pPr>
        <w:widowControl/>
        <w:ind w:left="1440" w:right="1440" w:firstLine="720"/>
        <w:textAlignment w:val="baseline"/>
        <w:rPr>
          <w:color w:val="000000"/>
          <w:sz w:val="26"/>
          <w:szCs w:val="26"/>
        </w:rPr>
      </w:pPr>
      <w:r w:rsidRPr="00217AC0">
        <w:rPr>
          <w:color w:val="000000"/>
          <w:sz w:val="26"/>
          <w:szCs w:val="26"/>
        </w:rPr>
        <w:t>Chemical Expense — Caustic Soda</w:t>
      </w:r>
    </w:p>
    <w:p w14:paraId="3FB57547" w14:textId="0B4795EB" w:rsidR="00F55C9D" w:rsidRPr="00217AC0" w:rsidRDefault="00F55C9D" w:rsidP="00217AC0">
      <w:pPr>
        <w:widowControl/>
        <w:spacing w:line="360" w:lineRule="auto"/>
        <w:contextualSpacing/>
        <w:rPr>
          <w:bCs/>
          <w:sz w:val="26"/>
          <w:szCs w:val="26"/>
        </w:rPr>
      </w:pPr>
    </w:p>
    <w:p w14:paraId="544F14D6" w14:textId="7DEAB324" w:rsidR="00F55C9D" w:rsidRPr="00217AC0" w:rsidRDefault="00F55C9D" w:rsidP="00217AC0">
      <w:pPr>
        <w:widowControl/>
        <w:spacing w:line="360" w:lineRule="auto"/>
        <w:contextualSpacing/>
        <w:rPr>
          <w:bCs/>
          <w:sz w:val="26"/>
          <w:szCs w:val="26"/>
        </w:rPr>
      </w:pPr>
      <w:r w:rsidRPr="00217AC0">
        <w:rPr>
          <w:bCs/>
          <w:sz w:val="26"/>
          <w:szCs w:val="26"/>
        </w:rPr>
        <w:t xml:space="preserve">City M.B. at 15.  Additionally, the City noted that, as for revenue allocation, the Joint Petition adopts the revenue allocation and scale back of revenue proposed by the OSBA.  </w:t>
      </w:r>
      <w:r w:rsidRPr="00217AC0">
        <w:rPr>
          <w:bCs/>
          <w:i/>
          <w:iCs/>
          <w:sz w:val="26"/>
          <w:szCs w:val="26"/>
        </w:rPr>
        <w:t>Id.</w:t>
      </w:r>
    </w:p>
    <w:p w14:paraId="6E3D0C02" w14:textId="77777777" w:rsidR="007B6E03" w:rsidRPr="00217AC0" w:rsidRDefault="007B6E03" w:rsidP="00217AC0">
      <w:pPr>
        <w:widowControl/>
        <w:spacing w:line="360" w:lineRule="auto"/>
        <w:rPr>
          <w:rFonts w:eastAsiaTheme="minorHAnsi"/>
          <w:sz w:val="26"/>
          <w:szCs w:val="26"/>
        </w:rPr>
      </w:pPr>
      <w:bookmarkStart w:id="39" w:name="_Hlk65653345"/>
    </w:p>
    <w:p w14:paraId="35EC017D" w14:textId="31D26F93" w:rsidR="007B6E03" w:rsidRPr="00217AC0" w:rsidRDefault="00480EDD" w:rsidP="00217AC0">
      <w:pPr>
        <w:widowControl/>
        <w:spacing w:line="360" w:lineRule="auto"/>
        <w:ind w:firstLine="1440"/>
        <w:rPr>
          <w:rFonts w:eastAsiaTheme="minorHAnsi"/>
          <w:sz w:val="26"/>
          <w:szCs w:val="26"/>
        </w:rPr>
      </w:pPr>
      <w:r w:rsidRPr="00217AC0">
        <w:rPr>
          <w:rFonts w:eastAsiaTheme="minorHAnsi"/>
          <w:sz w:val="26"/>
          <w:szCs w:val="26"/>
        </w:rPr>
        <w:t>Since no Party raised any objections or contested any issues subject to the Stipulation, the ALJ found it to be in the public interest and recommended approval of the Stipulation, explaining that the actions agreed upon by the City ensure that the City’s procedures more closely comply with the Commission’s Regulations</w:t>
      </w:r>
      <w:r w:rsidR="00423B96" w:rsidRPr="00217AC0">
        <w:rPr>
          <w:rFonts w:eastAsiaTheme="minorHAnsi"/>
          <w:sz w:val="26"/>
          <w:szCs w:val="26"/>
        </w:rPr>
        <w:t xml:space="preserve">.  R.D. at 21, 57-58.  Likewise, regarding the various issues identified above that have either been resolved among the Parties or withdrawn and are not the subject of any dispute or challenge, the ALJ recommended they be approved as part of the overall approval of the Joint Petition.  R.D. at 22. </w:t>
      </w:r>
    </w:p>
    <w:bookmarkEnd w:id="39"/>
    <w:p w14:paraId="2CAC09D9" w14:textId="74D7AB70" w:rsidR="007B6E03" w:rsidRPr="00217AC0" w:rsidRDefault="007B6E03" w:rsidP="00217AC0">
      <w:pPr>
        <w:widowControl/>
        <w:spacing w:line="360" w:lineRule="auto"/>
        <w:contextualSpacing/>
        <w:rPr>
          <w:b/>
          <w:sz w:val="26"/>
          <w:szCs w:val="26"/>
        </w:rPr>
      </w:pPr>
    </w:p>
    <w:p w14:paraId="246D7FFA" w14:textId="7DC9B48C" w:rsidR="007B6E03" w:rsidRPr="00217AC0" w:rsidRDefault="007B6E03" w:rsidP="00217AC0">
      <w:pPr>
        <w:keepNext/>
        <w:widowControl/>
        <w:spacing w:line="360" w:lineRule="auto"/>
        <w:ind w:firstLine="1440"/>
        <w:contextualSpacing/>
        <w:rPr>
          <w:sz w:val="26"/>
          <w:szCs w:val="26"/>
        </w:rPr>
      </w:pPr>
      <w:r w:rsidRPr="00217AC0">
        <w:rPr>
          <w:sz w:val="26"/>
          <w:szCs w:val="26"/>
        </w:rPr>
        <w:t xml:space="preserve">No Party filed Exceptions </w:t>
      </w:r>
      <w:r w:rsidR="00D64BC5" w:rsidRPr="00217AC0">
        <w:rPr>
          <w:sz w:val="26"/>
          <w:szCs w:val="26"/>
        </w:rPr>
        <w:t>regarding the Stipulation</w:t>
      </w:r>
      <w:r w:rsidRPr="00217AC0">
        <w:rPr>
          <w:sz w:val="26"/>
          <w:szCs w:val="26"/>
        </w:rPr>
        <w:t>.  Finding the ALJ’s</w:t>
      </w:r>
      <w:r w:rsidR="00E56576" w:rsidRPr="00217AC0">
        <w:rPr>
          <w:sz w:val="26"/>
          <w:szCs w:val="26"/>
        </w:rPr>
        <w:t xml:space="preserve"> </w:t>
      </w:r>
      <w:r w:rsidRPr="00217AC0">
        <w:rPr>
          <w:sz w:val="26"/>
          <w:szCs w:val="26"/>
        </w:rPr>
        <w:t xml:space="preserve">recommendation to be reasonable, we adopt it without further comment.  </w:t>
      </w:r>
    </w:p>
    <w:p w14:paraId="3BAD3EFB" w14:textId="2A75120C" w:rsidR="0009690C" w:rsidRPr="00217AC0" w:rsidRDefault="0009690C" w:rsidP="00217AC0">
      <w:pPr>
        <w:widowControl/>
        <w:spacing w:line="360" w:lineRule="auto"/>
        <w:contextualSpacing/>
        <w:rPr>
          <w:b/>
          <w:sz w:val="26"/>
          <w:szCs w:val="26"/>
        </w:rPr>
      </w:pPr>
    </w:p>
    <w:p w14:paraId="68420D21" w14:textId="5053A8AF" w:rsidR="0009690C" w:rsidRPr="00217AC0" w:rsidRDefault="009566CA" w:rsidP="00217AC0">
      <w:pPr>
        <w:pStyle w:val="Heading1"/>
        <w:keepNext/>
      </w:pPr>
      <w:bookmarkStart w:id="40" w:name="_Toc69230521"/>
      <w:r w:rsidRPr="00217AC0">
        <w:t>Exceptions and Replies</w:t>
      </w:r>
      <w:bookmarkEnd w:id="40"/>
    </w:p>
    <w:p w14:paraId="7A08641D" w14:textId="679C00B6" w:rsidR="008A14F2" w:rsidRPr="00217AC0" w:rsidRDefault="008A14F2" w:rsidP="00217AC0">
      <w:pPr>
        <w:keepNext/>
        <w:widowControl/>
        <w:spacing w:line="360" w:lineRule="auto"/>
        <w:rPr>
          <w:rFonts w:eastAsiaTheme="majorEastAsia"/>
          <w:b/>
          <w:bCs/>
          <w:sz w:val="26"/>
          <w:szCs w:val="26"/>
        </w:rPr>
      </w:pPr>
    </w:p>
    <w:p w14:paraId="44665113" w14:textId="676B8881" w:rsidR="00E55973" w:rsidRPr="00217AC0" w:rsidRDefault="00E55973" w:rsidP="00217AC0">
      <w:pPr>
        <w:keepNext/>
        <w:widowControl/>
        <w:spacing w:line="360" w:lineRule="auto"/>
        <w:ind w:firstLine="1440"/>
        <w:rPr>
          <w:rFonts w:eastAsia="Calibri"/>
          <w:sz w:val="26"/>
          <w:szCs w:val="26"/>
        </w:rPr>
      </w:pPr>
      <w:r w:rsidRPr="00217AC0">
        <w:rPr>
          <w:rFonts w:eastAsia="Calibri"/>
          <w:sz w:val="26"/>
          <w:szCs w:val="26"/>
        </w:rPr>
        <w:t xml:space="preserve">Although we have determined to adopt the Settlement in this case, we have nevertheless conducted a full review of the issues presented on Exception, largely addressing matters which the ALJ treated “in the alternative” to the adoption of the Settlement.  Under typical circumstances where a settlement is unanimous, once we have determined that adoption of the settlement is warranted, we may determine that matters raised “in the alternative” are moot, and therefore do not warrant our express review. </w:t>
      </w:r>
    </w:p>
    <w:p w14:paraId="244119E6" w14:textId="77777777" w:rsidR="00E55973" w:rsidRPr="00217AC0" w:rsidRDefault="00E55973" w:rsidP="00217AC0">
      <w:pPr>
        <w:widowControl/>
        <w:spacing w:line="360" w:lineRule="auto"/>
        <w:ind w:firstLine="1440"/>
        <w:rPr>
          <w:rFonts w:eastAsia="Calibri"/>
          <w:sz w:val="26"/>
          <w:szCs w:val="26"/>
        </w:rPr>
      </w:pPr>
    </w:p>
    <w:p w14:paraId="708B57C8" w14:textId="591FB2CE" w:rsidR="00E55973" w:rsidRPr="00217AC0" w:rsidRDefault="00E55973" w:rsidP="00217AC0">
      <w:pPr>
        <w:widowControl/>
        <w:spacing w:line="360" w:lineRule="auto"/>
        <w:ind w:firstLine="1440"/>
        <w:rPr>
          <w:rFonts w:eastAsia="Calibri"/>
          <w:sz w:val="26"/>
          <w:szCs w:val="26"/>
        </w:rPr>
      </w:pPr>
      <w:r w:rsidRPr="00217AC0">
        <w:rPr>
          <w:rFonts w:eastAsia="Calibri"/>
          <w:sz w:val="26"/>
          <w:szCs w:val="26"/>
        </w:rPr>
        <w:lastRenderedPageBreak/>
        <w:t xml:space="preserve">However, as discussed, </w:t>
      </w:r>
      <w:r w:rsidRPr="00217AC0">
        <w:rPr>
          <w:rFonts w:eastAsia="Calibri"/>
          <w:i/>
          <w:iCs/>
          <w:sz w:val="26"/>
          <w:szCs w:val="26"/>
        </w:rPr>
        <w:t>supra</w:t>
      </w:r>
      <w:r w:rsidRPr="00217AC0">
        <w:rPr>
          <w:rFonts w:eastAsia="Calibri"/>
          <w:sz w:val="26"/>
          <w:szCs w:val="26"/>
        </w:rPr>
        <w:t xml:space="preserve">., where, as here, a “black box” settlement of a rate proceeding is achieved </w:t>
      </w:r>
      <w:r w:rsidRPr="00217AC0">
        <w:rPr>
          <w:rFonts w:eastAsia="Calibri"/>
          <w:i/>
          <w:iCs/>
          <w:sz w:val="26"/>
          <w:szCs w:val="26"/>
        </w:rPr>
        <w:t>via</w:t>
      </w:r>
      <w:r w:rsidRPr="00217AC0">
        <w:rPr>
          <w:rFonts w:eastAsia="Calibri"/>
          <w:sz w:val="26"/>
          <w:szCs w:val="26"/>
        </w:rPr>
        <w:t xml:space="preserve"> </w:t>
      </w:r>
      <w:r w:rsidRPr="00217AC0">
        <w:rPr>
          <w:rFonts w:eastAsia="Calibri"/>
          <w:i/>
          <w:iCs/>
          <w:sz w:val="26"/>
          <w:szCs w:val="26"/>
        </w:rPr>
        <w:t>nonunanimous</w:t>
      </w:r>
      <w:r w:rsidRPr="00217AC0">
        <w:rPr>
          <w:rFonts w:eastAsia="Calibri"/>
          <w:sz w:val="26"/>
          <w:szCs w:val="26"/>
        </w:rPr>
        <w:t xml:space="preserve"> settlement, it is necessary to review the contested matters, to ensure, not only that the parties have had a full a fair opportunity to present their positions in opposition to the rate increase, but also that the exception</w:t>
      </w:r>
      <w:r w:rsidR="000832CF" w:rsidRPr="00217AC0">
        <w:rPr>
          <w:rFonts w:eastAsia="Calibri"/>
          <w:sz w:val="26"/>
          <w:szCs w:val="26"/>
        </w:rPr>
        <w:t>s</w:t>
      </w:r>
      <w:r w:rsidRPr="00217AC0">
        <w:rPr>
          <w:rFonts w:eastAsia="Calibri"/>
          <w:sz w:val="26"/>
          <w:szCs w:val="26"/>
        </w:rPr>
        <w:t xml:space="preserve"> raised do not assert any basis to undermine our ultimate finding that the settlement was supported by substantial evidence, reasonable and in the public interest, and that no other important basis asserted might warrant rejection of the settlement.  Upon review of the Exceptions raised and the record of this proceeding, and as discussed more fully below, we will deny the Exceptions.</w:t>
      </w:r>
    </w:p>
    <w:p w14:paraId="66D43888" w14:textId="77777777" w:rsidR="00E55973" w:rsidRPr="00217AC0" w:rsidRDefault="00E55973" w:rsidP="00217AC0">
      <w:pPr>
        <w:widowControl/>
        <w:spacing w:line="360" w:lineRule="auto"/>
        <w:rPr>
          <w:rFonts w:eastAsiaTheme="majorEastAsia"/>
          <w:b/>
          <w:bCs/>
          <w:sz w:val="26"/>
          <w:szCs w:val="26"/>
        </w:rPr>
      </w:pPr>
    </w:p>
    <w:p w14:paraId="720B40D9" w14:textId="702972F4" w:rsidR="009566CA" w:rsidRPr="00217AC0" w:rsidRDefault="009566CA" w:rsidP="00217AC0">
      <w:pPr>
        <w:pStyle w:val="Heading2"/>
        <w:widowControl/>
        <w:numPr>
          <w:ilvl w:val="0"/>
          <w:numId w:val="10"/>
        </w:numPr>
        <w:ind w:hanging="720"/>
        <w:rPr>
          <w:rFonts w:eastAsiaTheme="minorHAnsi"/>
        </w:rPr>
      </w:pPr>
      <w:bookmarkStart w:id="41" w:name="_Toc69230522"/>
      <w:r w:rsidRPr="00217AC0">
        <w:rPr>
          <w:rFonts w:eastAsiaTheme="minorHAnsi"/>
        </w:rPr>
        <w:t>Approval of Settlement</w:t>
      </w:r>
      <w:bookmarkEnd w:id="41"/>
    </w:p>
    <w:p w14:paraId="434FB28C" w14:textId="77777777" w:rsidR="009566CA" w:rsidRPr="00217AC0" w:rsidRDefault="009566CA" w:rsidP="00217AC0">
      <w:pPr>
        <w:keepNext/>
        <w:widowControl/>
        <w:spacing w:line="360" w:lineRule="auto"/>
        <w:rPr>
          <w:rFonts w:eastAsiaTheme="minorHAnsi"/>
          <w:sz w:val="26"/>
          <w:szCs w:val="26"/>
        </w:rPr>
      </w:pPr>
    </w:p>
    <w:p w14:paraId="406F3FA5" w14:textId="77777777" w:rsidR="009566CA" w:rsidRPr="00217AC0" w:rsidRDefault="009566CA" w:rsidP="00217AC0">
      <w:pPr>
        <w:pStyle w:val="Heading3"/>
        <w:keepNext/>
        <w:numPr>
          <w:ilvl w:val="0"/>
          <w:numId w:val="13"/>
        </w:numPr>
        <w:ind w:left="1440" w:hanging="720"/>
        <w:rPr>
          <w:rFonts w:eastAsiaTheme="minorHAnsi"/>
        </w:rPr>
      </w:pPr>
      <w:bookmarkStart w:id="42" w:name="_Toc69230523"/>
      <w:r w:rsidRPr="00217AC0">
        <w:rPr>
          <w:rFonts w:eastAsiaTheme="minorHAnsi"/>
        </w:rPr>
        <w:t>Positions of the Parties</w:t>
      </w:r>
      <w:bookmarkEnd w:id="42"/>
    </w:p>
    <w:p w14:paraId="06E9640D" w14:textId="49C8388C" w:rsidR="009566CA" w:rsidRPr="00217AC0" w:rsidRDefault="009566CA" w:rsidP="00217AC0">
      <w:pPr>
        <w:keepNext/>
        <w:widowControl/>
        <w:spacing w:line="360" w:lineRule="auto"/>
        <w:rPr>
          <w:rFonts w:eastAsiaTheme="minorHAnsi"/>
          <w:sz w:val="26"/>
          <w:szCs w:val="26"/>
        </w:rPr>
      </w:pPr>
    </w:p>
    <w:p w14:paraId="71293EC5" w14:textId="0EB068BD" w:rsidR="004C6E24" w:rsidRPr="00217AC0" w:rsidRDefault="00F53DEF" w:rsidP="00217AC0">
      <w:pPr>
        <w:keepNext/>
        <w:widowControl/>
        <w:spacing w:line="360" w:lineRule="auto"/>
        <w:ind w:firstLine="1440"/>
        <w:rPr>
          <w:bCs/>
          <w:sz w:val="26"/>
          <w:szCs w:val="26"/>
        </w:rPr>
      </w:pPr>
      <w:r w:rsidRPr="00217AC0">
        <w:rPr>
          <w:rFonts w:eastAsiaTheme="minorHAnsi"/>
          <w:sz w:val="26"/>
          <w:szCs w:val="26"/>
        </w:rPr>
        <w:t xml:space="preserve">As discussed </w:t>
      </w:r>
      <w:r w:rsidRPr="00217AC0">
        <w:rPr>
          <w:rFonts w:eastAsiaTheme="minorHAnsi"/>
          <w:i/>
          <w:iCs/>
          <w:sz w:val="26"/>
          <w:szCs w:val="26"/>
        </w:rPr>
        <w:t>supra</w:t>
      </w:r>
      <w:r w:rsidRPr="00217AC0">
        <w:rPr>
          <w:rFonts w:eastAsiaTheme="minorHAnsi"/>
          <w:sz w:val="26"/>
          <w:szCs w:val="26"/>
        </w:rPr>
        <w:t>, i</w:t>
      </w:r>
      <w:r w:rsidR="0045382E" w:rsidRPr="00217AC0">
        <w:rPr>
          <w:rFonts w:eastAsiaTheme="minorHAnsi"/>
          <w:sz w:val="26"/>
          <w:szCs w:val="26"/>
        </w:rPr>
        <w:t>n light of the ongoing COVID-19 pandemic and its purported impact upon the City’s customers</w:t>
      </w:r>
      <w:r w:rsidR="00964380" w:rsidRPr="00217AC0">
        <w:rPr>
          <w:rFonts w:eastAsiaTheme="minorHAnsi"/>
          <w:sz w:val="26"/>
          <w:szCs w:val="26"/>
        </w:rPr>
        <w:t>, as well as the uncertainties that it imposes upon the City’s FTY projections</w:t>
      </w:r>
      <w:r w:rsidR="0045382E" w:rsidRPr="00217AC0">
        <w:rPr>
          <w:rFonts w:eastAsiaTheme="minorHAnsi"/>
          <w:sz w:val="26"/>
          <w:szCs w:val="26"/>
        </w:rPr>
        <w:t>, the OCA and the OSBA submitted that the City should</w:t>
      </w:r>
      <w:r w:rsidR="00765C21" w:rsidRPr="00217AC0">
        <w:rPr>
          <w:rFonts w:eastAsiaTheme="minorHAnsi"/>
          <w:sz w:val="26"/>
          <w:szCs w:val="26"/>
        </w:rPr>
        <w:t xml:space="preserve"> not</w:t>
      </w:r>
      <w:r w:rsidR="0045382E" w:rsidRPr="00217AC0">
        <w:rPr>
          <w:rFonts w:eastAsiaTheme="minorHAnsi"/>
          <w:sz w:val="26"/>
          <w:szCs w:val="26"/>
        </w:rPr>
        <w:t xml:space="preserve"> be awa</w:t>
      </w:r>
      <w:r w:rsidR="00765C21" w:rsidRPr="00217AC0">
        <w:rPr>
          <w:rFonts w:eastAsiaTheme="minorHAnsi"/>
          <w:sz w:val="26"/>
          <w:szCs w:val="26"/>
        </w:rPr>
        <w:t>rded a</w:t>
      </w:r>
      <w:r w:rsidR="00A378AA" w:rsidRPr="00217AC0">
        <w:rPr>
          <w:rFonts w:eastAsiaTheme="minorHAnsi"/>
          <w:sz w:val="26"/>
          <w:szCs w:val="26"/>
        </w:rPr>
        <w:t>n</w:t>
      </w:r>
      <w:r w:rsidR="0045382E" w:rsidRPr="00217AC0">
        <w:rPr>
          <w:rFonts w:eastAsiaTheme="minorHAnsi"/>
          <w:sz w:val="26"/>
          <w:szCs w:val="26"/>
        </w:rPr>
        <w:t xml:space="preserve"> increase</w:t>
      </w:r>
      <w:r w:rsidR="00A378AA" w:rsidRPr="00217AC0">
        <w:rPr>
          <w:rFonts w:eastAsiaTheme="minorHAnsi"/>
          <w:sz w:val="26"/>
          <w:szCs w:val="26"/>
        </w:rPr>
        <w:t xml:space="preserve"> in base rates</w:t>
      </w:r>
      <w:r w:rsidR="0045382E" w:rsidRPr="00217AC0">
        <w:rPr>
          <w:rFonts w:eastAsiaTheme="minorHAnsi"/>
          <w:sz w:val="26"/>
          <w:szCs w:val="26"/>
        </w:rPr>
        <w:t xml:space="preserve"> at this time.</w:t>
      </w:r>
      <w:r w:rsidR="00964380" w:rsidRPr="00217AC0">
        <w:rPr>
          <w:rFonts w:eastAsiaTheme="minorHAnsi"/>
          <w:sz w:val="26"/>
          <w:szCs w:val="26"/>
        </w:rPr>
        <w:t xml:space="preserve">  OCA R.B. at 9-10</w:t>
      </w:r>
      <w:r w:rsidR="00B14FF8" w:rsidRPr="00217AC0">
        <w:rPr>
          <w:rFonts w:eastAsiaTheme="minorHAnsi"/>
          <w:sz w:val="26"/>
          <w:szCs w:val="26"/>
        </w:rPr>
        <w:t>, 14</w:t>
      </w:r>
      <w:r w:rsidR="00964380" w:rsidRPr="00217AC0">
        <w:rPr>
          <w:rFonts w:eastAsiaTheme="minorHAnsi"/>
          <w:sz w:val="26"/>
          <w:szCs w:val="26"/>
        </w:rPr>
        <w:t>; OSBA M.B. at 3</w:t>
      </w:r>
      <w:r w:rsidR="00AF4717" w:rsidRPr="00217AC0">
        <w:rPr>
          <w:rFonts w:eastAsiaTheme="minorHAnsi"/>
          <w:sz w:val="26"/>
          <w:szCs w:val="26"/>
        </w:rPr>
        <w:t>-</w:t>
      </w:r>
      <w:r w:rsidR="00964380" w:rsidRPr="00217AC0">
        <w:rPr>
          <w:rFonts w:eastAsiaTheme="minorHAnsi"/>
          <w:sz w:val="26"/>
          <w:szCs w:val="26"/>
        </w:rPr>
        <w:t xml:space="preserve">5.  </w:t>
      </w:r>
      <w:r w:rsidR="003F0406" w:rsidRPr="00217AC0">
        <w:rPr>
          <w:rFonts w:eastAsiaTheme="minorHAnsi"/>
          <w:sz w:val="26"/>
          <w:szCs w:val="26"/>
        </w:rPr>
        <w:t xml:space="preserve">Both the OCA and the OSBA asserted that the existence of an unprecedented public health emergency should override the traditional ratemaking principles and preclude the City from seeking a rate increase at this time.  </w:t>
      </w:r>
      <w:r w:rsidR="00F42220" w:rsidRPr="00217AC0">
        <w:rPr>
          <w:rFonts w:eastAsiaTheme="minorHAnsi"/>
          <w:sz w:val="26"/>
          <w:szCs w:val="26"/>
        </w:rPr>
        <w:t>Naturally, the OSBA is advocating on behalf of the City’s small commercial and industrial customers</w:t>
      </w:r>
      <w:r w:rsidR="0045382E" w:rsidRPr="00217AC0">
        <w:rPr>
          <w:rFonts w:eastAsiaTheme="minorHAnsi"/>
          <w:sz w:val="26"/>
          <w:szCs w:val="26"/>
        </w:rPr>
        <w:t>, w</w:t>
      </w:r>
      <w:r w:rsidR="00F42220" w:rsidRPr="00217AC0">
        <w:rPr>
          <w:rFonts w:eastAsiaTheme="minorHAnsi"/>
          <w:sz w:val="26"/>
          <w:szCs w:val="26"/>
        </w:rPr>
        <w:t>hile the OCA has made an equally compelling argument on behalf of the City’s residential customers</w:t>
      </w:r>
      <w:r w:rsidR="00D64BC5" w:rsidRPr="00217AC0">
        <w:rPr>
          <w:rFonts w:eastAsiaTheme="minorHAnsi"/>
          <w:sz w:val="26"/>
          <w:szCs w:val="26"/>
        </w:rPr>
        <w:t xml:space="preserve"> residing outside of the City</w:t>
      </w:r>
      <w:r w:rsidR="00F42220" w:rsidRPr="00217AC0">
        <w:rPr>
          <w:rFonts w:eastAsiaTheme="minorHAnsi"/>
          <w:sz w:val="26"/>
          <w:szCs w:val="26"/>
        </w:rPr>
        <w:t>.</w:t>
      </w:r>
      <w:r w:rsidR="00E60C6A" w:rsidRPr="00217AC0">
        <w:rPr>
          <w:rFonts w:eastAsiaTheme="minorHAnsi"/>
          <w:sz w:val="26"/>
          <w:szCs w:val="26"/>
        </w:rPr>
        <w:t xml:space="preserve">  </w:t>
      </w:r>
      <w:r w:rsidR="007A6129" w:rsidRPr="00217AC0">
        <w:rPr>
          <w:sz w:val="26"/>
          <w:szCs w:val="26"/>
        </w:rPr>
        <w:t xml:space="preserve">Furthermore, the OCA argued that denying rate relief is both a reasonable and temporary outcome in these extraordinary times, and that it will result in just and reasonable rates until such time when fewer customers are suffering financially, and the future is more ascertainable for ratemaking.  </w:t>
      </w:r>
      <w:r w:rsidR="00E60C6A" w:rsidRPr="00217AC0">
        <w:rPr>
          <w:rFonts w:eastAsiaTheme="minorHAnsi"/>
          <w:sz w:val="26"/>
          <w:szCs w:val="26"/>
        </w:rPr>
        <w:t>Inasmuch as the OCA generally opposed any rate increase, the OCA disagreed with the increase to base rates provided for in the Settlement.  T</w:t>
      </w:r>
      <w:r w:rsidR="004C6E24" w:rsidRPr="00217AC0">
        <w:rPr>
          <w:bCs/>
          <w:sz w:val="26"/>
          <w:szCs w:val="26"/>
        </w:rPr>
        <w:t xml:space="preserve">he OCA contended that increasing base rates from </w:t>
      </w:r>
      <w:r w:rsidR="004C6E24" w:rsidRPr="00217AC0">
        <w:rPr>
          <w:bCs/>
          <w:sz w:val="26"/>
          <w:szCs w:val="26"/>
        </w:rPr>
        <w:lastRenderedPageBreak/>
        <w:t>outside-City customers by $689,932, as provided for in the Settlement, “is not supported by the evidence of record in this case.”  OCA R.B. at 12.</w:t>
      </w:r>
    </w:p>
    <w:p w14:paraId="5CDEC966" w14:textId="59D546B5" w:rsidR="00862F9F" w:rsidRPr="00217AC0" w:rsidRDefault="00862F9F" w:rsidP="00217AC0">
      <w:pPr>
        <w:widowControl/>
        <w:spacing w:line="360" w:lineRule="auto"/>
        <w:ind w:firstLine="1440"/>
        <w:rPr>
          <w:bCs/>
          <w:sz w:val="26"/>
          <w:szCs w:val="26"/>
        </w:rPr>
      </w:pPr>
    </w:p>
    <w:p w14:paraId="22010112" w14:textId="48F2F900" w:rsidR="002B332A" w:rsidRPr="00217AC0" w:rsidRDefault="002B332A" w:rsidP="00217AC0">
      <w:pPr>
        <w:widowControl/>
        <w:spacing w:line="360" w:lineRule="auto"/>
        <w:ind w:firstLine="1440"/>
        <w:rPr>
          <w:rFonts w:eastAsiaTheme="minorHAnsi"/>
          <w:sz w:val="26"/>
          <w:szCs w:val="26"/>
        </w:rPr>
      </w:pPr>
      <w:r w:rsidRPr="00217AC0">
        <w:rPr>
          <w:rFonts w:eastAsiaTheme="minorHAnsi"/>
          <w:sz w:val="26"/>
          <w:szCs w:val="26"/>
        </w:rPr>
        <w:t xml:space="preserve">The City argued that justification for denial of the Settlement or </w:t>
      </w:r>
      <w:r w:rsidRPr="00217AC0">
        <w:rPr>
          <w:rFonts w:eastAsiaTheme="minorHAnsi"/>
          <w:i/>
          <w:iCs/>
          <w:sz w:val="26"/>
          <w:szCs w:val="26"/>
        </w:rPr>
        <w:t>any</w:t>
      </w:r>
      <w:r w:rsidRPr="00217AC0">
        <w:rPr>
          <w:rFonts w:eastAsiaTheme="minorHAnsi"/>
          <w:sz w:val="26"/>
          <w:szCs w:val="26"/>
        </w:rPr>
        <w:t xml:space="preserve"> rate increase were contrary to the long-standing ratemaking principles which have traditionally guided the Commission’s evaluation of a utility’s proposed rate increase.  City M.B. at 10-12.</w:t>
      </w:r>
      <w:r w:rsidR="00D64BC5" w:rsidRPr="00217AC0">
        <w:rPr>
          <w:rFonts w:eastAsiaTheme="minorHAnsi"/>
          <w:sz w:val="26"/>
          <w:szCs w:val="26"/>
        </w:rPr>
        <w:t xml:space="preserve">  </w:t>
      </w:r>
      <w:r w:rsidRPr="00217AC0">
        <w:rPr>
          <w:rFonts w:eastAsiaTheme="minorHAnsi"/>
          <w:sz w:val="26"/>
          <w:szCs w:val="26"/>
        </w:rPr>
        <w:t xml:space="preserve">The City submitted that the Commission has already established that the existence of the COVID-19 pandemic emergency is not a reason to, </w:t>
      </w:r>
      <w:r w:rsidRPr="00217AC0">
        <w:rPr>
          <w:rFonts w:eastAsiaTheme="minorHAnsi"/>
          <w:i/>
          <w:iCs/>
          <w:sz w:val="26"/>
          <w:szCs w:val="26"/>
        </w:rPr>
        <w:t>per se</w:t>
      </w:r>
      <w:r w:rsidRPr="00217AC0">
        <w:rPr>
          <w:rFonts w:eastAsiaTheme="minorHAnsi"/>
          <w:sz w:val="26"/>
          <w:szCs w:val="26"/>
        </w:rPr>
        <w:t xml:space="preserve">, reject a utility’s request for rate increase.  The City maintained that, contrary to the position of the OCA and the OSBA, the Settlement properly weighed the ramifications of an unprecedented health emergency and the economic impact by achieving a reduced rate increase from the original proposal.  </w:t>
      </w:r>
      <w:r w:rsidR="00447B6B" w:rsidRPr="00217AC0">
        <w:rPr>
          <w:rFonts w:eastAsiaTheme="minorHAnsi"/>
          <w:sz w:val="26"/>
          <w:szCs w:val="26"/>
        </w:rPr>
        <w:t xml:space="preserve">City R.B. at 3-7.  </w:t>
      </w:r>
      <w:r w:rsidR="008C0573" w:rsidRPr="00217AC0">
        <w:rPr>
          <w:rFonts w:eastAsiaTheme="minorHAnsi"/>
          <w:sz w:val="26"/>
          <w:szCs w:val="26"/>
        </w:rPr>
        <w:t>Furthermore, u</w:t>
      </w:r>
      <w:r w:rsidR="00E804ED" w:rsidRPr="00217AC0">
        <w:rPr>
          <w:rFonts w:eastAsiaTheme="minorHAnsi"/>
          <w:sz w:val="26"/>
          <w:szCs w:val="26"/>
        </w:rPr>
        <w:t xml:space="preserve">nder the terms of the Settlement, the Settling Parties noted significant concessions, resulting in the mitigation of the economic impact of the rate increase.  Specifically, I&amp;E noted that, </w:t>
      </w:r>
      <w:r w:rsidR="001B6B4F" w:rsidRPr="00217AC0">
        <w:rPr>
          <w:rFonts w:eastAsiaTheme="minorHAnsi"/>
          <w:sz w:val="26"/>
          <w:szCs w:val="26"/>
        </w:rPr>
        <w:t>through</w:t>
      </w:r>
      <w:r w:rsidR="00E804ED" w:rsidRPr="00217AC0">
        <w:rPr>
          <w:rFonts w:eastAsiaTheme="minorHAnsi"/>
          <w:sz w:val="26"/>
          <w:szCs w:val="26"/>
        </w:rPr>
        <w:t xml:space="preserve"> the Settlement, the City’s proposed rate increase to outside-City customers was lowered by $218,489 to $689,932</w:t>
      </w:r>
      <w:r w:rsidR="001B6B4F" w:rsidRPr="00217AC0">
        <w:rPr>
          <w:rFonts w:eastAsiaTheme="minorHAnsi"/>
          <w:sz w:val="26"/>
          <w:szCs w:val="26"/>
        </w:rPr>
        <w:t xml:space="preserve"> (</w:t>
      </w:r>
      <w:r w:rsidR="001B6B4F" w:rsidRPr="00217AC0">
        <w:rPr>
          <w:sz w:val="26"/>
          <w:szCs w:val="26"/>
        </w:rPr>
        <w:t xml:space="preserve">approximately the midpoint between the City’s request of $908,421 and both I&amp;E’s litigated position of $474,161 and the OCA’s “business as usual” position of $446,173).  </w:t>
      </w:r>
      <w:r w:rsidR="001B6B4F" w:rsidRPr="00217AC0">
        <w:rPr>
          <w:bCs/>
          <w:sz w:val="26"/>
          <w:szCs w:val="26"/>
        </w:rPr>
        <w:t xml:space="preserve">I&amp;E Reply Comments at 2-3.  </w:t>
      </w:r>
    </w:p>
    <w:p w14:paraId="788F55AD" w14:textId="77777777" w:rsidR="00862F9F" w:rsidRPr="00217AC0" w:rsidRDefault="00862F9F" w:rsidP="00217AC0">
      <w:pPr>
        <w:widowControl/>
        <w:spacing w:line="360" w:lineRule="auto"/>
        <w:rPr>
          <w:rFonts w:eastAsiaTheme="minorHAnsi"/>
          <w:sz w:val="26"/>
          <w:szCs w:val="26"/>
        </w:rPr>
      </w:pPr>
    </w:p>
    <w:p w14:paraId="76490F3C" w14:textId="77777777" w:rsidR="009566CA" w:rsidRPr="00217AC0" w:rsidRDefault="009566CA" w:rsidP="00217AC0">
      <w:pPr>
        <w:pStyle w:val="Heading3"/>
        <w:keepNext/>
        <w:ind w:left="1440" w:hanging="720"/>
        <w:rPr>
          <w:rFonts w:eastAsiaTheme="minorHAnsi"/>
        </w:rPr>
      </w:pPr>
      <w:bookmarkStart w:id="43" w:name="_Toc69230524"/>
      <w:r w:rsidRPr="00217AC0">
        <w:rPr>
          <w:rFonts w:eastAsiaTheme="minorHAnsi"/>
        </w:rPr>
        <w:t>Recommended Decision</w:t>
      </w:r>
      <w:bookmarkEnd w:id="43"/>
    </w:p>
    <w:p w14:paraId="291EC546" w14:textId="77777777" w:rsidR="00A1118A" w:rsidRPr="00217AC0" w:rsidRDefault="00A1118A" w:rsidP="00217AC0">
      <w:pPr>
        <w:keepNext/>
        <w:widowControl/>
        <w:spacing w:line="360" w:lineRule="auto"/>
        <w:ind w:firstLine="1440"/>
        <w:rPr>
          <w:rFonts w:eastAsiaTheme="minorHAnsi"/>
          <w:sz w:val="26"/>
          <w:szCs w:val="26"/>
        </w:rPr>
      </w:pPr>
    </w:p>
    <w:p w14:paraId="6BDA7AD0" w14:textId="25ADF822" w:rsidR="009566CA" w:rsidRPr="00217AC0" w:rsidRDefault="006F6465" w:rsidP="00217AC0">
      <w:pPr>
        <w:keepNext/>
        <w:widowControl/>
        <w:spacing w:line="360" w:lineRule="auto"/>
        <w:ind w:firstLine="1440"/>
        <w:rPr>
          <w:rFonts w:eastAsiaTheme="minorHAnsi"/>
          <w:sz w:val="26"/>
          <w:szCs w:val="26"/>
        </w:rPr>
      </w:pPr>
      <w:r w:rsidRPr="00217AC0">
        <w:rPr>
          <w:rFonts w:eastAsiaTheme="minorHAnsi"/>
          <w:sz w:val="26"/>
          <w:szCs w:val="26"/>
        </w:rPr>
        <w:t>In the Recommended Decision, the ALJ agreed with the Joint Petitioners that the COVID-19 pandemic emergency did not preclude the adoption of the Settlement, and related rate increase in this rate proceeding.  T</w:t>
      </w:r>
      <w:r w:rsidR="00982FF0" w:rsidRPr="00217AC0">
        <w:rPr>
          <w:rFonts w:eastAsiaTheme="minorHAnsi"/>
          <w:sz w:val="26"/>
          <w:szCs w:val="26"/>
        </w:rPr>
        <w:t xml:space="preserve">he ALJ reviewed the evidence of record developed by the Parties, and the rates, terms and conditions achieved under the proposed “black box” Settlement, albeit nonunanimous.  </w:t>
      </w:r>
      <w:r w:rsidR="00B06D48" w:rsidRPr="00217AC0">
        <w:rPr>
          <w:rFonts w:eastAsiaTheme="minorHAnsi"/>
          <w:sz w:val="26"/>
          <w:szCs w:val="26"/>
        </w:rPr>
        <w:t>The ALJ concluded that, in the</w:t>
      </w:r>
      <w:r w:rsidR="000832CF" w:rsidRPr="00217AC0">
        <w:rPr>
          <w:rFonts w:eastAsiaTheme="minorHAnsi"/>
          <w:sz w:val="26"/>
          <w:szCs w:val="26"/>
        </w:rPr>
        <w:t>se</w:t>
      </w:r>
      <w:r w:rsidR="00B06D48" w:rsidRPr="00217AC0">
        <w:rPr>
          <w:rFonts w:eastAsiaTheme="minorHAnsi"/>
          <w:sz w:val="26"/>
          <w:szCs w:val="26"/>
        </w:rPr>
        <w:t xml:space="preserve"> circumstances, the terms of the Settlement achieve a just and reasonable rate increase which was supported by substantial evidence of record and is in the public interest.  In reaching this conclusion, the ALJ applied the standards applicable to </w:t>
      </w:r>
      <w:r w:rsidR="00B06D48" w:rsidRPr="00217AC0">
        <w:rPr>
          <w:rFonts w:eastAsiaTheme="minorHAnsi"/>
          <w:sz w:val="26"/>
          <w:szCs w:val="26"/>
        </w:rPr>
        <w:lastRenderedPageBreak/>
        <w:t xml:space="preserve">approving a settlement in rate proceedings.  </w:t>
      </w:r>
      <w:r w:rsidR="00B06D48" w:rsidRPr="00217AC0">
        <w:rPr>
          <w:rFonts w:eastAsiaTheme="minorHAnsi"/>
          <w:bCs/>
          <w:sz w:val="26"/>
          <w:szCs w:val="26"/>
        </w:rPr>
        <w:t>R.D. at 5-7, 14-20, 27-28, 54, 56-58 (</w:t>
      </w:r>
      <w:r w:rsidR="00B06D48" w:rsidRPr="00217AC0">
        <w:rPr>
          <w:rFonts w:eastAsiaTheme="minorHAnsi"/>
          <w:bCs/>
          <w:i/>
          <w:iCs/>
          <w:sz w:val="26"/>
          <w:szCs w:val="26"/>
        </w:rPr>
        <w:t>citing</w:t>
      </w:r>
      <w:r w:rsidR="00B06D48" w:rsidRPr="00217AC0">
        <w:rPr>
          <w:rFonts w:eastAsiaTheme="minorHAnsi"/>
          <w:bCs/>
          <w:sz w:val="26"/>
          <w:szCs w:val="26"/>
        </w:rPr>
        <w:t>,</w:t>
      </w:r>
      <w:r w:rsidR="00B06D48" w:rsidRPr="00217AC0">
        <w:rPr>
          <w:rFonts w:eastAsiaTheme="minorHAnsi"/>
          <w:bCs/>
          <w:i/>
          <w:iCs/>
          <w:sz w:val="26"/>
          <w:szCs w:val="26"/>
        </w:rPr>
        <w:t xml:space="preserve"> CS Water and Sewer</w:t>
      </w:r>
      <w:r w:rsidR="00B06D48" w:rsidRPr="00217AC0">
        <w:rPr>
          <w:rFonts w:eastAsiaTheme="minorHAnsi"/>
          <w:bCs/>
          <w:sz w:val="26"/>
          <w:szCs w:val="26"/>
        </w:rPr>
        <w:t xml:space="preserve">). </w:t>
      </w:r>
      <w:r w:rsidR="00F23951" w:rsidRPr="00217AC0">
        <w:rPr>
          <w:rFonts w:eastAsiaTheme="minorHAnsi"/>
          <w:bCs/>
          <w:sz w:val="26"/>
          <w:szCs w:val="26"/>
        </w:rPr>
        <w:t xml:space="preserve"> </w:t>
      </w:r>
    </w:p>
    <w:p w14:paraId="10A63435" w14:textId="77777777" w:rsidR="00982FF0" w:rsidRPr="00217AC0" w:rsidRDefault="00982FF0" w:rsidP="00217AC0">
      <w:pPr>
        <w:widowControl/>
        <w:spacing w:line="360" w:lineRule="auto"/>
        <w:rPr>
          <w:rFonts w:eastAsiaTheme="minorHAnsi"/>
          <w:sz w:val="26"/>
          <w:szCs w:val="26"/>
        </w:rPr>
      </w:pPr>
    </w:p>
    <w:p w14:paraId="06D2355F" w14:textId="40F76422" w:rsidR="009566CA" w:rsidRPr="00217AC0" w:rsidRDefault="009566CA" w:rsidP="00217AC0">
      <w:pPr>
        <w:pStyle w:val="Heading3"/>
        <w:keepNext/>
        <w:ind w:left="1440" w:hanging="720"/>
        <w:rPr>
          <w:rFonts w:eastAsiaTheme="minorHAnsi"/>
        </w:rPr>
      </w:pPr>
      <w:bookmarkStart w:id="44" w:name="_Toc69230525"/>
      <w:r w:rsidRPr="00217AC0">
        <w:rPr>
          <w:rFonts w:eastAsiaTheme="minorHAnsi"/>
        </w:rPr>
        <w:t>OCA Exception No. 1 and Replies</w:t>
      </w:r>
      <w:bookmarkEnd w:id="44"/>
    </w:p>
    <w:p w14:paraId="49562ED0" w14:textId="5EC9B722" w:rsidR="009566CA" w:rsidRPr="00217AC0" w:rsidRDefault="009566CA" w:rsidP="00217AC0">
      <w:pPr>
        <w:keepNext/>
        <w:widowControl/>
        <w:spacing w:line="360" w:lineRule="auto"/>
        <w:rPr>
          <w:rFonts w:eastAsiaTheme="minorHAnsi"/>
          <w:sz w:val="26"/>
          <w:szCs w:val="26"/>
        </w:rPr>
      </w:pPr>
    </w:p>
    <w:p w14:paraId="5509EAF5" w14:textId="0C87A2A4" w:rsidR="0032095D" w:rsidRPr="00217AC0" w:rsidRDefault="008709A3" w:rsidP="00217AC0">
      <w:pPr>
        <w:keepNext/>
        <w:widowControl/>
        <w:spacing w:line="360" w:lineRule="auto"/>
        <w:ind w:firstLine="1440"/>
        <w:rPr>
          <w:rFonts w:eastAsiaTheme="minorHAnsi"/>
          <w:sz w:val="26"/>
          <w:szCs w:val="26"/>
        </w:rPr>
      </w:pPr>
      <w:r w:rsidRPr="00217AC0">
        <w:rPr>
          <w:rFonts w:eastAsiaTheme="minorHAnsi"/>
          <w:sz w:val="26"/>
          <w:szCs w:val="26"/>
        </w:rPr>
        <w:t xml:space="preserve">In its Exception No. 1, the OCA </w:t>
      </w:r>
      <w:r w:rsidR="00234178" w:rsidRPr="00217AC0">
        <w:rPr>
          <w:rFonts w:eastAsiaTheme="minorHAnsi"/>
          <w:sz w:val="26"/>
          <w:szCs w:val="26"/>
        </w:rPr>
        <w:t>contends that the ALJ erred by approving, without modification, the Settlement submitted to the Commission by the City and I&amp;E</w:t>
      </w:r>
      <w:r w:rsidRPr="00217AC0">
        <w:rPr>
          <w:rFonts w:eastAsiaTheme="minorHAnsi"/>
          <w:sz w:val="26"/>
          <w:szCs w:val="26"/>
        </w:rPr>
        <w:t>.  The OCA</w:t>
      </w:r>
      <w:r w:rsidR="00234178" w:rsidRPr="00217AC0">
        <w:rPr>
          <w:rFonts w:eastAsiaTheme="minorHAnsi"/>
          <w:sz w:val="26"/>
          <w:szCs w:val="26"/>
        </w:rPr>
        <w:t xml:space="preserve"> maintains its objection</w:t>
      </w:r>
      <w:r w:rsidRPr="00217AC0">
        <w:rPr>
          <w:rFonts w:eastAsiaTheme="minorHAnsi"/>
          <w:sz w:val="26"/>
          <w:szCs w:val="26"/>
        </w:rPr>
        <w:t xml:space="preserve"> to any rate increase and </w:t>
      </w:r>
      <w:r w:rsidR="0032095D" w:rsidRPr="00217AC0">
        <w:rPr>
          <w:rFonts w:eastAsiaTheme="minorHAnsi"/>
          <w:sz w:val="26"/>
          <w:szCs w:val="26"/>
        </w:rPr>
        <w:t>suggests that</w:t>
      </w:r>
      <w:r w:rsidRPr="00217AC0">
        <w:rPr>
          <w:rFonts w:eastAsiaTheme="minorHAnsi"/>
          <w:sz w:val="26"/>
          <w:szCs w:val="26"/>
        </w:rPr>
        <w:t xml:space="preserve"> the COVID-19 pandemic </w:t>
      </w:r>
      <w:r w:rsidR="0032095D" w:rsidRPr="00217AC0">
        <w:rPr>
          <w:rFonts w:eastAsiaTheme="minorHAnsi"/>
          <w:sz w:val="26"/>
          <w:szCs w:val="26"/>
        </w:rPr>
        <w:t xml:space="preserve">is an unusual event causing unprecedented levels of economic devastation, thereby warranting denial of </w:t>
      </w:r>
      <w:r w:rsidR="00034EFC" w:rsidRPr="00217AC0">
        <w:rPr>
          <w:rFonts w:eastAsiaTheme="minorHAnsi"/>
          <w:sz w:val="26"/>
          <w:szCs w:val="26"/>
        </w:rPr>
        <w:t>any</w:t>
      </w:r>
      <w:r w:rsidR="0032095D" w:rsidRPr="00217AC0">
        <w:rPr>
          <w:rFonts w:eastAsiaTheme="minorHAnsi"/>
          <w:sz w:val="26"/>
          <w:szCs w:val="26"/>
        </w:rPr>
        <w:t xml:space="preserve"> rate increase.</w:t>
      </w:r>
      <w:r w:rsidR="00C814F5" w:rsidRPr="00217AC0">
        <w:rPr>
          <w:rFonts w:eastAsiaTheme="minorHAnsi"/>
          <w:sz w:val="26"/>
          <w:szCs w:val="26"/>
        </w:rPr>
        <w:t xml:space="preserve">  </w:t>
      </w:r>
      <w:r w:rsidR="005A39C2" w:rsidRPr="00217AC0">
        <w:rPr>
          <w:rFonts w:eastAsiaTheme="minorHAnsi"/>
          <w:sz w:val="26"/>
          <w:szCs w:val="26"/>
        </w:rPr>
        <w:t xml:space="preserve">The </w:t>
      </w:r>
      <w:r w:rsidR="00C814F5" w:rsidRPr="00217AC0">
        <w:rPr>
          <w:rFonts w:eastAsiaTheme="minorHAnsi"/>
          <w:sz w:val="26"/>
          <w:szCs w:val="26"/>
        </w:rPr>
        <w:t>OCA’s Exception No. 1 mainly reiterates its arguments from testimony and briefs</w:t>
      </w:r>
      <w:r w:rsidR="005A39C2" w:rsidRPr="00217AC0">
        <w:rPr>
          <w:rFonts w:eastAsiaTheme="minorHAnsi"/>
          <w:sz w:val="26"/>
          <w:szCs w:val="26"/>
        </w:rPr>
        <w:t xml:space="preserve">, </w:t>
      </w:r>
      <w:r w:rsidR="00D00717" w:rsidRPr="00217AC0">
        <w:rPr>
          <w:rFonts w:eastAsiaTheme="minorHAnsi"/>
          <w:sz w:val="26"/>
          <w:szCs w:val="26"/>
        </w:rPr>
        <w:t>maintain</w:t>
      </w:r>
      <w:r w:rsidR="005A39C2" w:rsidRPr="00217AC0">
        <w:rPr>
          <w:rFonts w:eastAsiaTheme="minorHAnsi"/>
          <w:sz w:val="26"/>
          <w:szCs w:val="26"/>
        </w:rPr>
        <w:t>ing</w:t>
      </w:r>
      <w:r w:rsidR="00D00717" w:rsidRPr="00217AC0">
        <w:rPr>
          <w:rFonts w:eastAsiaTheme="minorHAnsi"/>
          <w:sz w:val="26"/>
          <w:szCs w:val="26"/>
        </w:rPr>
        <w:t xml:space="preserve"> its belief that the Settlement is n</w:t>
      </w:r>
      <w:r w:rsidR="0023461E" w:rsidRPr="00217AC0">
        <w:rPr>
          <w:rFonts w:eastAsiaTheme="minorHAnsi"/>
          <w:sz w:val="26"/>
          <w:szCs w:val="26"/>
        </w:rPr>
        <w:t>either</w:t>
      </w:r>
      <w:r w:rsidR="00D00717" w:rsidRPr="00217AC0">
        <w:rPr>
          <w:rFonts w:eastAsiaTheme="minorHAnsi"/>
          <w:sz w:val="26"/>
          <w:szCs w:val="26"/>
        </w:rPr>
        <w:t xml:space="preserve"> reasonable </w:t>
      </w:r>
      <w:r w:rsidR="0023461E" w:rsidRPr="00217AC0">
        <w:rPr>
          <w:rFonts w:eastAsiaTheme="minorHAnsi"/>
          <w:sz w:val="26"/>
          <w:szCs w:val="26"/>
        </w:rPr>
        <w:t>n</w:t>
      </w:r>
      <w:r w:rsidR="00D00717" w:rsidRPr="00217AC0">
        <w:rPr>
          <w:rFonts w:eastAsiaTheme="minorHAnsi"/>
          <w:sz w:val="26"/>
          <w:szCs w:val="26"/>
        </w:rPr>
        <w:t xml:space="preserve">or in the best interest of the public for </w:t>
      </w:r>
      <w:r w:rsidR="00C814F5" w:rsidRPr="00217AC0">
        <w:rPr>
          <w:rFonts w:eastAsiaTheme="minorHAnsi"/>
          <w:sz w:val="26"/>
          <w:szCs w:val="26"/>
        </w:rPr>
        <w:t>the following reasons:</w:t>
      </w:r>
    </w:p>
    <w:p w14:paraId="797765AF" w14:textId="77777777" w:rsidR="00C814F5" w:rsidRPr="00217AC0" w:rsidRDefault="00C814F5" w:rsidP="00217AC0">
      <w:pPr>
        <w:widowControl/>
        <w:spacing w:line="360" w:lineRule="auto"/>
        <w:rPr>
          <w:rFonts w:eastAsiaTheme="minorHAnsi"/>
          <w:sz w:val="26"/>
          <w:szCs w:val="26"/>
        </w:rPr>
      </w:pPr>
    </w:p>
    <w:p w14:paraId="7484E1EF" w14:textId="181D9A9F" w:rsidR="00C814F5" w:rsidRPr="00217AC0" w:rsidRDefault="001550D4" w:rsidP="00217AC0">
      <w:pPr>
        <w:widowControl/>
        <w:numPr>
          <w:ilvl w:val="0"/>
          <w:numId w:val="47"/>
        </w:numPr>
        <w:spacing w:line="360" w:lineRule="auto"/>
        <w:ind w:left="1440" w:hanging="720"/>
        <w:rPr>
          <w:rFonts w:eastAsiaTheme="minorHAnsi"/>
          <w:sz w:val="26"/>
          <w:szCs w:val="26"/>
        </w:rPr>
      </w:pPr>
      <w:r w:rsidRPr="00217AC0">
        <w:rPr>
          <w:rFonts w:eastAsiaTheme="minorHAnsi"/>
          <w:sz w:val="26"/>
          <w:szCs w:val="26"/>
        </w:rPr>
        <w:t>The ALJ did not give proper weight to the ratepayer concerns related to the COVID-19 pandemic</w:t>
      </w:r>
      <w:r w:rsidR="003B0746" w:rsidRPr="00217AC0">
        <w:rPr>
          <w:rFonts w:eastAsiaTheme="minorHAnsi"/>
          <w:sz w:val="26"/>
          <w:szCs w:val="26"/>
        </w:rPr>
        <w:t>, noting that economic data, particularly unemployment rates, warrant rejection of the Settlement.</w:t>
      </w:r>
      <w:r w:rsidRPr="00217AC0">
        <w:rPr>
          <w:rFonts w:eastAsiaTheme="minorHAnsi"/>
          <w:sz w:val="26"/>
          <w:szCs w:val="26"/>
        </w:rPr>
        <w:t xml:space="preserve">  OCA Exc. at</w:t>
      </w:r>
      <w:r w:rsidR="0050146B">
        <w:rPr>
          <w:rFonts w:eastAsiaTheme="minorHAnsi"/>
          <w:sz w:val="26"/>
          <w:szCs w:val="26"/>
        </w:rPr>
        <w:t> </w:t>
      </w:r>
      <w:r w:rsidRPr="00217AC0">
        <w:rPr>
          <w:rFonts w:eastAsiaTheme="minorHAnsi"/>
          <w:sz w:val="26"/>
          <w:szCs w:val="26"/>
        </w:rPr>
        <w:t>3</w:t>
      </w:r>
      <w:r w:rsidR="0050146B">
        <w:rPr>
          <w:rFonts w:eastAsiaTheme="minorHAnsi"/>
          <w:sz w:val="26"/>
          <w:szCs w:val="26"/>
        </w:rPr>
        <w:noBreakHyphen/>
      </w:r>
      <w:r w:rsidRPr="00217AC0">
        <w:rPr>
          <w:rFonts w:eastAsiaTheme="minorHAnsi"/>
          <w:sz w:val="26"/>
          <w:szCs w:val="26"/>
        </w:rPr>
        <w:t>11, 16-17.</w:t>
      </w:r>
    </w:p>
    <w:p w14:paraId="0EF0F5C9" w14:textId="77777777" w:rsidR="004A55B1" w:rsidRPr="00217AC0" w:rsidRDefault="004A55B1" w:rsidP="00217AC0">
      <w:pPr>
        <w:widowControl/>
        <w:spacing w:line="360" w:lineRule="auto"/>
        <w:ind w:left="1440" w:hanging="720"/>
        <w:rPr>
          <w:rFonts w:eastAsiaTheme="minorHAnsi"/>
          <w:sz w:val="26"/>
          <w:szCs w:val="26"/>
        </w:rPr>
      </w:pPr>
    </w:p>
    <w:p w14:paraId="28DC754D" w14:textId="137D3487" w:rsidR="00C814F5" w:rsidRPr="00217AC0" w:rsidRDefault="00763A08" w:rsidP="00217AC0">
      <w:pPr>
        <w:widowControl/>
        <w:numPr>
          <w:ilvl w:val="0"/>
          <w:numId w:val="47"/>
        </w:numPr>
        <w:spacing w:line="360" w:lineRule="auto"/>
        <w:ind w:left="1440" w:hanging="720"/>
        <w:rPr>
          <w:rFonts w:eastAsiaTheme="minorHAnsi"/>
          <w:sz w:val="26"/>
          <w:szCs w:val="26"/>
        </w:rPr>
      </w:pPr>
      <w:r w:rsidRPr="00217AC0">
        <w:rPr>
          <w:rFonts w:eastAsiaTheme="minorHAnsi"/>
          <w:sz w:val="26"/>
          <w:szCs w:val="26"/>
        </w:rPr>
        <w:t>The evidence fails to establish it is necessary to increase rates for the City to earn a fair rate of return</w:t>
      </w:r>
      <w:r w:rsidR="00CC2FEB" w:rsidRPr="00217AC0">
        <w:rPr>
          <w:rFonts w:eastAsiaTheme="minorHAnsi"/>
          <w:sz w:val="26"/>
          <w:szCs w:val="26"/>
        </w:rPr>
        <w:t>.  Absent a rate increase,</w:t>
      </w:r>
      <w:r w:rsidR="001550D4" w:rsidRPr="00217AC0">
        <w:rPr>
          <w:rFonts w:eastAsiaTheme="minorHAnsi"/>
          <w:sz w:val="26"/>
          <w:szCs w:val="26"/>
        </w:rPr>
        <w:t xml:space="preserve"> the City would still have enough revenue to provide safe and reliable service.</w:t>
      </w:r>
      <w:r w:rsidR="005623C6" w:rsidRPr="00217AC0">
        <w:rPr>
          <w:rStyle w:val="FootnoteReference"/>
          <w:rFonts w:eastAsiaTheme="minorHAnsi"/>
          <w:sz w:val="26"/>
          <w:szCs w:val="26"/>
        </w:rPr>
        <w:footnoteReference w:id="28"/>
      </w:r>
      <w:r w:rsidR="001550D4" w:rsidRPr="00217AC0">
        <w:rPr>
          <w:rFonts w:eastAsiaTheme="minorHAnsi"/>
          <w:sz w:val="26"/>
          <w:szCs w:val="26"/>
        </w:rPr>
        <w:t xml:space="preserve">  OCA Exc. at 2, 11</w:t>
      </w:r>
      <w:r w:rsidR="0050146B">
        <w:rPr>
          <w:rFonts w:eastAsiaTheme="minorHAnsi"/>
          <w:sz w:val="26"/>
          <w:szCs w:val="26"/>
        </w:rPr>
        <w:noBreakHyphen/>
      </w:r>
      <w:r w:rsidR="001550D4" w:rsidRPr="00217AC0">
        <w:rPr>
          <w:rFonts w:eastAsiaTheme="minorHAnsi"/>
          <w:sz w:val="26"/>
          <w:szCs w:val="26"/>
        </w:rPr>
        <w:t>12, 23-25.</w:t>
      </w:r>
    </w:p>
    <w:p w14:paraId="3FF06DF6" w14:textId="77777777" w:rsidR="004A55B1" w:rsidRPr="00217AC0" w:rsidRDefault="004A55B1" w:rsidP="00217AC0">
      <w:pPr>
        <w:widowControl/>
        <w:spacing w:line="360" w:lineRule="auto"/>
        <w:ind w:left="1440" w:hanging="720"/>
        <w:rPr>
          <w:rFonts w:eastAsiaTheme="minorHAnsi"/>
          <w:sz w:val="26"/>
          <w:szCs w:val="26"/>
        </w:rPr>
      </w:pPr>
    </w:p>
    <w:p w14:paraId="2C8CDEF8" w14:textId="60F9234D" w:rsidR="00C814F5" w:rsidRPr="00217AC0" w:rsidRDefault="000F20D9" w:rsidP="00217AC0">
      <w:pPr>
        <w:widowControl/>
        <w:numPr>
          <w:ilvl w:val="0"/>
          <w:numId w:val="47"/>
        </w:numPr>
        <w:tabs>
          <w:tab w:val="left" w:pos="3150"/>
        </w:tabs>
        <w:spacing w:line="360" w:lineRule="auto"/>
        <w:ind w:left="1440" w:hanging="720"/>
        <w:rPr>
          <w:rFonts w:eastAsiaTheme="minorHAnsi"/>
          <w:sz w:val="26"/>
          <w:szCs w:val="26"/>
        </w:rPr>
      </w:pPr>
      <w:r w:rsidRPr="00217AC0">
        <w:rPr>
          <w:rFonts w:eastAsiaTheme="minorHAnsi"/>
          <w:sz w:val="26"/>
          <w:szCs w:val="26"/>
        </w:rPr>
        <w:lastRenderedPageBreak/>
        <w:t xml:space="preserve">The Commission has the legal authority to reject a rate </w:t>
      </w:r>
      <w:r w:rsidR="00BF50E3" w:rsidRPr="00217AC0">
        <w:rPr>
          <w:rFonts w:eastAsiaTheme="minorHAnsi"/>
          <w:sz w:val="26"/>
          <w:szCs w:val="26"/>
        </w:rPr>
        <w:t>increase and</w:t>
      </w:r>
      <w:r w:rsidRPr="00217AC0">
        <w:rPr>
          <w:rFonts w:eastAsiaTheme="minorHAnsi"/>
          <w:sz w:val="26"/>
          <w:szCs w:val="26"/>
        </w:rPr>
        <w:t xml:space="preserve"> given that c</w:t>
      </w:r>
      <w:r w:rsidR="0001587F" w:rsidRPr="00217AC0">
        <w:rPr>
          <w:rFonts w:eastAsiaTheme="minorHAnsi"/>
          <w:sz w:val="26"/>
          <w:szCs w:val="26"/>
        </w:rPr>
        <w:t>ase law from similar economic circumstances provides precedent for the Commission to deny a rate increase due to extreme customer hardships</w:t>
      </w:r>
      <w:r w:rsidRPr="00217AC0">
        <w:rPr>
          <w:rFonts w:eastAsiaTheme="minorHAnsi"/>
          <w:sz w:val="26"/>
          <w:szCs w:val="26"/>
        </w:rPr>
        <w:t xml:space="preserve">, it would be an appropriate and valid exercise of the Commission’s authority in this proceeding to do so.  </w:t>
      </w:r>
      <w:r w:rsidR="001550D4" w:rsidRPr="00217AC0">
        <w:rPr>
          <w:rFonts w:eastAsiaTheme="minorHAnsi"/>
          <w:sz w:val="26"/>
          <w:szCs w:val="26"/>
        </w:rPr>
        <w:t>OCA Exc. at 4, 12-16, 19-23.</w:t>
      </w:r>
    </w:p>
    <w:p w14:paraId="31BDE92C" w14:textId="77777777" w:rsidR="001550D4" w:rsidRPr="00217AC0" w:rsidRDefault="001550D4" w:rsidP="00217AC0">
      <w:pPr>
        <w:pStyle w:val="ListParagraph"/>
        <w:widowControl/>
        <w:ind w:left="1440" w:hanging="720"/>
        <w:rPr>
          <w:rFonts w:eastAsiaTheme="minorHAnsi"/>
          <w:sz w:val="26"/>
          <w:szCs w:val="26"/>
        </w:rPr>
      </w:pPr>
    </w:p>
    <w:p w14:paraId="60A1942A" w14:textId="3B11DAE4" w:rsidR="001550D4" w:rsidRPr="00217AC0" w:rsidRDefault="001550D4" w:rsidP="00217AC0">
      <w:pPr>
        <w:widowControl/>
        <w:numPr>
          <w:ilvl w:val="0"/>
          <w:numId w:val="47"/>
        </w:numPr>
        <w:spacing w:line="360" w:lineRule="auto"/>
        <w:ind w:left="1440" w:hanging="720"/>
        <w:rPr>
          <w:rFonts w:eastAsiaTheme="minorHAnsi"/>
          <w:sz w:val="26"/>
          <w:szCs w:val="26"/>
        </w:rPr>
      </w:pPr>
      <w:r w:rsidRPr="00217AC0">
        <w:rPr>
          <w:rFonts w:eastAsiaTheme="minorHAnsi"/>
          <w:sz w:val="26"/>
          <w:szCs w:val="26"/>
        </w:rPr>
        <w:t>Th</w:t>
      </w:r>
      <w:r w:rsidR="00DF3CEE" w:rsidRPr="00217AC0">
        <w:rPr>
          <w:rFonts w:eastAsiaTheme="minorHAnsi"/>
          <w:sz w:val="26"/>
          <w:szCs w:val="26"/>
        </w:rPr>
        <w:t>e</w:t>
      </w:r>
      <w:r w:rsidRPr="00217AC0">
        <w:rPr>
          <w:rFonts w:eastAsiaTheme="minorHAnsi"/>
          <w:sz w:val="26"/>
          <w:szCs w:val="26"/>
        </w:rPr>
        <w:t xml:space="preserve"> City’s</w:t>
      </w:r>
      <w:r w:rsidR="00B61E37" w:rsidRPr="00217AC0">
        <w:rPr>
          <w:rFonts w:eastAsiaTheme="minorHAnsi"/>
          <w:sz w:val="26"/>
          <w:szCs w:val="26"/>
        </w:rPr>
        <w:t xml:space="preserve"> FTY projections in its “early pandemic filing”</w:t>
      </w:r>
      <w:r w:rsidRPr="00217AC0">
        <w:rPr>
          <w:rFonts w:eastAsiaTheme="minorHAnsi"/>
          <w:sz w:val="26"/>
          <w:szCs w:val="26"/>
        </w:rPr>
        <w:t xml:space="preserve"> are unreliable.  OCA Exc. at 18-19.</w:t>
      </w:r>
    </w:p>
    <w:p w14:paraId="7DB57175" w14:textId="77777777" w:rsidR="001550D4" w:rsidRPr="00217AC0" w:rsidRDefault="001550D4" w:rsidP="00217AC0">
      <w:pPr>
        <w:pStyle w:val="ListParagraph"/>
        <w:widowControl/>
        <w:ind w:left="1440" w:hanging="720"/>
        <w:rPr>
          <w:rFonts w:eastAsiaTheme="minorHAnsi"/>
          <w:sz w:val="26"/>
          <w:szCs w:val="26"/>
        </w:rPr>
      </w:pPr>
    </w:p>
    <w:p w14:paraId="3EEF4EF9" w14:textId="0B22E1A0" w:rsidR="001550D4" w:rsidRPr="00217AC0" w:rsidRDefault="001550D4" w:rsidP="00217AC0">
      <w:pPr>
        <w:widowControl/>
        <w:numPr>
          <w:ilvl w:val="0"/>
          <w:numId w:val="47"/>
        </w:numPr>
        <w:spacing w:line="360" w:lineRule="auto"/>
        <w:ind w:left="1440" w:hanging="720"/>
        <w:rPr>
          <w:rFonts w:eastAsiaTheme="minorHAnsi"/>
          <w:sz w:val="26"/>
          <w:szCs w:val="26"/>
        </w:rPr>
      </w:pPr>
      <w:r w:rsidRPr="00217AC0">
        <w:rPr>
          <w:rFonts w:eastAsiaTheme="minorHAnsi"/>
          <w:sz w:val="26"/>
          <w:szCs w:val="26"/>
        </w:rPr>
        <w:t>The OCA claims the record does not support a $689,932 increase.</w:t>
      </w:r>
      <w:r w:rsidR="002B1475" w:rsidRPr="00217AC0">
        <w:rPr>
          <w:rStyle w:val="FootnoteReference"/>
          <w:rFonts w:eastAsiaTheme="minorHAnsi"/>
          <w:sz w:val="26"/>
          <w:szCs w:val="26"/>
        </w:rPr>
        <w:footnoteReference w:id="29"/>
      </w:r>
      <w:r w:rsidRPr="00217AC0">
        <w:rPr>
          <w:rFonts w:eastAsiaTheme="minorHAnsi"/>
          <w:sz w:val="26"/>
          <w:szCs w:val="26"/>
        </w:rPr>
        <w:t xml:space="preserve">  OCA</w:t>
      </w:r>
      <w:r w:rsidR="0050146B">
        <w:rPr>
          <w:rFonts w:eastAsiaTheme="minorHAnsi"/>
          <w:sz w:val="26"/>
          <w:szCs w:val="26"/>
        </w:rPr>
        <w:t> </w:t>
      </w:r>
      <w:r w:rsidRPr="00217AC0">
        <w:rPr>
          <w:rFonts w:eastAsiaTheme="minorHAnsi"/>
          <w:sz w:val="26"/>
          <w:szCs w:val="26"/>
        </w:rPr>
        <w:t xml:space="preserve">Exc. at 26.  </w:t>
      </w:r>
    </w:p>
    <w:p w14:paraId="1D044F97" w14:textId="0DE98120" w:rsidR="00B86FB0" w:rsidRPr="00217AC0" w:rsidRDefault="00B86FB0" w:rsidP="00217AC0">
      <w:pPr>
        <w:widowControl/>
        <w:spacing w:line="360" w:lineRule="auto"/>
        <w:ind w:firstLine="1440"/>
        <w:rPr>
          <w:rFonts w:eastAsiaTheme="minorHAnsi"/>
          <w:sz w:val="26"/>
          <w:szCs w:val="26"/>
        </w:rPr>
      </w:pPr>
    </w:p>
    <w:p w14:paraId="520B56A1" w14:textId="6CB9AA3B" w:rsidR="005A39C2" w:rsidRPr="00217AC0" w:rsidRDefault="005A39C2" w:rsidP="00217AC0">
      <w:pPr>
        <w:widowControl/>
        <w:spacing w:line="360" w:lineRule="auto"/>
        <w:ind w:firstLine="1440"/>
        <w:rPr>
          <w:rFonts w:eastAsiaTheme="minorHAnsi"/>
          <w:sz w:val="26"/>
          <w:szCs w:val="26"/>
        </w:rPr>
      </w:pPr>
      <w:r w:rsidRPr="00217AC0">
        <w:rPr>
          <w:rFonts w:eastAsiaTheme="minorHAnsi"/>
          <w:sz w:val="26"/>
          <w:szCs w:val="26"/>
        </w:rPr>
        <w:t>The OCA complains that, despite these conclusions supporting its overall position</w:t>
      </w:r>
      <w:r w:rsidR="00AA095C" w:rsidRPr="00217AC0">
        <w:rPr>
          <w:rFonts w:eastAsiaTheme="minorHAnsi"/>
          <w:sz w:val="26"/>
          <w:szCs w:val="26"/>
        </w:rPr>
        <w:t xml:space="preserve"> that no revenue increase is warranted at this time</w:t>
      </w:r>
      <w:r w:rsidRPr="00217AC0">
        <w:rPr>
          <w:rFonts w:eastAsiaTheme="minorHAnsi"/>
          <w:sz w:val="26"/>
          <w:szCs w:val="26"/>
        </w:rPr>
        <w:t>, which the OCA claims is supported by legal precedent, the ALJ went on to recommend the opposite.</w:t>
      </w:r>
    </w:p>
    <w:p w14:paraId="6B10DD44" w14:textId="77777777" w:rsidR="005A39C2" w:rsidRPr="00217AC0" w:rsidRDefault="005A39C2" w:rsidP="00217AC0">
      <w:pPr>
        <w:widowControl/>
        <w:spacing w:line="360" w:lineRule="auto"/>
        <w:ind w:firstLine="1440"/>
        <w:rPr>
          <w:rFonts w:eastAsiaTheme="minorHAnsi"/>
          <w:sz w:val="26"/>
          <w:szCs w:val="26"/>
        </w:rPr>
      </w:pPr>
    </w:p>
    <w:p w14:paraId="0A4ECF56" w14:textId="55A0DA40" w:rsidR="009566CA" w:rsidRPr="00217AC0" w:rsidRDefault="00641018" w:rsidP="00217AC0">
      <w:pPr>
        <w:widowControl/>
        <w:spacing w:line="360" w:lineRule="auto"/>
        <w:ind w:firstLine="1440"/>
        <w:rPr>
          <w:rFonts w:eastAsiaTheme="minorHAnsi"/>
          <w:sz w:val="26"/>
          <w:szCs w:val="26"/>
        </w:rPr>
      </w:pPr>
      <w:r w:rsidRPr="00217AC0">
        <w:rPr>
          <w:rFonts w:eastAsiaTheme="minorHAnsi"/>
          <w:sz w:val="26"/>
          <w:szCs w:val="26"/>
        </w:rPr>
        <w:t xml:space="preserve">In their Replies, both the City and I&amp;E reject the OCA’s position that the ALJ erred by recommending approval of the Settlement, without modification, </w:t>
      </w:r>
      <w:r w:rsidR="009E46B5" w:rsidRPr="00217AC0">
        <w:rPr>
          <w:rFonts w:eastAsiaTheme="minorHAnsi"/>
          <w:sz w:val="26"/>
          <w:szCs w:val="26"/>
        </w:rPr>
        <w:t>inclusive of</w:t>
      </w:r>
      <w:r w:rsidRPr="00217AC0">
        <w:rPr>
          <w:rFonts w:eastAsiaTheme="minorHAnsi"/>
          <w:sz w:val="26"/>
          <w:szCs w:val="26"/>
        </w:rPr>
        <w:t xml:space="preserve"> a</w:t>
      </w:r>
      <w:r w:rsidR="009E46B5" w:rsidRPr="00217AC0">
        <w:rPr>
          <w:rFonts w:eastAsiaTheme="minorHAnsi"/>
          <w:sz w:val="26"/>
          <w:szCs w:val="26"/>
        </w:rPr>
        <w:t xml:space="preserve"> $689,932</w:t>
      </w:r>
      <w:r w:rsidRPr="00217AC0">
        <w:rPr>
          <w:rFonts w:eastAsiaTheme="minorHAnsi"/>
          <w:sz w:val="26"/>
          <w:szCs w:val="26"/>
        </w:rPr>
        <w:t xml:space="preserve"> rate increase</w:t>
      </w:r>
      <w:r w:rsidR="009E46B5" w:rsidRPr="00217AC0">
        <w:rPr>
          <w:rFonts w:eastAsiaTheme="minorHAnsi"/>
          <w:sz w:val="26"/>
          <w:szCs w:val="26"/>
        </w:rPr>
        <w:t xml:space="preserve"> for outside-City service</w:t>
      </w:r>
      <w:r w:rsidR="00601F83" w:rsidRPr="00217AC0">
        <w:rPr>
          <w:rFonts w:eastAsiaTheme="minorHAnsi"/>
          <w:sz w:val="26"/>
          <w:szCs w:val="26"/>
        </w:rPr>
        <w:t>,</w:t>
      </w:r>
      <w:r w:rsidRPr="00217AC0">
        <w:rPr>
          <w:rFonts w:eastAsiaTheme="minorHAnsi"/>
          <w:sz w:val="26"/>
          <w:szCs w:val="26"/>
        </w:rPr>
        <w:t xml:space="preserve"> in the context of the ongoing COVID-19 pandemic</w:t>
      </w:r>
      <w:r w:rsidR="008C1CFE" w:rsidRPr="00217AC0">
        <w:rPr>
          <w:rFonts w:eastAsiaTheme="minorHAnsi"/>
          <w:sz w:val="26"/>
          <w:szCs w:val="26"/>
        </w:rPr>
        <w:t>, arguing that the ALJ’s recommendation is sound and should be upheld.</w:t>
      </w:r>
      <w:r w:rsidR="00BD1543" w:rsidRPr="00217AC0">
        <w:rPr>
          <w:rFonts w:eastAsiaTheme="minorHAnsi"/>
          <w:sz w:val="26"/>
          <w:szCs w:val="26"/>
        </w:rPr>
        <w:t xml:space="preserve">  City R. Exc. at 2-13; I&amp;E R. Exc. at 3-8.  </w:t>
      </w:r>
    </w:p>
    <w:p w14:paraId="6CB6D3D2" w14:textId="14BD136C" w:rsidR="0095265F" w:rsidRPr="00217AC0" w:rsidRDefault="0095265F" w:rsidP="00217AC0">
      <w:pPr>
        <w:widowControl/>
        <w:spacing w:line="360" w:lineRule="auto"/>
        <w:rPr>
          <w:rFonts w:eastAsiaTheme="minorHAnsi"/>
          <w:sz w:val="26"/>
          <w:szCs w:val="26"/>
        </w:rPr>
      </w:pPr>
    </w:p>
    <w:p w14:paraId="349ECDD5" w14:textId="6B3D03E0" w:rsidR="00B7354D" w:rsidRPr="00217AC0" w:rsidRDefault="00FA3BCE" w:rsidP="00217AC0">
      <w:pPr>
        <w:widowControl/>
        <w:spacing w:line="360" w:lineRule="auto"/>
        <w:ind w:firstLine="1440"/>
        <w:rPr>
          <w:rFonts w:eastAsiaTheme="minorHAnsi"/>
          <w:sz w:val="26"/>
          <w:szCs w:val="26"/>
        </w:rPr>
      </w:pPr>
      <w:r w:rsidRPr="00217AC0">
        <w:rPr>
          <w:rFonts w:eastAsiaTheme="minorHAnsi"/>
          <w:sz w:val="26"/>
          <w:szCs w:val="26"/>
        </w:rPr>
        <w:t>The City submits that the OCA’s proposal to summarily deny its rate relief request is not supported by substantial evidence.  Conversely, the City contends that the evidence of record</w:t>
      </w:r>
      <w:r w:rsidR="00B910EF" w:rsidRPr="00217AC0">
        <w:rPr>
          <w:rFonts w:eastAsiaTheme="minorHAnsi"/>
          <w:sz w:val="26"/>
          <w:szCs w:val="26"/>
        </w:rPr>
        <w:t>, as found by ALJ Haas,</w:t>
      </w:r>
      <w:r w:rsidRPr="00217AC0">
        <w:rPr>
          <w:rFonts w:eastAsiaTheme="minorHAnsi"/>
          <w:sz w:val="26"/>
          <w:szCs w:val="26"/>
        </w:rPr>
        <w:t xml:space="preserve"> supports the rate increase agreed upon under the terms of the Settlement</w:t>
      </w:r>
      <w:r w:rsidR="00B910EF" w:rsidRPr="00217AC0">
        <w:rPr>
          <w:rFonts w:eastAsiaTheme="minorHAnsi"/>
          <w:sz w:val="26"/>
          <w:szCs w:val="26"/>
        </w:rPr>
        <w:t xml:space="preserve">, which is an approximate 25% reduction of the City’s original </w:t>
      </w:r>
      <w:r w:rsidR="00B910EF" w:rsidRPr="00217AC0">
        <w:rPr>
          <w:rFonts w:eastAsiaTheme="minorHAnsi"/>
          <w:sz w:val="26"/>
          <w:szCs w:val="26"/>
        </w:rPr>
        <w:lastRenderedPageBreak/>
        <w:t>request</w:t>
      </w:r>
      <w:r w:rsidRPr="00217AC0">
        <w:rPr>
          <w:rFonts w:eastAsiaTheme="minorHAnsi"/>
          <w:sz w:val="26"/>
          <w:szCs w:val="26"/>
        </w:rPr>
        <w:t xml:space="preserve">.  </w:t>
      </w:r>
      <w:r w:rsidR="00B910EF" w:rsidRPr="00217AC0">
        <w:rPr>
          <w:rFonts w:eastAsiaTheme="minorHAnsi"/>
          <w:sz w:val="26"/>
          <w:szCs w:val="26"/>
        </w:rPr>
        <w:t>City R. Exc. at 3</w:t>
      </w:r>
      <w:r w:rsidR="00C1076A" w:rsidRPr="00217AC0">
        <w:rPr>
          <w:rFonts w:eastAsiaTheme="minorHAnsi"/>
          <w:sz w:val="26"/>
          <w:szCs w:val="26"/>
        </w:rPr>
        <w:t xml:space="preserve">.  </w:t>
      </w:r>
      <w:r w:rsidR="002B7B55" w:rsidRPr="00217AC0">
        <w:rPr>
          <w:rFonts w:eastAsiaTheme="minorHAnsi"/>
          <w:sz w:val="26"/>
          <w:szCs w:val="26"/>
        </w:rPr>
        <w:t xml:space="preserve">I&amp;E notes that, although the base rate increase provided for under the Settlement does not entirely reflect I&amp;E’s analysis, it agrees with the </w:t>
      </w:r>
      <w:r w:rsidR="00305077" w:rsidRPr="00217AC0">
        <w:rPr>
          <w:rFonts w:eastAsiaTheme="minorHAnsi"/>
          <w:sz w:val="26"/>
          <w:szCs w:val="26"/>
        </w:rPr>
        <w:t>City</w:t>
      </w:r>
      <w:r w:rsidR="002B7B55" w:rsidRPr="00217AC0">
        <w:rPr>
          <w:rFonts w:eastAsiaTheme="minorHAnsi"/>
          <w:sz w:val="26"/>
          <w:szCs w:val="26"/>
        </w:rPr>
        <w:t xml:space="preserve"> and the</w:t>
      </w:r>
      <w:r w:rsidR="00305077" w:rsidRPr="00217AC0">
        <w:rPr>
          <w:rFonts w:eastAsiaTheme="minorHAnsi"/>
          <w:sz w:val="26"/>
          <w:szCs w:val="26"/>
        </w:rPr>
        <w:t xml:space="preserve"> ALJ’s conclusion</w:t>
      </w:r>
      <w:r w:rsidR="002B7B55" w:rsidRPr="00217AC0">
        <w:rPr>
          <w:rFonts w:eastAsiaTheme="minorHAnsi"/>
          <w:sz w:val="26"/>
          <w:szCs w:val="26"/>
        </w:rPr>
        <w:t xml:space="preserve"> that it is a reasonable compromise between positions.  I&amp;E R. Exc. at </w:t>
      </w:r>
      <w:r w:rsidR="00350024" w:rsidRPr="00217AC0">
        <w:rPr>
          <w:rFonts w:eastAsiaTheme="minorHAnsi"/>
          <w:sz w:val="26"/>
          <w:szCs w:val="26"/>
        </w:rPr>
        <w:t>4-</w:t>
      </w:r>
      <w:r w:rsidR="002B7B55" w:rsidRPr="00217AC0">
        <w:rPr>
          <w:rFonts w:eastAsiaTheme="minorHAnsi"/>
          <w:sz w:val="26"/>
          <w:szCs w:val="26"/>
        </w:rPr>
        <w:t>6</w:t>
      </w:r>
      <w:r w:rsidR="00562158" w:rsidRPr="00217AC0">
        <w:rPr>
          <w:rFonts w:eastAsiaTheme="minorHAnsi"/>
          <w:sz w:val="26"/>
          <w:szCs w:val="26"/>
        </w:rPr>
        <w:t>;</w:t>
      </w:r>
      <w:r w:rsidR="00350024" w:rsidRPr="00217AC0">
        <w:rPr>
          <w:rFonts w:eastAsiaTheme="minorHAnsi"/>
          <w:sz w:val="26"/>
          <w:szCs w:val="26"/>
        </w:rPr>
        <w:t xml:space="preserve"> City R. Exc. at 3-4</w:t>
      </w:r>
      <w:r w:rsidR="00D92086" w:rsidRPr="00217AC0">
        <w:rPr>
          <w:rFonts w:eastAsiaTheme="minorHAnsi"/>
          <w:sz w:val="26"/>
          <w:szCs w:val="26"/>
        </w:rPr>
        <w:t xml:space="preserve">, 7-8 </w:t>
      </w:r>
      <w:r w:rsidR="00350024" w:rsidRPr="00217AC0">
        <w:rPr>
          <w:rFonts w:eastAsiaTheme="minorHAnsi"/>
          <w:sz w:val="26"/>
          <w:szCs w:val="26"/>
        </w:rPr>
        <w:t>(citing, R.D. at 16 and 2</w:t>
      </w:r>
      <w:r w:rsidR="00D92086" w:rsidRPr="00217AC0">
        <w:rPr>
          <w:rFonts w:eastAsiaTheme="minorHAnsi"/>
          <w:sz w:val="26"/>
          <w:szCs w:val="26"/>
        </w:rPr>
        <w:t>8</w:t>
      </w:r>
      <w:r w:rsidR="00350024" w:rsidRPr="00217AC0">
        <w:rPr>
          <w:rFonts w:eastAsiaTheme="minorHAnsi"/>
          <w:sz w:val="26"/>
          <w:szCs w:val="26"/>
        </w:rPr>
        <w:t xml:space="preserve">).  </w:t>
      </w:r>
    </w:p>
    <w:p w14:paraId="2140C9D5" w14:textId="7D12334D" w:rsidR="00B86FB0" w:rsidRPr="00217AC0" w:rsidRDefault="00B86FB0" w:rsidP="00217AC0">
      <w:pPr>
        <w:widowControl/>
        <w:spacing w:line="360" w:lineRule="auto"/>
        <w:rPr>
          <w:rFonts w:eastAsiaTheme="minorHAnsi"/>
          <w:sz w:val="26"/>
          <w:szCs w:val="26"/>
        </w:rPr>
      </w:pPr>
    </w:p>
    <w:p w14:paraId="3E471346" w14:textId="1ECA9F5D" w:rsidR="00E67562" w:rsidRPr="00217AC0" w:rsidRDefault="00E373B8" w:rsidP="00217AC0">
      <w:pPr>
        <w:widowControl/>
        <w:spacing w:line="360" w:lineRule="auto"/>
        <w:ind w:firstLine="1440"/>
        <w:rPr>
          <w:rFonts w:eastAsiaTheme="minorHAnsi"/>
          <w:sz w:val="26"/>
          <w:szCs w:val="26"/>
        </w:rPr>
      </w:pPr>
      <w:r w:rsidRPr="00217AC0">
        <w:rPr>
          <w:rFonts w:eastAsiaTheme="minorHAnsi"/>
          <w:sz w:val="26"/>
          <w:szCs w:val="26"/>
        </w:rPr>
        <w:t xml:space="preserve">In addressing the OCA’s concerns regarding the economic impact on the City’s customers as a result of the COVID-19 pandemic, </w:t>
      </w:r>
      <w:r w:rsidR="00CB2ECB" w:rsidRPr="00217AC0">
        <w:rPr>
          <w:rFonts w:eastAsiaTheme="minorHAnsi"/>
          <w:sz w:val="26"/>
          <w:szCs w:val="26"/>
        </w:rPr>
        <w:t xml:space="preserve">the City acknowledges the difficulties faced by its customers, and in weighing the impact of a rate increase on water customers, </w:t>
      </w:r>
      <w:r w:rsidR="007F7574" w:rsidRPr="00217AC0">
        <w:rPr>
          <w:rFonts w:eastAsiaTheme="minorHAnsi"/>
          <w:sz w:val="26"/>
          <w:szCs w:val="26"/>
        </w:rPr>
        <w:t xml:space="preserve">notes that it </w:t>
      </w:r>
      <w:r w:rsidR="00CB2ECB" w:rsidRPr="00217AC0">
        <w:rPr>
          <w:rFonts w:eastAsiaTheme="minorHAnsi"/>
          <w:sz w:val="26"/>
          <w:szCs w:val="26"/>
        </w:rPr>
        <w:t>withdrew three of its five capital projects in its FTY claim, has taken steps to assist customers</w:t>
      </w:r>
      <w:r w:rsidR="00C60DA1" w:rsidRPr="00217AC0">
        <w:rPr>
          <w:rFonts w:eastAsiaTheme="minorHAnsi"/>
          <w:sz w:val="26"/>
          <w:szCs w:val="26"/>
        </w:rPr>
        <w:t xml:space="preserve">, and evaluated </w:t>
      </w:r>
      <w:r w:rsidR="00B95D2E" w:rsidRPr="00217AC0">
        <w:rPr>
          <w:rFonts w:eastAsiaTheme="minorHAnsi"/>
          <w:sz w:val="26"/>
          <w:szCs w:val="26"/>
        </w:rPr>
        <w:t xml:space="preserve">the </w:t>
      </w:r>
      <w:r w:rsidR="00C60DA1" w:rsidRPr="00217AC0">
        <w:rPr>
          <w:rFonts w:eastAsiaTheme="minorHAnsi"/>
          <w:sz w:val="26"/>
          <w:szCs w:val="26"/>
        </w:rPr>
        <w:t>unique but not unprecedented unemployment rates in its service territory, which appear to be quickly declining (</w:t>
      </w:r>
      <w:r w:rsidR="00C60DA1" w:rsidRPr="00217AC0">
        <w:rPr>
          <w:rFonts w:eastAsiaTheme="minorHAnsi"/>
          <w:bCs/>
          <w:sz w:val="26"/>
          <w:szCs w:val="26"/>
        </w:rPr>
        <w:t>from a high of 16.1% in April 2020 to the September 2020 rate of 8.1%).</w:t>
      </w:r>
      <w:r w:rsidR="00CB2ECB" w:rsidRPr="00217AC0">
        <w:rPr>
          <w:rFonts w:eastAsiaTheme="minorHAnsi"/>
          <w:sz w:val="26"/>
          <w:szCs w:val="26"/>
        </w:rPr>
        <w:t xml:space="preserve">  City R. Exc. at 5-6</w:t>
      </w:r>
      <w:r w:rsidR="00C60DA1" w:rsidRPr="00217AC0">
        <w:rPr>
          <w:rFonts w:eastAsiaTheme="minorHAnsi"/>
          <w:sz w:val="26"/>
          <w:szCs w:val="26"/>
        </w:rPr>
        <w:t>, 9</w:t>
      </w:r>
      <w:r w:rsidR="00CB2ECB" w:rsidRPr="00217AC0">
        <w:rPr>
          <w:rFonts w:eastAsiaTheme="minorHAnsi"/>
          <w:sz w:val="26"/>
          <w:szCs w:val="26"/>
        </w:rPr>
        <w:t>.</w:t>
      </w:r>
      <w:r w:rsidR="00346337" w:rsidRPr="00217AC0">
        <w:rPr>
          <w:rFonts w:eastAsiaTheme="minorHAnsi"/>
          <w:sz w:val="26"/>
          <w:szCs w:val="26"/>
        </w:rPr>
        <w:t xml:space="preserve">  Furthermore, the City </w:t>
      </w:r>
      <w:r w:rsidR="002D3EE5" w:rsidRPr="00217AC0">
        <w:rPr>
          <w:rFonts w:eastAsiaTheme="minorHAnsi"/>
          <w:sz w:val="26"/>
          <w:szCs w:val="26"/>
        </w:rPr>
        <w:t>contends</w:t>
      </w:r>
      <w:r w:rsidR="00346337" w:rsidRPr="00217AC0">
        <w:rPr>
          <w:rFonts w:eastAsiaTheme="minorHAnsi"/>
          <w:sz w:val="26"/>
          <w:szCs w:val="26"/>
        </w:rPr>
        <w:t xml:space="preserve"> that the OCA offered no explanation</w:t>
      </w:r>
      <w:r w:rsidR="00E24875" w:rsidRPr="00217AC0">
        <w:rPr>
          <w:rFonts w:eastAsiaTheme="minorHAnsi"/>
          <w:sz w:val="26"/>
          <w:szCs w:val="26"/>
        </w:rPr>
        <w:t xml:space="preserve"> of</w:t>
      </w:r>
      <w:r w:rsidR="00346337" w:rsidRPr="00217AC0">
        <w:rPr>
          <w:rFonts w:eastAsiaTheme="minorHAnsi"/>
          <w:sz w:val="26"/>
          <w:szCs w:val="26"/>
        </w:rPr>
        <w:t xml:space="preserve"> how the rate increase of $6.19 per quarter or $2.06 per month, under the Settlement, presents a severe economic hardship to customers or is “substantial,” especially </w:t>
      </w:r>
      <w:r w:rsidR="00A54D0D" w:rsidRPr="00217AC0">
        <w:rPr>
          <w:rFonts w:eastAsiaTheme="minorHAnsi"/>
          <w:sz w:val="26"/>
          <w:szCs w:val="26"/>
        </w:rPr>
        <w:t>taking note that the City</w:t>
      </w:r>
      <w:r w:rsidR="00346337" w:rsidRPr="00217AC0">
        <w:rPr>
          <w:rFonts w:eastAsiaTheme="minorHAnsi"/>
          <w:sz w:val="26"/>
          <w:szCs w:val="26"/>
        </w:rPr>
        <w:t xml:space="preserve"> is one of the lowest cost providers of water service in the region, even under proposed rates.  </w:t>
      </w:r>
      <w:r w:rsidR="00346337" w:rsidRPr="00217AC0">
        <w:rPr>
          <w:rFonts w:eastAsiaTheme="minorHAnsi"/>
          <w:i/>
          <w:iCs/>
          <w:sz w:val="26"/>
          <w:szCs w:val="26"/>
        </w:rPr>
        <w:t>Id</w:t>
      </w:r>
      <w:r w:rsidR="00346337" w:rsidRPr="00217AC0">
        <w:rPr>
          <w:rFonts w:eastAsiaTheme="minorHAnsi"/>
          <w:sz w:val="26"/>
          <w:szCs w:val="26"/>
        </w:rPr>
        <w:t>. at 6-7 (citing, OCA Exc. at 3).</w:t>
      </w:r>
      <w:r w:rsidR="00B80669" w:rsidRPr="00217AC0">
        <w:rPr>
          <w:rFonts w:eastAsiaTheme="minorHAnsi"/>
          <w:sz w:val="26"/>
          <w:szCs w:val="26"/>
        </w:rPr>
        <w:t xml:space="preserve">  The City</w:t>
      </w:r>
      <w:r w:rsidR="00DD1F89" w:rsidRPr="00217AC0">
        <w:rPr>
          <w:rFonts w:eastAsiaTheme="minorHAnsi"/>
          <w:sz w:val="26"/>
          <w:szCs w:val="26"/>
        </w:rPr>
        <w:t xml:space="preserve">, in essence, </w:t>
      </w:r>
      <w:r w:rsidR="00B80669" w:rsidRPr="00217AC0">
        <w:rPr>
          <w:rFonts w:eastAsiaTheme="minorHAnsi"/>
          <w:sz w:val="26"/>
          <w:szCs w:val="26"/>
        </w:rPr>
        <w:t xml:space="preserve">concurs with the assertion previously set forth by I&amp;E that the additional base rate revenue that has been agreed upon in this proceeding in the context of a “black box” settlement adequately balances the interests of ratepayers and the City.  </w:t>
      </w:r>
    </w:p>
    <w:p w14:paraId="70699E4C" w14:textId="1EEABA74" w:rsidR="00C772D1" w:rsidRPr="00217AC0" w:rsidRDefault="00C772D1" w:rsidP="00217AC0">
      <w:pPr>
        <w:widowControl/>
        <w:spacing w:line="360" w:lineRule="auto"/>
        <w:ind w:firstLine="1440"/>
        <w:rPr>
          <w:rFonts w:eastAsiaTheme="minorHAnsi"/>
          <w:sz w:val="26"/>
          <w:szCs w:val="26"/>
        </w:rPr>
      </w:pPr>
    </w:p>
    <w:p w14:paraId="2DFFBCE6" w14:textId="1AE33387" w:rsidR="00C772D1" w:rsidRPr="00217AC0" w:rsidRDefault="00C772D1" w:rsidP="00217AC0">
      <w:pPr>
        <w:widowControl/>
        <w:spacing w:line="360" w:lineRule="auto"/>
        <w:ind w:firstLine="1440"/>
        <w:rPr>
          <w:rFonts w:eastAsiaTheme="minorHAnsi"/>
          <w:sz w:val="26"/>
          <w:szCs w:val="26"/>
        </w:rPr>
      </w:pPr>
      <w:r w:rsidRPr="00217AC0">
        <w:rPr>
          <w:rFonts w:eastAsiaTheme="minorHAnsi"/>
          <w:sz w:val="26"/>
          <w:szCs w:val="26"/>
        </w:rPr>
        <w:t xml:space="preserve">Furthermore, based on the current case law, both the City and I&amp;E </w:t>
      </w:r>
      <w:r w:rsidR="00B67A0E" w:rsidRPr="00217AC0">
        <w:rPr>
          <w:rFonts w:eastAsiaTheme="minorHAnsi"/>
          <w:sz w:val="26"/>
          <w:szCs w:val="26"/>
        </w:rPr>
        <w:t>explain</w:t>
      </w:r>
      <w:r w:rsidRPr="00217AC0">
        <w:rPr>
          <w:rFonts w:eastAsiaTheme="minorHAnsi"/>
          <w:sz w:val="26"/>
          <w:szCs w:val="26"/>
        </w:rPr>
        <w:t xml:space="preserve"> that there is nothing that would prevent a utility from implementing a base rate increase during a pandemic.</w:t>
      </w:r>
      <w:r w:rsidR="009F0A7F" w:rsidRPr="00217AC0">
        <w:rPr>
          <w:rFonts w:eastAsiaTheme="minorHAnsi"/>
          <w:sz w:val="26"/>
          <w:szCs w:val="26"/>
        </w:rPr>
        <w:t xml:space="preserve">  The City </w:t>
      </w:r>
      <w:r w:rsidR="00B65CF3" w:rsidRPr="00217AC0">
        <w:rPr>
          <w:rFonts w:eastAsiaTheme="minorHAnsi"/>
          <w:sz w:val="26"/>
          <w:szCs w:val="26"/>
        </w:rPr>
        <w:t>maintains</w:t>
      </w:r>
      <w:r w:rsidR="009F0A7F" w:rsidRPr="00217AC0">
        <w:rPr>
          <w:rFonts w:eastAsiaTheme="minorHAnsi"/>
          <w:sz w:val="26"/>
          <w:szCs w:val="26"/>
        </w:rPr>
        <w:t xml:space="preserve"> that its argument is consistent with the Commission’s recent decisions in </w:t>
      </w:r>
      <w:r w:rsidR="009F0A7F" w:rsidRPr="00217AC0">
        <w:rPr>
          <w:rFonts w:eastAsiaTheme="minorHAnsi"/>
          <w:i/>
          <w:iCs/>
          <w:sz w:val="26"/>
          <w:szCs w:val="26"/>
        </w:rPr>
        <w:t>UGI</w:t>
      </w:r>
      <w:r w:rsidR="009F0A7F" w:rsidRPr="00217AC0">
        <w:rPr>
          <w:rFonts w:eastAsiaTheme="minorHAnsi"/>
          <w:sz w:val="26"/>
          <w:szCs w:val="26"/>
        </w:rPr>
        <w:t xml:space="preserve">, </w:t>
      </w:r>
      <w:r w:rsidR="009F0A7F" w:rsidRPr="00217AC0">
        <w:rPr>
          <w:rFonts w:eastAsiaTheme="minorHAnsi"/>
          <w:i/>
          <w:iCs/>
          <w:sz w:val="26"/>
          <w:szCs w:val="26"/>
        </w:rPr>
        <w:t>PGW</w:t>
      </w:r>
      <w:r w:rsidR="009F0A7F" w:rsidRPr="00217AC0">
        <w:rPr>
          <w:rFonts w:eastAsiaTheme="minorHAnsi"/>
          <w:sz w:val="26"/>
          <w:szCs w:val="26"/>
        </w:rPr>
        <w:t xml:space="preserve">, </w:t>
      </w:r>
      <w:r w:rsidR="009F0A7F" w:rsidRPr="00217AC0">
        <w:rPr>
          <w:rFonts w:eastAsiaTheme="minorHAnsi"/>
          <w:i/>
          <w:iCs/>
          <w:sz w:val="26"/>
          <w:szCs w:val="26"/>
        </w:rPr>
        <w:t>Columbia Gas</w:t>
      </w:r>
      <w:r w:rsidR="009F0A7F" w:rsidRPr="00217AC0">
        <w:rPr>
          <w:rFonts w:eastAsiaTheme="minorHAnsi"/>
          <w:sz w:val="26"/>
          <w:szCs w:val="26"/>
        </w:rPr>
        <w:t>,</w:t>
      </w:r>
      <w:r w:rsidR="009E7EDE" w:rsidRPr="00217AC0">
        <w:rPr>
          <w:rFonts w:eastAsiaTheme="minorHAnsi"/>
          <w:sz w:val="26"/>
          <w:szCs w:val="26"/>
        </w:rPr>
        <w:t xml:space="preserve"> </w:t>
      </w:r>
      <w:r w:rsidR="009F0A7F" w:rsidRPr="00217AC0">
        <w:rPr>
          <w:rFonts w:eastAsiaTheme="minorHAnsi"/>
          <w:i/>
          <w:iCs/>
          <w:sz w:val="26"/>
          <w:szCs w:val="26"/>
        </w:rPr>
        <w:t>PAWC</w:t>
      </w:r>
      <w:r w:rsidR="009E7EDE" w:rsidRPr="00217AC0">
        <w:rPr>
          <w:rFonts w:eastAsiaTheme="minorHAnsi"/>
          <w:sz w:val="26"/>
          <w:szCs w:val="26"/>
        </w:rPr>
        <w:t xml:space="preserve">, and </w:t>
      </w:r>
      <w:r w:rsidR="009E7EDE" w:rsidRPr="00217AC0">
        <w:rPr>
          <w:rFonts w:eastAsiaTheme="minorHAnsi"/>
          <w:i/>
          <w:iCs/>
          <w:sz w:val="26"/>
          <w:szCs w:val="26"/>
        </w:rPr>
        <w:t>Pittsburgh Water and Sewer Authority</w:t>
      </w:r>
      <w:r w:rsidR="009E7EDE" w:rsidRPr="00217AC0">
        <w:rPr>
          <w:rFonts w:eastAsiaTheme="minorHAnsi"/>
          <w:sz w:val="26"/>
          <w:szCs w:val="26"/>
        </w:rPr>
        <w:t>, Docket Nos. R</w:t>
      </w:r>
      <w:r w:rsidR="009E7EDE" w:rsidRPr="00217AC0">
        <w:rPr>
          <w:rFonts w:eastAsiaTheme="minorHAnsi"/>
          <w:sz w:val="26"/>
          <w:szCs w:val="26"/>
        </w:rPr>
        <w:noBreakHyphen/>
        <w:t>2020-3017951, R-2020-3017970 (Order entered December 3, 2020) (</w:t>
      </w:r>
      <w:r w:rsidR="009E7EDE" w:rsidRPr="00217AC0">
        <w:rPr>
          <w:rFonts w:eastAsiaTheme="minorHAnsi"/>
          <w:i/>
          <w:iCs/>
          <w:sz w:val="26"/>
          <w:szCs w:val="26"/>
        </w:rPr>
        <w:t>PWSA</w:t>
      </w:r>
      <w:r w:rsidR="009E7EDE" w:rsidRPr="00217AC0">
        <w:rPr>
          <w:rFonts w:eastAsiaTheme="minorHAnsi"/>
          <w:sz w:val="26"/>
          <w:szCs w:val="26"/>
        </w:rPr>
        <w:t>)</w:t>
      </w:r>
      <w:r w:rsidR="009F0A7F" w:rsidRPr="00217AC0">
        <w:rPr>
          <w:rFonts w:eastAsiaTheme="minorHAnsi"/>
          <w:sz w:val="26"/>
          <w:szCs w:val="26"/>
        </w:rPr>
        <w:t>, in which the applicable legal framework was presented, supporting the Commission’s decision that, even in the mi</w:t>
      </w:r>
      <w:r w:rsidR="00074B39" w:rsidRPr="00217AC0">
        <w:rPr>
          <w:rFonts w:eastAsiaTheme="minorHAnsi"/>
          <w:sz w:val="26"/>
          <w:szCs w:val="26"/>
        </w:rPr>
        <w:t>d</w:t>
      </w:r>
      <w:r w:rsidR="009F0A7F" w:rsidRPr="00217AC0">
        <w:rPr>
          <w:rFonts w:eastAsiaTheme="minorHAnsi"/>
          <w:sz w:val="26"/>
          <w:szCs w:val="26"/>
        </w:rPr>
        <w:t>st of the COVID</w:t>
      </w:r>
      <w:r w:rsidR="0050146B">
        <w:rPr>
          <w:rFonts w:eastAsiaTheme="minorHAnsi"/>
          <w:sz w:val="26"/>
          <w:szCs w:val="26"/>
        </w:rPr>
        <w:noBreakHyphen/>
      </w:r>
      <w:r w:rsidR="009F0A7F" w:rsidRPr="00217AC0">
        <w:rPr>
          <w:rFonts w:eastAsiaTheme="minorHAnsi"/>
          <w:sz w:val="26"/>
          <w:szCs w:val="26"/>
        </w:rPr>
        <w:t xml:space="preserve">19 pandemic, traditional rate setting criteria apply.  </w:t>
      </w:r>
      <w:r w:rsidR="0007496E" w:rsidRPr="00217AC0">
        <w:rPr>
          <w:rFonts w:eastAsiaTheme="minorHAnsi"/>
          <w:sz w:val="26"/>
          <w:szCs w:val="26"/>
        </w:rPr>
        <w:t xml:space="preserve">City R. Exc. at 10-11.  </w:t>
      </w:r>
      <w:r w:rsidR="006D3AA6" w:rsidRPr="00217AC0">
        <w:rPr>
          <w:rFonts w:eastAsiaTheme="minorHAnsi"/>
          <w:sz w:val="26"/>
          <w:szCs w:val="26"/>
        </w:rPr>
        <w:lastRenderedPageBreak/>
        <w:t xml:space="preserve">Specifically, I&amp;E finds noteworthy two recent Commission’s decisions issued since the Recommended Decision in this proceeding was issued: (1) </w:t>
      </w:r>
      <w:r w:rsidR="00D64BC5" w:rsidRPr="00217AC0">
        <w:rPr>
          <w:rFonts w:eastAsiaTheme="minorHAnsi"/>
          <w:sz w:val="26"/>
          <w:szCs w:val="26"/>
        </w:rPr>
        <w:t>i</w:t>
      </w:r>
      <w:r w:rsidR="006D3AA6" w:rsidRPr="00217AC0">
        <w:rPr>
          <w:rFonts w:eastAsiaTheme="minorHAnsi"/>
          <w:sz w:val="26"/>
          <w:szCs w:val="26"/>
        </w:rPr>
        <w:t xml:space="preserve">n </w:t>
      </w:r>
      <w:r w:rsidR="006D3AA6" w:rsidRPr="00217AC0">
        <w:rPr>
          <w:rFonts w:eastAsiaTheme="minorHAnsi"/>
          <w:i/>
          <w:iCs/>
          <w:sz w:val="26"/>
          <w:szCs w:val="26"/>
        </w:rPr>
        <w:t>Columbia Gas</w:t>
      </w:r>
      <w:r w:rsidR="006D3AA6" w:rsidRPr="00217AC0">
        <w:rPr>
          <w:rFonts w:eastAsiaTheme="minorHAnsi"/>
          <w:sz w:val="26"/>
          <w:szCs w:val="26"/>
        </w:rPr>
        <w:t xml:space="preserve">, the Commission rejected the OCA’s no rate increase position and confirmed reliance on traditional ratemaking methodologies as established in </w:t>
      </w:r>
      <w:r w:rsidR="006D3AA6" w:rsidRPr="00217AC0">
        <w:rPr>
          <w:bCs/>
          <w:i/>
          <w:iCs/>
          <w:sz w:val="26"/>
          <w:szCs w:val="26"/>
        </w:rPr>
        <w:t>Bluefield</w:t>
      </w:r>
      <w:r w:rsidR="006D3AA6" w:rsidRPr="00217AC0">
        <w:rPr>
          <w:bCs/>
          <w:sz w:val="26"/>
          <w:szCs w:val="26"/>
        </w:rPr>
        <w:t xml:space="preserve"> and </w:t>
      </w:r>
      <w:r w:rsidR="006D3AA6" w:rsidRPr="00217AC0">
        <w:rPr>
          <w:bCs/>
          <w:i/>
          <w:iCs/>
          <w:sz w:val="26"/>
          <w:szCs w:val="26"/>
        </w:rPr>
        <w:t>Hope Natural Gas</w:t>
      </w:r>
      <w:r w:rsidR="00D64BC5" w:rsidRPr="00217AC0">
        <w:rPr>
          <w:bCs/>
          <w:sz w:val="26"/>
          <w:szCs w:val="26"/>
        </w:rPr>
        <w:t>;</w:t>
      </w:r>
      <w:r w:rsidR="006E70E6" w:rsidRPr="00217AC0">
        <w:rPr>
          <w:bCs/>
          <w:sz w:val="26"/>
          <w:szCs w:val="26"/>
        </w:rPr>
        <w:t xml:space="preserve"> and (2) in </w:t>
      </w:r>
      <w:r w:rsidR="006E70E6" w:rsidRPr="00217AC0">
        <w:rPr>
          <w:bCs/>
          <w:i/>
          <w:iCs/>
          <w:sz w:val="26"/>
          <w:szCs w:val="26"/>
        </w:rPr>
        <w:t>PAWC</w:t>
      </w:r>
      <w:r w:rsidR="006E70E6" w:rsidRPr="00217AC0">
        <w:rPr>
          <w:bCs/>
          <w:sz w:val="26"/>
          <w:szCs w:val="26"/>
        </w:rPr>
        <w:t>, the Commission rejected the OCA’s no rate increase position, again confirming traditional ratemaking principles during the COVID-19 pandemic.  I&amp;E R.</w:t>
      </w:r>
      <w:r w:rsidR="0050146B">
        <w:rPr>
          <w:bCs/>
          <w:sz w:val="26"/>
          <w:szCs w:val="26"/>
        </w:rPr>
        <w:t> </w:t>
      </w:r>
      <w:r w:rsidR="006E70E6" w:rsidRPr="00217AC0">
        <w:rPr>
          <w:bCs/>
          <w:sz w:val="26"/>
          <w:szCs w:val="26"/>
        </w:rPr>
        <w:t>Exc. at 7.</w:t>
      </w:r>
      <w:r w:rsidR="00CB4375" w:rsidRPr="00217AC0">
        <w:rPr>
          <w:bCs/>
          <w:sz w:val="26"/>
          <w:szCs w:val="26"/>
        </w:rPr>
        <w:t xml:space="preserve">  I&amp;E adds that, in </w:t>
      </w:r>
      <w:r w:rsidR="00CB4375" w:rsidRPr="00217AC0">
        <w:rPr>
          <w:bCs/>
          <w:i/>
          <w:iCs/>
          <w:sz w:val="26"/>
          <w:szCs w:val="26"/>
        </w:rPr>
        <w:t>Columbia Gas</w:t>
      </w:r>
      <w:r w:rsidR="00CB4375" w:rsidRPr="00217AC0">
        <w:rPr>
          <w:bCs/>
          <w:sz w:val="26"/>
          <w:szCs w:val="26"/>
        </w:rPr>
        <w:t xml:space="preserve">, the Commission also rejected “broad brush” arguments that </w:t>
      </w:r>
      <w:r w:rsidR="00D64BC5" w:rsidRPr="00217AC0">
        <w:rPr>
          <w:bCs/>
          <w:sz w:val="26"/>
          <w:szCs w:val="26"/>
        </w:rPr>
        <w:t>fully projected future test year</w:t>
      </w:r>
      <w:r w:rsidR="00CB4375" w:rsidRPr="00217AC0">
        <w:rPr>
          <w:bCs/>
          <w:sz w:val="26"/>
          <w:szCs w:val="26"/>
        </w:rPr>
        <w:t xml:space="preserve"> projections are unreliable and rate of return positions unsupported by market-based equity cost analysis, which were similar to the arguments made by the OCA in this proceeding.  I&amp;E R. Exc. at 7 (citing, </w:t>
      </w:r>
      <w:r w:rsidR="00CB4375" w:rsidRPr="00217AC0">
        <w:rPr>
          <w:bCs/>
          <w:i/>
          <w:iCs/>
          <w:sz w:val="26"/>
          <w:szCs w:val="26"/>
        </w:rPr>
        <w:t>Columbia Gas</w:t>
      </w:r>
      <w:r w:rsidR="00CB4375" w:rsidRPr="00217AC0">
        <w:rPr>
          <w:bCs/>
          <w:sz w:val="26"/>
          <w:szCs w:val="26"/>
        </w:rPr>
        <w:t xml:space="preserve"> at 52, 54).</w:t>
      </w:r>
      <w:r w:rsidR="005056EB" w:rsidRPr="00217AC0">
        <w:rPr>
          <w:bCs/>
          <w:sz w:val="26"/>
          <w:szCs w:val="26"/>
        </w:rPr>
        <w:t xml:space="preserve">  Therefore, consistent with the foregoing discussion, the City asserts that the Commission should adopt the Recommended Decision and approve the Settlement submitted by I&amp;E and the City.  City R. Exc. at 13.  </w:t>
      </w:r>
    </w:p>
    <w:p w14:paraId="7498B703" w14:textId="77777777" w:rsidR="00E67562" w:rsidRPr="00217AC0" w:rsidRDefault="00E67562" w:rsidP="00217AC0">
      <w:pPr>
        <w:widowControl/>
        <w:spacing w:line="360" w:lineRule="auto"/>
        <w:rPr>
          <w:rFonts w:eastAsiaTheme="minorHAnsi"/>
          <w:sz w:val="26"/>
          <w:szCs w:val="26"/>
        </w:rPr>
      </w:pPr>
    </w:p>
    <w:p w14:paraId="0C74CDB1" w14:textId="77777777" w:rsidR="009566CA" w:rsidRPr="00217AC0" w:rsidRDefault="009566CA" w:rsidP="00217AC0">
      <w:pPr>
        <w:pStyle w:val="Heading3"/>
        <w:keepNext/>
        <w:ind w:left="1440" w:hanging="720"/>
        <w:rPr>
          <w:rFonts w:eastAsiaTheme="minorHAnsi"/>
        </w:rPr>
      </w:pPr>
      <w:bookmarkStart w:id="45" w:name="_Toc69230526"/>
      <w:r w:rsidRPr="00217AC0">
        <w:rPr>
          <w:rFonts w:eastAsiaTheme="minorHAnsi"/>
        </w:rPr>
        <w:t>Disposition</w:t>
      </w:r>
      <w:bookmarkEnd w:id="45"/>
    </w:p>
    <w:p w14:paraId="55BB3865" w14:textId="311E23A9" w:rsidR="009566CA" w:rsidRPr="00217AC0" w:rsidRDefault="009566CA" w:rsidP="00217AC0">
      <w:pPr>
        <w:keepNext/>
        <w:widowControl/>
        <w:spacing w:line="360" w:lineRule="auto"/>
        <w:rPr>
          <w:sz w:val="26"/>
          <w:szCs w:val="26"/>
        </w:rPr>
      </w:pPr>
    </w:p>
    <w:p w14:paraId="0BEA0350" w14:textId="31C9DDC4" w:rsidR="00F84205" w:rsidRPr="00217AC0" w:rsidRDefault="00F84205" w:rsidP="00217AC0">
      <w:pPr>
        <w:keepNext/>
        <w:widowControl/>
        <w:spacing w:line="360" w:lineRule="auto"/>
        <w:ind w:firstLine="1440"/>
        <w:rPr>
          <w:rFonts w:eastAsia="Calibri"/>
          <w:sz w:val="26"/>
          <w:szCs w:val="26"/>
        </w:rPr>
      </w:pPr>
      <w:r w:rsidRPr="00217AC0">
        <w:rPr>
          <w:rFonts w:eastAsia="Calibri"/>
          <w:sz w:val="26"/>
          <w:szCs w:val="26"/>
        </w:rPr>
        <w:t xml:space="preserve">Upon review, we shall deny the OCA’s Exception No. 1.  As discussed </w:t>
      </w:r>
      <w:r w:rsidRPr="00217AC0">
        <w:rPr>
          <w:rFonts w:eastAsia="Calibri"/>
          <w:i/>
          <w:iCs/>
          <w:sz w:val="26"/>
          <w:szCs w:val="26"/>
        </w:rPr>
        <w:t>supra</w:t>
      </w:r>
      <w:r w:rsidRPr="00217AC0">
        <w:rPr>
          <w:rFonts w:eastAsia="Calibri"/>
          <w:sz w:val="26"/>
          <w:szCs w:val="26"/>
        </w:rPr>
        <w:t xml:space="preserve">, our approval of the Settlement is predicated upon our conclusion that the Settlement is reasonable and in the public interest and supported by substantial evidence.  Further, the revenue increase under the terms of the Settlement acknowledges that, while the City may have a substantiated case for a rate increase, the COVID-19 pandemic is still ongoing, and therefore, it is appropriate, on balance, to consider factors which will mitigate the economic burden on ratepayers in this time of state-wide emergency.  Under the terms of the Settlement, the Joint Petitioners achieved a settlement which reduces the City’s originally proposed rate increase to mitigate the economic burden on ratepayers by reducing the City’s originally proposed rate </w:t>
      </w:r>
      <w:r w:rsidRPr="00217AC0">
        <w:rPr>
          <w:sz w:val="26"/>
          <w:szCs w:val="26"/>
        </w:rPr>
        <w:t>increases to the City’s consumption charges in outside-City revenues ranging from 8.</w:t>
      </w:r>
      <w:r w:rsidR="00CC135B" w:rsidRPr="00217AC0">
        <w:rPr>
          <w:sz w:val="26"/>
          <w:szCs w:val="26"/>
        </w:rPr>
        <w:t>2</w:t>
      </w:r>
      <w:r w:rsidRPr="00217AC0">
        <w:rPr>
          <w:sz w:val="26"/>
          <w:szCs w:val="26"/>
        </w:rPr>
        <w:t xml:space="preserve">% for the residential class to 12.6% for the industrial class, in lieu of the City’s request, which would have produced increases of </w:t>
      </w:r>
      <w:r w:rsidRPr="00217AC0">
        <w:rPr>
          <w:sz w:val="26"/>
          <w:szCs w:val="26"/>
        </w:rPr>
        <w:lastRenderedPageBreak/>
        <w:t xml:space="preserve">12.7% and 18.2% for those classes, respectively, </w:t>
      </w:r>
      <w:r w:rsidRPr="00217AC0">
        <w:rPr>
          <w:rFonts w:eastAsia="Calibri"/>
          <w:sz w:val="26"/>
          <w:szCs w:val="26"/>
        </w:rPr>
        <w:t xml:space="preserve">while affording the City revenue necessary to maintain safe and reliable water service.  </w:t>
      </w:r>
    </w:p>
    <w:p w14:paraId="2B8DD075" w14:textId="77777777" w:rsidR="00F84205" w:rsidRPr="00217AC0" w:rsidRDefault="00F84205" w:rsidP="00217AC0">
      <w:pPr>
        <w:widowControl/>
        <w:spacing w:line="360" w:lineRule="auto"/>
        <w:ind w:firstLine="1440"/>
        <w:rPr>
          <w:rFonts w:eastAsia="Calibri"/>
          <w:sz w:val="26"/>
          <w:szCs w:val="26"/>
        </w:rPr>
      </w:pPr>
    </w:p>
    <w:p w14:paraId="7A82DB69" w14:textId="0BD5F364" w:rsidR="00F84205" w:rsidRPr="00217AC0" w:rsidRDefault="00F84205" w:rsidP="00217AC0">
      <w:pPr>
        <w:widowControl/>
        <w:tabs>
          <w:tab w:val="left" w:pos="-720"/>
        </w:tabs>
        <w:suppressAutoHyphens/>
        <w:spacing w:after="160" w:line="360" w:lineRule="auto"/>
        <w:ind w:firstLine="1440"/>
        <w:rPr>
          <w:sz w:val="26"/>
          <w:szCs w:val="26"/>
        </w:rPr>
      </w:pPr>
      <w:r w:rsidRPr="00217AC0">
        <w:rPr>
          <w:rFonts w:eastAsia="Calibri"/>
          <w:sz w:val="26"/>
          <w:szCs w:val="26"/>
        </w:rPr>
        <w:t xml:space="preserve">Our disposition of this matter during the ongoing COVID-19 pandemic emergency, is guided by the ratemaking principles which </w:t>
      </w:r>
      <w:r w:rsidRPr="00217AC0">
        <w:rPr>
          <w:sz w:val="26"/>
          <w:szCs w:val="26"/>
        </w:rPr>
        <w:t xml:space="preserve">established that the Commission must ensure that a public utility’s rates are just and reasonable and not unduly discriminatory.  </w:t>
      </w:r>
      <w:r w:rsidRPr="00217AC0">
        <w:rPr>
          <w:i/>
          <w:iCs/>
          <w:sz w:val="26"/>
          <w:szCs w:val="26"/>
        </w:rPr>
        <w:t>See</w:t>
      </w:r>
      <w:r w:rsidRPr="00217AC0">
        <w:rPr>
          <w:sz w:val="26"/>
          <w:szCs w:val="26"/>
        </w:rPr>
        <w:t xml:space="preserve"> 66 Pa. C.S. §§ 1301, 1304.  “In determining just and reasonable rates, the PUC has discretion to determine the proper balance between interests of ratepayers and utilities…Further, the PUC is obliged to consider broad public interests in the rate-making process.”  </w:t>
      </w:r>
      <w:r w:rsidRPr="00217AC0">
        <w:rPr>
          <w:i/>
          <w:iCs/>
          <w:sz w:val="26"/>
          <w:szCs w:val="26"/>
        </w:rPr>
        <w:t>Popowsky I</w:t>
      </w:r>
      <w:r w:rsidRPr="00217AC0">
        <w:rPr>
          <w:sz w:val="26"/>
          <w:szCs w:val="26"/>
        </w:rPr>
        <w:t>, 665 A.2d at 812 (citations omitted);</w:t>
      </w:r>
      <w:r w:rsidRPr="00217AC0">
        <w:rPr>
          <w:i/>
          <w:iCs/>
          <w:sz w:val="26"/>
          <w:szCs w:val="26"/>
        </w:rPr>
        <w:t xml:space="preserve"> see also</w:t>
      </w:r>
      <w:r w:rsidR="006C3866" w:rsidRPr="00217AC0">
        <w:rPr>
          <w:i/>
          <w:iCs/>
          <w:sz w:val="26"/>
          <w:szCs w:val="26"/>
        </w:rPr>
        <w:t>,</w:t>
      </w:r>
      <w:r w:rsidRPr="00217AC0">
        <w:rPr>
          <w:sz w:val="26"/>
          <w:szCs w:val="26"/>
        </w:rPr>
        <w:t xml:space="preserve"> </w:t>
      </w:r>
      <w:r w:rsidRPr="00217AC0">
        <w:rPr>
          <w:i/>
          <w:iCs/>
          <w:sz w:val="26"/>
          <w:szCs w:val="26"/>
        </w:rPr>
        <w:t>Hope Natural Ga</w:t>
      </w:r>
      <w:r w:rsidRPr="00217AC0">
        <w:rPr>
          <w:sz w:val="26"/>
          <w:szCs w:val="26"/>
        </w:rPr>
        <w:t xml:space="preserve">s, 320 U.S. at 603 (the “…fixing of ‘just and reasonable’ rates, involves a balancing of the investor and the consumer interests…”).  </w:t>
      </w:r>
    </w:p>
    <w:p w14:paraId="09285338" w14:textId="77777777" w:rsidR="00F84205" w:rsidRPr="00217AC0" w:rsidRDefault="00F84205" w:rsidP="00217AC0">
      <w:pPr>
        <w:widowControl/>
        <w:tabs>
          <w:tab w:val="left" w:pos="-720"/>
        </w:tabs>
        <w:suppressAutoHyphens/>
        <w:spacing w:line="360" w:lineRule="auto"/>
        <w:ind w:firstLine="1440"/>
        <w:rPr>
          <w:sz w:val="26"/>
          <w:szCs w:val="26"/>
        </w:rPr>
      </w:pPr>
    </w:p>
    <w:p w14:paraId="6B0D396C" w14:textId="77777777" w:rsidR="00F84205" w:rsidRPr="00217AC0" w:rsidRDefault="00F84205" w:rsidP="00217AC0">
      <w:pPr>
        <w:widowControl/>
        <w:tabs>
          <w:tab w:val="left" w:pos="-720"/>
        </w:tabs>
        <w:suppressAutoHyphens/>
        <w:spacing w:line="360" w:lineRule="auto"/>
        <w:ind w:firstLine="1440"/>
        <w:rPr>
          <w:sz w:val="26"/>
          <w:szCs w:val="26"/>
        </w:rPr>
      </w:pPr>
      <w:r w:rsidRPr="00217AC0">
        <w:rPr>
          <w:sz w:val="26"/>
          <w:szCs w:val="26"/>
        </w:rPr>
        <w:t xml:space="preserve">Regarding our discretion in fixing just and reasonable rates, the Pennsylvania Supreme Court explained: </w:t>
      </w:r>
    </w:p>
    <w:p w14:paraId="7560D945" w14:textId="77777777" w:rsidR="00F84205" w:rsidRPr="00217AC0" w:rsidRDefault="00F84205" w:rsidP="0050146B">
      <w:pPr>
        <w:widowControl/>
        <w:rPr>
          <w:sz w:val="26"/>
          <w:szCs w:val="26"/>
        </w:rPr>
      </w:pPr>
    </w:p>
    <w:p w14:paraId="6AF53027" w14:textId="4EC8E093" w:rsidR="00D64BC5" w:rsidRDefault="00F84205" w:rsidP="00217AC0">
      <w:pPr>
        <w:widowControl/>
        <w:autoSpaceDE w:val="0"/>
        <w:autoSpaceDN w:val="0"/>
        <w:adjustRightInd w:val="0"/>
        <w:ind w:left="1440" w:right="1440"/>
        <w:contextualSpacing/>
        <w:rPr>
          <w:sz w:val="26"/>
          <w:szCs w:val="26"/>
        </w:rPr>
      </w:pPr>
      <w:r w:rsidRPr="00217AC0">
        <w:rPr>
          <w:sz w:val="26"/>
          <w:szCs w:val="26"/>
        </w:rPr>
        <w:t>There is ample authority for the proposition that the power to fix “just and reasonable” rates imports a flexibility in the exercise of a complicated regulatory function by a specialized decision-making body and that the term “just and reasonable” was not intended to confine the ambit of regulatory discretion to an absolute or mathematical formulation but rather to confer upon the regulatory body the power to make and apply policy concerning the appropriate balance between prices charged to utility customers and returns on capital to utility investors consonant with constitutional protections applicable to both.</w:t>
      </w:r>
    </w:p>
    <w:p w14:paraId="0B5C516E" w14:textId="77777777" w:rsidR="0050146B" w:rsidRPr="00217AC0" w:rsidRDefault="0050146B" w:rsidP="0050146B">
      <w:pPr>
        <w:widowControl/>
        <w:autoSpaceDE w:val="0"/>
        <w:autoSpaceDN w:val="0"/>
        <w:adjustRightInd w:val="0"/>
        <w:spacing w:line="360" w:lineRule="auto"/>
        <w:ind w:left="1440" w:right="1440"/>
        <w:contextualSpacing/>
        <w:rPr>
          <w:sz w:val="26"/>
          <w:szCs w:val="26"/>
        </w:rPr>
      </w:pPr>
    </w:p>
    <w:p w14:paraId="4CFE373A" w14:textId="77777777" w:rsidR="00F84205" w:rsidRPr="00217AC0" w:rsidRDefault="00F84205" w:rsidP="00217AC0">
      <w:pPr>
        <w:widowControl/>
        <w:spacing w:line="360" w:lineRule="auto"/>
        <w:rPr>
          <w:sz w:val="26"/>
          <w:szCs w:val="26"/>
        </w:rPr>
      </w:pPr>
      <w:r w:rsidRPr="00217AC0">
        <w:rPr>
          <w:i/>
          <w:iCs/>
          <w:sz w:val="26"/>
          <w:szCs w:val="26"/>
        </w:rPr>
        <w:t>Popowsky I</w:t>
      </w:r>
      <w:r w:rsidRPr="00217AC0">
        <w:rPr>
          <w:sz w:val="26"/>
          <w:szCs w:val="26"/>
        </w:rPr>
        <w:t xml:space="preserve">, 665 A.2d at 812 (citations omitted).  </w:t>
      </w:r>
    </w:p>
    <w:p w14:paraId="4F998E9A" w14:textId="77777777" w:rsidR="00F84205" w:rsidRPr="00217AC0" w:rsidRDefault="00F84205" w:rsidP="00217AC0">
      <w:pPr>
        <w:widowControl/>
        <w:spacing w:line="360" w:lineRule="auto"/>
        <w:rPr>
          <w:sz w:val="26"/>
          <w:szCs w:val="26"/>
        </w:rPr>
      </w:pPr>
    </w:p>
    <w:p w14:paraId="51007E50" w14:textId="77777777" w:rsidR="00F84205" w:rsidRPr="00217AC0" w:rsidRDefault="00F84205" w:rsidP="00217AC0">
      <w:pPr>
        <w:widowControl/>
        <w:spacing w:line="360" w:lineRule="auto"/>
        <w:ind w:firstLine="1440"/>
        <w:rPr>
          <w:sz w:val="26"/>
          <w:szCs w:val="26"/>
        </w:rPr>
      </w:pPr>
      <w:r w:rsidRPr="00217AC0">
        <w:rPr>
          <w:sz w:val="26"/>
          <w:szCs w:val="26"/>
        </w:rPr>
        <w:t xml:space="preserve">Here, as in </w:t>
      </w:r>
      <w:r w:rsidRPr="00217AC0">
        <w:rPr>
          <w:i/>
          <w:iCs/>
          <w:sz w:val="26"/>
          <w:szCs w:val="26"/>
        </w:rPr>
        <w:t>PAWC</w:t>
      </w:r>
      <w:r w:rsidRPr="00217AC0">
        <w:rPr>
          <w:sz w:val="26"/>
          <w:szCs w:val="26"/>
        </w:rPr>
        <w:t xml:space="preserve">, the main issue raised in the OCA’s Exception No. 1 is whether and how the ongoing COVID-19 global pandemic affects our authority and </w:t>
      </w:r>
      <w:r w:rsidRPr="00217AC0">
        <w:rPr>
          <w:sz w:val="26"/>
          <w:szCs w:val="26"/>
        </w:rPr>
        <w:lastRenderedPageBreak/>
        <w:t xml:space="preserve">discretion in determining just and reasonable rates to be charged by the utility during the prospective period in which its rates will be in effect.  As in </w:t>
      </w:r>
      <w:r w:rsidRPr="00217AC0">
        <w:rPr>
          <w:i/>
          <w:iCs/>
          <w:sz w:val="26"/>
          <w:szCs w:val="26"/>
        </w:rPr>
        <w:t>PAWC</w:t>
      </w:r>
      <w:r w:rsidRPr="00217AC0">
        <w:rPr>
          <w:sz w:val="26"/>
          <w:szCs w:val="26"/>
        </w:rPr>
        <w:t>, our present review relies upon ratemaking norms</w:t>
      </w:r>
      <w:r w:rsidRPr="00217AC0">
        <w:rPr>
          <w:sz w:val="26"/>
          <w:szCs w:val="26"/>
          <w:vertAlign w:val="superscript"/>
        </w:rPr>
        <w:footnoteReference w:id="30"/>
      </w:r>
      <w:r w:rsidRPr="00217AC0">
        <w:rPr>
          <w:sz w:val="26"/>
          <w:szCs w:val="26"/>
        </w:rPr>
        <w:t xml:space="preserve"> which have been developed over time and consistently utilized by parties in rate cases before the Commission to determine the appropriate level of a utility’s requested revenue increase in accordance with all applicable legal and constitutional standards.  </w:t>
      </w:r>
    </w:p>
    <w:p w14:paraId="1AFAB122" w14:textId="77777777" w:rsidR="00F84205" w:rsidRPr="00217AC0" w:rsidRDefault="00F84205" w:rsidP="00217AC0">
      <w:pPr>
        <w:widowControl/>
        <w:spacing w:line="360" w:lineRule="auto"/>
        <w:ind w:firstLine="1440"/>
        <w:rPr>
          <w:sz w:val="26"/>
          <w:szCs w:val="26"/>
        </w:rPr>
      </w:pPr>
    </w:p>
    <w:p w14:paraId="1E6A38AD" w14:textId="77777777" w:rsidR="00F84205" w:rsidRPr="00217AC0" w:rsidRDefault="00F84205" w:rsidP="00217AC0">
      <w:pPr>
        <w:widowControl/>
        <w:spacing w:line="360" w:lineRule="auto"/>
        <w:ind w:firstLine="1440"/>
        <w:rPr>
          <w:sz w:val="26"/>
          <w:szCs w:val="26"/>
        </w:rPr>
      </w:pPr>
      <w:r w:rsidRPr="00217AC0">
        <w:rPr>
          <w:sz w:val="26"/>
          <w:szCs w:val="26"/>
        </w:rPr>
        <w:t xml:space="preserve">Ratemaking norms and methodologies provide both structure and flexibility by which to determine a utility’s cost of providing service and to determine appropriate rate structure, among other things.  We reject the notion that the existence of extraordinary circumstances, such as the COVID-19 pandemic emergency, inhibits our continued use of these traditional ratemaking methodologies to determine the utility’s cost of service, or limits our ability to consider and weigh important factors or principles in setting just and reasonable rates, such as quality of service, gradualism, and rate affordability, </w:t>
      </w:r>
      <w:r w:rsidRPr="00217AC0">
        <w:rPr>
          <w:i/>
          <w:iCs/>
          <w:sz w:val="26"/>
          <w:szCs w:val="26"/>
        </w:rPr>
        <w:t>albeit</w:t>
      </w:r>
      <w:r w:rsidRPr="00217AC0">
        <w:rPr>
          <w:sz w:val="26"/>
          <w:szCs w:val="26"/>
        </w:rPr>
        <w:t xml:space="preserve"> during this pandemic.  </w:t>
      </w:r>
      <w:r w:rsidRPr="00217AC0">
        <w:rPr>
          <w:i/>
          <w:iCs/>
          <w:sz w:val="26"/>
          <w:szCs w:val="26"/>
        </w:rPr>
        <w:t>PAWC</w:t>
      </w:r>
      <w:r w:rsidRPr="00217AC0">
        <w:rPr>
          <w:sz w:val="26"/>
          <w:szCs w:val="26"/>
        </w:rPr>
        <w:t xml:space="preserve"> at 41-46.  Contrary to the OCA’s position, that the existence of the extraordinary circumstances precludes our consideration of a utilities request for a rate increase, t</w:t>
      </w:r>
      <w:r w:rsidRPr="00217AC0">
        <w:rPr>
          <w:rFonts w:eastAsia="Calibri"/>
          <w:sz w:val="26"/>
          <w:szCs w:val="26"/>
        </w:rPr>
        <w:t xml:space="preserve">hese ratemaking norms provide a flexible method for the Commission’s consideration and weighing of factors in setting just and reasonable rates, both in normal circumstances, and in extraordinary circumstances, such as a pandemic. </w:t>
      </w:r>
    </w:p>
    <w:p w14:paraId="6C0CF7B9" w14:textId="77777777" w:rsidR="00F84205" w:rsidRPr="00217AC0" w:rsidRDefault="00F84205" w:rsidP="00217AC0">
      <w:pPr>
        <w:widowControl/>
        <w:spacing w:line="360" w:lineRule="auto"/>
        <w:ind w:firstLine="1440"/>
        <w:rPr>
          <w:rFonts w:eastAsia="Calibri"/>
          <w:sz w:val="26"/>
          <w:szCs w:val="26"/>
        </w:rPr>
      </w:pPr>
    </w:p>
    <w:p w14:paraId="48885ADC" w14:textId="2360A3E4" w:rsidR="00F84205" w:rsidRPr="00217AC0" w:rsidRDefault="00F84205" w:rsidP="00217AC0">
      <w:pPr>
        <w:widowControl/>
        <w:spacing w:line="360" w:lineRule="auto"/>
        <w:ind w:firstLine="1440"/>
        <w:rPr>
          <w:rFonts w:eastAsia="Calibri"/>
          <w:sz w:val="26"/>
          <w:szCs w:val="26"/>
        </w:rPr>
      </w:pPr>
      <w:r w:rsidRPr="00217AC0">
        <w:rPr>
          <w:rFonts w:eastAsia="Calibri"/>
          <w:sz w:val="26"/>
          <w:szCs w:val="26"/>
        </w:rPr>
        <w:t xml:space="preserve">Here, our analysis of the Settlement is guided by these ratemaking norms, and consistent with the constitutional standards articulated in </w:t>
      </w:r>
      <w:r w:rsidRPr="00217AC0">
        <w:rPr>
          <w:rFonts w:eastAsia="Calibri"/>
          <w:i/>
          <w:iCs/>
          <w:sz w:val="26"/>
          <w:szCs w:val="26"/>
        </w:rPr>
        <w:t xml:space="preserve">Bluefield </w:t>
      </w:r>
      <w:r w:rsidRPr="00217AC0">
        <w:rPr>
          <w:rFonts w:eastAsia="Calibri"/>
          <w:sz w:val="26"/>
          <w:szCs w:val="26"/>
        </w:rPr>
        <w:t xml:space="preserve">and </w:t>
      </w:r>
      <w:r w:rsidRPr="00217AC0">
        <w:rPr>
          <w:rFonts w:eastAsia="Calibri"/>
          <w:i/>
          <w:iCs/>
          <w:sz w:val="26"/>
          <w:szCs w:val="26"/>
        </w:rPr>
        <w:t>Hope Natural Gas</w:t>
      </w:r>
      <w:r w:rsidRPr="00217AC0">
        <w:rPr>
          <w:rFonts w:eastAsia="Calibri"/>
          <w:sz w:val="26"/>
          <w:szCs w:val="26"/>
        </w:rPr>
        <w:t xml:space="preserve">, and in the exercise of our discretion, we are persuaded that </w:t>
      </w:r>
      <w:r w:rsidRPr="00217AC0">
        <w:rPr>
          <w:noProof/>
          <w:sz w:val="26"/>
          <w:szCs w:val="26"/>
        </w:rPr>
        <w:t>the rates, terms and conditions of the Settlelment are just and reasonable, supported by substantial evidence of record, achieve a fair and equit</w:t>
      </w:r>
      <w:r w:rsidR="00074B39" w:rsidRPr="00217AC0">
        <w:rPr>
          <w:noProof/>
          <w:sz w:val="26"/>
          <w:szCs w:val="26"/>
        </w:rPr>
        <w:t>a</w:t>
      </w:r>
      <w:r w:rsidRPr="00217AC0">
        <w:rPr>
          <w:noProof/>
          <w:sz w:val="26"/>
          <w:szCs w:val="26"/>
        </w:rPr>
        <w:t xml:space="preserve">ble balance of the </w:t>
      </w:r>
      <w:r w:rsidRPr="00217AC0">
        <w:rPr>
          <w:rFonts w:eastAsia="Calibri"/>
          <w:sz w:val="26"/>
          <w:szCs w:val="26"/>
        </w:rPr>
        <w:t xml:space="preserve">issues impacting the City, residential </w:t>
      </w:r>
      <w:r w:rsidRPr="00217AC0">
        <w:rPr>
          <w:rFonts w:eastAsia="Calibri"/>
          <w:sz w:val="26"/>
          <w:szCs w:val="26"/>
        </w:rPr>
        <w:lastRenderedPageBreak/>
        <w:t xml:space="preserve">consumers, business customers, and the public interest at large.  Accordingly, to the extent the OCA avers that the Settlement should be rejected due to the COVID-19 pandemic emergency, the OCA’s Exception No. 1 is denied. </w:t>
      </w:r>
    </w:p>
    <w:p w14:paraId="32127E11" w14:textId="77777777" w:rsidR="00F84205" w:rsidRPr="00217AC0" w:rsidRDefault="00F84205" w:rsidP="00217AC0">
      <w:pPr>
        <w:widowControl/>
        <w:spacing w:line="360" w:lineRule="auto"/>
        <w:ind w:firstLine="1440"/>
        <w:rPr>
          <w:rFonts w:eastAsia="Calibri"/>
          <w:sz w:val="26"/>
          <w:szCs w:val="26"/>
        </w:rPr>
      </w:pPr>
    </w:p>
    <w:p w14:paraId="0A7B2B58" w14:textId="049AAD98" w:rsidR="00F84205" w:rsidRPr="00217AC0" w:rsidRDefault="00F84205" w:rsidP="00217AC0">
      <w:pPr>
        <w:widowControl/>
        <w:spacing w:line="360" w:lineRule="auto"/>
        <w:ind w:firstLine="1440"/>
        <w:rPr>
          <w:rFonts w:eastAsiaTheme="minorHAnsi"/>
          <w:sz w:val="26"/>
          <w:szCs w:val="26"/>
        </w:rPr>
      </w:pPr>
      <w:r w:rsidRPr="00217AC0">
        <w:rPr>
          <w:rFonts w:eastAsiaTheme="minorHAnsi"/>
          <w:sz w:val="26"/>
          <w:szCs w:val="26"/>
        </w:rPr>
        <w:t xml:space="preserve">To the extent the OCA asserts in its Exception No 1, that the evidence fails to establish it is necessary to increase rates for the City to earn a fair rate of return, we reject the OCA’s position.  The OCA argues that absent a rate increase, the City would still have enough revenue to provide safe and reliable service, asserting, </w:t>
      </w:r>
      <w:r w:rsidRPr="00217AC0">
        <w:rPr>
          <w:rFonts w:eastAsiaTheme="minorHAnsi"/>
          <w:i/>
          <w:iCs/>
          <w:sz w:val="26"/>
          <w:szCs w:val="26"/>
        </w:rPr>
        <w:t>inter alia</w:t>
      </w:r>
      <w:r w:rsidRPr="00217AC0">
        <w:rPr>
          <w:rFonts w:eastAsiaTheme="minorHAnsi"/>
          <w:sz w:val="26"/>
          <w:szCs w:val="26"/>
        </w:rPr>
        <w:t>, that the City’s projections in its “early pandemic filing” are unreliable, and that the record does not support a $689,932 increase.  OCA Exc. at 2, 11-12, 18-19, 23-26.  Further, t</w:t>
      </w:r>
      <w:r w:rsidRPr="00217AC0">
        <w:rPr>
          <w:sz w:val="26"/>
          <w:szCs w:val="26"/>
        </w:rPr>
        <w:t>he OCA maintains that the City’s return at present rates of 5.65% is “more than adequate” and suggests that the City can avoid the need for additional revenue by holding off on all but the absolute necessary system improvement projects.  OCA Exc. at 2-3, 12, 17, 24</w:t>
      </w:r>
      <w:r w:rsidR="0050146B">
        <w:rPr>
          <w:sz w:val="26"/>
          <w:szCs w:val="26"/>
        </w:rPr>
        <w:noBreakHyphen/>
      </w:r>
      <w:r w:rsidRPr="00217AC0">
        <w:rPr>
          <w:sz w:val="26"/>
          <w:szCs w:val="26"/>
        </w:rPr>
        <w:t>25.  Finally, the OCA notes that it has presented testimony on revenue requirement, including cost of capital that establishes the revenue increase should be no more than $443,666 for outside-City customers.  OCA Exc. at 26.</w:t>
      </w:r>
    </w:p>
    <w:p w14:paraId="323A884A" w14:textId="77777777" w:rsidR="00F84205" w:rsidRPr="00217AC0" w:rsidRDefault="00F84205" w:rsidP="00217AC0">
      <w:pPr>
        <w:widowControl/>
        <w:spacing w:line="360" w:lineRule="auto"/>
        <w:rPr>
          <w:rFonts w:eastAsiaTheme="minorHAnsi"/>
          <w:sz w:val="26"/>
          <w:szCs w:val="26"/>
        </w:rPr>
      </w:pPr>
    </w:p>
    <w:p w14:paraId="1E9565DB" w14:textId="4275765B" w:rsidR="00F84205" w:rsidRPr="00217AC0" w:rsidRDefault="00F84205" w:rsidP="00217AC0">
      <w:pPr>
        <w:widowControl/>
        <w:spacing w:line="360" w:lineRule="auto"/>
        <w:ind w:firstLine="1440"/>
        <w:rPr>
          <w:color w:val="1D1D1D"/>
          <w:sz w:val="26"/>
          <w:szCs w:val="26"/>
        </w:rPr>
      </w:pPr>
      <w:r w:rsidRPr="00217AC0">
        <w:rPr>
          <w:color w:val="1D1D1D"/>
          <w:sz w:val="26"/>
          <w:szCs w:val="26"/>
        </w:rPr>
        <w:t xml:space="preserve">However, while the OCA has presented evidence to contradict the City’s claimed original requested rate increase and to oppose the City’s rate increase achieved per the Settlement, the OCA failed to demonstrate how the proffered conflicting evidence supports the conclusion that the base rates under the Settlement are either unreasonable or not in the public interest.  We note that the “presence of conflicting evidence in the record does not mean that substantial evidence is lacking.” </w:t>
      </w:r>
      <w:r w:rsidRPr="00217AC0">
        <w:rPr>
          <w:i/>
          <w:color w:val="1D1D1D"/>
          <w:sz w:val="26"/>
          <w:szCs w:val="26"/>
        </w:rPr>
        <w:t>Allied Mech. And Elec., Inc. v. Pa. Prevailing Wage Appeal Bd.</w:t>
      </w:r>
      <w:r w:rsidRPr="00217AC0">
        <w:rPr>
          <w:color w:val="1D1D1D"/>
          <w:sz w:val="26"/>
          <w:szCs w:val="26"/>
        </w:rPr>
        <w:t>, 923 A.2d 1220, 1228 (Pa. Cmwlth</w:t>
      </w:r>
      <w:r w:rsidR="0050146B">
        <w:rPr>
          <w:color w:val="1D1D1D"/>
          <w:sz w:val="26"/>
          <w:szCs w:val="26"/>
        </w:rPr>
        <w:t>.</w:t>
      </w:r>
      <w:r w:rsidRPr="00217AC0">
        <w:rPr>
          <w:color w:val="1D1D1D"/>
          <w:sz w:val="26"/>
          <w:szCs w:val="26"/>
        </w:rPr>
        <w:t xml:space="preserve"> 2007) (citation omitted).</w:t>
      </w:r>
    </w:p>
    <w:p w14:paraId="417146EF" w14:textId="77777777" w:rsidR="00EF6904" w:rsidRPr="00217AC0" w:rsidRDefault="00EF6904" w:rsidP="00217AC0">
      <w:pPr>
        <w:widowControl/>
        <w:spacing w:line="360" w:lineRule="auto"/>
        <w:ind w:firstLine="1440"/>
        <w:rPr>
          <w:color w:val="000000"/>
          <w:sz w:val="26"/>
          <w:szCs w:val="26"/>
        </w:rPr>
      </w:pPr>
    </w:p>
    <w:p w14:paraId="647147A4" w14:textId="143D901E" w:rsidR="00F84205" w:rsidRPr="00217AC0" w:rsidRDefault="00F84205" w:rsidP="00217AC0">
      <w:pPr>
        <w:widowControl/>
        <w:spacing w:line="360" w:lineRule="auto"/>
        <w:ind w:firstLine="1440"/>
        <w:rPr>
          <w:sz w:val="26"/>
          <w:szCs w:val="26"/>
        </w:rPr>
      </w:pPr>
      <w:r w:rsidRPr="00217AC0">
        <w:rPr>
          <w:sz w:val="26"/>
          <w:szCs w:val="26"/>
        </w:rPr>
        <w:t xml:space="preserve">Because we conclude that the Settlement is supported by substantial credible evidence, and is reasonable and in the public interest, we find the OCA’s </w:t>
      </w:r>
      <w:r w:rsidRPr="00217AC0">
        <w:rPr>
          <w:sz w:val="26"/>
          <w:szCs w:val="26"/>
        </w:rPr>
        <w:lastRenderedPageBreak/>
        <w:t xml:space="preserve">arguments premised on conflicting evidence in the record to be unpersuasive, and we shall, therefore, deny the OCA’s Exception No. 1. </w:t>
      </w:r>
    </w:p>
    <w:p w14:paraId="27FFFA80" w14:textId="77777777" w:rsidR="009566CA" w:rsidRPr="00217AC0" w:rsidRDefault="009566CA" w:rsidP="00217AC0">
      <w:pPr>
        <w:widowControl/>
        <w:spacing w:line="360" w:lineRule="auto"/>
        <w:rPr>
          <w:sz w:val="26"/>
          <w:szCs w:val="26"/>
        </w:rPr>
      </w:pPr>
    </w:p>
    <w:p w14:paraId="383247D7" w14:textId="1BFAADC2" w:rsidR="0009690C" w:rsidRPr="00217AC0" w:rsidRDefault="009566CA" w:rsidP="00217AC0">
      <w:pPr>
        <w:pStyle w:val="Heading2"/>
        <w:widowControl/>
        <w:numPr>
          <w:ilvl w:val="0"/>
          <w:numId w:val="10"/>
        </w:numPr>
        <w:ind w:hanging="720"/>
        <w:rPr>
          <w:rFonts w:eastAsiaTheme="minorHAnsi"/>
        </w:rPr>
      </w:pPr>
      <w:bookmarkStart w:id="46" w:name="_Toc69230527"/>
      <w:r w:rsidRPr="00217AC0">
        <w:t>Rate Base</w:t>
      </w:r>
      <w:bookmarkEnd w:id="46"/>
    </w:p>
    <w:p w14:paraId="16F329F7" w14:textId="79740162" w:rsidR="00ED2D75" w:rsidRPr="00217AC0" w:rsidRDefault="00ED2D75" w:rsidP="00217AC0">
      <w:pPr>
        <w:keepNext/>
        <w:widowControl/>
        <w:spacing w:line="360" w:lineRule="auto"/>
        <w:rPr>
          <w:rFonts w:eastAsiaTheme="minorHAnsi"/>
          <w:sz w:val="26"/>
          <w:szCs w:val="26"/>
        </w:rPr>
      </w:pPr>
    </w:p>
    <w:p w14:paraId="7265F859" w14:textId="01910D50" w:rsidR="00CE59BD" w:rsidRPr="00217AC0" w:rsidRDefault="00CE59BD" w:rsidP="00217AC0">
      <w:pPr>
        <w:keepNext/>
        <w:widowControl/>
        <w:spacing w:line="360" w:lineRule="auto"/>
        <w:ind w:firstLine="1440"/>
        <w:rPr>
          <w:rFonts w:eastAsiaTheme="minorHAnsi"/>
          <w:sz w:val="26"/>
          <w:szCs w:val="26"/>
        </w:rPr>
      </w:pPr>
      <w:r w:rsidRPr="00217AC0">
        <w:rPr>
          <w:rFonts w:eastAsiaTheme="minorHAnsi"/>
          <w:sz w:val="26"/>
          <w:szCs w:val="26"/>
        </w:rPr>
        <w:t>A utility’s rate base is essentially the company’s “prudent” capital investment, net of accumulated depreciation</w:t>
      </w:r>
      <w:r w:rsidR="00C94848" w:rsidRPr="00217AC0">
        <w:rPr>
          <w:rFonts w:eastAsiaTheme="minorHAnsi"/>
          <w:sz w:val="26"/>
          <w:szCs w:val="26"/>
        </w:rPr>
        <w:t>, plus other additions</w:t>
      </w:r>
      <w:r w:rsidR="00F93077" w:rsidRPr="00217AC0">
        <w:rPr>
          <w:rFonts w:eastAsiaTheme="minorHAnsi"/>
          <w:sz w:val="26"/>
          <w:szCs w:val="26"/>
        </w:rPr>
        <w:t>, such as cash working capital (CWC),</w:t>
      </w:r>
      <w:r w:rsidR="00C94848" w:rsidRPr="00217AC0">
        <w:rPr>
          <w:rFonts w:eastAsiaTheme="minorHAnsi"/>
          <w:sz w:val="26"/>
          <w:szCs w:val="26"/>
        </w:rPr>
        <w:t xml:space="preserve"> and deductions that the Commission determines to be necessary in order to keep the utility operating and providing safe and reliable service to its customers</w:t>
      </w:r>
      <w:r w:rsidRPr="00217AC0">
        <w:rPr>
          <w:rFonts w:eastAsiaTheme="minorHAnsi"/>
          <w:sz w:val="26"/>
          <w:szCs w:val="26"/>
        </w:rPr>
        <w:t xml:space="preserve">.  Stated differently, it is the net asset base from which the utility provides electric, natural gas, or, in this instance, water service, and upon which the utility is </w:t>
      </w:r>
      <w:r w:rsidR="003F49C4" w:rsidRPr="00217AC0">
        <w:rPr>
          <w:rFonts w:eastAsiaTheme="minorHAnsi"/>
          <w:sz w:val="26"/>
          <w:szCs w:val="26"/>
        </w:rPr>
        <w:t>provided the opportunity to</w:t>
      </w:r>
      <w:r w:rsidRPr="00217AC0">
        <w:rPr>
          <w:rFonts w:eastAsiaTheme="minorHAnsi"/>
          <w:sz w:val="26"/>
          <w:szCs w:val="26"/>
        </w:rPr>
        <w:t xml:space="preserve"> earn a rate of return.  Thus, the rate base value is a key variable in the determination of a utility’s revenue requirement.  </w:t>
      </w:r>
    </w:p>
    <w:p w14:paraId="4C389E99" w14:textId="3329354A" w:rsidR="00CE59BD" w:rsidRPr="00217AC0" w:rsidRDefault="00CE59BD" w:rsidP="00217AC0">
      <w:pPr>
        <w:widowControl/>
        <w:spacing w:line="360" w:lineRule="auto"/>
        <w:ind w:firstLine="1440"/>
        <w:rPr>
          <w:rFonts w:eastAsiaTheme="minorHAnsi"/>
          <w:sz w:val="26"/>
          <w:szCs w:val="26"/>
        </w:rPr>
      </w:pPr>
    </w:p>
    <w:p w14:paraId="47E37811" w14:textId="542628DD" w:rsidR="00CB2048" w:rsidRPr="00217AC0" w:rsidRDefault="00F71758" w:rsidP="00217AC0">
      <w:pPr>
        <w:widowControl/>
        <w:spacing w:line="360" w:lineRule="auto"/>
        <w:ind w:firstLine="1440"/>
        <w:rPr>
          <w:sz w:val="26"/>
          <w:szCs w:val="26"/>
        </w:rPr>
      </w:pPr>
      <w:r w:rsidRPr="00217AC0">
        <w:rPr>
          <w:rFonts w:eastAsiaTheme="minorHAnsi"/>
          <w:sz w:val="26"/>
          <w:szCs w:val="26"/>
        </w:rPr>
        <w:t>In this matter, the City</w:t>
      </w:r>
      <w:r w:rsidR="00E83FAF" w:rsidRPr="00217AC0">
        <w:rPr>
          <w:rFonts w:eastAsiaTheme="minorHAnsi"/>
          <w:sz w:val="26"/>
          <w:szCs w:val="26"/>
        </w:rPr>
        <w:t xml:space="preserve"> originally</w:t>
      </w:r>
      <w:r w:rsidRPr="00217AC0">
        <w:rPr>
          <w:rFonts w:eastAsiaTheme="minorHAnsi"/>
          <w:sz w:val="26"/>
          <w:szCs w:val="26"/>
        </w:rPr>
        <w:t xml:space="preserve"> claimed a total </w:t>
      </w:r>
      <w:r w:rsidR="00FA1D7E" w:rsidRPr="00217AC0">
        <w:rPr>
          <w:rFonts w:eastAsiaTheme="minorHAnsi"/>
          <w:sz w:val="26"/>
          <w:szCs w:val="26"/>
        </w:rPr>
        <w:t xml:space="preserve">FTY </w:t>
      </w:r>
      <w:r w:rsidRPr="00217AC0">
        <w:rPr>
          <w:rFonts w:eastAsiaTheme="minorHAnsi"/>
          <w:sz w:val="26"/>
          <w:szCs w:val="26"/>
        </w:rPr>
        <w:t>rate base of $127,003,215</w:t>
      </w:r>
      <w:r w:rsidR="00FA1D7E" w:rsidRPr="00217AC0">
        <w:rPr>
          <w:rFonts w:eastAsiaTheme="minorHAnsi"/>
          <w:sz w:val="26"/>
          <w:szCs w:val="26"/>
        </w:rPr>
        <w:t>, which includes</w:t>
      </w:r>
      <w:r w:rsidR="00CF59CA" w:rsidRPr="00217AC0">
        <w:rPr>
          <w:rFonts w:eastAsiaTheme="minorHAnsi"/>
          <w:sz w:val="26"/>
          <w:szCs w:val="26"/>
        </w:rPr>
        <w:t xml:space="preserve"> a</w:t>
      </w:r>
      <w:r w:rsidR="00FA1D7E" w:rsidRPr="00217AC0">
        <w:rPr>
          <w:rFonts w:eastAsiaTheme="minorHAnsi"/>
          <w:sz w:val="26"/>
          <w:szCs w:val="26"/>
        </w:rPr>
        <w:t xml:space="preserve"> total FTY projected plant in service of $201,950,540, inclusive of</w:t>
      </w:r>
      <w:r w:rsidR="006A4ED2" w:rsidRPr="00217AC0">
        <w:rPr>
          <w:rFonts w:eastAsiaTheme="minorHAnsi"/>
          <w:sz w:val="26"/>
          <w:szCs w:val="26"/>
        </w:rPr>
        <w:t xml:space="preserve"> $4,385,805 of</w:t>
      </w:r>
      <w:r w:rsidR="00FA1D7E" w:rsidRPr="00217AC0">
        <w:rPr>
          <w:rFonts w:eastAsiaTheme="minorHAnsi"/>
          <w:sz w:val="26"/>
          <w:szCs w:val="26"/>
        </w:rPr>
        <w:t xml:space="preserve"> plant additions projected to take place in</w:t>
      </w:r>
      <w:r w:rsidR="006A4ED2" w:rsidRPr="00217AC0">
        <w:rPr>
          <w:rFonts w:eastAsiaTheme="minorHAnsi"/>
          <w:sz w:val="26"/>
          <w:szCs w:val="26"/>
        </w:rPr>
        <w:t xml:space="preserve"> the</w:t>
      </w:r>
      <w:r w:rsidR="00FA1D7E" w:rsidRPr="00217AC0">
        <w:rPr>
          <w:rFonts w:eastAsiaTheme="minorHAnsi"/>
          <w:sz w:val="26"/>
          <w:szCs w:val="26"/>
        </w:rPr>
        <w:t xml:space="preserve"> FTY (less $136,660 of retirements for a net change in plant in service for 2020 of $4,249,145).  </w:t>
      </w:r>
      <w:r w:rsidR="00CF59CA" w:rsidRPr="00217AC0">
        <w:rPr>
          <w:rFonts w:eastAsiaTheme="minorHAnsi"/>
          <w:sz w:val="26"/>
          <w:szCs w:val="26"/>
        </w:rPr>
        <w:t>City</w:t>
      </w:r>
      <w:r w:rsidR="0050146B">
        <w:rPr>
          <w:rFonts w:eastAsiaTheme="minorHAnsi"/>
          <w:sz w:val="26"/>
          <w:szCs w:val="26"/>
        </w:rPr>
        <w:t> </w:t>
      </w:r>
      <w:r w:rsidR="00CF59CA" w:rsidRPr="00217AC0">
        <w:rPr>
          <w:rFonts w:eastAsiaTheme="minorHAnsi"/>
          <w:sz w:val="26"/>
          <w:szCs w:val="26"/>
        </w:rPr>
        <w:t xml:space="preserve">M.B. at 16; </w:t>
      </w:r>
      <w:r w:rsidR="00CF59CA" w:rsidRPr="00217AC0">
        <w:rPr>
          <w:sz w:val="26"/>
          <w:szCs w:val="26"/>
        </w:rPr>
        <w:t xml:space="preserve">City St. No. 1, Attachment 1 at 20; </w:t>
      </w:r>
      <w:r w:rsidR="006A4ED2" w:rsidRPr="00217AC0">
        <w:rPr>
          <w:sz w:val="26"/>
          <w:szCs w:val="26"/>
        </w:rPr>
        <w:t xml:space="preserve">I&amp;E Exh. 3, Sch. 3.  </w:t>
      </w:r>
      <w:r w:rsidR="00E83FAF" w:rsidRPr="00217AC0">
        <w:rPr>
          <w:sz w:val="26"/>
          <w:szCs w:val="26"/>
        </w:rPr>
        <w:t>The City allocated $49,031,825 of the total FTY rate base of $127,003,215 to outside-City service.  City M.B. at 16; City St. No. 1, Attachment 1 at 13.</w:t>
      </w:r>
      <w:r w:rsidR="00AB1229" w:rsidRPr="00217AC0">
        <w:rPr>
          <w:sz w:val="26"/>
          <w:szCs w:val="26"/>
        </w:rPr>
        <w:t xml:space="preserve"> </w:t>
      </w:r>
    </w:p>
    <w:p w14:paraId="23D4FBCA" w14:textId="77777777" w:rsidR="00CB2048" w:rsidRPr="00217AC0" w:rsidRDefault="00CB2048" w:rsidP="00217AC0">
      <w:pPr>
        <w:widowControl/>
        <w:spacing w:line="360" w:lineRule="auto"/>
        <w:ind w:firstLine="1440"/>
        <w:rPr>
          <w:sz w:val="26"/>
          <w:szCs w:val="26"/>
        </w:rPr>
      </w:pPr>
    </w:p>
    <w:p w14:paraId="00A8E302" w14:textId="193C90F2" w:rsidR="00CB2048" w:rsidRPr="00217AC0" w:rsidRDefault="00CB2048" w:rsidP="00217AC0">
      <w:pPr>
        <w:widowControl/>
        <w:spacing w:line="360" w:lineRule="auto"/>
        <w:ind w:firstLine="1440"/>
        <w:rPr>
          <w:sz w:val="26"/>
          <w:szCs w:val="26"/>
        </w:rPr>
      </w:pPr>
      <w:r w:rsidRPr="00217AC0">
        <w:rPr>
          <w:sz w:val="26"/>
          <w:szCs w:val="26"/>
        </w:rPr>
        <w:t>The OCA disagreed with the City’s level of plant in service projected for the FTY, identifying five projects that the OCA contended will not be in service until after December 31, 2020</w:t>
      </w:r>
      <w:r w:rsidR="003939F3" w:rsidRPr="00217AC0">
        <w:rPr>
          <w:sz w:val="26"/>
          <w:szCs w:val="26"/>
        </w:rPr>
        <w:t>, and should therefore be removed from the City’s FTY plant in service</w:t>
      </w:r>
      <w:r w:rsidRPr="00217AC0">
        <w:rPr>
          <w:sz w:val="26"/>
          <w:szCs w:val="26"/>
        </w:rPr>
        <w:t>.  Specifically, these projects relate to:</w:t>
      </w:r>
      <w:r w:rsidR="00430DD7" w:rsidRPr="00217AC0">
        <w:rPr>
          <w:sz w:val="26"/>
          <w:szCs w:val="26"/>
        </w:rPr>
        <w:t xml:space="preserve"> </w:t>
      </w:r>
      <w:r w:rsidRPr="00217AC0">
        <w:rPr>
          <w:sz w:val="26"/>
          <w:szCs w:val="26"/>
        </w:rPr>
        <w:t>(1) a well generator under Account 312.13; (2) an emergency generator and</w:t>
      </w:r>
      <w:r w:rsidR="00252D64" w:rsidRPr="00217AC0">
        <w:rPr>
          <w:sz w:val="26"/>
          <w:szCs w:val="26"/>
        </w:rPr>
        <w:t xml:space="preserve"> (3)</w:t>
      </w:r>
      <w:r w:rsidRPr="00217AC0">
        <w:rPr>
          <w:sz w:val="26"/>
          <w:szCs w:val="26"/>
        </w:rPr>
        <w:t xml:space="preserve"> roof replacement at the water treatment plant under Account 312.30; (</w:t>
      </w:r>
      <w:r w:rsidR="00252D64" w:rsidRPr="00217AC0">
        <w:rPr>
          <w:sz w:val="26"/>
          <w:szCs w:val="26"/>
        </w:rPr>
        <w:t>4</w:t>
      </w:r>
      <w:r w:rsidRPr="00217AC0">
        <w:rPr>
          <w:sz w:val="26"/>
          <w:szCs w:val="26"/>
        </w:rPr>
        <w:t>) fire pump station engineering and construction under Account 316;</w:t>
      </w:r>
      <w:r w:rsidR="00BD192C" w:rsidRPr="00217AC0">
        <w:rPr>
          <w:sz w:val="26"/>
          <w:szCs w:val="26"/>
        </w:rPr>
        <w:t xml:space="preserve"> </w:t>
      </w:r>
      <w:r w:rsidR="00BD192C" w:rsidRPr="00217AC0">
        <w:rPr>
          <w:sz w:val="26"/>
          <w:szCs w:val="26"/>
        </w:rPr>
        <w:lastRenderedPageBreak/>
        <w:t>and</w:t>
      </w:r>
      <w:r w:rsidRPr="00217AC0">
        <w:rPr>
          <w:sz w:val="26"/>
          <w:szCs w:val="26"/>
        </w:rPr>
        <w:t xml:space="preserve"> (</w:t>
      </w:r>
      <w:r w:rsidR="00252D64" w:rsidRPr="00217AC0">
        <w:rPr>
          <w:sz w:val="26"/>
          <w:szCs w:val="26"/>
        </w:rPr>
        <w:t>5</w:t>
      </w:r>
      <w:r w:rsidRPr="00217AC0">
        <w:rPr>
          <w:sz w:val="26"/>
          <w:szCs w:val="26"/>
        </w:rPr>
        <w:t>) the Hecktown Road Bridge main replacement project under Account 322.  OCA</w:t>
      </w:r>
      <w:r w:rsidR="0050146B">
        <w:rPr>
          <w:sz w:val="26"/>
          <w:szCs w:val="26"/>
        </w:rPr>
        <w:t> </w:t>
      </w:r>
      <w:r w:rsidRPr="00217AC0">
        <w:rPr>
          <w:sz w:val="26"/>
          <w:szCs w:val="26"/>
        </w:rPr>
        <w:t xml:space="preserve">St. No. 2 at </w:t>
      </w:r>
      <w:r w:rsidR="00667A97" w:rsidRPr="00217AC0">
        <w:rPr>
          <w:sz w:val="26"/>
          <w:szCs w:val="26"/>
        </w:rPr>
        <w:t xml:space="preserve">6-7.  </w:t>
      </w:r>
    </w:p>
    <w:p w14:paraId="702C7E79" w14:textId="77777777" w:rsidR="00CB2048" w:rsidRPr="00217AC0" w:rsidRDefault="00CB2048" w:rsidP="00217AC0">
      <w:pPr>
        <w:widowControl/>
        <w:spacing w:line="360" w:lineRule="auto"/>
        <w:ind w:firstLine="1440"/>
        <w:rPr>
          <w:sz w:val="26"/>
          <w:szCs w:val="26"/>
        </w:rPr>
      </w:pPr>
    </w:p>
    <w:p w14:paraId="4EEE2C54" w14:textId="439151A8" w:rsidR="00CE59BD" w:rsidRPr="00217AC0" w:rsidRDefault="003939F3" w:rsidP="00217AC0">
      <w:pPr>
        <w:widowControl/>
        <w:spacing w:line="360" w:lineRule="auto"/>
        <w:ind w:firstLine="1440"/>
        <w:rPr>
          <w:sz w:val="26"/>
          <w:szCs w:val="26"/>
        </w:rPr>
      </w:pPr>
      <w:bookmarkStart w:id="47" w:name="_Hlk66867183"/>
      <w:r w:rsidRPr="00217AC0">
        <w:rPr>
          <w:sz w:val="26"/>
          <w:szCs w:val="26"/>
        </w:rPr>
        <w:t>A</w:t>
      </w:r>
      <w:r w:rsidR="00AB1229" w:rsidRPr="00217AC0">
        <w:rPr>
          <w:sz w:val="26"/>
          <w:szCs w:val="26"/>
        </w:rPr>
        <w:t>fter review of the</w:t>
      </w:r>
      <w:r w:rsidR="00ED44B7" w:rsidRPr="00217AC0">
        <w:rPr>
          <w:sz w:val="26"/>
          <w:szCs w:val="26"/>
        </w:rPr>
        <w:t xml:space="preserve"> OCA’s</w:t>
      </w:r>
      <w:r w:rsidR="00AB1229" w:rsidRPr="00217AC0">
        <w:rPr>
          <w:sz w:val="26"/>
          <w:szCs w:val="26"/>
        </w:rPr>
        <w:t xml:space="preserve"> recommended adjustments to the projected plant in service</w:t>
      </w:r>
      <w:r w:rsidRPr="00217AC0">
        <w:rPr>
          <w:sz w:val="26"/>
          <w:szCs w:val="26"/>
        </w:rPr>
        <w:t>, described above,</w:t>
      </w:r>
      <w:r w:rsidR="00AB1229" w:rsidRPr="00217AC0">
        <w:rPr>
          <w:sz w:val="26"/>
          <w:szCs w:val="26"/>
        </w:rPr>
        <w:t xml:space="preserve"> </w:t>
      </w:r>
      <w:r w:rsidR="00485CDB" w:rsidRPr="00217AC0">
        <w:rPr>
          <w:sz w:val="26"/>
          <w:szCs w:val="26"/>
        </w:rPr>
        <w:t xml:space="preserve">the City, </w:t>
      </w:r>
      <w:bookmarkStart w:id="48" w:name="_Hlk66948115"/>
      <w:r w:rsidR="00485CDB" w:rsidRPr="00217AC0">
        <w:rPr>
          <w:sz w:val="26"/>
          <w:szCs w:val="26"/>
        </w:rPr>
        <w:t>as discussed in its rebuttal testimony of John Spanos, withdrew its rate bas</w:t>
      </w:r>
      <w:bookmarkEnd w:id="47"/>
      <w:r w:rsidR="00485CDB" w:rsidRPr="00217AC0">
        <w:rPr>
          <w:sz w:val="26"/>
          <w:szCs w:val="26"/>
        </w:rPr>
        <w:t>e claims for the well generator</w:t>
      </w:r>
      <w:r w:rsidR="00862D56" w:rsidRPr="00217AC0">
        <w:rPr>
          <w:sz w:val="26"/>
          <w:szCs w:val="26"/>
        </w:rPr>
        <w:t>, the roof replacement at the water treatment plant, and the main replacement at the Hecktown Road Bridge, as those projects have been delayed beyond the end of the first quarter of 2021.  City M.B. at</w:t>
      </w:r>
      <w:r w:rsidR="0050146B">
        <w:rPr>
          <w:sz w:val="26"/>
          <w:szCs w:val="26"/>
        </w:rPr>
        <w:t> </w:t>
      </w:r>
      <w:r w:rsidR="00862D56" w:rsidRPr="00217AC0">
        <w:rPr>
          <w:sz w:val="26"/>
          <w:szCs w:val="26"/>
        </w:rPr>
        <w:t>16</w:t>
      </w:r>
      <w:r w:rsidR="0050146B">
        <w:rPr>
          <w:sz w:val="26"/>
          <w:szCs w:val="26"/>
        </w:rPr>
        <w:noBreakHyphen/>
      </w:r>
      <w:r w:rsidR="00862D56" w:rsidRPr="00217AC0">
        <w:rPr>
          <w:sz w:val="26"/>
          <w:szCs w:val="26"/>
        </w:rPr>
        <w:t xml:space="preserve">17; City St. No. 3R at 4-5.  </w:t>
      </w:r>
      <w:r w:rsidR="00D02544" w:rsidRPr="00217AC0">
        <w:rPr>
          <w:sz w:val="26"/>
          <w:szCs w:val="26"/>
        </w:rPr>
        <w:t>The removal of these three projects from the City’s budgeted FTY plant additions resulted in a $185,981 reduction to the City’s FTY rate base.</w:t>
      </w:r>
      <w:bookmarkEnd w:id="48"/>
      <w:r w:rsidR="00FA71C9" w:rsidRPr="00217AC0">
        <w:rPr>
          <w:rStyle w:val="FootnoteReference"/>
          <w:sz w:val="26"/>
          <w:szCs w:val="26"/>
        </w:rPr>
        <w:footnoteReference w:id="31"/>
      </w:r>
      <w:r w:rsidR="00D02544" w:rsidRPr="00217AC0">
        <w:rPr>
          <w:sz w:val="26"/>
          <w:szCs w:val="26"/>
        </w:rPr>
        <w:t xml:space="preserve"> </w:t>
      </w:r>
      <w:r w:rsidR="00532400" w:rsidRPr="00217AC0">
        <w:rPr>
          <w:sz w:val="26"/>
          <w:szCs w:val="26"/>
        </w:rPr>
        <w:t xml:space="preserve"> </w:t>
      </w:r>
      <w:r w:rsidR="003F2D8D" w:rsidRPr="00217AC0">
        <w:rPr>
          <w:sz w:val="26"/>
          <w:szCs w:val="26"/>
        </w:rPr>
        <w:t xml:space="preserve">In order to reflect the City’s adjustments to operation and maintenance expenses, the City also included a $7,000 adjustment ($1,423,000 increased to $1,430,000) to its CWC claim.  City St. No. 1R at 15; City Exh. No. CEH-1R.  Therefore, in total, based on consideration of the OCA’s recommendations, the City </w:t>
      </w:r>
      <w:r w:rsidR="002521B4" w:rsidRPr="00217AC0">
        <w:rPr>
          <w:sz w:val="26"/>
          <w:szCs w:val="26"/>
        </w:rPr>
        <w:t>reduced its original claimed FTY rate base by $178,981 to $126,824,234</w:t>
      </w:r>
      <w:r w:rsidR="00B75330" w:rsidRPr="00217AC0">
        <w:rPr>
          <w:sz w:val="26"/>
          <w:szCs w:val="26"/>
        </w:rPr>
        <w:t>, reflecting a reduction in plant in service, an increase in accumulated depreciation, and an increase in CWC</w:t>
      </w:r>
      <w:r w:rsidR="002521B4" w:rsidRPr="00217AC0">
        <w:rPr>
          <w:sz w:val="26"/>
          <w:szCs w:val="26"/>
        </w:rPr>
        <w:t>.  However, d</w:t>
      </w:r>
      <w:r w:rsidR="00AB1229" w:rsidRPr="00217AC0">
        <w:rPr>
          <w:sz w:val="26"/>
          <w:szCs w:val="26"/>
        </w:rPr>
        <w:t>ue to cost allocation changes of the rate base claim apportioned to outside-City service, the jurisdictional allocation to outside-City service was increased by $254,255 to $49,286,080.</w:t>
      </w:r>
      <w:r w:rsidR="00E73F1F" w:rsidRPr="00217AC0">
        <w:rPr>
          <w:rStyle w:val="FootnoteReference"/>
          <w:sz w:val="26"/>
          <w:szCs w:val="26"/>
        </w:rPr>
        <w:footnoteReference w:id="32"/>
      </w:r>
      <w:r w:rsidR="00AB1229" w:rsidRPr="00217AC0">
        <w:rPr>
          <w:sz w:val="26"/>
          <w:szCs w:val="26"/>
        </w:rPr>
        <w:t xml:space="preserve">  City M.B. at 16</w:t>
      </w:r>
      <w:r w:rsidR="00513E3F" w:rsidRPr="00217AC0">
        <w:rPr>
          <w:sz w:val="26"/>
          <w:szCs w:val="26"/>
        </w:rPr>
        <w:t xml:space="preserve">; </w:t>
      </w:r>
      <w:r w:rsidR="00AB1229" w:rsidRPr="00217AC0">
        <w:rPr>
          <w:sz w:val="26"/>
          <w:szCs w:val="26"/>
        </w:rPr>
        <w:t xml:space="preserve">City St. No. 1R at 15.  </w:t>
      </w:r>
      <w:r w:rsidR="00513E3F" w:rsidRPr="00217AC0">
        <w:rPr>
          <w:sz w:val="26"/>
          <w:szCs w:val="26"/>
        </w:rPr>
        <w:t>Two projected plant projects remain in controversy: (1) the emergency generator at the water treatment plant under Account 312.30 and (2) the fire pump station engineering and construction under Account 316.</w:t>
      </w:r>
    </w:p>
    <w:p w14:paraId="2C63C406" w14:textId="57ADFFA5" w:rsidR="00741562" w:rsidRPr="00217AC0" w:rsidRDefault="00144BF3" w:rsidP="00217AC0">
      <w:pPr>
        <w:pStyle w:val="Heading3"/>
        <w:keepNext/>
        <w:numPr>
          <w:ilvl w:val="0"/>
          <w:numId w:val="43"/>
        </w:numPr>
        <w:ind w:left="1440" w:hanging="720"/>
        <w:rPr>
          <w:rFonts w:eastAsiaTheme="minorHAnsi"/>
        </w:rPr>
      </w:pPr>
      <w:bookmarkStart w:id="49" w:name="_Toc69230528"/>
      <w:bookmarkStart w:id="50" w:name="_Hlk65591738"/>
      <w:r w:rsidRPr="00217AC0">
        <w:rPr>
          <w:rFonts w:eastAsiaTheme="minorHAnsi"/>
        </w:rPr>
        <w:lastRenderedPageBreak/>
        <w:t>Plant in Service – Water Treatment Emergency Generator</w:t>
      </w:r>
      <w:bookmarkEnd w:id="49"/>
    </w:p>
    <w:p w14:paraId="4AEAB4F0" w14:textId="38C2CE30" w:rsidR="00741562" w:rsidRPr="00217AC0" w:rsidRDefault="00741562" w:rsidP="00217AC0">
      <w:pPr>
        <w:keepNext/>
        <w:widowControl/>
        <w:spacing w:line="360" w:lineRule="auto"/>
        <w:rPr>
          <w:rFonts w:eastAsiaTheme="minorHAnsi"/>
          <w:sz w:val="26"/>
          <w:szCs w:val="26"/>
        </w:rPr>
      </w:pPr>
    </w:p>
    <w:p w14:paraId="246CEACB" w14:textId="17E874C1" w:rsidR="00144BF3" w:rsidRPr="00217AC0" w:rsidRDefault="00144BF3" w:rsidP="00217AC0">
      <w:pPr>
        <w:pStyle w:val="Heading4"/>
        <w:widowControl/>
        <w:numPr>
          <w:ilvl w:val="0"/>
          <w:numId w:val="42"/>
        </w:numPr>
        <w:ind w:left="2160" w:hanging="720"/>
        <w:rPr>
          <w:rFonts w:eastAsiaTheme="minorHAnsi"/>
        </w:rPr>
      </w:pPr>
      <w:bookmarkStart w:id="51" w:name="_Toc69230529"/>
      <w:r w:rsidRPr="00217AC0">
        <w:rPr>
          <w:rFonts w:eastAsiaTheme="minorHAnsi"/>
        </w:rPr>
        <w:t>Positions of the Parties</w:t>
      </w:r>
      <w:bookmarkEnd w:id="51"/>
    </w:p>
    <w:p w14:paraId="7094BEC8" w14:textId="28BD4E42" w:rsidR="004C5FAE" w:rsidRPr="00217AC0" w:rsidRDefault="004C5FAE" w:rsidP="00217AC0">
      <w:pPr>
        <w:keepNext/>
        <w:widowControl/>
        <w:spacing w:line="360" w:lineRule="auto"/>
        <w:ind w:firstLine="1440"/>
        <w:rPr>
          <w:rFonts w:eastAsiaTheme="minorHAnsi"/>
          <w:sz w:val="26"/>
          <w:szCs w:val="26"/>
        </w:rPr>
      </w:pPr>
    </w:p>
    <w:p w14:paraId="2DACC8A5" w14:textId="2B5ABCA9" w:rsidR="000C4012" w:rsidRPr="00217AC0" w:rsidRDefault="004D08A1" w:rsidP="00217AC0">
      <w:pPr>
        <w:keepNext/>
        <w:widowControl/>
        <w:spacing w:line="360" w:lineRule="auto"/>
        <w:ind w:firstLine="1440"/>
        <w:rPr>
          <w:rFonts w:eastAsiaTheme="minorHAnsi"/>
          <w:i/>
          <w:iCs/>
          <w:sz w:val="26"/>
          <w:szCs w:val="26"/>
        </w:rPr>
      </w:pPr>
      <w:r w:rsidRPr="00217AC0">
        <w:rPr>
          <w:rFonts w:eastAsiaTheme="minorHAnsi"/>
          <w:sz w:val="26"/>
          <w:szCs w:val="26"/>
        </w:rPr>
        <w:t>The City argued that the emergency generator is a necessary capital item for the City to continue to provide reasonable and adequate service, averring it is needed to ensure the</w:t>
      </w:r>
      <w:r w:rsidRPr="00217AC0">
        <w:rPr>
          <w:color w:val="000000"/>
          <w:sz w:val="26"/>
          <w:szCs w:val="26"/>
        </w:rPr>
        <w:t xml:space="preserve"> </w:t>
      </w:r>
      <w:r w:rsidRPr="00217AC0">
        <w:rPr>
          <w:rFonts w:eastAsiaTheme="minorHAnsi"/>
          <w:sz w:val="26"/>
          <w:szCs w:val="26"/>
        </w:rPr>
        <w:t>water treatment plant remains operational during a power outage or failure in electronic components at the plant</w:t>
      </w:r>
      <w:r w:rsidR="001B0FDF" w:rsidRPr="00217AC0">
        <w:rPr>
          <w:rFonts w:eastAsiaTheme="minorHAnsi"/>
          <w:sz w:val="26"/>
          <w:szCs w:val="26"/>
        </w:rPr>
        <w:t>,</w:t>
      </w:r>
      <w:r w:rsidR="00F343AF" w:rsidRPr="00217AC0">
        <w:rPr>
          <w:rFonts w:eastAsiaTheme="minorHAnsi"/>
          <w:sz w:val="26"/>
          <w:szCs w:val="26"/>
        </w:rPr>
        <w:t xml:space="preserve"> and that scheduling the generator for operation, which was delayed because of the COVID-19 pandemic, would take less than six weeks as of December 15, 2020</w:t>
      </w:r>
      <w:r w:rsidRPr="00217AC0">
        <w:rPr>
          <w:rFonts w:eastAsiaTheme="minorHAnsi"/>
          <w:sz w:val="26"/>
          <w:szCs w:val="26"/>
        </w:rPr>
        <w:t xml:space="preserve">.  City M.B. at 17.  Further, the City argued, excluding the emergency generator from rate base would create an under recovery or a misaligned recovery until the next base rate case, creating an inaccurate level of rate base and depreciation expense going forward.  </w:t>
      </w:r>
      <w:r w:rsidRPr="00217AC0">
        <w:rPr>
          <w:rFonts w:eastAsiaTheme="minorHAnsi"/>
          <w:i/>
          <w:iCs/>
          <w:sz w:val="26"/>
          <w:szCs w:val="26"/>
        </w:rPr>
        <w:t>Id.</w:t>
      </w:r>
    </w:p>
    <w:p w14:paraId="53046E5E" w14:textId="77777777" w:rsidR="00664A93" w:rsidRPr="00217AC0" w:rsidRDefault="00664A93" w:rsidP="00217AC0">
      <w:pPr>
        <w:widowControl/>
        <w:spacing w:line="360" w:lineRule="auto"/>
        <w:ind w:firstLine="1440"/>
        <w:rPr>
          <w:rFonts w:eastAsiaTheme="minorHAnsi"/>
          <w:sz w:val="26"/>
          <w:szCs w:val="26"/>
        </w:rPr>
      </w:pPr>
    </w:p>
    <w:p w14:paraId="642C601E" w14:textId="08B6B519" w:rsidR="00D061D1" w:rsidRPr="00217AC0" w:rsidRDefault="00D061D1" w:rsidP="00217AC0">
      <w:pPr>
        <w:widowControl/>
        <w:spacing w:line="360" w:lineRule="auto"/>
        <w:ind w:firstLine="1440"/>
        <w:rPr>
          <w:rFonts w:eastAsiaTheme="minorHAnsi"/>
          <w:sz w:val="26"/>
          <w:szCs w:val="26"/>
        </w:rPr>
      </w:pPr>
      <w:r w:rsidRPr="00217AC0">
        <w:rPr>
          <w:rFonts w:eastAsiaTheme="minorHAnsi"/>
          <w:sz w:val="26"/>
          <w:szCs w:val="26"/>
        </w:rPr>
        <w:t>The OCA challenged this capital project on the premise it was unclear from City witness Spanos’ rebuttal testimony that the Water Treatment Emergency Generator project would be completed by February 2021.  OCA M.B. at 26-28.  Additionally, the OCA averred that the City has not satisfied its burden of proving “that the property sought to be included in the rate base is used and useful in the public service” before it is entitled to a return from ratepayers for the investment.  OCA R.B. at 18 (</w:t>
      </w:r>
      <w:r w:rsidRPr="0050146B">
        <w:rPr>
          <w:rFonts w:eastAsiaTheme="minorHAnsi"/>
          <w:i/>
          <w:iCs/>
          <w:sz w:val="26"/>
          <w:szCs w:val="26"/>
        </w:rPr>
        <w:t>citing,</w:t>
      </w:r>
      <w:r w:rsidRPr="00217AC0">
        <w:rPr>
          <w:rFonts w:eastAsiaTheme="minorHAnsi"/>
          <w:i/>
          <w:iCs/>
          <w:sz w:val="26"/>
          <w:szCs w:val="26"/>
        </w:rPr>
        <w:t xml:space="preserve"> Pa. PUC v. Pennsylvania-American Water Co</w:t>
      </w:r>
      <w:r w:rsidR="00681256" w:rsidRPr="00217AC0">
        <w:rPr>
          <w:rFonts w:eastAsiaTheme="minorHAnsi"/>
          <w:i/>
          <w:iCs/>
          <w:sz w:val="26"/>
          <w:szCs w:val="26"/>
        </w:rPr>
        <w:t>mpany</w:t>
      </w:r>
      <w:r w:rsidRPr="00217AC0">
        <w:rPr>
          <w:rFonts w:eastAsiaTheme="minorHAnsi"/>
          <w:sz w:val="26"/>
          <w:szCs w:val="26"/>
        </w:rPr>
        <w:t>, 68 Pa. P.U.C. 343 (1988))</w:t>
      </w:r>
      <w:r w:rsidR="00B1292C" w:rsidRPr="00217AC0">
        <w:rPr>
          <w:rFonts w:eastAsiaTheme="minorHAnsi"/>
          <w:sz w:val="26"/>
          <w:szCs w:val="26"/>
        </w:rPr>
        <w:t xml:space="preserve"> (</w:t>
      </w:r>
      <w:r w:rsidR="00B1292C" w:rsidRPr="00217AC0">
        <w:rPr>
          <w:rFonts w:eastAsiaTheme="minorHAnsi"/>
          <w:i/>
          <w:iCs/>
          <w:sz w:val="26"/>
          <w:szCs w:val="26"/>
        </w:rPr>
        <w:t>1988 PAWC Order</w:t>
      </w:r>
      <w:r w:rsidR="00B1292C" w:rsidRPr="00217AC0">
        <w:rPr>
          <w:rFonts w:eastAsiaTheme="minorHAnsi"/>
          <w:sz w:val="26"/>
          <w:szCs w:val="26"/>
        </w:rPr>
        <w:t>)</w:t>
      </w:r>
      <w:r w:rsidRPr="00217AC0">
        <w:rPr>
          <w:rFonts w:eastAsiaTheme="minorHAnsi"/>
          <w:sz w:val="26"/>
          <w:szCs w:val="26"/>
        </w:rPr>
        <w:t>.</w:t>
      </w:r>
    </w:p>
    <w:p w14:paraId="4D986B76" w14:textId="7210C123" w:rsidR="004D08A1" w:rsidRPr="00217AC0" w:rsidRDefault="004D08A1" w:rsidP="00217AC0">
      <w:pPr>
        <w:widowControl/>
        <w:spacing w:line="360" w:lineRule="auto"/>
        <w:rPr>
          <w:rFonts w:eastAsiaTheme="minorHAnsi"/>
          <w:sz w:val="26"/>
          <w:szCs w:val="26"/>
        </w:rPr>
      </w:pPr>
    </w:p>
    <w:p w14:paraId="07CE601E" w14:textId="6C0AF738" w:rsidR="0098111E" w:rsidRPr="00217AC0" w:rsidRDefault="008871FF" w:rsidP="00217AC0">
      <w:pPr>
        <w:widowControl/>
        <w:spacing w:line="360" w:lineRule="auto"/>
        <w:ind w:firstLine="1440"/>
        <w:rPr>
          <w:rFonts w:eastAsiaTheme="minorHAnsi"/>
          <w:i/>
          <w:iCs/>
          <w:sz w:val="26"/>
          <w:szCs w:val="26"/>
        </w:rPr>
      </w:pPr>
      <w:r w:rsidRPr="00217AC0">
        <w:rPr>
          <w:rFonts w:eastAsiaTheme="minorHAnsi"/>
          <w:sz w:val="26"/>
          <w:szCs w:val="26"/>
        </w:rPr>
        <w:t>In rejoinder testimony, Mr. Spanos provided a further update on the Water Treatment Emergency Generator project, explaining that the City has taken physical delivery of the emergency generator and the associated automatic transfer switch, both of which were installed as of December 9, 2020.  Operation of the generator is expected by mid/late January 2021.  City R.B. at 8.  To support its position to include the emergency generator in the rate base, the City cited</w:t>
      </w:r>
      <w:r w:rsidR="00B1292C" w:rsidRPr="00217AC0">
        <w:rPr>
          <w:rFonts w:eastAsiaTheme="minorHAnsi"/>
          <w:sz w:val="26"/>
          <w:szCs w:val="26"/>
        </w:rPr>
        <w:t xml:space="preserve"> the </w:t>
      </w:r>
      <w:r w:rsidR="00B1292C" w:rsidRPr="00217AC0">
        <w:rPr>
          <w:rFonts w:eastAsiaTheme="minorHAnsi"/>
          <w:i/>
          <w:iCs/>
          <w:sz w:val="26"/>
          <w:szCs w:val="26"/>
        </w:rPr>
        <w:t>1988 PAWC Order</w:t>
      </w:r>
      <w:bookmarkStart w:id="52" w:name="_Hlk66709949"/>
      <w:r w:rsidRPr="00217AC0">
        <w:rPr>
          <w:rFonts w:eastAsiaTheme="minorHAnsi"/>
          <w:sz w:val="26"/>
          <w:szCs w:val="26"/>
        </w:rPr>
        <w:t xml:space="preserve">, </w:t>
      </w:r>
      <w:bookmarkEnd w:id="52"/>
      <w:r w:rsidRPr="00217AC0">
        <w:rPr>
          <w:rFonts w:eastAsiaTheme="minorHAnsi"/>
          <w:sz w:val="26"/>
          <w:szCs w:val="26"/>
        </w:rPr>
        <w:t xml:space="preserve">for the principle that a </w:t>
      </w:r>
      <w:r w:rsidRPr="00217AC0">
        <w:rPr>
          <w:rFonts w:eastAsiaTheme="minorHAnsi"/>
          <w:sz w:val="26"/>
          <w:szCs w:val="26"/>
        </w:rPr>
        <w:lastRenderedPageBreak/>
        <w:t>utility is entitled to a return on investment in property which is essential to the continued operation of the utility in rendering service to its ratepayers.  City M.B. at 18</w:t>
      </w:r>
      <w:r w:rsidR="00B1292C" w:rsidRPr="00217AC0">
        <w:rPr>
          <w:rFonts w:eastAsiaTheme="minorHAnsi"/>
          <w:sz w:val="26"/>
          <w:szCs w:val="26"/>
        </w:rPr>
        <w:t xml:space="preserve"> (</w:t>
      </w:r>
      <w:r w:rsidR="00B1292C" w:rsidRPr="0050146B">
        <w:rPr>
          <w:rFonts w:eastAsiaTheme="minorHAnsi"/>
          <w:i/>
          <w:iCs/>
          <w:sz w:val="26"/>
          <w:szCs w:val="26"/>
        </w:rPr>
        <w:t>citing,</w:t>
      </w:r>
      <w:r w:rsidR="00B1292C" w:rsidRPr="00217AC0">
        <w:rPr>
          <w:rFonts w:eastAsiaTheme="minorHAnsi"/>
          <w:i/>
          <w:iCs/>
          <w:sz w:val="26"/>
          <w:szCs w:val="26"/>
        </w:rPr>
        <w:t xml:space="preserve"> 1988 PAWC Order</w:t>
      </w:r>
      <w:r w:rsidR="00B1292C" w:rsidRPr="00217AC0">
        <w:rPr>
          <w:rFonts w:eastAsiaTheme="minorHAnsi"/>
          <w:sz w:val="26"/>
          <w:szCs w:val="26"/>
        </w:rPr>
        <w:t xml:space="preserve"> at 343, 351-352)</w:t>
      </w:r>
      <w:r w:rsidRPr="00217AC0">
        <w:rPr>
          <w:rFonts w:eastAsiaTheme="minorHAnsi"/>
          <w:sz w:val="26"/>
          <w:szCs w:val="26"/>
        </w:rPr>
        <w:t xml:space="preserve">.  Mr. Spanos noted that the utility in that proceeding was allowed a claim for projects that would be operating and in service shortly after the end of the test year (approximately three months).  </w:t>
      </w:r>
      <w:r w:rsidRPr="00217AC0">
        <w:rPr>
          <w:rFonts w:eastAsiaTheme="minorHAnsi"/>
          <w:i/>
          <w:iCs/>
          <w:sz w:val="26"/>
          <w:szCs w:val="26"/>
        </w:rPr>
        <w:t xml:space="preserve">Id.  </w:t>
      </w:r>
      <w:r w:rsidRPr="00217AC0">
        <w:rPr>
          <w:rFonts w:eastAsiaTheme="minorHAnsi"/>
          <w:sz w:val="26"/>
          <w:szCs w:val="26"/>
        </w:rPr>
        <w:t xml:space="preserve">The City posited the same analysis supports its claim in the instant matter where the emergency generator will be operating and in service shortly after the end of the FTY (mid/late January 2021) and is essential for continued service.  </w:t>
      </w:r>
      <w:r w:rsidRPr="00217AC0">
        <w:rPr>
          <w:rFonts w:eastAsiaTheme="minorHAnsi"/>
          <w:i/>
          <w:iCs/>
          <w:sz w:val="26"/>
          <w:szCs w:val="26"/>
        </w:rPr>
        <w:t>Id.</w:t>
      </w:r>
    </w:p>
    <w:p w14:paraId="7BBB0ED5" w14:textId="77777777" w:rsidR="00664A93" w:rsidRPr="00217AC0" w:rsidRDefault="00664A93" w:rsidP="00217AC0">
      <w:pPr>
        <w:widowControl/>
        <w:spacing w:line="360" w:lineRule="auto"/>
        <w:ind w:firstLine="1440"/>
        <w:rPr>
          <w:rFonts w:eastAsiaTheme="minorHAnsi"/>
          <w:sz w:val="26"/>
          <w:szCs w:val="26"/>
        </w:rPr>
      </w:pPr>
    </w:p>
    <w:p w14:paraId="1399DBF1" w14:textId="75A5873A" w:rsidR="00741562" w:rsidRPr="00217AC0" w:rsidRDefault="00741562" w:rsidP="00217AC0">
      <w:pPr>
        <w:pStyle w:val="Heading4"/>
        <w:widowControl/>
        <w:rPr>
          <w:rFonts w:eastAsiaTheme="minorHAnsi"/>
        </w:rPr>
      </w:pPr>
      <w:bookmarkStart w:id="53" w:name="_Toc69230530"/>
      <w:r w:rsidRPr="00217AC0">
        <w:rPr>
          <w:rFonts w:eastAsiaTheme="minorHAnsi"/>
        </w:rPr>
        <w:t>Recommended Decision</w:t>
      </w:r>
      <w:bookmarkEnd w:id="53"/>
    </w:p>
    <w:p w14:paraId="3D0095CE" w14:textId="589A2D18" w:rsidR="00741562" w:rsidRPr="00217AC0" w:rsidRDefault="00741562" w:rsidP="00217AC0">
      <w:pPr>
        <w:keepNext/>
        <w:widowControl/>
        <w:spacing w:line="360" w:lineRule="auto"/>
        <w:rPr>
          <w:rFonts w:eastAsiaTheme="minorHAnsi"/>
          <w:sz w:val="26"/>
          <w:szCs w:val="26"/>
        </w:rPr>
      </w:pPr>
    </w:p>
    <w:p w14:paraId="2DC0D2AD" w14:textId="18CE7DBB" w:rsidR="000C4012" w:rsidRPr="00217AC0" w:rsidRDefault="00316333" w:rsidP="00217AC0">
      <w:pPr>
        <w:keepNext/>
        <w:widowControl/>
        <w:spacing w:line="360" w:lineRule="auto"/>
        <w:ind w:firstLine="1440"/>
        <w:rPr>
          <w:rFonts w:eastAsiaTheme="minorHAnsi"/>
          <w:sz w:val="26"/>
          <w:szCs w:val="26"/>
        </w:rPr>
      </w:pPr>
      <w:r w:rsidRPr="00217AC0">
        <w:rPr>
          <w:rFonts w:eastAsiaTheme="minorHAnsi"/>
          <w:sz w:val="26"/>
          <w:szCs w:val="26"/>
        </w:rPr>
        <w:t xml:space="preserve">ALJ Haas noted that in reaching the Settlement, the Joint Petitioners did not agree to any individual plant in service claim and so he did not recommend an adjustment to plant in service.  However, if the Commission determines that the adjustments to the plant in service are to be considered, the ALJ recommended that the Commission should accept the City’s claim regarding the Water Treatment Emergency Generator project.  R.D. at 24-25.  </w:t>
      </w:r>
      <w:r w:rsidR="00CB44D9" w:rsidRPr="00217AC0">
        <w:rPr>
          <w:rFonts w:eastAsiaTheme="minorHAnsi"/>
          <w:sz w:val="26"/>
          <w:szCs w:val="26"/>
        </w:rPr>
        <w:t>The ALJ agreed with the City’s position that the</w:t>
      </w:r>
      <w:r w:rsidR="002278A7" w:rsidRPr="00217AC0">
        <w:rPr>
          <w:rFonts w:eastAsiaTheme="minorHAnsi"/>
          <w:sz w:val="26"/>
          <w:szCs w:val="26"/>
        </w:rPr>
        <w:t xml:space="preserve"> purported operational date of the</w:t>
      </w:r>
      <w:r w:rsidR="00CB44D9" w:rsidRPr="00217AC0">
        <w:rPr>
          <w:rFonts w:eastAsiaTheme="minorHAnsi"/>
          <w:sz w:val="26"/>
          <w:szCs w:val="26"/>
        </w:rPr>
        <w:t xml:space="preserve"> emergency generator</w:t>
      </w:r>
      <w:r w:rsidR="002278A7" w:rsidRPr="00217AC0">
        <w:rPr>
          <w:rFonts w:eastAsiaTheme="minorHAnsi"/>
          <w:sz w:val="26"/>
          <w:szCs w:val="26"/>
        </w:rPr>
        <w:t xml:space="preserve"> of mid/late January 2021, approximately six months after the end of the test year, is reasonable and that the emergency generator is essential for continued service to ensure the water treatment plant remains operational during a power outage or failure in electronic components at the plant.  The ALJ reasoned </w:t>
      </w:r>
      <w:r w:rsidR="00CB44D9" w:rsidRPr="00217AC0">
        <w:rPr>
          <w:rFonts w:eastAsiaTheme="minorHAnsi"/>
          <w:sz w:val="26"/>
          <w:szCs w:val="26"/>
        </w:rPr>
        <w:t xml:space="preserve">that it is within the Commission’s discretion “to allow in rate base some expenses six months after the end of the test year but to reject expenses twelve months beyond the end of the test year.”  R.D. at 25 (quoting, </w:t>
      </w:r>
      <w:r w:rsidR="00BB332F" w:rsidRPr="00217AC0">
        <w:rPr>
          <w:rFonts w:eastAsiaTheme="minorHAnsi"/>
          <w:i/>
          <w:iCs/>
          <w:sz w:val="26"/>
          <w:szCs w:val="26"/>
        </w:rPr>
        <w:t>1988 PAWC Order</w:t>
      </w:r>
      <w:r w:rsidR="00BB332F" w:rsidRPr="00217AC0">
        <w:rPr>
          <w:rFonts w:eastAsiaTheme="minorHAnsi"/>
          <w:sz w:val="26"/>
          <w:szCs w:val="26"/>
        </w:rPr>
        <w:t xml:space="preserve"> at </w:t>
      </w:r>
      <w:r w:rsidR="00CB44D9" w:rsidRPr="00217AC0">
        <w:rPr>
          <w:rFonts w:eastAsiaTheme="minorHAnsi"/>
          <w:sz w:val="26"/>
          <w:szCs w:val="26"/>
        </w:rPr>
        <w:t xml:space="preserve">343, </w:t>
      </w:r>
      <w:r w:rsidR="00CB44D9" w:rsidRPr="00217AC0">
        <w:rPr>
          <w:rFonts w:eastAsiaTheme="minorHAnsi"/>
          <w:i/>
          <w:iCs/>
          <w:sz w:val="26"/>
          <w:szCs w:val="26"/>
        </w:rPr>
        <w:t>citing Dauphin Consol. Water Supply Co. v. Pa. PUC</w:t>
      </w:r>
      <w:r w:rsidR="00CB44D9" w:rsidRPr="00217AC0">
        <w:rPr>
          <w:rFonts w:eastAsiaTheme="minorHAnsi"/>
          <w:sz w:val="26"/>
          <w:szCs w:val="26"/>
        </w:rPr>
        <w:t>, 55 Pa. Cmwlth. 624, 423 A.2d 1357 (1980)).</w:t>
      </w:r>
    </w:p>
    <w:p w14:paraId="400DF6B1" w14:textId="77777777" w:rsidR="00A21777" w:rsidRPr="00217AC0" w:rsidRDefault="00A21777" w:rsidP="00217AC0">
      <w:pPr>
        <w:widowControl/>
        <w:spacing w:line="360" w:lineRule="auto"/>
        <w:rPr>
          <w:rFonts w:eastAsiaTheme="minorHAnsi"/>
          <w:sz w:val="26"/>
          <w:szCs w:val="26"/>
        </w:rPr>
      </w:pPr>
    </w:p>
    <w:p w14:paraId="6462D29E" w14:textId="0726AE02" w:rsidR="00741562" w:rsidRPr="00217AC0" w:rsidRDefault="00B6001C" w:rsidP="00217AC0">
      <w:pPr>
        <w:pStyle w:val="Heading4"/>
        <w:widowControl/>
        <w:rPr>
          <w:rFonts w:eastAsiaTheme="minorHAnsi"/>
        </w:rPr>
      </w:pPr>
      <w:bookmarkStart w:id="54" w:name="_Toc69230531"/>
      <w:r w:rsidRPr="00217AC0">
        <w:rPr>
          <w:rFonts w:eastAsiaTheme="minorHAnsi"/>
        </w:rPr>
        <w:lastRenderedPageBreak/>
        <w:t xml:space="preserve">OCA </w:t>
      </w:r>
      <w:r w:rsidR="00741562" w:rsidRPr="00217AC0">
        <w:rPr>
          <w:rFonts w:eastAsiaTheme="minorHAnsi"/>
        </w:rPr>
        <w:t>Exception</w:t>
      </w:r>
      <w:r w:rsidRPr="00217AC0">
        <w:rPr>
          <w:rFonts w:eastAsiaTheme="minorHAnsi"/>
        </w:rPr>
        <w:t xml:space="preserve"> No. 2</w:t>
      </w:r>
      <w:r w:rsidR="00741562" w:rsidRPr="00217AC0">
        <w:rPr>
          <w:rFonts w:eastAsiaTheme="minorHAnsi"/>
        </w:rPr>
        <w:t xml:space="preserve"> and Replies</w:t>
      </w:r>
      <w:bookmarkEnd w:id="54"/>
    </w:p>
    <w:p w14:paraId="0881FEA8" w14:textId="39111346" w:rsidR="000C4012" w:rsidRPr="00217AC0" w:rsidRDefault="000C4012" w:rsidP="00217AC0">
      <w:pPr>
        <w:keepNext/>
        <w:widowControl/>
        <w:spacing w:line="360" w:lineRule="auto"/>
        <w:rPr>
          <w:rFonts w:eastAsiaTheme="minorHAnsi"/>
          <w:sz w:val="26"/>
          <w:szCs w:val="26"/>
        </w:rPr>
      </w:pPr>
    </w:p>
    <w:p w14:paraId="5F1D3008" w14:textId="679F3458" w:rsidR="004036E9" w:rsidRPr="00217AC0" w:rsidRDefault="00DB7D68" w:rsidP="00217AC0">
      <w:pPr>
        <w:keepNext/>
        <w:widowControl/>
        <w:spacing w:line="360" w:lineRule="auto"/>
        <w:ind w:firstLine="1440"/>
        <w:rPr>
          <w:rFonts w:eastAsiaTheme="minorHAnsi"/>
          <w:sz w:val="26"/>
          <w:szCs w:val="26"/>
        </w:rPr>
      </w:pPr>
      <w:r w:rsidRPr="00217AC0">
        <w:rPr>
          <w:rFonts w:eastAsiaTheme="minorHAnsi"/>
          <w:sz w:val="26"/>
          <w:szCs w:val="26"/>
        </w:rPr>
        <w:t>In its Exception No. 2, the OCA maintains its contention that the City has not shown that the</w:t>
      </w:r>
      <w:r w:rsidR="005518D7" w:rsidRPr="00217AC0">
        <w:rPr>
          <w:rFonts w:eastAsiaTheme="minorHAnsi"/>
          <w:sz w:val="26"/>
          <w:szCs w:val="26"/>
        </w:rPr>
        <w:t xml:space="preserve"> emergency generator at the</w:t>
      </w:r>
      <w:r w:rsidRPr="00217AC0">
        <w:rPr>
          <w:rFonts w:eastAsiaTheme="minorHAnsi"/>
          <w:sz w:val="26"/>
          <w:szCs w:val="26"/>
        </w:rPr>
        <w:t xml:space="preserve"> </w:t>
      </w:r>
      <w:r w:rsidR="005518D7" w:rsidRPr="00217AC0">
        <w:rPr>
          <w:rFonts w:eastAsiaTheme="minorHAnsi"/>
          <w:sz w:val="26"/>
          <w:szCs w:val="26"/>
        </w:rPr>
        <w:t>water treatment plant</w:t>
      </w:r>
      <w:r w:rsidRPr="00217AC0">
        <w:rPr>
          <w:rFonts w:eastAsiaTheme="minorHAnsi"/>
          <w:sz w:val="26"/>
          <w:szCs w:val="26"/>
        </w:rPr>
        <w:t xml:space="preserve"> will be used and useful in the test year selected by the City</w:t>
      </w:r>
      <w:r w:rsidR="00F06C76" w:rsidRPr="00217AC0">
        <w:rPr>
          <w:rFonts w:eastAsiaTheme="minorHAnsi"/>
          <w:sz w:val="26"/>
          <w:szCs w:val="26"/>
        </w:rPr>
        <w:t xml:space="preserve"> (2020)</w:t>
      </w:r>
      <w:r w:rsidRPr="00217AC0">
        <w:rPr>
          <w:rFonts w:eastAsiaTheme="minorHAnsi"/>
          <w:sz w:val="26"/>
          <w:szCs w:val="26"/>
        </w:rPr>
        <w:t xml:space="preserve">.  </w:t>
      </w:r>
      <w:bookmarkStart w:id="55" w:name="_Hlk66791832"/>
      <w:r w:rsidR="00A17225" w:rsidRPr="00217AC0">
        <w:rPr>
          <w:rFonts w:eastAsiaTheme="minorHAnsi"/>
          <w:sz w:val="26"/>
          <w:szCs w:val="26"/>
        </w:rPr>
        <w:t xml:space="preserve">The OCA contends that it would be unreasonable to include the project in the test year based on the City’s speculation as to when it will be completed and in service, considering that the reason it was delayed, COVID-19, continues to cast uncertainty over different aspects of everyday life.  </w:t>
      </w:r>
      <w:bookmarkEnd w:id="55"/>
      <w:r w:rsidR="00A17225" w:rsidRPr="00217AC0">
        <w:rPr>
          <w:rFonts w:eastAsiaTheme="minorHAnsi"/>
          <w:sz w:val="26"/>
          <w:szCs w:val="26"/>
        </w:rPr>
        <w:t>OCA</w:t>
      </w:r>
      <w:r w:rsidR="00907AAF">
        <w:rPr>
          <w:rFonts w:eastAsiaTheme="minorHAnsi"/>
          <w:sz w:val="26"/>
          <w:szCs w:val="26"/>
        </w:rPr>
        <w:t> </w:t>
      </w:r>
      <w:r w:rsidR="00A17225" w:rsidRPr="00217AC0">
        <w:rPr>
          <w:rFonts w:eastAsiaTheme="minorHAnsi"/>
          <w:sz w:val="26"/>
          <w:szCs w:val="26"/>
        </w:rPr>
        <w:t xml:space="preserve">Exc. at 27-28.  </w:t>
      </w:r>
    </w:p>
    <w:p w14:paraId="0C7AB16D" w14:textId="59F55553" w:rsidR="00F21456" w:rsidRPr="00217AC0" w:rsidRDefault="00F21456" w:rsidP="00217AC0">
      <w:pPr>
        <w:widowControl/>
        <w:spacing w:line="360" w:lineRule="auto"/>
        <w:ind w:firstLine="1440"/>
        <w:rPr>
          <w:rFonts w:eastAsiaTheme="minorHAnsi"/>
          <w:sz w:val="26"/>
          <w:szCs w:val="26"/>
        </w:rPr>
      </w:pPr>
    </w:p>
    <w:p w14:paraId="33D729DE" w14:textId="30A290F6" w:rsidR="00F21456" w:rsidRPr="00217AC0" w:rsidRDefault="00F21456" w:rsidP="00217AC0">
      <w:pPr>
        <w:widowControl/>
        <w:spacing w:line="360" w:lineRule="auto"/>
        <w:ind w:firstLine="1440"/>
        <w:rPr>
          <w:rFonts w:eastAsiaTheme="minorHAnsi"/>
          <w:sz w:val="26"/>
          <w:szCs w:val="26"/>
        </w:rPr>
      </w:pPr>
      <w:r w:rsidRPr="00217AC0">
        <w:rPr>
          <w:rFonts w:eastAsiaTheme="minorHAnsi"/>
          <w:sz w:val="26"/>
          <w:szCs w:val="26"/>
        </w:rPr>
        <w:t>In response, the City</w:t>
      </w:r>
      <w:r w:rsidR="00FA0DED" w:rsidRPr="00217AC0">
        <w:rPr>
          <w:rFonts w:eastAsiaTheme="minorHAnsi"/>
          <w:sz w:val="26"/>
          <w:szCs w:val="26"/>
        </w:rPr>
        <w:t xml:space="preserve"> argues that the ALJ’s recommendation</w:t>
      </w:r>
      <w:r w:rsidR="00F06C76" w:rsidRPr="00217AC0">
        <w:rPr>
          <w:rFonts w:eastAsiaTheme="minorHAnsi"/>
          <w:sz w:val="26"/>
          <w:szCs w:val="26"/>
        </w:rPr>
        <w:t xml:space="preserve"> is</w:t>
      </w:r>
      <w:r w:rsidR="00FA0DED" w:rsidRPr="00217AC0">
        <w:rPr>
          <w:rFonts w:eastAsiaTheme="minorHAnsi"/>
          <w:sz w:val="26"/>
          <w:szCs w:val="26"/>
        </w:rPr>
        <w:t xml:space="preserve"> supported by Commission precedent and past practice</w:t>
      </w:r>
      <w:r w:rsidR="00F06C76" w:rsidRPr="00217AC0">
        <w:rPr>
          <w:rFonts w:eastAsiaTheme="minorHAnsi"/>
          <w:sz w:val="26"/>
          <w:szCs w:val="26"/>
        </w:rPr>
        <w:t xml:space="preserve">.  The </w:t>
      </w:r>
      <w:r w:rsidR="001939C2" w:rsidRPr="00217AC0">
        <w:rPr>
          <w:rFonts w:eastAsiaTheme="minorHAnsi"/>
          <w:sz w:val="26"/>
          <w:szCs w:val="26"/>
        </w:rPr>
        <w:t xml:space="preserve">City </w:t>
      </w:r>
      <w:r w:rsidR="00F06C76" w:rsidRPr="00217AC0">
        <w:rPr>
          <w:rFonts w:eastAsiaTheme="minorHAnsi"/>
          <w:sz w:val="26"/>
          <w:szCs w:val="26"/>
        </w:rPr>
        <w:t xml:space="preserve">explained that the evidence does not support the OCA’s contention that completion of the project is speculative, since vital component parts, such as the generator and the associated automatic transfer switch, have already been installed.  </w:t>
      </w:r>
      <w:r w:rsidR="001939C2" w:rsidRPr="00217AC0">
        <w:rPr>
          <w:rFonts w:eastAsiaTheme="minorHAnsi"/>
          <w:sz w:val="26"/>
          <w:szCs w:val="26"/>
        </w:rPr>
        <w:t xml:space="preserve">City </w:t>
      </w:r>
      <w:r w:rsidR="00F06C76" w:rsidRPr="00217AC0">
        <w:rPr>
          <w:rFonts w:eastAsiaTheme="minorHAnsi"/>
          <w:sz w:val="26"/>
          <w:szCs w:val="26"/>
        </w:rPr>
        <w:t>R. Exc. at 14-15.</w:t>
      </w:r>
    </w:p>
    <w:p w14:paraId="2F4F3EC4" w14:textId="77777777" w:rsidR="000C4012" w:rsidRPr="00217AC0" w:rsidRDefault="000C4012" w:rsidP="00217AC0">
      <w:pPr>
        <w:widowControl/>
        <w:spacing w:line="360" w:lineRule="auto"/>
        <w:rPr>
          <w:rFonts w:eastAsiaTheme="minorHAnsi"/>
          <w:sz w:val="26"/>
          <w:szCs w:val="26"/>
        </w:rPr>
      </w:pPr>
    </w:p>
    <w:p w14:paraId="62608FD9" w14:textId="5FC446EA" w:rsidR="00741562" w:rsidRPr="00217AC0" w:rsidRDefault="00741562" w:rsidP="00217AC0">
      <w:pPr>
        <w:pStyle w:val="Heading4"/>
        <w:widowControl/>
        <w:rPr>
          <w:rFonts w:eastAsiaTheme="minorHAnsi"/>
        </w:rPr>
      </w:pPr>
      <w:bookmarkStart w:id="56" w:name="_Toc69230532"/>
      <w:r w:rsidRPr="00217AC0">
        <w:rPr>
          <w:rFonts w:eastAsiaTheme="minorHAnsi"/>
        </w:rPr>
        <w:t>Disposition</w:t>
      </w:r>
      <w:bookmarkEnd w:id="56"/>
    </w:p>
    <w:bookmarkEnd w:id="50"/>
    <w:p w14:paraId="6ADBE2EB" w14:textId="35422185" w:rsidR="0009690C" w:rsidRPr="00217AC0" w:rsidRDefault="0009690C" w:rsidP="00217AC0">
      <w:pPr>
        <w:keepNext/>
        <w:widowControl/>
        <w:spacing w:line="360" w:lineRule="auto"/>
        <w:rPr>
          <w:rFonts w:eastAsiaTheme="minorHAnsi"/>
          <w:sz w:val="26"/>
          <w:szCs w:val="26"/>
        </w:rPr>
      </w:pPr>
    </w:p>
    <w:p w14:paraId="450CB93E" w14:textId="50B55AE7" w:rsidR="00F06C76" w:rsidRPr="00217AC0" w:rsidRDefault="00AA66D4" w:rsidP="00217AC0">
      <w:pPr>
        <w:keepNext/>
        <w:widowControl/>
        <w:spacing w:line="360" w:lineRule="auto"/>
        <w:ind w:firstLine="1440"/>
        <w:rPr>
          <w:rFonts w:eastAsiaTheme="minorHAnsi"/>
          <w:sz w:val="26"/>
          <w:szCs w:val="26"/>
        </w:rPr>
      </w:pPr>
      <w:r w:rsidRPr="00217AC0">
        <w:rPr>
          <w:rFonts w:eastAsiaTheme="minorHAnsi"/>
          <w:sz w:val="26"/>
          <w:szCs w:val="26"/>
        </w:rPr>
        <w:t>As previously indicated, while recommending approval of the Settlement, ALJ Haas</w:t>
      </w:r>
      <w:r w:rsidR="00982068" w:rsidRPr="00217AC0">
        <w:rPr>
          <w:rFonts w:eastAsiaTheme="minorHAnsi"/>
          <w:sz w:val="26"/>
          <w:szCs w:val="26"/>
        </w:rPr>
        <w:t xml:space="preserve"> only</w:t>
      </w:r>
      <w:r w:rsidRPr="00217AC0">
        <w:rPr>
          <w:rFonts w:eastAsiaTheme="minorHAnsi"/>
          <w:sz w:val="26"/>
          <w:szCs w:val="26"/>
        </w:rPr>
        <w:t xml:space="preserve"> addressed the OCA’s and the OSBA’s proposed ratemaking adjustments in the event that the Commission wants to look past the Joint Petition and consider the adjustments proposed by the OCA and the OSBA.  Thus, in other words, if the Commission adopts the Recommended Decision and approves the Joint Petition, without modification, further discussion of the ratemaking adjustments proposed by the OCA and the OSBA is not necessary.  </w:t>
      </w:r>
      <w:r w:rsidR="00C17BA7" w:rsidRPr="00217AC0">
        <w:rPr>
          <w:rFonts w:eastAsiaTheme="minorHAnsi"/>
          <w:i/>
          <w:iCs/>
          <w:sz w:val="26"/>
          <w:szCs w:val="26"/>
        </w:rPr>
        <w:t>See</w:t>
      </w:r>
      <w:r w:rsidR="00C17BA7" w:rsidRPr="00217AC0">
        <w:rPr>
          <w:rFonts w:eastAsiaTheme="minorHAnsi"/>
          <w:sz w:val="26"/>
          <w:szCs w:val="26"/>
        </w:rPr>
        <w:t xml:space="preserve"> </w:t>
      </w:r>
      <w:r w:rsidRPr="00217AC0">
        <w:rPr>
          <w:rFonts w:eastAsiaTheme="minorHAnsi"/>
          <w:sz w:val="26"/>
          <w:szCs w:val="26"/>
        </w:rPr>
        <w:t xml:space="preserve">R.D. at 1.  </w:t>
      </w:r>
      <w:r w:rsidR="00982068" w:rsidRPr="00217AC0">
        <w:rPr>
          <w:rFonts w:eastAsiaTheme="minorHAnsi"/>
          <w:sz w:val="26"/>
          <w:szCs w:val="26"/>
        </w:rPr>
        <w:t>Therefore, b</w:t>
      </w:r>
      <w:r w:rsidR="00C17BA7" w:rsidRPr="00217AC0">
        <w:rPr>
          <w:rFonts w:eastAsiaTheme="minorHAnsi"/>
          <w:sz w:val="26"/>
          <w:szCs w:val="26"/>
        </w:rPr>
        <w:t>ecause we previously denied the OCA’s Exception No. 1 and have adopted the Settlement</w:t>
      </w:r>
      <w:r w:rsidR="00F86A83" w:rsidRPr="00217AC0">
        <w:rPr>
          <w:rFonts w:eastAsiaTheme="minorHAnsi"/>
          <w:sz w:val="26"/>
          <w:szCs w:val="26"/>
        </w:rPr>
        <w:t>,</w:t>
      </w:r>
      <w:r w:rsidR="00C17BA7" w:rsidRPr="00217AC0">
        <w:rPr>
          <w:rFonts w:eastAsiaTheme="minorHAnsi"/>
          <w:sz w:val="26"/>
          <w:szCs w:val="26"/>
        </w:rPr>
        <w:t xml:space="preserve"> without modification, we find the OCA’s Exception No. 2 to be</w:t>
      </w:r>
      <w:r w:rsidR="00A90A4F" w:rsidRPr="00217AC0">
        <w:rPr>
          <w:rFonts w:eastAsiaTheme="minorHAnsi"/>
          <w:sz w:val="26"/>
          <w:szCs w:val="26"/>
        </w:rPr>
        <w:t xml:space="preserve"> rendered immaterial</w:t>
      </w:r>
      <w:r w:rsidR="00C17BA7" w:rsidRPr="00217AC0">
        <w:rPr>
          <w:rFonts w:eastAsiaTheme="minorHAnsi"/>
          <w:sz w:val="26"/>
          <w:szCs w:val="26"/>
        </w:rPr>
        <w:t xml:space="preserve"> with regard to this individual rate component.</w:t>
      </w:r>
      <w:r w:rsidR="00D167ED" w:rsidRPr="00217AC0">
        <w:rPr>
          <w:rFonts w:eastAsiaTheme="minorHAnsi"/>
          <w:sz w:val="26"/>
          <w:szCs w:val="26"/>
        </w:rPr>
        <w:t xml:space="preserve">  </w:t>
      </w:r>
    </w:p>
    <w:p w14:paraId="6D2102AE" w14:textId="1323C6BE" w:rsidR="00336900" w:rsidRPr="00217AC0" w:rsidRDefault="00336900" w:rsidP="00217AC0">
      <w:pPr>
        <w:widowControl/>
        <w:spacing w:line="360" w:lineRule="auto"/>
        <w:ind w:firstLine="1440"/>
        <w:rPr>
          <w:rFonts w:eastAsiaTheme="minorHAnsi"/>
          <w:sz w:val="26"/>
          <w:szCs w:val="26"/>
        </w:rPr>
      </w:pPr>
    </w:p>
    <w:p w14:paraId="5E8C25BD" w14:textId="57777FDB" w:rsidR="00336900" w:rsidRPr="00217AC0" w:rsidRDefault="00316333" w:rsidP="00217AC0">
      <w:pPr>
        <w:widowControl/>
        <w:spacing w:line="360" w:lineRule="auto"/>
        <w:ind w:firstLine="1440"/>
        <w:rPr>
          <w:rFonts w:eastAsiaTheme="minorHAnsi"/>
          <w:sz w:val="26"/>
          <w:szCs w:val="26"/>
        </w:rPr>
      </w:pPr>
      <w:bookmarkStart w:id="57" w:name="_Hlk68531536"/>
      <w:r w:rsidRPr="00217AC0">
        <w:rPr>
          <w:rFonts w:eastAsiaTheme="minorHAnsi"/>
          <w:sz w:val="26"/>
          <w:szCs w:val="26"/>
        </w:rPr>
        <w:lastRenderedPageBreak/>
        <w:t>However, for purposes of clarification, a</w:t>
      </w:r>
      <w:r w:rsidR="00403550" w:rsidRPr="00217AC0">
        <w:rPr>
          <w:rFonts w:eastAsiaTheme="minorHAnsi"/>
          <w:sz w:val="26"/>
          <w:szCs w:val="26"/>
        </w:rPr>
        <w:t xml:space="preserve">s the ALJ found, the Commission may allow claimed expenditures to </w:t>
      </w:r>
      <w:r w:rsidR="009D2416" w:rsidRPr="00217AC0">
        <w:rPr>
          <w:rFonts w:eastAsiaTheme="minorHAnsi"/>
          <w:sz w:val="26"/>
          <w:szCs w:val="26"/>
        </w:rPr>
        <w:t xml:space="preserve">undertake </w:t>
      </w:r>
      <w:r w:rsidR="00403550" w:rsidRPr="00217AC0">
        <w:rPr>
          <w:rFonts w:eastAsiaTheme="minorHAnsi"/>
          <w:sz w:val="26"/>
          <w:szCs w:val="26"/>
        </w:rPr>
        <w:t xml:space="preserve">construction for plant that will not be completed, </w:t>
      </w:r>
      <w:r w:rsidR="00403550" w:rsidRPr="00217AC0">
        <w:rPr>
          <w:rFonts w:eastAsiaTheme="minorHAnsi"/>
          <w:i/>
          <w:iCs/>
          <w:sz w:val="26"/>
          <w:szCs w:val="26"/>
        </w:rPr>
        <w:t>i.e</w:t>
      </w:r>
      <w:r w:rsidR="00403550" w:rsidRPr="00217AC0">
        <w:rPr>
          <w:rFonts w:eastAsiaTheme="minorHAnsi"/>
          <w:sz w:val="26"/>
          <w:szCs w:val="26"/>
        </w:rPr>
        <w:t>., used and useful at the end of the FYT, in rate base.</w:t>
      </w:r>
      <w:bookmarkEnd w:id="57"/>
      <w:r w:rsidR="00403550" w:rsidRPr="00217AC0">
        <w:rPr>
          <w:rFonts w:eastAsiaTheme="minorHAnsi"/>
          <w:sz w:val="26"/>
          <w:szCs w:val="26"/>
        </w:rPr>
        <w:t xml:space="preserve">  However, in those circumstances, construction of the specific project has been required to be “in progress” </w:t>
      </w:r>
      <w:r w:rsidRPr="00217AC0">
        <w:rPr>
          <w:rFonts w:eastAsiaTheme="minorHAnsi"/>
          <w:sz w:val="26"/>
          <w:szCs w:val="26"/>
        </w:rPr>
        <w:t xml:space="preserve">(construction work in progress) </w:t>
      </w:r>
      <w:r w:rsidR="00403550" w:rsidRPr="00217AC0">
        <w:rPr>
          <w:rFonts w:eastAsiaTheme="minorHAnsi"/>
          <w:sz w:val="26"/>
          <w:szCs w:val="26"/>
        </w:rPr>
        <w:t xml:space="preserve">during the FTY, and “in service” shortly thereafter.  In this instance, we agree with the ALJ that this is the case, which is strengthened by the fact that the emergency generator is essential during a power outage or failure in electric components at the water treatment plant.  </w:t>
      </w:r>
      <w:r w:rsidR="00A90A4F" w:rsidRPr="00217AC0">
        <w:rPr>
          <w:rFonts w:eastAsiaTheme="minorHAnsi"/>
          <w:sz w:val="26"/>
          <w:szCs w:val="26"/>
        </w:rPr>
        <w:t xml:space="preserve">Nevertheless, </w:t>
      </w:r>
      <w:r w:rsidRPr="00217AC0">
        <w:rPr>
          <w:rFonts w:eastAsiaTheme="minorHAnsi"/>
          <w:sz w:val="26"/>
          <w:szCs w:val="26"/>
        </w:rPr>
        <w:t>the</w:t>
      </w:r>
      <w:r w:rsidR="00A90A4F" w:rsidRPr="00217AC0">
        <w:rPr>
          <w:rFonts w:eastAsiaTheme="minorHAnsi"/>
          <w:sz w:val="26"/>
          <w:szCs w:val="26"/>
        </w:rPr>
        <w:t xml:space="preserve"> OCA’s Exception No. 2 has been rendered immaterial, as it challenges an individual rate component which is not determinative to our disposition above pertaining to the reasonableness of the Settlement, we therefore deny the OCA’s Exception No. 2.</w:t>
      </w:r>
    </w:p>
    <w:p w14:paraId="1C0CD7B7" w14:textId="77777777" w:rsidR="00C17BA7" w:rsidRPr="00217AC0" w:rsidRDefault="00C17BA7" w:rsidP="00217AC0">
      <w:pPr>
        <w:widowControl/>
        <w:spacing w:line="360" w:lineRule="auto"/>
        <w:rPr>
          <w:rFonts w:eastAsiaTheme="minorHAnsi"/>
          <w:sz w:val="26"/>
          <w:szCs w:val="26"/>
        </w:rPr>
      </w:pPr>
    </w:p>
    <w:p w14:paraId="3D8CDD75" w14:textId="66F3363F" w:rsidR="004848D1" w:rsidRPr="00217AC0" w:rsidRDefault="00144BF3" w:rsidP="00217AC0">
      <w:pPr>
        <w:pStyle w:val="Heading3"/>
        <w:keepNext/>
        <w:ind w:left="1440" w:hanging="810"/>
        <w:rPr>
          <w:rFonts w:eastAsiaTheme="minorHAnsi"/>
        </w:rPr>
      </w:pPr>
      <w:bookmarkStart w:id="58" w:name="_Toc69230533"/>
      <w:r w:rsidRPr="00217AC0">
        <w:rPr>
          <w:rFonts w:eastAsiaTheme="minorHAnsi"/>
        </w:rPr>
        <w:t>Plant in Service – Fire Pump Station</w:t>
      </w:r>
      <w:bookmarkEnd w:id="58"/>
    </w:p>
    <w:p w14:paraId="2A2506AA" w14:textId="77777777" w:rsidR="004848D1" w:rsidRPr="00217AC0" w:rsidRDefault="004848D1" w:rsidP="00217AC0">
      <w:pPr>
        <w:keepNext/>
        <w:widowControl/>
        <w:spacing w:line="360" w:lineRule="auto"/>
        <w:rPr>
          <w:rFonts w:eastAsiaTheme="minorHAnsi"/>
          <w:sz w:val="26"/>
          <w:szCs w:val="26"/>
        </w:rPr>
      </w:pPr>
    </w:p>
    <w:p w14:paraId="697D711C" w14:textId="10D4A4F5" w:rsidR="004848D1" w:rsidRPr="00217AC0" w:rsidRDefault="00144BF3" w:rsidP="00217AC0">
      <w:pPr>
        <w:pStyle w:val="Heading4"/>
        <w:widowControl/>
        <w:numPr>
          <w:ilvl w:val="0"/>
          <w:numId w:val="44"/>
        </w:numPr>
        <w:ind w:left="2160" w:hanging="720"/>
        <w:rPr>
          <w:rFonts w:eastAsiaTheme="minorHAnsi"/>
        </w:rPr>
      </w:pPr>
      <w:bookmarkStart w:id="59" w:name="_Toc69230534"/>
      <w:r w:rsidRPr="00217AC0">
        <w:rPr>
          <w:rFonts w:eastAsiaTheme="minorHAnsi"/>
        </w:rPr>
        <w:t>Positions of the Parties</w:t>
      </w:r>
      <w:bookmarkEnd w:id="59"/>
    </w:p>
    <w:p w14:paraId="0C6938B6" w14:textId="101BC8F4" w:rsidR="004848D1" w:rsidRPr="00217AC0" w:rsidRDefault="004848D1" w:rsidP="00217AC0">
      <w:pPr>
        <w:keepNext/>
        <w:widowControl/>
        <w:spacing w:line="360" w:lineRule="auto"/>
        <w:rPr>
          <w:rFonts w:eastAsiaTheme="minorHAnsi"/>
          <w:sz w:val="26"/>
          <w:szCs w:val="26"/>
        </w:rPr>
      </w:pPr>
    </w:p>
    <w:p w14:paraId="0A2C12E3" w14:textId="4FA11211" w:rsidR="00ED2DA2" w:rsidRPr="00217AC0" w:rsidRDefault="00ED2DA2" w:rsidP="00217AC0">
      <w:pPr>
        <w:keepNext/>
        <w:widowControl/>
        <w:spacing w:line="360" w:lineRule="auto"/>
        <w:ind w:firstLine="1440"/>
        <w:rPr>
          <w:rFonts w:eastAsiaTheme="minorHAnsi"/>
          <w:sz w:val="26"/>
          <w:szCs w:val="26"/>
        </w:rPr>
      </w:pPr>
      <w:r w:rsidRPr="00217AC0">
        <w:rPr>
          <w:rFonts w:eastAsiaTheme="minorHAnsi"/>
          <w:sz w:val="26"/>
          <w:szCs w:val="26"/>
        </w:rPr>
        <w:t xml:space="preserve">The OCA submitted that the Fire Pump Station should not be included in the plant in service figure, as completion of the project is scheduled after the test period.  OCA M.B. at 26-28. </w:t>
      </w:r>
    </w:p>
    <w:p w14:paraId="448BEB59" w14:textId="77777777" w:rsidR="00ED2DA2" w:rsidRPr="00217AC0" w:rsidRDefault="00ED2DA2" w:rsidP="00217AC0">
      <w:pPr>
        <w:widowControl/>
        <w:spacing w:line="360" w:lineRule="auto"/>
        <w:ind w:firstLine="1440"/>
        <w:rPr>
          <w:rFonts w:eastAsiaTheme="minorHAnsi"/>
          <w:sz w:val="26"/>
          <w:szCs w:val="26"/>
        </w:rPr>
      </w:pPr>
    </w:p>
    <w:p w14:paraId="14F8E8F9" w14:textId="06B98B00" w:rsidR="00EB5B4B" w:rsidRPr="00217AC0" w:rsidRDefault="00ED2DA2" w:rsidP="00217AC0">
      <w:pPr>
        <w:widowControl/>
        <w:spacing w:line="360" w:lineRule="auto"/>
        <w:ind w:firstLine="1440"/>
        <w:rPr>
          <w:rFonts w:eastAsiaTheme="minorHAnsi"/>
          <w:sz w:val="26"/>
          <w:szCs w:val="26"/>
        </w:rPr>
      </w:pPr>
      <w:r w:rsidRPr="00217AC0">
        <w:rPr>
          <w:rFonts w:eastAsiaTheme="minorHAnsi"/>
          <w:sz w:val="26"/>
          <w:szCs w:val="26"/>
        </w:rPr>
        <w:t xml:space="preserve">The City countered that the Fire Pump Station should be included in the plant in service figure, contending the station is a necessary system improvement and that installation and construction will be completed once it receives the remaining component parts. </w:t>
      </w:r>
      <w:r w:rsidR="0007345D" w:rsidRPr="00217AC0">
        <w:rPr>
          <w:rFonts w:eastAsiaTheme="minorHAnsi"/>
          <w:sz w:val="26"/>
          <w:szCs w:val="26"/>
        </w:rPr>
        <w:t xml:space="preserve"> City</w:t>
      </w:r>
      <w:r w:rsidRPr="00217AC0">
        <w:rPr>
          <w:rFonts w:eastAsiaTheme="minorHAnsi"/>
          <w:sz w:val="26"/>
          <w:szCs w:val="26"/>
        </w:rPr>
        <w:t xml:space="preserve"> M.B. at 17-18. </w:t>
      </w:r>
      <w:r w:rsidR="0007345D" w:rsidRPr="00217AC0">
        <w:rPr>
          <w:rFonts w:eastAsiaTheme="minorHAnsi"/>
          <w:sz w:val="26"/>
          <w:szCs w:val="26"/>
        </w:rPr>
        <w:t xml:space="preserve"> </w:t>
      </w:r>
      <w:r w:rsidRPr="00217AC0">
        <w:rPr>
          <w:rFonts w:eastAsiaTheme="minorHAnsi"/>
          <w:sz w:val="26"/>
          <w:szCs w:val="26"/>
        </w:rPr>
        <w:t>Further, the City argues that the Fire Pump Station is a necessary capital item for the City to continue to provide reasonable and adequate water service to customer</w:t>
      </w:r>
      <w:r w:rsidR="00316333" w:rsidRPr="00217AC0">
        <w:rPr>
          <w:rFonts w:eastAsiaTheme="minorHAnsi"/>
          <w:sz w:val="26"/>
          <w:szCs w:val="26"/>
        </w:rPr>
        <w:t>s</w:t>
      </w:r>
      <w:r w:rsidRPr="00217AC0">
        <w:rPr>
          <w:rFonts w:eastAsiaTheme="minorHAnsi"/>
          <w:sz w:val="26"/>
          <w:szCs w:val="26"/>
        </w:rPr>
        <w:t xml:space="preserve"> in higher elevations. </w:t>
      </w:r>
      <w:r w:rsidR="0007345D" w:rsidRPr="00217AC0">
        <w:rPr>
          <w:rFonts w:eastAsiaTheme="minorHAnsi"/>
          <w:sz w:val="26"/>
          <w:szCs w:val="26"/>
        </w:rPr>
        <w:t xml:space="preserve"> City</w:t>
      </w:r>
      <w:r w:rsidRPr="00217AC0">
        <w:rPr>
          <w:rFonts w:eastAsiaTheme="minorHAnsi"/>
          <w:sz w:val="26"/>
          <w:szCs w:val="26"/>
        </w:rPr>
        <w:t xml:space="preserve"> M.B. at 18-19.</w:t>
      </w:r>
    </w:p>
    <w:p w14:paraId="3C6CB705" w14:textId="77777777" w:rsidR="00EB5B4B" w:rsidRPr="00217AC0" w:rsidRDefault="00EB5B4B" w:rsidP="00217AC0">
      <w:pPr>
        <w:widowControl/>
        <w:spacing w:line="360" w:lineRule="auto"/>
        <w:rPr>
          <w:rFonts w:eastAsiaTheme="minorHAnsi"/>
          <w:sz w:val="26"/>
          <w:szCs w:val="26"/>
        </w:rPr>
      </w:pPr>
    </w:p>
    <w:p w14:paraId="7A04A3EF" w14:textId="29125579" w:rsidR="00144BF3" w:rsidRPr="00217AC0" w:rsidRDefault="00144BF3" w:rsidP="00217AC0">
      <w:pPr>
        <w:pStyle w:val="Heading4"/>
        <w:widowControl/>
        <w:rPr>
          <w:rFonts w:eastAsiaTheme="minorHAnsi"/>
        </w:rPr>
      </w:pPr>
      <w:bookmarkStart w:id="60" w:name="_Toc69230535"/>
      <w:r w:rsidRPr="00217AC0">
        <w:rPr>
          <w:rFonts w:eastAsiaTheme="minorHAnsi"/>
        </w:rPr>
        <w:lastRenderedPageBreak/>
        <w:t>Recommended Decision</w:t>
      </w:r>
      <w:bookmarkEnd w:id="60"/>
    </w:p>
    <w:p w14:paraId="3BB1430F" w14:textId="7535C2F1" w:rsidR="004848D1" w:rsidRPr="00217AC0" w:rsidRDefault="004848D1" w:rsidP="00217AC0">
      <w:pPr>
        <w:keepNext/>
        <w:widowControl/>
        <w:spacing w:line="360" w:lineRule="auto"/>
        <w:rPr>
          <w:rFonts w:eastAsiaTheme="minorHAnsi"/>
          <w:sz w:val="26"/>
          <w:szCs w:val="26"/>
        </w:rPr>
      </w:pPr>
    </w:p>
    <w:p w14:paraId="2A849A01" w14:textId="70C4F3AD" w:rsidR="00ED2DA2" w:rsidRPr="00217AC0" w:rsidRDefault="00316333" w:rsidP="00217AC0">
      <w:pPr>
        <w:keepNext/>
        <w:widowControl/>
        <w:spacing w:line="360" w:lineRule="auto"/>
        <w:ind w:firstLine="1440"/>
        <w:rPr>
          <w:rFonts w:eastAsiaTheme="minorHAnsi"/>
          <w:sz w:val="26"/>
          <w:szCs w:val="26"/>
        </w:rPr>
      </w:pPr>
      <w:r w:rsidRPr="00217AC0">
        <w:rPr>
          <w:rFonts w:eastAsiaTheme="minorHAnsi"/>
          <w:sz w:val="26"/>
          <w:szCs w:val="26"/>
        </w:rPr>
        <w:t>Similar to the Water Treatment Emergency Generator</w:t>
      </w:r>
      <w:r w:rsidR="00967135" w:rsidRPr="00217AC0">
        <w:rPr>
          <w:rFonts w:eastAsiaTheme="minorHAnsi"/>
          <w:sz w:val="26"/>
          <w:szCs w:val="26"/>
        </w:rPr>
        <w:t xml:space="preserve"> project</w:t>
      </w:r>
      <w:r w:rsidRPr="00217AC0">
        <w:rPr>
          <w:rFonts w:eastAsiaTheme="minorHAnsi"/>
          <w:sz w:val="26"/>
          <w:szCs w:val="26"/>
        </w:rPr>
        <w:t xml:space="preserve">, while the ALJ did not recommend an adjustment to plant in service </w:t>
      </w:r>
      <w:r w:rsidR="00967135" w:rsidRPr="00217AC0">
        <w:rPr>
          <w:rFonts w:eastAsiaTheme="minorHAnsi"/>
          <w:sz w:val="26"/>
          <w:szCs w:val="26"/>
        </w:rPr>
        <w:t>since the Joint Petitioners did not agree to any individual plant in service claim, t</w:t>
      </w:r>
      <w:r w:rsidR="00ED2DA2" w:rsidRPr="00217AC0">
        <w:rPr>
          <w:rFonts w:eastAsiaTheme="minorHAnsi"/>
          <w:sz w:val="26"/>
          <w:szCs w:val="26"/>
        </w:rPr>
        <w:t xml:space="preserve">he ALJ found that, </w:t>
      </w:r>
      <w:r w:rsidR="00665362" w:rsidRPr="00217AC0">
        <w:rPr>
          <w:rFonts w:eastAsiaTheme="minorHAnsi"/>
          <w:sz w:val="26"/>
          <w:szCs w:val="26"/>
        </w:rPr>
        <w:t>contingent upon the</w:t>
      </w:r>
      <w:r w:rsidR="00ED2DA2" w:rsidRPr="00217AC0">
        <w:rPr>
          <w:rFonts w:eastAsiaTheme="minorHAnsi"/>
          <w:sz w:val="26"/>
          <w:szCs w:val="26"/>
        </w:rPr>
        <w:t xml:space="preserve"> Commission choos</w:t>
      </w:r>
      <w:r w:rsidR="00665362" w:rsidRPr="00217AC0">
        <w:rPr>
          <w:rFonts w:eastAsiaTheme="minorHAnsi"/>
          <w:sz w:val="26"/>
          <w:szCs w:val="26"/>
        </w:rPr>
        <w:t>ing</w:t>
      </w:r>
      <w:r w:rsidR="00ED2DA2" w:rsidRPr="00217AC0">
        <w:rPr>
          <w:rFonts w:eastAsiaTheme="minorHAnsi"/>
          <w:sz w:val="26"/>
          <w:szCs w:val="26"/>
        </w:rPr>
        <w:t xml:space="preserve"> not to approve the Settlement, without modification, the Fire Pump Station should be removed from rate base, reasoning that “the City [had] not provided sufficient evidence to indicate an operational date of the Fire Pump Station.”  R.D. at </w:t>
      </w:r>
      <w:r w:rsidR="00967135" w:rsidRPr="00217AC0">
        <w:rPr>
          <w:rFonts w:eastAsiaTheme="minorHAnsi"/>
          <w:sz w:val="26"/>
          <w:szCs w:val="26"/>
        </w:rPr>
        <w:t>25-</w:t>
      </w:r>
      <w:r w:rsidR="00ED2DA2" w:rsidRPr="00217AC0">
        <w:rPr>
          <w:rFonts w:eastAsiaTheme="minorHAnsi"/>
          <w:sz w:val="26"/>
          <w:szCs w:val="26"/>
        </w:rPr>
        <w:t xml:space="preserve">26.  </w:t>
      </w:r>
    </w:p>
    <w:p w14:paraId="063B7901" w14:textId="77777777" w:rsidR="00ED2DA2" w:rsidRPr="00217AC0" w:rsidRDefault="00ED2DA2" w:rsidP="00217AC0">
      <w:pPr>
        <w:widowControl/>
        <w:spacing w:line="360" w:lineRule="auto"/>
        <w:rPr>
          <w:rFonts w:eastAsiaTheme="minorHAnsi"/>
          <w:sz w:val="26"/>
          <w:szCs w:val="26"/>
        </w:rPr>
      </w:pPr>
    </w:p>
    <w:p w14:paraId="1A665EFC" w14:textId="4CF12F4A" w:rsidR="004848D1" w:rsidRPr="00217AC0" w:rsidRDefault="00B6001C" w:rsidP="00217AC0">
      <w:pPr>
        <w:pStyle w:val="Heading4"/>
        <w:widowControl/>
        <w:rPr>
          <w:rFonts w:eastAsiaTheme="minorHAnsi"/>
        </w:rPr>
      </w:pPr>
      <w:bookmarkStart w:id="61" w:name="_Toc69230536"/>
      <w:r w:rsidRPr="00217AC0">
        <w:rPr>
          <w:rFonts w:eastAsiaTheme="minorHAnsi"/>
        </w:rPr>
        <w:t>City Exception No. 1</w:t>
      </w:r>
      <w:r w:rsidR="004848D1" w:rsidRPr="00217AC0">
        <w:rPr>
          <w:rFonts w:eastAsiaTheme="minorHAnsi"/>
        </w:rPr>
        <w:t xml:space="preserve"> and Replies</w:t>
      </w:r>
      <w:bookmarkEnd w:id="61"/>
    </w:p>
    <w:p w14:paraId="6456966D" w14:textId="77777777" w:rsidR="004848D1" w:rsidRPr="00217AC0" w:rsidRDefault="004848D1" w:rsidP="00217AC0">
      <w:pPr>
        <w:keepNext/>
        <w:widowControl/>
        <w:spacing w:line="360" w:lineRule="auto"/>
        <w:rPr>
          <w:rFonts w:eastAsiaTheme="minorHAnsi"/>
          <w:sz w:val="26"/>
          <w:szCs w:val="26"/>
        </w:rPr>
      </w:pPr>
    </w:p>
    <w:p w14:paraId="68D5CC3B" w14:textId="7FFD1982" w:rsidR="004848D1" w:rsidRPr="00217AC0" w:rsidRDefault="00ED02B5" w:rsidP="00217AC0">
      <w:pPr>
        <w:keepNext/>
        <w:widowControl/>
        <w:spacing w:line="360" w:lineRule="auto"/>
        <w:ind w:firstLine="1440"/>
        <w:rPr>
          <w:rFonts w:eastAsiaTheme="minorHAnsi"/>
          <w:sz w:val="26"/>
          <w:szCs w:val="26"/>
        </w:rPr>
      </w:pPr>
      <w:r w:rsidRPr="00217AC0">
        <w:rPr>
          <w:rFonts w:eastAsiaTheme="minorHAnsi"/>
          <w:sz w:val="26"/>
          <w:szCs w:val="26"/>
        </w:rPr>
        <w:t xml:space="preserve">In its Exception No. 1, the City opposes the ALJ’s </w:t>
      </w:r>
      <w:r w:rsidR="00967135" w:rsidRPr="00217AC0">
        <w:rPr>
          <w:rFonts w:eastAsiaTheme="minorHAnsi"/>
          <w:sz w:val="26"/>
          <w:szCs w:val="26"/>
        </w:rPr>
        <w:t xml:space="preserve">alternative </w:t>
      </w:r>
      <w:r w:rsidRPr="00217AC0">
        <w:rPr>
          <w:rFonts w:eastAsiaTheme="minorHAnsi"/>
          <w:sz w:val="26"/>
          <w:szCs w:val="26"/>
        </w:rPr>
        <w:t xml:space="preserve">recommendation, maintaining its argument that the Fire Pump Station should be included in the plant in service figure because it is a necessary system improvement, and installation and construction will be completed once the City receives the remaining parts.  City Exc. at 2-3.  </w:t>
      </w:r>
      <w:r w:rsidR="00BB332F" w:rsidRPr="00217AC0">
        <w:rPr>
          <w:rFonts w:eastAsiaTheme="minorHAnsi"/>
          <w:sz w:val="26"/>
          <w:szCs w:val="26"/>
        </w:rPr>
        <w:t xml:space="preserve">The City again cited to the </w:t>
      </w:r>
      <w:r w:rsidR="00BB332F" w:rsidRPr="00217AC0">
        <w:rPr>
          <w:rFonts w:eastAsiaTheme="minorHAnsi"/>
          <w:i/>
          <w:iCs/>
          <w:sz w:val="26"/>
          <w:szCs w:val="26"/>
        </w:rPr>
        <w:t>1988 PAWC Order</w:t>
      </w:r>
      <w:r w:rsidR="00BB332F" w:rsidRPr="00217AC0">
        <w:rPr>
          <w:rFonts w:eastAsiaTheme="minorHAnsi"/>
          <w:sz w:val="26"/>
          <w:szCs w:val="26"/>
        </w:rPr>
        <w:t>, arguing that the company in that case was allowed to claim projects that would be operating and in service shortly after the end of the FTY.</w:t>
      </w:r>
      <w:r w:rsidR="00376C3D" w:rsidRPr="00217AC0">
        <w:rPr>
          <w:rFonts w:eastAsiaTheme="minorHAnsi"/>
          <w:sz w:val="26"/>
          <w:szCs w:val="26"/>
        </w:rPr>
        <w:t xml:space="preserve">  City Exc. at 3.  </w:t>
      </w:r>
    </w:p>
    <w:p w14:paraId="202889AC" w14:textId="4E3649AD" w:rsidR="00376C3D" w:rsidRPr="00217AC0" w:rsidRDefault="00376C3D" w:rsidP="00217AC0">
      <w:pPr>
        <w:widowControl/>
        <w:spacing w:line="360" w:lineRule="auto"/>
        <w:ind w:firstLine="1440"/>
        <w:rPr>
          <w:rFonts w:eastAsiaTheme="minorHAnsi"/>
          <w:sz w:val="26"/>
          <w:szCs w:val="26"/>
        </w:rPr>
      </w:pPr>
    </w:p>
    <w:p w14:paraId="13B5428C" w14:textId="4A0AC72C" w:rsidR="00376C3D" w:rsidRPr="00217AC0" w:rsidRDefault="008B6253" w:rsidP="00217AC0">
      <w:pPr>
        <w:widowControl/>
        <w:spacing w:line="360" w:lineRule="auto"/>
        <w:ind w:firstLine="1440"/>
        <w:rPr>
          <w:rFonts w:eastAsiaTheme="minorHAnsi"/>
          <w:sz w:val="26"/>
          <w:szCs w:val="26"/>
        </w:rPr>
      </w:pPr>
      <w:r w:rsidRPr="00217AC0">
        <w:rPr>
          <w:rFonts w:eastAsiaTheme="minorHAnsi"/>
          <w:sz w:val="26"/>
          <w:szCs w:val="26"/>
        </w:rPr>
        <w:t xml:space="preserve">In reply, the OCA supports the ALJ’s </w:t>
      </w:r>
      <w:r w:rsidR="00967135" w:rsidRPr="00217AC0">
        <w:rPr>
          <w:rFonts w:eastAsiaTheme="minorHAnsi"/>
          <w:sz w:val="26"/>
          <w:szCs w:val="26"/>
        </w:rPr>
        <w:t xml:space="preserve">alternative </w:t>
      </w:r>
      <w:r w:rsidRPr="00217AC0">
        <w:rPr>
          <w:rFonts w:eastAsiaTheme="minorHAnsi"/>
          <w:sz w:val="26"/>
          <w:szCs w:val="26"/>
        </w:rPr>
        <w:t xml:space="preserve">finding that the City has not provided sufficient evidence to indicate an operational date of the Fire Pump Station, nor has the City provided any evidence as to when the Fire Pump </w:t>
      </w:r>
      <w:r w:rsidR="00967135" w:rsidRPr="00217AC0">
        <w:rPr>
          <w:rFonts w:eastAsiaTheme="minorHAnsi"/>
          <w:sz w:val="26"/>
          <w:szCs w:val="26"/>
        </w:rPr>
        <w:t>S</w:t>
      </w:r>
      <w:r w:rsidRPr="00217AC0">
        <w:rPr>
          <w:rFonts w:eastAsiaTheme="minorHAnsi"/>
          <w:sz w:val="26"/>
          <w:szCs w:val="26"/>
        </w:rPr>
        <w:t>tation will be in service.  OCA R. Exc. at 2.</w:t>
      </w:r>
      <w:r w:rsidR="00FC409F" w:rsidRPr="00217AC0">
        <w:rPr>
          <w:rFonts w:eastAsiaTheme="minorHAnsi"/>
          <w:sz w:val="26"/>
          <w:szCs w:val="26"/>
        </w:rPr>
        <w:t xml:space="preserve">  The OCA contends that it would be unreasonable to include the project in the test year based on the City’s speculation as to when it will be completed and in service, considering that the reason why it was delayed, COVID-19 circumstances, continues to cast uncertainty over different aspects of everyday life.  OCA R. Exc. at 3.  </w:t>
      </w:r>
    </w:p>
    <w:p w14:paraId="6E0E11AD" w14:textId="4E08037C" w:rsidR="00ED02B5" w:rsidRPr="00217AC0" w:rsidRDefault="00ED02B5" w:rsidP="00217AC0">
      <w:pPr>
        <w:widowControl/>
        <w:spacing w:line="360" w:lineRule="auto"/>
        <w:rPr>
          <w:rFonts w:eastAsiaTheme="minorHAnsi"/>
          <w:sz w:val="26"/>
          <w:szCs w:val="26"/>
        </w:rPr>
      </w:pPr>
    </w:p>
    <w:p w14:paraId="6D08DE34" w14:textId="77777777" w:rsidR="004848D1" w:rsidRPr="00217AC0" w:rsidRDefault="004848D1" w:rsidP="00217AC0">
      <w:pPr>
        <w:pStyle w:val="Heading4"/>
        <w:widowControl/>
        <w:rPr>
          <w:rFonts w:eastAsiaTheme="minorHAnsi"/>
        </w:rPr>
      </w:pPr>
      <w:bookmarkStart w:id="62" w:name="_Toc69230537"/>
      <w:r w:rsidRPr="00217AC0">
        <w:rPr>
          <w:rFonts w:eastAsiaTheme="minorHAnsi"/>
        </w:rPr>
        <w:lastRenderedPageBreak/>
        <w:t>Disposition</w:t>
      </w:r>
      <w:bookmarkEnd w:id="62"/>
    </w:p>
    <w:p w14:paraId="36AFE913" w14:textId="112C86E0" w:rsidR="004848D1" w:rsidRPr="00217AC0" w:rsidRDefault="004848D1" w:rsidP="00217AC0">
      <w:pPr>
        <w:keepNext/>
        <w:widowControl/>
        <w:spacing w:line="360" w:lineRule="auto"/>
        <w:rPr>
          <w:rFonts w:eastAsiaTheme="minorHAnsi"/>
          <w:sz w:val="26"/>
          <w:szCs w:val="26"/>
        </w:rPr>
      </w:pPr>
    </w:p>
    <w:p w14:paraId="684315C5" w14:textId="216904D4" w:rsidR="008C11ED" w:rsidRPr="00217AC0" w:rsidRDefault="00CE33A1" w:rsidP="00217AC0">
      <w:pPr>
        <w:keepNext/>
        <w:widowControl/>
        <w:spacing w:line="360" w:lineRule="auto"/>
        <w:ind w:firstLine="1440"/>
        <w:rPr>
          <w:rFonts w:eastAsiaTheme="minorHAnsi"/>
          <w:sz w:val="26"/>
          <w:szCs w:val="26"/>
        </w:rPr>
      </w:pPr>
      <w:r w:rsidRPr="00217AC0">
        <w:rPr>
          <w:rFonts w:eastAsiaTheme="minorHAnsi"/>
          <w:sz w:val="26"/>
          <w:szCs w:val="26"/>
        </w:rPr>
        <w:t xml:space="preserve">Upon review, </w:t>
      </w:r>
      <w:r w:rsidR="00967135" w:rsidRPr="00217AC0">
        <w:rPr>
          <w:rFonts w:eastAsiaTheme="minorHAnsi"/>
          <w:sz w:val="26"/>
          <w:szCs w:val="26"/>
        </w:rPr>
        <w:t xml:space="preserve">although we adopt the Settlement, for purposes of clarification, </w:t>
      </w:r>
      <w:r w:rsidRPr="00217AC0">
        <w:rPr>
          <w:rFonts w:eastAsiaTheme="minorHAnsi"/>
          <w:sz w:val="26"/>
          <w:szCs w:val="26"/>
        </w:rPr>
        <w:t>we agree with the rationale and the</w:t>
      </w:r>
      <w:r w:rsidR="00967135" w:rsidRPr="00217AC0">
        <w:rPr>
          <w:rFonts w:eastAsiaTheme="minorHAnsi"/>
          <w:sz w:val="26"/>
          <w:szCs w:val="26"/>
        </w:rPr>
        <w:t xml:space="preserve"> alternative</w:t>
      </w:r>
      <w:r w:rsidRPr="00217AC0">
        <w:rPr>
          <w:rFonts w:eastAsiaTheme="minorHAnsi"/>
          <w:sz w:val="26"/>
          <w:szCs w:val="26"/>
        </w:rPr>
        <w:t xml:space="preserve"> recommendation of the ALJ to exclude the Fire Pump Station from rate base, </w:t>
      </w:r>
      <w:r w:rsidR="00AC3EE5" w:rsidRPr="00217AC0">
        <w:rPr>
          <w:rFonts w:eastAsiaTheme="minorHAnsi"/>
          <w:sz w:val="26"/>
          <w:szCs w:val="26"/>
        </w:rPr>
        <w:t xml:space="preserve">which was </w:t>
      </w:r>
      <w:r w:rsidRPr="00217AC0">
        <w:rPr>
          <w:rFonts w:eastAsiaTheme="minorHAnsi"/>
          <w:sz w:val="26"/>
          <w:szCs w:val="26"/>
        </w:rPr>
        <w:t>provided</w:t>
      </w:r>
      <w:r w:rsidR="00AC3EE5" w:rsidRPr="00217AC0">
        <w:rPr>
          <w:rFonts w:eastAsiaTheme="minorHAnsi"/>
          <w:sz w:val="26"/>
          <w:szCs w:val="26"/>
        </w:rPr>
        <w:t xml:space="preserve"> as a contingency recommendation should</w:t>
      </w:r>
      <w:r w:rsidRPr="00217AC0">
        <w:rPr>
          <w:rFonts w:eastAsiaTheme="minorHAnsi"/>
          <w:sz w:val="26"/>
          <w:szCs w:val="26"/>
        </w:rPr>
        <w:t xml:space="preserve"> the Commission choos</w:t>
      </w:r>
      <w:r w:rsidR="00AC3EE5" w:rsidRPr="00217AC0">
        <w:rPr>
          <w:rFonts w:eastAsiaTheme="minorHAnsi"/>
          <w:sz w:val="26"/>
          <w:szCs w:val="26"/>
        </w:rPr>
        <w:t>e</w:t>
      </w:r>
      <w:r w:rsidRPr="00217AC0">
        <w:rPr>
          <w:rFonts w:eastAsiaTheme="minorHAnsi"/>
          <w:sz w:val="26"/>
          <w:szCs w:val="26"/>
        </w:rPr>
        <w:t xml:space="preserve"> not to approve the Settlement, without modification.  </w:t>
      </w:r>
      <w:r w:rsidR="002F4E84" w:rsidRPr="00217AC0">
        <w:rPr>
          <w:rFonts w:eastAsiaTheme="minorHAnsi"/>
          <w:sz w:val="26"/>
          <w:szCs w:val="26"/>
        </w:rPr>
        <w:t xml:space="preserve">The Fire Pump Station project included the initial engineering work, followed by the construction of the facility.  The City’s only counter is that “installation and construction will be completed once the City receives the remaining component parts,” but does not state when it is expected to receive the remaining component parts.  </w:t>
      </w:r>
      <w:r w:rsidR="002F4E84" w:rsidRPr="00217AC0">
        <w:rPr>
          <w:rFonts w:eastAsiaTheme="minorHAnsi"/>
          <w:i/>
          <w:iCs/>
          <w:sz w:val="26"/>
          <w:szCs w:val="26"/>
        </w:rPr>
        <w:t>See</w:t>
      </w:r>
      <w:r w:rsidR="002F4E84" w:rsidRPr="00217AC0">
        <w:rPr>
          <w:rFonts w:eastAsiaTheme="minorHAnsi"/>
          <w:sz w:val="26"/>
          <w:szCs w:val="26"/>
        </w:rPr>
        <w:t xml:space="preserve"> City M.B. at 17-18.  In matters such as this</w:t>
      </w:r>
      <w:r w:rsidR="00115F84" w:rsidRPr="00217AC0">
        <w:rPr>
          <w:rFonts w:eastAsiaTheme="minorHAnsi"/>
          <w:sz w:val="26"/>
          <w:szCs w:val="26"/>
        </w:rPr>
        <w:t>, where the completion date of the Fire Pump Station is shrouded in uncertainty</w:t>
      </w:r>
      <w:r w:rsidR="002F4E84" w:rsidRPr="00217AC0">
        <w:rPr>
          <w:rFonts w:eastAsiaTheme="minorHAnsi"/>
          <w:sz w:val="26"/>
          <w:szCs w:val="26"/>
        </w:rPr>
        <w:t xml:space="preserve">, a utility’s </w:t>
      </w:r>
      <w:r w:rsidR="00115F84" w:rsidRPr="00217AC0">
        <w:rPr>
          <w:rFonts w:eastAsiaTheme="minorHAnsi"/>
          <w:sz w:val="26"/>
          <w:szCs w:val="26"/>
        </w:rPr>
        <w:t>projections</w:t>
      </w:r>
      <w:r w:rsidR="002F4E84" w:rsidRPr="00217AC0">
        <w:rPr>
          <w:rFonts w:eastAsiaTheme="minorHAnsi"/>
          <w:sz w:val="26"/>
          <w:szCs w:val="26"/>
        </w:rPr>
        <w:t xml:space="preserve"> are considered relative to supporting data that includes historic performance.  </w:t>
      </w:r>
      <w:r w:rsidR="00FF6EC3" w:rsidRPr="00217AC0">
        <w:rPr>
          <w:rFonts w:eastAsiaTheme="minorHAnsi"/>
          <w:sz w:val="26"/>
          <w:szCs w:val="26"/>
        </w:rPr>
        <w:t>In this instance</w:t>
      </w:r>
      <w:r w:rsidR="00D83085" w:rsidRPr="00217AC0">
        <w:rPr>
          <w:rFonts w:eastAsiaTheme="minorHAnsi"/>
          <w:sz w:val="26"/>
          <w:szCs w:val="26"/>
        </w:rPr>
        <w:t xml:space="preserve">, </w:t>
      </w:r>
      <w:r w:rsidR="00DB3D3C" w:rsidRPr="00217AC0">
        <w:rPr>
          <w:rFonts w:eastAsiaTheme="minorHAnsi"/>
          <w:sz w:val="26"/>
          <w:szCs w:val="26"/>
        </w:rPr>
        <w:t xml:space="preserve">the </w:t>
      </w:r>
      <w:r w:rsidR="002F4E84" w:rsidRPr="00217AC0">
        <w:rPr>
          <w:rFonts w:eastAsiaTheme="minorHAnsi"/>
          <w:sz w:val="26"/>
          <w:szCs w:val="26"/>
        </w:rPr>
        <w:t>City’s</w:t>
      </w:r>
      <w:r w:rsidR="00FF6EC3" w:rsidRPr="00217AC0">
        <w:rPr>
          <w:rFonts w:eastAsiaTheme="minorHAnsi"/>
          <w:sz w:val="26"/>
          <w:szCs w:val="26"/>
        </w:rPr>
        <w:t xml:space="preserve"> </w:t>
      </w:r>
      <w:r w:rsidR="002F4E84" w:rsidRPr="00217AC0">
        <w:rPr>
          <w:rFonts w:eastAsiaTheme="minorHAnsi"/>
          <w:sz w:val="26"/>
          <w:szCs w:val="26"/>
        </w:rPr>
        <w:t xml:space="preserve">projections </w:t>
      </w:r>
      <w:r w:rsidR="00FF6EC3" w:rsidRPr="00217AC0">
        <w:rPr>
          <w:rFonts w:eastAsiaTheme="minorHAnsi"/>
          <w:sz w:val="26"/>
          <w:szCs w:val="26"/>
        </w:rPr>
        <w:t xml:space="preserve">have a history of being unreliable.  As I&amp;E highlighted, the City’s actual plant additions have fallen short of those included in its capital budget for the past three historic periods.  I&amp;E St. No. 3-SR at 6-8.  </w:t>
      </w:r>
      <w:r w:rsidR="00115F84" w:rsidRPr="00217AC0">
        <w:rPr>
          <w:rFonts w:eastAsiaTheme="minorHAnsi"/>
          <w:sz w:val="26"/>
          <w:szCs w:val="26"/>
        </w:rPr>
        <w:t xml:space="preserve">The uncertainty surrounding the completion date of the Fire Pump Station has been a notable concern of the OCA, recognized by the ALJ in the determination of his recommendation, and has been acknowledged by the City.  </w:t>
      </w:r>
      <w:r w:rsidR="008178AB" w:rsidRPr="00217AC0">
        <w:rPr>
          <w:rFonts w:eastAsiaTheme="minorHAnsi"/>
          <w:sz w:val="26"/>
          <w:szCs w:val="26"/>
        </w:rPr>
        <w:t xml:space="preserve">Accordingly, </w:t>
      </w:r>
      <w:r w:rsidR="00D83085" w:rsidRPr="00217AC0">
        <w:rPr>
          <w:rFonts w:eastAsiaTheme="minorHAnsi"/>
          <w:sz w:val="26"/>
          <w:szCs w:val="26"/>
        </w:rPr>
        <w:t xml:space="preserve">although we adopt the Joint Petition, </w:t>
      </w:r>
      <w:r w:rsidR="008178AB" w:rsidRPr="00217AC0">
        <w:rPr>
          <w:rFonts w:eastAsiaTheme="minorHAnsi"/>
          <w:sz w:val="26"/>
          <w:szCs w:val="26"/>
        </w:rPr>
        <w:t xml:space="preserve">we </w:t>
      </w:r>
      <w:r w:rsidR="00D83085" w:rsidRPr="00217AC0">
        <w:rPr>
          <w:rFonts w:eastAsiaTheme="minorHAnsi"/>
          <w:sz w:val="26"/>
          <w:szCs w:val="26"/>
        </w:rPr>
        <w:t xml:space="preserve">also </w:t>
      </w:r>
      <w:r w:rsidR="008178AB" w:rsidRPr="00217AC0">
        <w:rPr>
          <w:rFonts w:eastAsiaTheme="minorHAnsi"/>
          <w:sz w:val="26"/>
          <w:szCs w:val="26"/>
        </w:rPr>
        <w:t>concur with the ALJ’s finding that the City has not provided sufficient evidence to indicate an operational date of the Fire Pump Station.</w:t>
      </w:r>
      <w:r w:rsidR="008C11ED" w:rsidRPr="00217AC0">
        <w:rPr>
          <w:rFonts w:eastAsiaTheme="minorHAnsi"/>
          <w:sz w:val="26"/>
          <w:szCs w:val="26"/>
        </w:rPr>
        <w:t xml:space="preserve">  Nonetheless, </w:t>
      </w:r>
      <w:r w:rsidR="008C11ED" w:rsidRPr="00217AC0">
        <w:rPr>
          <w:sz w:val="26"/>
          <w:szCs w:val="26"/>
        </w:rPr>
        <w:t>given our disposition denying</w:t>
      </w:r>
      <w:r w:rsidR="00087B53" w:rsidRPr="00217AC0">
        <w:rPr>
          <w:sz w:val="26"/>
          <w:szCs w:val="26"/>
        </w:rPr>
        <w:t xml:space="preserve"> the</w:t>
      </w:r>
      <w:r w:rsidR="008C11ED" w:rsidRPr="00217AC0">
        <w:rPr>
          <w:sz w:val="26"/>
          <w:szCs w:val="26"/>
        </w:rPr>
        <w:t xml:space="preserve"> OCA’s Exception No. 1 challenging the reasonableness of the Settlement, the City’s Exception No. 1 is rendered immaterial, as it challenges an individual rate component which is not determinative to our disposition, and it is, therefore, denied. </w:t>
      </w:r>
    </w:p>
    <w:p w14:paraId="37A50141" w14:textId="502DFC9E" w:rsidR="0073262A" w:rsidRPr="00217AC0" w:rsidRDefault="0073262A" w:rsidP="00217AC0">
      <w:pPr>
        <w:widowControl/>
        <w:spacing w:line="360" w:lineRule="auto"/>
        <w:rPr>
          <w:rFonts w:eastAsiaTheme="minorHAnsi"/>
          <w:sz w:val="26"/>
          <w:szCs w:val="26"/>
        </w:rPr>
      </w:pPr>
    </w:p>
    <w:p w14:paraId="01265DAD" w14:textId="08ED0397" w:rsidR="00683ABA" w:rsidRPr="00217AC0" w:rsidRDefault="00683ABA" w:rsidP="00217AC0">
      <w:pPr>
        <w:pStyle w:val="Heading3"/>
        <w:keepNext/>
        <w:ind w:left="1440" w:hanging="720"/>
        <w:rPr>
          <w:rFonts w:eastAsiaTheme="minorHAnsi"/>
        </w:rPr>
      </w:pPr>
      <w:bookmarkStart w:id="63" w:name="_Toc69230538"/>
      <w:r w:rsidRPr="00217AC0">
        <w:rPr>
          <w:rFonts w:eastAsiaTheme="minorHAnsi"/>
        </w:rPr>
        <w:lastRenderedPageBreak/>
        <w:t>Cash Working Capital</w:t>
      </w:r>
      <w:bookmarkEnd w:id="63"/>
    </w:p>
    <w:p w14:paraId="537F8AE0" w14:textId="4DD47772" w:rsidR="002F52CB" w:rsidRPr="00217AC0" w:rsidRDefault="002F52CB" w:rsidP="00217AC0">
      <w:pPr>
        <w:keepNext/>
        <w:widowControl/>
        <w:spacing w:line="360" w:lineRule="auto"/>
        <w:rPr>
          <w:sz w:val="26"/>
          <w:szCs w:val="26"/>
        </w:rPr>
      </w:pPr>
    </w:p>
    <w:p w14:paraId="299DE4CB" w14:textId="77777777" w:rsidR="004848D1" w:rsidRPr="00217AC0" w:rsidRDefault="004848D1" w:rsidP="00217AC0">
      <w:pPr>
        <w:pStyle w:val="Heading4"/>
        <w:widowControl/>
        <w:numPr>
          <w:ilvl w:val="0"/>
          <w:numId w:val="45"/>
        </w:numPr>
        <w:ind w:left="2160" w:hanging="720"/>
        <w:rPr>
          <w:rFonts w:eastAsiaTheme="minorHAnsi"/>
        </w:rPr>
      </w:pPr>
      <w:bookmarkStart w:id="64" w:name="_Toc69230539"/>
      <w:bookmarkStart w:id="65" w:name="_Hlk65652120"/>
      <w:r w:rsidRPr="00217AC0">
        <w:rPr>
          <w:rFonts w:eastAsiaTheme="minorHAnsi"/>
        </w:rPr>
        <w:t>Positions of the Parties</w:t>
      </w:r>
      <w:bookmarkEnd w:id="64"/>
    </w:p>
    <w:p w14:paraId="295F1444" w14:textId="77777777" w:rsidR="004848D1" w:rsidRPr="00217AC0" w:rsidRDefault="004848D1" w:rsidP="00217AC0">
      <w:pPr>
        <w:keepNext/>
        <w:widowControl/>
        <w:spacing w:line="360" w:lineRule="auto"/>
        <w:rPr>
          <w:rFonts w:eastAsiaTheme="minorHAnsi"/>
          <w:sz w:val="26"/>
          <w:szCs w:val="26"/>
        </w:rPr>
      </w:pPr>
    </w:p>
    <w:p w14:paraId="3900F098" w14:textId="3D948E06" w:rsidR="00606195" w:rsidRPr="00217AC0" w:rsidRDefault="00DA2A20" w:rsidP="00217AC0">
      <w:pPr>
        <w:keepNext/>
        <w:widowControl/>
        <w:spacing w:line="360" w:lineRule="auto"/>
        <w:ind w:firstLine="1440"/>
        <w:rPr>
          <w:rFonts w:eastAsiaTheme="minorHAnsi"/>
          <w:sz w:val="26"/>
          <w:szCs w:val="26"/>
        </w:rPr>
      </w:pPr>
      <w:r w:rsidRPr="00217AC0">
        <w:rPr>
          <w:rFonts w:eastAsiaTheme="minorHAnsi"/>
          <w:sz w:val="26"/>
          <w:szCs w:val="26"/>
        </w:rPr>
        <w:t>The City</w:t>
      </w:r>
      <w:r w:rsidR="00811137" w:rsidRPr="00217AC0">
        <w:rPr>
          <w:rFonts w:eastAsiaTheme="minorHAnsi"/>
          <w:sz w:val="26"/>
          <w:szCs w:val="26"/>
        </w:rPr>
        <w:t xml:space="preserve"> originally</w:t>
      </w:r>
      <w:r w:rsidRPr="00217AC0">
        <w:rPr>
          <w:rFonts w:eastAsiaTheme="minorHAnsi"/>
          <w:sz w:val="26"/>
          <w:szCs w:val="26"/>
        </w:rPr>
        <w:t xml:space="preserve"> </w:t>
      </w:r>
      <w:r w:rsidR="000E10ED" w:rsidRPr="00217AC0">
        <w:rPr>
          <w:rFonts w:eastAsiaTheme="minorHAnsi"/>
          <w:sz w:val="26"/>
          <w:szCs w:val="26"/>
        </w:rPr>
        <w:t>claimed an increase of $5</w:t>
      </w:r>
      <w:r w:rsidR="00811137" w:rsidRPr="00217AC0">
        <w:rPr>
          <w:rFonts w:eastAsiaTheme="minorHAnsi"/>
          <w:sz w:val="26"/>
          <w:szCs w:val="26"/>
        </w:rPr>
        <w:t>61,089</w:t>
      </w:r>
      <w:r w:rsidR="000E10ED" w:rsidRPr="00217AC0">
        <w:rPr>
          <w:rFonts w:eastAsiaTheme="minorHAnsi"/>
          <w:sz w:val="26"/>
          <w:szCs w:val="26"/>
        </w:rPr>
        <w:t xml:space="preserve"> to </w:t>
      </w:r>
      <w:r w:rsidR="00A253CC" w:rsidRPr="00217AC0">
        <w:rPr>
          <w:rFonts w:eastAsiaTheme="minorHAnsi"/>
          <w:sz w:val="26"/>
          <w:szCs w:val="26"/>
        </w:rPr>
        <w:t xml:space="preserve">its jurisdictional </w:t>
      </w:r>
      <w:r w:rsidRPr="00217AC0">
        <w:rPr>
          <w:rFonts w:eastAsiaTheme="minorHAnsi"/>
          <w:sz w:val="26"/>
          <w:szCs w:val="26"/>
        </w:rPr>
        <w:t>rate base</w:t>
      </w:r>
      <w:r w:rsidR="000E10ED" w:rsidRPr="00217AC0">
        <w:rPr>
          <w:rFonts w:eastAsiaTheme="minorHAnsi"/>
          <w:sz w:val="26"/>
          <w:szCs w:val="26"/>
        </w:rPr>
        <w:t xml:space="preserve"> for</w:t>
      </w:r>
      <w:r w:rsidRPr="00217AC0">
        <w:rPr>
          <w:rFonts w:eastAsiaTheme="minorHAnsi"/>
          <w:sz w:val="26"/>
          <w:szCs w:val="26"/>
        </w:rPr>
        <w:t xml:space="preserve"> CWC.</w:t>
      </w:r>
      <w:r w:rsidR="00A253CC" w:rsidRPr="00217AC0">
        <w:rPr>
          <w:rFonts w:eastAsiaTheme="minorHAnsi"/>
          <w:sz w:val="26"/>
          <w:szCs w:val="26"/>
        </w:rPr>
        <w:t xml:space="preserve">  City M.B. at 20-21; City Exh. CEH-1 at 32</w:t>
      </w:r>
      <w:r w:rsidRPr="00217AC0">
        <w:rPr>
          <w:rFonts w:eastAsiaTheme="minorHAnsi"/>
          <w:sz w:val="26"/>
          <w:szCs w:val="26"/>
        </w:rPr>
        <w:t>.</w:t>
      </w:r>
      <w:r w:rsidR="0025141A" w:rsidRPr="00217AC0">
        <w:rPr>
          <w:rFonts w:eastAsiaTheme="minorHAnsi"/>
          <w:sz w:val="26"/>
          <w:szCs w:val="26"/>
        </w:rPr>
        <w:t xml:space="preserve">  </w:t>
      </w:r>
      <w:r w:rsidRPr="00217AC0">
        <w:rPr>
          <w:rFonts w:eastAsiaTheme="minorHAnsi"/>
          <w:sz w:val="26"/>
          <w:szCs w:val="26"/>
        </w:rPr>
        <w:t xml:space="preserve">The City </w:t>
      </w:r>
      <w:r w:rsidR="008760DD" w:rsidRPr="00217AC0">
        <w:rPr>
          <w:rFonts w:eastAsiaTheme="minorHAnsi"/>
          <w:sz w:val="26"/>
          <w:szCs w:val="26"/>
        </w:rPr>
        <w:t xml:space="preserve">derived </w:t>
      </w:r>
      <w:r w:rsidRPr="00217AC0">
        <w:rPr>
          <w:rFonts w:eastAsiaTheme="minorHAnsi"/>
          <w:sz w:val="26"/>
          <w:szCs w:val="26"/>
        </w:rPr>
        <w:t>this CWC claim based upon 12.5%, or one-eighth, of the operations and maintenance</w:t>
      </w:r>
      <w:r w:rsidR="00D27F5C" w:rsidRPr="00217AC0">
        <w:rPr>
          <w:rFonts w:eastAsiaTheme="minorHAnsi"/>
          <w:sz w:val="26"/>
          <w:szCs w:val="26"/>
        </w:rPr>
        <w:t xml:space="preserve"> (O&amp;M)</w:t>
      </w:r>
      <w:r w:rsidRPr="00217AC0">
        <w:rPr>
          <w:rFonts w:eastAsiaTheme="minorHAnsi"/>
          <w:sz w:val="26"/>
          <w:szCs w:val="26"/>
        </w:rPr>
        <w:t xml:space="preserve"> expense</w:t>
      </w:r>
      <w:r w:rsidR="00811137" w:rsidRPr="00217AC0">
        <w:rPr>
          <w:rFonts w:eastAsiaTheme="minorHAnsi"/>
          <w:sz w:val="26"/>
          <w:szCs w:val="26"/>
        </w:rPr>
        <w:t>s and payment in lieu of taxes.  City St. No. 1 at 8</w:t>
      </w:r>
      <w:r w:rsidRPr="00217AC0">
        <w:rPr>
          <w:rFonts w:eastAsiaTheme="minorHAnsi"/>
          <w:sz w:val="26"/>
          <w:szCs w:val="26"/>
        </w:rPr>
        <w:t xml:space="preserve">.  </w:t>
      </w:r>
      <w:r w:rsidR="00606195" w:rsidRPr="00217AC0">
        <w:rPr>
          <w:rFonts w:eastAsiaTheme="minorHAnsi"/>
          <w:sz w:val="26"/>
          <w:szCs w:val="26"/>
        </w:rPr>
        <w:t xml:space="preserve">In rebuttal testimony, the City revised its total CWC claim by $7,000 ($1,423,000 increased to $1,430,000) to reflect its adjustments to </w:t>
      </w:r>
      <w:r w:rsidR="00D27F5C" w:rsidRPr="00217AC0">
        <w:rPr>
          <w:rFonts w:eastAsiaTheme="minorHAnsi"/>
          <w:sz w:val="26"/>
          <w:szCs w:val="26"/>
        </w:rPr>
        <w:t>O&amp;M</w:t>
      </w:r>
      <w:r w:rsidR="00606195" w:rsidRPr="00217AC0">
        <w:rPr>
          <w:rFonts w:eastAsiaTheme="minorHAnsi"/>
          <w:sz w:val="26"/>
          <w:szCs w:val="26"/>
        </w:rPr>
        <w:t xml:space="preserve"> expenses.  </w:t>
      </w:r>
      <w:r w:rsidR="004C2511" w:rsidRPr="00217AC0">
        <w:rPr>
          <w:rFonts w:eastAsiaTheme="minorHAnsi"/>
          <w:sz w:val="26"/>
          <w:szCs w:val="26"/>
        </w:rPr>
        <w:t>As such, t</w:t>
      </w:r>
      <w:r w:rsidR="00606195" w:rsidRPr="00217AC0">
        <w:rPr>
          <w:rFonts w:eastAsiaTheme="minorHAnsi"/>
          <w:sz w:val="26"/>
          <w:szCs w:val="26"/>
        </w:rPr>
        <w:t>he jurisdictional claim for outside-City service was increased by $8,194 to $</w:t>
      </w:r>
      <w:r w:rsidR="004C2511" w:rsidRPr="00217AC0">
        <w:rPr>
          <w:rFonts w:eastAsiaTheme="minorHAnsi"/>
          <w:sz w:val="26"/>
          <w:szCs w:val="26"/>
        </w:rPr>
        <w:t>569,283.</w:t>
      </w:r>
      <w:r w:rsidR="004C2511" w:rsidRPr="00217AC0">
        <w:rPr>
          <w:rStyle w:val="FootnoteReference"/>
          <w:rFonts w:eastAsiaTheme="minorHAnsi"/>
          <w:sz w:val="26"/>
          <w:szCs w:val="26"/>
        </w:rPr>
        <w:footnoteReference w:id="33"/>
      </w:r>
      <w:r w:rsidR="00164E87" w:rsidRPr="00217AC0">
        <w:rPr>
          <w:rFonts w:eastAsiaTheme="minorHAnsi"/>
          <w:sz w:val="26"/>
          <w:szCs w:val="26"/>
        </w:rPr>
        <w:t xml:space="preserve">  </w:t>
      </w:r>
      <w:r w:rsidR="00606195" w:rsidRPr="00217AC0">
        <w:rPr>
          <w:rFonts w:eastAsiaTheme="minorHAnsi"/>
          <w:sz w:val="26"/>
          <w:szCs w:val="26"/>
        </w:rPr>
        <w:t>City St. No. 1R at 15.</w:t>
      </w:r>
    </w:p>
    <w:p w14:paraId="42858D1F" w14:textId="7C27E2E4" w:rsidR="00606195" w:rsidRPr="00217AC0" w:rsidRDefault="00606195" w:rsidP="00217AC0">
      <w:pPr>
        <w:widowControl/>
        <w:spacing w:line="360" w:lineRule="auto"/>
        <w:ind w:firstLine="1440"/>
        <w:rPr>
          <w:rFonts w:eastAsiaTheme="minorHAnsi"/>
          <w:sz w:val="26"/>
          <w:szCs w:val="26"/>
        </w:rPr>
      </w:pPr>
    </w:p>
    <w:p w14:paraId="732DED27" w14:textId="22890CD2" w:rsidR="00164E87" w:rsidRPr="00217AC0" w:rsidRDefault="00164E87" w:rsidP="00217AC0">
      <w:pPr>
        <w:widowControl/>
        <w:spacing w:line="360" w:lineRule="auto"/>
        <w:ind w:firstLine="1440"/>
        <w:rPr>
          <w:rFonts w:eastAsiaTheme="minorHAnsi"/>
          <w:sz w:val="26"/>
          <w:szCs w:val="26"/>
        </w:rPr>
      </w:pPr>
      <w:r w:rsidRPr="00217AC0">
        <w:rPr>
          <w:rFonts w:eastAsiaTheme="minorHAnsi"/>
          <w:sz w:val="26"/>
          <w:szCs w:val="26"/>
        </w:rPr>
        <w:t xml:space="preserve">The only disagreement </w:t>
      </w:r>
      <w:r w:rsidR="00AF1944" w:rsidRPr="00217AC0">
        <w:rPr>
          <w:rFonts w:eastAsiaTheme="minorHAnsi"/>
          <w:sz w:val="26"/>
          <w:szCs w:val="26"/>
        </w:rPr>
        <w:t xml:space="preserve">that the OCA had </w:t>
      </w:r>
      <w:r w:rsidRPr="00217AC0">
        <w:rPr>
          <w:rFonts w:eastAsiaTheme="minorHAnsi"/>
          <w:sz w:val="26"/>
          <w:szCs w:val="26"/>
        </w:rPr>
        <w:t>with the City</w:t>
      </w:r>
      <w:r w:rsidR="008D1B3A" w:rsidRPr="00217AC0">
        <w:rPr>
          <w:rFonts w:eastAsiaTheme="minorHAnsi"/>
          <w:sz w:val="26"/>
          <w:szCs w:val="26"/>
        </w:rPr>
        <w:t>’</w:t>
      </w:r>
      <w:r w:rsidRPr="00217AC0">
        <w:rPr>
          <w:rFonts w:eastAsiaTheme="minorHAnsi"/>
          <w:sz w:val="26"/>
          <w:szCs w:val="26"/>
        </w:rPr>
        <w:t>s</w:t>
      </w:r>
      <w:r w:rsidR="008D1B3A" w:rsidRPr="00217AC0">
        <w:rPr>
          <w:rFonts w:eastAsiaTheme="minorHAnsi"/>
          <w:sz w:val="26"/>
          <w:szCs w:val="26"/>
        </w:rPr>
        <w:t xml:space="preserve"> revised</w:t>
      </w:r>
      <w:r w:rsidRPr="00217AC0">
        <w:rPr>
          <w:rFonts w:eastAsiaTheme="minorHAnsi"/>
          <w:sz w:val="26"/>
          <w:szCs w:val="26"/>
        </w:rPr>
        <w:t xml:space="preserve"> CWC claim is that it should be adjusted to reflect</w:t>
      </w:r>
      <w:r w:rsidR="008D1B3A" w:rsidRPr="00217AC0">
        <w:rPr>
          <w:rFonts w:eastAsiaTheme="minorHAnsi"/>
          <w:sz w:val="26"/>
          <w:szCs w:val="26"/>
        </w:rPr>
        <w:t xml:space="preserve"> the</w:t>
      </w:r>
      <w:r w:rsidRPr="00217AC0">
        <w:rPr>
          <w:rFonts w:eastAsiaTheme="minorHAnsi"/>
          <w:sz w:val="26"/>
          <w:szCs w:val="26"/>
        </w:rPr>
        <w:t xml:space="preserve"> OCA’s recommended adjustments to </w:t>
      </w:r>
      <w:r w:rsidR="00D27F5C" w:rsidRPr="00217AC0">
        <w:rPr>
          <w:rFonts w:eastAsiaTheme="minorHAnsi"/>
          <w:sz w:val="26"/>
          <w:szCs w:val="26"/>
        </w:rPr>
        <w:t>O&amp;M</w:t>
      </w:r>
      <w:r w:rsidRPr="00217AC0">
        <w:rPr>
          <w:rFonts w:eastAsiaTheme="minorHAnsi"/>
          <w:sz w:val="26"/>
          <w:szCs w:val="26"/>
        </w:rPr>
        <w:t xml:space="preserve"> expenses.</w:t>
      </w:r>
      <w:r w:rsidR="00FF7E49" w:rsidRPr="00217AC0">
        <w:rPr>
          <w:rFonts w:eastAsiaTheme="minorHAnsi"/>
          <w:sz w:val="26"/>
          <w:szCs w:val="26"/>
        </w:rPr>
        <w:t xml:space="preserve">  OCA M.B. at 29.</w:t>
      </w:r>
      <w:r w:rsidRPr="00217AC0">
        <w:rPr>
          <w:rFonts w:eastAsiaTheme="minorHAnsi"/>
          <w:sz w:val="26"/>
          <w:szCs w:val="26"/>
        </w:rPr>
        <w:t xml:space="preserve"> </w:t>
      </w:r>
      <w:r w:rsidR="00FF7E49" w:rsidRPr="00217AC0">
        <w:rPr>
          <w:rFonts w:eastAsiaTheme="minorHAnsi"/>
          <w:sz w:val="26"/>
          <w:szCs w:val="26"/>
        </w:rPr>
        <w:t xml:space="preserve"> </w:t>
      </w:r>
      <w:r w:rsidRPr="00217AC0">
        <w:rPr>
          <w:rFonts w:eastAsiaTheme="minorHAnsi"/>
          <w:sz w:val="26"/>
          <w:szCs w:val="26"/>
        </w:rPr>
        <w:t xml:space="preserve">The City agreed, in theory, that the operating expenses included in the CWC calculation should reflect any changes to those expenses ultimately accepted by the Commission.  OCA M.B. at 29; City M.B. at 20-22.  </w:t>
      </w:r>
      <w:bookmarkStart w:id="66" w:name="_Hlk68532958"/>
      <w:r w:rsidR="005F3551" w:rsidRPr="00217AC0">
        <w:rPr>
          <w:rFonts w:eastAsiaTheme="minorHAnsi"/>
          <w:sz w:val="26"/>
          <w:szCs w:val="26"/>
        </w:rPr>
        <w:t>Since</w:t>
      </w:r>
      <w:r w:rsidRPr="00217AC0">
        <w:rPr>
          <w:rFonts w:eastAsiaTheme="minorHAnsi"/>
          <w:sz w:val="26"/>
          <w:szCs w:val="26"/>
        </w:rPr>
        <w:t xml:space="preserve"> the City disagrees with most of the OCA’s </w:t>
      </w:r>
      <w:r w:rsidR="00D27F5C" w:rsidRPr="00217AC0">
        <w:rPr>
          <w:rFonts w:eastAsiaTheme="minorHAnsi"/>
          <w:sz w:val="26"/>
          <w:szCs w:val="26"/>
        </w:rPr>
        <w:t>O&amp;M</w:t>
      </w:r>
      <w:r w:rsidRPr="00217AC0">
        <w:rPr>
          <w:rFonts w:eastAsiaTheme="minorHAnsi"/>
          <w:sz w:val="26"/>
          <w:szCs w:val="26"/>
        </w:rPr>
        <w:t xml:space="preserve"> expense adjustments, the City disagrees with the OCA’s CWC adjustment.</w:t>
      </w:r>
    </w:p>
    <w:bookmarkEnd w:id="66"/>
    <w:p w14:paraId="53178535" w14:textId="77777777" w:rsidR="00DA2A20" w:rsidRPr="00217AC0" w:rsidRDefault="00DA2A20" w:rsidP="00217AC0">
      <w:pPr>
        <w:widowControl/>
        <w:spacing w:line="360" w:lineRule="auto"/>
        <w:rPr>
          <w:rFonts w:eastAsiaTheme="minorHAnsi"/>
          <w:sz w:val="26"/>
          <w:szCs w:val="26"/>
        </w:rPr>
      </w:pPr>
    </w:p>
    <w:p w14:paraId="76C60368" w14:textId="77777777" w:rsidR="004848D1" w:rsidRPr="00217AC0" w:rsidRDefault="004848D1" w:rsidP="00217AC0">
      <w:pPr>
        <w:pStyle w:val="Heading4"/>
        <w:widowControl/>
        <w:rPr>
          <w:rFonts w:eastAsiaTheme="minorHAnsi"/>
        </w:rPr>
      </w:pPr>
      <w:bookmarkStart w:id="67" w:name="_Toc69230540"/>
      <w:r w:rsidRPr="00217AC0">
        <w:rPr>
          <w:rFonts w:eastAsiaTheme="minorHAnsi"/>
        </w:rPr>
        <w:t>Recommended Decision</w:t>
      </w:r>
      <w:bookmarkEnd w:id="67"/>
    </w:p>
    <w:p w14:paraId="257DAD23" w14:textId="77777777" w:rsidR="004848D1" w:rsidRPr="00217AC0" w:rsidRDefault="004848D1" w:rsidP="00217AC0">
      <w:pPr>
        <w:keepNext/>
        <w:widowControl/>
        <w:spacing w:line="360" w:lineRule="auto"/>
        <w:rPr>
          <w:rFonts w:eastAsiaTheme="minorHAnsi"/>
          <w:sz w:val="26"/>
          <w:szCs w:val="26"/>
        </w:rPr>
      </w:pPr>
    </w:p>
    <w:p w14:paraId="2FA7E970" w14:textId="4DA78752" w:rsidR="00164E87" w:rsidRPr="00217AC0" w:rsidRDefault="00D83085" w:rsidP="00217AC0">
      <w:pPr>
        <w:keepNext/>
        <w:widowControl/>
        <w:spacing w:line="360" w:lineRule="auto"/>
        <w:ind w:firstLine="1440"/>
        <w:rPr>
          <w:rFonts w:eastAsiaTheme="minorHAnsi"/>
          <w:sz w:val="26"/>
          <w:szCs w:val="26"/>
        </w:rPr>
      </w:pPr>
      <w:r w:rsidRPr="00217AC0">
        <w:rPr>
          <w:rFonts w:eastAsiaTheme="minorHAnsi"/>
          <w:sz w:val="26"/>
          <w:szCs w:val="26"/>
        </w:rPr>
        <w:t xml:space="preserve">As previously indicated, the ALJ noted that the Joint Petitioners, in reaching the Settlement, did not agree to a rate base claim or, more specifically, a CWC claim, and therefore, recommended no adjustment to either rate base or CWC.  R.D. </w:t>
      </w:r>
      <w:r w:rsidRPr="00217AC0">
        <w:rPr>
          <w:rFonts w:eastAsiaTheme="minorHAnsi"/>
          <w:sz w:val="26"/>
          <w:szCs w:val="26"/>
        </w:rPr>
        <w:lastRenderedPageBreak/>
        <w:t>at</w:t>
      </w:r>
      <w:r w:rsidR="000910BB">
        <w:rPr>
          <w:rFonts w:eastAsiaTheme="minorHAnsi"/>
          <w:sz w:val="26"/>
          <w:szCs w:val="26"/>
        </w:rPr>
        <w:t> </w:t>
      </w:r>
      <w:r w:rsidRPr="00217AC0">
        <w:rPr>
          <w:rFonts w:eastAsiaTheme="minorHAnsi"/>
          <w:sz w:val="26"/>
          <w:szCs w:val="26"/>
        </w:rPr>
        <w:t>26.  However, t</w:t>
      </w:r>
      <w:r w:rsidR="00B049E4" w:rsidRPr="00217AC0">
        <w:rPr>
          <w:rFonts w:eastAsiaTheme="minorHAnsi"/>
          <w:sz w:val="26"/>
          <w:szCs w:val="26"/>
        </w:rPr>
        <w:t xml:space="preserve">he ALJ found that, contingent upon the Commission choosing not to approve the Settlement, without modification, and that if </w:t>
      </w:r>
      <w:r w:rsidR="00D27F5C" w:rsidRPr="00217AC0">
        <w:rPr>
          <w:rFonts w:eastAsiaTheme="minorHAnsi"/>
          <w:sz w:val="26"/>
          <w:szCs w:val="26"/>
        </w:rPr>
        <w:t xml:space="preserve">the Commission determines that </w:t>
      </w:r>
      <w:r w:rsidR="00B049E4" w:rsidRPr="00217AC0">
        <w:rPr>
          <w:rFonts w:eastAsiaTheme="minorHAnsi"/>
          <w:sz w:val="26"/>
          <w:szCs w:val="26"/>
        </w:rPr>
        <w:t>adjustments</w:t>
      </w:r>
      <w:r w:rsidR="00D27F5C" w:rsidRPr="00217AC0">
        <w:rPr>
          <w:rFonts w:eastAsiaTheme="minorHAnsi"/>
          <w:sz w:val="26"/>
          <w:szCs w:val="26"/>
        </w:rPr>
        <w:t xml:space="preserve"> should be</w:t>
      </w:r>
      <w:r w:rsidR="00B049E4" w:rsidRPr="00217AC0">
        <w:rPr>
          <w:rFonts w:eastAsiaTheme="minorHAnsi"/>
          <w:sz w:val="26"/>
          <w:szCs w:val="26"/>
        </w:rPr>
        <w:t xml:space="preserve"> made to the City’s </w:t>
      </w:r>
      <w:r w:rsidR="00D27F5C" w:rsidRPr="00217AC0">
        <w:rPr>
          <w:rFonts w:eastAsiaTheme="minorHAnsi"/>
          <w:sz w:val="26"/>
          <w:szCs w:val="26"/>
        </w:rPr>
        <w:t>O&amp;M</w:t>
      </w:r>
      <w:r w:rsidR="00B049E4" w:rsidRPr="00217AC0">
        <w:rPr>
          <w:rFonts w:eastAsiaTheme="minorHAnsi"/>
          <w:sz w:val="26"/>
          <w:szCs w:val="26"/>
        </w:rPr>
        <w:t xml:space="preserve"> claims, an adjustment to the City’s CWC claim is necessary.  Specifically, the ALJ stated that the Commission should “reduce or increase, as appropriate, the City’s CWC claim by the difference between the City’s CWC claim and 12.5% of the total adjusted O&amp;M expenses, excluding bad debt expense.”  R.D. at 26.  </w:t>
      </w:r>
    </w:p>
    <w:p w14:paraId="403F1E93" w14:textId="77777777" w:rsidR="00EF6904" w:rsidRPr="00217AC0" w:rsidRDefault="00EF6904" w:rsidP="00217AC0">
      <w:pPr>
        <w:keepNext/>
        <w:widowControl/>
        <w:spacing w:line="360" w:lineRule="auto"/>
        <w:ind w:firstLine="1440"/>
        <w:rPr>
          <w:rFonts w:eastAsiaTheme="minorHAnsi"/>
          <w:sz w:val="26"/>
          <w:szCs w:val="26"/>
        </w:rPr>
      </w:pPr>
    </w:p>
    <w:p w14:paraId="66CB1E62" w14:textId="359E8B3B" w:rsidR="004848D1" w:rsidRPr="00217AC0" w:rsidRDefault="00B6001C" w:rsidP="00217AC0">
      <w:pPr>
        <w:pStyle w:val="Heading4"/>
        <w:widowControl/>
        <w:rPr>
          <w:rFonts w:eastAsiaTheme="minorHAnsi"/>
        </w:rPr>
      </w:pPr>
      <w:bookmarkStart w:id="68" w:name="_Toc69230541"/>
      <w:r w:rsidRPr="00217AC0">
        <w:rPr>
          <w:rFonts w:eastAsiaTheme="minorHAnsi"/>
        </w:rPr>
        <w:t xml:space="preserve">City </w:t>
      </w:r>
      <w:r w:rsidR="004848D1" w:rsidRPr="00217AC0">
        <w:rPr>
          <w:rFonts w:eastAsiaTheme="minorHAnsi"/>
        </w:rPr>
        <w:t>Exception</w:t>
      </w:r>
      <w:r w:rsidRPr="00217AC0">
        <w:rPr>
          <w:rFonts w:eastAsiaTheme="minorHAnsi"/>
        </w:rPr>
        <w:t xml:space="preserve"> No. 2</w:t>
      </w:r>
      <w:r w:rsidR="004848D1" w:rsidRPr="00217AC0">
        <w:rPr>
          <w:rFonts w:eastAsiaTheme="minorHAnsi"/>
        </w:rPr>
        <w:t xml:space="preserve"> and Replies</w:t>
      </w:r>
      <w:bookmarkEnd w:id="68"/>
    </w:p>
    <w:p w14:paraId="195986D2" w14:textId="77777777" w:rsidR="004848D1" w:rsidRPr="00217AC0" w:rsidRDefault="004848D1" w:rsidP="00217AC0">
      <w:pPr>
        <w:keepNext/>
        <w:keepLines/>
        <w:widowControl/>
        <w:spacing w:line="360" w:lineRule="auto"/>
        <w:rPr>
          <w:rFonts w:eastAsiaTheme="minorHAnsi"/>
          <w:sz w:val="26"/>
          <w:szCs w:val="26"/>
        </w:rPr>
      </w:pPr>
    </w:p>
    <w:p w14:paraId="1A95EB60" w14:textId="4C7FF5A6" w:rsidR="004848D1" w:rsidRPr="00217AC0" w:rsidRDefault="00564091" w:rsidP="00217AC0">
      <w:pPr>
        <w:keepNext/>
        <w:keepLines/>
        <w:widowControl/>
        <w:spacing w:line="360" w:lineRule="auto"/>
        <w:ind w:firstLine="1440"/>
        <w:rPr>
          <w:rFonts w:eastAsiaTheme="minorHAnsi"/>
          <w:sz w:val="26"/>
          <w:szCs w:val="26"/>
        </w:rPr>
      </w:pPr>
      <w:r w:rsidRPr="00217AC0">
        <w:rPr>
          <w:rFonts w:eastAsiaTheme="minorHAnsi"/>
          <w:sz w:val="26"/>
          <w:szCs w:val="26"/>
        </w:rPr>
        <w:t xml:space="preserve">In its Exception No. 2, the City opposes the ALJ’s recommendation and instead stated that “if the Commission determines that adjustments to the City’s O&amp;M expenses should be considered then the Commission should accept the City’s claim for O&amp;M expenses and the related claim for CWC.”  City Exc. at 4.  </w:t>
      </w:r>
    </w:p>
    <w:p w14:paraId="63FFC196" w14:textId="65B280FD" w:rsidR="006E090C" w:rsidRPr="00217AC0" w:rsidRDefault="006E090C" w:rsidP="00217AC0">
      <w:pPr>
        <w:widowControl/>
        <w:spacing w:line="360" w:lineRule="auto"/>
        <w:ind w:firstLine="1440"/>
        <w:rPr>
          <w:rFonts w:eastAsiaTheme="minorHAnsi"/>
          <w:sz w:val="26"/>
          <w:szCs w:val="26"/>
        </w:rPr>
      </w:pPr>
    </w:p>
    <w:p w14:paraId="0C0B6086" w14:textId="2CCC05A3" w:rsidR="006E090C" w:rsidRPr="00217AC0" w:rsidRDefault="00083188" w:rsidP="00217AC0">
      <w:pPr>
        <w:widowControl/>
        <w:spacing w:line="360" w:lineRule="auto"/>
        <w:ind w:firstLine="1440"/>
        <w:rPr>
          <w:rFonts w:eastAsiaTheme="minorHAnsi"/>
          <w:sz w:val="26"/>
          <w:szCs w:val="26"/>
        </w:rPr>
      </w:pPr>
      <w:r w:rsidRPr="00217AC0">
        <w:rPr>
          <w:rFonts w:eastAsiaTheme="minorHAnsi"/>
          <w:sz w:val="26"/>
          <w:szCs w:val="26"/>
        </w:rPr>
        <w:t>In reply, the OCA notes its recommended adjustments to O&amp;M expenses, and therefore, expresses its agreement with the ALJ’s recommendation that the final CWC amount should be based on the final level of expenses</w:t>
      </w:r>
      <w:r w:rsidR="00230C61" w:rsidRPr="00217AC0">
        <w:rPr>
          <w:rFonts w:eastAsiaTheme="minorHAnsi"/>
          <w:sz w:val="26"/>
          <w:szCs w:val="26"/>
        </w:rPr>
        <w:t xml:space="preserve">.  OCA R. Exc. at 3.  </w:t>
      </w:r>
    </w:p>
    <w:p w14:paraId="1A4D0E38" w14:textId="77777777" w:rsidR="00B049E4" w:rsidRPr="00217AC0" w:rsidRDefault="00B049E4" w:rsidP="00217AC0">
      <w:pPr>
        <w:widowControl/>
        <w:spacing w:line="360" w:lineRule="auto"/>
        <w:rPr>
          <w:rFonts w:eastAsiaTheme="minorHAnsi"/>
          <w:sz w:val="26"/>
          <w:szCs w:val="26"/>
        </w:rPr>
      </w:pPr>
    </w:p>
    <w:p w14:paraId="0473877D" w14:textId="77777777" w:rsidR="004848D1" w:rsidRPr="00217AC0" w:rsidRDefault="004848D1" w:rsidP="00217AC0">
      <w:pPr>
        <w:pStyle w:val="Heading4"/>
        <w:widowControl/>
        <w:rPr>
          <w:rFonts w:eastAsiaTheme="minorHAnsi"/>
        </w:rPr>
      </w:pPr>
      <w:bookmarkStart w:id="69" w:name="_Toc69230542"/>
      <w:r w:rsidRPr="00217AC0">
        <w:rPr>
          <w:rFonts w:eastAsiaTheme="minorHAnsi"/>
        </w:rPr>
        <w:t>Disposition</w:t>
      </w:r>
      <w:bookmarkEnd w:id="69"/>
    </w:p>
    <w:bookmarkEnd w:id="65"/>
    <w:p w14:paraId="11845CC1" w14:textId="2A0102C7" w:rsidR="00332DCF" w:rsidRPr="00217AC0" w:rsidRDefault="00332DCF" w:rsidP="00217AC0">
      <w:pPr>
        <w:keepNext/>
        <w:widowControl/>
        <w:spacing w:line="360" w:lineRule="auto"/>
        <w:rPr>
          <w:sz w:val="26"/>
          <w:szCs w:val="26"/>
        </w:rPr>
      </w:pPr>
    </w:p>
    <w:p w14:paraId="5490125F" w14:textId="02EF81BA" w:rsidR="00C4501C" w:rsidRPr="00217AC0" w:rsidRDefault="002D00EE" w:rsidP="00217AC0">
      <w:pPr>
        <w:keepNext/>
        <w:widowControl/>
        <w:spacing w:line="360" w:lineRule="auto"/>
        <w:ind w:firstLine="1440"/>
        <w:rPr>
          <w:sz w:val="26"/>
          <w:szCs w:val="26"/>
        </w:rPr>
      </w:pPr>
      <w:r w:rsidRPr="00217AC0">
        <w:rPr>
          <w:sz w:val="26"/>
          <w:szCs w:val="26"/>
        </w:rPr>
        <w:t>As noted by the ALJ, the OCA did not oppose the one-eighth method proffered by the City</w:t>
      </w:r>
      <w:r w:rsidR="00B227CE" w:rsidRPr="00217AC0">
        <w:rPr>
          <w:sz w:val="26"/>
          <w:szCs w:val="26"/>
        </w:rPr>
        <w:t xml:space="preserve"> for determining its claim for CWC</w:t>
      </w:r>
      <w:r w:rsidR="00C4501C" w:rsidRPr="00217AC0">
        <w:rPr>
          <w:sz w:val="26"/>
          <w:szCs w:val="26"/>
        </w:rPr>
        <w:t>.  H</w:t>
      </w:r>
      <w:r w:rsidRPr="00217AC0">
        <w:rPr>
          <w:sz w:val="26"/>
          <w:szCs w:val="26"/>
        </w:rPr>
        <w:t xml:space="preserve">owever, </w:t>
      </w:r>
      <w:r w:rsidR="00C4501C" w:rsidRPr="00217AC0">
        <w:rPr>
          <w:sz w:val="26"/>
          <w:szCs w:val="26"/>
        </w:rPr>
        <w:t>although the CWC calculation, known as an iteration, effectively prevents the determination of a precise calculation until such time as all proposed adjustments to the City’s expense claims have been considered by the Commission, the OCA proposed to reduce t</w:t>
      </w:r>
      <w:r w:rsidR="00E35C57" w:rsidRPr="00217AC0">
        <w:rPr>
          <w:sz w:val="26"/>
          <w:szCs w:val="26"/>
        </w:rPr>
        <w:t>he</w:t>
      </w:r>
      <w:r w:rsidR="00C4501C" w:rsidRPr="00217AC0">
        <w:rPr>
          <w:sz w:val="26"/>
          <w:szCs w:val="26"/>
        </w:rPr>
        <w:t xml:space="preserve"> City’s CWC claim to reflect its proposed O&amp;M expense adjustments.</w:t>
      </w:r>
      <w:r w:rsidR="00735DC6" w:rsidRPr="00217AC0">
        <w:rPr>
          <w:sz w:val="26"/>
          <w:szCs w:val="26"/>
        </w:rPr>
        <w:t xml:space="preserve">  </w:t>
      </w:r>
      <w:r w:rsidR="007869FB" w:rsidRPr="00217AC0">
        <w:rPr>
          <w:sz w:val="26"/>
          <w:szCs w:val="26"/>
        </w:rPr>
        <w:t xml:space="preserve">Upon our review of the record, </w:t>
      </w:r>
      <w:r w:rsidR="00A5527E" w:rsidRPr="00217AC0">
        <w:rPr>
          <w:sz w:val="26"/>
          <w:szCs w:val="26"/>
        </w:rPr>
        <w:t xml:space="preserve">although we adopt the Settlement, for purposes of clarification, we note that </w:t>
      </w:r>
      <w:r w:rsidR="007869FB" w:rsidRPr="00217AC0">
        <w:rPr>
          <w:sz w:val="26"/>
          <w:szCs w:val="26"/>
        </w:rPr>
        <w:t xml:space="preserve">we </w:t>
      </w:r>
      <w:r w:rsidR="00087B53" w:rsidRPr="00217AC0">
        <w:rPr>
          <w:sz w:val="26"/>
          <w:szCs w:val="26"/>
        </w:rPr>
        <w:t>agree with the</w:t>
      </w:r>
      <w:r w:rsidR="00A5527E" w:rsidRPr="00217AC0">
        <w:rPr>
          <w:sz w:val="26"/>
          <w:szCs w:val="26"/>
        </w:rPr>
        <w:t xml:space="preserve"> rationale behind the</w:t>
      </w:r>
      <w:r w:rsidR="00087B53" w:rsidRPr="00217AC0">
        <w:rPr>
          <w:sz w:val="26"/>
          <w:szCs w:val="26"/>
        </w:rPr>
        <w:t xml:space="preserve"> ALJ’s </w:t>
      </w:r>
      <w:r w:rsidR="00A5527E" w:rsidRPr="00217AC0">
        <w:rPr>
          <w:sz w:val="26"/>
          <w:szCs w:val="26"/>
        </w:rPr>
        <w:t xml:space="preserve">contingent </w:t>
      </w:r>
      <w:r w:rsidR="00087B53" w:rsidRPr="00217AC0">
        <w:rPr>
          <w:sz w:val="26"/>
          <w:szCs w:val="26"/>
        </w:rPr>
        <w:t xml:space="preserve">recommendation to adjust the City’s CWC </w:t>
      </w:r>
      <w:r w:rsidR="00087B53" w:rsidRPr="00217AC0">
        <w:rPr>
          <w:sz w:val="26"/>
          <w:szCs w:val="26"/>
        </w:rPr>
        <w:lastRenderedPageBreak/>
        <w:t>c</w:t>
      </w:r>
      <w:r w:rsidR="00A5527E" w:rsidRPr="00217AC0">
        <w:rPr>
          <w:sz w:val="26"/>
          <w:szCs w:val="26"/>
        </w:rPr>
        <w:t>laim</w:t>
      </w:r>
      <w:r w:rsidR="00087B53" w:rsidRPr="00217AC0">
        <w:rPr>
          <w:sz w:val="26"/>
          <w:szCs w:val="26"/>
        </w:rPr>
        <w:t xml:space="preserve">.  However, given our disposition denying the OCA’s Exception No. 1 challenging the reasonableness of the Settlement, the City’s Exception No. 2 is rendered immaterial, as it challenges an individual rate component which is not determinative to our disposition, and it is therefore, denied.  </w:t>
      </w:r>
    </w:p>
    <w:p w14:paraId="3913BA0D" w14:textId="77777777" w:rsidR="002D00EE" w:rsidRPr="00217AC0" w:rsidRDefault="002D00EE" w:rsidP="00217AC0">
      <w:pPr>
        <w:widowControl/>
        <w:spacing w:line="360" w:lineRule="auto"/>
        <w:rPr>
          <w:sz w:val="26"/>
          <w:szCs w:val="26"/>
        </w:rPr>
      </w:pPr>
    </w:p>
    <w:p w14:paraId="5660C24C" w14:textId="1BB62828" w:rsidR="00683ABA" w:rsidRPr="00217AC0" w:rsidRDefault="00683ABA" w:rsidP="00217AC0">
      <w:pPr>
        <w:pStyle w:val="Heading2"/>
        <w:widowControl/>
        <w:ind w:hanging="720"/>
      </w:pPr>
      <w:bookmarkStart w:id="70" w:name="_Toc69230543"/>
      <w:r w:rsidRPr="00217AC0">
        <w:t>Rate Case Expense</w:t>
      </w:r>
      <w:bookmarkEnd w:id="70"/>
    </w:p>
    <w:p w14:paraId="0BA822E4" w14:textId="1634CB3E" w:rsidR="00683ABA" w:rsidRPr="00217AC0" w:rsidRDefault="00683ABA" w:rsidP="00217AC0">
      <w:pPr>
        <w:keepNext/>
        <w:widowControl/>
        <w:spacing w:line="360" w:lineRule="auto"/>
        <w:rPr>
          <w:sz w:val="26"/>
          <w:szCs w:val="26"/>
        </w:rPr>
      </w:pPr>
    </w:p>
    <w:p w14:paraId="637BC9F1" w14:textId="77777777" w:rsidR="00012897" w:rsidRPr="00217AC0" w:rsidRDefault="00012897" w:rsidP="00217AC0">
      <w:pPr>
        <w:pStyle w:val="Heading3"/>
        <w:keepNext/>
        <w:numPr>
          <w:ilvl w:val="0"/>
          <w:numId w:val="16"/>
        </w:numPr>
        <w:tabs>
          <w:tab w:val="num" w:pos="360"/>
        </w:tabs>
        <w:ind w:left="1440" w:hanging="720"/>
        <w:rPr>
          <w:rFonts w:eastAsiaTheme="minorHAnsi"/>
        </w:rPr>
      </w:pPr>
      <w:bookmarkStart w:id="71" w:name="_Toc69230544"/>
      <w:r w:rsidRPr="00217AC0">
        <w:rPr>
          <w:rFonts w:eastAsiaTheme="minorHAnsi"/>
        </w:rPr>
        <w:t>Positions of the Parties</w:t>
      </w:r>
      <w:bookmarkEnd w:id="71"/>
    </w:p>
    <w:p w14:paraId="1EFF0861" w14:textId="77777777" w:rsidR="00012897" w:rsidRPr="00217AC0" w:rsidRDefault="00012897" w:rsidP="00217AC0">
      <w:pPr>
        <w:keepNext/>
        <w:widowControl/>
        <w:spacing w:line="360" w:lineRule="auto"/>
        <w:rPr>
          <w:rFonts w:eastAsiaTheme="minorHAnsi"/>
          <w:sz w:val="26"/>
          <w:szCs w:val="26"/>
        </w:rPr>
      </w:pPr>
    </w:p>
    <w:p w14:paraId="592B06D7" w14:textId="38F66748" w:rsidR="0037012B" w:rsidRPr="00217AC0" w:rsidRDefault="0037012B" w:rsidP="00217AC0">
      <w:pPr>
        <w:keepNext/>
        <w:widowControl/>
        <w:spacing w:line="360" w:lineRule="auto"/>
        <w:ind w:firstLine="1440"/>
        <w:rPr>
          <w:rFonts w:eastAsiaTheme="minorHAnsi"/>
          <w:sz w:val="26"/>
          <w:szCs w:val="26"/>
        </w:rPr>
      </w:pPr>
      <w:r w:rsidRPr="00217AC0">
        <w:rPr>
          <w:rFonts w:eastAsiaTheme="minorHAnsi"/>
          <w:sz w:val="26"/>
          <w:szCs w:val="26"/>
        </w:rPr>
        <w:t>The City stated that rate case expenses include:</w:t>
      </w:r>
      <w:r w:rsidR="00E35C57" w:rsidRPr="00217AC0">
        <w:rPr>
          <w:rFonts w:eastAsiaTheme="minorHAnsi"/>
          <w:sz w:val="26"/>
          <w:szCs w:val="26"/>
        </w:rPr>
        <w:t xml:space="preserve"> </w:t>
      </w:r>
      <w:r w:rsidRPr="00217AC0">
        <w:rPr>
          <w:rFonts w:eastAsiaTheme="minorHAnsi"/>
          <w:sz w:val="26"/>
          <w:szCs w:val="26"/>
        </w:rPr>
        <w:t>(1) legal fees; (2) professional consulting fees for revenue requirement</w:t>
      </w:r>
      <w:r w:rsidR="00AE7DAD" w:rsidRPr="00217AC0">
        <w:rPr>
          <w:rFonts w:eastAsiaTheme="minorHAnsi"/>
          <w:sz w:val="26"/>
          <w:szCs w:val="26"/>
        </w:rPr>
        <w:t>,</w:t>
      </w:r>
      <w:r w:rsidRPr="00217AC0">
        <w:rPr>
          <w:rFonts w:eastAsiaTheme="minorHAnsi"/>
          <w:sz w:val="26"/>
          <w:szCs w:val="26"/>
        </w:rPr>
        <w:t xml:space="preserve"> rate base</w:t>
      </w:r>
      <w:r w:rsidR="00AE7DAD" w:rsidRPr="00217AC0">
        <w:rPr>
          <w:rFonts w:eastAsiaTheme="minorHAnsi"/>
          <w:sz w:val="26"/>
          <w:szCs w:val="26"/>
        </w:rPr>
        <w:t xml:space="preserve">, </w:t>
      </w:r>
      <w:r w:rsidRPr="00217AC0">
        <w:rPr>
          <w:rFonts w:eastAsiaTheme="minorHAnsi"/>
          <w:sz w:val="26"/>
          <w:szCs w:val="26"/>
        </w:rPr>
        <w:t>rate of return</w:t>
      </w:r>
      <w:r w:rsidR="00AE7DAD" w:rsidRPr="00217AC0">
        <w:rPr>
          <w:rFonts w:eastAsiaTheme="minorHAnsi"/>
          <w:sz w:val="26"/>
          <w:szCs w:val="26"/>
        </w:rPr>
        <w:t>, and</w:t>
      </w:r>
      <w:r w:rsidRPr="00217AC0">
        <w:rPr>
          <w:rFonts w:eastAsiaTheme="minorHAnsi"/>
          <w:sz w:val="26"/>
          <w:szCs w:val="26"/>
        </w:rPr>
        <w:t xml:space="preserve"> rate design exhibits, supporting data and testimony; and (</w:t>
      </w:r>
      <w:r w:rsidR="00AE7DAD" w:rsidRPr="00217AC0">
        <w:rPr>
          <w:rFonts w:eastAsiaTheme="minorHAnsi"/>
          <w:sz w:val="26"/>
          <w:szCs w:val="26"/>
        </w:rPr>
        <w:t>3</w:t>
      </w:r>
      <w:r w:rsidRPr="00217AC0">
        <w:rPr>
          <w:rFonts w:eastAsiaTheme="minorHAnsi"/>
          <w:sz w:val="26"/>
          <w:szCs w:val="26"/>
        </w:rPr>
        <w:t>) customer notice expenses.  The City presented an annual rate case expense of $138,187 based on a three-year, or 36-month, normalization of projected rate case expense totaling $414,560 through the conclusion of the instant proceeding.  City M.B. at 25; City R.B. at 11-12.</w:t>
      </w:r>
    </w:p>
    <w:p w14:paraId="62B23EF8" w14:textId="77777777" w:rsidR="0037012B" w:rsidRPr="00217AC0" w:rsidRDefault="0037012B" w:rsidP="00217AC0">
      <w:pPr>
        <w:widowControl/>
        <w:spacing w:line="360" w:lineRule="auto"/>
        <w:ind w:firstLine="1440"/>
        <w:rPr>
          <w:rFonts w:eastAsiaTheme="minorHAnsi"/>
          <w:sz w:val="26"/>
          <w:szCs w:val="26"/>
        </w:rPr>
      </w:pPr>
    </w:p>
    <w:p w14:paraId="6B269A44" w14:textId="1ADA5D96" w:rsidR="0037012B" w:rsidRPr="00217AC0" w:rsidRDefault="0037012B" w:rsidP="00217AC0">
      <w:pPr>
        <w:widowControl/>
        <w:spacing w:line="360" w:lineRule="auto"/>
        <w:ind w:firstLine="1440"/>
        <w:rPr>
          <w:rFonts w:eastAsiaTheme="minorHAnsi"/>
          <w:sz w:val="26"/>
          <w:szCs w:val="26"/>
        </w:rPr>
      </w:pPr>
      <w:r w:rsidRPr="00217AC0">
        <w:rPr>
          <w:rFonts w:eastAsiaTheme="minorHAnsi"/>
          <w:sz w:val="26"/>
          <w:szCs w:val="26"/>
        </w:rPr>
        <w:t>The City offered that a three-year normalization period is reasonable because it acknowledges that rate case expense should be spread out over a period of years without penalization due to costs, previous case requirements and limited resources.  The City explained that, historically, it filed its rate cases every two years; however, the City’s rate cases filed in 2007, 2011 and 2013 produced a period of extended, abnormal intervals due to its involvement in a long duration rate case dispute and a rate case in which the City took longer than two years to address the settlement terms.  Further, the City emphasized that, although rate case expense is normalized for recovery over several months, the cash outlay occurs in real time during the rate case proceeding, resulting in a cash shortfall in relation to the expense.  Moreover, the City noted that, if the rate case interval is shorter than the assumed normalization period, the effect of the shortfall is worsened by placing the City at risk for under recovery.  City M.B. at 25-27; City R.B. at</w:t>
      </w:r>
      <w:r w:rsidR="00EF6904" w:rsidRPr="00217AC0">
        <w:rPr>
          <w:rFonts w:eastAsiaTheme="minorHAnsi"/>
          <w:sz w:val="26"/>
          <w:szCs w:val="26"/>
        </w:rPr>
        <w:t> </w:t>
      </w:r>
      <w:r w:rsidRPr="00217AC0">
        <w:rPr>
          <w:rFonts w:eastAsiaTheme="minorHAnsi"/>
          <w:sz w:val="26"/>
          <w:szCs w:val="26"/>
        </w:rPr>
        <w:t xml:space="preserve">11-12. </w:t>
      </w:r>
    </w:p>
    <w:p w14:paraId="673378B0" w14:textId="1BE1AB88" w:rsidR="0037012B" w:rsidRPr="00217AC0" w:rsidRDefault="0037012B" w:rsidP="00217AC0">
      <w:pPr>
        <w:widowControl/>
        <w:spacing w:line="360" w:lineRule="auto"/>
        <w:ind w:firstLine="1440"/>
        <w:rPr>
          <w:rFonts w:eastAsiaTheme="minorHAnsi"/>
          <w:sz w:val="26"/>
          <w:szCs w:val="26"/>
        </w:rPr>
      </w:pPr>
      <w:r w:rsidRPr="00217AC0">
        <w:rPr>
          <w:rFonts w:eastAsiaTheme="minorHAnsi"/>
          <w:sz w:val="26"/>
          <w:szCs w:val="26"/>
        </w:rPr>
        <w:lastRenderedPageBreak/>
        <w:t xml:space="preserve">The OCA submitted that the City’s actual rate case expense is substantially less than its projection.  The OCA witness, Ms. </w:t>
      </w:r>
      <w:r w:rsidR="00A5527E" w:rsidRPr="00217AC0">
        <w:rPr>
          <w:rFonts w:eastAsiaTheme="minorHAnsi"/>
          <w:sz w:val="26"/>
          <w:szCs w:val="26"/>
        </w:rPr>
        <w:t xml:space="preserve">Stacy L. </w:t>
      </w:r>
      <w:r w:rsidRPr="00217AC0">
        <w:rPr>
          <w:rFonts w:eastAsiaTheme="minorHAnsi"/>
          <w:sz w:val="26"/>
          <w:szCs w:val="26"/>
        </w:rPr>
        <w:t>Sherwood, argued that, “the amount spent to date on rate case expense is $259,402.”  OCA M.B. at 40 (citing</w:t>
      </w:r>
      <w:r w:rsidR="00AE7DAD" w:rsidRPr="00217AC0">
        <w:rPr>
          <w:rFonts w:eastAsiaTheme="minorHAnsi"/>
          <w:sz w:val="26"/>
          <w:szCs w:val="26"/>
        </w:rPr>
        <w:t>,</w:t>
      </w:r>
      <w:r w:rsidRPr="00217AC0">
        <w:rPr>
          <w:rFonts w:eastAsiaTheme="minorHAnsi"/>
          <w:sz w:val="26"/>
          <w:szCs w:val="26"/>
        </w:rPr>
        <w:t xml:space="preserve"> OCA St. </w:t>
      </w:r>
      <w:r w:rsidR="00AE7DAD" w:rsidRPr="00217AC0">
        <w:rPr>
          <w:rFonts w:eastAsiaTheme="minorHAnsi"/>
          <w:sz w:val="26"/>
          <w:szCs w:val="26"/>
        </w:rPr>
        <w:t xml:space="preserve">No. </w:t>
      </w:r>
      <w:r w:rsidRPr="00217AC0">
        <w:rPr>
          <w:rFonts w:eastAsiaTheme="minorHAnsi"/>
          <w:sz w:val="26"/>
          <w:szCs w:val="26"/>
        </w:rPr>
        <w:t>2S at 3-4).  According to the OCA, the City’s projected total rate case expense of $414,560 is not supported by the record nor a reasonable estimate.  The OCA further submit</w:t>
      </w:r>
      <w:r w:rsidR="00AE7DAD" w:rsidRPr="00217AC0">
        <w:rPr>
          <w:rFonts w:eastAsiaTheme="minorHAnsi"/>
          <w:sz w:val="26"/>
          <w:szCs w:val="26"/>
        </w:rPr>
        <w:t>ted</w:t>
      </w:r>
      <w:r w:rsidRPr="00217AC0">
        <w:rPr>
          <w:rFonts w:eastAsiaTheme="minorHAnsi"/>
          <w:sz w:val="26"/>
          <w:szCs w:val="26"/>
        </w:rPr>
        <w:t xml:space="preserve"> that the City’s position, to normalize rate case expense over three years, does not accurately reflect the City’s filing history.  The OCA asserted that, to ensure consistency with Commission precedent and based on the average time between the City’s three most recent rate filings, a 52-month normalization period should be applied to rate case expense, resulting in a proposed adjustment of $78,325.  OCA M.B. at 40-41 (citing</w:t>
      </w:r>
      <w:r w:rsidR="00AE7DAD" w:rsidRPr="00217AC0">
        <w:rPr>
          <w:rFonts w:eastAsiaTheme="minorHAnsi"/>
          <w:sz w:val="26"/>
          <w:szCs w:val="26"/>
        </w:rPr>
        <w:t>,</w:t>
      </w:r>
      <w:r w:rsidRPr="00217AC0">
        <w:rPr>
          <w:rFonts w:eastAsiaTheme="minorHAnsi"/>
          <w:sz w:val="26"/>
          <w:szCs w:val="26"/>
        </w:rPr>
        <w:t xml:space="preserve"> OCA St. </w:t>
      </w:r>
      <w:r w:rsidR="00AE7DAD" w:rsidRPr="00217AC0">
        <w:rPr>
          <w:rFonts w:eastAsiaTheme="minorHAnsi"/>
          <w:sz w:val="26"/>
          <w:szCs w:val="26"/>
        </w:rPr>
        <w:t xml:space="preserve">No. </w:t>
      </w:r>
      <w:r w:rsidRPr="00217AC0">
        <w:rPr>
          <w:rFonts w:eastAsiaTheme="minorHAnsi"/>
          <w:sz w:val="26"/>
          <w:szCs w:val="26"/>
        </w:rPr>
        <w:t>2 at 10-11; OCA Exh. Sch. SLS-6S).  The OCA cited several Commission cases to contend that rate case expenses are normal operating expenses and normalization, therefore, should be based on the historical frequency of the utility’s rate filings because it represents known and measurable data.</w:t>
      </w:r>
      <w:r w:rsidRPr="00217AC0">
        <w:rPr>
          <w:rFonts w:eastAsiaTheme="minorHAnsi"/>
          <w:sz w:val="26"/>
          <w:szCs w:val="26"/>
          <w:vertAlign w:val="superscript"/>
        </w:rPr>
        <w:footnoteReference w:id="34"/>
      </w:r>
      <w:r w:rsidRPr="00217AC0">
        <w:rPr>
          <w:rFonts w:eastAsiaTheme="minorHAnsi"/>
          <w:sz w:val="26"/>
          <w:szCs w:val="26"/>
        </w:rPr>
        <w:t xml:space="preserve">  OCA R.B. at 26-27; OCA M.B. at 38-39.  </w:t>
      </w:r>
    </w:p>
    <w:p w14:paraId="3CA9F179" w14:textId="77777777" w:rsidR="0037012B" w:rsidRPr="00217AC0" w:rsidRDefault="0037012B" w:rsidP="00217AC0">
      <w:pPr>
        <w:widowControl/>
        <w:spacing w:line="360" w:lineRule="auto"/>
        <w:ind w:firstLine="1440"/>
        <w:rPr>
          <w:rFonts w:eastAsiaTheme="minorHAnsi"/>
          <w:sz w:val="26"/>
          <w:szCs w:val="26"/>
        </w:rPr>
      </w:pPr>
    </w:p>
    <w:p w14:paraId="5EA17A42" w14:textId="5B825BE0" w:rsidR="0037012B" w:rsidRPr="00217AC0" w:rsidRDefault="0037012B" w:rsidP="00217AC0">
      <w:pPr>
        <w:widowControl/>
        <w:spacing w:line="360" w:lineRule="auto"/>
        <w:ind w:firstLine="1440"/>
        <w:rPr>
          <w:rFonts w:eastAsiaTheme="minorHAnsi"/>
          <w:sz w:val="26"/>
          <w:szCs w:val="26"/>
        </w:rPr>
      </w:pPr>
      <w:r w:rsidRPr="00217AC0">
        <w:rPr>
          <w:rFonts w:eastAsiaTheme="minorHAnsi"/>
          <w:sz w:val="26"/>
          <w:szCs w:val="26"/>
        </w:rPr>
        <w:t>The OCA addressed the City’s speculation regarding the frequency of its rate increase cases going forward, arguing that it is contrary to the Commission’s precedent that the normalization period is determined “by examining the utility’s actual historical rate filings, not upon the utility’s intentions.”  OCA R.B. at 27 (citing</w:t>
      </w:r>
      <w:r w:rsidR="00AE7DAD" w:rsidRPr="00217AC0">
        <w:rPr>
          <w:rFonts w:eastAsiaTheme="minorHAnsi"/>
          <w:sz w:val="26"/>
          <w:szCs w:val="26"/>
        </w:rPr>
        <w:t>,</w:t>
      </w:r>
      <w:r w:rsidRPr="00217AC0">
        <w:rPr>
          <w:rFonts w:eastAsiaTheme="minorHAnsi"/>
          <w:sz w:val="26"/>
          <w:szCs w:val="26"/>
        </w:rPr>
        <w:t xml:space="preserve"> </w:t>
      </w:r>
      <w:r w:rsidRPr="00217AC0">
        <w:rPr>
          <w:rFonts w:eastAsiaTheme="minorHAnsi"/>
          <w:i/>
          <w:iCs/>
          <w:sz w:val="26"/>
          <w:szCs w:val="26"/>
        </w:rPr>
        <w:t>Popowsky</w:t>
      </w:r>
      <w:r w:rsidRPr="00217AC0">
        <w:rPr>
          <w:rFonts w:eastAsiaTheme="minorHAnsi"/>
          <w:sz w:val="26"/>
          <w:szCs w:val="26"/>
        </w:rPr>
        <w:t xml:space="preserve">).  The OCA also questioned the City’s reasoning as to why its recent rate cases were not filed on two-year intervals.  Specifically, the OCA posited that the City did not </w:t>
      </w:r>
      <w:r w:rsidRPr="00217AC0">
        <w:rPr>
          <w:rFonts w:eastAsiaTheme="minorHAnsi"/>
          <w:sz w:val="26"/>
          <w:szCs w:val="26"/>
        </w:rPr>
        <w:lastRenderedPageBreak/>
        <w:t>explain how the same or other circumstances will not similarly prevent the City from filing for a rate increase more frequently than it has in the past.  OCA R.B. at 27.</w:t>
      </w:r>
    </w:p>
    <w:p w14:paraId="14216D4A" w14:textId="77777777" w:rsidR="0037012B" w:rsidRPr="00217AC0" w:rsidRDefault="0037012B" w:rsidP="00217AC0">
      <w:pPr>
        <w:widowControl/>
        <w:spacing w:line="360" w:lineRule="auto"/>
        <w:rPr>
          <w:rFonts w:eastAsiaTheme="minorHAnsi"/>
          <w:sz w:val="26"/>
          <w:szCs w:val="26"/>
        </w:rPr>
      </w:pPr>
    </w:p>
    <w:p w14:paraId="1AFCB9E6" w14:textId="77777777" w:rsidR="00012897" w:rsidRPr="00217AC0" w:rsidRDefault="00012897" w:rsidP="00217AC0">
      <w:pPr>
        <w:pStyle w:val="Heading3"/>
        <w:keepNext/>
        <w:ind w:left="1440" w:hanging="720"/>
        <w:rPr>
          <w:rFonts w:eastAsiaTheme="minorHAnsi"/>
        </w:rPr>
      </w:pPr>
      <w:bookmarkStart w:id="72" w:name="_Toc69230545"/>
      <w:r w:rsidRPr="00217AC0">
        <w:rPr>
          <w:rFonts w:eastAsiaTheme="minorHAnsi"/>
        </w:rPr>
        <w:t>Recommended Decision</w:t>
      </w:r>
      <w:bookmarkEnd w:id="72"/>
    </w:p>
    <w:p w14:paraId="6C7469FE" w14:textId="77777777" w:rsidR="00012897" w:rsidRPr="00217AC0" w:rsidRDefault="00012897" w:rsidP="00217AC0">
      <w:pPr>
        <w:keepNext/>
        <w:widowControl/>
        <w:spacing w:line="360" w:lineRule="auto"/>
        <w:rPr>
          <w:rFonts w:eastAsiaTheme="minorHAnsi"/>
          <w:sz w:val="26"/>
          <w:szCs w:val="26"/>
        </w:rPr>
      </w:pPr>
    </w:p>
    <w:p w14:paraId="18DAB502" w14:textId="4B9506E0" w:rsidR="0037012B" w:rsidRPr="00217AC0" w:rsidRDefault="0037012B" w:rsidP="00217AC0">
      <w:pPr>
        <w:keepNext/>
        <w:widowControl/>
        <w:spacing w:line="360" w:lineRule="auto"/>
        <w:ind w:firstLine="1440"/>
        <w:rPr>
          <w:rFonts w:eastAsiaTheme="minorHAnsi"/>
          <w:sz w:val="26"/>
          <w:szCs w:val="26"/>
        </w:rPr>
      </w:pPr>
      <w:r w:rsidRPr="00217AC0">
        <w:rPr>
          <w:rFonts w:eastAsiaTheme="minorHAnsi"/>
          <w:sz w:val="26"/>
          <w:szCs w:val="26"/>
        </w:rPr>
        <w:t>The ALJ began by noting that a utility’s allowable claim for rate case expense is comprised of expenditures directly incurred to compile, present</w:t>
      </w:r>
      <w:r w:rsidR="00AB5161" w:rsidRPr="00217AC0">
        <w:rPr>
          <w:rFonts w:eastAsiaTheme="minorHAnsi"/>
          <w:sz w:val="26"/>
          <w:szCs w:val="26"/>
        </w:rPr>
        <w:t>,</w:t>
      </w:r>
      <w:r w:rsidRPr="00217AC0">
        <w:rPr>
          <w:rFonts w:eastAsiaTheme="minorHAnsi"/>
          <w:sz w:val="26"/>
          <w:szCs w:val="26"/>
        </w:rPr>
        <w:t xml:space="preserve"> and defend a utility’s request for a base rate increase before the Commission.  R.D. at 32 (citing</w:t>
      </w:r>
      <w:r w:rsidR="00AE7DAD" w:rsidRPr="00217AC0">
        <w:rPr>
          <w:rFonts w:eastAsiaTheme="minorHAnsi"/>
          <w:sz w:val="26"/>
          <w:szCs w:val="26"/>
        </w:rPr>
        <w:t>,</w:t>
      </w:r>
      <w:r w:rsidRPr="00217AC0">
        <w:rPr>
          <w:rFonts w:eastAsiaTheme="minorHAnsi"/>
          <w:sz w:val="26"/>
          <w:szCs w:val="26"/>
        </w:rPr>
        <w:t xml:space="preserve"> I&amp;E St. No. 1 at 6).  The ALJ also cited three prior Commission cases to note that, although it is the Commission’s practice to recognize all prudently incurred rate case expense and determine a normalization period based upon the frequency of historic filings, the Commission has also recognized that there are exceptions to the general principle that the history of rate filings represents the best evidence for normalization.</w:t>
      </w:r>
      <w:r w:rsidRPr="00217AC0">
        <w:rPr>
          <w:rFonts w:eastAsiaTheme="minorHAnsi"/>
          <w:sz w:val="26"/>
          <w:szCs w:val="26"/>
          <w:vertAlign w:val="superscript"/>
        </w:rPr>
        <w:footnoteReference w:id="35"/>
      </w:r>
      <w:r w:rsidRPr="00217AC0">
        <w:rPr>
          <w:rFonts w:eastAsiaTheme="minorHAnsi"/>
          <w:sz w:val="26"/>
          <w:szCs w:val="26"/>
        </w:rPr>
        <w:t xml:space="preserve">  R.D. at 32-33.  </w:t>
      </w:r>
    </w:p>
    <w:p w14:paraId="195EC840" w14:textId="77777777" w:rsidR="0037012B" w:rsidRPr="00217AC0" w:rsidRDefault="0037012B" w:rsidP="00217AC0">
      <w:pPr>
        <w:widowControl/>
        <w:spacing w:line="360" w:lineRule="auto"/>
        <w:ind w:firstLine="1440"/>
        <w:rPr>
          <w:rFonts w:eastAsiaTheme="minorHAnsi"/>
          <w:sz w:val="26"/>
          <w:szCs w:val="26"/>
        </w:rPr>
      </w:pPr>
    </w:p>
    <w:p w14:paraId="6434ED67" w14:textId="43E9EE37" w:rsidR="0037012B" w:rsidRPr="00217AC0" w:rsidRDefault="0037012B" w:rsidP="00217AC0">
      <w:pPr>
        <w:widowControl/>
        <w:spacing w:line="360" w:lineRule="auto"/>
        <w:ind w:firstLine="1440"/>
        <w:rPr>
          <w:rFonts w:eastAsiaTheme="minorHAnsi"/>
          <w:i/>
          <w:iCs/>
          <w:sz w:val="26"/>
          <w:szCs w:val="26"/>
        </w:rPr>
      </w:pPr>
      <w:r w:rsidRPr="00217AC0">
        <w:rPr>
          <w:rFonts w:eastAsiaTheme="minorHAnsi"/>
          <w:sz w:val="26"/>
          <w:szCs w:val="26"/>
        </w:rPr>
        <w:t xml:space="preserve">Upon noting that the Joint Petitioners, in reaching the Settlement, did not agree to any individual expense claim, the ALJ recommended that no adjustment be made to rate case expense.  However, the ALJ added that, if the Commission determines that adjustments to the individual expense claims are necessary, then he recommended that the Commission accept the OCA’s adjustment to normalize the rate case expense over a 52-month period.  The ALJ explained that, although the City contended that the time gap between the filing of the present rate case and the last rate case was an anomaly, “[t]he City did not provide sufficient evidence to warrant deviation from the typical Commission practice to base the normalization period of the rate case expense on the historical frequency of the utility’s rate case filings.”  R.D. at 33.  The ALJ further elaborated that the City did not provide evidence sufficient to make a finding that a </w:t>
      </w:r>
      <w:r w:rsidRPr="00217AC0">
        <w:rPr>
          <w:rFonts w:eastAsiaTheme="minorHAnsi"/>
          <w:sz w:val="26"/>
          <w:szCs w:val="26"/>
        </w:rPr>
        <w:lastRenderedPageBreak/>
        <w:t xml:space="preserve">similar time gap between rate case filings will not occur again in the future.  The ALJ also found that the City did provide evidence to support its claim that it will file another rate case within the next three years.  The ALJ concluded that “there is a strong risk of over-recovery” if the City is permitted to normalize the expense over a three-year period.  </w:t>
      </w:r>
      <w:r w:rsidRPr="00217AC0">
        <w:rPr>
          <w:rFonts w:eastAsiaTheme="minorHAnsi"/>
          <w:i/>
          <w:iCs/>
          <w:sz w:val="26"/>
          <w:szCs w:val="26"/>
        </w:rPr>
        <w:t>Id.</w:t>
      </w:r>
    </w:p>
    <w:p w14:paraId="5D84846C" w14:textId="77777777" w:rsidR="0037012B" w:rsidRPr="00217AC0" w:rsidRDefault="0037012B" w:rsidP="00217AC0">
      <w:pPr>
        <w:widowControl/>
        <w:spacing w:line="360" w:lineRule="auto"/>
        <w:ind w:firstLine="1440"/>
        <w:rPr>
          <w:rFonts w:eastAsiaTheme="minorHAnsi"/>
          <w:sz w:val="26"/>
          <w:szCs w:val="26"/>
        </w:rPr>
      </w:pPr>
    </w:p>
    <w:p w14:paraId="3FD914AD" w14:textId="6F3E659A" w:rsidR="0037012B" w:rsidRPr="00217AC0" w:rsidRDefault="0037012B" w:rsidP="00217AC0">
      <w:pPr>
        <w:widowControl/>
        <w:spacing w:line="360" w:lineRule="auto"/>
        <w:ind w:firstLine="1440"/>
        <w:rPr>
          <w:rFonts w:eastAsiaTheme="minorHAnsi"/>
          <w:sz w:val="26"/>
          <w:szCs w:val="26"/>
        </w:rPr>
      </w:pPr>
      <w:r w:rsidRPr="00217AC0">
        <w:rPr>
          <w:rFonts w:eastAsiaTheme="minorHAnsi"/>
          <w:sz w:val="26"/>
          <w:szCs w:val="26"/>
        </w:rPr>
        <w:t>Regarding the amount of total rate case expense, the ALJ found that the City justified, with supporting evidence, its projected rate case expense of $414,560.  The ALJ explained that the OCA’s total rate case expense of $259,402, as of early December</w:t>
      </w:r>
      <w:r w:rsidR="00F07D28">
        <w:rPr>
          <w:rFonts w:eastAsiaTheme="minorHAnsi"/>
          <w:sz w:val="26"/>
          <w:szCs w:val="26"/>
        </w:rPr>
        <w:t> </w:t>
      </w:r>
      <w:r w:rsidRPr="00217AC0">
        <w:rPr>
          <w:rFonts w:eastAsiaTheme="minorHAnsi"/>
          <w:sz w:val="26"/>
          <w:szCs w:val="26"/>
        </w:rPr>
        <w:t>2020, does not account for the continued litigation of the present case past early December 2020.  Accordingly, the ALJ concluded that, if the Commission determines that adjustments to the individual expense claims are necessary, then he recommended that the City’s rate case expense claim of $414,560 be normalized over a 52-month period.  R.D. at 33.</w:t>
      </w:r>
    </w:p>
    <w:p w14:paraId="5443CDC4" w14:textId="77777777" w:rsidR="0037012B" w:rsidRPr="00217AC0" w:rsidRDefault="0037012B" w:rsidP="00217AC0">
      <w:pPr>
        <w:widowControl/>
        <w:spacing w:line="360" w:lineRule="auto"/>
        <w:rPr>
          <w:rFonts w:eastAsiaTheme="minorHAnsi"/>
          <w:sz w:val="26"/>
          <w:szCs w:val="26"/>
        </w:rPr>
      </w:pPr>
    </w:p>
    <w:p w14:paraId="00A6DEB1" w14:textId="4857BD59" w:rsidR="00012897" w:rsidRPr="00217AC0" w:rsidRDefault="00012897" w:rsidP="00217AC0">
      <w:pPr>
        <w:pStyle w:val="Heading3"/>
        <w:keepNext/>
        <w:ind w:left="1440" w:hanging="720"/>
        <w:rPr>
          <w:rFonts w:eastAsiaTheme="minorHAnsi"/>
        </w:rPr>
      </w:pPr>
      <w:bookmarkStart w:id="73" w:name="_Toc69230546"/>
      <w:r w:rsidRPr="00217AC0">
        <w:rPr>
          <w:rFonts w:eastAsiaTheme="minorHAnsi"/>
        </w:rPr>
        <w:t>Exceptions and Replies</w:t>
      </w:r>
      <w:bookmarkEnd w:id="73"/>
    </w:p>
    <w:p w14:paraId="1CB9E699" w14:textId="1E502AF5" w:rsidR="00012897" w:rsidRPr="00217AC0" w:rsidRDefault="00012897" w:rsidP="00217AC0">
      <w:pPr>
        <w:keepNext/>
        <w:widowControl/>
        <w:spacing w:line="360" w:lineRule="auto"/>
        <w:rPr>
          <w:rFonts w:eastAsiaTheme="minorHAnsi"/>
          <w:sz w:val="26"/>
          <w:szCs w:val="26"/>
        </w:rPr>
      </w:pPr>
    </w:p>
    <w:p w14:paraId="048CA84A" w14:textId="6C2A92F2" w:rsidR="00B6001C" w:rsidRPr="00217AC0" w:rsidRDefault="00B6001C" w:rsidP="00217AC0">
      <w:pPr>
        <w:pStyle w:val="Heading4"/>
        <w:widowControl/>
        <w:numPr>
          <w:ilvl w:val="0"/>
          <w:numId w:val="23"/>
        </w:numPr>
        <w:ind w:left="2160" w:hanging="720"/>
        <w:rPr>
          <w:rFonts w:eastAsiaTheme="minorHAnsi"/>
        </w:rPr>
      </w:pPr>
      <w:bookmarkStart w:id="74" w:name="_Toc69230547"/>
      <w:r w:rsidRPr="00217AC0">
        <w:rPr>
          <w:rFonts w:eastAsiaTheme="minorHAnsi"/>
        </w:rPr>
        <w:t>City Exception No. 3 and Replies</w:t>
      </w:r>
      <w:bookmarkEnd w:id="74"/>
    </w:p>
    <w:p w14:paraId="38543218" w14:textId="6BA0236B" w:rsidR="00B6001C" w:rsidRPr="00217AC0" w:rsidRDefault="00B6001C" w:rsidP="00217AC0">
      <w:pPr>
        <w:keepNext/>
        <w:widowControl/>
        <w:spacing w:line="360" w:lineRule="auto"/>
        <w:rPr>
          <w:rFonts w:eastAsiaTheme="minorHAnsi"/>
          <w:sz w:val="26"/>
          <w:szCs w:val="26"/>
        </w:rPr>
      </w:pPr>
    </w:p>
    <w:p w14:paraId="070F3C43" w14:textId="356E5137" w:rsidR="0037012B" w:rsidRPr="00217AC0" w:rsidRDefault="0037012B" w:rsidP="00217AC0">
      <w:pPr>
        <w:keepNext/>
        <w:widowControl/>
        <w:spacing w:line="360" w:lineRule="auto"/>
        <w:ind w:firstLine="1440"/>
        <w:rPr>
          <w:rFonts w:eastAsiaTheme="minorHAnsi"/>
          <w:sz w:val="26"/>
          <w:szCs w:val="26"/>
        </w:rPr>
      </w:pPr>
      <w:r w:rsidRPr="00217AC0">
        <w:rPr>
          <w:rFonts w:eastAsiaTheme="minorHAnsi"/>
          <w:sz w:val="26"/>
          <w:szCs w:val="26"/>
        </w:rPr>
        <w:t>In its Exception No. 3, the City challenges the ALJ’s contingent recommendation that, if the Commission determines that adjustments to the City</w:t>
      </w:r>
      <w:r w:rsidR="00F07D28">
        <w:rPr>
          <w:rFonts w:eastAsiaTheme="minorHAnsi"/>
          <w:sz w:val="26"/>
          <w:szCs w:val="26"/>
        </w:rPr>
        <w:t>’</w:t>
      </w:r>
      <w:r w:rsidRPr="00217AC0">
        <w:rPr>
          <w:rFonts w:eastAsiaTheme="minorHAnsi"/>
          <w:sz w:val="26"/>
          <w:szCs w:val="26"/>
        </w:rPr>
        <w:t>s individual expense claims are necessary, then the Commission should accept the OCA’s proposal to normalize rate case expense over a 52-month period.  The City contends that, if the Commission determines that adjustments to the City's individual expense claims should be considered, then the Commission should accept the City</w:t>
      </w:r>
      <w:r w:rsidR="00F07D28">
        <w:rPr>
          <w:rFonts w:eastAsiaTheme="minorHAnsi"/>
          <w:sz w:val="26"/>
          <w:szCs w:val="26"/>
        </w:rPr>
        <w:t>’</w:t>
      </w:r>
      <w:r w:rsidRPr="00217AC0">
        <w:rPr>
          <w:rFonts w:eastAsiaTheme="minorHAnsi"/>
          <w:sz w:val="26"/>
          <w:szCs w:val="26"/>
        </w:rPr>
        <w:t>s proposed normalization period of 36 months as a reasonable projection of historic rate case intervals.  City Exc. at 4-5 (citing</w:t>
      </w:r>
      <w:r w:rsidR="006362D6" w:rsidRPr="00217AC0">
        <w:rPr>
          <w:rFonts w:eastAsiaTheme="minorHAnsi"/>
          <w:sz w:val="26"/>
          <w:szCs w:val="26"/>
        </w:rPr>
        <w:t>,</w:t>
      </w:r>
      <w:r w:rsidRPr="00217AC0">
        <w:rPr>
          <w:rFonts w:eastAsiaTheme="minorHAnsi"/>
          <w:sz w:val="26"/>
          <w:szCs w:val="26"/>
        </w:rPr>
        <w:t xml:space="preserve"> R.D. at 33).</w:t>
      </w:r>
    </w:p>
    <w:p w14:paraId="6E878B3D" w14:textId="77777777" w:rsidR="0037012B" w:rsidRPr="00217AC0" w:rsidRDefault="0037012B" w:rsidP="00217AC0">
      <w:pPr>
        <w:widowControl/>
        <w:spacing w:line="360" w:lineRule="auto"/>
        <w:ind w:firstLine="1440"/>
        <w:rPr>
          <w:rFonts w:eastAsiaTheme="minorHAnsi"/>
          <w:sz w:val="26"/>
          <w:szCs w:val="26"/>
        </w:rPr>
      </w:pPr>
    </w:p>
    <w:p w14:paraId="60F58624" w14:textId="7E6538A0" w:rsidR="0037012B" w:rsidRPr="00217AC0" w:rsidRDefault="0037012B" w:rsidP="00217AC0">
      <w:pPr>
        <w:widowControl/>
        <w:spacing w:line="360" w:lineRule="auto"/>
        <w:ind w:firstLine="1440"/>
        <w:rPr>
          <w:rFonts w:eastAsiaTheme="minorHAnsi"/>
          <w:sz w:val="26"/>
          <w:szCs w:val="26"/>
        </w:rPr>
      </w:pPr>
      <w:r w:rsidRPr="00217AC0">
        <w:rPr>
          <w:rFonts w:eastAsiaTheme="minorHAnsi"/>
          <w:sz w:val="26"/>
          <w:szCs w:val="26"/>
        </w:rPr>
        <w:lastRenderedPageBreak/>
        <w:t>The City addresses the ALJ’s conclusion that the City did not present sufficient evidence to support its position that it will file another rate case within the next three years.  City Exc. at 4-5 (citing</w:t>
      </w:r>
      <w:r w:rsidR="006362D6" w:rsidRPr="00217AC0">
        <w:rPr>
          <w:rFonts w:eastAsiaTheme="minorHAnsi"/>
          <w:sz w:val="26"/>
          <w:szCs w:val="26"/>
        </w:rPr>
        <w:t>,</w:t>
      </w:r>
      <w:r w:rsidRPr="00217AC0">
        <w:rPr>
          <w:rFonts w:eastAsiaTheme="minorHAnsi"/>
          <w:sz w:val="26"/>
          <w:szCs w:val="26"/>
        </w:rPr>
        <w:t xml:space="preserve"> R.D. at 33).  The City repeats its argument that the OCA’s proposal to increase the normalization period to 52 months is based on abnormal, extended intervals between the City's three most-recent base rate cases and, therefore, should not be relied upon for determining the appropriate normalization period.  The City further notes that, although its normalization claim is presented for a 36-month period, the City’s rate case intervals prior to 2007 support a normalization period of 24 months.  City Exc. at 5 (citing</w:t>
      </w:r>
      <w:r w:rsidR="006362D6" w:rsidRPr="00217AC0">
        <w:rPr>
          <w:rFonts w:eastAsiaTheme="minorHAnsi"/>
          <w:sz w:val="26"/>
          <w:szCs w:val="26"/>
        </w:rPr>
        <w:t>,</w:t>
      </w:r>
      <w:r w:rsidRPr="00217AC0">
        <w:rPr>
          <w:rFonts w:eastAsiaTheme="minorHAnsi"/>
          <w:sz w:val="26"/>
          <w:szCs w:val="26"/>
        </w:rPr>
        <w:t xml:space="preserve"> City M.B. at 25-26; City R.B. at 11).</w:t>
      </w:r>
    </w:p>
    <w:p w14:paraId="4627EAF8" w14:textId="77777777" w:rsidR="0037012B" w:rsidRPr="00217AC0" w:rsidRDefault="0037012B" w:rsidP="00217AC0">
      <w:pPr>
        <w:widowControl/>
        <w:spacing w:line="360" w:lineRule="auto"/>
        <w:ind w:firstLine="1440"/>
        <w:rPr>
          <w:rFonts w:eastAsiaTheme="minorHAnsi"/>
          <w:sz w:val="26"/>
          <w:szCs w:val="26"/>
        </w:rPr>
      </w:pPr>
    </w:p>
    <w:p w14:paraId="046E0869" w14:textId="687EF463" w:rsidR="0037012B" w:rsidRPr="00217AC0" w:rsidRDefault="0037012B" w:rsidP="00217AC0">
      <w:pPr>
        <w:widowControl/>
        <w:spacing w:line="360" w:lineRule="auto"/>
        <w:ind w:firstLine="1440"/>
        <w:rPr>
          <w:rFonts w:eastAsiaTheme="minorHAnsi"/>
          <w:sz w:val="26"/>
          <w:szCs w:val="26"/>
        </w:rPr>
      </w:pPr>
      <w:r w:rsidRPr="00217AC0">
        <w:rPr>
          <w:rFonts w:eastAsiaTheme="minorHAnsi"/>
          <w:sz w:val="26"/>
          <w:szCs w:val="26"/>
        </w:rPr>
        <w:t>The City repeats its claim that, although rate case expense is normalized for recovery over several months, the actual cash outlay occurs in real time during the rate case proceeding, thereby creating a cash shortfall in relation to the expense.  The City maintains that, if the rate case interval is shorter than the assumed normalization period, a 52-month normalization period would exacerbate the effect of the shortfall by placing the City at risk for under recovery.  City Exc. at 5 (citing</w:t>
      </w:r>
      <w:r w:rsidR="006362D6" w:rsidRPr="00217AC0">
        <w:rPr>
          <w:rFonts w:eastAsiaTheme="minorHAnsi"/>
          <w:sz w:val="26"/>
          <w:szCs w:val="26"/>
        </w:rPr>
        <w:t>,</w:t>
      </w:r>
      <w:r w:rsidRPr="00217AC0">
        <w:rPr>
          <w:rFonts w:eastAsiaTheme="minorHAnsi"/>
          <w:sz w:val="26"/>
          <w:szCs w:val="26"/>
        </w:rPr>
        <w:t xml:space="preserve"> City M.B. at 26; City R.B. at</w:t>
      </w:r>
      <w:r w:rsidR="00F07D28">
        <w:rPr>
          <w:rFonts w:eastAsiaTheme="minorHAnsi"/>
          <w:sz w:val="26"/>
          <w:szCs w:val="26"/>
        </w:rPr>
        <w:t> </w:t>
      </w:r>
      <w:r w:rsidRPr="00217AC0">
        <w:rPr>
          <w:rFonts w:eastAsiaTheme="minorHAnsi"/>
          <w:sz w:val="26"/>
          <w:szCs w:val="26"/>
        </w:rPr>
        <w:t>11</w:t>
      </w:r>
      <w:r w:rsidR="00EF6904" w:rsidRPr="00217AC0">
        <w:rPr>
          <w:rFonts w:eastAsiaTheme="minorHAnsi"/>
          <w:sz w:val="26"/>
          <w:szCs w:val="26"/>
        </w:rPr>
        <w:noBreakHyphen/>
      </w:r>
      <w:r w:rsidRPr="00217AC0">
        <w:rPr>
          <w:rFonts w:eastAsiaTheme="minorHAnsi"/>
          <w:sz w:val="26"/>
          <w:szCs w:val="26"/>
        </w:rPr>
        <w:t>12).</w:t>
      </w:r>
    </w:p>
    <w:p w14:paraId="0C454F3B" w14:textId="77777777" w:rsidR="0037012B" w:rsidRPr="00217AC0" w:rsidRDefault="0037012B" w:rsidP="00217AC0">
      <w:pPr>
        <w:widowControl/>
        <w:spacing w:line="360" w:lineRule="auto"/>
        <w:ind w:firstLine="1440"/>
        <w:rPr>
          <w:rFonts w:eastAsiaTheme="minorHAnsi"/>
          <w:sz w:val="26"/>
          <w:szCs w:val="26"/>
        </w:rPr>
      </w:pPr>
    </w:p>
    <w:p w14:paraId="797BAC24" w14:textId="00647B2B" w:rsidR="0037012B" w:rsidRPr="00217AC0" w:rsidRDefault="0037012B" w:rsidP="00217AC0">
      <w:pPr>
        <w:widowControl/>
        <w:spacing w:line="360" w:lineRule="auto"/>
        <w:ind w:firstLine="1440"/>
        <w:rPr>
          <w:rFonts w:eastAsiaTheme="minorHAnsi"/>
          <w:sz w:val="26"/>
          <w:szCs w:val="26"/>
        </w:rPr>
      </w:pPr>
      <w:r w:rsidRPr="00217AC0">
        <w:rPr>
          <w:rFonts w:eastAsiaTheme="minorHAnsi"/>
          <w:sz w:val="26"/>
          <w:szCs w:val="26"/>
        </w:rPr>
        <w:t>In its Reply to the City’s Exception No. 3, the OCA counters that, the ALJ did not err in his recommendation that if the Settlement is adopted, then the Commission should normalize rate case expense over a 52-month period.  The OCA contends that the City’s proposed three-year normalization period would be contrary to Commission precedent.</w:t>
      </w:r>
      <w:r w:rsidR="00A5527E" w:rsidRPr="00217AC0">
        <w:rPr>
          <w:rFonts w:eastAsiaTheme="minorHAnsi"/>
          <w:sz w:val="26"/>
          <w:szCs w:val="26"/>
        </w:rPr>
        <w:t xml:space="preserve">  </w:t>
      </w:r>
      <w:r w:rsidRPr="00217AC0">
        <w:rPr>
          <w:rFonts w:eastAsiaTheme="minorHAnsi"/>
          <w:sz w:val="26"/>
          <w:szCs w:val="26"/>
        </w:rPr>
        <w:t>The OCA notes that, the Recommended Decision acknowledged that while there are exceptions, there is Commission precedent to recognize all prudently incurred rate case expenses and determine a normalization period based upon the historical frequency of filings.  OCA R. Exc. at 4 (citing</w:t>
      </w:r>
      <w:r w:rsidR="006362D6" w:rsidRPr="00217AC0">
        <w:rPr>
          <w:rFonts w:eastAsiaTheme="minorHAnsi"/>
          <w:sz w:val="26"/>
          <w:szCs w:val="26"/>
        </w:rPr>
        <w:t>,</w:t>
      </w:r>
      <w:r w:rsidRPr="00217AC0">
        <w:rPr>
          <w:rFonts w:eastAsiaTheme="minorHAnsi"/>
          <w:sz w:val="26"/>
          <w:szCs w:val="26"/>
        </w:rPr>
        <w:t xml:space="preserve"> R.D. at 32-33).  Further, the OCA repeats its argument that, the Commission has consistently held that rate case expenses are normal operating expenses and normalization, therefore, should be based on the historical frequency of rate filings and not the utility’s intentions.  Moreover, the OCA maintains </w:t>
      </w:r>
      <w:r w:rsidRPr="00217AC0">
        <w:rPr>
          <w:rFonts w:eastAsiaTheme="minorHAnsi"/>
          <w:sz w:val="26"/>
          <w:szCs w:val="26"/>
        </w:rPr>
        <w:lastRenderedPageBreak/>
        <w:t>that basing the normalization period on historical filing frequency is reasonable because it represents known and measurable data.  OCA R. Exc. at 4-5.  In addition, the OCA repeats its argument that the City does not state how circumstances will not similarly prevent it from filing rate increase cases more frequently than it has previously, adding that, “the City does not present a coherent argument as to why the rare exceptions to this general rule should apply to them.”  OCA R. Exc. at 5.</w:t>
      </w:r>
    </w:p>
    <w:p w14:paraId="2CD23BD3" w14:textId="77777777" w:rsidR="0037012B" w:rsidRPr="00217AC0" w:rsidRDefault="0037012B" w:rsidP="00217AC0">
      <w:pPr>
        <w:widowControl/>
        <w:spacing w:line="360" w:lineRule="auto"/>
        <w:rPr>
          <w:rFonts w:eastAsiaTheme="minorHAnsi"/>
          <w:sz w:val="26"/>
          <w:szCs w:val="26"/>
        </w:rPr>
      </w:pPr>
    </w:p>
    <w:p w14:paraId="11383532" w14:textId="596A0DBF" w:rsidR="00B6001C" w:rsidRPr="00217AC0" w:rsidRDefault="00B6001C" w:rsidP="00217AC0">
      <w:pPr>
        <w:pStyle w:val="Heading4"/>
        <w:widowControl/>
        <w:rPr>
          <w:rFonts w:eastAsiaTheme="minorHAnsi"/>
        </w:rPr>
      </w:pPr>
      <w:bookmarkStart w:id="75" w:name="_Toc69230548"/>
      <w:r w:rsidRPr="00217AC0">
        <w:rPr>
          <w:rFonts w:eastAsiaTheme="minorHAnsi"/>
        </w:rPr>
        <w:t>OCA Exception No. 4 and Replies</w:t>
      </w:r>
      <w:bookmarkEnd w:id="75"/>
    </w:p>
    <w:p w14:paraId="22D03B33" w14:textId="12E7F529" w:rsidR="00012897" w:rsidRPr="00217AC0" w:rsidRDefault="00012897" w:rsidP="00217AC0">
      <w:pPr>
        <w:keepNext/>
        <w:widowControl/>
        <w:spacing w:line="360" w:lineRule="auto"/>
        <w:rPr>
          <w:rFonts w:eastAsiaTheme="minorHAnsi"/>
          <w:sz w:val="26"/>
          <w:szCs w:val="26"/>
        </w:rPr>
      </w:pPr>
    </w:p>
    <w:p w14:paraId="70AEE56D" w14:textId="62D9716E" w:rsidR="0037012B" w:rsidRPr="00217AC0" w:rsidRDefault="0037012B" w:rsidP="00217AC0">
      <w:pPr>
        <w:keepNext/>
        <w:widowControl/>
        <w:spacing w:line="360" w:lineRule="auto"/>
        <w:ind w:firstLine="1440"/>
        <w:rPr>
          <w:rFonts w:eastAsiaTheme="minorHAnsi"/>
          <w:sz w:val="26"/>
          <w:szCs w:val="26"/>
        </w:rPr>
      </w:pPr>
      <w:r w:rsidRPr="00217AC0">
        <w:rPr>
          <w:rFonts w:eastAsiaTheme="minorHAnsi"/>
          <w:sz w:val="26"/>
          <w:szCs w:val="26"/>
        </w:rPr>
        <w:t>In its Exception No. 4, the OCA challenges the ALJ’s contingent recommendation that, if the Commission determines that adjustments to the City's individual expense claims are necessary, then the Commission should accept the City’s projected rate case expense of $414,560 because the OCA did not account for the expenses that the City had incurred and will incur after early December 2020.  OCA Exc. at 29-30 (citing</w:t>
      </w:r>
      <w:r w:rsidR="00600010" w:rsidRPr="00217AC0">
        <w:rPr>
          <w:rFonts w:eastAsiaTheme="minorHAnsi"/>
          <w:sz w:val="26"/>
          <w:szCs w:val="26"/>
        </w:rPr>
        <w:t>,</w:t>
      </w:r>
      <w:r w:rsidRPr="00217AC0">
        <w:rPr>
          <w:rFonts w:eastAsiaTheme="minorHAnsi"/>
          <w:sz w:val="26"/>
          <w:szCs w:val="26"/>
        </w:rPr>
        <w:t xml:space="preserve"> R.D. at 33).  The OCA repeats that, as of early December 2020, the actual amount of rate case expense spent was $259,402.  OCA Exc. at 29 (citing</w:t>
      </w:r>
      <w:r w:rsidR="00600010" w:rsidRPr="00217AC0">
        <w:rPr>
          <w:rFonts w:eastAsiaTheme="minorHAnsi"/>
          <w:sz w:val="26"/>
          <w:szCs w:val="26"/>
        </w:rPr>
        <w:t>,</w:t>
      </w:r>
      <w:r w:rsidRPr="00217AC0">
        <w:rPr>
          <w:rFonts w:eastAsiaTheme="minorHAnsi"/>
          <w:sz w:val="26"/>
          <w:szCs w:val="26"/>
        </w:rPr>
        <w:t xml:space="preserve"> OCA M.B. at 40; OCA Sch. SLS-6S).  Further, the OCA maintains that the City did not provide evidence to support a projected incurred expense of $155,158 from December 2020 through the resolution of the instant matter.  Moreover, the OCA asserts that the City did not take the opportunity to update its projected rate case expense to reflect a more accurate amount of the expenses already incurred.  OCA Exc. at 30.</w:t>
      </w:r>
    </w:p>
    <w:p w14:paraId="00A46FCD" w14:textId="77777777" w:rsidR="0037012B" w:rsidRPr="00217AC0" w:rsidRDefault="0037012B" w:rsidP="00217AC0">
      <w:pPr>
        <w:widowControl/>
        <w:spacing w:line="360" w:lineRule="auto"/>
        <w:ind w:firstLine="1440"/>
        <w:rPr>
          <w:rFonts w:eastAsiaTheme="minorHAnsi"/>
          <w:sz w:val="26"/>
          <w:szCs w:val="26"/>
        </w:rPr>
      </w:pPr>
    </w:p>
    <w:p w14:paraId="3F61BFD9" w14:textId="5FE51969" w:rsidR="0037012B" w:rsidRPr="00217AC0" w:rsidRDefault="0037012B" w:rsidP="00217AC0">
      <w:pPr>
        <w:widowControl/>
        <w:spacing w:line="360" w:lineRule="auto"/>
        <w:ind w:firstLine="1440"/>
        <w:rPr>
          <w:rFonts w:eastAsiaTheme="minorHAnsi"/>
          <w:sz w:val="26"/>
          <w:szCs w:val="26"/>
        </w:rPr>
      </w:pPr>
      <w:r w:rsidRPr="00217AC0">
        <w:rPr>
          <w:rFonts w:eastAsiaTheme="minorHAnsi"/>
          <w:sz w:val="26"/>
          <w:szCs w:val="26"/>
        </w:rPr>
        <w:t>In its Reply to the OCA’s Exception No. 4, the City counters that, the ALJ properly recognized that the OCA did not account for litigation expense actually incurred after early December 2020, including: (1) the preparation and submission of the Joint Petition with I&amp;E; (2) the stipulation of certain issues with</w:t>
      </w:r>
      <w:r w:rsidR="00600010" w:rsidRPr="00217AC0">
        <w:rPr>
          <w:rFonts w:eastAsiaTheme="minorHAnsi"/>
          <w:sz w:val="26"/>
          <w:szCs w:val="26"/>
        </w:rPr>
        <w:t xml:space="preserve"> the</w:t>
      </w:r>
      <w:r w:rsidRPr="00217AC0">
        <w:rPr>
          <w:rFonts w:eastAsiaTheme="minorHAnsi"/>
          <w:sz w:val="26"/>
          <w:szCs w:val="26"/>
        </w:rPr>
        <w:t xml:space="preserve"> OCA; and (3) the preparation and submission of main briefs, reply briefs, exceptions and replies to exceptions.  The City notes that, in early December 2020, the City was continuing to </w:t>
      </w:r>
      <w:r w:rsidRPr="00217AC0">
        <w:rPr>
          <w:rFonts w:eastAsiaTheme="minorHAnsi"/>
          <w:sz w:val="26"/>
          <w:szCs w:val="26"/>
        </w:rPr>
        <w:lastRenderedPageBreak/>
        <w:t>litigate with</w:t>
      </w:r>
      <w:r w:rsidR="00600010" w:rsidRPr="00217AC0">
        <w:rPr>
          <w:rFonts w:eastAsiaTheme="minorHAnsi"/>
          <w:sz w:val="26"/>
          <w:szCs w:val="26"/>
        </w:rPr>
        <w:t xml:space="preserve"> the</w:t>
      </w:r>
      <w:r w:rsidRPr="00217AC0">
        <w:rPr>
          <w:rFonts w:eastAsiaTheme="minorHAnsi"/>
          <w:sz w:val="26"/>
          <w:szCs w:val="26"/>
        </w:rPr>
        <w:t xml:space="preserve"> OCA and</w:t>
      </w:r>
      <w:r w:rsidR="00600010" w:rsidRPr="00217AC0">
        <w:rPr>
          <w:rFonts w:eastAsiaTheme="minorHAnsi"/>
          <w:sz w:val="26"/>
          <w:szCs w:val="26"/>
        </w:rPr>
        <w:t xml:space="preserve"> the</w:t>
      </w:r>
      <w:r w:rsidRPr="00217AC0">
        <w:rPr>
          <w:rFonts w:eastAsiaTheme="minorHAnsi"/>
          <w:sz w:val="26"/>
          <w:szCs w:val="26"/>
        </w:rPr>
        <w:t xml:space="preserve"> OSBA, resulting in a total rate case expense of $414,560.  City R. Exc. at 16.</w:t>
      </w:r>
    </w:p>
    <w:p w14:paraId="125CF321" w14:textId="77777777" w:rsidR="0037012B" w:rsidRPr="00217AC0" w:rsidRDefault="0037012B" w:rsidP="00217AC0">
      <w:pPr>
        <w:widowControl/>
        <w:spacing w:line="360" w:lineRule="auto"/>
        <w:rPr>
          <w:rFonts w:eastAsiaTheme="minorHAnsi"/>
          <w:sz w:val="26"/>
          <w:szCs w:val="26"/>
        </w:rPr>
      </w:pPr>
    </w:p>
    <w:p w14:paraId="297BDAAC" w14:textId="77777777" w:rsidR="00012897" w:rsidRPr="00217AC0" w:rsidRDefault="00012897" w:rsidP="00217AC0">
      <w:pPr>
        <w:pStyle w:val="Heading3"/>
        <w:keepNext/>
        <w:ind w:left="1440" w:hanging="720"/>
        <w:rPr>
          <w:rFonts w:eastAsiaTheme="minorHAnsi"/>
        </w:rPr>
      </w:pPr>
      <w:bookmarkStart w:id="76" w:name="_Toc69230549"/>
      <w:r w:rsidRPr="00217AC0">
        <w:rPr>
          <w:rFonts w:eastAsiaTheme="minorHAnsi"/>
        </w:rPr>
        <w:t>Disposition</w:t>
      </w:r>
      <w:bookmarkEnd w:id="76"/>
    </w:p>
    <w:p w14:paraId="40864013" w14:textId="1EFC9B32" w:rsidR="0094522E" w:rsidRPr="00217AC0" w:rsidRDefault="0094522E" w:rsidP="00217AC0">
      <w:pPr>
        <w:keepNext/>
        <w:widowControl/>
        <w:spacing w:line="360" w:lineRule="auto"/>
        <w:rPr>
          <w:sz w:val="26"/>
          <w:szCs w:val="26"/>
        </w:rPr>
      </w:pPr>
    </w:p>
    <w:p w14:paraId="5BDA80CA" w14:textId="08ACF1FD" w:rsidR="00C2425F" w:rsidRPr="00217AC0" w:rsidRDefault="0037012B" w:rsidP="00217AC0">
      <w:pPr>
        <w:keepNext/>
        <w:widowControl/>
        <w:spacing w:line="360" w:lineRule="auto"/>
        <w:ind w:firstLine="1440"/>
        <w:rPr>
          <w:sz w:val="26"/>
          <w:szCs w:val="26"/>
        </w:rPr>
      </w:pPr>
      <w:bookmarkStart w:id="77" w:name="_Hlk66953355"/>
      <w:r w:rsidRPr="00217AC0">
        <w:rPr>
          <w:sz w:val="26"/>
          <w:szCs w:val="26"/>
        </w:rPr>
        <w:t>As previously discussed, although he recommended approval of the</w:t>
      </w:r>
      <w:r w:rsidR="00600010" w:rsidRPr="00217AC0">
        <w:rPr>
          <w:sz w:val="26"/>
          <w:szCs w:val="26"/>
        </w:rPr>
        <w:t xml:space="preserve"> </w:t>
      </w:r>
      <w:r w:rsidRPr="00217AC0">
        <w:rPr>
          <w:sz w:val="26"/>
          <w:szCs w:val="26"/>
        </w:rPr>
        <w:t>Settlement</w:t>
      </w:r>
      <w:r w:rsidR="00600010" w:rsidRPr="00217AC0">
        <w:rPr>
          <w:sz w:val="26"/>
          <w:szCs w:val="26"/>
        </w:rPr>
        <w:t>, without modification</w:t>
      </w:r>
      <w:r w:rsidRPr="00217AC0">
        <w:rPr>
          <w:sz w:val="26"/>
          <w:szCs w:val="26"/>
        </w:rPr>
        <w:t xml:space="preserve">, ALJ Haas addressed the OCA’s proposed adjustments to rate case expense in the event that the Commission determines that adjustments to the expense components are necessary.  Therefore, if the Commission adopts the Recommended Decision and approves the Joint Petition, without modification, further discussion of the rate case expense adjustments proposed by the OCA is not necessary.  </w:t>
      </w:r>
      <w:r w:rsidRPr="00217AC0">
        <w:rPr>
          <w:i/>
          <w:iCs/>
          <w:sz w:val="26"/>
          <w:szCs w:val="26"/>
        </w:rPr>
        <w:t>See</w:t>
      </w:r>
      <w:r w:rsidRPr="00217AC0">
        <w:rPr>
          <w:sz w:val="26"/>
          <w:szCs w:val="26"/>
        </w:rPr>
        <w:t xml:space="preserve"> R.D. at 1. </w:t>
      </w:r>
      <w:bookmarkEnd w:id="77"/>
    </w:p>
    <w:p w14:paraId="14196F56" w14:textId="2ED0EFB7" w:rsidR="00874A1F" w:rsidRPr="00217AC0" w:rsidRDefault="00874A1F" w:rsidP="00217AC0">
      <w:pPr>
        <w:widowControl/>
        <w:spacing w:line="360" w:lineRule="auto"/>
        <w:ind w:firstLine="1440"/>
        <w:rPr>
          <w:sz w:val="26"/>
          <w:szCs w:val="26"/>
        </w:rPr>
      </w:pPr>
    </w:p>
    <w:p w14:paraId="6B7B7FAA" w14:textId="67FF12B4" w:rsidR="00874A1F" w:rsidRPr="00217AC0" w:rsidRDefault="00874A1F" w:rsidP="00217AC0">
      <w:pPr>
        <w:widowControl/>
        <w:spacing w:line="360" w:lineRule="auto"/>
        <w:ind w:firstLine="1440"/>
        <w:rPr>
          <w:sz w:val="26"/>
          <w:szCs w:val="26"/>
        </w:rPr>
      </w:pPr>
      <w:r w:rsidRPr="00217AC0">
        <w:rPr>
          <w:sz w:val="26"/>
          <w:szCs w:val="26"/>
        </w:rPr>
        <w:t>The ALJ determined that the City did not provide sufficient evidence to justify an exception to the Commission’s guiding principle that utilization of the utility’s historical rate case filing frequency represents the best evidence for the normalization period of rate case expense.  R.D. at 32-33.  The City contended that the intervals between its rate cases filed after 2007 do not present a reliable basis for a normalization period due to abnormal circumstances stemming from its recent rate cases.  City M.B. at</w:t>
      </w:r>
      <w:r w:rsidR="00F07D28">
        <w:rPr>
          <w:sz w:val="26"/>
          <w:szCs w:val="26"/>
        </w:rPr>
        <w:t> </w:t>
      </w:r>
      <w:r w:rsidRPr="00217AC0">
        <w:rPr>
          <w:sz w:val="26"/>
          <w:szCs w:val="26"/>
        </w:rPr>
        <w:t xml:space="preserve">25-26.  As noted by the ALJ, other than providing reasons for the intervals between its recent rate case filings, the City did not provide evidence sufficient to conclude that its recent pattern of rate filing frequency will not continue into the future.  </w:t>
      </w:r>
    </w:p>
    <w:p w14:paraId="7BDD9637" w14:textId="77777777" w:rsidR="00874A1F" w:rsidRPr="00217AC0" w:rsidRDefault="00874A1F" w:rsidP="00217AC0">
      <w:pPr>
        <w:widowControl/>
        <w:spacing w:line="360" w:lineRule="auto"/>
        <w:ind w:firstLine="1440"/>
        <w:rPr>
          <w:sz w:val="26"/>
          <w:szCs w:val="26"/>
        </w:rPr>
      </w:pPr>
    </w:p>
    <w:p w14:paraId="7ED8A6C0" w14:textId="6DCC1C99" w:rsidR="00874A1F" w:rsidRPr="00217AC0" w:rsidRDefault="00874A1F" w:rsidP="00217AC0">
      <w:pPr>
        <w:widowControl/>
        <w:spacing w:line="360" w:lineRule="auto"/>
        <w:ind w:firstLine="1440"/>
        <w:rPr>
          <w:sz w:val="26"/>
          <w:szCs w:val="26"/>
        </w:rPr>
      </w:pPr>
      <w:r w:rsidRPr="00217AC0">
        <w:rPr>
          <w:sz w:val="26"/>
          <w:szCs w:val="26"/>
        </w:rPr>
        <w:t xml:space="preserve">The ALJ was persuaded, however, by the City’s justification, by evidence, of total rate case expense of $414,560.  R.D. at 33.  Although the OCA argued that the City had total rate case expense of $259,402 as of early December 2020, the ALJ noted that the City has continued to litigate this proceeding since early December 2020.  OCA Exc. at 29; R.D. at 33.  Given the continued litigation, the total rate case expense at the conclusion of this proceeding will be more than the accumulated total as of early </w:t>
      </w:r>
      <w:r w:rsidRPr="00217AC0">
        <w:rPr>
          <w:sz w:val="26"/>
          <w:szCs w:val="26"/>
        </w:rPr>
        <w:lastRenderedPageBreak/>
        <w:t>December 2020; however, the City’s projected total rate case expense should be based on reliable evidence that supports its projection.  Even so, as the City’s Exception No. 3 and the OCA’s Exception No. 4 have been rendered immaterial, as they challenge an individual expense component which is not determinative to our disposition above pertaining to the reasonableness of the Settlement, we therefore deny the City’s Exception No. 3 and the OCA’s Exception No. 4.</w:t>
      </w:r>
    </w:p>
    <w:p w14:paraId="653BEC1A" w14:textId="77777777" w:rsidR="0037012B" w:rsidRPr="00217AC0" w:rsidRDefault="0037012B" w:rsidP="00217AC0">
      <w:pPr>
        <w:widowControl/>
        <w:spacing w:line="360" w:lineRule="auto"/>
        <w:rPr>
          <w:sz w:val="26"/>
          <w:szCs w:val="26"/>
        </w:rPr>
      </w:pPr>
    </w:p>
    <w:p w14:paraId="6DBDCA0B" w14:textId="48EF3F89" w:rsidR="00683ABA" w:rsidRPr="00217AC0" w:rsidRDefault="00683ABA" w:rsidP="00217AC0">
      <w:pPr>
        <w:pStyle w:val="Heading2"/>
        <w:widowControl/>
        <w:ind w:hanging="720"/>
      </w:pPr>
      <w:bookmarkStart w:id="78" w:name="_Toc69230550"/>
      <w:r w:rsidRPr="00217AC0">
        <w:t>Salaries and Wage Expenses</w:t>
      </w:r>
      <w:r w:rsidR="00D20734" w:rsidRPr="00217AC0">
        <w:t xml:space="preserve"> / Social Security Expense</w:t>
      </w:r>
      <w:bookmarkEnd w:id="78"/>
    </w:p>
    <w:p w14:paraId="5E510457" w14:textId="7A1D237A" w:rsidR="00683ABA" w:rsidRPr="00217AC0" w:rsidRDefault="00683ABA" w:rsidP="00217AC0">
      <w:pPr>
        <w:keepNext/>
        <w:widowControl/>
        <w:spacing w:line="360" w:lineRule="auto"/>
        <w:rPr>
          <w:sz w:val="26"/>
          <w:szCs w:val="26"/>
        </w:rPr>
      </w:pPr>
    </w:p>
    <w:p w14:paraId="0C2D94EE" w14:textId="77777777" w:rsidR="00012897" w:rsidRPr="00217AC0" w:rsidRDefault="00012897" w:rsidP="00217AC0">
      <w:pPr>
        <w:pStyle w:val="Heading3"/>
        <w:keepNext/>
        <w:numPr>
          <w:ilvl w:val="0"/>
          <w:numId w:val="17"/>
        </w:numPr>
        <w:tabs>
          <w:tab w:val="num" w:pos="360"/>
        </w:tabs>
        <w:ind w:left="1440" w:hanging="720"/>
        <w:rPr>
          <w:rFonts w:eastAsiaTheme="minorHAnsi"/>
        </w:rPr>
      </w:pPr>
      <w:bookmarkStart w:id="79" w:name="_Toc69230551"/>
      <w:r w:rsidRPr="00217AC0">
        <w:rPr>
          <w:rFonts w:eastAsiaTheme="minorHAnsi"/>
        </w:rPr>
        <w:t>Positions of the Parties</w:t>
      </w:r>
      <w:bookmarkEnd w:id="79"/>
    </w:p>
    <w:p w14:paraId="4BB71CC4" w14:textId="32A5835B" w:rsidR="00012897" w:rsidRPr="00217AC0" w:rsidRDefault="00012897" w:rsidP="00217AC0">
      <w:pPr>
        <w:keepNext/>
        <w:widowControl/>
        <w:spacing w:line="360" w:lineRule="auto"/>
        <w:rPr>
          <w:rFonts w:eastAsiaTheme="minorHAnsi"/>
          <w:sz w:val="26"/>
          <w:szCs w:val="26"/>
        </w:rPr>
      </w:pPr>
    </w:p>
    <w:p w14:paraId="5DB67718" w14:textId="3950737E" w:rsidR="00143D99" w:rsidRPr="00217AC0" w:rsidRDefault="00143D99" w:rsidP="00217AC0">
      <w:pPr>
        <w:keepNext/>
        <w:widowControl/>
        <w:spacing w:line="360" w:lineRule="auto"/>
        <w:ind w:firstLine="1440"/>
        <w:rPr>
          <w:rFonts w:eastAsiaTheme="minorHAnsi"/>
          <w:sz w:val="26"/>
          <w:szCs w:val="26"/>
        </w:rPr>
      </w:pPr>
      <w:r w:rsidRPr="00217AC0">
        <w:rPr>
          <w:rFonts w:eastAsiaTheme="minorHAnsi"/>
          <w:sz w:val="26"/>
          <w:szCs w:val="26"/>
        </w:rPr>
        <w:t xml:space="preserve">The City’s original requests for salaries, wages and social security expenses for its water employees were subsequently adjusted during this proceeding to include a 2.0% increase in union contract wages that had been negotiated and approved by the City effective January 1, 2021, one day after the end of the FTY relied upon by the City in this rate case.  With the pro forma adjustments, the City presented a claim of $4,064,528 for its </w:t>
      </w:r>
      <w:r w:rsidR="00BA587C" w:rsidRPr="00217AC0">
        <w:rPr>
          <w:rFonts w:eastAsiaTheme="minorHAnsi"/>
          <w:sz w:val="26"/>
          <w:szCs w:val="26"/>
        </w:rPr>
        <w:t>salaries and</w:t>
      </w:r>
      <w:r w:rsidRPr="00217AC0">
        <w:rPr>
          <w:rFonts w:eastAsiaTheme="minorHAnsi"/>
          <w:sz w:val="26"/>
          <w:szCs w:val="26"/>
        </w:rPr>
        <w:t xml:space="preserve"> wage expenses. City St. No. 1 at 6; Cit</w:t>
      </w:r>
      <w:r w:rsidR="00BA587C" w:rsidRPr="00217AC0">
        <w:rPr>
          <w:rFonts w:eastAsiaTheme="minorHAnsi"/>
          <w:sz w:val="26"/>
          <w:szCs w:val="26"/>
        </w:rPr>
        <w:t>y St. No. 1, Attachment 1 at 32 (</w:t>
      </w:r>
      <w:r w:rsidRPr="00217AC0">
        <w:rPr>
          <w:rFonts w:eastAsiaTheme="minorHAnsi"/>
          <w:sz w:val="26"/>
          <w:szCs w:val="26"/>
        </w:rPr>
        <w:t>Adj</w:t>
      </w:r>
      <w:r w:rsidR="00BA587C" w:rsidRPr="00217AC0">
        <w:rPr>
          <w:rFonts w:eastAsiaTheme="minorHAnsi"/>
          <w:sz w:val="26"/>
          <w:szCs w:val="26"/>
        </w:rPr>
        <w:t>ustment</w:t>
      </w:r>
      <w:r w:rsidRPr="00217AC0">
        <w:rPr>
          <w:rFonts w:eastAsiaTheme="minorHAnsi"/>
          <w:sz w:val="26"/>
          <w:szCs w:val="26"/>
        </w:rPr>
        <w:t xml:space="preserve"> E-10</w:t>
      </w:r>
      <w:r w:rsidR="00BA587C" w:rsidRPr="00217AC0">
        <w:rPr>
          <w:rFonts w:eastAsiaTheme="minorHAnsi"/>
          <w:sz w:val="26"/>
          <w:szCs w:val="26"/>
        </w:rPr>
        <w:t>)</w:t>
      </w:r>
      <w:r w:rsidRPr="00217AC0">
        <w:rPr>
          <w:rFonts w:eastAsiaTheme="minorHAnsi"/>
          <w:sz w:val="26"/>
          <w:szCs w:val="26"/>
        </w:rPr>
        <w:t xml:space="preserve">.  Similarly, the City submitted a claim of $310,936 for social security expenses, which includes the pro forma adjustment resulting from the increase in union contract wages effective January 1, 2021.  City </w:t>
      </w:r>
      <w:r w:rsidR="00BA587C" w:rsidRPr="00217AC0">
        <w:rPr>
          <w:rFonts w:eastAsiaTheme="minorHAnsi"/>
          <w:sz w:val="26"/>
          <w:szCs w:val="26"/>
        </w:rPr>
        <w:t>Exh. CEH-1R at 23 (Adjustment E-10-REB).</w:t>
      </w:r>
      <w:r w:rsidRPr="00217AC0">
        <w:rPr>
          <w:rFonts w:eastAsiaTheme="minorHAnsi"/>
          <w:sz w:val="26"/>
          <w:szCs w:val="26"/>
        </w:rPr>
        <w:tab/>
      </w:r>
    </w:p>
    <w:p w14:paraId="3C03BF9E" w14:textId="77777777" w:rsidR="00143D99" w:rsidRPr="00217AC0" w:rsidRDefault="00143D99" w:rsidP="00217AC0">
      <w:pPr>
        <w:widowControl/>
        <w:spacing w:line="360" w:lineRule="auto"/>
        <w:rPr>
          <w:rFonts w:eastAsiaTheme="minorHAnsi"/>
          <w:sz w:val="26"/>
          <w:szCs w:val="26"/>
        </w:rPr>
      </w:pPr>
    </w:p>
    <w:p w14:paraId="76DAD973" w14:textId="4C427A7F" w:rsidR="00143D99" w:rsidRPr="00217AC0" w:rsidRDefault="00143D99" w:rsidP="00217AC0">
      <w:pPr>
        <w:widowControl/>
        <w:spacing w:line="360" w:lineRule="auto"/>
        <w:ind w:firstLine="1440"/>
        <w:rPr>
          <w:rFonts w:eastAsiaTheme="minorHAnsi"/>
          <w:sz w:val="26"/>
          <w:szCs w:val="26"/>
        </w:rPr>
      </w:pPr>
      <w:r w:rsidRPr="00217AC0">
        <w:rPr>
          <w:rFonts w:eastAsiaTheme="minorHAnsi"/>
          <w:sz w:val="26"/>
          <w:szCs w:val="26"/>
        </w:rPr>
        <w:t>The City stated that the post-test year salary and wage adjustment and related increase in social security expenses effective January 1, 2021, are known, measurable and certain to occur as they are required by union contract, and, as such, are fair to include in the present rate case.  The City argued that this Commission has accepted salary increases required by union contract</w:t>
      </w:r>
      <w:r w:rsidR="00BA587C" w:rsidRPr="00217AC0">
        <w:rPr>
          <w:rFonts w:eastAsiaTheme="minorHAnsi"/>
          <w:sz w:val="26"/>
          <w:szCs w:val="26"/>
        </w:rPr>
        <w:t xml:space="preserve"> </w:t>
      </w:r>
      <w:r w:rsidRPr="00217AC0">
        <w:rPr>
          <w:rFonts w:eastAsiaTheme="minorHAnsi"/>
          <w:sz w:val="26"/>
          <w:szCs w:val="26"/>
        </w:rPr>
        <w:t xml:space="preserve">taking effect one day after the end of the FTY in a number of ratemaking cases in the past, citing </w:t>
      </w:r>
      <w:r w:rsidRPr="00217AC0">
        <w:rPr>
          <w:rFonts w:eastAsiaTheme="minorHAnsi"/>
          <w:i/>
          <w:iCs/>
          <w:sz w:val="26"/>
          <w:szCs w:val="26"/>
        </w:rPr>
        <w:t>Pa. PUC v. City of Bethlehem (Water)</w:t>
      </w:r>
      <w:r w:rsidRPr="00F07D28">
        <w:rPr>
          <w:rFonts w:eastAsiaTheme="minorHAnsi"/>
          <w:sz w:val="26"/>
          <w:szCs w:val="26"/>
        </w:rPr>
        <w:t>,</w:t>
      </w:r>
      <w:r w:rsidRPr="00217AC0">
        <w:rPr>
          <w:rFonts w:eastAsiaTheme="minorHAnsi"/>
          <w:i/>
          <w:iCs/>
          <w:sz w:val="26"/>
          <w:szCs w:val="26"/>
        </w:rPr>
        <w:t xml:space="preserve"> </w:t>
      </w:r>
      <w:r w:rsidRPr="00217AC0">
        <w:rPr>
          <w:rFonts w:eastAsiaTheme="minorHAnsi"/>
          <w:sz w:val="26"/>
          <w:szCs w:val="26"/>
        </w:rPr>
        <w:t>160 PUR 4</w:t>
      </w:r>
      <w:r w:rsidRPr="00217AC0">
        <w:rPr>
          <w:rFonts w:eastAsiaTheme="minorHAnsi"/>
          <w:sz w:val="26"/>
          <w:szCs w:val="26"/>
          <w:vertAlign w:val="superscript"/>
        </w:rPr>
        <w:t>th</w:t>
      </w:r>
      <w:r w:rsidRPr="00217AC0">
        <w:rPr>
          <w:rFonts w:eastAsiaTheme="minorHAnsi"/>
          <w:sz w:val="26"/>
          <w:szCs w:val="26"/>
        </w:rPr>
        <w:t xml:space="preserve"> 375, 386 (Pa. PUC 1995), and </w:t>
      </w:r>
      <w:r w:rsidRPr="00217AC0">
        <w:rPr>
          <w:rFonts w:eastAsiaTheme="minorHAnsi"/>
          <w:i/>
          <w:iCs/>
          <w:sz w:val="26"/>
          <w:szCs w:val="26"/>
        </w:rPr>
        <w:t>Pa. PUC v. Keystone Water Co.</w:t>
      </w:r>
      <w:r w:rsidRPr="00F07D28">
        <w:rPr>
          <w:rFonts w:eastAsiaTheme="minorHAnsi"/>
          <w:sz w:val="26"/>
          <w:szCs w:val="26"/>
        </w:rPr>
        <w:t>,</w:t>
      </w:r>
      <w:r w:rsidRPr="00217AC0">
        <w:rPr>
          <w:rFonts w:eastAsiaTheme="minorHAnsi"/>
          <w:i/>
          <w:iCs/>
          <w:sz w:val="26"/>
          <w:szCs w:val="26"/>
        </w:rPr>
        <w:t xml:space="preserve"> </w:t>
      </w:r>
      <w:r w:rsidRPr="00217AC0">
        <w:rPr>
          <w:rFonts w:eastAsiaTheme="minorHAnsi"/>
          <w:sz w:val="26"/>
          <w:szCs w:val="26"/>
        </w:rPr>
        <w:lastRenderedPageBreak/>
        <w:t>58</w:t>
      </w:r>
      <w:r w:rsidR="00F07D28">
        <w:rPr>
          <w:rFonts w:eastAsiaTheme="minorHAnsi"/>
          <w:sz w:val="26"/>
          <w:szCs w:val="26"/>
        </w:rPr>
        <w:t> </w:t>
      </w:r>
      <w:r w:rsidRPr="00217AC0">
        <w:rPr>
          <w:rFonts w:eastAsiaTheme="minorHAnsi"/>
          <w:sz w:val="26"/>
          <w:szCs w:val="26"/>
        </w:rPr>
        <w:t xml:space="preserve">Pa. PUC 437, 454 (1984), as authority.  The City, therefore, asserted that the OCA’s proposed changes to the City’s salary, </w:t>
      </w:r>
      <w:r w:rsidR="00BA587C" w:rsidRPr="00217AC0">
        <w:rPr>
          <w:rFonts w:eastAsiaTheme="minorHAnsi"/>
          <w:sz w:val="26"/>
          <w:szCs w:val="26"/>
        </w:rPr>
        <w:t>wage,</w:t>
      </w:r>
      <w:r w:rsidRPr="00217AC0">
        <w:rPr>
          <w:rFonts w:eastAsiaTheme="minorHAnsi"/>
          <w:sz w:val="26"/>
          <w:szCs w:val="26"/>
        </w:rPr>
        <w:t xml:space="preserve"> and social security expenses to remove the adjustments necessitated by the union contract should be rejected.  City M.B. at 27-28.</w:t>
      </w:r>
      <w:r w:rsidR="00C73FF8" w:rsidRPr="00217AC0">
        <w:rPr>
          <w:rFonts w:eastAsiaTheme="minorHAnsi"/>
          <w:sz w:val="26"/>
          <w:szCs w:val="26"/>
        </w:rPr>
        <w:t xml:space="preserve">  </w:t>
      </w:r>
    </w:p>
    <w:p w14:paraId="44D514CD" w14:textId="77777777" w:rsidR="00143D99" w:rsidRPr="00217AC0" w:rsidRDefault="00143D99" w:rsidP="00217AC0">
      <w:pPr>
        <w:widowControl/>
        <w:spacing w:line="360" w:lineRule="auto"/>
        <w:rPr>
          <w:rFonts w:eastAsiaTheme="minorHAnsi"/>
          <w:sz w:val="26"/>
          <w:szCs w:val="26"/>
        </w:rPr>
      </w:pPr>
    </w:p>
    <w:p w14:paraId="3D8BD869" w14:textId="2D4D7437" w:rsidR="00143D99" w:rsidRPr="00217AC0" w:rsidRDefault="00143D99" w:rsidP="00217AC0">
      <w:pPr>
        <w:widowControl/>
        <w:spacing w:line="360" w:lineRule="auto"/>
        <w:rPr>
          <w:rFonts w:eastAsiaTheme="minorHAnsi"/>
          <w:sz w:val="26"/>
          <w:szCs w:val="26"/>
        </w:rPr>
      </w:pPr>
      <w:r w:rsidRPr="00217AC0">
        <w:rPr>
          <w:rFonts w:eastAsiaTheme="minorHAnsi"/>
          <w:sz w:val="26"/>
          <w:szCs w:val="26"/>
        </w:rPr>
        <w:tab/>
      </w:r>
      <w:r w:rsidRPr="00217AC0">
        <w:rPr>
          <w:rFonts w:eastAsiaTheme="minorHAnsi"/>
          <w:sz w:val="26"/>
          <w:szCs w:val="26"/>
        </w:rPr>
        <w:tab/>
        <w:t xml:space="preserve">The OCA argued that the City’s water department should not be allowed to use the pro forma salary and wage rates (and corresponding adjustments to social security expenses) it is now seeking arising from the union contract that went into effective on January 1, 2021, because the claimed expenses fall outside the City’s FTY that ended December 31, 2020.  The OCA stated that the City affirmatively chose to use the selected test period, and it should not now be allowed to have it both ways by reaching beyond the FTY to further adjust salaries, </w:t>
      </w:r>
      <w:r w:rsidR="00BA587C" w:rsidRPr="00217AC0">
        <w:rPr>
          <w:rFonts w:eastAsiaTheme="minorHAnsi"/>
          <w:sz w:val="26"/>
          <w:szCs w:val="26"/>
        </w:rPr>
        <w:t>wages,</w:t>
      </w:r>
      <w:r w:rsidRPr="00217AC0">
        <w:rPr>
          <w:rFonts w:eastAsiaTheme="minorHAnsi"/>
          <w:sz w:val="26"/>
          <w:szCs w:val="26"/>
        </w:rPr>
        <w:t xml:space="preserve"> and social security expenses.  </w:t>
      </w:r>
    </w:p>
    <w:p w14:paraId="38FA091D" w14:textId="5DD25DDC" w:rsidR="00143D99" w:rsidRPr="00217AC0" w:rsidRDefault="00143D99" w:rsidP="00217AC0">
      <w:pPr>
        <w:widowControl/>
        <w:spacing w:line="360" w:lineRule="auto"/>
        <w:rPr>
          <w:rFonts w:eastAsiaTheme="minorHAnsi"/>
          <w:sz w:val="26"/>
          <w:szCs w:val="26"/>
        </w:rPr>
      </w:pPr>
    </w:p>
    <w:p w14:paraId="6B3C769F" w14:textId="533FF19B" w:rsidR="00143D99" w:rsidRPr="00217AC0" w:rsidRDefault="00143D99" w:rsidP="00217AC0">
      <w:pPr>
        <w:widowControl/>
        <w:spacing w:line="360" w:lineRule="auto"/>
        <w:ind w:firstLine="1440"/>
        <w:rPr>
          <w:rFonts w:eastAsiaTheme="minorHAnsi"/>
          <w:sz w:val="26"/>
          <w:szCs w:val="26"/>
        </w:rPr>
      </w:pPr>
      <w:r w:rsidRPr="00217AC0">
        <w:rPr>
          <w:rFonts w:eastAsiaTheme="minorHAnsi"/>
          <w:sz w:val="26"/>
          <w:szCs w:val="26"/>
        </w:rPr>
        <w:t xml:space="preserve">The OCA contended that such pro forma adjustments are improper as they violate the “matching principle,” which requires revenues and expenses to be from the same time period.  The OCA cited to </w:t>
      </w:r>
      <w:r w:rsidRPr="00217AC0">
        <w:rPr>
          <w:rFonts w:eastAsiaTheme="minorHAnsi"/>
          <w:i/>
          <w:iCs/>
          <w:sz w:val="26"/>
          <w:szCs w:val="26"/>
        </w:rPr>
        <w:t>Pa. PUC v. City of Lancaster – Sewer Fund</w:t>
      </w:r>
      <w:r w:rsidRPr="00217AC0">
        <w:rPr>
          <w:rFonts w:eastAsiaTheme="minorHAnsi"/>
          <w:sz w:val="26"/>
          <w:szCs w:val="26"/>
        </w:rPr>
        <w:t xml:space="preserve">, Docket No. R-00049862 (Order </w:t>
      </w:r>
      <w:r w:rsidR="00235949" w:rsidRPr="00217AC0">
        <w:rPr>
          <w:rFonts w:eastAsiaTheme="minorHAnsi"/>
          <w:sz w:val="26"/>
          <w:szCs w:val="26"/>
        </w:rPr>
        <w:t xml:space="preserve">entered </w:t>
      </w:r>
      <w:r w:rsidRPr="00217AC0">
        <w:rPr>
          <w:rFonts w:eastAsiaTheme="minorHAnsi"/>
          <w:sz w:val="26"/>
          <w:szCs w:val="26"/>
        </w:rPr>
        <w:t>Aug</w:t>
      </w:r>
      <w:r w:rsidR="00235949" w:rsidRPr="00217AC0">
        <w:rPr>
          <w:rFonts w:eastAsiaTheme="minorHAnsi"/>
          <w:sz w:val="26"/>
          <w:szCs w:val="26"/>
        </w:rPr>
        <w:t>ust</w:t>
      </w:r>
      <w:r w:rsidRPr="00217AC0">
        <w:rPr>
          <w:rFonts w:eastAsiaTheme="minorHAnsi"/>
          <w:sz w:val="26"/>
          <w:szCs w:val="26"/>
        </w:rPr>
        <w:t xml:space="preserve"> 26, 2005), </w:t>
      </w:r>
      <w:r w:rsidRPr="00217AC0">
        <w:rPr>
          <w:rFonts w:eastAsiaTheme="minorHAnsi"/>
          <w:i/>
          <w:iCs/>
          <w:sz w:val="26"/>
          <w:szCs w:val="26"/>
        </w:rPr>
        <w:t xml:space="preserve">aff’d </w:t>
      </w:r>
      <w:r w:rsidRPr="00217AC0">
        <w:rPr>
          <w:rFonts w:eastAsiaTheme="minorHAnsi"/>
          <w:sz w:val="26"/>
          <w:szCs w:val="26"/>
        </w:rPr>
        <w:t xml:space="preserve">in relevant part, </w:t>
      </w:r>
      <w:r w:rsidRPr="00217AC0">
        <w:rPr>
          <w:rFonts w:eastAsiaTheme="minorHAnsi"/>
          <w:i/>
          <w:iCs/>
          <w:sz w:val="26"/>
          <w:szCs w:val="26"/>
        </w:rPr>
        <w:t xml:space="preserve">rev’d </w:t>
      </w:r>
      <w:r w:rsidRPr="00217AC0">
        <w:rPr>
          <w:rFonts w:eastAsiaTheme="minorHAnsi"/>
          <w:sz w:val="26"/>
          <w:szCs w:val="26"/>
        </w:rPr>
        <w:t xml:space="preserve">in part 2006 Pa. Commw Unpub. </w:t>
      </w:r>
      <w:r w:rsidR="00C73FF8" w:rsidRPr="00217AC0">
        <w:rPr>
          <w:rFonts w:eastAsiaTheme="minorHAnsi"/>
          <w:sz w:val="26"/>
          <w:szCs w:val="26"/>
        </w:rPr>
        <w:t xml:space="preserve"> </w:t>
      </w:r>
      <w:r w:rsidRPr="00217AC0">
        <w:rPr>
          <w:rFonts w:eastAsiaTheme="minorHAnsi"/>
          <w:sz w:val="26"/>
          <w:szCs w:val="26"/>
        </w:rPr>
        <w:t xml:space="preserve">LEXIS 2 (Pa. Cmwlth. 2006), in which the Commission excluded a post-test year debt service payment that fell outside of the test year.  The OCA contended that any exception to the matching principle should not be used to justify the requested adjustment during the COVID-19 pandemic given the negative effects that the additional cost will have on ratepayers.  The OCA, therefore, concluded that the City’s salaries and wages need an overall reduction of $79,697 ($30,913 of which should be allocated to </w:t>
      </w:r>
      <w:r w:rsidR="00235949" w:rsidRPr="00217AC0">
        <w:rPr>
          <w:rFonts w:eastAsiaTheme="minorHAnsi"/>
          <w:sz w:val="26"/>
          <w:szCs w:val="26"/>
        </w:rPr>
        <w:t>o</w:t>
      </w:r>
      <w:r w:rsidRPr="00217AC0">
        <w:rPr>
          <w:rFonts w:eastAsiaTheme="minorHAnsi"/>
          <w:sz w:val="26"/>
          <w:szCs w:val="26"/>
        </w:rPr>
        <w:t xml:space="preserve">utside-City customers) and a similar corresponding reduction to social security expenses of $6,096 ($2,365 of which should be allocated to </w:t>
      </w:r>
      <w:r w:rsidR="00235949" w:rsidRPr="00217AC0">
        <w:rPr>
          <w:rFonts w:eastAsiaTheme="minorHAnsi"/>
          <w:sz w:val="26"/>
          <w:szCs w:val="26"/>
        </w:rPr>
        <w:t>o</w:t>
      </w:r>
      <w:r w:rsidRPr="00217AC0">
        <w:rPr>
          <w:rFonts w:eastAsiaTheme="minorHAnsi"/>
          <w:sz w:val="26"/>
          <w:szCs w:val="26"/>
        </w:rPr>
        <w:t>utside-City customers).  OCA M.B. 32-34 (citing</w:t>
      </w:r>
      <w:r w:rsidR="00235949" w:rsidRPr="00217AC0">
        <w:rPr>
          <w:rFonts w:eastAsiaTheme="minorHAnsi"/>
          <w:sz w:val="26"/>
          <w:szCs w:val="26"/>
        </w:rPr>
        <w:t>,</w:t>
      </w:r>
      <w:r w:rsidRPr="00217AC0">
        <w:rPr>
          <w:rFonts w:eastAsiaTheme="minorHAnsi"/>
          <w:sz w:val="26"/>
          <w:szCs w:val="26"/>
        </w:rPr>
        <w:t xml:space="preserve"> OCA St.</w:t>
      </w:r>
      <w:r w:rsidR="00235949" w:rsidRPr="00217AC0">
        <w:rPr>
          <w:rFonts w:eastAsiaTheme="minorHAnsi"/>
          <w:sz w:val="26"/>
          <w:szCs w:val="26"/>
        </w:rPr>
        <w:t xml:space="preserve"> No.</w:t>
      </w:r>
      <w:r w:rsidRPr="00217AC0">
        <w:rPr>
          <w:rFonts w:eastAsiaTheme="minorHAnsi"/>
          <w:sz w:val="26"/>
          <w:szCs w:val="26"/>
        </w:rPr>
        <w:t xml:space="preserve"> 2 at 8; OCA St. </w:t>
      </w:r>
      <w:r w:rsidR="00235949" w:rsidRPr="00217AC0">
        <w:rPr>
          <w:rFonts w:eastAsiaTheme="minorHAnsi"/>
          <w:sz w:val="26"/>
          <w:szCs w:val="26"/>
        </w:rPr>
        <w:t xml:space="preserve">No. </w:t>
      </w:r>
      <w:r w:rsidRPr="00217AC0">
        <w:rPr>
          <w:rFonts w:eastAsiaTheme="minorHAnsi"/>
          <w:sz w:val="26"/>
          <w:szCs w:val="26"/>
        </w:rPr>
        <w:t xml:space="preserve">2S at 4; </w:t>
      </w:r>
      <w:r w:rsidR="00DB3A89" w:rsidRPr="00217AC0">
        <w:rPr>
          <w:rFonts w:eastAsiaTheme="minorHAnsi"/>
          <w:sz w:val="26"/>
          <w:szCs w:val="26"/>
        </w:rPr>
        <w:t xml:space="preserve">OCA </w:t>
      </w:r>
      <w:r w:rsidRPr="00217AC0">
        <w:rPr>
          <w:rFonts w:eastAsiaTheme="minorHAnsi"/>
          <w:sz w:val="26"/>
          <w:szCs w:val="26"/>
        </w:rPr>
        <w:t>Sch</w:t>
      </w:r>
      <w:r w:rsidR="00DB3A89" w:rsidRPr="00217AC0">
        <w:rPr>
          <w:rFonts w:eastAsiaTheme="minorHAnsi"/>
          <w:sz w:val="26"/>
          <w:szCs w:val="26"/>
        </w:rPr>
        <w:t>s</w:t>
      </w:r>
      <w:r w:rsidRPr="00217AC0">
        <w:rPr>
          <w:rFonts w:eastAsiaTheme="minorHAnsi"/>
          <w:sz w:val="26"/>
          <w:szCs w:val="26"/>
        </w:rPr>
        <w:t>. SLS-4</w:t>
      </w:r>
      <w:r w:rsidR="00DB3A89" w:rsidRPr="00217AC0">
        <w:rPr>
          <w:rFonts w:eastAsiaTheme="minorHAnsi"/>
          <w:sz w:val="26"/>
          <w:szCs w:val="26"/>
        </w:rPr>
        <w:t xml:space="preserve"> and SLS-</w:t>
      </w:r>
      <w:r w:rsidRPr="00217AC0">
        <w:rPr>
          <w:rFonts w:eastAsiaTheme="minorHAnsi"/>
          <w:sz w:val="26"/>
          <w:szCs w:val="26"/>
        </w:rPr>
        <w:t>5S; and App. A.2, Table II); OCA R.B. at 22-24 (citing</w:t>
      </w:r>
      <w:r w:rsidR="00DB3A89" w:rsidRPr="00217AC0">
        <w:rPr>
          <w:rFonts w:eastAsiaTheme="minorHAnsi"/>
          <w:sz w:val="26"/>
          <w:szCs w:val="26"/>
        </w:rPr>
        <w:t>,</w:t>
      </w:r>
      <w:r w:rsidRPr="00217AC0">
        <w:rPr>
          <w:rFonts w:eastAsiaTheme="minorHAnsi"/>
          <w:sz w:val="26"/>
          <w:szCs w:val="26"/>
        </w:rPr>
        <w:t xml:space="preserve"> OCA St.</w:t>
      </w:r>
      <w:r w:rsidR="00235949" w:rsidRPr="00217AC0">
        <w:rPr>
          <w:rFonts w:eastAsiaTheme="minorHAnsi"/>
          <w:sz w:val="26"/>
          <w:szCs w:val="26"/>
        </w:rPr>
        <w:t xml:space="preserve"> No.</w:t>
      </w:r>
      <w:r w:rsidRPr="00217AC0">
        <w:rPr>
          <w:rFonts w:eastAsiaTheme="minorHAnsi"/>
          <w:sz w:val="26"/>
          <w:szCs w:val="26"/>
        </w:rPr>
        <w:t xml:space="preserve"> 1 at 26).  </w:t>
      </w:r>
    </w:p>
    <w:p w14:paraId="4AD76EC8" w14:textId="77777777" w:rsidR="00012897" w:rsidRPr="00217AC0" w:rsidRDefault="00012897" w:rsidP="00217AC0">
      <w:pPr>
        <w:widowControl/>
        <w:spacing w:line="360" w:lineRule="auto"/>
        <w:rPr>
          <w:rFonts w:eastAsiaTheme="minorHAnsi"/>
          <w:sz w:val="26"/>
          <w:szCs w:val="26"/>
        </w:rPr>
      </w:pPr>
    </w:p>
    <w:p w14:paraId="45C1D7DB" w14:textId="77777777" w:rsidR="00012897" w:rsidRPr="00217AC0" w:rsidRDefault="00012897" w:rsidP="00217AC0">
      <w:pPr>
        <w:pStyle w:val="Heading3"/>
        <w:keepNext/>
        <w:ind w:left="1440" w:hanging="720"/>
        <w:rPr>
          <w:rFonts w:eastAsiaTheme="minorHAnsi"/>
        </w:rPr>
      </w:pPr>
      <w:bookmarkStart w:id="80" w:name="_Toc69230552"/>
      <w:r w:rsidRPr="00217AC0">
        <w:rPr>
          <w:rFonts w:eastAsiaTheme="minorHAnsi"/>
        </w:rPr>
        <w:lastRenderedPageBreak/>
        <w:t>Recommended Decision</w:t>
      </w:r>
      <w:bookmarkEnd w:id="80"/>
    </w:p>
    <w:p w14:paraId="3882C74C" w14:textId="73AC6697" w:rsidR="00012897" w:rsidRPr="00217AC0" w:rsidRDefault="00012897" w:rsidP="00217AC0">
      <w:pPr>
        <w:keepNext/>
        <w:widowControl/>
        <w:spacing w:line="360" w:lineRule="auto"/>
        <w:ind w:left="1440" w:hanging="720"/>
        <w:rPr>
          <w:rFonts w:eastAsiaTheme="minorHAnsi"/>
          <w:sz w:val="26"/>
          <w:szCs w:val="26"/>
        </w:rPr>
      </w:pPr>
    </w:p>
    <w:p w14:paraId="37E8AD56" w14:textId="12ADCFE0" w:rsidR="00274BBF" w:rsidRPr="00217AC0" w:rsidRDefault="00651135" w:rsidP="00217AC0">
      <w:pPr>
        <w:keepNext/>
        <w:widowControl/>
        <w:spacing w:line="360" w:lineRule="auto"/>
        <w:ind w:firstLine="1440"/>
        <w:rPr>
          <w:rFonts w:eastAsiaTheme="minorHAnsi"/>
          <w:sz w:val="26"/>
          <w:szCs w:val="26"/>
        </w:rPr>
      </w:pPr>
      <w:r w:rsidRPr="00217AC0">
        <w:rPr>
          <w:rFonts w:eastAsiaTheme="minorHAnsi"/>
          <w:sz w:val="26"/>
          <w:szCs w:val="26"/>
        </w:rPr>
        <w:t>The ALJ found that no adjustment to salaries and wages or social security expenses are necessary if the Settlement is approved as the Joint Petitioners did not agree to any individual expense claim.  However, if the Commission finds that a determination must be made as to whether adjustments to these individual expense claims are necessary, the ALJ recommended that the City’s position should be adopted and that no adjustment be made to the salaries and wages or social security expense claims.  According to the ALJ, an exception should be made to the “matching principle” for the union contract expense because the expense is known, measurable and certain to occur.  The ALJ found that this conclusion is consistent with prior Commission rate proceedings permitting salary increases to take effect one day after the end of the FTY when based on a union contract, and that applying the “business-as-usual” approach further supports this result despite the existence of the COVID-19 pandemic.  R.D. at 36-37.</w:t>
      </w:r>
    </w:p>
    <w:p w14:paraId="0C24872E" w14:textId="77777777" w:rsidR="00012897" w:rsidRPr="00217AC0" w:rsidRDefault="00012897" w:rsidP="00217AC0">
      <w:pPr>
        <w:widowControl/>
        <w:spacing w:line="360" w:lineRule="auto"/>
        <w:ind w:left="1440" w:hanging="720"/>
        <w:rPr>
          <w:rFonts w:eastAsiaTheme="minorHAnsi"/>
          <w:sz w:val="26"/>
          <w:szCs w:val="26"/>
        </w:rPr>
      </w:pPr>
    </w:p>
    <w:p w14:paraId="706297A5" w14:textId="2F8E374A" w:rsidR="00012897" w:rsidRPr="00217AC0" w:rsidRDefault="00416865" w:rsidP="00217AC0">
      <w:pPr>
        <w:pStyle w:val="Heading3"/>
        <w:keepNext/>
        <w:ind w:left="1440" w:hanging="720"/>
        <w:rPr>
          <w:rFonts w:eastAsiaTheme="minorHAnsi"/>
        </w:rPr>
      </w:pPr>
      <w:bookmarkStart w:id="81" w:name="_Toc69230553"/>
      <w:r w:rsidRPr="00217AC0">
        <w:rPr>
          <w:rFonts w:eastAsiaTheme="minorHAnsi"/>
        </w:rPr>
        <w:t xml:space="preserve">OCA </w:t>
      </w:r>
      <w:r w:rsidR="00012897" w:rsidRPr="00217AC0">
        <w:rPr>
          <w:rFonts w:eastAsiaTheme="minorHAnsi"/>
        </w:rPr>
        <w:t>Exception</w:t>
      </w:r>
      <w:r w:rsidRPr="00217AC0">
        <w:rPr>
          <w:rFonts w:eastAsiaTheme="minorHAnsi"/>
        </w:rPr>
        <w:t xml:space="preserve"> No. 3 </w:t>
      </w:r>
      <w:r w:rsidR="00012897" w:rsidRPr="00217AC0">
        <w:rPr>
          <w:rFonts w:eastAsiaTheme="minorHAnsi"/>
        </w:rPr>
        <w:t>and Replies</w:t>
      </w:r>
      <w:bookmarkEnd w:id="81"/>
    </w:p>
    <w:p w14:paraId="11608E07" w14:textId="5BDB7278" w:rsidR="00012897" w:rsidRPr="00217AC0" w:rsidRDefault="00012897" w:rsidP="00217AC0">
      <w:pPr>
        <w:keepNext/>
        <w:widowControl/>
        <w:spacing w:line="360" w:lineRule="auto"/>
        <w:ind w:left="1440" w:hanging="720"/>
        <w:rPr>
          <w:rFonts w:eastAsiaTheme="minorHAnsi"/>
          <w:sz w:val="26"/>
          <w:szCs w:val="26"/>
        </w:rPr>
      </w:pPr>
    </w:p>
    <w:p w14:paraId="25F07ECE" w14:textId="2A45DCF2" w:rsidR="00651135" w:rsidRPr="00217AC0" w:rsidRDefault="00651135" w:rsidP="00217AC0">
      <w:pPr>
        <w:keepNext/>
        <w:widowControl/>
        <w:spacing w:line="360" w:lineRule="auto"/>
        <w:ind w:firstLine="1440"/>
        <w:rPr>
          <w:rFonts w:eastAsiaTheme="minorHAnsi"/>
          <w:sz w:val="26"/>
          <w:szCs w:val="26"/>
        </w:rPr>
      </w:pPr>
      <w:r w:rsidRPr="00217AC0">
        <w:rPr>
          <w:rFonts w:eastAsiaTheme="minorHAnsi"/>
          <w:sz w:val="26"/>
          <w:szCs w:val="26"/>
        </w:rPr>
        <w:t xml:space="preserve">In its Exception No. 3, the OCA asserts that the ALJ improperly applied an exception to the matching principle in this case, which requires revenues and expenses to be from the same test period, by allowing the City to include an increase in union contract wages and related social security costs in the FTY (2020) that was not scheduled to go into effect until January 1, 2021.  The OCA argues that the City should not benefit from its decision to use a test period that did not include the effective date of the new union contract.  Further, while the ALJ relies on a “business-as-usual” approach as the justification for not taking the COVID-19 pandemic into account when deciding whether to grant the exception, the OCA argues that denying the exception and applying a “business-as-usual” approach are not mutually exclusive.  The OCA concludes that the City’s customers are facing real financial hardship because of this pandemic; and, therefore, the Commission should not apply the exception to the matching principle given </w:t>
      </w:r>
      <w:r w:rsidRPr="00217AC0">
        <w:rPr>
          <w:rFonts w:eastAsiaTheme="minorHAnsi"/>
          <w:sz w:val="26"/>
          <w:szCs w:val="26"/>
        </w:rPr>
        <w:lastRenderedPageBreak/>
        <w:t>the negative effects that applying the new union contract rates will have on ratepayers.  OCA Exc. at 28-29 (citing, OCA St. No. 1 at 26; OCA M.B. at 32-34; OCA R.B. at</w:t>
      </w:r>
      <w:r w:rsidR="00F07D28">
        <w:rPr>
          <w:rFonts w:eastAsiaTheme="minorHAnsi"/>
          <w:sz w:val="26"/>
          <w:szCs w:val="26"/>
        </w:rPr>
        <w:t> </w:t>
      </w:r>
      <w:r w:rsidRPr="00217AC0">
        <w:rPr>
          <w:rFonts w:eastAsiaTheme="minorHAnsi"/>
          <w:sz w:val="26"/>
          <w:szCs w:val="26"/>
        </w:rPr>
        <w:t>22</w:t>
      </w:r>
      <w:r w:rsidR="00EF6904" w:rsidRPr="00217AC0">
        <w:rPr>
          <w:rFonts w:eastAsiaTheme="minorHAnsi"/>
          <w:sz w:val="26"/>
          <w:szCs w:val="26"/>
        </w:rPr>
        <w:noBreakHyphen/>
      </w:r>
      <w:r w:rsidRPr="00217AC0">
        <w:rPr>
          <w:rFonts w:eastAsiaTheme="minorHAnsi"/>
          <w:sz w:val="26"/>
          <w:szCs w:val="26"/>
        </w:rPr>
        <w:t>23).</w:t>
      </w:r>
    </w:p>
    <w:p w14:paraId="163D72B1" w14:textId="77777777" w:rsidR="00651135" w:rsidRPr="00217AC0" w:rsidRDefault="00651135" w:rsidP="00217AC0">
      <w:pPr>
        <w:widowControl/>
        <w:spacing w:line="360" w:lineRule="auto"/>
        <w:ind w:firstLine="1440"/>
        <w:rPr>
          <w:rFonts w:eastAsiaTheme="minorHAnsi"/>
          <w:sz w:val="26"/>
          <w:szCs w:val="26"/>
        </w:rPr>
      </w:pPr>
    </w:p>
    <w:p w14:paraId="4E65B037" w14:textId="5AC55A4E" w:rsidR="00651135" w:rsidRPr="00217AC0" w:rsidRDefault="00651135" w:rsidP="00217AC0">
      <w:pPr>
        <w:widowControl/>
        <w:spacing w:line="360" w:lineRule="auto"/>
        <w:ind w:firstLine="1440"/>
        <w:rPr>
          <w:rFonts w:eastAsiaTheme="minorHAnsi"/>
          <w:sz w:val="26"/>
          <w:szCs w:val="26"/>
        </w:rPr>
      </w:pPr>
      <w:r w:rsidRPr="00217AC0">
        <w:rPr>
          <w:rFonts w:eastAsiaTheme="minorHAnsi"/>
          <w:sz w:val="26"/>
          <w:szCs w:val="26"/>
        </w:rPr>
        <w:t>In its Reply, the City submits that the ALJ was correct to accept the City’s claim for the increase in union contract wage and social security expenses effective January 1, 2021, one day after the end of the 2020 calendar year test period.  The City states that the Recommended Decision is consistent with past Commission decisions on this issue since the increases are known, measurable and certain to occur as they are required by union contract.  City R. Exc. at 15 (citing, R.D. at 34-37).</w:t>
      </w:r>
    </w:p>
    <w:p w14:paraId="40356A66" w14:textId="77777777" w:rsidR="00012897" w:rsidRPr="00217AC0" w:rsidRDefault="00012897" w:rsidP="00217AC0">
      <w:pPr>
        <w:widowControl/>
        <w:spacing w:line="360" w:lineRule="auto"/>
        <w:rPr>
          <w:rFonts w:eastAsiaTheme="minorHAnsi"/>
          <w:sz w:val="26"/>
          <w:szCs w:val="26"/>
        </w:rPr>
      </w:pPr>
    </w:p>
    <w:p w14:paraId="2BC917F4" w14:textId="5244DBB4" w:rsidR="00332DCF" w:rsidRPr="00217AC0" w:rsidRDefault="00012897" w:rsidP="00217AC0">
      <w:pPr>
        <w:pStyle w:val="Heading3"/>
        <w:keepNext/>
        <w:ind w:left="1440" w:hanging="720"/>
        <w:rPr>
          <w:rFonts w:eastAsiaTheme="minorHAnsi"/>
        </w:rPr>
      </w:pPr>
      <w:bookmarkStart w:id="82" w:name="_Toc69230554"/>
      <w:r w:rsidRPr="00217AC0">
        <w:rPr>
          <w:rFonts w:eastAsiaTheme="minorHAnsi"/>
        </w:rPr>
        <w:t>Disposition</w:t>
      </w:r>
      <w:bookmarkEnd w:id="82"/>
    </w:p>
    <w:p w14:paraId="4209330B" w14:textId="77777777" w:rsidR="00F06C76" w:rsidRPr="00217AC0" w:rsidRDefault="00F06C76" w:rsidP="00217AC0">
      <w:pPr>
        <w:keepNext/>
        <w:widowControl/>
        <w:spacing w:line="360" w:lineRule="auto"/>
        <w:ind w:firstLine="1440"/>
        <w:rPr>
          <w:sz w:val="26"/>
          <w:szCs w:val="26"/>
        </w:rPr>
      </w:pPr>
    </w:p>
    <w:p w14:paraId="589742B8" w14:textId="372C8C2F" w:rsidR="000B6E81" w:rsidRPr="00217AC0" w:rsidRDefault="00651135" w:rsidP="00217AC0">
      <w:pPr>
        <w:keepNext/>
        <w:widowControl/>
        <w:spacing w:line="360" w:lineRule="auto"/>
        <w:ind w:firstLine="1440"/>
        <w:rPr>
          <w:sz w:val="26"/>
          <w:szCs w:val="26"/>
        </w:rPr>
      </w:pPr>
      <w:r w:rsidRPr="00217AC0">
        <w:rPr>
          <w:sz w:val="26"/>
          <w:szCs w:val="26"/>
        </w:rPr>
        <w:t>We agree with the ALJ’s recommendation that no adjustments to the salar</w:t>
      </w:r>
      <w:r w:rsidR="00553CD1" w:rsidRPr="00217AC0">
        <w:rPr>
          <w:sz w:val="26"/>
          <w:szCs w:val="26"/>
        </w:rPr>
        <w:t>ies and</w:t>
      </w:r>
      <w:r w:rsidRPr="00217AC0">
        <w:rPr>
          <w:sz w:val="26"/>
          <w:szCs w:val="26"/>
        </w:rPr>
        <w:t xml:space="preserve"> wage</w:t>
      </w:r>
      <w:r w:rsidR="00553CD1" w:rsidRPr="00217AC0">
        <w:rPr>
          <w:sz w:val="26"/>
          <w:szCs w:val="26"/>
        </w:rPr>
        <w:t xml:space="preserve"> or</w:t>
      </w:r>
      <w:r w:rsidRPr="00217AC0">
        <w:rPr>
          <w:sz w:val="26"/>
          <w:szCs w:val="26"/>
        </w:rPr>
        <w:t xml:space="preserve"> social security expense claims are necessary.  As the ALJ found, there a</w:t>
      </w:r>
      <w:r w:rsidR="00772B36" w:rsidRPr="00217AC0">
        <w:rPr>
          <w:sz w:val="26"/>
          <w:szCs w:val="26"/>
        </w:rPr>
        <w:t xml:space="preserve">re </w:t>
      </w:r>
      <w:r w:rsidR="00806D9B" w:rsidRPr="00217AC0">
        <w:rPr>
          <w:sz w:val="26"/>
          <w:szCs w:val="26"/>
        </w:rPr>
        <w:t>a</w:t>
      </w:r>
      <w:r w:rsidRPr="00217AC0">
        <w:rPr>
          <w:sz w:val="26"/>
          <w:szCs w:val="26"/>
        </w:rPr>
        <w:t xml:space="preserve"> number of Commission decisions that have allowed salary and wage increases, as well as the corresponding social security increases, after the end of the </w:t>
      </w:r>
      <w:r w:rsidR="00553CD1" w:rsidRPr="00217AC0">
        <w:rPr>
          <w:sz w:val="26"/>
          <w:szCs w:val="26"/>
        </w:rPr>
        <w:t>FTY</w:t>
      </w:r>
      <w:r w:rsidRPr="00217AC0">
        <w:rPr>
          <w:sz w:val="26"/>
          <w:szCs w:val="26"/>
        </w:rPr>
        <w:t xml:space="preserve"> when the increases are the result of a union contract.  The Commission has regularly allowed such post-test year union contract increases because they are known and measurable and will be in effect during the period that rates established in the proceeding are in force.  However, where the proposed post-test year increase is based on anticipatory or estimated expense changes, the Commission has routinely disallowed those increases under the matching principle.  </w:t>
      </w:r>
      <w:r w:rsidR="000B6E81" w:rsidRPr="00217AC0">
        <w:rPr>
          <w:sz w:val="26"/>
          <w:szCs w:val="26"/>
        </w:rPr>
        <w:t>Furthermore, as it challenges an individual rate component, which is not determinative to our disposition approving the Settlement, the OCA’s Exception No. 3 is rendered immaterial, and therefore denied.</w:t>
      </w:r>
    </w:p>
    <w:p w14:paraId="23C008DE" w14:textId="77777777" w:rsidR="00651135" w:rsidRPr="00217AC0" w:rsidRDefault="00651135" w:rsidP="00217AC0">
      <w:pPr>
        <w:widowControl/>
        <w:spacing w:line="360" w:lineRule="auto"/>
        <w:rPr>
          <w:sz w:val="26"/>
          <w:szCs w:val="26"/>
        </w:rPr>
      </w:pPr>
    </w:p>
    <w:p w14:paraId="5B7D766E" w14:textId="3A69A4E0" w:rsidR="00683ABA" w:rsidRPr="00217AC0" w:rsidRDefault="00683ABA" w:rsidP="00217AC0">
      <w:pPr>
        <w:pStyle w:val="Heading2"/>
        <w:widowControl/>
        <w:ind w:hanging="720"/>
      </w:pPr>
      <w:bookmarkStart w:id="83" w:name="_Toc69230555"/>
      <w:r w:rsidRPr="00217AC0">
        <w:lastRenderedPageBreak/>
        <w:t>East Allen Township</w:t>
      </w:r>
      <w:r w:rsidR="00E92274" w:rsidRPr="00217AC0">
        <w:t xml:space="preserve"> Equipment Maintenance</w:t>
      </w:r>
      <w:r w:rsidRPr="00217AC0">
        <w:t xml:space="preserve"> Expense</w:t>
      </w:r>
      <w:bookmarkEnd w:id="83"/>
    </w:p>
    <w:p w14:paraId="51B492C1" w14:textId="20E96E7F" w:rsidR="00683ABA" w:rsidRPr="00217AC0" w:rsidRDefault="00683ABA" w:rsidP="00217AC0">
      <w:pPr>
        <w:keepNext/>
        <w:widowControl/>
        <w:spacing w:line="360" w:lineRule="auto"/>
        <w:rPr>
          <w:sz w:val="26"/>
          <w:szCs w:val="26"/>
        </w:rPr>
      </w:pPr>
    </w:p>
    <w:p w14:paraId="6C40B651" w14:textId="77777777" w:rsidR="00012897" w:rsidRPr="00217AC0" w:rsidRDefault="00012897" w:rsidP="00217AC0">
      <w:pPr>
        <w:pStyle w:val="Heading3"/>
        <w:keepNext/>
        <w:numPr>
          <w:ilvl w:val="0"/>
          <w:numId w:val="18"/>
        </w:numPr>
        <w:tabs>
          <w:tab w:val="num" w:pos="360"/>
        </w:tabs>
        <w:ind w:left="1440" w:hanging="720"/>
        <w:rPr>
          <w:rFonts w:eastAsiaTheme="minorHAnsi"/>
        </w:rPr>
      </w:pPr>
      <w:bookmarkStart w:id="84" w:name="_Toc69230556"/>
      <w:r w:rsidRPr="00217AC0">
        <w:rPr>
          <w:rFonts w:eastAsiaTheme="minorHAnsi"/>
        </w:rPr>
        <w:t>Positions of the Parties</w:t>
      </w:r>
      <w:bookmarkEnd w:id="84"/>
    </w:p>
    <w:p w14:paraId="099F2323" w14:textId="77777777" w:rsidR="00012897" w:rsidRPr="00217AC0" w:rsidRDefault="00012897" w:rsidP="00217AC0">
      <w:pPr>
        <w:keepNext/>
        <w:widowControl/>
        <w:spacing w:line="360" w:lineRule="auto"/>
        <w:rPr>
          <w:rFonts w:eastAsiaTheme="minorHAnsi"/>
          <w:sz w:val="26"/>
          <w:szCs w:val="26"/>
        </w:rPr>
      </w:pPr>
    </w:p>
    <w:p w14:paraId="56FB1007" w14:textId="19DC604A" w:rsidR="00C32E4D" w:rsidRPr="00217AC0" w:rsidRDefault="00C32E4D" w:rsidP="00217AC0">
      <w:pPr>
        <w:keepNext/>
        <w:widowControl/>
        <w:spacing w:line="360" w:lineRule="auto"/>
        <w:ind w:firstLine="1440"/>
        <w:rPr>
          <w:rFonts w:eastAsiaTheme="minorHAnsi"/>
          <w:sz w:val="26"/>
          <w:szCs w:val="26"/>
        </w:rPr>
      </w:pPr>
      <w:r w:rsidRPr="00217AC0">
        <w:rPr>
          <w:rFonts w:eastAsiaTheme="minorHAnsi"/>
          <w:sz w:val="26"/>
          <w:szCs w:val="26"/>
        </w:rPr>
        <w:t xml:space="preserve">The City made a claim of $225,171 for the East Allen Township expense of which there are several subcategories.  </w:t>
      </w:r>
      <w:r w:rsidR="00531519" w:rsidRPr="00217AC0">
        <w:rPr>
          <w:rFonts w:eastAsiaTheme="minorHAnsi"/>
          <w:sz w:val="26"/>
          <w:szCs w:val="26"/>
        </w:rPr>
        <w:t>City Exh. CEH-1R at 7</w:t>
      </w:r>
      <w:r w:rsidR="00B627F6" w:rsidRPr="00217AC0">
        <w:rPr>
          <w:rFonts w:eastAsiaTheme="minorHAnsi"/>
          <w:sz w:val="26"/>
          <w:szCs w:val="26"/>
        </w:rPr>
        <w:t>; I&amp;E Exh. 1, Sch. 6 at 6</w:t>
      </w:r>
      <w:r w:rsidRPr="00217AC0">
        <w:rPr>
          <w:rFonts w:eastAsiaTheme="minorHAnsi"/>
          <w:sz w:val="26"/>
          <w:szCs w:val="26"/>
        </w:rPr>
        <w:t xml:space="preserve">.  Only one of the subcategories, the “equipment maintenance expense” totaling $34,605, remains in dispute.  The City’s claim for the equipment maintenance expense is based on the expense actually incurred during 2019.  The City stated that the equipment maintenance expense incurred in 2019 was the result of emergency repairs performed by the City.  While admitting that the expense incurred in 2019 was higher than the previous two years, the City argued that it experiences emergency equipment repairs every year in order to maintain its aging infrastructure.  The City asserted, therefore, that the emergency maintenance expenses actually incurred in 2019 are just and reasonable and should be accepted on a going-forward basis.  City M.B. at 29. </w:t>
      </w:r>
    </w:p>
    <w:p w14:paraId="78A2B76E" w14:textId="77777777" w:rsidR="00C32E4D" w:rsidRPr="00217AC0" w:rsidRDefault="00C32E4D" w:rsidP="00217AC0">
      <w:pPr>
        <w:widowControl/>
        <w:spacing w:line="360" w:lineRule="auto"/>
        <w:ind w:firstLine="1440"/>
        <w:rPr>
          <w:rFonts w:eastAsiaTheme="minorHAnsi"/>
          <w:sz w:val="26"/>
          <w:szCs w:val="26"/>
        </w:rPr>
      </w:pPr>
    </w:p>
    <w:p w14:paraId="1563DD77" w14:textId="7075A6CC" w:rsidR="00C32E4D" w:rsidRPr="00217AC0" w:rsidRDefault="00C32E4D" w:rsidP="00217AC0">
      <w:pPr>
        <w:widowControl/>
        <w:spacing w:line="360" w:lineRule="auto"/>
        <w:ind w:firstLine="1440"/>
        <w:rPr>
          <w:rFonts w:eastAsiaTheme="minorHAnsi"/>
          <w:sz w:val="26"/>
          <w:szCs w:val="26"/>
        </w:rPr>
      </w:pPr>
      <w:r w:rsidRPr="00217AC0">
        <w:rPr>
          <w:rFonts w:eastAsiaTheme="minorHAnsi"/>
          <w:sz w:val="26"/>
          <w:szCs w:val="26"/>
        </w:rPr>
        <w:t xml:space="preserve">In regard to the disputed East Allen Township equipment maintenance expense, the OCA disagreed with the City’s position that the expense should be adjusted based on the 2019 expense level alone, arguing that the City presented no evidence to support its assertion that the 2019 level is representative of the expense on a going-forward basis.  Rather, the OCA argued that the ratemaking technique of “normalization” is appropriate here to smooth out the effects of a regularly occurring expense but at differing amounts so that the expense can be fairly recovered on an annual basis, citing </w:t>
      </w:r>
      <w:r w:rsidRPr="00217AC0">
        <w:rPr>
          <w:rFonts w:eastAsiaTheme="minorHAnsi"/>
          <w:i/>
          <w:iCs/>
          <w:sz w:val="26"/>
          <w:szCs w:val="26"/>
        </w:rPr>
        <w:t xml:space="preserve">Pa. PUC v. Total Environmental Solutions, Inc., </w:t>
      </w:r>
      <w:r w:rsidRPr="00217AC0">
        <w:rPr>
          <w:rFonts w:eastAsiaTheme="minorHAnsi"/>
          <w:sz w:val="26"/>
          <w:szCs w:val="26"/>
        </w:rPr>
        <w:t xml:space="preserve">2008 Pa. PUC. LEXIS 42, *98 (2008) and James H. Cawley &amp; Norman J. Kennard, </w:t>
      </w:r>
      <w:r w:rsidRPr="00217AC0">
        <w:rPr>
          <w:rFonts w:eastAsiaTheme="minorHAnsi"/>
          <w:i/>
          <w:iCs/>
          <w:sz w:val="26"/>
          <w:szCs w:val="26"/>
        </w:rPr>
        <w:t>A Guide to Utility Ratemaking</w:t>
      </w:r>
      <w:r w:rsidRPr="00217AC0">
        <w:rPr>
          <w:rFonts w:eastAsiaTheme="minorHAnsi"/>
          <w:sz w:val="26"/>
          <w:szCs w:val="26"/>
        </w:rPr>
        <w:t xml:space="preserve"> at 86 (2018 ed.), in support of its position.  OCA M.B. at 35-36.  </w:t>
      </w:r>
    </w:p>
    <w:p w14:paraId="3333E44A" w14:textId="77777777" w:rsidR="00C32E4D" w:rsidRPr="00217AC0" w:rsidRDefault="00C32E4D" w:rsidP="00217AC0">
      <w:pPr>
        <w:widowControl/>
        <w:spacing w:line="360" w:lineRule="auto"/>
        <w:ind w:firstLine="1440"/>
        <w:rPr>
          <w:rFonts w:eastAsiaTheme="minorHAnsi"/>
          <w:sz w:val="26"/>
          <w:szCs w:val="26"/>
        </w:rPr>
      </w:pPr>
    </w:p>
    <w:p w14:paraId="68C9BE5A" w14:textId="2CC09BCE" w:rsidR="00C32E4D" w:rsidRPr="00217AC0" w:rsidRDefault="00C32E4D" w:rsidP="00217AC0">
      <w:pPr>
        <w:widowControl/>
        <w:spacing w:line="360" w:lineRule="auto"/>
        <w:ind w:firstLine="1440"/>
        <w:rPr>
          <w:rFonts w:eastAsiaTheme="minorHAnsi"/>
          <w:sz w:val="26"/>
          <w:szCs w:val="26"/>
        </w:rPr>
      </w:pPr>
      <w:r w:rsidRPr="00217AC0">
        <w:rPr>
          <w:rFonts w:eastAsiaTheme="minorHAnsi"/>
          <w:sz w:val="26"/>
          <w:szCs w:val="26"/>
        </w:rPr>
        <w:t>As such, the OCA’s expert</w:t>
      </w:r>
      <w:r w:rsidR="003B169F" w:rsidRPr="00217AC0">
        <w:rPr>
          <w:rFonts w:eastAsiaTheme="minorHAnsi"/>
          <w:sz w:val="26"/>
          <w:szCs w:val="26"/>
        </w:rPr>
        <w:t>,</w:t>
      </w:r>
      <w:r w:rsidRPr="00217AC0">
        <w:rPr>
          <w:rFonts w:eastAsiaTheme="minorHAnsi"/>
          <w:sz w:val="26"/>
          <w:szCs w:val="26"/>
        </w:rPr>
        <w:t xml:space="preserve"> Ms. Sherwood</w:t>
      </w:r>
      <w:r w:rsidR="003B169F" w:rsidRPr="00217AC0">
        <w:rPr>
          <w:rFonts w:eastAsiaTheme="minorHAnsi"/>
          <w:sz w:val="26"/>
          <w:szCs w:val="26"/>
        </w:rPr>
        <w:t>,</w:t>
      </w:r>
      <w:r w:rsidRPr="00217AC0">
        <w:rPr>
          <w:rFonts w:eastAsiaTheme="minorHAnsi"/>
          <w:sz w:val="26"/>
          <w:szCs w:val="26"/>
        </w:rPr>
        <w:t xml:space="preserve"> recommended that the FTY be adjusted to reflect the normalized expense over a three-year period, 2017 through 2019.  </w:t>
      </w:r>
      <w:r w:rsidRPr="00217AC0">
        <w:rPr>
          <w:rFonts w:eastAsiaTheme="minorHAnsi"/>
          <w:sz w:val="26"/>
          <w:szCs w:val="26"/>
        </w:rPr>
        <w:lastRenderedPageBreak/>
        <w:t xml:space="preserve">Ms. Sherwood used the actual expense levels for the three years ($4,048, $11,648, and $34,605, respectively) and normalized them to account for any fluctuations, including one-time expenses in the equipment maintenance expense.  As a result, Ms. Sherwood adjusted this expense in the amount of $17,838, of which $6,586 is allocated to </w:t>
      </w:r>
      <w:r w:rsidR="003B169F" w:rsidRPr="00217AC0">
        <w:rPr>
          <w:rFonts w:eastAsiaTheme="minorHAnsi"/>
          <w:sz w:val="26"/>
          <w:szCs w:val="26"/>
        </w:rPr>
        <w:t>o</w:t>
      </w:r>
      <w:r w:rsidRPr="00217AC0">
        <w:rPr>
          <w:rFonts w:eastAsiaTheme="minorHAnsi"/>
          <w:sz w:val="26"/>
          <w:szCs w:val="26"/>
        </w:rPr>
        <w:t>utside</w:t>
      </w:r>
      <w:r w:rsidR="003B169F" w:rsidRPr="00217AC0">
        <w:rPr>
          <w:rFonts w:eastAsiaTheme="minorHAnsi"/>
          <w:sz w:val="26"/>
          <w:szCs w:val="26"/>
        </w:rPr>
        <w:t>-</w:t>
      </w:r>
      <w:r w:rsidRPr="00217AC0">
        <w:rPr>
          <w:rFonts w:eastAsiaTheme="minorHAnsi"/>
          <w:sz w:val="26"/>
          <w:szCs w:val="26"/>
        </w:rPr>
        <w:t xml:space="preserve">City customers.  </w:t>
      </w:r>
      <w:r w:rsidRPr="00217AC0">
        <w:rPr>
          <w:rFonts w:eastAsiaTheme="minorHAnsi"/>
          <w:i/>
          <w:iCs/>
          <w:sz w:val="26"/>
          <w:szCs w:val="26"/>
        </w:rPr>
        <w:t xml:space="preserve">Id. </w:t>
      </w:r>
      <w:r w:rsidRPr="00217AC0">
        <w:rPr>
          <w:rFonts w:eastAsiaTheme="minorHAnsi"/>
          <w:sz w:val="26"/>
          <w:szCs w:val="26"/>
        </w:rPr>
        <w:t>(citing</w:t>
      </w:r>
      <w:r w:rsidR="003B169F" w:rsidRPr="00217AC0">
        <w:rPr>
          <w:rFonts w:eastAsiaTheme="minorHAnsi"/>
          <w:sz w:val="26"/>
          <w:szCs w:val="26"/>
        </w:rPr>
        <w:t>,</w:t>
      </w:r>
      <w:r w:rsidRPr="00217AC0">
        <w:rPr>
          <w:rFonts w:eastAsiaTheme="minorHAnsi"/>
          <w:sz w:val="26"/>
          <w:szCs w:val="26"/>
        </w:rPr>
        <w:t xml:space="preserve"> OCA St.</w:t>
      </w:r>
      <w:r w:rsidR="003B169F" w:rsidRPr="00217AC0">
        <w:rPr>
          <w:rFonts w:eastAsiaTheme="minorHAnsi"/>
          <w:sz w:val="26"/>
          <w:szCs w:val="26"/>
        </w:rPr>
        <w:t xml:space="preserve"> No.</w:t>
      </w:r>
      <w:r w:rsidRPr="00217AC0">
        <w:rPr>
          <w:rFonts w:eastAsiaTheme="minorHAnsi"/>
          <w:sz w:val="26"/>
          <w:szCs w:val="26"/>
        </w:rPr>
        <w:t xml:space="preserve"> 2S at 6; </w:t>
      </w:r>
      <w:r w:rsidR="003B169F" w:rsidRPr="00217AC0">
        <w:rPr>
          <w:rFonts w:eastAsiaTheme="minorHAnsi"/>
          <w:sz w:val="26"/>
          <w:szCs w:val="26"/>
        </w:rPr>
        <w:t xml:space="preserve">OCA </w:t>
      </w:r>
      <w:r w:rsidRPr="00217AC0">
        <w:rPr>
          <w:rFonts w:eastAsiaTheme="minorHAnsi"/>
          <w:sz w:val="26"/>
          <w:szCs w:val="26"/>
        </w:rPr>
        <w:t>Sch. SLS-3S)</w:t>
      </w:r>
      <w:r w:rsidR="003B169F" w:rsidRPr="00217AC0">
        <w:rPr>
          <w:rFonts w:eastAsiaTheme="minorHAnsi"/>
          <w:sz w:val="26"/>
          <w:szCs w:val="26"/>
        </w:rPr>
        <w:t>.</w:t>
      </w:r>
    </w:p>
    <w:p w14:paraId="0BC10FD7" w14:textId="77777777" w:rsidR="00C32E4D" w:rsidRPr="00217AC0" w:rsidRDefault="00C32E4D" w:rsidP="00217AC0">
      <w:pPr>
        <w:widowControl/>
        <w:spacing w:line="360" w:lineRule="auto"/>
        <w:rPr>
          <w:rFonts w:eastAsiaTheme="minorHAnsi"/>
          <w:sz w:val="26"/>
          <w:szCs w:val="26"/>
        </w:rPr>
      </w:pPr>
    </w:p>
    <w:p w14:paraId="417F97C9" w14:textId="77777777" w:rsidR="00012897" w:rsidRPr="00217AC0" w:rsidRDefault="00012897" w:rsidP="00217AC0">
      <w:pPr>
        <w:pStyle w:val="Heading3"/>
        <w:keepNext/>
        <w:ind w:left="1440" w:hanging="720"/>
        <w:rPr>
          <w:rFonts w:eastAsiaTheme="minorHAnsi"/>
        </w:rPr>
      </w:pPr>
      <w:bookmarkStart w:id="85" w:name="_Toc69230557"/>
      <w:r w:rsidRPr="00217AC0">
        <w:rPr>
          <w:rFonts w:eastAsiaTheme="minorHAnsi"/>
        </w:rPr>
        <w:t>Recommended Decision</w:t>
      </w:r>
      <w:bookmarkEnd w:id="85"/>
    </w:p>
    <w:p w14:paraId="56EEC938" w14:textId="77777777" w:rsidR="00012897" w:rsidRPr="00217AC0" w:rsidRDefault="00012897" w:rsidP="00217AC0">
      <w:pPr>
        <w:keepNext/>
        <w:widowControl/>
        <w:spacing w:line="360" w:lineRule="auto"/>
        <w:ind w:left="1440" w:hanging="720"/>
        <w:rPr>
          <w:rFonts w:eastAsiaTheme="minorHAnsi"/>
          <w:sz w:val="26"/>
          <w:szCs w:val="26"/>
        </w:rPr>
      </w:pPr>
    </w:p>
    <w:p w14:paraId="21AA42F6" w14:textId="08761DFE" w:rsidR="00012897" w:rsidRPr="00217AC0" w:rsidRDefault="003B169F" w:rsidP="00217AC0">
      <w:pPr>
        <w:keepNext/>
        <w:widowControl/>
        <w:spacing w:line="360" w:lineRule="auto"/>
        <w:ind w:firstLine="1440"/>
        <w:rPr>
          <w:rFonts w:eastAsiaTheme="minorHAnsi"/>
          <w:sz w:val="26"/>
          <w:szCs w:val="26"/>
        </w:rPr>
      </w:pPr>
      <w:r w:rsidRPr="00217AC0">
        <w:rPr>
          <w:rFonts w:eastAsiaTheme="minorHAnsi"/>
          <w:sz w:val="26"/>
          <w:szCs w:val="26"/>
        </w:rPr>
        <w:t xml:space="preserve">The ALJ found that no adjustment to the East Allen Township expense is recommended if the Settlement is approved as the Joint Petitioners did not agree to any individual expense claim.  However, if the Commission finds that a determination must be made as to whether adjustments to this individual expense claim is necessary, the ALJ recommended that the OCA’s position should be adopted on this issue.  The ALJ determined that the City did not present sufficient evidence to support its conclusion that the equipment maintenance expense incurred in 2019 will be the same on a going-forward basis.  The ALJ agreed with the OCA that this expense for the FTY should be calculated through normalizing the past three years to smooth out any irregularities and to prevent overcollection.  In so finding, the ALJ recommended that the East Allen Township expense claim be adjusted by $6,586 allocated to the City’s </w:t>
      </w:r>
      <w:r w:rsidR="007520C1" w:rsidRPr="00217AC0">
        <w:rPr>
          <w:rFonts w:eastAsiaTheme="minorHAnsi"/>
          <w:sz w:val="26"/>
          <w:szCs w:val="26"/>
        </w:rPr>
        <w:t>Outside</w:t>
      </w:r>
      <w:r w:rsidRPr="00217AC0">
        <w:rPr>
          <w:rFonts w:eastAsiaTheme="minorHAnsi"/>
          <w:sz w:val="26"/>
          <w:szCs w:val="26"/>
        </w:rPr>
        <w:t>-City service.  R.D. at 39.</w:t>
      </w:r>
    </w:p>
    <w:p w14:paraId="757CE229" w14:textId="77777777" w:rsidR="003B169F" w:rsidRPr="00217AC0" w:rsidRDefault="003B169F" w:rsidP="00217AC0">
      <w:pPr>
        <w:widowControl/>
        <w:spacing w:line="360" w:lineRule="auto"/>
        <w:ind w:left="1440" w:hanging="720"/>
        <w:rPr>
          <w:rFonts w:eastAsiaTheme="minorHAnsi"/>
          <w:sz w:val="26"/>
          <w:szCs w:val="26"/>
        </w:rPr>
      </w:pPr>
    </w:p>
    <w:p w14:paraId="1BD79423" w14:textId="64DE401E" w:rsidR="00012897" w:rsidRPr="00217AC0" w:rsidRDefault="00416865" w:rsidP="00217AC0">
      <w:pPr>
        <w:pStyle w:val="Heading3"/>
        <w:keepNext/>
        <w:ind w:left="1440" w:hanging="720"/>
        <w:rPr>
          <w:rFonts w:eastAsiaTheme="minorHAnsi"/>
        </w:rPr>
      </w:pPr>
      <w:bookmarkStart w:id="86" w:name="_Toc69230558"/>
      <w:r w:rsidRPr="00217AC0">
        <w:rPr>
          <w:rFonts w:eastAsiaTheme="minorHAnsi"/>
        </w:rPr>
        <w:t>City Exception No. 4</w:t>
      </w:r>
      <w:r w:rsidR="00012897" w:rsidRPr="00217AC0">
        <w:rPr>
          <w:rFonts w:eastAsiaTheme="minorHAnsi"/>
        </w:rPr>
        <w:t xml:space="preserve"> and Replies</w:t>
      </w:r>
      <w:bookmarkEnd w:id="86"/>
    </w:p>
    <w:p w14:paraId="385AC21B" w14:textId="77777777" w:rsidR="00012897" w:rsidRPr="00217AC0" w:rsidRDefault="00012897" w:rsidP="00217AC0">
      <w:pPr>
        <w:keepNext/>
        <w:widowControl/>
        <w:spacing w:line="360" w:lineRule="auto"/>
        <w:ind w:left="1440" w:hanging="720"/>
        <w:rPr>
          <w:rFonts w:eastAsiaTheme="minorHAnsi"/>
          <w:sz w:val="26"/>
          <w:szCs w:val="26"/>
        </w:rPr>
      </w:pPr>
    </w:p>
    <w:p w14:paraId="769B9074" w14:textId="0641E74F" w:rsidR="003B169F" w:rsidRPr="00217AC0" w:rsidRDefault="003B169F" w:rsidP="00217AC0">
      <w:pPr>
        <w:keepNext/>
        <w:widowControl/>
        <w:spacing w:line="360" w:lineRule="auto"/>
        <w:ind w:firstLine="1440"/>
        <w:rPr>
          <w:rFonts w:eastAsiaTheme="minorHAnsi"/>
          <w:sz w:val="26"/>
          <w:szCs w:val="26"/>
        </w:rPr>
      </w:pPr>
      <w:r w:rsidRPr="00217AC0">
        <w:rPr>
          <w:rFonts w:eastAsiaTheme="minorHAnsi"/>
          <w:sz w:val="26"/>
          <w:szCs w:val="26"/>
        </w:rPr>
        <w:t>In its Exception No. 4, the City argues that it experiences emergency equipment repairs every year in order to maintain its aging plant and infrastructure.  The City claims that the level of expenses incurred in 2019 for equipment maintenance was reasonably incurred and should, therefore, be accepted as reasonable and just on a going-forward basis.  City Exc. at 6-7.</w:t>
      </w:r>
    </w:p>
    <w:p w14:paraId="4901B4F7" w14:textId="77777777" w:rsidR="003B169F" w:rsidRPr="00217AC0" w:rsidRDefault="003B169F" w:rsidP="00217AC0">
      <w:pPr>
        <w:widowControl/>
        <w:spacing w:line="360" w:lineRule="auto"/>
        <w:ind w:firstLine="1440"/>
        <w:rPr>
          <w:rFonts w:eastAsiaTheme="minorHAnsi"/>
          <w:sz w:val="26"/>
          <w:szCs w:val="26"/>
        </w:rPr>
      </w:pPr>
    </w:p>
    <w:p w14:paraId="2BA8F8A5" w14:textId="29C0FA66" w:rsidR="003B169F" w:rsidRPr="00217AC0" w:rsidRDefault="003B169F" w:rsidP="00217AC0">
      <w:pPr>
        <w:widowControl/>
        <w:spacing w:line="360" w:lineRule="auto"/>
        <w:ind w:firstLine="1440"/>
        <w:rPr>
          <w:rFonts w:eastAsiaTheme="minorHAnsi"/>
          <w:sz w:val="26"/>
          <w:szCs w:val="26"/>
        </w:rPr>
      </w:pPr>
      <w:r w:rsidRPr="00217AC0">
        <w:rPr>
          <w:rFonts w:eastAsiaTheme="minorHAnsi"/>
          <w:sz w:val="26"/>
          <w:szCs w:val="26"/>
        </w:rPr>
        <w:lastRenderedPageBreak/>
        <w:t>In its Reply, the OCA asserts that the ALJ correctly used the normalization technique to adjust the equipment maintenance expense over a three-year period (2017</w:t>
      </w:r>
      <w:r w:rsidR="00F07D28">
        <w:rPr>
          <w:rFonts w:eastAsiaTheme="minorHAnsi"/>
          <w:sz w:val="26"/>
          <w:szCs w:val="26"/>
        </w:rPr>
        <w:noBreakHyphen/>
      </w:r>
      <w:r w:rsidRPr="00217AC0">
        <w:rPr>
          <w:rFonts w:eastAsiaTheme="minorHAnsi"/>
          <w:sz w:val="26"/>
          <w:szCs w:val="26"/>
        </w:rPr>
        <w:t xml:space="preserve">2019) to account for fluctuations and one-time expenses that may occur over time.  The OCA states that the evidence shows that the actual expense levels incurred for the three years varies widely, ranging from a low of $4,048 in 2017 to a high of $34,605 in 2019.  The OCA concludes that with such variance in expense levels, it is unreasonable to expect that the annual equipment maintenance expense will remain at the 2019 level in FTY given the historical expense levels in prior years.  The OCA submits that the ALJ properly adopted the OCA’s three-year normalization adjustment as reasonable and appropriate in order to account for routine fluctuations and one-time expenses.  OCA Exc. at 5-6 (citing, R.D. at 38-39; OCA St. No. 2S at 5-6).  </w:t>
      </w:r>
    </w:p>
    <w:p w14:paraId="47CEF295" w14:textId="77777777" w:rsidR="00EF6904" w:rsidRPr="00217AC0" w:rsidRDefault="00EF6904" w:rsidP="00217AC0">
      <w:pPr>
        <w:widowControl/>
        <w:spacing w:line="360" w:lineRule="auto"/>
        <w:ind w:firstLine="1440"/>
        <w:rPr>
          <w:rFonts w:eastAsiaTheme="minorHAnsi"/>
          <w:sz w:val="26"/>
          <w:szCs w:val="26"/>
        </w:rPr>
      </w:pPr>
    </w:p>
    <w:p w14:paraId="6EDA8AF6" w14:textId="77777777" w:rsidR="00012897" w:rsidRPr="00217AC0" w:rsidRDefault="00012897" w:rsidP="00217AC0">
      <w:pPr>
        <w:pStyle w:val="Heading3"/>
        <w:keepNext/>
        <w:ind w:left="1440" w:hanging="720"/>
        <w:rPr>
          <w:rFonts w:eastAsiaTheme="minorHAnsi"/>
        </w:rPr>
      </w:pPr>
      <w:bookmarkStart w:id="87" w:name="_Toc69230559"/>
      <w:r w:rsidRPr="00217AC0">
        <w:rPr>
          <w:rFonts w:eastAsiaTheme="minorHAnsi"/>
        </w:rPr>
        <w:t>Disposition</w:t>
      </w:r>
      <w:bookmarkEnd w:id="87"/>
    </w:p>
    <w:p w14:paraId="3640BA88" w14:textId="77777777" w:rsidR="00012897" w:rsidRPr="00217AC0" w:rsidRDefault="00012897" w:rsidP="00217AC0">
      <w:pPr>
        <w:keepNext/>
        <w:widowControl/>
        <w:spacing w:line="360" w:lineRule="auto"/>
        <w:rPr>
          <w:sz w:val="26"/>
          <w:szCs w:val="26"/>
        </w:rPr>
      </w:pPr>
    </w:p>
    <w:p w14:paraId="4F45AD08" w14:textId="61E27047" w:rsidR="00332DCF" w:rsidRPr="00217AC0" w:rsidRDefault="00A5527E" w:rsidP="00217AC0">
      <w:pPr>
        <w:keepNext/>
        <w:widowControl/>
        <w:spacing w:line="360" w:lineRule="auto"/>
        <w:ind w:firstLine="1440"/>
        <w:rPr>
          <w:sz w:val="26"/>
          <w:szCs w:val="26"/>
        </w:rPr>
      </w:pPr>
      <w:r w:rsidRPr="00217AC0">
        <w:rPr>
          <w:sz w:val="26"/>
          <w:szCs w:val="26"/>
        </w:rPr>
        <w:t>Upon review, although we adopt the Settlement, we also</w:t>
      </w:r>
      <w:r w:rsidR="00E00436" w:rsidRPr="00217AC0">
        <w:rPr>
          <w:sz w:val="26"/>
          <w:szCs w:val="26"/>
        </w:rPr>
        <w:t xml:space="preserve"> agree with the ALJ’s </w:t>
      </w:r>
      <w:r w:rsidRPr="00217AC0">
        <w:rPr>
          <w:sz w:val="26"/>
          <w:szCs w:val="26"/>
        </w:rPr>
        <w:t xml:space="preserve">alternative </w:t>
      </w:r>
      <w:r w:rsidR="00E00436" w:rsidRPr="00217AC0">
        <w:rPr>
          <w:sz w:val="26"/>
          <w:szCs w:val="26"/>
        </w:rPr>
        <w:t xml:space="preserve">recommendation to adopt the OCA’s position that the East Allen Township equipment maintenance expense for the FTY should be calculated by normalizing the past three years, 2017 through 2019, to smooth out any fluctuations and one-time charges in order to prevent overcollection.  Our examination of the record in this proceeding does not support a finding that the City met its burden of proof that relying only on the 2019 level of spending for this expense was reasonable or justified.  Based on the foregoing, we accept the ALJ’s </w:t>
      </w:r>
      <w:r w:rsidRPr="00217AC0">
        <w:rPr>
          <w:sz w:val="26"/>
          <w:szCs w:val="26"/>
        </w:rPr>
        <w:t>alternative recommendation</w:t>
      </w:r>
      <w:r w:rsidR="00E00436" w:rsidRPr="00217AC0">
        <w:rPr>
          <w:sz w:val="26"/>
          <w:szCs w:val="26"/>
        </w:rPr>
        <w:t xml:space="preserve"> that the East Allen Township equipment maintenance expense claim should be adjusted by $6,586 and allocated to the City’s jurisdictional outside-City customers</w:t>
      </w:r>
      <w:r w:rsidR="000B6E81" w:rsidRPr="00217AC0">
        <w:rPr>
          <w:sz w:val="26"/>
          <w:szCs w:val="26"/>
        </w:rPr>
        <w:t>, noting that this does not change our disposition above pertaining to the reasonableness of the Settlement on this matter.</w:t>
      </w:r>
    </w:p>
    <w:p w14:paraId="4ECD7DBC" w14:textId="77777777" w:rsidR="00E00436" w:rsidRPr="00217AC0" w:rsidRDefault="00E00436" w:rsidP="00217AC0">
      <w:pPr>
        <w:widowControl/>
        <w:spacing w:line="360" w:lineRule="auto"/>
        <w:rPr>
          <w:sz w:val="26"/>
          <w:szCs w:val="26"/>
        </w:rPr>
      </w:pPr>
    </w:p>
    <w:p w14:paraId="7C3769EB" w14:textId="416FDBD8" w:rsidR="00683ABA" w:rsidRPr="00217AC0" w:rsidRDefault="00B50E07" w:rsidP="00217AC0">
      <w:pPr>
        <w:pStyle w:val="Heading2"/>
        <w:widowControl/>
        <w:ind w:hanging="720"/>
      </w:pPr>
      <w:bookmarkStart w:id="88" w:name="_Toc69230560"/>
      <w:r w:rsidRPr="00217AC0">
        <w:lastRenderedPageBreak/>
        <w:t>Water Filtration</w:t>
      </w:r>
      <w:r w:rsidR="00A5527E" w:rsidRPr="00217AC0">
        <w:t xml:space="preserve"> Related</w:t>
      </w:r>
      <w:r w:rsidRPr="00217AC0">
        <w:t xml:space="preserve"> Expense</w:t>
      </w:r>
      <w:r w:rsidR="00A5527E" w:rsidRPr="00217AC0">
        <w:t>s</w:t>
      </w:r>
      <w:bookmarkEnd w:id="88"/>
    </w:p>
    <w:p w14:paraId="05BF2DE7" w14:textId="4ED0F4FB" w:rsidR="00332DCF" w:rsidRPr="00217AC0" w:rsidRDefault="00332DCF" w:rsidP="00217AC0">
      <w:pPr>
        <w:keepNext/>
        <w:widowControl/>
        <w:spacing w:line="360" w:lineRule="auto"/>
        <w:rPr>
          <w:sz w:val="26"/>
          <w:szCs w:val="26"/>
        </w:rPr>
      </w:pPr>
    </w:p>
    <w:p w14:paraId="4C42FF6E" w14:textId="63D27D2E" w:rsidR="0037012B" w:rsidRPr="00217AC0" w:rsidRDefault="0037012B" w:rsidP="00217AC0">
      <w:pPr>
        <w:keepNext/>
        <w:widowControl/>
        <w:spacing w:line="360" w:lineRule="auto"/>
        <w:ind w:firstLine="1440"/>
        <w:rPr>
          <w:sz w:val="26"/>
          <w:szCs w:val="26"/>
        </w:rPr>
      </w:pPr>
      <w:r w:rsidRPr="00217AC0">
        <w:rPr>
          <w:sz w:val="26"/>
          <w:szCs w:val="26"/>
        </w:rPr>
        <w:t>The OCA cited the City’s response to I&amp;E’s interrogatories to note that the City identified department contracts expense, heating oil expense and equipment maintenance expense as being under the water filtration heading that include either one</w:t>
      </w:r>
      <w:r w:rsidRPr="00217AC0">
        <w:rPr>
          <w:sz w:val="26"/>
          <w:szCs w:val="26"/>
        </w:rPr>
        <w:noBreakHyphen/>
        <w:t>time expenses or fluctuating expenses.  The OCA recommended that, to account for the fluctuations and one-time expenses over the three-year period of 2017 through 2019, the FTY expense levels be adjusted by $3,677, $13,442, and $23,458, to reflect normalized expenses for department contracts expense, heating oil expense and equipment maintenance expense, respectively.  OCA M.B. at 36-37 (citing</w:t>
      </w:r>
      <w:r w:rsidR="00CE5BEF" w:rsidRPr="00217AC0">
        <w:rPr>
          <w:sz w:val="26"/>
          <w:szCs w:val="26"/>
        </w:rPr>
        <w:t>,</w:t>
      </w:r>
      <w:r w:rsidRPr="00217AC0">
        <w:rPr>
          <w:sz w:val="26"/>
          <w:szCs w:val="26"/>
        </w:rPr>
        <w:t xml:space="preserve"> OCA St.</w:t>
      </w:r>
      <w:r w:rsidR="00CE5BEF" w:rsidRPr="00217AC0">
        <w:rPr>
          <w:sz w:val="26"/>
          <w:szCs w:val="26"/>
        </w:rPr>
        <w:t xml:space="preserve"> No.</w:t>
      </w:r>
      <w:r w:rsidR="00F07D28">
        <w:rPr>
          <w:sz w:val="26"/>
          <w:szCs w:val="26"/>
        </w:rPr>
        <w:t> </w:t>
      </w:r>
      <w:r w:rsidRPr="00217AC0">
        <w:rPr>
          <w:sz w:val="26"/>
          <w:szCs w:val="26"/>
        </w:rPr>
        <w:t>2 at 9-10).</w:t>
      </w:r>
    </w:p>
    <w:p w14:paraId="7F2B680F" w14:textId="77777777" w:rsidR="0037012B" w:rsidRPr="00217AC0" w:rsidRDefault="0037012B" w:rsidP="00217AC0">
      <w:pPr>
        <w:widowControl/>
        <w:spacing w:line="360" w:lineRule="auto"/>
        <w:rPr>
          <w:sz w:val="26"/>
          <w:szCs w:val="26"/>
        </w:rPr>
      </w:pPr>
    </w:p>
    <w:p w14:paraId="0C70EF6B" w14:textId="21335E04" w:rsidR="00B50E07" w:rsidRPr="00217AC0" w:rsidRDefault="0037012B" w:rsidP="00217AC0">
      <w:pPr>
        <w:pStyle w:val="Heading3"/>
        <w:keepNext/>
        <w:numPr>
          <w:ilvl w:val="0"/>
          <w:numId w:val="39"/>
        </w:numPr>
        <w:ind w:left="1440" w:hanging="720"/>
      </w:pPr>
      <w:bookmarkStart w:id="89" w:name="_Toc69230561"/>
      <w:r w:rsidRPr="00217AC0">
        <w:t>Positions of the Parties</w:t>
      </w:r>
      <w:bookmarkEnd w:id="89"/>
    </w:p>
    <w:p w14:paraId="32AFE965" w14:textId="5E6973D4" w:rsidR="00B50E07" w:rsidRPr="00217AC0" w:rsidRDefault="00B50E07" w:rsidP="00217AC0">
      <w:pPr>
        <w:keepNext/>
        <w:widowControl/>
        <w:spacing w:line="360" w:lineRule="auto"/>
        <w:rPr>
          <w:sz w:val="26"/>
          <w:szCs w:val="26"/>
        </w:rPr>
      </w:pPr>
    </w:p>
    <w:p w14:paraId="32AB2606" w14:textId="4753CBF3" w:rsidR="00012897" w:rsidRPr="00217AC0" w:rsidRDefault="0037012B" w:rsidP="00217AC0">
      <w:pPr>
        <w:pStyle w:val="Heading4"/>
        <w:widowControl/>
        <w:numPr>
          <w:ilvl w:val="0"/>
          <w:numId w:val="19"/>
        </w:numPr>
        <w:ind w:left="2160" w:hanging="720"/>
        <w:rPr>
          <w:rFonts w:eastAsiaTheme="minorHAnsi"/>
        </w:rPr>
      </w:pPr>
      <w:bookmarkStart w:id="90" w:name="_Toc69230562"/>
      <w:r w:rsidRPr="00217AC0">
        <w:rPr>
          <w:rFonts w:eastAsiaTheme="minorHAnsi"/>
        </w:rPr>
        <w:t>Department Contracts Expense</w:t>
      </w:r>
      <w:bookmarkEnd w:id="90"/>
    </w:p>
    <w:p w14:paraId="6ADE7451" w14:textId="77777777" w:rsidR="00012897" w:rsidRPr="00217AC0" w:rsidRDefault="00012897" w:rsidP="00217AC0">
      <w:pPr>
        <w:keepNext/>
        <w:widowControl/>
        <w:spacing w:line="360" w:lineRule="auto"/>
        <w:rPr>
          <w:rFonts w:eastAsiaTheme="minorHAnsi"/>
          <w:sz w:val="26"/>
          <w:szCs w:val="26"/>
        </w:rPr>
      </w:pPr>
    </w:p>
    <w:p w14:paraId="0F843FF3" w14:textId="7B51CBBA" w:rsidR="0037012B" w:rsidRPr="00217AC0" w:rsidRDefault="0037012B" w:rsidP="00217AC0">
      <w:pPr>
        <w:keepNext/>
        <w:widowControl/>
        <w:spacing w:line="360" w:lineRule="auto"/>
        <w:ind w:firstLine="1440"/>
        <w:rPr>
          <w:rFonts w:eastAsiaTheme="minorHAnsi"/>
          <w:sz w:val="26"/>
          <w:szCs w:val="26"/>
        </w:rPr>
      </w:pPr>
      <w:r w:rsidRPr="00217AC0">
        <w:rPr>
          <w:rFonts w:eastAsiaTheme="minorHAnsi"/>
          <w:sz w:val="26"/>
          <w:szCs w:val="26"/>
        </w:rPr>
        <w:t>The City submitted that its department contracts expense claim of $196,413, of which $79,272 is allocated to jurisdictional outside</w:t>
      </w:r>
      <w:r w:rsidR="00CE5BEF" w:rsidRPr="00217AC0">
        <w:rPr>
          <w:rFonts w:eastAsiaTheme="minorHAnsi"/>
          <w:sz w:val="26"/>
          <w:szCs w:val="26"/>
        </w:rPr>
        <w:t>-C</w:t>
      </w:r>
      <w:r w:rsidRPr="00217AC0">
        <w:rPr>
          <w:rFonts w:eastAsiaTheme="minorHAnsi"/>
          <w:sz w:val="26"/>
          <w:szCs w:val="26"/>
        </w:rPr>
        <w:t xml:space="preserve">ity service, is reasonable and appropriate.  The City disagreed with the OCA’s proposed normalization to department contracts expense and noted that the OCA used incorrect values in its proposed normalization adjustment.  City M.B. at 29-30.  </w:t>
      </w:r>
    </w:p>
    <w:p w14:paraId="0C018BBF" w14:textId="77777777" w:rsidR="00A5527E" w:rsidRPr="00217AC0" w:rsidRDefault="00A5527E" w:rsidP="00217AC0">
      <w:pPr>
        <w:widowControl/>
        <w:spacing w:line="360" w:lineRule="auto"/>
        <w:ind w:firstLine="1440"/>
        <w:rPr>
          <w:rFonts w:eastAsiaTheme="minorHAnsi"/>
          <w:sz w:val="26"/>
          <w:szCs w:val="26"/>
        </w:rPr>
      </w:pPr>
    </w:p>
    <w:p w14:paraId="5F95F882" w14:textId="543712C3" w:rsidR="0037012B" w:rsidRPr="00217AC0" w:rsidRDefault="0037012B" w:rsidP="00217AC0">
      <w:pPr>
        <w:widowControl/>
        <w:spacing w:line="360" w:lineRule="auto"/>
        <w:ind w:firstLine="1440"/>
        <w:rPr>
          <w:rFonts w:eastAsiaTheme="minorHAnsi"/>
          <w:sz w:val="26"/>
          <w:szCs w:val="26"/>
        </w:rPr>
      </w:pPr>
      <w:r w:rsidRPr="00217AC0">
        <w:rPr>
          <w:rFonts w:eastAsiaTheme="minorHAnsi"/>
          <w:sz w:val="26"/>
          <w:szCs w:val="26"/>
        </w:rPr>
        <w:t>Consequently, the OCA updated its normalization adjustment of department contracts expense to $1,270 over a three-year period, of which $469 is allocated to jurisdictional outside</w:t>
      </w:r>
      <w:r w:rsidR="00CE5BEF" w:rsidRPr="00217AC0">
        <w:rPr>
          <w:rFonts w:eastAsiaTheme="minorHAnsi"/>
          <w:sz w:val="26"/>
          <w:szCs w:val="26"/>
        </w:rPr>
        <w:t>-C</w:t>
      </w:r>
      <w:r w:rsidRPr="00217AC0">
        <w:rPr>
          <w:rFonts w:eastAsiaTheme="minorHAnsi"/>
          <w:sz w:val="26"/>
          <w:szCs w:val="26"/>
        </w:rPr>
        <w:t xml:space="preserve">ity service.  OCA St. </w:t>
      </w:r>
      <w:r w:rsidR="00CE5BEF" w:rsidRPr="00217AC0">
        <w:rPr>
          <w:rFonts w:eastAsiaTheme="minorHAnsi"/>
          <w:sz w:val="26"/>
          <w:szCs w:val="26"/>
        </w:rPr>
        <w:t xml:space="preserve">No. </w:t>
      </w:r>
      <w:r w:rsidRPr="00217AC0">
        <w:rPr>
          <w:rFonts w:eastAsiaTheme="minorHAnsi"/>
          <w:sz w:val="26"/>
          <w:szCs w:val="26"/>
        </w:rPr>
        <w:t>2S at 7; OCA Exh. Sch. SLS-4S.  However, the OCA contended that the City did not explain why department contracts expense should not be normalized.  OCA R.B. at 25.</w:t>
      </w:r>
    </w:p>
    <w:p w14:paraId="12D58221" w14:textId="77777777" w:rsidR="0037012B" w:rsidRPr="00217AC0" w:rsidRDefault="0037012B" w:rsidP="00217AC0">
      <w:pPr>
        <w:widowControl/>
        <w:spacing w:line="360" w:lineRule="auto"/>
        <w:rPr>
          <w:rFonts w:eastAsiaTheme="minorHAnsi"/>
          <w:sz w:val="26"/>
          <w:szCs w:val="26"/>
        </w:rPr>
      </w:pPr>
    </w:p>
    <w:p w14:paraId="5BCEDF60" w14:textId="39B897DD" w:rsidR="00012897" w:rsidRPr="00217AC0" w:rsidRDefault="0037012B" w:rsidP="00217AC0">
      <w:pPr>
        <w:pStyle w:val="Heading4"/>
        <w:widowControl/>
        <w:rPr>
          <w:rFonts w:eastAsiaTheme="minorHAnsi"/>
        </w:rPr>
      </w:pPr>
      <w:bookmarkStart w:id="91" w:name="_Toc69230563"/>
      <w:r w:rsidRPr="00217AC0">
        <w:rPr>
          <w:rFonts w:eastAsiaTheme="minorHAnsi"/>
        </w:rPr>
        <w:lastRenderedPageBreak/>
        <w:t>Heating Oil Expense</w:t>
      </w:r>
      <w:bookmarkEnd w:id="91"/>
    </w:p>
    <w:p w14:paraId="2A5C5419" w14:textId="77777777" w:rsidR="00012897" w:rsidRPr="00217AC0" w:rsidRDefault="00012897" w:rsidP="00217AC0">
      <w:pPr>
        <w:keepNext/>
        <w:widowControl/>
        <w:spacing w:line="360" w:lineRule="auto"/>
        <w:rPr>
          <w:rFonts w:eastAsiaTheme="minorHAnsi"/>
          <w:sz w:val="26"/>
          <w:szCs w:val="26"/>
        </w:rPr>
      </w:pPr>
    </w:p>
    <w:p w14:paraId="217ECE71" w14:textId="69B016A6" w:rsidR="0037012B" w:rsidRPr="00217AC0" w:rsidRDefault="0037012B" w:rsidP="00217AC0">
      <w:pPr>
        <w:keepNext/>
        <w:widowControl/>
        <w:spacing w:line="360" w:lineRule="auto"/>
        <w:ind w:firstLine="1440"/>
        <w:rPr>
          <w:rFonts w:eastAsiaTheme="minorHAnsi"/>
          <w:sz w:val="26"/>
          <w:szCs w:val="26"/>
        </w:rPr>
      </w:pPr>
      <w:bookmarkStart w:id="92" w:name="_Hlk66095997"/>
      <w:r w:rsidRPr="00217AC0">
        <w:rPr>
          <w:rFonts w:eastAsiaTheme="minorHAnsi"/>
          <w:sz w:val="26"/>
          <w:szCs w:val="26"/>
        </w:rPr>
        <w:t>The City contended that its claim for heating oil expense is not based on a fluctuation, but rather an increase in the historic test year expense between 2017 and 2019.  The OCA accepted the City’s argument regarding heating oil expense and, therefore, this issue was resolved.  City M.B. at 30; OCA M.B. at 37 (citing</w:t>
      </w:r>
      <w:r w:rsidR="00CE5BEF" w:rsidRPr="00217AC0">
        <w:rPr>
          <w:rFonts w:eastAsiaTheme="minorHAnsi"/>
          <w:sz w:val="26"/>
          <w:szCs w:val="26"/>
        </w:rPr>
        <w:t>,</w:t>
      </w:r>
      <w:r w:rsidRPr="00217AC0">
        <w:rPr>
          <w:rFonts w:eastAsiaTheme="minorHAnsi"/>
          <w:sz w:val="26"/>
          <w:szCs w:val="26"/>
        </w:rPr>
        <w:t xml:space="preserve"> OCA St. </w:t>
      </w:r>
      <w:r w:rsidR="00CE5BEF" w:rsidRPr="00217AC0">
        <w:rPr>
          <w:rFonts w:eastAsiaTheme="minorHAnsi"/>
          <w:sz w:val="26"/>
          <w:szCs w:val="26"/>
        </w:rPr>
        <w:t>No.</w:t>
      </w:r>
      <w:r w:rsidR="00F07D28">
        <w:rPr>
          <w:rFonts w:eastAsiaTheme="minorHAnsi"/>
          <w:sz w:val="26"/>
          <w:szCs w:val="26"/>
        </w:rPr>
        <w:t> </w:t>
      </w:r>
      <w:r w:rsidRPr="00217AC0">
        <w:rPr>
          <w:rFonts w:eastAsiaTheme="minorHAnsi"/>
          <w:sz w:val="26"/>
          <w:szCs w:val="26"/>
        </w:rPr>
        <w:t>2S at 7).</w:t>
      </w:r>
      <w:bookmarkEnd w:id="92"/>
    </w:p>
    <w:p w14:paraId="3312FDFA" w14:textId="77777777" w:rsidR="00012897" w:rsidRPr="00217AC0" w:rsidRDefault="00012897" w:rsidP="00217AC0">
      <w:pPr>
        <w:widowControl/>
        <w:spacing w:line="360" w:lineRule="auto"/>
        <w:rPr>
          <w:rFonts w:eastAsiaTheme="minorHAnsi"/>
          <w:sz w:val="26"/>
          <w:szCs w:val="26"/>
        </w:rPr>
      </w:pPr>
    </w:p>
    <w:p w14:paraId="7AA630D1" w14:textId="3BAF556B" w:rsidR="00012897" w:rsidRPr="00217AC0" w:rsidRDefault="0037012B" w:rsidP="00217AC0">
      <w:pPr>
        <w:pStyle w:val="Heading4"/>
        <w:widowControl/>
        <w:rPr>
          <w:rFonts w:eastAsiaTheme="minorHAnsi"/>
        </w:rPr>
      </w:pPr>
      <w:bookmarkStart w:id="93" w:name="_Toc69230564"/>
      <w:r w:rsidRPr="00217AC0">
        <w:rPr>
          <w:rFonts w:eastAsiaTheme="minorHAnsi"/>
        </w:rPr>
        <w:t>Equipment Maintenance Expense</w:t>
      </w:r>
      <w:bookmarkEnd w:id="93"/>
    </w:p>
    <w:p w14:paraId="54ABA953" w14:textId="7ACAD644" w:rsidR="00012897" w:rsidRPr="00217AC0" w:rsidRDefault="00012897" w:rsidP="00217AC0">
      <w:pPr>
        <w:keepNext/>
        <w:widowControl/>
        <w:spacing w:line="360" w:lineRule="auto"/>
        <w:rPr>
          <w:rFonts w:eastAsiaTheme="minorHAnsi"/>
          <w:sz w:val="26"/>
          <w:szCs w:val="26"/>
        </w:rPr>
      </w:pPr>
    </w:p>
    <w:p w14:paraId="75CB1678" w14:textId="77777777" w:rsidR="0037012B" w:rsidRPr="00217AC0" w:rsidRDefault="0037012B" w:rsidP="00217AC0">
      <w:pPr>
        <w:keepNext/>
        <w:widowControl/>
        <w:spacing w:line="360" w:lineRule="auto"/>
        <w:ind w:firstLine="1440"/>
        <w:rPr>
          <w:rFonts w:eastAsiaTheme="minorHAnsi"/>
          <w:sz w:val="26"/>
          <w:szCs w:val="26"/>
        </w:rPr>
      </w:pPr>
      <w:r w:rsidRPr="00217AC0">
        <w:rPr>
          <w:rFonts w:eastAsiaTheme="minorHAnsi"/>
          <w:sz w:val="26"/>
          <w:szCs w:val="26"/>
        </w:rPr>
        <w:t>The City explained that its claim for equipment maintenance expense is based on actual expenses incurred during 2019 due to necessary emergency repairs.  The City noted that, although equipment maintenance expense is higher in 2019 than the previous two years, necessary and emergency equipment repairs are experienced every year in order to operate and maintain an aging plant and infrastructure as well as meet regulatory requirements.  The City further noted that equipment maintenance expense was reasonably incurred in 2019 and should be accepted as the reasonable and appropriate level of expense going forward.  City M.B. at 30-31; City R.B. at 14.</w:t>
      </w:r>
    </w:p>
    <w:p w14:paraId="0B29F7DA" w14:textId="77777777" w:rsidR="0037012B" w:rsidRPr="00217AC0" w:rsidRDefault="0037012B" w:rsidP="00217AC0">
      <w:pPr>
        <w:widowControl/>
        <w:spacing w:line="360" w:lineRule="auto"/>
        <w:rPr>
          <w:rFonts w:eastAsiaTheme="minorHAnsi"/>
          <w:sz w:val="26"/>
          <w:szCs w:val="26"/>
        </w:rPr>
      </w:pPr>
    </w:p>
    <w:p w14:paraId="64161C37" w14:textId="7C79B4B5" w:rsidR="0037012B" w:rsidRPr="00217AC0" w:rsidRDefault="0037012B" w:rsidP="00217AC0">
      <w:pPr>
        <w:widowControl/>
        <w:spacing w:line="360" w:lineRule="auto"/>
        <w:ind w:firstLine="1440"/>
        <w:rPr>
          <w:rFonts w:eastAsiaTheme="minorHAnsi"/>
          <w:sz w:val="26"/>
          <w:szCs w:val="26"/>
        </w:rPr>
      </w:pPr>
      <w:r w:rsidRPr="00217AC0">
        <w:rPr>
          <w:rFonts w:eastAsiaTheme="minorHAnsi"/>
          <w:sz w:val="26"/>
          <w:szCs w:val="26"/>
        </w:rPr>
        <w:t>The OCA maintained that equipment maintenance expense should be normalized by an adjustment of $23,458, of which $8,661 is allocated to jurisdictional outsid</w:t>
      </w:r>
      <w:r w:rsidR="004D1D35" w:rsidRPr="00217AC0">
        <w:rPr>
          <w:rFonts w:eastAsiaTheme="minorHAnsi"/>
          <w:sz w:val="26"/>
          <w:szCs w:val="26"/>
        </w:rPr>
        <w:t>e-C</w:t>
      </w:r>
      <w:r w:rsidRPr="00217AC0">
        <w:rPr>
          <w:rFonts w:eastAsiaTheme="minorHAnsi"/>
          <w:sz w:val="26"/>
          <w:szCs w:val="26"/>
        </w:rPr>
        <w:t>ity service.  Further, the OCA contended that, although the City claims that necessary and emergency repairs occur every year, the City did not explain why equipment maintenance expense should not be normalized.  OCA R.B. at 25-26; OCA</w:t>
      </w:r>
      <w:r w:rsidR="00F07D28">
        <w:rPr>
          <w:rFonts w:eastAsiaTheme="minorHAnsi"/>
          <w:sz w:val="26"/>
          <w:szCs w:val="26"/>
        </w:rPr>
        <w:t> </w:t>
      </w:r>
      <w:r w:rsidRPr="00217AC0">
        <w:rPr>
          <w:rFonts w:eastAsiaTheme="minorHAnsi"/>
          <w:sz w:val="26"/>
          <w:szCs w:val="26"/>
        </w:rPr>
        <w:t xml:space="preserve">Sch. SLS-4S.  </w:t>
      </w:r>
    </w:p>
    <w:p w14:paraId="528AF31A" w14:textId="77777777" w:rsidR="0037012B" w:rsidRPr="00217AC0" w:rsidRDefault="0037012B" w:rsidP="00217AC0">
      <w:pPr>
        <w:widowControl/>
        <w:spacing w:line="360" w:lineRule="auto"/>
        <w:rPr>
          <w:rFonts w:eastAsiaTheme="minorHAnsi"/>
          <w:sz w:val="26"/>
          <w:szCs w:val="26"/>
        </w:rPr>
      </w:pPr>
    </w:p>
    <w:p w14:paraId="588BC877" w14:textId="14145403" w:rsidR="00012897" w:rsidRPr="00217AC0" w:rsidRDefault="0037012B" w:rsidP="00217AC0">
      <w:pPr>
        <w:pStyle w:val="Heading3"/>
        <w:keepNext/>
        <w:ind w:left="1440" w:hanging="720"/>
        <w:rPr>
          <w:rFonts w:eastAsiaTheme="minorHAnsi"/>
        </w:rPr>
      </w:pPr>
      <w:bookmarkStart w:id="94" w:name="_Toc69230565"/>
      <w:r w:rsidRPr="00217AC0">
        <w:rPr>
          <w:rFonts w:eastAsiaTheme="minorHAnsi"/>
        </w:rPr>
        <w:lastRenderedPageBreak/>
        <w:t>Recommended Decision</w:t>
      </w:r>
      <w:bookmarkEnd w:id="94"/>
    </w:p>
    <w:p w14:paraId="0E8D7F69" w14:textId="4F4DE4C3" w:rsidR="00012897" w:rsidRPr="00217AC0" w:rsidRDefault="00012897" w:rsidP="00217AC0">
      <w:pPr>
        <w:keepNext/>
        <w:widowControl/>
        <w:spacing w:line="360" w:lineRule="auto"/>
        <w:rPr>
          <w:sz w:val="26"/>
          <w:szCs w:val="26"/>
        </w:rPr>
      </w:pPr>
    </w:p>
    <w:p w14:paraId="7A4DFAE8" w14:textId="0D3824FA" w:rsidR="0037012B" w:rsidRPr="00217AC0" w:rsidRDefault="0037012B" w:rsidP="00217AC0">
      <w:pPr>
        <w:pStyle w:val="Heading4"/>
        <w:widowControl/>
        <w:numPr>
          <w:ilvl w:val="0"/>
          <w:numId w:val="46"/>
        </w:numPr>
        <w:ind w:left="2160" w:hanging="720"/>
      </w:pPr>
      <w:bookmarkStart w:id="95" w:name="_Toc69230566"/>
      <w:r w:rsidRPr="00217AC0">
        <w:t>Department Contracts Expense</w:t>
      </w:r>
      <w:bookmarkEnd w:id="95"/>
    </w:p>
    <w:p w14:paraId="3062CFF9" w14:textId="19043BDD" w:rsidR="0037012B" w:rsidRPr="00217AC0" w:rsidRDefault="0037012B" w:rsidP="00217AC0">
      <w:pPr>
        <w:keepNext/>
        <w:widowControl/>
        <w:spacing w:line="360" w:lineRule="auto"/>
        <w:rPr>
          <w:sz w:val="26"/>
          <w:szCs w:val="26"/>
        </w:rPr>
      </w:pPr>
    </w:p>
    <w:p w14:paraId="5606FEC7" w14:textId="06CC707E" w:rsidR="0037012B" w:rsidRPr="00217AC0" w:rsidRDefault="0037012B" w:rsidP="00217AC0">
      <w:pPr>
        <w:keepNext/>
        <w:widowControl/>
        <w:spacing w:line="360" w:lineRule="auto"/>
        <w:ind w:firstLine="1440"/>
        <w:rPr>
          <w:i/>
          <w:iCs/>
          <w:sz w:val="26"/>
          <w:szCs w:val="26"/>
        </w:rPr>
      </w:pPr>
      <w:r w:rsidRPr="00217AC0">
        <w:rPr>
          <w:sz w:val="26"/>
          <w:szCs w:val="26"/>
        </w:rPr>
        <w:t xml:space="preserve">Upon noting that the Joint Petitioners, in reaching </w:t>
      </w:r>
      <w:r w:rsidR="004D1D35" w:rsidRPr="00217AC0">
        <w:rPr>
          <w:sz w:val="26"/>
          <w:szCs w:val="26"/>
        </w:rPr>
        <w:t xml:space="preserve">the </w:t>
      </w:r>
      <w:r w:rsidRPr="00217AC0">
        <w:rPr>
          <w:sz w:val="26"/>
          <w:szCs w:val="26"/>
        </w:rPr>
        <w:t>Settlement, did not agree to any individual expense claim, the ALJ recommended that no adjustment be made to department contracts expense.  However, the ALJ added that, if the Commission determines that adjustments to the individual expense claims are necessary, then he recommended that the Commission accept the OCA’s adjustment to department contracts expense of $1,270, including $469 allocated to jurisdictional outside</w:t>
      </w:r>
      <w:r w:rsidR="004D1D35" w:rsidRPr="00217AC0">
        <w:rPr>
          <w:sz w:val="26"/>
          <w:szCs w:val="26"/>
        </w:rPr>
        <w:t>-C</w:t>
      </w:r>
      <w:r w:rsidRPr="00217AC0">
        <w:rPr>
          <w:sz w:val="26"/>
          <w:szCs w:val="26"/>
        </w:rPr>
        <w:t xml:space="preserve">ity service.  The ALJ explained that, “[t]he City did not provide sufficient evidence to show that the department contracts expense is a normally occurring prudent expense, but in fact admitted in its response to I&amp;E’s interrogatories that its department contracts expense contains fluctuating expenses.”  R.D. at 40-41.  Accordingly, </w:t>
      </w:r>
      <w:r w:rsidR="00A5527E" w:rsidRPr="00217AC0">
        <w:rPr>
          <w:sz w:val="26"/>
          <w:szCs w:val="26"/>
        </w:rPr>
        <w:t xml:space="preserve">in his alternative recommendation, </w:t>
      </w:r>
      <w:r w:rsidRPr="00217AC0">
        <w:rPr>
          <w:sz w:val="26"/>
          <w:szCs w:val="26"/>
        </w:rPr>
        <w:t xml:space="preserve">the ALJ agreed with the OCA’s position to normalize the expense over a three-year period.  </w:t>
      </w:r>
      <w:r w:rsidRPr="00217AC0">
        <w:rPr>
          <w:i/>
          <w:iCs/>
          <w:sz w:val="26"/>
          <w:szCs w:val="26"/>
        </w:rPr>
        <w:t>Id.</w:t>
      </w:r>
    </w:p>
    <w:p w14:paraId="52793AB1" w14:textId="77777777" w:rsidR="0037012B" w:rsidRPr="00217AC0" w:rsidRDefault="0037012B" w:rsidP="00217AC0">
      <w:pPr>
        <w:widowControl/>
        <w:spacing w:line="360" w:lineRule="auto"/>
        <w:rPr>
          <w:sz w:val="26"/>
          <w:szCs w:val="26"/>
        </w:rPr>
      </w:pPr>
    </w:p>
    <w:p w14:paraId="4C20CA62" w14:textId="483D27C9" w:rsidR="0037012B" w:rsidRPr="00217AC0" w:rsidRDefault="0037012B" w:rsidP="00217AC0">
      <w:pPr>
        <w:pStyle w:val="Heading4"/>
        <w:widowControl/>
      </w:pPr>
      <w:bookmarkStart w:id="96" w:name="_Toc69230567"/>
      <w:r w:rsidRPr="00217AC0">
        <w:t>Heating Oil Expense</w:t>
      </w:r>
      <w:bookmarkEnd w:id="96"/>
    </w:p>
    <w:p w14:paraId="36DA205D" w14:textId="0FCD74FE" w:rsidR="0037012B" w:rsidRPr="00217AC0" w:rsidRDefault="0037012B" w:rsidP="00217AC0">
      <w:pPr>
        <w:keepNext/>
        <w:widowControl/>
        <w:spacing w:line="360" w:lineRule="auto"/>
        <w:rPr>
          <w:sz w:val="26"/>
          <w:szCs w:val="26"/>
        </w:rPr>
      </w:pPr>
    </w:p>
    <w:p w14:paraId="62E1C681" w14:textId="77777777" w:rsidR="0037012B" w:rsidRPr="00217AC0" w:rsidRDefault="0037012B" w:rsidP="00217AC0">
      <w:pPr>
        <w:keepNext/>
        <w:widowControl/>
        <w:spacing w:line="360" w:lineRule="auto"/>
        <w:ind w:firstLine="1440"/>
        <w:rPr>
          <w:sz w:val="26"/>
          <w:szCs w:val="26"/>
        </w:rPr>
      </w:pPr>
      <w:r w:rsidRPr="00217AC0">
        <w:rPr>
          <w:sz w:val="26"/>
          <w:szCs w:val="26"/>
        </w:rPr>
        <w:t>The ALJ noted that the City proved, and the OCA agreed, that heating oil expense is not a fluctuating expense but has been increasing each year.  Accordingly, the ALJ concluded that normalization of heating oil expense is not necessary and, therefore, recommended that no adjustment be made to heating oil expense.  R.D. at 42.</w:t>
      </w:r>
    </w:p>
    <w:p w14:paraId="580DDBD6" w14:textId="77777777" w:rsidR="0037012B" w:rsidRPr="00217AC0" w:rsidRDefault="0037012B" w:rsidP="00217AC0">
      <w:pPr>
        <w:widowControl/>
        <w:spacing w:line="360" w:lineRule="auto"/>
        <w:rPr>
          <w:sz w:val="26"/>
          <w:szCs w:val="26"/>
        </w:rPr>
      </w:pPr>
    </w:p>
    <w:p w14:paraId="65689586" w14:textId="65FDC229" w:rsidR="0037012B" w:rsidRPr="00217AC0" w:rsidRDefault="0037012B" w:rsidP="00217AC0">
      <w:pPr>
        <w:pStyle w:val="Heading4"/>
        <w:widowControl/>
      </w:pPr>
      <w:bookmarkStart w:id="97" w:name="_Toc69230568"/>
      <w:r w:rsidRPr="00217AC0">
        <w:t>Equipment Maintenance Expense</w:t>
      </w:r>
      <w:bookmarkEnd w:id="97"/>
    </w:p>
    <w:p w14:paraId="51EFAF86" w14:textId="26B776FD" w:rsidR="0037012B" w:rsidRPr="00217AC0" w:rsidRDefault="0037012B" w:rsidP="00217AC0">
      <w:pPr>
        <w:keepNext/>
        <w:widowControl/>
        <w:spacing w:line="360" w:lineRule="auto"/>
        <w:rPr>
          <w:sz w:val="26"/>
          <w:szCs w:val="26"/>
        </w:rPr>
      </w:pPr>
    </w:p>
    <w:p w14:paraId="5C790FC5" w14:textId="6C044A31" w:rsidR="0037012B" w:rsidRPr="00217AC0" w:rsidRDefault="0037012B" w:rsidP="00217AC0">
      <w:pPr>
        <w:keepNext/>
        <w:widowControl/>
        <w:spacing w:line="360" w:lineRule="auto"/>
        <w:ind w:firstLine="1440"/>
        <w:rPr>
          <w:sz w:val="26"/>
          <w:szCs w:val="26"/>
        </w:rPr>
      </w:pPr>
      <w:r w:rsidRPr="00217AC0">
        <w:rPr>
          <w:sz w:val="26"/>
          <w:szCs w:val="26"/>
        </w:rPr>
        <w:t xml:space="preserve">Upon noting that the Joint Petitioners, in reaching the Settlement, did not agree to any individual expense claim the ALJ recommended that no adjustment be made to equipment maintenance expense.  However, the ALJ noted that, if the Commission </w:t>
      </w:r>
      <w:r w:rsidRPr="00217AC0">
        <w:rPr>
          <w:sz w:val="26"/>
          <w:szCs w:val="26"/>
        </w:rPr>
        <w:lastRenderedPageBreak/>
        <w:t>determines that adjustments to the individual expense claims are necessary, then he recommended that the Commission accept the OCA’s proposed adjustment to equipment maintenance expense of $23,458, including $8,661 allocated to jurisdictional outside</w:t>
      </w:r>
      <w:r w:rsidR="004D1D35" w:rsidRPr="00217AC0">
        <w:rPr>
          <w:sz w:val="26"/>
          <w:szCs w:val="26"/>
        </w:rPr>
        <w:t>-C</w:t>
      </w:r>
      <w:r w:rsidRPr="00217AC0">
        <w:rPr>
          <w:sz w:val="26"/>
          <w:szCs w:val="26"/>
        </w:rPr>
        <w:t xml:space="preserve">ity service.  The ALJ explained that, “[t]he City did not provide sufficient evidence to show that the 2019 equipment maintenance expense is representative of the expense moving forward.”  R.D. at 43.  </w:t>
      </w:r>
      <w:bookmarkStart w:id="98" w:name="_Hlk66170515"/>
      <w:r w:rsidRPr="00217AC0">
        <w:rPr>
          <w:sz w:val="26"/>
          <w:szCs w:val="26"/>
        </w:rPr>
        <w:t>Accordingly, the ALJ</w:t>
      </w:r>
      <w:r w:rsidR="00A5527E" w:rsidRPr="00217AC0">
        <w:rPr>
          <w:sz w:val="26"/>
          <w:szCs w:val="26"/>
        </w:rPr>
        <w:t>, in his alternative recommendation,</w:t>
      </w:r>
      <w:r w:rsidRPr="00217AC0">
        <w:rPr>
          <w:sz w:val="26"/>
          <w:szCs w:val="26"/>
        </w:rPr>
        <w:t xml:space="preserve"> agreed with the OCA’s position to account for the irregular level of expense in 2019 by normalizing the expense over a three-year period.  </w:t>
      </w:r>
      <w:r w:rsidRPr="00217AC0">
        <w:rPr>
          <w:i/>
          <w:iCs/>
          <w:sz w:val="26"/>
          <w:szCs w:val="26"/>
        </w:rPr>
        <w:t>Id.</w:t>
      </w:r>
    </w:p>
    <w:bookmarkEnd w:id="98"/>
    <w:p w14:paraId="675C7E02" w14:textId="77777777" w:rsidR="0037012B" w:rsidRPr="00217AC0" w:rsidRDefault="0037012B" w:rsidP="00217AC0">
      <w:pPr>
        <w:widowControl/>
        <w:spacing w:line="360" w:lineRule="auto"/>
        <w:rPr>
          <w:sz w:val="26"/>
          <w:szCs w:val="26"/>
        </w:rPr>
      </w:pPr>
    </w:p>
    <w:p w14:paraId="51EEE255" w14:textId="2EB26294" w:rsidR="0037012B" w:rsidRPr="00217AC0" w:rsidRDefault="0037012B" w:rsidP="00217AC0">
      <w:pPr>
        <w:pStyle w:val="Heading3"/>
        <w:keepNext/>
        <w:ind w:left="1440" w:hanging="720"/>
      </w:pPr>
      <w:bookmarkStart w:id="99" w:name="_Toc69230569"/>
      <w:r w:rsidRPr="00217AC0">
        <w:t>City Exception No. 5 and Replies</w:t>
      </w:r>
      <w:bookmarkEnd w:id="99"/>
    </w:p>
    <w:p w14:paraId="363710B5" w14:textId="58F51716" w:rsidR="0094522E" w:rsidRPr="00217AC0" w:rsidRDefault="0094522E" w:rsidP="00217AC0">
      <w:pPr>
        <w:keepNext/>
        <w:widowControl/>
        <w:spacing w:line="360" w:lineRule="auto"/>
        <w:rPr>
          <w:sz w:val="26"/>
          <w:szCs w:val="26"/>
        </w:rPr>
      </w:pPr>
    </w:p>
    <w:p w14:paraId="6FCA1945" w14:textId="561B0ADF" w:rsidR="0037012B" w:rsidRPr="00217AC0" w:rsidRDefault="0037012B" w:rsidP="00217AC0">
      <w:pPr>
        <w:keepNext/>
        <w:widowControl/>
        <w:spacing w:line="360" w:lineRule="auto"/>
        <w:ind w:firstLine="1440"/>
        <w:rPr>
          <w:sz w:val="26"/>
          <w:szCs w:val="26"/>
        </w:rPr>
      </w:pPr>
      <w:r w:rsidRPr="00217AC0">
        <w:rPr>
          <w:sz w:val="26"/>
          <w:szCs w:val="26"/>
        </w:rPr>
        <w:t xml:space="preserve">We begin by noting that, with regard to the issues concerning department contracts expense and heating oil expense under water filtration, no </w:t>
      </w:r>
      <w:r w:rsidR="00A5527E" w:rsidRPr="00217AC0">
        <w:rPr>
          <w:sz w:val="26"/>
          <w:szCs w:val="26"/>
        </w:rPr>
        <w:t>P</w:t>
      </w:r>
      <w:r w:rsidRPr="00217AC0">
        <w:rPr>
          <w:sz w:val="26"/>
          <w:szCs w:val="26"/>
        </w:rPr>
        <w:t>arties filed exceptions.</w:t>
      </w:r>
    </w:p>
    <w:p w14:paraId="373861EE" w14:textId="77777777" w:rsidR="0037012B" w:rsidRPr="00217AC0" w:rsidRDefault="0037012B" w:rsidP="00217AC0">
      <w:pPr>
        <w:widowControl/>
        <w:spacing w:line="360" w:lineRule="auto"/>
        <w:rPr>
          <w:sz w:val="26"/>
          <w:szCs w:val="26"/>
        </w:rPr>
      </w:pPr>
    </w:p>
    <w:p w14:paraId="0911B6AA" w14:textId="4BE5C160" w:rsidR="0037012B" w:rsidRPr="00217AC0" w:rsidRDefault="0037012B" w:rsidP="00217AC0">
      <w:pPr>
        <w:widowControl/>
        <w:spacing w:line="360" w:lineRule="auto"/>
        <w:ind w:firstLine="1440"/>
        <w:rPr>
          <w:sz w:val="26"/>
          <w:szCs w:val="26"/>
        </w:rPr>
      </w:pPr>
      <w:r w:rsidRPr="00217AC0">
        <w:rPr>
          <w:sz w:val="26"/>
          <w:szCs w:val="26"/>
        </w:rPr>
        <w:t>In its Exception No. 5, the City challenges the ALJ’s contingent recommendation that, if the Commission determines that adjustments to the City's individual expense claims are necessary, then the Commission should accept the OCA’s proposal to normalize water filtration equipment maintenance expense based on a three-year average.  The City contends that, if the Commission determines that adjustments to the City's individual expense claims should be considered, then the Commission should accept the City's claim for water filtration equipment maintenance expense.  City Exc. at</w:t>
      </w:r>
      <w:r w:rsidR="00F07D28">
        <w:rPr>
          <w:sz w:val="26"/>
          <w:szCs w:val="26"/>
        </w:rPr>
        <w:t> </w:t>
      </w:r>
      <w:r w:rsidRPr="00217AC0">
        <w:rPr>
          <w:sz w:val="26"/>
          <w:szCs w:val="26"/>
        </w:rPr>
        <w:t>7 (citing</w:t>
      </w:r>
      <w:r w:rsidR="007A7263" w:rsidRPr="00217AC0">
        <w:rPr>
          <w:sz w:val="26"/>
          <w:szCs w:val="26"/>
        </w:rPr>
        <w:t>,</w:t>
      </w:r>
      <w:r w:rsidRPr="00217AC0">
        <w:rPr>
          <w:sz w:val="26"/>
          <w:szCs w:val="26"/>
        </w:rPr>
        <w:t xml:space="preserve"> R.D. at 43).</w:t>
      </w:r>
    </w:p>
    <w:p w14:paraId="07994B03" w14:textId="77777777" w:rsidR="0037012B" w:rsidRPr="00217AC0" w:rsidRDefault="0037012B" w:rsidP="00217AC0">
      <w:pPr>
        <w:widowControl/>
        <w:spacing w:line="360" w:lineRule="auto"/>
        <w:rPr>
          <w:sz w:val="26"/>
          <w:szCs w:val="26"/>
        </w:rPr>
      </w:pPr>
    </w:p>
    <w:p w14:paraId="1EDF6EDC" w14:textId="35692C8F" w:rsidR="0037012B" w:rsidRPr="00217AC0" w:rsidRDefault="0037012B" w:rsidP="00217AC0">
      <w:pPr>
        <w:widowControl/>
        <w:spacing w:line="360" w:lineRule="auto"/>
        <w:ind w:firstLine="1440"/>
        <w:rPr>
          <w:sz w:val="26"/>
          <w:szCs w:val="26"/>
        </w:rPr>
      </w:pPr>
      <w:r w:rsidRPr="00217AC0">
        <w:rPr>
          <w:sz w:val="26"/>
          <w:szCs w:val="26"/>
        </w:rPr>
        <w:t xml:space="preserve">The City addresses the ALJ’s conclusion that the City did not present sufficient evidence to support its claim that equipment maintenance expense incurred in 2019 represents the level of expense going forward.  The City repeats its argument that the equipment maintenance expense incurred in 2019 was based on the actual expense incurred during 2019 and was due to necessary and emergency repairs, which the City </w:t>
      </w:r>
      <w:r w:rsidRPr="00217AC0">
        <w:rPr>
          <w:sz w:val="26"/>
          <w:szCs w:val="26"/>
        </w:rPr>
        <w:lastRenderedPageBreak/>
        <w:t>experiences every year in order to operate and maintain an aging plant and infrastructure and meet all regulatory requirements.  Further, the City maintains that, although the expense incurred in 2019 is higher than the previous two years, equipment maintenance expense was reasonably incurred in 2019 and should be accepted as the reasonable and appropriate level of the expense going forward.  City Exc. at 7-8 (citing</w:t>
      </w:r>
      <w:r w:rsidR="007A7263" w:rsidRPr="00217AC0">
        <w:rPr>
          <w:sz w:val="26"/>
          <w:szCs w:val="26"/>
        </w:rPr>
        <w:t xml:space="preserve">, </w:t>
      </w:r>
      <w:r w:rsidRPr="00217AC0">
        <w:rPr>
          <w:sz w:val="26"/>
          <w:szCs w:val="26"/>
        </w:rPr>
        <w:t>R.D. at 43, City</w:t>
      </w:r>
      <w:r w:rsidR="00F07D28">
        <w:rPr>
          <w:sz w:val="26"/>
          <w:szCs w:val="26"/>
        </w:rPr>
        <w:t> </w:t>
      </w:r>
      <w:r w:rsidRPr="00217AC0">
        <w:rPr>
          <w:sz w:val="26"/>
          <w:szCs w:val="26"/>
        </w:rPr>
        <w:t>M.B. at 30-31; City R.B. at 14).</w:t>
      </w:r>
    </w:p>
    <w:p w14:paraId="7CACAD4F" w14:textId="77777777" w:rsidR="0037012B" w:rsidRPr="00217AC0" w:rsidRDefault="0037012B" w:rsidP="00217AC0">
      <w:pPr>
        <w:widowControl/>
        <w:spacing w:line="360" w:lineRule="auto"/>
        <w:rPr>
          <w:sz w:val="26"/>
          <w:szCs w:val="26"/>
        </w:rPr>
      </w:pPr>
    </w:p>
    <w:p w14:paraId="0781A32B" w14:textId="35C9434F" w:rsidR="0037012B" w:rsidRPr="00217AC0" w:rsidRDefault="0037012B" w:rsidP="00217AC0">
      <w:pPr>
        <w:widowControl/>
        <w:spacing w:line="360" w:lineRule="auto"/>
        <w:ind w:firstLine="1440"/>
        <w:rPr>
          <w:sz w:val="26"/>
          <w:szCs w:val="26"/>
        </w:rPr>
      </w:pPr>
      <w:r w:rsidRPr="00217AC0">
        <w:rPr>
          <w:sz w:val="26"/>
          <w:szCs w:val="26"/>
        </w:rPr>
        <w:t>In its Reply to the City’s Exception No. 5, the OCA counters that, the ALJ’s recommendation that if the</w:t>
      </w:r>
      <w:r w:rsidR="007A7263" w:rsidRPr="00217AC0">
        <w:rPr>
          <w:sz w:val="26"/>
          <w:szCs w:val="26"/>
        </w:rPr>
        <w:t xml:space="preserve"> </w:t>
      </w:r>
      <w:r w:rsidRPr="00217AC0">
        <w:rPr>
          <w:sz w:val="26"/>
          <w:szCs w:val="26"/>
        </w:rPr>
        <w:t>Settlement is</w:t>
      </w:r>
      <w:r w:rsidR="00C92D4F" w:rsidRPr="00217AC0">
        <w:rPr>
          <w:sz w:val="26"/>
          <w:szCs w:val="26"/>
        </w:rPr>
        <w:t xml:space="preserve"> not</w:t>
      </w:r>
      <w:r w:rsidRPr="00217AC0">
        <w:rPr>
          <w:sz w:val="26"/>
          <w:szCs w:val="26"/>
        </w:rPr>
        <w:t xml:space="preserve"> adopted then the Commission should normalize water filtration equipment expense based on a three-year average, is reasonable and appropriate.  The OCA contends that, the ALJ’s determination that the City did not provide sufficient evidence to prove that all of the expenses associated with water filtration equipment maintenance are normally occurring and prudent, is consistent with the evidence in this case.  Further, the OCA notes that, the City admitted in its response to I&amp;E’s interrogatories that “one of these expenses contains fluctuating expenses.”  OCA R. Exc. at 7 (citing R.D. at 41).  Moreover, the OCA repeats its position that the City failed to “articulate” why normalizing water filtration equipment maintenance expense is not suitable if necessary and emergency repairs occur each year.  OCA R. Exc. at 7.</w:t>
      </w:r>
    </w:p>
    <w:p w14:paraId="4D839EF4" w14:textId="77777777" w:rsidR="0037012B" w:rsidRPr="00217AC0" w:rsidRDefault="0037012B" w:rsidP="00217AC0">
      <w:pPr>
        <w:widowControl/>
        <w:spacing w:line="360" w:lineRule="auto"/>
        <w:rPr>
          <w:sz w:val="26"/>
          <w:szCs w:val="26"/>
        </w:rPr>
      </w:pPr>
    </w:p>
    <w:p w14:paraId="27A0F1A9" w14:textId="501E36D1" w:rsidR="0037012B" w:rsidRPr="00217AC0" w:rsidRDefault="0037012B" w:rsidP="00217AC0">
      <w:pPr>
        <w:pStyle w:val="Heading3"/>
        <w:ind w:left="1440" w:hanging="720"/>
      </w:pPr>
      <w:bookmarkStart w:id="100" w:name="_Toc69230570"/>
      <w:r w:rsidRPr="00217AC0">
        <w:t>Disposition</w:t>
      </w:r>
      <w:bookmarkEnd w:id="100"/>
    </w:p>
    <w:p w14:paraId="5BC21CF5" w14:textId="4EE980FC" w:rsidR="0037012B" w:rsidRPr="00217AC0" w:rsidRDefault="0037012B" w:rsidP="00217AC0">
      <w:pPr>
        <w:widowControl/>
        <w:spacing w:line="360" w:lineRule="auto"/>
        <w:rPr>
          <w:sz w:val="26"/>
          <w:szCs w:val="26"/>
        </w:rPr>
      </w:pPr>
    </w:p>
    <w:p w14:paraId="27D8D4D4" w14:textId="6A4EBAF8" w:rsidR="000E4C7B" w:rsidRPr="00217AC0" w:rsidRDefault="000E4C7B" w:rsidP="00217AC0">
      <w:pPr>
        <w:widowControl/>
        <w:spacing w:line="360" w:lineRule="auto"/>
        <w:ind w:firstLine="1440"/>
        <w:rPr>
          <w:sz w:val="26"/>
          <w:szCs w:val="26"/>
        </w:rPr>
      </w:pPr>
      <w:r w:rsidRPr="00217AC0">
        <w:rPr>
          <w:sz w:val="26"/>
          <w:szCs w:val="26"/>
        </w:rPr>
        <w:t>As previously discussed, although he recommended approval of the</w:t>
      </w:r>
      <w:r w:rsidR="007A7263" w:rsidRPr="00217AC0">
        <w:rPr>
          <w:sz w:val="26"/>
          <w:szCs w:val="26"/>
        </w:rPr>
        <w:t xml:space="preserve"> </w:t>
      </w:r>
      <w:r w:rsidRPr="00217AC0">
        <w:rPr>
          <w:sz w:val="26"/>
          <w:szCs w:val="26"/>
        </w:rPr>
        <w:t xml:space="preserve">Settlement, ALJ Haas addressed the OCA’s proposed adjustments to water filtration expenses in the event that the Commission determines that adjustments to the expense claims are necessary.  Therefore, if the Commission adopts the Recommended Decision and approves the Joint Petition, without modification, further discussion of the water filtration equipment maintenance expense adjustments proposed by the OCA is not necessary.  </w:t>
      </w:r>
      <w:r w:rsidRPr="00217AC0">
        <w:rPr>
          <w:i/>
          <w:iCs/>
          <w:sz w:val="26"/>
          <w:szCs w:val="26"/>
        </w:rPr>
        <w:t>See</w:t>
      </w:r>
      <w:r w:rsidRPr="00217AC0">
        <w:rPr>
          <w:sz w:val="26"/>
          <w:szCs w:val="26"/>
        </w:rPr>
        <w:t xml:space="preserve"> R.D. at 1.  </w:t>
      </w:r>
    </w:p>
    <w:p w14:paraId="2D2C19B8" w14:textId="6967A5E4" w:rsidR="00FE03E6" w:rsidRPr="00217AC0" w:rsidRDefault="00C92D4F" w:rsidP="00217AC0">
      <w:pPr>
        <w:widowControl/>
        <w:spacing w:line="360" w:lineRule="auto"/>
        <w:ind w:firstLine="1440"/>
        <w:rPr>
          <w:sz w:val="26"/>
          <w:szCs w:val="26"/>
        </w:rPr>
      </w:pPr>
      <w:r w:rsidRPr="00217AC0">
        <w:rPr>
          <w:sz w:val="26"/>
          <w:szCs w:val="26"/>
        </w:rPr>
        <w:lastRenderedPageBreak/>
        <w:t>In his alternative recommendation, t</w:t>
      </w:r>
      <w:r w:rsidR="00FE03E6" w:rsidRPr="00217AC0">
        <w:rPr>
          <w:sz w:val="26"/>
          <w:szCs w:val="26"/>
        </w:rPr>
        <w:t>he ALJ determined that the City did not provide “sufficient evidence” to support its claim that the 2019 amount of equipment maintenance expense represents the level of expense moving forward.  R.D. at 43.  The City claimed that its 2019 level of equipment maintenance expense, while larger than the previous two years, includes expenses for necessary and emergency repairs that occur each year.  City Exc. at 7; City R.B. at 14.  Beyond arguing that its 2019 equipment maintenance expense includes expenses for yearly repairs and maintenance, the City did not specify why this category of expenses should not be based on normalization going forward.  Nevertheless,</w:t>
      </w:r>
      <w:r w:rsidRPr="00217AC0">
        <w:rPr>
          <w:sz w:val="26"/>
          <w:szCs w:val="26"/>
        </w:rPr>
        <w:t xml:space="preserve"> </w:t>
      </w:r>
      <w:r w:rsidR="00FE03E6" w:rsidRPr="00217AC0">
        <w:rPr>
          <w:sz w:val="26"/>
          <w:szCs w:val="26"/>
        </w:rPr>
        <w:t>the City’s Exception No. 5 has been rendered immaterial, as it challenges an individual expense component which is not determinative to our disposition above pertaining to the reasonableness of the Settlement, we therefore deny the City’s Exception No. 5.</w:t>
      </w:r>
    </w:p>
    <w:p w14:paraId="6F0626D3" w14:textId="77777777" w:rsidR="000E4C7B" w:rsidRPr="00217AC0" w:rsidRDefault="000E4C7B" w:rsidP="00217AC0">
      <w:pPr>
        <w:widowControl/>
        <w:spacing w:line="360" w:lineRule="auto"/>
        <w:rPr>
          <w:sz w:val="26"/>
          <w:szCs w:val="26"/>
        </w:rPr>
      </w:pPr>
    </w:p>
    <w:p w14:paraId="244EC785" w14:textId="56C3669B" w:rsidR="00683ABA" w:rsidRPr="00217AC0" w:rsidRDefault="00B50E07" w:rsidP="00217AC0">
      <w:pPr>
        <w:pStyle w:val="Heading2"/>
        <w:widowControl/>
        <w:ind w:hanging="720"/>
      </w:pPr>
      <w:bookmarkStart w:id="101" w:name="_Toc69230571"/>
      <w:r w:rsidRPr="00217AC0">
        <w:t>Depreciation Expense</w:t>
      </w:r>
      <w:bookmarkEnd w:id="101"/>
    </w:p>
    <w:p w14:paraId="214422E6" w14:textId="115A1990" w:rsidR="00B50E07" w:rsidRPr="00217AC0" w:rsidRDefault="00B50E07" w:rsidP="00217AC0">
      <w:pPr>
        <w:keepNext/>
        <w:widowControl/>
        <w:spacing w:line="360" w:lineRule="auto"/>
        <w:rPr>
          <w:sz w:val="26"/>
          <w:szCs w:val="26"/>
        </w:rPr>
      </w:pPr>
    </w:p>
    <w:p w14:paraId="5899103A" w14:textId="0BD10C89" w:rsidR="00A40132" w:rsidRPr="00217AC0" w:rsidRDefault="00A40132" w:rsidP="00217AC0">
      <w:pPr>
        <w:pStyle w:val="Heading3"/>
        <w:keepNext/>
        <w:numPr>
          <w:ilvl w:val="0"/>
          <w:numId w:val="20"/>
        </w:numPr>
        <w:tabs>
          <w:tab w:val="num" w:pos="360"/>
        </w:tabs>
        <w:ind w:left="1440" w:hanging="720"/>
        <w:rPr>
          <w:rFonts w:eastAsiaTheme="minorHAnsi"/>
        </w:rPr>
      </w:pPr>
      <w:bookmarkStart w:id="102" w:name="_Toc69230572"/>
      <w:r w:rsidRPr="00217AC0">
        <w:rPr>
          <w:rFonts w:eastAsiaTheme="minorHAnsi"/>
        </w:rPr>
        <w:t>Positions of the Parties</w:t>
      </w:r>
      <w:bookmarkEnd w:id="102"/>
    </w:p>
    <w:p w14:paraId="6DDA9778" w14:textId="77777777" w:rsidR="00EF6904" w:rsidRPr="00217AC0" w:rsidRDefault="00EF6904" w:rsidP="00217AC0">
      <w:pPr>
        <w:keepNext/>
        <w:widowControl/>
        <w:rPr>
          <w:rFonts w:eastAsiaTheme="minorHAnsi"/>
          <w:sz w:val="26"/>
          <w:szCs w:val="26"/>
        </w:rPr>
      </w:pPr>
    </w:p>
    <w:p w14:paraId="03105BBD" w14:textId="53DED407" w:rsidR="00A40132" w:rsidRPr="00C92CD6" w:rsidRDefault="00A94D28" w:rsidP="00C92CD6">
      <w:pPr>
        <w:widowControl/>
        <w:spacing w:line="360" w:lineRule="auto"/>
        <w:ind w:firstLine="1440"/>
        <w:rPr>
          <w:sz w:val="26"/>
          <w:szCs w:val="26"/>
        </w:rPr>
      </w:pPr>
      <w:r w:rsidRPr="00217AC0">
        <w:rPr>
          <w:rFonts w:eastAsiaTheme="minorHAnsi"/>
          <w:sz w:val="26"/>
          <w:szCs w:val="26"/>
        </w:rPr>
        <w:t xml:space="preserve">The City originally claimed a total </w:t>
      </w:r>
      <w:r w:rsidR="00B661D5" w:rsidRPr="00217AC0">
        <w:rPr>
          <w:rFonts w:eastAsiaTheme="minorHAnsi"/>
          <w:sz w:val="26"/>
          <w:szCs w:val="26"/>
        </w:rPr>
        <w:t>pro forma</w:t>
      </w:r>
      <w:r w:rsidRPr="00217AC0">
        <w:rPr>
          <w:rFonts w:eastAsiaTheme="minorHAnsi"/>
          <w:sz w:val="26"/>
          <w:szCs w:val="26"/>
        </w:rPr>
        <w:t xml:space="preserve"> depreciation expense of $2,675,569 for the FTY.  City Exh. CEH-1 at 11.  Of this $2,675,569, $1,036,879, or 38.75%, was allocated to </w:t>
      </w:r>
      <w:r w:rsidR="0002784E" w:rsidRPr="00217AC0">
        <w:rPr>
          <w:rFonts w:eastAsiaTheme="minorHAnsi"/>
          <w:sz w:val="26"/>
          <w:szCs w:val="26"/>
        </w:rPr>
        <w:t>outside-City customers</w:t>
      </w:r>
      <w:r w:rsidRPr="00217AC0">
        <w:rPr>
          <w:rFonts w:eastAsiaTheme="minorHAnsi"/>
          <w:sz w:val="26"/>
          <w:szCs w:val="26"/>
        </w:rPr>
        <w:t>.</w:t>
      </w:r>
      <w:r w:rsidR="002A732A" w:rsidRPr="00217AC0">
        <w:rPr>
          <w:rFonts w:eastAsiaTheme="minorHAnsi"/>
          <w:sz w:val="26"/>
          <w:szCs w:val="26"/>
        </w:rPr>
        <w:t xml:space="preserve">  </w:t>
      </w:r>
      <w:r w:rsidR="002A732A" w:rsidRPr="00217AC0">
        <w:rPr>
          <w:sz w:val="26"/>
          <w:szCs w:val="26"/>
        </w:rPr>
        <w:t xml:space="preserve">City St. No. 1, Attachment 1 at 13.  </w:t>
      </w:r>
      <w:r w:rsidR="000337CA" w:rsidRPr="00217AC0">
        <w:rPr>
          <w:sz w:val="26"/>
          <w:szCs w:val="26"/>
        </w:rPr>
        <w:t>As discussed previously, based on the removal of three specific projects from the City’s budgeted FTY plant additions discussed in the rebuttal testimony of Mr. Spanos,</w:t>
      </w:r>
      <w:r w:rsidR="000337CA" w:rsidRPr="00217AC0">
        <w:rPr>
          <w:rStyle w:val="FootnoteReference"/>
          <w:sz w:val="26"/>
          <w:szCs w:val="26"/>
        </w:rPr>
        <w:footnoteReference w:id="36"/>
      </w:r>
      <w:r w:rsidR="000337CA" w:rsidRPr="00217AC0">
        <w:rPr>
          <w:sz w:val="26"/>
          <w:szCs w:val="26"/>
        </w:rPr>
        <w:t xml:space="preserve"> the City reduced its total FTY depreciation expense claim by $3,387 to $2,672,182.  City St. No. 1R at 13-14; City Exh. CEH-1R at 2.  </w:t>
      </w:r>
      <w:r w:rsidR="00550883" w:rsidRPr="00217AC0">
        <w:rPr>
          <w:rFonts w:eastAsiaTheme="minorHAnsi"/>
          <w:sz w:val="26"/>
          <w:szCs w:val="26"/>
        </w:rPr>
        <w:t>However, as a result of changes to allocation factors,</w:t>
      </w:r>
      <w:r w:rsidR="00550883" w:rsidRPr="00217AC0">
        <w:rPr>
          <w:rStyle w:val="FootnoteReference"/>
          <w:rFonts w:eastAsiaTheme="minorHAnsi"/>
          <w:sz w:val="26"/>
          <w:szCs w:val="26"/>
        </w:rPr>
        <w:footnoteReference w:id="37"/>
      </w:r>
      <w:r w:rsidR="00550883" w:rsidRPr="00217AC0">
        <w:rPr>
          <w:rFonts w:eastAsiaTheme="minorHAnsi"/>
          <w:sz w:val="26"/>
          <w:szCs w:val="26"/>
        </w:rPr>
        <w:t xml:space="preserve"> the amount allocated to jurisdictional outside-City customers increased by $6,596 to $1,043,475.  City Exh. CEH-1R at 4.  </w:t>
      </w:r>
    </w:p>
    <w:p w14:paraId="2633B4B7" w14:textId="730CAC54" w:rsidR="00E92C54" w:rsidRPr="00217AC0" w:rsidRDefault="00363489" w:rsidP="00C92CD6">
      <w:pPr>
        <w:widowControl/>
        <w:spacing w:line="360" w:lineRule="auto"/>
        <w:ind w:firstLine="1440"/>
        <w:rPr>
          <w:rFonts w:eastAsiaTheme="minorHAnsi"/>
          <w:sz w:val="26"/>
          <w:szCs w:val="26"/>
        </w:rPr>
      </w:pPr>
      <w:r w:rsidRPr="00217AC0">
        <w:rPr>
          <w:rFonts w:eastAsiaTheme="minorHAnsi"/>
          <w:sz w:val="26"/>
          <w:szCs w:val="26"/>
        </w:rPr>
        <w:lastRenderedPageBreak/>
        <w:t xml:space="preserve">As previously noted, two forecasted plant projects remain </w:t>
      </w:r>
      <w:r w:rsidR="00A107C0" w:rsidRPr="00217AC0">
        <w:rPr>
          <w:rFonts w:eastAsiaTheme="minorHAnsi"/>
          <w:sz w:val="26"/>
          <w:szCs w:val="26"/>
        </w:rPr>
        <w:t>contested by the OCA</w:t>
      </w:r>
      <w:r w:rsidRPr="00217AC0">
        <w:rPr>
          <w:rFonts w:eastAsiaTheme="minorHAnsi"/>
          <w:sz w:val="26"/>
          <w:szCs w:val="26"/>
        </w:rPr>
        <w:t>:</w:t>
      </w:r>
      <w:r w:rsidR="00674579" w:rsidRPr="00217AC0">
        <w:rPr>
          <w:rFonts w:eastAsiaTheme="minorHAnsi"/>
          <w:sz w:val="26"/>
          <w:szCs w:val="26"/>
        </w:rPr>
        <w:t xml:space="preserve"> </w:t>
      </w:r>
      <w:r w:rsidRPr="00217AC0">
        <w:rPr>
          <w:rFonts w:eastAsiaTheme="minorHAnsi"/>
          <w:sz w:val="26"/>
          <w:szCs w:val="26"/>
        </w:rPr>
        <w:t>(1) the emergency generator at the water treatment plant under Account 312.30 and (2) the fire pump station engineering and construction under Account 316.</w:t>
      </w:r>
      <w:r w:rsidR="006B654E" w:rsidRPr="00217AC0">
        <w:rPr>
          <w:rFonts w:eastAsiaTheme="minorHAnsi"/>
          <w:sz w:val="26"/>
          <w:szCs w:val="26"/>
        </w:rPr>
        <w:t xml:space="preserve">  In surrebuttal testimony, the OCA noted that the depreciation expense for the remaining two contested projects was $24,049, of which $9,892 was allocated to outside-City customers.  OCA Sch. SLS-8S.  The OCA averred the outside-City values for the emergency generator and the fire pump station are $5,668 and $4,224, respectively</w:t>
      </w:r>
      <w:r w:rsidR="00364F5A" w:rsidRPr="00217AC0">
        <w:rPr>
          <w:rFonts w:eastAsiaTheme="minorHAnsi"/>
          <w:sz w:val="26"/>
          <w:szCs w:val="26"/>
        </w:rPr>
        <w:t>, and, like the rate base claims for these projects, the related claims for depreciation expense, accordingly, should be removed</w:t>
      </w:r>
      <w:r w:rsidR="006B654E" w:rsidRPr="00217AC0">
        <w:rPr>
          <w:rFonts w:eastAsiaTheme="minorHAnsi"/>
          <w:sz w:val="26"/>
          <w:szCs w:val="26"/>
        </w:rPr>
        <w:t xml:space="preserve">.  </w:t>
      </w:r>
      <w:r w:rsidR="006B654E" w:rsidRPr="00217AC0">
        <w:rPr>
          <w:rFonts w:eastAsiaTheme="minorHAnsi"/>
          <w:i/>
          <w:iCs/>
          <w:sz w:val="26"/>
          <w:szCs w:val="26"/>
        </w:rPr>
        <w:t>Id</w:t>
      </w:r>
      <w:r w:rsidR="006B654E" w:rsidRPr="00217AC0">
        <w:rPr>
          <w:rFonts w:eastAsiaTheme="minorHAnsi"/>
          <w:sz w:val="26"/>
          <w:szCs w:val="26"/>
        </w:rPr>
        <w:t xml:space="preserve">.  </w:t>
      </w:r>
    </w:p>
    <w:p w14:paraId="7907B362" w14:textId="77777777" w:rsidR="002A732A" w:rsidRPr="00217AC0" w:rsidRDefault="002A732A" w:rsidP="00217AC0">
      <w:pPr>
        <w:widowControl/>
        <w:spacing w:line="360" w:lineRule="auto"/>
        <w:rPr>
          <w:rFonts w:eastAsiaTheme="minorHAnsi"/>
          <w:sz w:val="26"/>
          <w:szCs w:val="26"/>
        </w:rPr>
      </w:pPr>
    </w:p>
    <w:p w14:paraId="259C0CE5" w14:textId="77777777" w:rsidR="00A40132" w:rsidRPr="00217AC0" w:rsidRDefault="00A40132" w:rsidP="00217AC0">
      <w:pPr>
        <w:pStyle w:val="Heading3"/>
        <w:keepNext/>
        <w:ind w:left="1440" w:hanging="720"/>
        <w:rPr>
          <w:rFonts w:eastAsiaTheme="minorHAnsi"/>
        </w:rPr>
      </w:pPr>
      <w:bookmarkStart w:id="103" w:name="_Toc69230573"/>
      <w:r w:rsidRPr="00217AC0">
        <w:rPr>
          <w:rFonts w:eastAsiaTheme="minorHAnsi"/>
        </w:rPr>
        <w:t>Recommended Decision</w:t>
      </w:r>
      <w:bookmarkEnd w:id="103"/>
    </w:p>
    <w:p w14:paraId="6EA77F9D" w14:textId="77777777" w:rsidR="00A40132" w:rsidRPr="00217AC0" w:rsidRDefault="00A40132" w:rsidP="00217AC0">
      <w:pPr>
        <w:keepNext/>
        <w:widowControl/>
        <w:spacing w:line="360" w:lineRule="auto"/>
        <w:ind w:left="1440" w:hanging="720"/>
        <w:rPr>
          <w:rFonts w:eastAsiaTheme="minorHAnsi"/>
          <w:sz w:val="26"/>
          <w:szCs w:val="26"/>
        </w:rPr>
      </w:pPr>
    </w:p>
    <w:p w14:paraId="2AD79363" w14:textId="485407F3" w:rsidR="00A40132" w:rsidRPr="00217AC0" w:rsidRDefault="007C2922" w:rsidP="00217AC0">
      <w:pPr>
        <w:keepNext/>
        <w:widowControl/>
        <w:spacing w:line="360" w:lineRule="auto"/>
        <w:ind w:firstLine="1440"/>
        <w:rPr>
          <w:rFonts w:eastAsiaTheme="minorHAnsi"/>
          <w:sz w:val="26"/>
          <w:szCs w:val="26"/>
        </w:rPr>
      </w:pPr>
      <w:r w:rsidRPr="00217AC0">
        <w:rPr>
          <w:rFonts w:eastAsiaTheme="minorHAnsi"/>
          <w:sz w:val="26"/>
          <w:szCs w:val="26"/>
        </w:rPr>
        <w:t>Consistent with his</w:t>
      </w:r>
      <w:r w:rsidR="00C92D4F" w:rsidRPr="00217AC0">
        <w:rPr>
          <w:rFonts w:eastAsiaTheme="minorHAnsi"/>
          <w:sz w:val="26"/>
          <w:szCs w:val="26"/>
        </w:rPr>
        <w:t xml:space="preserve"> alternative</w:t>
      </w:r>
      <w:r w:rsidRPr="00217AC0">
        <w:rPr>
          <w:rFonts w:eastAsiaTheme="minorHAnsi"/>
          <w:sz w:val="26"/>
          <w:szCs w:val="26"/>
        </w:rPr>
        <w:t xml:space="preserve"> recommendation to exclude the Fire Pump Station project from the City’s rate base,</w:t>
      </w:r>
      <w:r w:rsidR="00140412" w:rsidRPr="00217AC0">
        <w:rPr>
          <w:rFonts w:eastAsiaTheme="minorHAnsi"/>
          <w:sz w:val="26"/>
          <w:szCs w:val="26"/>
        </w:rPr>
        <w:t xml:space="preserve"> which is contingent upon the Commission choosing not to approve the Settlement, without modification,</w:t>
      </w:r>
      <w:r w:rsidRPr="00217AC0">
        <w:rPr>
          <w:rFonts w:eastAsiaTheme="minorHAnsi"/>
          <w:sz w:val="26"/>
          <w:szCs w:val="26"/>
        </w:rPr>
        <w:t xml:space="preserve"> the ALJ recommended that the Commission adopt the OCA’s associated adjustment </w:t>
      </w:r>
      <w:r w:rsidR="002B472E" w:rsidRPr="00217AC0">
        <w:rPr>
          <w:rFonts w:eastAsiaTheme="minorHAnsi"/>
          <w:sz w:val="26"/>
          <w:szCs w:val="26"/>
        </w:rPr>
        <w:t>to</w:t>
      </w:r>
      <w:r w:rsidRPr="00217AC0">
        <w:rPr>
          <w:rFonts w:eastAsiaTheme="minorHAnsi"/>
          <w:sz w:val="26"/>
          <w:szCs w:val="26"/>
        </w:rPr>
        <w:t xml:space="preserve"> depreciation expense</w:t>
      </w:r>
      <w:r w:rsidR="002B472E" w:rsidRPr="00217AC0">
        <w:rPr>
          <w:rFonts w:eastAsiaTheme="minorHAnsi"/>
          <w:sz w:val="26"/>
          <w:szCs w:val="26"/>
        </w:rPr>
        <w:t xml:space="preserve"> for the Fire Pump Station</w:t>
      </w:r>
      <w:r w:rsidRPr="00217AC0">
        <w:rPr>
          <w:rFonts w:eastAsiaTheme="minorHAnsi"/>
          <w:sz w:val="26"/>
          <w:szCs w:val="26"/>
        </w:rPr>
        <w:t>.</w:t>
      </w:r>
      <w:r w:rsidR="000E31CD" w:rsidRPr="00217AC0">
        <w:rPr>
          <w:rFonts w:eastAsiaTheme="minorHAnsi"/>
          <w:sz w:val="26"/>
          <w:szCs w:val="26"/>
        </w:rPr>
        <w:t xml:space="preserve">  The ALJ referenced his discussion concerning the plant in service claims, noting his</w:t>
      </w:r>
      <w:r w:rsidR="00140412" w:rsidRPr="00217AC0">
        <w:rPr>
          <w:rFonts w:eastAsiaTheme="minorHAnsi"/>
          <w:sz w:val="26"/>
          <w:szCs w:val="26"/>
        </w:rPr>
        <w:t xml:space="preserve"> </w:t>
      </w:r>
      <w:r w:rsidR="00C92D4F" w:rsidRPr="00217AC0">
        <w:rPr>
          <w:rFonts w:eastAsiaTheme="minorHAnsi"/>
          <w:sz w:val="26"/>
          <w:szCs w:val="26"/>
        </w:rPr>
        <w:t xml:space="preserve">alternative </w:t>
      </w:r>
      <w:r w:rsidR="000E31CD" w:rsidRPr="00217AC0">
        <w:rPr>
          <w:rFonts w:eastAsiaTheme="minorHAnsi"/>
          <w:sz w:val="26"/>
          <w:szCs w:val="26"/>
        </w:rPr>
        <w:t>recommendation that the OCA’s arguments regarding the emergency generator should be rejected.  Accordingly, the ALJ’s</w:t>
      </w:r>
      <w:r w:rsidR="00C92D4F" w:rsidRPr="00217AC0">
        <w:rPr>
          <w:rFonts w:eastAsiaTheme="minorHAnsi"/>
          <w:sz w:val="26"/>
          <w:szCs w:val="26"/>
        </w:rPr>
        <w:t xml:space="preserve"> alternative</w:t>
      </w:r>
      <w:r w:rsidR="000E31CD" w:rsidRPr="00217AC0">
        <w:rPr>
          <w:rFonts w:eastAsiaTheme="minorHAnsi"/>
          <w:sz w:val="26"/>
          <w:szCs w:val="26"/>
        </w:rPr>
        <w:t xml:space="preserve"> recommendation did not include an associated adjustment to the City’s depreciation expense, regarding the emergency generator.  R.D. at 46. </w:t>
      </w:r>
    </w:p>
    <w:p w14:paraId="325EE230" w14:textId="77777777" w:rsidR="0089531E" w:rsidRPr="00217AC0" w:rsidRDefault="0089531E" w:rsidP="00217AC0">
      <w:pPr>
        <w:widowControl/>
        <w:spacing w:line="360" w:lineRule="auto"/>
        <w:rPr>
          <w:rFonts w:eastAsiaTheme="minorHAnsi"/>
          <w:sz w:val="26"/>
          <w:szCs w:val="26"/>
        </w:rPr>
      </w:pPr>
    </w:p>
    <w:p w14:paraId="2B3DFF6E" w14:textId="1C0E593B" w:rsidR="00A40132" w:rsidRPr="00217AC0" w:rsidRDefault="00416865" w:rsidP="00217AC0">
      <w:pPr>
        <w:pStyle w:val="Heading3"/>
        <w:keepNext/>
        <w:keepLines/>
        <w:ind w:left="1440" w:hanging="720"/>
        <w:rPr>
          <w:rFonts w:eastAsiaTheme="minorHAnsi"/>
        </w:rPr>
      </w:pPr>
      <w:bookmarkStart w:id="104" w:name="_Toc69230574"/>
      <w:r w:rsidRPr="00217AC0">
        <w:rPr>
          <w:rFonts w:eastAsiaTheme="minorHAnsi"/>
        </w:rPr>
        <w:t xml:space="preserve">City </w:t>
      </w:r>
      <w:r w:rsidR="00A40132" w:rsidRPr="00217AC0">
        <w:rPr>
          <w:rFonts w:eastAsiaTheme="minorHAnsi"/>
        </w:rPr>
        <w:t>Exception</w:t>
      </w:r>
      <w:r w:rsidRPr="00217AC0">
        <w:rPr>
          <w:rFonts w:eastAsiaTheme="minorHAnsi"/>
        </w:rPr>
        <w:t xml:space="preserve"> No. 6</w:t>
      </w:r>
      <w:r w:rsidR="00A40132" w:rsidRPr="00217AC0">
        <w:rPr>
          <w:rFonts w:eastAsiaTheme="minorHAnsi"/>
        </w:rPr>
        <w:t xml:space="preserve"> and Replies</w:t>
      </w:r>
      <w:bookmarkEnd w:id="104"/>
    </w:p>
    <w:p w14:paraId="047CD6DD" w14:textId="1E173725" w:rsidR="00A40132" w:rsidRPr="00217AC0" w:rsidRDefault="00A40132" w:rsidP="00217AC0">
      <w:pPr>
        <w:keepNext/>
        <w:keepLines/>
        <w:widowControl/>
        <w:spacing w:line="360" w:lineRule="auto"/>
        <w:ind w:left="1440" w:hanging="720"/>
        <w:rPr>
          <w:rFonts w:eastAsiaTheme="minorHAnsi"/>
          <w:sz w:val="26"/>
          <w:szCs w:val="26"/>
        </w:rPr>
      </w:pPr>
    </w:p>
    <w:p w14:paraId="7BAB4CDF" w14:textId="623C940C" w:rsidR="00DB776D" w:rsidRPr="00217AC0" w:rsidRDefault="008B163D" w:rsidP="00217AC0">
      <w:pPr>
        <w:keepNext/>
        <w:keepLines/>
        <w:widowControl/>
        <w:spacing w:line="360" w:lineRule="auto"/>
        <w:ind w:firstLine="1440"/>
        <w:rPr>
          <w:rFonts w:eastAsiaTheme="minorHAnsi"/>
          <w:sz w:val="26"/>
          <w:szCs w:val="26"/>
        </w:rPr>
      </w:pPr>
      <w:r w:rsidRPr="00217AC0">
        <w:rPr>
          <w:rFonts w:eastAsiaTheme="minorHAnsi"/>
          <w:sz w:val="26"/>
          <w:szCs w:val="26"/>
        </w:rPr>
        <w:t xml:space="preserve">In its Exception No. 6, the City </w:t>
      </w:r>
      <w:r w:rsidR="006C15E5" w:rsidRPr="00217AC0">
        <w:rPr>
          <w:rFonts w:eastAsiaTheme="minorHAnsi"/>
          <w:sz w:val="26"/>
          <w:szCs w:val="26"/>
        </w:rPr>
        <w:t xml:space="preserve">maintains that its claim for depreciation expense is just and reasonable and supported by the evidence of record.  Therefore, the City submits that its rate base claim for the Fire Pump Station and the related claim for depreciation expense should be accepted.  City Exc. at 8.  </w:t>
      </w:r>
    </w:p>
    <w:p w14:paraId="3E2CBE02" w14:textId="36BEEDC4" w:rsidR="008B163D" w:rsidRPr="00217AC0" w:rsidRDefault="008B163D" w:rsidP="00217AC0">
      <w:pPr>
        <w:widowControl/>
        <w:spacing w:line="360" w:lineRule="auto"/>
        <w:ind w:firstLine="1440"/>
        <w:rPr>
          <w:rFonts w:eastAsiaTheme="minorHAnsi"/>
          <w:sz w:val="26"/>
          <w:szCs w:val="26"/>
        </w:rPr>
      </w:pPr>
    </w:p>
    <w:p w14:paraId="7ECE036B" w14:textId="446E6BC3" w:rsidR="000F11FB" w:rsidRPr="00217AC0" w:rsidRDefault="000F11FB" w:rsidP="00217AC0">
      <w:pPr>
        <w:widowControl/>
        <w:spacing w:line="360" w:lineRule="auto"/>
        <w:ind w:firstLine="1440"/>
        <w:rPr>
          <w:rFonts w:eastAsiaTheme="minorHAnsi"/>
          <w:sz w:val="26"/>
          <w:szCs w:val="26"/>
        </w:rPr>
      </w:pPr>
      <w:r w:rsidRPr="00217AC0">
        <w:rPr>
          <w:rFonts w:eastAsiaTheme="minorHAnsi"/>
          <w:sz w:val="26"/>
          <w:szCs w:val="26"/>
        </w:rPr>
        <w:lastRenderedPageBreak/>
        <w:t>The OCA’s Replies maintain that the ALJ appropriately recommended a downward adjustment to</w:t>
      </w:r>
      <w:r w:rsidR="00A66E92" w:rsidRPr="00217AC0">
        <w:rPr>
          <w:rFonts w:eastAsiaTheme="minorHAnsi"/>
          <w:sz w:val="26"/>
          <w:szCs w:val="26"/>
        </w:rPr>
        <w:t xml:space="preserve"> the</w:t>
      </w:r>
      <w:r w:rsidRPr="00217AC0">
        <w:rPr>
          <w:rFonts w:eastAsiaTheme="minorHAnsi"/>
          <w:sz w:val="26"/>
          <w:szCs w:val="26"/>
        </w:rPr>
        <w:t xml:space="preserve"> City’s depreciation expense claim, related to the ALJ’s recommendation to adopt the OCA’s adjustment to exclude the Fire Pump Station from rate base, as discussed in </w:t>
      </w:r>
      <w:r w:rsidR="00C92D4F" w:rsidRPr="00217AC0">
        <w:rPr>
          <w:rFonts w:eastAsiaTheme="minorHAnsi"/>
          <w:sz w:val="26"/>
          <w:szCs w:val="26"/>
        </w:rPr>
        <w:t xml:space="preserve">the </w:t>
      </w:r>
      <w:r w:rsidRPr="00217AC0">
        <w:rPr>
          <w:rFonts w:eastAsiaTheme="minorHAnsi"/>
          <w:sz w:val="26"/>
          <w:szCs w:val="26"/>
        </w:rPr>
        <w:t xml:space="preserve">OCA’s Reply to the City’s Exception No. 1.  OCA R. Exc. at 8.  </w:t>
      </w:r>
      <w:r w:rsidR="006129FE" w:rsidRPr="00217AC0">
        <w:rPr>
          <w:rFonts w:eastAsiaTheme="minorHAnsi"/>
          <w:sz w:val="26"/>
          <w:szCs w:val="26"/>
        </w:rPr>
        <w:t>However, consistent with the OCA’s Exception No. 2, the OCA, accordingly, maintains that the related depreciation expense adjustment for the emergency generator should be accepted.</w:t>
      </w:r>
    </w:p>
    <w:p w14:paraId="444B7CBB" w14:textId="77777777" w:rsidR="00A40132" w:rsidRPr="00217AC0" w:rsidRDefault="00A40132" w:rsidP="00217AC0">
      <w:pPr>
        <w:widowControl/>
        <w:spacing w:line="360" w:lineRule="auto"/>
        <w:rPr>
          <w:rFonts w:eastAsiaTheme="minorHAnsi"/>
          <w:sz w:val="26"/>
          <w:szCs w:val="26"/>
        </w:rPr>
      </w:pPr>
    </w:p>
    <w:p w14:paraId="1EFCDE5D" w14:textId="77777777" w:rsidR="00A40132" w:rsidRPr="00217AC0" w:rsidRDefault="00A40132" w:rsidP="00217AC0">
      <w:pPr>
        <w:pStyle w:val="Heading3"/>
        <w:keepNext/>
        <w:ind w:left="1440" w:hanging="720"/>
        <w:rPr>
          <w:rFonts w:eastAsiaTheme="minorHAnsi"/>
        </w:rPr>
      </w:pPr>
      <w:bookmarkStart w:id="105" w:name="_Toc69230575"/>
      <w:r w:rsidRPr="00217AC0">
        <w:rPr>
          <w:rFonts w:eastAsiaTheme="minorHAnsi"/>
        </w:rPr>
        <w:t>Disposition</w:t>
      </w:r>
      <w:bookmarkEnd w:id="105"/>
    </w:p>
    <w:p w14:paraId="48935380" w14:textId="1076CEB5" w:rsidR="00A40132" w:rsidRPr="00217AC0" w:rsidRDefault="00A40132" w:rsidP="00217AC0">
      <w:pPr>
        <w:keepNext/>
        <w:widowControl/>
        <w:spacing w:line="360" w:lineRule="auto"/>
        <w:rPr>
          <w:sz w:val="26"/>
          <w:szCs w:val="26"/>
        </w:rPr>
      </w:pPr>
    </w:p>
    <w:p w14:paraId="1AE92C5B" w14:textId="58D19C75" w:rsidR="002B472E" w:rsidRPr="00217AC0" w:rsidRDefault="002B472E" w:rsidP="00217AC0">
      <w:pPr>
        <w:keepNext/>
        <w:widowControl/>
        <w:spacing w:line="360" w:lineRule="auto"/>
        <w:ind w:firstLine="1440"/>
        <w:rPr>
          <w:sz w:val="26"/>
          <w:szCs w:val="26"/>
        </w:rPr>
      </w:pPr>
      <w:r w:rsidRPr="00217AC0">
        <w:rPr>
          <w:sz w:val="26"/>
          <w:szCs w:val="26"/>
        </w:rPr>
        <w:t xml:space="preserve">For the reasons set forth in our dispositions of the issues pertaining to the OCA’s recommended adjustments to </w:t>
      </w:r>
      <w:r w:rsidR="005600D4" w:rsidRPr="00217AC0">
        <w:rPr>
          <w:sz w:val="26"/>
          <w:szCs w:val="26"/>
        </w:rPr>
        <w:t>plant in service</w:t>
      </w:r>
      <w:r w:rsidRPr="00217AC0">
        <w:rPr>
          <w:sz w:val="26"/>
          <w:szCs w:val="26"/>
        </w:rPr>
        <w:t xml:space="preserve">, reflective of its </w:t>
      </w:r>
      <w:r w:rsidR="005600D4" w:rsidRPr="00217AC0">
        <w:rPr>
          <w:sz w:val="26"/>
          <w:szCs w:val="26"/>
        </w:rPr>
        <w:t xml:space="preserve">position that both the Emergency Generator and Fire Pump Station projects should be excluded from the City’s FTY rate base claim, discussed </w:t>
      </w:r>
      <w:r w:rsidR="005600D4" w:rsidRPr="00217AC0">
        <w:rPr>
          <w:i/>
          <w:iCs/>
          <w:sz w:val="26"/>
          <w:szCs w:val="26"/>
        </w:rPr>
        <w:t>supra</w:t>
      </w:r>
      <w:r w:rsidR="005600D4" w:rsidRPr="00217AC0">
        <w:rPr>
          <w:sz w:val="26"/>
          <w:szCs w:val="26"/>
        </w:rPr>
        <w:t xml:space="preserve">, </w:t>
      </w:r>
      <w:r w:rsidR="00C92D4F" w:rsidRPr="00217AC0">
        <w:rPr>
          <w:sz w:val="26"/>
          <w:szCs w:val="26"/>
        </w:rPr>
        <w:t xml:space="preserve">while we adopt the Settlement, </w:t>
      </w:r>
      <w:r w:rsidR="005600D4" w:rsidRPr="00217AC0">
        <w:rPr>
          <w:sz w:val="26"/>
          <w:szCs w:val="26"/>
        </w:rPr>
        <w:t xml:space="preserve">we </w:t>
      </w:r>
      <w:r w:rsidR="00C92D4F" w:rsidRPr="00217AC0">
        <w:rPr>
          <w:sz w:val="26"/>
          <w:szCs w:val="26"/>
        </w:rPr>
        <w:t xml:space="preserve">also </w:t>
      </w:r>
      <w:r w:rsidR="005600D4" w:rsidRPr="00217AC0">
        <w:rPr>
          <w:sz w:val="26"/>
          <w:szCs w:val="26"/>
        </w:rPr>
        <w:t>find that the ALJ</w:t>
      </w:r>
      <w:r w:rsidR="00C92D4F" w:rsidRPr="00217AC0">
        <w:rPr>
          <w:sz w:val="26"/>
          <w:szCs w:val="26"/>
        </w:rPr>
        <w:t>, in his alternative recommendation,</w:t>
      </w:r>
      <w:r w:rsidR="005600D4" w:rsidRPr="00217AC0">
        <w:rPr>
          <w:sz w:val="26"/>
          <w:szCs w:val="26"/>
        </w:rPr>
        <w:t xml:space="preserve"> properly </w:t>
      </w:r>
      <w:r w:rsidR="006509A1" w:rsidRPr="00217AC0">
        <w:rPr>
          <w:sz w:val="26"/>
          <w:szCs w:val="26"/>
        </w:rPr>
        <w:t xml:space="preserve">excluded the Fire Pump Station from </w:t>
      </w:r>
      <w:r w:rsidR="005600D4" w:rsidRPr="00217AC0">
        <w:rPr>
          <w:sz w:val="26"/>
          <w:szCs w:val="26"/>
        </w:rPr>
        <w:t xml:space="preserve">the City’s </w:t>
      </w:r>
      <w:r w:rsidR="006509A1" w:rsidRPr="00217AC0">
        <w:rPr>
          <w:sz w:val="26"/>
          <w:szCs w:val="26"/>
        </w:rPr>
        <w:t>forecasted</w:t>
      </w:r>
      <w:r w:rsidR="005600D4" w:rsidRPr="00217AC0">
        <w:rPr>
          <w:sz w:val="26"/>
          <w:szCs w:val="26"/>
        </w:rPr>
        <w:t xml:space="preserve"> FTY plant in service</w:t>
      </w:r>
      <w:r w:rsidR="006509A1" w:rsidRPr="00217AC0">
        <w:rPr>
          <w:sz w:val="26"/>
          <w:szCs w:val="26"/>
        </w:rPr>
        <w:t>, and accordingly</w:t>
      </w:r>
      <w:r w:rsidR="00C92D4F" w:rsidRPr="00217AC0">
        <w:rPr>
          <w:sz w:val="26"/>
          <w:szCs w:val="26"/>
        </w:rPr>
        <w:t xml:space="preserve"> correctly recommended</w:t>
      </w:r>
      <w:r w:rsidR="006509A1" w:rsidRPr="00217AC0">
        <w:rPr>
          <w:sz w:val="26"/>
          <w:szCs w:val="26"/>
        </w:rPr>
        <w:t xml:space="preserve"> reduction to the City’s depreciation expense claim.</w:t>
      </w:r>
      <w:r w:rsidR="00253A84" w:rsidRPr="00217AC0">
        <w:rPr>
          <w:sz w:val="26"/>
          <w:szCs w:val="26"/>
        </w:rPr>
        <w:t xml:space="preserve">  However, given our disposition denying the OCA’s Exception No. 1 challenging the reasonableness of the Settlement, the City’s Exception No. 6, as well as the OCA’s Exception No. 2, discussed </w:t>
      </w:r>
      <w:r w:rsidR="00253A84" w:rsidRPr="00217AC0">
        <w:rPr>
          <w:i/>
          <w:iCs/>
          <w:sz w:val="26"/>
          <w:szCs w:val="26"/>
        </w:rPr>
        <w:t>supra</w:t>
      </w:r>
      <w:r w:rsidR="00253A84" w:rsidRPr="00217AC0">
        <w:rPr>
          <w:sz w:val="26"/>
          <w:szCs w:val="26"/>
        </w:rPr>
        <w:t xml:space="preserve">, are rendered immaterial, as they challenge an individual rate component which is not determinative to our disposition, and </w:t>
      </w:r>
      <w:r w:rsidR="00897B60" w:rsidRPr="00217AC0">
        <w:rPr>
          <w:sz w:val="26"/>
          <w:szCs w:val="26"/>
        </w:rPr>
        <w:t>they are</w:t>
      </w:r>
      <w:r w:rsidR="00253A84" w:rsidRPr="00217AC0">
        <w:rPr>
          <w:sz w:val="26"/>
          <w:szCs w:val="26"/>
        </w:rPr>
        <w:t xml:space="preserve"> therefore, denied.  </w:t>
      </w:r>
    </w:p>
    <w:p w14:paraId="7B83EFB5" w14:textId="77777777" w:rsidR="002B472E" w:rsidRPr="00217AC0" w:rsidRDefault="002B472E" w:rsidP="00217AC0">
      <w:pPr>
        <w:widowControl/>
        <w:spacing w:line="360" w:lineRule="auto"/>
        <w:ind w:firstLine="1440"/>
        <w:rPr>
          <w:sz w:val="26"/>
          <w:szCs w:val="26"/>
        </w:rPr>
      </w:pPr>
    </w:p>
    <w:p w14:paraId="47AB005C" w14:textId="2BAE76E8" w:rsidR="009566CA" w:rsidRPr="00217AC0" w:rsidRDefault="0091091D" w:rsidP="00217AC0">
      <w:pPr>
        <w:pStyle w:val="Heading2"/>
        <w:widowControl/>
        <w:ind w:hanging="720"/>
        <w:rPr>
          <w:rFonts w:eastAsiaTheme="minorHAnsi"/>
        </w:rPr>
      </w:pPr>
      <w:bookmarkStart w:id="106" w:name="_Toc69230576"/>
      <w:r w:rsidRPr="00217AC0">
        <w:rPr>
          <w:rFonts w:eastAsiaTheme="minorHAnsi"/>
        </w:rPr>
        <w:t xml:space="preserve">Fair </w:t>
      </w:r>
      <w:r w:rsidR="00C2425F" w:rsidRPr="00217AC0">
        <w:rPr>
          <w:rFonts w:eastAsiaTheme="minorHAnsi"/>
        </w:rPr>
        <w:t>Rate of Return</w:t>
      </w:r>
      <w:bookmarkEnd w:id="106"/>
    </w:p>
    <w:p w14:paraId="6E66B9EC" w14:textId="77777777" w:rsidR="009566CA" w:rsidRPr="00217AC0" w:rsidRDefault="009566CA" w:rsidP="00217AC0">
      <w:pPr>
        <w:keepNext/>
        <w:widowControl/>
        <w:spacing w:line="360" w:lineRule="auto"/>
        <w:rPr>
          <w:rFonts w:eastAsiaTheme="minorHAnsi"/>
          <w:sz w:val="26"/>
          <w:szCs w:val="26"/>
        </w:rPr>
      </w:pPr>
    </w:p>
    <w:p w14:paraId="63E5414C" w14:textId="5324D923" w:rsidR="00A40132" w:rsidRPr="00217AC0" w:rsidRDefault="00A40132" w:rsidP="00217AC0">
      <w:pPr>
        <w:pStyle w:val="Heading3"/>
        <w:keepNext/>
        <w:numPr>
          <w:ilvl w:val="0"/>
          <w:numId w:val="37"/>
        </w:numPr>
        <w:ind w:left="1440" w:hanging="720"/>
        <w:rPr>
          <w:rFonts w:eastAsiaTheme="minorHAnsi"/>
        </w:rPr>
      </w:pPr>
      <w:bookmarkStart w:id="107" w:name="_Toc69230577"/>
      <w:r w:rsidRPr="00217AC0">
        <w:rPr>
          <w:rFonts w:eastAsiaTheme="minorHAnsi"/>
        </w:rPr>
        <w:t>Positions of the Parties</w:t>
      </w:r>
      <w:bookmarkEnd w:id="107"/>
    </w:p>
    <w:p w14:paraId="6D06ECF4" w14:textId="77777777" w:rsidR="00A40132" w:rsidRPr="00217AC0" w:rsidRDefault="00A40132" w:rsidP="00217AC0">
      <w:pPr>
        <w:keepNext/>
        <w:widowControl/>
        <w:spacing w:line="360" w:lineRule="auto"/>
        <w:rPr>
          <w:rFonts w:eastAsiaTheme="minorHAnsi"/>
          <w:sz w:val="26"/>
          <w:szCs w:val="26"/>
        </w:rPr>
      </w:pPr>
    </w:p>
    <w:p w14:paraId="36332DE8" w14:textId="3573B162" w:rsidR="00DE398C" w:rsidRPr="00217AC0" w:rsidRDefault="00DE398C" w:rsidP="00217AC0">
      <w:pPr>
        <w:keepNext/>
        <w:widowControl/>
        <w:spacing w:line="360" w:lineRule="auto"/>
        <w:ind w:firstLine="1440"/>
        <w:rPr>
          <w:rFonts w:eastAsiaTheme="minorHAnsi"/>
          <w:sz w:val="26"/>
          <w:szCs w:val="26"/>
        </w:rPr>
      </w:pPr>
      <w:r w:rsidRPr="00217AC0">
        <w:rPr>
          <w:rFonts w:eastAsiaTheme="minorHAnsi"/>
          <w:sz w:val="26"/>
          <w:szCs w:val="26"/>
        </w:rPr>
        <w:t>The City clai</w:t>
      </w:r>
      <w:r w:rsidR="00DA13E9" w:rsidRPr="00217AC0">
        <w:rPr>
          <w:rFonts w:eastAsiaTheme="minorHAnsi"/>
          <w:sz w:val="26"/>
          <w:szCs w:val="26"/>
        </w:rPr>
        <w:t>med</w:t>
      </w:r>
      <w:r w:rsidRPr="00217AC0">
        <w:rPr>
          <w:rFonts w:eastAsiaTheme="minorHAnsi"/>
          <w:sz w:val="26"/>
          <w:szCs w:val="26"/>
        </w:rPr>
        <w:t xml:space="preserve"> an overall rate of return of 8.21%, utilizing a 10.20% return on equity.  City St. No. 2; Exh. HW-1, Sch. 2; City M.B. at 33.  It request</w:t>
      </w:r>
      <w:r w:rsidR="00DA13E9" w:rsidRPr="00217AC0">
        <w:rPr>
          <w:rFonts w:eastAsiaTheme="minorHAnsi"/>
          <w:sz w:val="26"/>
          <w:szCs w:val="26"/>
        </w:rPr>
        <w:t>ed</w:t>
      </w:r>
      <w:r w:rsidRPr="00217AC0">
        <w:rPr>
          <w:rFonts w:eastAsiaTheme="minorHAnsi"/>
          <w:sz w:val="26"/>
          <w:szCs w:val="26"/>
        </w:rPr>
        <w:t xml:space="preserve"> that if the Commission decides to adjust the City’s common equity cost rate to reflect the </w:t>
      </w:r>
      <w:r w:rsidRPr="00217AC0">
        <w:rPr>
          <w:rFonts w:eastAsiaTheme="minorHAnsi"/>
          <w:sz w:val="26"/>
          <w:szCs w:val="26"/>
        </w:rPr>
        <w:lastRenderedPageBreak/>
        <w:t xml:space="preserve">income tax status of the City’s “investors,” the City’s cost rate for common equity capital is 8.77% with an overall rate of return of 7.42%.  City St. No. 2 at 2.  </w:t>
      </w:r>
    </w:p>
    <w:p w14:paraId="6474E6A2" w14:textId="77777777" w:rsidR="00DE398C" w:rsidRPr="00217AC0" w:rsidRDefault="00DE398C" w:rsidP="00217AC0">
      <w:pPr>
        <w:widowControl/>
        <w:spacing w:line="360" w:lineRule="auto"/>
        <w:rPr>
          <w:rFonts w:eastAsiaTheme="minorHAnsi"/>
          <w:sz w:val="26"/>
          <w:szCs w:val="26"/>
        </w:rPr>
      </w:pPr>
    </w:p>
    <w:p w14:paraId="73C0CE62" w14:textId="58E4F256" w:rsidR="00DE398C" w:rsidRPr="00217AC0" w:rsidRDefault="00DE398C" w:rsidP="00217AC0">
      <w:pPr>
        <w:widowControl/>
        <w:spacing w:line="360" w:lineRule="auto"/>
        <w:ind w:firstLine="1440"/>
        <w:rPr>
          <w:rFonts w:eastAsiaTheme="minorHAnsi"/>
          <w:sz w:val="26"/>
          <w:szCs w:val="26"/>
        </w:rPr>
      </w:pPr>
      <w:r w:rsidRPr="00217AC0">
        <w:rPr>
          <w:rFonts w:eastAsiaTheme="minorHAnsi"/>
          <w:sz w:val="26"/>
          <w:szCs w:val="26"/>
        </w:rPr>
        <w:t xml:space="preserve">The OCA recommended an overall rate of return of 6.57%, utilizing a tax adjusted 7.31% return on equity.  The </w:t>
      </w:r>
      <w:r w:rsidR="00DA13E9" w:rsidRPr="00217AC0">
        <w:rPr>
          <w:rFonts w:eastAsiaTheme="minorHAnsi"/>
          <w:sz w:val="26"/>
          <w:szCs w:val="26"/>
        </w:rPr>
        <w:t>“</w:t>
      </w:r>
      <w:r w:rsidRPr="00217AC0">
        <w:rPr>
          <w:rFonts w:eastAsiaTheme="minorHAnsi"/>
          <w:sz w:val="26"/>
          <w:szCs w:val="26"/>
        </w:rPr>
        <w:t>black box</w:t>
      </w:r>
      <w:r w:rsidR="00DA13E9" w:rsidRPr="00217AC0">
        <w:rPr>
          <w:rFonts w:eastAsiaTheme="minorHAnsi"/>
          <w:sz w:val="26"/>
          <w:szCs w:val="26"/>
        </w:rPr>
        <w:t>”</w:t>
      </w:r>
      <w:r w:rsidRPr="00217AC0">
        <w:rPr>
          <w:rFonts w:eastAsiaTheme="minorHAnsi"/>
          <w:sz w:val="26"/>
          <w:szCs w:val="26"/>
        </w:rPr>
        <w:t xml:space="preserve"> </w:t>
      </w:r>
      <w:r w:rsidR="00DA13E9" w:rsidRPr="00217AC0">
        <w:rPr>
          <w:rFonts w:eastAsiaTheme="minorHAnsi"/>
          <w:sz w:val="26"/>
          <w:szCs w:val="26"/>
        </w:rPr>
        <w:t>S</w:t>
      </w:r>
      <w:r w:rsidRPr="00217AC0">
        <w:rPr>
          <w:rFonts w:eastAsiaTheme="minorHAnsi"/>
          <w:sz w:val="26"/>
          <w:szCs w:val="26"/>
        </w:rPr>
        <w:t>ettlement only specifies a revenue requirement of $689,932 and does not stipulate any of the rate of return components.  The OCA submit</w:t>
      </w:r>
      <w:r w:rsidR="00DA13E9" w:rsidRPr="00217AC0">
        <w:rPr>
          <w:rFonts w:eastAsiaTheme="minorHAnsi"/>
          <w:sz w:val="26"/>
          <w:szCs w:val="26"/>
        </w:rPr>
        <w:t>ted</w:t>
      </w:r>
      <w:r w:rsidRPr="00217AC0">
        <w:rPr>
          <w:rFonts w:eastAsiaTheme="minorHAnsi"/>
          <w:sz w:val="26"/>
          <w:szCs w:val="26"/>
        </w:rPr>
        <w:t xml:space="preserve"> the revenue requirement should be no higher than $443,666.  OCA M.B. at 4.  </w:t>
      </w:r>
    </w:p>
    <w:p w14:paraId="46BA7745" w14:textId="77777777" w:rsidR="00DE398C" w:rsidRPr="00217AC0" w:rsidRDefault="00DE398C" w:rsidP="00217AC0">
      <w:pPr>
        <w:widowControl/>
        <w:spacing w:line="360" w:lineRule="auto"/>
        <w:rPr>
          <w:rFonts w:eastAsiaTheme="minorHAnsi"/>
          <w:sz w:val="26"/>
          <w:szCs w:val="26"/>
        </w:rPr>
      </w:pPr>
    </w:p>
    <w:p w14:paraId="7A7E5AAB" w14:textId="78784DC2" w:rsidR="00DE398C" w:rsidRPr="00217AC0" w:rsidRDefault="00DE398C" w:rsidP="00217AC0">
      <w:pPr>
        <w:widowControl/>
        <w:spacing w:line="360" w:lineRule="auto"/>
        <w:ind w:firstLine="1440"/>
        <w:rPr>
          <w:rFonts w:eastAsiaTheme="minorHAnsi"/>
          <w:sz w:val="26"/>
          <w:szCs w:val="26"/>
        </w:rPr>
      </w:pPr>
      <w:r w:rsidRPr="00217AC0">
        <w:rPr>
          <w:rFonts w:eastAsiaTheme="minorHAnsi"/>
          <w:sz w:val="26"/>
          <w:szCs w:val="26"/>
        </w:rPr>
        <w:t xml:space="preserve">OCA Witness Garrett used the DCF model and the CAPM in determining a </w:t>
      </w:r>
      <w:r w:rsidR="00171887" w:rsidRPr="00217AC0">
        <w:rPr>
          <w:rFonts w:eastAsiaTheme="minorHAnsi"/>
          <w:sz w:val="26"/>
          <w:szCs w:val="26"/>
        </w:rPr>
        <w:t>market-based</w:t>
      </w:r>
      <w:r w:rsidRPr="00217AC0">
        <w:rPr>
          <w:rFonts w:eastAsiaTheme="minorHAnsi"/>
          <w:sz w:val="26"/>
          <w:szCs w:val="26"/>
        </w:rPr>
        <w:t xml:space="preserve"> cost of equity of 6.0%.  OCA St. No. 3 at 6.  Mr. Garrett recommended a “business as usual” cost of equity of 8.50%.  OCA M.B. at 49.  The primary difference between Mr. Garrett’s analysis and that of City </w:t>
      </w:r>
      <w:r w:rsidR="00C92D4F" w:rsidRPr="00217AC0">
        <w:rPr>
          <w:rFonts w:eastAsiaTheme="minorHAnsi"/>
          <w:sz w:val="26"/>
          <w:szCs w:val="26"/>
        </w:rPr>
        <w:t>w</w:t>
      </w:r>
      <w:r w:rsidRPr="00217AC0">
        <w:rPr>
          <w:rFonts w:eastAsiaTheme="minorHAnsi"/>
          <w:sz w:val="26"/>
          <w:szCs w:val="26"/>
        </w:rPr>
        <w:t>itness</w:t>
      </w:r>
      <w:r w:rsidR="00C92D4F" w:rsidRPr="00217AC0">
        <w:rPr>
          <w:rFonts w:eastAsiaTheme="minorHAnsi"/>
          <w:sz w:val="26"/>
          <w:szCs w:val="26"/>
        </w:rPr>
        <w:t xml:space="preserve"> Harold</w:t>
      </w:r>
      <w:r w:rsidRPr="00217AC0">
        <w:rPr>
          <w:rFonts w:eastAsiaTheme="minorHAnsi"/>
          <w:sz w:val="26"/>
          <w:szCs w:val="26"/>
        </w:rPr>
        <w:t xml:space="preserve"> Walker was the long-term growth inputs.  Specifically, Mr. Garrett state</w:t>
      </w:r>
      <w:r w:rsidR="00DA13E9" w:rsidRPr="00217AC0">
        <w:rPr>
          <w:rFonts w:eastAsiaTheme="minorHAnsi"/>
          <w:sz w:val="26"/>
          <w:szCs w:val="26"/>
        </w:rPr>
        <w:t>d</w:t>
      </w:r>
      <w:r w:rsidRPr="00217AC0">
        <w:rPr>
          <w:rFonts w:eastAsiaTheme="minorHAnsi"/>
          <w:sz w:val="26"/>
          <w:szCs w:val="26"/>
        </w:rPr>
        <w:t xml:space="preserve"> that it is reasonable to assume that a regulated utility would grow at a rate that is less than the U.S. economic growth rate, as measured by the Gross Domestic Product (GDP).</w:t>
      </w:r>
      <w:r w:rsidR="00DA13E9" w:rsidRPr="00217AC0">
        <w:rPr>
          <w:rFonts w:eastAsiaTheme="minorHAnsi"/>
          <w:sz w:val="26"/>
          <w:szCs w:val="26"/>
        </w:rPr>
        <w:t xml:space="preserve">  </w:t>
      </w:r>
      <w:r w:rsidRPr="00217AC0">
        <w:rPr>
          <w:rFonts w:eastAsiaTheme="minorHAnsi"/>
          <w:sz w:val="26"/>
          <w:szCs w:val="26"/>
        </w:rPr>
        <w:t>OCA M.B. at 54-55.</w:t>
      </w:r>
    </w:p>
    <w:p w14:paraId="5C6952B2" w14:textId="77777777" w:rsidR="00DE398C" w:rsidRPr="00217AC0" w:rsidRDefault="00DE398C" w:rsidP="00217AC0">
      <w:pPr>
        <w:widowControl/>
        <w:spacing w:line="360" w:lineRule="auto"/>
        <w:rPr>
          <w:rFonts w:eastAsiaTheme="minorHAnsi"/>
          <w:sz w:val="26"/>
          <w:szCs w:val="26"/>
        </w:rPr>
      </w:pPr>
    </w:p>
    <w:p w14:paraId="4F966B2D" w14:textId="589EE9AB" w:rsidR="00DE398C" w:rsidRPr="00217AC0" w:rsidRDefault="00DE398C" w:rsidP="00217AC0">
      <w:pPr>
        <w:widowControl/>
        <w:spacing w:line="360" w:lineRule="auto"/>
        <w:ind w:firstLine="1440"/>
        <w:rPr>
          <w:rFonts w:eastAsiaTheme="minorHAnsi"/>
          <w:sz w:val="26"/>
          <w:szCs w:val="26"/>
        </w:rPr>
      </w:pPr>
      <w:r w:rsidRPr="00217AC0">
        <w:rPr>
          <w:rFonts w:eastAsiaTheme="minorHAnsi"/>
          <w:sz w:val="26"/>
          <w:szCs w:val="26"/>
        </w:rPr>
        <w:t>The City note</w:t>
      </w:r>
      <w:r w:rsidR="00DA13E9" w:rsidRPr="00217AC0">
        <w:rPr>
          <w:rFonts w:eastAsiaTheme="minorHAnsi"/>
          <w:sz w:val="26"/>
          <w:szCs w:val="26"/>
        </w:rPr>
        <w:t>d</w:t>
      </w:r>
      <w:r w:rsidRPr="00217AC0">
        <w:rPr>
          <w:rFonts w:eastAsiaTheme="minorHAnsi"/>
          <w:sz w:val="26"/>
          <w:szCs w:val="26"/>
        </w:rPr>
        <w:t xml:space="preserve"> that OCA Witness Garrett recommended a market value DCF of 6.1% for his proxy group, 355-basis points less than the market value DCF of the I&amp;E witness and below any zone of reasonableness.  According to the City, Mr. Garrett’s market value DCF of 6.1% is a result of his sole reliance on an inappropriate, short term, 30-day yield measurement component, and an inappropriate growth component based on a 30-year measure of growth for the overall national economy as measured by GDP.  Mr.</w:t>
      </w:r>
      <w:r w:rsidR="00F07D28">
        <w:rPr>
          <w:rFonts w:eastAsiaTheme="minorHAnsi"/>
          <w:sz w:val="26"/>
          <w:szCs w:val="26"/>
        </w:rPr>
        <w:t> </w:t>
      </w:r>
      <w:r w:rsidRPr="00217AC0">
        <w:rPr>
          <w:rFonts w:eastAsiaTheme="minorHAnsi"/>
          <w:sz w:val="26"/>
          <w:szCs w:val="26"/>
        </w:rPr>
        <w:t>Walker state</w:t>
      </w:r>
      <w:r w:rsidR="00DA13E9" w:rsidRPr="00217AC0">
        <w:rPr>
          <w:rFonts w:eastAsiaTheme="minorHAnsi"/>
          <w:sz w:val="26"/>
          <w:szCs w:val="26"/>
        </w:rPr>
        <w:t>d</w:t>
      </w:r>
      <w:r w:rsidRPr="00217AC0">
        <w:rPr>
          <w:rFonts w:eastAsiaTheme="minorHAnsi"/>
          <w:sz w:val="26"/>
          <w:szCs w:val="26"/>
        </w:rPr>
        <w:t xml:space="preserve"> the growth in GDP does not provide a reasonable measure for the growth of the comparison companies, noting over the past 30 years (1989-2019), nominal GDP increased by 280% while the comparison companies’ revenues increased 510%, or 82% more than GDP.  City M.B. at 39-40.</w:t>
      </w:r>
    </w:p>
    <w:p w14:paraId="1E09C7F6" w14:textId="77777777" w:rsidR="00DE398C" w:rsidRPr="00217AC0" w:rsidRDefault="00DE398C" w:rsidP="00217AC0">
      <w:pPr>
        <w:widowControl/>
        <w:spacing w:line="360" w:lineRule="auto"/>
        <w:rPr>
          <w:rFonts w:eastAsiaTheme="minorHAnsi"/>
          <w:sz w:val="26"/>
          <w:szCs w:val="26"/>
        </w:rPr>
      </w:pPr>
    </w:p>
    <w:p w14:paraId="203A233D" w14:textId="77777777" w:rsidR="00A40132" w:rsidRPr="00217AC0" w:rsidRDefault="00A40132" w:rsidP="00217AC0">
      <w:pPr>
        <w:pStyle w:val="Heading3"/>
        <w:keepNext/>
        <w:ind w:left="1440" w:hanging="720"/>
        <w:rPr>
          <w:rFonts w:eastAsiaTheme="minorHAnsi"/>
        </w:rPr>
      </w:pPr>
      <w:bookmarkStart w:id="108" w:name="_Toc69230578"/>
      <w:r w:rsidRPr="00217AC0">
        <w:rPr>
          <w:rFonts w:eastAsiaTheme="minorHAnsi"/>
        </w:rPr>
        <w:lastRenderedPageBreak/>
        <w:t>Recommended Decision</w:t>
      </w:r>
      <w:bookmarkEnd w:id="108"/>
    </w:p>
    <w:p w14:paraId="716699CC" w14:textId="39918E70" w:rsidR="00A40132" w:rsidRPr="00217AC0" w:rsidRDefault="00A40132" w:rsidP="00217AC0">
      <w:pPr>
        <w:keepNext/>
        <w:widowControl/>
        <w:spacing w:line="360" w:lineRule="auto"/>
        <w:ind w:left="1440" w:hanging="720"/>
        <w:rPr>
          <w:rFonts w:eastAsiaTheme="minorHAnsi"/>
          <w:sz w:val="26"/>
          <w:szCs w:val="26"/>
        </w:rPr>
      </w:pPr>
    </w:p>
    <w:p w14:paraId="1DB6218C" w14:textId="1AAAF53B" w:rsidR="00DE398C" w:rsidRPr="00217AC0" w:rsidRDefault="00DE398C" w:rsidP="00217AC0">
      <w:pPr>
        <w:keepNext/>
        <w:widowControl/>
        <w:spacing w:line="360" w:lineRule="auto"/>
        <w:ind w:firstLine="1440"/>
        <w:rPr>
          <w:rFonts w:eastAsiaTheme="minorHAnsi"/>
          <w:sz w:val="26"/>
          <w:szCs w:val="26"/>
        </w:rPr>
      </w:pPr>
      <w:r w:rsidRPr="00217AC0">
        <w:rPr>
          <w:rFonts w:eastAsiaTheme="minorHAnsi"/>
          <w:sz w:val="26"/>
          <w:szCs w:val="26"/>
        </w:rPr>
        <w:t xml:space="preserve">The ALJ found it unreasonable for </w:t>
      </w:r>
      <w:r w:rsidR="00DA13E9" w:rsidRPr="00217AC0">
        <w:rPr>
          <w:rFonts w:eastAsiaTheme="minorHAnsi"/>
          <w:sz w:val="26"/>
          <w:szCs w:val="26"/>
        </w:rPr>
        <w:t xml:space="preserve">the </w:t>
      </w:r>
      <w:r w:rsidRPr="00217AC0">
        <w:rPr>
          <w:rFonts w:eastAsiaTheme="minorHAnsi"/>
          <w:sz w:val="26"/>
          <w:szCs w:val="26"/>
        </w:rPr>
        <w:t xml:space="preserve">OCA to use a GDP forecast as a long-term growth rate, given that the revenues of the comparison companies outgrew GDP by 82% over the last 30 years.  Noting the primary difference between the City’s and </w:t>
      </w:r>
      <w:r w:rsidR="00DA13E9" w:rsidRPr="00217AC0">
        <w:rPr>
          <w:rFonts w:eastAsiaTheme="minorHAnsi"/>
          <w:sz w:val="26"/>
          <w:szCs w:val="26"/>
        </w:rPr>
        <w:t xml:space="preserve">the </w:t>
      </w:r>
      <w:r w:rsidRPr="00217AC0">
        <w:rPr>
          <w:rFonts w:eastAsiaTheme="minorHAnsi"/>
          <w:sz w:val="26"/>
          <w:szCs w:val="26"/>
        </w:rPr>
        <w:t>OCA’s DCF calculation was the long-term growth rate, the ALJ did not make any other decisions regarding</w:t>
      </w:r>
      <w:r w:rsidR="00DA13E9" w:rsidRPr="00217AC0">
        <w:rPr>
          <w:rFonts w:eastAsiaTheme="minorHAnsi"/>
          <w:sz w:val="26"/>
          <w:szCs w:val="26"/>
        </w:rPr>
        <w:t xml:space="preserve"> the</w:t>
      </w:r>
      <w:r w:rsidRPr="00217AC0">
        <w:rPr>
          <w:rFonts w:eastAsiaTheme="minorHAnsi"/>
          <w:sz w:val="26"/>
          <w:szCs w:val="26"/>
        </w:rPr>
        <w:t xml:space="preserve"> OCA’s DCF calculation.  Therefore, the ALJ did not find the OCA’s DCF calculation to be appropriate.  R.D. at 49.  The ALJ did not examine the CAPM calculations since he found the OCA’s DCF calculation to be inappropriate.  Additionally, the ALJ did not make a specific return on equity recommendation and therefore deemed it unnecessary to recommend a capital structure.  R.D. at 50.</w:t>
      </w:r>
    </w:p>
    <w:p w14:paraId="6F31B479" w14:textId="77777777" w:rsidR="00DE398C" w:rsidRPr="00217AC0" w:rsidRDefault="00DE398C" w:rsidP="00217AC0">
      <w:pPr>
        <w:widowControl/>
        <w:spacing w:line="360" w:lineRule="auto"/>
        <w:ind w:firstLine="1440"/>
        <w:rPr>
          <w:rFonts w:eastAsiaTheme="minorHAnsi"/>
          <w:sz w:val="26"/>
          <w:szCs w:val="26"/>
        </w:rPr>
      </w:pPr>
    </w:p>
    <w:p w14:paraId="60E58422" w14:textId="2941FB81" w:rsidR="00DE398C" w:rsidRPr="00217AC0" w:rsidRDefault="00DE398C" w:rsidP="00217AC0">
      <w:pPr>
        <w:widowControl/>
        <w:spacing w:line="360" w:lineRule="auto"/>
        <w:ind w:firstLine="1440"/>
        <w:rPr>
          <w:rFonts w:eastAsiaTheme="minorHAnsi"/>
          <w:sz w:val="26"/>
          <w:szCs w:val="26"/>
        </w:rPr>
      </w:pPr>
      <w:r w:rsidRPr="00217AC0">
        <w:rPr>
          <w:rFonts w:eastAsiaTheme="minorHAnsi"/>
          <w:sz w:val="26"/>
          <w:szCs w:val="26"/>
        </w:rPr>
        <w:t>The ALJ noted the</w:t>
      </w:r>
      <w:r w:rsidR="00DA13E9" w:rsidRPr="00217AC0">
        <w:rPr>
          <w:rFonts w:eastAsiaTheme="minorHAnsi"/>
          <w:sz w:val="26"/>
          <w:szCs w:val="26"/>
        </w:rPr>
        <w:t xml:space="preserve"> </w:t>
      </w:r>
      <w:r w:rsidRPr="00217AC0">
        <w:rPr>
          <w:rFonts w:eastAsiaTheme="minorHAnsi"/>
          <w:sz w:val="26"/>
          <w:szCs w:val="26"/>
        </w:rPr>
        <w:t>Settlement did not agree to a specific rate of return.  However, if a rate of return must be calculated, the ALJ found the City’s proposed rate of return to be reasonable and in the public interest.  R.D. at 51.</w:t>
      </w:r>
    </w:p>
    <w:p w14:paraId="0827219F" w14:textId="77777777" w:rsidR="00A40132" w:rsidRPr="00217AC0" w:rsidRDefault="00A40132" w:rsidP="00217AC0">
      <w:pPr>
        <w:widowControl/>
        <w:spacing w:line="360" w:lineRule="auto"/>
        <w:rPr>
          <w:rFonts w:eastAsiaTheme="minorHAnsi"/>
          <w:sz w:val="26"/>
          <w:szCs w:val="26"/>
        </w:rPr>
      </w:pPr>
    </w:p>
    <w:p w14:paraId="4C63EADE" w14:textId="6E619517" w:rsidR="00A40132" w:rsidRPr="00217AC0" w:rsidRDefault="00416865" w:rsidP="00217AC0">
      <w:pPr>
        <w:pStyle w:val="Heading3"/>
        <w:keepNext/>
        <w:ind w:left="1440" w:hanging="720"/>
        <w:rPr>
          <w:rFonts w:eastAsiaTheme="minorHAnsi"/>
        </w:rPr>
      </w:pPr>
      <w:bookmarkStart w:id="109" w:name="_Toc69230579"/>
      <w:r w:rsidRPr="00217AC0">
        <w:rPr>
          <w:rFonts w:eastAsiaTheme="minorHAnsi"/>
        </w:rPr>
        <w:t xml:space="preserve">OCA </w:t>
      </w:r>
      <w:r w:rsidR="00A40132" w:rsidRPr="00217AC0">
        <w:rPr>
          <w:rFonts w:eastAsiaTheme="minorHAnsi"/>
        </w:rPr>
        <w:t>Exception</w:t>
      </w:r>
      <w:r w:rsidRPr="00217AC0">
        <w:rPr>
          <w:rFonts w:eastAsiaTheme="minorHAnsi"/>
        </w:rPr>
        <w:t xml:space="preserve"> No. 5</w:t>
      </w:r>
      <w:r w:rsidR="00A40132" w:rsidRPr="00217AC0">
        <w:rPr>
          <w:rFonts w:eastAsiaTheme="minorHAnsi"/>
        </w:rPr>
        <w:t xml:space="preserve"> and Replies</w:t>
      </w:r>
      <w:bookmarkEnd w:id="109"/>
    </w:p>
    <w:p w14:paraId="30A18433" w14:textId="77777777" w:rsidR="00265D24" w:rsidRPr="00217AC0" w:rsidRDefault="00265D24" w:rsidP="00217AC0">
      <w:pPr>
        <w:keepNext/>
        <w:widowControl/>
        <w:spacing w:line="360" w:lineRule="auto"/>
        <w:rPr>
          <w:rFonts w:eastAsiaTheme="minorHAnsi"/>
          <w:sz w:val="26"/>
          <w:szCs w:val="26"/>
        </w:rPr>
      </w:pPr>
    </w:p>
    <w:p w14:paraId="68F5F20A" w14:textId="5FF92E9E" w:rsidR="00DE398C" w:rsidRPr="00217AC0" w:rsidRDefault="00DE398C" w:rsidP="00217AC0">
      <w:pPr>
        <w:keepNext/>
        <w:widowControl/>
        <w:spacing w:line="360" w:lineRule="auto"/>
        <w:ind w:firstLine="1440"/>
        <w:rPr>
          <w:rFonts w:eastAsiaTheme="minorHAnsi"/>
          <w:sz w:val="26"/>
          <w:szCs w:val="26"/>
        </w:rPr>
      </w:pPr>
      <w:r w:rsidRPr="00217AC0">
        <w:rPr>
          <w:rFonts w:eastAsiaTheme="minorHAnsi"/>
          <w:sz w:val="26"/>
          <w:szCs w:val="26"/>
        </w:rPr>
        <w:t>In its Exception No. 5, the OCA asserts the 3.9% DCF growth rate used by Mr. Garrett is reasonable and produces a reasonable DCF result.  Additionally, the OCA reiterat</w:t>
      </w:r>
      <w:r w:rsidR="00DA13E9" w:rsidRPr="00217AC0">
        <w:rPr>
          <w:rFonts w:eastAsiaTheme="minorHAnsi"/>
          <w:sz w:val="26"/>
          <w:szCs w:val="26"/>
        </w:rPr>
        <w:t>es</w:t>
      </w:r>
      <w:r w:rsidRPr="00217AC0">
        <w:rPr>
          <w:rFonts w:eastAsiaTheme="minorHAnsi"/>
          <w:sz w:val="26"/>
          <w:szCs w:val="26"/>
        </w:rPr>
        <w:t xml:space="preserve"> the City’s proposed rate of return is overstated and should not be used in determining the revenue requirement.  The OCA </w:t>
      </w:r>
      <w:r w:rsidR="00DA13E9" w:rsidRPr="00217AC0">
        <w:rPr>
          <w:rFonts w:eastAsiaTheme="minorHAnsi"/>
          <w:sz w:val="26"/>
          <w:szCs w:val="26"/>
        </w:rPr>
        <w:t>avers</w:t>
      </w:r>
      <w:r w:rsidRPr="00217AC0">
        <w:rPr>
          <w:rFonts w:eastAsiaTheme="minorHAnsi"/>
          <w:sz w:val="26"/>
          <w:szCs w:val="26"/>
        </w:rPr>
        <w:t xml:space="preserve"> </w:t>
      </w:r>
      <w:r w:rsidR="00DA13E9" w:rsidRPr="00217AC0">
        <w:rPr>
          <w:rFonts w:eastAsiaTheme="minorHAnsi"/>
          <w:sz w:val="26"/>
          <w:szCs w:val="26"/>
        </w:rPr>
        <w:t>its</w:t>
      </w:r>
      <w:r w:rsidRPr="00217AC0">
        <w:rPr>
          <w:rFonts w:eastAsiaTheme="minorHAnsi"/>
          <w:sz w:val="26"/>
          <w:szCs w:val="26"/>
        </w:rPr>
        <w:t xml:space="preserve"> recommended rate of return should be adopted as it uses an appropriate capital structure and a reasonable return on equity based on its DCF calculation.  OCA Exc. at 30-37.</w:t>
      </w:r>
    </w:p>
    <w:p w14:paraId="3E534E43" w14:textId="77777777" w:rsidR="00DE398C" w:rsidRPr="00217AC0" w:rsidRDefault="00DE398C" w:rsidP="00217AC0">
      <w:pPr>
        <w:widowControl/>
        <w:spacing w:line="360" w:lineRule="auto"/>
        <w:ind w:firstLine="1440"/>
        <w:rPr>
          <w:rFonts w:eastAsiaTheme="minorHAnsi"/>
          <w:sz w:val="26"/>
          <w:szCs w:val="26"/>
        </w:rPr>
      </w:pPr>
    </w:p>
    <w:p w14:paraId="1CEE3802" w14:textId="2858BDD5" w:rsidR="00DE398C" w:rsidRPr="00217AC0" w:rsidRDefault="00DE398C" w:rsidP="00217AC0">
      <w:pPr>
        <w:widowControl/>
        <w:spacing w:line="360" w:lineRule="auto"/>
        <w:ind w:firstLine="1440"/>
        <w:rPr>
          <w:rFonts w:eastAsiaTheme="minorHAnsi"/>
          <w:sz w:val="26"/>
          <w:szCs w:val="26"/>
        </w:rPr>
      </w:pPr>
      <w:r w:rsidRPr="00217AC0">
        <w:rPr>
          <w:rFonts w:eastAsiaTheme="minorHAnsi"/>
          <w:sz w:val="26"/>
          <w:szCs w:val="26"/>
        </w:rPr>
        <w:t>In its Replies, the City pointed out the DCF growth rates of the City and I&amp;E of 7.2% and 7.67%, respectively, compared to</w:t>
      </w:r>
      <w:r w:rsidR="00DA13E9" w:rsidRPr="00217AC0">
        <w:rPr>
          <w:rFonts w:eastAsiaTheme="minorHAnsi"/>
          <w:sz w:val="26"/>
          <w:szCs w:val="26"/>
        </w:rPr>
        <w:t xml:space="preserve"> the</w:t>
      </w:r>
      <w:r w:rsidRPr="00217AC0">
        <w:rPr>
          <w:rFonts w:eastAsiaTheme="minorHAnsi"/>
          <w:sz w:val="26"/>
          <w:szCs w:val="26"/>
        </w:rPr>
        <w:t xml:space="preserve"> OCA’s 3.9% GDP based DCF growth rate.  The City argues the ALJ appropriately found Mr. Garrett’s DCF calculation to be inappropriate.  The City states the evidentiary record supports the ALJ’s finding </w:t>
      </w:r>
      <w:r w:rsidRPr="00217AC0">
        <w:rPr>
          <w:rFonts w:eastAsiaTheme="minorHAnsi"/>
          <w:sz w:val="26"/>
          <w:szCs w:val="26"/>
        </w:rPr>
        <w:lastRenderedPageBreak/>
        <w:t>that the City’s rate of return is reasonable and in the public interest if the Commission determines a rate of return.  City R. Exc. at 16-19.</w:t>
      </w:r>
    </w:p>
    <w:p w14:paraId="30361AA5" w14:textId="77777777" w:rsidR="00A40132" w:rsidRPr="00217AC0" w:rsidRDefault="00A40132" w:rsidP="00217AC0">
      <w:pPr>
        <w:widowControl/>
        <w:spacing w:line="360" w:lineRule="auto"/>
        <w:rPr>
          <w:rFonts w:eastAsiaTheme="minorHAnsi"/>
          <w:sz w:val="26"/>
          <w:szCs w:val="26"/>
        </w:rPr>
      </w:pPr>
    </w:p>
    <w:p w14:paraId="26A8F72C" w14:textId="77777777" w:rsidR="00A40132" w:rsidRPr="00217AC0" w:rsidRDefault="00A40132" w:rsidP="00217AC0">
      <w:pPr>
        <w:pStyle w:val="Heading3"/>
        <w:keepNext/>
        <w:ind w:left="1440" w:hanging="720"/>
        <w:rPr>
          <w:rFonts w:eastAsiaTheme="minorHAnsi"/>
        </w:rPr>
      </w:pPr>
      <w:bookmarkStart w:id="110" w:name="_Toc69230580"/>
      <w:r w:rsidRPr="00217AC0">
        <w:rPr>
          <w:rFonts w:eastAsiaTheme="minorHAnsi"/>
        </w:rPr>
        <w:t>Disposition</w:t>
      </w:r>
      <w:bookmarkEnd w:id="110"/>
    </w:p>
    <w:p w14:paraId="16C5A899" w14:textId="4830A52E" w:rsidR="00B53A95" w:rsidRPr="00217AC0" w:rsidRDefault="00B53A95" w:rsidP="00217AC0">
      <w:pPr>
        <w:keepNext/>
        <w:widowControl/>
        <w:spacing w:line="360" w:lineRule="auto"/>
        <w:rPr>
          <w:sz w:val="26"/>
          <w:szCs w:val="26"/>
        </w:rPr>
      </w:pPr>
    </w:p>
    <w:p w14:paraId="31A88E69" w14:textId="0AD573FD" w:rsidR="00DE398C" w:rsidRPr="00217AC0" w:rsidRDefault="00DE398C" w:rsidP="00217AC0">
      <w:pPr>
        <w:keepNext/>
        <w:widowControl/>
        <w:spacing w:line="360" w:lineRule="auto"/>
        <w:ind w:firstLine="1440"/>
        <w:rPr>
          <w:sz w:val="26"/>
          <w:szCs w:val="26"/>
        </w:rPr>
      </w:pPr>
      <w:r w:rsidRPr="00217AC0">
        <w:rPr>
          <w:sz w:val="26"/>
          <w:szCs w:val="26"/>
        </w:rPr>
        <w:t>W</w:t>
      </w:r>
      <w:r w:rsidR="00C92D4F" w:rsidRPr="00217AC0">
        <w:rPr>
          <w:sz w:val="26"/>
          <w:szCs w:val="26"/>
        </w:rPr>
        <w:t>hile we adopt the Settlement, w</w:t>
      </w:r>
      <w:r w:rsidRPr="00217AC0">
        <w:rPr>
          <w:sz w:val="26"/>
          <w:szCs w:val="26"/>
        </w:rPr>
        <w:t>e</w:t>
      </w:r>
      <w:r w:rsidR="00C92D4F" w:rsidRPr="00217AC0">
        <w:rPr>
          <w:sz w:val="26"/>
          <w:szCs w:val="26"/>
        </w:rPr>
        <w:t xml:space="preserve"> also</w:t>
      </w:r>
      <w:r w:rsidRPr="00217AC0">
        <w:rPr>
          <w:sz w:val="26"/>
          <w:szCs w:val="26"/>
        </w:rPr>
        <w:t xml:space="preserve"> agree with the ALJ’s rationale and recommendation on this issue, which was provided as a contingency recommendation should the Commission choose not to approve the Settlement, without modification.  We expressly agree with the ALJ’s findings, favoring the City’s application of traditional ROE models and its analysis of current market conditions.  We conclude</w:t>
      </w:r>
      <w:r w:rsidR="00C92D4F" w:rsidRPr="00217AC0">
        <w:rPr>
          <w:sz w:val="26"/>
          <w:szCs w:val="26"/>
        </w:rPr>
        <w:t xml:space="preserve"> that</w:t>
      </w:r>
      <w:r w:rsidRPr="00217AC0">
        <w:rPr>
          <w:sz w:val="26"/>
          <w:szCs w:val="26"/>
        </w:rPr>
        <w:t xml:space="preserve"> the ALJ’s </w:t>
      </w:r>
      <w:r w:rsidR="00C92D4F" w:rsidRPr="00217AC0">
        <w:rPr>
          <w:sz w:val="26"/>
          <w:szCs w:val="26"/>
        </w:rPr>
        <w:t>alternative recommendation</w:t>
      </w:r>
      <w:r w:rsidRPr="00217AC0">
        <w:rPr>
          <w:sz w:val="26"/>
          <w:szCs w:val="26"/>
        </w:rPr>
        <w:t xml:space="preserve"> </w:t>
      </w:r>
      <w:r w:rsidR="00C92D4F" w:rsidRPr="00217AC0">
        <w:rPr>
          <w:sz w:val="26"/>
          <w:szCs w:val="26"/>
        </w:rPr>
        <w:t>is</w:t>
      </w:r>
      <w:r w:rsidRPr="00217AC0">
        <w:rPr>
          <w:sz w:val="26"/>
          <w:szCs w:val="26"/>
        </w:rPr>
        <w:t xml:space="preserve"> supported by substantial evidence.  Therefore, we shall deny the OCA’s Exception No. 5.</w:t>
      </w:r>
    </w:p>
    <w:p w14:paraId="39CF783E" w14:textId="77777777" w:rsidR="00171887" w:rsidRPr="00217AC0" w:rsidRDefault="00171887" w:rsidP="00217AC0">
      <w:pPr>
        <w:widowControl/>
        <w:spacing w:line="360" w:lineRule="auto"/>
        <w:ind w:firstLine="1440"/>
        <w:rPr>
          <w:sz w:val="26"/>
          <w:szCs w:val="26"/>
        </w:rPr>
      </w:pPr>
    </w:p>
    <w:p w14:paraId="2650CB59" w14:textId="6D1C15B0" w:rsidR="00073000" w:rsidRPr="00217AC0" w:rsidRDefault="00073000" w:rsidP="00217AC0">
      <w:pPr>
        <w:pStyle w:val="Heading1"/>
        <w:keepNext/>
      </w:pPr>
      <w:bookmarkStart w:id="111" w:name="_Toc69230581"/>
      <w:r w:rsidRPr="00217AC0">
        <w:t>Conclusion</w:t>
      </w:r>
      <w:bookmarkEnd w:id="111"/>
    </w:p>
    <w:p w14:paraId="167B00AE" w14:textId="1D702AD8" w:rsidR="00A05D2B" w:rsidRPr="00217AC0" w:rsidRDefault="00A05D2B" w:rsidP="00217AC0">
      <w:pPr>
        <w:keepNext/>
        <w:widowControl/>
        <w:spacing w:line="360" w:lineRule="auto"/>
        <w:rPr>
          <w:sz w:val="26"/>
          <w:szCs w:val="26"/>
        </w:rPr>
      </w:pPr>
    </w:p>
    <w:p w14:paraId="73285AD6" w14:textId="09D08D1B" w:rsidR="006067A0" w:rsidRPr="00217AC0" w:rsidRDefault="006067A0" w:rsidP="00217AC0">
      <w:pPr>
        <w:keepNext/>
        <w:widowControl/>
        <w:spacing w:line="360" w:lineRule="auto"/>
        <w:ind w:firstLine="1440"/>
        <w:rPr>
          <w:sz w:val="26"/>
          <w:szCs w:val="26"/>
        </w:rPr>
      </w:pPr>
      <w:r w:rsidRPr="00217AC0">
        <w:rPr>
          <w:color w:val="000000"/>
          <w:sz w:val="26"/>
          <w:szCs w:val="26"/>
        </w:rPr>
        <w:t>Based upon our review, evaluation</w:t>
      </w:r>
      <w:r w:rsidR="00BF6E40" w:rsidRPr="00217AC0">
        <w:rPr>
          <w:color w:val="000000"/>
          <w:sz w:val="26"/>
          <w:szCs w:val="26"/>
        </w:rPr>
        <w:t>,</w:t>
      </w:r>
      <w:r w:rsidRPr="00217AC0">
        <w:rPr>
          <w:color w:val="000000"/>
          <w:sz w:val="26"/>
          <w:szCs w:val="26"/>
        </w:rPr>
        <w:t xml:space="preserve"> and analysis of the record </w:t>
      </w:r>
      <w:r w:rsidR="00911DEC" w:rsidRPr="00217AC0">
        <w:rPr>
          <w:color w:val="000000"/>
          <w:sz w:val="26"/>
          <w:szCs w:val="26"/>
        </w:rPr>
        <w:t>and the positions of the Parties</w:t>
      </w:r>
      <w:r w:rsidRPr="00217AC0">
        <w:rPr>
          <w:color w:val="000000"/>
          <w:sz w:val="26"/>
          <w:szCs w:val="26"/>
        </w:rPr>
        <w:t>, we</w:t>
      </w:r>
      <w:r w:rsidRPr="00217AC0">
        <w:rPr>
          <w:sz w:val="26"/>
          <w:szCs w:val="26"/>
        </w:rPr>
        <w:t xml:space="preserve"> shall</w:t>
      </w:r>
      <w:r w:rsidR="00911DEC" w:rsidRPr="00217AC0">
        <w:rPr>
          <w:sz w:val="26"/>
          <w:szCs w:val="26"/>
        </w:rPr>
        <w:t xml:space="preserve"> adopt the Settling Parties’ Joint Petition and approve the Settlement as in the public interest.  Additionally, we shall:</w:t>
      </w:r>
      <w:r w:rsidR="00BF6E40" w:rsidRPr="00217AC0">
        <w:rPr>
          <w:sz w:val="26"/>
          <w:szCs w:val="26"/>
        </w:rPr>
        <w:t xml:space="preserve"> </w:t>
      </w:r>
      <w:r w:rsidR="00911DEC" w:rsidRPr="00217AC0">
        <w:rPr>
          <w:sz w:val="26"/>
          <w:szCs w:val="26"/>
        </w:rPr>
        <w:t xml:space="preserve">(1) deny, the Exceptions of the </w:t>
      </w:r>
      <w:r w:rsidR="008F3E85" w:rsidRPr="00217AC0">
        <w:rPr>
          <w:sz w:val="26"/>
          <w:szCs w:val="26"/>
        </w:rPr>
        <w:t>OCA</w:t>
      </w:r>
      <w:r w:rsidR="00911DEC" w:rsidRPr="00217AC0">
        <w:rPr>
          <w:sz w:val="26"/>
          <w:szCs w:val="26"/>
        </w:rPr>
        <w:t xml:space="preserve"> and the</w:t>
      </w:r>
      <w:r w:rsidR="008F3E85" w:rsidRPr="00217AC0">
        <w:rPr>
          <w:sz w:val="26"/>
          <w:szCs w:val="26"/>
        </w:rPr>
        <w:t xml:space="preserve"> City</w:t>
      </w:r>
      <w:r w:rsidR="00C92D4F" w:rsidRPr="00217AC0">
        <w:rPr>
          <w:sz w:val="26"/>
          <w:szCs w:val="26"/>
        </w:rPr>
        <w:t>;</w:t>
      </w:r>
      <w:r w:rsidR="00911DEC" w:rsidRPr="00217AC0">
        <w:rPr>
          <w:sz w:val="26"/>
          <w:szCs w:val="26"/>
        </w:rPr>
        <w:t xml:space="preserve"> and (2) adopt the ALJ’s Recommended Decision, as modified</w:t>
      </w:r>
      <w:r w:rsidRPr="00217AC0">
        <w:rPr>
          <w:sz w:val="26"/>
          <w:szCs w:val="26"/>
        </w:rPr>
        <w:t xml:space="preserve">, consistent with this Opinion and Order; </w:t>
      </w:r>
      <w:r w:rsidRPr="00217AC0">
        <w:rPr>
          <w:b/>
          <w:sz w:val="26"/>
          <w:szCs w:val="26"/>
        </w:rPr>
        <w:t>THEREFORE,</w:t>
      </w:r>
    </w:p>
    <w:p w14:paraId="6F5595B8" w14:textId="1285A1D6" w:rsidR="00BA0F05" w:rsidRPr="00217AC0" w:rsidRDefault="00BA0F05" w:rsidP="00217AC0">
      <w:pPr>
        <w:widowControl/>
        <w:spacing w:line="360" w:lineRule="auto"/>
        <w:rPr>
          <w:sz w:val="26"/>
          <w:szCs w:val="26"/>
        </w:rPr>
      </w:pPr>
    </w:p>
    <w:p w14:paraId="3DD28D83" w14:textId="77777777" w:rsidR="006067A0" w:rsidRPr="00217AC0" w:rsidRDefault="006067A0" w:rsidP="00217AC0">
      <w:pPr>
        <w:keepNext/>
        <w:widowControl/>
        <w:spacing w:after="200" w:line="360" w:lineRule="auto"/>
        <w:ind w:firstLine="1440"/>
        <w:contextualSpacing/>
        <w:rPr>
          <w:rFonts w:eastAsiaTheme="minorHAnsi"/>
          <w:b/>
          <w:sz w:val="26"/>
          <w:szCs w:val="26"/>
        </w:rPr>
      </w:pPr>
      <w:r w:rsidRPr="00217AC0">
        <w:rPr>
          <w:rFonts w:eastAsiaTheme="minorHAnsi"/>
          <w:b/>
          <w:sz w:val="26"/>
          <w:szCs w:val="26"/>
        </w:rPr>
        <w:t>IT IS ORDERED:</w:t>
      </w:r>
    </w:p>
    <w:p w14:paraId="518BA6CB" w14:textId="77777777" w:rsidR="006067A0" w:rsidRPr="00217AC0" w:rsidRDefault="006067A0" w:rsidP="00217AC0">
      <w:pPr>
        <w:keepNext/>
        <w:widowControl/>
        <w:spacing w:after="200" w:line="360" w:lineRule="auto"/>
        <w:ind w:firstLine="1440"/>
        <w:contextualSpacing/>
        <w:rPr>
          <w:rFonts w:eastAsiaTheme="minorHAnsi"/>
          <w:sz w:val="26"/>
          <w:szCs w:val="26"/>
        </w:rPr>
      </w:pPr>
    </w:p>
    <w:p w14:paraId="758A892B" w14:textId="0953D52C" w:rsidR="006067A0" w:rsidRPr="00217AC0" w:rsidRDefault="006067A0" w:rsidP="00F07D28">
      <w:pPr>
        <w:keepNext/>
        <w:widowControl/>
        <w:spacing w:after="200" w:line="360" w:lineRule="auto"/>
        <w:ind w:firstLine="1440"/>
        <w:contextualSpacing/>
        <w:rPr>
          <w:rFonts w:eastAsiaTheme="minorHAnsi"/>
          <w:sz w:val="26"/>
          <w:szCs w:val="26"/>
        </w:rPr>
      </w:pPr>
      <w:r w:rsidRPr="00217AC0">
        <w:rPr>
          <w:rFonts w:eastAsiaTheme="minorHAnsi"/>
          <w:sz w:val="26"/>
          <w:szCs w:val="26"/>
        </w:rPr>
        <w:t>1.</w:t>
      </w:r>
      <w:r w:rsidRPr="00217AC0">
        <w:rPr>
          <w:rFonts w:eastAsiaTheme="minorHAnsi"/>
          <w:sz w:val="26"/>
          <w:szCs w:val="26"/>
        </w:rPr>
        <w:tab/>
        <w:t>That the Exceptions of</w:t>
      </w:r>
      <w:r w:rsidR="00AD4F26" w:rsidRPr="00217AC0">
        <w:rPr>
          <w:rFonts w:eastAsiaTheme="minorHAnsi"/>
          <w:sz w:val="26"/>
          <w:szCs w:val="26"/>
        </w:rPr>
        <w:t xml:space="preserve"> the City of Bethlehem – Water Department</w:t>
      </w:r>
      <w:r w:rsidRPr="00217AC0">
        <w:rPr>
          <w:rFonts w:eastAsiaTheme="minorHAnsi"/>
          <w:sz w:val="26"/>
          <w:szCs w:val="26"/>
        </w:rPr>
        <w:t xml:space="preserve">, filed on </w:t>
      </w:r>
      <w:r w:rsidR="00AD4F26" w:rsidRPr="00217AC0">
        <w:rPr>
          <w:rFonts w:eastAsiaTheme="minorHAnsi"/>
          <w:sz w:val="26"/>
          <w:szCs w:val="26"/>
        </w:rPr>
        <w:t>February 24, 2021</w:t>
      </w:r>
      <w:r w:rsidRPr="00217AC0">
        <w:rPr>
          <w:rFonts w:eastAsiaTheme="minorHAnsi"/>
          <w:sz w:val="26"/>
          <w:szCs w:val="26"/>
        </w:rPr>
        <w:t>,</w:t>
      </w:r>
      <w:r w:rsidR="00AD4F26" w:rsidRPr="00217AC0">
        <w:rPr>
          <w:rFonts w:eastAsiaTheme="minorHAnsi"/>
          <w:sz w:val="26"/>
          <w:szCs w:val="26"/>
        </w:rPr>
        <w:t xml:space="preserve"> to the Recommended Decision of Administrative Law Judge Steven K. Haas, issued on February 11, 2021,</w:t>
      </w:r>
      <w:r w:rsidRPr="00217AC0">
        <w:rPr>
          <w:rFonts w:eastAsiaTheme="minorHAnsi"/>
          <w:sz w:val="26"/>
          <w:szCs w:val="26"/>
        </w:rPr>
        <w:t xml:space="preserve"> </w:t>
      </w:r>
      <w:r w:rsidR="00833D56" w:rsidRPr="00217AC0">
        <w:rPr>
          <w:rFonts w:eastAsiaTheme="minorHAnsi"/>
          <w:sz w:val="26"/>
          <w:szCs w:val="26"/>
        </w:rPr>
        <w:t>are</w:t>
      </w:r>
      <w:r w:rsidRPr="00217AC0">
        <w:rPr>
          <w:rFonts w:eastAsiaTheme="minorHAnsi"/>
          <w:sz w:val="26"/>
          <w:szCs w:val="26"/>
        </w:rPr>
        <w:t xml:space="preserve"> </w:t>
      </w:r>
      <w:r w:rsidR="00981701" w:rsidRPr="00217AC0">
        <w:rPr>
          <w:rFonts w:eastAsiaTheme="minorHAnsi"/>
          <w:sz w:val="26"/>
          <w:szCs w:val="26"/>
        </w:rPr>
        <w:t>denied</w:t>
      </w:r>
      <w:r w:rsidRPr="00217AC0">
        <w:rPr>
          <w:rFonts w:eastAsiaTheme="minorHAnsi"/>
          <w:sz w:val="26"/>
          <w:szCs w:val="26"/>
        </w:rPr>
        <w:t>, consistent with this Opinion and Order.</w:t>
      </w:r>
    </w:p>
    <w:p w14:paraId="5EBD2524" w14:textId="77777777" w:rsidR="006067A0" w:rsidRPr="00217AC0" w:rsidRDefault="006067A0" w:rsidP="00F07D28">
      <w:pPr>
        <w:widowControl/>
        <w:spacing w:after="200" w:line="360" w:lineRule="auto"/>
        <w:ind w:firstLine="1440"/>
        <w:contextualSpacing/>
        <w:rPr>
          <w:rFonts w:eastAsiaTheme="minorHAnsi"/>
          <w:sz w:val="26"/>
          <w:szCs w:val="26"/>
        </w:rPr>
      </w:pPr>
    </w:p>
    <w:p w14:paraId="1946ACEC" w14:textId="5A1DB37E" w:rsidR="006067A0" w:rsidRPr="00217AC0" w:rsidRDefault="006067A0" w:rsidP="00F07D28">
      <w:pPr>
        <w:widowControl/>
        <w:spacing w:after="200" w:line="360" w:lineRule="auto"/>
        <w:ind w:firstLine="1440"/>
        <w:contextualSpacing/>
        <w:rPr>
          <w:rFonts w:eastAsiaTheme="minorHAnsi"/>
          <w:sz w:val="26"/>
          <w:szCs w:val="26"/>
        </w:rPr>
      </w:pPr>
      <w:r w:rsidRPr="00217AC0">
        <w:rPr>
          <w:rFonts w:eastAsiaTheme="minorHAnsi"/>
          <w:sz w:val="26"/>
          <w:szCs w:val="26"/>
        </w:rPr>
        <w:lastRenderedPageBreak/>
        <w:t>2.</w:t>
      </w:r>
      <w:r w:rsidRPr="00217AC0">
        <w:rPr>
          <w:rFonts w:eastAsiaTheme="minorHAnsi"/>
          <w:sz w:val="26"/>
          <w:szCs w:val="26"/>
        </w:rPr>
        <w:tab/>
      </w:r>
      <w:bookmarkStart w:id="112" w:name="_Hlk527442937"/>
      <w:r w:rsidRPr="00217AC0">
        <w:rPr>
          <w:rFonts w:eastAsiaTheme="minorHAnsi"/>
          <w:sz w:val="26"/>
          <w:szCs w:val="26"/>
        </w:rPr>
        <w:t>That the Exceptions of</w:t>
      </w:r>
      <w:r w:rsidR="00833D56" w:rsidRPr="00217AC0">
        <w:rPr>
          <w:rFonts w:eastAsiaTheme="minorHAnsi"/>
          <w:sz w:val="26"/>
          <w:szCs w:val="26"/>
        </w:rPr>
        <w:t xml:space="preserve"> </w:t>
      </w:r>
      <w:r w:rsidR="006E40BB" w:rsidRPr="00217AC0">
        <w:rPr>
          <w:rFonts w:eastAsiaTheme="minorHAnsi"/>
          <w:sz w:val="26"/>
          <w:szCs w:val="26"/>
        </w:rPr>
        <w:t xml:space="preserve">the </w:t>
      </w:r>
      <w:r w:rsidR="00AD4F26" w:rsidRPr="00217AC0">
        <w:rPr>
          <w:rFonts w:eastAsiaTheme="minorHAnsi"/>
          <w:sz w:val="26"/>
          <w:szCs w:val="26"/>
        </w:rPr>
        <w:t>Office of Consumer Advocate</w:t>
      </w:r>
      <w:r w:rsidRPr="00217AC0">
        <w:rPr>
          <w:rFonts w:eastAsiaTheme="minorHAnsi"/>
          <w:sz w:val="26"/>
          <w:szCs w:val="26"/>
        </w:rPr>
        <w:t xml:space="preserve">, filed on </w:t>
      </w:r>
      <w:r w:rsidR="00AD4F26" w:rsidRPr="00217AC0">
        <w:rPr>
          <w:rFonts w:eastAsiaTheme="minorHAnsi"/>
          <w:sz w:val="26"/>
          <w:szCs w:val="26"/>
        </w:rPr>
        <w:t>February 24, 2021</w:t>
      </w:r>
      <w:r w:rsidRPr="00217AC0">
        <w:rPr>
          <w:rFonts w:eastAsiaTheme="minorHAnsi"/>
          <w:sz w:val="26"/>
          <w:szCs w:val="26"/>
        </w:rPr>
        <w:t>,</w:t>
      </w:r>
      <w:r w:rsidR="00AD4F26" w:rsidRPr="00217AC0">
        <w:rPr>
          <w:rFonts w:eastAsiaTheme="minorHAnsi"/>
          <w:sz w:val="26"/>
          <w:szCs w:val="26"/>
        </w:rPr>
        <w:t xml:space="preserve"> to the Recommended Decision of Administrative Law Judge Steven K. Haas, issued on February 11, 2021,</w:t>
      </w:r>
      <w:r w:rsidRPr="00217AC0">
        <w:rPr>
          <w:rFonts w:eastAsiaTheme="minorHAnsi"/>
          <w:sz w:val="26"/>
          <w:szCs w:val="26"/>
        </w:rPr>
        <w:t xml:space="preserve"> are </w:t>
      </w:r>
      <w:r w:rsidR="00981701" w:rsidRPr="00217AC0">
        <w:rPr>
          <w:rFonts w:eastAsiaTheme="minorHAnsi"/>
          <w:sz w:val="26"/>
          <w:szCs w:val="26"/>
        </w:rPr>
        <w:t>denied</w:t>
      </w:r>
      <w:r w:rsidRPr="00217AC0">
        <w:rPr>
          <w:rFonts w:eastAsiaTheme="minorHAnsi"/>
          <w:sz w:val="26"/>
          <w:szCs w:val="26"/>
        </w:rPr>
        <w:t>, consistent with this Opinion and Order.</w:t>
      </w:r>
    </w:p>
    <w:bookmarkEnd w:id="112"/>
    <w:p w14:paraId="52592F93" w14:textId="77777777" w:rsidR="006E40BB" w:rsidRPr="00217AC0" w:rsidRDefault="006E40BB" w:rsidP="00F07D28">
      <w:pPr>
        <w:widowControl/>
        <w:spacing w:after="200" w:line="360" w:lineRule="auto"/>
        <w:contextualSpacing/>
        <w:rPr>
          <w:rFonts w:eastAsiaTheme="minorHAnsi"/>
          <w:sz w:val="26"/>
          <w:szCs w:val="26"/>
        </w:rPr>
      </w:pPr>
    </w:p>
    <w:p w14:paraId="00822005" w14:textId="407BD3D9" w:rsidR="006067A0" w:rsidRPr="00217AC0" w:rsidRDefault="00AD4F26" w:rsidP="00F07D28">
      <w:pPr>
        <w:widowControl/>
        <w:spacing w:after="200" w:line="360" w:lineRule="auto"/>
        <w:ind w:firstLine="1440"/>
        <w:contextualSpacing/>
        <w:rPr>
          <w:rFonts w:eastAsiaTheme="minorHAnsi"/>
          <w:sz w:val="26"/>
          <w:szCs w:val="26"/>
        </w:rPr>
      </w:pPr>
      <w:r w:rsidRPr="00217AC0">
        <w:rPr>
          <w:rFonts w:eastAsiaTheme="minorHAnsi"/>
          <w:sz w:val="26"/>
          <w:szCs w:val="26"/>
        </w:rPr>
        <w:t>3</w:t>
      </w:r>
      <w:r w:rsidR="006067A0" w:rsidRPr="00217AC0">
        <w:rPr>
          <w:rFonts w:eastAsiaTheme="minorHAnsi"/>
          <w:sz w:val="26"/>
          <w:szCs w:val="26"/>
        </w:rPr>
        <w:t>.</w:t>
      </w:r>
      <w:r w:rsidR="006067A0" w:rsidRPr="00217AC0">
        <w:rPr>
          <w:rFonts w:eastAsiaTheme="minorHAnsi"/>
          <w:sz w:val="26"/>
          <w:szCs w:val="26"/>
        </w:rPr>
        <w:tab/>
        <w:t xml:space="preserve">That the Recommended Decision of Administrative Law Judge </w:t>
      </w:r>
      <w:r w:rsidRPr="00217AC0">
        <w:rPr>
          <w:rFonts w:eastAsiaTheme="minorHAnsi"/>
          <w:sz w:val="26"/>
          <w:szCs w:val="26"/>
        </w:rPr>
        <w:t>Steven K. Haas</w:t>
      </w:r>
      <w:r w:rsidR="006067A0" w:rsidRPr="00217AC0">
        <w:rPr>
          <w:rFonts w:eastAsiaTheme="minorHAnsi"/>
          <w:sz w:val="26"/>
          <w:szCs w:val="26"/>
        </w:rPr>
        <w:t xml:space="preserve">, issued on </w:t>
      </w:r>
      <w:r w:rsidRPr="00217AC0">
        <w:rPr>
          <w:rFonts w:eastAsiaTheme="minorHAnsi"/>
          <w:sz w:val="26"/>
          <w:szCs w:val="26"/>
        </w:rPr>
        <w:t>February 11, 2021</w:t>
      </w:r>
      <w:r w:rsidR="006067A0" w:rsidRPr="00217AC0">
        <w:rPr>
          <w:rFonts w:eastAsiaTheme="minorHAnsi"/>
          <w:sz w:val="26"/>
          <w:szCs w:val="26"/>
        </w:rPr>
        <w:t>, is adopted</w:t>
      </w:r>
      <w:r w:rsidR="00981701" w:rsidRPr="00217AC0">
        <w:rPr>
          <w:rFonts w:eastAsiaTheme="minorHAnsi"/>
          <w:sz w:val="26"/>
          <w:szCs w:val="26"/>
        </w:rPr>
        <w:t>,</w:t>
      </w:r>
      <w:r w:rsidR="006067A0" w:rsidRPr="00217AC0">
        <w:rPr>
          <w:rFonts w:eastAsiaTheme="minorHAnsi"/>
          <w:sz w:val="26"/>
          <w:szCs w:val="26"/>
        </w:rPr>
        <w:t xml:space="preserve"> as modified by this Opinion and Order.</w:t>
      </w:r>
    </w:p>
    <w:p w14:paraId="1B131BC3" w14:textId="77777777" w:rsidR="006067A0" w:rsidRPr="00217AC0" w:rsidRDefault="006067A0" w:rsidP="00F07D28">
      <w:pPr>
        <w:widowControl/>
        <w:spacing w:after="200" w:line="360" w:lineRule="auto"/>
        <w:contextualSpacing/>
        <w:rPr>
          <w:rFonts w:eastAsiaTheme="minorHAnsi"/>
          <w:sz w:val="26"/>
          <w:szCs w:val="26"/>
        </w:rPr>
      </w:pPr>
    </w:p>
    <w:p w14:paraId="471CC74E" w14:textId="34F1786B" w:rsidR="006067A0" w:rsidRPr="00217AC0" w:rsidRDefault="00AD4F26" w:rsidP="00F07D28">
      <w:pPr>
        <w:widowControl/>
        <w:spacing w:after="200" w:line="360" w:lineRule="auto"/>
        <w:ind w:firstLine="1440"/>
        <w:contextualSpacing/>
        <w:rPr>
          <w:rFonts w:eastAsiaTheme="minorHAnsi"/>
          <w:sz w:val="26"/>
          <w:szCs w:val="26"/>
        </w:rPr>
      </w:pPr>
      <w:r w:rsidRPr="00217AC0">
        <w:rPr>
          <w:rFonts w:eastAsiaTheme="minorHAnsi"/>
          <w:sz w:val="26"/>
          <w:szCs w:val="26"/>
        </w:rPr>
        <w:t>4</w:t>
      </w:r>
      <w:r w:rsidR="006067A0" w:rsidRPr="00217AC0">
        <w:rPr>
          <w:rFonts w:eastAsiaTheme="minorHAnsi"/>
          <w:sz w:val="26"/>
          <w:szCs w:val="26"/>
        </w:rPr>
        <w:t>.</w:t>
      </w:r>
      <w:r w:rsidR="006067A0" w:rsidRPr="00217AC0">
        <w:rPr>
          <w:rFonts w:eastAsiaTheme="minorHAnsi"/>
          <w:sz w:val="26"/>
          <w:szCs w:val="26"/>
        </w:rPr>
        <w:tab/>
        <w:t>T</w:t>
      </w:r>
      <w:r w:rsidRPr="00217AC0">
        <w:rPr>
          <w:rFonts w:eastAsiaTheme="minorHAnsi"/>
          <w:sz w:val="26"/>
          <w:szCs w:val="26"/>
        </w:rPr>
        <w:t>hat</w:t>
      </w:r>
      <w:r w:rsidR="004A2A1F" w:rsidRPr="00217AC0">
        <w:rPr>
          <w:rFonts w:eastAsiaTheme="minorHAnsi"/>
          <w:sz w:val="26"/>
          <w:szCs w:val="26"/>
        </w:rPr>
        <w:t xml:space="preserve"> the Joint Petition for Approval of Partial Settlement of Rate Investigation of the City of Bethlehem – Water Department and the Commission’s Bureau of Investigation and Enforcement filed at Docket No. R-2020-3020256, including all terms and conditions stated therein, is granted and the Joint Petition is thereby approved, without modification, </w:t>
      </w:r>
      <w:r w:rsidR="00C92D4F" w:rsidRPr="00217AC0">
        <w:rPr>
          <w:rFonts w:eastAsiaTheme="minorHAnsi"/>
          <w:sz w:val="26"/>
          <w:szCs w:val="26"/>
        </w:rPr>
        <w:t>consistent with</w:t>
      </w:r>
      <w:r w:rsidR="004A2A1F" w:rsidRPr="00217AC0">
        <w:rPr>
          <w:rFonts w:eastAsiaTheme="minorHAnsi"/>
          <w:sz w:val="26"/>
          <w:szCs w:val="26"/>
        </w:rPr>
        <w:t xml:space="preserve"> this Opinion and Order.</w:t>
      </w:r>
    </w:p>
    <w:p w14:paraId="1684DD42" w14:textId="3B6921AE" w:rsidR="004A2A1F" w:rsidRPr="00217AC0" w:rsidRDefault="004A2A1F" w:rsidP="00F07D28">
      <w:pPr>
        <w:widowControl/>
        <w:spacing w:after="200" w:line="360" w:lineRule="auto"/>
        <w:ind w:firstLine="1440"/>
        <w:contextualSpacing/>
        <w:rPr>
          <w:rFonts w:eastAsiaTheme="minorHAnsi"/>
          <w:sz w:val="26"/>
          <w:szCs w:val="26"/>
        </w:rPr>
      </w:pPr>
    </w:p>
    <w:p w14:paraId="759DDC9A" w14:textId="5E6B8815" w:rsidR="00CB6FF7" w:rsidRPr="00217AC0" w:rsidRDefault="004A2A1F" w:rsidP="00F07D28">
      <w:pPr>
        <w:widowControl/>
        <w:spacing w:after="200" w:line="360" w:lineRule="auto"/>
        <w:ind w:firstLine="1440"/>
        <w:contextualSpacing/>
        <w:rPr>
          <w:rFonts w:eastAsiaTheme="minorHAnsi"/>
          <w:sz w:val="26"/>
          <w:szCs w:val="26"/>
        </w:rPr>
      </w:pPr>
      <w:r w:rsidRPr="00217AC0">
        <w:rPr>
          <w:rFonts w:eastAsiaTheme="minorHAnsi"/>
          <w:sz w:val="26"/>
          <w:szCs w:val="26"/>
        </w:rPr>
        <w:t>5.</w:t>
      </w:r>
      <w:r w:rsidRPr="00217AC0">
        <w:rPr>
          <w:rFonts w:eastAsiaTheme="minorHAnsi"/>
          <w:sz w:val="26"/>
          <w:szCs w:val="26"/>
        </w:rPr>
        <w:tab/>
        <w:t xml:space="preserve">That the City of Bethlehem – Water Department is authorized to file tariffs, tariff supplement or tariff revisions containing the rates, rules and regulations, consistent with the findings herein, and </w:t>
      </w:r>
      <w:r w:rsidR="00F17621" w:rsidRPr="00217AC0">
        <w:rPr>
          <w:rFonts w:eastAsiaTheme="minorHAnsi"/>
          <w:sz w:val="26"/>
          <w:szCs w:val="26"/>
        </w:rPr>
        <w:t xml:space="preserve">Appendix A </w:t>
      </w:r>
      <w:r w:rsidRPr="00217AC0">
        <w:rPr>
          <w:rFonts w:eastAsiaTheme="minorHAnsi"/>
          <w:sz w:val="26"/>
          <w:szCs w:val="26"/>
        </w:rPr>
        <w:t>attached to the Joint Petition for Approval of Partial Settlement of Rate Investigation,</w:t>
      </w:r>
      <w:r w:rsidR="00981701" w:rsidRPr="00217AC0">
        <w:rPr>
          <w:rFonts w:eastAsiaTheme="minorHAnsi"/>
          <w:sz w:val="26"/>
          <w:szCs w:val="26"/>
        </w:rPr>
        <w:t xml:space="preserve"> consistent with</w:t>
      </w:r>
      <w:r w:rsidRPr="00217AC0">
        <w:rPr>
          <w:rFonts w:eastAsiaTheme="minorHAnsi"/>
          <w:sz w:val="26"/>
          <w:szCs w:val="26"/>
        </w:rPr>
        <w:t xml:space="preserve"> this Opinion and Order</w:t>
      </w:r>
      <w:r w:rsidR="00F17621" w:rsidRPr="00217AC0">
        <w:rPr>
          <w:rFonts w:eastAsiaTheme="minorHAnsi"/>
          <w:sz w:val="26"/>
          <w:szCs w:val="26"/>
        </w:rPr>
        <w:t xml:space="preserve">, </w:t>
      </w:r>
      <w:r w:rsidR="00CB6FF7" w:rsidRPr="00217AC0">
        <w:rPr>
          <w:rFonts w:eastAsiaTheme="minorHAnsi"/>
          <w:sz w:val="26"/>
          <w:szCs w:val="26"/>
        </w:rPr>
        <w:t>so as to produce</w:t>
      </w:r>
      <w:r w:rsidR="00C53F90" w:rsidRPr="00217AC0">
        <w:rPr>
          <w:rFonts w:eastAsiaTheme="minorHAnsi"/>
          <w:sz w:val="26"/>
          <w:szCs w:val="26"/>
        </w:rPr>
        <w:t xml:space="preserve"> annual sales revenue not in excess of $8,934,717</w:t>
      </w:r>
      <w:r w:rsidR="00CB6FF7" w:rsidRPr="00217AC0">
        <w:rPr>
          <w:rFonts w:eastAsiaTheme="minorHAnsi"/>
          <w:sz w:val="26"/>
          <w:szCs w:val="26"/>
        </w:rPr>
        <w:t xml:space="preserve"> </w:t>
      </w:r>
      <w:r w:rsidR="00C53F90" w:rsidRPr="00217AC0">
        <w:rPr>
          <w:rFonts w:eastAsiaTheme="minorHAnsi"/>
          <w:sz w:val="26"/>
          <w:szCs w:val="26"/>
        </w:rPr>
        <w:t xml:space="preserve">from customers residing outside of the City limits, which is an increase over present base rate revenues of </w:t>
      </w:r>
      <w:bookmarkStart w:id="113" w:name="_Hlk66350717"/>
      <w:r w:rsidR="00CB6FF7" w:rsidRPr="00217AC0">
        <w:rPr>
          <w:rFonts w:eastAsiaTheme="minorHAnsi"/>
          <w:sz w:val="26"/>
          <w:szCs w:val="26"/>
        </w:rPr>
        <w:t>$689,932</w:t>
      </w:r>
      <w:r w:rsidR="00C53F90" w:rsidRPr="00217AC0">
        <w:rPr>
          <w:rFonts w:eastAsiaTheme="minorHAnsi"/>
          <w:sz w:val="26"/>
          <w:szCs w:val="26"/>
        </w:rPr>
        <w:t xml:space="preserve"> for jurisdictional customers</w:t>
      </w:r>
      <w:bookmarkEnd w:id="113"/>
      <w:r w:rsidR="00CB6FF7" w:rsidRPr="00217AC0">
        <w:rPr>
          <w:rFonts w:eastAsiaTheme="minorHAnsi"/>
          <w:sz w:val="26"/>
          <w:szCs w:val="26"/>
        </w:rPr>
        <w:t>.</w:t>
      </w:r>
    </w:p>
    <w:p w14:paraId="5EC862A2" w14:textId="487CD344" w:rsidR="00CB6FF7" w:rsidRPr="00217AC0" w:rsidRDefault="00CB6FF7" w:rsidP="00F07D28">
      <w:pPr>
        <w:widowControl/>
        <w:spacing w:after="200" w:line="360" w:lineRule="auto"/>
        <w:ind w:firstLine="1440"/>
        <w:contextualSpacing/>
        <w:rPr>
          <w:rFonts w:eastAsiaTheme="minorHAnsi"/>
          <w:sz w:val="26"/>
          <w:szCs w:val="26"/>
        </w:rPr>
      </w:pPr>
    </w:p>
    <w:p w14:paraId="77C1BF8D" w14:textId="3B4AE0C0" w:rsidR="00CB6FF7" w:rsidRPr="00217AC0" w:rsidRDefault="00CB6FF7" w:rsidP="00F07D28">
      <w:pPr>
        <w:widowControl/>
        <w:spacing w:after="200" w:line="360" w:lineRule="auto"/>
        <w:ind w:firstLine="1440"/>
        <w:contextualSpacing/>
        <w:rPr>
          <w:rFonts w:eastAsiaTheme="minorHAnsi"/>
          <w:sz w:val="26"/>
          <w:szCs w:val="26"/>
        </w:rPr>
      </w:pPr>
      <w:r w:rsidRPr="00217AC0">
        <w:rPr>
          <w:rFonts w:eastAsiaTheme="minorHAnsi"/>
          <w:sz w:val="26"/>
          <w:szCs w:val="26"/>
        </w:rPr>
        <w:t>6.</w:t>
      </w:r>
      <w:r w:rsidRPr="00217AC0">
        <w:rPr>
          <w:rFonts w:eastAsiaTheme="minorHAnsi"/>
          <w:sz w:val="26"/>
          <w:szCs w:val="26"/>
        </w:rPr>
        <w:tab/>
        <w:t>That</w:t>
      </w:r>
      <w:r w:rsidR="00981701" w:rsidRPr="00217AC0">
        <w:rPr>
          <w:rFonts w:eastAsiaTheme="minorHAnsi"/>
          <w:sz w:val="26"/>
          <w:szCs w:val="26"/>
        </w:rPr>
        <w:t xml:space="preserve"> the</w:t>
      </w:r>
      <w:r w:rsidRPr="00217AC0">
        <w:rPr>
          <w:rFonts w:eastAsiaTheme="minorHAnsi"/>
          <w:sz w:val="26"/>
          <w:szCs w:val="26"/>
        </w:rPr>
        <w:t xml:space="preserve"> City of Bethlehem – Water Department</w:t>
      </w:r>
      <w:r w:rsidR="00D418CE" w:rsidRPr="00217AC0">
        <w:rPr>
          <w:rFonts w:eastAsiaTheme="minorHAnsi"/>
          <w:sz w:val="26"/>
          <w:szCs w:val="26"/>
        </w:rPr>
        <w:t>’s</w:t>
      </w:r>
      <w:r w:rsidRPr="00217AC0">
        <w:rPr>
          <w:rFonts w:eastAsiaTheme="minorHAnsi"/>
          <w:sz w:val="26"/>
          <w:szCs w:val="26"/>
        </w:rPr>
        <w:t xml:space="preserve"> tariffs, tariff supplement and/or tariff revisions</w:t>
      </w:r>
      <w:r w:rsidR="00D418CE" w:rsidRPr="00217AC0">
        <w:rPr>
          <w:sz w:val="26"/>
          <w:szCs w:val="26"/>
        </w:rPr>
        <w:t xml:space="preserve"> </w:t>
      </w:r>
      <w:r w:rsidR="00D418CE" w:rsidRPr="00217AC0">
        <w:rPr>
          <w:rFonts w:eastAsiaTheme="minorHAnsi"/>
          <w:sz w:val="26"/>
          <w:szCs w:val="26"/>
        </w:rPr>
        <w:t>as set forth in Ordering Paragraph No. 5, above</w:t>
      </w:r>
      <w:r w:rsidR="007168FE" w:rsidRPr="00217AC0">
        <w:rPr>
          <w:rFonts w:eastAsiaTheme="minorHAnsi"/>
          <w:sz w:val="26"/>
          <w:szCs w:val="26"/>
        </w:rPr>
        <w:t>,</w:t>
      </w:r>
      <w:r w:rsidRPr="00217AC0">
        <w:rPr>
          <w:rFonts w:eastAsiaTheme="minorHAnsi"/>
          <w:sz w:val="26"/>
          <w:szCs w:val="26"/>
        </w:rPr>
        <w:t xml:space="preserve"> may be filed on at least one (1) </w:t>
      </w:r>
      <w:r w:rsidR="009B420F" w:rsidRPr="00217AC0">
        <w:rPr>
          <w:rFonts w:eastAsiaTheme="minorHAnsi"/>
          <w:sz w:val="26"/>
          <w:szCs w:val="26"/>
        </w:rPr>
        <w:t>days’ notice after the entry date of this Opinion and Order</w:t>
      </w:r>
      <w:r w:rsidR="00EC6B8C" w:rsidRPr="00217AC0">
        <w:rPr>
          <w:rFonts w:eastAsiaTheme="minorHAnsi"/>
          <w:sz w:val="26"/>
          <w:szCs w:val="26"/>
        </w:rPr>
        <w:t>, for service rendered on and after April 29, 2021.</w:t>
      </w:r>
    </w:p>
    <w:p w14:paraId="5CA921E0" w14:textId="4424FC40" w:rsidR="00CB6FF7" w:rsidRPr="00217AC0" w:rsidRDefault="00CB6FF7" w:rsidP="00F07D28">
      <w:pPr>
        <w:widowControl/>
        <w:spacing w:after="200" w:line="360" w:lineRule="auto"/>
        <w:ind w:firstLine="1440"/>
        <w:contextualSpacing/>
        <w:rPr>
          <w:rFonts w:eastAsiaTheme="minorHAnsi"/>
          <w:sz w:val="26"/>
          <w:szCs w:val="26"/>
        </w:rPr>
      </w:pPr>
    </w:p>
    <w:p w14:paraId="61B2FDF5" w14:textId="18AD26B3" w:rsidR="00CB6FF7" w:rsidRPr="00217AC0" w:rsidRDefault="00766372" w:rsidP="00F07D28">
      <w:pPr>
        <w:widowControl/>
        <w:spacing w:after="200" w:line="360" w:lineRule="auto"/>
        <w:ind w:firstLine="1440"/>
        <w:contextualSpacing/>
        <w:rPr>
          <w:rFonts w:eastAsiaTheme="minorHAnsi"/>
          <w:sz w:val="26"/>
          <w:szCs w:val="26"/>
        </w:rPr>
      </w:pPr>
      <w:r w:rsidRPr="00217AC0">
        <w:rPr>
          <w:rFonts w:eastAsiaTheme="minorHAnsi"/>
          <w:sz w:val="26"/>
          <w:szCs w:val="26"/>
        </w:rPr>
        <w:t>7.</w:t>
      </w:r>
      <w:r w:rsidRPr="00217AC0">
        <w:rPr>
          <w:rFonts w:eastAsiaTheme="minorHAnsi"/>
          <w:sz w:val="26"/>
          <w:szCs w:val="26"/>
        </w:rPr>
        <w:tab/>
        <w:t xml:space="preserve">That the City of Bethlehem – Water Department and the Office of Consumer Advocate shall comply with the terms of the Stipulations submitted in this </w:t>
      </w:r>
      <w:r w:rsidRPr="00217AC0">
        <w:rPr>
          <w:rFonts w:eastAsiaTheme="minorHAnsi"/>
          <w:sz w:val="26"/>
          <w:szCs w:val="26"/>
        </w:rPr>
        <w:lastRenderedPageBreak/>
        <w:t>proceeding as though each term therein were the subject of an individual ordering paragraph.</w:t>
      </w:r>
    </w:p>
    <w:p w14:paraId="45B25B52" w14:textId="66663EC4" w:rsidR="00766372" w:rsidRPr="00217AC0" w:rsidRDefault="00766372" w:rsidP="00F07D28">
      <w:pPr>
        <w:widowControl/>
        <w:spacing w:after="200" w:line="360" w:lineRule="auto"/>
        <w:ind w:firstLine="1440"/>
        <w:contextualSpacing/>
        <w:rPr>
          <w:rFonts w:eastAsiaTheme="minorHAnsi"/>
          <w:sz w:val="26"/>
          <w:szCs w:val="26"/>
        </w:rPr>
      </w:pPr>
    </w:p>
    <w:p w14:paraId="7B82C735" w14:textId="453C78DD" w:rsidR="00766372" w:rsidRPr="00217AC0" w:rsidRDefault="00766372" w:rsidP="00F07D28">
      <w:pPr>
        <w:widowControl/>
        <w:spacing w:after="200" w:line="360" w:lineRule="auto"/>
        <w:ind w:firstLine="1440"/>
        <w:contextualSpacing/>
        <w:rPr>
          <w:rFonts w:eastAsiaTheme="minorHAnsi"/>
          <w:sz w:val="26"/>
          <w:szCs w:val="26"/>
        </w:rPr>
      </w:pPr>
      <w:r w:rsidRPr="00217AC0">
        <w:rPr>
          <w:rFonts w:eastAsiaTheme="minorHAnsi"/>
          <w:sz w:val="26"/>
          <w:szCs w:val="26"/>
        </w:rPr>
        <w:t>8.</w:t>
      </w:r>
      <w:r w:rsidRPr="00217AC0">
        <w:rPr>
          <w:rFonts w:eastAsiaTheme="minorHAnsi"/>
          <w:sz w:val="26"/>
          <w:szCs w:val="26"/>
        </w:rPr>
        <w:tab/>
        <w:t xml:space="preserve">That the </w:t>
      </w:r>
      <w:r w:rsidR="00981701" w:rsidRPr="00217AC0">
        <w:rPr>
          <w:rFonts w:eastAsiaTheme="minorHAnsi"/>
          <w:sz w:val="26"/>
          <w:szCs w:val="26"/>
        </w:rPr>
        <w:t>F</w:t>
      </w:r>
      <w:r w:rsidRPr="00217AC0">
        <w:rPr>
          <w:rFonts w:eastAsiaTheme="minorHAnsi"/>
          <w:sz w:val="26"/>
          <w:szCs w:val="26"/>
        </w:rPr>
        <w:t xml:space="preserve">ormal </w:t>
      </w:r>
      <w:r w:rsidR="00981701" w:rsidRPr="00217AC0">
        <w:rPr>
          <w:rFonts w:eastAsiaTheme="minorHAnsi"/>
          <w:sz w:val="26"/>
          <w:szCs w:val="26"/>
        </w:rPr>
        <w:t>C</w:t>
      </w:r>
      <w:r w:rsidRPr="00217AC0">
        <w:rPr>
          <w:rFonts w:eastAsiaTheme="minorHAnsi"/>
          <w:sz w:val="26"/>
          <w:szCs w:val="26"/>
        </w:rPr>
        <w:t>omplaint</w:t>
      </w:r>
      <w:r w:rsidR="002E491C" w:rsidRPr="00217AC0">
        <w:rPr>
          <w:rFonts w:eastAsiaTheme="minorHAnsi"/>
          <w:sz w:val="26"/>
          <w:szCs w:val="26"/>
        </w:rPr>
        <w:t xml:space="preserve"> filed by</w:t>
      </w:r>
      <w:r w:rsidRPr="00217AC0">
        <w:rPr>
          <w:rFonts w:eastAsiaTheme="minorHAnsi"/>
          <w:sz w:val="26"/>
          <w:szCs w:val="26"/>
        </w:rPr>
        <w:t xml:space="preserve"> the Office of Small Business Advocate</w:t>
      </w:r>
      <w:r w:rsidR="002E491C" w:rsidRPr="00217AC0">
        <w:rPr>
          <w:rFonts w:eastAsiaTheme="minorHAnsi"/>
          <w:sz w:val="26"/>
          <w:szCs w:val="26"/>
        </w:rPr>
        <w:t xml:space="preserve"> in this proceeding</w:t>
      </w:r>
      <w:r w:rsidRPr="00217AC0">
        <w:rPr>
          <w:rFonts w:eastAsiaTheme="minorHAnsi"/>
          <w:sz w:val="26"/>
          <w:szCs w:val="26"/>
        </w:rPr>
        <w:t xml:space="preserve"> at Docket No. C-2020-3021576 </w:t>
      </w:r>
      <w:r w:rsidR="002E491C" w:rsidRPr="00217AC0">
        <w:rPr>
          <w:rFonts w:eastAsiaTheme="minorHAnsi"/>
          <w:sz w:val="26"/>
          <w:szCs w:val="26"/>
        </w:rPr>
        <w:t>be dismissed and marked closed.</w:t>
      </w:r>
    </w:p>
    <w:p w14:paraId="3ACD8B6D" w14:textId="7A6AB181" w:rsidR="002E491C" w:rsidRPr="00217AC0" w:rsidRDefault="002E491C" w:rsidP="00F07D28">
      <w:pPr>
        <w:widowControl/>
        <w:spacing w:after="200" w:line="360" w:lineRule="auto"/>
        <w:ind w:firstLine="1440"/>
        <w:contextualSpacing/>
        <w:rPr>
          <w:rFonts w:eastAsiaTheme="minorHAnsi"/>
          <w:sz w:val="26"/>
          <w:szCs w:val="26"/>
        </w:rPr>
      </w:pPr>
    </w:p>
    <w:p w14:paraId="67E06EBC" w14:textId="53936E4F" w:rsidR="002E491C" w:rsidRPr="00217AC0" w:rsidRDefault="002E491C" w:rsidP="00F07D28">
      <w:pPr>
        <w:widowControl/>
        <w:spacing w:after="200" w:line="360" w:lineRule="auto"/>
        <w:ind w:firstLine="1440"/>
        <w:contextualSpacing/>
        <w:rPr>
          <w:rFonts w:eastAsiaTheme="minorHAnsi"/>
          <w:sz w:val="26"/>
          <w:szCs w:val="26"/>
        </w:rPr>
      </w:pPr>
      <w:r w:rsidRPr="00217AC0">
        <w:rPr>
          <w:rFonts w:eastAsiaTheme="minorHAnsi"/>
          <w:sz w:val="26"/>
          <w:szCs w:val="26"/>
        </w:rPr>
        <w:t>9.</w:t>
      </w:r>
      <w:r w:rsidRPr="00217AC0">
        <w:rPr>
          <w:rFonts w:eastAsiaTheme="minorHAnsi"/>
          <w:sz w:val="26"/>
          <w:szCs w:val="26"/>
        </w:rPr>
        <w:tab/>
        <w:t xml:space="preserve">That the </w:t>
      </w:r>
      <w:r w:rsidR="00981701" w:rsidRPr="00217AC0">
        <w:rPr>
          <w:rFonts w:eastAsiaTheme="minorHAnsi"/>
          <w:sz w:val="26"/>
          <w:szCs w:val="26"/>
        </w:rPr>
        <w:t>F</w:t>
      </w:r>
      <w:r w:rsidRPr="00217AC0">
        <w:rPr>
          <w:rFonts w:eastAsiaTheme="minorHAnsi"/>
          <w:sz w:val="26"/>
          <w:szCs w:val="26"/>
        </w:rPr>
        <w:t xml:space="preserve">ormal </w:t>
      </w:r>
      <w:r w:rsidR="00981701" w:rsidRPr="00217AC0">
        <w:rPr>
          <w:rFonts w:eastAsiaTheme="minorHAnsi"/>
          <w:sz w:val="26"/>
          <w:szCs w:val="26"/>
        </w:rPr>
        <w:t>C</w:t>
      </w:r>
      <w:r w:rsidRPr="00217AC0">
        <w:rPr>
          <w:rFonts w:eastAsiaTheme="minorHAnsi"/>
          <w:sz w:val="26"/>
          <w:szCs w:val="26"/>
        </w:rPr>
        <w:t>omplaint filed by the Office of Consumer Advocate in this proceeding at Docket No. C-2020-3021583 be dismissed and marked closed.</w:t>
      </w:r>
    </w:p>
    <w:p w14:paraId="3883BD1B" w14:textId="77777777" w:rsidR="007648D4" w:rsidRPr="00217AC0" w:rsidRDefault="007648D4" w:rsidP="00F07D28">
      <w:pPr>
        <w:widowControl/>
        <w:spacing w:after="200" w:line="360" w:lineRule="auto"/>
        <w:ind w:firstLine="1440"/>
        <w:contextualSpacing/>
        <w:rPr>
          <w:rFonts w:eastAsiaTheme="minorHAnsi"/>
          <w:sz w:val="26"/>
          <w:szCs w:val="26"/>
        </w:rPr>
      </w:pPr>
    </w:p>
    <w:p w14:paraId="5BC00E6A" w14:textId="3723113F" w:rsidR="009B420F" w:rsidRPr="00217AC0" w:rsidRDefault="002E491C" w:rsidP="00F07D28">
      <w:pPr>
        <w:keepNext/>
        <w:keepLines/>
        <w:widowControl/>
        <w:spacing w:line="360" w:lineRule="auto"/>
        <w:ind w:firstLine="1440"/>
        <w:contextualSpacing/>
        <w:rPr>
          <w:sz w:val="26"/>
          <w:szCs w:val="26"/>
        </w:rPr>
      </w:pPr>
      <w:r w:rsidRPr="00217AC0">
        <w:rPr>
          <w:sz w:val="26"/>
          <w:szCs w:val="26"/>
        </w:rPr>
        <w:t>10</w:t>
      </w:r>
      <w:r w:rsidR="009B420F" w:rsidRPr="00217AC0">
        <w:rPr>
          <w:sz w:val="26"/>
          <w:szCs w:val="26"/>
        </w:rPr>
        <w:t>.</w:t>
      </w:r>
      <w:r w:rsidR="009B420F" w:rsidRPr="00217AC0">
        <w:rPr>
          <w:sz w:val="26"/>
          <w:szCs w:val="26"/>
        </w:rPr>
        <w:tab/>
        <w:t>That upon acceptance and approval by the Commission of the appropriate compliance filings, tariffs, tariff supplements or tariff revisions filed by the City of Bethlehem – Water Department consistent with this Opinion and Order, this proceeding at Docket No. R-2020-3</w:t>
      </w:r>
      <w:r w:rsidR="007B4BB6" w:rsidRPr="00217AC0">
        <w:rPr>
          <w:sz w:val="26"/>
          <w:szCs w:val="26"/>
        </w:rPr>
        <w:t>0</w:t>
      </w:r>
      <w:r w:rsidR="009B420F" w:rsidRPr="00217AC0">
        <w:rPr>
          <w:sz w:val="26"/>
          <w:szCs w:val="26"/>
        </w:rPr>
        <w:t>20256 shall be marked closed.</w:t>
      </w:r>
    </w:p>
    <w:p w14:paraId="783110D2" w14:textId="76EFAC0F" w:rsidR="000F1318" w:rsidRDefault="000F1318" w:rsidP="00217AC0">
      <w:pPr>
        <w:keepNext/>
        <w:widowControl/>
        <w:rPr>
          <w:sz w:val="26"/>
          <w:szCs w:val="26"/>
        </w:rPr>
      </w:pPr>
    </w:p>
    <w:p w14:paraId="544FE057" w14:textId="5F9AC516" w:rsidR="00F07D28" w:rsidRPr="00217AC0" w:rsidRDefault="00F07D28" w:rsidP="00217AC0">
      <w:pPr>
        <w:keepNext/>
        <w:widowControl/>
        <w:rPr>
          <w:sz w:val="26"/>
          <w:szCs w:val="26"/>
        </w:rPr>
      </w:pPr>
    </w:p>
    <w:p w14:paraId="0D5F48A5" w14:textId="63A8AF70" w:rsidR="000F1318" w:rsidRPr="00217AC0" w:rsidRDefault="00CA585A" w:rsidP="00217AC0">
      <w:pPr>
        <w:keepNext/>
        <w:widowControl/>
        <w:spacing w:line="360" w:lineRule="auto"/>
        <w:ind w:firstLine="5760"/>
        <w:rPr>
          <w:sz w:val="26"/>
          <w:szCs w:val="26"/>
        </w:rPr>
      </w:pPr>
      <w:r>
        <w:rPr>
          <w:noProof/>
        </w:rPr>
        <w:drawing>
          <wp:anchor distT="0" distB="0" distL="114300" distR="114300" simplePos="0" relativeHeight="251659264" behindDoc="1" locked="0" layoutInCell="1" allowOverlap="1" wp14:anchorId="0DEFB740" wp14:editId="293AA11E">
            <wp:simplePos x="0" y="0"/>
            <wp:positionH relativeFrom="column">
              <wp:posOffset>3714750</wp:posOffset>
            </wp:positionH>
            <wp:positionV relativeFrom="paragraph">
              <wp:posOffset>238760</wp:posOffset>
            </wp:positionV>
            <wp:extent cx="2200275" cy="83820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00275" cy="838200"/>
                    </a:xfrm>
                    <a:prstGeom prst="rect">
                      <a:avLst/>
                    </a:prstGeom>
                    <a:noFill/>
                    <a:ln w="9525">
                      <a:noFill/>
                      <a:miter lim="800000"/>
                      <a:headEnd/>
                      <a:tailEnd/>
                    </a:ln>
                  </pic:spPr>
                </pic:pic>
              </a:graphicData>
            </a:graphic>
          </wp:anchor>
        </w:drawing>
      </w:r>
      <w:r w:rsidR="000F1318" w:rsidRPr="00217AC0">
        <w:rPr>
          <w:b/>
          <w:sz w:val="26"/>
          <w:szCs w:val="26"/>
        </w:rPr>
        <w:t>BY THE COMMISSION,</w:t>
      </w:r>
    </w:p>
    <w:p w14:paraId="1B729B44" w14:textId="4F19DF3E" w:rsidR="000F1318" w:rsidRPr="00217AC0" w:rsidRDefault="000F1318" w:rsidP="00217AC0">
      <w:pPr>
        <w:keepNext/>
        <w:widowControl/>
        <w:rPr>
          <w:sz w:val="26"/>
          <w:szCs w:val="26"/>
        </w:rPr>
      </w:pPr>
    </w:p>
    <w:p w14:paraId="16BB3175" w14:textId="136DE139" w:rsidR="000F1318" w:rsidRPr="00217AC0" w:rsidRDefault="000F1318" w:rsidP="00217AC0">
      <w:pPr>
        <w:keepNext/>
        <w:widowControl/>
        <w:rPr>
          <w:sz w:val="26"/>
          <w:szCs w:val="26"/>
        </w:rPr>
      </w:pPr>
    </w:p>
    <w:p w14:paraId="4853AF9B" w14:textId="37285499" w:rsidR="000D7B91" w:rsidRPr="00217AC0" w:rsidRDefault="000D7B91" w:rsidP="00217AC0">
      <w:pPr>
        <w:keepNext/>
        <w:widowControl/>
        <w:rPr>
          <w:sz w:val="26"/>
          <w:szCs w:val="26"/>
        </w:rPr>
      </w:pPr>
    </w:p>
    <w:p w14:paraId="2665205C" w14:textId="77777777" w:rsidR="000F1318" w:rsidRPr="00217AC0" w:rsidRDefault="000F1318" w:rsidP="00217AC0">
      <w:pPr>
        <w:keepNext/>
        <w:widowControl/>
        <w:rPr>
          <w:sz w:val="26"/>
          <w:szCs w:val="26"/>
        </w:rPr>
      </w:pPr>
    </w:p>
    <w:p w14:paraId="10972E82" w14:textId="77777777" w:rsidR="00600F6F" w:rsidRPr="00217AC0" w:rsidRDefault="00600F6F" w:rsidP="00217AC0">
      <w:pPr>
        <w:keepNext/>
        <w:widowControl/>
        <w:ind w:firstLine="5760"/>
        <w:rPr>
          <w:sz w:val="26"/>
          <w:szCs w:val="26"/>
        </w:rPr>
      </w:pPr>
      <w:r w:rsidRPr="00217AC0">
        <w:rPr>
          <w:sz w:val="26"/>
          <w:szCs w:val="26"/>
        </w:rPr>
        <w:t>Rosemary Chiavetta</w:t>
      </w:r>
    </w:p>
    <w:p w14:paraId="12DFF6D7" w14:textId="77777777" w:rsidR="000F1318" w:rsidRPr="00217AC0" w:rsidRDefault="000F1318" w:rsidP="00217AC0">
      <w:pPr>
        <w:keepNext/>
        <w:widowControl/>
        <w:ind w:firstLine="5760"/>
        <w:rPr>
          <w:sz w:val="26"/>
          <w:szCs w:val="26"/>
        </w:rPr>
      </w:pPr>
      <w:r w:rsidRPr="00217AC0">
        <w:rPr>
          <w:sz w:val="26"/>
          <w:szCs w:val="26"/>
        </w:rPr>
        <w:t>Secretary</w:t>
      </w:r>
    </w:p>
    <w:p w14:paraId="350D3FC4" w14:textId="77777777" w:rsidR="000F1318" w:rsidRPr="00217AC0" w:rsidRDefault="000F1318" w:rsidP="00217AC0">
      <w:pPr>
        <w:keepNext/>
        <w:widowControl/>
        <w:rPr>
          <w:sz w:val="26"/>
          <w:szCs w:val="26"/>
        </w:rPr>
      </w:pPr>
    </w:p>
    <w:p w14:paraId="58541BBE" w14:textId="77777777" w:rsidR="000F1318" w:rsidRPr="00217AC0" w:rsidRDefault="000F1318" w:rsidP="00217AC0">
      <w:pPr>
        <w:keepNext/>
        <w:widowControl/>
        <w:rPr>
          <w:sz w:val="26"/>
          <w:szCs w:val="26"/>
        </w:rPr>
      </w:pPr>
      <w:r w:rsidRPr="00217AC0">
        <w:rPr>
          <w:sz w:val="26"/>
          <w:szCs w:val="26"/>
        </w:rPr>
        <w:t>(SEAL)</w:t>
      </w:r>
    </w:p>
    <w:p w14:paraId="2DB92430" w14:textId="77777777" w:rsidR="000F1318" w:rsidRPr="00217AC0" w:rsidRDefault="000F1318" w:rsidP="00217AC0">
      <w:pPr>
        <w:keepNext/>
        <w:widowControl/>
        <w:rPr>
          <w:sz w:val="26"/>
          <w:szCs w:val="26"/>
        </w:rPr>
      </w:pPr>
    </w:p>
    <w:p w14:paraId="5DD592A5" w14:textId="5E3D6B40" w:rsidR="000D7B91" w:rsidRPr="00217AC0" w:rsidRDefault="00F248A4" w:rsidP="00217AC0">
      <w:pPr>
        <w:keepNext/>
        <w:widowControl/>
        <w:rPr>
          <w:sz w:val="26"/>
          <w:szCs w:val="26"/>
        </w:rPr>
      </w:pPr>
      <w:r w:rsidRPr="00217AC0">
        <w:rPr>
          <w:sz w:val="26"/>
          <w:szCs w:val="26"/>
        </w:rPr>
        <w:t>ORDER ADOPTED:</w:t>
      </w:r>
      <w:r w:rsidR="00776AD2" w:rsidRPr="00217AC0">
        <w:rPr>
          <w:sz w:val="26"/>
          <w:szCs w:val="26"/>
        </w:rPr>
        <w:t xml:space="preserve">  </w:t>
      </w:r>
      <w:r w:rsidR="00741562" w:rsidRPr="00217AC0">
        <w:rPr>
          <w:sz w:val="26"/>
          <w:szCs w:val="26"/>
        </w:rPr>
        <w:t>April 15</w:t>
      </w:r>
      <w:r w:rsidR="003F19BF" w:rsidRPr="00217AC0">
        <w:rPr>
          <w:sz w:val="26"/>
          <w:szCs w:val="26"/>
        </w:rPr>
        <w:t>, 20</w:t>
      </w:r>
      <w:r w:rsidR="00B104A2" w:rsidRPr="00217AC0">
        <w:rPr>
          <w:sz w:val="26"/>
          <w:szCs w:val="26"/>
        </w:rPr>
        <w:t>2</w:t>
      </w:r>
      <w:r w:rsidR="00F43F7E" w:rsidRPr="00217AC0">
        <w:rPr>
          <w:sz w:val="26"/>
          <w:szCs w:val="26"/>
        </w:rPr>
        <w:t>1</w:t>
      </w:r>
    </w:p>
    <w:p w14:paraId="77DBB4DA" w14:textId="77777777" w:rsidR="000D7B91" w:rsidRPr="00217AC0" w:rsidRDefault="000D7B91" w:rsidP="00217AC0">
      <w:pPr>
        <w:keepNext/>
        <w:widowControl/>
        <w:rPr>
          <w:sz w:val="26"/>
          <w:szCs w:val="26"/>
        </w:rPr>
      </w:pPr>
    </w:p>
    <w:p w14:paraId="2FE4E797" w14:textId="2BD45340" w:rsidR="004F47A7" w:rsidRPr="00217AC0" w:rsidRDefault="000D7B91" w:rsidP="00217AC0">
      <w:pPr>
        <w:keepNext/>
        <w:widowControl/>
        <w:rPr>
          <w:b/>
          <w:sz w:val="26"/>
          <w:szCs w:val="26"/>
        </w:rPr>
      </w:pPr>
      <w:r w:rsidRPr="00217AC0">
        <w:rPr>
          <w:sz w:val="26"/>
          <w:szCs w:val="26"/>
        </w:rPr>
        <w:t>O</w:t>
      </w:r>
      <w:r w:rsidR="000F1318" w:rsidRPr="00217AC0">
        <w:rPr>
          <w:sz w:val="26"/>
          <w:szCs w:val="26"/>
        </w:rPr>
        <w:t>RDER ENTERED:</w:t>
      </w:r>
      <w:r w:rsidR="00503ACC" w:rsidRPr="00217AC0">
        <w:rPr>
          <w:b/>
          <w:sz w:val="26"/>
          <w:szCs w:val="26"/>
        </w:rPr>
        <w:t xml:space="preserve"> </w:t>
      </w:r>
      <w:r w:rsidR="00F07D28">
        <w:rPr>
          <w:b/>
          <w:sz w:val="26"/>
          <w:szCs w:val="26"/>
        </w:rPr>
        <w:t xml:space="preserve"> </w:t>
      </w:r>
      <w:r w:rsidR="00CA585A" w:rsidRPr="00CA585A">
        <w:rPr>
          <w:bCs/>
          <w:sz w:val="26"/>
          <w:szCs w:val="26"/>
        </w:rPr>
        <w:t>April 15, 2021</w:t>
      </w:r>
    </w:p>
    <w:sectPr w:rsidR="004F47A7" w:rsidRPr="00217AC0" w:rsidSect="0045287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01394" w14:textId="77777777" w:rsidR="001F7F5F" w:rsidRDefault="001F7F5F">
      <w:r>
        <w:separator/>
      </w:r>
    </w:p>
    <w:p w14:paraId="710BF199" w14:textId="77777777" w:rsidR="001F7F5F" w:rsidRDefault="001F7F5F"/>
    <w:p w14:paraId="72407CCE" w14:textId="77777777" w:rsidR="001F7F5F" w:rsidRDefault="001F7F5F" w:rsidP="002826C5"/>
  </w:endnote>
  <w:endnote w:type="continuationSeparator" w:id="0">
    <w:p w14:paraId="4F85448E" w14:textId="77777777" w:rsidR="001F7F5F" w:rsidRDefault="001F7F5F">
      <w:r>
        <w:continuationSeparator/>
      </w:r>
    </w:p>
    <w:p w14:paraId="46A3D2A7" w14:textId="77777777" w:rsidR="001F7F5F" w:rsidRDefault="001F7F5F"/>
    <w:p w14:paraId="15D52D0F" w14:textId="77777777" w:rsidR="001F7F5F" w:rsidRDefault="001F7F5F" w:rsidP="002826C5"/>
  </w:endnote>
  <w:endnote w:type="continuationNotice" w:id="1">
    <w:p w14:paraId="40ECF73A" w14:textId="77777777" w:rsidR="001F7F5F" w:rsidRDefault="001F7F5F"/>
    <w:p w14:paraId="5DD54708" w14:textId="77777777" w:rsidR="001F7F5F" w:rsidRDefault="001F7F5F"/>
    <w:p w14:paraId="5A12EB60" w14:textId="77777777" w:rsidR="001F7F5F" w:rsidRDefault="001F7F5F" w:rsidP="00282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372A" w14:textId="77777777" w:rsidR="00DF516E" w:rsidRDefault="00DF516E" w:rsidP="00610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2A25DE" w14:textId="77777777" w:rsidR="00DF516E" w:rsidRDefault="00DF51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0F16" w14:textId="77777777" w:rsidR="00DF516E" w:rsidRPr="00C7667D" w:rsidRDefault="00DF516E" w:rsidP="00610A49">
    <w:pPr>
      <w:pStyle w:val="Footer"/>
      <w:framePr w:wrap="around" w:vAnchor="text" w:hAnchor="margin" w:xAlign="center" w:y="1"/>
      <w:rPr>
        <w:rStyle w:val="PageNumber"/>
        <w:sz w:val="26"/>
      </w:rPr>
    </w:pPr>
    <w:r w:rsidRPr="00C7667D">
      <w:rPr>
        <w:rStyle w:val="PageNumber"/>
        <w:sz w:val="26"/>
      </w:rPr>
      <w:fldChar w:fldCharType="begin"/>
    </w:r>
    <w:r w:rsidRPr="00C7667D">
      <w:rPr>
        <w:rStyle w:val="PageNumber"/>
        <w:sz w:val="26"/>
      </w:rPr>
      <w:instrText xml:space="preserve">PAGE  </w:instrText>
    </w:r>
    <w:r w:rsidRPr="00C7667D">
      <w:rPr>
        <w:rStyle w:val="PageNumber"/>
        <w:sz w:val="26"/>
      </w:rPr>
      <w:fldChar w:fldCharType="separate"/>
    </w:r>
    <w:r>
      <w:rPr>
        <w:rStyle w:val="PageNumber"/>
        <w:noProof/>
        <w:sz w:val="26"/>
      </w:rPr>
      <w:t>2</w:t>
    </w:r>
    <w:r w:rsidRPr="00C7667D">
      <w:rPr>
        <w:rStyle w:val="PageNumber"/>
        <w:sz w:val="26"/>
      </w:rPr>
      <w:fldChar w:fldCharType="end"/>
    </w:r>
  </w:p>
  <w:p w14:paraId="74A283B3" w14:textId="77777777" w:rsidR="00DF516E" w:rsidRDefault="00DF516E" w:rsidP="00C766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2384" w14:textId="77777777" w:rsidR="00DF516E" w:rsidRDefault="00DF516E" w:rsidP="00A32A8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E8A96" w14:textId="77777777" w:rsidR="001F7F5F" w:rsidRDefault="001F7F5F" w:rsidP="002826C5">
      <w:r>
        <w:separator/>
      </w:r>
    </w:p>
  </w:footnote>
  <w:footnote w:type="continuationSeparator" w:id="0">
    <w:p w14:paraId="1EBF8986" w14:textId="77777777" w:rsidR="001F7F5F" w:rsidRDefault="001F7F5F">
      <w:r>
        <w:continuationSeparator/>
      </w:r>
    </w:p>
    <w:p w14:paraId="350B8F1B" w14:textId="77777777" w:rsidR="001F7F5F" w:rsidRDefault="001F7F5F"/>
    <w:p w14:paraId="177DC5D8" w14:textId="77777777" w:rsidR="001F7F5F" w:rsidRDefault="001F7F5F" w:rsidP="002826C5"/>
  </w:footnote>
  <w:footnote w:type="continuationNotice" w:id="1">
    <w:p w14:paraId="736662A7" w14:textId="77777777" w:rsidR="001F7F5F" w:rsidRDefault="001F7F5F"/>
    <w:p w14:paraId="39E383F3" w14:textId="77777777" w:rsidR="001F7F5F" w:rsidRDefault="001F7F5F"/>
    <w:p w14:paraId="6849CEAD" w14:textId="77777777" w:rsidR="001F7F5F" w:rsidRDefault="001F7F5F" w:rsidP="002826C5"/>
  </w:footnote>
  <w:footnote w:id="2">
    <w:p w14:paraId="0C3E3305" w14:textId="7266372E" w:rsidR="00DF516E" w:rsidRPr="00C747A4" w:rsidRDefault="00DF516E" w:rsidP="00C92CD6">
      <w:pPr>
        <w:pStyle w:val="FootnoteText"/>
        <w:keepNext/>
        <w:keepLines/>
        <w:spacing w:after="120"/>
        <w:ind w:firstLine="720"/>
        <w:rPr>
          <w:sz w:val="26"/>
          <w:szCs w:val="26"/>
        </w:rPr>
      </w:pPr>
      <w:r w:rsidRPr="00C747A4">
        <w:rPr>
          <w:rStyle w:val="FootnoteReference"/>
          <w:sz w:val="26"/>
          <w:szCs w:val="26"/>
        </w:rPr>
        <w:footnoteRef/>
      </w:r>
      <w:r w:rsidRPr="00C747A4">
        <w:rPr>
          <w:sz w:val="26"/>
          <w:szCs w:val="26"/>
        </w:rPr>
        <w:t xml:space="preserve"> </w:t>
      </w:r>
      <w:r>
        <w:rPr>
          <w:sz w:val="26"/>
          <w:szCs w:val="26"/>
        </w:rPr>
        <w:tab/>
      </w:r>
      <w:r w:rsidRPr="003F5D30">
        <w:rPr>
          <w:sz w:val="26"/>
          <w:szCs w:val="26"/>
        </w:rPr>
        <w:t>We note that the Joint Petition resolves</w:t>
      </w:r>
      <w:r>
        <w:rPr>
          <w:sz w:val="26"/>
          <w:szCs w:val="26"/>
        </w:rPr>
        <w:t xml:space="preserve"> the</w:t>
      </w:r>
      <w:r w:rsidRPr="003F5D30">
        <w:rPr>
          <w:sz w:val="26"/>
          <w:szCs w:val="26"/>
        </w:rPr>
        <w:t xml:space="preserve"> entire rate proceeding and reflects a </w:t>
      </w:r>
      <w:r w:rsidRPr="003F5D30">
        <w:rPr>
          <w:i/>
          <w:iCs/>
          <w:sz w:val="26"/>
          <w:szCs w:val="26"/>
        </w:rPr>
        <w:t>nonunanimous</w:t>
      </w:r>
      <w:r w:rsidRPr="003F5D30">
        <w:rPr>
          <w:sz w:val="26"/>
          <w:szCs w:val="26"/>
        </w:rPr>
        <w:t xml:space="preserve"> settlement initiated by some, but not all, of the parties to the proceeding.  For clarity, future reference to a “nonunanimous settlement” refers to a settlement of the issues by a less than total number of the parties to the proceeding.  Reference to a “partial settlement” shall refer to a settlement of less</w:t>
      </w:r>
      <w:r>
        <w:rPr>
          <w:sz w:val="26"/>
          <w:szCs w:val="26"/>
        </w:rPr>
        <w:t xml:space="preserve"> than the</w:t>
      </w:r>
      <w:r w:rsidRPr="003F5D30">
        <w:rPr>
          <w:sz w:val="26"/>
          <w:szCs w:val="26"/>
        </w:rPr>
        <w:t xml:space="preserve"> total number of issues in the rate case.  Further, in this case, stipulations were achieved regarding tangential matters with non-settling parties, which were independent of the </w:t>
      </w:r>
      <w:r>
        <w:rPr>
          <w:sz w:val="26"/>
          <w:szCs w:val="26"/>
        </w:rPr>
        <w:t>S</w:t>
      </w:r>
      <w:r w:rsidRPr="003F5D30">
        <w:rPr>
          <w:sz w:val="26"/>
          <w:szCs w:val="26"/>
        </w:rPr>
        <w:t>ettlement.</w:t>
      </w:r>
      <w:r>
        <w:rPr>
          <w:sz w:val="26"/>
          <w:szCs w:val="26"/>
        </w:rPr>
        <w:t xml:space="preserve">  Specifically, t</w:t>
      </w:r>
      <w:r w:rsidRPr="00C747A4">
        <w:rPr>
          <w:sz w:val="26"/>
          <w:szCs w:val="26"/>
        </w:rPr>
        <w:t>he OCA and the Office of Small Business Advocate (OSBA)</w:t>
      </w:r>
      <w:r>
        <w:rPr>
          <w:sz w:val="26"/>
          <w:szCs w:val="26"/>
        </w:rPr>
        <w:t xml:space="preserve"> (Non-Settling Parties)</w:t>
      </w:r>
      <w:r w:rsidRPr="00C747A4">
        <w:rPr>
          <w:sz w:val="26"/>
          <w:szCs w:val="26"/>
        </w:rPr>
        <w:t xml:space="preserve"> are </w:t>
      </w:r>
      <w:r>
        <w:rPr>
          <w:sz w:val="26"/>
          <w:szCs w:val="26"/>
        </w:rPr>
        <w:t>P</w:t>
      </w:r>
      <w:r w:rsidRPr="00C747A4">
        <w:rPr>
          <w:sz w:val="26"/>
          <w:szCs w:val="26"/>
        </w:rPr>
        <w:t>arties to this proceeding but are not signatories to the Joint Petition</w:t>
      </w:r>
      <w:r>
        <w:rPr>
          <w:sz w:val="26"/>
          <w:szCs w:val="26"/>
        </w:rPr>
        <w:t>.</w:t>
      </w:r>
    </w:p>
  </w:footnote>
  <w:footnote w:id="3">
    <w:p w14:paraId="060BA568" w14:textId="765EACEA" w:rsidR="00DF516E" w:rsidRPr="00134DB5" w:rsidRDefault="00DF516E" w:rsidP="00C92CD6">
      <w:pPr>
        <w:pStyle w:val="FootnoteText"/>
        <w:keepNext/>
        <w:keepLines/>
        <w:spacing w:after="120"/>
        <w:ind w:firstLine="720"/>
        <w:rPr>
          <w:sz w:val="26"/>
          <w:szCs w:val="26"/>
          <w:vertAlign w:val="superscript"/>
        </w:rPr>
      </w:pPr>
      <w:r w:rsidRPr="0068161F">
        <w:rPr>
          <w:rStyle w:val="FootnoteReference"/>
          <w:sz w:val="26"/>
          <w:szCs w:val="26"/>
        </w:rPr>
        <w:footnoteRef/>
      </w:r>
      <w:r w:rsidRPr="0068161F">
        <w:rPr>
          <w:sz w:val="26"/>
          <w:szCs w:val="26"/>
        </w:rPr>
        <w:t xml:space="preserve"> </w:t>
      </w:r>
      <w:r w:rsidRPr="0068161F">
        <w:rPr>
          <w:sz w:val="26"/>
          <w:szCs w:val="26"/>
        </w:rPr>
        <w:tab/>
      </w:r>
      <w:r>
        <w:rPr>
          <w:sz w:val="26"/>
          <w:szCs w:val="26"/>
        </w:rPr>
        <w:t xml:space="preserve"> </w:t>
      </w:r>
      <w:r w:rsidRPr="00134DB5">
        <w:rPr>
          <w:sz w:val="26"/>
          <w:szCs w:val="26"/>
        </w:rPr>
        <w:t xml:space="preserve">The City provides water service in the City of Bethlehem and all or parts of eleven other municipalities: </w:t>
      </w:r>
      <w:r>
        <w:rPr>
          <w:sz w:val="26"/>
          <w:szCs w:val="26"/>
        </w:rPr>
        <w:t xml:space="preserve"> </w:t>
      </w:r>
      <w:r w:rsidRPr="00134DB5">
        <w:rPr>
          <w:sz w:val="26"/>
          <w:szCs w:val="26"/>
        </w:rPr>
        <w:t>(a) in Lehigh County</w:t>
      </w:r>
      <w:r>
        <w:rPr>
          <w:sz w:val="26"/>
          <w:szCs w:val="26"/>
        </w:rPr>
        <w:t xml:space="preserve"> – </w:t>
      </w:r>
      <w:r w:rsidRPr="00134DB5">
        <w:rPr>
          <w:sz w:val="26"/>
          <w:szCs w:val="26"/>
        </w:rPr>
        <w:t xml:space="preserve">portions of Salisbury Township, portions of Upper Saucon Township, portions of Hanover Township, and the Borough of Fountain Hill; (b) </w:t>
      </w:r>
      <w:r>
        <w:rPr>
          <w:sz w:val="26"/>
          <w:szCs w:val="26"/>
        </w:rPr>
        <w:t>i</w:t>
      </w:r>
      <w:r w:rsidRPr="00134DB5">
        <w:rPr>
          <w:sz w:val="26"/>
          <w:szCs w:val="26"/>
        </w:rPr>
        <w:t>n Northampton County – portions of Lower Saucon Township, portions of Bethlehem Township, portions of Hanover Township, East Allen Township, portions of Allen Township, portions of Lower Nazareth Township, and the Borough of Freemansburg.</w:t>
      </w:r>
    </w:p>
  </w:footnote>
  <w:footnote w:id="4">
    <w:p w14:paraId="74342542" w14:textId="5E35FA38" w:rsidR="00DF516E" w:rsidRPr="00362969" w:rsidRDefault="00DF516E" w:rsidP="00C92CD6">
      <w:pPr>
        <w:pStyle w:val="FootnoteText"/>
        <w:keepNext/>
        <w:keepLines/>
        <w:spacing w:after="120"/>
        <w:ind w:firstLine="720"/>
        <w:rPr>
          <w:sz w:val="26"/>
          <w:szCs w:val="26"/>
        </w:rPr>
      </w:pPr>
      <w:r w:rsidRPr="00134DB5">
        <w:rPr>
          <w:rStyle w:val="FootnoteReference"/>
          <w:sz w:val="26"/>
          <w:szCs w:val="26"/>
        </w:rPr>
        <w:footnoteRef/>
      </w:r>
      <w:r w:rsidRPr="00134DB5">
        <w:rPr>
          <w:sz w:val="26"/>
          <w:szCs w:val="26"/>
        </w:rPr>
        <w:t xml:space="preserve"> </w:t>
      </w:r>
      <w:r w:rsidRPr="00134DB5">
        <w:rPr>
          <w:sz w:val="26"/>
          <w:szCs w:val="26"/>
        </w:rPr>
        <w:tab/>
      </w:r>
      <w:r>
        <w:rPr>
          <w:sz w:val="26"/>
          <w:szCs w:val="26"/>
        </w:rPr>
        <w:t>Although the City subsequently made adjustments to revenue requirement, rate base and the cost allocation changes, the City did not make any revisions to its proposed revenue increase or proposed rates as a result of those adjustments.  Despite its revisions to a variety of rate case claimed amounts, its requested increase remained at $908,421 for outside-City customers, by adjusting the requested overall rate of return for outside the City from 7.42% to 7.17%.  City St. No. 1R at 17; City Exh. CEH-1R, Sch. 1</w:t>
      </w:r>
      <w:r>
        <w:rPr>
          <w:sz w:val="26"/>
          <w:szCs w:val="26"/>
        </w:rPr>
        <w:noBreakHyphen/>
        <w:t xml:space="preserve">R at </w:t>
      </w:r>
      <w:r w:rsidRPr="00362969">
        <w:rPr>
          <w:sz w:val="26"/>
          <w:szCs w:val="26"/>
        </w:rPr>
        <w:t>1-3.</w:t>
      </w:r>
      <w:r>
        <w:rPr>
          <w:sz w:val="26"/>
          <w:szCs w:val="26"/>
        </w:rPr>
        <w:t xml:space="preserve">  As discussed </w:t>
      </w:r>
      <w:r w:rsidRPr="00F14DE5">
        <w:rPr>
          <w:i/>
          <w:iCs/>
          <w:sz w:val="26"/>
          <w:szCs w:val="26"/>
        </w:rPr>
        <w:t>infra</w:t>
      </w:r>
      <w:r>
        <w:rPr>
          <w:sz w:val="26"/>
          <w:szCs w:val="26"/>
        </w:rPr>
        <w:t xml:space="preserve">, although the City claimed an overall rate of return of 8.21%, the City’s calculation of revenue requirement is based on the tax adjusted rate of return of 7.42%.  </w:t>
      </w:r>
    </w:p>
  </w:footnote>
  <w:footnote w:id="5">
    <w:p w14:paraId="31EE024A" w14:textId="632563FD" w:rsidR="00DF516E" w:rsidRDefault="00DF516E" w:rsidP="00C92CD6">
      <w:pPr>
        <w:pStyle w:val="FootnoteText"/>
        <w:keepNext/>
        <w:keepLines/>
        <w:spacing w:after="120"/>
        <w:ind w:firstLine="720"/>
      </w:pPr>
      <w:r w:rsidRPr="00362969">
        <w:rPr>
          <w:rStyle w:val="FootnoteReference"/>
          <w:sz w:val="26"/>
          <w:szCs w:val="26"/>
        </w:rPr>
        <w:footnoteRef/>
      </w:r>
      <w:r w:rsidRPr="00362969">
        <w:rPr>
          <w:sz w:val="26"/>
          <w:szCs w:val="26"/>
        </w:rPr>
        <w:t xml:space="preserve"> </w:t>
      </w:r>
      <w:r>
        <w:rPr>
          <w:sz w:val="26"/>
          <w:szCs w:val="26"/>
        </w:rPr>
        <w:tab/>
      </w:r>
      <w:r w:rsidRPr="00362969">
        <w:rPr>
          <w:sz w:val="26"/>
          <w:szCs w:val="26"/>
        </w:rPr>
        <w:t>It should be noted that customer charges</w:t>
      </w:r>
      <w:r>
        <w:rPr>
          <w:sz w:val="26"/>
          <w:szCs w:val="26"/>
        </w:rPr>
        <w:t xml:space="preserve"> for all classes</w:t>
      </w:r>
      <w:r w:rsidRPr="00362969">
        <w:rPr>
          <w:sz w:val="26"/>
          <w:szCs w:val="26"/>
        </w:rPr>
        <w:t>, as well as Private and Public Fire Protection rates, were excluded from any rate increase, as no increase in those rates was requested by the City in this proceeding.</w:t>
      </w:r>
      <w:r>
        <w:rPr>
          <w:sz w:val="26"/>
          <w:szCs w:val="26"/>
        </w:rPr>
        <w:t xml:space="preserve">  Additionally, since the City is currently charging the same rate inside and outside the City, and will continue this practice, the increases to inside-City customers are identical to the increases for outside-City customers.</w:t>
      </w:r>
    </w:p>
  </w:footnote>
  <w:footnote w:id="6">
    <w:p w14:paraId="26CA38D8" w14:textId="796275E5" w:rsidR="00DF516E" w:rsidRPr="001328D9" w:rsidRDefault="00DF516E" w:rsidP="00C92CD6">
      <w:pPr>
        <w:pStyle w:val="FootnoteText"/>
        <w:keepNext/>
        <w:keepLines/>
        <w:spacing w:after="120"/>
        <w:ind w:firstLine="720"/>
        <w:rPr>
          <w:sz w:val="26"/>
          <w:szCs w:val="26"/>
        </w:rPr>
      </w:pPr>
      <w:r w:rsidRPr="001328D9">
        <w:rPr>
          <w:rStyle w:val="FootnoteReference"/>
          <w:sz w:val="26"/>
          <w:szCs w:val="26"/>
        </w:rPr>
        <w:footnoteRef/>
      </w:r>
      <w:r w:rsidRPr="001328D9">
        <w:rPr>
          <w:sz w:val="26"/>
          <w:szCs w:val="26"/>
        </w:rPr>
        <w:t xml:space="preserve"> </w:t>
      </w:r>
      <w:r w:rsidRPr="001328D9">
        <w:rPr>
          <w:sz w:val="26"/>
          <w:szCs w:val="26"/>
        </w:rPr>
        <w:tab/>
        <w:t xml:space="preserve">Originally, </w:t>
      </w:r>
      <w:r>
        <w:rPr>
          <w:sz w:val="26"/>
          <w:szCs w:val="26"/>
        </w:rPr>
        <w:t xml:space="preserve">the City </w:t>
      </w:r>
      <w:r w:rsidRPr="001328D9">
        <w:rPr>
          <w:sz w:val="26"/>
          <w:szCs w:val="26"/>
        </w:rPr>
        <w:t>expected to file this base rate request on or before</w:t>
      </w:r>
      <w:r>
        <w:rPr>
          <w:sz w:val="26"/>
          <w:szCs w:val="26"/>
        </w:rPr>
        <w:t xml:space="preserve"> June 26, 2020, required by 52 Pa. Code § 53.52(b)(2) given the use of its historic test year (HTY) ending December 31, 2019</w:t>
      </w:r>
      <w:r w:rsidRPr="001328D9">
        <w:rPr>
          <w:sz w:val="26"/>
          <w:szCs w:val="26"/>
        </w:rPr>
        <w:t>.</w:t>
      </w:r>
      <w:r>
        <w:rPr>
          <w:sz w:val="26"/>
          <w:szCs w:val="26"/>
        </w:rPr>
        <w:t xml:space="preserve">  </w:t>
      </w:r>
      <w:r w:rsidRPr="001328D9">
        <w:rPr>
          <w:sz w:val="26"/>
          <w:szCs w:val="26"/>
        </w:rPr>
        <w:t>However, beginning on March 16, 2020, pursuant to an Executive Order issued by the Pennsylvania Deputy Secretary for Human Resources and Management due to the COVID-19 disaster emergency declaration of the Governor, the Commission’s physical offices were closed.</w:t>
      </w:r>
      <w:r>
        <w:rPr>
          <w:sz w:val="26"/>
          <w:szCs w:val="26"/>
        </w:rPr>
        <w:t xml:space="preserve">  </w:t>
      </w:r>
      <w:r w:rsidRPr="001328D9">
        <w:rPr>
          <w:sz w:val="26"/>
          <w:szCs w:val="26"/>
        </w:rPr>
        <w:t>As of the entry date of this</w:t>
      </w:r>
      <w:r>
        <w:rPr>
          <w:sz w:val="26"/>
          <w:szCs w:val="26"/>
        </w:rPr>
        <w:t xml:space="preserve"> Opinion and Order</w:t>
      </w:r>
      <w:r w:rsidRPr="001328D9">
        <w:rPr>
          <w:sz w:val="26"/>
          <w:szCs w:val="26"/>
        </w:rPr>
        <w:t>, the Commission’s office buildings remain closed due to the COVID</w:t>
      </w:r>
      <w:r>
        <w:rPr>
          <w:sz w:val="26"/>
          <w:szCs w:val="26"/>
        </w:rPr>
        <w:noBreakHyphen/>
      </w:r>
      <w:r w:rsidRPr="001328D9">
        <w:rPr>
          <w:sz w:val="26"/>
          <w:szCs w:val="26"/>
        </w:rPr>
        <w:t>19 disaster emergency; however, the Commission remains fully operational with its staff teleworking.</w:t>
      </w:r>
      <w:r>
        <w:rPr>
          <w:sz w:val="26"/>
          <w:szCs w:val="26"/>
        </w:rPr>
        <w:t xml:space="preserve">  </w:t>
      </w:r>
      <w:r w:rsidRPr="001328D9">
        <w:rPr>
          <w:sz w:val="26"/>
          <w:szCs w:val="26"/>
        </w:rPr>
        <w:t>All business was conducted via electronic mail and/or telephonically.</w:t>
      </w:r>
      <w:r>
        <w:rPr>
          <w:sz w:val="26"/>
          <w:szCs w:val="26"/>
        </w:rPr>
        <w:t xml:space="preserve">  </w:t>
      </w:r>
      <w:r w:rsidRPr="001328D9">
        <w:rPr>
          <w:sz w:val="26"/>
          <w:szCs w:val="26"/>
        </w:rPr>
        <w:t xml:space="preserve">On </w:t>
      </w:r>
      <w:r>
        <w:rPr>
          <w:sz w:val="26"/>
          <w:szCs w:val="26"/>
        </w:rPr>
        <w:t>June 5</w:t>
      </w:r>
      <w:r w:rsidRPr="001328D9">
        <w:rPr>
          <w:sz w:val="26"/>
          <w:szCs w:val="26"/>
        </w:rPr>
        <w:t xml:space="preserve">, 2020, </w:t>
      </w:r>
      <w:r>
        <w:rPr>
          <w:sz w:val="26"/>
          <w:szCs w:val="26"/>
        </w:rPr>
        <w:t>the City</w:t>
      </w:r>
      <w:r w:rsidRPr="001328D9">
        <w:rPr>
          <w:sz w:val="26"/>
          <w:szCs w:val="26"/>
        </w:rPr>
        <w:t xml:space="preserve"> requested to postpone the initial filing until on or before </w:t>
      </w:r>
      <w:r>
        <w:rPr>
          <w:sz w:val="26"/>
          <w:szCs w:val="26"/>
        </w:rPr>
        <w:t>August 31</w:t>
      </w:r>
      <w:r w:rsidRPr="001328D9">
        <w:rPr>
          <w:sz w:val="26"/>
          <w:szCs w:val="26"/>
        </w:rPr>
        <w:t>, 2020.</w:t>
      </w:r>
      <w:r>
        <w:rPr>
          <w:sz w:val="26"/>
          <w:szCs w:val="26"/>
        </w:rPr>
        <w:t xml:space="preserve">  </w:t>
      </w:r>
      <w:r w:rsidRPr="001328D9">
        <w:rPr>
          <w:sz w:val="26"/>
          <w:szCs w:val="26"/>
        </w:rPr>
        <w:t>The Commission granted the C</w:t>
      </w:r>
      <w:r>
        <w:rPr>
          <w:sz w:val="26"/>
          <w:szCs w:val="26"/>
        </w:rPr>
        <w:t>ity</w:t>
      </w:r>
      <w:r w:rsidRPr="001328D9">
        <w:rPr>
          <w:sz w:val="26"/>
          <w:szCs w:val="26"/>
        </w:rPr>
        <w:t xml:space="preserve">’s request by Secretarial Letter issued on </w:t>
      </w:r>
      <w:r>
        <w:rPr>
          <w:sz w:val="26"/>
          <w:szCs w:val="26"/>
        </w:rPr>
        <w:t>June 9</w:t>
      </w:r>
      <w:r w:rsidRPr="001328D9">
        <w:rPr>
          <w:sz w:val="26"/>
          <w:szCs w:val="26"/>
        </w:rPr>
        <w:t xml:space="preserve">, 2020.  </w:t>
      </w:r>
    </w:p>
  </w:footnote>
  <w:footnote w:id="7">
    <w:p w14:paraId="5CDACC12" w14:textId="40A4BECD" w:rsidR="00DF516E" w:rsidRPr="001A6D4A" w:rsidRDefault="00DF516E" w:rsidP="00C92CD6">
      <w:pPr>
        <w:pStyle w:val="FootnoteText"/>
        <w:keepNext/>
        <w:keepLines/>
        <w:spacing w:after="120"/>
        <w:ind w:firstLine="720"/>
        <w:rPr>
          <w:sz w:val="26"/>
          <w:szCs w:val="26"/>
        </w:rPr>
      </w:pPr>
      <w:r w:rsidRPr="001A6D4A">
        <w:rPr>
          <w:rStyle w:val="FootnoteReference"/>
          <w:sz w:val="26"/>
          <w:szCs w:val="26"/>
        </w:rPr>
        <w:footnoteRef/>
      </w:r>
      <w:r w:rsidRPr="001A6D4A">
        <w:rPr>
          <w:sz w:val="26"/>
          <w:szCs w:val="26"/>
        </w:rPr>
        <w:t xml:space="preserve"> </w:t>
      </w:r>
      <w:r w:rsidRPr="001A6D4A">
        <w:rPr>
          <w:sz w:val="26"/>
          <w:szCs w:val="26"/>
        </w:rPr>
        <w:tab/>
        <w:t>The OCA filed its Comments in opposition to the Settlement as part of its Reply Brief filed on January 8, 2021.</w:t>
      </w:r>
      <w:r>
        <w:rPr>
          <w:sz w:val="26"/>
          <w:szCs w:val="26"/>
        </w:rPr>
        <w:t xml:space="preserve">  </w:t>
      </w:r>
      <w:r w:rsidRPr="001A6D4A">
        <w:rPr>
          <w:sz w:val="26"/>
          <w:szCs w:val="26"/>
        </w:rPr>
        <w:t>The OSBA did not file Comments or specifically mention the Settlement in its Reply Brief.</w:t>
      </w:r>
    </w:p>
  </w:footnote>
  <w:footnote w:id="8">
    <w:p w14:paraId="3D7BDC36" w14:textId="444E72EF" w:rsidR="00DF516E" w:rsidRPr="00051E8F" w:rsidRDefault="00DF516E" w:rsidP="00C92CD6">
      <w:pPr>
        <w:pStyle w:val="FootnoteText"/>
        <w:keepNext/>
        <w:keepLines/>
        <w:spacing w:after="120"/>
        <w:ind w:firstLine="720"/>
        <w:rPr>
          <w:sz w:val="26"/>
          <w:szCs w:val="26"/>
        </w:rPr>
      </w:pPr>
      <w:r w:rsidRPr="00051E8F">
        <w:rPr>
          <w:rStyle w:val="FootnoteReference"/>
          <w:sz w:val="26"/>
          <w:szCs w:val="26"/>
        </w:rPr>
        <w:footnoteRef/>
      </w:r>
      <w:r w:rsidRPr="00051E8F">
        <w:rPr>
          <w:sz w:val="26"/>
          <w:szCs w:val="26"/>
        </w:rPr>
        <w:t xml:space="preserve"> </w:t>
      </w:r>
      <w:r w:rsidRPr="00051E8F">
        <w:rPr>
          <w:sz w:val="26"/>
          <w:szCs w:val="26"/>
        </w:rPr>
        <w:tab/>
        <w:t>On February 23, 2021 the ALJ issued an errata, noting that the record closed on January 12, 2021, not January 8, 2021, as the initial Recommended Decision stated.</w:t>
      </w:r>
    </w:p>
  </w:footnote>
  <w:footnote w:id="9">
    <w:p w14:paraId="4A0E1827" w14:textId="77777777" w:rsidR="00DF516E" w:rsidRPr="00CB55D9" w:rsidRDefault="00DF516E" w:rsidP="00C92CD6">
      <w:pPr>
        <w:pStyle w:val="FootnoteText"/>
        <w:keepNext/>
        <w:keepLines/>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 xml:space="preserve">1 Pa. C.S. § 1922(1), </w:t>
      </w:r>
      <w:r w:rsidRPr="00CB55D9">
        <w:rPr>
          <w:i/>
          <w:sz w:val="26"/>
          <w:szCs w:val="26"/>
        </w:rPr>
        <w:t>PA Financial Responsibility Assigned Claims Plan v. English</w:t>
      </w:r>
      <w:r w:rsidRPr="00CB55D9">
        <w:rPr>
          <w:sz w:val="26"/>
          <w:szCs w:val="26"/>
        </w:rPr>
        <w:t>, 541 Pa. 424, 430-431, 64 A.2d 84, 87 (1995).</w:t>
      </w:r>
    </w:p>
  </w:footnote>
  <w:footnote w:id="10">
    <w:p w14:paraId="47AA81D4" w14:textId="340A90CF" w:rsidR="00DF516E" w:rsidRPr="00A84E72" w:rsidRDefault="00DF516E" w:rsidP="00C92CD6">
      <w:pPr>
        <w:pStyle w:val="FootnoteText"/>
        <w:keepNext/>
        <w:keepLines/>
        <w:spacing w:after="120"/>
        <w:ind w:firstLine="720"/>
        <w:rPr>
          <w:sz w:val="26"/>
          <w:szCs w:val="26"/>
        </w:rPr>
      </w:pPr>
      <w:r w:rsidRPr="00A84E72">
        <w:rPr>
          <w:rStyle w:val="FootnoteReference"/>
          <w:sz w:val="26"/>
          <w:szCs w:val="26"/>
        </w:rPr>
        <w:footnoteRef/>
      </w:r>
      <w:r w:rsidRPr="00A84E72">
        <w:rPr>
          <w:sz w:val="26"/>
          <w:szCs w:val="26"/>
        </w:rPr>
        <w:t xml:space="preserve"> </w:t>
      </w:r>
      <w:r w:rsidRPr="00A84E72">
        <w:rPr>
          <w:sz w:val="26"/>
          <w:szCs w:val="26"/>
        </w:rPr>
        <w:tab/>
        <w:t xml:space="preserve">We note </w:t>
      </w:r>
      <w:r>
        <w:rPr>
          <w:sz w:val="26"/>
          <w:szCs w:val="26"/>
        </w:rPr>
        <w:t xml:space="preserve">the City’s commitment to submitting a Section 500 form as part of its Annual Report to the Commission.  As indicated, the City is unsure of the reasons that UFW has recently increased.  </w:t>
      </w:r>
      <w:r w:rsidRPr="00A84E72">
        <w:rPr>
          <w:i/>
          <w:iCs/>
          <w:sz w:val="26"/>
          <w:szCs w:val="26"/>
        </w:rPr>
        <w:t xml:space="preserve">See </w:t>
      </w:r>
      <w:r>
        <w:rPr>
          <w:sz w:val="26"/>
          <w:szCs w:val="26"/>
        </w:rPr>
        <w:t xml:space="preserve">I&amp;E Statement in Support at 10.  Therefore, we encourage the City to explore the use of the water audit methodology established by the International Water Association (IWA) and the American Water Works Association (AWWA) to determine sources of water loss within its system, in addition to its current efforts to reduce UFW.  We note that </w:t>
      </w:r>
      <w:r w:rsidRPr="00434BBF">
        <w:rPr>
          <w:sz w:val="26"/>
          <w:szCs w:val="26"/>
        </w:rPr>
        <w:t>the Commission just recently entered an Advance Notice of Proposed Rulemaking Order on September 17, 2020 at Docket No. L</w:t>
      </w:r>
      <w:r>
        <w:rPr>
          <w:sz w:val="26"/>
          <w:szCs w:val="26"/>
        </w:rPr>
        <w:noBreakHyphen/>
      </w:r>
      <w:r w:rsidRPr="00434BBF">
        <w:rPr>
          <w:sz w:val="26"/>
          <w:szCs w:val="26"/>
        </w:rPr>
        <w:t>2020</w:t>
      </w:r>
      <w:r>
        <w:rPr>
          <w:sz w:val="26"/>
          <w:szCs w:val="26"/>
        </w:rPr>
        <w:noBreakHyphen/>
      </w:r>
      <w:r w:rsidRPr="00434BBF">
        <w:rPr>
          <w:sz w:val="26"/>
          <w:szCs w:val="26"/>
        </w:rPr>
        <w:t>3021932 regarding the replacement of the policy statement at 52 Pa. Code §</w:t>
      </w:r>
      <w:r>
        <w:rPr>
          <w:sz w:val="26"/>
          <w:szCs w:val="26"/>
        </w:rPr>
        <w:t> </w:t>
      </w:r>
      <w:r w:rsidRPr="00434BBF">
        <w:rPr>
          <w:sz w:val="26"/>
          <w:szCs w:val="26"/>
        </w:rPr>
        <w:t xml:space="preserve">65.20 with a Commission </w:t>
      </w:r>
      <w:r>
        <w:rPr>
          <w:sz w:val="26"/>
          <w:szCs w:val="26"/>
        </w:rPr>
        <w:t>R</w:t>
      </w:r>
      <w:r w:rsidRPr="00434BBF">
        <w:rPr>
          <w:sz w:val="26"/>
          <w:szCs w:val="26"/>
        </w:rPr>
        <w:t xml:space="preserve">egulation to implement the </w:t>
      </w:r>
      <w:r>
        <w:rPr>
          <w:sz w:val="26"/>
          <w:szCs w:val="26"/>
        </w:rPr>
        <w:t>IWA</w:t>
      </w:r>
      <w:r w:rsidRPr="00434BBF">
        <w:rPr>
          <w:sz w:val="26"/>
          <w:szCs w:val="26"/>
        </w:rPr>
        <w:t>/</w:t>
      </w:r>
      <w:r>
        <w:rPr>
          <w:sz w:val="26"/>
          <w:szCs w:val="26"/>
        </w:rPr>
        <w:t>AWWA water</w:t>
      </w:r>
      <w:r w:rsidRPr="00434BBF">
        <w:rPr>
          <w:sz w:val="26"/>
          <w:szCs w:val="26"/>
        </w:rPr>
        <w:t xml:space="preserve"> </w:t>
      </w:r>
      <w:r>
        <w:rPr>
          <w:sz w:val="26"/>
          <w:szCs w:val="26"/>
        </w:rPr>
        <w:t>a</w:t>
      </w:r>
      <w:r w:rsidRPr="00434BBF">
        <w:rPr>
          <w:sz w:val="26"/>
          <w:szCs w:val="26"/>
        </w:rPr>
        <w:t xml:space="preserve">udit </w:t>
      </w:r>
      <w:r>
        <w:rPr>
          <w:sz w:val="26"/>
          <w:szCs w:val="26"/>
        </w:rPr>
        <w:t>m</w:t>
      </w:r>
      <w:r w:rsidRPr="00434BBF">
        <w:rPr>
          <w:sz w:val="26"/>
          <w:szCs w:val="26"/>
        </w:rPr>
        <w:t>ethodology as a best management practice in water loss control in Pennsylvania.</w:t>
      </w:r>
      <w:r>
        <w:rPr>
          <w:sz w:val="26"/>
          <w:szCs w:val="26"/>
        </w:rPr>
        <w:t xml:space="preserve">  </w:t>
      </w:r>
      <w:r w:rsidRPr="00434BBF">
        <w:rPr>
          <w:sz w:val="26"/>
          <w:szCs w:val="26"/>
        </w:rPr>
        <w:t xml:space="preserve">Therefore, it is possible that issues related to the City’s UFW may be subject to new regulations by the time of </w:t>
      </w:r>
      <w:r>
        <w:rPr>
          <w:sz w:val="26"/>
          <w:szCs w:val="26"/>
        </w:rPr>
        <w:t xml:space="preserve">the </w:t>
      </w:r>
      <w:r w:rsidRPr="00434BBF">
        <w:rPr>
          <w:sz w:val="26"/>
          <w:szCs w:val="26"/>
        </w:rPr>
        <w:t xml:space="preserve">City’s next base rate proceeding. </w:t>
      </w:r>
      <w:r>
        <w:rPr>
          <w:sz w:val="26"/>
          <w:szCs w:val="26"/>
        </w:rPr>
        <w:t xml:space="preserve"> </w:t>
      </w:r>
      <w:r w:rsidRPr="00434BBF">
        <w:rPr>
          <w:sz w:val="26"/>
          <w:szCs w:val="26"/>
        </w:rPr>
        <w:t>Nonetheless, this settlement term reflects consideration of the Commission’s current policy statement on UFW.</w:t>
      </w:r>
    </w:p>
  </w:footnote>
  <w:footnote w:id="11">
    <w:p w14:paraId="5BFFC12B" w14:textId="444F0069" w:rsidR="00DF516E" w:rsidRPr="009733E9" w:rsidRDefault="00DF516E" w:rsidP="00C92CD6">
      <w:pPr>
        <w:pStyle w:val="FootnoteText"/>
        <w:keepNext/>
        <w:keepLines/>
        <w:spacing w:after="120"/>
        <w:ind w:firstLine="720"/>
        <w:rPr>
          <w:sz w:val="26"/>
          <w:szCs w:val="26"/>
        </w:rPr>
      </w:pPr>
      <w:r w:rsidRPr="008D3411">
        <w:rPr>
          <w:rStyle w:val="FootnoteReference"/>
          <w:sz w:val="26"/>
          <w:szCs w:val="26"/>
        </w:rPr>
        <w:footnoteRef/>
      </w:r>
      <w:r w:rsidRPr="008D3411">
        <w:rPr>
          <w:sz w:val="26"/>
          <w:szCs w:val="26"/>
        </w:rPr>
        <w:t xml:space="preserve"> </w:t>
      </w:r>
      <w:r>
        <w:rPr>
          <w:sz w:val="26"/>
          <w:szCs w:val="26"/>
        </w:rPr>
        <w:tab/>
      </w:r>
      <w:r w:rsidRPr="008D3411">
        <w:rPr>
          <w:sz w:val="26"/>
          <w:szCs w:val="26"/>
        </w:rPr>
        <w:t>In rebuttal testimony, the City agreed with the scale back that reflects the change in the Sales for Resale class demand factors</w:t>
      </w:r>
      <w:r>
        <w:rPr>
          <w:sz w:val="26"/>
          <w:szCs w:val="26"/>
        </w:rPr>
        <w:t xml:space="preserve">, modifying the increases by customer class based on the cost of service presented on page 3 of City Exhibit CEH-3, </w:t>
      </w:r>
      <w:r w:rsidRPr="008D3411">
        <w:rPr>
          <w:sz w:val="26"/>
          <w:szCs w:val="26"/>
        </w:rPr>
        <w:t>as proposed by</w:t>
      </w:r>
      <w:r>
        <w:rPr>
          <w:sz w:val="26"/>
          <w:szCs w:val="26"/>
        </w:rPr>
        <w:t xml:space="preserve"> the</w:t>
      </w:r>
      <w:r w:rsidRPr="008D3411">
        <w:rPr>
          <w:sz w:val="26"/>
          <w:szCs w:val="26"/>
        </w:rPr>
        <w:t xml:space="preserve"> OSBA.</w:t>
      </w:r>
      <w:r>
        <w:rPr>
          <w:sz w:val="26"/>
          <w:szCs w:val="26"/>
        </w:rPr>
        <w:t xml:space="preserve">  </w:t>
      </w:r>
      <w:r w:rsidRPr="008D3411">
        <w:rPr>
          <w:sz w:val="26"/>
          <w:szCs w:val="26"/>
        </w:rPr>
        <w:t>City St. No. 1R at 17-18.  In surrebuttal</w:t>
      </w:r>
      <w:r>
        <w:rPr>
          <w:sz w:val="26"/>
          <w:szCs w:val="26"/>
        </w:rPr>
        <w:t xml:space="preserve"> testimony</w:t>
      </w:r>
      <w:r w:rsidRPr="008D3411">
        <w:rPr>
          <w:sz w:val="26"/>
          <w:szCs w:val="26"/>
        </w:rPr>
        <w:t>, I&amp;E confirmed its agreement with the OSBA’s recommendations because they reflected the corrections to the Sales for Resale class and otherwise reflected the same proposal I&amp;E made in direct testimony.  I&amp;E St. No. 3-SR at 18.</w:t>
      </w:r>
    </w:p>
  </w:footnote>
  <w:footnote w:id="12">
    <w:p w14:paraId="6920BB28" w14:textId="2892E31A" w:rsidR="00DF516E" w:rsidRPr="001C6734" w:rsidRDefault="00DF516E" w:rsidP="00C92CD6">
      <w:pPr>
        <w:pStyle w:val="FootnoteText"/>
        <w:keepNext/>
        <w:keepLines/>
        <w:spacing w:after="120"/>
        <w:ind w:firstLine="720"/>
        <w:rPr>
          <w:sz w:val="26"/>
          <w:szCs w:val="26"/>
        </w:rPr>
      </w:pPr>
      <w:r w:rsidRPr="001C6734">
        <w:rPr>
          <w:rStyle w:val="FootnoteReference"/>
          <w:sz w:val="26"/>
          <w:szCs w:val="26"/>
        </w:rPr>
        <w:footnoteRef/>
      </w:r>
      <w:r w:rsidRPr="001C6734">
        <w:rPr>
          <w:sz w:val="26"/>
          <w:szCs w:val="26"/>
        </w:rPr>
        <w:t xml:space="preserve"> </w:t>
      </w:r>
      <w:r w:rsidRPr="001C6734">
        <w:rPr>
          <w:sz w:val="26"/>
          <w:szCs w:val="26"/>
        </w:rPr>
        <w:tab/>
        <w:t>OCA R.B.</w:t>
      </w:r>
      <w:r>
        <w:rPr>
          <w:sz w:val="26"/>
          <w:szCs w:val="26"/>
        </w:rPr>
        <w:t xml:space="preserve"> at 9-15</w:t>
      </w:r>
      <w:r w:rsidRPr="001C6734">
        <w:rPr>
          <w:sz w:val="26"/>
          <w:szCs w:val="26"/>
        </w:rPr>
        <w:t>, Section III.B – OCA Opposition to Settlement.  The OSBA did not comment on the Joint Petition in its Reply Brief.</w:t>
      </w:r>
    </w:p>
  </w:footnote>
  <w:footnote w:id="13">
    <w:p w14:paraId="07AC2530" w14:textId="0B388283" w:rsidR="00DF516E" w:rsidRPr="001C6734" w:rsidRDefault="00DF516E" w:rsidP="00C92CD6">
      <w:pPr>
        <w:pStyle w:val="FootnoteText"/>
        <w:keepNext/>
        <w:keepLines/>
        <w:spacing w:after="120"/>
        <w:ind w:firstLine="720"/>
        <w:rPr>
          <w:sz w:val="26"/>
          <w:szCs w:val="26"/>
        </w:rPr>
      </w:pPr>
      <w:r w:rsidRPr="001C6734">
        <w:rPr>
          <w:rStyle w:val="FootnoteReference"/>
          <w:sz w:val="26"/>
          <w:szCs w:val="26"/>
        </w:rPr>
        <w:footnoteRef/>
      </w:r>
      <w:r w:rsidRPr="001C6734">
        <w:rPr>
          <w:sz w:val="26"/>
          <w:szCs w:val="26"/>
        </w:rPr>
        <w:t xml:space="preserve"> </w:t>
      </w:r>
      <w:r w:rsidRPr="001C6734">
        <w:rPr>
          <w:sz w:val="26"/>
          <w:szCs w:val="26"/>
        </w:rPr>
        <w:tab/>
      </w:r>
      <w:bookmarkStart w:id="26" w:name="_Hlk67037161"/>
      <w:r w:rsidRPr="001C6734">
        <w:rPr>
          <w:sz w:val="26"/>
          <w:szCs w:val="26"/>
        </w:rPr>
        <w:t>The OCA’s position to the Settlement, as a result of the COVID-19 pandemic is essentially the same as its opposition to the rate increase generally.</w:t>
      </w:r>
      <w:bookmarkEnd w:id="26"/>
    </w:p>
  </w:footnote>
  <w:footnote w:id="14">
    <w:p w14:paraId="57045827" w14:textId="77777777" w:rsidR="00DF516E" w:rsidRPr="00192AB0" w:rsidRDefault="00DF516E" w:rsidP="00C92CD6">
      <w:pPr>
        <w:pStyle w:val="FootnoteText"/>
        <w:keepNext/>
        <w:keepLines/>
        <w:spacing w:after="120"/>
        <w:ind w:firstLine="720"/>
        <w:rPr>
          <w:sz w:val="26"/>
          <w:szCs w:val="26"/>
        </w:rPr>
      </w:pPr>
      <w:r w:rsidRPr="00192AB0">
        <w:rPr>
          <w:rStyle w:val="FootnoteReference"/>
          <w:sz w:val="26"/>
          <w:szCs w:val="26"/>
        </w:rPr>
        <w:footnoteRef/>
      </w:r>
      <w:r w:rsidRPr="00192AB0">
        <w:rPr>
          <w:sz w:val="26"/>
          <w:szCs w:val="26"/>
        </w:rPr>
        <w:t xml:space="preserve"> </w:t>
      </w:r>
      <w:r w:rsidRPr="00192AB0">
        <w:rPr>
          <w:sz w:val="26"/>
          <w:szCs w:val="26"/>
        </w:rPr>
        <w:tab/>
        <w:t xml:space="preserve">The OCA noted that should no rate increase be imposed at this time, as a result of the ongoing COVID-19 pandemic and the related economic impact on the City’s customers, the resulting overall rate of return (with a capital structure of 52.0% cost of common equity and 48.0% cost of debt) and reflecting the tax factor adjustment would be 5.65%.  </w:t>
      </w:r>
      <w:bookmarkStart w:id="27" w:name="_Hlk66267481"/>
      <w:r w:rsidRPr="00192AB0">
        <w:rPr>
          <w:sz w:val="26"/>
          <w:szCs w:val="26"/>
        </w:rPr>
        <w:t>OCA M.B.,</w:t>
      </w:r>
      <w:r>
        <w:rPr>
          <w:sz w:val="26"/>
          <w:szCs w:val="26"/>
        </w:rPr>
        <w:t xml:space="preserve"> App. A.1,</w:t>
      </w:r>
      <w:r w:rsidRPr="00192AB0">
        <w:rPr>
          <w:sz w:val="26"/>
          <w:szCs w:val="26"/>
        </w:rPr>
        <w:t xml:space="preserve"> OCA Table A.1</w:t>
      </w:r>
      <w:bookmarkEnd w:id="27"/>
      <w:r w:rsidRPr="00192AB0">
        <w:rPr>
          <w:sz w:val="26"/>
          <w:szCs w:val="26"/>
        </w:rPr>
        <w:t>.</w:t>
      </w:r>
    </w:p>
  </w:footnote>
  <w:footnote w:id="15">
    <w:p w14:paraId="19DD319D" w14:textId="076270D0" w:rsidR="00DF516E" w:rsidRDefault="00DF516E" w:rsidP="00C92CD6">
      <w:pPr>
        <w:pStyle w:val="FootnoteText"/>
        <w:keepNext/>
        <w:keepLines/>
        <w:spacing w:after="120"/>
        <w:ind w:firstLine="720"/>
      </w:pPr>
      <w:r w:rsidRPr="007D590E">
        <w:rPr>
          <w:rStyle w:val="FootnoteReference"/>
          <w:sz w:val="26"/>
          <w:szCs w:val="26"/>
        </w:rPr>
        <w:footnoteRef/>
      </w:r>
      <w:r w:rsidRPr="007D590E">
        <w:rPr>
          <w:sz w:val="26"/>
          <w:szCs w:val="26"/>
        </w:rPr>
        <w:t xml:space="preserve"> </w:t>
      </w:r>
      <w:r w:rsidRPr="007D590E">
        <w:rPr>
          <w:sz w:val="26"/>
          <w:szCs w:val="26"/>
        </w:rPr>
        <w:tab/>
        <w:t>For comparison, the OCA noted that the unemployment rate in both counties one year earlier was 4.6%, and the unemployment rate in both counties peaked in April 2020 at 16.9% and 16.3%, respectively</w:t>
      </w:r>
      <w:r>
        <w:rPr>
          <w:sz w:val="26"/>
          <w:szCs w:val="26"/>
        </w:rPr>
        <w:t xml:space="preserve">.  OCA St. No. 1 at 11.  Additionally, the OCA noted that, according to the Household Pulse Survey conducted by the U.S. Census Bureau, through the two-week period ending October 13, 2020, 47% of households in Pennsylvania have lost at least some of their employment income.  The most recent data, through the two-week period ending November 23, 2020, showed the percentage remaining fairly constant at about 46% of households.  OCA St. No. 1S at 2. </w:t>
      </w:r>
    </w:p>
  </w:footnote>
  <w:footnote w:id="16">
    <w:p w14:paraId="6CEB8B48" w14:textId="023229B9" w:rsidR="00DF516E" w:rsidRPr="007D590E" w:rsidRDefault="00DF516E" w:rsidP="00C92CD6">
      <w:pPr>
        <w:pStyle w:val="FootnoteText"/>
        <w:keepNext/>
        <w:keepLines/>
        <w:spacing w:after="120"/>
        <w:ind w:firstLine="720"/>
        <w:rPr>
          <w:sz w:val="26"/>
          <w:szCs w:val="26"/>
        </w:rPr>
      </w:pPr>
      <w:r w:rsidRPr="000951BD">
        <w:rPr>
          <w:rStyle w:val="FootnoteReference"/>
          <w:sz w:val="26"/>
          <w:szCs w:val="26"/>
        </w:rPr>
        <w:footnoteRef/>
      </w:r>
      <w:r w:rsidRPr="000951BD">
        <w:rPr>
          <w:sz w:val="26"/>
          <w:szCs w:val="26"/>
        </w:rPr>
        <w:t xml:space="preserve"> </w:t>
      </w:r>
      <w:r w:rsidRPr="000951BD">
        <w:rPr>
          <w:sz w:val="26"/>
          <w:szCs w:val="26"/>
        </w:rPr>
        <w:tab/>
        <w:t xml:space="preserve">OCA witness </w:t>
      </w:r>
      <w:r>
        <w:rPr>
          <w:sz w:val="26"/>
          <w:szCs w:val="26"/>
        </w:rPr>
        <w:t xml:space="preserve">David J. </w:t>
      </w:r>
      <w:r w:rsidRPr="000951BD">
        <w:rPr>
          <w:sz w:val="26"/>
          <w:szCs w:val="26"/>
        </w:rPr>
        <w:t xml:space="preserve">Garrett, using a Discounted Cash Flow (DCF) analysis and a Capital Asset Pricing Model (CAPM), demonstrated that under a </w:t>
      </w:r>
      <w:r>
        <w:rPr>
          <w:sz w:val="26"/>
          <w:szCs w:val="26"/>
        </w:rPr>
        <w:t>“</w:t>
      </w:r>
      <w:r w:rsidRPr="000951BD">
        <w:rPr>
          <w:sz w:val="26"/>
          <w:szCs w:val="26"/>
        </w:rPr>
        <w:t>business as usual</w:t>
      </w:r>
      <w:r>
        <w:rPr>
          <w:sz w:val="26"/>
          <w:szCs w:val="26"/>
        </w:rPr>
        <w:t>”</w:t>
      </w:r>
      <w:r w:rsidRPr="000951BD">
        <w:rPr>
          <w:sz w:val="26"/>
          <w:szCs w:val="26"/>
        </w:rPr>
        <w:t xml:space="preserve"> approach for </w:t>
      </w:r>
      <w:r>
        <w:rPr>
          <w:sz w:val="26"/>
          <w:szCs w:val="26"/>
        </w:rPr>
        <w:t>the City</w:t>
      </w:r>
      <w:r w:rsidRPr="000951BD">
        <w:rPr>
          <w:sz w:val="26"/>
          <w:szCs w:val="26"/>
        </w:rPr>
        <w:t>, the market-derived cost of common equity is 8.50%, (7.31% after the tax factor adjustment) and an overall rate of return of 6.57%, based upon a capital structure of 48.0% debt and 52.0% common equity.</w:t>
      </w:r>
      <w:r>
        <w:rPr>
          <w:sz w:val="26"/>
          <w:szCs w:val="26"/>
        </w:rPr>
        <w:t xml:space="preserve"> </w:t>
      </w:r>
      <w:r w:rsidRPr="000951BD">
        <w:rPr>
          <w:sz w:val="26"/>
          <w:szCs w:val="26"/>
        </w:rPr>
        <w:t xml:space="preserve"> OCA St.</w:t>
      </w:r>
      <w:r>
        <w:rPr>
          <w:sz w:val="26"/>
          <w:szCs w:val="26"/>
        </w:rPr>
        <w:t xml:space="preserve"> No.</w:t>
      </w:r>
      <w:r w:rsidRPr="000951BD">
        <w:rPr>
          <w:sz w:val="26"/>
          <w:szCs w:val="26"/>
        </w:rPr>
        <w:t xml:space="preserve"> 3 at 6</w:t>
      </w:r>
      <w:r>
        <w:rPr>
          <w:sz w:val="26"/>
          <w:szCs w:val="26"/>
        </w:rPr>
        <w:t xml:space="preserve">; OCA M.B., </w:t>
      </w:r>
      <w:r w:rsidRPr="007D590E">
        <w:rPr>
          <w:sz w:val="26"/>
          <w:szCs w:val="26"/>
        </w:rPr>
        <w:t>App. A.2, OCA Table A.2.</w:t>
      </w:r>
    </w:p>
  </w:footnote>
  <w:footnote w:id="17">
    <w:p w14:paraId="2596C456" w14:textId="4E60BE4F" w:rsidR="00DF516E" w:rsidRPr="00D90D7C" w:rsidRDefault="00DF516E" w:rsidP="00C92CD6">
      <w:pPr>
        <w:pStyle w:val="FootnoteText"/>
        <w:keepNext/>
        <w:keepLines/>
        <w:spacing w:after="120"/>
        <w:ind w:firstLine="720"/>
        <w:rPr>
          <w:sz w:val="26"/>
          <w:szCs w:val="26"/>
        </w:rPr>
      </w:pPr>
      <w:r w:rsidRPr="009251E7">
        <w:rPr>
          <w:rStyle w:val="FootnoteReference"/>
          <w:sz w:val="26"/>
          <w:szCs w:val="26"/>
        </w:rPr>
        <w:footnoteRef/>
      </w:r>
      <w:r w:rsidRPr="009251E7">
        <w:rPr>
          <w:sz w:val="26"/>
          <w:szCs w:val="26"/>
        </w:rPr>
        <w:t xml:space="preserve"> </w:t>
      </w:r>
      <w:r w:rsidRPr="009251E7">
        <w:rPr>
          <w:sz w:val="26"/>
          <w:szCs w:val="26"/>
        </w:rPr>
        <w:tab/>
        <w:t>The</w:t>
      </w:r>
      <w:r>
        <w:rPr>
          <w:sz w:val="26"/>
          <w:szCs w:val="26"/>
        </w:rPr>
        <w:t xml:space="preserve"> City noted that, notwithstanding the OCA’s argument in </w:t>
      </w:r>
      <w:r w:rsidRPr="009251E7">
        <w:rPr>
          <w:i/>
          <w:iCs/>
          <w:sz w:val="26"/>
          <w:szCs w:val="26"/>
        </w:rPr>
        <w:t>PGW</w:t>
      </w:r>
      <w:r>
        <w:rPr>
          <w:sz w:val="26"/>
          <w:szCs w:val="26"/>
        </w:rPr>
        <w:t xml:space="preserve"> that PGW’s current rates are sufficient </w:t>
      </w:r>
      <w:r w:rsidRPr="009251E7">
        <w:rPr>
          <w:sz w:val="26"/>
          <w:szCs w:val="26"/>
        </w:rPr>
        <w:t>to not only adequately cover annual debt but also to provide excess cash flow</w:t>
      </w:r>
      <w:r>
        <w:rPr>
          <w:sz w:val="26"/>
          <w:szCs w:val="26"/>
        </w:rPr>
        <w:t xml:space="preserve">, the Commission approved the partial settlement in that proceeding, inclusive of a $35 million rate increase.  City Reply Comments at 6.  The City further noted that the Commission, in October 2020, approved a settlement and $20 million rate increase for UGI Utilities, Inc. – Gas Division, although UGI had an overall return at existing rates of 5.95%.  </w:t>
      </w:r>
      <w:r w:rsidRPr="00A15378">
        <w:rPr>
          <w:i/>
          <w:iCs/>
          <w:sz w:val="26"/>
          <w:szCs w:val="26"/>
        </w:rPr>
        <w:t>Id</w:t>
      </w:r>
      <w:r>
        <w:rPr>
          <w:sz w:val="26"/>
          <w:szCs w:val="26"/>
        </w:rPr>
        <w:t>. at 6 (</w:t>
      </w:r>
      <w:r w:rsidRPr="00A15378">
        <w:rPr>
          <w:i/>
          <w:iCs/>
          <w:sz w:val="26"/>
          <w:szCs w:val="26"/>
        </w:rPr>
        <w:t>citing, Pa. PUC v. UGI Utilities, Inc. – Gas Division</w:t>
      </w:r>
      <w:r>
        <w:rPr>
          <w:sz w:val="26"/>
          <w:szCs w:val="26"/>
        </w:rPr>
        <w:t>, Docket No. R-2019-3015162 (Order entered October 8, 2020) (</w:t>
      </w:r>
      <w:r w:rsidRPr="001174EB">
        <w:rPr>
          <w:i/>
          <w:iCs/>
          <w:sz w:val="26"/>
          <w:szCs w:val="26"/>
        </w:rPr>
        <w:t>UGI</w:t>
      </w:r>
      <w:r>
        <w:rPr>
          <w:sz w:val="26"/>
          <w:szCs w:val="26"/>
        </w:rPr>
        <w:t xml:space="preserve">), </w:t>
      </w:r>
      <w:r w:rsidRPr="00D90D7C">
        <w:rPr>
          <w:sz w:val="26"/>
          <w:szCs w:val="26"/>
        </w:rPr>
        <w:t>Recommended Decision, issued August 29, 2020, at 42.</w:t>
      </w:r>
    </w:p>
  </w:footnote>
  <w:footnote w:id="18">
    <w:p w14:paraId="0A01D20A" w14:textId="4722625B" w:rsidR="00DF516E" w:rsidRDefault="00DF516E" w:rsidP="00C92CD6">
      <w:pPr>
        <w:pStyle w:val="FootnoteText"/>
        <w:keepNext/>
        <w:keepLines/>
        <w:spacing w:after="120"/>
        <w:ind w:firstLine="720"/>
      </w:pPr>
      <w:r w:rsidRPr="00D90D7C">
        <w:rPr>
          <w:rStyle w:val="FootnoteReference"/>
          <w:sz w:val="26"/>
          <w:szCs w:val="26"/>
        </w:rPr>
        <w:footnoteRef/>
      </w:r>
      <w:r w:rsidRPr="00D90D7C">
        <w:rPr>
          <w:sz w:val="26"/>
          <w:szCs w:val="26"/>
        </w:rPr>
        <w:t xml:space="preserve"> </w:t>
      </w:r>
      <w:r w:rsidRPr="00D90D7C">
        <w:rPr>
          <w:sz w:val="26"/>
          <w:szCs w:val="26"/>
        </w:rPr>
        <w:tab/>
        <w:t xml:space="preserve">The City noted, specifically, that the Recommended Decision of ALJ </w:t>
      </w:r>
      <w:r>
        <w:rPr>
          <w:sz w:val="26"/>
          <w:szCs w:val="26"/>
        </w:rPr>
        <w:t xml:space="preserve">Conrad A. </w:t>
      </w:r>
      <w:r w:rsidRPr="00D90D7C">
        <w:rPr>
          <w:sz w:val="26"/>
          <w:szCs w:val="26"/>
        </w:rPr>
        <w:t>Johnson in PAWC, approving a “non-unanimous” settlement, is inclusive of a proposed “phase in” rate increase of $70.5 million with a net increase of $40 million taking effect on January 28, 2021.</w:t>
      </w:r>
      <w:r>
        <w:rPr>
          <w:sz w:val="26"/>
          <w:szCs w:val="26"/>
        </w:rPr>
        <w:t xml:space="preserve">  City Reply Comments at 7.</w:t>
      </w:r>
    </w:p>
  </w:footnote>
  <w:footnote w:id="19">
    <w:p w14:paraId="39ECFD4B" w14:textId="77777777" w:rsidR="00DF516E" w:rsidRPr="00D130BC" w:rsidRDefault="00DF516E" w:rsidP="00C92CD6">
      <w:pPr>
        <w:pStyle w:val="FootnoteText"/>
        <w:keepNext/>
        <w:keepLines/>
        <w:spacing w:after="120"/>
        <w:ind w:firstLine="720"/>
        <w:rPr>
          <w:sz w:val="26"/>
          <w:szCs w:val="26"/>
          <w:vertAlign w:val="superscript"/>
        </w:rPr>
      </w:pPr>
      <w:r w:rsidRPr="00D130BC">
        <w:rPr>
          <w:rStyle w:val="FootnoteReference"/>
          <w:sz w:val="26"/>
          <w:szCs w:val="26"/>
        </w:rPr>
        <w:footnoteRef/>
      </w:r>
      <w:r w:rsidRPr="00D130BC">
        <w:rPr>
          <w:sz w:val="26"/>
          <w:szCs w:val="26"/>
        </w:rPr>
        <w:t xml:space="preserve"> </w:t>
      </w:r>
      <w:r w:rsidRPr="00D130BC">
        <w:rPr>
          <w:sz w:val="26"/>
          <w:szCs w:val="26"/>
        </w:rPr>
        <w:tab/>
        <w:t>OCA M</w:t>
      </w:r>
      <w:r>
        <w:rPr>
          <w:sz w:val="26"/>
          <w:szCs w:val="26"/>
        </w:rPr>
        <w:t>.B.</w:t>
      </w:r>
      <w:r w:rsidRPr="00D130BC">
        <w:rPr>
          <w:sz w:val="26"/>
          <w:szCs w:val="26"/>
        </w:rPr>
        <w:t xml:space="preserve"> at 10, 17 and 23.</w:t>
      </w:r>
      <w:r>
        <w:rPr>
          <w:sz w:val="26"/>
          <w:szCs w:val="26"/>
        </w:rPr>
        <w:t xml:space="preserve">  The </w:t>
      </w:r>
      <w:r w:rsidRPr="00D130BC">
        <w:rPr>
          <w:sz w:val="26"/>
          <w:szCs w:val="26"/>
        </w:rPr>
        <w:t>OCA contend</w:t>
      </w:r>
      <w:r>
        <w:rPr>
          <w:sz w:val="26"/>
          <w:szCs w:val="26"/>
        </w:rPr>
        <w:t>ed</w:t>
      </w:r>
      <w:r w:rsidRPr="00D130BC">
        <w:rPr>
          <w:sz w:val="26"/>
          <w:szCs w:val="26"/>
        </w:rPr>
        <w:t xml:space="preserve"> that the City could preserve cash by deferring for several months certain construction projects, such as growth-related projects or longer-term system rehabilitation activities, which are not needed to ensure the current provision of safe and reliable service and that </w:t>
      </w:r>
      <w:r>
        <w:rPr>
          <w:sz w:val="26"/>
          <w:szCs w:val="26"/>
        </w:rPr>
        <w:t>“</w:t>
      </w:r>
      <w:r w:rsidRPr="00D130BC">
        <w:rPr>
          <w:sz w:val="26"/>
          <w:szCs w:val="26"/>
        </w:rPr>
        <w:t>other large utilities</w:t>
      </w:r>
      <w:r>
        <w:rPr>
          <w:sz w:val="26"/>
          <w:szCs w:val="26"/>
        </w:rPr>
        <w:t>”</w:t>
      </w:r>
      <w:r w:rsidRPr="00D130BC">
        <w:rPr>
          <w:sz w:val="26"/>
          <w:szCs w:val="26"/>
        </w:rPr>
        <w:t xml:space="preserve"> have been taking advantage of the very low cost of debt and issuing 10-year notes or bonds.</w:t>
      </w:r>
      <w:r>
        <w:rPr>
          <w:sz w:val="26"/>
          <w:szCs w:val="26"/>
        </w:rPr>
        <w:t xml:space="preserve"> </w:t>
      </w:r>
      <w:r w:rsidRPr="00D130BC">
        <w:rPr>
          <w:sz w:val="26"/>
          <w:szCs w:val="26"/>
        </w:rPr>
        <w:t xml:space="preserve"> </w:t>
      </w:r>
    </w:p>
  </w:footnote>
  <w:footnote w:id="20">
    <w:p w14:paraId="301DBAD7" w14:textId="6F564092" w:rsidR="00DF516E" w:rsidRPr="00A641F9" w:rsidRDefault="00DF516E" w:rsidP="00C92CD6">
      <w:pPr>
        <w:pStyle w:val="FootnoteText"/>
        <w:keepNext/>
        <w:keepLines/>
        <w:spacing w:after="120"/>
        <w:ind w:firstLine="720"/>
        <w:rPr>
          <w:sz w:val="26"/>
          <w:szCs w:val="26"/>
        </w:rPr>
      </w:pPr>
      <w:r w:rsidRPr="005F6486">
        <w:rPr>
          <w:rStyle w:val="FootnoteReference"/>
          <w:sz w:val="26"/>
          <w:szCs w:val="26"/>
        </w:rPr>
        <w:footnoteRef/>
      </w:r>
      <w:r w:rsidRPr="005F6486">
        <w:rPr>
          <w:sz w:val="26"/>
          <w:szCs w:val="26"/>
        </w:rPr>
        <w:t xml:space="preserve"> </w:t>
      </w:r>
      <w:r>
        <w:rPr>
          <w:sz w:val="26"/>
          <w:szCs w:val="26"/>
        </w:rPr>
        <w:tab/>
      </w:r>
      <w:r w:rsidRPr="005F6486">
        <w:rPr>
          <w:sz w:val="26"/>
          <w:szCs w:val="26"/>
        </w:rPr>
        <w:t>The Commission has recognized that “[t]he prime determinant in the consideration of a proposed Settlement is</w:t>
      </w:r>
      <w:r>
        <w:rPr>
          <w:sz w:val="26"/>
          <w:szCs w:val="26"/>
        </w:rPr>
        <w:t xml:space="preserve"> </w:t>
      </w:r>
      <w:r w:rsidRPr="005F6486">
        <w:rPr>
          <w:sz w:val="26"/>
          <w:szCs w:val="26"/>
        </w:rPr>
        <w:t xml:space="preserve">whether or not it is in the public interest.” </w:t>
      </w:r>
      <w:r w:rsidRPr="005F6486">
        <w:rPr>
          <w:i/>
          <w:iCs/>
          <w:sz w:val="26"/>
          <w:szCs w:val="26"/>
        </w:rPr>
        <w:t>Pa.</w:t>
      </w:r>
      <w:r>
        <w:rPr>
          <w:i/>
          <w:iCs/>
          <w:sz w:val="26"/>
          <w:szCs w:val="26"/>
        </w:rPr>
        <w:t> </w:t>
      </w:r>
      <w:r w:rsidRPr="005F6486">
        <w:rPr>
          <w:i/>
          <w:iCs/>
          <w:sz w:val="26"/>
          <w:szCs w:val="26"/>
        </w:rPr>
        <w:t>PUC v. Philadelphia Electric Company</w:t>
      </w:r>
      <w:r w:rsidRPr="005F6486">
        <w:rPr>
          <w:sz w:val="26"/>
          <w:szCs w:val="26"/>
        </w:rPr>
        <w:t xml:space="preserve">, 60 Pa. P.U.C. 1 (1985). </w:t>
      </w:r>
      <w:r>
        <w:rPr>
          <w:sz w:val="26"/>
          <w:szCs w:val="26"/>
        </w:rPr>
        <w:t xml:space="preserve"> </w:t>
      </w:r>
      <w:r w:rsidRPr="005F6486">
        <w:rPr>
          <w:sz w:val="26"/>
          <w:szCs w:val="26"/>
        </w:rPr>
        <w:t>Additionally, the Settlement promotes the public interest because it reflects a compromise</w:t>
      </w:r>
      <w:r>
        <w:rPr>
          <w:sz w:val="26"/>
          <w:szCs w:val="26"/>
        </w:rPr>
        <w:t xml:space="preserve"> </w:t>
      </w:r>
      <w:r w:rsidRPr="005F6486">
        <w:rPr>
          <w:sz w:val="26"/>
          <w:szCs w:val="26"/>
        </w:rPr>
        <w:t>of I&amp;E’s and the City’s positions.</w:t>
      </w:r>
      <w:r>
        <w:rPr>
          <w:sz w:val="26"/>
          <w:szCs w:val="26"/>
        </w:rPr>
        <w:t xml:space="preserve"> </w:t>
      </w:r>
      <w:r w:rsidRPr="005F6486">
        <w:rPr>
          <w:sz w:val="26"/>
          <w:szCs w:val="26"/>
        </w:rPr>
        <w:t xml:space="preserve"> </w:t>
      </w:r>
      <w:r w:rsidRPr="005F6486">
        <w:rPr>
          <w:i/>
          <w:iCs/>
          <w:sz w:val="26"/>
          <w:szCs w:val="26"/>
        </w:rPr>
        <w:t xml:space="preserve">See </w:t>
      </w:r>
      <w:r w:rsidRPr="00982FF0">
        <w:rPr>
          <w:i/>
          <w:iCs/>
          <w:sz w:val="26"/>
          <w:szCs w:val="26"/>
        </w:rPr>
        <w:t xml:space="preserve">CS Water and Sewer </w:t>
      </w:r>
      <w:r w:rsidRPr="005F6486">
        <w:rPr>
          <w:sz w:val="26"/>
          <w:szCs w:val="26"/>
        </w:rPr>
        <w:t>(The Commission stated that a settlement “reflects a compromise of the positions held by the</w:t>
      </w:r>
      <w:r>
        <w:rPr>
          <w:sz w:val="26"/>
          <w:szCs w:val="26"/>
        </w:rPr>
        <w:t xml:space="preserve"> </w:t>
      </w:r>
      <w:r w:rsidRPr="005F6486">
        <w:rPr>
          <w:sz w:val="26"/>
          <w:szCs w:val="26"/>
        </w:rPr>
        <w:t xml:space="preserve">parties of interest, which, arguably </w:t>
      </w:r>
      <w:r w:rsidRPr="00A641F9">
        <w:rPr>
          <w:sz w:val="26"/>
          <w:szCs w:val="26"/>
        </w:rPr>
        <w:t xml:space="preserve">fosters and promotes the public interest.”).  I&amp;E Reply Comments at 2. </w:t>
      </w:r>
    </w:p>
  </w:footnote>
  <w:footnote w:id="21">
    <w:p w14:paraId="1EF48D98" w14:textId="2C7FC801" w:rsidR="00DF516E" w:rsidRDefault="00DF516E" w:rsidP="00C92CD6">
      <w:pPr>
        <w:pStyle w:val="FootnoteText"/>
        <w:keepNext/>
        <w:keepLines/>
        <w:spacing w:after="120"/>
        <w:ind w:firstLine="720"/>
      </w:pPr>
      <w:r w:rsidRPr="00A641F9">
        <w:rPr>
          <w:rStyle w:val="FootnoteReference"/>
          <w:sz w:val="26"/>
          <w:szCs w:val="26"/>
        </w:rPr>
        <w:footnoteRef/>
      </w:r>
      <w:r w:rsidRPr="00A641F9">
        <w:rPr>
          <w:sz w:val="26"/>
          <w:szCs w:val="26"/>
        </w:rPr>
        <w:t xml:space="preserve"> </w:t>
      </w:r>
      <w:r w:rsidRPr="00A641F9">
        <w:rPr>
          <w:sz w:val="26"/>
          <w:szCs w:val="26"/>
        </w:rPr>
        <w:tab/>
        <w:t xml:space="preserve">The settlement increase of $689,932 is </w:t>
      </w:r>
      <w:bookmarkStart w:id="33" w:name="_Hlk67046126"/>
      <w:r w:rsidRPr="00A641F9">
        <w:rPr>
          <w:sz w:val="26"/>
          <w:szCs w:val="26"/>
        </w:rPr>
        <w:t>approximately the midpoint between the City’s request of $908,421 and both I&amp;E’s litigated position of $474,161 and the OCA’s “business as usual” position of $446,173</w:t>
      </w:r>
      <w:bookmarkEnd w:id="33"/>
      <w:r w:rsidRPr="00A641F9">
        <w:rPr>
          <w:sz w:val="26"/>
          <w:szCs w:val="26"/>
        </w:rPr>
        <w:t>.</w:t>
      </w:r>
      <w:r>
        <w:rPr>
          <w:sz w:val="26"/>
        </w:rPr>
        <w:t xml:space="preserve">  </w:t>
      </w:r>
    </w:p>
  </w:footnote>
  <w:footnote w:id="22">
    <w:p w14:paraId="1F5DC9C2" w14:textId="1D4352C7" w:rsidR="00DF516E" w:rsidRPr="00A6431E" w:rsidRDefault="00DF516E" w:rsidP="00C92CD6">
      <w:pPr>
        <w:pStyle w:val="FootnoteText"/>
        <w:keepNext/>
        <w:keepLines/>
        <w:spacing w:after="120"/>
        <w:ind w:firstLine="720"/>
        <w:rPr>
          <w:sz w:val="26"/>
          <w:szCs w:val="26"/>
        </w:rPr>
      </w:pPr>
      <w:r w:rsidRPr="00A6431E">
        <w:rPr>
          <w:rStyle w:val="FootnoteReference"/>
          <w:sz w:val="26"/>
          <w:szCs w:val="26"/>
        </w:rPr>
        <w:footnoteRef/>
      </w:r>
      <w:r w:rsidRPr="00A6431E">
        <w:rPr>
          <w:sz w:val="26"/>
          <w:szCs w:val="26"/>
        </w:rPr>
        <w:t xml:space="preserve"> </w:t>
      </w:r>
      <w:r w:rsidRPr="00A6431E">
        <w:rPr>
          <w:sz w:val="26"/>
          <w:szCs w:val="26"/>
        </w:rPr>
        <w:tab/>
        <w:t xml:space="preserve">On March 6, 2020, Governor Tom Wolf issued a Proclamation of Disaster Emergency (Proclamation) that identified the COVID-19 pandemic as a disaster emergency affecting the entire Commonwealth.  On March 13, 2020, relying on both the Proclamation and the Commission’s authority under the provisions of Section 1501 of the Public Utility Code, the Commission issued an Emergency Order establishing a prohibition on the termination of public utility service and directing the reconnection of service to customers previously terminated, to the extent it could be done safely, for the duration of the Proclamation, or until a time otherwise established by the Commission.  </w:t>
      </w:r>
      <w:r w:rsidRPr="00A6431E">
        <w:rPr>
          <w:i/>
          <w:iCs/>
          <w:sz w:val="26"/>
          <w:szCs w:val="26"/>
        </w:rPr>
        <w:t>See</w:t>
      </w:r>
      <w:r w:rsidRPr="00A6431E">
        <w:rPr>
          <w:sz w:val="26"/>
          <w:szCs w:val="26"/>
        </w:rPr>
        <w:t xml:space="preserve"> </w:t>
      </w:r>
      <w:r w:rsidRPr="00A6431E">
        <w:rPr>
          <w:i/>
          <w:iCs/>
          <w:sz w:val="26"/>
          <w:szCs w:val="26"/>
        </w:rPr>
        <w:t>Public Utility Service Termination Moratorium</w:t>
      </w:r>
      <w:r w:rsidRPr="00A6431E">
        <w:rPr>
          <w:sz w:val="26"/>
          <w:szCs w:val="26"/>
        </w:rPr>
        <w:t>, Docket No. M-2020-3019244 (Order entered March 13, 2020) (</w:t>
      </w:r>
      <w:bookmarkStart w:id="36" w:name="_Hlk67917897"/>
      <w:r w:rsidRPr="00A6431E">
        <w:rPr>
          <w:i/>
          <w:iCs/>
          <w:sz w:val="26"/>
          <w:szCs w:val="26"/>
        </w:rPr>
        <w:t>March 2020 Emergency Order</w:t>
      </w:r>
      <w:bookmarkEnd w:id="36"/>
      <w:r w:rsidRPr="00A6431E">
        <w:rPr>
          <w:sz w:val="26"/>
          <w:szCs w:val="26"/>
        </w:rPr>
        <w:t xml:space="preserve">); </w:t>
      </w:r>
      <w:r w:rsidRPr="00A6431E">
        <w:rPr>
          <w:i/>
          <w:iCs/>
          <w:sz w:val="26"/>
          <w:szCs w:val="26"/>
        </w:rPr>
        <w:t>Public Utility Service Termination Moratorium – Modification of the March 13th Emergency Order</w:t>
      </w:r>
      <w:r w:rsidRPr="00A6431E">
        <w:rPr>
          <w:sz w:val="26"/>
          <w:szCs w:val="26"/>
        </w:rPr>
        <w:t>, Docket M</w:t>
      </w:r>
      <w:r>
        <w:rPr>
          <w:sz w:val="26"/>
          <w:szCs w:val="26"/>
        </w:rPr>
        <w:noBreakHyphen/>
      </w:r>
      <w:r w:rsidRPr="00A6431E">
        <w:rPr>
          <w:sz w:val="26"/>
          <w:szCs w:val="26"/>
        </w:rPr>
        <w:t>2020-3019244 (Order entered October 13, 2020) (</w:t>
      </w:r>
      <w:r w:rsidRPr="00A6431E">
        <w:rPr>
          <w:i/>
          <w:iCs/>
          <w:sz w:val="26"/>
          <w:szCs w:val="26"/>
        </w:rPr>
        <w:t>October 2020 Order</w:t>
      </w:r>
      <w:r w:rsidRPr="00A6431E">
        <w:rPr>
          <w:sz w:val="26"/>
          <w:szCs w:val="26"/>
        </w:rPr>
        <w:t>).</w:t>
      </w:r>
    </w:p>
  </w:footnote>
  <w:footnote w:id="23">
    <w:p w14:paraId="28AE4614" w14:textId="598B8513" w:rsidR="00DF516E" w:rsidRDefault="00DF516E" w:rsidP="00C92CD6">
      <w:pPr>
        <w:pStyle w:val="FootnoteText"/>
        <w:keepNext/>
        <w:keepLines/>
        <w:spacing w:after="120"/>
        <w:ind w:firstLine="720"/>
      </w:pPr>
      <w:r w:rsidRPr="00A6431E">
        <w:rPr>
          <w:rStyle w:val="FootnoteReference"/>
          <w:sz w:val="26"/>
          <w:szCs w:val="26"/>
        </w:rPr>
        <w:footnoteRef/>
      </w:r>
      <w:r w:rsidRPr="00A6431E">
        <w:rPr>
          <w:sz w:val="26"/>
          <w:szCs w:val="26"/>
        </w:rPr>
        <w:t xml:space="preserve"> </w:t>
      </w:r>
      <w:r w:rsidRPr="00A6431E">
        <w:rPr>
          <w:sz w:val="26"/>
          <w:szCs w:val="26"/>
        </w:rPr>
        <w:tab/>
        <w:t xml:space="preserve">As of April 1, 2021, existing Commission-ordered restrictions on service terminations will be lifted in favor of modified rules for payment arrangements that allow customers to pay their arrearages over extended periods.  These Commission-ordered modifications will remain in effect through December 31, 2021, when they will expire and pre-pandemic procedures will once again control the collection process.  </w:t>
      </w:r>
      <w:r w:rsidRPr="00A6431E">
        <w:rPr>
          <w:i/>
          <w:iCs/>
          <w:sz w:val="26"/>
          <w:szCs w:val="26"/>
        </w:rPr>
        <w:t>See</w:t>
      </w:r>
      <w:r w:rsidRPr="00A6431E">
        <w:rPr>
          <w:sz w:val="26"/>
          <w:szCs w:val="26"/>
        </w:rPr>
        <w:t xml:space="preserve"> </w:t>
      </w:r>
      <w:r w:rsidRPr="00A6431E">
        <w:rPr>
          <w:i/>
          <w:iCs/>
          <w:sz w:val="26"/>
          <w:szCs w:val="26"/>
        </w:rPr>
        <w:t>Public Utility Service Termination Moratorium</w:t>
      </w:r>
      <w:r w:rsidRPr="00A6431E">
        <w:rPr>
          <w:sz w:val="26"/>
          <w:szCs w:val="26"/>
        </w:rPr>
        <w:t>, Docket No. M-2020-3019244 (Order entered March 18, 2021) (</w:t>
      </w:r>
      <w:r w:rsidRPr="00A6431E">
        <w:rPr>
          <w:i/>
          <w:iCs/>
          <w:sz w:val="26"/>
          <w:szCs w:val="26"/>
        </w:rPr>
        <w:t>March 2021 Order</w:t>
      </w:r>
      <w:r w:rsidRPr="00A6431E">
        <w:rPr>
          <w:sz w:val="26"/>
          <w:szCs w:val="26"/>
        </w:rPr>
        <w:t>).</w:t>
      </w:r>
    </w:p>
  </w:footnote>
  <w:footnote w:id="24">
    <w:p w14:paraId="6334EC85" w14:textId="54223CAA" w:rsidR="00DF516E" w:rsidRPr="00576211" w:rsidRDefault="00DF516E" w:rsidP="00C92CD6">
      <w:pPr>
        <w:pStyle w:val="FootnoteText"/>
        <w:keepNext/>
        <w:keepLines/>
        <w:spacing w:after="120"/>
        <w:ind w:firstLine="720"/>
        <w:rPr>
          <w:sz w:val="26"/>
          <w:szCs w:val="26"/>
        </w:rPr>
      </w:pPr>
      <w:r w:rsidRPr="00A6431E">
        <w:rPr>
          <w:rStyle w:val="FootnoteReference"/>
          <w:sz w:val="26"/>
          <w:szCs w:val="26"/>
        </w:rPr>
        <w:footnoteRef/>
      </w:r>
      <w:r w:rsidRPr="00A6431E">
        <w:rPr>
          <w:sz w:val="26"/>
          <w:szCs w:val="26"/>
        </w:rPr>
        <w:tab/>
        <w:t xml:space="preserve">Specifically, the </w:t>
      </w:r>
      <w:r w:rsidRPr="00A6431E">
        <w:rPr>
          <w:i/>
          <w:iCs/>
          <w:sz w:val="26"/>
          <w:szCs w:val="26"/>
        </w:rPr>
        <w:t>March 2021 Order</w:t>
      </w:r>
      <w:r w:rsidRPr="00A6431E">
        <w:rPr>
          <w:sz w:val="26"/>
          <w:szCs w:val="26"/>
        </w:rPr>
        <w:t xml:space="preserve"> indicated that the American Rescue Plan Act (ARPA) of 2021, passed by Congress on March 10, 2021, contains extended unemployment compensation, stimulus checks, monthly payments for families with children, and assistance for low-income water and wastewater customers.</w:t>
      </w:r>
      <w:r w:rsidRPr="00576211">
        <w:rPr>
          <w:sz w:val="26"/>
          <w:szCs w:val="26"/>
        </w:rPr>
        <w:t xml:space="preserve">  </w:t>
      </w:r>
    </w:p>
  </w:footnote>
  <w:footnote w:id="25">
    <w:p w14:paraId="24A70B3C" w14:textId="60AB3591" w:rsidR="00DF516E" w:rsidRPr="00E41123" w:rsidRDefault="00DF516E" w:rsidP="00C92CD6">
      <w:pPr>
        <w:pStyle w:val="FootnoteText"/>
        <w:keepNext/>
        <w:keepLines/>
        <w:spacing w:after="120"/>
        <w:ind w:firstLine="720"/>
        <w:rPr>
          <w:sz w:val="26"/>
          <w:szCs w:val="26"/>
        </w:rPr>
      </w:pPr>
      <w:r w:rsidRPr="00E41123">
        <w:rPr>
          <w:rStyle w:val="FootnoteReference"/>
          <w:sz w:val="26"/>
          <w:szCs w:val="26"/>
        </w:rPr>
        <w:footnoteRef/>
      </w:r>
      <w:r w:rsidRPr="00E41123">
        <w:rPr>
          <w:sz w:val="26"/>
          <w:szCs w:val="26"/>
        </w:rPr>
        <w:t xml:space="preserve"> </w:t>
      </w:r>
      <w:r w:rsidRPr="00E41123">
        <w:rPr>
          <w:sz w:val="26"/>
          <w:szCs w:val="26"/>
        </w:rPr>
        <w:tab/>
      </w:r>
      <w:r w:rsidRPr="009E00C6">
        <w:rPr>
          <w:i/>
          <w:iCs/>
          <w:sz w:val="26"/>
          <w:szCs w:val="26"/>
        </w:rPr>
        <w:t>See</w:t>
      </w:r>
      <w:r w:rsidRPr="00E41123">
        <w:rPr>
          <w:sz w:val="26"/>
          <w:szCs w:val="26"/>
        </w:rPr>
        <w:t xml:space="preserve"> City St. No. 1R at 17-18; I&amp;E St. No. 3-SR at 18.  The OCA’s Main Brief cited from the cost of service testimony of Mr. </w:t>
      </w:r>
      <w:r>
        <w:rPr>
          <w:sz w:val="26"/>
          <w:szCs w:val="26"/>
        </w:rPr>
        <w:t xml:space="preserve">Jerome D. </w:t>
      </w:r>
      <w:r w:rsidRPr="00E41123">
        <w:rPr>
          <w:sz w:val="26"/>
          <w:szCs w:val="26"/>
        </w:rPr>
        <w:t>Mierzwa explaining that he generally agreed with the City’s cost of service study; that he was not proposing to modify it; and that, in rebuttal, he indicated his agreement with OSBA</w:t>
      </w:r>
      <w:r>
        <w:rPr>
          <w:sz w:val="26"/>
          <w:szCs w:val="26"/>
        </w:rPr>
        <w:t xml:space="preserve"> witness Brian </w:t>
      </w:r>
      <w:r w:rsidRPr="00E41123">
        <w:rPr>
          <w:sz w:val="26"/>
          <w:szCs w:val="26"/>
        </w:rPr>
        <w:t>Kalcic’s adjustment to reflect the appropriate maximum day and maximum hour factors for wholesale customers.  OCA M.B. at 63-65.</w:t>
      </w:r>
    </w:p>
  </w:footnote>
  <w:footnote w:id="26">
    <w:p w14:paraId="0D6B8AEB" w14:textId="17E78DF7" w:rsidR="00DF516E" w:rsidRPr="009F3D04" w:rsidRDefault="00DF516E" w:rsidP="00C92CD6">
      <w:pPr>
        <w:pStyle w:val="FootnoteText"/>
        <w:keepNext/>
        <w:keepLines/>
        <w:spacing w:after="120"/>
        <w:ind w:firstLine="720"/>
        <w:rPr>
          <w:sz w:val="26"/>
          <w:szCs w:val="26"/>
        </w:rPr>
      </w:pPr>
      <w:r w:rsidRPr="009F3D04">
        <w:rPr>
          <w:rStyle w:val="FootnoteReference"/>
          <w:sz w:val="26"/>
          <w:szCs w:val="26"/>
        </w:rPr>
        <w:footnoteRef/>
      </w:r>
      <w:r w:rsidRPr="009F3D04">
        <w:rPr>
          <w:sz w:val="26"/>
          <w:szCs w:val="26"/>
        </w:rPr>
        <w:t xml:space="preserve"> </w:t>
      </w:r>
      <w:r w:rsidRPr="009F3D04">
        <w:rPr>
          <w:sz w:val="26"/>
          <w:szCs w:val="26"/>
        </w:rPr>
        <w:tab/>
        <w:t>The Stipulation terms addressing UFW are identical to the term presented by the City and I&amp;E in the Joint Petition.</w:t>
      </w:r>
    </w:p>
  </w:footnote>
  <w:footnote w:id="27">
    <w:p w14:paraId="75223A84" w14:textId="6CF6CE39" w:rsidR="00DF516E" w:rsidRPr="00A84E72" w:rsidRDefault="00DF516E" w:rsidP="00C92CD6">
      <w:pPr>
        <w:pStyle w:val="FootnoteText"/>
        <w:keepNext/>
        <w:keepLines/>
        <w:spacing w:after="120"/>
        <w:ind w:firstLine="720"/>
        <w:rPr>
          <w:sz w:val="26"/>
          <w:szCs w:val="26"/>
        </w:rPr>
      </w:pPr>
      <w:r w:rsidRPr="00A84E72">
        <w:rPr>
          <w:rStyle w:val="FootnoteReference"/>
          <w:sz w:val="26"/>
          <w:szCs w:val="26"/>
        </w:rPr>
        <w:footnoteRef/>
      </w:r>
      <w:r w:rsidRPr="00A84E72">
        <w:rPr>
          <w:sz w:val="26"/>
          <w:szCs w:val="26"/>
        </w:rPr>
        <w:t xml:space="preserve"> </w:t>
      </w:r>
      <w:r w:rsidRPr="00A84E72">
        <w:rPr>
          <w:sz w:val="26"/>
          <w:szCs w:val="26"/>
        </w:rPr>
        <w:tab/>
        <w:t xml:space="preserve">Meter replacement and accuracy was a matter of importance to the OCA in this proceeding, as it is for the Commission.  The </w:t>
      </w:r>
      <w:r>
        <w:rPr>
          <w:sz w:val="26"/>
          <w:szCs w:val="26"/>
        </w:rPr>
        <w:t>ages of meters</w:t>
      </w:r>
      <w:r w:rsidRPr="00A84E72">
        <w:rPr>
          <w:sz w:val="26"/>
          <w:szCs w:val="26"/>
        </w:rPr>
        <w:t xml:space="preserve"> within the City limits and those beyond the City limits should be reasonably close to reflect accurate readings for similar usage.  </w:t>
      </w:r>
      <w:r>
        <w:rPr>
          <w:sz w:val="26"/>
          <w:szCs w:val="26"/>
        </w:rPr>
        <w:t xml:space="preserve">Therefore, we note that through this Opinion and Order we are not approving any waiver of </w:t>
      </w:r>
      <w:bookmarkStart w:id="38" w:name="_Hlk68506329"/>
      <w:r>
        <w:rPr>
          <w:sz w:val="26"/>
          <w:szCs w:val="26"/>
        </w:rPr>
        <w:t xml:space="preserve">52 Pa. Code § 65.8 </w:t>
      </w:r>
      <w:bookmarkEnd w:id="38"/>
      <w:r>
        <w:rPr>
          <w:sz w:val="26"/>
          <w:szCs w:val="26"/>
        </w:rPr>
        <w:t xml:space="preserve">at this time.  Any plan to come into compliance with Section 65.8 of our Regulations should be provided as part of a petition for waiver of Commission Regulations.  This petition should detail the waivers requested, the requested length of time for the waiver, and how the City will prioritize meter replacement and/or testing activities on an interim basis until it is able to comply with </w:t>
      </w:r>
      <w:r w:rsidRPr="0053267F">
        <w:rPr>
          <w:sz w:val="26"/>
          <w:szCs w:val="26"/>
        </w:rPr>
        <w:t>52</w:t>
      </w:r>
      <w:r>
        <w:rPr>
          <w:sz w:val="26"/>
          <w:szCs w:val="26"/>
        </w:rPr>
        <w:t> </w:t>
      </w:r>
      <w:r w:rsidRPr="0053267F">
        <w:rPr>
          <w:sz w:val="26"/>
          <w:szCs w:val="26"/>
        </w:rPr>
        <w:t>Pa. Code § 65.8</w:t>
      </w:r>
      <w:r>
        <w:rPr>
          <w:sz w:val="26"/>
          <w:szCs w:val="26"/>
        </w:rPr>
        <w:t xml:space="preserve"> (</w:t>
      </w:r>
      <w:r w:rsidRPr="00A84E72">
        <w:rPr>
          <w:i/>
          <w:iCs/>
          <w:sz w:val="26"/>
          <w:szCs w:val="26"/>
        </w:rPr>
        <w:t>i.e</w:t>
      </w:r>
      <w:r>
        <w:rPr>
          <w:sz w:val="26"/>
          <w:szCs w:val="26"/>
        </w:rPr>
        <w:t xml:space="preserve">, similar to Pittsburgh Water Authority’s Compliance Plan filed in accordance with the Commission’s </w:t>
      </w:r>
      <w:r w:rsidRPr="00A84E72">
        <w:rPr>
          <w:i/>
          <w:iCs/>
          <w:sz w:val="26"/>
          <w:szCs w:val="26"/>
        </w:rPr>
        <w:t>Final Implementation Order</w:t>
      </w:r>
      <w:r>
        <w:rPr>
          <w:sz w:val="26"/>
          <w:szCs w:val="26"/>
        </w:rPr>
        <w:t>, at Docket Nos. M</w:t>
      </w:r>
      <w:r>
        <w:rPr>
          <w:sz w:val="26"/>
          <w:szCs w:val="26"/>
        </w:rPr>
        <w:noBreakHyphen/>
        <w:t>2018</w:t>
      </w:r>
      <w:r>
        <w:rPr>
          <w:sz w:val="26"/>
          <w:szCs w:val="26"/>
        </w:rPr>
        <w:noBreakHyphen/>
        <w:t>2640802 and M-2018-2640803 (Order entered March 15, 2018)).</w:t>
      </w:r>
    </w:p>
  </w:footnote>
  <w:footnote w:id="28">
    <w:p w14:paraId="7073C224" w14:textId="6156B2E9" w:rsidR="00DF516E" w:rsidRPr="00070B98" w:rsidRDefault="00DF516E" w:rsidP="00C92CD6">
      <w:pPr>
        <w:pStyle w:val="FootnoteText"/>
        <w:keepNext/>
        <w:keepLines/>
        <w:spacing w:after="120"/>
        <w:ind w:firstLine="720"/>
        <w:rPr>
          <w:sz w:val="26"/>
          <w:szCs w:val="26"/>
        </w:rPr>
      </w:pPr>
      <w:r w:rsidRPr="00070B98">
        <w:rPr>
          <w:rStyle w:val="FootnoteReference"/>
          <w:sz w:val="26"/>
          <w:szCs w:val="26"/>
        </w:rPr>
        <w:footnoteRef/>
      </w:r>
      <w:r w:rsidRPr="00070B98">
        <w:rPr>
          <w:sz w:val="26"/>
          <w:szCs w:val="26"/>
        </w:rPr>
        <w:t xml:space="preserve"> </w:t>
      </w:r>
      <w:r w:rsidRPr="00070B98">
        <w:rPr>
          <w:sz w:val="26"/>
          <w:szCs w:val="26"/>
        </w:rPr>
        <w:tab/>
        <w:t>The OCA maintains that the City’s return at present rates of 5.65% is “more than adequate” and suggests that the City can avoid the need for additional revenue by holding off on all but the absolute necessary system improvement projects.  OCA Exc. at</w:t>
      </w:r>
      <w:r>
        <w:rPr>
          <w:sz w:val="26"/>
          <w:szCs w:val="26"/>
        </w:rPr>
        <w:t> </w:t>
      </w:r>
      <w:r w:rsidRPr="00070B98">
        <w:rPr>
          <w:sz w:val="26"/>
          <w:szCs w:val="26"/>
        </w:rPr>
        <w:t xml:space="preserve">2-3, 12, 17, 24-25.  </w:t>
      </w:r>
    </w:p>
  </w:footnote>
  <w:footnote w:id="29">
    <w:p w14:paraId="6C0AF582" w14:textId="3048BBDA" w:rsidR="00DF516E" w:rsidRPr="008922B6" w:rsidRDefault="00DF516E" w:rsidP="00C92CD6">
      <w:pPr>
        <w:pStyle w:val="FootnoteText"/>
        <w:keepNext/>
        <w:keepLines/>
        <w:spacing w:after="120"/>
        <w:ind w:firstLine="720"/>
        <w:rPr>
          <w:sz w:val="26"/>
          <w:szCs w:val="26"/>
        </w:rPr>
      </w:pPr>
      <w:r w:rsidRPr="008922B6">
        <w:rPr>
          <w:rStyle w:val="FootnoteReference"/>
          <w:sz w:val="26"/>
          <w:szCs w:val="26"/>
        </w:rPr>
        <w:footnoteRef/>
      </w:r>
      <w:r w:rsidRPr="008922B6">
        <w:rPr>
          <w:sz w:val="26"/>
          <w:szCs w:val="26"/>
        </w:rPr>
        <w:t xml:space="preserve"> </w:t>
      </w:r>
      <w:r w:rsidRPr="008922B6">
        <w:rPr>
          <w:sz w:val="26"/>
          <w:szCs w:val="26"/>
        </w:rPr>
        <w:tab/>
        <w:t>The OCA notes that it has presented testimony on revenue requirement, including cost of capital that establishes the revenue increase should be no more than $443,666 for outside-City customers.  OCA Exc. at 26.</w:t>
      </w:r>
    </w:p>
  </w:footnote>
  <w:footnote w:id="30">
    <w:p w14:paraId="68D64A8C" w14:textId="30EE5D19" w:rsidR="00DF516E" w:rsidRPr="00D977DB" w:rsidRDefault="00DF516E" w:rsidP="00C92CD6">
      <w:pPr>
        <w:pStyle w:val="FootnoteText"/>
        <w:keepNext/>
        <w:keepLines/>
        <w:spacing w:after="120"/>
        <w:ind w:firstLine="720"/>
        <w:rPr>
          <w:sz w:val="26"/>
          <w:szCs w:val="26"/>
        </w:rPr>
      </w:pPr>
      <w:r w:rsidRPr="002B24A1">
        <w:rPr>
          <w:rStyle w:val="FootnoteReference"/>
          <w:sz w:val="26"/>
          <w:szCs w:val="26"/>
        </w:rPr>
        <w:footnoteRef/>
      </w:r>
      <w:r w:rsidRPr="002B24A1">
        <w:rPr>
          <w:sz w:val="26"/>
          <w:szCs w:val="26"/>
        </w:rPr>
        <w:t xml:space="preserve"> </w:t>
      </w:r>
      <w:r w:rsidRPr="002B24A1">
        <w:rPr>
          <w:sz w:val="26"/>
          <w:szCs w:val="26"/>
        </w:rPr>
        <w:tab/>
      </w:r>
      <w:r w:rsidRPr="002B24A1">
        <w:rPr>
          <w:i/>
          <w:iCs/>
          <w:sz w:val="26"/>
          <w:szCs w:val="26"/>
        </w:rPr>
        <w:t>Popowsky II</w:t>
      </w:r>
      <w:r w:rsidRPr="002B24A1">
        <w:rPr>
          <w:sz w:val="26"/>
          <w:szCs w:val="26"/>
        </w:rPr>
        <w:t>, 683 A.2d at 961 (“[t</w:t>
      </w:r>
      <w:r>
        <w:rPr>
          <w:sz w:val="26"/>
          <w:szCs w:val="26"/>
        </w:rPr>
        <w:t>]</w:t>
      </w:r>
      <w:r w:rsidRPr="002B24A1">
        <w:rPr>
          <w:sz w:val="26"/>
          <w:szCs w:val="26"/>
        </w:rPr>
        <w:t>he PUC has broad discretion in determining whether rates are reasonable” and “is vested with discretion to decide what factors it will consider in setting or evaluating a utility’s rates.”).</w:t>
      </w:r>
    </w:p>
  </w:footnote>
  <w:footnote w:id="31">
    <w:p w14:paraId="1AC9824A" w14:textId="77F7F2F0" w:rsidR="00DF516E" w:rsidRPr="00E73F1F" w:rsidRDefault="00DF516E" w:rsidP="00C92CD6">
      <w:pPr>
        <w:pStyle w:val="FootnoteText"/>
        <w:keepNext/>
        <w:keepLines/>
        <w:spacing w:after="120"/>
        <w:ind w:firstLine="720"/>
        <w:rPr>
          <w:sz w:val="26"/>
          <w:szCs w:val="26"/>
        </w:rPr>
      </w:pPr>
      <w:r w:rsidRPr="00FA71C9">
        <w:rPr>
          <w:rStyle w:val="FootnoteReference"/>
          <w:sz w:val="26"/>
          <w:szCs w:val="26"/>
        </w:rPr>
        <w:footnoteRef/>
      </w:r>
      <w:r w:rsidRPr="00FA71C9">
        <w:rPr>
          <w:sz w:val="26"/>
          <w:szCs w:val="26"/>
        </w:rPr>
        <w:t xml:space="preserve"> </w:t>
      </w:r>
      <w:r w:rsidRPr="00FA71C9">
        <w:rPr>
          <w:sz w:val="26"/>
          <w:szCs w:val="26"/>
        </w:rPr>
        <w:tab/>
        <w:t xml:space="preserve">The City noted that this $185,981 reduction to rate base included a reduction to plant in service of $181,278 and an associated increase to accumulated </w:t>
      </w:r>
      <w:r w:rsidRPr="00E73F1F">
        <w:rPr>
          <w:sz w:val="26"/>
          <w:szCs w:val="26"/>
        </w:rPr>
        <w:t xml:space="preserve">depreciation of $4,703.  Additionally, depreciation expense was reduced by $3,387 from the </w:t>
      </w:r>
      <w:r>
        <w:rPr>
          <w:sz w:val="26"/>
          <w:szCs w:val="26"/>
        </w:rPr>
        <w:t>as-</w:t>
      </w:r>
      <w:r w:rsidRPr="00E73F1F">
        <w:rPr>
          <w:sz w:val="26"/>
          <w:szCs w:val="26"/>
        </w:rPr>
        <w:t xml:space="preserve">filed position.  City St. No. 3R at 5.  </w:t>
      </w:r>
    </w:p>
  </w:footnote>
  <w:footnote w:id="32">
    <w:p w14:paraId="7154AA4F" w14:textId="12870AA5" w:rsidR="00DF516E" w:rsidRDefault="00DF516E" w:rsidP="00C92CD6">
      <w:pPr>
        <w:pStyle w:val="FootnoteText"/>
        <w:keepNext/>
        <w:keepLines/>
        <w:spacing w:after="120"/>
        <w:ind w:firstLine="720"/>
      </w:pPr>
      <w:r w:rsidRPr="00E73F1F">
        <w:rPr>
          <w:rStyle w:val="FootnoteReference"/>
          <w:sz w:val="26"/>
          <w:szCs w:val="26"/>
        </w:rPr>
        <w:footnoteRef/>
      </w:r>
      <w:r w:rsidRPr="00E73F1F">
        <w:rPr>
          <w:sz w:val="26"/>
          <w:szCs w:val="26"/>
        </w:rPr>
        <w:t xml:space="preserve"> </w:t>
      </w:r>
      <w:r w:rsidRPr="00E73F1F">
        <w:rPr>
          <w:sz w:val="26"/>
          <w:szCs w:val="26"/>
        </w:rPr>
        <w:tab/>
        <w:t>As previously indicated, while the City has revised a variety of rate case claimed amounts in rebuttal testimony, the requested increase remained the same by the City’s adjustment to its requested rate of return.  City St. No. 1R at 17; City Exh. CEH</w:t>
      </w:r>
      <w:r>
        <w:rPr>
          <w:sz w:val="26"/>
          <w:szCs w:val="26"/>
        </w:rPr>
        <w:noBreakHyphen/>
      </w:r>
      <w:r w:rsidRPr="00E73F1F">
        <w:rPr>
          <w:sz w:val="26"/>
          <w:szCs w:val="26"/>
        </w:rPr>
        <w:t>1R, Sch. 1-R at 1-3.</w:t>
      </w:r>
    </w:p>
  </w:footnote>
  <w:footnote w:id="33">
    <w:p w14:paraId="29A877A5" w14:textId="62484C9A" w:rsidR="00DF516E" w:rsidRPr="004C2511" w:rsidRDefault="00DF516E" w:rsidP="00C92CD6">
      <w:pPr>
        <w:pStyle w:val="FootnoteText"/>
        <w:keepNext/>
        <w:keepLines/>
        <w:spacing w:after="120"/>
        <w:ind w:firstLine="720"/>
        <w:rPr>
          <w:sz w:val="26"/>
          <w:szCs w:val="26"/>
        </w:rPr>
      </w:pPr>
      <w:r w:rsidRPr="004C2511">
        <w:rPr>
          <w:rStyle w:val="FootnoteReference"/>
          <w:sz w:val="26"/>
          <w:szCs w:val="26"/>
        </w:rPr>
        <w:footnoteRef/>
      </w:r>
      <w:r w:rsidRPr="004C2511">
        <w:rPr>
          <w:sz w:val="26"/>
          <w:szCs w:val="26"/>
        </w:rPr>
        <w:t xml:space="preserve"> </w:t>
      </w:r>
      <w:r w:rsidRPr="004C2511">
        <w:rPr>
          <w:sz w:val="26"/>
          <w:szCs w:val="26"/>
        </w:rPr>
        <w:tab/>
        <w:t>The City noted that the CWC calculation increased because operation and maintenance expenses increased to $4,650,083 and the allocation to outside-City service also increased due to the change in the cost allocation in City Exhibit CEH-2R.  City M.B. at 21-22.</w:t>
      </w:r>
    </w:p>
  </w:footnote>
  <w:footnote w:id="34">
    <w:p w14:paraId="73DC24DE" w14:textId="1B9F6C55" w:rsidR="00DF516E" w:rsidRPr="00AD3698" w:rsidRDefault="00DF516E" w:rsidP="00C92CD6">
      <w:pPr>
        <w:pStyle w:val="FootnoteText"/>
        <w:keepNext/>
        <w:keepLines/>
        <w:spacing w:after="120"/>
        <w:ind w:firstLine="720"/>
        <w:rPr>
          <w:sz w:val="26"/>
          <w:szCs w:val="26"/>
        </w:rPr>
      </w:pPr>
      <w:r w:rsidRPr="00884BA1">
        <w:rPr>
          <w:rStyle w:val="FootnoteReference"/>
          <w:sz w:val="26"/>
          <w:szCs w:val="26"/>
        </w:rPr>
        <w:footnoteRef/>
      </w:r>
      <w:r w:rsidRPr="00884BA1">
        <w:rPr>
          <w:sz w:val="26"/>
          <w:szCs w:val="26"/>
        </w:rPr>
        <w:tab/>
      </w:r>
      <w:r w:rsidRPr="00884BA1">
        <w:rPr>
          <w:i/>
          <w:iCs/>
          <w:sz w:val="26"/>
          <w:szCs w:val="26"/>
        </w:rPr>
        <w:t>Popowsky v. Pa. PUC</w:t>
      </w:r>
      <w:r w:rsidRPr="00884BA1">
        <w:rPr>
          <w:sz w:val="26"/>
          <w:szCs w:val="26"/>
        </w:rPr>
        <w:t>, 674 A.2d 1149, 1154 (Pa. Cmwlth. 1996) (</w:t>
      </w:r>
      <w:r w:rsidRPr="00884BA1">
        <w:rPr>
          <w:i/>
          <w:iCs/>
          <w:sz w:val="26"/>
          <w:szCs w:val="26"/>
        </w:rPr>
        <w:t>Popowsky</w:t>
      </w:r>
      <w:r w:rsidRPr="00884BA1">
        <w:rPr>
          <w:sz w:val="26"/>
          <w:szCs w:val="26"/>
        </w:rPr>
        <w:t xml:space="preserve">); </w:t>
      </w:r>
      <w:r w:rsidRPr="00884BA1">
        <w:rPr>
          <w:i/>
          <w:iCs/>
          <w:sz w:val="26"/>
          <w:szCs w:val="26"/>
        </w:rPr>
        <w:t>Pa. PUC v. Columbia Water Company</w:t>
      </w:r>
      <w:r w:rsidRPr="00884BA1">
        <w:rPr>
          <w:sz w:val="26"/>
          <w:szCs w:val="26"/>
        </w:rPr>
        <w:t xml:space="preserve">, 2009 Pa. PUC LEXIS 1423 (2009); </w:t>
      </w:r>
      <w:r w:rsidRPr="00884BA1">
        <w:rPr>
          <w:i/>
          <w:iCs/>
          <w:sz w:val="26"/>
          <w:szCs w:val="26"/>
        </w:rPr>
        <w:t>City of Lancaster (Sewer Fund) v. Pa. PUC</w:t>
      </w:r>
      <w:r w:rsidRPr="00884BA1">
        <w:rPr>
          <w:sz w:val="26"/>
          <w:szCs w:val="26"/>
        </w:rPr>
        <w:t>, 793 A.2d 979 (Pa. Cmwlth. 2002) (</w:t>
      </w:r>
      <w:r w:rsidRPr="00884BA1">
        <w:rPr>
          <w:i/>
          <w:iCs/>
          <w:sz w:val="26"/>
          <w:szCs w:val="26"/>
        </w:rPr>
        <w:t>Lancaster 2002</w:t>
      </w:r>
      <w:r w:rsidRPr="00884BA1">
        <w:rPr>
          <w:sz w:val="26"/>
          <w:szCs w:val="26"/>
        </w:rPr>
        <w:t xml:space="preserve">); </w:t>
      </w:r>
      <w:r w:rsidRPr="00884BA1">
        <w:rPr>
          <w:i/>
          <w:iCs/>
          <w:sz w:val="26"/>
          <w:szCs w:val="26"/>
        </w:rPr>
        <w:t>Pa. PUC v. Roaring Creek Water Company</w:t>
      </w:r>
      <w:r w:rsidRPr="00884BA1">
        <w:rPr>
          <w:sz w:val="26"/>
          <w:szCs w:val="26"/>
        </w:rPr>
        <w:t xml:space="preserve">, 73 Pa. PUC 373, 400 (1990); </w:t>
      </w:r>
      <w:r w:rsidRPr="00884BA1">
        <w:rPr>
          <w:i/>
          <w:iCs/>
          <w:sz w:val="26"/>
          <w:szCs w:val="26"/>
        </w:rPr>
        <w:t>Pa. PUC v. West Penn Power Company</w:t>
      </w:r>
      <w:r w:rsidRPr="00884BA1">
        <w:rPr>
          <w:sz w:val="26"/>
          <w:szCs w:val="26"/>
        </w:rPr>
        <w:t xml:space="preserve">, 119 PUR4th 110, 149 (1990); </w:t>
      </w:r>
      <w:r w:rsidRPr="00884BA1">
        <w:rPr>
          <w:i/>
          <w:iCs/>
          <w:sz w:val="26"/>
          <w:szCs w:val="26"/>
        </w:rPr>
        <w:t>Pa.</w:t>
      </w:r>
      <w:r>
        <w:rPr>
          <w:i/>
          <w:iCs/>
          <w:sz w:val="26"/>
          <w:szCs w:val="26"/>
        </w:rPr>
        <w:t> </w:t>
      </w:r>
      <w:r w:rsidRPr="00884BA1">
        <w:rPr>
          <w:i/>
          <w:iCs/>
          <w:sz w:val="26"/>
          <w:szCs w:val="26"/>
        </w:rPr>
        <w:t>PUC v. City of Lancaster</w:t>
      </w:r>
      <w:r w:rsidRPr="00884BA1">
        <w:rPr>
          <w:sz w:val="26"/>
          <w:szCs w:val="26"/>
        </w:rPr>
        <w:t>, 2011 Pa. PUC LEXIS 1685 (2011) (</w:t>
      </w:r>
      <w:r w:rsidRPr="00884BA1">
        <w:rPr>
          <w:i/>
          <w:iCs/>
          <w:sz w:val="26"/>
          <w:szCs w:val="26"/>
        </w:rPr>
        <w:t>Lancaster 2011</w:t>
      </w:r>
      <w:r w:rsidRPr="00884BA1">
        <w:rPr>
          <w:sz w:val="26"/>
          <w:szCs w:val="26"/>
        </w:rPr>
        <w:t xml:space="preserve">); </w:t>
      </w:r>
      <w:r w:rsidRPr="00884BA1">
        <w:rPr>
          <w:i/>
          <w:iCs/>
          <w:sz w:val="26"/>
          <w:szCs w:val="26"/>
        </w:rPr>
        <w:t>Pa</w:t>
      </w:r>
      <w:r>
        <w:rPr>
          <w:i/>
          <w:iCs/>
          <w:sz w:val="26"/>
          <w:szCs w:val="26"/>
        </w:rPr>
        <w:t>.</w:t>
      </w:r>
      <w:r w:rsidRPr="00884BA1">
        <w:rPr>
          <w:i/>
          <w:iCs/>
          <w:sz w:val="26"/>
          <w:szCs w:val="26"/>
        </w:rPr>
        <w:t xml:space="preserve"> </w:t>
      </w:r>
      <w:r>
        <w:rPr>
          <w:rFonts w:eastAsiaTheme="minorHAnsi"/>
          <w:i/>
          <w:iCs/>
          <w:sz w:val="26"/>
          <w:szCs w:val="26"/>
        </w:rPr>
        <w:t>PUC</w:t>
      </w:r>
      <w:r w:rsidRPr="00884BA1">
        <w:rPr>
          <w:rFonts w:eastAsiaTheme="minorHAnsi"/>
          <w:i/>
          <w:iCs/>
          <w:sz w:val="26"/>
          <w:szCs w:val="26"/>
        </w:rPr>
        <w:t xml:space="preserve"> v. Metropolitan Edison Company</w:t>
      </w:r>
      <w:r w:rsidRPr="00884BA1">
        <w:rPr>
          <w:rFonts w:eastAsiaTheme="minorHAnsi"/>
          <w:sz w:val="26"/>
          <w:szCs w:val="26"/>
        </w:rPr>
        <w:t xml:space="preserve">, 2007 Pa. PUC LEXIS 5 (2007); </w:t>
      </w:r>
      <w:r w:rsidRPr="00884BA1">
        <w:rPr>
          <w:rFonts w:eastAsiaTheme="minorHAnsi"/>
          <w:i/>
          <w:iCs/>
          <w:sz w:val="26"/>
          <w:szCs w:val="26"/>
        </w:rPr>
        <w:t>Pa. PUC v. City of Dubois – Bureau of Water</w:t>
      </w:r>
      <w:r w:rsidRPr="00884BA1">
        <w:rPr>
          <w:rFonts w:eastAsiaTheme="minorHAnsi"/>
          <w:sz w:val="26"/>
          <w:szCs w:val="26"/>
        </w:rPr>
        <w:t>, Docket No. R-2016-2554150 slip op. at 65 (Order entered May 18, 2017) (</w:t>
      </w:r>
      <w:r w:rsidRPr="00884BA1">
        <w:rPr>
          <w:rFonts w:eastAsiaTheme="minorHAnsi"/>
          <w:i/>
          <w:iCs/>
          <w:sz w:val="26"/>
          <w:szCs w:val="26"/>
        </w:rPr>
        <w:t>City of Dubois</w:t>
      </w:r>
      <w:r w:rsidRPr="00884BA1">
        <w:rPr>
          <w:rFonts w:eastAsiaTheme="minorHAnsi"/>
          <w:sz w:val="26"/>
          <w:szCs w:val="26"/>
        </w:rPr>
        <w:t>).</w:t>
      </w:r>
      <w:r w:rsidRPr="00AD3698">
        <w:rPr>
          <w:sz w:val="26"/>
          <w:szCs w:val="26"/>
        </w:rPr>
        <w:t xml:space="preserve"> </w:t>
      </w:r>
    </w:p>
  </w:footnote>
  <w:footnote w:id="35">
    <w:p w14:paraId="05FB0AD7" w14:textId="53516DBC" w:rsidR="00DF516E" w:rsidRPr="00AB18C9" w:rsidRDefault="00DF516E" w:rsidP="00C92CD6">
      <w:pPr>
        <w:pStyle w:val="FootnoteText"/>
        <w:keepNext/>
        <w:keepLines/>
        <w:spacing w:after="120"/>
        <w:ind w:firstLine="720"/>
        <w:contextualSpacing/>
        <w:rPr>
          <w:sz w:val="26"/>
          <w:szCs w:val="26"/>
        </w:rPr>
      </w:pPr>
      <w:r w:rsidRPr="00AB18C9">
        <w:rPr>
          <w:rStyle w:val="FootnoteReference"/>
          <w:sz w:val="26"/>
          <w:szCs w:val="26"/>
        </w:rPr>
        <w:footnoteRef/>
      </w:r>
      <w:r>
        <w:rPr>
          <w:sz w:val="26"/>
          <w:szCs w:val="26"/>
        </w:rPr>
        <w:tab/>
      </w:r>
      <w:r w:rsidRPr="00AB18C9">
        <w:rPr>
          <w:i/>
          <w:sz w:val="26"/>
          <w:szCs w:val="26"/>
        </w:rPr>
        <w:t xml:space="preserve">City of Lancaster v. Pa. </w:t>
      </w:r>
      <w:r>
        <w:rPr>
          <w:i/>
          <w:sz w:val="26"/>
          <w:szCs w:val="26"/>
        </w:rPr>
        <w:t>PUC</w:t>
      </w:r>
      <w:r w:rsidRPr="00AB18C9">
        <w:rPr>
          <w:sz w:val="26"/>
          <w:szCs w:val="26"/>
        </w:rPr>
        <w:t xml:space="preserve">, 793 A.2d 978 (Pa. Cmwlth. 2002); </w:t>
      </w:r>
      <w:r w:rsidRPr="00D551C0">
        <w:rPr>
          <w:i/>
          <w:sz w:val="26"/>
          <w:szCs w:val="26"/>
        </w:rPr>
        <w:t>Pa.</w:t>
      </w:r>
      <w:r>
        <w:rPr>
          <w:i/>
          <w:sz w:val="26"/>
          <w:szCs w:val="26"/>
        </w:rPr>
        <w:t xml:space="preserve"> PUC </w:t>
      </w:r>
      <w:r w:rsidRPr="00D551C0">
        <w:rPr>
          <w:i/>
          <w:sz w:val="26"/>
          <w:szCs w:val="26"/>
        </w:rPr>
        <w:t>v. PPL Elec</w:t>
      </w:r>
      <w:r>
        <w:rPr>
          <w:i/>
          <w:sz w:val="26"/>
          <w:szCs w:val="26"/>
        </w:rPr>
        <w:t>tric</w:t>
      </w:r>
      <w:r w:rsidRPr="00D551C0">
        <w:rPr>
          <w:i/>
          <w:sz w:val="26"/>
          <w:szCs w:val="26"/>
        </w:rPr>
        <w:t xml:space="preserve"> Util</w:t>
      </w:r>
      <w:r>
        <w:rPr>
          <w:i/>
          <w:sz w:val="26"/>
          <w:szCs w:val="26"/>
        </w:rPr>
        <w:t>itie</w:t>
      </w:r>
      <w:r w:rsidRPr="00D551C0">
        <w:rPr>
          <w:i/>
          <w:sz w:val="26"/>
          <w:szCs w:val="26"/>
        </w:rPr>
        <w:t>s</w:t>
      </w:r>
      <w:r>
        <w:rPr>
          <w:i/>
          <w:sz w:val="26"/>
          <w:szCs w:val="26"/>
        </w:rPr>
        <w:t xml:space="preserve"> </w:t>
      </w:r>
      <w:r w:rsidRPr="00D551C0">
        <w:rPr>
          <w:i/>
          <w:sz w:val="26"/>
          <w:szCs w:val="26"/>
        </w:rPr>
        <w:t>Corp</w:t>
      </w:r>
      <w:r>
        <w:rPr>
          <w:i/>
          <w:sz w:val="26"/>
          <w:szCs w:val="26"/>
        </w:rPr>
        <w:t>oration</w:t>
      </w:r>
      <w:r w:rsidRPr="00D551C0">
        <w:rPr>
          <w:i/>
          <w:sz w:val="26"/>
          <w:szCs w:val="26"/>
        </w:rPr>
        <w:t>,</w:t>
      </w:r>
      <w:r>
        <w:rPr>
          <w:i/>
          <w:sz w:val="26"/>
          <w:szCs w:val="26"/>
        </w:rPr>
        <w:t xml:space="preserve"> </w:t>
      </w:r>
      <w:r w:rsidRPr="00D551C0">
        <w:rPr>
          <w:sz w:val="26"/>
          <w:szCs w:val="26"/>
        </w:rPr>
        <w:t>Docket No. R-2012-2290597 (Order entered December 28, 2012) (</w:t>
      </w:r>
      <w:r w:rsidRPr="00D551C0">
        <w:rPr>
          <w:i/>
          <w:sz w:val="26"/>
          <w:szCs w:val="26"/>
        </w:rPr>
        <w:t>PPL 2012</w:t>
      </w:r>
      <w:r w:rsidRPr="00D551C0">
        <w:rPr>
          <w:sz w:val="26"/>
          <w:szCs w:val="26"/>
        </w:rPr>
        <w:t>)</w:t>
      </w:r>
      <w:r>
        <w:rPr>
          <w:sz w:val="26"/>
          <w:szCs w:val="26"/>
        </w:rPr>
        <w:t xml:space="preserve">; </w:t>
      </w:r>
      <w:r w:rsidRPr="00D551C0">
        <w:rPr>
          <w:i/>
          <w:sz w:val="26"/>
          <w:szCs w:val="26"/>
        </w:rPr>
        <w:t>Pa.</w:t>
      </w:r>
      <w:r>
        <w:rPr>
          <w:i/>
          <w:sz w:val="26"/>
          <w:szCs w:val="26"/>
        </w:rPr>
        <w:t xml:space="preserve"> PUC </w:t>
      </w:r>
      <w:r w:rsidRPr="00D551C0">
        <w:rPr>
          <w:i/>
          <w:sz w:val="26"/>
          <w:szCs w:val="26"/>
        </w:rPr>
        <w:t xml:space="preserve">v. </w:t>
      </w:r>
      <w:r>
        <w:rPr>
          <w:i/>
          <w:sz w:val="26"/>
          <w:szCs w:val="26"/>
        </w:rPr>
        <w:t>UGI</w:t>
      </w:r>
      <w:r w:rsidRPr="00D551C0">
        <w:rPr>
          <w:i/>
          <w:sz w:val="26"/>
          <w:szCs w:val="26"/>
        </w:rPr>
        <w:t xml:space="preserve"> Util</w:t>
      </w:r>
      <w:r>
        <w:rPr>
          <w:i/>
          <w:sz w:val="26"/>
          <w:szCs w:val="26"/>
        </w:rPr>
        <w:t>itie</w:t>
      </w:r>
      <w:r w:rsidRPr="00D551C0">
        <w:rPr>
          <w:i/>
          <w:sz w:val="26"/>
          <w:szCs w:val="26"/>
        </w:rPr>
        <w:t>s</w:t>
      </w:r>
      <w:r>
        <w:rPr>
          <w:i/>
          <w:sz w:val="26"/>
          <w:szCs w:val="26"/>
        </w:rPr>
        <w:t xml:space="preserve"> Inc. – Electric Division</w:t>
      </w:r>
      <w:r w:rsidRPr="00D551C0">
        <w:rPr>
          <w:i/>
          <w:sz w:val="26"/>
          <w:szCs w:val="26"/>
        </w:rPr>
        <w:t>,</w:t>
      </w:r>
      <w:r>
        <w:rPr>
          <w:i/>
          <w:sz w:val="26"/>
          <w:szCs w:val="26"/>
        </w:rPr>
        <w:t xml:space="preserve"> </w:t>
      </w:r>
      <w:r w:rsidRPr="00D551C0">
        <w:rPr>
          <w:sz w:val="26"/>
          <w:szCs w:val="26"/>
        </w:rPr>
        <w:t>Docket No.</w:t>
      </w:r>
      <w:r>
        <w:rPr>
          <w:sz w:val="26"/>
          <w:szCs w:val="26"/>
        </w:rPr>
        <w:t xml:space="preserve"> R-2017-2640058 (Order entered October 25, 2018) (</w:t>
      </w:r>
      <w:r w:rsidRPr="00107AE8">
        <w:rPr>
          <w:i/>
          <w:iCs/>
          <w:sz w:val="26"/>
          <w:szCs w:val="26"/>
        </w:rPr>
        <w:t>UGI 2018</w:t>
      </w:r>
      <w:r>
        <w:rPr>
          <w:sz w:val="26"/>
          <w:szCs w:val="26"/>
        </w:rPr>
        <w:t>).</w:t>
      </w:r>
    </w:p>
  </w:footnote>
  <w:footnote w:id="36">
    <w:p w14:paraId="6B784867" w14:textId="656E4260" w:rsidR="00DF516E" w:rsidRPr="00550883" w:rsidRDefault="00DF516E" w:rsidP="00C92CD6">
      <w:pPr>
        <w:pStyle w:val="FootnoteText"/>
        <w:keepNext/>
        <w:keepLines/>
        <w:spacing w:after="120"/>
        <w:ind w:firstLine="720"/>
        <w:rPr>
          <w:sz w:val="26"/>
          <w:szCs w:val="26"/>
        </w:rPr>
      </w:pPr>
      <w:r w:rsidRPr="00550883">
        <w:rPr>
          <w:rStyle w:val="FootnoteReference"/>
          <w:sz w:val="26"/>
          <w:szCs w:val="26"/>
        </w:rPr>
        <w:footnoteRef/>
      </w:r>
      <w:r w:rsidRPr="00550883">
        <w:rPr>
          <w:sz w:val="26"/>
          <w:szCs w:val="26"/>
        </w:rPr>
        <w:t xml:space="preserve"> </w:t>
      </w:r>
      <w:r w:rsidRPr="00550883">
        <w:rPr>
          <w:sz w:val="26"/>
          <w:szCs w:val="26"/>
        </w:rPr>
        <w:tab/>
      </w:r>
      <w:r w:rsidRPr="006C3866">
        <w:rPr>
          <w:i/>
          <w:iCs/>
          <w:sz w:val="26"/>
          <w:szCs w:val="26"/>
        </w:rPr>
        <w:t>See</w:t>
      </w:r>
      <w:r w:rsidRPr="00550883">
        <w:rPr>
          <w:sz w:val="26"/>
          <w:szCs w:val="26"/>
        </w:rPr>
        <w:t xml:space="preserve"> City St. No. 3R at 4-5.  </w:t>
      </w:r>
    </w:p>
  </w:footnote>
  <w:footnote w:id="37">
    <w:p w14:paraId="2372EC48" w14:textId="51F5464C" w:rsidR="00DF516E" w:rsidRPr="00D14E14" w:rsidRDefault="00DF516E" w:rsidP="00C92CD6">
      <w:pPr>
        <w:pStyle w:val="FootnoteText"/>
        <w:keepNext/>
        <w:keepLines/>
        <w:spacing w:after="120"/>
        <w:ind w:firstLine="720"/>
        <w:rPr>
          <w:sz w:val="26"/>
          <w:szCs w:val="26"/>
        </w:rPr>
      </w:pPr>
      <w:r w:rsidRPr="00D14E14">
        <w:rPr>
          <w:rStyle w:val="FootnoteReference"/>
          <w:sz w:val="26"/>
          <w:szCs w:val="26"/>
        </w:rPr>
        <w:footnoteRef/>
      </w:r>
      <w:r w:rsidRPr="00D14E14">
        <w:rPr>
          <w:sz w:val="26"/>
          <w:szCs w:val="26"/>
        </w:rPr>
        <w:t xml:space="preserve"> </w:t>
      </w:r>
      <w:r w:rsidRPr="00D14E14">
        <w:rPr>
          <w:sz w:val="26"/>
          <w:szCs w:val="26"/>
        </w:rPr>
        <w:tab/>
      </w:r>
      <w:r w:rsidRPr="006C3866">
        <w:rPr>
          <w:i/>
          <w:iCs/>
          <w:sz w:val="26"/>
          <w:szCs w:val="26"/>
        </w:rPr>
        <w:t>See</w:t>
      </w:r>
      <w:r w:rsidRPr="00D14E14">
        <w:rPr>
          <w:sz w:val="26"/>
          <w:szCs w:val="26"/>
        </w:rPr>
        <w:t xml:space="preserve"> City Exh. CEH-2R at 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302683A"/>
    <w:multiLevelType w:val="hybridMultilevel"/>
    <w:tmpl w:val="C466289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9D3D15"/>
    <w:multiLevelType w:val="hybridMultilevel"/>
    <w:tmpl w:val="10EDCE2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915BC"/>
    <w:multiLevelType w:val="hybridMultilevel"/>
    <w:tmpl w:val="E84AE054"/>
    <w:lvl w:ilvl="0" w:tplc="9B8CB90C">
      <w:start w:val="1"/>
      <w:numFmt w:val="lowerLetter"/>
      <w:pStyle w:val="Heading4"/>
      <w:lvlText w:val="%1."/>
      <w:lvlJc w:val="left"/>
      <w:pPr>
        <w:ind w:left="720" w:hanging="360"/>
      </w:pPr>
      <w:rPr>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A2108"/>
    <w:multiLevelType w:val="hybridMultilevel"/>
    <w:tmpl w:val="82624E2C"/>
    <w:lvl w:ilvl="0" w:tplc="5896F3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172758"/>
    <w:multiLevelType w:val="hybridMultilevel"/>
    <w:tmpl w:val="56546200"/>
    <w:lvl w:ilvl="0" w:tplc="365826B4">
      <w:start w:val="1"/>
      <w:numFmt w:val="decimal"/>
      <w:lvlText w:val="%1."/>
      <w:lvlJc w:val="left"/>
      <w:pPr>
        <w:tabs>
          <w:tab w:val="num" w:pos="2250"/>
        </w:tabs>
        <w:ind w:left="225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435F3EE3"/>
    <w:multiLevelType w:val="hybridMultilevel"/>
    <w:tmpl w:val="D583617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D5FED1F"/>
    <w:multiLevelType w:val="hybridMultilevel"/>
    <w:tmpl w:val="91A15BE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4B649A2"/>
    <w:multiLevelType w:val="hybridMultilevel"/>
    <w:tmpl w:val="0AE8BEEA"/>
    <w:lvl w:ilvl="0" w:tplc="98068666">
      <w:start w:val="1"/>
      <w:numFmt w:val="upperRoman"/>
      <w:pStyle w:val="Heading1"/>
      <w:lvlText w:val="%1."/>
      <w:lvlJc w:val="left"/>
      <w:pPr>
        <w:ind w:left="1080" w:hanging="720"/>
      </w:pPr>
      <w:rPr>
        <w:rFonts w:hint="default"/>
      </w:rPr>
    </w:lvl>
    <w:lvl w:ilvl="1" w:tplc="04090019">
      <w:start w:val="1"/>
      <w:numFmt w:val="lowerLetter"/>
      <w:lvlText w:val="%2."/>
      <w:lvlJc w:val="left"/>
      <w:pPr>
        <w:ind w:left="1440" w:hanging="360"/>
      </w:pPr>
    </w:lvl>
    <w:lvl w:ilvl="2" w:tplc="6204AD50">
      <w:start w:val="1"/>
      <w:numFmt w:val="upperLetter"/>
      <w:lvlText w:val="%3."/>
      <w:lvlJc w:val="left"/>
      <w:pPr>
        <w:ind w:left="2700" w:hanging="720"/>
      </w:pPr>
      <w:rPr>
        <w:rFonts w:hint="default"/>
      </w:rPr>
    </w:lvl>
    <w:lvl w:ilvl="3" w:tplc="D638DEA0">
      <w:start w:val="1"/>
      <w:numFmt w:val="decimal"/>
      <w:lvlText w:val="%4."/>
      <w:lvlJc w:val="left"/>
      <w:pPr>
        <w:ind w:left="2880" w:hanging="360"/>
      </w:pPr>
      <w:rPr>
        <w:rFonts w:hint="default"/>
      </w:rPr>
    </w:lvl>
    <w:lvl w:ilvl="4" w:tplc="2C369A4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C108B2"/>
    <w:multiLevelType w:val="hybridMultilevel"/>
    <w:tmpl w:val="4F747D00"/>
    <w:lvl w:ilvl="0" w:tplc="9A425556">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9B3919"/>
    <w:multiLevelType w:val="hybridMultilevel"/>
    <w:tmpl w:val="9530C904"/>
    <w:lvl w:ilvl="0" w:tplc="72F6D43A">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2"/>
  </w:num>
  <w:num w:numId="4">
    <w:abstractNumId w:val="9"/>
  </w:num>
  <w:num w:numId="5">
    <w:abstractNumId w:val="6"/>
  </w:num>
  <w:num w:numId="6">
    <w:abstractNumId w:val="5"/>
  </w:num>
  <w:num w:numId="7">
    <w:abstractNumId w:val="0"/>
  </w:num>
  <w:num w:numId="8">
    <w:abstractNumId w:val="1"/>
  </w:num>
  <w:num w:numId="9">
    <w:abstractNumId w:val="2"/>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2"/>
    <w:lvlOverride w:ilvl="0">
      <w:startOverride w:val="1"/>
    </w:lvlOverride>
  </w:num>
  <w:num w:numId="20">
    <w:abstractNumId w:val="9"/>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2"/>
    <w:lvlOverride w:ilvl="0">
      <w:startOverride w:val="1"/>
    </w:lvlOverride>
  </w:num>
  <w:num w:numId="24">
    <w:abstractNumId w:val="8"/>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9"/>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4"/>
  </w:num>
  <w:num w:numId="37">
    <w:abstractNumId w:val="9"/>
    <w:lvlOverride w:ilvl="0">
      <w:startOverride w:val="1"/>
    </w:lvlOverride>
  </w:num>
  <w:num w:numId="38">
    <w:abstractNumId w:val="9"/>
  </w:num>
  <w:num w:numId="39">
    <w:abstractNumId w:val="9"/>
    <w:lvlOverride w:ilvl="0">
      <w:startOverride w:val="1"/>
    </w:lvlOverride>
  </w:num>
  <w:num w:numId="40">
    <w:abstractNumId w:val="8"/>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9"/>
    <w:lvlOverride w:ilvl="0">
      <w:startOverride w:val="1"/>
    </w:lvlOverride>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690"/>
    <w:rsid w:val="00000173"/>
    <w:rsid w:val="0000029F"/>
    <w:rsid w:val="0000040B"/>
    <w:rsid w:val="00000A0E"/>
    <w:rsid w:val="00000D65"/>
    <w:rsid w:val="00000DED"/>
    <w:rsid w:val="00001381"/>
    <w:rsid w:val="000013FD"/>
    <w:rsid w:val="00002291"/>
    <w:rsid w:val="00002348"/>
    <w:rsid w:val="00002CE4"/>
    <w:rsid w:val="00002F2A"/>
    <w:rsid w:val="00002F49"/>
    <w:rsid w:val="000038D3"/>
    <w:rsid w:val="00003F5B"/>
    <w:rsid w:val="0000415E"/>
    <w:rsid w:val="00004769"/>
    <w:rsid w:val="0000477B"/>
    <w:rsid w:val="00004BC1"/>
    <w:rsid w:val="00005114"/>
    <w:rsid w:val="00005B5F"/>
    <w:rsid w:val="00005EE1"/>
    <w:rsid w:val="00005F78"/>
    <w:rsid w:val="000065F7"/>
    <w:rsid w:val="00006A8C"/>
    <w:rsid w:val="00007209"/>
    <w:rsid w:val="00007440"/>
    <w:rsid w:val="000074DC"/>
    <w:rsid w:val="00007597"/>
    <w:rsid w:val="00007888"/>
    <w:rsid w:val="0001072A"/>
    <w:rsid w:val="0001099D"/>
    <w:rsid w:val="00011506"/>
    <w:rsid w:val="000116F1"/>
    <w:rsid w:val="00011AB7"/>
    <w:rsid w:val="000123F2"/>
    <w:rsid w:val="00012897"/>
    <w:rsid w:val="00012A0E"/>
    <w:rsid w:val="00012D0C"/>
    <w:rsid w:val="00013432"/>
    <w:rsid w:val="000138C9"/>
    <w:rsid w:val="00013978"/>
    <w:rsid w:val="00013FDE"/>
    <w:rsid w:val="000142D5"/>
    <w:rsid w:val="00014828"/>
    <w:rsid w:val="0001587F"/>
    <w:rsid w:val="000158F2"/>
    <w:rsid w:val="00015A01"/>
    <w:rsid w:val="000162F1"/>
    <w:rsid w:val="000166C6"/>
    <w:rsid w:val="00016C3F"/>
    <w:rsid w:val="0001721D"/>
    <w:rsid w:val="00017E03"/>
    <w:rsid w:val="000200CE"/>
    <w:rsid w:val="0002018C"/>
    <w:rsid w:val="000201C0"/>
    <w:rsid w:val="00020552"/>
    <w:rsid w:val="000207D4"/>
    <w:rsid w:val="00020C3A"/>
    <w:rsid w:val="00020E43"/>
    <w:rsid w:val="00022D45"/>
    <w:rsid w:val="00023536"/>
    <w:rsid w:val="0002355F"/>
    <w:rsid w:val="00023A9B"/>
    <w:rsid w:val="000249A1"/>
    <w:rsid w:val="0002554A"/>
    <w:rsid w:val="00025A99"/>
    <w:rsid w:val="00026BA0"/>
    <w:rsid w:val="00026F9D"/>
    <w:rsid w:val="0002784E"/>
    <w:rsid w:val="00027C2F"/>
    <w:rsid w:val="00027EE4"/>
    <w:rsid w:val="000302BD"/>
    <w:rsid w:val="00030CE7"/>
    <w:rsid w:val="000310BE"/>
    <w:rsid w:val="0003122C"/>
    <w:rsid w:val="00031D94"/>
    <w:rsid w:val="00031DDC"/>
    <w:rsid w:val="000323A8"/>
    <w:rsid w:val="000337CA"/>
    <w:rsid w:val="00033C9A"/>
    <w:rsid w:val="00033D4C"/>
    <w:rsid w:val="00033E12"/>
    <w:rsid w:val="000341DE"/>
    <w:rsid w:val="00034CD7"/>
    <w:rsid w:val="00034EFC"/>
    <w:rsid w:val="000366D7"/>
    <w:rsid w:val="00036927"/>
    <w:rsid w:val="000369A9"/>
    <w:rsid w:val="00040396"/>
    <w:rsid w:val="00040423"/>
    <w:rsid w:val="00040D36"/>
    <w:rsid w:val="00040FA6"/>
    <w:rsid w:val="00040FFD"/>
    <w:rsid w:val="00041ED1"/>
    <w:rsid w:val="00042338"/>
    <w:rsid w:val="00042C54"/>
    <w:rsid w:val="00042E9E"/>
    <w:rsid w:val="00043182"/>
    <w:rsid w:val="000431F6"/>
    <w:rsid w:val="000438A2"/>
    <w:rsid w:val="0004587B"/>
    <w:rsid w:val="00045A7A"/>
    <w:rsid w:val="0004698C"/>
    <w:rsid w:val="00046D51"/>
    <w:rsid w:val="000477B8"/>
    <w:rsid w:val="000500B7"/>
    <w:rsid w:val="00050115"/>
    <w:rsid w:val="00050154"/>
    <w:rsid w:val="000503FD"/>
    <w:rsid w:val="000505E5"/>
    <w:rsid w:val="00051647"/>
    <w:rsid w:val="0005164D"/>
    <w:rsid w:val="00051E8F"/>
    <w:rsid w:val="0005247F"/>
    <w:rsid w:val="0005317E"/>
    <w:rsid w:val="00053709"/>
    <w:rsid w:val="00053855"/>
    <w:rsid w:val="00053CED"/>
    <w:rsid w:val="00053E7E"/>
    <w:rsid w:val="000547FF"/>
    <w:rsid w:val="000549A7"/>
    <w:rsid w:val="00055E52"/>
    <w:rsid w:val="0005602A"/>
    <w:rsid w:val="00056968"/>
    <w:rsid w:val="00057057"/>
    <w:rsid w:val="000570C3"/>
    <w:rsid w:val="0005711A"/>
    <w:rsid w:val="00057409"/>
    <w:rsid w:val="00057859"/>
    <w:rsid w:val="0006001A"/>
    <w:rsid w:val="000606AA"/>
    <w:rsid w:val="000610F9"/>
    <w:rsid w:val="00061850"/>
    <w:rsid w:val="00061E8B"/>
    <w:rsid w:val="00062518"/>
    <w:rsid w:val="0006288C"/>
    <w:rsid w:val="000629CD"/>
    <w:rsid w:val="00063028"/>
    <w:rsid w:val="000634A8"/>
    <w:rsid w:val="00064658"/>
    <w:rsid w:val="00064808"/>
    <w:rsid w:val="00065516"/>
    <w:rsid w:val="00065DB6"/>
    <w:rsid w:val="00066689"/>
    <w:rsid w:val="00067196"/>
    <w:rsid w:val="0006732F"/>
    <w:rsid w:val="000673D1"/>
    <w:rsid w:val="00067A0D"/>
    <w:rsid w:val="00067BBC"/>
    <w:rsid w:val="00070B98"/>
    <w:rsid w:val="00070BE3"/>
    <w:rsid w:val="00071064"/>
    <w:rsid w:val="00071143"/>
    <w:rsid w:val="00071A8A"/>
    <w:rsid w:val="00071AB5"/>
    <w:rsid w:val="00071FD9"/>
    <w:rsid w:val="00072BBE"/>
    <w:rsid w:val="00073000"/>
    <w:rsid w:val="00073352"/>
    <w:rsid w:val="0007345D"/>
    <w:rsid w:val="00073870"/>
    <w:rsid w:val="00073AED"/>
    <w:rsid w:val="00074336"/>
    <w:rsid w:val="0007496E"/>
    <w:rsid w:val="00074B39"/>
    <w:rsid w:val="00075210"/>
    <w:rsid w:val="00075A29"/>
    <w:rsid w:val="00075F0C"/>
    <w:rsid w:val="0007606A"/>
    <w:rsid w:val="00076856"/>
    <w:rsid w:val="00077674"/>
    <w:rsid w:val="00077F46"/>
    <w:rsid w:val="00077F69"/>
    <w:rsid w:val="0008000C"/>
    <w:rsid w:val="00080CCC"/>
    <w:rsid w:val="00081696"/>
    <w:rsid w:val="00081939"/>
    <w:rsid w:val="0008233B"/>
    <w:rsid w:val="00083188"/>
    <w:rsid w:val="0008328F"/>
    <w:rsid w:val="000832CF"/>
    <w:rsid w:val="00084237"/>
    <w:rsid w:val="00084DB9"/>
    <w:rsid w:val="00085610"/>
    <w:rsid w:val="00085E29"/>
    <w:rsid w:val="00085E45"/>
    <w:rsid w:val="0008626D"/>
    <w:rsid w:val="00086D0B"/>
    <w:rsid w:val="00087B53"/>
    <w:rsid w:val="00087D18"/>
    <w:rsid w:val="0009007E"/>
    <w:rsid w:val="00090AF0"/>
    <w:rsid w:val="00090F53"/>
    <w:rsid w:val="000910BB"/>
    <w:rsid w:val="00091989"/>
    <w:rsid w:val="00091A11"/>
    <w:rsid w:val="0009269E"/>
    <w:rsid w:val="0009281E"/>
    <w:rsid w:val="00092994"/>
    <w:rsid w:val="00092ABD"/>
    <w:rsid w:val="000930AC"/>
    <w:rsid w:val="000931E5"/>
    <w:rsid w:val="000940CD"/>
    <w:rsid w:val="00094240"/>
    <w:rsid w:val="00094552"/>
    <w:rsid w:val="0009466E"/>
    <w:rsid w:val="0009476C"/>
    <w:rsid w:val="000949EC"/>
    <w:rsid w:val="00094F3D"/>
    <w:rsid w:val="000960C3"/>
    <w:rsid w:val="00096386"/>
    <w:rsid w:val="0009690C"/>
    <w:rsid w:val="00096F18"/>
    <w:rsid w:val="00097534"/>
    <w:rsid w:val="0009763D"/>
    <w:rsid w:val="0009781B"/>
    <w:rsid w:val="000A038A"/>
    <w:rsid w:val="000A0D32"/>
    <w:rsid w:val="000A135D"/>
    <w:rsid w:val="000A1761"/>
    <w:rsid w:val="000A1B73"/>
    <w:rsid w:val="000A1EF2"/>
    <w:rsid w:val="000A2217"/>
    <w:rsid w:val="000A339A"/>
    <w:rsid w:val="000A35F4"/>
    <w:rsid w:val="000A38F7"/>
    <w:rsid w:val="000A41B3"/>
    <w:rsid w:val="000A4770"/>
    <w:rsid w:val="000A48EB"/>
    <w:rsid w:val="000A4DD0"/>
    <w:rsid w:val="000A562E"/>
    <w:rsid w:val="000A57E4"/>
    <w:rsid w:val="000A61BA"/>
    <w:rsid w:val="000A62E4"/>
    <w:rsid w:val="000A62FE"/>
    <w:rsid w:val="000A748C"/>
    <w:rsid w:val="000A7584"/>
    <w:rsid w:val="000A7A40"/>
    <w:rsid w:val="000A7CB6"/>
    <w:rsid w:val="000A7DDC"/>
    <w:rsid w:val="000A7F96"/>
    <w:rsid w:val="000B268C"/>
    <w:rsid w:val="000B2B80"/>
    <w:rsid w:val="000B2EE9"/>
    <w:rsid w:val="000B2F37"/>
    <w:rsid w:val="000B3290"/>
    <w:rsid w:val="000B34E3"/>
    <w:rsid w:val="000B3E38"/>
    <w:rsid w:val="000B465F"/>
    <w:rsid w:val="000B5941"/>
    <w:rsid w:val="000B6C19"/>
    <w:rsid w:val="000B6E81"/>
    <w:rsid w:val="000B729D"/>
    <w:rsid w:val="000B751C"/>
    <w:rsid w:val="000B79BE"/>
    <w:rsid w:val="000B7EB4"/>
    <w:rsid w:val="000C0702"/>
    <w:rsid w:val="000C08D1"/>
    <w:rsid w:val="000C4012"/>
    <w:rsid w:val="000C43F1"/>
    <w:rsid w:val="000C5298"/>
    <w:rsid w:val="000C5A41"/>
    <w:rsid w:val="000C6768"/>
    <w:rsid w:val="000C742F"/>
    <w:rsid w:val="000C74E2"/>
    <w:rsid w:val="000D03DD"/>
    <w:rsid w:val="000D055A"/>
    <w:rsid w:val="000D0A11"/>
    <w:rsid w:val="000D14E8"/>
    <w:rsid w:val="000D1FDF"/>
    <w:rsid w:val="000D22BB"/>
    <w:rsid w:val="000D2456"/>
    <w:rsid w:val="000D28A9"/>
    <w:rsid w:val="000D2EFC"/>
    <w:rsid w:val="000D2F71"/>
    <w:rsid w:val="000D3627"/>
    <w:rsid w:val="000D6C1B"/>
    <w:rsid w:val="000D7483"/>
    <w:rsid w:val="000D7B91"/>
    <w:rsid w:val="000E01B9"/>
    <w:rsid w:val="000E0327"/>
    <w:rsid w:val="000E05F3"/>
    <w:rsid w:val="000E10ED"/>
    <w:rsid w:val="000E25A1"/>
    <w:rsid w:val="000E2D88"/>
    <w:rsid w:val="000E31CD"/>
    <w:rsid w:val="000E3D4C"/>
    <w:rsid w:val="000E45FB"/>
    <w:rsid w:val="000E4BED"/>
    <w:rsid w:val="000E4C7B"/>
    <w:rsid w:val="000E4FBB"/>
    <w:rsid w:val="000E515B"/>
    <w:rsid w:val="000E54C9"/>
    <w:rsid w:val="000E570C"/>
    <w:rsid w:val="000E5BCD"/>
    <w:rsid w:val="000E7623"/>
    <w:rsid w:val="000E7668"/>
    <w:rsid w:val="000F0B9E"/>
    <w:rsid w:val="000F0D1C"/>
    <w:rsid w:val="000F0D6C"/>
    <w:rsid w:val="000F111D"/>
    <w:rsid w:val="000F11FB"/>
    <w:rsid w:val="000F1318"/>
    <w:rsid w:val="000F1730"/>
    <w:rsid w:val="000F20D9"/>
    <w:rsid w:val="000F22DA"/>
    <w:rsid w:val="000F2540"/>
    <w:rsid w:val="000F35E6"/>
    <w:rsid w:val="000F3795"/>
    <w:rsid w:val="000F384A"/>
    <w:rsid w:val="000F3896"/>
    <w:rsid w:val="000F4467"/>
    <w:rsid w:val="000F4F95"/>
    <w:rsid w:val="000F5B25"/>
    <w:rsid w:val="000F6864"/>
    <w:rsid w:val="000F6D5A"/>
    <w:rsid w:val="000F6FEE"/>
    <w:rsid w:val="000F71CC"/>
    <w:rsid w:val="000F7C29"/>
    <w:rsid w:val="000F7D0E"/>
    <w:rsid w:val="0010013C"/>
    <w:rsid w:val="00100492"/>
    <w:rsid w:val="001006F0"/>
    <w:rsid w:val="00100BA6"/>
    <w:rsid w:val="00100C1D"/>
    <w:rsid w:val="0010101D"/>
    <w:rsid w:val="001014FF"/>
    <w:rsid w:val="00101613"/>
    <w:rsid w:val="00101745"/>
    <w:rsid w:val="00102D03"/>
    <w:rsid w:val="00103322"/>
    <w:rsid w:val="0010371B"/>
    <w:rsid w:val="00103AF8"/>
    <w:rsid w:val="0010494F"/>
    <w:rsid w:val="00104CD1"/>
    <w:rsid w:val="00104D1A"/>
    <w:rsid w:val="00105084"/>
    <w:rsid w:val="00105193"/>
    <w:rsid w:val="00105544"/>
    <w:rsid w:val="00105B00"/>
    <w:rsid w:val="0010613D"/>
    <w:rsid w:val="00106537"/>
    <w:rsid w:val="0010693B"/>
    <w:rsid w:val="00106BE0"/>
    <w:rsid w:val="0010777F"/>
    <w:rsid w:val="0011101F"/>
    <w:rsid w:val="001111C2"/>
    <w:rsid w:val="001114DE"/>
    <w:rsid w:val="00111869"/>
    <w:rsid w:val="00111A44"/>
    <w:rsid w:val="00111F0F"/>
    <w:rsid w:val="001128C9"/>
    <w:rsid w:val="00112DE2"/>
    <w:rsid w:val="0011356D"/>
    <w:rsid w:val="00113B14"/>
    <w:rsid w:val="00114014"/>
    <w:rsid w:val="0011423D"/>
    <w:rsid w:val="00114D80"/>
    <w:rsid w:val="00115F84"/>
    <w:rsid w:val="001165F9"/>
    <w:rsid w:val="00116E37"/>
    <w:rsid w:val="001170DB"/>
    <w:rsid w:val="00117412"/>
    <w:rsid w:val="001174EB"/>
    <w:rsid w:val="001176C3"/>
    <w:rsid w:val="00120C5B"/>
    <w:rsid w:val="00120FCD"/>
    <w:rsid w:val="00121111"/>
    <w:rsid w:val="00121203"/>
    <w:rsid w:val="001220CA"/>
    <w:rsid w:val="00122941"/>
    <w:rsid w:val="001231CE"/>
    <w:rsid w:val="00123375"/>
    <w:rsid w:val="00123802"/>
    <w:rsid w:val="00123D21"/>
    <w:rsid w:val="00123DC6"/>
    <w:rsid w:val="00123F81"/>
    <w:rsid w:val="0012456C"/>
    <w:rsid w:val="00125627"/>
    <w:rsid w:val="00125C5F"/>
    <w:rsid w:val="00125E1D"/>
    <w:rsid w:val="001260A0"/>
    <w:rsid w:val="0012697D"/>
    <w:rsid w:val="00126FAA"/>
    <w:rsid w:val="00127E5E"/>
    <w:rsid w:val="0013015E"/>
    <w:rsid w:val="00130A7A"/>
    <w:rsid w:val="001313C3"/>
    <w:rsid w:val="00131517"/>
    <w:rsid w:val="00131A77"/>
    <w:rsid w:val="00131B43"/>
    <w:rsid w:val="0013252B"/>
    <w:rsid w:val="00132C3A"/>
    <w:rsid w:val="00133684"/>
    <w:rsid w:val="001337E4"/>
    <w:rsid w:val="00133BA6"/>
    <w:rsid w:val="00134C35"/>
    <w:rsid w:val="00134D3A"/>
    <w:rsid w:val="00134DB5"/>
    <w:rsid w:val="00135557"/>
    <w:rsid w:val="001378A9"/>
    <w:rsid w:val="00140412"/>
    <w:rsid w:val="00141760"/>
    <w:rsid w:val="00141C26"/>
    <w:rsid w:val="00141D98"/>
    <w:rsid w:val="00141E57"/>
    <w:rsid w:val="001430ED"/>
    <w:rsid w:val="001437B9"/>
    <w:rsid w:val="00143D99"/>
    <w:rsid w:val="0014407A"/>
    <w:rsid w:val="00144BF3"/>
    <w:rsid w:val="00144E73"/>
    <w:rsid w:val="00145928"/>
    <w:rsid w:val="001468F6"/>
    <w:rsid w:val="00146FD7"/>
    <w:rsid w:val="00147086"/>
    <w:rsid w:val="001501A4"/>
    <w:rsid w:val="00150989"/>
    <w:rsid w:val="00151166"/>
    <w:rsid w:val="00151D9A"/>
    <w:rsid w:val="0015245C"/>
    <w:rsid w:val="00153031"/>
    <w:rsid w:val="00153234"/>
    <w:rsid w:val="00153AE6"/>
    <w:rsid w:val="00153B73"/>
    <w:rsid w:val="00153DAD"/>
    <w:rsid w:val="00154C4F"/>
    <w:rsid w:val="001550D4"/>
    <w:rsid w:val="00155774"/>
    <w:rsid w:val="0015662E"/>
    <w:rsid w:val="0015669F"/>
    <w:rsid w:val="001568F1"/>
    <w:rsid w:val="00156BE1"/>
    <w:rsid w:val="00156E1B"/>
    <w:rsid w:val="00156EC3"/>
    <w:rsid w:val="00157319"/>
    <w:rsid w:val="0015798E"/>
    <w:rsid w:val="00157A84"/>
    <w:rsid w:val="0016005F"/>
    <w:rsid w:val="001601FC"/>
    <w:rsid w:val="00160565"/>
    <w:rsid w:val="00160622"/>
    <w:rsid w:val="001606BC"/>
    <w:rsid w:val="001608DC"/>
    <w:rsid w:val="00160AA5"/>
    <w:rsid w:val="00160B7C"/>
    <w:rsid w:val="001612D4"/>
    <w:rsid w:val="001620E4"/>
    <w:rsid w:val="00162420"/>
    <w:rsid w:val="00163AA3"/>
    <w:rsid w:val="00164401"/>
    <w:rsid w:val="0016452F"/>
    <w:rsid w:val="00164E4C"/>
    <w:rsid w:val="00164E87"/>
    <w:rsid w:val="00165945"/>
    <w:rsid w:val="00166620"/>
    <w:rsid w:val="0016722A"/>
    <w:rsid w:val="001673DD"/>
    <w:rsid w:val="00167F11"/>
    <w:rsid w:val="001702C1"/>
    <w:rsid w:val="001705A4"/>
    <w:rsid w:val="00170E17"/>
    <w:rsid w:val="00171887"/>
    <w:rsid w:val="00172C4A"/>
    <w:rsid w:val="00172EBB"/>
    <w:rsid w:val="001730AD"/>
    <w:rsid w:val="001738D5"/>
    <w:rsid w:val="00173C65"/>
    <w:rsid w:val="00174147"/>
    <w:rsid w:val="00174BC7"/>
    <w:rsid w:val="0017570D"/>
    <w:rsid w:val="001758E3"/>
    <w:rsid w:val="00175B2F"/>
    <w:rsid w:val="00175C84"/>
    <w:rsid w:val="00176413"/>
    <w:rsid w:val="0017677A"/>
    <w:rsid w:val="001778EE"/>
    <w:rsid w:val="00177A43"/>
    <w:rsid w:val="00181B65"/>
    <w:rsid w:val="001825E3"/>
    <w:rsid w:val="0018278F"/>
    <w:rsid w:val="001827DB"/>
    <w:rsid w:val="001833FA"/>
    <w:rsid w:val="00183872"/>
    <w:rsid w:val="00183C59"/>
    <w:rsid w:val="00183C90"/>
    <w:rsid w:val="001841F8"/>
    <w:rsid w:val="00184699"/>
    <w:rsid w:val="001847EC"/>
    <w:rsid w:val="00185B5E"/>
    <w:rsid w:val="00186183"/>
    <w:rsid w:val="00186371"/>
    <w:rsid w:val="001863DE"/>
    <w:rsid w:val="00186887"/>
    <w:rsid w:val="00190CD2"/>
    <w:rsid w:val="0019174A"/>
    <w:rsid w:val="00191B1A"/>
    <w:rsid w:val="00192271"/>
    <w:rsid w:val="00192EB0"/>
    <w:rsid w:val="00192EBC"/>
    <w:rsid w:val="001939C2"/>
    <w:rsid w:val="00193D5D"/>
    <w:rsid w:val="00193D64"/>
    <w:rsid w:val="001954C8"/>
    <w:rsid w:val="00196484"/>
    <w:rsid w:val="001967BB"/>
    <w:rsid w:val="0019697F"/>
    <w:rsid w:val="00196BDC"/>
    <w:rsid w:val="00197C24"/>
    <w:rsid w:val="00197F3D"/>
    <w:rsid w:val="00197FBC"/>
    <w:rsid w:val="001A024E"/>
    <w:rsid w:val="001A13ED"/>
    <w:rsid w:val="001A1EB1"/>
    <w:rsid w:val="001A29C7"/>
    <w:rsid w:val="001A2E48"/>
    <w:rsid w:val="001A2EE1"/>
    <w:rsid w:val="001A3239"/>
    <w:rsid w:val="001A4119"/>
    <w:rsid w:val="001A4728"/>
    <w:rsid w:val="001A4A0C"/>
    <w:rsid w:val="001A4C45"/>
    <w:rsid w:val="001A5010"/>
    <w:rsid w:val="001A516A"/>
    <w:rsid w:val="001A53C8"/>
    <w:rsid w:val="001A53F8"/>
    <w:rsid w:val="001A5F4A"/>
    <w:rsid w:val="001A6370"/>
    <w:rsid w:val="001A67DF"/>
    <w:rsid w:val="001A6D4A"/>
    <w:rsid w:val="001A763D"/>
    <w:rsid w:val="001B0107"/>
    <w:rsid w:val="001B0FDF"/>
    <w:rsid w:val="001B1A49"/>
    <w:rsid w:val="001B1D8A"/>
    <w:rsid w:val="001B22BE"/>
    <w:rsid w:val="001B25E6"/>
    <w:rsid w:val="001B3549"/>
    <w:rsid w:val="001B3867"/>
    <w:rsid w:val="001B3ED7"/>
    <w:rsid w:val="001B3F8D"/>
    <w:rsid w:val="001B4783"/>
    <w:rsid w:val="001B48DC"/>
    <w:rsid w:val="001B54B3"/>
    <w:rsid w:val="001B571A"/>
    <w:rsid w:val="001B60C7"/>
    <w:rsid w:val="001B6B4F"/>
    <w:rsid w:val="001B6B53"/>
    <w:rsid w:val="001B71E4"/>
    <w:rsid w:val="001B7E44"/>
    <w:rsid w:val="001C0238"/>
    <w:rsid w:val="001C0820"/>
    <w:rsid w:val="001C167C"/>
    <w:rsid w:val="001C1729"/>
    <w:rsid w:val="001C1A4D"/>
    <w:rsid w:val="001C2146"/>
    <w:rsid w:val="001C2BE6"/>
    <w:rsid w:val="001C2DA4"/>
    <w:rsid w:val="001C3135"/>
    <w:rsid w:val="001C318A"/>
    <w:rsid w:val="001C39ED"/>
    <w:rsid w:val="001C3F3A"/>
    <w:rsid w:val="001C4215"/>
    <w:rsid w:val="001C48FF"/>
    <w:rsid w:val="001C53A5"/>
    <w:rsid w:val="001C53B1"/>
    <w:rsid w:val="001C5AAD"/>
    <w:rsid w:val="001C6734"/>
    <w:rsid w:val="001C696C"/>
    <w:rsid w:val="001C6AC7"/>
    <w:rsid w:val="001C730F"/>
    <w:rsid w:val="001C732B"/>
    <w:rsid w:val="001C7C12"/>
    <w:rsid w:val="001D02A4"/>
    <w:rsid w:val="001D07C1"/>
    <w:rsid w:val="001D11B8"/>
    <w:rsid w:val="001D23E9"/>
    <w:rsid w:val="001D266F"/>
    <w:rsid w:val="001D27AE"/>
    <w:rsid w:val="001D2BAD"/>
    <w:rsid w:val="001D35E2"/>
    <w:rsid w:val="001D3602"/>
    <w:rsid w:val="001D38BD"/>
    <w:rsid w:val="001D4A1D"/>
    <w:rsid w:val="001D4D50"/>
    <w:rsid w:val="001D7058"/>
    <w:rsid w:val="001D78B7"/>
    <w:rsid w:val="001D7EBD"/>
    <w:rsid w:val="001D7F35"/>
    <w:rsid w:val="001E05C6"/>
    <w:rsid w:val="001E08F0"/>
    <w:rsid w:val="001E213B"/>
    <w:rsid w:val="001E21C3"/>
    <w:rsid w:val="001E2658"/>
    <w:rsid w:val="001E2CFB"/>
    <w:rsid w:val="001E3408"/>
    <w:rsid w:val="001E342B"/>
    <w:rsid w:val="001E3EC4"/>
    <w:rsid w:val="001E48A6"/>
    <w:rsid w:val="001E4C1C"/>
    <w:rsid w:val="001E51E9"/>
    <w:rsid w:val="001E5417"/>
    <w:rsid w:val="001E5445"/>
    <w:rsid w:val="001E5511"/>
    <w:rsid w:val="001E5B48"/>
    <w:rsid w:val="001E5D4B"/>
    <w:rsid w:val="001E6066"/>
    <w:rsid w:val="001E6480"/>
    <w:rsid w:val="001E6CA0"/>
    <w:rsid w:val="001E72CE"/>
    <w:rsid w:val="001E73AB"/>
    <w:rsid w:val="001E7F50"/>
    <w:rsid w:val="001F0488"/>
    <w:rsid w:val="001F068F"/>
    <w:rsid w:val="001F0B14"/>
    <w:rsid w:val="001F1230"/>
    <w:rsid w:val="001F1A65"/>
    <w:rsid w:val="001F22FF"/>
    <w:rsid w:val="001F2321"/>
    <w:rsid w:val="001F23DB"/>
    <w:rsid w:val="001F2A13"/>
    <w:rsid w:val="001F2BD2"/>
    <w:rsid w:val="001F2D5E"/>
    <w:rsid w:val="001F3EFC"/>
    <w:rsid w:val="001F4060"/>
    <w:rsid w:val="001F433A"/>
    <w:rsid w:val="001F55D5"/>
    <w:rsid w:val="001F5E0B"/>
    <w:rsid w:val="001F6138"/>
    <w:rsid w:val="001F6B1A"/>
    <w:rsid w:val="001F71E9"/>
    <w:rsid w:val="001F7640"/>
    <w:rsid w:val="001F794B"/>
    <w:rsid w:val="001F7B55"/>
    <w:rsid w:val="001F7F5F"/>
    <w:rsid w:val="002005B0"/>
    <w:rsid w:val="002007B5"/>
    <w:rsid w:val="002013B2"/>
    <w:rsid w:val="00201CF3"/>
    <w:rsid w:val="00201E09"/>
    <w:rsid w:val="00201F63"/>
    <w:rsid w:val="00202635"/>
    <w:rsid w:val="0020440E"/>
    <w:rsid w:val="00204C43"/>
    <w:rsid w:val="00204F07"/>
    <w:rsid w:val="002054CA"/>
    <w:rsid w:val="00205839"/>
    <w:rsid w:val="00206720"/>
    <w:rsid w:val="0020694F"/>
    <w:rsid w:val="00206A2D"/>
    <w:rsid w:val="00206C74"/>
    <w:rsid w:val="00206D32"/>
    <w:rsid w:val="0020771F"/>
    <w:rsid w:val="00207F42"/>
    <w:rsid w:val="00210953"/>
    <w:rsid w:val="00210B26"/>
    <w:rsid w:val="00210EBA"/>
    <w:rsid w:val="00211405"/>
    <w:rsid w:val="00211442"/>
    <w:rsid w:val="00211588"/>
    <w:rsid w:val="00211B98"/>
    <w:rsid w:val="00211BE8"/>
    <w:rsid w:val="002121F2"/>
    <w:rsid w:val="00212C19"/>
    <w:rsid w:val="00213024"/>
    <w:rsid w:val="00213B95"/>
    <w:rsid w:val="00213D45"/>
    <w:rsid w:val="0021436A"/>
    <w:rsid w:val="00214830"/>
    <w:rsid w:val="002158D0"/>
    <w:rsid w:val="00215F5E"/>
    <w:rsid w:val="002161E3"/>
    <w:rsid w:val="0021645F"/>
    <w:rsid w:val="002165C9"/>
    <w:rsid w:val="00217A24"/>
    <w:rsid w:val="00217AC0"/>
    <w:rsid w:val="00217C4E"/>
    <w:rsid w:val="00217D46"/>
    <w:rsid w:val="00217E3D"/>
    <w:rsid w:val="00220CE0"/>
    <w:rsid w:val="00221475"/>
    <w:rsid w:val="00221C10"/>
    <w:rsid w:val="0022223E"/>
    <w:rsid w:val="00222BBB"/>
    <w:rsid w:val="0022301F"/>
    <w:rsid w:val="002234B5"/>
    <w:rsid w:val="002235CE"/>
    <w:rsid w:val="002238B5"/>
    <w:rsid w:val="002242F7"/>
    <w:rsid w:val="00224565"/>
    <w:rsid w:val="00224B35"/>
    <w:rsid w:val="00225BD2"/>
    <w:rsid w:val="00225C83"/>
    <w:rsid w:val="00226C4F"/>
    <w:rsid w:val="00227329"/>
    <w:rsid w:val="0022734C"/>
    <w:rsid w:val="0022772C"/>
    <w:rsid w:val="002278A7"/>
    <w:rsid w:val="00230396"/>
    <w:rsid w:val="00230BAB"/>
    <w:rsid w:val="00230C61"/>
    <w:rsid w:val="00230E37"/>
    <w:rsid w:val="002312FC"/>
    <w:rsid w:val="00231BED"/>
    <w:rsid w:val="00232671"/>
    <w:rsid w:val="002330BF"/>
    <w:rsid w:val="002331D4"/>
    <w:rsid w:val="0023396C"/>
    <w:rsid w:val="00233E2F"/>
    <w:rsid w:val="00234178"/>
    <w:rsid w:val="0023461E"/>
    <w:rsid w:val="002350C8"/>
    <w:rsid w:val="0023535F"/>
    <w:rsid w:val="00235949"/>
    <w:rsid w:val="00235D66"/>
    <w:rsid w:val="002368F3"/>
    <w:rsid w:val="00237CB3"/>
    <w:rsid w:val="00237E9A"/>
    <w:rsid w:val="002400EB"/>
    <w:rsid w:val="00240D70"/>
    <w:rsid w:val="00241B87"/>
    <w:rsid w:val="002423C7"/>
    <w:rsid w:val="002430F3"/>
    <w:rsid w:val="002435E3"/>
    <w:rsid w:val="002449A0"/>
    <w:rsid w:val="0024557D"/>
    <w:rsid w:val="00245A68"/>
    <w:rsid w:val="00246C7B"/>
    <w:rsid w:val="0024751F"/>
    <w:rsid w:val="00247606"/>
    <w:rsid w:val="00247BB1"/>
    <w:rsid w:val="002501D2"/>
    <w:rsid w:val="00251198"/>
    <w:rsid w:val="0025141A"/>
    <w:rsid w:val="0025173B"/>
    <w:rsid w:val="00251D00"/>
    <w:rsid w:val="00251F9B"/>
    <w:rsid w:val="002520C7"/>
    <w:rsid w:val="002521B4"/>
    <w:rsid w:val="00252D64"/>
    <w:rsid w:val="00252D9D"/>
    <w:rsid w:val="00252E14"/>
    <w:rsid w:val="002533FB"/>
    <w:rsid w:val="00253A84"/>
    <w:rsid w:val="00253F2A"/>
    <w:rsid w:val="00253F56"/>
    <w:rsid w:val="00253FD2"/>
    <w:rsid w:val="00254759"/>
    <w:rsid w:val="002554CF"/>
    <w:rsid w:val="00255A6D"/>
    <w:rsid w:val="00256382"/>
    <w:rsid w:val="0025659B"/>
    <w:rsid w:val="0025691E"/>
    <w:rsid w:val="00256A4C"/>
    <w:rsid w:val="00256A84"/>
    <w:rsid w:val="00256C1B"/>
    <w:rsid w:val="0025732A"/>
    <w:rsid w:val="002579E8"/>
    <w:rsid w:val="00260041"/>
    <w:rsid w:val="002603D9"/>
    <w:rsid w:val="00260547"/>
    <w:rsid w:val="002605CA"/>
    <w:rsid w:val="0026067F"/>
    <w:rsid w:val="0026080C"/>
    <w:rsid w:val="00260A97"/>
    <w:rsid w:val="00260CDE"/>
    <w:rsid w:val="0026134F"/>
    <w:rsid w:val="002615AE"/>
    <w:rsid w:val="0026191C"/>
    <w:rsid w:val="00263EDB"/>
    <w:rsid w:val="00264618"/>
    <w:rsid w:val="00264A20"/>
    <w:rsid w:val="00264ABB"/>
    <w:rsid w:val="00264FEB"/>
    <w:rsid w:val="00265501"/>
    <w:rsid w:val="00265536"/>
    <w:rsid w:val="00265D24"/>
    <w:rsid w:val="00266167"/>
    <w:rsid w:val="00266827"/>
    <w:rsid w:val="00266E89"/>
    <w:rsid w:val="00267C79"/>
    <w:rsid w:val="00267CA4"/>
    <w:rsid w:val="00267DE6"/>
    <w:rsid w:val="00270D33"/>
    <w:rsid w:val="00272387"/>
    <w:rsid w:val="00272A33"/>
    <w:rsid w:val="00272A77"/>
    <w:rsid w:val="00272D83"/>
    <w:rsid w:val="0027313B"/>
    <w:rsid w:val="002731BE"/>
    <w:rsid w:val="002731E4"/>
    <w:rsid w:val="00273B62"/>
    <w:rsid w:val="00274284"/>
    <w:rsid w:val="00274861"/>
    <w:rsid w:val="00274964"/>
    <w:rsid w:val="00274BBF"/>
    <w:rsid w:val="00275124"/>
    <w:rsid w:val="002751AE"/>
    <w:rsid w:val="002753CE"/>
    <w:rsid w:val="00275807"/>
    <w:rsid w:val="00275B97"/>
    <w:rsid w:val="00277004"/>
    <w:rsid w:val="002770B4"/>
    <w:rsid w:val="002778EE"/>
    <w:rsid w:val="0028097F"/>
    <w:rsid w:val="00281A4F"/>
    <w:rsid w:val="00281B36"/>
    <w:rsid w:val="00281C25"/>
    <w:rsid w:val="00281D3B"/>
    <w:rsid w:val="0028264D"/>
    <w:rsid w:val="002826C5"/>
    <w:rsid w:val="00282B41"/>
    <w:rsid w:val="00282D52"/>
    <w:rsid w:val="0028339F"/>
    <w:rsid w:val="002834FD"/>
    <w:rsid w:val="002836FA"/>
    <w:rsid w:val="002838E3"/>
    <w:rsid w:val="00284204"/>
    <w:rsid w:val="002843E3"/>
    <w:rsid w:val="00284E29"/>
    <w:rsid w:val="00285550"/>
    <w:rsid w:val="00285919"/>
    <w:rsid w:val="00285EB8"/>
    <w:rsid w:val="0028615A"/>
    <w:rsid w:val="002863A0"/>
    <w:rsid w:val="00286887"/>
    <w:rsid w:val="00286989"/>
    <w:rsid w:val="00286D69"/>
    <w:rsid w:val="00286EE2"/>
    <w:rsid w:val="00286F7C"/>
    <w:rsid w:val="002873C5"/>
    <w:rsid w:val="00287BE6"/>
    <w:rsid w:val="00287C6C"/>
    <w:rsid w:val="00287DDC"/>
    <w:rsid w:val="002900DF"/>
    <w:rsid w:val="0029085A"/>
    <w:rsid w:val="002909AF"/>
    <w:rsid w:val="00290E28"/>
    <w:rsid w:val="00290FBE"/>
    <w:rsid w:val="0029156C"/>
    <w:rsid w:val="002916A0"/>
    <w:rsid w:val="00291ADD"/>
    <w:rsid w:val="002928CD"/>
    <w:rsid w:val="002931D9"/>
    <w:rsid w:val="00293920"/>
    <w:rsid w:val="002942DA"/>
    <w:rsid w:val="002945CA"/>
    <w:rsid w:val="002948E1"/>
    <w:rsid w:val="002958B5"/>
    <w:rsid w:val="00295962"/>
    <w:rsid w:val="00296612"/>
    <w:rsid w:val="00296D02"/>
    <w:rsid w:val="00296EA7"/>
    <w:rsid w:val="00297030"/>
    <w:rsid w:val="002975F2"/>
    <w:rsid w:val="0029779D"/>
    <w:rsid w:val="00297C2E"/>
    <w:rsid w:val="002A07B1"/>
    <w:rsid w:val="002A0954"/>
    <w:rsid w:val="002A1B5F"/>
    <w:rsid w:val="002A1C25"/>
    <w:rsid w:val="002A1E1B"/>
    <w:rsid w:val="002A248C"/>
    <w:rsid w:val="002A25E8"/>
    <w:rsid w:val="002A2A68"/>
    <w:rsid w:val="002A2A70"/>
    <w:rsid w:val="002A2DF0"/>
    <w:rsid w:val="002A31D7"/>
    <w:rsid w:val="002A3647"/>
    <w:rsid w:val="002A3A6E"/>
    <w:rsid w:val="002A3AC8"/>
    <w:rsid w:val="002A41BE"/>
    <w:rsid w:val="002A4A46"/>
    <w:rsid w:val="002A4B76"/>
    <w:rsid w:val="002A533A"/>
    <w:rsid w:val="002A53EA"/>
    <w:rsid w:val="002A55E1"/>
    <w:rsid w:val="002A55F2"/>
    <w:rsid w:val="002A5B9B"/>
    <w:rsid w:val="002A63DE"/>
    <w:rsid w:val="002A669F"/>
    <w:rsid w:val="002A66C8"/>
    <w:rsid w:val="002A6C18"/>
    <w:rsid w:val="002A6C1F"/>
    <w:rsid w:val="002A6F9C"/>
    <w:rsid w:val="002A71F9"/>
    <w:rsid w:val="002A732A"/>
    <w:rsid w:val="002A740E"/>
    <w:rsid w:val="002B0C7E"/>
    <w:rsid w:val="002B1475"/>
    <w:rsid w:val="002B17F1"/>
    <w:rsid w:val="002B1D0E"/>
    <w:rsid w:val="002B2A68"/>
    <w:rsid w:val="002B332A"/>
    <w:rsid w:val="002B3767"/>
    <w:rsid w:val="002B3808"/>
    <w:rsid w:val="002B38D2"/>
    <w:rsid w:val="002B3979"/>
    <w:rsid w:val="002B472E"/>
    <w:rsid w:val="002B4B0D"/>
    <w:rsid w:val="002B4B12"/>
    <w:rsid w:val="002B4DED"/>
    <w:rsid w:val="002B553D"/>
    <w:rsid w:val="002B574E"/>
    <w:rsid w:val="002B66D1"/>
    <w:rsid w:val="002B6F49"/>
    <w:rsid w:val="002B75C7"/>
    <w:rsid w:val="002B7B55"/>
    <w:rsid w:val="002C0012"/>
    <w:rsid w:val="002C011D"/>
    <w:rsid w:val="002C0C85"/>
    <w:rsid w:val="002C115E"/>
    <w:rsid w:val="002C1218"/>
    <w:rsid w:val="002C1305"/>
    <w:rsid w:val="002C19D9"/>
    <w:rsid w:val="002C1CA4"/>
    <w:rsid w:val="002C32B2"/>
    <w:rsid w:val="002C40F1"/>
    <w:rsid w:val="002C4BF6"/>
    <w:rsid w:val="002C4F46"/>
    <w:rsid w:val="002C5653"/>
    <w:rsid w:val="002C5D97"/>
    <w:rsid w:val="002C5DAD"/>
    <w:rsid w:val="002C5E13"/>
    <w:rsid w:val="002C5EE0"/>
    <w:rsid w:val="002C5FFD"/>
    <w:rsid w:val="002C6BD7"/>
    <w:rsid w:val="002C6E17"/>
    <w:rsid w:val="002C79AC"/>
    <w:rsid w:val="002C7DF3"/>
    <w:rsid w:val="002D00EE"/>
    <w:rsid w:val="002D01F7"/>
    <w:rsid w:val="002D0548"/>
    <w:rsid w:val="002D088D"/>
    <w:rsid w:val="002D0B6B"/>
    <w:rsid w:val="002D1465"/>
    <w:rsid w:val="002D1892"/>
    <w:rsid w:val="002D2D30"/>
    <w:rsid w:val="002D2E32"/>
    <w:rsid w:val="002D34A4"/>
    <w:rsid w:val="002D3EE5"/>
    <w:rsid w:val="002D43F8"/>
    <w:rsid w:val="002D4639"/>
    <w:rsid w:val="002D4804"/>
    <w:rsid w:val="002D5A50"/>
    <w:rsid w:val="002D5C5B"/>
    <w:rsid w:val="002D6210"/>
    <w:rsid w:val="002D650D"/>
    <w:rsid w:val="002D6784"/>
    <w:rsid w:val="002D70CE"/>
    <w:rsid w:val="002D716A"/>
    <w:rsid w:val="002D758F"/>
    <w:rsid w:val="002D7778"/>
    <w:rsid w:val="002D78D7"/>
    <w:rsid w:val="002E00E4"/>
    <w:rsid w:val="002E035D"/>
    <w:rsid w:val="002E0503"/>
    <w:rsid w:val="002E0A09"/>
    <w:rsid w:val="002E1177"/>
    <w:rsid w:val="002E16FC"/>
    <w:rsid w:val="002E1FA0"/>
    <w:rsid w:val="002E21DB"/>
    <w:rsid w:val="002E2586"/>
    <w:rsid w:val="002E2908"/>
    <w:rsid w:val="002E3045"/>
    <w:rsid w:val="002E491C"/>
    <w:rsid w:val="002E4FE9"/>
    <w:rsid w:val="002E54FC"/>
    <w:rsid w:val="002E5790"/>
    <w:rsid w:val="002E6846"/>
    <w:rsid w:val="002E6E40"/>
    <w:rsid w:val="002E6EE9"/>
    <w:rsid w:val="002E6FD6"/>
    <w:rsid w:val="002E702F"/>
    <w:rsid w:val="002E71C7"/>
    <w:rsid w:val="002E7769"/>
    <w:rsid w:val="002F00D4"/>
    <w:rsid w:val="002F04AB"/>
    <w:rsid w:val="002F0636"/>
    <w:rsid w:val="002F0A6D"/>
    <w:rsid w:val="002F0ADE"/>
    <w:rsid w:val="002F0CED"/>
    <w:rsid w:val="002F0D44"/>
    <w:rsid w:val="002F1820"/>
    <w:rsid w:val="002F1870"/>
    <w:rsid w:val="002F1A7D"/>
    <w:rsid w:val="002F1C1D"/>
    <w:rsid w:val="002F2390"/>
    <w:rsid w:val="002F2CEF"/>
    <w:rsid w:val="002F31B9"/>
    <w:rsid w:val="002F4DCE"/>
    <w:rsid w:val="002F4E84"/>
    <w:rsid w:val="002F52CB"/>
    <w:rsid w:val="002F5424"/>
    <w:rsid w:val="002F5D1D"/>
    <w:rsid w:val="002F6817"/>
    <w:rsid w:val="002F6E7D"/>
    <w:rsid w:val="002F714D"/>
    <w:rsid w:val="002F7759"/>
    <w:rsid w:val="002F7D61"/>
    <w:rsid w:val="00300ABE"/>
    <w:rsid w:val="00300B7B"/>
    <w:rsid w:val="00301039"/>
    <w:rsid w:val="00301667"/>
    <w:rsid w:val="0030177D"/>
    <w:rsid w:val="00301857"/>
    <w:rsid w:val="00302000"/>
    <w:rsid w:val="00303C86"/>
    <w:rsid w:val="00303C9B"/>
    <w:rsid w:val="00304ABF"/>
    <w:rsid w:val="00304E14"/>
    <w:rsid w:val="00305077"/>
    <w:rsid w:val="0030541E"/>
    <w:rsid w:val="00305849"/>
    <w:rsid w:val="003061BC"/>
    <w:rsid w:val="0030673A"/>
    <w:rsid w:val="0030758B"/>
    <w:rsid w:val="00307655"/>
    <w:rsid w:val="00310004"/>
    <w:rsid w:val="00310985"/>
    <w:rsid w:val="0031153E"/>
    <w:rsid w:val="00311E19"/>
    <w:rsid w:val="003127E4"/>
    <w:rsid w:val="00312BAD"/>
    <w:rsid w:val="00312E08"/>
    <w:rsid w:val="00313142"/>
    <w:rsid w:val="00313907"/>
    <w:rsid w:val="003139BA"/>
    <w:rsid w:val="003143DF"/>
    <w:rsid w:val="003154F1"/>
    <w:rsid w:val="00315530"/>
    <w:rsid w:val="003158CE"/>
    <w:rsid w:val="00315E9B"/>
    <w:rsid w:val="00315EE2"/>
    <w:rsid w:val="00316333"/>
    <w:rsid w:val="00316BFA"/>
    <w:rsid w:val="003170BF"/>
    <w:rsid w:val="00317685"/>
    <w:rsid w:val="003177A0"/>
    <w:rsid w:val="00320123"/>
    <w:rsid w:val="0032095D"/>
    <w:rsid w:val="003211A5"/>
    <w:rsid w:val="003218DD"/>
    <w:rsid w:val="003222CA"/>
    <w:rsid w:val="00322A65"/>
    <w:rsid w:val="00322CF3"/>
    <w:rsid w:val="00322E2B"/>
    <w:rsid w:val="00322E9E"/>
    <w:rsid w:val="00323D07"/>
    <w:rsid w:val="00323FC4"/>
    <w:rsid w:val="00324F0A"/>
    <w:rsid w:val="00324FDF"/>
    <w:rsid w:val="00324FFA"/>
    <w:rsid w:val="003255BF"/>
    <w:rsid w:val="00326360"/>
    <w:rsid w:val="00326A17"/>
    <w:rsid w:val="00326EBF"/>
    <w:rsid w:val="00326F68"/>
    <w:rsid w:val="00327059"/>
    <w:rsid w:val="00327830"/>
    <w:rsid w:val="00327A6E"/>
    <w:rsid w:val="00327F7F"/>
    <w:rsid w:val="003301EB"/>
    <w:rsid w:val="00330CE9"/>
    <w:rsid w:val="00332117"/>
    <w:rsid w:val="00332761"/>
    <w:rsid w:val="00332826"/>
    <w:rsid w:val="0033282C"/>
    <w:rsid w:val="00332DCF"/>
    <w:rsid w:val="003336F9"/>
    <w:rsid w:val="00334051"/>
    <w:rsid w:val="0033431D"/>
    <w:rsid w:val="00335370"/>
    <w:rsid w:val="0033546C"/>
    <w:rsid w:val="00336900"/>
    <w:rsid w:val="00336E97"/>
    <w:rsid w:val="00337567"/>
    <w:rsid w:val="003378C8"/>
    <w:rsid w:val="00337CD8"/>
    <w:rsid w:val="00337DFD"/>
    <w:rsid w:val="0034005A"/>
    <w:rsid w:val="00340C45"/>
    <w:rsid w:val="003411AE"/>
    <w:rsid w:val="0034172A"/>
    <w:rsid w:val="0034177E"/>
    <w:rsid w:val="003418BF"/>
    <w:rsid w:val="00341D78"/>
    <w:rsid w:val="003422C6"/>
    <w:rsid w:val="0034248C"/>
    <w:rsid w:val="0034365C"/>
    <w:rsid w:val="003436C2"/>
    <w:rsid w:val="00343BD1"/>
    <w:rsid w:val="00344C68"/>
    <w:rsid w:val="00344C92"/>
    <w:rsid w:val="00345135"/>
    <w:rsid w:val="00346260"/>
    <w:rsid w:val="00346337"/>
    <w:rsid w:val="0034798F"/>
    <w:rsid w:val="00347D4C"/>
    <w:rsid w:val="00347FB4"/>
    <w:rsid w:val="00350024"/>
    <w:rsid w:val="00350145"/>
    <w:rsid w:val="00350FFA"/>
    <w:rsid w:val="00352B24"/>
    <w:rsid w:val="0035379E"/>
    <w:rsid w:val="00353BD2"/>
    <w:rsid w:val="00353E07"/>
    <w:rsid w:val="00353E24"/>
    <w:rsid w:val="003540E2"/>
    <w:rsid w:val="00354127"/>
    <w:rsid w:val="00354341"/>
    <w:rsid w:val="003550FF"/>
    <w:rsid w:val="003551C4"/>
    <w:rsid w:val="00355699"/>
    <w:rsid w:val="00356CCA"/>
    <w:rsid w:val="00357DCA"/>
    <w:rsid w:val="0036013A"/>
    <w:rsid w:val="00360D84"/>
    <w:rsid w:val="0036249D"/>
    <w:rsid w:val="00362969"/>
    <w:rsid w:val="00363489"/>
    <w:rsid w:val="0036428E"/>
    <w:rsid w:val="003643A3"/>
    <w:rsid w:val="00364C2A"/>
    <w:rsid w:val="00364F5A"/>
    <w:rsid w:val="00365293"/>
    <w:rsid w:val="0036564B"/>
    <w:rsid w:val="00365AAC"/>
    <w:rsid w:val="00365D78"/>
    <w:rsid w:val="00366111"/>
    <w:rsid w:val="00366601"/>
    <w:rsid w:val="00366733"/>
    <w:rsid w:val="003669C8"/>
    <w:rsid w:val="00366C7B"/>
    <w:rsid w:val="00367C68"/>
    <w:rsid w:val="00367FAB"/>
    <w:rsid w:val="0037012B"/>
    <w:rsid w:val="003704B1"/>
    <w:rsid w:val="003708CD"/>
    <w:rsid w:val="00370F2A"/>
    <w:rsid w:val="0037126A"/>
    <w:rsid w:val="00371AB2"/>
    <w:rsid w:val="00372B03"/>
    <w:rsid w:val="00372BBC"/>
    <w:rsid w:val="0037374E"/>
    <w:rsid w:val="00373E01"/>
    <w:rsid w:val="00373F74"/>
    <w:rsid w:val="003742CF"/>
    <w:rsid w:val="00374344"/>
    <w:rsid w:val="00374407"/>
    <w:rsid w:val="00375080"/>
    <w:rsid w:val="003751E6"/>
    <w:rsid w:val="003752E0"/>
    <w:rsid w:val="00375475"/>
    <w:rsid w:val="003756EE"/>
    <w:rsid w:val="00376845"/>
    <w:rsid w:val="0037692B"/>
    <w:rsid w:val="00376AB7"/>
    <w:rsid w:val="00376C3D"/>
    <w:rsid w:val="0037775F"/>
    <w:rsid w:val="0038003E"/>
    <w:rsid w:val="003806A7"/>
    <w:rsid w:val="00380889"/>
    <w:rsid w:val="003808DA"/>
    <w:rsid w:val="003810F1"/>
    <w:rsid w:val="0038121C"/>
    <w:rsid w:val="00381260"/>
    <w:rsid w:val="003813B6"/>
    <w:rsid w:val="003815FD"/>
    <w:rsid w:val="00381666"/>
    <w:rsid w:val="00381C7A"/>
    <w:rsid w:val="00381EE0"/>
    <w:rsid w:val="00382A4B"/>
    <w:rsid w:val="00382B0D"/>
    <w:rsid w:val="0038314E"/>
    <w:rsid w:val="00383539"/>
    <w:rsid w:val="0038495C"/>
    <w:rsid w:val="00384D26"/>
    <w:rsid w:val="00385190"/>
    <w:rsid w:val="00385595"/>
    <w:rsid w:val="00385A04"/>
    <w:rsid w:val="00385E73"/>
    <w:rsid w:val="0038698E"/>
    <w:rsid w:val="00387154"/>
    <w:rsid w:val="0039070D"/>
    <w:rsid w:val="00390771"/>
    <w:rsid w:val="00390901"/>
    <w:rsid w:val="00390FB3"/>
    <w:rsid w:val="003928DC"/>
    <w:rsid w:val="00392C45"/>
    <w:rsid w:val="003938A0"/>
    <w:rsid w:val="003939F3"/>
    <w:rsid w:val="00394901"/>
    <w:rsid w:val="00394B8E"/>
    <w:rsid w:val="00395446"/>
    <w:rsid w:val="003958B9"/>
    <w:rsid w:val="003963ED"/>
    <w:rsid w:val="00396E0C"/>
    <w:rsid w:val="003970FE"/>
    <w:rsid w:val="003974E3"/>
    <w:rsid w:val="0039757E"/>
    <w:rsid w:val="003977DD"/>
    <w:rsid w:val="00397A8B"/>
    <w:rsid w:val="00397DE1"/>
    <w:rsid w:val="003A0289"/>
    <w:rsid w:val="003A02A4"/>
    <w:rsid w:val="003A05A4"/>
    <w:rsid w:val="003A14BF"/>
    <w:rsid w:val="003A1A53"/>
    <w:rsid w:val="003A1BF7"/>
    <w:rsid w:val="003A2A03"/>
    <w:rsid w:val="003A34C8"/>
    <w:rsid w:val="003A383D"/>
    <w:rsid w:val="003A3888"/>
    <w:rsid w:val="003A4DDC"/>
    <w:rsid w:val="003A4F76"/>
    <w:rsid w:val="003A5056"/>
    <w:rsid w:val="003A50AE"/>
    <w:rsid w:val="003A5385"/>
    <w:rsid w:val="003A6BB1"/>
    <w:rsid w:val="003A7519"/>
    <w:rsid w:val="003A79A7"/>
    <w:rsid w:val="003B0746"/>
    <w:rsid w:val="003B0F4C"/>
    <w:rsid w:val="003B123E"/>
    <w:rsid w:val="003B1282"/>
    <w:rsid w:val="003B1460"/>
    <w:rsid w:val="003B169F"/>
    <w:rsid w:val="003B1BF8"/>
    <w:rsid w:val="003B2536"/>
    <w:rsid w:val="003B25FB"/>
    <w:rsid w:val="003B2A45"/>
    <w:rsid w:val="003B2E37"/>
    <w:rsid w:val="003B3721"/>
    <w:rsid w:val="003B3893"/>
    <w:rsid w:val="003B3C45"/>
    <w:rsid w:val="003B3CEA"/>
    <w:rsid w:val="003B3F33"/>
    <w:rsid w:val="003B44CD"/>
    <w:rsid w:val="003B4F5A"/>
    <w:rsid w:val="003B50A0"/>
    <w:rsid w:val="003B55BA"/>
    <w:rsid w:val="003B561F"/>
    <w:rsid w:val="003B57B9"/>
    <w:rsid w:val="003B6A0D"/>
    <w:rsid w:val="003B6AF5"/>
    <w:rsid w:val="003B6DF8"/>
    <w:rsid w:val="003B6F63"/>
    <w:rsid w:val="003B72ED"/>
    <w:rsid w:val="003B7389"/>
    <w:rsid w:val="003C042A"/>
    <w:rsid w:val="003C0C8C"/>
    <w:rsid w:val="003C0DCF"/>
    <w:rsid w:val="003C0F72"/>
    <w:rsid w:val="003C135E"/>
    <w:rsid w:val="003C15E3"/>
    <w:rsid w:val="003C1EEB"/>
    <w:rsid w:val="003C2092"/>
    <w:rsid w:val="003C361A"/>
    <w:rsid w:val="003C3797"/>
    <w:rsid w:val="003C3EB7"/>
    <w:rsid w:val="003C4355"/>
    <w:rsid w:val="003C5CBD"/>
    <w:rsid w:val="003C6085"/>
    <w:rsid w:val="003C61AD"/>
    <w:rsid w:val="003C627D"/>
    <w:rsid w:val="003C6715"/>
    <w:rsid w:val="003C6981"/>
    <w:rsid w:val="003C7124"/>
    <w:rsid w:val="003C74BE"/>
    <w:rsid w:val="003C74C3"/>
    <w:rsid w:val="003C757B"/>
    <w:rsid w:val="003D0186"/>
    <w:rsid w:val="003D0193"/>
    <w:rsid w:val="003D05E0"/>
    <w:rsid w:val="003D1299"/>
    <w:rsid w:val="003D1A9A"/>
    <w:rsid w:val="003D234C"/>
    <w:rsid w:val="003D3926"/>
    <w:rsid w:val="003D3A3D"/>
    <w:rsid w:val="003D3AAC"/>
    <w:rsid w:val="003D3B4D"/>
    <w:rsid w:val="003D4087"/>
    <w:rsid w:val="003D4436"/>
    <w:rsid w:val="003D4638"/>
    <w:rsid w:val="003D4A2A"/>
    <w:rsid w:val="003D4DCA"/>
    <w:rsid w:val="003D509A"/>
    <w:rsid w:val="003D58BA"/>
    <w:rsid w:val="003D6098"/>
    <w:rsid w:val="003D69B9"/>
    <w:rsid w:val="003D6EC0"/>
    <w:rsid w:val="003D743E"/>
    <w:rsid w:val="003D7A8D"/>
    <w:rsid w:val="003D7A99"/>
    <w:rsid w:val="003E04B7"/>
    <w:rsid w:val="003E1227"/>
    <w:rsid w:val="003E1643"/>
    <w:rsid w:val="003E18C8"/>
    <w:rsid w:val="003E201D"/>
    <w:rsid w:val="003E22CB"/>
    <w:rsid w:val="003E266B"/>
    <w:rsid w:val="003E295F"/>
    <w:rsid w:val="003E2EAB"/>
    <w:rsid w:val="003E3836"/>
    <w:rsid w:val="003E3BE6"/>
    <w:rsid w:val="003E405A"/>
    <w:rsid w:val="003E519B"/>
    <w:rsid w:val="003E640B"/>
    <w:rsid w:val="003E64F3"/>
    <w:rsid w:val="003E6544"/>
    <w:rsid w:val="003E73B1"/>
    <w:rsid w:val="003E771C"/>
    <w:rsid w:val="003E784C"/>
    <w:rsid w:val="003F0406"/>
    <w:rsid w:val="003F04B8"/>
    <w:rsid w:val="003F07AF"/>
    <w:rsid w:val="003F08B3"/>
    <w:rsid w:val="003F19BF"/>
    <w:rsid w:val="003F1EC6"/>
    <w:rsid w:val="003F27D1"/>
    <w:rsid w:val="003F287E"/>
    <w:rsid w:val="003F2D8D"/>
    <w:rsid w:val="003F49C4"/>
    <w:rsid w:val="003F4B66"/>
    <w:rsid w:val="003F531B"/>
    <w:rsid w:val="003F5D30"/>
    <w:rsid w:val="003F5F8C"/>
    <w:rsid w:val="003F7000"/>
    <w:rsid w:val="003F77B4"/>
    <w:rsid w:val="00400A85"/>
    <w:rsid w:val="0040121B"/>
    <w:rsid w:val="00401247"/>
    <w:rsid w:val="0040153E"/>
    <w:rsid w:val="004015D1"/>
    <w:rsid w:val="004019EB"/>
    <w:rsid w:val="00401D44"/>
    <w:rsid w:val="004023F4"/>
    <w:rsid w:val="00402479"/>
    <w:rsid w:val="00402E10"/>
    <w:rsid w:val="00403550"/>
    <w:rsid w:val="004036E9"/>
    <w:rsid w:val="0040413B"/>
    <w:rsid w:val="00404D47"/>
    <w:rsid w:val="0040575F"/>
    <w:rsid w:val="004057BD"/>
    <w:rsid w:val="00405DA5"/>
    <w:rsid w:val="00406562"/>
    <w:rsid w:val="0040659A"/>
    <w:rsid w:val="0040785C"/>
    <w:rsid w:val="00407F5C"/>
    <w:rsid w:val="0041052A"/>
    <w:rsid w:val="0041092B"/>
    <w:rsid w:val="00410A41"/>
    <w:rsid w:val="004113DE"/>
    <w:rsid w:val="00411CC6"/>
    <w:rsid w:val="00412346"/>
    <w:rsid w:val="00412DCF"/>
    <w:rsid w:val="0041411E"/>
    <w:rsid w:val="004144EE"/>
    <w:rsid w:val="004146BE"/>
    <w:rsid w:val="00414855"/>
    <w:rsid w:val="004150B6"/>
    <w:rsid w:val="004152E6"/>
    <w:rsid w:val="00415460"/>
    <w:rsid w:val="00415483"/>
    <w:rsid w:val="00416865"/>
    <w:rsid w:val="00416BB1"/>
    <w:rsid w:val="00416BB2"/>
    <w:rsid w:val="004170E4"/>
    <w:rsid w:val="00417166"/>
    <w:rsid w:val="00420952"/>
    <w:rsid w:val="00420B2F"/>
    <w:rsid w:val="00420BC4"/>
    <w:rsid w:val="004214D7"/>
    <w:rsid w:val="004217F6"/>
    <w:rsid w:val="00421842"/>
    <w:rsid w:val="0042222D"/>
    <w:rsid w:val="00422E80"/>
    <w:rsid w:val="00423B96"/>
    <w:rsid w:val="0042446A"/>
    <w:rsid w:val="0042518E"/>
    <w:rsid w:val="00425226"/>
    <w:rsid w:val="00426B65"/>
    <w:rsid w:val="0042785B"/>
    <w:rsid w:val="004308C9"/>
    <w:rsid w:val="004309F3"/>
    <w:rsid w:val="00430DD7"/>
    <w:rsid w:val="00430E70"/>
    <w:rsid w:val="00431599"/>
    <w:rsid w:val="0043195B"/>
    <w:rsid w:val="00432248"/>
    <w:rsid w:val="00432461"/>
    <w:rsid w:val="004326A8"/>
    <w:rsid w:val="00432A36"/>
    <w:rsid w:val="00433069"/>
    <w:rsid w:val="00433507"/>
    <w:rsid w:val="004335AF"/>
    <w:rsid w:val="004337A1"/>
    <w:rsid w:val="00433A19"/>
    <w:rsid w:val="00434073"/>
    <w:rsid w:val="004342FA"/>
    <w:rsid w:val="00434BBF"/>
    <w:rsid w:val="00434F8C"/>
    <w:rsid w:val="00435134"/>
    <w:rsid w:val="00435847"/>
    <w:rsid w:val="00435CF2"/>
    <w:rsid w:val="00435FFB"/>
    <w:rsid w:val="00436356"/>
    <w:rsid w:val="00436ABC"/>
    <w:rsid w:val="00436C73"/>
    <w:rsid w:val="00436DAF"/>
    <w:rsid w:val="004375E4"/>
    <w:rsid w:val="004378CE"/>
    <w:rsid w:val="00437F57"/>
    <w:rsid w:val="004405B3"/>
    <w:rsid w:val="00441C68"/>
    <w:rsid w:val="00442A6D"/>
    <w:rsid w:val="00442CCD"/>
    <w:rsid w:val="004439C6"/>
    <w:rsid w:val="00444034"/>
    <w:rsid w:val="00444B19"/>
    <w:rsid w:val="00445089"/>
    <w:rsid w:val="00445FAC"/>
    <w:rsid w:val="0044617E"/>
    <w:rsid w:val="00446242"/>
    <w:rsid w:val="00446A67"/>
    <w:rsid w:val="00446BF2"/>
    <w:rsid w:val="00446EA6"/>
    <w:rsid w:val="004470E5"/>
    <w:rsid w:val="0044738E"/>
    <w:rsid w:val="0044740F"/>
    <w:rsid w:val="00447B6B"/>
    <w:rsid w:val="004507A9"/>
    <w:rsid w:val="00450B3B"/>
    <w:rsid w:val="00451022"/>
    <w:rsid w:val="0045188F"/>
    <w:rsid w:val="00451ABA"/>
    <w:rsid w:val="00451EFC"/>
    <w:rsid w:val="00451F3E"/>
    <w:rsid w:val="004522C1"/>
    <w:rsid w:val="0045256A"/>
    <w:rsid w:val="0045283E"/>
    <w:rsid w:val="00452872"/>
    <w:rsid w:val="004529D8"/>
    <w:rsid w:val="00452ED9"/>
    <w:rsid w:val="0045338E"/>
    <w:rsid w:val="00453600"/>
    <w:rsid w:val="0045374A"/>
    <w:rsid w:val="0045382E"/>
    <w:rsid w:val="0045468F"/>
    <w:rsid w:val="00454C5C"/>
    <w:rsid w:val="00454EB9"/>
    <w:rsid w:val="00455734"/>
    <w:rsid w:val="00455D0D"/>
    <w:rsid w:val="00455DFC"/>
    <w:rsid w:val="00456DED"/>
    <w:rsid w:val="00457051"/>
    <w:rsid w:val="0045711B"/>
    <w:rsid w:val="0045730E"/>
    <w:rsid w:val="00457581"/>
    <w:rsid w:val="00457774"/>
    <w:rsid w:val="004600FF"/>
    <w:rsid w:val="0046036C"/>
    <w:rsid w:val="0046065D"/>
    <w:rsid w:val="00462520"/>
    <w:rsid w:val="00462C35"/>
    <w:rsid w:val="00462CFC"/>
    <w:rsid w:val="004634EE"/>
    <w:rsid w:val="004635D2"/>
    <w:rsid w:val="004636A4"/>
    <w:rsid w:val="00464291"/>
    <w:rsid w:val="004647E7"/>
    <w:rsid w:val="00464917"/>
    <w:rsid w:val="00464BD9"/>
    <w:rsid w:val="00464C0F"/>
    <w:rsid w:val="00465BFC"/>
    <w:rsid w:val="004661E0"/>
    <w:rsid w:val="004663C1"/>
    <w:rsid w:val="00467C2D"/>
    <w:rsid w:val="004709AC"/>
    <w:rsid w:val="00470B07"/>
    <w:rsid w:val="00471262"/>
    <w:rsid w:val="00471425"/>
    <w:rsid w:val="00471A32"/>
    <w:rsid w:val="00471AC2"/>
    <w:rsid w:val="00471CE8"/>
    <w:rsid w:val="00471F17"/>
    <w:rsid w:val="00472283"/>
    <w:rsid w:val="00472342"/>
    <w:rsid w:val="004724DE"/>
    <w:rsid w:val="00473182"/>
    <w:rsid w:val="0047373F"/>
    <w:rsid w:val="00473CA5"/>
    <w:rsid w:val="00474376"/>
    <w:rsid w:val="004747F0"/>
    <w:rsid w:val="00475D26"/>
    <w:rsid w:val="00475F3C"/>
    <w:rsid w:val="00476668"/>
    <w:rsid w:val="004768C4"/>
    <w:rsid w:val="0047771E"/>
    <w:rsid w:val="00477723"/>
    <w:rsid w:val="00477A9D"/>
    <w:rsid w:val="00477D56"/>
    <w:rsid w:val="00477D9A"/>
    <w:rsid w:val="00477EE5"/>
    <w:rsid w:val="00480277"/>
    <w:rsid w:val="0048042C"/>
    <w:rsid w:val="00480EDD"/>
    <w:rsid w:val="00481CE5"/>
    <w:rsid w:val="00482813"/>
    <w:rsid w:val="00482FDC"/>
    <w:rsid w:val="00483795"/>
    <w:rsid w:val="00483C56"/>
    <w:rsid w:val="004840C2"/>
    <w:rsid w:val="004848D1"/>
    <w:rsid w:val="00484CD7"/>
    <w:rsid w:val="00485173"/>
    <w:rsid w:val="00485CDB"/>
    <w:rsid w:val="00486243"/>
    <w:rsid w:val="004863A3"/>
    <w:rsid w:val="00486ACC"/>
    <w:rsid w:val="00486D4E"/>
    <w:rsid w:val="004870D9"/>
    <w:rsid w:val="0048715F"/>
    <w:rsid w:val="00487174"/>
    <w:rsid w:val="004873F9"/>
    <w:rsid w:val="0048747D"/>
    <w:rsid w:val="0048758D"/>
    <w:rsid w:val="00490C85"/>
    <w:rsid w:val="004920D8"/>
    <w:rsid w:val="00492C8E"/>
    <w:rsid w:val="00493620"/>
    <w:rsid w:val="004938FA"/>
    <w:rsid w:val="00493914"/>
    <w:rsid w:val="00493B40"/>
    <w:rsid w:val="00493BDB"/>
    <w:rsid w:val="00493C79"/>
    <w:rsid w:val="00493EA2"/>
    <w:rsid w:val="00493F24"/>
    <w:rsid w:val="004949D0"/>
    <w:rsid w:val="004955CD"/>
    <w:rsid w:val="00496DAA"/>
    <w:rsid w:val="0049745E"/>
    <w:rsid w:val="00497677"/>
    <w:rsid w:val="0049771B"/>
    <w:rsid w:val="004A05C0"/>
    <w:rsid w:val="004A06A7"/>
    <w:rsid w:val="004A0816"/>
    <w:rsid w:val="004A0B94"/>
    <w:rsid w:val="004A1DBD"/>
    <w:rsid w:val="004A2663"/>
    <w:rsid w:val="004A2A1F"/>
    <w:rsid w:val="004A34D5"/>
    <w:rsid w:val="004A3780"/>
    <w:rsid w:val="004A43F1"/>
    <w:rsid w:val="004A45DC"/>
    <w:rsid w:val="004A4D14"/>
    <w:rsid w:val="004A4E22"/>
    <w:rsid w:val="004A5379"/>
    <w:rsid w:val="004A5492"/>
    <w:rsid w:val="004A55B1"/>
    <w:rsid w:val="004A6496"/>
    <w:rsid w:val="004A6520"/>
    <w:rsid w:val="004A708D"/>
    <w:rsid w:val="004A7831"/>
    <w:rsid w:val="004A786F"/>
    <w:rsid w:val="004A7E33"/>
    <w:rsid w:val="004B0066"/>
    <w:rsid w:val="004B0144"/>
    <w:rsid w:val="004B048A"/>
    <w:rsid w:val="004B09A2"/>
    <w:rsid w:val="004B0BB9"/>
    <w:rsid w:val="004B1B62"/>
    <w:rsid w:val="004B2DAF"/>
    <w:rsid w:val="004B2FAD"/>
    <w:rsid w:val="004B2FCC"/>
    <w:rsid w:val="004B312E"/>
    <w:rsid w:val="004B3A7B"/>
    <w:rsid w:val="004B3BCD"/>
    <w:rsid w:val="004B430B"/>
    <w:rsid w:val="004B47C0"/>
    <w:rsid w:val="004B4844"/>
    <w:rsid w:val="004B4CDA"/>
    <w:rsid w:val="004B577B"/>
    <w:rsid w:val="004B5F0B"/>
    <w:rsid w:val="004B624D"/>
    <w:rsid w:val="004B6516"/>
    <w:rsid w:val="004B66E5"/>
    <w:rsid w:val="004B7766"/>
    <w:rsid w:val="004C141A"/>
    <w:rsid w:val="004C167C"/>
    <w:rsid w:val="004C1A97"/>
    <w:rsid w:val="004C1F16"/>
    <w:rsid w:val="004C1F63"/>
    <w:rsid w:val="004C2511"/>
    <w:rsid w:val="004C26CB"/>
    <w:rsid w:val="004C2E92"/>
    <w:rsid w:val="004C39DE"/>
    <w:rsid w:val="004C3D02"/>
    <w:rsid w:val="004C3F3D"/>
    <w:rsid w:val="004C40E8"/>
    <w:rsid w:val="004C41B2"/>
    <w:rsid w:val="004C4277"/>
    <w:rsid w:val="004C4F45"/>
    <w:rsid w:val="004C538A"/>
    <w:rsid w:val="004C5ADF"/>
    <w:rsid w:val="004C5C52"/>
    <w:rsid w:val="004C5D71"/>
    <w:rsid w:val="004C5FAE"/>
    <w:rsid w:val="004C6AD8"/>
    <w:rsid w:val="004C6E24"/>
    <w:rsid w:val="004C729E"/>
    <w:rsid w:val="004C7401"/>
    <w:rsid w:val="004C749A"/>
    <w:rsid w:val="004C79D4"/>
    <w:rsid w:val="004D03FC"/>
    <w:rsid w:val="004D082C"/>
    <w:rsid w:val="004D08A1"/>
    <w:rsid w:val="004D08F5"/>
    <w:rsid w:val="004D145A"/>
    <w:rsid w:val="004D1CEA"/>
    <w:rsid w:val="004D1D35"/>
    <w:rsid w:val="004D2A67"/>
    <w:rsid w:val="004D31A8"/>
    <w:rsid w:val="004D3596"/>
    <w:rsid w:val="004D35E2"/>
    <w:rsid w:val="004D39EB"/>
    <w:rsid w:val="004D438D"/>
    <w:rsid w:val="004D43F8"/>
    <w:rsid w:val="004D51F9"/>
    <w:rsid w:val="004D589A"/>
    <w:rsid w:val="004D5A16"/>
    <w:rsid w:val="004D5DBC"/>
    <w:rsid w:val="004D5E02"/>
    <w:rsid w:val="004D5EB9"/>
    <w:rsid w:val="004D652F"/>
    <w:rsid w:val="004D667C"/>
    <w:rsid w:val="004D75A9"/>
    <w:rsid w:val="004D78EC"/>
    <w:rsid w:val="004E0938"/>
    <w:rsid w:val="004E0A5B"/>
    <w:rsid w:val="004E0DBF"/>
    <w:rsid w:val="004E1C65"/>
    <w:rsid w:val="004E2C4D"/>
    <w:rsid w:val="004E3777"/>
    <w:rsid w:val="004E3FBE"/>
    <w:rsid w:val="004E4C69"/>
    <w:rsid w:val="004E5323"/>
    <w:rsid w:val="004E58C3"/>
    <w:rsid w:val="004E7CA3"/>
    <w:rsid w:val="004F150B"/>
    <w:rsid w:val="004F1E65"/>
    <w:rsid w:val="004F2383"/>
    <w:rsid w:val="004F2DA7"/>
    <w:rsid w:val="004F42B5"/>
    <w:rsid w:val="004F47A7"/>
    <w:rsid w:val="004F5854"/>
    <w:rsid w:val="004F59CD"/>
    <w:rsid w:val="004F620B"/>
    <w:rsid w:val="004F7872"/>
    <w:rsid w:val="004F7A65"/>
    <w:rsid w:val="004F7BF7"/>
    <w:rsid w:val="00500529"/>
    <w:rsid w:val="005006ED"/>
    <w:rsid w:val="00500B53"/>
    <w:rsid w:val="00500BF2"/>
    <w:rsid w:val="00500C40"/>
    <w:rsid w:val="00501313"/>
    <w:rsid w:val="0050146B"/>
    <w:rsid w:val="0050156C"/>
    <w:rsid w:val="0050244F"/>
    <w:rsid w:val="005031A4"/>
    <w:rsid w:val="0050332F"/>
    <w:rsid w:val="00503383"/>
    <w:rsid w:val="00503A6A"/>
    <w:rsid w:val="00503ACC"/>
    <w:rsid w:val="005053D6"/>
    <w:rsid w:val="00505654"/>
    <w:rsid w:val="005056EB"/>
    <w:rsid w:val="00505AD3"/>
    <w:rsid w:val="00505BA0"/>
    <w:rsid w:val="00505E50"/>
    <w:rsid w:val="0050636B"/>
    <w:rsid w:val="00506DB5"/>
    <w:rsid w:val="005105B3"/>
    <w:rsid w:val="005114E8"/>
    <w:rsid w:val="005121BB"/>
    <w:rsid w:val="005121D5"/>
    <w:rsid w:val="00512215"/>
    <w:rsid w:val="005125C4"/>
    <w:rsid w:val="005127F1"/>
    <w:rsid w:val="005129AA"/>
    <w:rsid w:val="00512C54"/>
    <w:rsid w:val="00512C5C"/>
    <w:rsid w:val="00513922"/>
    <w:rsid w:val="00513E3F"/>
    <w:rsid w:val="005143F4"/>
    <w:rsid w:val="00514441"/>
    <w:rsid w:val="00515A35"/>
    <w:rsid w:val="00515F69"/>
    <w:rsid w:val="005161D2"/>
    <w:rsid w:val="0051694A"/>
    <w:rsid w:val="005175D0"/>
    <w:rsid w:val="00517991"/>
    <w:rsid w:val="00517C18"/>
    <w:rsid w:val="00517E17"/>
    <w:rsid w:val="00517FEB"/>
    <w:rsid w:val="005201D8"/>
    <w:rsid w:val="0052066F"/>
    <w:rsid w:val="00520786"/>
    <w:rsid w:val="00520879"/>
    <w:rsid w:val="00520BBC"/>
    <w:rsid w:val="005214CD"/>
    <w:rsid w:val="0052172B"/>
    <w:rsid w:val="005229E8"/>
    <w:rsid w:val="00523347"/>
    <w:rsid w:val="005233D3"/>
    <w:rsid w:val="00524EF6"/>
    <w:rsid w:val="00525123"/>
    <w:rsid w:val="0052512B"/>
    <w:rsid w:val="00525A48"/>
    <w:rsid w:val="00526154"/>
    <w:rsid w:val="00526469"/>
    <w:rsid w:val="005265A2"/>
    <w:rsid w:val="00526D6D"/>
    <w:rsid w:val="00526F51"/>
    <w:rsid w:val="00527416"/>
    <w:rsid w:val="005274E8"/>
    <w:rsid w:val="00530F5B"/>
    <w:rsid w:val="00531519"/>
    <w:rsid w:val="00531A94"/>
    <w:rsid w:val="005321F4"/>
    <w:rsid w:val="00532286"/>
    <w:rsid w:val="00532400"/>
    <w:rsid w:val="0053267F"/>
    <w:rsid w:val="0053278F"/>
    <w:rsid w:val="0053279A"/>
    <w:rsid w:val="0053283F"/>
    <w:rsid w:val="005330F1"/>
    <w:rsid w:val="005332F5"/>
    <w:rsid w:val="00533B4F"/>
    <w:rsid w:val="005340CC"/>
    <w:rsid w:val="00534A1D"/>
    <w:rsid w:val="00534B3C"/>
    <w:rsid w:val="00535A98"/>
    <w:rsid w:val="00535FB8"/>
    <w:rsid w:val="00535FC1"/>
    <w:rsid w:val="00536217"/>
    <w:rsid w:val="00536270"/>
    <w:rsid w:val="00536591"/>
    <w:rsid w:val="00536BC9"/>
    <w:rsid w:val="00536E74"/>
    <w:rsid w:val="00537FE1"/>
    <w:rsid w:val="00540231"/>
    <w:rsid w:val="0054061D"/>
    <w:rsid w:val="005406D3"/>
    <w:rsid w:val="00540BEE"/>
    <w:rsid w:val="005417B5"/>
    <w:rsid w:val="005429B4"/>
    <w:rsid w:val="00542BE8"/>
    <w:rsid w:val="0054320C"/>
    <w:rsid w:val="00543790"/>
    <w:rsid w:val="00543840"/>
    <w:rsid w:val="00543CBE"/>
    <w:rsid w:val="00543E4D"/>
    <w:rsid w:val="0054447E"/>
    <w:rsid w:val="005448CA"/>
    <w:rsid w:val="00544F99"/>
    <w:rsid w:val="005455AB"/>
    <w:rsid w:val="00545FB5"/>
    <w:rsid w:val="00550538"/>
    <w:rsid w:val="00550883"/>
    <w:rsid w:val="005509CD"/>
    <w:rsid w:val="00550CA4"/>
    <w:rsid w:val="005518D7"/>
    <w:rsid w:val="00551958"/>
    <w:rsid w:val="00552997"/>
    <w:rsid w:val="00552B80"/>
    <w:rsid w:val="00552FBD"/>
    <w:rsid w:val="005538F4"/>
    <w:rsid w:val="00553CD1"/>
    <w:rsid w:val="0055414F"/>
    <w:rsid w:val="00554581"/>
    <w:rsid w:val="00554BF4"/>
    <w:rsid w:val="00554D15"/>
    <w:rsid w:val="00555069"/>
    <w:rsid w:val="00555E58"/>
    <w:rsid w:val="00557675"/>
    <w:rsid w:val="005577EA"/>
    <w:rsid w:val="005579ED"/>
    <w:rsid w:val="005579F7"/>
    <w:rsid w:val="00557DCF"/>
    <w:rsid w:val="005600D4"/>
    <w:rsid w:val="005605A1"/>
    <w:rsid w:val="00560E96"/>
    <w:rsid w:val="00561146"/>
    <w:rsid w:val="0056119D"/>
    <w:rsid w:val="00561AFF"/>
    <w:rsid w:val="00562158"/>
    <w:rsid w:val="005621B2"/>
    <w:rsid w:val="005623C6"/>
    <w:rsid w:val="005625AC"/>
    <w:rsid w:val="005626BA"/>
    <w:rsid w:val="00562757"/>
    <w:rsid w:val="00562DC0"/>
    <w:rsid w:val="00562E63"/>
    <w:rsid w:val="00563242"/>
    <w:rsid w:val="0056347B"/>
    <w:rsid w:val="00563ADB"/>
    <w:rsid w:val="00563FE9"/>
    <w:rsid w:val="00564091"/>
    <w:rsid w:val="00564E19"/>
    <w:rsid w:val="00565071"/>
    <w:rsid w:val="00565AA7"/>
    <w:rsid w:val="00567737"/>
    <w:rsid w:val="00567D40"/>
    <w:rsid w:val="005703A8"/>
    <w:rsid w:val="00570E0C"/>
    <w:rsid w:val="00573475"/>
    <w:rsid w:val="00573964"/>
    <w:rsid w:val="00573D27"/>
    <w:rsid w:val="00574ED6"/>
    <w:rsid w:val="00575107"/>
    <w:rsid w:val="0057514C"/>
    <w:rsid w:val="00575601"/>
    <w:rsid w:val="005758C1"/>
    <w:rsid w:val="00576211"/>
    <w:rsid w:val="00576517"/>
    <w:rsid w:val="00576B7E"/>
    <w:rsid w:val="0057765A"/>
    <w:rsid w:val="0057789B"/>
    <w:rsid w:val="00577B05"/>
    <w:rsid w:val="00580B9F"/>
    <w:rsid w:val="00580E63"/>
    <w:rsid w:val="00581B18"/>
    <w:rsid w:val="005823D7"/>
    <w:rsid w:val="0058331B"/>
    <w:rsid w:val="00583807"/>
    <w:rsid w:val="00584909"/>
    <w:rsid w:val="00584BB2"/>
    <w:rsid w:val="00584E79"/>
    <w:rsid w:val="00584E8A"/>
    <w:rsid w:val="00584FED"/>
    <w:rsid w:val="0058529B"/>
    <w:rsid w:val="005852FF"/>
    <w:rsid w:val="00585BCF"/>
    <w:rsid w:val="005862CC"/>
    <w:rsid w:val="0058710F"/>
    <w:rsid w:val="00587596"/>
    <w:rsid w:val="00587729"/>
    <w:rsid w:val="00587A99"/>
    <w:rsid w:val="005907F9"/>
    <w:rsid w:val="005911AA"/>
    <w:rsid w:val="00591248"/>
    <w:rsid w:val="00592108"/>
    <w:rsid w:val="005922B2"/>
    <w:rsid w:val="0059246D"/>
    <w:rsid w:val="00592CAB"/>
    <w:rsid w:val="00593228"/>
    <w:rsid w:val="00593F67"/>
    <w:rsid w:val="0059443F"/>
    <w:rsid w:val="00595D02"/>
    <w:rsid w:val="005961AE"/>
    <w:rsid w:val="0059626E"/>
    <w:rsid w:val="0059655A"/>
    <w:rsid w:val="00596732"/>
    <w:rsid w:val="00597E3D"/>
    <w:rsid w:val="005A08BE"/>
    <w:rsid w:val="005A0926"/>
    <w:rsid w:val="005A0CF6"/>
    <w:rsid w:val="005A0E88"/>
    <w:rsid w:val="005A13D1"/>
    <w:rsid w:val="005A2D70"/>
    <w:rsid w:val="005A30B3"/>
    <w:rsid w:val="005A39C2"/>
    <w:rsid w:val="005A4358"/>
    <w:rsid w:val="005A4418"/>
    <w:rsid w:val="005A47B5"/>
    <w:rsid w:val="005A491E"/>
    <w:rsid w:val="005A4D2D"/>
    <w:rsid w:val="005A57B5"/>
    <w:rsid w:val="005A5B0C"/>
    <w:rsid w:val="005A605B"/>
    <w:rsid w:val="005A61C9"/>
    <w:rsid w:val="005A6378"/>
    <w:rsid w:val="005A6C4D"/>
    <w:rsid w:val="005A6DEC"/>
    <w:rsid w:val="005A74D5"/>
    <w:rsid w:val="005A78F5"/>
    <w:rsid w:val="005B01F2"/>
    <w:rsid w:val="005B0202"/>
    <w:rsid w:val="005B0CEC"/>
    <w:rsid w:val="005B1396"/>
    <w:rsid w:val="005B1E03"/>
    <w:rsid w:val="005B1E1C"/>
    <w:rsid w:val="005B1F31"/>
    <w:rsid w:val="005B21A2"/>
    <w:rsid w:val="005B2516"/>
    <w:rsid w:val="005B2A6C"/>
    <w:rsid w:val="005B2DE8"/>
    <w:rsid w:val="005B4281"/>
    <w:rsid w:val="005B48C4"/>
    <w:rsid w:val="005B4AF9"/>
    <w:rsid w:val="005B4C7C"/>
    <w:rsid w:val="005B4DDD"/>
    <w:rsid w:val="005B5216"/>
    <w:rsid w:val="005B55E9"/>
    <w:rsid w:val="005B5CF9"/>
    <w:rsid w:val="005B5F54"/>
    <w:rsid w:val="005B5FC5"/>
    <w:rsid w:val="005B7603"/>
    <w:rsid w:val="005B7640"/>
    <w:rsid w:val="005B7942"/>
    <w:rsid w:val="005C0629"/>
    <w:rsid w:val="005C1B07"/>
    <w:rsid w:val="005C1CA1"/>
    <w:rsid w:val="005C1FAF"/>
    <w:rsid w:val="005C27AF"/>
    <w:rsid w:val="005C2CF3"/>
    <w:rsid w:val="005C34A6"/>
    <w:rsid w:val="005C370D"/>
    <w:rsid w:val="005C3BA2"/>
    <w:rsid w:val="005C40D7"/>
    <w:rsid w:val="005C4A52"/>
    <w:rsid w:val="005C5DB7"/>
    <w:rsid w:val="005C6554"/>
    <w:rsid w:val="005C67D9"/>
    <w:rsid w:val="005C69A8"/>
    <w:rsid w:val="005C6C0A"/>
    <w:rsid w:val="005C6EB8"/>
    <w:rsid w:val="005C78FA"/>
    <w:rsid w:val="005C7913"/>
    <w:rsid w:val="005C7928"/>
    <w:rsid w:val="005C7D85"/>
    <w:rsid w:val="005D0518"/>
    <w:rsid w:val="005D05B2"/>
    <w:rsid w:val="005D0CC5"/>
    <w:rsid w:val="005D14A8"/>
    <w:rsid w:val="005D14FC"/>
    <w:rsid w:val="005D1575"/>
    <w:rsid w:val="005D15E7"/>
    <w:rsid w:val="005D18D2"/>
    <w:rsid w:val="005D2D5F"/>
    <w:rsid w:val="005D30EC"/>
    <w:rsid w:val="005D353A"/>
    <w:rsid w:val="005D3582"/>
    <w:rsid w:val="005D3D4A"/>
    <w:rsid w:val="005D47EF"/>
    <w:rsid w:val="005D482A"/>
    <w:rsid w:val="005D5374"/>
    <w:rsid w:val="005D596B"/>
    <w:rsid w:val="005D60FF"/>
    <w:rsid w:val="005D6A3D"/>
    <w:rsid w:val="005D73C6"/>
    <w:rsid w:val="005D7A07"/>
    <w:rsid w:val="005E0114"/>
    <w:rsid w:val="005E028C"/>
    <w:rsid w:val="005E0401"/>
    <w:rsid w:val="005E0DB4"/>
    <w:rsid w:val="005E1CCB"/>
    <w:rsid w:val="005E2082"/>
    <w:rsid w:val="005E25B7"/>
    <w:rsid w:val="005E2D84"/>
    <w:rsid w:val="005E3141"/>
    <w:rsid w:val="005E367C"/>
    <w:rsid w:val="005E3B81"/>
    <w:rsid w:val="005E4135"/>
    <w:rsid w:val="005E4787"/>
    <w:rsid w:val="005E50C3"/>
    <w:rsid w:val="005E6F70"/>
    <w:rsid w:val="005E7EF0"/>
    <w:rsid w:val="005F04EB"/>
    <w:rsid w:val="005F0D4C"/>
    <w:rsid w:val="005F1051"/>
    <w:rsid w:val="005F11AD"/>
    <w:rsid w:val="005F1ABF"/>
    <w:rsid w:val="005F1C65"/>
    <w:rsid w:val="005F1F82"/>
    <w:rsid w:val="005F257C"/>
    <w:rsid w:val="005F28A1"/>
    <w:rsid w:val="005F3390"/>
    <w:rsid w:val="005F3551"/>
    <w:rsid w:val="005F37D2"/>
    <w:rsid w:val="005F3C08"/>
    <w:rsid w:val="005F3F9B"/>
    <w:rsid w:val="005F4E1B"/>
    <w:rsid w:val="005F5031"/>
    <w:rsid w:val="005F5398"/>
    <w:rsid w:val="005F6FFE"/>
    <w:rsid w:val="005F7114"/>
    <w:rsid w:val="005F733C"/>
    <w:rsid w:val="005F777A"/>
    <w:rsid w:val="005F7A1F"/>
    <w:rsid w:val="00600010"/>
    <w:rsid w:val="00600E98"/>
    <w:rsid w:val="00600EC7"/>
    <w:rsid w:val="00600F6F"/>
    <w:rsid w:val="0060108D"/>
    <w:rsid w:val="00601D83"/>
    <w:rsid w:val="00601F83"/>
    <w:rsid w:val="0060272D"/>
    <w:rsid w:val="0060382E"/>
    <w:rsid w:val="00604966"/>
    <w:rsid w:val="006049C5"/>
    <w:rsid w:val="006054D5"/>
    <w:rsid w:val="00605A07"/>
    <w:rsid w:val="00605D8F"/>
    <w:rsid w:val="00605DED"/>
    <w:rsid w:val="00606195"/>
    <w:rsid w:val="006067A0"/>
    <w:rsid w:val="00606CAC"/>
    <w:rsid w:val="00607554"/>
    <w:rsid w:val="00607C36"/>
    <w:rsid w:val="00607DB3"/>
    <w:rsid w:val="00610A49"/>
    <w:rsid w:val="006112BA"/>
    <w:rsid w:val="006114D8"/>
    <w:rsid w:val="00611FB4"/>
    <w:rsid w:val="006123EE"/>
    <w:rsid w:val="006129FE"/>
    <w:rsid w:val="0061398D"/>
    <w:rsid w:val="00613C23"/>
    <w:rsid w:val="0061418D"/>
    <w:rsid w:val="006143BF"/>
    <w:rsid w:val="00615423"/>
    <w:rsid w:val="006158BA"/>
    <w:rsid w:val="00616063"/>
    <w:rsid w:val="006161D8"/>
    <w:rsid w:val="00616EA7"/>
    <w:rsid w:val="00617175"/>
    <w:rsid w:val="0061739E"/>
    <w:rsid w:val="006173CF"/>
    <w:rsid w:val="0061783C"/>
    <w:rsid w:val="0061798F"/>
    <w:rsid w:val="006209DD"/>
    <w:rsid w:val="0062143F"/>
    <w:rsid w:val="00621571"/>
    <w:rsid w:val="00622DAE"/>
    <w:rsid w:val="0062393C"/>
    <w:rsid w:val="006248EB"/>
    <w:rsid w:val="00624B88"/>
    <w:rsid w:val="00625036"/>
    <w:rsid w:val="00625C7F"/>
    <w:rsid w:val="00626D66"/>
    <w:rsid w:val="006274BB"/>
    <w:rsid w:val="00627835"/>
    <w:rsid w:val="006301EB"/>
    <w:rsid w:val="00630226"/>
    <w:rsid w:val="00630891"/>
    <w:rsid w:val="00630D10"/>
    <w:rsid w:val="006313C5"/>
    <w:rsid w:val="00631CA4"/>
    <w:rsid w:val="0063290C"/>
    <w:rsid w:val="00632C7F"/>
    <w:rsid w:val="006332AB"/>
    <w:rsid w:val="00633F53"/>
    <w:rsid w:val="00633FC9"/>
    <w:rsid w:val="00634133"/>
    <w:rsid w:val="006341F3"/>
    <w:rsid w:val="0063425C"/>
    <w:rsid w:val="00634CD6"/>
    <w:rsid w:val="00634F16"/>
    <w:rsid w:val="006350FB"/>
    <w:rsid w:val="00635D6D"/>
    <w:rsid w:val="00636142"/>
    <w:rsid w:val="006362D6"/>
    <w:rsid w:val="0063696C"/>
    <w:rsid w:val="00636AAC"/>
    <w:rsid w:val="00637B98"/>
    <w:rsid w:val="00637EB7"/>
    <w:rsid w:val="006403CA"/>
    <w:rsid w:val="00640D08"/>
    <w:rsid w:val="00641018"/>
    <w:rsid w:val="00641F38"/>
    <w:rsid w:val="00642313"/>
    <w:rsid w:val="00642A8F"/>
    <w:rsid w:val="00642F8C"/>
    <w:rsid w:val="00643BA9"/>
    <w:rsid w:val="006446EB"/>
    <w:rsid w:val="00645006"/>
    <w:rsid w:val="006458F4"/>
    <w:rsid w:val="00645CBB"/>
    <w:rsid w:val="006464FE"/>
    <w:rsid w:val="006467E9"/>
    <w:rsid w:val="00646EA4"/>
    <w:rsid w:val="00647033"/>
    <w:rsid w:val="0064745B"/>
    <w:rsid w:val="006474A4"/>
    <w:rsid w:val="00647503"/>
    <w:rsid w:val="00650604"/>
    <w:rsid w:val="006506B7"/>
    <w:rsid w:val="006509A1"/>
    <w:rsid w:val="00651135"/>
    <w:rsid w:val="0065242B"/>
    <w:rsid w:val="00652638"/>
    <w:rsid w:val="006526C1"/>
    <w:rsid w:val="00652911"/>
    <w:rsid w:val="00653347"/>
    <w:rsid w:val="0065400D"/>
    <w:rsid w:val="0065448E"/>
    <w:rsid w:val="00655954"/>
    <w:rsid w:val="00655D64"/>
    <w:rsid w:val="00656791"/>
    <w:rsid w:val="00656A3C"/>
    <w:rsid w:val="0065707C"/>
    <w:rsid w:val="006573A6"/>
    <w:rsid w:val="00657623"/>
    <w:rsid w:val="00657E57"/>
    <w:rsid w:val="00660C81"/>
    <w:rsid w:val="00660EDC"/>
    <w:rsid w:val="006617A4"/>
    <w:rsid w:val="00661A1B"/>
    <w:rsid w:val="0066274A"/>
    <w:rsid w:val="00662CD2"/>
    <w:rsid w:val="0066382F"/>
    <w:rsid w:val="006643E9"/>
    <w:rsid w:val="00664A93"/>
    <w:rsid w:val="00664E39"/>
    <w:rsid w:val="00664FE3"/>
    <w:rsid w:val="00665362"/>
    <w:rsid w:val="0066549D"/>
    <w:rsid w:val="00665BAB"/>
    <w:rsid w:val="00666459"/>
    <w:rsid w:val="0066658F"/>
    <w:rsid w:val="00666BD2"/>
    <w:rsid w:val="00667A97"/>
    <w:rsid w:val="00667DA0"/>
    <w:rsid w:val="00667FE8"/>
    <w:rsid w:val="0067028C"/>
    <w:rsid w:val="00670980"/>
    <w:rsid w:val="0067116A"/>
    <w:rsid w:val="00671B2F"/>
    <w:rsid w:val="00671FF2"/>
    <w:rsid w:val="00672345"/>
    <w:rsid w:val="00672A0E"/>
    <w:rsid w:val="0067309E"/>
    <w:rsid w:val="00673B25"/>
    <w:rsid w:val="00673B88"/>
    <w:rsid w:val="006744A2"/>
    <w:rsid w:val="00674579"/>
    <w:rsid w:val="00674E4E"/>
    <w:rsid w:val="00675032"/>
    <w:rsid w:val="006750DA"/>
    <w:rsid w:val="0067579A"/>
    <w:rsid w:val="006757DB"/>
    <w:rsid w:val="0067596D"/>
    <w:rsid w:val="00675E1E"/>
    <w:rsid w:val="00676236"/>
    <w:rsid w:val="00676B83"/>
    <w:rsid w:val="00677531"/>
    <w:rsid w:val="00677BB5"/>
    <w:rsid w:val="00677F26"/>
    <w:rsid w:val="0068069C"/>
    <w:rsid w:val="006811E0"/>
    <w:rsid w:val="00681256"/>
    <w:rsid w:val="006812F2"/>
    <w:rsid w:val="00681428"/>
    <w:rsid w:val="006815AB"/>
    <w:rsid w:val="0068161F"/>
    <w:rsid w:val="00681CE7"/>
    <w:rsid w:val="00681E15"/>
    <w:rsid w:val="00681F8C"/>
    <w:rsid w:val="00682A7E"/>
    <w:rsid w:val="00682EFB"/>
    <w:rsid w:val="0068309C"/>
    <w:rsid w:val="0068393B"/>
    <w:rsid w:val="006839B8"/>
    <w:rsid w:val="00683A2F"/>
    <w:rsid w:val="00683ABA"/>
    <w:rsid w:val="00683FF5"/>
    <w:rsid w:val="00684442"/>
    <w:rsid w:val="0068566A"/>
    <w:rsid w:val="00685868"/>
    <w:rsid w:val="00685BC7"/>
    <w:rsid w:val="00685C47"/>
    <w:rsid w:val="0068690C"/>
    <w:rsid w:val="00686B1E"/>
    <w:rsid w:val="00686D73"/>
    <w:rsid w:val="00686F6C"/>
    <w:rsid w:val="006873CB"/>
    <w:rsid w:val="006878D9"/>
    <w:rsid w:val="00687CB6"/>
    <w:rsid w:val="00687E94"/>
    <w:rsid w:val="006905D7"/>
    <w:rsid w:val="0069080A"/>
    <w:rsid w:val="00691219"/>
    <w:rsid w:val="0069121A"/>
    <w:rsid w:val="00691BE7"/>
    <w:rsid w:val="006924B1"/>
    <w:rsid w:val="00692EBE"/>
    <w:rsid w:val="00693727"/>
    <w:rsid w:val="00693AF4"/>
    <w:rsid w:val="00693B4A"/>
    <w:rsid w:val="00694612"/>
    <w:rsid w:val="006947B7"/>
    <w:rsid w:val="00694CEB"/>
    <w:rsid w:val="006955E9"/>
    <w:rsid w:val="00695C09"/>
    <w:rsid w:val="006A0106"/>
    <w:rsid w:val="006A0550"/>
    <w:rsid w:val="006A058C"/>
    <w:rsid w:val="006A0974"/>
    <w:rsid w:val="006A0B82"/>
    <w:rsid w:val="006A15A1"/>
    <w:rsid w:val="006A29BE"/>
    <w:rsid w:val="006A2BCD"/>
    <w:rsid w:val="006A4102"/>
    <w:rsid w:val="006A41E2"/>
    <w:rsid w:val="006A464C"/>
    <w:rsid w:val="006A4700"/>
    <w:rsid w:val="006A4ED2"/>
    <w:rsid w:val="006A5D48"/>
    <w:rsid w:val="006A623A"/>
    <w:rsid w:val="006A6E74"/>
    <w:rsid w:val="006A6F17"/>
    <w:rsid w:val="006A705B"/>
    <w:rsid w:val="006A73CD"/>
    <w:rsid w:val="006A780B"/>
    <w:rsid w:val="006A78FD"/>
    <w:rsid w:val="006A7DEE"/>
    <w:rsid w:val="006B0019"/>
    <w:rsid w:val="006B0151"/>
    <w:rsid w:val="006B1632"/>
    <w:rsid w:val="006B24B3"/>
    <w:rsid w:val="006B2529"/>
    <w:rsid w:val="006B2CA4"/>
    <w:rsid w:val="006B2D7F"/>
    <w:rsid w:val="006B323E"/>
    <w:rsid w:val="006B3B41"/>
    <w:rsid w:val="006B3B7E"/>
    <w:rsid w:val="006B54BB"/>
    <w:rsid w:val="006B61AC"/>
    <w:rsid w:val="006B654E"/>
    <w:rsid w:val="006B6994"/>
    <w:rsid w:val="006B6CE8"/>
    <w:rsid w:val="006B6E3D"/>
    <w:rsid w:val="006B6F21"/>
    <w:rsid w:val="006B7130"/>
    <w:rsid w:val="006C04D1"/>
    <w:rsid w:val="006C0895"/>
    <w:rsid w:val="006C15E5"/>
    <w:rsid w:val="006C1DFE"/>
    <w:rsid w:val="006C21CB"/>
    <w:rsid w:val="006C2296"/>
    <w:rsid w:val="006C2A53"/>
    <w:rsid w:val="006C2E9B"/>
    <w:rsid w:val="006C3018"/>
    <w:rsid w:val="006C31C4"/>
    <w:rsid w:val="006C340E"/>
    <w:rsid w:val="006C3866"/>
    <w:rsid w:val="006C3A4D"/>
    <w:rsid w:val="006C3E1B"/>
    <w:rsid w:val="006C3FF6"/>
    <w:rsid w:val="006C4258"/>
    <w:rsid w:val="006C48BC"/>
    <w:rsid w:val="006C4B3A"/>
    <w:rsid w:val="006C5199"/>
    <w:rsid w:val="006C53A3"/>
    <w:rsid w:val="006C576D"/>
    <w:rsid w:val="006C5BFF"/>
    <w:rsid w:val="006C5DAF"/>
    <w:rsid w:val="006C6DD4"/>
    <w:rsid w:val="006C7AD5"/>
    <w:rsid w:val="006C7F58"/>
    <w:rsid w:val="006D098D"/>
    <w:rsid w:val="006D16EE"/>
    <w:rsid w:val="006D17E7"/>
    <w:rsid w:val="006D1AFD"/>
    <w:rsid w:val="006D1B9E"/>
    <w:rsid w:val="006D1F59"/>
    <w:rsid w:val="006D20E9"/>
    <w:rsid w:val="006D2E43"/>
    <w:rsid w:val="006D3169"/>
    <w:rsid w:val="006D3AA6"/>
    <w:rsid w:val="006D3F69"/>
    <w:rsid w:val="006D4464"/>
    <w:rsid w:val="006D44CC"/>
    <w:rsid w:val="006D4707"/>
    <w:rsid w:val="006D71A3"/>
    <w:rsid w:val="006E01C4"/>
    <w:rsid w:val="006E05E8"/>
    <w:rsid w:val="006E0748"/>
    <w:rsid w:val="006E090C"/>
    <w:rsid w:val="006E0927"/>
    <w:rsid w:val="006E171B"/>
    <w:rsid w:val="006E1DF1"/>
    <w:rsid w:val="006E23A4"/>
    <w:rsid w:val="006E26F2"/>
    <w:rsid w:val="006E2732"/>
    <w:rsid w:val="006E2CA8"/>
    <w:rsid w:val="006E333C"/>
    <w:rsid w:val="006E37C1"/>
    <w:rsid w:val="006E40BB"/>
    <w:rsid w:val="006E40D4"/>
    <w:rsid w:val="006E4730"/>
    <w:rsid w:val="006E4EBC"/>
    <w:rsid w:val="006E54E0"/>
    <w:rsid w:val="006E66CC"/>
    <w:rsid w:val="006E6766"/>
    <w:rsid w:val="006E6862"/>
    <w:rsid w:val="006E70E6"/>
    <w:rsid w:val="006E7EAD"/>
    <w:rsid w:val="006F0316"/>
    <w:rsid w:val="006F0E57"/>
    <w:rsid w:val="006F0F2E"/>
    <w:rsid w:val="006F1A24"/>
    <w:rsid w:val="006F1A42"/>
    <w:rsid w:val="006F1FC8"/>
    <w:rsid w:val="006F269C"/>
    <w:rsid w:val="006F2C9C"/>
    <w:rsid w:val="006F2CF5"/>
    <w:rsid w:val="006F35C0"/>
    <w:rsid w:val="006F36CE"/>
    <w:rsid w:val="006F381F"/>
    <w:rsid w:val="006F3A31"/>
    <w:rsid w:val="006F3BD9"/>
    <w:rsid w:val="006F3BFD"/>
    <w:rsid w:val="006F4482"/>
    <w:rsid w:val="006F57F7"/>
    <w:rsid w:val="006F611E"/>
    <w:rsid w:val="006F6465"/>
    <w:rsid w:val="006F6E6A"/>
    <w:rsid w:val="006F77CD"/>
    <w:rsid w:val="006F7821"/>
    <w:rsid w:val="006F7C87"/>
    <w:rsid w:val="0070000C"/>
    <w:rsid w:val="00700B11"/>
    <w:rsid w:val="00701854"/>
    <w:rsid w:val="00702633"/>
    <w:rsid w:val="0070279D"/>
    <w:rsid w:val="00702EF7"/>
    <w:rsid w:val="00703C65"/>
    <w:rsid w:val="00704137"/>
    <w:rsid w:val="007044ED"/>
    <w:rsid w:val="007054A7"/>
    <w:rsid w:val="0070610F"/>
    <w:rsid w:val="00706D3A"/>
    <w:rsid w:val="00707072"/>
    <w:rsid w:val="00707B58"/>
    <w:rsid w:val="00707BC4"/>
    <w:rsid w:val="007104BC"/>
    <w:rsid w:val="00711101"/>
    <w:rsid w:val="00711AB1"/>
    <w:rsid w:val="00712620"/>
    <w:rsid w:val="00712B24"/>
    <w:rsid w:val="007131B6"/>
    <w:rsid w:val="00713260"/>
    <w:rsid w:val="00713EE2"/>
    <w:rsid w:val="007143E1"/>
    <w:rsid w:val="00714B3B"/>
    <w:rsid w:val="00714CF1"/>
    <w:rsid w:val="00715100"/>
    <w:rsid w:val="007157CB"/>
    <w:rsid w:val="00715EC5"/>
    <w:rsid w:val="007161EE"/>
    <w:rsid w:val="00716708"/>
    <w:rsid w:val="007168FE"/>
    <w:rsid w:val="00716D0B"/>
    <w:rsid w:val="00717142"/>
    <w:rsid w:val="00717721"/>
    <w:rsid w:val="00717887"/>
    <w:rsid w:val="00717AA6"/>
    <w:rsid w:val="007202D3"/>
    <w:rsid w:val="00720698"/>
    <w:rsid w:val="0072098C"/>
    <w:rsid w:val="007209A5"/>
    <w:rsid w:val="007222B0"/>
    <w:rsid w:val="00722477"/>
    <w:rsid w:val="00722821"/>
    <w:rsid w:val="007228F5"/>
    <w:rsid w:val="00723C0D"/>
    <w:rsid w:val="0072414D"/>
    <w:rsid w:val="00724D6A"/>
    <w:rsid w:val="007259B5"/>
    <w:rsid w:val="00725DC7"/>
    <w:rsid w:val="00726A89"/>
    <w:rsid w:val="00726EFF"/>
    <w:rsid w:val="00727214"/>
    <w:rsid w:val="007272EB"/>
    <w:rsid w:val="00731D8B"/>
    <w:rsid w:val="0073214E"/>
    <w:rsid w:val="0073262A"/>
    <w:rsid w:val="00732C42"/>
    <w:rsid w:val="00733B06"/>
    <w:rsid w:val="00734D57"/>
    <w:rsid w:val="0073522D"/>
    <w:rsid w:val="007356CE"/>
    <w:rsid w:val="007357EB"/>
    <w:rsid w:val="00735DC6"/>
    <w:rsid w:val="00735E89"/>
    <w:rsid w:val="00736196"/>
    <w:rsid w:val="007368F5"/>
    <w:rsid w:val="00737012"/>
    <w:rsid w:val="00737C39"/>
    <w:rsid w:val="00737E15"/>
    <w:rsid w:val="00737F05"/>
    <w:rsid w:val="00740971"/>
    <w:rsid w:val="00741562"/>
    <w:rsid w:val="007417DE"/>
    <w:rsid w:val="0074182D"/>
    <w:rsid w:val="007427F2"/>
    <w:rsid w:val="007438D1"/>
    <w:rsid w:val="00743EBD"/>
    <w:rsid w:val="0074430E"/>
    <w:rsid w:val="007446FC"/>
    <w:rsid w:val="00745184"/>
    <w:rsid w:val="007456B1"/>
    <w:rsid w:val="00745908"/>
    <w:rsid w:val="00745A74"/>
    <w:rsid w:val="00746CC0"/>
    <w:rsid w:val="007477BC"/>
    <w:rsid w:val="007477F4"/>
    <w:rsid w:val="00750623"/>
    <w:rsid w:val="00750FA4"/>
    <w:rsid w:val="007514D5"/>
    <w:rsid w:val="007520C1"/>
    <w:rsid w:val="00752F02"/>
    <w:rsid w:val="00753029"/>
    <w:rsid w:val="007533FB"/>
    <w:rsid w:val="007538C7"/>
    <w:rsid w:val="007543DD"/>
    <w:rsid w:val="0075445A"/>
    <w:rsid w:val="00754A39"/>
    <w:rsid w:val="00755218"/>
    <w:rsid w:val="0075784D"/>
    <w:rsid w:val="007579BE"/>
    <w:rsid w:val="00757B89"/>
    <w:rsid w:val="00757C4B"/>
    <w:rsid w:val="007607D5"/>
    <w:rsid w:val="00760C5E"/>
    <w:rsid w:val="00760C68"/>
    <w:rsid w:val="0076131D"/>
    <w:rsid w:val="007628C8"/>
    <w:rsid w:val="00762EB8"/>
    <w:rsid w:val="007631E0"/>
    <w:rsid w:val="00763893"/>
    <w:rsid w:val="00763A08"/>
    <w:rsid w:val="00764018"/>
    <w:rsid w:val="007648D4"/>
    <w:rsid w:val="00764FCC"/>
    <w:rsid w:val="0076525B"/>
    <w:rsid w:val="00765493"/>
    <w:rsid w:val="007655F8"/>
    <w:rsid w:val="00765C21"/>
    <w:rsid w:val="00765FB5"/>
    <w:rsid w:val="00766372"/>
    <w:rsid w:val="0076670A"/>
    <w:rsid w:val="00766820"/>
    <w:rsid w:val="00766E5E"/>
    <w:rsid w:val="00767745"/>
    <w:rsid w:val="007700B8"/>
    <w:rsid w:val="007702BE"/>
    <w:rsid w:val="00770752"/>
    <w:rsid w:val="00772987"/>
    <w:rsid w:val="00772B36"/>
    <w:rsid w:val="00772F48"/>
    <w:rsid w:val="007736BA"/>
    <w:rsid w:val="00773C83"/>
    <w:rsid w:val="0077418C"/>
    <w:rsid w:val="00774297"/>
    <w:rsid w:val="00774394"/>
    <w:rsid w:val="00774737"/>
    <w:rsid w:val="0077505E"/>
    <w:rsid w:val="0077533D"/>
    <w:rsid w:val="00775719"/>
    <w:rsid w:val="00775CF0"/>
    <w:rsid w:val="00775F8A"/>
    <w:rsid w:val="007762D6"/>
    <w:rsid w:val="00776AD2"/>
    <w:rsid w:val="00776DEC"/>
    <w:rsid w:val="00777377"/>
    <w:rsid w:val="007776C8"/>
    <w:rsid w:val="007800E4"/>
    <w:rsid w:val="00780179"/>
    <w:rsid w:val="007801FE"/>
    <w:rsid w:val="007802C8"/>
    <w:rsid w:val="00780972"/>
    <w:rsid w:val="00780A9E"/>
    <w:rsid w:val="00780AA2"/>
    <w:rsid w:val="0078170E"/>
    <w:rsid w:val="00781966"/>
    <w:rsid w:val="00781A9D"/>
    <w:rsid w:val="00781E30"/>
    <w:rsid w:val="00781FA6"/>
    <w:rsid w:val="007829E0"/>
    <w:rsid w:val="00783778"/>
    <w:rsid w:val="00783860"/>
    <w:rsid w:val="00783D5F"/>
    <w:rsid w:val="007840BB"/>
    <w:rsid w:val="00785E2E"/>
    <w:rsid w:val="00785FA3"/>
    <w:rsid w:val="0078686B"/>
    <w:rsid w:val="007869FB"/>
    <w:rsid w:val="007873E2"/>
    <w:rsid w:val="00787B4A"/>
    <w:rsid w:val="00787D0E"/>
    <w:rsid w:val="00787E72"/>
    <w:rsid w:val="00790164"/>
    <w:rsid w:val="007908C5"/>
    <w:rsid w:val="00790E1F"/>
    <w:rsid w:val="00791772"/>
    <w:rsid w:val="007929B2"/>
    <w:rsid w:val="007933AB"/>
    <w:rsid w:val="00794A1F"/>
    <w:rsid w:val="00795450"/>
    <w:rsid w:val="00795F22"/>
    <w:rsid w:val="00796C59"/>
    <w:rsid w:val="007974B4"/>
    <w:rsid w:val="00797C89"/>
    <w:rsid w:val="007A0923"/>
    <w:rsid w:val="007A1051"/>
    <w:rsid w:val="007A115B"/>
    <w:rsid w:val="007A20AD"/>
    <w:rsid w:val="007A2CF1"/>
    <w:rsid w:val="007A323F"/>
    <w:rsid w:val="007A3402"/>
    <w:rsid w:val="007A346C"/>
    <w:rsid w:val="007A4343"/>
    <w:rsid w:val="007A4410"/>
    <w:rsid w:val="007A452B"/>
    <w:rsid w:val="007A4707"/>
    <w:rsid w:val="007A4881"/>
    <w:rsid w:val="007A5539"/>
    <w:rsid w:val="007A5B90"/>
    <w:rsid w:val="007A601C"/>
    <w:rsid w:val="007A6129"/>
    <w:rsid w:val="007A61EC"/>
    <w:rsid w:val="007A6548"/>
    <w:rsid w:val="007A6E11"/>
    <w:rsid w:val="007A6E7E"/>
    <w:rsid w:val="007A7263"/>
    <w:rsid w:val="007A7415"/>
    <w:rsid w:val="007A7CE5"/>
    <w:rsid w:val="007B00E1"/>
    <w:rsid w:val="007B1211"/>
    <w:rsid w:val="007B187C"/>
    <w:rsid w:val="007B1E2E"/>
    <w:rsid w:val="007B1ECA"/>
    <w:rsid w:val="007B220F"/>
    <w:rsid w:val="007B2BAC"/>
    <w:rsid w:val="007B3B0E"/>
    <w:rsid w:val="007B3DF4"/>
    <w:rsid w:val="007B4170"/>
    <w:rsid w:val="007B44E1"/>
    <w:rsid w:val="007B4BB6"/>
    <w:rsid w:val="007B55C6"/>
    <w:rsid w:val="007B5EDE"/>
    <w:rsid w:val="007B62A9"/>
    <w:rsid w:val="007B65D1"/>
    <w:rsid w:val="007B6ACE"/>
    <w:rsid w:val="007B6B1E"/>
    <w:rsid w:val="007B6E03"/>
    <w:rsid w:val="007B72FC"/>
    <w:rsid w:val="007B74D3"/>
    <w:rsid w:val="007B7C09"/>
    <w:rsid w:val="007B7CC9"/>
    <w:rsid w:val="007C028E"/>
    <w:rsid w:val="007C06DB"/>
    <w:rsid w:val="007C100D"/>
    <w:rsid w:val="007C1099"/>
    <w:rsid w:val="007C1501"/>
    <w:rsid w:val="007C1FD8"/>
    <w:rsid w:val="007C2922"/>
    <w:rsid w:val="007C2AD4"/>
    <w:rsid w:val="007C2DD4"/>
    <w:rsid w:val="007C3005"/>
    <w:rsid w:val="007C384F"/>
    <w:rsid w:val="007C3B06"/>
    <w:rsid w:val="007C3E46"/>
    <w:rsid w:val="007C4914"/>
    <w:rsid w:val="007C4F78"/>
    <w:rsid w:val="007C5024"/>
    <w:rsid w:val="007C55D4"/>
    <w:rsid w:val="007C5CBD"/>
    <w:rsid w:val="007C6BD5"/>
    <w:rsid w:val="007C73B8"/>
    <w:rsid w:val="007C787C"/>
    <w:rsid w:val="007C7C9F"/>
    <w:rsid w:val="007D1545"/>
    <w:rsid w:val="007D185D"/>
    <w:rsid w:val="007D26A3"/>
    <w:rsid w:val="007D291D"/>
    <w:rsid w:val="007D2B60"/>
    <w:rsid w:val="007D3105"/>
    <w:rsid w:val="007D3420"/>
    <w:rsid w:val="007D3687"/>
    <w:rsid w:val="007D4134"/>
    <w:rsid w:val="007D4719"/>
    <w:rsid w:val="007D4E84"/>
    <w:rsid w:val="007D4EA3"/>
    <w:rsid w:val="007D523C"/>
    <w:rsid w:val="007D5362"/>
    <w:rsid w:val="007D58AA"/>
    <w:rsid w:val="007D5FAA"/>
    <w:rsid w:val="007D6706"/>
    <w:rsid w:val="007D6A2D"/>
    <w:rsid w:val="007D701A"/>
    <w:rsid w:val="007D7044"/>
    <w:rsid w:val="007D7491"/>
    <w:rsid w:val="007E000F"/>
    <w:rsid w:val="007E1135"/>
    <w:rsid w:val="007E19A6"/>
    <w:rsid w:val="007E1C2E"/>
    <w:rsid w:val="007E1D38"/>
    <w:rsid w:val="007E27E0"/>
    <w:rsid w:val="007E29CF"/>
    <w:rsid w:val="007E35D8"/>
    <w:rsid w:val="007E3764"/>
    <w:rsid w:val="007E4323"/>
    <w:rsid w:val="007E496A"/>
    <w:rsid w:val="007E4A1F"/>
    <w:rsid w:val="007E4B7F"/>
    <w:rsid w:val="007E51B6"/>
    <w:rsid w:val="007E52CB"/>
    <w:rsid w:val="007E6661"/>
    <w:rsid w:val="007E6721"/>
    <w:rsid w:val="007E6D16"/>
    <w:rsid w:val="007E6F07"/>
    <w:rsid w:val="007F0EBA"/>
    <w:rsid w:val="007F0FDA"/>
    <w:rsid w:val="007F1263"/>
    <w:rsid w:val="007F2007"/>
    <w:rsid w:val="007F2338"/>
    <w:rsid w:val="007F2BA4"/>
    <w:rsid w:val="007F2E32"/>
    <w:rsid w:val="007F2E48"/>
    <w:rsid w:val="007F2F97"/>
    <w:rsid w:val="007F3880"/>
    <w:rsid w:val="007F3B8C"/>
    <w:rsid w:val="007F421B"/>
    <w:rsid w:val="007F4710"/>
    <w:rsid w:val="007F4D34"/>
    <w:rsid w:val="007F4EEA"/>
    <w:rsid w:val="007F52CA"/>
    <w:rsid w:val="007F6D88"/>
    <w:rsid w:val="007F7574"/>
    <w:rsid w:val="007F791D"/>
    <w:rsid w:val="007F7C6E"/>
    <w:rsid w:val="007F7D09"/>
    <w:rsid w:val="008006EE"/>
    <w:rsid w:val="00800777"/>
    <w:rsid w:val="0080122B"/>
    <w:rsid w:val="0080354C"/>
    <w:rsid w:val="008037F7"/>
    <w:rsid w:val="00804473"/>
    <w:rsid w:val="008046FF"/>
    <w:rsid w:val="008049EA"/>
    <w:rsid w:val="00804D26"/>
    <w:rsid w:val="008053E6"/>
    <w:rsid w:val="008059A8"/>
    <w:rsid w:val="00806A80"/>
    <w:rsid w:val="00806D9B"/>
    <w:rsid w:val="00807623"/>
    <w:rsid w:val="008079D8"/>
    <w:rsid w:val="00807B53"/>
    <w:rsid w:val="00810CD7"/>
    <w:rsid w:val="00810D34"/>
    <w:rsid w:val="00811137"/>
    <w:rsid w:val="00811503"/>
    <w:rsid w:val="00812A68"/>
    <w:rsid w:val="00812EEE"/>
    <w:rsid w:val="00812F41"/>
    <w:rsid w:val="0081471B"/>
    <w:rsid w:val="00814882"/>
    <w:rsid w:val="008148F1"/>
    <w:rsid w:val="00814E45"/>
    <w:rsid w:val="00814F25"/>
    <w:rsid w:val="0081540C"/>
    <w:rsid w:val="008158CC"/>
    <w:rsid w:val="0081620E"/>
    <w:rsid w:val="0081658F"/>
    <w:rsid w:val="00816ED9"/>
    <w:rsid w:val="0081739B"/>
    <w:rsid w:val="008175BD"/>
    <w:rsid w:val="008178AB"/>
    <w:rsid w:val="008179CF"/>
    <w:rsid w:val="00817D71"/>
    <w:rsid w:val="00817ECC"/>
    <w:rsid w:val="00817F37"/>
    <w:rsid w:val="008203B5"/>
    <w:rsid w:val="0082049A"/>
    <w:rsid w:val="008205DB"/>
    <w:rsid w:val="00820CE5"/>
    <w:rsid w:val="00820E00"/>
    <w:rsid w:val="008213F1"/>
    <w:rsid w:val="0082189E"/>
    <w:rsid w:val="00822151"/>
    <w:rsid w:val="0082279D"/>
    <w:rsid w:val="0082369D"/>
    <w:rsid w:val="00824316"/>
    <w:rsid w:val="008257EC"/>
    <w:rsid w:val="00825851"/>
    <w:rsid w:val="00825D3D"/>
    <w:rsid w:val="00825D43"/>
    <w:rsid w:val="00825FB2"/>
    <w:rsid w:val="00826295"/>
    <w:rsid w:val="00826B85"/>
    <w:rsid w:val="00826BE9"/>
    <w:rsid w:val="00826D95"/>
    <w:rsid w:val="00826E5B"/>
    <w:rsid w:val="00827AF0"/>
    <w:rsid w:val="00827BC5"/>
    <w:rsid w:val="00830148"/>
    <w:rsid w:val="00830344"/>
    <w:rsid w:val="0083095E"/>
    <w:rsid w:val="008316AD"/>
    <w:rsid w:val="00831981"/>
    <w:rsid w:val="008320AD"/>
    <w:rsid w:val="008323AD"/>
    <w:rsid w:val="00832538"/>
    <w:rsid w:val="008327E8"/>
    <w:rsid w:val="00833286"/>
    <w:rsid w:val="0083378E"/>
    <w:rsid w:val="00833C32"/>
    <w:rsid w:val="00833C7E"/>
    <w:rsid w:val="00833D56"/>
    <w:rsid w:val="00834B01"/>
    <w:rsid w:val="00834FD5"/>
    <w:rsid w:val="00835771"/>
    <w:rsid w:val="008360ED"/>
    <w:rsid w:val="008361E6"/>
    <w:rsid w:val="008363A2"/>
    <w:rsid w:val="008365C2"/>
    <w:rsid w:val="00836D57"/>
    <w:rsid w:val="00836FA6"/>
    <w:rsid w:val="00837125"/>
    <w:rsid w:val="00837395"/>
    <w:rsid w:val="008407BC"/>
    <w:rsid w:val="0084188B"/>
    <w:rsid w:val="00841DAA"/>
    <w:rsid w:val="00841E44"/>
    <w:rsid w:val="00842568"/>
    <w:rsid w:val="0084272D"/>
    <w:rsid w:val="00842834"/>
    <w:rsid w:val="00843C7B"/>
    <w:rsid w:val="00844088"/>
    <w:rsid w:val="00844111"/>
    <w:rsid w:val="0084459E"/>
    <w:rsid w:val="008445D4"/>
    <w:rsid w:val="008446F1"/>
    <w:rsid w:val="00844AB1"/>
    <w:rsid w:val="00845E64"/>
    <w:rsid w:val="00845FD2"/>
    <w:rsid w:val="00846A12"/>
    <w:rsid w:val="00846A3E"/>
    <w:rsid w:val="00846F3B"/>
    <w:rsid w:val="00846FF0"/>
    <w:rsid w:val="00847435"/>
    <w:rsid w:val="00847C67"/>
    <w:rsid w:val="0085002F"/>
    <w:rsid w:val="00851E33"/>
    <w:rsid w:val="00851E5B"/>
    <w:rsid w:val="0085298A"/>
    <w:rsid w:val="00852ADA"/>
    <w:rsid w:val="0085353C"/>
    <w:rsid w:val="00853732"/>
    <w:rsid w:val="008549D1"/>
    <w:rsid w:val="00855458"/>
    <w:rsid w:val="00855A26"/>
    <w:rsid w:val="008564FE"/>
    <w:rsid w:val="0085728C"/>
    <w:rsid w:val="0085729F"/>
    <w:rsid w:val="008607E0"/>
    <w:rsid w:val="0086134D"/>
    <w:rsid w:val="00861825"/>
    <w:rsid w:val="00861FD7"/>
    <w:rsid w:val="00862D56"/>
    <w:rsid w:val="00862DB9"/>
    <w:rsid w:val="00862F9F"/>
    <w:rsid w:val="008642EC"/>
    <w:rsid w:val="0086463D"/>
    <w:rsid w:val="00864EBA"/>
    <w:rsid w:val="00865057"/>
    <w:rsid w:val="00865472"/>
    <w:rsid w:val="00865783"/>
    <w:rsid w:val="00865F05"/>
    <w:rsid w:val="00865FB3"/>
    <w:rsid w:val="00865FDF"/>
    <w:rsid w:val="008676F0"/>
    <w:rsid w:val="00870429"/>
    <w:rsid w:val="0087080C"/>
    <w:rsid w:val="008709A3"/>
    <w:rsid w:val="008709ED"/>
    <w:rsid w:val="00870E37"/>
    <w:rsid w:val="008715CA"/>
    <w:rsid w:val="00871DD8"/>
    <w:rsid w:val="00871E15"/>
    <w:rsid w:val="00872406"/>
    <w:rsid w:val="00872A25"/>
    <w:rsid w:val="0087387B"/>
    <w:rsid w:val="00873B4C"/>
    <w:rsid w:val="00874671"/>
    <w:rsid w:val="00874A1F"/>
    <w:rsid w:val="00874AB6"/>
    <w:rsid w:val="008760DD"/>
    <w:rsid w:val="008762C5"/>
    <w:rsid w:val="0087635E"/>
    <w:rsid w:val="00876773"/>
    <w:rsid w:val="008768B2"/>
    <w:rsid w:val="00876921"/>
    <w:rsid w:val="00876B68"/>
    <w:rsid w:val="00876C97"/>
    <w:rsid w:val="00876E9C"/>
    <w:rsid w:val="00876F76"/>
    <w:rsid w:val="0087756A"/>
    <w:rsid w:val="0088012F"/>
    <w:rsid w:val="0088013C"/>
    <w:rsid w:val="008806E8"/>
    <w:rsid w:val="00880902"/>
    <w:rsid w:val="00881C4D"/>
    <w:rsid w:val="008821C7"/>
    <w:rsid w:val="0088237B"/>
    <w:rsid w:val="0088286F"/>
    <w:rsid w:val="008832C4"/>
    <w:rsid w:val="00883EAF"/>
    <w:rsid w:val="00884238"/>
    <w:rsid w:val="00884452"/>
    <w:rsid w:val="00884F85"/>
    <w:rsid w:val="00885FA7"/>
    <w:rsid w:val="00886F71"/>
    <w:rsid w:val="008871FF"/>
    <w:rsid w:val="008905D7"/>
    <w:rsid w:val="00890679"/>
    <w:rsid w:val="008906B5"/>
    <w:rsid w:val="00890BF4"/>
    <w:rsid w:val="00890C7B"/>
    <w:rsid w:val="00891B2D"/>
    <w:rsid w:val="008922B6"/>
    <w:rsid w:val="008926C3"/>
    <w:rsid w:val="00893316"/>
    <w:rsid w:val="00893875"/>
    <w:rsid w:val="00893951"/>
    <w:rsid w:val="00893E22"/>
    <w:rsid w:val="00893FC1"/>
    <w:rsid w:val="008943CB"/>
    <w:rsid w:val="00894622"/>
    <w:rsid w:val="0089531E"/>
    <w:rsid w:val="008955C5"/>
    <w:rsid w:val="008958FE"/>
    <w:rsid w:val="0089598C"/>
    <w:rsid w:val="00895B1D"/>
    <w:rsid w:val="00895B87"/>
    <w:rsid w:val="0089632B"/>
    <w:rsid w:val="008963D4"/>
    <w:rsid w:val="00896511"/>
    <w:rsid w:val="008965F8"/>
    <w:rsid w:val="00897667"/>
    <w:rsid w:val="00897763"/>
    <w:rsid w:val="008977AC"/>
    <w:rsid w:val="00897A5A"/>
    <w:rsid w:val="00897AB8"/>
    <w:rsid w:val="00897B60"/>
    <w:rsid w:val="00897F59"/>
    <w:rsid w:val="008A08D2"/>
    <w:rsid w:val="008A14F2"/>
    <w:rsid w:val="008A1837"/>
    <w:rsid w:val="008A18F3"/>
    <w:rsid w:val="008A1C85"/>
    <w:rsid w:val="008A1D76"/>
    <w:rsid w:val="008A2255"/>
    <w:rsid w:val="008A26A7"/>
    <w:rsid w:val="008A2E7B"/>
    <w:rsid w:val="008A35E6"/>
    <w:rsid w:val="008A38B6"/>
    <w:rsid w:val="008A3A4A"/>
    <w:rsid w:val="008A4B8E"/>
    <w:rsid w:val="008A568A"/>
    <w:rsid w:val="008A5C8E"/>
    <w:rsid w:val="008A6B3F"/>
    <w:rsid w:val="008A73C7"/>
    <w:rsid w:val="008A7A00"/>
    <w:rsid w:val="008B163D"/>
    <w:rsid w:val="008B1C95"/>
    <w:rsid w:val="008B251B"/>
    <w:rsid w:val="008B289F"/>
    <w:rsid w:val="008B2C72"/>
    <w:rsid w:val="008B30B7"/>
    <w:rsid w:val="008B4914"/>
    <w:rsid w:val="008B5533"/>
    <w:rsid w:val="008B562E"/>
    <w:rsid w:val="008B5748"/>
    <w:rsid w:val="008B5B9D"/>
    <w:rsid w:val="008B5F21"/>
    <w:rsid w:val="008B61BC"/>
    <w:rsid w:val="008B6253"/>
    <w:rsid w:val="008B6355"/>
    <w:rsid w:val="008B6A22"/>
    <w:rsid w:val="008B6AA6"/>
    <w:rsid w:val="008B6B0E"/>
    <w:rsid w:val="008B6E1A"/>
    <w:rsid w:val="008B75E1"/>
    <w:rsid w:val="008B7CE5"/>
    <w:rsid w:val="008C030D"/>
    <w:rsid w:val="008C0573"/>
    <w:rsid w:val="008C0C4D"/>
    <w:rsid w:val="008C1167"/>
    <w:rsid w:val="008C11ED"/>
    <w:rsid w:val="008C1B0A"/>
    <w:rsid w:val="008C1CFE"/>
    <w:rsid w:val="008C2078"/>
    <w:rsid w:val="008C23B0"/>
    <w:rsid w:val="008C2B2A"/>
    <w:rsid w:val="008C2F0D"/>
    <w:rsid w:val="008C2FAA"/>
    <w:rsid w:val="008C33C3"/>
    <w:rsid w:val="008C3B37"/>
    <w:rsid w:val="008C4D02"/>
    <w:rsid w:val="008C520E"/>
    <w:rsid w:val="008C5C70"/>
    <w:rsid w:val="008C5CA5"/>
    <w:rsid w:val="008C6F9B"/>
    <w:rsid w:val="008C6FE4"/>
    <w:rsid w:val="008C70FF"/>
    <w:rsid w:val="008C7368"/>
    <w:rsid w:val="008C73D6"/>
    <w:rsid w:val="008C7AB3"/>
    <w:rsid w:val="008C7B15"/>
    <w:rsid w:val="008D0C62"/>
    <w:rsid w:val="008D1B3A"/>
    <w:rsid w:val="008D2528"/>
    <w:rsid w:val="008D2777"/>
    <w:rsid w:val="008D2CD6"/>
    <w:rsid w:val="008D2DDA"/>
    <w:rsid w:val="008D3287"/>
    <w:rsid w:val="008D32FF"/>
    <w:rsid w:val="008D3411"/>
    <w:rsid w:val="008D37BC"/>
    <w:rsid w:val="008D39B0"/>
    <w:rsid w:val="008D3E76"/>
    <w:rsid w:val="008D462B"/>
    <w:rsid w:val="008D4645"/>
    <w:rsid w:val="008D4939"/>
    <w:rsid w:val="008D4F0B"/>
    <w:rsid w:val="008D7C3E"/>
    <w:rsid w:val="008D7EC3"/>
    <w:rsid w:val="008E0465"/>
    <w:rsid w:val="008E0702"/>
    <w:rsid w:val="008E0A9F"/>
    <w:rsid w:val="008E1183"/>
    <w:rsid w:val="008E1195"/>
    <w:rsid w:val="008E130A"/>
    <w:rsid w:val="008E159E"/>
    <w:rsid w:val="008E26CE"/>
    <w:rsid w:val="008E2DD0"/>
    <w:rsid w:val="008E2F88"/>
    <w:rsid w:val="008E3427"/>
    <w:rsid w:val="008E3A46"/>
    <w:rsid w:val="008E3AEA"/>
    <w:rsid w:val="008E3D60"/>
    <w:rsid w:val="008E5977"/>
    <w:rsid w:val="008E601B"/>
    <w:rsid w:val="008E6128"/>
    <w:rsid w:val="008E6A15"/>
    <w:rsid w:val="008E6ACA"/>
    <w:rsid w:val="008E6B68"/>
    <w:rsid w:val="008E6D4E"/>
    <w:rsid w:val="008E7390"/>
    <w:rsid w:val="008E762D"/>
    <w:rsid w:val="008F000D"/>
    <w:rsid w:val="008F0630"/>
    <w:rsid w:val="008F0854"/>
    <w:rsid w:val="008F0DAD"/>
    <w:rsid w:val="008F1F00"/>
    <w:rsid w:val="008F32A1"/>
    <w:rsid w:val="008F3E85"/>
    <w:rsid w:val="008F41F5"/>
    <w:rsid w:val="008F4996"/>
    <w:rsid w:val="008F4C82"/>
    <w:rsid w:val="008F5F77"/>
    <w:rsid w:val="008F686A"/>
    <w:rsid w:val="008F6D94"/>
    <w:rsid w:val="008F6E84"/>
    <w:rsid w:val="008F7689"/>
    <w:rsid w:val="008F7EB9"/>
    <w:rsid w:val="008F7EBB"/>
    <w:rsid w:val="00900127"/>
    <w:rsid w:val="00900486"/>
    <w:rsid w:val="0090050D"/>
    <w:rsid w:val="0090056C"/>
    <w:rsid w:val="0090091B"/>
    <w:rsid w:val="00900939"/>
    <w:rsid w:val="00900DF0"/>
    <w:rsid w:val="0090104D"/>
    <w:rsid w:val="00901459"/>
    <w:rsid w:val="00903120"/>
    <w:rsid w:val="009035AD"/>
    <w:rsid w:val="00903621"/>
    <w:rsid w:val="00905898"/>
    <w:rsid w:val="0090605A"/>
    <w:rsid w:val="00906B1D"/>
    <w:rsid w:val="00907AAF"/>
    <w:rsid w:val="00907EE2"/>
    <w:rsid w:val="00910513"/>
    <w:rsid w:val="0091074A"/>
    <w:rsid w:val="0091091D"/>
    <w:rsid w:val="009110EB"/>
    <w:rsid w:val="00911291"/>
    <w:rsid w:val="009113AE"/>
    <w:rsid w:val="00911DEC"/>
    <w:rsid w:val="00911F60"/>
    <w:rsid w:val="00913A4D"/>
    <w:rsid w:val="00913CAA"/>
    <w:rsid w:val="00914284"/>
    <w:rsid w:val="00914550"/>
    <w:rsid w:val="00914E36"/>
    <w:rsid w:val="00914EE3"/>
    <w:rsid w:val="00915300"/>
    <w:rsid w:val="00916B79"/>
    <w:rsid w:val="009173B9"/>
    <w:rsid w:val="00917421"/>
    <w:rsid w:val="00917AE1"/>
    <w:rsid w:val="009202B1"/>
    <w:rsid w:val="0092042A"/>
    <w:rsid w:val="009216CA"/>
    <w:rsid w:val="00922808"/>
    <w:rsid w:val="00922934"/>
    <w:rsid w:val="009235EB"/>
    <w:rsid w:val="00923CCF"/>
    <w:rsid w:val="00923EDF"/>
    <w:rsid w:val="009245CB"/>
    <w:rsid w:val="00924657"/>
    <w:rsid w:val="00924AF5"/>
    <w:rsid w:val="009251E7"/>
    <w:rsid w:val="0092534F"/>
    <w:rsid w:val="00925562"/>
    <w:rsid w:val="009259EF"/>
    <w:rsid w:val="00925D0C"/>
    <w:rsid w:val="00926414"/>
    <w:rsid w:val="0092657D"/>
    <w:rsid w:val="0092749B"/>
    <w:rsid w:val="00927725"/>
    <w:rsid w:val="009301FC"/>
    <w:rsid w:val="00930625"/>
    <w:rsid w:val="00930782"/>
    <w:rsid w:val="00931452"/>
    <w:rsid w:val="009321C7"/>
    <w:rsid w:val="009332EE"/>
    <w:rsid w:val="0093332F"/>
    <w:rsid w:val="0093355A"/>
    <w:rsid w:val="009335BA"/>
    <w:rsid w:val="00934660"/>
    <w:rsid w:val="00934E21"/>
    <w:rsid w:val="00935385"/>
    <w:rsid w:val="00935A09"/>
    <w:rsid w:val="00935D33"/>
    <w:rsid w:val="00935ECF"/>
    <w:rsid w:val="00936244"/>
    <w:rsid w:val="00936445"/>
    <w:rsid w:val="00936653"/>
    <w:rsid w:val="00936B44"/>
    <w:rsid w:val="00936E5A"/>
    <w:rsid w:val="00936EC8"/>
    <w:rsid w:val="0094036E"/>
    <w:rsid w:val="00940F5B"/>
    <w:rsid w:val="00941422"/>
    <w:rsid w:val="009416FE"/>
    <w:rsid w:val="009417E1"/>
    <w:rsid w:val="00941BF3"/>
    <w:rsid w:val="009427EF"/>
    <w:rsid w:val="0094286F"/>
    <w:rsid w:val="00942AE0"/>
    <w:rsid w:val="0094336F"/>
    <w:rsid w:val="00944829"/>
    <w:rsid w:val="0094522E"/>
    <w:rsid w:val="00945351"/>
    <w:rsid w:val="009459DA"/>
    <w:rsid w:val="00945D12"/>
    <w:rsid w:val="00945DBF"/>
    <w:rsid w:val="0094695E"/>
    <w:rsid w:val="00946FC1"/>
    <w:rsid w:val="00947DA7"/>
    <w:rsid w:val="00947F9D"/>
    <w:rsid w:val="009501A6"/>
    <w:rsid w:val="00950381"/>
    <w:rsid w:val="00951495"/>
    <w:rsid w:val="00951B95"/>
    <w:rsid w:val="0095265F"/>
    <w:rsid w:val="00953C4E"/>
    <w:rsid w:val="00954737"/>
    <w:rsid w:val="0095501C"/>
    <w:rsid w:val="009566CA"/>
    <w:rsid w:val="00956FE4"/>
    <w:rsid w:val="00960465"/>
    <w:rsid w:val="0096054B"/>
    <w:rsid w:val="00960B18"/>
    <w:rsid w:val="00960BF1"/>
    <w:rsid w:val="00961175"/>
    <w:rsid w:val="00961227"/>
    <w:rsid w:val="00961EC4"/>
    <w:rsid w:val="00962287"/>
    <w:rsid w:val="00962690"/>
    <w:rsid w:val="00963CBF"/>
    <w:rsid w:val="00964380"/>
    <w:rsid w:val="00964FB5"/>
    <w:rsid w:val="00965381"/>
    <w:rsid w:val="00965F20"/>
    <w:rsid w:val="009660FA"/>
    <w:rsid w:val="009669CC"/>
    <w:rsid w:val="00966DF1"/>
    <w:rsid w:val="00967135"/>
    <w:rsid w:val="00970215"/>
    <w:rsid w:val="00971077"/>
    <w:rsid w:val="00971B25"/>
    <w:rsid w:val="0097281D"/>
    <w:rsid w:val="00972A26"/>
    <w:rsid w:val="00972AFD"/>
    <w:rsid w:val="00972B10"/>
    <w:rsid w:val="00972B68"/>
    <w:rsid w:val="00972FEE"/>
    <w:rsid w:val="00973175"/>
    <w:rsid w:val="009732AC"/>
    <w:rsid w:val="009733E9"/>
    <w:rsid w:val="009734EE"/>
    <w:rsid w:val="00973FD3"/>
    <w:rsid w:val="00973FE6"/>
    <w:rsid w:val="009740C4"/>
    <w:rsid w:val="0097517A"/>
    <w:rsid w:val="00975FF0"/>
    <w:rsid w:val="009763BC"/>
    <w:rsid w:val="00976F69"/>
    <w:rsid w:val="00977B3F"/>
    <w:rsid w:val="009806F9"/>
    <w:rsid w:val="009808EA"/>
    <w:rsid w:val="0098111E"/>
    <w:rsid w:val="00981701"/>
    <w:rsid w:val="00981B96"/>
    <w:rsid w:val="00981E78"/>
    <w:rsid w:val="00981F79"/>
    <w:rsid w:val="00982068"/>
    <w:rsid w:val="009825C9"/>
    <w:rsid w:val="00982C4A"/>
    <w:rsid w:val="00982EA3"/>
    <w:rsid w:val="00982FF0"/>
    <w:rsid w:val="0098318A"/>
    <w:rsid w:val="00983215"/>
    <w:rsid w:val="0098344B"/>
    <w:rsid w:val="00983973"/>
    <w:rsid w:val="00984527"/>
    <w:rsid w:val="00984A91"/>
    <w:rsid w:val="00984D0D"/>
    <w:rsid w:val="00984F46"/>
    <w:rsid w:val="009850EF"/>
    <w:rsid w:val="00985278"/>
    <w:rsid w:val="00985DA0"/>
    <w:rsid w:val="00986318"/>
    <w:rsid w:val="00986879"/>
    <w:rsid w:val="009868FC"/>
    <w:rsid w:val="00986CF6"/>
    <w:rsid w:val="009870B6"/>
    <w:rsid w:val="009872CB"/>
    <w:rsid w:val="00987D41"/>
    <w:rsid w:val="00990A70"/>
    <w:rsid w:val="00990B30"/>
    <w:rsid w:val="00991426"/>
    <w:rsid w:val="00991558"/>
    <w:rsid w:val="00991893"/>
    <w:rsid w:val="00991A16"/>
    <w:rsid w:val="00991FAC"/>
    <w:rsid w:val="00992433"/>
    <w:rsid w:val="0099250A"/>
    <w:rsid w:val="00992BE2"/>
    <w:rsid w:val="00993626"/>
    <w:rsid w:val="009941C2"/>
    <w:rsid w:val="00994C42"/>
    <w:rsid w:val="0099555A"/>
    <w:rsid w:val="0099562E"/>
    <w:rsid w:val="00996DDC"/>
    <w:rsid w:val="00997581"/>
    <w:rsid w:val="00997C13"/>
    <w:rsid w:val="00997FD2"/>
    <w:rsid w:val="009A0A34"/>
    <w:rsid w:val="009A13B8"/>
    <w:rsid w:val="009A28A1"/>
    <w:rsid w:val="009A2A89"/>
    <w:rsid w:val="009A2D5F"/>
    <w:rsid w:val="009A2E41"/>
    <w:rsid w:val="009A4722"/>
    <w:rsid w:val="009A52C1"/>
    <w:rsid w:val="009A5992"/>
    <w:rsid w:val="009A5EA7"/>
    <w:rsid w:val="009A6174"/>
    <w:rsid w:val="009A64E8"/>
    <w:rsid w:val="009A6B66"/>
    <w:rsid w:val="009A7AEC"/>
    <w:rsid w:val="009A7B9B"/>
    <w:rsid w:val="009B0069"/>
    <w:rsid w:val="009B0652"/>
    <w:rsid w:val="009B0AAF"/>
    <w:rsid w:val="009B0E6D"/>
    <w:rsid w:val="009B179A"/>
    <w:rsid w:val="009B17C7"/>
    <w:rsid w:val="009B1E61"/>
    <w:rsid w:val="009B276A"/>
    <w:rsid w:val="009B3739"/>
    <w:rsid w:val="009B3AA5"/>
    <w:rsid w:val="009B420F"/>
    <w:rsid w:val="009B455D"/>
    <w:rsid w:val="009B4776"/>
    <w:rsid w:val="009B4D35"/>
    <w:rsid w:val="009B4E5F"/>
    <w:rsid w:val="009B4E8F"/>
    <w:rsid w:val="009B66ED"/>
    <w:rsid w:val="009B6EF1"/>
    <w:rsid w:val="009B761F"/>
    <w:rsid w:val="009B7769"/>
    <w:rsid w:val="009B7E93"/>
    <w:rsid w:val="009B7F6D"/>
    <w:rsid w:val="009C01AA"/>
    <w:rsid w:val="009C0EDB"/>
    <w:rsid w:val="009C0F94"/>
    <w:rsid w:val="009C0FFD"/>
    <w:rsid w:val="009C1419"/>
    <w:rsid w:val="009C1C18"/>
    <w:rsid w:val="009C1EC0"/>
    <w:rsid w:val="009C2436"/>
    <w:rsid w:val="009C441C"/>
    <w:rsid w:val="009C50FB"/>
    <w:rsid w:val="009C55DD"/>
    <w:rsid w:val="009C5C9F"/>
    <w:rsid w:val="009C7FEE"/>
    <w:rsid w:val="009D0203"/>
    <w:rsid w:val="009D0462"/>
    <w:rsid w:val="009D083D"/>
    <w:rsid w:val="009D085B"/>
    <w:rsid w:val="009D0FE7"/>
    <w:rsid w:val="009D12AD"/>
    <w:rsid w:val="009D1794"/>
    <w:rsid w:val="009D2416"/>
    <w:rsid w:val="009D242A"/>
    <w:rsid w:val="009D27AF"/>
    <w:rsid w:val="009D2975"/>
    <w:rsid w:val="009D2D8D"/>
    <w:rsid w:val="009D2FBA"/>
    <w:rsid w:val="009D351E"/>
    <w:rsid w:val="009D3629"/>
    <w:rsid w:val="009D397C"/>
    <w:rsid w:val="009D3B9B"/>
    <w:rsid w:val="009D3D9D"/>
    <w:rsid w:val="009D4172"/>
    <w:rsid w:val="009D42C8"/>
    <w:rsid w:val="009D4C27"/>
    <w:rsid w:val="009D4F4C"/>
    <w:rsid w:val="009D53A0"/>
    <w:rsid w:val="009D58D1"/>
    <w:rsid w:val="009D5FDC"/>
    <w:rsid w:val="009D6082"/>
    <w:rsid w:val="009D63A5"/>
    <w:rsid w:val="009D66ED"/>
    <w:rsid w:val="009D6E7E"/>
    <w:rsid w:val="009D7299"/>
    <w:rsid w:val="009D7340"/>
    <w:rsid w:val="009D7565"/>
    <w:rsid w:val="009D7787"/>
    <w:rsid w:val="009D7D9C"/>
    <w:rsid w:val="009D7DC7"/>
    <w:rsid w:val="009E00C6"/>
    <w:rsid w:val="009E02C9"/>
    <w:rsid w:val="009E0E01"/>
    <w:rsid w:val="009E1046"/>
    <w:rsid w:val="009E121C"/>
    <w:rsid w:val="009E1247"/>
    <w:rsid w:val="009E1B98"/>
    <w:rsid w:val="009E2084"/>
    <w:rsid w:val="009E23B7"/>
    <w:rsid w:val="009E23CD"/>
    <w:rsid w:val="009E292F"/>
    <w:rsid w:val="009E39DC"/>
    <w:rsid w:val="009E3E51"/>
    <w:rsid w:val="009E3FAC"/>
    <w:rsid w:val="009E4096"/>
    <w:rsid w:val="009E4691"/>
    <w:rsid w:val="009E46B5"/>
    <w:rsid w:val="009E47DC"/>
    <w:rsid w:val="009E4BB4"/>
    <w:rsid w:val="009E5378"/>
    <w:rsid w:val="009E56B4"/>
    <w:rsid w:val="009E5A21"/>
    <w:rsid w:val="009E5B64"/>
    <w:rsid w:val="009E6D68"/>
    <w:rsid w:val="009E7EDE"/>
    <w:rsid w:val="009F00D4"/>
    <w:rsid w:val="009F029A"/>
    <w:rsid w:val="009F0A7F"/>
    <w:rsid w:val="009F0DA4"/>
    <w:rsid w:val="009F0EBA"/>
    <w:rsid w:val="009F19EF"/>
    <w:rsid w:val="009F20FA"/>
    <w:rsid w:val="009F28C9"/>
    <w:rsid w:val="009F3D04"/>
    <w:rsid w:val="009F3DF6"/>
    <w:rsid w:val="009F43C3"/>
    <w:rsid w:val="009F47D7"/>
    <w:rsid w:val="009F4D28"/>
    <w:rsid w:val="009F542C"/>
    <w:rsid w:val="009F6110"/>
    <w:rsid w:val="009F615E"/>
    <w:rsid w:val="009F625E"/>
    <w:rsid w:val="009F65C7"/>
    <w:rsid w:val="009F6933"/>
    <w:rsid w:val="009F7197"/>
    <w:rsid w:val="009F7947"/>
    <w:rsid w:val="009F7D43"/>
    <w:rsid w:val="00A0076A"/>
    <w:rsid w:val="00A00C8B"/>
    <w:rsid w:val="00A012D0"/>
    <w:rsid w:val="00A0148D"/>
    <w:rsid w:val="00A01866"/>
    <w:rsid w:val="00A018B8"/>
    <w:rsid w:val="00A01D7B"/>
    <w:rsid w:val="00A043FE"/>
    <w:rsid w:val="00A04630"/>
    <w:rsid w:val="00A04DAF"/>
    <w:rsid w:val="00A05098"/>
    <w:rsid w:val="00A05803"/>
    <w:rsid w:val="00A0584F"/>
    <w:rsid w:val="00A05916"/>
    <w:rsid w:val="00A05D2B"/>
    <w:rsid w:val="00A061DB"/>
    <w:rsid w:val="00A06E1B"/>
    <w:rsid w:val="00A06FE3"/>
    <w:rsid w:val="00A07064"/>
    <w:rsid w:val="00A073FF"/>
    <w:rsid w:val="00A0794D"/>
    <w:rsid w:val="00A107C0"/>
    <w:rsid w:val="00A10B50"/>
    <w:rsid w:val="00A11182"/>
    <w:rsid w:val="00A1118A"/>
    <w:rsid w:val="00A11201"/>
    <w:rsid w:val="00A11F2D"/>
    <w:rsid w:val="00A1266A"/>
    <w:rsid w:val="00A14F65"/>
    <w:rsid w:val="00A15378"/>
    <w:rsid w:val="00A1571D"/>
    <w:rsid w:val="00A15B09"/>
    <w:rsid w:val="00A16741"/>
    <w:rsid w:val="00A170D9"/>
    <w:rsid w:val="00A17225"/>
    <w:rsid w:val="00A17453"/>
    <w:rsid w:val="00A20817"/>
    <w:rsid w:val="00A2114F"/>
    <w:rsid w:val="00A21777"/>
    <w:rsid w:val="00A218A7"/>
    <w:rsid w:val="00A2216E"/>
    <w:rsid w:val="00A22650"/>
    <w:rsid w:val="00A22A96"/>
    <w:rsid w:val="00A22BB3"/>
    <w:rsid w:val="00A231C7"/>
    <w:rsid w:val="00A2370B"/>
    <w:rsid w:val="00A23E9D"/>
    <w:rsid w:val="00A24782"/>
    <w:rsid w:val="00A24FAA"/>
    <w:rsid w:val="00A253CC"/>
    <w:rsid w:val="00A25885"/>
    <w:rsid w:val="00A265F3"/>
    <w:rsid w:val="00A26637"/>
    <w:rsid w:val="00A26CAA"/>
    <w:rsid w:val="00A26CCB"/>
    <w:rsid w:val="00A27769"/>
    <w:rsid w:val="00A27AFB"/>
    <w:rsid w:val="00A3015F"/>
    <w:rsid w:val="00A30441"/>
    <w:rsid w:val="00A30806"/>
    <w:rsid w:val="00A3105A"/>
    <w:rsid w:val="00A313FC"/>
    <w:rsid w:val="00A31536"/>
    <w:rsid w:val="00A315FF"/>
    <w:rsid w:val="00A31956"/>
    <w:rsid w:val="00A32A88"/>
    <w:rsid w:val="00A3334D"/>
    <w:rsid w:val="00A33B52"/>
    <w:rsid w:val="00A33C0B"/>
    <w:rsid w:val="00A33DC9"/>
    <w:rsid w:val="00A33F77"/>
    <w:rsid w:val="00A34A14"/>
    <w:rsid w:val="00A3528D"/>
    <w:rsid w:val="00A35552"/>
    <w:rsid w:val="00A35831"/>
    <w:rsid w:val="00A35E7C"/>
    <w:rsid w:val="00A367AD"/>
    <w:rsid w:val="00A36E14"/>
    <w:rsid w:val="00A373FF"/>
    <w:rsid w:val="00A3743F"/>
    <w:rsid w:val="00A378AA"/>
    <w:rsid w:val="00A40132"/>
    <w:rsid w:val="00A412EF"/>
    <w:rsid w:val="00A41E53"/>
    <w:rsid w:val="00A4253F"/>
    <w:rsid w:val="00A42EF2"/>
    <w:rsid w:val="00A4400D"/>
    <w:rsid w:val="00A442FF"/>
    <w:rsid w:val="00A44CC6"/>
    <w:rsid w:val="00A44D84"/>
    <w:rsid w:val="00A45A85"/>
    <w:rsid w:val="00A45BD2"/>
    <w:rsid w:val="00A45C98"/>
    <w:rsid w:val="00A46F60"/>
    <w:rsid w:val="00A4713F"/>
    <w:rsid w:val="00A4716C"/>
    <w:rsid w:val="00A4738A"/>
    <w:rsid w:val="00A47804"/>
    <w:rsid w:val="00A479EA"/>
    <w:rsid w:val="00A50436"/>
    <w:rsid w:val="00A50595"/>
    <w:rsid w:val="00A51DA8"/>
    <w:rsid w:val="00A51FB7"/>
    <w:rsid w:val="00A5275D"/>
    <w:rsid w:val="00A527F0"/>
    <w:rsid w:val="00A52A12"/>
    <w:rsid w:val="00A52ED5"/>
    <w:rsid w:val="00A5372E"/>
    <w:rsid w:val="00A54194"/>
    <w:rsid w:val="00A54D0D"/>
    <w:rsid w:val="00A54E6E"/>
    <w:rsid w:val="00A5515B"/>
    <w:rsid w:val="00A5527E"/>
    <w:rsid w:val="00A5581F"/>
    <w:rsid w:val="00A558D3"/>
    <w:rsid w:val="00A578D4"/>
    <w:rsid w:val="00A61015"/>
    <w:rsid w:val="00A6142D"/>
    <w:rsid w:val="00A61750"/>
    <w:rsid w:val="00A61C66"/>
    <w:rsid w:val="00A61D22"/>
    <w:rsid w:val="00A61D6F"/>
    <w:rsid w:val="00A61D7A"/>
    <w:rsid w:val="00A620F3"/>
    <w:rsid w:val="00A62AC5"/>
    <w:rsid w:val="00A62D7D"/>
    <w:rsid w:val="00A63702"/>
    <w:rsid w:val="00A641F9"/>
    <w:rsid w:val="00A6431E"/>
    <w:rsid w:val="00A64735"/>
    <w:rsid w:val="00A64A5F"/>
    <w:rsid w:val="00A653BF"/>
    <w:rsid w:val="00A654E5"/>
    <w:rsid w:val="00A659E2"/>
    <w:rsid w:val="00A65B62"/>
    <w:rsid w:val="00A66E40"/>
    <w:rsid w:val="00A66E92"/>
    <w:rsid w:val="00A66FEB"/>
    <w:rsid w:val="00A673B4"/>
    <w:rsid w:val="00A674A4"/>
    <w:rsid w:val="00A701A6"/>
    <w:rsid w:val="00A7091A"/>
    <w:rsid w:val="00A71882"/>
    <w:rsid w:val="00A729CE"/>
    <w:rsid w:val="00A72F5E"/>
    <w:rsid w:val="00A7322E"/>
    <w:rsid w:val="00A73E1D"/>
    <w:rsid w:val="00A73EEA"/>
    <w:rsid w:val="00A73FFB"/>
    <w:rsid w:val="00A74E0A"/>
    <w:rsid w:val="00A75060"/>
    <w:rsid w:val="00A75CE1"/>
    <w:rsid w:val="00A7634C"/>
    <w:rsid w:val="00A766F9"/>
    <w:rsid w:val="00A76FD8"/>
    <w:rsid w:val="00A8070E"/>
    <w:rsid w:val="00A81E2E"/>
    <w:rsid w:val="00A82406"/>
    <w:rsid w:val="00A82644"/>
    <w:rsid w:val="00A8265A"/>
    <w:rsid w:val="00A829CB"/>
    <w:rsid w:val="00A82AA8"/>
    <w:rsid w:val="00A82E8C"/>
    <w:rsid w:val="00A83F16"/>
    <w:rsid w:val="00A84303"/>
    <w:rsid w:val="00A84480"/>
    <w:rsid w:val="00A84D22"/>
    <w:rsid w:val="00A84E72"/>
    <w:rsid w:val="00A8510A"/>
    <w:rsid w:val="00A85B76"/>
    <w:rsid w:val="00A85CC8"/>
    <w:rsid w:val="00A860D4"/>
    <w:rsid w:val="00A86203"/>
    <w:rsid w:val="00A8648B"/>
    <w:rsid w:val="00A8651D"/>
    <w:rsid w:val="00A86836"/>
    <w:rsid w:val="00A8760C"/>
    <w:rsid w:val="00A87AFB"/>
    <w:rsid w:val="00A9080F"/>
    <w:rsid w:val="00A90A4F"/>
    <w:rsid w:val="00A917C3"/>
    <w:rsid w:val="00A91BFE"/>
    <w:rsid w:val="00A9212F"/>
    <w:rsid w:val="00A92240"/>
    <w:rsid w:val="00A9312E"/>
    <w:rsid w:val="00A931DE"/>
    <w:rsid w:val="00A934C0"/>
    <w:rsid w:val="00A93D89"/>
    <w:rsid w:val="00A94D28"/>
    <w:rsid w:val="00A95A99"/>
    <w:rsid w:val="00A95AE6"/>
    <w:rsid w:val="00A95EB3"/>
    <w:rsid w:val="00A964C1"/>
    <w:rsid w:val="00A97013"/>
    <w:rsid w:val="00A9709B"/>
    <w:rsid w:val="00A97180"/>
    <w:rsid w:val="00AA095C"/>
    <w:rsid w:val="00AA1034"/>
    <w:rsid w:val="00AA3782"/>
    <w:rsid w:val="00AA475D"/>
    <w:rsid w:val="00AA47F0"/>
    <w:rsid w:val="00AA4A4A"/>
    <w:rsid w:val="00AA542B"/>
    <w:rsid w:val="00AA548E"/>
    <w:rsid w:val="00AA566E"/>
    <w:rsid w:val="00AA5C5A"/>
    <w:rsid w:val="00AA5D22"/>
    <w:rsid w:val="00AA5FD8"/>
    <w:rsid w:val="00AA6178"/>
    <w:rsid w:val="00AA66D4"/>
    <w:rsid w:val="00AA674D"/>
    <w:rsid w:val="00AA7172"/>
    <w:rsid w:val="00AB1229"/>
    <w:rsid w:val="00AB16D6"/>
    <w:rsid w:val="00AB1A60"/>
    <w:rsid w:val="00AB1B60"/>
    <w:rsid w:val="00AB2251"/>
    <w:rsid w:val="00AB236F"/>
    <w:rsid w:val="00AB2C4F"/>
    <w:rsid w:val="00AB308B"/>
    <w:rsid w:val="00AB3242"/>
    <w:rsid w:val="00AB3ED9"/>
    <w:rsid w:val="00AB4192"/>
    <w:rsid w:val="00AB4E45"/>
    <w:rsid w:val="00AB4FFC"/>
    <w:rsid w:val="00AB5161"/>
    <w:rsid w:val="00AB5272"/>
    <w:rsid w:val="00AB5C6C"/>
    <w:rsid w:val="00AB5F73"/>
    <w:rsid w:val="00AB67EF"/>
    <w:rsid w:val="00AB689D"/>
    <w:rsid w:val="00AB6968"/>
    <w:rsid w:val="00AC014D"/>
    <w:rsid w:val="00AC017E"/>
    <w:rsid w:val="00AC0825"/>
    <w:rsid w:val="00AC0E59"/>
    <w:rsid w:val="00AC10E1"/>
    <w:rsid w:val="00AC2118"/>
    <w:rsid w:val="00AC256D"/>
    <w:rsid w:val="00AC26EB"/>
    <w:rsid w:val="00AC368A"/>
    <w:rsid w:val="00AC384F"/>
    <w:rsid w:val="00AC3874"/>
    <w:rsid w:val="00AC3EE5"/>
    <w:rsid w:val="00AC409E"/>
    <w:rsid w:val="00AC415E"/>
    <w:rsid w:val="00AC43E5"/>
    <w:rsid w:val="00AC44FD"/>
    <w:rsid w:val="00AC4886"/>
    <w:rsid w:val="00AC48DF"/>
    <w:rsid w:val="00AC4CF4"/>
    <w:rsid w:val="00AC4FFA"/>
    <w:rsid w:val="00AC5F71"/>
    <w:rsid w:val="00AC7204"/>
    <w:rsid w:val="00AC7EA1"/>
    <w:rsid w:val="00AD044B"/>
    <w:rsid w:val="00AD07F3"/>
    <w:rsid w:val="00AD0B76"/>
    <w:rsid w:val="00AD12A0"/>
    <w:rsid w:val="00AD13C5"/>
    <w:rsid w:val="00AD1543"/>
    <w:rsid w:val="00AD1F22"/>
    <w:rsid w:val="00AD2DD2"/>
    <w:rsid w:val="00AD35A0"/>
    <w:rsid w:val="00AD392C"/>
    <w:rsid w:val="00AD3C01"/>
    <w:rsid w:val="00AD445A"/>
    <w:rsid w:val="00AD48FA"/>
    <w:rsid w:val="00AD4F26"/>
    <w:rsid w:val="00AD514A"/>
    <w:rsid w:val="00AD5B9F"/>
    <w:rsid w:val="00AD5E93"/>
    <w:rsid w:val="00AD672D"/>
    <w:rsid w:val="00AD6AD2"/>
    <w:rsid w:val="00AD6ADC"/>
    <w:rsid w:val="00AD6DA9"/>
    <w:rsid w:val="00AD749D"/>
    <w:rsid w:val="00AD7BDA"/>
    <w:rsid w:val="00AD7D0B"/>
    <w:rsid w:val="00AD7FA9"/>
    <w:rsid w:val="00AE0208"/>
    <w:rsid w:val="00AE0570"/>
    <w:rsid w:val="00AE05A4"/>
    <w:rsid w:val="00AE06C5"/>
    <w:rsid w:val="00AE0772"/>
    <w:rsid w:val="00AE1258"/>
    <w:rsid w:val="00AE1556"/>
    <w:rsid w:val="00AE20FA"/>
    <w:rsid w:val="00AE22A4"/>
    <w:rsid w:val="00AE23CA"/>
    <w:rsid w:val="00AE3106"/>
    <w:rsid w:val="00AE3171"/>
    <w:rsid w:val="00AE32D0"/>
    <w:rsid w:val="00AE43F0"/>
    <w:rsid w:val="00AE4AE8"/>
    <w:rsid w:val="00AE4B05"/>
    <w:rsid w:val="00AE4CFB"/>
    <w:rsid w:val="00AE5246"/>
    <w:rsid w:val="00AE5397"/>
    <w:rsid w:val="00AE583F"/>
    <w:rsid w:val="00AE5BCC"/>
    <w:rsid w:val="00AE5EBD"/>
    <w:rsid w:val="00AE665F"/>
    <w:rsid w:val="00AE67D7"/>
    <w:rsid w:val="00AE7537"/>
    <w:rsid w:val="00AE7A50"/>
    <w:rsid w:val="00AE7DAD"/>
    <w:rsid w:val="00AE7E41"/>
    <w:rsid w:val="00AF03C9"/>
    <w:rsid w:val="00AF0428"/>
    <w:rsid w:val="00AF1944"/>
    <w:rsid w:val="00AF2109"/>
    <w:rsid w:val="00AF2FD3"/>
    <w:rsid w:val="00AF33AD"/>
    <w:rsid w:val="00AF33E5"/>
    <w:rsid w:val="00AF3BFA"/>
    <w:rsid w:val="00AF3C97"/>
    <w:rsid w:val="00AF3E3E"/>
    <w:rsid w:val="00AF45A9"/>
    <w:rsid w:val="00AF4689"/>
    <w:rsid w:val="00AF4717"/>
    <w:rsid w:val="00AF490E"/>
    <w:rsid w:val="00AF5107"/>
    <w:rsid w:val="00AF57F6"/>
    <w:rsid w:val="00AF5A90"/>
    <w:rsid w:val="00AF5BD8"/>
    <w:rsid w:val="00AF629B"/>
    <w:rsid w:val="00AF6CCC"/>
    <w:rsid w:val="00AF70EE"/>
    <w:rsid w:val="00AF7497"/>
    <w:rsid w:val="00B001D5"/>
    <w:rsid w:val="00B00BC3"/>
    <w:rsid w:val="00B01567"/>
    <w:rsid w:val="00B01CA0"/>
    <w:rsid w:val="00B01DB9"/>
    <w:rsid w:val="00B025AD"/>
    <w:rsid w:val="00B02BC7"/>
    <w:rsid w:val="00B040D7"/>
    <w:rsid w:val="00B04377"/>
    <w:rsid w:val="00B046E8"/>
    <w:rsid w:val="00B04796"/>
    <w:rsid w:val="00B049E4"/>
    <w:rsid w:val="00B04D8B"/>
    <w:rsid w:val="00B04EAE"/>
    <w:rsid w:val="00B05073"/>
    <w:rsid w:val="00B05F91"/>
    <w:rsid w:val="00B068F4"/>
    <w:rsid w:val="00B06D48"/>
    <w:rsid w:val="00B0705E"/>
    <w:rsid w:val="00B075DE"/>
    <w:rsid w:val="00B07E37"/>
    <w:rsid w:val="00B104A2"/>
    <w:rsid w:val="00B10905"/>
    <w:rsid w:val="00B11459"/>
    <w:rsid w:val="00B11D1A"/>
    <w:rsid w:val="00B11E5B"/>
    <w:rsid w:val="00B11FBE"/>
    <w:rsid w:val="00B1292C"/>
    <w:rsid w:val="00B12972"/>
    <w:rsid w:val="00B12E10"/>
    <w:rsid w:val="00B13C6F"/>
    <w:rsid w:val="00B142D8"/>
    <w:rsid w:val="00B146AF"/>
    <w:rsid w:val="00B14FF8"/>
    <w:rsid w:val="00B16556"/>
    <w:rsid w:val="00B166C9"/>
    <w:rsid w:val="00B1691C"/>
    <w:rsid w:val="00B16AEC"/>
    <w:rsid w:val="00B16EE3"/>
    <w:rsid w:val="00B17041"/>
    <w:rsid w:val="00B210A2"/>
    <w:rsid w:val="00B216E3"/>
    <w:rsid w:val="00B217E8"/>
    <w:rsid w:val="00B2212A"/>
    <w:rsid w:val="00B227CE"/>
    <w:rsid w:val="00B22AE9"/>
    <w:rsid w:val="00B22E2B"/>
    <w:rsid w:val="00B23540"/>
    <w:rsid w:val="00B23760"/>
    <w:rsid w:val="00B23886"/>
    <w:rsid w:val="00B24379"/>
    <w:rsid w:val="00B244EF"/>
    <w:rsid w:val="00B24B12"/>
    <w:rsid w:val="00B25583"/>
    <w:rsid w:val="00B258B2"/>
    <w:rsid w:val="00B258FE"/>
    <w:rsid w:val="00B26177"/>
    <w:rsid w:val="00B268F5"/>
    <w:rsid w:val="00B26BB7"/>
    <w:rsid w:val="00B272D6"/>
    <w:rsid w:val="00B27508"/>
    <w:rsid w:val="00B27CB0"/>
    <w:rsid w:val="00B27F4C"/>
    <w:rsid w:val="00B300CB"/>
    <w:rsid w:val="00B30888"/>
    <w:rsid w:val="00B3107C"/>
    <w:rsid w:val="00B31DC9"/>
    <w:rsid w:val="00B32953"/>
    <w:rsid w:val="00B32D74"/>
    <w:rsid w:val="00B33CAF"/>
    <w:rsid w:val="00B33D60"/>
    <w:rsid w:val="00B3442A"/>
    <w:rsid w:val="00B35B70"/>
    <w:rsid w:val="00B35E0E"/>
    <w:rsid w:val="00B3643A"/>
    <w:rsid w:val="00B365C8"/>
    <w:rsid w:val="00B36C27"/>
    <w:rsid w:val="00B37732"/>
    <w:rsid w:val="00B37FA7"/>
    <w:rsid w:val="00B40231"/>
    <w:rsid w:val="00B40829"/>
    <w:rsid w:val="00B40C99"/>
    <w:rsid w:val="00B41911"/>
    <w:rsid w:val="00B420E2"/>
    <w:rsid w:val="00B42596"/>
    <w:rsid w:val="00B42C93"/>
    <w:rsid w:val="00B43AC4"/>
    <w:rsid w:val="00B43C69"/>
    <w:rsid w:val="00B43D7F"/>
    <w:rsid w:val="00B43DA9"/>
    <w:rsid w:val="00B43F68"/>
    <w:rsid w:val="00B46787"/>
    <w:rsid w:val="00B47E59"/>
    <w:rsid w:val="00B501B5"/>
    <w:rsid w:val="00B5066D"/>
    <w:rsid w:val="00B50753"/>
    <w:rsid w:val="00B508E9"/>
    <w:rsid w:val="00B50A32"/>
    <w:rsid w:val="00B50B22"/>
    <w:rsid w:val="00B50E07"/>
    <w:rsid w:val="00B51417"/>
    <w:rsid w:val="00B516C0"/>
    <w:rsid w:val="00B52783"/>
    <w:rsid w:val="00B52900"/>
    <w:rsid w:val="00B52B1B"/>
    <w:rsid w:val="00B52E2A"/>
    <w:rsid w:val="00B531F1"/>
    <w:rsid w:val="00B53A95"/>
    <w:rsid w:val="00B53CD2"/>
    <w:rsid w:val="00B54027"/>
    <w:rsid w:val="00B557BF"/>
    <w:rsid w:val="00B55F29"/>
    <w:rsid w:val="00B562F0"/>
    <w:rsid w:val="00B563E8"/>
    <w:rsid w:val="00B5685A"/>
    <w:rsid w:val="00B5691A"/>
    <w:rsid w:val="00B569EA"/>
    <w:rsid w:val="00B56E5D"/>
    <w:rsid w:val="00B57864"/>
    <w:rsid w:val="00B6001C"/>
    <w:rsid w:val="00B6065E"/>
    <w:rsid w:val="00B60F8C"/>
    <w:rsid w:val="00B6107E"/>
    <w:rsid w:val="00B61E37"/>
    <w:rsid w:val="00B6276E"/>
    <w:rsid w:val="00B627F6"/>
    <w:rsid w:val="00B6365C"/>
    <w:rsid w:val="00B63D91"/>
    <w:rsid w:val="00B6421D"/>
    <w:rsid w:val="00B64A07"/>
    <w:rsid w:val="00B64DA9"/>
    <w:rsid w:val="00B64F3F"/>
    <w:rsid w:val="00B65659"/>
    <w:rsid w:val="00B65CF3"/>
    <w:rsid w:val="00B660E4"/>
    <w:rsid w:val="00B661D5"/>
    <w:rsid w:val="00B665F9"/>
    <w:rsid w:val="00B66710"/>
    <w:rsid w:val="00B67A0E"/>
    <w:rsid w:val="00B67C76"/>
    <w:rsid w:val="00B70517"/>
    <w:rsid w:val="00B70F54"/>
    <w:rsid w:val="00B715C6"/>
    <w:rsid w:val="00B71E5B"/>
    <w:rsid w:val="00B721A7"/>
    <w:rsid w:val="00B7354D"/>
    <w:rsid w:val="00B7470D"/>
    <w:rsid w:val="00B74EB8"/>
    <w:rsid w:val="00B75272"/>
    <w:rsid w:val="00B75330"/>
    <w:rsid w:val="00B754C5"/>
    <w:rsid w:val="00B75BB3"/>
    <w:rsid w:val="00B760F2"/>
    <w:rsid w:val="00B76878"/>
    <w:rsid w:val="00B76BFB"/>
    <w:rsid w:val="00B773AA"/>
    <w:rsid w:val="00B777CF"/>
    <w:rsid w:val="00B77CAA"/>
    <w:rsid w:val="00B77CC0"/>
    <w:rsid w:val="00B802C9"/>
    <w:rsid w:val="00B8045B"/>
    <w:rsid w:val="00B80669"/>
    <w:rsid w:val="00B81F2C"/>
    <w:rsid w:val="00B8210E"/>
    <w:rsid w:val="00B82945"/>
    <w:rsid w:val="00B831D5"/>
    <w:rsid w:val="00B8325D"/>
    <w:rsid w:val="00B84B13"/>
    <w:rsid w:val="00B8546D"/>
    <w:rsid w:val="00B85871"/>
    <w:rsid w:val="00B85B46"/>
    <w:rsid w:val="00B85B7B"/>
    <w:rsid w:val="00B85E95"/>
    <w:rsid w:val="00B85EED"/>
    <w:rsid w:val="00B869A7"/>
    <w:rsid w:val="00B86FB0"/>
    <w:rsid w:val="00B875C0"/>
    <w:rsid w:val="00B90A33"/>
    <w:rsid w:val="00B910B2"/>
    <w:rsid w:val="00B910EF"/>
    <w:rsid w:val="00B9185F"/>
    <w:rsid w:val="00B91880"/>
    <w:rsid w:val="00B91FA2"/>
    <w:rsid w:val="00B922CA"/>
    <w:rsid w:val="00B925D0"/>
    <w:rsid w:val="00B9280A"/>
    <w:rsid w:val="00B932FF"/>
    <w:rsid w:val="00B937B8"/>
    <w:rsid w:val="00B942F5"/>
    <w:rsid w:val="00B94382"/>
    <w:rsid w:val="00B94B34"/>
    <w:rsid w:val="00B94D93"/>
    <w:rsid w:val="00B950E0"/>
    <w:rsid w:val="00B95871"/>
    <w:rsid w:val="00B958C0"/>
    <w:rsid w:val="00B95925"/>
    <w:rsid w:val="00B95D2E"/>
    <w:rsid w:val="00B95EBF"/>
    <w:rsid w:val="00B96020"/>
    <w:rsid w:val="00B96A3D"/>
    <w:rsid w:val="00B96FC5"/>
    <w:rsid w:val="00B977B0"/>
    <w:rsid w:val="00BA0F05"/>
    <w:rsid w:val="00BA1111"/>
    <w:rsid w:val="00BA2053"/>
    <w:rsid w:val="00BA225F"/>
    <w:rsid w:val="00BA24D2"/>
    <w:rsid w:val="00BA293F"/>
    <w:rsid w:val="00BA29F9"/>
    <w:rsid w:val="00BA2AE9"/>
    <w:rsid w:val="00BA3102"/>
    <w:rsid w:val="00BA3167"/>
    <w:rsid w:val="00BA3B2B"/>
    <w:rsid w:val="00BA4149"/>
    <w:rsid w:val="00BA4398"/>
    <w:rsid w:val="00BA4EA6"/>
    <w:rsid w:val="00BA581B"/>
    <w:rsid w:val="00BA587C"/>
    <w:rsid w:val="00BA58A8"/>
    <w:rsid w:val="00BA598F"/>
    <w:rsid w:val="00BA657A"/>
    <w:rsid w:val="00BA698B"/>
    <w:rsid w:val="00BA6A42"/>
    <w:rsid w:val="00BB0534"/>
    <w:rsid w:val="00BB0D4F"/>
    <w:rsid w:val="00BB0DB8"/>
    <w:rsid w:val="00BB0F8F"/>
    <w:rsid w:val="00BB13D7"/>
    <w:rsid w:val="00BB1979"/>
    <w:rsid w:val="00BB1A39"/>
    <w:rsid w:val="00BB1F73"/>
    <w:rsid w:val="00BB28EE"/>
    <w:rsid w:val="00BB2C8C"/>
    <w:rsid w:val="00BB332F"/>
    <w:rsid w:val="00BB348E"/>
    <w:rsid w:val="00BB354F"/>
    <w:rsid w:val="00BB36A8"/>
    <w:rsid w:val="00BB3955"/>
    <w:rsid w:val="00BB43D6"/>
    <w:rsid w:val="00BB4777"/>
    <w:rsid w:val="00BB4EEB"/>
    <w:rsid w:val="00BB5518"/>
    <w:rsid w:val="00BB5B0A"/>
    <w:rsid w:val="00BC06C3"/>
    <w:rsid w:val="00BC1684"/>
    <w:rsid w:val="00BC1741"/>
    <w:rsid w:val="00BC1D33"/>
    <w:rsid w:val="00BC38BA"/>
    <w:rsid w:val="00BC4B1E"/>
    <w:rsid w:val="00BC55DE"/>
    <w:rsid w:val="00BC5739"/>
    <w:rsid w:val="00BC5795"/>
    <w:rsid w:val="00BC5C7E"/>
    <w:rsid w:val="00BC6485"/>
    <w:rsid w:val="00BC64EB"/>
    <w:rsid w:val="00BC72C6"/>
    <w:rsid w:val="00BD0BDE"/>
    <w:rsid w:val="00BD14E9"/>
    <w:rsid w:val="00BD1543"/>
    <w:rsid w:val="00BD192C"/>
    <w:rsid w:val="00BD1988"/>
    <w:rsid w:val="00BD3DC7"/>
    <w:rsid w:val="00BD4596"/>
    <w:rsid w:val="00BD4AA6"/>
    <w:rsid w:val="00BD4FD8"/>
    <w:rsid w:val="00BD6365"/>
    <w:rsid w:val="00BD66D4"/>
    <w:rsid w:val="00BD673C"/>
    <w:rsid w:val="00BD6F9D"/>
    <w:rsid w:val="00BD7937"/>
    <w:rsid w:val="00BE0CF1"/>
    <w:rsid w:val="00BE0F67"/>
    <w:rsid w:val="00BE117F"/>
    <w:rsid w:val="00BE17D6"/>
    <w:rsid w:val="00BE1981"/>
    <w:rsid w:val="00BE224A"/>
    <w:rsid w:val="00BE25C9"/>
    <w:rsid w:val="00BE2783"/>
    <w:rsid w:val="00BE37E1"/>
    <w:rsid w:val="00BE5142"/>
    <w:rsid w:val="00BE5E89"/>
    <w:rsid w:val="00BE67B5"/>
    <w:rsid w:val="00BE6BBF"/>
    <w:rsid w:val="00BE78A4"/>
    <w:rsid w:val="00BF05B1"/>
    <w:rsid w:val="00BF0643"/>
    <w:rsid w:val="00BF0E4E"/>
    <w:rsid w:val="00BF1182"/>
    <w:rsid w:val="00BF1720"/>
    <w:rsid w:val="00BF2383"/>
    <w:rsid w:val="00BF2A42"/>
    <w:rsid w:val="00BF38A9"/>
    <w:rsid w:val="00BF4C43"/>
    <w:rsid w:val="00BF4E75"/>
    <w:rsid w:val="00BF50E3"/>
    <w:rsid w:val="00BF5113"/>
    <w:rsid w:val="00BF5624"/>
    <w:rsid w:val="00BF58BA"/>
    <w:rsid w:val="00BF5DD2"/>
    <w:rsid w:val="00BF6855"/>
    <w:rsid w:val="00BF6E40"/>
    <w:rsid w:val="00BF7406"/>
    <w:rsid w:val="00BF778F"/>
    <w:rsid w:val="00BF786B"/>
    <w:rsid w:val="00BF79C6"/>
    <w:rsid w:val="00BF7D4A"/>
    <w:rsid w:val="00C00A61"/>
    <w:rsid w:val="00C017BF"/>
    <w:rsid w:val="00C01F64"/>
    <w:rsid w:val="00C020D4"/>
    <w:rsid w:val="00C027EA"/>
    <w:rsid w:val="00C02983"/>
    <w:rsid w:val="00C03981"/>
    <w:rsid w:val="00C039C7"/>
    <w:rsid w:val="00C03B54"/>
    <w:rsid w:val="00C03CF9"/>
    <w:rsid w:val="00C03E9D"/>
    <w:rsid w:val="00C04218"/>
    <w:rsid w:val="00C055F3"/>
    <w:rsid w:val="00C057EB"/>
    <w:rsid w:val="00C059E8"/>
    <w:rsid w:val="00C0680D"/>
    <w:rsid w:val="00C07042"/>
    <w:rsid w:val="00C0704F"/>
    <w:rsid w:val="00C07844"/>
    <w:rsid w:val="00C104D7"/>
    <w:rsid w:val="00C1076A"/>
    <w:rsid w:val="00C108DA"/>
    <w:rsid w:val="00C10C95"/>
    <w:rsid w:val="00C11117"/>
    <w:rsid w:val="00C111FD"/>
    <w:rsid w:val="00C11B45"/>
    <w:rsid w:val="00C11E3E"/>
    <w:rsid w:val="00C12175"/>
    <w:rsid w:val="00C127AE"/>
    <w:rsid w:val="00C12948"/>
    <w:rsid w:val="00C13193"/>
    <w:rsid w:val="00C136E9"/>
    <w:rsid w:val="00C1391F"/>
    <w:rsid w:val="00C140E4"/>
    <w:rsid w:val="00C14348"/>
    <w:rsid w:val="00C147E6"/>
    <w:rsid w:val="00C14AB0"/>
    <w:rsid w:val="00C15225"/>
    <w:rsid w:val="00C15CEE"/>
    <w:rsid w:val="00C15E9D"/>
    <w:rsid w:val="00C167D1"/>
    <w:rsid w:val="00C169D0"/>
    <w:rsid w:val="00C1715A"/>
    <w:rsid w:val="00C17832"/>
    <w:rsid w:val="00C17B65"/>
    <w:rsid w:val="00C17BA7"/>
    <w:rsid w:val="00C17D14"/>
    <w:rsid w:val="00C17D3D"/>
    <w:rsid w:val="00C20182"/>
    <w:rsid w:val="00C212AB"/>
    <w:rsid w:val="00C214F0"/>
    <w:rsid w:val="00C21766"/>
    <w:rsid w:val="00C21C3F"/>
    <w:rsid w:val="00C220CA"/>
    <w:rsid w:val="00C23CDB"/>
    <w:rsid w:val="00C240E8"/>
    <w:rsid w:val="00C2425F"/>
    <w:rsid w:val="00C246E7"/>
    <w:rsid w:val="00C248FA"/>
    <w:rsid w:val="00C25BD1"/>
    <w:rsid w:val="00C26422"/>
    <w:rsid w:val="00C26664"/>
    <w:rsid w:val="00C26C7C"/>
    <w:rsid w:val="00C26CC7"/>
    <w:rsid w:val="00C26E03"/>
    <w:rsid w:val="00C27D5F"/>
    <w:rsid w:val="00C31604"/>
    <w:rsid w:val="00C32329"/>
    <w:rsid w:val="00C3269F"/>
    <w:rsid w:val="00C3288D"/>
    <w:rsid w:val="00C32A58"/>
    <w:rsid w:val="00C32E4D"/>
    <w:rsid w:val="00C33CEB"/>
    <w:rsid w:val="00C342DB"/>
    <w:rsid w:val="00C34DE5"/>
    <w:rsid w:val="00C35D7A"/>
    <w:rsid w:val="00C36ADD"/>
    <w:rsid w:val="00C40EF8"/>
    <w:rsid w:val="00C41A46"/>
    <w:rsid w:val="00C41E55"/>
    <w:rsid w:val="00C42785"/>
    <w:rsid w:val="00C4501C"/>
    <w:rsid w:val="00C45177"/>
    <w:rsid w:val="00C45243"/>
    <w:rsid w:val="00C45553"/>
    <w:rsid w:val="00C467B1"/>
    <w:rsid w:val="00C4681F"/>
    <w:rsid w:val="00C46920"/>
    <w:rsid w:val="00C47928"/>
    <w:rsid w:val="00C47E6F"/>
    <w:rsid w:val="00C47E7D"/>
    <w:rsid w:val="00C51200"/>
    <w:rsid w:val="00C514F0"/>
    <w:rsid w:val="00C519B4"/>
    <w:rsid w:val="00C51D6F"/>
    <w:rsid w:val="00C51F61"/>
    <w:rsid w:val="00C52184"/>
    <w:rsid w:val="00C52470"/>
    <w:rsid w:val="00C524CB"/>
    <w:rsid w:val="00C5255F"/>
    <w:rsid w:val="00C53234"/>
    <w:rsid w:val="00C53370"/>
    <w:rsid w:val="00C53989"/>
    <w:rsid w:val="00C53E83"/>
    <w:rsid w:val="00C53F90"/>
    <w:rsid w:val="00C53FE9"/>
    <w:rsid w:val="00C54F52"/>
    <w:rsid w:val="00C553B7"/>
    <w:rsid w:val="00C5583B"/>
    <w:rsid w:val="00C56464"/>
    <w:rsid w:val="00C5798E"/>
    <w:rsid w:val="00C57D4A"/>
    <w:rsid w:val="00C57D9E"/>
    <w:rsid w:val="00C60685"/>
    <w:rsid w:val="00C60A09"/>
    <w:rsid w:val="00C60B0C"/>
    <w:rsid w:val="00C60BD4"/>
    <w:rsid w:val="00C60D78"/>
    <w:rsid w:val="00C60DA1"/>
    <w:rsid w:val="00C61808"/>
    <w:rsid w:val="00C6198E"/>
    <w:rsid w:val="00C621DC"/>
    <w:rsid w:val="00C6364C"/>
    <w:rsid w:val="00C65356"/>
    <w:rsid w:val="00C65465"/>
    <w:rsid w:val="00C65A41"/>
    <w:rsid w:val="00C65C48"/>
    <w:rsid w:val="00C66238"/>
    <w:rsid w:val="00C66E06"/>
    <w:rsid w:val="00C67C95"/>
    <w:rsid w:val="00C67EE6"/>
    <w:rsid w:val="00C70497"/>
    <w:rsid w:val="00C70C76"/>
    <w:rsid w:val="00C70D5A"/>
    <w:rsid w:val="00C71284"/>
    <w:rsid w:val="00C7181C"/>
    <w:rsid w:val="00C718FD"/>
    <w:rsid w:val="00C71C63"/>
    <w:rsid w:val="00C72121"/>
    <w:rsid w:val="00C72325"/>
    <w:rsid w:val="00C72DC6"/>
    <w:rsid w:val="00C7307F"/>
    <w:rsid w:val="00C734CD"/>
    <w:rsid w:val="00C7375E"/>
    <w:rsid w:val="00C73FF8"/>
    <w:rsid w:val="00C742DD"/>
    <w:rsid w:val="00C7439F"/>
    <w:rsid w:val="00C7463A"/>
    <w:rsid w:val="00C747A4"/>
    <w:rsid w:val="00C74970"/>
    <w:rsid w:val="00C74CA2"/>
    <w:rsid w:val="00C756E0"/>
    <w:rsid w:val="00C75804"/>
    <w:rsid w:val="00C75C2A"/>
    <w:rsid w:val="00C75D5C"/>
    <w:rsid w:val="00C7667D"/>
    <w:rsid w:val="00C76A6F"/>
    <w:rsid w:val="00C76E90"/>
    <w:rsid w:val="00C76F83"/>
    <w:rsid w:val="00C772D1"/>
    <w:rsid w:val="00C77CE6"/>
    <w:rsid w:val="00C77E8A"/>
    <w:rsid w:val="00C8064E"/>
    <w:rsid w:val="00C80D4C"/>
    <w:rsid w:val="00C80EE7"/>
    <w:rsid w:val="00C8135C"/>
    <w:rsid w:val="00C814F5"/>
    <w:rsid w:val="00C818DA"/>
    <w:rsid w:val="00C81A9A"/>
    <w:rsid w:val="00C81DC5"/>
    <w:rsid w:val="00C81F24"/>
    <w:rsid w:val="00C8362B"/>
    <w:rsid w:val="00C836AC"/>
    <w:rsid w:val="00C854A9"/>
    <w:rsid w:val="00C869F3"/>
    <w:rsid w:val="00C86EE0"/>
    <w:rsid w:val="00C87312"/>
    <w:rsid w:val="00C87B7D"/>
    <w:rsid w:val="00C87FD2"/>
    <w:rsid w:val="00C87FE6"/>
    <w:rsid w:val="00C90F7B"/>
    <w:rsid w:val="00C91119"/>
    <w:rsid w:val="00C91249"/>
    <w:rsid w:val="00C92CD6"/>
    <w:rsid w:val="00C92D22"/>
    <w:rsid w:val="00C92D4F"/>
    <w:rsid w:val="00C93084"/>
    <w:rsid w:val="00C932C8"/>
    <w:rsid w:val="00C93B18"/>
    <w:rsid w:val="00C942E5"/>
    <w:rsid w:val="00C9448E"/>
    <w:rsid w:val="00C94848"/>
    <w:rsid w:val="00C94867"/>
    <w:rsid w:val="00C9495E"/>
    <w:rsid w:val="00C94E7E"/>
    <w:rsid w:val="00C96381"/>
    <w:rsid w:val="00C97694"/>
    <w:rsid w:val="00C97C9B"/>
    <w:rsid w:val="00CA0008"/>
    <w:rsid w:val="00CA08AE"/>
    <w:rsid w:val="00CA0E3A"/>
    <w:rsid w:val="00CA12F4"/>
    <w:rsid w:val="00CA1C47"/>
    <w:rsid w:val="00CA213B"/>
    <w:rsid w:val="00CA240E"/>
    <w:rsid w:val="00CA3301"/>
    <w:rsid w:val="00CA3333"/>
    <w:rsid w:val="00CA43DE"/>
    <w:rsid w:val="00CA4F12"/>
    <w:rsid w:val="00CA5138"/>
    <w:rsid w:val="00CA5269"/>
    <w:rsid w:val="00CA585A"/>
    <w:rsid w:val="00CA5BCE"/>
    <w:rsid w:val="00CA6A22"/>
    <w:rsid w:val="00CA6E12"/>
    <w:rsid w:val="00CA6EFE"/>
    <w:rsid w:val="00CA732F"/>
    <w:rsid w:val="00CA758C"/>
    <w:rsid w:val="00CA76A8"/>
    <w:rsid w:val="00CA79E1"/>
    <w:rsid w:val="00CA7A2C"/>
    <w:rsid w:val="00CA7EAC"/>
    <w:rsid w:val="00CB004D"/>
    <w:rsid w:val="00CB041D"/>
    <w:rsid w:val="00CB08D8"/>
    <w:rsid w:val="00CB0B3E"/>
    <w:rsid w:val="00CB0B66"/>
    <w:rsid w:val="00CB1109"/>
    <w:rsid w:val="00CB146B"/>
    <w:rsid w:val="00CB2009"/>
    <w:rsid w:val="00CB2048"/>
    <w:rsid w:val="00CB253A"/>
    <w:rsid w:val="00CB2ECB"/>
    <w:rsid w:val="00CB33EE"/>
    <w:rsid w:val="00CB34CC"/>
    <w:rsid w:val="00CB3BA5"/>
    <w:rsid w:val="00CB4045"/>
    <w:rsid w:val="00CB42F2"/>
    <w:rsid w:val="00CB4375"/>
    <w:rsid w:val="00CB4378"/>
    <w:rsid w:val="00CB44D9"/>
    <w:rsid w:val="00CB4618"/>
    <w:rsid w:val="00CB48A9"/>
    <w:rsid w:val="00CB4E97"/>
    <w:rsid w:val="00CB545A"/>
    <w:rsid w:val="00CB58FB"/>
    <w:rsid w:val="00CB59BA"/>
    <w:rsid w:val="00CB68D3"/>
    <w:rsid w:val="00CB6FF7"/>
    <w:rsid w:val="00CB7E78"/>
    <w:rsid w:val="00CC04CB"/>
    <w:rsid w:val="00CC078B"/>
    <w:rsid w:val="00CC135B"/>
    <w:rsid w:val="00CC14C4"/>
    <w:rsid w:val="00CC1901"/>
    <w:rsid w:val="00CC26ED"/>
    <w:rsid w:val="00CC2903"/>
    <w:rsid w:val="00CC2E23"/>
    <w:rsid w:val="00CC2FEB"/>
    <w:rsid w:val="00CC3165"/>
    <w:rsid w:val="00CC38AC"/>
    <w:rsid w:val="00CC3E35"/>
    <w:rsid w:val="00CC4A1A"/>
    <w:rsid w:val="00CC4EAB"/>
    <w:rsid w:val="00CC528A"/>
    <w:rsid w:val="00CC5420"/>
    <w:rsid w:val="00CC5527"/>
    <w:rsid w:val="00CC5C96"/>
    <w:rsid w:val="00CC60B5"/>
    <w:rsid w:val="00CC71BC"/>
    <w:rsid w:val="00CC77A3"/>
    <w:rsid w:val="00CD0FD3"/>
    <w:rsid w:val="00CD13DB"/>
    <w:rsid w:val="00CD1C68"/>
    <w:rsid w:val="00CD2372"/>
    <w:rsid w:val="00CD2663"/>
    <w:rsid w:val="00CD2E6C"/>
    <w:rsid w:val="00CD2F8C"/>
    <w:rsid w:val="00CD32A8"/>
    <w:rsid w:val="00CD4146"/>
    <w:rsid w:val="00CD423D"/>
    <w:rsid w:val="00CD5356"/>
    <w:rsid w:val="00CD5B78"/>
    <w:rsid w:val="00CD610A"/>
    <w:rsid w:val="00CD6191"/>
    <w:rsid w:val="00CD6696"/>
    <w:rsid w:val="00CD682B"/>
    <w:rsid w:val="00CD71ED"/>
    <w:rsid w:val="00CD7494"/>
    <w:rsid w:val="00CD754D"/>
    <w:rsid w:val="00CD7F80"/>
    <w:rsid w:val="00CE01AD"/>
    <w:rsid w:val="00CE02AD"/>
    <w:rsid w:val="00CE053C"/>
    <w:rsid w:val="00CE080E"/>
    <w:rsid w:val="00CE09E5"/>
    <w:rsid w:val="00CE0F26"/>
    <w:rsid w:val="00CE0FFA"/>
    <w:rsid w:val="00CE10E3"/>
    <w:rsid w:val="00CE186F"/>
    <w:rsid w:val="00CE1AFC"/>
    <w:rsid w:val="00CE1D00"/>
    <w:rsid w:val="00CE1F2C"/>
    <w:rsid w:val="00CE21D3"/>
    <w:rsid w:val="00CE23AA"/>
    <w:rsid w:val="00CE295E"/>
    <w:rsid w:val="00CE2A7A"/>
    <w:rsid w:val="00CE2B42"/>
    <w:rsid w:val="00CE319B"/>
    <w:rsid w:val="00CE33A1"/>
    <w:rsid w:val="00CE40E3"/>
    <w:rsid w:val="00CE4A86"/>
    <w:rsid w:val="00CE4C73"/>
    <w:rsid w:val="00CE4CAE"/>
    <w:rsid w:val="00CE55DA"/>
    <w:rsid w:val="00CE58D6"/>
    <w:rsid w:val="00CE58EE"/>
    <w:rsid w:val="00CE59BD"/>
    <w:rsid w:val="00CE59C4"/>
    <w:rsid w:val="00CE5BEF"/>
    <w:rsid w:val="00CE69C0"/>
    <w:rsid w:val="00CE6ECC"/>
    <w:rsid w:val="00CE6FF7"/>
    <w:rsid w:val="00CE7D0F"/>
    <w:rsid w:val="00CF0C7E"/>
    <w:rsid w:val="00CF0E65"/>
    <w:rsid w:val="00CF1695"/>
    <w:rsid w:val="00CF38F4"/>
    <w:rsid w:val="00CF44B5"/>
    <w:rsid w:val="00CF4A87"/>
    <w:rsid w:val="00CF5879"/>
    <w:rsid w:val="00CF59CA"/>
    <w:rsid w:val="00CF6011"/>
    <w:rsid w:val="00CF6517"/>
    <w:rsid w:val="00CF6CBB"/>
    <w:rsid w:val="00CF7AC7"/>
    <w:rsid w:val="00D00375"/>
    <w:rsid w:val="00D00717"/>
    <w:rsid w:val="00D00EFD"/>
    <w:rsid w:val="00D00F94"/>
    <w:rsid w:val="00D018F9"/>
    <w:rsid w:val="00D01E0F"/>
    <w:rsid w:val="00D022DC"/>
    <w:rsid w:val="00D0253C"/>
    <w:rsid w:val="00D02544"/>
    <w:rsid w:val="00D02A89"/>
    <w:rsid w:val="00D03832"/>
    <w:rsid w:val="00D03D7B"/>
    <w:rsid w:val="00D04203"/>
    <w:rsid w:val="00D046C9"/>
    <w:rsid w:val="00D046DE"/>
    <w:rsid w:val="00D04E78"/>
    <w:rsid w:val="00D05183"/>
    <w:rsid w:val="00D05704"/>
    <w:rsid w:val="00D059E2"/>
    <w:rsid w:val="00D061D1"/>
    <w:rsid w:val="00D06847"/>
    <w:rsid w:val="00D06B17"/>
    <w:rsid w:val="00D06BC9"/>
    <w:rsid w:val="00D06DB9"/>
    <w:rsid w:val="00D07BDF"/>
    <w:rsid w:val="00D100CF"/>
    <w:rsid w:val="00D10142"/>
    <w:rsid w:val="00D11933"/>
    <w:rsid w:val="00D11F99"/>
    <w:rsid w:val="00D12493"/>
    <w:rsid w:val="00D12660"/>
    <w:rsid w:val="00D12C7A"/>
    <w:rsid w:val="00D139CA"/>
    <w:rsid w:val="00D149B2"/>
    <w:rsid w:val="00D14A4E"/>
    <w:rsid w:val="00D14C72"/>
    <w:rsid w:val="00D14E14"/>
    <w:rsid w:val="00D14EF9"/>
    <w:rsid w:val="00D15416"/>
    <w:rsid w:val="00D15A58"/>
    <w:rsid w:val="00D1679B"/>
    <w:rsid w:val="00D167ED"/>
    <w:rsid w:val="00D16903"/>
    <w:rsid w:val="00D172CF"/>
    <w:rsid w:val="00D2066E"/>
    <w:rsid w:val="00D20734"/>
    <w:rsid w:val="00D20E5A"/>
    <w:rsid w:val="00D20F4F"/>
    <w:rsid w:val="00D214F7"/>
    <w:rsid w:val="00D22C5B"/>
    <w:rsid w:val="00D23966"/>
    <w:rsid w:val="00D23996"/>
    <w:rsid w:val="00D23D51"/>
    <w:rsid w:val="00D23EE9"/>
    <w:rsid w:val="00D25099"/>
    <w:rsid w:val="00D250CE"/>
    <w:rsid w:val="00D2517C"/>
    <w:rsid w:val="00D26754"/>
    <w:rsid w:val="00D26F00"/>
    <w:rsid w:val="00D27046"/>
    <w:rsid w:val="00D272E8"/>
    <w:rsid w:val="00D276A4"/>
    <w:rsid w:val="00D27A01"/>
    <w:rsid w:val="00D27E11"/>
    <w:rsid w:val="00D27F5C"/>
    <w:rsid w:val="00D300CF"/>
    <w:rsid w:val="00D30181"/>
    <w:rsid w:val="00D30B29"/>
    <w:rsid w:val="00D3106B"/>
    <w:rsid w:val="00D3192D"/>
    <w:rsid w:val="00D323D0"/>
    <w:rsid w:val="00D33130"/>
    <w:rsid w:val="00D33216"/>
    <w:rsid w:val="00D33525"/>
    <w:rsid w:val="00D338D1"/>
    <w:rsid w:val="00D340F2"/>
    <w:rsid w:val="00D3451F"/>
    <w:rsid w:val="00D3464C"/>
    <w:rsid w:val="00D34B5D"/>
    <w:rsid w:val="00D34D98"/>
    <w:rsid w:val="00D34E3D"/>
    <w:rsid w:val="00D3501F"/>
    <w:rsid w:val="00D36068"/>
    <w:rsid w:val="00D36224"/>
    <w:rsid w:val="00D3657A"/>
    <w:rsid w:val="00D40746"/>
    <w:rsid w:val="00D41625"/>
    <w:rsid w:val="00D416AA"/>
    <w:rsid w:val="00D416F5"/>
    <w:rsid w:val="00D418CE"/>
    <w:rsid w:val="00D423CB"/>
    <w:rsid w:val="00D427DC"/>
    <w:rsid w:val="00D42EDC"/>
    <w:rsid w:val="00D436A0"/>
    <w:rsid w:val="00D44111"/>
    <w:rsid w:val="00D444A1"/>
    <w:rsid w:val="00D44D6E"/>
    <w:rsid w:val="00D4515C"/>
    <w:rsid w:val="00D462BC"/>
    <w:rsid w:val="00D4655A"/>
    <w:rsid w:val="00D4695C"/>
    <w:rsid w:val="00D46A93"/>
    <w:rsid w:val="00D46C75"/>
    <w:rsid w:val="00D47584"/>
    <w:rsid w:val="00D47961"/>
    <w:rsid w:val="00D50EE4"/>
    <w:rsid w:val="00D51155"/>
    <w:rsid w:val="00D512C0"/>
    <w:rsid w:val="00D517B7"/>
    <w:rsid w:val="00D51945"/>
    <w:rsid w:val="00D522BB"/>
    <w:rsid w:val="00D52B62"/>
    <w:rsid w:val="00D53045"/>
    <w:rsid w:val="00D53963"/>
    <w:rsid w:val="00D5474F"/>
    <w:rsid w:val="00D55056"/>
    <w:rsid w:val="00D55C15"/>
    <w:rsid w:val="00D56AA2"/>
    <w:rsid w:val="00D56AF9"/>
    <w:rsid w:val="00D56B30"/>
    <w:rsid w:val="00D56CBC"/>
    <w:rsid w:val="00D5724D"/>
    <w:rsid w:val="00D576A7"/>
    <w:rsid w:val="00D60592"/>
    <w:rsid w:val="00D6062D"/>
    <w:rsid w:val="00D61309"/>
    <w:rsid w:val="00D61635"/>
    <w:rsid w:val="00D626A9"/>
    <w:rsid w:val="00D626C6"/>
    <w:rsid w:val="00D6273D"/>
    <w:rsid w:val="00D628C5"/>
    <w:rsid w:val="00D63DB5"/>
    <w:rsid w:val="00D63E81"/>
    <w:rsid w:val="00D63EA8"/>
    <w:rsid w:val="00D643CE"/>
    <w:rsid w:val="00D64B3F"/>
    <w:rsid w:val="00D64BC5"/>
    <w:rsid w:val="00D65080"/>
    <w:rsid w:val="00D652FD"/>
    <w:rsid w:val="00D65699"/>
    <w:rsid w:val="00D65A27"/>
    <w:rsid w:val="00D6766C"/>
    <w:rsid w:val="00D7066E"/>
    <w:rsid w:val="00D7078F"/>
    <w:rsid w:val="00D70AAD"/>
    <w:rsid w:val="00D72BC6"/>
    <w:rsid w:val="00D72F8B"/>
    <w:rsid w:val="00D731E6"/>
    <w:rsid w:val="00D735BC"/>
    <w:rsid w:val="00D74447"/>
    <w:rsid w:val="00D755B0"/>
    <w:rsid w:val="00D75DD0"/>
    <w:rsid w:val="00D767F3"/>
    <w:rsid w:val="00D76EF3"/>
    <w:rsid w:val="00D777A6"/>
    <w:rsid w:val="00D7790E"/>
    <w:rsid w:val="00D77C64"/>
    <w:rsid w:val="00D77FB0"/>
    <w:rsid w:val="00D77FB8"/>
    <w:rsid w:val="00D80B85"/>
    <w:rsid w:val="00D80C5C"/>
    <w:rsid w:val="00D80DD7"/>
    <w:rsid w:val="00D82050"/>
    <w:rsid w:val="00D829F9"/>
    <w:rsid w:val="00D82EF5"/>
    <w:rsid w:val="00D83085"/>
    <w:rsid w:val="00D835AD"/>
    <w:rsid w:val="00D838FD"/>
    <w:rsid w:val="00D83927"/>
    <w:rsid w:val="00D83EFF"/>
    <w:rsid w:val="00D84559"/>
    <w:rsid w:val="00D848C1"/>
    <w:rsid w:val="00D84A12"/>
    <w:rsid w:val="00D84D1F"/>
    <w:rsid w:val="00D84E23"/>
    <w:rsid w:val="00D8588C"/>
    <w:rsid w:val="00D85F51"/>
    <w:rsid w:val="00D85F55"/>
    <w:rsid w:val="00D8610C"/>
    <w:rsid w:val="00D86245"/>
    <w:rsid w:val="00D86A9B"/>
    <w:rsid w:val="00D87054"/>
    <w:rsid w:val="00D87119"/>
    <w:rsid w:val="00D87378"/>
    <w:rsid w:val="00D873E1"/>
    <w:rsid w:val="00D87BDA"/>
    <w:rsid w:val="00D87CCB"/>
    <w:rsid w:val="00D9043F"/>
    <w:rsid w:val="00D90B8E"/>
    <w:rsid w:val="00D90D7C"/>
    <w:rsid w:val="00D91604"/>
    <w:rsid w:val="00D91C87"/>
    <w:rsid w:val="00D92086"/>
    <w:rsid w:val="00D92E74"/>
    <w:rsid w:val="00D93245"/>
    <w:rsid w:val="00D946D1"/>
    <w:rsid w:val="00D94A94"/>
    <w:rsid w:val="00D94CBE"/>
    <w:rsid w:val="00D9594F"/>
    <w:rsid w:val="00D95B06"/>
    <w:rsid w:val="00D965E6"/>
    <w:rsid w:val="00D96898"/>
    <w:rsid w:val="00D96A14"/>
    <w:rsid w:val="00D97AB4"/>
    <w:rsid w:val="00D97E07"/>
    <w:rsid w:val="00DA0043"/>
    <w:rsid w:val="00DA051E"/>
    <w:rsid w:val="00DA0784"/>
    <w:rsid w:val="00DA13E9"/>
    <w:rsid w:val="00DA2034"/>
    <w:rsid w:val="00DA2A20"/>
    <w:rsid w:val="00DA2B75"/>
    <w:rsid w:val="00DA347E"/>
    <w:rsid w:val="00DA3AEE"/>
    <w:rsid w:val="00DA3E5A"/>
    <w:rsid w:val="00DA3FEA"/>
    <w:rsid w:val="00DA4591"/>
    <w:rsid w:val="00DA5978"/>
    <w:rsid w:val="00DA5B39"/>
    <w:rsid w:val="00DA685C"/>
    <w:rsid w:val="00DA7199"/>
    <w:rsid w:val="00DA7738"/>
    <w:rsid w:val="00DA794D"/>
    <w:rsid w:val="00DB07BF"/>
    <w:rsid w:val="00DB0900"/>
    <w:rsid w:val="00DB17F1"/>
    <w:rsid w:val="00DB18F9"/>
    <w:rsid w:val="00DB1EE8"/>
    <w:rsid w:val="00DB1FCD"/>
    <w:rsid w:val="00DB201B"/>
    <w:rsid w:val="00DB26BF"/>
    <w:rsid w:val="00DB2915"/>
    <w:rsid w:val="00DB2EF5"/>
    <w:rsid w:val="00DB3A89"/>
    <w:rsid w:val="00DB3D3C"/>
    <w:rsid w:val="00DB6169"/>
    <w:rsid w:val="00DB62B7"/>
    <w:rsid w:val="00DB64D0"/>
    <w:rsid w:val="00DB6C7E"/>
    <w:rsid w:val="00DB6F99"/>
    <w:rsid w:val="00DB776D"/>
    <w:rsid w:val="00DB7D68"/>
    <w:rsid w:val="00DC0453"/>
    <w:rsid w:val="00DC07B0"/>
    <w:rsid w:val="00DC0B04"/>
    <w:rsid w:val="00DC0B40"/>
    <w:rsid w:val="00DC1005"/>
    <w:rsid w:val="00DC1F39"/>
    <w:rsid w:val="00DC262C"/>
    <w:rsid w:val="00DC2DC4"/>
    <w:rsid w:val="00DC3C4E"/>
    <w:rsid w:val="00DC3D25"/>
    <w:rsid w:val="00DC473D"/>
    <w:rsid w:val="00DC4B4D"/>
    <w:rsid w:val="00DC4B6F"/>
    <w:rsid w:val="00DC4FD4"/>
    <w:rsid w:val="00DC5D7A"/>
    <w:rsid w:val="00DC5F21"/>
    <w:rsid w:val="00DC6048"/>
    <w:rsid w:val="00DC6174"/>
    <w:rsid w:val="00DC64EC"/>
    <w:rsid w:val="00DC6954"/>
    <w:rsid w:val="00DC6BBF"/>
    <w:rsid w:val="00DC6E87"/>
    <w:rsid w:val="00DC72ED"/>
    <w:rsid w:val="00DC7506"/>
    <w:rsid w:val="00DC78FE"/>
    <w:rsid w:val="00DC7B98"/>
    <w:rsid w:val="00DD035E"/>
    <w:rsid w:val="00DD1C3B"/>
    <w:rsid w:val="00DD1C92"/>
    <w:rsid w:val="00DD1CC4"/>
    <w:rsid w:val="00DD1F89"/>
    <w:rsid w:val="00DD2299"/>
    <w:rsid w:val="00DD2879"/>
    <w:rsid w:val="00DD461A"/>
    <w:rsid w:val="00DD4D1F"/>
    <w:rsid w:val="00DD50D7"/>
    <w:rsid w:val="00DD5409"/>
    <w:rsid w:val="00DD5541"/>
    <w:rsid w:val="00DD5802"/>
    <w:rsid w:val="00DD58FD"/>
    <w:rsid w:val="00DD6224"/>
    <w:rsid w:val="00DD6697"/>
    <w:rsid w:val="00DD67DD"/>
    <w:rsid w:val="00DD6A61"/>
    <w:rsid w:val="00DD75E5"/>
    <w:rsid w:val="00DD7777"/>
    <w:rsid w:val="00DD7963"/>
    <w:rsid w:val="00DE04DD"/>
    <w:rsid w:val="00DE0737"/>
    <w:rsid w:val="00DE0F58"/>
    <w:rsid w:val="00DE1D03"/>
    <w:rsid w:val="00DE1E03"/>
    <w:rsid w:val="00DE252A"/>
    <w:rsid w:val="00DE2860"/>
    <w:rsid w:val="00DE2B31"/>
    <w:rsid w:val="00DE2E32"/>
    <w:rsid w:val="00DE398C"/>
    <w:rsid w:val="00DE3BD7"/>
    <w:rsid w:val="00DE3EAE"/>
    <w:rsid w:val="00DE46D6"/>
    <w:rsid w:val="00DE471A"/>
    <w:rsid w:val="00DE49C0"/>
    <w:rsid w:val="00DE5402"/>
    <w:rsid w:val="00DE6008"/>
    <w:rsid w:val="00DE7564"/>
    <w:rsid w:val="00DE76BA"/>
    <w:rsid w:val="00DE7AB3"/>
    <w:rsid w:val="00DE7C76"/>
    <w:rsid w:val="00DE7F24"/>
    <w:rsid w:val="00DF0036"/>
    <w:rsid w:val="00DF0092"/>
    <w:rsid w:val="00DF013F"/>
    <w:rsid w:val="00DF0724"/>
    <w:rsid w:val="00DF0A5C"/>
    <w:rsid w:val="00DF1C9D"/>
    <w:rsid w:val="00DF21ED"/>
    <w:rsid w:val="00DF27B8"/>
    <w:rsid w:val="00DF3367"/>
    <w:rsid w:val="00DF37DB"/>
    <w:rsid w:val="00DF388F"/>
    <w:rsid w:val="00DF3CEE"/>
    <w:rsid w:val="00DF4709"/>
    <w:rsid w:val="00DF496D"/>
    <w:rsid w:val="00DF516E"/>
    <w:rsid w:val="00DF5A7D"/>
    <w:rsid w:val="00DF5DEB"/>
    <w:rsid w:val="00DF629C"/>
    <w:rsid w:val="00DF6954"/>
    <w:rsid w:val="00DF7501"/>
    <w:rsid w:val="00DF788A"/>
    <w:rsid w:val="00DF7F9E"/>
    <w:rsid w:val="00E00436"/>
    <w:rsid w:val="00E007D4"/>
    <w:rsid w:val="00E0081B"/>
    <w:rsid w:val="00E00C62"/>
    <w:rsid w:val="00E00EAD"/>
    <w:rsid w:val="00E019EE"/>
    <w:rsid w:val="00E01BE5"/>
    <w:rsid w:val="00E01FDB"/>
    <w:rsid w:val="00E021DF"/>
    <w:rsid w:val="00E0271D"/>
    <w:rsid w:val="00E03334"/>
    <w:rsid w:val="00E03674"/>
    <w:rsid w:val="00E03987"/>
    <w:rsid w:val="00E04231"/>
    <w:rsid w:val="00E0486D"/>
    <w:rsid w:val="00E049D2"/>
    <w:rsid w:val="00E04B15"/>
    <w:rsid w:val="00E04E89"/>
    <w:rsid w:val="00E05419"/>
    <w:rsid w:val="00E05C7D"/>
    <w:rsid w:val="00E05EB1"/>
    <w:rsid w:val="00E064FC"/>
    <w:rsid w:val="00E06554"/>
    <w:rsid w:val="00E07C00"/>
    <w:rsid w:val="00E10031"/>
    <w:rsid w:val="00E10CDB"/>
    <w:rsid w:val="00E10E20"/>
    <w:rsid w:val="00E11794"/>
    <w:rsid w:val="00E12301"/>
    <w:rsid w:val="00E12B86"/>
    <w:rsid w:val="00E13024"/>
    <w:rsid w:val="00E13CEA"/>
    <w:rsid w:val="00E141DC"/>
    <w:rsid w:val="00E14272"/>
    <w:rsid w:val="00E145D0"/>
    <w:rsid w:val="00E15B91"/>
    <w:rsid w:val="00E15FB7"/>
    <w:rsid w:val="00E167C4"/>
    <w:rsid w:val="00E16CC8"/>
    <w:rsid w:val="00E16FE8"/>
    <w:rsid w:val="00E17243"/>
    <w:rsid w:val="00E20E9B"/>
    <w:rsid w:val="00E2176B"/>
    <w:rsid w:val="00E21838"/>
    <w:rsid w:val="00E21C8C"/>
    <w:rsid w:val="00E22033"/>
    <w:rsid w:val="00E22360"/>
    <w:rsid w:val="00E22707"/>
    <w:rsid w:val="00E22FF7"/>
    <w:rsid w:val="00E233C4"/>
    <w:rsid w:val="00E23BB7"/>
    <w:rsid w:val="00E24875"/>
    <w:rsid w:val="00E248F0"/>
    <w:rsid w:val="00E25274"/>
    <w:rsid w:val="00E2573D"/>
    <w:rsid w:val="00E2585D"/>
    <w:rsid w:val="00E25A00"/>
    <w:rsid w:val="00E260DF"/>
    <w:rsid w:val="00E266C1"/>
    <w:rsid w:val="00E26E0C"/>
    <w:rsid w:val="00E27BCA"/>
    <w:rsid w:val="00E3023A"/>
    <w:rsid w:val="00E302B8"/>
    <w:rsid w:val="00E30865"/>
    <w:rsid w:val="00E30C9F"/>
    <w:rsid w:val="00E3169E"/>
    <w:rsid w:val="00E31AD5"/>
    <w:rsid w:val="00E32C01"/>
    <w:rsid w:val="00E338C6"/>
    <w:rsid w:val="00E33FA7"/>
    <w:rsid w:val="00E34E03"/>
    <w:rsid w:val="00E3586F"/>
    <w:rsid w:val="00E35C57"/>
    <w:rsid w:val="00E35DD5"/>
    <w:rsid w:val="00E361D0"/>
    <w:rsid w:val="00E36AE9"/>
    <w:rsid w:val="00E36D3B"/>
    <w:rsid w:val="00E3732E"/>
    <w:rsid w:val="00E373B8"/>
    <w:rsid w:val="00E375EE"/>
    <w:rsid w:val="00E40018"/>
    <w:rsid w:val="00E40854"/>
    <w:rsid w:val="00E40F9B"/>
    <w:rsid w:val="00E41123"/>
    <w:rsid w:val="00E412C8"/>
    <w:rsid w:val="00E41345"/>
    <w:rsid w:val="00E415C5"/>
    <w:rsid w:val="00E41DAE"/>
    <w:rsid w:val="00E41F14"/>
    <w:rsid w:val="00E422CA"/>
    <w:rsid w:val="00E42464"/>
    <w:rsid w:val="00E42CB1"/>
    <w:rsid w:val="00E4335C"/>
    <w:rsid w:val="00E4378A"/>
    <w:rsid w:val="00E4428D"/>
    <w:rsid w:val="00E45397"/>
    <w:rsid w:val="00E45B2E"/>
    <w:rsid w:val="00E4659A"/>
    <w:rsid w:val="00E46A40"/>
    <w:rsid w:val="00E46C3A"/>
    <w:rsid w:val="00E46FB4"/>
    <w:rsid w:val="00E473BE"/>
    <w:rsid w:val="00E47ACF"/>
    <w:rsid w:val="00E47FDD"/>
    <w:rsid w:val="00E5134F"/>
    <w:rsid w:val="00E522D2"/>
    <w:rsid w:val="00E52F35"/>
    <w:rsid w:val="00E538F0"/>
    <w:rsid w:val="00E53905"/>
    <w:rsid w:val="00E53E02"/>
    <w:rsid w:val="00E5492C"/>
    <w:rsid w:val="00E549E2"/>
    <w:rsid w:val="00E54B68"/>
    <w:rsid w:val="00E54CFF"/>
    <w:rsid w:val="00E54E9F"/>
    <w:rsid w:val="00E55021"/>
    <w:rsid w:val="00E5535D"/>
    <w:rsid w:val="00E55595"/>
    <w:rsid w:val="00E55973"/>
    <w:rsid w:val="00E560BB"/>
    <w:rsid w:val="00E56576"/>
    <w:rsid w:val="00E57269"/>
    <w:rsid w:val="00E57362"/>
    <w:rsid w:val="00E5737B"/>
    <w:rsid w:val="00E57895"/>
    <w:rsid w:val="00E57D4C"/>
    <w:rsid w:val="00E57E8B"/>
    <w:rsid w:val="00E57F13"/>
    <w:rsid w:val="00E60082"/>
    <w:rsid w:val="00E6065B"/>
    <w:rsid w:val="00E606C0"/>
    <w:rsid w:val="00E60C6A"/>
    <w:rsid w:val="00E615EB"/>
    <w:rsid w:val="00E62599"/>
    <w:rsid w:val="00E626BD"/>
    <w:rsid w:val="00E627A0"/>
    <w:rsid w:val="00E62C4D"/>
    <w:rsid w:val="00E62E3C"/>
    <w:rsid w:val="00E63494"/>
    <w:rsid w:val="00E63CAE"/>
    <w:rsid w:val="00E64B69"/>
    <w:rsid w:val="00E64BAF"/>
    <w:rsid w:val="00E64CDF"/>
    <w:rsid w:val="00E64D77"/>
    <w:rsid w:val="00E65092"/>
    <w:rsid w:val="00E66A5E"/>
    <w:rsid w:val="00E66AE0"/>
    <w:rsid w:val="00E67562"/>
    <w:rsid w:val="00E702B9"/>
    <w:rsid w:val="00E7048B"/>
    <w:rsid w:val="00E7209E"/>
    <w:rsid w:val="00E73E11"/>
    <w:rsid w:val="00E73F1F"/>
    <w:rsid w:val="00E743CA"/>
    <w:rsid w:val="00E7534B"/>
    <w:rsid w:val="00E7587D"/>
    <w:rsid w:val="00E75984"/>
    <w:rsid w:val="00E766EF"/>
    <w:rsid w:val="00E7696D"/>
    <w:rsid w:val="00E76BA9"/>
    <w:rsid w:val="00E77401"/>
    <w:rsid w:val="00E8023B"/>
    <w:rsid w:val="00E804ED"/>
    <w:rsid w:val="00E804EF"/>
    <w:rsid w:val="00E8072C"/>
    <w:rsid w:val="00E80FAC"/>
    <w:rsid w:val="00E8115E"/>
    <w:rsid w:val="00E81975"/>
    <w:rsid w:val="00E822BA"/>
    <w:rsid w:val="00E83822"/>
    <w:rsid w:val="00E83FAF"/>
    <w:rsid w:val="00E8400B"/>
    <w:rsid w:val="00E84422"/>
    <w:rsid w:val="00E8461C"/>
    <w:rsid w:val="00E84665"/>
    <w:rsid w:val="00E84BD1"/>
    <w:rsid w:val="00E84C47"/>
    <w:rsid w:val="00E84CC7"/>
    <w:rsid w:val="00E8515A"/>
    <w:rsid w:val="00E8564D"/>
    <w:rsid w:val="00E85DC4"/>
    <w:rsid w:val="00E86265"/>
    <w:rsid w:val="00E86E77"/>
    <w:rsid w:val="00E87147"/>
    <w:rsid w:val="00E877F6"/>
    <w:rsid w:val="00E87AA7"/>
    <w:rsid w:val="00E87AD5"/>
    <w:rsid w:val="00E87B08"/>
    <w:rsid w:val="00E87DA7"/>
    <w:rsid w:val="00E87F02"/>
    <w:rsid w:val="00E907C3"/>
    <w:rsid w:val="00E91F70"/>
    <w:rsid w:val="00E92274"/>
    <w:rsid w:val="00E92699"/>
    <w:rsid w:val="00E9272A"/>
    <w:rsid w:val="00E92A88"/>
    <w:rsid w:val="00E92C54"/>
    <w:rsid w:val="00E92DF2"/>
    <w:rsid w:val="00E940E1"/>
    <w:rsid w:val="00E94FED"/>
    <w:rsid w:val="00E9524B"/>
    <w:rsid w:val="00E952A1"/>
    <w:rsid w:val="00E95940"/>
    <w:rsid w:val="00E95A82"/>
    <w:rsid w:val="00E95F0D"/>
    <w:rsid w:val="00E963B3"/>
    <w:rsid w:val="00E966E3"/>
    <w:rsid w:val="00E967EF"/>
    <w:rsid w:val="00E968B2"/>
    <w:rsid w:val="00E968D7"/>
    <w:rsid w:val="00E96FC9"/>
    <w:rsid w:val="00E96FCC"/>
    <w:rsid w:val="00E97D15"/>
    <w:rsid w:val="00EA0062"/>
    <w:rsid w:val="00EA1084"/>
    <w:rsid w:val="00EA10B5"/>
    <w:rsid w:val="00EA12AE"/>
    <w:rsid w:val="00EA18CF"/>
    <w:rsid w:val="00EA1B47"/>
    <w:rsid w:val="00EA1C91"/>
    <w:rsid w:val="00EA2836"/>
    <w:rsid w:val="00EA3580"/>
    <w:rsid w:val="00EA48C0"/>
    <w:rsid w:val="00EA4B71"/>
    <w:rsid w:val="00EA4EBA"/>
    <w:rsid w:val="00EA6567"/>
    <w:rsid w:val="00EA6688"/>
    <w:rsid w:val="00EA6FA7"/>
    <w:rsid w:val="00EA7548"/>
    <w:rsid w:val="00EA79E3"/>
    <w:rsid w:val="00EB03E2"/>
    <w:rsid w:val="00EB05D7"/>
    <w:rsid w:val="00EB1469"/>
    <w:rsid w:val="00EB24BD"/>
    <w:rsid w:val="00EB25CC"/>
    <w:rsid w:val="00EB26B8"/>
    <w:rsid w:val="00EB26B9"/>
    <w:rsid w:val="00EB28A8"/>
    <w:rsid w:val="00EB2CCF"/>
    <w:rsid w:val="00EB3BF0"/>
    <w:rsid w:val="00EB40AE"/>
    <w:rsid w:val="00EB4722"/>
    <w:rsid w:val="00EB4745"/>
    <w:rsid w:val="00EB51CF"/>
    <w:rsid w:val="00EB5B4B"/>
    <w:rsid w:val="00EB5D51"/>
    <w:rsid w:val="00EB640B"/>
    <w:rsid w:val="00EB69E0"/>
    <w:rsid w:val="00EB6AA7"/>
    <w:rsid w:val="00EB6AA8"/>
    <w:rsid w:val="00EB7280"/>
    <w:rsid w:val="00EC0156"/>
    <w:rsid w:val="00EC062A"/>
    <w:rsid w:val="00EC0C56"/>
    <w:rsid w:val="00EC0F06"/>
    <w:rsid w:val="00EC1729"/>
    <w:rsid w:val="00EC18D0"/>
    <w:rsid w:val="00EC2129"/>
    <w:rsid w:val="00EC2359"/>
    <w:rsid w:val="00EC240B"/>
    <w:rsid w:val="00EC29B2"/>
    <w:rsid w:val="00EC41C4"/>
    <w:rsid w:val="00EC4367"/>
    <w:rsid w:val="00EC4AB0"/>
    <w:rsid w:val="00EC5465"/>
    <w:rsid w:val="00EC56D6"/>
    <w:rsid w:val="00EC59B6"/>
    <w:rsid w:val="00EC5EF0"/>
    <w:rsid w:val="00EC6034"/>
    <w:rsid w:val="00EC61B4"/>
    <w:rsid w:val="00EC68B5"/>
    <w:rsid w:val="00EC6B8C"/>
    <w:rsid w:val="00EC7841"/>
    <w:rsid w:val="00EC7903"/>
    <w:rsid w:val="00EC7D65"/>
    <w:rsid w:val="00ED0142"/>
    <w:rsid w:val="00ED02B5"/>
    <w:rsid w:val="00ED06F8"/>
    <w:rsid w:val="00ED0963"/>
    <w:rsid w:val="00ED1811"/>
    <w:rsid w:val="00ED1902"/>
    <w:rsid w:val="00ED1ED0"/>
    <w:rsid w:val="00ED2419"/>
    <w:rsid w:val="00ED250C"/>
    <w:rsid w:val="00ED2D75"/>
    <w:rsid w:val="00ED2DA2"/>
    <w:rsid w:val="00ED3C7F"/>
    <w:rsid w:val="00ED44B7"/>
    <w:rsid w:val="00ED46F3"/>
    <w:rsid w:val="00ED4BC5"/>
    <w:rsid w:val="00ED55B9"/>
    <w:rsid w:val="00ED6549"/>
    <w:rsid w:val="00ED76C6"/>
    <w:rsid w:val="00ED785A"/>
    <w:rsid w:val="00ED7D8E"/>
    <w:rsid w:val="00ED7F27"/>
    <w:rsid w:val="00EE0294"/>
    <w:rsid w:val="00EE16F5"/>
    <w:rsid w:val="00EE1811"/>
    <w:rsid w:val="00EE1B5D"/>
    <w:rsid w:val="00EE1F45"/>
    <w:rsid w:val="00EE237E"/>
    <w:rsid w:val="00EE2B9D"/>
    <w:rsid w:val="00EE30BA"/>
    <w:rsid w:val="00EE3EC5"/>
    <w:rsid w:val="00EE4440"/>
    <w:rsid w:val="00EE5576"/>
    <w:rsid w:val="00EE6893"/>
    <w:rsid w:val="00EE6F11"/>
    <w:rsid w:val="00EE7916"/>
    <w:rsid w:val="00EE79BB"/>
    <w:rsid w:val="00EE7A1F"/>
    <w:rsid w:val="00EE7F74"/>
    <w:rsid w:val="00EF1579"/>
    <w:rsid w:val="00EF1B25"/>
    <w:rsid w:val="00EF25C0"/>
    <w:rsid w:val="00EF311A"/>
    <w:rsid w:val="00EF3341"/>
    <w:rsid w:val="00EF3688"/>
    <w:rsid w:val="00EF41B6"/>
    <w:rsid w:val="00EF4804"/>
    <w:rsid w:val="00EF5550"/>
    <w:rsid w:val="00EF56AC"/>
    <w:rsid w:val="00EF5BDE"/>
    <w:rsid w:val="00EF5EF6"/>
    <w:rsid w:val="00EF654F"/>
    <w:rsid w:val="00EF67D7"/>
    <w:rsid w:val="00EF6904"/>
    <w:rsid w:val="00EF6CE5"/>
    <w:rsid w:val="00EF70EB"/>
    <w:rsid w:val="00EF77F3"/>
    <w:rsid w:val="00F0024E"/>
    <w:rsid w:val="00F010DC"/>
    <w:rsid w:val="00F014A8"/>
    <w:rsid w:val="00F014D9"/>
    <w:rsid w:val="00F021F8"/>
    <w:rsid w:val="00F0229C"/>
    <w:rsid w:val="00F022CF"/>
    <w:rsid w:val="00F02B83"/>
    <w:rsid w:val="00F02BCC"/>
    <w:rsid w:val="00F036EF"/>
    <w:rsid w:val="00F04192"/>
    <w:rsid w:val="00F0419F"/>
    <w:rsid w:val="00F041B3"/>
    <w:rsid w:val="00F0425C"/>
    <w:rsid w:val="00F04BBF"/>
    <w:rsid w:val="00F05A99"/>
    <w:rsid w:val="00F05B65"/>
    <w:rsid w:val="00F05BD5"/>
    <w:rsid w:val="00F060D8"/>
    <w:rsid w:val="00F062CB"/>
    <w:rsid w:val="00F066DA"/>
    <w:rsid w:val="00F06C76"/>
    <w:rsid w:val="00F06E61"/>
    <w:rsid w:val="00F07004"/>
    <w:rsid w:val="00F07413"/>
    <w:rsid w:val="00F07424"/>
    <w:rsid w:val="00F079B7"/>
    <w:rsid w:val="00F07D28"/>
    <w:rsid w:val="00F1007B"/>
    <w:rsid w:val="00F10C02"/>
    <w:rsid w:val="00F10EEE"/>
    <w:rsid w:val="00F11061"/>
    <w:rsid w:val="00F11914"/>
    <w:rsid w:val="00F122A7"/>
    <w:rsid w:val="00F12774"/>
    <w:rsid w:val="00F128C2"/>
    <w:rsid w:val="00F12A1E"/>
    <w:rsid w:val="00F12BDF"/>
    <w:rsid w:val="00F12F51"/>
    <w:rsid w:val="00F12F85"/>
    <w:rsid w:val="00F131F4"/>
    <w:rsid w:val="00F142D8"/>
    <w:rsid w:val="00F147F9"/>
    <w:rsid w:val="00F148E4"/>
    <w:rsid w:val="00F14DE5"/>
    <w:rsid w:val="00F15286"/>
    <w:rsid w:val="00F15547"/>
    <w:rsid w:val="00F15724"/>
    <w:rsid w:val="00F15736"/>
    <w:rsid w:val="00F15A5B"/>
    <w:rsid w:val="00F161B4"/>
    <w:rsid w:val="00F167D4"/>
    <w:rsid w:val="00F167EB"/>
    <w:rsid w:val="00F16A42"/>
    <w:rsid w:val="00F16CE9"/>
    <w:rsid w:val="00F16E62"/>
    <w:rsid w:val="00F175F4"/>
    <w:rsid w:val="00F17621"/>
    <w:rsid w:val="00F177E3"/>
    <w:rsid w:val="00F17FEC"/>
    <w:rsid w:val="00F202E5"/>
    <w:rsid w:val="00F209C4"/>
    <w:rsid w:val="00F20CC9"/>
    <w:rsid w:val="00F21456"/>
    <w:rsid w:val="00F21E7E"/>
    <w:rsid w:val="00F222D0"/>
    <w:rsid w:val="00F2234E"/>
    <w:rsid w:val="00F22901"/>
    <w:rsid w:val="00F23034"/>
    <w:rsid w:val="00F23951"/>
    <w:rsid w:val="00F24356"/>
    <w:rsid w:val="00F248A4"/>
    <w:rsid w:val="00F24C8A"/>
    <w:rsid w:val="00F25509"/>
    <w:rsid w:val="00F25E7F"/>
    <w:rsid w:val="00F25EDD"/>
    <w:rsid w:val="00F260EE"/>
    <w:rsid w:val="00F26218"/>
    <w:rsid w:val="00F2675C"/>
    <w:rsid w:val="00F2680A"/>
    <w:rsid w:val="00F26C86"/>
    <w:rsid w:val="00F272E7"/>
    <w:rsid w:val="00F27BAE"/>
    <w:rsid w:val="00F27FEA"/>
    <w:rsid w:val="00F300E8"/>
    <w:rsid w:val="00F30CD6"/>
    <w:rsid w:val="00F30D81"/>
    <w:rsid w:val="00F312BE"/>
    <w:rsid w:val="00F313CD"/>
    <w:rsid w:val="00F32049"/>
    <w:rsid w:val="00F3241F"/>
    <w:rsid w:val="00F32598"/>
    <w:rsid w:val="00F32B4B"/>
    <w:rsid w:val="00F332CF"/>
    <w:rsid w:val="00F343AF"/>
    <w:rsid w:val="00F34AF1"/>
    <w:rsid w:val="00F36161"/>
    <w:rsid w:val="00F36606"/>
    <w:rsid w:val="00F3666C"/>
    <w:rsid w:val="00F3684A"/>
    <w:rsid w:val="00F36ED1"/>
    <w:rsid w:val="00F37525"/>
    <w:rsid w:val="00F377D2"/>
    <w:rsid w:val="00F378C1"/>
    <w:rsid w:val="00F4066C"/>
    <w:rsid w:val="00F408A7"/>
    <w:rsid w:val="00F409F0"/>
    <w:rsid w:val="00F41BBE"/>
    <w:rsid w:val="00F41D92"/>
    <w:rsid w:val="00F41F29"/>
    <w:rsid w:val="00F42220"/>
    <w:rsid w:val="00F43367"/>
    <w:rsid w:val="00F43B25"/>
    <w:rsid w:val="00F43DB2"/>
    <w:rsid w:val="00F43E08"/>
    <w:rsid w:val="00F43F7E"/>
    <w:rsid w:val="00F4477B"/>
    <w:rsid w:val="00F44796"/>
    <w:rsid w:val="00F4523D"/>
    <w:rsid w:val="00F50C10"/>
    <w:rsid w:val="00F50E85"/>
    <w:rsid w:val="00F511F0"/>
    <w:rsid w:val="00F51280"/>
    <w:rsid w:val="00F52540"/>
    <w:rsid w:val="00F52895"/>
    <w:rsid w:val="00F52A43"/>
    <w:rsid w:val="00F52C7E"/>
    <w:rsid w:val="00F52D67"/>
    <w:rsid w:val="00F53844"/>
    <w:rsid w:val="00F53DEF"/>
    <w:rsid w:val="00F53E27"/>
    <w:rsid w:val="00F550BF"/>
    <w:rsid w:val="00F5537D"/>
    <w:rsid w:val="00F55579"/>
    <w:rsid w:val="00F55602"/>
    <w:rsid w:val="00F55841"/>
    <w:rsid w:val="00F55C05"/>
    <w:rsid w:val="00F55C9D"/>
    <w:rsid w:val="00F55CA9"/>
    <w:rsid w:val="00F5721E"/>
    <w:rsid w:val="00F5729E"/>
    <w:rsid w:val="00F61791"/>
    <w:rsid w:val="00F622E2"/>
    <w:rsid w:val="00F623DF"/>
    <w:rsid w:val="00F62D19"/>
    <w:rsid w:val="00F6311D"/>
    <w:rsid w:val="00F63B9D"/>
    <w:rsid w:val="00F64418"/>
    <w:rsid w:val="00F64FAE"/>
    <w:rsid w:val="00F65630"/>
    <w:rsid w:val="00F659BA"/>
    <w:rsid w:val="00F65F60"/>
    <w:rsid w:val="00F66B30"/>
    <w:rsid w:val="00F66EEE"/>
    <w:rsid w:val="00F67F35"/>
    <w:rsid w:val="00F7068C"/>
    <w:rsid w:val="00F7077A"/>
    <w:rsid w:val="00F708B1"/>
    <w:rsid w:val="00F71758"/>
    <w:rsid w:val="00F72200"/>
    <w:rsid w:val="00F726F8"/>
    <w:rsid w:val="00F73313"/>
    <w:rsid w:val="00F737BF"/>
    <w:rsid w:val="00F73E55"/>
    <w:rsid w:val="00F74FFB"/>
    <w:rsid w:val="00F755DA"/>
    <w:rsid w:val="00F75651"/>
    <w:rsid w:val="00F7601A"/>
    <w:rsid w:val="00F7694D"/>
    <w:rsid w:val="00F76C31"/>
    <w:rsid w:val="00F779DD"/>
    <w:rsid w:val="00F80010"/>
    <w:rsid w:val="00F805B1"/>
    <w:rsid w:val="00F805EB"/>
    <w:rsid w:val="00F80706"/>
    <w:rsid w:val="00F80A25"/>
    <w:rsid w:val="00F810A1"/>
    <w:rsid w:val="00F814EE"/>
    <w:rsid w:val="00F8156C"/>
    <w:rsid w:val="00F82C2E"/>
    <w:rsid w:val="00F82F95"/>
    <w:rsid w:val="00F834F2"/>
    <w:rsid w:val="00F84205"/>
    <w:rsid w:val="00F8459D"/>
    <w:rsid w:val="00F8487F"/>
    <w:rsid w:val="00F84B60"/>
    <w:rsid w:val="00F850B2"/>
    <w:rsid w:val="00F8647D"/>
    <w:rsid w:val="00F86A83"/>
    <w:rsid w:val="00F86AFF"/>
    <w:rsid w:val="00F90633"/>
    <w:rsid w:val="00F9096D"/>
    <w:rsid w:val="00F9099C"/>
    <w:rsid w:val="00F91647"/>
    <w:rsid w:val="00F917C5"/>
    <w:rsid w:val="00F919B8"/>
    <w:rsid w:val="00F91C7B"/>
    <w:rsid w:val="00F9223A"/>
    <w:rsid w:val="00F92D4F"/>
    <w:rsid w:val="00F93027"/>
    <w:rsid w:val="00F93077"/>
    <w:rsid w:val="00F930B0"/>
    <w:rsid w:val="00F94294"/>
    <w:rsid w:val="00F9451F"/>
    <w:rsid w:val="00F94761"/>
    <w:rsid w:val="00F95722"/>
    <w:rsid w:val="00F95A92"/>
    <w:rsid w:val="00F96208"/>
    <w:rsid w:val="00F9654A"/>
    <w:rsid w:val="00F97813"/>
    <w:rsid w:val="00F979DB"/>
    <w:rsid w:val="00F979F9"/>
    <w:rsid w:val="00F97F29"/>
    <w:rsid w:val="00FA07D3"/>
    <w:rsid w:val="00FA0BD6"/>
    <w:rsid w:val="00FA0DED"/>
    <w:rsid w:val="00FA1D7E"/>
    <w:rsid w:val="00FA1E4A"/>
    <w:rsid w:val="00FA2193"/>
    <w:rsid w:val="00FA24F7"/>
    <w:rsid w:val="00FA26DE"/>
    <w:rsid w:val="00FA2770"/>
    <w:rsid w:val="00FA2993"/>
    <w:rsid w:val="00FA310C"/>
    <w:rsid w:val="00FA3BCE"/>
    <w:rsid w:val="00FA3DA8"/>
    <w:rsid w:val="00FA4180"/>
    <w:rsid w:val="00FA474E"/>
    <w:rsid w:val="00FA4CE4"/>
    <w:rsid w:val="00FA4F12"/>
    <w:rsid w:val="00FA5D6D"/>
    <w:rsid w:val="00FA644F"/>
    <w:rsid w:val="00FA6806"/>
    <w:rsid w:val="00FA6C37"/>
    <w:rsid w:val="00FA71C9"/>
    <w:rsid w:val="00FA73BC"/>
    <w:rsid w:val="00FA76A9"/>
    <w:rsid w:val="00FA7718"/>
    <w:rsid w:val="00FA7A9E"/>
    <w:rsid w:val="00FB0722"/>
    <w:rsid w:val="00FB07FA"/>
    <w:rsid w:val="00FB0849"/>
    <w:rsid w:val="00FB15E4"/>
    <w:rsid w:val="00FB2BEC"/>
    <w:rsid w:val="00FB385B"/>
    <w:rsid w:val="00FB4102"/>
    <w:rsid w:val="00FB434F"/>
    <w:rsid w:val="00FB4C38"/>
    <w:rsid w:val="00FB58BA"/>
    <w:rsid w:val="00FB5A2F"/>
    <w:rsid w:val="00FB5BAE"/>
    <w:rsid w:val="00FB5F96"/>
    <w:rsid w:val="00FB65AC"/>
    <w:rsid w:val="00FB6D6F"/>
    <w:rsid w:val="00FB78F1"/>
    <w:rsid w:val="00FB7AD3"/>
    <w:rsid w:val="00FB7B78"/>
    <w:rsid w:val="00FC0025"/>
    <w:rsid w:val="00FC04DD"/>
    <w:rsid w:val="00FC0F44"/>
    <w:rsid w:val="00FC1306"/>
    <w:rsid w:val="00FC14C8"/>
    <w:rsid w:val="00FC196D"/>
    <w:rsid w:val="00FC1EC0"/>
    <w:rsid w:val="00FC3DEB"/>
    <w:rsid w:val="00FC409F"/>
    <w:rsid w:val="00FC42FE"/>
    <w:rsid w:val="00FC45C9"/>
    <w:rsid w:val="00FC4BD9"/>
    <w:rsid w:val="00FC4D9A"/>
    <w:rsid w:val="00FC50D2"/>
    <w:rsid w:val="00FC51E6"/>
    <w:rsid w:val="00FC5243"/>
    <w:rsid w:val="00FC620D"/>
    <w:rsid w:val="00FC695B"/>
    <w:rsid w:val="00FC71E8"/>
    <w:rsid w:val="00FC7493"/>
    <w:rsid w:val="00FC7785"/>
    <w:rsid w:val="00FC7A0F"/>
    <w:rsid w:val="00FC7C68"/>
    <w:rsid w:val="00FD0540"/>
    <w:rsid w:val="00FD1A0E"/>
    <w:rsid w:val="00FD1C3A"/>
    <w:rsid w:val="00FD2521"/>
    <w:rsid w:val="00FD2638"/>
    <w:rsid w:val="00FD2A9D"/>
    <w:rsid w:val="00FD2B91"/>
    <w:rsid w:val="00FD31EC"/>
    <w:rsid w:val="00FD3884"/>
    <w:rsid w:val="00FD4641"/>
    <w:rsid w:val="00FD4FB3"/>
    <w:rsid w:val="00FD5776"/>
    <w:rsid w:val="00FD5BAE"/>
    <w:rsid w:val="00FD5BB3"/>
    <w:rsid w:val="00FD62B1"/>
    <w:rsid w:val="00FD76E3"/>
    <w:rsid w:val="00FD78FA"/>
    <w:rsid w:val="00FD799E"/>
    <w:rsid w:val="00FE03E6"/>
    <w:rsid w:val="00FE0554"/>
    <w:rsid w:val="00FE061B"/>
    <w:rsid w:val="00FE088A"/>
    <w:rsid w:val="00FE0A82"/>
    <w:rsid w:val="00FE0C89"/>
    <w:rsid w:val="00FE0CD8"/>
    <w:rsid w:val="00FE2807"/>
    <w:rsid w:val="00FE299E"/>
    <w:rsid w:val="00FE2A75"/>
    <w:rsid w:val="00FE300E"/>
    <w:rsid w:val="00FE303B"/>
    <w:rsid w:val="00FE3446"/>
    <w:rsid w:val="00FE361E"/>
    <w:rsid w:val="00FE3DDA"/>
    <w:rsid w:val="00FE4072"/>
    <w:rsid w:val="00FE4AD9"/>
    <w:rsid w:val="00FE4DEE"/>
    <w:rsid w:val="00FE6196"/>
    <w:rsid w:val="00FE7413"/>
    <w:rsid w:val="00FE7E7B"/>
    <w:rsid w:val="00FF04CF"/>
    <w:rsid w:val="00FF0555"/>
    <w:rsid w:val="00FF0EB4"/>
    <w:rsid w:val="00FF1226"/>
    <w:rsid w:val="00FF1289"/>
    <w:rsid w:val="00FF15CA"/>
    <w:rsid w:val="00FF1EFE"/>
    <w:rsid w:val="00FF25BB"/>
    <w:rsid w:val="00FF2F80"/>
    <w:rsid w:val="00FF3422"/>
    <w:rsid w:val="00FF3E78"/>
    <w:rsid w:val="00FF4A64"/>
    <w:rsid w:val="00FF4CF7"/>
    <w:rsid w:val="00FF4F7F"/>
    <w:rsid w:val="00FF5136"/>
    <w:rsid w:val="00FF5387"/>
    <w:rsid w:val="00FF5785"/>
    <w:rsid w:val="00FF66C1"/>
    <w:rsid w:val="00FF6750"/>
    <w:rsid w:val="00FF69FA"/>
    <w:rsid w:val="00FF6B2C"/>
    <w:rsid w:val="00FF6B76"/>
    <w:rsid w:val="00FF6EC3"/>
    <w:rsid w:val="00FF6F40"/>
    <w:rsid w:val="00FF7674"/>
    <w:rsid w:val="00FF78EF"/>
    <w:rsid w:val="00FF7C36"/>
    <w:rsid w:val="00FF7E49"/>
    <w:rsid w:val="00FF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B13970"/>
  <w15:docId w15:val="{07137390-F42A-4696-9480-E35AC7241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E87"/>
    <w:pPr>
      <w:widowControl w:val="0"/>
    </w:pPr>
  </w:style>
  <w:style w:type="paragraph" w:styleId="Heading1">
    <w:name w:val="heading 1"/>
    <w:basedOn w:val="Normal"/>
    <w:next w:val="Normal"/>
    <w:link w:val="Heading1Char"/>
    <w:qFormat/>
    <w:rsid w:val="0009690C"/>
    <w:pPr>
      <w:widowControl/>
      <w:numPr>
        <w:numId w:val="1"/>
      </w:numPr>
      <w:spacing w:line="360" w:lineRule="auto"/>
      <w:ind w:left="0" w:firstLine="0"/>
      <w:jc w:val="center"/>
      <w:outlineLvl w:val="0"/>
    </w:pPr>
    <w:rPr>
      <w:b/>
      <w:sz w:val="26"/>
      <w:szCs w:val="26"/>
    </w:rPr>
  </w:style>
  <w:style w:type="paragraph" w:styleId="Heading2">
    <w:name w:val="heading 2"/>
    <w:basedOn w:val="Normal"/>
    <w:next w:val="Normal"/>
    <w:link w:val="Heading2Char"/>
    <w:unhideWhenUsed/>
    <w:qFormat/>
    <w:rsid w:val="00BF2A42"/>
    <w:pPr>
      <w:keepNext/>
      <w:keepLines/>
      <w:numPr>
        <w:numId w:val="2"/>
      </w:numPr>
      <w:spacing w:line="360" w:lineRule="auto"/>
      <w:outlineLvl w:val="1"/>
    </w:pPr>
    <w:rPr>
      <w:rFonts w:eastAsiaTheme="majorEastAsia"/>
      <w:b/>
      <w:bCs/>
      <w:sz w:val="26"/>
      <w:szCs w:val="26"/>
    </w:rPr>
  </w:style>
  <w:style w:type="paragraph" w:styleId="Heading3">
    <w:name w:val="heading 3"/>
    <w:basedOn w:val="ListParagraph"/>
    <w:next w:val="Normal"/>
    <w:link w:val="Heading3Char"/>
    <w:unhideWhenUsed/>
    <w:qFormat/>
    <w:rsid w:val="00BF2A42"/>
    <w:pPr>
      <w:widowControl/>
      <w:numPr>
        <w:numId w:val="38"/>
      </w:numPr>
      <w:spacing w:line="360" w:lineRule="auto"/>
      <w:outlineLvl w:val="2"/>
    </w:pPr>
    <w:rPr>
      <w:b/>
      <w:bCs/>
      <w:sz w:val="26"/>
      <w:szCs w:val="26"/>
    </w:rPr>
  </w:style>
  <w:style w:type="paragraph" w:styleId="Heading4">
    <w:name w:val="heading 4"/>
    <w:basedOn w:val="Normal"/>
    <w:next w:val="Normal"/>
    <w:link w:val="Heading4Char"/>
    <w:unhideWhenUsed/>
    <w:qFormat/>
    <w:rsid w:val="00BF2A42"/>
    <w:pPr>
      <w:keepNext/>
      <w:keepLines/>
      <w:numPr>
        <w:numId w:val="3"/>
      </w:numPr>
      <w:spacing w:line="360" w:lineRule="auto"/>
      <w:ind w:left="2160" w:hanging="720"/>
      <w:outlineLvl w:val="3"/>
    </w:pPr>
    <w:rPr>
      <w:rFonts w:eastAsiaTheme="majorEastAsia"/>
      <w:b/>
      <w:bCs/>
      <w:color w:val="000000" w:themeColor="text1"/>
      <w:sz w:val="26"/>
      <w:szCs w:val="26"/>
    </w:rPr>
  </w:style>
  <w:style w:type="paragraph" w:styleId="Heading5">
    <w:name w:val="heading 5"/>
    <w:basedOn w:val="Normal"/>
    <w:next w:val="Normal"/>
    <w:qFormat/>
    <w:rsid w:val="00DE0F58"/>
    <w:pPr>
      <w:keepNext/>
      <w:widowControl/>
      <w:spacing w:line="360" w:lineRule="auto"/>
      <w:ind w:left="2880" w:hanging="720"/>
      <w:outlineLvl w:val="4"/>
    </w:pPr>
    <w:rPr>
      <w:b/>
      <w:bCs/>
      <w:noProof/>
      <w:sz w:val="26"/>
      <w:szCs w:val="26"/>
    </w:rPr>
  </w:style>
  <w:style w:type="paragraph" w:styleId="Heading6">
    <w:name w:val="heading 6"/>
    <w:basedOn w:val="Normal"/>
    <w:next w:val="Normal"/>
    <w:qFormat/>
    <w:rsid w:val="000F131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62690"/>
    <w:pPr>
      <w:widowControl/>
      <w:jc w:val="center"/>
    </w:pPr>
    <w:rPr>
      <w:b/>
      <w:sz w:val="26"/>
    </w:rPr>
  </w:style>
  <w:style w:type="paragraph" w:styleId="Header">
    <w:name w:val="header"/>
    <w:basedOn w:val="Normal"/>
    <w:rsid w:val="00DE1E03"/>
    <w:pPr>
      <w:tabs>
        <w:tab w:val="center" w:pos="4320"/>
        <w:tab w:val="right" w:pos="8640"/>
      </w:tabs>
    </w:pPr>
  </w:style>
  <w:style w:type="paragraph" w:styleId="Footer">
    <w:name w:val="footer"/>
    <w:basedOn w:val="Normal"/>
    <w:rsid w:val="00DE1E03"/>
    <w:pPr>
      <w:tabs>
        <w:tab w:val="center" w:pos="4320"/>
        <w:tab w:val="right" w:pos="8640"/>
      </w:tabs>
    </w:pPr>
  </w:style>
  <w:style w:type="paragraph" w:customStyle="1" w:styleId="TxBrp8">
    <w:name w:val="TxBr_p8"/>
    <w:basedOn w:val="Normal"/>
    <w:rsid w:val="00DE1E03"/>
    <w:pPr>
      <w:tabs>
        <w:tab w:val="left" w:pos="1468"/>
      </w:tabs>
      <w:autoSpaceDE w:val="0"/>
      <w:autoSpaceDN w:val="0"/>
      <w:adjustRightInd w:val="0"/>
      <w:spacing w:line="464" w:lineRule="atLeast"/>
      <w:ind w:firstLine="1468"/>
    </w:pPr>
    <w:rPr>
      <w:sz w:val="24"/>
      <w:szCs w:val="24"/>
    </w:rPr>
  </w:style>
  <w:style w:type="character" w:styleId="PageNumber">
    <w:name w:val="page number"/>
    <w:basedOn w:val="DefaultParagraphFont"/>
    <w:rsid w:val="00610A49"/>
  </w:style>
  <w:style w:type="paragraph" w:styleId="BalloonText">
    <w:name w:val="Balloon Text"/>
    <w:basedOn w:val="Normal"/>
    <w:semiHidden/>
    <w:rsid w:val="0045730E"/>
    <w:rPr>
      <w:rFonts w:ascii="Tahoma" w:hAnsi="Tahoma" w:cs="Tahoma"/>
      <w:sz w:val="16"/>
      <w:szCs w:val="16"/>
    </w:rPr>
  </w:style>
  <w:style w:type="paragraph" w:styleId="FootnoteText">
    <w:name w:val="footnote text"/>
    <w:aliases w:val="Footnote Text Char2,Footnote Text Char Char,Footnote Text Char1 Char Char,Footnote Text Char Char Char Char,Footnote Text Char1 Char1,Footnote Text Char Char1 Char,Car,fn,ALTS FOOTNOTE,Footnote Text 2,Footnote text,FOOTNOTE,fn Char Char"/>
    <w:basedOn w:val="Normal"/>
    <w:link w:val="FootnoteTextChar"/>
    <w:uiPriority w:val="99"/>
    <w:qFormat/>
    <w:rsid w:val="00022D45"/>
    <w:pPr>
      <w:widowControl/>
    </w:pPr>
  </w:style>
  <w:style w:type="character" w:styleId="FootnoteReference">
    <w:name w:val="footnote reference"/>
    <w:aliases w:val="o,fr,Style 42,(NECG) Footnote Reference,Footnote Reference (EIS),Styl,Style 11,Style 13,Style 15,Style 17,Style 18,Style 19,Style 20,Style 21,Style 24,Style 28,Style 4,Style 5,Style 7,Style 8,fr1,fr2,fr3,o1,o2,o3,Style 6,Style 3,FR"/>
    <w:uiPriority w:val="99"/>
    <w:qFormat/>
    <w:rsid w:val="00022D45"/>
    <w:rPr>
      <w:vertAlign w:val="superscript"/>
    </w:rPr>
  </w:style>
  <w:style w:type="character" w:styleId="Hyperlink">
    <w:name w:val="Hyperlink"/>
    <w:uiPriority w:val="99"/>
    <w:rsid w:val="00B23540"/>
    <w:rPr>
      <w:color w:val="0000FF"/>
      <w:u w:val="single"/>
    </w:rPr>
  </w:style>
  <w:style w:type="character" w:customStyle="1" w:styleId="term1">
    <w:name w:val="term1"/>
    <w:rsid w:val="00B23540"/>
    <w:rPr>
      <w:b/>
      <w:bCs/>
    </w:rPr>
  </w:style>
  <w:style w:type="table" w:styleId="TableGrid">
    <w:name w:val="Table Grid"/>
    <w:basedOn w:val="TableNormal"/>
    <w:uiPriority w:val="59"/>
    <w:rsid w:val="0047772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
    <w:name w:val="p10"/>
    <w:basedOn w:val="Normal"/>
    <w:rsid w:val="00E55021"/>
    <w:pPr>
      <w:tabs>
        <w:tab w:val="left" w:pos="759"/>
        <w:tab w:val="left" w:pos="1502"/>
      </w:tabs>
      <w:autoSpaceDE w:val="0"/>
      <w:autoSpaceDN w:val="0"/>
      <w:adjustRightInd w:val="0"/>
      <w:ind w:firstLine="759"/>
    </w:pPr>
    <w:rPr>
      <w:sz w:val="24"/>
      <w:szCs w:val="24"/>
    </w:rPr>
  </w:style>
  <w:style w:type="paragraph" w:customStyle="1" w:styleId="p5">
    <w:name w:val="p5"/>
    <w:basedOn w:val="Normal"/>
    <w:rsid w:val="009245CB"/>
    <w:pPr>
      <w:tabs>
        <w:tab w:val="left" w:pos="5011"/>
        <w:tab w:val="left" w:pos="5306"/>
        <w:tab w:val="left" w:pos="5657"/>
      </w:tabs>
      <w:autoSpaceDE w:val="0"/>
      <w:autoSpaceDN w:val="0"/>
      <w:adjustRightInd w:val="0"/>
      <w:ind w:left="5011" w:firstLine="295"/>
      <w:jc w:val="both"/>
    </w:pPr>
    <w:rPr>
      <w:sz w:val="24"/>
      <w:szCs w:val="24"/>
    </w:rPr>
  </w:style>
  <w:style w:type="paragraph" w:styleId="PlainText">
    <w:name w:val="Plain Text"/>
    <w:basedOn w:val="Normal"/>
    <w:link w:val="PlainTextChar"/>
    <w:uiPriority w:val="99"/>
    <w:unhideWhenUsed/>
    <w:rsid w:val="00002CE4"/>
    <w:pPr>
      <w:widowControl/>
    </w:pPr>
    <w:rPr>
      <w:rFonts w:ascii="Consolas" w:eastAsia="Calibri" w:hAnsi="Consolas"/>
      <w:sz w:val="21"/>
      <w:szCs w:val="21"/>
    </w:rPr>
  </w:style>
  <w:style w:type="character" w:customStyle="1" w:styleId="PlainTextChar">
    <w:name w:val="Plain Text Char"/>
    <w:link w:val="PlainText"/>
    <w:uiPriority w:val="99"/>
    <w:rsid w:val="00002CE4"/>
    <w:rPr>
      <w:rFonts w:ascii="Consolas" w:eastAsia="Calibri" w:hAnsi="Consolas" w:cs="Times New Roman"/>
      <w:sz w:val="21"/>
      <w:szCs w:val="21"/>
    </w:rPr>
  </w:style>
  <w:style w:type="character" w:customStyle="1" w:styleId="Heading1Char">
    <w:name w:val="Heading 1 Char"/>
    <w:basedOn w:val="DefaultParagraphFont"/>
    <w:link w:val="Heading1"/>
    <w:rsid w:val="0009690C"/>
    <w:rPr>
      <w:b/>
      <w:sz w:val="26"/>
      <w:szCs w:val="26"/>
    </w:rPr>
  </w:style>
  <w:style w:type="character" w:customStyle="1" w:styleId="Heading2Char">
    <w:name w:val="Heading 2 Char"/>
    <w:basedOn w:val="DefaultParagraphFont"/>
    <w:link w:val="Heading2"/>
    <w:rsid w:val="00BF2A42"/>
    <w:rPr>
      <w:rFonts w:eastAsiaTheme="majorEastAsia"/>
      <w:b/>
      <w:bCs/>
      <w:sz w:val="26"/>
      <w:szCs w:val="26"/>
    </w:rPr>
  </w:style>
  <w:style w:type="paragraph" w:styleId="BlockText">
    <w:name w:val="Block Text"/>
    <w:basedOn w:val="Normal"/>
    <w:rsid w:val="008360ED"/>
    <w:pPr>
      <w:tabs>
        <w:tab w:val="left" w:pos="-720"/>
      </w:tabs>
      <w:spacing w:line="360" w:lineRule="auto"/>
      <w:ind w:left="1440" w:right="2160"/>
    </w:pPr>
    <w:rPr>
      <w:sz w:val="26"/>
    </w:rPr>
  </w:style>
  <w:style w:type="paragraph" w:styleId="ListParagraph">
    <w:name w:val="List Paragraph"/>
    <w:basedOn w:val="Normal"/>
    <w:uiPriority w:val="34"/>
    <w:qFormat/>
    <w:rsid w:val="00130A7A"/>
    <w:pPr>
      <w:ind w:left="720"/>
      <w:contextualSpacing/>
    </w:pPr>
  </w:style>
  <w:style w:type="character" w:customStyle="1" w:styleId="Heading3Char">
    <w:name w:val="Heading 3 Char"/>
    <w:basedOn w:val="DefaultParagraphFont"/>
    <w:link w:val="Heading3"/>
    <w:rsid w:val="00BF2A42"/>
    <w:rPr>
      <w:b/>
      <w:bCs/>
      <w:sz w:val="26"/>
      <w:szCs w:val="26"/>
    </w:rPr>
  </w:style>
  <w:style w:type="character" w:customStyle="1" w:styleId="Heading4Char">
    <w:name w:val="Heading 4 Char"/>
    <w:basedOn w:val="DefaultParagraphFont"/>
    <w:link w:val="Heading4"/>
    <w:rsid w:val="00BF2A42"/>
    <w:rPr>
      <w:rFonts w:eastAsiaTheme="majorEastAsia"/>
      <w:b/>
      <w:bCs/>
      <w:color w:val="000000" w:themeColor="text1"/>
      <w:sz w:val="26"/>
      <w:szCs w:val="26"/>
    </w:rPr>
  </w:style>
  <w:style w:type="character" w:customStyle="1" w:styleId="FootnoteTextChar">
    <w:name w:val="Footnote Text Char"/>
    <w:aliases w:val="Footnote Text Char2 Char,Footnote Text Char Char Char,Footnote Text Char1 Char Char Char,Footnote Text Char Char Char Char Char,Footnote Text Char1 Char1 Char,Footnote Text Char Char1 Char Char,Car Char,fn Char,ALTS FOOTNOTE Char"/>
    <w:basedOn w:val="DefaultParagraphFont"/>
    <w:link w:val="FootnoteText"/>
    <w:uiPriority w:val="99"/>
    <w:rsid w:val="0004698C"/>
  </w:style>
  <w:style w:type="paragraph" w:styleId="TOC1">
    <w:name w:val="toc 1"/>
    <w:basedOn w:val="Normal"/>
    <w:next w:val="Normal"/>
    <w:autoRedefine/>
    <w:uiPriority w:val="39"/>
    <w:unhideWhenUsed/>
    <w:rsid w:val="005A74D5"/>
    <w:pPr>
      <w:spacing w:after="100"/>
    </w:pPr>
    <w:rPr>
      <w:sz w:val="26"/>
    </w:rPr>
  </w:style>
  <w:style w:type="paragraph" w:styleId="TOC2">
    <w:name w:val="toc 2"/>
    <w:basedOn w:val="Normal"/>
    <w:next w:val="Normal"/>
    <w:autoRedefine/>
    <w:uiPriority w:val="39"/>
    <w:unhideWhenUsed/>
    <w:rsid w:val="006E6766"/>
    <w:pPr>
      <w:tabs>
        <w:tab w:val="left" w:pos="1440"/>
        <w:tab w:val="right" w:leader="dot" w:pos="9350"/>
      </w:tabs>
      <w:spacing w:after="100"/>
      <w:ind w:left="720"/>
    </w:pPr>
    <w:rPr>
      <w:sz w:val="26"/>
    </w:rPr>
  </w:style>
  <w:style w:type="paragraph" w:styleId="TOC3">
    <w:name w:val="toc 3"/>
    <w:basedOn w:val="Normal"/>
    <w:next w:val="Normal"/>
    <w:autoRedefine/>
    <w:uiPriority w:val="39"/>
    <w:unhideWhenUsed/>
    <w:rsid w:val="006E6766"/>
    <w:pPr>
      <w:tabs>
        <w:tab w:val="left" w:pos="2160"/>
        <w:tab w:val="right" w:leader="dot" w:pos="9350"/>
      </w:tabs>
      <w:spacing w:after="100"/>
      <w:ind w:left="1440"/>
    </w:pPr>
    <w:rPr>
      <w:sz w:val="26"/>
    </w:rPr>
  </w:style>
  <w:style w:type="paragraph" w:styleId="TOC4">
    <w:name w:val="toc 4"/>
    <w:basedOn w:val="Normal"/>
    <w:next w:val="Normal"/>
    <w:autoRedefine/>
    <w:uiPriority w:val="39"/>
    <w:unhideWhenUsed/>
    <w:rsid w:val="006E6766"/>
    <w:pPr>
      <w:tabs>
        <w:tab w:val="left" w:pos="2880"/>
        <w:tab w:val="right" w:leader="dot" w:pos="9350"/>
      </w:tabs>
      <w:spacing w:after="100"/>
      <w:ind w:left="2160"/>
    </w:pPr>
    <w:rPr>
      <w:sz w:val="24"/>
    </w:rPr>
  </w:style>
  <w:style w:type="character" w:styleId="CommentReference">
    <w:name w:val="annotation reference"/>
    <w:basedOn w:val="DefaultParagraphFont"/>
    <w:semiHidden/>
    <w:unhideWhenUsed/>
    <w:rsid w:val="00313907"/>
    <w:rPr>
      <w:sz w:val="16"/>
      <w:szCs w:val="16"/>
    </w:rPr>
  </w:style>
  <w:style w:type="paragraph" w:styleId="CommentText">
    <w:name w:val="annotation text"/>
    <w:basedOn w:val="Normal"/>
    <w:link w:val="CommentTextChar"/>
    <w:semiHidden/>
    <w:unhideWhenUsed/>
    <w:rsid w:val="00313907"/>
  </w:style>
  <w:style w:type="character" w:customStyle="1" w:styleId="CommentTextChar">
    <w:name w:val="Comment Text Char"/>
    <w:basedOn w:val="DefaultParagraphFont"/>
    <w:link w:val="CommentText"/>
    <w:semiHidden/>
    <w:rsid w:val="00313907"/>
  </w:style>
  <w:style w:type="paragraph" w:styleId="CommentSubject">
    <w:name w:val="annotation subject"/>
    <w:basedOn w:val="CommentText"/>
    <w:next w:val="CommentText"/>
    <w:link w:val="CommentSubjectChar"/>
    <w:semiHidden/>
    <w:unhideWhenUsed/>
    <w:rsid w:val="00313907"/>
    <w:rPr>
      <w:b/>
      <w:bCs/>
    </w:rPr>
  </w:style>
  <w:style w:type="character" w:customStyle="1" w:styleId="CommentSubjectChar">
    <w:name w:val="Comment Subject Char"/>
    <w:basedOn w:val="CommentTextChar"/>
    <w:link w:val="CommentSubject"/>
    <w:semiHidden/>
    <w:rsid w:val="00313907"/>
    <w:rPr>
      <w:b/>
      <w:bCs/>
    </w:rPr>
  </w:style>
  <w:style w:type="character" w:styleId="UnresolvedMention">
    <w:name w:val="Unresolved Mention"/>
    <w:basedOn w:val="DefaultParagraphFont"/>
    <w:uiPriority w:val="99"/>
    <w:semiHidden/>
    <w:unhideWhenUsed/>
    <w:rsid w:val="00446EA6"/>
    <w:rPr>
      <w:color w:val="605E5C"/>
      <w:shd w:val="clear" w:color="auto" w:fill="E1DFDD"/>
    </w:rPr>
  </w:style>
  <w:style w:type="table" w:customStyle="1" w:styleId="TableGrid1">
    <w:name w:val="Table Grid1"/>
    <w:basedOn w:val="TableNormal"/>
    <w:next w:val="TableGrid"/>
    <w:rsid w:val="000E4F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014828"/>
    <w:pPr>
      <w:widowControl/>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14828"/>
    <w:pPr>
      <w:widowControl/>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14828"/>
    <w:pPr>
      <w:widowControl/>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14828"/>
    <w:pPr>
      <w:widowControl/>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14828"/>
    <w:pPr>
      <w:widowControl/>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217762">
      <w:bodyDiv w:val="1"/>
      <w:marLeft w:val="0"/>
      <w:marRight w:val="0"/>
      <w:marTop w:val="0"/>
      <w:marBottom w:val="0"/>
      <w:divBdr>
        <w:top w:val="none" w:sz="0" w:space="0" w:color="auto"/>
        <w:left w:val="none" w:sz="0" w:space="0" w:color="auto"/>
        <w:bottom w:val="none" w:sz="0" w:space="0" w:color="auto"/>
        <w:right w:val="none" w:sz="0" w:space="0" w:color="auto"/>
      </w:divBdr>
    </w:div>
    <w:div w:id="1300763986">
      <w:bodyDiv w:val="1"/>
      <w:marLeft w:val="0"/>
      <w:marRight w:val="0"/>
      <w:marTop w:val="0"/>
      <w:marBottom w:val="0"/>
      <w:divBdr>
        <w:top w:val="none" w:sz="0" w:space="0" w:color="auto"/>
        <w:left w:val="none" w:sz="0" w:space="0" w:color="auto"/>
        <w:bottom w:val="none" w:sz="0" w:space="0" w:color="auto"/>
        <w:right w:val="none" w:sz="0" w:space="0" w:color="auto"/>
      </w:divBdr>
      <w:divsChild>
        <w:div w:id="1235824292">
          <w:marLeft w:val="0"/>
          <w:marRight w:val="0"/>
          <w:marTop w:val="0"/>
          <w:marBottom w:val="0"/>
          <w:divBdr>
            <w:top w:val="none" w:sz="0" w:space="0" w:color="auto"/>
            <w:left w:val="none" w:sz="0" w:space="0" w:color="auto"/>
            <w:bottom w:val="none" w:sz="0" w:space="0" w:color="auto"/>
            <w:right w:val="none" w:sz="0" w:space="0" w:color="auto"/>
          </w:divBdr>
        </w:div>
        <w:div w:id="1569725624">
          <w:marLeft w:val="0"/>
          <w:marRight w:val="0"/>
          <w:marTop w:val="0"/>
          <w:marBottom w:val="0"/>
          <w:divBdr>
            <w:top w:val="none" w:sz="0" w:space="0" w:color="auto"/>
            <w:left w:val="none" w:sz="0" w:space="0" w:color="auto"/>
            <w:bottom w:val="none" w:sz="0" w:space="0" w:color="auto"/>
            <w:right w:val="none" w:sz="0" w:space="0" w:color="auto"/>
          </w:divBdr>
        </w:div>
      </w:divsChild>
    </w:div>
    <w:div w:id="1624652987">
      <w:bodyDiv w:val="1"/>
      <w:marLeft w:val="0"/>
      <w:marRight w:val="0"/>
      <w:marTop w:val="0"/>
      <w:marBottom w:val="0"/>
      <w:divBdr>
        <w:top w:val="none" w:sz="0" w:space="0" w:color="auto"/>
        <w:left w:val="none" w:sz="0" w:space="0" w:color="auto"/>
        <w:bottom w:val="none" w:sz="0" w:space="0" w:color="auto"/>
        <w:right w:val="none" w:sz="0" w:space="0" w:color="auto"/>
      </w:divBdr>
      <w:divsChild>
        <w:div w:id="1947733305">
          <w:marLeft w:val="0"/>
          <w:marRight w:val="0"/>
          <w:marTop w:val="0"/>
          <w:marBottom w:val="0"/>
          <w:divBdr>
            <w:top w:val="none" w:sz="0" w:space="0" w:color="auto"/>
            <w:left w:val="none" w:sz="0" w:space="0" w:color="auto"/>
            <w:bottom w:val="none" w:sz="0" w:space="0" w:color="auto"/>
            <w:right w:val="none" w:sz="0" w:space="0" w:color="auto"/>
          </w:divBdr>
          <w:divsChild>
            <w:div w:id="232737690">
              <w:marLeft w:val="0"/>
              <w:marRight w:val="0"/>
              <w:marTop w:val="0"/>
              <w:marBottom w:val="0"/>
              <w:divBdr>
                <w:top w:val="none" w:sz="0" w:space="0" w:color="auto"/>
                <w:left w:val="none" w:sz="0" w:space="0" w:color="auto"/>
                <w:bottom w:val="none" w:sz="0" w:space="0" w:color="auto"/>
                <w:right w:val="none" w:sz="0" w:space="0" w:color="auto"/>
              </w:divBdr>
              <w:divsChild>
                <w:div w:id="505249107">
                  <w:marLeft w:val="0"/>
                  <w:marRight w:val="0"/>
                  <w:marTop w:val="0"/>
                  <w:marBottom w:val="0"/>
                  <w:divBdr>
                    <w:top w:val="none" w:sz="0" w:space="0" w:color="auto"/>
                    <w:left w:val="none" w:sz="0" w:space="0" w:color="auto"/>
                    <w:bottom w:val="none" w:sz="0" w:space="0" w:color="auto"/>
                    <w:right w:val="none" w:sz="0" w:space="0" w:color="auto"/>
                  </w:divBdr>
                  <w:divsChild>
                    <w:div w:id="14313187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19811">
      <w:bodyDiv w:val="1"/>
      <w:marLeft w:val="0"/>
      <w:marRight w:val="0"/>
      <w:marTop w:val="0"/>
      <w:marBottom w:val="0"/>
      <w:divBdr>
        <w:top w:val="none" w:sz="0" w:space="0" w:color="auto"/>
        <w:left w:val="none" w:sz="0" w:space="0" w:color="auto"/>
        <w:bottom w:val="none" w:sz="0" w:space="0" w:color="auto"/>
        <w:right w:val="none" w:sz="0" w:space="0" w:color="auto"/>
      </w:divBdr>
    </w:div>
    <w:div w:id="1922832055">
      <w:bodyDiv w:val="1"/>
      <w:marLeft w:val="0"/>
      <w:marRight w:val="0"/>
      <w:marTop w:val="0"/>
      <w:marBottom w:val="0"/>
      <w:divBdr>
        <w:top w:val="none" w:sz="0" w:space="0" w:color="auto"/>
        <w:left w:val="none" w:sz="0" w:space="0" w:color="auto"/>
        <w:bottom w:val="none" w:sz="0" w:space="0" w:color="auto"/>
        <w:right w:val="none" w:sz="0" w:space="0" w:color="auto"/>
      </w:divBdr>
      <w:divsChild>
        <w:div w:id="533425128">
          <w:marLeft w:val="0"/>
          <w:marRight w:val="0"/>
          <w:marTop w:val="0"/>
          <w:marBottom w:val="0"/>
          <w:divBdr>
            <w:top w:val="none" w:sz="0" w:space="0" w:color="auto"/>
            <w:left w:val="none" w:sz="0" w:space="0" w:color="auto"/>
            <w:bottom w:val="none" w:sz="0" w:space="0" w:color="auto"/>
            <w:right w:val="none" w:sz="0" w:space="0" w:color="auto"/>
          </w:divBdr>
        </w:div>
        <w:div w:id="713389462">
          <w:marLeft w:val="0"/>
          <w:marRight w:val="0"/>
          <w:marTop w:val="0"/>
          <w:marBottom w:val="0"/>
          <w:divBdr>
            <w:top w:val="none" w:sz="0" w:space="0" w:color="auto"/>
            <w:left w:val="none" w:sz="0" w:space="0" w:color="auto"/>
            <w:bottom w:val="none" w:sz="0" w:space="0" w:color="auto"/>
            <w:right w:val="none" w:sz="0" w:space="0" w:color="auto"/>
          </w:divBdr>
        </w:div>
        <w:div w:id="1343049988">
          <w:marLeft w:val="0"/>
          <w:marRight w:val="0"/>
          <w:marTop w:val="0"/>
          <w:marBottom w:val="0"/>
          <w:divBdr>
            <w:top w:val="none" w:sz="0" w:space="0" w:color="auto"/>
            <w:left w:val="none" w:sz="0" w:space="0" w:color="auto"/>
            <w:bottom w:val="none" w:sz="0" w:space="0" w:color="auto"/>
            <w:right w:val="none" w:sz="0" w:space="0" w:color="auto"/>
          </w:divBdr>
        </w:div>
        <w:div w:id="1470591613">
          <w:marLeft w:val="0"/>
          <w:marRight w:val="0"/>
          <w:marTop w:val="0"/>
          <w:marBottom w:val="0"/>
          <w:divBdr>
            <w:top w:val="none" w:sz="0" w:space="0" w:color="auto"/>
            <w:left w:val="none" w:sz="0" w:space="0" w:color="auto"/>
            <w:bottom w:val="none" w:sz="0" w:space="0" w:color="auto"/>
            <w:right w:val="none" w:sz="0" w:space="0" w:color="auto"/>
          </w:divBdr>
        </w:div>
        <w:div w:id="1558198512">
          <w:marLeft w:val="0"/>
          <w:marRight w:val="0"/>
          <w:marTop w:val="0"/>
          <w:marBottom w:val="0"/>
          <w:divBdr>
            <w:top w:val="none" w:sz="0" w:space="0" w:color="auto"/>
            <w:left w:val="none" w:sz="0" w:space="0" w:color="auto"/>
            <w:bottom w:val="none" w:sz="0" w:space="0" w:color="auto"/>
            <w:right w:val="none" w:sz="0" w:space="0" w:color="auto"/>
          </w:divBdr>
        </w:div>
      </w:divsChild>
    </w:div>
    <w:div w:id="1946648402">
      <w:bodyDiv w:val="1"/>
      <w:marLeft w:val="0"/>
      <w:marRight w:val="0"/>
      <w:marTop w:val="0"/>
      <w:marBottom w:val="0"/>
      <w:divBdr>
        <w:top w:val="none" w:sz="0" w:space="0" w:color="auto"/>
        <w:left w:val="none" w:sz="0" w:space="0" w:color="auto"/>
        <w:bottom w:val="none" w:sz="0" w:space="0" w:color="auto"/>
        <w:right w:val="none" w:sz="0" w:space="0" w:color="auto"/>
      </w:divBdr>
      <w:divsChild>
        <w:div w:id="1189179786">
          <w:marLeft w:val="0"/>
          <w:marRight w:val="0"/>
          <w:marTop w:val="0"/>
          <w:marBottom w:val="0"/>
          <w:divBdr>
            <w:top w:val="none" w:sz="0" w:space="0" w:color="auto"/>
            <w:left w:val="none" w:sz="0" w:space="0" w:color="auto"/>
            <w:bottom w:val="none" w:sz="0" w:space="0" w:color="auto"/>
            <w:right w:val="none" w:sz="0" w:space="0" w:color="auto"/>
          </w:divBdr>
          <w:divsChild>
            <w:div w:id="201600629">
              <w:marLeft w:val="0"/>
              <w:marRight w:val="0"/>
              <w:marTop w:val="0"/>
              <w:marBottom w:val="0"/>
              <w:divBdr>
                <w:top w:val="none" w:sz="0" w:space="0" w:color="auto"/>
                <w:left w:val="none" w:sz="0" w:space="0" w:color="auto"/>
                <w:bottom w:val="none" w:sz="0" w:space="0" w:color="auto"/>
                <w:right w:val="none" w:sz="0" w:space="0" w:color="auto"/>
              </w:divBdr>
              <w:divsChild>
                <w:div w:id="1036852853">
                  <w:marLeft w:val="0"/>
                  <w:marRight w:val="0"/>
                  <w:marTop w:val="0"/>
                  <w:marBottom w:val="0"/>
                  <w:divBdr>
                    <w:top w:val="none" w:sz="0" w:space="0" w:color="auto"/>
                    <w:left w:val="none" w:sz="0" w:space="0" w:color="auto"/>
                    <w:bottom w:val="none" w:sz="0" w:space="0" w:color="auto"/>
                    <w:right w:val="none" w:sz="0" w:space="0" w:color="auto"/>
                  </w:divBdr>
                  <w:divsChild>
                    <w:div w:id="40549606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398487">
      <w:bodyDiv w:val="1"/>
      <w:marLeft w:val="0"/>
      <w:marRight w:val="0"/>
      <w:marTop w:val="0"/>
      <w:marBottom w:val="0"/>
      <w:divBdr>
        <w:top w:val="none" w:sz="0" w:space="0" w:color="auto"/>
        <w:left w:val="none" w:sz="0" w:space="0" w:color="auto"/>
        <w:bottom w:val="none" w:sz="0" w:space="0" w:color="auto"/>
        <w:right w:val="none" w:sz="0" w:space="0" w:color="auto"/>
      </w:divBdr>
      <w:divsChild>
        <w:div w:id="977957702">
          <w:marLeft w:val="0"/>
          <w:marRight w:val="0"/>
          <w:marTop w:val="0"/>
          <w:marBottom w:val="0"/>
          <w:divBdr>
            <w:top w:val="none" w:sz="0" w:space="0" w:color="auto"/>
            <w:left w:val="none" w:sz="0" w:space="0" w:color="auto"/>
            <w:bottom w:val="none" w:sz="0" w:space="0" w:color="auto"/>
            <w:right w:val="none" w:sz="0" w:space="0" w:color="auto"/>
          </w:divBdr>
          <w:divsChild>
            <w:div w:id="521170513">
              <w:marLeft w:val="0"/>
              <w:marRight w:val="0"/>
              <w:marTop w:val="0"/>
              <w:marBottom w:val="0"/>
              <w:divBdr>
                <w:top w:val="none" w:sz="0" w:space="0" w:color="auto"/>
                <w:left w:val="none" w:sz="0" w:space="0" w:color="auto"/>
                <w:bottom w:val="none" w:sz="0" w:space="0" w:color="auto"/>
                <w:right w:val="none" w:sz="0" w:space="0" w:color="auto"/>
              </w:divBdr>
              <w:divsChild>
                <w:div w:id="688606704">
                  <w:marLeft w:val="0"/>
                  <w:marRight w:val="0"/>
                  <w:marTop w:val="0"/>
                  <w:marBottom w:val="0"/>
                  <w:divBdr>
                    <w:top w:val="none" w:sz="0" w:space="0" w:color="auto"/>
                    <w:left w:val="none" w:sz="0" w:space="0" w:color="auto"/>
                    <w:bottom w:val="none" w:sz="0" w:space="0" w:color="auto"/>
                    <w:right w:val="none" w:sz="0" w:space="0" w:color="auto"/>
                  </w:divBdr>
                  <w:divsChild>
                    <w:div w:id="38969247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EA759-00F4-46FE-86A5-8F7D1CE84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24377</Words>
  <Characters>133937</Characters>
  <Application>Microsoft Office Word</Application>
  <DocSecurity>4</DocSecurity>
  <Lines>1116</Lines>
  <Paragraphs>315</Paragraphs>
  <ScaleCrop>false</ScaleCrop>
  <HeadingPairs>
    <vt:vector size="2" baseType="variant">
      <vt:variant>
        <vt:lpstr>Title</vt:lpstr>
      </vt:variant>
      <vt:variant>
        <vt:i4>1</vt:i4>
      </vt:variant>
    </vt:vector>
  </HeadingPairs>
  <TitlesOfParts>
    <vt:vector size="1" baseType="lpstr">
      <vt:lpstr>PENNSYLVANIA</vt:lpstr>
    </vt:vector>
  </TitlesOfParts>
  <Company>Pa Public Utility Commission</Company>
  <LinksUpToDate>false</LinksUpToDate>
  <CharactersWithSpaces>157999</CharactersWithSpaces>
  <SharedDoc>false</SharedDoc>
  <HLinks>
    <vt:vector size="486" baseType="variant">
      <vt:variant>
        <vt:i4>1376310</vt:i4>
      </vt:variant>
      <vt:variant>
        <vt:i4>482</vt:i4>
      </vt:variant>
      <vt:variant>
        <vt:i4>0</vt:i4>
      </vt:variant>
      <vt:variant>
        <vt:i4>5</vt:i4>
      </vt:variant>
      <vt:variant>
        <vt:lpwstr/>
      </vt:variant>
      <vt:variant>
        <vt:lpwstr>_Toc68587022</vt:lpwstr>
      </vt:variant>
      <vt:variant>
        <vt:i4>1441846</vt:i4>
      </vt:variant>
      <vt:variant>
        <vt:i4>476</vt:i4>
      </vt:variant>
      <vt:variant>
        <vt:i4>0</vt:i4>
      </vt:variant>
      <vt:variant>
        <vt:i4>5</vt:i4>
      </vt:variant>
      <vt:variant>
        <vt:lpwstr/>
      </vt:variant>
      <vt:variant>
        <vt:lpwstr>_Toc68587021</vt:lpwstr>
      </vt:variant>
      <vt:variant>
        <vt:i4>1507382</vt:i4>
      </vt:variant>
      <vt:variant>
        <vt:i4>470</vt:i4>
      </vt:variant>
      <vt:variant>
        <vt:i4>0</vt:i4>
      </vt:variant>
      <vt:variant>
        <vt:i4>5</vt:i4>
      </vt:variant>
      <vt:variant>
        <vt:lpwstr/>
      </vt:variant>
      <vt:variant>
        <vt:lpwstr>_Toc68587020</vt:lpwstr>
      </vt:variant>
      <vt:variant>
        <vt:i4>1966133</vt:i4>
      </vt:variant>
      <vt:variant>
        <vt:i4>464</vt:i4>
      </vt:variant>
      <vt:variant>
        <vt:i4>0</vt:i4>
      </vt:variant>
      <vt:variant>
        <vt:i4>5</vt:i4>
      </vt:variant>
      <vt:variant>
        <vt:lpwstr/>
      </vt:variant>
      <vt:variant>
        <vt:lpwstr>_Toc68587019</vt:lpwstr>
      </vt:variant>
      <vt:variant>
        <vt:i4>2031669</vt:i4>
      </vt:variant>
      <vt:variant>
        <vt:i4>458</vt:i4>
      </vt:variant>
      <vt:variant>
        <vt:i4>0</vt:i4>
      </vt:variant>
      <vt:variant>
        <vt:i4>5</vt:i4>
      </vt:variant>
      <vt:variant>
        <vt:lpwstr/>
      </vt:variant>
      <vt:variant>
        <vt:lpwstr>_Toc68587018</vt:lpwstr>
      </vt:variant>
      <vt:variant>
        <vt:i4>1048629</vt:i4>
      </vt:variant>
      <vt:variant>
        <vt:i4>452</vt:i4>
      </vt:variant>
      <vt:variant>
        <vt:i4>0</vt:i4>
      </vt:variant>
      <vt:variant>
        <vt:i4>5</vt:i4>
      </vt:variant>
      <vt:variant>
        <vt:lpwstr/>
      </vt:variant>
      <vt:variant>
        <vt:lpwstr>_Toc68587017</vt:lpwstr>
      </vt:variant>
      <vt:variant>
        <vt:i4>1114165</vt:i4>
      </vt:variant>
      <vt:variant>
        <vt:i4>446</vt:i4>
      </vt:variant>
      <vt:variant>
        <vt:i4>0</vt:i4>
      </vt:variant>
      <vt:variant>
        <vt:i4>5</vt:i4>
      </vt:variant>
      <vt:variant>
        <vt:lpwstr/>
      </vt:variant>
      <vt:variant>
        <vt:lpwstr>_Toc68587016</vt:lpwstr>
      </vt:variant>
      <vt:variant>
        <vt:i4>1179701</vt:i4>
      </vt:variant>
      <vt:variant>
        <vt:i4>440</vt:i4>
      </vt:variant>
      <vt:variant>
        <vt:i4>0</vt:i4>
      </vt:variant>
      <vt:variant>
        <vt:i4>5</vt:i4>
      </vt:variant>
      <vt:variant>
        <vt:lpwstr/>
      </vt:variant>
      <vt:variant>
        <vt:lpwstr>_Toc68587015</vt:lpwstr>
      </vt:variant>
      <vt:variant>
        <vt:i4>1245237</vt:i4>
      </vt:variant>
      <vt:variant>
        <vt:i4>434</vt:i4>
      </vt:variant>
      <vt:variant>
        <vt:i4>0</vt:i4>
      </vt:variant>
      <vt:variant>
        <vt:i4>5</vt:i4>
      </vt:variant>
      <vt:variant>
        <vt:lpwstr/>
      </vt:variant>
      <vt:variant>
        <vt:lpwstr>_Toc68587014</vt:lpwstr>
      </vt:variant>
      <vt:variant>
        <vt:i4>1310773</vt:i4>
      </vt:variant>
      <vt:variant>
        <vt:i4>428</vt:i4>
      </vt:variant>
      <vt:variant>
        <vt:i4>0</vt:i4>
      </vt:variant>
      <vt:variant>
        <vt:i4>5</vt:i4>
      </vt:variant>
      <vt:variant>
        <vt:lpwstr/>
      </vt:variant>
      <vt:variant>
        <vt:lpwstr>_Toc68587013</vt:lpwstr>
      </vt:variant>
      <vt:variant>
        <vt:i4>1376309</vt:i4>
      </vt:variant>
      <vt:variant>
        <vt:i4>422</vt:i4>
      </vt:variant>
      <vt:variant>
        <vt:i4>0</vt:i4>
      </vt:variant>
      <vt:variant>
        <vt:i4>5</vt:i4>
      </vt:variant>
      <vt:variant>
        <vt:lpwstr/>
      </vt:variant>
      <vt:variant>
        <vt:lpwstr>_Toc68587012</vt:lpwstr>
      </vt:variant>
      <vt:variant>
        <vt:i4>1441845</vt:i4>
      </vt:variant>
      <vt:variant>
        <vt:i4>416</vt:i4>
      </vt:variant>
      <vt:variant>
        <vt:i4>0</vt:i4>
      </vt:variant>
      <vt:variant>
        <vt:i4>5</vt:i4>
      </vt:variant>
      <vt:variant>
        <vt:lpwstr/>
      </vt:variant>
      <vt:variant>
        <vt:lpwstr>_Toc68587011</vt:lpwstr>
      </vt:variant>
      <vt:variant>
        <vt:i4>1507381</vt:i4>
      </vt:variant>
      <vt:variant>
        <vt:i4>410</vt:i4>
      </vt:variant>
      <vt:variant>
        <vt:i4>0</vt:i4>
      </vt:variant>
      <vt:variant>
        <vt:i4>5</vt:i4>
      </vt:variant>
      <vt:variant>
        <vt:lpwstr/>
      </vt:variant>
      <vt:variant>
        <vt:lpwstr>_Toc68587010</vt:lpwstr>
      </vt:variant>
      <vt:variant>
        <vt:i4>1966132</vt:i4>
      </vt:variant>
      <vt:variant>
        <vt:i4>404</vt:i4>
      </vt:variant>
      <vt:variant>
        <vt:i4>0</vt:i4>
      </vt:variant>
      <vt:variant>
        <vt:i4>5</vt:i4>
      </vt:variant>
      <vt:variant>
        <vt:lpwstr/>
      </vt:variant>
      <vt:variant>
        <vt:lpwstr>_Toc68587009</vt:lpwstr>
      </vt:variant>
      <vt:variant>
        <vt:i4>2031668</vt:i4>
      </vt:variant>
      <vt:variant>
        <vt:i4>398</vt:i4>
      </vt:variant>
      <vt:variant>
        <vt:i4>0</vt:i4>
      </vt:variant>
      <vt:variant>
        <vt:i4>5</vt:i4>
      </vt:variant>
      <vt:variant>
        <vt:lpwstr/>
      </vt:variant>
      <vt:variant>
        <vt:lpwstr>_Toc68587008</vt:lpwstr>
      </vt:variant>
      <vt:variant>
        <vt:i4>1048628</vt:i4>
      </vt:variant>
      <vt:variant>
        <vt:i4>392</vt:i4>
      </vt:variant>
      <vt:variant>
        <vt:i4>0</vt:i4>
      </vt:variant>
      <vt:variant>
        <vt:i4>5</vt:i4>
      </vt:variant>
      <vt:variant>
        <vt:lpwstr/>
      </vt:variant>
      <vt:variant>
        <vt:lpwstr>_Toc68587007</vt:lpwstr>
      </vt:variant>
      <vt:variant>
        <vt:i4>1114164</vt:i4>
      </vt:variant>
      <vt:variant>
        <vt:i4>386</vt:i4>
      </vt:variant>
      <vt:variant>
        <vt:i4>0</vt:i4>
      </vt:variant>
      <vt:variant>
        <vt:i4>5</vt:i4>
      </vt:variant>
      <vt:variant>
        <vt:lpwstr/>
      </vt:variant>
      <vt:variant>
        <vt:lpwstr>_Toc68587006</vt:lpwstr>
      </vt:variant>
      <vt:variant>
        <vt:i4>1179700</vt:i4>
      </vt:variant>
      <vt:variant>
        <vt:i4>380</vt:i4>
      </vt:variant>
      <vt:variant>
        <vt:i4>0</vt:i4>
      </vt:variant>
      <vt:variant>
        <vt:i4>5</vt:i4>
      </vt:variant>
      <vt:variant>
        <vt:lpwstr/>
      </vt:variant>
      <vt:variant>
        <vt:lpwstr>_Toc68587005</vt:lpwstr>
      </vt:variant>
      <vt:variant>
        <vt:i4>1245236</vt:i4>
      </vt:variant>
      <vt:variant>
        <vt:i4>374</vt:i4>
      </vt:variant>
      <vt:variant>
        <vt:i4>0</vt:i4>
      </vt:variant>
      <vt:variant>
        <vt:i4>5</vt:i4>
      </vt:variant>
      <vt:variant>
        <vt:lpwstr/>
      </vt:variant>
      <vt:variant>
        <vt:lpwstr>_Toc68587004</vt:lpwstr>
      </vt:variant>
      <vt:variant>
        <vt:i4>1310772</vt:i4>
      </vt:variant>
      <vt:variant>
        <vt:i4>368</vt:i4>
      </vt:variant>
      <vt:variant>
        <vt:i4>0</vt:i4>
      </vt:variant>
      <vt:variant>
        <vt:i4>5</vt:i4>
      </vt:variant>
      <vt:variant>
        <vt:lpwstr/>
      </vt:variant>
      <vt:variant>
        <vt:lpwstr>_Toc68587003</vt:lpwstr>
      </vt:variant>
      <vt:variant>
        <vt:i4>1376308</vt:i4>
      </vt:variant>
      <vt:variant>
        <vt:i4>362</vt:i4>
      </vt:variant>
      <vt:variant>
        <vt:i4>0</vt:i4>
      </vt:variant>
      <vt:variant>
        <vt:i4>5</vt:i4>
      </vt:variant>
      <vt:variant>
        <vt:lpwstr/>
      </vt:variant>
      <vt:variant>
        <vt:lpwstr>_Toc68587002</vt:lpwstr>
      </vt:variant>
      <vt:variant>
        <vt:i4>1441844</vt:i4>
      </vt:variant>
      <vt:variant>
        <vt:i4>356</vt:i4>
      </vt:variant>
      <vt:variant>
        <vt:i4>0</vt:i4>
      </vt:variant>
      <vt:variant>
        <vt:i4>5</vt:i4>
      </vt:variant>
      <vt:variant>
        <vt:lpwstr/>
      </vt:variant>
      <vt:variant>
        <vt:lpwstr>_Toc68587001</vt:lpwstr>
      </vt:variant>
      <vt:variant>
        <vt:i4>1507380</vt:i4>
      </vt:variant>
      <vt:variant>
        <vt:i4>350</vt:i4>
      </vt:variant>
      <vt:variant>
        <vt:i4>0</vt:i4>
      </vt:variant>
      <vt:variant>
        <vt:i4>5</vt:i4>
      </vt:variant>
      <vt:variant>
        <vt:lpwstr/>
      </vt:variant>
      <vt:variant>
        <vt:lpwstr>_Toc68587000</vt:lpwstr>
      </vt:variant>
      <vt:variant>
        <vt:i4>1507388</vt:i4>
      </vt:variant>
      <vt:variant>
        <vt:i4>344</vt:i4>
      </vt:variant>
      <vt:variant>
        <vt:i4>0</vt:i4>
      </vt:variant>
      <vt:variant>
        <vt:i4>5</vt:i4>
      </vt:variant>
      <vt:variant>
        <vt:lpwstr/>
      </vt:variant>
      <vt:variant>
        <vt:lpwstr>_Toc68586999</vt:lpwstr>
      </vt:variant>
      <vt:variant>
        <vt:i4>1441852</vt:i4>
      </vt:variant>
      <vt:variant>
        <vt:i4>338</vt:i4>
      </vt:variant>
      <vt:variant>
        <vt:i4>0</vt:i4>
      </vt:variant>
      <vt:variant>
        <vt:i4>5</vt:i4>
      </vt:variant>
      <vt:variant>
        <vt:lpwstr/>
      </vt:variant>
      <vt:variant>
        <vt:lpwstr>_Toc68586998</vt:lpwstr>
      </vt:variant>
      <vt:variant>
        <vt:i4>1638460</vt:i4>
      </vt:variant>
      <vt:variant>
        <vt:i4>332</vt:i4>
      </vt:variant>
      <vt:variant>
        <vt:i4>0</vt:i4>
      </vt:variant>
      <vt:variant>
        <vt:i4>5</vt:i4>
      </vt:variant>
      <vt:variant>
        <vt:lpwstr/>
      </vt:variant>
      <vt:variant>
        <vt:lpwstr>_Toc68586997</vt:lpwstr>
      </vt:variant>
      <vt:variant>
        <vt:i4>1572924</vt:i4>
      </vt:variant>
      <vt:variant>
        <vt:i4>326</vt:i4>
      </vt:variant>
      <vt:variant>
        <vt:i4>0</vt:i4>
      </vt:variant>
      <vt:variant>
        <vt:i4>5</vt:i4>
      </vt:variant>
      <vt:variant>
        <vt:lpwstr/>
      </vt:variant>
      <vt:variant>
        <vt:lpwstr>_Toc68586996</vt:lpwstr>
      </vt:variant>
      <vt:variant>
        <vt:i4>1769532</vt:i4>
      </vt:variant>
      <vt:variant>
        <vt:i4>320</vt:i4>
      </vt:variant>
      <vt:variant>
        <vt:i4>0</vt:i4>
      </vt:variant>
      <vt:variant>
        <vt:i4>5</vt:i4>
      </vt:variant>
      <vt:variant>
        <vt:lpwstr/>
      </vt:variant>
      <vt:variant>
        <vt:lpwstr>_Toc68586995</vt:lpwstr>
      </vt:variant>
      <vt:variant>
        <vt:i4>1703996</vt:i4>
      </vt:variant>
      <vt:variant>
        <vt:i4>314</vt:i4>
      </vt:variant>
      <vt:variant>
        <vt:i4>0</vt:i4>
      </vt:variant>
      <vt:variant>
        <vt:i4>5</vt:i4>
      </vt:variant>
      <vt:variant>
        <vt:lpwstr/>
      </vt:variant>
      <vt:variant>
        <vt:lpwstr>_Toc68586994</vt:lpwstr>
      </vt:variant>
      <vt:variant>
        <vt:i4>1900604</vt:i4>
      </vt:variant>
      <vt:variant>
        <vt:i4>308</vt:i4>
      </vt:variant>
      <vt:variant>
        <vt:i4>0</vt:i4>
      </vt:variant>
      <vt:variant>
        <vt:i4>5</vt:i4>
      </vt:variant>
      <vt:variant>
        <vt:lpwstr/>
      </vt:variant>
      <vt:variant>
        <vt:lpwstr>_Toc68586993</vt:lpwstr>
      </vt:variant>
      <vt:variant>
        <vt:i4>1835068</vt:i4>
      </vt:variant>
      <vt:variant>
        <vt:i4>302</vt:i4>
      </vt:variant>
      <vt:variant>
        <vt:i4>0</vt:i4>
      </vt:variant>
      <vt:variant>
        <vt:i4>5</vt:i4>
      </vt:variant>
      <vt:variant>
        <vt:lpwstr/>
      </vt:variant>
      <vt:variant>
        <vt:lpwstr>_Toc68586992</vt:lpwstr>
      </vt:variant>
      <vt:variant>
        <vt:i4>2031676</vt:i4>
      </vt:variant>
      <vt:variant>
        <vt:i4>296</vt:i4>
      </vt:variant>
      <vt:variant>
        <vt:i4>0</vt:i4>
      </vt:variant>
      <vt:variant>
        <vt:i4>5</vt:i4>
      </vt:variant>
      <vt:variant>
        <vt:lpwstr/>
      </vt:variant>
      <vt:variant>
        <vt:lpwstr>_Toc68586991</vt:lpwstr>
      </vt:variant>
      <vt:variant>
        <vt:i4>1966140</vt:i4>
      </vt:variant>
      <vt:variant>
        <vt:i4>290</vt:i4>
      </vt:variant>
      <vt:variant>
        <vt:i4>0</vt:i4>
      </vt:variant>
      <vt:variant>
        <vt:i4>5</vt:i4>
      </vt:variant>
      <vt:variant>
        <vt:lpwstr/>
      </vt:variant>
      <vt:variant>
        <vt:lpwstr>_Toc68586990</vt:lpwstr>
      </vt:variant>
      <vt:variant>
        <vt:i4>1507389</vt:i4>
      </vt:variant>
      <vt:variant>
        <vt:i4>284</vt:i4>
      </vt:variant>
      <vt:variant>
        <vt:i4>0</vt:i4>
      </vt:variant>
      <vt:variant>
        <vt:i4>5</vt:i4>
      </vt:variant>
      <vt:variant>
        <vt:lpwstr/>
      </vt:variant>
      <vt:variant>
        <vt:lpwstr>_Toc68586989</vt:lpwstr>
      </vt:variant>
      <vt:variant>
        <vt:i4>1441853</vt:i4>
      </vt:variant>
      <vt:variant>
        <vt:i4>278</vt:i4>
      </vt:variant>
      <vt:variant>
        <vt:i4>0</vt:i4>
      </vt:variant>
      <vt:variant>
        <vt:i4>5</vt:i4>
      </vt:variant>
      <vt:variant>
        <vt:lpwstr/>
      </vt:variant>
      <vt:variant>
        <vt:lpwstr>_Toc68586988</vt:lpwstr>
      </vt:variant>
      <vt:variant>
        <vt:i4>1638461</vt:i4>
      </vt:variant>
      <vt:variant>
        <vt:i4>272</vt:i4>
      </vt:variant>
      <vt:variant>
        <vt:i4>0</vt:i4>
      </vt:variant>
      <vt:variant>
        <vt:i4>5</vt:i4>
      </vt:variant>
      <vt:variant>
        <vt:lpwstr/>
      </vt:variant>
      <vt:variant>
        <vt:lpwstr>_Toc68586987</vt:lpwstr>
      </vt:variant>
      <vt:variant>
        <vt:i4>1572925</vt:i4>
      </vt:variant>
      <vt:variant>
        <vt:i4>266</vt:i4>
      </vt:variant>
      <vt:variant>
        <vt:i4>0</vt:i4>
      </vt:variant>
      <vt:variant>
        <vt:i4>5</vt:i4>
      </vt:variant>
      <vt:variant>
        <vt:lpwstr/>
      </vt:variant>
      <vt:variant>
        <vt:lpwstr>_Toc68586986</vt:lpwstr>
      </vt:variant>
      <vt:variant>
        <vt:i4>1769533</vt:i4>
      </vt:variant>
      <vt:variant>
        <vt:i4>260</vt:i4>
      </vt:variant>
      <vt:variant>
        <vt:i4>0</vt:i4>
      </vt:variant>
      <vt:variant>
        <vt:i4>5</vt:i4>
      </vt:variant>
      <vt:variant>
        <vt:lpwstr/>
      </vt:variant>
      <vt:variant>
        <vt:lpwstr>_Toc68586985</vt:lpwstr>
      </vt:variant>
      <vt:variant>
        <vt:i4>1703997</vt:i4>
      </vt:variant>
      <vt:variant>
        <vt:i4>254</vt:i4>
      </vt:variant>
      <vt:variant>
        <vt:i4>0</vt:i4>
      </vt:variant>
      <vt:variant>
        <vt:i4>5</vt:i4>
      </vt:variant>
      <vt:variant>
        <vt:lpwstr/>
      </vt:variant>
      <vt:variant>
        <vt:lpwstr>_Toc68586984</vt:lpwstr>
      </vt:variant>
      <vt:variant>
        <vt:i4>1900605</vt:i4>
      </vt:variant>
      <vt:variant>
        <vt:i4>248</vt:i4>
      </vt:variant>
      <vt:variant>
        <vt:i4>0</vt:i4>
      </vt:variant>
      <vt:variant>
        <vt:i4>5</vt:i4>
      </vt:variant>
      <vt:variant>
        <vt:lpwstr/>
      </vt:variant>
      <vt:variant>
        <vt:lpwstr>_Toc68586983</vt:lpwstr>
      </vt:variant>
      <vt:variant>
        <vt:i4>1835069</vt:i4>
      </vt:variant>
      <vt:variant>
        <vt:i4>242</vt:i4>
      </vt:variant>
      <vt:variant>
        <vt:i4>0</vt:i4>
      </vt:variant>
      <vt:variant>
        <vt:i4>5</vt:i4>
      </vt:variant>
      <vt:variant>
        <vt:lpwstr/>
      </vt:variant>
      <vt:variant>
        <vt:lpwstr>_Toc68586982</vt:lpwstr>
      </vt:variant>
      <vt:variant>
        <vt:i4>2031677</vt:i4>
      </vt:variant>
      <vt:variant>
        <vt:i4>236</vt:i4>
      </vt:variant>
      <vt:variant>
        <vt:i4>0</vt:i4>
      </vt:variant>
      <vt:variant>
        <vt:i4>5</vt:i4>
      </vt:variant>
      <vt:variant>
        <vt:lpwstr/>
      </vt:variant>
      <vt:variant>
        <vt:lpwstr>_Toc68586981</vt:lpwstr>
      </vt:variant>
      <vt:variant>
        <vt:i4>1966141</vt:i4>
      </vt:variant>
      <vt:variant>
        <vt:i4>230</vt:i4>
      </vt:variant>
      <vt:variant>
        <vt:i4>0</vt:i4>
      </vt:variant>
      <vt:variant>
        <vt:i4>5</vt:i4>
      </vt:variant>
      <vt:variant>
        <vt:lpwstr/>
      </vt:variant>
      <vt:variant>
        <vt:lpwstr>_Toc68586980</vt:lpwstr>
      </vt:variant>
      <vt:variant>
        <vt:i4>1507378</vt:i4>
      </vt:variant>
      <vt:variant>
        <vt:i4>224</vt:i4>
      </vt:variant>
      <vt:variant>
        <vt:i4>0</vt:i4>
      </vt:variant>
      <vt:variant>
        <vt:i4>5</vt:i4>
      </vt:variant>
      <vt:variant>
        <vt:lpwstr/>
      </vt:variant>
      <vt:variant>
        <vt:lpwstr>_Toc68586979</vt:lpwstr>
      </vt:variant>
      <vt:variant>
        <vt:i4>1441842</vt:i4>
      </vt:variant>
      <vt:variant>
        <vt:i4>218</vt:i4>
      </vt:variant>
      <vt:variant>
        <vt:i4>0</vt:i4>
      </vt:variant>
      <vt:variant>
        <vt:i4>5</vt:i4>
      </vt:variant>
      <vt:variant>
        <vt:lpwstr/>
      </vt:variant>
      <vt:variant>
        <vt:lpwstr>_Toc68586978</vt:lpwstr>
      </vt:variant>
      <vt:variant>
        <vt:i4>1638450</vt:i4>
      </vt:variant>
      <vt:variant>
        <vt:i4>212</vt:i4>
      </vt:variant>
      <vt:variant>
        <vt:i4>0</vt:i4>
      </vt:variant>
      <vt:variant>
        <vt:i4>5</vt:i4>
      </vt:variant>
      <vt:variant>
        <vt:lpwstr/>
      </vt:variant>
      <vt:variant>
        <vt:lpwstr>_Toc68586977</vt:lpwstr>
      </vt:variant>
      <vt:variant>
        <vt:i4>1572914</vt:i4>
      </vt:variant>
      <vt:variant>
        <vt:i4>206</vt:i4>
      </vt:variant>
      <vt:variant>
        <vt:i4>0</vt:i4>
      </vt:variant>
      <vt:variant>
        <vt:i4>5</vt:i4>
      </vt:variant>
      <vt:variant>
        <vt:lpwstr/>
      </vt:variant>
      <vt:variant>
        <vt:lpwstr>_Toc68586976</vt:lpwstr>
      </vt:variant>
      <vt:variant>
        <vt:i4>1769522</vt:i4>
      </vt:variant>
      <vt:variant>
        <vt:i4>200</vt:i4>
      </vt:variant>
      <vt:variant>
        <vt:i4>0</vt:i4>
      </vt:variant>
      <vt:variant>
        <vt:i4>5</vt:i4>
      </vt:variant>
      <vt:variant>
        <vt:lpwstr/>
      </vt:variant>
      <vt:variant>
        <vt:lpwstr>_Toc68586975</vt:lpwstr>
      </vt:variant>
      <vt:variant>
        <vt:i4>1703986</vt:i4>
      </vt:variant>
      <vt:variant>
        <vt:i4>194</vt:i4>
      </vt:variant>
      <vt:variant>
        <vt:i4>0</vt:i4>
      </vt:variant>
      <vt:variant>
        <vt:i4>5</vt:i4>
      </vt:variant>
      <vt:variant>
        <vt:lpwstr/>
      </vt:variant>
      <vt:variant>
        <vt:lpwstr>_Toc68586974</vt:lpwstr>
      </vt:variant>
      <vt:variant>
        <vt:i4>1900594</vt:i4>
      </vt:variant>
      <vt:variant>
        <vt:i4>188</vt:i4>
      </vt:variant>
      <vt:variant>
        <vt:i4>0</vt:i4>
      </vt:variant>
      <vt:variant>
        <vt:i4>5</vt:i4>
      </vt:variant>
      <vt:variant>
        <vt:lpwstr/>
      </vt:variant>
      <vt:variant>
        <vt:lpwstr>_Toc68586973</vt:lpwstr>
      </vt:variant>
      <vt:variant>
        <vt:i4>1835058</vt:i4>
      </vt:variant>
      <vt:variant>
        <vt:i4>182</vt:i4>
      </vt:variant>
      <vt:variant>
        <vt:i4>0</vt:i4>
      </vt:variant>
      <vt:variant>
        <vt:i4>5</vt:i4>
      </vt:variant>
      <vt:variant>
        <vt:lpwstr/>
      </vt:variant>
      <vt:variant>
        <vt:lpwstr>_Toc68586972</vt:lpwstr>
      </vt:variant>
      <vt:variant>
        <vt:i4>2031666</vt:i4>
      </vt:variant>
      <vt:variant>
        <vt:i4>176</vt:i4>
      </vt:variant>
      <vt:variant>
        <vt:i4>0</vt:i4>
      </vt:variant>
      <vt:variant>
        <vt:i4>5</vt:i4>
      </vt:variant>
      <vt:variant>
        <vt:lpwstr/>
      </vt:variant>
      <vt:variant>
        <vt:lpwstr>_Toc68586971</vt:lpwstr>
      </vt:variant>
      <vt:variant>
        <vt:i4>1966130</vt:i4>
      </vt:variant>
      <vt:variant>
        <vt:i4>170</vt:i4>
      </vt:variant>
      <vt:variant>
        <vt:i4>0</vt:i4>
      </vt:variant>
      <vt:variant>
        <vt:i4>5</vt:i4>
      </vt:variant>
      <vt:variant>
        <vt:lpwstr/>
      </vt:variant>
      <vt:variant>
        <vt:lpwstr>_Toc68586970</vt:lpwstr>
      </vt:variant>
      <vt:variant>
        <vt:i4>1507379</vt:i4>
      </vt:variant>
      <vt:variant>
        <vt:i4>164</vt:i4>
      </vt:variant>
      <vt:variant>
        <vt:i4>0</vt:i4>
      </vt:variant>
      <vt:variant>
        <vt:i4>5</vt:i4>
      </vt:variant>
      <vt:variant>
        <vt:lpwstr/>
      </vt:variant>
      <vt:variant>
        <vt:lpwstr>_Toc68586969</vt:lpwstr>
      </vt:variant>
      <vt:variant>
        <vt:i4>1441843</vt:i4>
      </vt:variant>
      <vt:variant>
        <vt:i4>158</vt:i4>
      </vt:variant>
      <vt:variant>
        <vt:i4>0</vt:i4>
      </vt:variant>
      <vt:variant>
        <vt:i4>5</vt:i4>
      </vt:variant>
      <vt:variant>
        <vt:lpwstr/>
      </vt:variant>
      <vt:variant>
        <vt:lpwstr>_Toc68586968</vt:lpwstr>
      </vt:variant>
      <vt:variant>
        <vt:i4>1638451</vt:i4>
      </vt:variant>
      <vt:variant>
        <vt:i4>152</vt:i4>
      </vt:variant>
      <vt:variant>
        <vt:i4>0</vt:i4>
      </vt:variant>
      <vt:variant>
        <vt:i4>5</vt:i4>
      </vt:variant>
      <vt:variant>
        <vt:lpwstr/>
      </vt:variant>
      <vt:variant>
        <vt:lpwstr>_Toc68586967</vt:lpwstr>
      </vt:variant>
      <vt:variant>
        <vt:i4>1572915</vt:i4>
      </vt:variant>
      <vt:variant>
        <vt:i4>146</vt:i4>
      </vt:variant>
      <vt:variant>
        <vt:i4>0</vt:i4>
      </vt:variant>
      <vt:variant>
        <vt:i4>5</vt:i4>
      </vt:variant>
      <vt:variant>
        <vt:lpwstr/>
      </vt:variant>
      <vt:variant>
        <vt:lpwstr>_Toc68586966</vt:lpwstr>
      </vt:variant>
      <vt:variant>
        <vt:i4>1769523</vt:i4>
      </vt:variant>
      <vt:variant>
        <vt:i4>140</vt:i4>
      </vt:variant>
      <vt:variant>
        <vt:i4>0</vt:i4>
      </vt:variant>
      <vt:variant>
        <vt:i4>5</vt:i4>
      </vt:variant>
      <vt:variant>
        <vt:lpwstr/>
      </vt:variant>
      <vt:variant>
        <vt:lpwstr>_Toc68586965</vt:lpwstr>
      </vt:variant>
      <vt:variant>
        <vt:i4>1703987</vt:i4>
      </vt:variant>
      <vt:variant>
        <vt:i4>134</vt:i4>
      </vt:variant>
      <vt:variant>
        <vt:i4>0</vt:i4>
      </vt:variant>
      <vt:variant>
        <vt:i4>5</vt:i4>
      </vt:variant>
      <vt:variant>
        <vt:lpwstr/>
      </vt:variant>
      <vt:variant>
        <vt:lpwstr>_Toc68586964</vt:lpwstr>
      </vt:variant>
      <vt:variant>
        <vt:i4>1900595</vt:i4>
      </vt:variant>
      <vt:variant>
        <vt:i4>128</vt:i4>
      </vt:variant>
      <vt:variant>
        <vt:i4>0</vt:i4>
      </vt:variant>
      <vt:variant>
        <vt:i4>5</vt:i4>
      </vt:variant>
      <vt:variant>
        <vt:lpwstr/>
      </vt:variant>
      <vt:variant>
        <vt:lpwstr>_Toc68586963</vt:lpwstr>
      </vt:variant>
      <vt:variant>
        <vt:i4>1835059</vt:i4>
      </vt:variant>
      <vt:variant>
        <vt:i4>122</vt:i4>
      </vt:variant>
      <vt:variant>
        <vt:i4>0</vt:i4>
      </vt:variant>
      <vt:variant>
        <vt:i4>5</vt:i4>
      </vt:variant>
      <vt:variant>
        <vt:lpwstr/>
      </vt:variant>
      <vt:variant>
        <vt:lpwstr>_Toc68586962</vt:lpwstr>
      </vt:variant>
      <vt:variant>
        <vt:i4>2031667</vt:i4>
      </vt:variant>
      <vt:variant>
        <vt:i4>116</vt:i4>
      </vt:variant>
      <vt:variant>
        <vt:i4>0</vt:i4>
      </vt:variant>
      <vt:variant>
        <vt:i4>5</vt:i4>
      </vt:variant>
      <vt:variant>
        <vt:lpwstr/>
      </vt:variant>
      <vt:variant>
        <vt:lpwstr>_Toc68586961</vt:lpwstr>
      </vt:variant>
      <vt:variant>
        <vt:i4>1966131</vt:i4>
      </vt:variant>
      <vt:variant>
        <vt:i4>110</vt:i4>
      </vt:variant>
      <vt:variant>
        <vt:i4>0</vt:i4>
      </vt:variant>
      <vt:variant>
        <vt:i4>5</vt:i4>
      </vt:variant>
      <vt:variant>
        <vt:lpwstr/>
      </vt:variant>
      <vt:variant>
        <vt:lpwstr>_Toc68586960</vt:lpwstr>
      </vt:variant>
      <vt:variant>
        <vt:i4>1507376</vt:i4>
      </vt:variant>
      <vt:variant>
        <vt:i4>104</vt:i4>
      </vt:variant>
      <vt:variant>
        <vt:i4>0</vt:i4>
      </vt:variant>
      <vt:variant>
        <vt:i4>5</vt:i4>
      </vt:variant>
      <vt:variant>
        <vt:lpwstr/>
      </vt:variant>
      <vt:variant>
        <vt:lpwstr>_Toc68586959</vt:lpwstr>
      </vt:variant>
      <vt:variant>
        <vt:i4>1441840</vt:i4>
      </vt:variant>
      <vt:variant>
        <vt:i4>98</vt:i4>
      </vt:variant>
      <vt:variant>
        <vt:i4>0</vt:i4>
      </vt:variant>
      <vt:variant>
        <vt:i4>5</vt:i4>
      </vt:variant>
      <vt:variant>
        <vt:lpwstr/>
      </vt:variant>
      <vt:variant>
        <vt:lpwstr>_Toc68586958</vt:lpwstr>
      </vt:variant>
      <vt:variant>
        <vt:i4>1638448</vt:i4>
      </vt:variant>
      <vt:variant>
        <vt:i4>92</vt:i4>
      </vt:variant>
      <vt:variant>
        <vt:i4>0</vt:i4>
      </vt:variant>
      <vt:variant>
        <vt:i4>5</vt:i4>
      </vt:variant>
      <vt:variant>
        <vt:lpwstr/>
      </vt:variant>
      <vt:variant>
        <vt:lpwstr>_Toc68586957</vt:lpwstr>
      </vt:variant>
      <vt:variant>
        <vt:i4>1572912</vt:i4>
      </vt:variant>
      <vt:variant>
        <vt:i4>86</vt:i4>
      </vt:variant>
      <vt:variant>
        <vt:i4>0</vt:i4>
      </vt:variant>
      <vt:variant>
        <vt:i4>5</vt:i4>
      </vt:variant>
      <vt:variant>
        <vt:lpwstr/>
      </vt:variant>
      <vt:variant>
        <vt:lpwstr>_Toc68586956</vt:lpwstr>
      </vt:variant>
      <vt:variant>
        <vt:i4>1769520</vt:i4>
      </vt:variant>
      <vt:variant>
        <vt:i4>80</vt:i4>
      </vt:variant>
      <vt:variant>
        <vt:i4>0</vt:i4>
      </vt:variant>
      <vt:variant>
        <vt:i4>5</vt:i4>
      </vt:variant>
      <vt:variant>
        <vt:lpwstr/>
      </vt:variant>
      <vt:variant>
        <vt:lpwstr>_Toc68586955</vt:lpwstr>
      </vt:variant>
      <vt:variant>
        <vt:i4>1703984</vt:i4>
      </vt:variant>
      <vt:variant>
        <vt:i4>74</vt:i4>
      </vt:variant>
      <vt:variant>
        <vt:i4>0</vt:i4>
      </vt:variant>
      <vt:variant>
        <vt:i4>5</vt:i4>
      </vt:variant>
      <vt:variant>
        <vt:lpwstr/>
      </vt:variant>
      <vt:variant>
        <vt:lpwstr>_Toc68586954</vt:lpwstr>
      </vt:variant>
      <vt:variant>
        <vt:i4>1900592</vt:i4>
      </vt:variant>
      <vt:variant>
        <vt:i4>68</vt:i4>
      </vt:variant>
      <vt:variant>
        <vt:i4>0</vt:i4>
      </vt:variant>
      <vt:variant>
        <vt:i4>5</vt:i4>
      </vt:variant>
      <vt:variant>
        <vt:lpwstr/>
      </vt:variant>
      <vt:variant>
        <vt:lpwstr>_Toc68586953</vt:lpwstr>
      </vt:variant>
      <vt:variant>
        <vt:i4>1835056</vt:i4>
      </vt:variant>
      <vt:variant>
        <vt:i4>62</vt:i4>
      </vt:variant>
      <vt:variant>
        <vt:i4>0</vt:i4>
      </vt:variant>
      <vt:variant>
        <vt:i4>5</vt:i4>
      </vt:variant>
      <vt:variant>
        <vt:lpwstr/>
      </vt:variant>
      <vt:variant>
        <vt:lpwstr>_Toc68586952</vt:lpwstr>
      </vt:variant>
      <vt:variant>
        <vt:i4>2031664</vt:i4>
      </vt:variant>
      <vt:variant>
        <vt:i4>56</vt:i4>
      </vt:variant>
      <vt:variant>
        <vt:i4>0</vt:i4>
      </vt:variant>
      <vt:variant>
        <vt:i4>5</vt:i4>
      </vt:variant>
      <vt:variant>
        <vt:lpwstr/>
      </vt:variant>
      <vt:variant>
        <vt:lpwstr>_Toc68586951</vt:lpwstr>
      </vt:variant>
      <vt:variant>
        <vt:i4>1966128</vt:i4>
      </vt:variant>
      <vt:variant>
        <vt:i4>50</vt:i4>
      </vt:variant>
      <vt:variant>
        <vt:i4>0</vt:i4>
      </vt:variant>
      <vt:variant>
        <vt:i4>5</vt:i4>
      </vt:variant>
      <vt:variant>
        <vt:lpwstr/>
      </vt:variant>
      <vt:variant>
        <vt:lpwstr>_Toc68586950</vt:lpwstr>
      </vt:variant>
      <vt:variant>
        <vt:i4>1507377</vt:i4>
      </vt:variant>
      <vt:variant>
        <vt:i4>44</vt:i4>
      </vt:variant>
      <vt:variant>
        <vt:i4>0</vt:i4>
      </vt:variant>
      <vt:variant>
        <vt:i4>5</vt:i4>
      </vt:variant>
      <vt:variant>
        <vt:lpwstr/>
      </vt:variant>
      <vt:variant>
        <vt:lpwstr>_Toc68586949</vt:lpwstr>
      </vt:variant>
      <vt:variant>
        <vt:i4>1441841</vt:i4>
      </vt:variant>
      <vt:variant>
        <vt:i4>38</vt:i4>
      </vt:variant>
      <vt:variant>
        <vt:i4>0</vt:i4>
      </vt:variant>
      <vt:variant>
        <vt:i4>5</vt:i4>
      </vt:variant>
      <vt:variant>
        <vt:lpwstr/>
      </vt:variant>
      <vt:variant>
        <vt:lpwstr>_Toc68586948</vt:lpwstr>
      </vt:variant>
      <vt:variant>
        <vt:i4>1638449</vt:i4>
      </vt:variant>
      <vt:variant>
        <vt:i4>32</vt:i4>
      </vt:variant>
      <vt:variant>
        <vt:i4>0</vt:i4>
      </vt:variant>
      <vt:variant>
        <vt:i4>5</vt:i4>
      </vt:variant>
      <vt:variant>
        <vt:lpwstr/>
      </vt:variant>
      <vt:variant>
        <vt:lpwstr>_Toc68586947</vt:lpwstr>
      </vt:variant>
      <vt:variant>
        <vt:i4>1572913</vt:i4>
      </vt:variant>
      <vt:variant>
        <vt:i4>26</vt:i4>
      </vt:variant>
      <vt:variant>
        <vt:i4>0</vt:i4>
      </vt:variant>
      <vt:variant>
        <vt:i4>5</vt:i4>
      </vt:variant>
      <vt:variant>
        <vt:lpwstr/>
      </vt:variant>
      <vt:variant>
        <vt:lpwstr>_Toc68586946</vt:lpwstr>
      </vt:variant>
      <vt:variant>
        <vt:i4>1769521</vt:i4>
      </vt:variant>
      <vt:variant>
        <vt:i4>20</vt:i4>
      </vt:variant>
      <vt:variant>
        <vt:i4>0</vt:i4>
      </vt:variant>
      <vt:variant>
        <vt:i4>5</vt:i4>
      </vt:variant>
      <vt:variant>
        <vt:lpwstr/>
      </vt:variant>
      <vt:variant>
        <vt:lpwstr>_Toc68586945</vt:lpwstr>
      </vt:variant>
      <vt:variant>
        <vt:i4>1703985</vt:i4>
      </vt:variant>
      <vt:variant>
        <vt:i4>14</vt:i4>
      </vt:variant>
      <vt:variant>
        <vt:i4>0</vt:i4>
      </vt:variant>
      <vt:variant>
        <vt:i4>5</vt:i4>
      </vt:variant>
      <vt:variant>
        <vt:lpwstr/>
      </vt:variant>
      <vt:variant>
        <vt:lpwstr>_Toc68586944</vt:lpwstr>
      </vt:variant>
      <vt:variant>
        <vt:i4>1900593</vt:i4>
      </vt:variant>
      <vt:variant>
        <vt:i4>8</vt:i4>
      </vt:variant>
      <vt:variant>
        <vt:i4>0</vt:i4>
      </vt:variant>
      <vt:variant>
        <vt:i4>5</vt:i4>
      </vt:variant>
      <vt:variant>
        <vt:lpwstr/>
      </vt:variant>
      <vt:variant>
        <vt:lpwstr>_Toc68586943</vt:lpwstr>
      </vt:variant>
      <vt:variant>
        <vt:i4>1835057</vt:i4>
      </vt:variant>
      <vt:variant>
        <vt:i4>2</vt:i4>
      </vt:variant>
      <vt:variant>
        <vt:i4>0</vt:i4>
      </vt:variant>
      <vt:variant>
        <vt:i4>5</vt:i4>
      </vt:variant>
      <vt:variant>
        <vt:lpwstr/>
      </vt:variant>
      <vt:variant>
        <vt:lpwstr>_Toc68586942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PENNSYLVANIA</dc:title>
  <dc:subject/>
  <dc:creator>PENNINGTON</dc:creator>
  <cp:keywords/>
  <cp:lastModifiedBy>Wagner, Nathan R</cp:lastModifiedBy>
  <cp:revision>2</cp:revision>
  <cp:lastPrinted>2019-12-11T16:52:00Z</cp:lastPrinted>
  <dcterms:created xsi:type="dcterms:W3CDTF">2021-04-15T19:33:00Z</dcterms:created>
  <dcterms:modified xsi:type="dcterms:W3CDTF">2021-04-15T19:33:00Z</dcterms:modified>
</cp:coreProperties>
</file>