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22307" w14:textId="77777777" w:rsidR="00B526A5" w:rsidRDefault="00B526A5" w:rsidP="00B526A5">
      <w:pPr>
        <w:tabs>
          <w:tab w:val="center" w:pos="4680"/>
        </w:tabs>
        <w:jc w:val="center"/>
        <w:rPr>
          <w:b/>
          <w:sz w:val="24"/>
          <w:szCs w:val="24"/>
        </w:rPr>
      </w:pPr>
      <w:r>
        <w:rPr>
          <w:b/>
          <w:sz w:val="24"/>
          <w:szCs w:val="24"/>
        </w:rPr>
        <w:t>BEFORE THE</w:t>
      </w:r>
    </w:p>
    <w:p w14:paraId="1026AA7F" w14:textId="77777777" w:rsidR="00B526A5" w:rsidRDefault="00B526A5" w:rsidP="00B526A5">
      <w:pPr>
        <w:tabs>
          <w:tab w:val="center" w:pos="4680"/>
        </w:tabs>
        <w:jc w:val="center"/>
        <w:rPr>
          <w:b/>
          <w:sz w:val="24"/>
          <w:szCs w:val="24"/>
        </w:rPr>
      </w:pPr>
      <w:r>
        <w:rPr>
          <w:b/>
          <w:sz w:val="24"/>
          <w:szCs w:val="24"/>
        </w:rPr>
        <w:t>PENNSYLVANIA PUBLIC UTILITY COMMISSION</w:t>
      </w:r>
    </w:p>
    <w:p w14:paraId="366793A4" w14:textId="77777777" w:rsidR="00B526A5" w:rsidRDefault="00B526A5" w:rsidP="00B526A5">
      <w:pPr>
        <w:tabs>
          <w:tab w:val="center" w:pos="4680"/>
        </w:tabs>
        <w:jc w:val="both"/>
        <w:rPr>
          <w:sz w:val="24"/>
          <w:szCs w:val="24"/>
        </w:rPr>
      </w:pPr>
    </w:p>
    <w:p w14:paraId="3E97DBB0" w14:textId="77777777" w:rsidR="00B526A5" w:rsidRDefault="00B526A5" w:rsidP="00B526A5">
      <w:pPr>
        <w:jc w:val="both"/>
        <w:rPr>
          <w:sz w:val="24"/>
          <w:szCs w:val="24"/>
        </w:rPr>
      </w:pPr>
    </w:p>
    <w:p w14:paraId="62D3B1FF" w14:textId="77777777" w:rsidR="00B526A5" w:rsidRDefault="00B526A5" w:rsidP="00B526A5">
      <w:pPr>
        <w:jc w:val="both"/>
        <w:rPr>
          <w:sz w:val="24"/>
          <w:szCs w:val="24"/>
        </w:rPr>
      </w:pPr>
    </w:p>
    <w:p w14:paraId="6E607347" w14:textId="13537792" w:rsidR="00B526A5" w:rsidRDefault="00B526A5" w:rsidP="00B526A5">
      <w:pPr>
        <w:jc w:val="both"/>
        <w:rPr>
          <w:sz w:val="24"/>
          <w:szCs w:val="24"/>
        </w:rPr>
      </w:pPr>
      <w:r>
        <w:rPr>
          <w:sz w:val="24"/>
          <w:szCs w:val="24"/>
        </w:rPr>
        <w:t>Kevin C. Spearing</w:t>
      </w:r>
      <w:r>
        <w:rPr>
          <w:sz w:val="24"/>
          <w:szCs w:val="24"/>
        </w:rPr>
        <w:tab/>
      </w:r>
      <w:r>
        <w:rPr>
          <w:sz w:val="24"/>
          <w:szCs w:val="24"/>
        </w:rPr>
        <w:tab/>
      </w:r>
      <w:r>
        <w:rPr>
          <w:sz w:val="24"/>
          <w:szCs w:val="24"/>
        </w:rPr>
        <w:tab/>
      </w:r>
      <w:r>
        <w:rPr>
          <w:sz w:val="24"/>
          <w:szCs w:val="24"/>
        </w:rPr>
        <w:tab/>
      </w:r>
      <w:r>
        <w:rPr>
          <w:sz w:val="24"/>
          <w:szCs w:val="24"/>
        </w:rPr>
        <w:tab/>
        <w:t>:</w:t>
      </w:r>
    </w:p>
    <w:p w14:paraId="05335D5D" w14:textId="77777777" w:rsidR="00B526A5" w:rsidRDefault="00B526A5" w:rsidP="00B526A5">
      <w:pPr>
        <w:ind w:left="720" w:firstLine="4320"/>
        <w:jc w:val="both"/>
        <w:rPr>
          <w:sz w:val="24"/>
          <w:szCs w:val="24"/>
        </w:rPr>
      </w:pPr>
      <w:r>
        <w:rPr>
          <w:sz w:val="24"/>
          <w:szCs w:val="24"/>
        </w:rPr>
        <w:t>:</w:t>
      </w:r>
    </w:p>
    <w:p w14:paraId="1E9161EC" w14:textId="2C93C32E" w:rsidR="00B526A5" w:rsidRDefault="00B526A5" w:rsidP="00B526A5">
      <w:pPr>
        <w:ind w:firstLine="720"/>
        <w:jc w:val="both"/>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Pr>
          <w:sz w:val="24"/>
          <w:szCs w:val="24"/>
        </w:rPr>
        <w:tab/>
        <w:t>C-2021-3023999</w:t>
      </w:r>
    </w:p>
    <w:p w14:paraId="4A6669DC" w14:textId="77777777" w:rsidR="00B526A5" w:rsidRDefault="00B526A5" w:rsidP="00B526A5">
      <w:pPr>
        <w:ind w:left="720" w:firstLine="4320"/>
        <w:jc w:val="both"/>
        <w:rPr>
          <w:sz w:val="24"/>
          <w:szCs w:val="24"/>
        </w:rPr>
      </w:pPr>
      <w:r>
        <w:rPr>
          <w:sz w:val="24"/>
          <w:szCs w:val="24"/>
        </w:rPr>
        <w:t>:</w:t>
      </w:r>
    </w:p>
    <w:p w14:paraId="55F7EF91" w14:textId="4EBC3EB7" w:rsidR="00B526A5" w:rsidRDefault="00B526A5" w:rsidP="00B526A5">
      <w:pPr>
        <w:jc w:val="both"/>
        <w:rPr>
          <w:sz w:val="24"/>
          <w:szCs w:val="24"/>
        </w:rPr>
      </w:pPr>
      <w:r>
        <w:rPr>
          <w:sz w:val="24"/>
          <w:szCs w:val="24"/>
        </w:rPr>
        <w:t>Aqua Pennsylvania, Inc.</w:t>
      </w:r>
      <w:r>
        <w:rPr>
          <w:sz w:val="24"/>
          <w:szCs w:val="24"/>
        </w:rPr>
        <w:tab/>
      </w:r>
      <w:r>
        <w:rPr>
          <w:sz w:val="24"/>
          <w:szCs w:val="24"/>
        </w:rPr>
        <w:tab/>
      </w:r>
      <w:r>
        <w:rPr>
          <w:sz w:val="24"/>
          <w:szCs w:val="24"/>
        </w:rPr>
        <w:tab/>
      </w:r>
      <w:r>
        <w:rPr>
          <w:sz w:val="24"/>
          <w:szCs w:val="24"/>
        </w:rPr>
        <w:tab/>
        <w:t>:</w:t>
      </w:r>
    </w:p>
    <w:p w14:paraId="23AE74EE" w14:textId="77777777" w:rsidR="00B526A5" w:rsidRDefault="00B526A5" w:rsidP="00B526A5">
      <w:pPr>
        <w:jc w:val="both"/>
        <w:rPr>
          <w:sz w:val="24"/>
          <w:szCs w:val="24"/>
        </w:rPr>
      </w:pPr>
    </w:p>
    <w:p w14:paraId="76C88D79" w14:textId="77777777" w:rsidR="00B526A5" w:rsidRDefault="00B526A5" w:rsidP="00B526A5">
      <w:pPr>
        <w:jc w:val="both"/>
        <w:rPr>
          <w:sz w:val="24"/>
          <w:szCs w:val="24"/>
        </w:rPr>
      </w:pPr>
    </w:p>
    <w:p w14:paraId="06E851F2" w14:textId="77777777" w:rsidR="00B526A5" w:rsidRDefault="00B526A5" w:rsidP="00B526A5">
      <w:pPr>
        <w:jc w:val="both"/>
        <w:rPr>
          <w:sz w:val="24"/>
          <w:szCs w:val="24"/>
        </w:rPr>
      </w:pPr>
    </w:p>
    <w:p w14:paraId="199C757A" w14:textId="77777777" w:rsidR="00B526A5" w:rsidRPr="00AE3682" w:rsidRDefault="00B526A5" w:rsidP="00B526A5">
      <w:pPr>
        <w:pStyle w:val="Heading1"/>
        <w:jc w:val="center"/>
        <w:rPr>
          <w:b/>
          <w:szCs w:val="24"/>
          <w:u w:val="single"/>
        </w:rPr>
      </w:pPr>
      <w:bookmarkStart w:id="0" w:name="_Hlk54619669"/>
      <w:r w:rsidRPr="00AE3682">
        <w:rPr>
          <w:b/>
          <w:szCs w:val="24"/>
          <w:u w:val="single"/>
        </w:rPr>
        <w:t xml:space="preserve">INTERIM ORDER </w:t>
      </w:r>
    </w:p>
    <w:p w14:paraId="22538484" w14:textId="77777777" w:rsidR="00B526A5" w:rsidRDefault="00B526A5" w:rsidP="00B526A5">
      <w:pPr>
        <w:pStyle w:val="Heading1"/>
        <w:jc w:val="center"/>
        <w:rPr>
          <w:b/>
          <w:szCs w:val="24"/>
          <w:u w:val="single"/>
        </w:rPr>
      </w:pPr>
      <w:r>
        <w:rPr>
          <w:b/>
          <w:szCs w:val="24"/>
          <w:u w:val="single"/>
        </w:rPr>
        <w:t>GRANTING PRELIMINARY OBJECTION</w:t>
      </w:r>
      <w:bookmarkEnd w:id="0"/>
      <w:r>
        <w:rPr>
          <w:b/>
          <w:szCs w:val="24"/>
          <w:u w:val="single"/>
        </w:rPr>
        <w:t xml:space="preserve"> IN PART</w:t>
      </w:r>
    </w:p>
    <w:p w14:paraId="790F8275" w14:textId="77777777" w:rsidR="00B526A5" w:rsidRDefault="00B526A5" w:rsidP="00B526A5">
      <w:pPr>
        <w:widowControl w:val="0"/>
        <w:autoSpaceDE w:val="0"/>
        <w:autoSpaceDN w:val="0"/>
        <w:adjustRightInd w:val="0"/>
        <w:spacing w:line="360" w:lineRule="auto"/>
        <w:ind w:firstLine="720"/>
        <w:rPr>
          <w:color w:val="000000"/>
          <w:w w:val="107"/>
          <w:sz w:val="24"/>
          <w:szCs w:val="24"/>
        </w:rPr>
      </w:pPr>
    </w:p>
    <w:p w14:paraId="630CBFC8" w14:textId="31D6AE53" w:rsidR="00B526A5" w:rsidRDefault="00B526A5" w:rsidP="00B526A5">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On </w:t>
      </w:r>
      <w:r w:rsidR="00795932">
        <w:rPr>
          <w:color w:val="000000"/>
          <w:w w:val="107"/>
          <w:sz w:val="24"/>
          <w:szCs w:val="24"/>
        </w:rPr>
        <w:t>January 28</w:t>
      </w:r>
      <w:r>
        <w:rPr>
          <w:color w:val="000000"/>
          <w:w w:val="107"/>
          <w:sz w:val="24"/>
          <w:szCs w:val="24"/>
        </w:rPr>
        <w:t xml:space="preserve">, 2021, </w:t>
      </w:r>
      <w:r w:rsidR="00795932">
        <w:rPr>
          <w:color w:val="000000"/>
          <w:w w:val="107"/>
          <w:sz w:val="24"/>
          <w:szCs w:val="24"/>
        </w:rPr>
        <w:t>Kevin C. Spearing</w:t>
      </w:r>
      <w:r>
        <w:rPr>
          <w:color w:val="000000"/>
          <w:w w:val="107"/>
          <w:sz w:val="24"/>
          <w:szCs w:val="24"/>
        </w:rPr>
        <w:t xml:space="preserve"> (Complainant) </w:t>
      </w:r>
      <w:r>
        <w:rPr>
          <w:color w:val="000000"/>
          <w:w w:val="108"/>
          <w:sz w:val="24"/>
          <w:szCs w:val="24"/>
        </w:rPr>
        <w:t xml:space="preserve">filed a Formal Complaint, using the Commission’s Formal Complaint form, </w:t>
      </w:r>
      <w:r w:rsidR="00795932">
        <w:rPr>
          <w:color w:val="000000"/>
          <w:w w:val="108"/>
          <w:sz w:val="24"/>
          <w:szCs w:val="24"/>
        </w:rPr>
        <w:t>against Aqua Pennsylvania, Inc.</w:t>
      </w:r>
      <w:r>
        <w:rPr>
          <w:color w:val="000000"/>
          <w:w w:val="108"/>
          <w:sz w:val="24"/>
          <w:szCs w:val="24"/>
        </w:rPr>
        <w:t xml:space="preserve"> (Respondent, </w:t>
      </w:r>
      <w:r>
        <w:rPr>
          <w:color w:val="000000"/>
          <w:w w:val="107"/>
          <w:sz w:val="24"/>
          <w:szCs w:val="24"/>
        </w:rPr>
        <w:t xml:space="preserve">Company, or </w:t>
      </w:r>
      <w:r w:rsidR="00795932">
        <w:rPr>
          <w:color w:val="000000"/>
          <w:w w:val="107"/>
          <w:sz w:val="24"/>
          <w:szCs w:val="24"/>
        </w:rPr>
        <w:t>Aqua</w:t>
      </w:r>
      <w:r>
        <w:rPr>
          <w:color w:val="000000"/>
          <w:w w:val="107"/>
          <w:sz w:val="24"/>
          <w:szCs w:val="24"/>
        </w:rPr>
        <w:t>), alleging the</w:t>
      </w:r>
      <w:r w:rsidR="000D1283">
        <w:rPr>
          <w:color w:val="000000"/>
          <w:w w:val="107"/>
          <w:sz w:val="24"/>
          <w:szCs w:val="24"/>
        </w:rPr>
        <w:t xml:space="preserve">re was a </w:t>
      </w:r>
      <w:proofErr w:type="gramStart"/>
      <w:r w:rsidR="00D53630">
        <w:rPr>
          <w:color w:val="000000"/>
          <w:w w:val="107"/>
          <w:sz w:val="24"/>
          <w:szCs w:val="24"/>
        </w:rPr>
        <w:t>quality of service</w:t>
      </w:r>
      <w:proofErr w:type="gramEnd"/>
      <w:r w:rsidR="00D53630">
        <w:rPr>
          <w:color w:val="000000"/>
          <w:w w:val="107"/>
          <w:sz w:val="24"/>
          <w:szCs w:val="24"/>
        </w:rPr>
        <w:t xml:space="preserve"> issue related to water qualit</w:t>
      </w:r>
      <w:r w:rsidR="009A1F8B">
        <w:rPr>
          <w:color w:val="000000"/>
          <w:w w:val="107"/>
          <w:sz w:val="24"/>
          <w:szCs w:val="24"/>
        </w:rPr>
        <w:t>y.  The</w:t>
      </w:r>
      <w:r>
        <w:rPr>
          <w:color w:val="000000"/>
          <w:w w:val="107"/>
          <w:sz w:val="24"/>
          <w:szCs w:val="24"/>
        </w:rPr>
        <w:t xml:space="preserve"> Complainant asserts that the Company </w:t>
      </w:r>
      <w:r w:rsidR="005A2783">
        <w:rPr>
          <w:color w:val="000000"/>
          <w:w w:val="107"/>
          <w:sz w:val="24"/>
          <w:szCs w:val="24"/>
        </w:rPr>
        <w:t xml:space="preserve">refused to place a sampling station in a location that the </w:t>
      </w:r>
      <w:r w:rsidR="009A1F8B">
        <w:rPr>
          <w:color w:val="000000"/>
          <w:w w:val="107"/>
          <w:sz w:val="24"/>
          <w:szCs w:val="24"/>
        </w:rPr>
        <w:t>Township requested</w:t>
      </w:r>
      <w:r>
        <w:rPr>
          <w:color w:val="000000"/>
          <w:w w:val="107"/>
          <w:sz w:val="24"/>
          <w:szCs w:val="24"/>
        </w:rPr>
        <w:t xml:space="preserve">.  </w:t>
      </w:r>
    </w:p>
    <w:p w14:paraId="7B265077" w14:textId="77777777" w:rsidR="00B526A5" w:rsidRDefault="00B526A5" w:rsidP="00B526A5">
      <w:pPr>
        <w:widowControl w:val="0"/>
        <w:autoSpaceDE w:val="0"/>
        <w:autoSpaceDN w:val="0"/>
        <w:adjustRightInd w:val="0"/>
        <w:spacing w:line="360" w:lineRule="auto"/>
        <w:rPr>
          <w:color w:val="000000"/>
          <w:w w:val="107"/>
          <w:sz w:val="24"/>
          <w:szCs w:val="24"/>
        </w:rPr>
      </w:pPr>
    </w:p>
    <w:p w14:paraId="07E9EC41" w14:textId="1FF3575C" w:rsidR="00B526A5" w:rsidRDefault="00B526A5" w:rsidP="00B526A5">
      <w:pPr>
        <w:widowControl w:val="0"/>
        <w:autoSpaceDE w:val="0"/>
        <w:autoSpaceDN w:val="0"/>
        <w:adjustRightInd w:val="0"/>
        <w:spacing w:line="360" w:lineRule="auto"/>
        <w:rPr>
          <w:color w:val="000000"/>
          <w:w w:val="108"/>
          <w:sz w:val="24"/>
          <w:szCs w:val="24"/>
        </w:rPr>
      </w:pPr>
      <w:r>
        <w:rPr>
          <w:color w:val="000000"/>
          <w:w w:val="107"/>
          <w:sz w:val="24"/>
          <w:szCs w:val="24"/>
        </w:rPr>
        <w:tab/>
      </w:r>
      <w:r>
        <w:rPr>
          <w:color w:val="000000"/>
          <w:w w:val="107"/>
          <w:sz w:val="24"/>
          <w:szCs w:val="24"/>
        </w:rPr>
        <w:tab/>
        <w:t>On February 2</w:t>
      </w:r>
      <w:r w:rsidR="000600B8">
        <w:rPr>
          <w:color w:val="000000"/>
          <w:w w:val="107"/>
          <w:sz w:val="24"/>
          <w:szCs w:val="24"/>
        </w:rPr>
        <w:t>4</w:t>
      </w:r>
      <w:r>
        <w:rPr>
          <w:color w:val="000000"/>
          <w:w w:val="107"/>
          <w:sz w:val="24"/>
          <w:szCs w:val="24"/>
        </w:rPr>
        <w:t xml:space="preserve">, 2021, the Company filed an Answer with New Matter to the Formal Complaint, as well as a Preliminary Objection </w:t>
      </w:r>
      <w:r>
        <w:rPr>
          <w:color w:val="000000"/>
          <w:w w:val="108"/>
          <w:sz w:val="24"/>
          <w:szCs w:val="24"/>
        </w:rPr>
        <w:t xml:space="preserve">pursuant to 52 </w:t>
      </w:r>
      <w:proofErr w:type="spellStart"/>
      <w:r>
        <w:rPr>
          <w:color w:val="000000"/>
          <w:w w:val="108"/>
          <w:sz w:val="24"/>
          <w:szCs w:val="24"/>
        </w:rPr>
        <w:t>Pa.Code</w:t>
      </w:r>
      <w:proofErr w:type="spellEnd"/>
      <w:r>
        <w:rPr>
          <w:color w:val="000000"/>
          <w:w w:val="108"/>
          <w:sz w:val="24"/>
          <w:szCs w:val="24"/>
        </w:rPr>
        <w:t xml:space="preserve"> § 5.101.  In its Answer, the Company </w:t>
      </w:r>
      <w:r>
        <w:rPr>
          <w:color w:val="000000"/>
          <w:w w:val="107"/>
          <w:sz w:val="24"/>
          <w:szCs w:val="24"/>
        </w:rPr>
        <w:t>deni</w:t>
      </w:r>
      <w:r w:rsidR="009A1F8B">
        <w:rPr>
          <w:color w:val="000000"/>
          <w:w w:val="107"/>
          <w:sz w:val="24"/>
          <w:szCs w:val="24"/>
        </w:rPr>
        <w:t>ed the material allegations of the Complaint</w:t>
      </w:r>
      <w:r>
        <w:rPr>
          <w:color w:val="000000"/>
          <w:w w:val="107"/>
          <w:sz w:val="24"/>
          <w:szCs w:val="24"/>
        </w:rPr>
        <w:t xml:space="preserve">.  Additionally, the Company avers the Commission lacks the </w:t>
      </w:r>
      <w:r w:rsidR="009A1F8B">
        <w:rPr>
          <w:color w:val="000000"/>
          <w:w w:val="107"/>
          <w:sz w:val="24"/>
          <w:szCs w:val="24"/>
        </w:rPr>
        <w:t xml:space="preserve">jurisdiction to </w:t>
      </w:r>
      <w:r w:rsidR="00017581">
        <w:rPr>
          <w:color w:val="000000"/>
          <w:w w:val="107"/>
          <w:sz w:val="24"/>
          <w:szCs w:val="24"/>
        </w:rPr>
        <w:t>deal with water quality issues.</w:t>
      </w:r>
    </w:p>
    <w:p w14:paraId="34193961" w14:textId="77777777" w:rsidR="00B526A5" w:rsidRDefault="00B526A5" w:rsidP="00B526A5">
      <w:pPr>
        <w:widowControl w:val="0"/>
        <w:autoSpaceDE w:val="0"/>
        <w:autoSpaceDN w:val="0"/>
        <w:adjustRightInd w:val="0"/>
        <w:spacing w:line="360" w:lineRule="auto"/>
        <w:rPr>
          <w:color w:val="000000"/>
          <w:w w:val="108"/>
          <w:sz w:val="24"/>
          <w:szCs w:val="24"/>
        </w:rPr>
      </w:pPr>
    </w:p>
    <w:p w14:paraId="46BB07D1" w14:textId="3608E31E" w:rsidR="00B526A5" w:rsidRDefault="00B526A5" w:rsidP="00B526A5">
      <w:pPr>
        <w:widowControl w:val="0"/>
        <w:autoSpaceDE w:val="0"/>
        <w:autoSpaceDN w:val="0"/>
        <w:adjustRightInd w:val="0"/>
        <w:spacing w:line="360" w:lineRule="auto"/>
        <w:rPr>
          <w:color w:val="000000"/>
          <w:w w:val="107"/>
          <w:sz w:val="24"/>
          <w:szCs w:val="24"/>
        </w:rPr>
      </w:pPr>
      <w:r>
        <w:rPr>
          <w:color w:val="000000"/>
          <w:w w:val="108"/>
          <w:sz w:val="24"/>
          <w:szCs w:val="24"/>
        </w:rPr>
        <w:tab/>
      </w:r>
      <w:r>
        <w:rPr>
          <w:color w:val="000000"/>
          <w:w w:val="108"/>
          <w:sz w:val="24"/>
          <w:szCs w:val="24"/>
        </w:rPr>
        <w:tab/>
        <w:t xml:space="preserve">In its Preliminary Objection, the Company argues </w:t>
      </w:r>
      <w:r>
        <w:rPr>
          <w:color w:val="000000"/>
          <w:w w:val="107"/>
          <w:sz w:val="24"/>
          <w:szCs w:val="24"/>
        </w:rPr>
        <w:t xml:space="preserve">the Commission lacks the </w:t>
      </w:r>
      <w:r w:rsidR="009B2AB8">
        <w:rPr>
          <w:color w:val="000000"/>
          <w:w w:val="107"/>
          <w:sz w:val="24"/>
          <w:szCs w:val="24"/>
        </w:rPr>
        <w:t>jurisdiction to deal with water quality issues because the Pennsylvania Department of Environmental Protection</w:t>
      </w:r>
      <w:r w:rsidR="00EC73AB">
        <w:rPr>
          <w:color w:val="000000"/>
          <w:w w:val="107"/>
          <w:sz w:val="24"/>
          <w:szCs w:val="24"/>
        </w:rPr>
        <w:t xml:space="preserve"> (DEP)</w:t>
      </w:r>
      <w:r w:rsidR="009B2AB8">
        <w:rPr>
          <w:color w:val="000000"/>
          <w:w w:val="107"/>
          <w:sz w:val="24"/>
          <w:szCs w:val="24"/>
        </w:rPr>
        <w:t xml:space="preserve"> </w:t>
      </w:r>
      <w:r w:rsidR="00265DB5">
        <w:rPr>
          <w:color w:val="000000"/>
          <w:w w:val="107"/>
          <w:sz w:val="24"/>
          <w:szCs w:val="24"/>
        </w:rPr>
        <w:t xml:space="preserve">has the purview of water quality in the Commonwealth.  </w:t>
      </w:r>
      <w:r>
        <w:rPr>
          <w:color w:val="000000"/>
          <w:w w:val="107"/>
          <w:sz w:val="24"/>
          <w:szCs w:val="24"/>
        </w:rPr>
        <w:t xml:space="preserve"> </w:t>
      </w:r>
    </w:p>
    <w:p w14:paraId="1027C501" w14:textId="77777777" w:rsidR="00B526A5" w:rsidRDefault="00B526A5" w:rsidP="00B526A5">
      <w:pPr>
        <w:widowControl w:val="0"/>
        <w:autoSpaceDE w:val="0"/>
        <w:autoSpaceDN w:val="0"/>
        <w:adjustRightInd w:val="0"/>
        <w:spacing w:line="360" w:lineRule="auto"/>
        <w:rPr>
          <w:color w:val="000000"/>
          <w:w w:val="107"/>
          <w:sz w:val="24"/>
          <w:szCs w:val="24"/>
        </w:rPr>
      </w:pPr>
    </w:p>
    <w:p w14:paraId="60BD764D" w14:textId="760463BE" w:rsidR="00B526A5" w:rsidRDefault="00B526A5" w:rsidP="00B526A5">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r>
        <w:rPr>
          <w:color w:val="000000"/>
          <w:w w:val="108"/>
          <w:sz w:val="24"/>
          <w:szCs w:val="24"/>
        </w:rPr>
        <w:t xml:space="preserve">The Preliminary Objection contained a </w:t>
      </w:r>
      <w:r>
        <w:rPr>
          <w:color w:val="000000"/>
          <w:w w:val="107"/>
          <w:sz w:val="24"/>
          <w:szCs w:val="24"/>
        </w:rPr>
        <w:t xml:space="preserve">Notice to Plead directing the Complainant to file a response within ten days of service.  The Complainant filed a response to the Preliminary Objection on </w:t>
      </w:r>
      <w:r w:rsidR="00FD20EF">
        <w:rPr>
          <w:color w:val="000000"/>
          <w:w w:val="107"/>
          <w:sz w:val="24"/>
          <w:szCs w:val="24"/>
        </w:rPr>
        <w:t>March 9</w:t>
      </w:r>
      <w:r>
        <w:rPr>
          <w:color w:val="000000"/>
          <w:w w:val="107"/>
          <w:sz w:val="24"/>
          <w:szCs w:val="24"/>
        </w:rPr>
        <w:t>, 2021.</w:t>
      </w:r>
    </w:p>
    <w:p w14:paraId="5F7057FD" w14:textId="77777777" w:rsidR="00B526A5" w:rsidRDefault="00B526A5" w:rsidP="00B526A5">
      <w:pPr>
        <w:widowControl w:val="0"/>
        <w:autoSpaceDE w:val="0"/>
        <w:autoSpaceDN w:val="0"/>
        <w:adjustRightInd w:val="0"/>
        <w:spacing w:line="360" w:lineRule="auto"/>
        <w:rPr>
          <w:color w:val="000000"/>
          <w:w w:val="107"/>
          <w:sz w:val="24"/>
          <w:szCs w:val="24"/>
        </w:rPr>
      </w:pPr>
    </w:p>
    <w:p w14:paraId="73EC73F3" w14:textId="4D57FB36" w:rsidR="00B526A5" w:rsidRDefault="00B526A5" w:rsidP="00B526A5">
      <w:pPr>
        <w:widowControl w:val="0"/>
        <w:autoSpaceDE w:val="0"/>
        <w:autoSpaceDN w:val="0"/>
        <w:adjustRightInd w:val="0"/>
        <w:spacing w:line="360" w:lineRule="auto"/>
        <w:rPr>
          <w:color w:val="000000"/>
          <w:w w:val="107"/>
          <w:sz w:val="24"/>
          <w:szCs w:val="24"/>
        </w:rPr>
      </w:pPr>
      <w:r>
        <w:rPr>
          <w:color w:val="000000"/>
          <w:w w:val="107"/>
          <w:sz w:val="24"/>
          <w:szCs w:val="24"/>
        </w:rPr>
        <w:lastRenderedPageBreak/>
        <w:tab/>
      </w:r>
      <w:r>
        <w:rPr>
          <w:color w:val="000000"/>
          <w:w w:val="107"/>
          <w:sz w:val="24"/>
          <w:szCs w:val="24"/>
        </w:rPr>
        <w:tab/>
        <w:t xml:space="preserve">On March </w:t>
      </w:r>
      <w:r w:rsidR="00E74E52">
        <w:rPr>
          <w:color w:val="000000"/>
          <w:w w:val="107"/>
          <w:sz w:val="24"/>
          <w:szCs w:val="24"/>
        </w:rPr>
        <w:t>16</w:t>
      </w:r>
      <w:r>
        <w:rPr>
          <w:color w:val="000000"/>
          <w:w w:val="107"/>
          <w:sz w:val="24"/>
          <w:szCs w:val="24"/>
        </w:rPr>
        <w:t xml:space="preserve">, 2021, the Commission issued a Motion Judge Assignment </w:t>
      </w:r>
      <w:proofErr w:type="gramStart"/>
      <w:r>
        <w:rPr>
          <w:color w:val="000000"/>
          <w:w w:val="107"/>
          <w:sz w:val="24"/>
          <w:szCs w:val="24"/>
        </w:rPr>
        <w:t>Notice</w:t>
      </w:r>
      <w:proofErr w:type="gramEnd"/>
      <w:r>
        <w:rPr>
          <w:color w:val="000000"/>
          <w:w w:val="107"/>
          <w:sz w:val="24"/>
          <w:szCs w:val="24"/>
        </w:rPr>
        <w:t xml:space="preserve"> and the matter was assigned to me.</w:t>
      </w:r>
    </w:p>
    <w:p w14:paraId="512938D2" w14:textId="77777777" w:rsidR="00B526A5" w:rsidRDefault="00B526A5" w:rsidP="00B526A5">
      <w:pPr>
        <w:widowControl w:val="0"/>
        <w:autoSpaceDE w:val="0"/>
        <w:autoSpaceDN w:val="0"/>
        <w:adjustRightInd w:val="0"/>
        <w:spacing w:line="360" w:lineRule="auto"/>
        <w:rPr>
          <w:color w:val="000000"/>
          <w:w w:val="107"/>
          <w:sz w:val="24"/>
          <w:szCs w:val="24"/>
        </w:rPr>
      </w:pPr>
    </w:p>
    <w:p w14:paraId="3575C0C2" w14:textId="77777777" w:rsidR="00B526A5" w:rsidRDefault="00B526A5" w:rsidP="00B526A5">
      <w:pPr>
        <w:widowControl w:val="0"/>
        <w:autoSpaceDE w:val="0"/>
        <w:autoSpaceDN w:val="0"/>
        <w:adjustRightInd w:val="0"/>
        <w:spacing w:line="360" w:lineRule="auto"/>
        <w:rPr>
          <w:color w:val="000000"/>
          <w:w w:val="108"/>
          <w:sz w:val="24"/>
          <w:szCs w:val="24"/>
        </w:rPr>
      </w:pPr>
      <w:r>
        <w:rPr>
          <w:color w:val="000000"/>
          <w:w w:val="107"/>
          <w:sz w:val="24"/>
          <w:szCs w:val="24"/>
        </w:rPr>
        <w:tab/>
      </w:r>
      <w:r>
        <w:rPr>
          <w:color w:val="000000"/>
          <w:w w:val="107"/>
          <w:sz w:val="24"/>
          <w:szCs w:val="24"/>
        </w:rPr>
        <w:tab/>
        <w:t>This matter is now ripe for a ruling on the Preliminary Objections.</w:t>
      </w:r>
    </w:p>
    <w:p w14:paraId="01709E9C" w14:textId="77777777" w:rsidR="00B526A5" w:rsidRDefault="00B526A5" w:rsidP="00B526A5">
      <w:pPr>
        <w:widowControl w:val="0"/>
        <w:autoSpaceDE w:val="0"/>
        <w:autoSpaceDN w:val="0"/>
        <w:adjustRightInd w:val="0"/>
        <w:spacing w:line="360" w:lineRule="auto"/>
        <w:rPr>
          <w:color w:val="000000"/>
          <w:w w:val="107"/>
          <w:sz w:val="24"/>
          <w:szCs w:val="24"/>
        </w:rPr>
      </w:pPr>
      <w:r>
        <w:rPr>
          <w:color w:val="000000"/>
          <w:w w:val="107"/>
          <w:sz w:val="24"/>
          <w:szCs w:val="24"/>
        </w:rPr>
        <w:tab/>
      </w:r>
      <w:r>
        <w:rPr>
          <w:color w:val="000000"/>
          <w:w w:val="107"/>
          <w:sz w:val="24"/>
          <w:szCs w:val="24"/>
        </w:rPr>
        <w:tab/>
      </w:r>
    </w:p>
    <w:p w14:paraId="588168C3" w14:textId="77777777" w:rsidR="00B526A5" w:rsidRDefault="00B526A5" w:rsidP="00B526A5">
      <w:pPr>
        <w:spacing w:line="360" w:lineRule="auto"/>
        <w:jc w:val="center"/>
        <w:rPr>
          <w:sz w:val="24"/>
          <w:szCs w:val="24"/>
          <w:u w:val="single"/>
        </w:rPr>
      </w:pPr>
      <w:r>
        <w:rPr>
          <w:sz w:val="24"/>
          <w:szCs w:val="24"/>
          <w:u w:val="single"/>
        </w:rPr>
        <w:t>DISCUSSION</w:t>
      </w:r>
    </w:p>
    <w:p w14:paraId="779CF37A" w14:textId="77777777" w:rsidR="00B526A5" w:rsidRDefault="00B526A5" w:rsidP="00B526A5">
      <w:pPr>
        <w:spacing w:line="360" w:lineRule="auto"/>
        <w:rPr>
          <w:sz w:val="24"/>
          <w:szCs w:val="24"/>
        </w:rPr>
      </w:pPr>
    </w:p>
    <w:p w14:paraId="5B35978A" w14:textId="77777777" w:rsidR="00B526A5" w:rsidRDefault="00B526A5" w:rsidP="00B526A5">
      <w:pPr>
        <w:widowControl w:val="0"/>
        <w:autoSpaceDE w:val="0"/>
        <w:autoSpaceDN w:val="0"/>
        <w:adjustRightInd w:val="0"/>
        <w:spacing w:line="360" w:lineRule="auto"/>
        <w:ind w:firstLine="1440"/>
        <w:rPr>
          <w:color w:val="000000"/>
          <w:sz w:val="24"/>
          <w:szCs w:val="24"/>
        </w:rPr>
      </w:pPr>
      <w:r>
        <w:rPr>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Pr>
          <w:i/>
          <w:color w:val="000000"/>
          <w:sz w:val="24"/>
          <w:szCs w:val="24"/>
        </w:rPr>
        <w:t>Equitable Small Transportation Intervenors v. Equitable Gas Company</w:t>
      </w:r>
      <w:r>
        <w:rPr>
          <w:i/>
          <w:iCs/>
          <w:color w:val="000000"/>
          <w:sz w:val="24"/>
          <w:szCs w:val="24"/>
        </w:rPr>
        <w:t xml:space="preserve">, </w:t>
      </w:r>
      <w:r>
        <w:rPr>
          <w:color w:val="000000"/>
          <w:sz w:val="24"/>
          <w:szCs w:val="24"/>
        </w:rPr>
        <w:t>1994 Pa PUC LEXIS 69, Docket No. C</w:t>
      </w:r>
      <w:r>
        <w:rPr>
          <w:color w:val="000000"/>
          <w:sz w:val="24"/>
          <w:szCs w:val="24"/>
        </w:rPr>
        <w:noBreakHyphen/>
        <w:t xml:space="preserve">00935435 (July 18, 1994).  The Commission’s regulation at 52 </w:t>
      </w:r>
      <w:proofErr w:type="spellStart"/>
      <w:r>
        <w:rPr>
          <w:color w:val="000000"/>
          <w:sz w:val="24"/>
          <w:szCs w:val="24"/>
        </w:rPr>
        <w:t>Pa.Code</w:t>
      </w:r>
      <w:proofErr w:type="spellEnd"/>
      <w:r>
        <w:rPr>
          <w:color w:val="000000"/>
          <w:sz w:val="24"/>
          <w:szCs w:val="24"/>
        </w:rPr>
        <w:t xml:space="preserve"> § 5.101(a) limit preliminary objections to the following grounds:</w:t>
      </w:r>
    </w:p>
    <w:p w14:paraId="32036BAA" w14:textId="77777777" w:rsidR="00B526A5" w:rsidRDefault="00B526A5" w:rsidP="00B526A5">
      <w:pPr>
        <w:widowControl w:val="0"/>
        <w:autoSpaceDE w:val="0"/>
        <w:autoSpaceDN w:val="0"/>
        <w:adjustRightInd w:val="0"/>
        <w:spacing w:line="360" w:lineRule="auto"/>
        <w:ind w:firstLine="1440"/>
        <w:rPr>
          <w:color w:val="000000"/>
          <w:sz w:val="24"/>
          <w:szCs w:val="24"/>
        </w:rPr>
      </w:pPr>
    </w:p>
    <w:p w14:paraId="48462D20" w14:textId="77777777" w:rsidR="00B526A5" w:rsidRDefault="00B526A5" w:rsidP="00B526A5">
      <w:pPr>
        <w:widowControl w:val="0"/>
        <w:tabs>
          <w:tab w:val="left" w:pos="2196"/>
          <w:tab w:val="left" w:pos="2909"/>
        </w:tabs>
        <w:autoSpaceDE w:val="0"/>
        <w:autoSpaceDN w:val="0"/>
        <w:adjustRightInd w:val="0"/>
        <w:ind w:left="2160" w:right="1440" w:hanging="720"/>
        <w:rPr>
          <w:color w:val="000000"/>
          <w:sz w:val="24"/>
          <w:szCs w:val="24"/>
        </w:rPr>
      </w:pPr>
      <w:r>
        <w:rPr>
          <w:color w:val="000000"/>
          <w:sz w:val="24"/>
          <w:szCs w:val="24"/>
        </w:rPr>
        <w:t>(1)</w:t>
      </w:r>
      <w:r>
        <w:rPr>
          <w:color w:val="000000"/>
          <w:sz w:val="24"/>
          <w:szCs w:val="24"/>
        </w:rPr>
        <w:tab/>
        <w:t>Lack of Commission jurisdiction or improper service of the pleading initiating the proceeding.</w:t>
      </w:r>
    </w:p>
    <w:p w14:paraId="473E12B2" w14:textId="77777777" w:rsidR="00B526A5" w:rsidRDefault="00B526A5" w:rsidP="00B526A5">
      <w:pPr>
        <w:widowControl w:val="0"/>
        <w:autoSpaceDE w:val="0"/>
        <w:autoSpaceDN w:val="0"/>
        <w:adjustRightInd w:val="0"/>
        <w:ind w:left="1440" w:right="1440"/>
        <w:rPr>
          <w:color w:val="000000"/>
          <w:sz w:val="24"/>
          <w:szCs w:val="24"/>
        </w:rPr>
      </w:pPr>
    </w:p>
    <w:p w14:paraId="336009FC" w14:textId="77777777" w:rsidR="00B526A5" w:rsidRDefault="00B526A5" w:rsidP="00B526A5">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(2)</w:t>
      </w:r>
      <w:r>
        <w:rPr>
          <w:color w:val="000000"/>
          <w:sz w:val="24"/>
          <w:szCs w:val="24"/>
        </w:rPr>
        <w:tab/>
        <w:t>Failure of a pleading to conform to this chapter or the inclusion of scandalous or impertinent matter.</w:t>
      </w:r>
    </w:p>
    <w:p w14:paraId="066BE1CA" w14:textId="77777777" w:rsidR="00B526A5" w:rsidRDefault="00B526A5" w:rsidP="00B526A5">
      <w:pPr>
        <w:widowControl w:val="0"/>
        <w:tabs>
          <w:tab w:val="left" w:pos="2203"/>
          <w:tab w:val="left" w:pos="2909"/>
        </w:tabs>
        <w:autoSpaceDE w:val="0"/>
        <w:autoSpaceDN w:val="0"/>
        <w:adjustRightInd w:val="0"/>
        <w:ind w:left="1440" w:right="1440"/>
        <w:rPr>
          <w:color w:val="000000"/>
          <w:sz w:val="24"/>
          <w:szCs w:val="24"/>
        </w:rPr>
      </w:pPr>
    </w:p>
    <w:p w14:paraId="73C1C2AB" w14:textId="77777777" w:rsidR="00B526A5" w:rsidRDefault="00B526A5" w:rsidP="00B526A5">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(3)</w:t>
      </w:r>
      <w:r>
        <w:rPr>
          <w:color w:val="000000"/>
          <w:sz w:val="24"/>
          <w:szCs w:val="24"/>
        </w:rPr>
        <w:tab/>
        <w:t>Insufficient specificity of a pleading.</w:t>
      </w:r>
    </w:p>
    <w:p w14:paraId="6B56147A" w14:textId="77777777" w:rsidR="00B526A5" w:rsidRDefault="00B526A5" w:rsidP="00B526A5">
      <w:pPr>
        <w:widowControl w:val="0"/>
        <w:tabs>
          <w:tab w:val="left" w:pos="2203"/>
          <w:tab w:val="left" w:pos="2909"/>
        </w:tabs>
        <w:autoSpaceDE w:val="0"/>
        <w:autoSpaceDN w:val="0"/>
        <w:adjustRightInd w:val="0"/>
        <w:ind w:left="1440" w:right="1440"/>
        <w:rPr>
          <w:color w:val="000000"/>
          <w:sz w:val="24"/>
          <w:szCs w:val="24"/>
        </w:rPr>
      </w:pPr>
    </w:p>
    <w:p w14:paraId="605C7DFC" w14:textId="77777777" w:rsidR="00B526A5" w:rsidRDefault="00B526A5" w:rsidP="00B526A5">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(4)</w:t>
      </w:r>
      <w:r>
        <w:rPr>
          <w:color w:val="000000"/>
          <w:sz w:val="24"/>
          <w:szCs w:val="24"/>
        </w:rPr>
        <w:tab/>
        <w:t>Legal insufficiency of a pleading.</w:t>
      </w:r>
    </w:p>
    <w:p w14:paraId="575A1B84" w14:textId="77777777" w:rsidR="00B526A5" w:rsidRDefault="00B526A5" w:rsidP="00B526A5">
      <w:pPr>
        <w:widowControl w:val="0"/>
        <w:tabs>
          <w:tab w:val="left" w:pos="2203"/>
          <w:tab w:val="left" w:pos="2909"/>
        </w:tabs>
        <w:autoSpaceDE w:val="0"/>
        <w:autoSpaceDN w:val="0"/>
        <w:adjustRightInd w:val="0"/>
        <w:ind w:left="1440" w:right="1440"/>
        <w:rPr>
          <w:color w:val="000000"/>
          <w:sz w:val="24"/>
          <w:szCs w:val="24"/>
        </w:rPr>
      </w:pPr>
    </w:p>
    <w:p w14:paraId="36DE712B" w14:textId="77777777" w:rsidR="00B526A5" w:rsidRDefault="00B526A5" w:rsidP="00B526A5">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(5)</w:t>
      </w:r>
      <w:r>
        <w:rPr>
          <w:color w:val="000000"/>
          <w:sz w:val="24"/>
          <w:szCs w:val="24"/>
        </w:rPr>
        <w:tab/>
        <w:t>Lack of capacity to sue, nonjoinder of a necessary party or misjoinder of a cause of action.</w:t>
      </w:r>
    </w:p>
    <w:p w14:paraId="0EA84CC6" w14:textId="77777777" w:rsidR="00B526A5" w:rsidRDefault="00B526A5" w:rsidP="00B526A5">
      <w:pPr>
        <w:widowControl w:val="0"/>
        <w:tabs>
          <w:tab w:val="left" w:pos="2203"/>
          <w:tab w:val="left" w:pos="2909"/>
        </w:tabs>
        <w:autoSpaceDE w:val="0"/>
        <w:autoSpaceDN w:val="0"/>
        <w:adjustRightInd w:val="0"/>
        <w:ind w:left="2160" w:right="1440" w:hanging="720"/>
        <w:rPr>
          <w:color w:val="000000"/>
          <w:sz w:val="24"/>
          <w:szCs w:val="24"/>
        </w:rPr>
      </w:pPr>
    </w:p>
    <w:p w14:paraId="69960CB6" w14:textId="54DDFD1C" w:rsidR="00B526A5" w:rsidRDefault="00B526A5" w:rsidP="00B526A5">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(6)</w:t>
      </w:r>
      <w:r>
        <w:rPr>
          <w:color w:val="000000"/>
          <w:sz w:val="24"/>
          <w:szCs w:val="24"/>
        </w:rPr>
        <w:tab/>
        <w:t>Pendency of a prior proceeding or agreement for alternative dispute resolution.</w:t>
      </w:r>
    </w:p>
    <w:p w14:paraId="63441035" w14:textId="77777777" w:rsidR="00391492" w:rsidRDefault="00391492" w:rsidP="00B526A5">
      <w:pPr>
        <w:widowControl w:val="0"/>
        <w:tabs>
          <w:tab w:val="left" w:pos="2203"/>
          <w:tab w:val="left" w:pos="2909"/>
        </w:tabs>
        <w:autoSpaceDE w:val="0"/>
        <w:autoSpaceDN w:val="0"/>
        <w:adjustRightInd w:val="0"/>
        <w:ind w:left="2160" w:right="1440" w:hanging="720"/>
        <w:rPr>
          <w:color w:val="000000"/>
          <w:sz w:val="24"/>
          <w:szCs w:val="24"/>
        </w:rPr>
      </w:pPr>
    </w:p>
    <w:p w14:paraId="3C729894" w14:textId="77777777" w:rsidR="00B526A5" w:rsidRDefault="00B526A5" w:rsidP="00B526A5">
      <w:pPr>
        <w:widowControl w:val="0"/>
        <w:tabs>
          <w:tab w:val="left" w:pos="2203"/>
          <w:tab w:val="left" w:pos="2909"/>
        </w:tabs>
        <w:autoSpaceDE w:val="0"/>
        <w:autoSpaceDN w:val="0"/>
        <w:adjustRightInd w:val="0"/>
        <w:ind w:left="2160" w:right="1440" w:hanging="720"/>
        <w:rPr>
          <w:color w:val="000000"/>
          <w:sz w:val="24"/>
          <w:szCs w:val="24"/>
        </w:rPr>
      </w:pPr>
      <w:r>
        <w:rPr>
          <w:color w:val="000000"/>
          <w:sz w:val="24"/>
          <w:szCs w:val="24"/>
        </w:rPr>
        <w:t>(7)</w:t>
      </w:r>
      <w:r>
        <w:rPr>
          <w:color w:val="000000"/>
          <w:sz w:val="24"/>
          <w:szCs w:val="24"/>
        </w:rPr>
        <w:tab/>
        <w:t>Standing of a party to participate in the proceeding.</w:t>
      </w:r>
    </w:p>
    <w:p w14:paraId="13544647" w14:textId="77777777" w:rsidR="00B526A5" w:rsidRDefault="00B526A5" w:rsidP="00B526A5">
      <w:pPr>
        <w:tabs>
          <w:tab w:val="left" w:pos="-720"/>
        </w:tabs>
        <w:suppressAutoHyphens/>
        <w:autoSpaceDE w:val="0"/>
        <w:autoSpaceDN w:val="0"/>
        <w:spacing w:line="360" w:lineRule="auto"/>
        <w:ind w:firstLine="1440"/>
        <w:rPr>
          <w:sz w:val="24"/>
          <w:szCs w:val="24"/>
        </w:rPr>
      </w:pPr>
    </w:p>
    <w:p w14:paraId="2318C379" w14:textId="77777777" w:rsidR="00B526A5" w:rsidRDefault="00B526A5" w:rsidP="00B526A5">
      <w:pPr>
        <w:tabs>
          <w:tab w:val="left" w:pos="-720"/>
        </w:tabs>
        <w:suppressAutoHyphens/>
        <w:autoSpaceDE w:val="0"/>
        <w:autoSpaceDN w:val="0"/>
        <w:spacing w:line="360" w:lineRule="auto"/>
        <w:ind w:firstLine="1440"/>
        <w:rPr>
          <w:sz w:val="24"/>
          <w:szCs w:val="24"/>
        </w:rPr>
      </w:pPr>
      <w:r>
        <w:rPr>
          <w:sz w:val="24"/>
          <w:szCs w:val="24"/>
        </w:rPr>
        <w:t xml:space="preserve">For purposes of disposing of the preliminary objections, the Commission must accept as true all well-pleaded material facts of the nonmoving party, as well as every reasonable inference deducible from those facts.  </w:t>
      </w:r>
      <w:r>
        <w:rPr>
          <w:i/>
          <w:iCs/>
          <w:sz w:val="24"/>
          <w:szCs w:val="24"/>
        </w:rPr>
        <w:t>County of Allegheny v. Commonwealth of Pennsylvania</w:t>
      </w:r>
      <w:r>
        <w:rPr>
          <w:sz w:val="24"/>
          <w:szCs w:val="24"/>
        </w:rPr>
        <w:t xml:space="preserve">, 490 A. 2d 402 (Pa. 1985); </w:t>
      </w:r>
      <w:r>
        <w:rPr>
          <w:i/>
          <w:iCs/>
          <w:sz w:val="24"/>
          <w:szCs w:val="24"/>
        </w:rPr>
        <w:t>Commonwealth of Pennsylvania v. Bell Telephone Co. of Pa.,</w:t>
      </w:r>
      <w:r>
        <w:rPr>
          <w:sz w:val="24"/>
          <w:szCs w:val="24"/>
        </w:rPr>
        <w:t xml:space="preserve"> 551 A.2d 602 (Pa.Cmwlth. 1988).  The moving party may not rely on its own factual assertions.  </w:t>
      </w:r>
      <w:r>
        <w:rPr>
          <w:i/>
          <w:iCs/>
          <w:sz w:val="24"/>
          <w:szCs w:val="24"/>
        </w:rPr>
        <w:t>Id.</w:t>
      </w:r>
      <w:r>
        <w:rPr>
          <w:sz w:val="24"/>
          <w:szCs w:val="24"/>
        </w:rPr>
        <w:t xml:space="preserve">  </w:t>
      </w:r>
    </w:p>
    <w:p w14:paraId="080FBCD9" w14:textId="77777777" w:rsidR="00B526A5" w:rsidRDefault="00B526A5" w:rsidP="00B526A5">
      <w:pPr>
        <w:tabs>
          <w:tab w:val="left" w:pos="-720"/>
        </w:tabs>
        <w:suppressAutoHyphens/>
        <w:autoSpaceDE w:val="0"/>
        <w:autoSpaceDN w:val="0"/>
        <w:spacing w:line="360" w:lineRule="auto"/>
        <w:ind w:firstLine="1440"/>
        <w:rPr>
          <w:sz w:val="24"/>
          <w:szCs w:val="24"/>
        </w:rPr>
      </w:pPr>
    </w:p>
    <w:p w14:paraId="5ECC73AC" w14:textId="6358ED99" w:rsidR="00B526A5" w:rsidRDefault="00B526A5" w:rsidP="00B526A5">
      <w:pPr>
        <w:tabs>
          <w:tab w:val="left" w:pos="-720"/>
        </w:tabs>
        <w:suppressAutoHyphens/>
        <w:autoSpaceDE w:val="0"/>
        <w:autoSpaceDN w:val="0"/>
        <w:spacing w:line="360" w:lineRule="auto"/>
        <w:ind w:firstLine="1440"/>
        <w:rPr>
          <w:sz w:val="24"/>
          <w:szCs w:val="24"/>
        </w:rPr>
      </w:pPr>
      <w:r>
        <w:rPr>
          <w:sz w:val="24"/>
          <w:szCs w:val="24"/>
        </w:rPr>
        <w:t xml:space="preserve">The Commission must view the Complaint in the light most favorable to </w:t>
      </w:r>
      <w:r w:rsidR="003E67F4">
        <w:rPr>
          <w:sz w:val="24"/>
          <w:szCs w:val="24"/>
        </w:rPr>
        <w:t xml:space="preserve">the </w:t>
      </w:r>
      <w:r>
        <w:rPr>
          <w:sz w:val="24"/>
          <w:szCs w:val="24"/>
        </w:rPr>
        <w:t xml:space="preserve">Complainant and should dismiss the Complaint only if it appears that Complainant would not be entitled to relief under any circumstances as a matter of law.  </w:t>
      </w:r>
      <w:r>
        <w:rPr>
          <w:i/>
          <w:iCs/>
          <w:sz w:val="24"/>
          <w:szCs w:val="24"/>
        </w:rPr>
        <w:t>Equitable Small Transportation Intervenors v. Equitable Gas Company,</w:t>
      </w:r>
      <w:r>
        <w:rPr>
          <w:sz w:val="24"/>
          <w:szCs w:val="24"/>
        </w:rPr>
        <w:t xml:space="preserve"> 1994 Pa. PUC LEXIS 69, Docket No. C-00935435 (July 18, 1994); </w:t>
      </w:r>
      <w:r>
        <w:rPr>
          <w:i/>
          <w:sz w:val="24"/>
          <w:szCs w:val="24"/>
        </w:rPr>
        <w:t>see also</w:t>
      </w:r>
      <w:r>
        <w:rPr>
          <w:i/>
          <w:iCs/>
          <w:sz w:val="24"/>
          <w:szCs w:val="24"/>
        </w:rPr>
        <w:t>, Interstate Traveler Services, Inc. v. Commonwealth, Department of Environmental Resources,</w:t>
      </w:r>
      <w:r>
        <w:rPr>
          <w:sz w:val="24"/>
          <w:szCs w:val="24"/>
        </w:rPr>
        <w:t xml:space="preserve"> 486 Pa. 536, 406 A.2d 1020 (1979).  </w:t>
      </w:r>
    </w:p>
    <w:p w14:paraId="647E7914" w14:textId="77777777" w:rsidR="00B526A5" w:rsidRDefault="00B526A5" w:rsidP="00B526A5">
      <w:pPr>
        <w:spacing w:line="360" w:lineRule="auto"/>
        <w:rPr>
          <w:sz w:val="24"/>
          <w:szCs w:val="24"/>
        </w:rPr>
      </w:pPr>
      <w:r>
        <w:rPr>
          <w:sz w:val="24"/>
          <w:szCs w:val="24"/>
        </w:rPr>
        <w:t xml:space="preserve"> </w:t>
      </w:r>
    </w:p>
    <w:p w14:paraId="62F7EE2C" w14:textId="66B6EDF0" w:rsidR="00B526A5" w:rsidRDefault="00B526A5" w:rsidP="00B526A5">
      <w:pPr>
        <w:widowControl w:val="0"/>
        <w:autoSpaceDE w:val="0"/>
        <w:autoSpaceDN w:val="0"/>
        <w:adjustRightInd w:val="0"/>
        <w:spacing w:line="360" w:lineRule="auto"/>
        <w:ind w:firstLine="1440"/>
        <w:rPr>
          <w:color w:val="000000"/>
          <w:w w:val="107"/>
          <w:sz w:val="24"/>
          <w:szCs w:val="24"/>
        </w:rPr>
      </w:pPr>
      <w:r>
        <w:rPr>
          <w:color w:val="000000"/>
          <w:w w:val="107"/>
          <w:sz w:val="24"/>
          <w:szCs w:val="24"/>
        </w:rPr>
        <w:t xml:space="preserve">The Company argues the Commission must strike </w:t>
      </w:r>
      <w:r w:rsidR="00550F5C">
        <w:rPr>
          <w:color w:val="000000"/>
          <w:w w:val="107"/>
          <w:sz w:val="24"/>
          <w:szCs w:val="24"/>
        </w:rPr>
        <w:t xml:space="preserve">the </w:t>
      </w:r>
      <w:r>
        <w:rPr>
          <w:color w:val="000000"/>
          <w:w w:val="107"/>
          <w:sz w:val="24"/>
          <w:szCs w:val="24"/>
        </w:rPr>
        <w:t xml:space="preserve">Complainant’s request </w:t>
      </w:r>
      <w:r w:rsidR="00206C23">
        <w:rPr>
          <w:color w:val="000000"/>
          <w:w w:val="107"/>
          <w:sz w:val="24"/>
          <w:szCs w:val="24"/>
        </w:rPr>
        <w:t xml:space="preserve">for the water sampling station to be relocated as the Commission lacks the jurisdiction to decide this matter.  </w:t>
      </w:r>
    </w:p>
    <w:p w14:paraId="5C78FC21" w14:textId="77777777" w:rsidR="00B526A5" w:rsidRDefault="00B526A5" w:rsidP="00B526A5">
      <w:pPr>
        <w:spacing w:line="360" w:lineRule="auto"/>
        <w:rPr>
          <w:sz w:val="24"/>
          <w:szCs w:val="24"/>
        </w:rPr>
      </w:pPr>
    </w:p>
    <w:p w14:paraId="286D5847" w14:textId="459324BA" w:rsidR="00B526A5" w:rsidRPr="00FC7EE8" w:rsidRDefault="00B526A5" w:rsidP="00B526A5">
      <w:pPr>
        <w:spacing w:line="360" w:lineRule="auto"/>
        <w:rPr>
          <w:sz w:val="24"/>
          <w:szCs w:val="24"/>
        </w:rPr>
      </w:pPr>
      <w:r>
        <w:rPr>
          <w:sz w:val="24"/>
          <w:szCs w:val="24"/>
        </w:rPr>
        <w:tab/>
      </w:r>
      <w:r>
        <w:rPr>
          <w:sz w:val="24"/>
          <w:szCs w:val="24"/>
        </w:rPr>
        <w:tab/>
      </w:r>
      <w:r w:rsidRPr="00FC7EE8">
        <w:rPr>
          <w:sz w:val="24"/>
          <w:szCs w:val="24"/>
        </w:rPr>
        <w:t>Subject matter jurisdiction is a prerequisite to the exercise of the power to decide a controversy.</w:t>
      </w:r>
      <w:r w:rsidRPr="00FC7EE8">
        <w:rPr>
          <w:rStyle w:val="FootnoteReference"/>
          <w:sz w:val="24"/>
          <w:szCs w:val="24"/>
          <w:vertAlign w:val="superscript"/>
        </w:rPr>
        <w:footnoteReference w:id="1"/>
      </w:r>
      <w:r w:rsidRPr="00550F5C">
        <w:rPr>
          <w:sz w:val="24"/>
          <w:szCs w:val="24"/>
        </w:rPr>
        <w:t xml:space="preserve"> </w:t>
      </w:r>
      <w:r w:rsidR="00550F5C" w:rsidRPr="00550F5C">
        <w:rPr>
          <w:sz w:val="24"/>
          <w:szCs w:val="24"/>
        </w:rPr>
        <w:t xml:space="preserve"> </w:t>
      </w:r>
      <w:r w:rsidRPr="00FC7EE8">
        <w:rPr>
          <w:sz w:val="24"/>
          <w:szCs w:val="24"/>
        </w:rPr>
        <w:t>The Commission cannot exceed its jurisdiction and must act within it.</w:t>
      </w:r>
      <w:r w:rsidRPr="00FC7EE8">
        <w:rPr>
          <w:rStyle w:val="FootnoteReference"/>
          <w:sz w:val="24"/>
          <w:szCs w:val="24"/>
          <w:vertAlign w:val="superscript"/>
        </w:rPr>
        <w:footnoteReference w:id="2"/>
      </w:r>
      <w:r w:rsidRPr="00FC7EE8">
        <w:rPr>
          <w:sz w:val="24"/>
          <w:szCs w:val="24"/>
          <w:vertAlign w:val="superscript"/>
        </w:rPr>
        <w:t xml:space="preserve"> </w:t>
      </w:r>
      <w:r w:rsidRPr="00FC7EE8">
        <w:rPr>
          <w:sz w:val="24"/>
          <w:szCs w:val="24"/>
        </w:rPr>
        <w:t xml:space="preserve">  Jurisdiction may not be conferred by the parties where none exists.</w:t>
      </w:r>
      <w:r w:rsidRPr="00FC7EE8">
        <w:rPr>
          <w:rStyle w:val="FootnoteReference"/>
          <w:sz w:val="24"/>
          <w:szCs w:val="24"/>
          <w:vertAlign w:val="superscript"/>
        </w:rPr>
        <w:footnoteReference w:id="3"/>
      </w:r>
      <w:r w:rsidRPr="00550F5C">
        <w:rPr>
          <w:sz w:val="24"/>
          <w:szCs w:val="24"/>
        </w:rPr>
        <w:t xml:space="preserve">  </w:t>
      </w:r>
      <w:r w:rsidR="00741E2C" w:rsidRPr="00FC7EE8">
        <w:rPr>
          <w:sz w:val="24"/>
          <w:szCs w:val="24"/>
        </w:rPr>
        <w:t>Commonwealth Court has ruled that the Pennsylvania Safe Drinking Water Act confers jurisdiction to the DEP and limits the Commission’s authority over drinking water.</w:t>
      </w:r>
      <w:r w:rsidR="0052207E">
        <w:rPr>
          <w:sz w:val="24"/>
          <w:szCs w:val="24"/>
        </w:rPr>
        <w:t xml:space="preserve"> </w:t>
      </w:r>
      <w:r w:rsidR="00741E2C" w:rsidRPr="00FC7EE8">
        <w:rPr>
          <w:sz w:val="24"/>
          <w:szCs w:val="24"/>
        </w:rPr>
        <w:t xml:space="preserve"> </w:t>
      </w:r>
      <w:proofErr w:type="spellStart"/>
      <w:r w:rsidR="00741E2C" w:rsidRPr="00206C23">
        <w:rPr>
          <w:i/>
          <w:iCs/>
          <w:sz w:val="24"/>
          <w:szCs w:val="24"/>
        </w:rPr>
        <w:t>Rovin</w:t>
      </w:r>
      <w:proofErr w:type="spellEnd"/>
      <w:r w:rsidR="00741E2C" w:rsidRPr="00206C23">
        <w:rPr>
          <w:i/>
          <w:iCs/>
          <w:sz w:val="24"/>
          <w:szCs w:val="24"/>
        </w:rPr>
        <w:t>, D.D.S. v Pa. P</w:t>
      </w:r>
      <w:r w:rsidR="00206C23">
        <w:rPr>
          <w:i/>
          <w:iCs/>
          <w:sz w:val="24"/>
          <w:szCs w:val="24"/>
        </w:rPr>
        <w:t>ub. Util. Comm’n</w:t>
      </w:r>
      <w:r w:rsidR="00741E2C" w:rsidRPr="00FC7EE8">
        <w:rPr>
          <w:sz w:val="24"/>
          <w:szCs w:val="24"/>
        </w:rPr>
        <w:t>, 502 A.2d 785 (</w:t>
      </w:r>
      <w:proofErr w:type="gramStart"/>
      <w:r w:rsidR="00741E2C" w:rsidRPr="00FC7EE8">
        <w:rPr>
          <w:sz w:val="24"/>
          <w:szCs w:val="24"/>
        </w:rPr>
        <w:t>Pa.Cmwlth</w:t>
      </w:r>
      <w:proofErr w:type="gramEnd"/>
      <w:r w:rsidR="00741E2C" w:rsidRPr="00FC7EE8">
        <w:rPr>
          <w:sz w:val="24"/>
          <w:szCs w:val="24"/>
        </w:rPr>
        <w:t>. 1986) (“water quality in Pennsylvania is statutorily regulated and specifically vested in DEP.”)</w:t>
      </w:r>
      <w:r w:rsidR="0052207E">
        <w:rPr>
          <w:sz w:val="24"/>
          <w:szCs w:val="24"/>
        </w:rPr>
        <w:t xml:space="preserve">. </w:t>
      </w:r>
      <w:r w:rsidR="00741E2C" w:rsidRPr="00FC7EE8">
        <w:rPr>
          <w:sz w:val="24"/>
          <w:szCs w:val="24"/>
        </w:rPr>
        <w:t xml:space="preserve"> </w:t>
      </w:r>
      <w:r w:rsidRPr="00FC7EE8">
        <w:rPr>
          <w:sz w:val="24"/>
          <w:szCs w:val="24"/>
          <w:vertAlign w:val="superscript"/>
        </w:rPr>
        <w:t xml:space="preserve"> </w:t>
      </w:r>
      <w:r w:rsidR="009326A6" w:rsidRPr="00FC7EE8">
        <w:rPr>
          <w:sz w:val="24"/>
          <w:szCs w:val="24"/>
        </w:rPr>
        <w:t>Precedent makes clear the distinction between water service, which the Commission may regulate, and water quality which may only be regulated by DEP</w:t>
      </w:r>
      <w:r w:rsidR="009326A6" w:rsidRPr="00206C23">
        <w:rPr>
          <w:i/>
          <w:iCs/>
          <w:sz w:val="24"/>
          <w:szCs w:val="24"/>
        </w:rPr>
        <w:t>. Pickford v</w:t>
      </w:r>
      <w:r w:rsidR="00206C23">
        <w:rPr>
          <w:i/>
          <w:iCs/>
          <w:sz w:val="24"/>
          <w:szCs w:val="24"/>
        </w:rPr>
        <w:t>. Pa. Pub. Util. Comm’n</w:t>
      </w:r>
      <w:r w:rsidR="009326A6" w:rsidRPr="00FC7EE8">
        <w:rPr>
          <w:sz w:val="24"/>
          <w:szCs w:val="24"/>
        </w:rPr>
        <w:t>, 4 A.3d 707, (Pa.Cmwlth. 2010).</w:t>
      </w:r>
    </w:p>
    <w:p w14:paraId="05E070EA" w14:textId="77777777" w:rsidR="00B526A5" w:rsidRDefault="00B526A5" w:rsidP="00B526A5">
      <w:pPr>
        <w:spacing w:line="360" w:lineRule="auto"/>
        <w:rPr>
          <w:sz w:val="24"/>
          <w:szCs w:val="24"/>
        </w:rPr>
      </w:pPr>
      <w:r>
        <w:rPr>
          <w:sz w:val="24"/>
          <w:szCs w:val="24"/>
        </w:rPr>
        <w:tab/>
      </w:r>
      <w:r>
        <w:rPr>
          <w:sz w:val="24"/>
          <w:szCs w:val="24"/>
        </w:rPr>
        <w:tab/>
      </w:r>
    </w:p>
    <w:p w14:paraId="0E5881AD" w14:textId="48315EF8" w:rsidR="00B526A5" w:rsidRPr="00FC7EE8" w:rsidRDefault="00B526A5" w:rsidP="00B526A5">
      <w:pPr>
        <w:spacing w:line="360" w:lineRule="auto"/>
        <w:rPr>
          <w:sz w:val="24"/>
          <w:szCs w:val="24"/>
        </w:rPr>
      </w:pPr>
      <w:r>
        <w:rPr>
          <w:sz w:val="24"/>
          <w:szCs w:val="24"/>
        </w:rPr>
        <w:tab/>
      </w:r>
      <w:r>
        <w:rPr>
          <w:sz w:val="24"/>
          <w:szCs w:val="24"/>
        </w:rPr>
        <w:tab/>
      </w:r>
      <w:r w:rsidRPr="00FC7EE8">
        <w:rPr>
          <w:sz w:val="24"/>
          <w:szCs w:val="24"/>
        </w:rPr>
        <w:t>The courts of Pennsylvania have long recognized that the reasonableness, adequacy, and sufficiency of public utility service are within the exclusive original jurisdiction of the Commission.</w:t>
      </w:r>
      <w:r w:rsidRPr="00FC7EE8">
        <w:rPr>
          <w:rStyle w:val="FootnoteReference"/>
          <w:sz w:val="24"/>
          <w:szCs w:val="24"/>
          <w:vertAlign w:val="superscript"/>
        </w:rPr>
        <w:footnoteReference w:id="4"/>
      </w:r>
      <w:r w:rsidRPr="00FC7EE8">
        <w:rPr>
          <w:sz w:val="24"/>
          <w:szCs w:val="24"/>
        </w:rPr>
        <w:t xml:space="preserve">  </w:t>
      </w:r>
      <w:r w:rsidR="00A66B59" w:rsidRPr="00FC7EE8">
        <w:rPr>
          <w:sz w:val="24"/>
          <w:szCs w:val="24"/>
        </w:rPr>
        <w:t xml:space="preserve">The Commission has regulatory authority under 66 </w:t>
      </w:r>
      <w:proofErr w:type="spellStart"/>
      <w:r w:rsidR="00A66B59" w:rsidRPr="00FC7EE8">
        <w:rPr>
          <w:sz w:val="24"/>
          <w:szCs w:val="24"/>
        </w:rPr>
        <w:t>Pa.C.S</w:t>
      </w:r>
      <w:proofErr w:type="spellEnd"/>
      <w:r w:rsidR="00A66B59" w:rsidRPr="00FC7EE8">
        <w:rPr>
          <w:sz w:val="24"/>
          <w:szCs w:val="24"/>
        </w:rPr>
        <w:t xml:space="preserve">. § 1501 over the </w:t>
      </w:r>
      <w:r w:rsidR="00A66B59" w:rsidRPr="00FC7EE8">
        <w:rPr>
          <w:sz w:val="24"/>
          <w:szCs w:val="24"/>
        </w:rPr>
        <w:lastRenderedPageBreak/>
        <w:t xml:space="preserve">quality of public utilities’ facilities and services, whereas the DEP has primary jurisdiction over the sampling and compliance monitoring activities under 25 </w:t>
      </w:r>
      <w:proofErr w:type="spellStart"/>
      <w:r w:rsidR="00A66B59" w:rsidRPr="00FC7EE8">
        <w:rPr>
          <w:sz w:val="24"/>
          <w:szCs w:val="24"/>
        </w:rPr>
        <w:t>Pa.Code</w:t>
      </w:r>
      <w:proofErr w:type="spellEnd"/>
      <w:r w:rsidR="00A66B59" w:rsidRPr="00FC7EE8">
        <w:rPr>
          <w:sz w:val="24"/>
          <w:szCs w:val="24"/>
        </w:rPr>
        <w:t xml:space="preserve"> </w:t>
      </w:r>
      <w:r w:rsidR="00391F52">
        <w:rPr>
          <w:sz w:val="24"/>
          <w:szCs w:val="24"/>
        </w:rPr>
        <w:t>§</w:t>
      </w:r>
      <w:r w:rsidR="00A66B59" w:rsidRPr="00FC7EE8">
        <w:rPr>
          <w:sz w:val="24"/>
          <w:szCs w:val="24"/>
        </w:rPr>
        <w:t xml:space="preserve">109.301 </w:t>
      </w:r>
      <w:r w:rsidR="00A66B59" w:rsidRPr="00391F52">
        <w:rPr>
          <w:i/>
          <w:iCs/>
          <w:sz w:val="24"/>
          <w:szCs w:val="24"/>
        </w:rPr>
        <w:t>et seq.</w:t>
      </w:r>
      <w:r w:rsidR="00A66B59" w:rsidRPr="00FC7EE8">
        <w:rPr>
          <w:sz w:val="24"/>
          <w:szCs w:val="24"/>
        </w:rPr>
        <w:t xml:space="preserve"> and Pennsylvania Safe Drinking Water Act.</w:t>
      </w:r>
      <w:r w:rsidR="0001112E" w:rsidRPr="00FC7EE8">
        <w:rPr>
          <w:rStyle w:val="FootnoteReference"/>
          <w:sz w:val="24"/>
          <w:szCs w:val="24"/>
          <w:vertAlign w:val="superscript"/>
        </w:rPr>
        <w:footnoteReference w:id="5"/>
      </w:r>
    </w:p>
    <w:p w14:paraId="747373F4" w14:textId="77777777" w:rsidR="00B526A5" w:rsidRDefault="00B526A5" w:rsidP="00B526A5">
      <w:pPr>
        <w:spacing w:line="360" w:lineRule="auto"/>
        <w:rPr>
          <w:sz w:val="24"/>
          <w:szCs w:val="24"/>
        </w:rPr>
      </w:pPr>
    </w:p>
    <w:p w14:paraId="0C345AFE" w14:textId="2F8EFCAB" w:rsidR="00B526A5" w:rsidRDefault="00B526A5" w:rsidP="00B526A5">
      <w:pPr>
        <w:spacing w:line="360" w:lineRule="auto"/>
        <w:rPr>
          <w:sz w:val="24"/>
          <w:szCs w:val="24"/>
        </w:rPr>
      </w:pPr>
      <w:r>
        <w:rPr>
          <w:sz w:val="24"/>
          <w:szCs w:val="24"/>
        </w:rPr>
        <w:tab/>
      </w:r>
      <w:r>
        <w:rPr>
          <w:sz w:val="24"/>
          <w:szCs w:val="24"/>
        </w:rPr>
        <w:tab/>
        <w:t xml:space="preserve">In this proceeding, </w:t>
      </w:r>
      <w:r w:rsidR="006A0FE4">
        <w:rPr>
          <w:sz w:val="24"/>
          <w:szCs w:val="24"/>
        </w:rPr>
        <w:t>the Complainant</w:t>
      </w:r>
      <w:r>
        <w:rPr>
          <w:sz w:val="24"/>
          <w:szCs w:val="24"/>
        </w:rPr>
        <w:t xml:space="preserve"> explicitly requests</w:t>
      </w:r>
      <w:r>
        <w:rPr>
          <w:color w:val="000000"/>
          <w:w w:val="108"/>
          <w:sz w:val="24"/>
          <w:szCs w:val="24"/>
        </w:rPr>
        <w:t xml:space="preserve"> the Commission order the Company </w:t>
      </w:r>
      <w:r w:rsidR="00A75DB0">
        <w:rPr>
          <w:color w:val="000000"/>
          <w:w w:val="108"/>
          <w:sz w:val="24"/>
          <w:szCs w:val="24"/>
        </w:rPr>
        <w:t>to locate a water sampling station</w:t>
      </w:r>
      <w:r w:rsidR="00305AC1">
        <w:rPr>
          <w:color w:val="000000"/>
          <w:w w:val="108"/>
          <w:sz w:val="24"/>
          <w:szCs w:val="24"/>
        </w:rPr>
        <w:t xml:space="preserve"> in a particular location</w:t>
      </w:r>
      <w:r>
        <w:rPr>
          <w:color w:val="000000"/>
          <w:w w:val="108"/>
          <w:sz w:val="24"/>
          <w:szCs w:val="24"/>
        </w:rPr>
        <w:t>.</w:t>
      </w:r>
      <w:r>
        <w:rPr>
          <w:sz w:val="24"/>
          <w:szCs w:val="24"/>
        </w:rPr>
        <w:t xml:space="preserve">  This portion of the Complaint is stricken from the Complaint and dismissed without hearing because the Commission lacks jurisdiction </w:t>
      </w:r>
      <w:r w:rsidR="00305AC1">
        <w:rPr>
          <w:sz w:val="24"/>
          <w:szCs w:val="24"/>
        </w:rPr>
        <w:t>to decide this issue related to the Pennsylvania Safe Drinking Water Act</w:t>
      </w:r>
      <w:r>
        <w:rPr>
          <w:sz w:val="24"/>
          <w:szCs w:val="24"/>
        </w:rPr>
        <w:t xml:space="preserve">.  </w:t>
      </w:r>
    </w:p>
    <w:p w14:paraId="4F9385C9" w14:textId="77777777" w:rsidR="00B526A5" w:rsidRDefault="00B526A5" w:rsidP="00B526A5">
      <w:pPr>
        <w:tabs>
          <w:tab w:val="left" w:pos="-720"/>
        </w:tabs>
        <w:suppressAutoHyphens/>
        <w:autoSpaceDE w:val="0"/>
        <w:autoSpaceDN w:val="0"/>
        <w:spacing w:line="360" w:lineRule="auto"/>
        <w:ind w:firstLine="1440"/>
        <w:rPr>
          <w:sz w:val="24"/>
          <w:szCs w:val="24"/>
        </w:rPr>
      </w:pPr>
    </w:p>
    <w:p w14:paraId="69803CBE" w14:textId="77777777" w:rsidR="00B526A5" w:rsidRDefault="00B526A5" w:rsidP="00B526A5">
      <w:pPr>
        <w:ind w:firstLine="1440"/>
        <w:rPr>
          <w:rFonts w:eastAsiaTheme="minorHAnsi"/>
          <w:sz w:val="24"/>
          <w:szCs w:val="24"/>
        </w:rPr>
      </w:pPr>
      <w:r>
        <w:rPr>
          <w:sz w:val="24"/>
          <w:szCs w:val="24"/>
        </w:rPr>
        <w:t xml:space="preserve">The statute at 66 </w:t>
      </w:r>
      <w:proofErr w:type="spellStart"/>
      <w:r>
        <w:rPr>
          <w:sz w:val="24"/>
          <w:szCs w:val="24"/>
        </w:rPr>
        <w:t>Pa.C.S</w:t>
      </w:r>
      <w:proofErr w:type="spellEnd"/>
      <w:r>
        <w:rPr>
          <w:sz w:val="24"/>
          <w:szCs w:val="24"/>
        </w:rPr>
        <w:t>. § 1501, provides, in relevant part:</w:t>
      </w:r>
    </w:p>
    <w:p w14:paraId="77A74539" w14:textId="77777777" w:rsidR="00B526A5" w:rsidRDefault="00B526A5" w:rsidP="00B526A5">
      <w:pPr>
        <w:ind w:firstLine="1440"/>
        <w:rPr>
          <w:rFonts w:eastAsia="Calibri"/>
          <w:sz w:val="24"/>
          <w:szCs w:val="24"/>
        </w:rPr>
      </w:pPr>
    </w:p>
    <w:p w14:paraId="671793BD" w14:textId="77777777" w:rsidR="00B526A5" w:rsidRDefault="00B526A5" w:rsidP="00B526A5">
      <w:pPr>
        <w:ind w:left="1440" w:right="1440"/>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w:t>
      </w:r>
    </w:p>
    <w:p w14:paraId="0E8BB991" w14:textId="77777777" w:rsidR="00B526A5" w:rsidRDefault="00B526A5" w:rsidP="00B526A5">
      <w:pPr>
        <w:ind w:left="1440" w:right="1440"/>
        <w:rPr>
          <w:sz w:val="24"/>
          <w:szCs w:val="24"/>
        </w:rPr>
      </w:pPr>
    </w:p>
    <w:p w14:paraId="215AA57A" w14:textId="77777777" w:rsidR="00B526A5" w:rsidRDefault="00B526A5" w:rsidP="00B526A5">
      <w:pPr>
        <w:spacing w:line="360" w:lineRule="auto"/>
        <w:ind w:firstLine="1440"/>
        <w:rPr>
          <w:sz w:val="24"/>
          <w:szCs w:val="24"/>
        </w:rPr>
      </w:pPr>
      <w:r>
        <w:rPr>
          <w:sz w:val="24"/>
          <w:szCs w:val="24"/>
        </w:rPr>
        <w:t>Interpreting this provision in</w:t>
      </w:r>
      <w:r>
        <w:rPr>
          <w:i/>
          <w:sz w:val="24"/>
          <w:szCs w:val="24"/>
        </w:rPr>
        <w:t xml:space="preserve"> West Penn Power Co. v. Pa. Pub. Util. Comm’n</w:t>
      </w:r>
      <w:r>
        <w:rPr>
          <w:sz w:val="24"/>
          <w:szCs w:val="24"/>
        </w:rPr>
        <w:t>, 478 A.2d 947 (</w:t>
      </w:r>
      <w:r>
        <w:rPr>
          <w:spacing w:val="-3"/>
          <w:sz w:val="24"/>
          <w:szCs w:val="24"/>
        </w:rPr>
        <w:t xml:space="preserve">Pa. </w:t>
      </w:r>
      <w:proofErr w:type="spellStart"/>
      <w:r>
        <w:rPr>
          <w:spacing w:val="-3"/>
          <w:sz w:val="24"/>
          <w:szCs w:val="24"/>
        </w:rPr>
        <w:t>Cmwlth</w:t>
      </w:r>
      <w:proofErr w:type="spellEnd"/>
      <w:r>
        <w:rPr>
          <w:spacing w:val="-3"/>
          <w:sz w:val="24"/>
          <w:szCs w:val="24"/>
        </w:rPr>
        <w:t>.</w:t>
      </w:r>
      <w:r>
        <w:rPr>
          <w:sz w:val="24"/>
          <w:szCs w:val="24"/>
        </w:rPr>
        <w:t xml:space="preserve"> 1984), the Commonwealth Court stated:</w:t>
      </w:r>
    </w:p>
    <w:p w14:paraId="2D8AFCD5" w14:textId="77777777" w:rsidR="00B526A5" w:rsidRDefault="00B526A5" w:rsidP="00B526A5">
      <w:pPr>
        <w:ind w:firstLine="1440"/>
        <w:rPr>
          <w:sz w:val="24"/>
          <w:szCs w:val="24"/>
        </w:rPr>
      </w:pPr>
    </w:p>
    <w:p w14:paraId="4812441B" w14:textId="77777777" w:rsidR="00B526A5" w:rsidRDefault="00B526A5" w:rsidP="00B526A5">
      <w:pPr>
        <w:ind w:left="1440" w:right="1440"/>
        <w:rPr>
          <w:sz w:val="24"/>
          <w:szCs w:val="24"/>
        </w:rPr>
      </w:pPr>
      <w:r>
        <w:rPr>
          <w:sz w:val="24"/>
          <w:szCs w:val="24"/>
        </w:rPr>
        <w:t xml:space="preserve">We hold that in order for the PUC to sustain a complaint brought under this section, the utility must be in violation of its duty under this section.  Without such a violation by the utility, the PUC does not have the authority, when acting on a customer’s complaint, to require any action by the utility.  (footnote omitted).  </w:t>
      </w:r>
    </w:p>
    <w:p w14:paraId="7FCB99A5" w14:textId="77777777" w:rsidR="00B526A5" w:rsidRDefault="00B526A5" w:rsidP="00B526A5">
      <w:pPr>
        <w:ind w:left="1440" w:right="1440"/>
        <w:rPr>
          <w:sz w:val="24"/>
          <w:szCs w:val="24"/>
        </w:rPr>
      </w:pPr>
    </w:p>
    <w:p w14:paraId="40D246FA" w14:textId="77777777" w:rsidR="00B526A5" w:rsidRDefault="00B526A5" w:rsidP="00B526A5">
      <w:pPr>
        <w:rPr>
          <w:sz w:val="24"/>
          <w:szCs w:val="24"/>
        </w:rPr>
      </w:pPr>
      <w:r>
        <w:rPr>
          <w:sz w:val="24"/>
          <w:szCs w:val="24"/>
        </w:rPr>
        <w:t>478 A.2d at 949.</w:t>
      </w:r>
    </w:p>
    <w:p w14:paraId="5DF9BE5C" w14:textId="77777777" w:rsidR="00B526A5" w:rsidRDefault="00B526A5" w:rsidP="00CF387A">
      <w:pPr>
        <w:spacing w:line="360" w:lineRule="auto"/>
        <w:rPr>
          <w:sz w:val="24"/>
          <w:szCs w:val="24"/>
        </w:rPr>
      </w:pPr>
    </w:p>
    <w:p w14:paraId="5108AB95" w14:textId="4CA4CCB8" w:rsidR="00B526A5" w:rsidRDefault="00B526A5" w:rsidP="00B526A5">
      <w:pPr>
        <w:spacing w:line="360" w:lineRule="auto"/>
        <w:ind w:firstLine="1440"/>
        <w:rPr>
          <w:sz w:val="24"/>
          <w:szCs w:val="24"/>
        </w:rPr>
      </w:pPr>
      <w:r>
        <w:rPr>
          <w:sz w:val="24"/>
          <w:szCs w:val="24"/>
        </w:rPr>
        <w:t>The statutory definition of “service” is to be broadly construed.</w:t>
      </w:r>
      <w:r>
        <w:rPr>
          <w:sz w:val="24"/>
          <w:szCs w:val="24"/>
          <w:vertAlign w:val="superscript"/>
        </w:rPr>
        <w:footnoteReference w:id="6"/>
      </w:r>
      <w:r>
        <w:rPr>
          <w:sz w:val="24"/>
          <w:szCs w:val="24"/>
        </w:rPr>
        <w:t xml:space="preserve">  </w:t>
      </w:r>
      <w:r>
        <w:rPr>
          <w:i/>
          <w:sz w:val="24"/>
          <w:szCs w:val="24"/>
        </w:rPr>
        <w:t xml:space="preserve">Country Place Waste Treatment Co., Inc. v. Pa. Publ. Util. Comm’n, </w:t>
      </w:r>
      <w:r>
        <w:rPr>
          <w:sz w:val="24"/>
          <w:szCs w:val="24"/>
        </w:rPr>
        <w:t xml:space="preserve">654 A.2d 72 (Pa. </w:t>
      </w:r>
      <w:proofErr w:type="spellStart"/>
      <w:r>
        <w:rPr>
          <w:sz w:val="24"/>
          <w:szCs w:val="24"/>
        </w:rPr>
        <w:t>Cmwlth</w:t>
      </w:r>
      <w:proofErr w:type="spellEnd"/>
      <w:r>
        <w:rPr>
          <w:sz w:val="24"/>
          <w:szCs w:val="24"/>
        </w:rPr>
        <w:t>. 1995</w:t>
      </w:r>
      <w:r w:rsidR="00A81444">
        <w:rPr>
          <w:sz w:val="24"/>
          <w:szCs w:val="24"/>
        </w:rPr>
        <w:t>).</w:t>
      </w:r>
      <w:r w:rsidR="00936B2E">
        <w:rPr>
          <w:sz w:val="24"/>
          <w:szCs w:val="24"/>
        </w:rPr>
        <w:t xml:space="preserve">  In this </w:t>
      </w:r>
      <w:r w:rsidR="00936B2E">
        <w:rPr>
          <w:sz w:val="24"/>
          <w:szCs w:val="24"/>
        </w:rPr>
        <w:lastRenderedPageBreak/>
        <w:t>case, the Complaint is too vague to be able to determine whether there is a service issue</w:t>
      </w:r>
      <w:r w:rsidR="00EB1E1A">
        <w:rPr>
          <w:sz w:val="24"/>
          <w:szCs w:val="24"/>
        </w:rPr>
        <w:t xml:space="preserve">.  While the Complaint indicates that there are issues with the way that Aqua </w:t>
      </w:r>
      <w:r w:rsidR="00483127">
        <w:rPr>
          <w:sz w:val="24"/>
          <w:szCs w:val="24"/>
        </w:rPr>
        <w:t xml:space="preserve">is spending consumer monies, it is not clear the specific issue that the Complainant is raising in this matter.  As such, the Complainant is directed to file an amended Complainant </w:t>
      </w:r>
      <w:r w:rsidR="00A12086">
        <w:rPr>
          <w:sz w:val="24"/>
          <w:szCs w:val="24"/>
        </w:rPr>
        <w:t>within ten (10) days of the date of this order.  The Respondent will have twenty (20) days thereafter</w:t>
      </w:r>
      <w:r w:rsidR="00947461">
        <w:rPr>
          <w:sz w:val="24"/>
          <w:szCs w:val="24"/>
        </w:rPr>
        <w:t xml:space="preserve"> to file an amended Answer in this matter.  </w:t>
      </w:r>
      <w:r>
        <w:rPr>
          <w:sz w:val="24"/>
          <w:szCs w:val="24"/>
        </w:rPr>
        <w:t xml:space="preserve"> </w:t>
      </w:r>
    </w:p>
    <w:p w14:paraId="3C0B9832" w14:textId="77777777" w:rsidR="00B526A5" w:rsidRDefault="00B526A5" w:rsidP="00947461">
      <w:pPr>
        <w:tabs>
          <w:tab w:val="left" w:pos="-720"/>
        </w:tabs>
        <w:suppressAutoHyphens/>
        <w:autoSpaceDE w:val="0"/>
        <w:autoSpaceDN w:val="0"/>
        <w:spacing w:line="360" w:lineRule="auto"/>
        <w:rPr>
          <w:rFonts w:eastAsia="Calibri"/>
          <w:sz w:val="24"/>
          <w:szCs w:val="24"/>
        </w:rPr>
      </w:pPr>
    </w:p>
    <w:p w14:paraId="23DA87D7" w14:textId="77777777" w:rsidR="00B526A5" w:rsidRDefault="00B526A5" w:rsidP="00B526A5">
      <w:pPr>
        <w:spacing w:line="360" w:lineRule="auto"/>
        <w:jc w:val="center"/>
        <w:rPr>
          <w:sz w:val="24"/>
          <w:szCs w:val="24"/>
          <w:u w:val="single"/>
        </w:rPr>
      </w:pPr>
    </w:p>
    <w:p w14:paraId="1199F623" w14:textId="77777777" w:rsidR="00B526A5" w:rsidRDefault="00B526A5" w:rsidP="00B526A5">
      <w:pPr>
        <w:spacing w:line="360" w:lineRule="auto"/>
        <w:jc w:val="center"/>
        <w:rPr>
          <w:sz w:val="24"/>
          <w:szCs w:val="24"/>
          <w:u w:val="single"/>
        </w:rPr>
      </w:pPr>
      <w:r>
        <w:rPr>
          <w:sz w:val="24"/>
          <w:szCs w:val="24"/>
          <w:u w:val="single"/>
        </w:rPr>
        <w:t>ORDER</w:t>
      </w:r>
    </w:p>
    <w:p w14:paraId="5A844493" w14:textId="77777777" w:rsidR="00B526A5" w:rsidRDefault="00B526A5" w:rsidP="00B526A5">
      <w:pPr>
        <w:spacing w:line="360" w:lineRule="auto"/>
        <w:jc w:val="center"/>
        <w:rPr>
          <w:sz w:val="24"/>
          <w:szCs w:val="24"/>
        </w:rPr>
      </w:pPr>
    </w:p>
    <w:p w14:paraId="1F47AD85" w14:textId="77777777" w:rsidR="00B526A5" w:rsidRDefault="00B526A5" w:rsidP="00B526A5">
      <w:pPr>
        <w:spacing w:line="360" w:lineRule="auto"/>
        <w:rPr>
          <w:sz w:val="24"/>
          <w:szCs w:val="24"/>
        </w:rPr>
      </w:pPr>
    </w:p>
    <w:p w14:paraId="1BD8934C" w14:textId="77777777" w:rsidR="00B526A5" w:rsidRDefault="00B526A5" w:rsidP="00B526A5">
      <w:pPr>
        <w:spacing w:line="360" w:lineRule="auto"/>
        <w:rPr>
          <w:sz w:val="24"/>
          <w:szCs w:val="24"/>
        </w:rPr>
      </w:pPr>
      <w:r>
        <w:rPr>
          <w:sz w:val="24"/>
          <w:szCs w:val="24"/>
        </w:rPr>
        <w:tab/>
      </w:r>
      <w:r>
        <w:rPr>
          <w:sz w:val="24"/>
          <w:szCs w:val="24"/>
        </w:rPr>
        <w:tab/>
        <w:t>THEREFORE,</w:t>
      </w:r>
    </w:p>
    <w:p w14:paraId="5E978520" w14:textId="77777777" w:rsidR="00B526A5" w:rsidRDefault="00B526A5" w:rsidP="00B526A5">
      <w:pPr>
        <w:spacing w:line="360" w:lineRule="auto"/>
        <w:rPr>
          <w:sz w:val="24"/>
          <w:szCs w:val="24"/>
        </w:rPr>
      </w:pPr>
    </w:p>
    <w:p w14:paraId="75DB1781" w14:textId="77777777" w:rsidR="00B526A5" w:rsidRDefault="00B526A5" w:rsidP="00B526A5">
      <w:pPr>
        <w:spacing w:line="360" w:lineRule="auto"/>
        <w:rPr>
          <w:sz w:val="24"/>
          <w:szCs w:val="24"/>
        </w:rPr>
      </w:pPr>
      <w:r>
        <w:rPr>
          <w:sz w:val="24"/>
          <w:szCs w:val="24"/>
        </w:rPr>
        <w:tab/>
      </w:r>
      <w:r>
        <w:rPr>
          <w:sz w:val="24"/>
          <w:szCs w:val="24"/>
        </w:rPr>
        <w:tab/>
        <w:t>IT IS ORDERED:</w:t>
      </w:r>
    </w:p>
    <w:p w14:paraId="7121ABDE" w14:textId="77777777" w:rsidR="00B526A5" w:rsidRDefault="00B526A5" w:rsidP="00B526A5">
      <w:pPr>
        <w:spacing w:line="360" w:lineRule="auto"/>
        <w:rPr>
          <w:sz w:val="24"/>
          <w:szCs w:val="24"/>
        </w:rPr>
      </w:pPr>
    </w:p>
    <w:p w14:paraId="33CB552A" w14:textId="7C55D3AF" w:rsidR="00B526A5" w:rsidRDefault="00B526A5" w:rsidP="00B526A5">
      <w:pPr>
        <w:pStyle w:val="ListParagraph"/>
        <w:numPr>
          <w:ilvl w:val="0"/>
          <w:numId w:val="1"/>
        </w:numPr>
        <w:spacing w:line="360" w:lineRule="auto"/>
        <w:ind w:left="0" w:firstLine="1440"/>
        <w:rPr>
          <w:sz w:val="24"/>
          <w:szCs w:val="24"/>
        </w:rPr>
      </w:pPr>
      <w:r>
        <w:rPr>
          <w:sz w:val="24"/>
          <w:szCs w:val="24"/>
        </w:rPr>
        <w:t xml:space="preserve">That the Preliminary Objection as filed by </w:t>
      </w:r>
      <w:r w:rsidR="00947461">
        <w:rPr>
          <w:sz w:val="24"/>
          <w:szCs w:val="24"/>
        </w:rPr>
        <w:t>Aqua Pennsylvania Inc.</w:t>
      </w:r>
      <w:r>
        <w:rPr>
          <w:sz w:val="24"/>
          <w:szCs w:val="24"/>
        </w:rPr>
        <w:t xml:space="preserve"> is granted in part such that Complainant’s requested relief </w:t>
      </w:r>
      <w:r w:rsidR="00947461">
        <w:rPr>
          <w:color w:val="000000"/>
          <w:w w:val="108"/>
          <w:sz w:val="24"/>
          <w:szCs w:val="24"/>
        </w:rPr>
        <w:t>to locate a water sampling station in a particular location</w:t>
      </w:r>
      <w:r w:rsidR="00947461">
        <w:rPr>
          <w:sz w:val="24"/>
          <w:szCs w:val="24"/>
        </w:rPr>
        <w:t xml:space="preserve"> </w:t>
      </w:r>
      <w:r>
        <w:rPr>
          <w:sz w:val="24"/>
          <w:szCs w:val="24"/>
        </w:rPr>
        <w:t>is stricken from the Complaint and dismissed without a hearing.</w:t>
      </w:r>
    </w:p>
    <w:p w14:paraId="03A6DCCF" w14:textId="77777777" w:rsidR="00947461" w:rsidRDefault="00947461" w:rsidP="00947461">
      <w:pPr>
        <w:pStyle w:val="ListParagraph"/>
        <w:spacing w:line="360" w:lineRule="auto"/>
        <w:ind w:left="1440"/>
        <w:rPr>
          <w:sz w:val="24"/>
          <w:szCs w:val="24"/>
        </w:rPr>
      </w:pPr>
    </w:p>
    <w:p w14:paraId="074F6B17" w14:textId="39B03A9A" w:rsidR="00947461" w:rsidRDefault="00947461" w:rsidP="00B526A5">
      <w:pPr>
        <w:pStyle w:val="ListParagraph"/>
        <w:numPr>
          <w:ilvl w:val="0"/>
          <w:numId w:val="1"/>
        </w:numPr>
        <w:spacing w:line="360" w:lineRule="auto"/>
        <w:ind w:left="0" w:firstLine="1440"/>
        <w:rPr>
          <w:sz w:val="24"/>
          <w:szCs w:val="24"/>
        </w:rPr>
      </w:pPr>
      <w:r>
        <w:rPr>
          <w:sz w:val="24"/>
          <w:szCs w:val="24"/>
        </w:rPr>
        <w:t>That the Complainant is to file an Amended Complaint within ten (10) days of the date of this order</w:t>
      </w:r>
      <w:r w:rsidR="00007382">
        <w:rPr>
          <w:sz w:val="24"/>
          <w:szCs w:val="24"/>
        </w:rPr>
        <w:t xml:space="preserve"> with the Secretary’s Bureau,</w:t>
      </w:r>
      <w:r>
        <w:rPr>
          <w:sz w:val="24"/>
          <w:szCs w:val="24"/>
        </w:rPr>
        <w:t xml:space="preserve"> which specifies the service issues and requested relief.  </w:t>
      </w:r>
    </w:p>
    <w:p w14:paraId="0DD05086" w14:textId="77777777" w:rsidR="00947461" w:rsidRPr="00947461" w:rsidRDefault="00947461" w:rsidP="00947461">
      <w:pPr>
        <w:pStyle w:val="ListParagraph"/>
        <w:rPr>
          <w:sz w:val="24"/>
          <w:szCs w:val="24"/>
        </w:rPr>
      </w:pPr>
    </w:p>
    <w:p w14:paraId="2BAF8102" w14:textId="0C4EEB98" w:rsidR="00B526A5" w:rsidRPr="0070077F" w:rsidRDefault="00947461" w:rsidP="00007382">
      <w:pPr>
        <w:pStyle w:val="ListParagraph"/>
        <w:numPr>
          <w:ilvl w:val="0"/>
          <w:numId w:val="1"/>
        </w:numPr>
        <w:spacing w:line="360" w:lineRule="auto"/>
        <w:ind w:left="0" w:firstLine="1440"/>
        <w:rPr>
          <w:sz w:val="24"/>
          <w:szCs w:val="24"/>
        </w:rPr>
      </w:pPr>
      <w:r>
        <w:rPr>
          <w:sz w:val="24"/>
          <w:szCs w:val="24"/>
        </w:rPr>
        <w:t xml:space="preserve">That the Respondent will have </w:t>
      </w:r>
      <w:r w:rsidR="00007382">
        <w:rPr>
          <w:sz w:val="24"/>
          <w:szCs w:val="24"/>
        </w:rPr>
        <w:t xml:space="preserve">twenty (20) days from the date of filing of the Amended Complaint to file an Amended Answer with the Secretary’s Bureau.  </w:t>
      </w:r>
    </w:p>
    <w:p w14:paraId="06F4F5A2" w14:textId="77777777" w:rsidR="00B526A5" w:rsidRDefault="00B526A5" w:rsidP="00B526A5">
      <w:pPr>
        <w:spacing w:line="360" w:lineRule="auto"/>
        <w:rPr>
          <w:sz w:val="24"/>
          <w:szCs w:val="24"/>
        </w:rPr>
      </w:pPr>
    </w:p>
    <w:p w14:paraId="7E7FFB66" w14:textId="7F45C031" w:rsidR="00B526A5" w:rsidRDefault="00B526A5" w:rsidP="00B526A5">
      <w:pPr>
        <w:widowControl w:val="0"/>
        <w:tabs>
          <w:tab w:val="left" w:pos="0"/>
        </w:tabs>
        <w:autoSpaceDE w:val="0"/>
        <w:autoSpaceDN w:val="0"/>
        <w:adjustRightInd w:val="0"/>
        <w:jc w:val="both"/>
        <w:rPr>
          <w:sz w:val="24"/>
          <w:szCs w:val="24"/>
          <w:u w:val="single"/>
        </w:rPr>
      </w:pPr>
      <w:bookmarkStart w:id="1" w:name="_Hlk10719696"/>
      <w:r>
        <w:rPr>
          <w:sz w:val="24"/>
          <w:szCs w:val="24"/>
        </w:rPr>
        <w:t xml:space="preserve">Date:  </w:t>
      </w:r>
      <w:r>
        <w:rPr>
          <w:sz w:val="24"/>
          <w:szCs w:val="24"/>
          <w:u w:val="single"/>
        </w:rPr>
        <w:t xml:space="preserve">April </w:t>
      </w:r>
      <w:r w:rsidR="006C6464">
        <w:rPr>
          <w:sz w:val="24"/>
          <w:szCs w:val="24"/>
          <w:u w:val="single"/>
        </w:rPr>
        <w:t>1</w:t>
      </w:r>
      <w:r w:rsidR="0070077F">
        <w:rPr>
          <w:sz w:val="24"/>
          <w:szCs w:val="24"/>
          <w:u w:val="single"/>
        </w:rPr>
        <w:t>5</w:t>
      </w:r>
      <w:r>
        <w:rPr>
          <w:sz w:val="24"/>
          <w:szCs w:val="24"/>
          <w:u w:val="single"/>
        </w:rPr>
        <w:t>, 2021</w:t>
      </w:r>
      <w:r>
        <w:rPr>
          <w:sz w:val="24"/>
          <w:szCs w:val="24"/>
          <w:u w:val="single"/>
        </w:rPr>
        <w:tab/>
      </w: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t>/s/</w:t>
      </w:r>
      <w:r>
        <w:rPr>
          <w:sz w:val="24"/>
          <w:szCs w:val="24"/>
          <w:u w:val="single"/>
        </w:rPr>
        <w:tab/>
      </w:r>
      <w:r>
        <w:rPr>
          <w:sz w:val="24"/>
          <w:szCs w:val="24"/>
          <w:u w:val="single"/>
        </w:rPr>
        <w:tab/>
      </w:r>
      <w:r>
        <w:rPr>
          <w:sz w:val="24"/>
          <w:szCs w:val="24"/>
          <w:u w:val="single"/>
        </w:rPr>
        <w:tab/>
      </w:r>
    </w:p>
    <w:p w14:paraId="0EDC7710" w14:textId="203285DA" w:rsidR="00B526A5" w:rsidRDefault="00B526A5" w:rsidP="00B526A5">
      <w:pPr>
        <w:widowControl w:val="0"/>
        <w:tabs>
          <w:tab w:val="left" w:pos="0"/>
        </w:tabs>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Marta Guhl</w:t>
      </w:r>
    </w:p>
    <w:p w14:paraId="3AD04FCB" w14:textId="4D45B1FF" w:rsidR="00B526A5" w:rsidRDefault="00B526A5" w:rsidP="00B526A5">
      <w:pPr>
        <w:widowControl w:val="0"/>
        <w:tabs>
          <w:tab w:val="left" w:pos="0"/>
        </w:tabs>
        <w:autoSpaceDE w:val="0"/>
        <w:autoSpaceDN w:val="0"/>
        <w:adjustRightInd w:val="0"/>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bookmarkEnd w:id="1"/>
    </w:p>
    <w:p w14:paraId="6491F450" w14:textId="77777777" w:rsidR="00B526A5" w:rsidRDefault="00B526A5" w:rsidP="00B526A5">
      <w:pPr>
        <w:rPr>
          <w:sz w:val="24"/>
          <w:szCs w:val="24"/>
        </w:rPr>
        <w:sectPr w:rsidR="00B526A5" w:rsidSect="00662535">
          <w:footerReference w:type="default" r:id="rId8"/>
          <w:endnotePr>
            <w:numFmt w:val="decimal"/>
          </w:endnotePr>
          <w:pgSz w:w="12240" w:h="15840"/>
          <w:pgMar w:top="1440" w:right="1440" w:bottom="1440" w:left="1440" w:header="720" w:footer="720" w:gutter="0"/>
          <w:cols w:space="720"/>
          <w:titlePg/>
          <w:docGrid w:linePitch="272"/>
        </w:sectPr>
      </w:pPr>
    </w:p>
    <w:p w14:paraId="00B4DE33" w14:textId="77777777" w:rsidR="007F7D16" w:rsidRPr="007F7D16" w:rsidRDefault="007F7D16" w:rsidP="007F7D16">
      <w:pPr>
        <w:spacing w:after="160" w:line="259" w:lineRule="auto"/>
        <w:rPr>
          <w:i/>
          <w:iCs/>
          <w:spacing w:val="-3"/>
          <w:sz w:val="24"/>
          <w:szCs w:val="24"/>
        </w:rPr>
      </w:pPr>
      <w:bookmarkStart w:id="2" w:name="_Hlk66779729"/>
      <w:r w:rsidRPr="007F7D16">
        <w:rPr>
          <w:rFonts w:eastAsia="Microsoft Sans Serif"/>
          <w:b/>
          <w:sz w:val="24"/>
          <w:szCs w:val="24"/>
          <w:u w:val="single"/>
        </w:rPr>
        <w:lastRenderedPageBreak/>
        <w:t>C-2021-3023999 - KEVIN C. SPEARING v. AQUA PENNSYLVANIA, INC.</w:t>
      </w:r>
      <w:r w:rsidRPr="007F7D16">
        <w:rPr>
          <w:rFonts w:eastAsia="Microsoft Sans Serif"/>
          <w:b/>
          <w:sz w:val="24"/>
          <w:szCs w:val="24"/>
          <w:u w:val="single"/>
        </w:rPr>
        <w:cr/>
      </w:r>
      <w:r w:rsidRPr="007F7D16">
        <w:rPr>
          <w:rFonts w:eastAsia="Microsoft Sans Serif"/>
          <w:b/>
          <w:sz w:val="24"/>
          <w:szCs w:val="24"/>
          <w:u w:val="single"/>
        </w:rPr>
        <w:cr/>
      </w:r>
      <w:r w:rsidRPr="007F7D16">
        <w:rPr>
          <w:rFonts w:eastAsia="Microsoft Sans Serif"/>
          <w:sz w:val="24"/>
          <w:szCs w:val="24"/>
        </w:rPr>
        <w:t>KEVIN C. SPEARING</w:t>
      </w:r>
      <w:r w:rsidRPr="007F7D16">
        <w:rPr>
          <w:rFonts w:eastAsia="Microsoft Sans Serif"/>
          <w:sz w:val="24"/>
          <w:szCs w:val="24"/>
        </w:rPr>
        <w:cr/>
        <w:t>2504 BROADWAY AVE</w:t>
      </w:r>
      <w:r w:rsidRPr="007F7D16">
        <w:rPr>
          <w:rFonts w:eastAsia="Microsoft Sans Serif"/>
          <w:sz w:val="24"/>
          <w:szCs w:val="24"/>
        </w:rPr>
        <w:cr/>
        <w:t>HATBORO PA  19040</w:t>
      </w:r>
      <w:r w:rsidRPr="007F7D16">
        <w:rPr>
          <w:rFonts w:eastAsia="Microsoft Sans Serif"/>
          <w:sz w:val="24"/>
          <w:szCs w:val="24"/>
        </w:rPr>
        <w:cr/>
      </w:r>
      <w:r w:rsidRPr="007F7D16">
        <w:rPr>
          <w:rFonts w:eastAsia="Microsoft Sans Serif"/>
          <w:b/>
          <w:bCs/>
          <w:sz w:val="24"/>
          <w:szCs w:val="24"/>
        </w:rPr>
        <w:t>267.934.6198</w:t>
      </w:r>
      <w:r w:rsidRPr="007F7D16">
        <w:rPr>
          <w:rFonts w:eastAsia="Microsoft Sans Serif"/>
          <w:sz w:val="24"/>
          <w:szCs w:val="24"/>
        </w:rPr>
        <w:cr/>
      </w:r>
      <w:hyperlink r:id="rId9" w:history="1">
        <w:r w:rsidRPr="007F7D16">
          <w:rPr>
            <w:rFonts w:eastAsia="Microsoft Sans Serif"/>
            <w:color w:val="0563C1" w:themeColor="hyperlink"/>
            <w:sz w:val="24"/>
            <w:szCs w:val="24"/>
            <w:u w:val="single"/>
          </w:rPr>
          <w:t>kevinumtwp@hotmail.com</w:t>
        </w:r>
      </w:hyperlink>
      <w:r w:rsidRPr="007F7D16">
        <w:rPr>
          <w:rFonts w:eastAsia="Microsoft Sans Serif"/>
          <w:sz w:val="24"/>
          <w:szCs w:val="24"/>
        </w:rPr>
        <w:br/>
      </w:r>
      <w:r w:rsidRPr="007F7D16">
        <w:rPr>
          <w:sz w:val="24"/>
          <w:szCs w:val="24"/>
        </w:rPr>
        <w:t>“</w:t>
      </w:r>
      <w:r w:rsidRPr="007F7D16">
        <w:rPr>
          <w:i/>
          <w:iCs/>
          <w:spacing w:val="-3"/>
          <w:sz w:val="24"/>
          <w:szCs w:val="24"/>
        </w:rPr>
        <w:t xml:space="preserve">Via e-mail only due to </w:t>
      </w:r>
      <w:r w:rsidRPr="007F7D16">
        <w:rPr>
          <w:i/>
          <w:iCs/>
          <w:spacing w:val="-3"/>
          <w:sz w:val="24"/>
          <w:szCs w:val="24"/>
        </w:rPr>
        <w:br/>
        <w:t>Emergency Order at M-2020-3019262”</w:t>
      </w:r>
    </w:p>
    <w:p w14:paraId="35BD0280" w14:textId="77777777" w:rsidR="007F7D16" w:rsidRPr="007F7D16" w:rsidRDefault="007F7D16" w:rsidP="007F7D16">
      <w:pPr>
        <w:spacing w:after="160" w:line="259" w:lineRule="auto"/>
        <w:rPr>
          <w:rFonts w:eastAsia="Microsoft Sans Serif"/>
          <w:sz w:val="24"/>
          <w:szCs w:val="24"/>
        </w:rPr>
      </w:pPr>
      <w:r w:rsidRPr="007F7D16">
        <w:rPr>
          <w:rFonts w:eastAsia="Microsoft Sans Serif"/>
          <w:sz w:val="24"/>
          <w:szCs w:val="24"/>
        </w:rPr>
        <w:cr/>
        <w:t>MARGARET MORRIS ESQUIRE</w:t>
      </w:r>
      <w:r w:rsidRPr="007F7D16">
        <w:rPr>
          <w:rFonts w:eastAsia="Microsoft Sans Serif"/>
          <w:sz w:val="24"/>
          <w:szCs w:val="24"/>
        </w:rPr>
        <w:cr/>
        <w:t>REGER RIZZO &amp; DARNALL</w:t>
      </w:r>
      <w:r w:rsidRPr="007F7D16">
        <w:rPr>
          <w:rFonts w:eastAsia="Microsoft Sans Serif"/>
          <w:sz w:val="24"/>
          <w:szCs w:val="24"/>
        </w:rPr>
        <w:cr/>
        <w:t>CIRA CENTRE 13TH FL</w:t>
      </w:r>
      <w:r w:rsidRPr="007F7D16">
        <w:rPr>
          <w:rFonts w:eastAsia="Microsoft Sans Serif"/>
          <w:sz w:val="24"/>
          <w:szCs w:val="24"/>
        </w:rPr>
        <w:cr/>
        <w:t>2929 ARCH STREET</w:t>
      </w:r>
      <w:r w:rsidRPr="007F7D16">
        <w:rPr>
          <w:rFonts w:eastAsia="Microsoft Sans Serif"/>
          <w:sz w:val="24"/>
          <w:szCs w:val="24"/>
        </w:rPr>
        <w:cr/>
        <w:t>PHILADELPHIA PA  19104</w:t>
      </w:r>
      <w:r w:rsidRPr="007F7D16">
        <w:rPr>
          <w:rFonts w:eastAsia="Microsoft Sans Serif"/>
          <w:sz w:val="24"/>
          <w:szCs w:val="24"/>
        </w:rPr>
        <w:cr/>
      </w:r>
      <w:r w:rsidRPr="007F7D16">
        <w:rPr>
          <w:rFonts w:eastAsia="Microsoft Sans Serif"/>
          <w:b/>
          <w:bCs/>
          <w:sz w:val="24"/>
          <w:szCs w:val="24"/>
        </w:rPr>
        <w:t>215.495.6524</w:t>
      </w:r>
      <w:r w:rsidRPr="007F7D16">
        <w:rPr>
          <w:rFonts w:eastAsia="Microsoft Sans Serif"/>
          <w:b/>
          <w:bCs/>
          <w:sz w:val="24"/>
          <w:szCs w:val="24"/>
        </w:rPr>
        <w:cr/>
      </w:r>
      <w:hyperlink r:id="rId10" w:history="1">
        <w:r w:rsidRPr="007F7D16">
          <w:rPr>
            <w:rFonts w:eastAsia="Microsoft Sans Serif"/>
            <w:color w:val="0563C1" w:themeColor="hyperlink"/>
            <w:sz w:val="24"/>
            <w:szCs w:val="24"/>
            <w:u w:val="single"/>
          </w:rPr>
          <w:t>mmorris@regerlaw.com</w:t>
        </w:r>
      </w:hyperlink>
      <w:r w:rsidRPr="007F7D16">
        <w:rPr>
          <w:rFonts w:eastAsia="Microsoft Sans Serif"/>
          <w:sz w:val="24"/>
          <w:szCs w:val="24"/>
        </w:rPr>
        <w:br/>
        <w:t>Accepts eService</w:t>
      </w:r>
      <w:r w:rsidRPr="007F7D16">
        <w:rPr>
          <w:rFonts w:eastAsia="Microsoft Sans Serif"/>
          <w:sz w:val="24"/>
          <w:szCs w:val="24"/>
        </w:rPr>
        <w:cr/>
      </w:r>
    </w:p>
    <w:bookmarkEnd w:id="2"/>
    <w:p w14:paraId="2F15B647" w14:textId="77777777" w:rsidR="007F7D16" w:rsidRPr="007F7D16" w:rsidRDefault="007F7D16" w:rsidP="007F7D16">
      <w:pPr>
        <w:spacing w:after="160" w:line="259" w:lineRule="auto"/>
        <w:rPr>
          <w:rFonts w:asciiTheme="minorHAnsi" w:eastAsiaTheme="minorEastAsia" w:hAnsiTheme="minorHAnsi" w:cstheme="minorBidi"/>
          <w:sz w:val="22"/>
          <w:szCs w:val="22"/>
        </w:rPr>
      </w:pPr>
    </w:p>
    <w:p w14:paraId="4E568B89" w14:textId="77777777" w:rsidR="00B526A5" w:rsidRDefault="00B526A5" w:rsidP="00B526A5"/>
    <w:p w14:paraId="2ED21D30" w14:textId="77777777" w:rsidR="008C50E1" w:rsidRDefault="008C50E1"/>
    <w:sectPr w:rsidR="008C50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C39E" w14:textId="77777777" w:rsidR="00966D53" w:rsidRDefault="00966D53" w:rsidP="00B526A5">
      <w:r>
        <w:separator/>
      </w:r>
    </w:p>
  </w:endnote>
  <w:endnote w:type="continuationSeparator" w:id="0">
    <w:p w14:paraId="310D53B4" w14:textId="77777777" w:rsidR="00966D53" w:rsidRDefault="00966D53" w:rsidP="00B5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3254261"/>
      <w:docPartObj>
        <w:docPartGallery w:val="Page Numbers (Bottom of Page)"/>
        <w:docPartUnique/>
      </w:docPartObj>
    </w:sdtPr>
    <w:sdtEndPr>
      <w:rPr>
        <w:noProof/>
      </w:rPr>
    </w:sdtEndPr>
    <w:sdtContent>
      <w:p w14:paraId="6E33AEF9" w14:textId="7099B535" w:rsidR="00662535" w:rsidRDefault="006625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F079CE" w14:textId="77777777" w:rsidR="00662535" w:rsidRDefault="00662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6A24F" w14:textId="77777777" w:rsidR="00966D53" w:rsidRDefault="00966D53" w:rsidP="00B526A5">
      <w:r>
        <w:separator/>
      </w:r>
    </w:p>
  </w:footnote>
  <w:footnote w:type="continuationSeparator" w:id="0">
    <w:p w14:paraId="5342F6DE" w14:textId="77777777" w:rsidR="00966D53" w:rsidRDefault="00966D53" w:rsidP="00B526A5">
      <w:r>
        <w:continuationSeparator/>
      </w:r>
    </w:p>
  </w:footnote>
  <w:footnote w:id="1">
    <w:p w14:paraId="6933E4E1" w14:textId="77777777" w:rsidR="00B526A5" w:rsidRDefault="00B526A5" w:rsidP="00B526A5">
      <w:pPr>
        <w:pStyle w:val="FootnoteText"/>
        <w:ind w:left="720"/>
      </w:pPr>
      <w:r>
        <w:rPr>
          <w:rStyle w:val="FootnoteReference"/>
          <w:vertAlign w:val="superscript"/>
        </w:rPr>
        <w:footnoteRef/>
      </w:r>
      <w:r>
        <w:t xml:space="preserve"> </w:t>
      </w:r>
      <w:r>
        <w:tab/>
      </w:r>
      <w:r>
        <w:rPr>
          <w:i/>
          <w:iCs/>
        </w:rPr>
        <w:t>Hughes v. PA State Police</w:t>
      </w:r>
      <w:r>
        <w:t xml:space="preserve">, 619 A.2d 390 (1992), </w:t>
      </w:r>
      <w:proofErr w:type="spellStart"/>
      <w:r>
        <w:rPr>
          <w:i/>
        </w:rPr>
        <w:t>alloc</w:t>
      </w:r>
      <w:proofErr w:type="spellEnd"/>
      <w:r>
        <w:rPr>
          <w:i/>
        </w:rPr>
        <w:t>. denied</w:t>
      </w:r>
      <w:r>
        <w:t xml:space="preserve">, 637 A.2d 293 (1993).    </w:t>
      </w:r>
    </w:p>
  </w:footnote>
  <w:footnote w:id="2">
    <w:p w14:paraId="06E06AFA" w14:textId="77777777" w:rsidR="00B526A5" w:rsidRDefault="00B526A5" w:rsidP="00B526A5">
      <w:pPr>
        <w:pStyle w:val="FootnoteText"/>
        <w:ind w:left="720"/>
      </w:pPr>
    </w:p>
    <w:p w14:paraId="6A74A720" w14:textId="77777777" w:rsidR="00B526A5" w:rsidRDefault="00B526A5" w:rsidP="00B526A5">
      <w:pPr>
        <w:pStyle w:val="FootnoteText"/>
        <w:ind w:left="720"/>
      </w:pPr>
      <w:r>
        <w:rPr>
          <w:rStyle w:val="FootnoteReference"/>
          <w:vertAlign w:val="superscript"/>
        </w:rPr>
        <w:footnoteRef/>
      </w:r>
      <w:r>
        <w:rPr>
          <w:vertAlign w:val="superscript"/>
        </w:rPr>
        <w:t xml:space="preserve"> </w:t>
      </w:r>
      <w:r>
        <w:tab/>
      </w:r>
      <w:r>
        <w:rPr>
          <w:i/>
          <w:iCs/>
        </w:rPr>
        <w:t>City of Pittsburgh v. Pa. Public Utility Commission</w:t>
      </w:r>
      <w:r>
        <w:t xml:space="preserve">, 43 A.2d 348 (Pa.Super. 1945).  </w:t>
      </w:r>
    </w:p>
  </w:footnote>
  <w:footnote w:id="3">
    <w:p w14:paraId="183C5A35" w14:textId="77777777" w:rsidR="00B526A5" w:rsidRDefault="00B526A5" w:rsidP="00B526A5">
      <w:pPr>
        <w:pStyle w:val="FootnoteText"/>
        <w:ind w:left="720"/>
      </w:pPr>
    </w:p>
    <w:p w14:paraId="5E5D6617" w14:textId="77777777" w:rsidR="00B526A5" w:rsidRDefault="00B526A5" w:rsidP="00B526A5">
      <w:pPr>
        <w:pStyle w:val="FootnoteText"/>
        <w:ind w:left="720"/>
      </w:pPr>
      <w:r>
        <w:rPr>
          <w:rStyle w:val="FootnoteReference"/>
          <w:vertAlign w:val="superscript"/>
        </w:rPr>
        <w:footnoteRef/>
      </w:r>
      <w:r>
        <w:rPr>
          <w:vertAlign w:val="superscript"/>
        </w:rPr>
        <w:t xml:space="preserve"> </w:t>
      </w:r>
      <w:r>
        <w:tab/>
      </w:r>
      <w:r>
        <w:rPr>
          <w:i/>
          <w:iCs/>
        </w:rPr>
        <w:t xml:space="preserve">Roberts v. </w:t>
      </w:r>
      <w:proofErr w:type="spellStart"/>
      <w:r>
        <w:rPr>
          <w:i/>
          <w:iCs/>
        </w:rPr>
        <w:t>Martorano</w:t>
      </w:r>
      <w:proofErr w:type="spellEnd"/>
      <w:r>
        <w:t xml:space="preserve">, 235 A.2d 602 (1967).  </w:t>
      </w:r>
    </w:p>
    <w:p w14:paraId="40225B18" w14:textId="77777777" w:rsidR="00B526A5" w:rsidRDefault="00B526A5" w:rsidP="00B526A5">
      <w:pPr>
        <w:pStyle w:val="FootnoteText"/>
        <w:ind w:left="720"/>
      </w:pPr>
    </w:p>
  </w:footnote>
  <w:footnote w:id="4">
    <w:p w14:paraId="010D804A" w14:textId="14B5E90B" w:rsidR="00B526A5" w:rsidRDefault="00B526A5" w:rsidP="00B8609A">
      <w:pPr>
        <w:pStyle w:val="FootnoteText"/>
        <w:ind w:firstLine="720"/>
      </w:pPr>
      <w:r>
        <w:rPr>
          <w:rStyle w:val="FootnoteReference"/>
          <w:vertAlign w:val="superscript"/>
        </w:rPr>
        <w:footnoteRef/>
      </w:r>
      <w:r>
        <w:rPr>
          <w:vertAlign w:val="superscript"/>
        </w:rPr>
        <w:t xml:space="preserve"> </w:t>
      </w:r>
      <w:r>
        <w:tab/>
      </w:r>
      <w:r>
        <w:rPr>
          <w:i/>
        </w:rPr>
        <w:t>See, Duquesne Light Company v. Monroeville Borough</w:t>
      </w:r>
      <w:r>
        <w:t xml:space="preserve">, 449 Pa. 573, 298 A.2d 252 (1972); </w:t>
      </w:r>
      <w:r>
        <w:rPr>
          <w:i/>
          <w:iCs/>
        </w:rPr>
        <w:t>Behrend v. Bell Telephone Company</w:t>
      </w:r>
      <w:r>
        <w:t xml:space="preserve">, 431 Pa. 63, 243 A.2d 346 (1968); </w:t>
      </w:r>
      <w:r>
        <w:rPr>
          <w:i/>
          <w:iCs/>
        </w:rPr>
        <w:t>Elkin v. Bell Telephone Company</w:t>
      </w:r>
      <w:r>
        <w:t xml:space="preserve">, </w:t>
      </w:r>
      <w:r>
        <w:rPr>
          <w:i/>
        </w:rPr>
        <w:t>supra</w:t>
      </w:r>
      <w:r>
        <w:t>.</w:t>
      </w:r>
    </w:p>
    <w:p w14:paraId="21BA1481" w14:textId="77777777" w:rsidR="005920C3" w:rsidRDefault="005920C3" w:rsidP="00B526A5">
      <w:pPr>
        <w:pStyle w:val="FootnoteText"/>
        <w:ind w:left="720"/>
      </w:pPr>
    </w:p>
  </w:footnote>
  <w:footnote w:id="5">
    <w:p w14:paraId="7F697C9C" w14:textId="0615C6AD" w:rsidR="0001112E" w:rsidRDefault="0001112E" w:rsidP="0001112E">
      <w:pPr>
        <w:pStyle w:val="FootnoteText"/>
        <w:ind w:firstLine="720"/>
      </w:pPr>
      <w:r w:rsidRPr="0001112E">
        <w:rPr>
          <w:rStyle w:val="FootnoteReference"/>
          <w:vertAlign w:val="superscript"/>
        </w:rPr>
        <w:footnoteRef/>
      </w:r>
      <w:r w:rsidRPr="0001112E">
        <w:rPr>
          <w:rStyle w:val="FootnoteReference"/>
          <w:vertAlign w:val="superscript"/>
        </w:rPr>
        <w:t xml:space="preserve"> </w:t>
      </w:r>
      <w:r w:rsidRPr="0001112E">
        <w:tab/>
        <w:t xml:space="preserve">35 </w:t>
      </w:r>
      <w:proofErr w:type="spellStart"/>
      <w:r w:rsidRPr="0001112E">
        <w:t>Pa.C.S</w:t>
      </w:r>
      <w:proofErr w:type="spellEnd"/>
      <w:r w:rsidRPr="0001112E">
        <w:t xml:space="preserve">. §§ 721.1 </w:t>
      </w:r>
      <w:r w:rsidRPr="00FB0DA6">
        <w:rPr>
          <w:i/>
          <w:iCs/>
        </w:rPr>
        <w:t>et seq.</w:t>
      </w:r>
      <w:r w:rsidRPr="0001112E">
        <w:rPr>
          <w:rStyle w:val="FootnoteReference"/>
        </w:rPr>
        <w:tab/>
      </w:r>
    </w:p>
    <w:p w14:paraId="0C738EA0" w14:textId="77777777" w:rsidR="00FC7EE8" w:rsidRPr="0001112E" w:rsidRDefault="00FC7EE8" w:rsidP="0001112E">
      <w:pPr>
        <w:pStyle w:val="FootnoteText"/>
        <w:ind w:firstLine="720"/>
        <w:rPr>
          <w:rStyle w:val="FootnoteReference"/>
        </w:rPr>
      </w:pPr>
    </w:p>
  </w:footnote>
  <w:footnote w:id="6">
    <w:p w14:paraId="7DFF3ED1" w14:textId="77777777" w:rsidR="00B526A5" w:rsidRDefault="00B526A5" w:rsidP="00FC7EE8">
      <w:pPr>
        <w:pStyle w:val="FootnoteText"/>
        <w:ind w:firstLine="720"/>
      </w:pPr>
      <w:r w:rsidRPr="00FC7EE8">
        <w:rPr>
          <w:rStyle w:val="FootnoteReference"/>
          <w:vertAlign w:val="superscript"/>
        </w:rPr>
        <w:footnoteRef/>
      </w:r>
      <w:r w:rsidRPr="00FC7EE8">
        <w:rPr>
          <w:vertAlign w:val="superscript"/>
        </w:rPr>
        <w:t xml:space="preserve"> </w:t>
      </w:r>
      <w:r>
        <w:tab/>
        <w:t xml:space="preserve">“Service.”  Used in its broadest and most inclusive sense, includes any and all acts done, rendered, or performed, and any and all things furnished or supplied, and any and all facilities used, furnished, or supplied by public utilities, or contract carriers by motor vehicle, in the performance of their duties under this part to their patrons, employees, other public utilities, and the public, as well as the interchange of facilities between two or more of them . . .  66 </w:t>
      </w:r>
      <w:proofErr w:type="spellStart"/>
      <w:r>
        <w:t>Pa.C.S</w:t>
      </w:r>
      <w:proofErr w:type="spellEnd"/>
      <w:r>
        <w:t xml:space="preserve">. § 102.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A92E82"/>
    <w:multiLevelType w:val="hybridMultilevel"/>
    <w:tmpl w:val="782CAC7E"/>
    <w:lvl w:ilvl="0" w:tplc="0E869160">
      <w:start w:val="1"/>
      <w:numFmt w:val="decimal"/>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6A5"/>
    <w:rsid w:val="00007382"/>
    <w:rsid w:val="0001112E"/>
    <w:rsid w:val="00017581"/>
    <w:rsid w:val="000600B8"/>
    <w:rsid w:val="000D1283"/>
    <w:rsid w:val="00206C23"/>
    <w:rsid w:val="00265DB5"/>
    <w:rsid w:val="00305AC1"/>
    <w:rsid w:val="00391492"/>
    <w:rsid w:val="00391F52"/>
    <w:rsid w:val="003E67F4"/>
    <w:rsid w:val="00483127"/>
    <w:rsid w:val="0052207E"/>
    <w:rsid w:val="00550F5C"/>
    <w:rsid w:val="005920C3"/>
    <w:rsid w:val="005A2783"/>
    <w:rsid w:val="00662535"/>
    <w:rsid w:val="006A0FE4"/>
    <w:rsid w:val="006C6464"/>
    <w:rsid w:val="0070077F"/>
    <w:rsid w:val="00741E2C"/>
    <w:rsid w:val="00795932"/>
    <w:rsid w:val="007F7D16"/>
    <w:rsid w:val="008C50E1"/>
    <w:rsid w:val="009326A6"/>
    <w:rsid w:val="00936B2E"/>
    <w:rsid w:val="00947461"/>
    <w:rsid w:val="00966D53"/>
    <w:rsid w:val="009A1F8B"/>
    <w:rsid w:val="009B2AB8"/>
    <w:rsid w:val="009E07BF"/>
    <w:rsid w:val="00A12086"/>
    <w:rsid w:val="00A66B59"/>
    <w:rsid w:val="00A75DB0"/>
    <w:rsid w:val="00A81444"/>
    <w:rsid w:val="00AE3682"/>
    <w:rsid w:val="00B526A5"/>
    <w:rsid w:val="00B8609A"/>
    <w:rsid w:val="00CF387A"/>
    <w:rsid w:val="00CF7A97"/>
    <w:rsid w:val="00D53630"/>
    <w:rsid w:val="00DA464A"/>
    <w:rsid w:val="00E74E52"/>
    <w:rsid w:val="00EB1E1A"/>
    <w:rsid w:val="00EC73AB"/>
    <w:rsid w:val="00EE2007"/>
    <w:rsid w:val="00FB0DA6"/>
    <w:rsid w:val="00FC7EE8"/>
    <w:rsid w:val="00FD20EF"/>
    <w:rsid w:val="00FE4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F2AEC"/>
  <w15:chartTrackingRefBased/>
  <w15:docId w15:val="{728CF1A1-E650-43A4-8912-CD8113FC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6A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B526A5"/>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6A5"/>
    <w:rPr>
      <w:rFonts w:ascii="Times New Roman" w:eastAsia="Times New Roman" w:hAnsi="Times New Roman" w:cs="Times New Roman"/>
      <w:sz w:val="24"/>
      <w:szCs w:val="20"/>
    </w:rPr>
  </w:style>
  <w:style w:type="paragraph" w:styleId="FootnoteText">
    <w:name w:val="footnote text"/>
    <w:basedOn w:val="Normal"/>
    <w:link w:val="FootnoteTextChar"/>
    <w:semiHidden/>
    <w:unhideWhenUsed/>
    <w:qFormat/>
    <w:rsid w:val="00B526A5"/>
  </w:style>
  <w:style w:type="character" w:customStyle="1" w:styleId="FootnoteTextChar">
    <w:name w:val="Footnote Text Char"/>
    <w:basedOn w:val="DefaultParagraphFont"/>
    <w:link w:val="FootnoteText"/>
    <w:semiHidden/>
    <w:rsid w:val="00B526A5"/>
    <w:rPr>
      <w:rFonts w:ascii="Times New Roman" w:eastAsia="Times New Roman" w:hAnsi="Times New Roman" w:cs="Times New Roman"/>
      <w:sz w:val="20"/>
      <w:szCs w:val="20"/>
    </w:rPr>
  </w:style>
  <w:style w:type="paragraph" w:styleId="ListParagraph">
    <w:name w:val="List Paragraph"/>
    <w:basedOn w:val="Normal"/>
    <w:uiPriority w:val="34"/>
    <w:qFormat/>
    <w:rsid w:val="00B526A5"/>
    <w:pPr>
      <w:ind w:left="720"/>
      <w:contextualSpacing/>
    </w:pPr>
  </w:style>
  <w:style w:type="character" w:styleId="FootnoteReference">
    <w:name w:val="footnote reference"/>
    <w:basedOn w:val="DefaultParagraphFont"/>
    <w:semiHidden/>
    <w:unhideWhenUsed/>
    <w:rsid w:val="00B526A5"/>
  </w:style>
  <w:style w:type="paragraph" w:styleId="Header">
    <w:name w:val="header"/>
    <w:basedOn w:val="Normal"/>
    <w:link w:val="HeaderChar"/>
    <w:uiPriority w:val="99"/>
    <w:unhideWhenUsed/>
    <w:rsid w:val="00662535"/>
    <w:pPr>
      <w:tabs>
        <w:tab w:val="center" w:pos="4680"/>
        <w:tab w:val="right" w:pos="9360"/>
      </w:tabs>
    </w:pPr>
  </w:style>
  <w:style w:type="character" w:customStyle="1" w:styleId="HeaderChar">
    <w:name w:val="Header Char"/>
    <w:basedOn w:val="DefaultParagraphFont"/>
    <w:link w:val="Header"/>
    <w:uiPriority w:val="99"/>
    <w:rsid w:val="0066253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62535"/>
    <w:pPr>
      <w:tabs>
        <w:tab w:val="center" w:pos="4680"/>
        <w:tab w:val="right" w:pos="9360"/>
      </w:tabs>
    </w:pPr>
  </w:style>
  <w:style w:type="character" w:customStyle="1" w:styleId="FooterChar">
    <w:name w:val="Footer Char"/>
    <w:basedOn w:val="DefaultParagraphFont"/>
    <w:link w:val="Footer"/>
    <w:uiPriority w:val="99"/>
    <w:rsid w:val="0066253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29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mmorris@regerlaw.com" TargetMode="External"/><Relationship Id="rId4" Type="http://schemas.openxmlformats.org/officeDocument/2006/relationships/settings" Target="settings.xml"/><Relationship Id="rId9" Type="http://schemas.openxmlformats.org/officeDocument/2006/relationships/hyperlink" Target="mailto:kevinumtwp@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3B6FD-ECCF-45DA-A085-7C15A9A7C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Guhl, Marta</dc:creator>
  <cp:keywords/>
  <dc:description/>
  <cp:lastModifiedBy>Delvillar, Shalea</cp:lastModifiedBy>
  <cp:revision>10</cp:revision>
  <dcterms:created xsi:type="dcterms:W3CDTF">2021-04-15T19:42:00Z</dcterms:created>
  <dcterms:modified xsi:type="dcterms:W3CDTF">2021-04-15T19:54:00Z</dcterms:modified>
</cp:coreProperties>
</file>