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C8BA" w14:textId="77777777" w:rsidR="00BB2A3A" w:rsidRPr="00C81100" w:rsidRDefault="00BB2A3A" w:rsidP="00BB2A3A">
      <w:pPr>
        <w:jc w:val="center"/>
        <w:rPr>
          <w:b/>
          <w:sz w:val="24"/>
          <w:szCs w:val="24"/>
        </w:rPr>
      </w:pPr>
      <w:r w:rsidRPr="00C81100">
        <w:rPr>
          <w:b/>
          <w:sz w:val="24"/>
          <w:szCs w:val="24"/>
        </w:rPr>
        <w:t>BEFORE THE</w:t>
      </w:r>
    </w:p>
    <w:p w14:paraId="18822804" w14:textId="77777777" w:rsidR="00BB2A3A" w:rsidRPr="00C81100" w:rsidRDefault="00BB2A3A" w:rsidP="00BB2A3A">
      <w:pPr>
        <w:jc w:val="center"/>
        <w:rPr>
          <w:b/>
          <w:sz w:val="24"/>
          <w:szCs w:val="24"/>
        </w:rPr>
      </w:pPr>
      <w:r w:rsidRPr="00C81100">
        <w:rPr>
          <w:b/>
          <w:sz w:val="24"/>
          <w:szCs w:val="24"/>
        </w:rPr>
        <w:t>PENNSYLVANIA PUBLIC UTILITY COMMISSION</w:t>
      </w:r>
    </w:p>
    <w:p w14:paraId="5445EDE1" w14:textId="77777777" w:rsidR="00BB2A3A" w:rsidRPr="00C81100" w:rsidRDefault="00BB2A3A" w:rsidP="00BB2A3A">
      <w:pPr>
        <w:jc w:val="center"/>
        <w:rPr>
          <w:sz w:val="24"/>
          <w:szCs w:val="24"/>
        </w:rPr>
      </w:pPr>
    </w:p>
    <w:p w14:paraId="19C3B512" w14:textId="77777777" w:rsidR="00BB2A3A" w:rsidRPr="00C81100" w:rsidRDefault="00BB2A3A" w:rsidP="00BB2A3A">
      <w:pPr>
        <w:jc w:val="center"/>
        <w:rPr>
          <w:sz w:val="24"/>
          <w:szCs w:val="24"/>
        </w:rPr>
      </w:pPr>
    </w:p>
    <w:p w14:paraId="04062F56" w14:textId="77777777" w:rsidR="00BB2A3A" w:rsidRPr="00DF21C7" w:rsidRDefault="00BB2A3A" w:rsidP="00BB2A3A">
      <w:pPr>
        <w:tabs>
          <w:tab w:val="left" w:pos="-720"/>
        </w:tabs>
        <w:suppressAutoHyphens/>
        <w:ind w:firstLine="1440"/>
        <w:rPr>
          <w:spacing w:val="-3"/>
          <w:sz w:val="24"/>
          <w:szCs w:val="24"/>
        </w:rPr>
      </w:pPr>
    </w:p>
    <w:p w14:paraId="7C52A7C4" w14:textId="77777777" w:rsidR="00BB2A3A" w:rsidRPr="001D7EAB" w:rsidRDefault="00BB2A3A" w:rsidP="00BB2A3A">
      <w:pPr>
        <w:tabs>
          <w:tab w:val="left" w:pos="-720"/>
        </w:tabs>
        <w:suppressAutoHyphens/>
        <w:autoSpaceDE/>
        <w:autoSpaceDN/>
        <w:jc w:val="both"/>
        <w:rPr>
          <w:rFonts w:eastAsia="Calibri"/>
          <w:spacing w:val="-3"/>
          <w:sz w:val="24"/>
          <w:szCs w:val="24"/>
        </w:rPr>
      </w:pPr>
      <w:r w:rsidRPr="001D7EAB">
        <w:rPr>
          <w:rFonts w:eastAsia="Calibri"/>
          <w:spacing w:val="-3"/>
          <w:sz w:val="24"/>
          <w:szCs w:val="24"/>
        </w:rPr>
        <w:t>Glen Riddle Station, L.P.</w:t>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fldChar w:fldCharType="begin"/>
      </w:r>
      <w:r w:rsidRPr="001D7EAB">
        <w:rPr>
          <w:rFonts w:eastAsia="Calibri"/>
          <w:spacing w:val="-3"/>
          <w:sz w:val="24"/>
          <w:szCs w:val="24"/>
        </w:rPr>
        <w:instrText>fillin "Complainant's name" \d ""</w:instrText>
      </w:r>
      <w:r w:rsidRPr="001D7EAB">
        <w:rPr>
          <w:rFonts w:eastAsia="Calibri"/>
          <w:spacing w:val="-3"/>
          <w:sz w:val="24"/>
          <w:szCs w:val="24"/>
        </w:rPr>
        <w:fldChar w:fldCharType="end"/>
      </w:r>
      <w:r w:rsidRPr="001D7EAB">
        <w:rPr>
          <w:rFonts w:eastAsia="Calibri"/>
          <w:spacing w:val="-3"/>
          <w:sz w:val="24"/>
          <w:szCs w:val="24"/>
        </w:rPr>
        <w:t>:</w:t>
      </w:r>
    </w:p>
    <w:p w14:paraId="09FB0CE2" w14:textId="77777777" w:rsidR="00BB2A3A" w:rsidRPr="001D7EAB" w:rsidRDefault="00BB2A3A" w:rsidP="00BB2A3A">
      <w:pPr>
        <w:tabs>
          <w:tab w:val="left" w:pos="-720"/>
        </w:tabs>
        <w:suppressAutoHyphens/>
        <w:autoSpaceDE/>
        <w:autoSpaceDN/>
        <w:jc w:val="both"/>
        <w:rPr>
          <w:rFonts w:eastAsia="Calibri"/>
          <w:spacing w:val="-3"/>
          <w:sz w:val="24"/>
          <w:szCs w:val="24"/>
        </w:rPr>
      </w:pP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t>:</w:t>
      </w:r>
    </w:p>
    <w:p w14:paraId="7F29E52F" w14:textId="77777777" w:rsidR="00BB2A3A" w:rsidRPr="001D7EAB" w:rsidRDefault="00BB2A3A" w:rsidP="00BB2A3A">
      <w:pPr>
        <w:tabs>
          <w:tab w:val="left" w:pos="-720"/>
        </w:tabs>
        <w:suppressAutoHyphens/>
        <w:autoSpaceDE/>
        <w:autoSpaceDN/>
        <w:jc w:val="both"/>
        <w:rPr>
          <w:rFonts w:eastAsia="Calibri"/>
          <w:spacing w:val="-3"/>
          <w:sz w:val="24"/>
          <w:szCs w:val="24"/>
        </w:rPr>
      </w:pPr>
      <w:r w:rsidRPr="001D7EAB">
        <w:rPr>
          <w:rFonts w:eastAsia="Calibri"/>
          <w:spacing w:val="-3"/>
          <w:sz w:val="24"/>
          <w:szCs w:val="24"/>
        </w:rPr>
        <w:tab/>
        <w:t>v.</w:t>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t>:</w:t>
      </w:r>
      <w:r w:rsidRPr="001D7EAB">
        <w:rPr>
          <w:rFonts w:eastAsia="Calibri"/>
          <w:spacing w:val="-3"/>
          <w:sz w:val="24"/>
          <w:szCs w:val="24"/>
        </w:rPr>
        <w:tab/>
      </w:r>
      <w:r w:rsidRPr="001D7EAB">
        <w:rPr>
          <w:rFonts w:eastAsia="Calibri"/>
          <w:spacing w:val="-3"/>
          <w:sz w:val="24"/>
          <w:szCs w:val="24"/>
        </w:rPr>
        <w:tab/>
        <w:t>C-2020-3023129</w:t>
      </w:r>
    </w:p>
    <w:p w14:paraId="054A26ED" w14:textId="77777777" w:rsidR="00BB2A3A" w:rsidRPr="001D7EAB" w:rsidRDefault="00BB2A3A" w:rsidP="00BB2A3A">
      <w:pPr>
        <w:tabs>
          <w:tab w:val="left" w:pos="-720"/>
        </w:tabs>
        <w:suppressAutoHyphens/>
        <w:autoSpaceDE/>
        <w:autoSpaceDN/>
        <w:jc w:val="both"/>
        <w:rPr>
          <w:rFonts w:eastAsia="Calibri"/>
          <w:spacing w:val="-3"/>
          <w:sz w:val="24"/>
          <w:szCs w:val="24"/>
        </w:rPr>
      </w:pP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t>:</w:t>
      </w:r>
    </w:p>
    <w:p w14:paraId="08C4067A" w14:textId="77777777" w:rsidR="00BB2A3A" w:rsidRPr="001D7EAB" w:rsidRDefault="00BB2A3A" w:rsidP="00BB2A3A">
      <w:pPr>
        <w:rPr>
          <w:sz w:val="24"/>
          <w:szCs w:val="24"/>
        </w:rPr>
      </w:pPr>
      <w:r w:rsidRPr="001D7EAB">
        <w:rPr>
          <w:rFonts w:eastAsia="Calibri"/>
          <w:spacing w:val="-3"/>
          <w:sz w:val="24"/>
          <w:szCs w:val="24"/>
        </w:rPr>
        <w:t>Sunoco Pipeline, L.P.</w:t>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r>
      <w:r w:rsidRPr="001D7EAB">
        <w:rPr>
          <w:rFonts w:eastAsia="Calibri"/>
          <w:spacing w:val="-3"/>
          <w:sz w:val="24"/>
          <w:szCs w:val="24"/>
        </w:rPr>
        <w:tab/>
        <w:t>:</w:t>
      </w:r>
    </w:p>
    <w:p w14:paraId="63392885" w14:textId="77777777" w:rsidR="00BB2A3A" w:rsidRPr="00C81100" w:rsidRDefault="00BB2A3A" w:rsidP="00BB2A3A">
      <w:pPr>
        <w:rPr>
          <w:sz w:val="24"/>
          <w:szCs w:val="24"/>
        </w:rPr>
      </w:pPr>
    </w:p>
    <w:p w14:paraId="5A541F42" w14:textId="68400310" w:rsidR="007354C1" w:rsidRDefault="007354C1" w:rsidP="00BB2A3A">
      <w:pPr>
        <w:jc w:val="center"/>
        <w:rPr>
          <w:sz w:val="24"/>
          <w:szCs w:val="24"/>
        </w:rPr>
      </w:pPr>
    </w:p>
    <w:p w14:paraId="7AC25FB7" w14:textId="77777777" w:rsidR="007354C1" w:rsidRDefault="007354C1" w:rsidP="00BB2A3A">
      <w:pPr>
        <w:jc w:val="center"/>
        <w:rPr>
          <w:sz w:val="24"/>
          <w:szCs w:val="24"/>
        </w:rPr>
      </w:pPr>
    </w:p>
    <w:p w14:paraId="60592B68" w14:textId="61F3A029" w:rsidR="00BB2A3A" w:rsidRDefault="00BB2A3A" w:rsidP="00BB2A3A">
      <w:pPr>
        <w:jc w:val="center"/>
      </w:pPr>
      <w:r>
        <w:rPr>
          <w:b/>
          <w:sz w:val="24"/>
          <w:szCs w:val="24"/>
          <w:u w:val="single"/>
        </w:rPr>
        <w:t>SECOND SCHEDULING</w:t>
      </w:r>
      <w:r w:rsidRPr="00C81100">
        <w:rPr>
          <w:b/>
          <w:sz w:val="24"/>
          <w:szCs w:val="24"/>
          <w:u w:val="single"/>
        </w:rPr>
        <w:t xml:space="preserve"> ORDER</w:t>
      </w:r>
    </w:p>
    <w:p w14:paraId="3A051923" w14:textId="77777777" w:rsidR="00BB2A3A" w:rsidRPr="004C3938" w:rsidRDefault="00BB2A3A" w:rsidP="00BB2A3A">
      <w:pPr>
        <w:jc w:val="center"/>
        <w:rPr>
          <w:sz w:val="24"/>
          <w:szCs w:val="24"/>
        </w:rPr>
      </w:pPr>
    </w:p>
    <w:p w14:paraId="70A234F8" w14:textId="77777777" w:rsidR="00BB2A3A" w:rsidRPr="00784063" w:rsidRDefault="00BB2A3A" w:rsidP="00BB2A3A">
      <w:pPr>
        <w:jc w:val="center"/>
        <w:rPr>
          <w:sz w:val="24"/>
          <w:szCs w:val="24"/>
        </w:rPr>
      </w:pPr>
    </w:p>
    <w:p w14:paraId="19D70575" w14:textId="77777777" w:rsidR="00BB2A3A" w:rsidRPr="00573050" w:rsidRDefault="00BB2A3A" w:rsidP="00BB2A3A">
      <w:pPr>
        <w:pStyle w:val="ParaTab1"/>
        <w:tabs>
          <w:tab w:val="left" w:pos="2070"/>
        </w:tabs>
        <w:spacing w:line="360" w:lineRule="auto"/>
        <w:rPr>
          <w:rFonts w:ascii="Times New Roman" w:eastAsia="Calibri" w:hAnsi="Times New Roman" w:cs="Times New Roman"/>
          <w:spacing w:val="-3"/>
        </w:rPr>
      </w:pPr>
      <w:r w:rsidRPr="002D6018">
        <w:rPr>
          <w:rFonts w:ascii="Times New Roman" w:hAnsi="Times New Roman" w:cs="Times New Roman"/>
        </w:rPr>
        <w:t>On 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68F91A9D" w14:textId="77777777" w:rsidR="00BB2A3A" w:rsidRPr="00573050" w:rsidRDefault="00BB2A3A" w:rsidP="00BB2A3A">
      <w:pPr>
        <w:pStyle w:val="ParaTab1"/>
        <w:tabs>
          <w:tab w:val="left" w:pos="2070"/>
        </w:tabs>
        <w:spacing w:line="360" w:lineRule="auto"/>
        <w:rPr>
          <w:rFonts w:ascii="Times New Roman" w:eastAsia="Calibri" w:hAnsi="Times New Roman" w:cs="Times New Roman"/>
          <w:spacing w:val="-3"/>
        </w:rPr>
      </w:pPr>
    </w:p>
    <w:p w14:paraId="377EF352" w14:textId="77777777" w:rsidR="00BB2A3A" w:rsidRPr="002D6018" w:rsidRDefault="00BB2A3A" w:rsidP="00BB2A3A">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t xml:space="preserve">On December 23, 2020, Sunoco filed an answer and new matter in response to the complaint.  In its answer, Sunoco admitted or denied the various averments Glen Riddle made in its </w:t>
      </w:r>
      <w:r w:rsidRPr="00573050">
        <w:rPr>
          <w:rFonts w:ascii="Times New Roman" w:eastAsia="Calibri" w:hAnsi="Times New Roman" w:cs="Times New Roman"/>
          <w:spacing w:val="-3"/>
        </w:rPr>
        <w:lastRenderedPageBreak/>
        <w:t xml:space="preserve">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1C49550D" w14:textId="77777777" w:rsidR="00BB2A3A" w:rsidRPr="002D6018" w:rsidRDefault="00BB2A3A" w:rsidP="00BB2A3A">
      <w:pPr>
        <w:pStyle w:val="ParaTab1"/>
        <w:tabs>
          <w:tab w:val="left" w:pos="2070"/>
        </w:tabs>
        <w:spacing w:line="360" w:lineRule="auto"/>
        <w:rPr>
          <w:rFonts w:ascii="Times New Roman" w:hAnsi="Times New Roman" w:cs="Times New Roman"/>
        </w:rPr>
      </w:pPr>
    </w:p>
    <w:p w14:paraId="44509968" w14:textId="77777777" w:rsidR="00BB2A3A" w:rsidRPr="002D6018" w:rsidRDefault="00BB2A3A" w:rsidP="00BB2A3A">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631A01C5" w14:textId="77777777" w:rsidR="00BB2A3A" w:rsidRPr="002D6018" w:rsidRDefault="00BB2A3A" w:rsidP="00BB2A3A">
      <w:pPr>
        <w:pStyle w:val="ParaTab1"/>
        <w:tabs>
          <w:tab w:val="left" w:pos="2070"/>
        </w:tabs>
        <w:spacing w:line="360" w:lineRule="auto"/>
        <w:rPr>
          <w:rFonts w:ascii="Times New Roman" w:hAnsi="Times New Roman" w:cs="Times New Roman"/>
        </w:rPr>
      </w:pPr>
    </w:p>
    <w:p w14:paraId="31A23F0A" w14:textId="215133EC" w:rsidR="003562D9" w:rsidRDefault="003562D9" w:rsidP="003562D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w:t>
      </w:r>
      <w:r w:rsidR="000D4A69">
        <w:rPr>
          <w:rFonts w:ascii="Times New Roman" w:hAnsi="Times New Roman" w:cs="Times New Roman"/>
        </w:rPr>
        <w:t xml:space="preserve"> issuance of a scheduling order, the circulation of pre-served written testimony,</w:t>
      </w:r>
      <w:r>
        <w:rPr>
          <w:rFonts w:ascii="Times New Roman" w:hAnsi="Times New Roman" w:cs="Times New Roman"/>
        </w:rPr>
        <w:t xml:space="preserve"> the filing of a motion to compel by each party, the filing of a motion for a protective order that was contested and a motion in </w:t>
      </w:r>
      <w:proofErr w:type="spellStart"/>
      <w:r>
        <w:rPr>
          <w:rFonts w:ascii="Times New Roman" w:hAnsi="Times New Roman" w:cs="Times New Roman"/>
        </w:rPr>
        <w:t>limine</w:t>
      </w:r>
      <w:proofErr w:type="spellEnd"/>
      <w:r>
        <w:rPr>
          <w:rFonts w:ascii="Times New Roman" w:hAnsi="Times New Roman" w:cs="Times New Roman"/>
        </w:rPr>
        <w:t>.  Each of these procedural matters was responded to with the necessary order or hearing notice as appropriate.</w:t>
      </w:r>
      <w:r w:rsidR="00AA752E">
        <w:rPr>
          <w:rFonts w:ascii="Times New Roman" w:hAnsi="Times New Roman" w:cs="Times New Roman"/>
        </w:rPr>
        <w:t xml:space="preserve">  In addition, other motions have been filed that remain outstanding.</w:t>
      </w:r>
    </w:p>
    <w:p w14:paraId="2C649294" w14:textId="29580A7D" w:rsidR="00AA752E" w:rsidRDefault="00AA752E" w:rsidP="003562D9">
      <w:pPr>
        <w:pStyle w:val="ParaTab1"/>
        <w:tabs>
          <w:tab w:val="left" w:pos="2070"/>
        </w:tabs>
        <w:spacing w:line="360" w:lineRule="auto"/>
        <w:rPr>
          <w:rFonts w:ascii="Times New Roman" w:hAnsi="Times New Roman" w:cs="Times New Roman"/>
        </w:rPr>
      </w:pPr>
    </w:p>
    <w:p w14:paraId="705E3B0B" w14:textId="77777777" w:rsidR="008172A9" w:rsidRDefault="00C258C3" w:rsidP="003562D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w:t>
      </w:r>
      <w:r w:rsidR="000D4452">
        <w:rPr>
          <w:rFonts w:ascii="Times New Roman" w:hAnsi="Times New Roman" w:cs="Times New Roman"/>
        </w:rPr>
        <w:t xml:space="preserve">9, 2021, however, counsel for Glen Riddle emailed the presiding officer to indicate that </w:t>
      </w:r>
      <w:r w:rsidR="00A41D07">
        <w:rPr>
          <w:rFonts w:ascii="Times New Roman" w:hAnsi="Times New Roman" w:cs="Times New Roman"/>
        </w:rPr>
        <w:t xml:space="preserve">the parties had agreed to a prompt mediation </w:t>
      </w:r>
      <w:proofErr w:type="gramStart"/>
      <w:r w:rsidR="00A41D07">
        <w:rPr>
          <w:rFonts w:ascii="Times New Roman" w:hAnsi="Times New Roman" w:cs="Times New Roman"/>
        </w:rPr>
        <w:t>in an effort to</w:t>
      </w:r>
      <w:proofErr w:type="gramEnd"/>
      <w:r w:rsidR="00A41D07">
        <w:rPr>
          <w:rFonts w:ascii="Times New Roman" w:hAnsi="Times New Roman" w:cs="Times New Roman"/>
        </w:rPr>
        <w:t xml:space="preserve"> resolve the issues in this matter without having to pursue the hearing.  </w:t>
      </w:r>
      <w:r w:rsidR="00AF645C">
        <w:rPr>
          <w:rFonts w:ascii="Times New Roman" w:hAnsi="Times New Roman" w:cs="Times New Roman"/>
        </w:rPr>
        <w:t>Although at the time the parties had not agreed on the specific details</w:t>
      </w:r>
      <w:r w:rsidR="0099536A">
        <w:rPr>
          <w:rFonts w:ascii="Times New Roman" w:hAnsi="Times New Roman" w:cs="Times New Roman"/>
        </w:rPr>
        <w:t xml:space="preserve"> of a stay</w:t>
      </w:r>
      <w:r w:rsidR="00AF645C">
        <w:rPr>
          <w:rFonts w:ascii="Times New Roman" w:hAnsi="Times New Roman" w:cs="Times New Roman"/>
        </w:rPr>
        <w:t xml:space="preserve">, </w:t>
      </w:r>
      <w:r w:rsidR="00AB381C">
        <w:rPr>
          <w:rFonts w:ascii="Times New Roman" w:hAnsi="Times New Roman" w:cs="Times New Roman"/>
        </w:rPr>
        <w:t xml:space="preserve">given the impending due date of additional pre-served written </w:t>
      </w:r>
      <w:r w:rsidR="00AB381C">
        <w:rPr>
          <w:rFonts w:ascii="Times New Roman" w:hAnsi="Times New Roman" w:cs="Times New Roman"/>
        </w:rPr>
        <w:lastRenderedPageBreak/>
        <w:t xml:space="preserve">testimony, the parties </w:t>
      </w:r>
      <w:r w:rsidR="00114FDC">
        <w:rPr>
          <w:rFonts w:ascii="Times New Roman" w:hAnsi="Times New Roman" w:cs="Times New Roman"/>
        </w:rPr>
        <w:t>re</w:t>
      </w:r>
      <w:r w:rsidR="00AB381C">
        <w:rPr>
          <w:rFonts w:ascii="Times New Roman" w:hAnsi="Times New Roman" w:cs="Times New Roman"/>
        </w:rPr>
        <w:t>quested that a limited stay of the proceeding would give the mediation the best chance of success</w:t>
      </w:r>
      <w:r w:rsidR="00904C57">
        <w:rPr>
          <w:rFonts w:ascii="Times New Roman" w:hAnsi="Times New Roman" w:cs="Times New Roman"/>
        </w:rPr>
        <w:t xml:space="preserve">.  The parties agreed to a short extension of the litigation schedule while additional details </w:t>
      </w:r>
      <w:r w:rsidR="009A5EE8">
        <w:rPr>
          <w:rFonts w:ascii="Times New Roman" w:hAnsi="Times New Roman" w:cs="Times New Roman"/>
        </w:rPr>
        <w:t xml:space="preserve">of a more comprehensive extension </w:t>
      </w:r>
      <w:r w:rsidR="00904C57">
        <w:rPr>
          <w:rFonts w:ascii="Times New Roman" w:hAnsi="Times New Roman" w:cs="Times New Roman"/>
        </w:rPr>
        <w:t xml:space="preserve">were determined. </w:t>
      </w:r>
      <w:r w:rsidR="00AF645C">
        <w:rPr>
          <w:rFonts w:ascii="Times New Roman" w:hAnsi="Times New Roman" w:cs="Times New Roman"/>
        </w:rPr>
        <w:t xml:space="preserve"> </w:t>
      </w:r>
      <w:r w:rsidR="009A5EE8">
        <w:rPr>
          <w:rFonts w:ascii="Times New Roman" w:hAnsi="Times New Roman" w:cs="Times New Roman"/>
        </w:rPr>
        <w:t xml:space="preserve">A brief conference call was held with the presiding officer and counsel for the parties wherein the interim extension of the litigation schedule was informally approved.  </w:t>
      </w:r>
    </w:p>
    <w:p w14:paraId="68436923" w14:textId="77777777" w:rsidR="008172A9" w:rsidRDefault="008172A9" w:rsidP="003562D9">
      <w:pPr>
        <w:pStyle w:val="ParaTab1"/>
        <w:tabs>
          <w:tab w:val="left" w:pos="2070"/>
        </w:tabs>
        <w:spacing w:line="360" w:lineRule="auto"/>
        <w:rPr>
          <w:rFonts w:ascii="Times New Roman" w:hAnsi="Times New Roman" w:cs="Times New Roman"/>
        </w:rPr>
      </w:pPr>
    </w:p>
    <w:p w14:paraId="3100D02F" w14:textId="651E89C4" w:rsidR="00843070" w:rsidRDefault="002D0219" w:rsidP="008172A9">
      <w:pPr>
        <w:pStyle w:val="ParaTab1"/>
        <w:tabs>
          <w:tab w:val="left" w:pos="2070"/>
        </w:tabs>
        <w:spacing w:line="360" w:lineRule="auto"/>
        <w:rPr>
          <w:rFonts w:ascii="Times New Roman" w:hAnsi="Times New Roman" w:cs="Times New Roman"/>
        </w:rPr>
      </w:pPr>
      <w:r>
        <w:rPr>
          <w:rFonts w:ascii="Times New Roman" w:hAnsi="Times New Roman" w:cs="Times New Roman"/>
        </w:rPr>
        <w:t>Subsequently, on April 1</w:t>
      </w:r>
      <w:r w:rsidR="00B61DBF">
        <w:rPr>
          <w:rFonts w:ascii="Times New Roman" w:hAnsi="Times New Roman" w:cs="Times New Roman"/>
        </w:rPr>
        <w:t>4</w:t>
      </w:r>
      <w:r>
        <w:rPr>
          <w:rFonts w:ascii="Times New Roman" w:hAnsi="Times New Roman" w:cs="Times New Roman"/>
        </w:rPr>
        <w:t xml:space="preserve">, 2021, the parties again emailed regarding </w:t>
      </w:r>
      <w:r w:rsidR="00B61DBF">
        <w:rPr>
          <w:rFonts w:ascii="Times New Roman" w:hAnsi="Times New Roman" w:cs="Times New Roman"/>
        </w:rPr>
        <w:t>a more definitive extension of the litigation schedule so that the parties can pursue mediation.</w:t>
      </w:r>
      <w:r w:rsidR="008172A9">
        <w:rPr>
          <w:rFonts w:ascii="Times New Roman" w:hAnsi="Times New Roman" w:cs="Times New Roman"/>
        </w:rPr>
        <w:t xml:space="preserve">  </w:t>
      </w:r>
      <w:r w:rsidR="00A01F4E">
        <w:rPr>
          <w:rFonts w:ascii="Times New Roman" w:hAnsi="Times New Roman" w:cs="Times New Roman"/>
        </w:rPr>
        <w:t xml:space="preserve">The parties requested that </w:t>
      </w:r>
      <w:r w:rsidR="00843070">
        <w:rPr>
          <w:rFonts w:ascii="Times New Roman" w:hAnsi="Times New Roman" w:cs="Times New Roman"/>
        </w:rPr>
        <w:t>the schedule in this case will be modified to the following:</w:t>
      </w:r>
    </w:p>
    <w:p w14:paraId="68208C7A" w14:textId="12DA7C01" w:rsidR="00843070" w:rsidRDefault="00843070" w:rsidP="00153B84">
      <w:pPr>
        <w:pStyle w:val="ParaTab1"/>
        <w:tabs>
          <w:tab w:val="left" w:pos="2070"/>
        </w:tabs>
        <w:spacing w:line="360" w:lineRule="auto"/>
        <w:ind w:firstLine="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4050"/>
        <w:gridCol w:w="3420"/>
      </w:tblGrid>
      <w:tr w:rsidR="001847FE" w14:paraId="0C32DA51" w14:textId="77777777" w:rsidTr="00774452">
        <w:tc>
          <w:tcPr>
            <w:tcW w:w="4050" w:type="dxa"/>
          </w:tcPr>
          <w:p w14:paraId="1862F737" w14:textId="6C46FCED" w:rsidR="001847FE" w:rsidRDefault="00942602"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Sunoco Rebuttal Testimony due</w:t>
            </w:r>
          </w:p>
        </w:tc>
        <w:tc>
          <w:tcPr>
            <w:tcW w:w="3420" w:type="dxa"/>
          </w:tcPr>
          <w:p w14:paraId="27B2AA0F" w14:textId="63538CB3" w:rsidR="001847FE" w:rsidRDefault="00942602"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12, 2021</w:t>
            </w:r>
          </w:p>
        </w:tc>
      </w:tr>
      <w:tr w:rsidR="001847FE" w14:paraId="599B4169" w14:textId="77777777" w:rsidTr="00774452">
        <w:tc>
          <w:tcPr>
            <w:tcW w:w="4050" w:type="dxa"/>
          </w:tcPr>
          <w:p w14:paraId="15EE193D" w14:textId="6E5AE2D2" w:rsidR="001847FE" w:rsidRDefault="00774452"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Glen Riddle Surrebuttal Testimony due</w:t>
            </w:r>
          </w:p>
        </w:tc>
        <w:tc>
          <w:tcPr>
            <w:tcW w:w="3420" w:type="dxa"/>
          </w:tcPr>
          <w:p w14:paraId="6A4AFB65" w14:textId="5C75BEF8" w:rsidR="001847FE" w:rsidRDefault="00774452"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19, 2021</w:t>
            </w:r>
          </w:p>
        </w:tc>
      </w:tr>
      <w:tr w:rsidR="001847FE" w14:paraId="545AD077" w14:textId="77777777" w:rsidTr="00774452">
        <w:tc>
          <w:tcPr>
            <w:tcW w:w="4050" w:type="dxa"/>
          </w:tcPr>
          <w:p w14:paraId="34292C51" w14:textId="37F643A8" w:rsidR="001847FE" w:rsidRDefault="00774452"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parties’ exhibits due</w:t>
            </w:r>
          </w:p>
        </w:tc>
        <w:tc>
          <w:tcPr>
            <w:tcW w:w="3420" w:type="dxa"/>
          </w:tcPr>
          <w:p w14:paraId="2A95EABB" w14:textId="783CF4F3" w:rsidR="001847FE" w:rsidRDefault="00774452"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21, 2021</w:t>
            </w:r>
          </w:p>
        </w:tc>
      </w:tr>
      <w:tr w:rsidR="001847FE" w14:paraId="60ABF5A0" w14:textId="77777777" w:rsidTr="00774452">
        <w:tc>
          <w:tcPr>
            <w:tcW w:w="4050" w:type="dxa"/>
          </w:tcPr>
          <w:p w14:paraId="3AFC387A" w14:textId="7D19CEB1" w:rsidR="001847FE" w:rsidRDefault="00774452"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Hearings</w:t>
            </w:r>
          </w:p>
        </w:tc>
        <w:tc>
          <w:tcPr>
            <w:tcW w:w="3420" w:type="dxa"/>
          </w:tcPr>
          <w:p w14:paraId="790F7297" w14:textId="79CCAC14" w:rsidR="001847FE" w:rsidRDefault="00774452"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24, 2021 and May 27, 2021</w:t>
            </w:r>
          </w:p>
        </w:tc>
      </w:tr>
    </w:tbl>
    <w:p w14:paraId="62D3FDD0" w14:textId="2460A7C9" w:rsidR="00153B84" w:rsidRDefault="00153B84" w:rsidP="00153B84">
      <w:pPr>
        <w:pStyle w:val="ParaTab1"/>
        <w:tabs>
          <w:tab w:val="left" w:pos="2070"/>
        </w:tabs>
        <w:spacing w:line="360" w:lineRule="auto"/>
        <w:ind w:firstLine="0"/>
        <w:rPr>
          <w:rFonts w:ascii="Times New Roman" w:hAnsi="Times New Roman" w:cs="Times New Roman"/>
        </w:rPr>
      </w:pPr>
    </w:p>
    <w:p w14:paraId="2B1193FA" w14:textId="349E0EC8" w:rsidR="008617CF" w:rsidRDefault="008617CF" w:rsidP="00153B8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The parties also requested that the hearings commence at 9:00</w:t>
      </w:r>
      <w:r w:rsidR="009D2338">
        <w:rPr>
          <w:rFonts w:ascii="Times New Roman" w:hAnsi="Times New Roman" w:cs="Times New Roman"/>
        </w:rPr>
        <w:t xml:space="preserve"> a.m. and noted the possibility that May 26, 2021 may be used a day for hearings, instead of May 27, 2021, if an existing schedule conflict is resolved.</w:t>
      </w:r>
    </w:p>
    <w:p w14:paraId="2EA9DFCE" w14:textId="45FBB0CF" w:rsidR="00BA0757" w:rsidRDefault="00BA0757" w:rsidP="00153B84">
      <w:pPr>
        <w:pStyle w:val="ParaTab1"/>
        <w:tabs>
          <w:tab w:val="left" w:pos="2070"/>
        </w:tabs>
        <w:spacing w:line="360" w:lineRule="auto"/>
        <w:ind w:firstLine="0"/>
        <w:rPr>
          <w:rFonts w:ascii="Times New Roman" w:hAnsi="Times New Roman" w:cs="Times New Roman"/>
        </w:rPr>
      </w:pPr>
    </w:p>
    <w:p w14:paraId="63BAE045" w14:textId="11B68DA0" w:rsidR="00BA0757" w:rsidRDefault="00FA237D" w:rsidP="00FA237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A0757">
        <w:rPr>
          <w:rFonts w:ascii="Times New Roman" w:hAnsi="Times New Roman" w:cs="Times New Roman"/>
        </w:rPr>
        <w:t>The parties were informed informally that the proposed revisions to the litigation schedule were approved.  The purpose of this order is to formally memorialize the revised procedural schedule.</w:t>
      </w:r>
    </w:p>
    <w:p w14:paraId="2363F30A" w14:textId="4C6F9E26" w:rsidR="001E6F26" w:rsidRDefault="001E6F26" w:rsidP="00FA237D">
      <w:pPr>
        <w:pStyle w:val="ParaTab1"/>
        <w:spacing w:line="360" w:lineRule="auto"/>
        <w:ind w:firstLine="0"/>
        <w:rPr>
          <w:rFonts w:ascii="Times New Roman" w:hAnsi="Times New Roman" w:cs="Times New Roman"/>
        </w:rPr>
      </w:pPr>
    </w:p>
    <w:p w14:paraId="6BF9CF48" w14:textId="043395C2" w:rsidR="00BB2A3A" w:rsidRDefault="001E6F26" w:rsidP="00B1244F">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r w:rsidRPr="00AC53AF">
        <w:t>Pa.Code</w:t>
      </w:r>
      <w:proofErr w:type="spellEnd"/>
      <w:r w:rsidRPr="00AC53AF">
        <w:t xml:space="preserve"> § 5.483(a).  Presiding officers are required to conduct fair and impartial hearings and maintain order.  52 </w:t>
      </w:r>
      <w:proofErr w:type="spellStart"/>
      <w:r w:rsidRPr="00AC53AF">
        <w:t>Pa.Code</w:t>
      </w:r>
      <w:proofErr w:type="spell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52 </w:t>
      </w:r>
      <w:proofErr w:type="spellStart"/>
      <w:r w:rsidRPr="00AC53AF">
        <w:t>Pa.Code</w:t>
      </w:r>
      <w:proofErr w:type="spellEnd"/>
      <w:r w:rsidRPr="00AC53AF">
        <w:t xml:space="preserve"> § 1.2(a).  </w:t>
      </w:r>
    </w:p>
    <w:p w14:paraId="4A04D3B2" w14:textId="363A318D" w:rsidR="00B1244F" w:rsidRDefault="00B1244F" w:rsidP="00B1244F">
      <w:pPr>
        <w:pStyle w:val="Style"/>
        <w:spacing w:line="360" w:lineRule="auto"/>
        <w:ind w:firstLine="1440"/>
      </w:pPr>
    </w:p>
    <w:p w14:paraId="718BB88C" w14:textId="17D4C5CE" w:rsidR="00B1244F" w:rsidRDefault="00B1244F" w:rsidP="00B1244F">
      <w:pPr>
        <w:pStyle w:val="Style"/>
        <w:spacing w:line="360" w:lineRule="auto"/>
        <w:ind w:firstLine="1440"/>
      </w:pPr>
      <w:r>
        <w:t xml:space="preserve">In this case, good cause exists to approve the </w:t>
      </w:r>
      <w:r w:rsidR="00C46373">
        <w:t>revisions to the</w:t>
      </w:r>
      <w:r>
        <w:t xml:space="preserve"> procedural schedule.  The parties have indicated that they are working toward a settlement through a private mediator.  </w:t>
      </w:r>
      <w:r>
        <w:lastRenderedPageBreak/>
        <w:t xml:space="preserve">The parties should be given an opportunity to pursue such opportunity to resolve the matters complained of.  </w:t>
      </w:r>
      <w:r w:rsidR="004C6006">
        <w:t xml:space="preserve">Trying to litigate the complaint while also trying to mediate the complaint may inhibit the ability to </w:t>
      </w:r>
      <w:r w:rsidR="00E25E8C">
        <w:t>resolve this case.  Such a barrier is unnecessary where, although there are averments of safety raised in the complaint, the parties have agreed to pause litigation and focus on mediation.</w:t>
      </w:r>
      <w:r w:rsidR="00D56660">
        <w:t xml:space="preserve">  Extending the litigation schedule so that the parties can focus on mediation is reasonable.</w:t>
      </w:r>
    </w:p>
    <w:p w14:paraId="156D954A" w14:textId="77777777" w:rsidR="004C6006" w:rsidRPr="00B51CA4" w:rsidRDefault="004C6006" w:rsidP="00B1244F">
      <w:pPr>
        <w:pStyle w:val="Style"/>
        <w:spacing w:line="360" w:lineRule="auto"/>
        <w:ind w:firstLine="1440"/>
      </w:pPr>
    </w:p>
    <w:p w14:paraId="6991E9E0" w14:textId="20F17AC7" w:rsidR="00BB2A3A" w:rsidRPr="00B66E3F" w:rsidRDefault="00100EB3" w:rsidP="00153B84">
      <w:pPr>
        <w:spacing w:line="360" w:lineRule="auto"/>
        <w:ind w:firstLine="1440"/>
        <w:rPr>
          <w:sz w:val="24"/>
          <w:szCs w:val="24"/>
        </w:rPr>
      </w:pPr>
      <w:r>
        <w:rPr>
          <w:sz w:val="24"/>
          <w:szCs w:val="24"/>
        </w:rPr>
        <w:t>T</w:t>
      </w:r>
      <w:r w:rsidR="00BB2A3A" w:rsidRPr="00B66E3F">
        <w:rPr>
          <w:sz w:val="24"/>
          <w:szCs w:val="24"/>
        </w:rPr>
        <w:t>he parties are</w:t>
      </w:r>
      <w:r w:rsidR="00426597">
        <w:rPr>
          <w:sz w:val="24"/>
          <w:szCs w:val="24"/>
        </w:rPr>
        <w:t xml:space="preserve"> commended for their efforts to resolve this </w:t>
      </w:r>
      <w:r w:rsidR="00442C8E">
        <w:rPr>
          <w:sz w:val="24"/>
          <w:szCs w:val="24"/>
        </w:rPr>
        <w:t xml:space="preserve">complaint via a settlement.  </w:t>
      </w:r>
      <w:r w:rsidR="00BB2A3A" w:rsidRPr="00B66E3F">
        <w:rPr>
          <w:sz w:val="24"/>
          <w:szCs w:val="24"/>
        </w:rPr>
        <w:t xml:space="preserve">Commission policy promotes settlements.  52 Pa. Code §5.231(a).  The parties are encouraged to </w:t>
      </w:r>
      <w:r w:rsidR="00442C8E">
        <w:rPr>
          <w:sz w:val="24"/>
          <w:szCs w:val="24"/>
        </w:rPr>
        <w:t>continue</w:t>
      </w:r>
      <w:r w:rsidR="00BB2A3A" w:rsidRPr="00B66E3F">
        <w:rPr>
          <w:sz w:val="24"/>
          <w:szCs w:val="24"/>
        </w:rPr>
        <w:t xml:space="preserve"> settlement discussions amongst themselves </w:t>
      </w:r>
      <w:r w:rsidR="00442C8E">
        <w:rPr>
          <w:sz w:val="24"/>
          <w:szCs w:val="24"/>
        </w:rPr>
        <w:t xml:space="preserve">and </w:t>
      </w:r>
      <w:r w:rsidR="00537904">
        <w:rPr>
          <w:sz w:val="24"/>
          <w:szCs w:val="24"/>
        </w:rPr>
        <w:t xml:space="preserve">are </w:t>
      </w:r>
      <w:r w:rsidR="00442C8E">
        <w:rPr>
          <w:sz w:val="24"/>
          <w:szCs w:val="24"/>
        </w:rPr>
        <w:t>reminded, that e</w:t>
      </w:r>
      <w:r w:rsidR="00BB2A3A" w:rsidRPr="00B66E3F">
        <w:rPr>
          <w:sz w:val="24"/>
          <w:szCs w:val="24"/>
        </w:rPr>
        <w:t xml:space="preserve">ven if the parties are unable to settle this case, they may still resolve some of the questions or issues during their discussions.  If the parties reach an agreement on all issues, </w:t>
      </w:r>
      <w:r w:rsidR="008E547B">
        <w:rPr>
          <w:sz w:val="24"/>
          <w:szCs w:val="24"/>
        </w:rPr>
        <w:t>the</w:t>
      </w:r>
      <w:r w:rsidR="00BB2A3A" w:rsidRPr="00B66E3F">
        <w:rPr>
          <w:sz w:val="24"/>
          <w:szCs w:val="24"/>
        </w:rPr>
        <w:t xml:space="preserve"> formal hearing </w:t>
      </w:r>
      <w:r w:rsidR="008E547B">
        <w:rPr>
          <w:sz w:val="24"/>
          <w:szCs w:val="24"/>
        </w:rPr>
        <w:t xml:space="preserve">now scheduled for May 24, 2021 and May 27, 2021 </w:t>
      </w:r>
      <w:r w:rsidR="00BB2A3A" w:rsidRPr="00B66E3F">
        <w:rPr>
          <w:sz w:val="24"/>
          <w:szCs w:val="24"/>
        </w:rPr>
        <w:t>will not be necessary and will be cancelled.  The parties are encouraged to avail themselves of the Commission’s mediation unit or the settlement judge process pursuant to the Commission’s regulations</w:t>
      </w:r>
      <w:r w:rsidR="00A52F75">
        <w:rPr>
          <w:sz w:val="24"/>
          <w:szCs w:val="24"/>
        </w:rPr>
        <w:t xml:space="preserve"> if necessary</w:t>
      </w:r>
      <w:r w:rsidR="00BB2A3A" w:rsidRPr="00B66E3F">
        <w:rPr>
          <w:sz w:val="24"/>
          <w:szCs w:val="24"/>
        </w:rPr>
        <w:t xml:space="preserve">.  52 </w:t>
      </w:r>
      <w:proofErr w:type="spellStart"/>
      <w:r w:rsidR="00BB2A3A" w:rsidRPr="00B66E3F">
        <w:rPr>
          <w:sz w:val="24"/>
          <w:szCs w:val="24"/>
        </w:rPr>
        <w:t>Pa.Code</w:t>
      </w:r>
      <w:proofErr w:type="spellEnd"/>
      <w:r w:rsidR="00BB2A3A" w:rsidRPr="00B66E3F">
        <w:rPr>
          <w:sz w:val="24"/>
          <w:szCs w:val="24"/>
        </w:rPr>
        <w:t xml:space="preserve"> § 5.223(c); </w:t>
      </w:r>
      <w:r w:rsidR="00BB2A3A" w:rsidRPr="00B66E3F">
        <w:rPr>
          <w:i/>
          <w:sz w:val="24"/>
          <w:szCs w:val="24"/>
        </w:rPr>
        <w:t>see also</w:t>
      </w:r>
      <w:r w:rsidR="00BB2A3A" w:rsidRPr="00B66E3F">
        <w:rPr>
          <w:sz w:val="24"/>
          <w:szCs w:val="24"/>
        </w:rPr>
        <w:t xml:space="preserve">, 52 </w:t>
      </w:r>
      <w:proofErr w:type="spellStart"/>
      <w:r w:rsidR="00BB2A3A" w:rsidRPr="00B66E3F">
        <w:rPr>
          <w:sz w:val="24"/>
          <w:szCs w:val="24"/>
        </w:rPr>
        <w:t>Pa.Code</w:t>
      </w:r>
      <w:proofErr w:type="spellEnd"/>
      <w:r w:rsidR="00BB2A3A" w:rsidRPr="00B66E3F">
        <w:rPr>
          <w:sz w:val="24"/>
          <w:szCs w:val="24"/>
        </w:rPr>
        <w:t xml:space="preserve"> § 5.231(c).  </w:t>
      </w:r>
    </w:p>
    <w:p w14:paraId="1DC625CC" w14:textId="77777777" w:rsidR="00BB2A3A" w:rsidRPr="00B51CA4" w:rsidRDefault="00BB2A3A" w:rsidP="00BB2A3A">
      <w:pPr>
        <w:pStyle w:val="BodyTextIndent"/>
        <w:widowControl/>
        <w:ind w:firstLine="0"/>
        <w:rPr>
          <w:sz w:val="24"/>
          <w:szCs w:val="24"/>
        </w:rPr>
      </w:pPr>
    </w:p>
    <w:p w14:paraId="55A4BA68" w14:textId="77777777" w:rsidR="00BB2A3A" w:rsidRPr="00B51CA4" w:rsidRDefault="00BB2A3A" w:rsidP="00BB2A3A">
      <w:pPr>
        <w:pStyle w:val="BodyTextIndent"/>
        <w:ind w:firstLine="0"/>
        <w:jc w:val="center"/>
        <w:rPr>
          <w:sz w:val="24"/>
          <w:szCs w:val="24"/>
          <w:u w:val="single"/>
        </w:rPr>
      </w:pPr>
      <w:r w:rsidRPr="00B51CA4">
        <w:rPr>
          <w:sz w:val="24"/>
          <w:szCs w:val="24"/>
          <w:u w:val="single"/>
        </w:rPr>
        <w:t>ORDER</w:t>
      </w:r>
    </w:p>
    <w:p w14:paraId="2B900392" w14:textId="58CD6549" w:rsidR="00BB2A3A" w:rsidRDefault="00BB2A3A" w:rsidP="00BB2A3A">
      <w:pPr>
        <w:pStyle w:val="BodyTextIndent"/>
        <w:rPr>
          <w:sz w:val="24"/>
          <w:szCs w:val="24"/>
        </w:rPr>
      </w:pPr>
    </w:p>
    <w:p w14:paraId="5AB37729" w14:textId="77777777" w:rsidR="007354C1" w:rsidRPr="00B51CA4" w:rsidRDefault="007354C1" w:rsidP="00BB2A3A">
      <w:pPr>
        <w:pStyle w:val="BodyTextIndent"/>
        <w:rPr>
          <w:sz w:val="24"/>
          <w:szCs w:val="24"/>
        </w:rPr>
      </w:pPr>
    </w:p>
    <w:p w14:paraId="4EE5BF12" w14:textId="77777777" w:rsidR="00BB2A3A" w:rsidRPr="00B51CA4" w:rsidRDefault="00BB2A3A" w:rsidP="00BB2A3A">
      <w:pPr>
        <w:pStyle w:val="BodyTextIndent"/>
        <w:rPr>
          <w:sz w:val="24"/>
          <w:szCs w:val="24"/>
        </w:rPr>
      </w:pPr>
      <w:r w:rsidRPr="00B51CA4">
        <w:rPr>
          <w:sz w:val="24"/>
          <w:szCs w:val="24"/>
        </w:rPr>
        <w:t>THEREFORE,</w:t>
      </w:r>
    </w:p>
    <w:p w14:paraId="5EDFF6DF" w14:textId="77777777" w:rsidR="00BB2A3A" w:rsidRPr="00B51CA4" w:rsidRDefault="00BB2A3A" w:rsidP="00BB2A3A">
      <w:pPr>
        <w:widowControl w:val="0"/>
        <w:spacing w:line="360" w:lineRule="auto"/>
        <w:ind w:firstLine="1440"/>
        <w:rPr>
          <w:sz w:val="24"/>
          <w:szCs w:val="24"/>
        </w:rPr>
      </w:pPr>
    </w:p>
    <w:p w14:paraId="510EA0FA" w14:textId="77777777" w:rsidR="00BB2A3A" w:rsidRPr="00B51CA4" w:rsidRDefault="00BB2A3A" w:rsidP="00BB2A3A">
      <w:pPr>
        <w:widowControl w:val="0"/>
        <w:spacing w:line="360" w:lineRule="auto"/>
        <w:ind w:firstLine="1440"/>
        <w:rPr>
          <w:sz w:val="24"/>
          <w:szCs w:val="24"/>
        </w:rPr>
      </w:pPr>
      <w:r w:rsidRPr="00B51CA4">
        <w:rPr>
          <w:sz w:val="24"/>
          <w:szCs w:val="24"/>
        </w:rPr>
        <w:t>IT IS ORDERED:</w:t>
      </w:r>
    </w:p>
    <w:p w14:paraId="39427A1A" w14:textId="77777777" w:rsidR="00BB2A3A" w:rsidRPr="00A70AA3" w:rsidRDefault="00BB2A3A" w:rsidP="00BB2A3A">
      <w:pPr>
        <w:widowControl w:val="0"/>
        <w:spacing w:line="360" w:lineRule="auto"/>
        <w:ind w:firstLine="1440"/>
        <w:rPr>
          <w:sz w:val="24"/>
          <w:szCs w:val="24"/>
        </w:rPr>
      </w:pPr>
    </w:p>
    <w:p w14:paraId="465304C5" w14:textId="6569145C" w:rsidR="00BB2A3A" w:rsidRPr="00A70AA3" w:rsidRDefault="00BB2A3A" w:rsidP="00BB2A3A">
      <w:pPr>
        <w:pStyle w:val="BodyTextIndent"/>
        <w:widowControl/>
        <w:numPr>
          <w:ilvl w:val="0"/>
          <w:numId w:val="1"/>
        </w:numPr>
        <w:ind w:left="0" w:firstLine="1440"/>
        <w:rPr>
          <w:sz w:val="24"/>
          <w:szCs w:val="24"/>
        </w:rPr>
      </w:pPr>
      <w:r w:rsidRPr="00A70AA3">
        <w:rPr>
          <w:sz w:val="24"/>
          <w:szCs w:val="24"/>
        </w:rPr>
        <w:t xml:space="preserve">That the </w:t>
      </w:r>
      <w:r w:rsidR="00CA6855">
        <w:rPr>
          <w:sz w:val="24"/>
          <w:szCs w:val="24"/>
        </w:rPr>
        <w:t xml:space="preserve">schedule for litigating </w:t>
      </w:r>
      <w:r w:rsidRPr="00A70AA3">
        <w:rPr>
          <w:sz w:val="24"/>
          <w:szCs w:val="24"/>
        </w:rPr>
        <w:t>this proceeding</w:t>
      </w:r>
      <w:r w:rsidR="00CA6855">
        <w:rPr>
          <w:sz w:val="24"/>
          <w:szCs w:val="24"/>
        </w:rPr>
        <w:t xml:space="preserve"> will be revised as follows:</w:t>
      </w:r>
    </w:p>
    <w:p w14:paraId="492940B3" w14:textId="77777777" w:rsidR="00C77872" w:rsidRDefault="00C77872" w:rsidP="00C77872">
      <w:pPr>
        <w:pStyle w:val="ParaTab1"/>
        <w:tabs>
          <w:tab w:val="left" w:pos="2070"/>
        </w:tabs>
        <w:spacing w:line="360" w:lineRule="auto"/>
        <w:ind w:left="1800" w:firstLine="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4050"/>
        <w:gridCol w:w="3420"/>
      </w:tblGrid>
      <w:tr w:rsidR="00C77872" w14:paraId="62A8A050" w14:textId="77777777" w:rsidTr="008137C9">
        <w:tc>
          <w:tcPr>
            <w:tcW w:w="4050" w:type="dxa"/>
          </w:tcPr>
          <w:p w14:paraId="4EA400A6" w14:textId="77777777" w:rsidR="00C77872" w:rsidRDefault="00C77872" w:rsidP="008137C9">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Sunoco Rebuttal Testimony due</w:t>
            </w:r>
          </w:p>
        </w:tc>
        <w:tc>
          <w:tcPr>
            <w:tcW w:w="3420" w:type="dxa"/>
          </w:tcPr>
          <w:p w14:paraId="04B9B02F" w14:textId="77777777" w:rsidR="00C77872" w:rsidRDefault="00C77872" w:rsidP="008137C9">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12, 2021</w:t>
            </w:r>
          </w:p>
        </w:tc>
      </w:tr>
      <w:tr w:rsidR="00C77872" w14:paraId="136A45E8" w14:textId="77777777" w:rsidTr="008137C9">
        <w:tc>
          <w:tcPr>
            <w:tcW w:w="4050" w:type="dxa"/>
          </w:tcPr>
          <w:p w14:paraId="7A1B0177" w14:textId="77777777" w:rsidR="00C77872" w:rsidRDefault="00C77872" w:rsidP="008137C9">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Glen Riddle Surrebuttal Testimony due</w:t>
            </w:r>
          </w:p>
        </w:tc>
        <w:tc>
          <w:tcPr>
            <w:tcW w:w="3420" w:type="dxa"/>
          </w:tcPr>
          <w:p w14:paraId="79141B5A" w14:textId="77777777" w:rsidR="00C77872" w:rsidRDefault="00C77872" w:rsidP="008137C9">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19, 2021</w:t>
            </w:r>
          </w:p>
        </w:tc>
      </w:tr>
      <w:tr w:rsidR="00C77872" w14:paraId="7F8BC0E8" w14:textId="77777777" w:rsidTr="008137C9">
        <w:tc>
          <w:tcPr>
            <w:tcW w:w="4050" w:type="dxa"/>
          </w:tcPr>
          <w:p w14:paraId="6F0892A5" w14:textId="77777777" w:rsidR="00C77872" w:rsidRDefault="00C77872" w:rsidP="008137C9">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parties’ exhibits due</w:t>
            </w:r>
          </w:p>
        </w:tc>
        <w:tc>
          <w:tcPr>
            <w:tcW w:w="3420" w:type="dxa"/>
          </w:tcPr>
          <w:p w14:paraId="36EEBB14" w14:textId="77777777" w:rsidR="00C77872" w:rsidRDefault="00C77872" w:rsidP="008137C9">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21, 2021</w:t>
            </w:r>
          </w:p>
        </w:tc>
      </w:tr>
      <w:tr w:rsidR="00C77872" w14:paraId="7DE5E866" w14:textId="77777777" w:rsidTr="008137C9">
        <w:tc>
          <w:tcPr>
            <w:tcW w:w="4050" w:type="dxa"/>
          </w:tcPr>
          <w:p w14:paraId="2F7491E6" w14:textId="77777777" w:rsidR="00C77872" w:rsidRDefault="00C77872" w:rsidP="008137C9">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Hearings</w:t>
            </w:r>
          </w:p>
        </w:tc>
        <w:tc>
          <w:tcPr>
            <w:tcW w:w="3420" w:type="dxa"/>
          </w:tcPr>
          <w:p w14:paraId="260DE3B9" w14:textId="77777777" w:rsidR="00C77872" w:rsidRDefault="00C77872" w:rsidP="008137C9">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24, 2021 and May 27, 2021</w:t>
            </w:r>
          </w:p>
        </w:tc>
      </w:tr>
    </w:tbl>
    <w:p w14:paraId="0E7DAA6F" w14:textId="77777777" w:rsidR="00BB2A3A" w:rsidRPr="00C41933" w:rsidRDefault="00BB2A3A" w:rsidP="00BB2A3A">
      <w:pPr>
        <w:pStyle w:val="ParaTab1"/>
        <w:tabs>
          <w:tab w:val="left" w:pos="2070"/>
        </w:tabs>
        <w:spacing w:line="360" w:lineRule="auto"/>
        <w:ind w:left="1800" w:firstLine="0"/>
        <w:rPr>
          <w:rFonts w:ascii="Times New Roman" w:hAnsi="Times New Roman" w:cs="Times New Roman"/>
        </w:rPr>
      </w:pPr>
    </w:p>
    <w:p w14:paraId="7B9E1705" w14:textId="0B3F077C" w:rsidR="00533AC5" w:rsidRDefault="00BB2A3A" w:rsidP="00BB2A3A">
      <w:pPr>
        <w:pStyle w:val="ListParagraph"/>
        <w:numPr>
          <w:ilvl w:val="0"/>
          <w:numId w:val="1"/>
        </w:numPr>
        <w:tabs>
          <w:tab w:val="clear" w:pos="1800"/>
        </w:tabs>
        <w:spacing w:line="360" w:lineRule="auto"/>
        <w:ind w:left="0" w:firstLine="1440"/>
        <w:rPr>
          <w:sz w:val="24"/>
          <w:szCs w:val="24"/>
        </w:rPr>
      </w:pPr>
      <w:r w:rsidRPr="00C41933">
        <w:rPr>
          <w:sz w:val="24"/>
          <w:szCs w:val="24"/>
        </w:rPr>
        <w:lastRenderedPageBreak/>
        <w:t xml:space="preserve">That </w:t>
      </w:r>
      <w:r w:rsidR="00533AC5">
        <w:rPr>
          <w:sz w:val="24"/>
          <w:szCs w:val="24"/>
        </w:rPr>
        <w:t>all other aspects of the scheduling order issued in this case dated February 26, 2021 shall remain in effect.</w:t>
      </w:r>
    </w:p>
    <w:p w14:paraId="0C0ECF68" w14:textId="5B908A11" w:rsidR="00CA6855" w:rsidRDefault="00CA6855" w:rsidP="00BB2A3A">
      <w:pPr>
        <w:pStyle w:val="ListParagraph"/>
        <w:numPr>
          <w:ilvl w:val="0"/>
          <w:numId w:val="1"/>
        </w:numPr>
        <w:tabs>
          <w:tab w:val="clear" w:pos="1800"/>
        </w:tabs>
        <w:spacing w:line="360" w:lineRule="auto"/>
        <w:ind w:left="0" w:firstLine="1440"/>
        <w:rPr>
          <w:sz w:val="24"/>
          <w:szCs w:val="24"/>
        </w:rPr>
      </w:pPr>
      <w:r>
        <w:rPr>
          <w:sz w:val="24"/>
          <w:szCs w:val="24"/>
        </w:rPr>
        <w:t>That the parties are encouraged to continue to pursue settlement discussions.</w:t>
      </w:r>
    </w:p>
    <w:p w14:paraId="03E5DE81" w14:textId="25FD14EF" w:rsidR="00BB2A3A" w:rsidRDefault="00BB2A3A" w:rsidP="00BB2A3A">
      <w:pPr>
        <w:tabs>
          <w:tab w:val="left" w:pos="-720"/>
        </w:tabs>
        <w:suppressAutoHyphens/>
        <w:spacing w:line="360" w:lineRule="auto"/>
        <w:rPr>
          <w:spacing w:val="-3"/>
          <w:sz w:val="24"/>
          <w:szCs w:val="24"/>
        </w:rPr>
      </w:pPr>
    </w:p>
    <w:p w14:paraId="7918E12C" w14:textId="77777777" w:rsidR="00625261" w:rsidRPr="0020062E" w:rsidRDefault="00625261" w:rsidP="00BB2A3A">
      <w:pPr>
        <w:tabs>
          <w:tab w:val="left" w:pos="-720"/>
        </w:tabs>
        <w:suppressAutoHyphens/>
        <w:spacing w:line="360" w:lineRule="auto"/>
        <w:rPr>
          <w:spacing w:val="-3"/>
          <w:sz w:val="24"/>
          <w:szCs w:val="24"/>
        </w:rPr>
      </w:pPr>
    </w:p>
    <w:p w14:paraId="2495AF77" w14:textId="6DA7CA08" w:rsidR="00BB2A3A" w:rsidRPr="00A84443" w:rsidRDefault="00BB2A3A" w:rsidP="00BB2A3A">
      <w:pPr>
        <w:tabs>
          <w:tab w:val="left" w:pos="720"/>
          <w:tab w:val="left" w:pos="5040"/>
        </w:tabs>
        <w:suppressAutoHyphens/>
        <w:rPr>
          <w:spacing w:val="-3"/>
          <w:sz w:val="24"/>
          <w:szCs w:val="24"/>
        </w:rPr>
      </w:pPr>
      <w:r w:rsidRPr="0020062E">
        <w:rPr>
          <w:spacing w:val="-3"/>
          <w:sz w:val="24"/>
          <w:szCs w:val="24"/>
        </w:rPr>
        <w:t>Date:</w:t>
      </w:r>
      <w:r w:rsidRPr="0020062E">
        <w:rPr>
          <w:spacing w:val="-3"/>
          <w:sz w:val="24"/>
          <w:szCs w:val="24"/>
        </w:rPr>
        <w:tab/>
      </w:r>
      <w:r w:rsidR="00533AC5">
        <w:rPr>
          <w:spacing w:val="-3"/>
          <w:sz w:val="24"/>
          <w:szCs w:val="24"/>
          <w:u w:val="single"/>
        </w:rPr>
        <w:t>April 16</w:t>
      </w:r>
      <w:r>
        <w:rPr>
          <w:spacing w:val="-3"/>
          <w:sz w:val="24"/>
          <w:szCs w:val="24"/>
          <w:u w:val="single"/>
        </w:rPr>
        <w:t>, 2021</w:t>
      </w:r>
      <w:r w:rsidRPr="00A84443">
        <w:rPr>
          <w:spacing w:val="-3"/>
          <w:sz w:val="24"/>
          <w:szCs w:val="24"/>
        </w:rPr>
        <w:tab/>
        <w:t>_____</w:t>
      </w:r>
      <w:r w:rsidRPr="00777932">
        <w:rPr>
          <w:spacing w:val="-3"/>
          <w:sz w:val="24"/>
          <w:szCs w:val="24"/>
          <w:u w:val="single"/>
        </w:rPr>
        <w:t>/s/</w:t>
      </w:r>
      <w:r w:rsidRPr="00A84443">
        <w:rPr>
          <w:spacing w:val="-3"/>
          <w:sz w:val="24"/>
          <w:szCs w:val="24"/>
        </w:rPr>
        <w:t>_________________________</w:t>
      </w:r>
    </w:p>
    <w:p w14:paraId="1D792F57" w14:textId="77777777" w:rsidR="00BB2A3A" w:rsidRPr="00A84443" w:rsidRDefault="00BB2A3A" w:rsidP="00BB2A3A">
      <w:pPr>
        <w:tabs>
          <w:tab w:val="left" w:pos="720"/>
          <w:tab w:val="left" w:pos="5040"/>
        </w:tabs>
        <w:suppressAutoHyphens/>
        <w:rPr>
          <w:spacing w:val="-3"/>
          <w:sz w:val="24"/>
          <w:szCs w:val="24"/>
        </w:rPr>
      </w:pPr>
      <w:r w:rsidRPr="00A84443">
        <w:rPr>
          <w:spacing w:val="-3"/>
          <w:sz w:val="24"/>
          <w:szCs w:val="24"/>
        </w:rPr>
        <w:tab/>
      </w:r>
      <w:r w:rsidRPr="00A84443">
        <w:rPr>
          <w:spacing w:val="-3"/>
          <w:sz w:val="24"/>
          <w:szCs w:val="24"/>
        </w:rPr>
        <w:tab/>
        <w:t>Joel H. Cheskis</w:t>
      </w:r>
    </w:p>
    <w:p w14:paraId="4D19DE8B" w14:textId="77777777" w:rsidR="00BB2A3A" w:rsidRPr="009E415E" w:rsidRDefault="00BB2A3A" w:rsidP="00BB2A3A">
      <w:pPr>
        <w:tabs>
          <w:tab w:val="left" w:pos="720"/>
          <w:tab w:val="left" w:pos="5040"/>
        </w:tabs>
        <w:suppressAutoHyphens/>
        <w:rPr>
          <w:rFonts w:cs="CG Times"/>
          <w:sz w:val="24"/>
          <w:szCs w:val="24"/>
        </w:rPr>
      </w:pPr>
      <w:r w:rsidRPr="00A84443">
        <w:rPr>
          <w:rFonts w:cs="CG Times"/>
          <w:sz w:val="24"/>
          <w:szCs w:val="24"/>
        </w:rPr>
        <w:tab/>
      </w:r>
      <w:r w:rsidRPr="00A84443">
        <w:rPr>
          <w:rFonts w:cs="CG Times"/>
          <w:sz w:val="24"/>
          <w:szCs w:val="24"/>
        </w:rPr>
        <w:tab/>
      </w:r>
      <w:r>
        <w:rPr>
          <w:rFonts w:cs="CG Times"/>
          <w:sz w:val="24"/>
          <w:szCs w:val="24"/>
        </w:rPr>
        <w:t xml:space="preserve">Deputy Chief </w:t>
      </w:r>
      <w:r w:rsidRPr="00A84443">
        <w:rPr>
          <w:rFonts w:cs="CG Times"/>
          <w:sz w:val="24"/>
          <w:szCs w:val="24"/>
        </w:rPr>
        <w:t>Administrative Law Judge</w:t>
      </w:r>
    </w:p>
    <w:p w14:paraId="1830F90B" w14:textId="77777777" w:rsidR="007354C1" w:rsidRDefault="007354C1">
      <w:pPr>
        <w:sectPr w:rsidR="007354C1" w:rsidSect="00BB2A3A">
          <w:footerReference w:type="even" r:id="rId7"/>
          <w:footerReference w:type="default" r:id="rId8"/>
          <w:pgSz w:w="12240" w:h="15840"/>
          <w:pgMar w:top="1440" w:right="1440" w:bottom="1440" w:left="1440" w:header="720" w:footer="720" w:gutter="0"/>
          <w:cols w:space="720"/>
          <w:noEndnote/>
          <w:titlePg/>
        </w:sectPr>
      </w:pPr>
    </w:p>
    <w:p w14:paraId="47E22022" w14:textId="77777777" w:rsidR="007354C1" w:rsidRDefault="007354C1" w:rsidP="007354C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C-2020-3023129 - GLEN RIDDLE STATION, L.P. v. SUNOCO PIPELINE L.P.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4005D2">
        <w:rPr>
          <w:rFonts w:ascii="Microsoft Sans Serif" w:eastAsia="Microsoft Sans Serif" w:hAnsi="Microsoft Sans Serif" w:cs="Microsoft Sans Serif"/>
          <w:bCs/>
          <w:i/>
          <w:iCs/>
          <w:sz w:val="24"/>
        </w:rPr>
        <w:t>updated 3/</w:t>
      </w:r>
      <w:r>
        <w:rPr>
          <w:rFonts w:ascii="Microsoft Sans Serif" w:eastAsia="Microsoft Sans Serif" w:hAnsi="Microsoft Sans Serif" w:cs="Microsoft Sans Serif"/>
          <w:bCs/>
          <w:i/>
          <w:iCs/>
          <w:sz w:val="24"/>
        </w:rPr>
        <w:t>3</w:t>
      </w:r>
      <w:r w:rsidRPr="004005D2">
        <w:rPr>
          <w:rFonts w:ascii="Microsoft Sans Serif" w:eastAsia="Microsoft Sans Serif" w:hAnsi="Microsoft Sans Serif" w:cs="Microsoft Sans Serif"/>
          <w:bCs/>
          <w:i/>
          <w:iCs/>
          <w:sz w:val="24"/>
        </w:rPr>
        <w:t>/21</w:t>
      </w:r>
    </w:p>
    <w:p w14:paraId="48F78BBF" w14:textId="77777777" w:rsidR="007354C1" w:rsidRDefault="007354C1" w:rsidP="007354C1">
      <w:pPr>
        <w:rPr>
          <w:rFonts w:ascii="Microsoft Sans Serif" w:eastAsia="Microsoft Sans Serif" w:hAnsi="Microsoft Sans Serif" w:cs="Microsoft Sans Serif"/>
          <w:sz w:val="24"/>
        </w:rPr>
      </w:pPr>
      <w:r w:rsidRPr="002026EE">
        <w:rPr>
          <w:rFonts w:ascii="Microsoft Sans Serif" w:eastAsia="Microsoft Sans Serif" w:hAnsi="Microsoft Sans Serif" w:cs="Microsoft Sans Serif"/>
          <w:bCs/>
          <w:sz w:val="24"/>
        </w:rPr>
        <w:t>*</w:t>
      </w:r>
      <w:r>
        <w:rPr>
          <w:rFonts w:ascii="Microsoft Sans Serif" w:eastAsia="Microsoft Sans Serif" w:hAnsi="Microsoft Sans Serif" w:cs="Microsoft Sans Serif"/>
          <w:sz w:val="24"/>
        </w:rPr>
        <w:t>SAMUEL W CORTES ESQUIRE</w:t>
      </w:r>
      <w:r>
        <w:rPr>
          <w:rFonts w:ascii="Microsoft Sans Serif" w:eastAsia="Microsoft Sans Serif" w:hAnsi="Microsoft Sans Serif" w:cs="Microsoft Sans Serif"/>
          <w:sz w:val="24"/>
        </w:rPr>
        <w:br/>
        <w:t>ASHLEY BEACH ESQUIRE</w:t>
      </w:r>
      <w:r>
        <w:rPr>
          <w:rFonts w:ascii="Microsoft Sans Serif" w:eastAsia="Microsoft Sans Serif" w:hAnsi="Microsoft Sans Serif" w:cs="Microsoft Sans Serif"/>
          <w:sz w:val="24"/>
        </w:rPr>
        <w:cr/>
        <w:t>FOX ROTHSCHILD LLP</w:t>
      </w:r>
      <w:r>
        <w:rPr>
          <w:rFonts w:ascii="Microsoft Sans Serif" w:eastAsia="Microsoft Sans Serif" w:hAnsi="Microsoft Sans Serif" w:cs="Microsoft Sans Serif"/>
          <w:sz w:val="24"/>
        </w:rPr>
        <w:cr/>
        <w:t>747 CONSTITUTION DRIVE</w:t>
      </w:r>
      <w:r>
        <w:rPr>
          <w:rFonts w:ascii="Microsoft Sans Serif" w:eastAsia="Microsoft Sans Serif" w:hAnsi="Microsoft Sans Serif" w:cs="Microsoft Sans Serif"/>
          <w:sz w:val="24"/>
        </w:rPr>
        <w:cr/>
        <w:t>SUITE 100</w:t>
      </w:r>
      <w:r>
        <w:rPr>
          <w:rFonts w:ascii="Microsoft Sans Serif" w:eastAsia="Microsoft Sans Serif" w:hAnsi="Microsoft Sans Serif" w:cs="Microsoft Sans Serif"/>
          <w:sz w:val="24"/>
        </w:rPr>
        <w:cr/>
        <w:t>EXTON PA  19341</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b/>
          <w:bCs/>
          <w:sz w:val="24"/>
        </w:rPr>
        <w:t>610.458.4966</w:t>
      </w:r>
      <w:r w:rsidRPr="00FC68AB">
        <w:rPr>
          <w:rFonts w:ascii="Microsoft Sans Serif" w:eastAsia="Microsoft Sans Serif" w:hAnsi="Microsoft Sans Serif" w:cs="Microsoft Sans Serif"/>
          <w:b/>
          <w:bCs/>
          <w:sz w:val="24"/>
        </w:rPr>
        <w:cr/>
      </w:r>
      <w:r w:rsidRPr="00AA0C4F">
        <w:rPr>
          <w:rFonts w:ascii="Microsoft Sans Serif" w:eastAsia="Microsoft Sans Serif" w:hAnsi="Microsoft Sans Serif" w:cs="Microsoft Sans Serif"/>
          <w:b/>
          <w:bCs/>
          <w:sz w:val="24"/>
        </w:rPr>
        <w:t>610.458.7500</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sz w:val="24"/>
          <w:u w:val="single"/>
        </w:rPr>
        <w:t>scortes@foxrothschild.com</w:t>
      </w:r>
      <w:r>
        <w:rPr>
          <w:rFonts w:ascii="Microsoft Sans Serif" w:eastAsia="Microsoft Sans Serif" w:hAnsi="Microsoft Sans Serif" w:cs="Microsoft Sans Serif"/>
          <w:sz w:val="24"/>
          <w:u w:val="single"/>
        </w:rPr>
        <w:br/>
      </w:r>
      <w:r w:rsidRPr="002026EE">
        <w:rPr>
          <w:rFonts w:ascii="Microsoft Sans Serif" w:eastAsia="Microsoft Sans Serif" w:hAnsi="Microsoft Sans Serif" w:cs="Microsoft Sans Serif"/>
          <w:sz w:val="24"/>
          <w:u w:val="single"/>
        </w:rPr>
        <w:t>abeach@foxrothschild.com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sidRPr="00F305BF">
        <w:rPr>
          <w:rFonts w:ascii="Microsoft Sans Serif" w:eastAsia="Microsoft Sans Serif" w:hAnsi="Microsoft Sans Serif" w:cs="Microsoft Sans Serif"/>
          <w:i/>
          <w:iCs/>
          <w:sz w:val="24"/>
        </w:rPr>
        <w:t>Via e-mail only due to Emergency Order at M-2020-3019262</w:t>
      </w:r>
    </w:p>
    <w:p w14:paraId="5BB8FE98" w14:textId="77777777" w:rsidR="007354C1" w:rsidRDefault="007354C1" w:rsidP="007354C1">
      <w:pPr>
        <w:rPr>
          <w:rFonts w:ascii="Microsoft Sans Serif" w:eastAsia="Microsoft Sans Serif" w:hAnsi="Microsoft Sans Serif" w:cs="Microsoft Sans Serif"/>
          <w:sz w:val="24"/>
        </w:rPr>
      </w:pPr>
    </w:p>
    <w:p w14:paraId="630BEFBF" w14:textId="77777777" w:rsidR="007354C1" w:rsidRDefault="007354C1" w:rsidP="007354C1">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cr/>
        <w:t xml:space="preserve">THOMAS J SNISCAK ESQUIRE </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b/>
          <w:bCs/>
          <w:sz w:val="24"/>
        </w:rPr>
        <w:t>717.236.1300</w:t>
      </w:r>
      <w:r w:rsidRPr="00FC68AB">
        <w:rPr>
          <w:rFonts w:ascii="Microsoft Sans Serif" w:eastAsia="Microsoft Sans Serif" w:hAnsi="Microsoft Sans Serif" w:cs="Microsoft Sans Serif"/>
          <w:b/>
          <w:bCs/>
          <w:sz w:val="24"/>
        </w:rPr>
        <w:cr/>
      </w:r>
      <w:r w:rsidRPr="00081051">
        <w:rPr>
          <w:rFonts w:ascii="Microsoft Sans Serif" w:eastAsia="Microsoft Sans Serif" w:hAnsi="Microsoft Sans Serif" w:cs="Microsoft Sans Serif"/>
          <w:sz w:val="24"/>
          <w:u w:val="single"/>
        </w:rPr>
        <w:t>wesnyder@hmslegal.com</w:t>
      </w:r>
      <w:r>
        <w:rPr>
          <w:rFonts w:ascii="Microsoft Sans Serif" w:eastAsia="Microsoft Sans Serif" w:hAnsi="Microsoft Sans Serif" w:cs="Microsoft Sans Serif"/>
          <w:sz w:val="24"/>
        </w:rPr>
        <w:cr/>
      </w:r>
      <w:r w:rsidRPr="00081051">
        <w:rPr>
          <w:rFonts w:ascii="Microsoft Sans Serif" w:eastAsia="Microsoft Sans Serif" w:hAnsi="Microsoft Sans Serif" w:cs="Microsoft Sans Serif"/>
          <w:sz w:val="24"/>
          <w:u w:val="single"/>
        </w:rPr>
        <w:t>tjsniscak@hmslegal.com</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sidRPr="00F351A6">
        <w:rPr>
          <w:rFonts w:ascii="Microsoft Sans Serif" w:eastAsia="Microsoft Sans Serif" w:hAnsi="Microsoft Sans Serif" w:cs="Microsoft Sans Serif"/>
          <w:sz w:val="24"/>
          <w:u w:val="single"/>
        </w:rPr>
        <w:t>brbeard@hmslegal.com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DIANA A SILVA ATTORNEY</w:t>
      </w:r>
      <w:r>
        <w:rPr>
          <w:rFonts w:ascii="Microsoft Sans Serif" w:eastAsia="Microsoft Sans Serif" w:hAnsi="Microsoft Sans Serif" w:cs="Microsoft Sans Serif"/>
          <w:sz w:val="24"/>
        </w:rPr>
        <w:cr/>
        <w:t>MANKO GOLD KATCHER &amp; FOX LLP</w:t>
      </w:r>
      <w:r>
        <w:rPr>
          <w:rFonts w:ascii="Microsoft Sans Serif" w:eastAsia="Microsoft Sans Serif" w:hAnsi="Microsoft Sans Serif" w:cs="Microsoft Sans Serif"/>
          <w:sz w:val="24"/>
        </w:rPr>
        <w:cr/>
        <w:t>401 CITY AVE</w:t>
      </w:r>
      <w:r>
        <w:rPr>
          <w:rFonts w:ascii="Microsoft Sans Serif" w:eastAsia="Microsoft Sans Serif" w:hAnsi="Microsoft Sans Serif" w:cs="Microsoft Sans Serif"/>
          <w:sz w:val="24"/>
        </w:rPr>
        <w:cr/>
        <w:t>SUITE 901</w:t>
      </w:r>
      <w:r>
        <w:rPr>
          <w:rFonts w:ascii="Microsoft Sans Serif" w:eastAsia="Microsoft Sans Serif" w:hAnsi="Microsoft Sans Serif" w:cs="Microsoft Sans Serif"/>
          <w:sz w:val="24"/>
        </w:rPr>
        <w:cr/>
        <w:t>BALA CYNWYD PA  19004</w:t>
      </w:r>
      <w:r>
        <w:rPr>
          <w:rFonts w:ascii="Microsoft Sans Serif" w:eastAsia="Microsoft Sans Serif" w:hAnsi="Microsoft Sans Serif" w:cs="Microsoft Sans Serif"/>
          <w:sz w:val="24"/>
        </w:rPr>
        <w:cr/>
      </w:r>
      <w:r w:rsidRPr="003D7AAA">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3D7AAA">
        <w:rPr>
          <w:rFonts w:ascii="Microsoft Sans Serif" w:eastAsia="Microsoft Sans Serif" w:hAnsi="Microsoft Sans Serif" w:cs="Microsoft Sans Serif"/>
          <w:b/>
          <w:bCs/>
          <w:sz w:val="24"/>
        </w:rPr>
        <w:t>430</w:t>
      </w:r>
      <w:r>
        <w:rPr>
          <w:rFonts w:ascii="Microsoft Sans Serif" w:eastAsia="Microsoft Sans Serif" w:hAnsi="Microsoft Sans Serif" w:cs="Microsoft Sans Serif"/>
          <w:b/>
          <w:bCs/>
          <w:sz w:val="24"/>
        </w:rPr>
        <w:t>.</w:t>
      </w:r>
      <w:r w:rsidRPr="003D7AAA">
        <w:rPr>
          <w:rFonts w:ascii="Microsoft Sans Serif" w:eastAsia="Microsoft Sans Serif" w:hAnsi="Microsoft Sans Serif" w:cs="Microsoft Sans Serif"/>
          <w:b/>
          <w:bCs/>
          <w:sz w:val="24"/>
        </w:rPr>
        <w:t>2347</w:t>
      </w:r>
      <w:r>
        <w:rPr>
          <w:rFonts w:ascii="Microsoft Sans Serif" w:eastAsia="Microsoft Sans Serif" w:hAnsi="Microsoft Sans Serif" w:cs="Microsoft Sans Serif"/>
          <w:sz w:val="24"/>
        </w:rPr>
        <w:cr/>
      </w:r>
      <w:r w:rsidRPr="003D7AAA">
        <w:rPr>
          <w:rFonts w:ascii="Microsoft Sans Serif" w:eastAsia="Microsoft Sans Serif" w:hAnsi="Microsoft Sans Serif" w:cs="Microsoft Sans Serif"/>
          <w:sz w:val="24"/>
          <w:u w:val="single"/>
        </w:rPr>
        <w:t>dsilva@mankogold.com</w:t>
      </w:r>
      <w:r w:rsidRPr="003D7AAA">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Accepts eService</w:t>
      </w:r>
    </w:p>
    <w:p w14:paraId="5BF96D1E" w14:textId="77777777" w:rsidR="007354C1" w:rsidRDefault="007354C1" w:rsidP="007354C1"/>
    <w:p w14:paraId="66031B71" w14:textId="45102A3B" w:rsidR="000058F5" w:rsidRDefault="000463B2"/>
    <w:sectPr w:rsidR="000058F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FE59" w14:textId="77777777" w:rsidR="00E6609C" w:rsidRDefault="00E6609C">
      <w:r>
        <w:separator/>
      </w:r>
    </w:p>
  </w:endnote>
  <w:endnote w:type="continuationSeparator" w:id="0">
    <w:p w14:paraId="32EB6186" w14:textId="77777777" w:rsidR="00E6609C" w:rsidRDefault="00E6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4E57" w14:textId="77777777" w:rsidR="006B08C2" w:rsidRDefault="00BB2A3A"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794343" w14:textId="77777777" w:rsidR="006B08C2" w:rsidRDefault="00046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C0CC" w14:textId="77777777" w:rsidR="006B08C2" w:rsidRDefault="00BB2A3A"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7FC4951" w14:textId="77777777" w:rsidR="006B08C2" w:rsidRDefault="00046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A5FD" w14:textId="3DBDC393" w:rsidR="000463B2" w:rsidRPr="000463B2" w:rsidRDefault="000463B2" w:rsidP="00046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0D7F" w14:textId="77777777" w:rsidR="00E6609C" w:rsidRDefault="00E6609C">
      <w:r>
        <w:separator/>
      </w:r>
    </w:p>
  </w:footnote>
  <w:footnote w:type="continuationSeparator" w:id="0">
    <w:p w14:paraId="60AD5068" w14:textId="77777777" w:rsidR="00E6609C" w:rsidRDefault="00E66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33EB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3A"/>
    <w:rsid w:val="000463B2"/>
    <w:rsid w:val="000A1C23"/>
    <w:rsid w:val="000D4452"/>
    <w:rsid w:val="000D4A69"/>
    <w:rsid w:val="00100EB3"/>
    <w:rsid w:val="00114FDC"/>
    <w:rsid w:val="00153B84"/>
    <w:rsid w:val="001847FE"/>
    <w:rsid w:val="001E6F26"/>
    <w:rsid w:val="0021539E"/>
    <w:rsid w:val="002D0219"/>
    <w:rsid w:val="003530C9"/>
    <w:rsid w:val="003562D9"/>
    <w:rsid w:val="00426597"/>
    <w:rsid w:val="00442C8E"/>
    <w:rsid w:val="004C6006"/>
    <w:rsid w:val="00533AC5"/>
    <w:rsid w:val="00537904"/>
    <w:rsid w:val="00625261"/>
    <w:rsid w:val="007354C1"/>
    <w:rsid w:val="00774452"/>
    <w:rsid w:val="008172A9"/>
    <w:rsid w:val="00843070"/>
    <w:rsid w:val="008617CF"/>
    <w:rsid w:val="008D0A3D"/>
    <w:rsid w:val="008E547B"/>
    <w:rsid w:val="00904C57"/>
    <w:rsid w:val="00942602"/>
    <w:rsid w:val="0099536A"/>
    <w:rsid w:val="009A5EE8"/>
    <w:rsid w:val="009D2338"/>
    <w:rsid w:val="00A01F4E"/>
    <w:rsid w:val="00A41D07"/>
    <w:rsid w:val="00A52F75"/>
    <w:rsid w:val="00AA752E"/>
    <w:rsid w:val="00AB381C"/>
    <w:rsid w:val="00AF645C"/>
    <w:rsid w:val="00B1244F"/>
    <w:rsid w:val="00B61DBF"/>
    <w:rsid w:val="00BA0757"/>
    <w:rsid w:val="00BB2A3A"/>
    <w:rsid w:val="00BB52D3"/>
    <w:rsid w:val="00C258C3"/>
    <w:rsid w:val="00C46373"/>
    <w:rsid w:val="00C77872"/>
    <w:rsid w:val="00CA6855"/>
    <w:rsid w:val="00D56660"/>
    <w:rsid w:val="00E25E8C"/>
    <w:rsid w:val="00E6609C"/>
    <w:rsid w:val="00F13565"/>
    <w:rsid w:val="00FA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4EB4"/>
  <w15:chartTrackingRefBased/>
  <w15:docId w15:val="{3E066EC2-92FB-4EA4-B7B3-45C0C859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3A"/>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B2A3A"/>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BB2A3A"/>
    <w:rPr>
      <w:rFonts w:ascii="Times New Roman" w:eastAsia="Times New Roman" w:hAnsi="Times New Roman" w:cs="Times New Roman"/>
      <w:sz w:val="26"/>
      <w:szCs w:val="26"/>
    </w:rPr>
  </w:style>
  <w:style w:type="paragraph" w:customStyle="1" w:styleId="ParaTab1">
    <w:name w:val="ParaTab 1"/>
    <w:rsid w:val="00BB2A3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BB2A3A"/>
    <w:pPr>
      <w:tabs>
        <w:tab w:val="center" w:pos="4320"/>
        <w:tab w:val="right" w:pos="8640"/>
      </w:tabs>
    </w:pPr>
  </w:style>
  <w:style w:type="character" w:customStyle="1" w:styleId="FooterChar">
    <w:name w:val="Footer Char"/>
    <w:basedOn w:val="DefaultParagraphFont"/>
    <w:link w:val="Footer"/>
    <w:rsid w:val="00BB2A3A"/>
    <w:rPr>
      <w:rFonts w:ascii="Times New Roman" w:eastAsia="Times New Roman" w:hAnsi="Times New Roman" w:cs="Times New Roman"/>
      <w:sz w:val="20"/>
      <w:szCs w:val="20"/>
    </w:rPr>
  </w:style>
  <w:style w:type="character" w:styleId="PageNumber">
    <w:name w:val="page number"/>
    <w:basedOn w:val="DefaultParagraphFont"/>
    <w:rsid w:val="00BB2A3A"/>
  </w:style>
  <w:style w:type="character" w:styleId="Hyperlink">
    <w:name w:val="Hyperlink"/>
    <w:rsid w:val="00BB2A3A"/>
    <w:rPr>
      <w:color w:val="0000FF"/>
      <w:u w:val="single"/>
    </w:rPr>
  </w:style>
  <w:style w:type="paragraph" w:styleId="ListParagraph">
    <w:name w:val="List Paragraph"/>
    <w:basedOn w:val="Normal"/>
    <w:uiPriority w:val="34"/>
    <w:qFormat/>
    <w:rsid w:val="00BB2A3A"/>
    <w:pPr>
      <w:ind w:left="720"/>
    </w:pPr>
  </w:style>
  <w:style w:type="table" w:styleId="TableGrid">
    <w:name w:val="Table Grid"/>
    <w:basedOn w:val="TableNormal"/>
    <w:uiPriority w:val="39"/>
    <w:rsid w:val="0018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E6F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63B2"/>
    <w:pPr>
      <w:tabs>
        <w:tab w:val="center" w:pos="4680"/>
        <w:tab w:val="right" w:pos="9360"/>
      </w:tabs>
    </w:pPr>
  </w:style>
  <w:style w:type="character" w:customStyle="1" w:styleId="HeaderChar">
    <w:name w:val="Header Char"/>
    <w:basedOn w:val="DefaultParagraphFont"/>
    <w:link w:val="Header"/>
    <w:uiPriority w:val="99"/>
    <w:rsid w:val="000463B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1350</Words>
  <Characters>7698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2021-04-16T18:02:00Z</dcterms:created>
  <dcterms:modified xsi:type="dcterms:W3CDTF">2021-04-16T18:02:00Z</dcterms:modified>
</cp:coreProperties>
</file>