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0E511A2B" w:rsidR="00AA491B" w:rsidRPr="00A345BD" w:rsidRDefault="00A345BD" w:rsidP="00A345BD">
      <w:pPr>
        <w:ind w:right="-180"/>
        <w:jc w:val="center"/>
        <w:rPr>
          <w:b/>
          <w:sz w:val="24"/>
          <w:szCs w:val="24"/>
        </w:rPr>
      </w:pPr>
      <w:r w:rsidRPr="00A345BD">
        <w:rPr>
          <w:b/>
          <w:sz w:val="24"/>
          <w:szCs w:val="24"/>
        </w:rPr>
        <w:t>April 22,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45991FC3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323E4A" w:rsidRPr="00323E4A">
        <w:rPr>
          <w:b/>
          <w:sz w:val="24"/>
          <w:szCs w:val="24"/>
        </w:rPr>
        <w:t>8922932</w:t>
      </w:r>
    </w:p>
    <w:p w14:paraId="6AA9985E" w14:textId="0DBB0DCC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323E4A" w:rsidRPr="00323E4A">
        <w:rPr>
          <w:b/>
          <w:sz w:val="24"/>
          <w:szCs w:val="24"/>
        </w:rPr>
        <w:t>3025424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356D4B74" w:rsidR="00AA491B" w:rsidRDefault="00AA491B" w:rsidP="006E77C4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CA2044" w:rsidRPr="00CA2044">
        <w:rPr>
          <w:b/>
          <w:sz w:val="24"/>
          <w:szCs w:val="24"/>
        </w:rPr>
        <w:t>Exclusive Services, Inc., t/a on Farr, t/a Don Farr Moving &amp; Storage</w:t>
      </w:r>
      <w:r w:rsidR="00CA2044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4F712E1F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A83B09">
        <w:rPr>
          <w:sz w:val="24"/>
          <w:szCs w:val="24"/>
        </w:rPr>
        <w:t xml:space="preserve">April </w:t>
      </w:r>
      <w:r w:rsidR="00166DF1">
        <w:rPr>
          <w:sz w:val="24"/>
          <w:szCs w:val="24"/>
        </w:rPr>
        <w:t>1</w:t>
      </w:r>
      <w:r w:rsidR="00124DB1">
        <w:rPr>
          <w:sz w:val="24"/>
          <w:szCs w:val="24"/>
        </w:rPr>
        <w:t>7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124DB1" w:rsidRPr="00124DB1">
        <w:rPr>
          <w:sz w:val="24"/>
          <w:szCs w:val="24"/>
        </w:rPr>
        <w:t>378th Page 2, 209th Revised Page 2-A, and 1st Revised Page 32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0F30BBF8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155CE6">
        <w:rPr>
          <w:sz w:val="24"/>
          <w:szCs w:val="24"/>
        </w:rPr>
        <w:t xml:space="preserve">May </w:t>
      </w:r>
      <w:r w:rsidR="00124DB1">
        <w:rPr>
          <w:sz w:val="24"/>
          <w:szCs w:val="24"/>
        </w:rPr>
        <w:t>19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582FD0B4" w:rsidR="00AA491B" w:rsidRDefault="00AA491B" w:rsidP="00357041">
      <w:pPr>
        <w:ind w:firstLine="720"/>
      </w:pPr>
    </w:p>
    <w:p w14:paraId="465FECAF" w14:textId="3994F319" w:rsidR="00AA491B" w:rsidRDefault="00AA491B" w:rsidP="00357041">
      <w:pPr>
        <w:ind w:firstLine="720"/>
      </w:pPr>
    </w:p>
    <w:p w14:paraId="16734311" w14:textId="43BB4672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3D666793" w:rsidR="00AA491B" w:rsidRPr="00FA5E40" w:rsidRDefault="00A345BD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DD05539" wp14:editId="520B58AC">
            <wp:simplePos x="0" y="0"/>
            <wp:positionH relativeFrom="column">
              <wp:posOffset>3238500</wp:posOffset>
            </wp:positionH>
            <wp:positionV relativeFrom="paragraph">
              <wp:posOffset>17780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3C5A7" w14:textId="77777777" w:rsidR="001571F6" w:rsidRDefault="001571F6">
      <w:r>
        <w:separator/>
      </w:r>
    </w:p>
  </w:endnote>
  <w:endnote w:type="continuationSeparator" w:id="0">
    <w:p w14:paraId="64CABE7B" w14:textId="77777777" w:rsidR="001571F6" w:rsidRDefault="001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0B28" w14:textId="77777777" w:rsidR="001571F6" w:rsidRDefault="001571F6">
      <w:r>
        <w:separator/>
      </w:r>
    </w:p>
  </w:footnote>
  <w:footnote w:type="continuationSeparator" w:id="0">
    <w:p w14:paraId="33771690" w14:textId="77777777" w:rsidR="001571F6" w:rsidRDefault="001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A345BD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372CD"/>
    <w:rsid w:val="00744646"/>
    <w:rsid w:val="007648F5"/>
    <w:rsid w:val="00781F82"/>
    <w:rsid w:val="007856E7"/>
    <w:rsid w:val="00790450"/>
    <w:rsid w:val="007D1416"/>
    <w:rsid w:val="007F6D0C"/>
    <w:rsid w:val="00803201"/>
    <w:rsid w:val="00813C93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D1BE6"/>
    <w:rsid w:val="009D2289"/>
    <w:rsid w:val="00A02DDF"/>
    <w:rsid w:val="00A07551"/>
    <w:rsid w:val="00A156CB"/>
    <w:rsid w:val="00A304E8"/>
    <w:rsid w:val="00A345BD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62C47"/>
    <w:rsid w:val="00D91E71"/>
    <w:rsid w:val="00D926E8"/>
    <w:rsid w:val="00D9717C"/>
    <w:rsid w:val="00DC39F5"/>
    <w:rsid w:val="00DD2736"/>
    <w:rsid w:val="00E0103F"/>
    <w:rsid w:val="00E2416A"/>
    <w:rsid w:val="00E25C7B"/>
    <w:rsid w:val="00E41831"/>
    <w:rsid w:val="00E61D1C"/>
    <w:rsid w:val="00E633DE"/>
    <w:rsid w:val="00E71B1E"/>
    <w:rsid w:val="00E763F4"/>
    <w:rsid w:val="00E851B3"/>
    <w:rsid w:val="00EA523F"/>
    <w:rsid w:val="00EB1ADC"/>
    <w:rsid w:val="00EB7D57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1</TotalTime>
  <Pages>1</Pages>
  <Words>126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828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2021-04-22T15:36:00Z</dcterms:created>
  <dcterms:modified xsi:type="dcterms:W3CDTF">2021-04-22T15:36:00Z</dcterms:modified>
</cp:coreProperties>
</file>