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EAEA" w14:textId="4E80F4F3" w:rsidR="00234537" w:rsidRDefault="00234537" w:rsidP="00DB4DBF">
      <w:pPr>
        <w:jc w:val="center"/>
        <w:rPr>
          <w:b/>
          <w:szCs w:val="24"/>
        </w:rPr>
      </w:pPr>
      <w:r>
        <w:rPr>
          <w:b/>
          <w:szCs w:val="24"/>
        </w:rPr>
        <w:t>BEFORE THE</w:t>
      </w:r>
    </w:p>
    <w:p w14:paraId="47FBEE6C" w14:textId="77777777" w:rsidR="00234537" w:rsidRDefault="00234537" w:rsidP="00234537">
      <w:pPr>
        <w:jc w:val="center"/>
        <w:rPr>
          <w:szCs w:val="24"/>
        </w:rPr>
      </w:pPr>
      <w:r>
        <w:rPr>
          <w:b/>
          <w:szCs w:val="24"/>
        </w:rPr>
        <w:t>PENNSYLVANIA PUBLIC UTILITY COMMISSION</w:t>
      </w:r>
    </w:p>
    <w:p w14:paraId="26F66FCA" w14:textId="77777777" w:rsidR="00234537" w:rsidRDefault="00234537" w:rsidP="00234537">
      <w:pPr>
        <w:jc w:val="center"/>
        <w:rPr>
          <w:szCs w:val="24"/>
        </w:rPr>
      </w:pPr>
    </w:p>
    <w:p w14:paraId="572B67F5" w14:textId="4441EA37" w:rsidR="00234537" w:rsidRDefault="00234537" w:rsidP="00234537">
      <w:pPr>
        <w:jc w:val="both"/>
        <w:rPr>
          <w:szCs w:val="24"/>
        </w:rPr>
      </w:pPr>
    </w:p>
    <w:p w14:paraId="373FF819" w14:textId="6A07875D" w:rsidR="00234537" w:rsidRDefault="00234537" w:rsidP="00DB4DBF">
      <w:pPr>
        <w:jc w:val="both"/>
        <w:rPr>
          <w:szCs w:val="24"/>
        </w:rPr>
      </w:pPr>
    </w:p>
    <w:p w14:paraId="2C1DA59C" w14:textId="77777777" w:rsidR="00234537" w:rsidRDefault="00234537" w:rsidP="00234537">
      <w:pPr>
        <w:tabs>
          <w:tab w:val="left" w:pos="5040"/>
        </w:tabs>
        <w:jc w:val="both"/>
        <w:rPr>
          <w:szCs w:val="24"/>
        </w:rPr>
      </w:pPr>
      <w:r>
        <w:rPr>
          <w:szCs w:val="24"/>
        </w:rPr>
        <w:t xml:space="preserve">Pierre-Richard </w:t>
      </w:r>
      <w:proofErr w:type="spellStart"/>
      <w:r>
        <w:rPr>
          <w:szCs w:val="24"/>
        </w:rPr>
        <w:t>Sampeur</w:t>
      </w:r>
      <w:proofErr w:type="spellEnd"/>
      <w:r>
        <w:rPr>
          <w:szCs w:val="24"/>
        </w:rPr>
        <w:tab/>
        <w:t>:</w:t>
      </w:r>
      <w:r>
        <w:rPr>
          <w:szCs w:val="24"/>
        </w:rPr>
        <w:tab/>
      </w:r>
      <w:r>
        <w:rPr>
          <w:szCs w:val="24"/>
        </w:rPr>
        <w:tab/>
      </w:r>
    </w:p>
    <w:p w14:paraId="086712F0" w14:textId="77777777" w:rsidR="00234537" w:rsidRDefault="00234537" w:rsidP="00234537">
      <w:pPr>
        <w:tabs>
          <w:tab w:val="left" w:pos="5040"/>
        </w:tabs>
        <w:jc w:val="both"/>
        <w:rPr>
          <w:szCs w:val="24"/>
        </w:rPr>
      </w:pPr>
      <w:r>
        <w:rPr>
          <w:szCs w:val="24"/>
        </w:rPr>
        <w:tab/>
        <w:t>:</w:t>
      </w:r>
    </w:p>
    <w:p w14:paraId="754E3CAD" w14:textId="3DE0F9DD" w:rsidR="00234537" w:rsidRDefault="00234537" w:rsidP="00234537">
      <w:pPr>
        <w:tabs>
          <w:tab w:val="left" w:pos="5040"/>
        </w:tabs>
        <w:jc w:val="both"/>
        <w:rPr>
          <w:szCs w:val="24"/>
        </w:rPr>
      </w:pPr>
      <w:r>
        <w:rPr>
          <w:szCs w:val="24"/>
        </w:rPr>
        <w:t>v.</w:t>
      </w:r>
      <w:r>
        <w:rPr>
          <w:szCs w:val="24"/>
        </w:rPr>
        <w:tab/>
        <w:t>:</w:t>
      </w:r>
      <w:r>
        <w:rPr>
          <w:szCs w:val="24"/>
        </w:rPr>
        <w:tab/>
      </w:r>
      <w:r>
        <w:rPr>
          <w:szCs w:val="24"/>
        </w:rPr>
        <w:tab/>
        <w:t>C-2020-3020085</w:t>
      </w:r>
    </w:p>
    <w:p w14:paraId="557AC197" w14:textId="77777777" w:rsidR="00234537" w:rsidRDefault="00234537" w:rsidP="00234537">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6161AAB9" w14:textId="77777777" w:rsidR="00234537" w:rsidRDefault="00234537" w:rsidP="00234537">
      <w:pPr>
        <w:jc w:val="both"/>
        <w:rPr>
          <w:szCs w:val="24"/>
        </w:rPr>
      </w:pPr>
      <w:r>
        <w:rPr>
          <w:szCs w:val="24"/>
        </w:rPr>
        <w:t>PECO Energy Company</w:t>
      </w:r>
      <w:r>
        <w:rPr>
          <w:szCs w:val="24"/>
        </w:rPr>
        <w:tab/>
      </w:r>
      <w:r>
        <w:rPr>
          <w:szCs w:val="24"/>
        </w:rPr>
        <w:tab/>
      </w:r>
      <w:r>
        <w:rPr>
          <w:szCs w:val="24"/>
        </w:rPr>
        <w:tab/>
      </w:r>
      <w:r>
        <w:rPr>
          <w:szCs w:val="24"/>
        </w:rPr>
        <w:tab/>
        <w:t>:</w:t>
      </w:r>
    </w:p>
    <w:p w14:paraId="7ADF787C" w14:textId="7ADE6F85" w:rsidR="00234537" w:rsidRDefault="00234537" w:rsidP="00234537">
      <w:pPr>
        <w:ind w:left="4320" w:firstLine="720"/>
        <w:jc w:val="both"/>
        <w:rPr>
          <w:szCs w:val="24"/>
        </w:rPr>
      </w:pPr>
    </w:p>
    <w:p w14:paraId="6A1E21DC" w14:textId="77777777" w:rsidR="00234537" w:rsidRDefault="00234537" w:rsidP="00234537">
      <w:pPr>
        <w:ind w:left="4320" w:firstLine="720"/>
        <w:jc w:val="both"/>
        <w:rPr>
          <w:szCs w:val="24"/>
        </w:rPr>
      </w:pPr>
    </w:p>
    <w:p w14:paraId="2105D5A8" w14:textId="77777777" w:rsidR="00234537" w:rsidRDefault="00234537" w:rsidP="00234537">
      <w:pPr>
        <w:jc w:val="center"/>
        <w:rPr>
          <w:b/>
          <w:szCs w:val="24"/>
          <w:u w:val="single"/>
        </w:rPr>
      </w:pPr>
    </w:p>
    <w:p w14:paraId="77E2549C" w14:textId="77777777" w:rsidR="00234537" w:rsidRDefault="00234537" w:rsidP="00234537">
      <w:pPr>
        <w:jc w:val="center"/>
        <w:rPr>
          <w:b/>
          <w:szCs w:val="24"/>
        </w:rPr>
      </w:pPr>
      <w:r>
        <w:rPr>
          <w:b/>
          <w:szCs w:val="24"/>
        </w:rPr>
        <w:t xml:space="preserve">INTERIM ORDER </w:t>
      </w:r>
    </w:p>
    <w:p w14:paraId="42F87023" w14:textId="783F5D2A" w:rsidR="00234537" w:rsidRDefault="009633F4" w:rsidP="00234537">
      <w:pPr>
        <w:jc w:val="center"/>
        <w:rPr>
          <w:szCs w:val="24"/>
          <w:u w:val="single"/>
        </w:rPr>
      </w:pPr>
      <w:r>
        <w:rPr>
          <w:b/>
          <w:szCs w:val="24"/>
        </w:rPr>
        <w:t>CLOSING THE RECORD</w:t>
      </w:r>
    </w:p>
    <w:p w14:paraId="4FF2D6B7" w14:textId="77777777" w:rsidR="00234537" w:rsidRDefault="00234537" w:rsidP="00234537">
      <w:pPr>
        <w:spacing w:line="360" w:lineRule="auto"/>
        <w:jc w:val="center"/>
        <w:rPr>
          <w:szCs w:val="24"/>
          <w:u w:val="single"/>
        </w:rPr>
      </w:pPr>
    </w:p>
    <w:p w14:paraId="322408D1" w14:textId="77777777" w:rsidR="00234537" w:rsidRDefault="00234537" w:rsidP="00234537">
      <w:pPr>
        <w:pStyle w:val="BodyText2"/>
        <w:spacing w:line="360" w:lineRule="auto"/>
        <w:ind w:firstLine="1440"/>
        <w:jc w:val="left"/>
      </w:pPr>
      <w:r>
        <w:rPr>
          <w:szCs w:val="24"/>
        </w:rPr>
        <w:t>On May 29, 2020,</w:t>
      </w:r>
      <w:r>
        <w:t xml:space="preserve"> Pierre-Richard </w:t>
      </w:r>
      <w:proofErr w:type="spellStart"/>
      <w:r>
        <w:t>Sampeur</w:t>
      </w:r>
      <w:proofErr w:type="spellEnd"/>
      <w:r>
        <w:t xml:space="preserve"> (Mr. </w:t>
      </w:r>
      <w:proofErr w:type="spellStart"/>
      <w:r>
        <w:t>Sampeur</w:t>
      </w:r>
      <w:proofErr w:type="spellEnd"/>
      <w:r>
        <w:t xml:space="preserve"> or Complainant) filed a Formal Complaint against PECO Energy Company (PECO or Respondent), alleging that there were incorrect charges on his bills.  The Complainant requested that PECO reissue bills based on monthly usage.  </w:t>
      </w:r>
    </w:p>
    <w:p w14:paraId="2B7307B4" w14:textId="77777777" w:rsidR="00234537" w:rsidRDefault="00234537" w:rsidP="00234537">
      <w:pPr>
        <w:pStyle w:val="BodyText2"/>
        <w:spacing w:line="360" w:lineRule="auto"/>
        <w:ind w:firstLine="1440"/>
        <w:jc w:val="left"/>
      </w:pPr>
    </w:p>
    <w:p w14:paraId="76FB4CB2" w14:textId="77777777" w:rsidR="00234537" w:rsidRDefault="00234537" w:rsidP="00234537">
      <w:pPr>
        <w:pStyle w:val="BodyText2"/>
        <w:spacing w:line="360" w:lineRule="auto"/>
        <w:ind w:firstLine="1440"/>
        <w:jc w:val="left"/>
      </w:pPr>
      <w:r>
        <w:t xml:space="preserve">On June 17, 2020, PECO filed an Answer to the Formal Complaint denying the material allegations of the Complaint.  </w:t>
      </w:r>
    </w:p>
    <w:p w14:paraId="21BA2D5F" w14:textId="77777777" w:rsidR="00234537" w:rsidRDefault="00234537" w:rsidP="00234537">
      <w:pPr>
        <w:pStyle w:val="BodyText2"/>
        <w:spacing w:line="360" w:lineRule="auto"/>
        <w:ind w:firstLine="1440"/>
        <w:jc w:val="left"/>
      </w:pPr>
    </w:p>
    <w:p w14:paraId="7E6B4DC8" w14:textId="548B790A" w:rsidR="00234537" w:rsidRDefault="00234537" w:rsidP="00234537">
      <w:pPr>
        <w:pStyle w:val="BodyText2"/>
        <w:spacing w:line="360" w:lineRule="auto"/>
        <w:ind w:firstLine="1440"/>
        <w:jc w:val="left"/>
      </w:pPr>
      <w:r>
        <w:t>On August 26, 2020, a</w:t>
      </w:r>
      <w:r w:rsidR="00B5527A">
        <w:t>n</w:t>
      </w:r>
      <w:r>
        <w:t xml:space="preserve"> Initial Telephonic Hearing Notice was served on the parties indicating that a hearing would be held in the matter on Thursday, October 22, 2020 at 10:00 a.m. and the matter was assigned to me.  </w:t>
      </w:r>
    </w:p>
    <w:p w14:paraId="7593DB4D" w14:textId="77777777" w:rsidR="00234537" w:rsidRDefault="00234537" w:rsidP="00234537">
      <w:pPr>
        <w:pStyle w:val="BodyText2"/>
        <w:spacing w:line="360" w:lineRule="auto"/>
        <w:ind w:firstLine="1440"/>
        <w:jc w:val="left"/>
      </w:pPr>
    </w:p>
    <w:p w14:paraId="44511DAC" w14:textId="77777777" w:rsidR="00234537" w:rsidRDefault="00234537" w:rsidP="00234537">
      <w:pPr>
        <w:pStyle w:val="BodyText2"/>
        <w:spacing w:line="360" w:lineRule="auto"/>
        <w:ind w:firstLine="1440"/>
        <w:jc w:val="left"/>
      </w:pPr>
      <w:r>
        <w:t xml:space="preserve">On August 27, 2020, I issued a Prehearing Order indicating the procedures to be followed for the hearing.  </w:t>
      </w:r>
    </w:p>
    <w:p w14:paraId="76EC1D55" w14:textId="77777777" w:rsidR="00234537" w:rsidRDefault="00234537" w:rsidP="00234537">
      <w:pPr>
        <w:pStyle w:val="BodyText2"/>
        <w:spacing w:line="360" w:lineRule="auto"/>
        <w:ind w:firstLine="1440"/>
        <w:jc w:val="left"/>
      </w:pPr>
    </w:p>
    <w:p w14:paraId="5B2E3B84" w14:textId="77777777" w:rsidR="00234537" w:rsidRDefault="00234537" w:rsidP="00234537">
      <w:pPr>
        <w:pStyle w:val="BodyText2"/>
        <w:spacing w:line="360" w:lineRule="auto"/>
        <w:ind w:firstLine="1440"/>
        <w:jc w:val="left"/>
      </w:pPr>
      <w:r>
        <w:t xml:space="preserve">The initial hearing was held on October 22, 2020.  The Complainant appeared on his own behalf and offered testimony.  PECO was represented by counsel and presented two witness.  Before the end of the hearing, I determined that it was necessary for PECO to perform a meter inspection at the Service Address.  I indicated that I would hold the record open until the meter inspection could be performed at which time I would determine if a further hearing </w:t>
      </w:r>
      <w:proofErr w:type="gramStart"/>
      <w:r>
        <w:t>was</w:t>
      </w:r>
      <w:proofErr w:type="gramEnd"/>
      <w:r>
        <w:t xml:space="preserve"> </w:t>
      </w:r>
      <w:r>
        <w:lastRenderedPageBreak/>
        <w:t xml:space="preserve">necessary in the case.  I asked counsel for PECO to report to me when they were able to schedule the meter inspection.  </w:t>
      </w:r>
    </w:p>
    <w:p w14:paraId="17AE17B0" w14:textId="77777777" w:rsidR="00234537" w:rsidRDefault="00234537" w:rsidP="00234537">
      <w:pPr>
        <w:pStyle w:val="BodyText2"/>
        <w:spacing w:line="360" w:lineRule="auto"/>
        <w:ind w:firstLine="1440"/>
        <w:jc w:val="left"/>
      </w:pPr>
    </w:p>
    <w:p w14:paraId="0CCF8186" w14:textId="77777777" w:rsidR="00234537" w:rsidRDefault="00234537" w:rsidP="00234537">
      <w:pPr>
        <w:pStyle w:val="BodyText2"/>
        <w:spacing w:line="360" w:lineRule="auto"/>
        <w:ind w:firstLine="1440"/>
        <w:jc w:val="left"/>
      </w:pPr>
      <w:r>
        <w:t xml:space="preserve">On October 23, 2020, counsel for PECO contacted me and indicated that it reached out to the Complainant to schedule a meter inspection and was waiting for him to reply.  </w:t>
      </w:r>
    </w:p>
    <w:p w14:paraId="0FA8A934" w14:textId="77777777" w:rsidR="00234537" w:rsidRDefault="00234537" w:rsidP="00234537">
      <w:pPr>
        <w:pStyle w:val="BodyText2"/>
        <w:spacing w:line="360" w:lineRule="auto"/>
        <w:ind w:firstLine="1440"/>
        <w:jc w:val="left"/>
      </w:pPr>
    </w:p>
    <w:p w14:paraId="546FFA38" w14:textId="77777777" w:rsidR="00234537" w:rsidRDefault="00234537" w:rsidP="00234537">
      <w:pPr>
        <w:pStyle w:val="BodyText2"/>
        <w:spacing w:line="360" w:lineRule="auto"/>
        <w:ind w:firstLine="1440"/>
        <w:jc w:val="left"/>
      </w:pPr>
      <w:r>
        <w:t xml:space="preserve">On December 15, 2020, I emailed counsel for PECO regarding the status of the case.  Counsel emailed me on the same date and indicated that she had made multiple attempts to contact the Complainant via email and telephone and the Complainant had failed to return any communications.  Between October 23 and December 15, 2020, my office also tried to reach the Complainant via email on several occasions and was unsuccessful.  </w:t>
      </w:r>
    </w:p>
    <w:p w14:paraId="66DF1760" w14:textId="77777777" w:rsidR="00234537" w:rsidRDefault="00234537" w:rsidP="00234537">
      <w:pPr>
        <w:pStyle w:val="BodyText2"/>
        <w:spacing w:line="360" w:lineRule="auto"/>
        <w:ind w:firstLine="1440"/>
        <w:jc w:val="left"/>
      </w:pPr>
    </w:p>
    <w:p w14:paraId="1790A055" w14:textId="2F07F25A" w:rsidR="00234537" w:rsidRDefault="00234537" w:rsidP="00234537">
      <w:pPr>
        <w:pStyle w:val="BodyText2"/>
        <w:spacing w:line="360" w:lineRule="auto"/>
        <w:ind w:firstLine="1440"/>
        <w:jc w:val="left"/>
      </w:pPr>
      <w:r>
        <w:t xml:space="preserve">As the Complainant has failed to respond to communications from PECO and my office, </w:t>
      </w:r>
      <w:r w:rsidR="00491035">
        <w:t>I issued an Interim Order on March 4, 2021 which gave the Complainant an additional ten days to reach out to the Company to schedule a meter inspection</w:t>
      </w:r>
      <w:r>
        <w:t xml:space="preserve">.  </w:t>
      </w:r>
      <w:r w:rsidR="00491035">
        <w:t xml:space="preserve">The Order also directed the Company to provide a status update on the case.  On April 21, 2021, counsel for the Company via electronic mail indicated that the Complainant had failed to comply with the March 4, 2021 Order and had not contacted the Company within the ten-day period indicated in the Order to schedule a meter inspection.  This Order now closes the record in this matter.  </w:t>
      </w:r>
    </w:p>
    <w:p w14:paraId="2263AA48" w14:textId="77777777" w:rsidR="00234537" w:rsidRDefault="00234537" w:rsidP="00234537">
      <w:pPr>
        <w:pStyle w:val="BodyText2"/>
        <w:spacing w:line="360" w:lineRule="auto"/>
        <w:ind w:firstLine="1440"/>
        <w:jc w:val="left"/>
      </w:pPr>
    </w:p>
    <w:p w14:paraId="648857FB" w14:textId="77777777" w:rsidR="00234537" w:rsidRDefault="00234537" w:rsidP="00234537">
      <w:pPr>
        <w:pStyle w:val="BodyText2"/>
        <w:spacing w:line="360" w:lineRule="auto"/>
        <w:ind w:firstLine="1440"/>
        <w:jc w:val="left"/>
      </w:pPr>
    </w:p>
    <w:p w14:paraId="5DA4317E" w14:textId="77777777" w:rsidR="00234537" w:rsidRDefault="00234537" w:rsidP="00234537">
      <w:pPr>
        <w:widowControl/>
        <w:spacing w:line="360" w:lineRule="auto"/>
      </w:pPr>
      <w:r>
        <w:tab/>
      </w:r>
      <w:r>
        <w:tab/>
        <w:t>THEREFORE,</w:t>
      </w:r>
    </w:p>
    <w:p w14:paraId="7F0B8B88" w14:textId="77777777" w:rsidR="00234537" w:rsidRDefault="00234537" w:rsidP="00234537">
      <w:pPr>
        <w:pStyle w:val="BodyText2"/>
        <w:spacing w:line="360" w:lineRule="auto"/>
        <w:ind w:firstLine="1440"/>
        <w:jc w:val="left"/>
      </w:pPr>
    </w:p>
    <w:p w14:paraId="78F4DBA9" w14:textId="77777777" w:rsidR="00234537" w:rsidRDefault="00234537" w:rsidP="00234537">
      <w:pPr>
        <w:pStyle w:val="BodyText2"/>
        <w:spacing w:line="360" w:lineRule="auto"/>
        <w:ind w:firstLine="1440"/>
        <w:jc w:val="left"/>
      </w:pPr>
      <w:r>
        <w:t>IT IS ORDERED:</w:t>
      </w:r>
    </w:p>
    <w:p w14:paraId="649BDAF4" w14:textId="77777777" w:rsidR="00234537" w:rsidRDefault="00234537" w:rsidP="00234537">
      <w:pPr>
        <w:pStyle w:val="BodyText2"/>
        <w:spacing w:line="360" w:lineRule="auto"/>
        <w:ind w:firstLine="1440"/>
        <w:jc w:val="left"/>
      </w:pPr>
    </w:p>
    <w:p w14:paraId="1F827C32" w14:textId="20227C87" w:rsidR="00234537" w:rsidRDefault="00234537" w:rsidP="00491035">
      <w:pPr>
        <w:pStyle w:val="BodyText2"/>
        <w:numPr>
          <w:ilvl w:val="0"/>
          <w:numId w:val="1"/>
        </w:numPr>
        <w:spacing w:line="360" w:lineRule="auto"/>
        <w:ind w:left="0" w:firstLine="1440"/>
        <w:jc w:val="left"/>
      </w:pPr>
      <w:r>
        <w:t xml:space="preserve">That the </w:t>
      </w:r>
      <w:r w:rsidR="00491035">
        <w:t xml:space="preserve">record in this matter is closed as of the date of this Order.  </w:t>
      </w:r>
    </w:p>
    <w:p w14:paraId="6BE33EB0" w14:textId="77777777" w:rsidR="00234537" w:rsidRDefault="00234537" w:rsidP="00234537">
      <w:pPr>
        <w:tabs>
          <w:tab w:val="left" w:pos="0"/>
        </w:tabs>
        <w:spacing w:line="360" w:lineRule="auto"/>
        <w:jc w:val="both"/>
      </w:pPr>
    </w:p>
    <w:p w14:paraId="07E8CC71" w14:textId="6E824037" w:rsidR="00234537" w:rsidRPr="00E6777C" w:rsidRDefault="00234537" w:rsidP="00234537">
      <w:pPr>
        <w:tabs>
          <w:tab w:val="left" w:pos="0"/>
        </w:tabs>
        <w:jc w:val="both"/>
      </w:pPr>
      <w:r>
        <w:t xml:space="preserve">Date:  </w:t>
      </w:r>
      <w:r>
        <w:rPr>
          <w:u w:val="single"/>
        </w:rPr>
        <w:t>April 26, 2021</w:t>
      </w:r>
      <w:r>
        <w:tab/>
      </w:r>
      <w:r>
        <w:tab/>
      </w:r>
      <w:r>
        <w:tab/>
      </w:r>
      <w:r>
        <w:tab/>
      </w:r>
      <w:r w:rsidR="00E6777C" w:rsidRPr="00E6777C">
        <w:rPr>
          <w:u w:val="single"/>
        </w:rPr>
        <w:tab/>
      </w:r>
      <w:r w:rsidRPr="00E6777C">
        <w:rPr>
          <w:u w:val="single"/>
        </w:rPr>
        <w:t>/s</w:t>
      </w:r>
      <w:r w:rsidR="00E6777C">
        <w:rPr>
          <w:u w:val="single"/>
        </w:rPr>
        <w:t>/</w:t>
      </w:r>
      <w:r w:rsidR="00E6777C">
        <w:rPr>
          <w:u w:val="single"/>
        </w:rPr>
        <w:tab/>
      </w:r>
      <w:r w:rsidR="00E6777C">
        <w:rPr>
          <w:u w:val="single"/>
        </w:rPr>
        <w:tab/>
      </w:r>
      <w:r w:rsidR="00E6777C">
        <w:rPr>
          <w:u w:val="single"/>
        </w:rPr>
        <w:tab/>
      </w:r>
      <w:r w:rsidR="00E6777C">
        <w:rPr>
          <w:u w:val="single"/>
        </w:rPr>
        <w:tab/>
      </w:r>
    </w:p>
    <w:p w14:paraId="08F7D11D" w14:textId="77777777" w:rsidR="00234537" w:rsidRDefault="00234537" w:rsidP="00234537">
      <w:pPr>
        <w:tabs>
          <w:tab w:val="left" w:pos="0"/>
        </w:tabs>
        <w:jc w:val="both"/>
      </w:pPr>
      <w:r>
        <w:tab/>
      </w:r>
      <w:r>
        <w:tab/>
      </w:r>
      <w:r>
        <w:tab/>
      </w:r>
      <w:r>
        <w:tab/>
      </w:r>
      <w:r>
        <w:tab/>
      </w:r>
      <w:r>
        <w:tab/>
        <w:t>Marta Guhl</w:t>
      </w:r>
    </w:p>
    <w:p w14:paraId="261DF2A5" w14:textId="77777777" w:rsidR="00234537" w:rsidRDefault="00234537" w:rsidP="00234537">
      <w:pPr>
        <w:tabs>
          <w:tab w:val="left" w:pos="0"/>
        </w:tabs>
        <w:jc w:val="both"/>
      </w:pPr>
      <w:r>
        <w:tab/>
      </w:r>
      <w:r>
        <w:tab/>
      </w:r>
      <w:r>
        <w:tab/>
      </w:r>
      <w:r>
        <w:tab/>
      </w:r>
      <w:r>
        <w:tab/>
      </w:r>
      <w:r>
        <w:tab/>
        <w:t>Administrative Law Judge</w:t>
      </w:r>
    </w:p>
    <w:p w14:paraId="65F264C1" w14:textId="66A20F33" w:rsidR="00337D2C" w:rsidRDefault="00337D2C">
      <w:pPr>
        <w:widowControl/>
        <w:snapToGrid/>
        <w:spacing w:after="160" w:line="259" w:lineRule="auto"/>
      </w:pPr>
      <w:r>
        <w:br w:type="page"/>
      </w:r>
    </w:p>
    <w:p w14:paraId="722E0D89" w14:textId="27AACA66" w:rsidR="00234537" w:rsidRPr="00337D2C" w:rsidRDefault="00337D2C" w:rsidP="00337D2C">
      <w:pPr>
        <w:widowControl/>
        <w:snapToGrid/>
        <w:spacing w:after="160" w:line="259" w:lineRule="auto"/>
        <w:rPr>
          <w:rFonts w:eastAsia="Microsoft Sans Serif"/>
          <w:b/>
          <w:bCs/>
          <w:szCs w:val="24"/>
        </w:rPr>
      </w:pPr>
      <w:r w:rsidRPr="00337D2C">
        <w:rPr>
          <w:rFonts w:eastAsia="Microsoft Sans Serif"/>
          <w:b/>
          <w:szCs w:val="24"/>
          <w:u w:val="single"/>
        </w:rPr>
        <w:lastRenderedPageBreak/>
        <w:t>C-2020-3020085 - PIERRE-RICHARD SAMPEUR v. PECO ENERGY COMPANY</w:t>
      </w:r>
      <w:r w:rsidRPr="00337D2C">
        <w:rPr>
          <w:rFonts w:eastAsia="Microsoft Sans Serif"/>
          <w:b/>
          <w:szCs w:val="24"/>
          <w:u w:val="single"/>
        </w:rPr>
        <w:cr/>
      </w:r>
      <w:r w:rsidRPr="00337D2C">
        <w:rPr>
          <w:rFonts w:eastAsia="Microsoft Sans Serif"/>
          <w:b/>
          <w:szCs w:val="24"/>
          <w:u w:val="single"/>
        </w:rPr>
        <w:br/>
      </w:r>
      <w:r w:rsidRPr="00337D2C">
        <w:rPr>
          <w:rFonts w:eastAsia="Microsoft Sans Serif"/>
          <w:bCs/>
          <w:i/>
          <w:iCs/>
          <w:szCs w:val="24"/>
        </w:rPr>
        <w:t>Revised 08/17/20</w:t>
      </w:r>
      <w:r w:rsidRPr="00337D2C">
        <w:rPr>
          <w:rFonts w:eastAsia="Microsoft Sans Serif"/>
          <w:bCs/>
          <w:i/>
          <w:iCs/>
          <w:szCs w:val="24"/>
        </w:rPr>
        <w:cr/>
      </w:r>
      <w:r w:rsidRPr="00337D2C">
        <w:rPr>
          <w:rFonts w:eastAsia="Microsoft Sans Serif"/>
          <w:b/>
          <w:szCs w:val="24"/>
          <w:u w:val="single"/>
        </w:rPr>
        <w:br/>
      </w:r>
      <w:r w:rsidRPr="00337D2C">
        <w:rPr>
          <w:rFonts w:eastAsia="Microsoft Sans Serif"/>
          <w:szCs w:val="24"/>
        </w:rPr>
        <w:t>PIERRE-RICHARD SAMPEUR</w:t>
      </w:r>
      <w:r w:rsidRPr="00337D2C">
        <w:rPr>
          <w:rFonts w:eastAsia="Microsoft Sans Serif"/>
          <w:szCs w:val="24"/>
        </w:rPr>
        <w:cr/>
        <w:t>240 BEECHWOOD ROAD</w:t>
      </w:r>
      <w:r w:rsidRPr="00337D2C">
        <w:rPr>
          <w:rFonts w:eastAsia="Microsoft Sans Serif"/>
          <w:szCs w:val="24"/>
        </w:rPr>
        <w:cr/>
        <w:t>BROOKHAVEN PA  19015</w:t>
      </w:r>
      <w:r w:rsidRPr="00337D2C">
        <w:rPr>
          <w:rFonts w:eastAsia="Microsoft Sans Serif"/>
          <w:szCs w:val="24"/>
        </w:rPr>
        <w:cr/>
      </w:r>
      <w:r w:rsidRPr="00337D2C">
        <w:rPr>
          <w:rFonts w:eastAsia="Microsoft Sans Serif"/>
          <w:b/>
          <w:bCs/>
          <w:szCs w:val="24"/>
        </w:rPr>
        <w:t>267.403.6624</w:t>
      </w:r>
      <w:r w:rsidRPr="00337D2C">
        <w:rPr>
          <w:rFonts w:eastAsia="Microsoft Sans Serif"/>
          <w:b/>
          <w:bCs/>
          <w:szCs w:val="24"/>
        </w:rPr>
        <w:br/>
      </w:r>
      <w:hyperlink r:id="rId5" w:history="1">
        <w:r w:rsidRPr="00337D2C">
          <w:rPr>
            <w:rFonts w:eastAsia="Microsoft Sans Serif"/>
            <w:color w:val="0563C1" w:themeColor="hyperlink"/>
            <w:szCs w:val="24"/>
            <w:u w:val="single"/>
          </w:rPr>
          <w:t>pierrerichard230@comcast.net</w:t>
        </w:r>
      </w:hyperlink>
      <w:r w:rsidRPr="00337D2C">
        <w:rPr>
          <w:rFonts w:eastAsia="Microsoft Sans Serif"/>
          <w:b/>
          <w:bCs/>
          <w:szCs w:val="24"/>
        </w:rPr>
        <w:br/>
      </w:r>
      <w:r w:rsidRPr="00337D2C">
        <w:rPr>
          <w:szCs w:val="24"/>
        </w:rPr>
        <w:t>“</w:t>
      </w:r>
      <w:r w:rsidRPr="00337D2C">
        <w:rPr>
          <w:i/>
          <w:iCs/>
          <w:spacing w:val="-3"/>
          <w:szCs w:val="24"/>
        </w:rPr>
        <w:t>Via e-mail only due to Emergency Order at M-2020-3019262”  </w:t>
      </w:r>
      <w:r w:rsidRPr="00337D2C">
        <w:rPr>
          <w:rFonts w:eastAsia="Microsoft Sans Serif"/>
          <w:b/>
          <w:bCs/>
          <w:szCs w:val="24"/>
        </w:rPr>
        <w:br/>
      </w:r>
      <w:r w:rsidRPr="00337D2C">
        <w:rPr>
          <w:rFonts w:eastAsia="Microsoft Sans Serif"/>
          <w:b/>
          <w:bCs/>
          <w:szCs w:val="24"/>
        </w:rPr>
        <w:cr/>
      </w:r>
      <w:r w:rsidRPr="00337D2C">
        <w:rPr>
          <w:rFonts w:eastAsia="Microsoft Sans Serif"/>
          <w:b/>
          <w:bCs/>
          <w:szCs w:val="24"/>
        </w:rPr>
        <w:br/>
      </w:r>
      <w:r w:rsidRPr="00337D2C">
        <w:rPr>
          <w:rFonts w:eastAsia="Microsoft Sans Serif"/>
          <w:szCs w:val="24"/>
        </w:rPr>
        <w:t>KHADIJAH SCOTT ESQUIRE</w:t>
      </w:r>
      <w:r w:rsidRPr="00337D2C">
        <w:rPr>
          <w:rFonts w:eastAsia="Microsoft Sans Serif"/>
          <w:szCs w:val="24"/>
        </w:rPr>
        <w:br/>
        <w:t>PECO ENERGY COMPANY</w:t>
      </w:r>
      <w:r w:rsidRPr="00337D2C">
        <w:rPr>
          <w:rFonts w:eastAsia="Microsoft Sans Serif"/>
          <w:szCs w:val="24"/>
        </w:rPr>
        <w:cr/>
        <w:t>2301 MARKET STREET</w:t>
      </w:r>
      <w:r w:rsidRPr="00337D2C">
        <w:rPr>
          <w:rFonts w:eastAsia="Microsoft Sans Serif"/>
          <w:szCs w:val="24"/>
        </w:rPr>
        <w:cr/>
        <w:t>23RD FLOOR</w:t>
      </w:r>
      <w:r w:rsidRPr="00337D2C">
        <w:rPr>
          <w:rFonts w:eastAsia="Microsoft Sans Serif"/>
          <w:szCs w:val="24"/>
        </w:rPr>
        <w:cr/>
        <w:t>PHILADELPHIA PA  19103</w:t>
      </w:r>
      <w:r w:rsidRPr="00337D2C">
        <w:rPr>
          <w:rFonts w:eastAsia="Microsoft Sans Serif"/>
          <w:szCs w:val="24"/>
        </w:rPr>
        <w:cr/>
      </w:r>
      <w:r w:rsidRPr="00337D2C">
        <w:rPr>
          <w:rFonts w:eastAsia="Microsoft Sans Serif"/>
          <w:b/>
          <w:bCs/>
          <w:szCs w:val="24"/>
        </w:rPr>
        <w:t>215.841.6841</w:t>
      </w:r>
      <w:r w:rsidRPr="00337D2C">
        <w:rPr>
          <w:rFonts w:eastAsia="Microsoft Sans Serif"/>
          <w:b/>
          <w:bCs/>
          <w:szCs w:val="24"/>
        </w:rPr>
        <w:br/>
      </w:r>
      <w:hyperlink r:id="rId6" w:history="1">
        <w:r w:rsidRPr="00337D2C">
          <w:rPr>
            <w:rFonts w:eastAsia="Microsoft Sans Serif"/>
            <w:color w:val="0563C1" w:themeColor="hyperlink"/>
            <w:szCs w:val="24"/>
            <w:u w:val="single"/>
          </w:rPr>
          <w:t>khadijah.scott@exeloncorp.com</w:t>
        </w:r>
      </w:hyperlink>
      <w:r w:rsidRPr="00337D2C">
        <w:rPr>
          <w:rFonts w:eastAsia="Microsoft Sans Serif"/>
          <w:b/>
          <w:bCs/>
          <w:szCs w:val="24"/>
        </w:rPr>
        <w:br/>
      </w:r>
      <w:r w:rsidRPr="00337D2C">
        <w:rPr>
          <w:rFonts w:eastAsia="Microsoft Sans Serif"/>
          <w:szCs w:val="24"/>
        </w:rPr>
        <w:t>Accepts eService</w:t>
      </w:r>
    </w:p>
    <w:p w14:paraId="1F101E86" w14:textId="77777777" w:rsidR="00234537" w:rsidRPr="00337D2C" w:rsidRDefault="00234537" w:rsidP="00234537">
      <w:pPr>
        <w:rPr>
          <w:szCs w:val="24"/>
        </w:rPr>
      </w:pPr>
    </w:p>
    <w:p w14:paraId="42E8180E" w14:textId="77777777" w:rsidR="003C41AD" w:rsidRPr="00337D2C" w:rsidRDefault="003C41AD">
      <w:pPr>
        <w:rPr>
          <w:szCs w:val="24"/>
        </w:rPr>
      </w:pPr>
    </w:p>
    <w:sectPr w:rsidR="003C41AD" w:rsidRPr="00337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B032E"/>
    <w:multiLevelType w:val="hybridMultilevel"/>
    <w:tmpl w:val="14D23F24"/>
    <w:lvl w:ilvl="0" w:tplc="926A7A44">
      <w:start w:val="1"/>
      <w:numFmt w:val="decimal"/>
      <w:lvlText w:val="%1."/>
      <w:lvlJc w:val="left"/>
      <w:pPr>
        <w:ind w:left="3600" w:hanging="21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37"/>
    <w:rsid w:val="00234537"/>
    <w:rsid w:val="00337D2C"/>
    <w:rsid w:val="003C41AD"/>
    <w:rsid w:val="00491035"/>
    <w:rsid w:val="009633F4"/>
    <w:rsid w:val="00B5527A"/>
    <w:rsid w:val="00DB4DBF"/>
    <w:rsid w:val="00E6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2D7E"/>
  <w15:chartTrackingRefBased/>
  <w15:docId w15:val="{73733E68-1802-49CC-A9E8-5AC7B67E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37"/>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34537"/>
    <w:pPr>
      <w:spacing w:line="480" w:lineRule="auto"/>
      <w:ind w:firstLine="720"/>
      <w:jc w:val="both"/>
    </w:pPr>
  </w:style>
  <w:style w:type="character" w:customStyle="1" w:styleId="BodyText2Char">
    <w:name w:val="Body Text 2 Char"/>
    <w:basedOn w:val="DefaultParagraphFont"/>
    <w:link w:val="BodyText2"/>
    <w:rsid w:val="00234537"/>
    <w:rPr>
      <w:rFonts w:ascii="Times New Roman" w:eastAsia="Times New Roman" w:hAnsi="Times New Roman" w:cs="Times New Roman"/>
      <w:sz w:val="24"/>
      <w:szCs w:val="20"/>
    </w:rPr>
  </w:style>
  <w:style w:type="paragraph" w:styleId="ListParagraph">
    <w:name w:val="List Paragraph"/>
    <w:basedOn w:val="Normal"/>
    <w:uiPriority w:val="34"/>
    <w:qFormat/>
    <w:rsid w:val="00234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3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dijah.scott@exeloncorp.com" TargetMode="External"/><Relationship Id="rId5" Type="http://schemas.openxmlformats.org/officeDocument/2006/relationships/hyperlink" Target="mailto:pierrerichard230@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5</cp:revision>
  <dcterms:created xsi:type="dcterms:W3CDTF">2021-04-26T18:26:00Z</dcterms:created>
  <dcterms:modified xsi:type="dcterms:W3CDTF">2021-04-26T18:30:00Z</dcterms:modified>
</cp:coreProperties>
</file>