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CD158" w14:textId="77777777" w:rsidR="001C4AD6" w:rsidRPr="00695B0D" w:rsidRDefault="001C4AD6" w:rsidP="001C4AD6">
      <w:pPr>
        <w:widowControl/>
        <w:contextualSpacing/>
        <w:jc w:val="center"/>
        <w:rPr>
          <w:b/>
          <w:sz w:val="26"/>
          <w:szCs w:val="26"/>
        </w:rPr>
      </w:pPr>
      <w:r w:rsidRPr="00695B0D">
        <w:rPr>
          <w:b/>
          <w:sz w:val="26"/>
          <w:szCs w:val="26"/>
        </w:rPr>
        <w:t>PENNSYLVANIA</w:t>
      </w:r>
    </w:p>
    <w:p w14:paraId="05F7D565" w14:textId="77777777" w:rsidR="001C4AD6" w:rsidRPr="00695B0D" w:rsidRDefault="001C4AD6" w:rsidP="001C4AD6">
      <w:pPr>
        <w:widowControl/>
        <w:tabs>
          <w:tab w:val="center" w:pos="4680"/>
        </w:tabs>
        <w:suppressAutoHyphens/>
        <w:contextualSpacing/>
        <w:jc w:val="center"/>
        <w:rPr>
          <w:b/>
          <w:sz w:val="26"/>
          <w:szCs w:val="26"/>
        </w:rPr>
      </w:pPr>
      <w:r w:rsidRPr="00695B0D">
        <w:rPr>
          <w:b/>
          <w:sz w:val="26"/>
          <w:szCs w:val="26"/>
        </w:rPr>
        <w:t>PUBLIC UTILITY COMMISSION</w:t>
      </w:r>
    </w:p>
    <w:p w14:paraId="0FC22E8E" w14:textId="77777777" w:rsidR="001C4AD6" w:rsidRPr="00695B0D" w:rsidRDefault="001C4AD6" w:rsidP="001C4AD6">
      <w:pPr>
        <w:widowControl/>
        <w:tabs>
          <w:tab w:val="center" w:pos="4680"/>
        </w:tabs>
        <w:suppressAutoHyphens/>
        <w:contextualSpacing/>
        <w:jc w:val="center"/>
        <w:rPr>
          <w:b/>
          <w:sz w:val="26"/>
          <w:szCs w:val="26"/>
        </w:rPr>
      </w:pPr>
      <w:r w:rsidRPr="00695B0D">
        <w:rPr>
          <w:b/>
          <w:sz w:val="26"/>
          <w:szCs w:val="26"/>
        </w:rPr>
        <w:t>Harrisburg, PA  17120</w:t>
      </w:r>
    </w:p>
    <w:p w14:paraId="2780AD2B" w14:textId="1BE41C62" w:rsidR="001C4AD6" w:rsidRPr="00695B0D" w:rsidRDefault="001C4AD6" w:rsidP="00C177D5">
      <w:pPr>
        <w:widowControl/>
        <w:tabs>
          <w:tab w:val="left" w:pos="-720"/>
        </w:tabs>
        <w:suppressAutoHyphens/>
        <w:contextualSpacing/>
        <w:rPr>
          <w:sz w:val="26"/>
          <w:szCs w:val="26"/>
        </w:rPr>
      </w:pPr>
    </w:p>
    <w:p w14:paraId="1921A389" w14:textId="77777777" w:rsidR="00C177D5" w:rsidRPr="00695B0D" w:rsidRDefault="00C177D5" w:rsidP="00C177D5">
      <w:pPr>
        <w:widowControl/>
        <w:tabs>
          <w:tab w:val="left" w:pos="-720"/>
        </w:tabs>
        <w:suppressAutoHyphens/>
        <w:contextualSpacing/>
        <w:rPr>
          <w:sz w:val="26"/>
          <w:szCs w:val="26"/>
        </w:rPr>
      </w:pPr>
    </w:p>
    <w:p w14:paraId="613AE01F" w14:textId="7B2CCA41" w:rsidR="001C4AD6" w:rsidRPr="00695B0D" w:rsidRDefault="001C4AD6" w:rsidP="00C177D5">
      <w:pPr>
        <w:widowControl/>
        <w:tabs>
          <w:tab w:val="right" w:pos="9360"/>
        </w:tabs>
        <w:suppressAutoHyphens/>
        <w:contextualSpacing/>
        <w:jc w:val="right"/>
        <w:rPr>
          <w:sz w:val="26"/>
          <w:szCs w:val="26"/>
        </w:rPr>
      </w:pPr>
      <w:r w:rsidRPr="00695B0D">
        <w:rPr>
          <w:sz w:val="26"/>
          <w:szCs w:val="26"/>
        </w:rPr>
        <w:t>Public Meeting held</w:t>
      </w:r>
      <w:r w:rsidR="00EF2FEB" w:rsidRPr="00695B0D">
        <w:rPr>
          <w:sz w:val="26"/>
          <w:szCs w:val="26"/>
        </w:rPr>
        <w:t xml:space="preserve"> May 6</w:t>
      </w:r>
      <w:r w:rsidR="003D5BAC" w:rsidRPr="00695B0D">
        <w:rPr>
          <w:sz w:val="26"/>
          <w:szCs w:val="26"/>
        </w:rPr>
        <w:t>,</w:t>
      </w:r>
      <w:r w:rsidRPr="00695B0D">
        <w:rPr>
          <w:sz w:val="26"/>
          <w:szCs w:val="26"/>
        </w:rPr>
        <w:t xml:space="preserve"> 202</w:t>
      </w:r>
      <w:r w:rsidR="00EF2FEB" w:rsidRPr="00695B0D">
        <w:rPr>
          <w:sz w:val="26"/>
          <w:szCs w:val="26"/>
        </w:rPr>
        <w:t>1</w:t>
      </w:r>
    </w:p>
    <w:p w14:paraId="2AB4E65F" w14:textId="58978CFB" w:rsidR="001C4AD6" w:rsidRPr="00695B0D" w:rsidRDefault="001C4AD6" w:rsidP="00C177D5">
      <w:pPr>
        <w:widowControl/>
        <w:tabs>
          <w:tab w:val="left" w:pos="-720"/>
        </w:tabs>
        <w:suppressAutoHyphens/>
        <w:contextualSpacing/>
        <w:rPr>
          <w:sz w:val="26"/>
          <w:szCs w:val="26"/>
        </w:rPr>
      </w:pPr>
    </w:p>
    <w:p w14:paraId="49084BE7" w14:textId="77777777" w:rsidR="00562D52" w:rsidRPr="00695B0D" w:rsidRDefault="00562D52" w:rsidP="00C177D5">
      <w:pPr>
        <w:widowControl/>
        <w:tabs>
          <w:tab w:val="left" w:pos="-720"/>
        </w:tabs>
        <w:suppressAutoHyphens/>
        <w:contextualSpacing/>
        <w:rPr>
          <w:sz w:val="26"/>
          <w:szCs w:val="26"/>
        </w:rPr>
      </w:pPr>
    </w:p>
    <w:p w14:paraId="78F68D92" w14:textId="54EF31A9" w:rsidR="001C4AD6" w:rsidRPr="00695B0D" w:rsidRDefault="001C4AD6" w:rsidP="00C177D5">
      <w:pPr>
        <w:widowControl/>
        <w:tabs>
          <w:tab w:val="left" w:pos="-720"/>
        </w:tabs>
        <w:suppressAutoHyphens/>
        <w:contextualSpacing/>
        <w:rPr>
          <w:sz w:val="26"/>
          <w:szCs w:val="26"/>
        </w:rPr>
      </w:pPr>
      <w:r w:rsidRPr="00695B0D">
        <w:rPr>
          <w:sz w:val="26"/>
          <w:szCs w:val="26"/>
        </w:rPr>
        <w:t>Commissioners Present:</w:t>
      </w:r>
    </w:p>
    <w:p w14:paraId="7750F06A" w14:textId="77777777" w:rsidR="00106D7F" w:rsidRPr="00695B0D" w:rsidRDefault="00106D7F" w:rsidP="00C177D5">
      <w:pPr>
        <w:widowControl/>
        <w:tabs>
          <w:tab w:val="left" w:pos="-720"/>
        </w:tabs>
        <w:suppressAutoHyphens/>
        <w:contextualSpacing/>
        <w:rPr>
          <w:sz w:val="26"/>
          <w:szCs w:val="26"/>
        </w:rPr>
      </w:pPr>
    </w:p>
    <w:tbl>
      <w:tblPr>
        <w:tblW w:w="9558" w:type="dxa"/>
        <w:tblLayout w:type="fixed"/>
        <w:tblLook w:val="0000" w:firstRow="0" w:lastRow="0" w:firstColumn="0" w:lastColumn="0" w:noHBand="0" w:noVBand="0"/>
      </w:tblPr>
      <w:tblGrid>
        <w:gridCol w:w="9558"/>
      </w:tblGrid>
      <w:tr w:rsidR="00FB592A" w:rsidRPr="00695B0D" w14:paraId="00ACA63F" w14:textId="77777777" w:rsidTr="00390072">
        <w:tc>
          <w:tcPr>
            <w:tcW w:w="9558" w:type="dxa"/>
          </w:tcPr>
          <w:p w14:paraId="1F1B9841" w14:textId="77777777" w:rsidR="00FB592A" w:rsidRPr="00695B0D" w:rsidRDefault="00FB592A" w:rsidP="00C177D5">
            <w:pPr>
              <w:pStyle w:val="NoSpacing"/>
              <w:ind w:firstLine="705"/>
              <w:rPr>
                <w:rFonts w:ascii="Times New Roman" w:hAnsi="Times New Roman"/>
                <w:sz w:val="26"/>
                <w:szCs w:val="26"/>
              </w:rPr>
            </w:pPr>
            <w:r w:rsidRPr="00695B0D">
              <w:rPr>
                <w:rFonts w:ascii="Times New Roman" w:hAnsi="Times New Roman"/>
                <w:sz w:val="26"/>
                <w:szCs w:val="26"/>
              </w:rPr>
              <w:t>Gladys Brown Dutrieuille, Chairman</w:t>
            </w:r>
          </w:p>
        </w:tc>
      </w:tr>
      <w:tr w:rsidR="00FB592A" w:rsidRPr="00695B0D" w14:paraId="12F09317" w14:textId="77777777" w:rsidTr="00390072">
        <w:tc>
          <w:tcPr>
            <w:tcW w:w="9558" w:type="dxa"/>
          </w:tcPr>
          <w:p w14:paraId="7A726DF0" w14:textId="77777777" w:rsidR="00FB592A" w:rsidRPr="00695B0D" w:rsidRDefault="00FB592A" w:rsidP="00C177D5">
            <w:pPr>
              <w:ind w:firstLine="705"/>
              <w:rPr>
                <w:sz w:val="26"/>
                <w:szCs w:val="26"/>
              </w:rPr>
            </w:pPr>
            <w:r w:rsidRPr="00695B0D">
              <w:rPr>
                <w:sz w:val="26"/>
                <w:szCs w:val="26"/>
              </w:rPr>
              <w:t>David W. Sweet, Vice Chairman</w:t>
            </w:r>
          </w:p>
        </w:tc>
      </w:tr>
      <w:tr w:rsidR="00FB592A" w:rsidRPr="00695B0D" w14:paraId="137791E9" w14:textId="77777777" w:rsidTr="00390072">
        <w:tc>
          <w:tcPr>
            <w:tcW w:w="9558" w:type="dxa"/>
          </w:tcPr>
          <w:p w14:paraId="3247A4F6" w14:textId="1C89B578" w:rsidR="00FB592A" w:rsidRPr="00695B0D" w:rsidRDefault="00FB592A" w:rsidP="00C177D5">
            <w:pPr>
              <w:pStyle w:val="p5"/>
              <w:ind w:left="0" w:firstLine="705"/>
              <w:rPr>
                <w:sz w:val="26"/>
                <w:szCs w:val="26"/>
              </w:rPr>
            </w:pPr>
            <w:r w:rsidRPr="00695B0D">
              <w:rPr>
                <w:sz w:val="26"/>
                <w:szCs w:val="26"/>
              </w:rPr>
              <w:t>John F. Coleman, Jr.</w:t>
            </w:r>
          </w:p>
          <w:p w14:paraId="01902F69" w14:textId="77777777" w:rsidR="00FB592A" w:rsidRPr="00695B0D" w:rsidRDefault="00FB592A" w:rsidP="00C177D5">
            <w:pPr>
              <w:ind w:firstLine="705"/>
              <w:rPr>
                <w:sz w:val="26"/>
                <w:szCs w:val="26"/>
              </w:rPr>
            </w:pPr>
            <w:r w:rsidRPr="00695B0D">
              <w:rPr>
                <w:sz w:val="26"/>
                <w:szCs w:val="26"/>
              </w:rPr>
              <w:t>Ralph V. Yanora</w:t>
            </w:r>
          </w:p>
        </w:tc>
      </w:tr>
    </w:tbl>
    <w:p w14:paraId="68129BFA" w14:textId="5E54CB23" w:rsidR="001C4AD6" w:rsidRPr="00695B0D" w:rsidRDefault="001C4AD6" w:rsidP="00C177D5">
      <w:pPr>
        <w:widowControl/>
        <w:tabs>
          <w:tab w:val="left" w:pos="-720"/>
        </w:tabs>
        <w:suppressAutoHyphens/>
        <w:contextualSpacing/>
        <w:rPr>
          <w:sz w:val="26"/>
          <w:szCs w:val="26"/>
        </w:rPr>
      </w:pPr>
    </w:p>
    <w:p w14:paraId="7601DEF8" w14:textId="40D3C774" w:rsidR="00562D52" w:rsidRPr="00695B0D" w:rsidRDefault="00562D52" w:rsidP="00C177D5">
      <w:pPr>
        <w:widowControl/>
        <w:tabs>
          <w:tab w:val="left" w:pos="-720"/>
        </w:tabs>
        <w:suppressAutoHyphens/>
        <w:contextualSpacing/>
        <w:rPr>
          <w:sz w:val="26"/>
          <w:szCs w:val="26"/>
        </w:rPr>
      </w:pPr>
    </w:p>
    <w:tbl>
      <w:tblPr>
        <w:tblW w:w="0" w:type="auto"/>
        <w:jc w:val="center"/>
        <w:tblLook w:val="00A0" w:firstRow="1" w:lastRow="0" w:firstColumn="1" w:lastColumn="0" w:noHBand="0" w:noVBand="0"/>
      </w:tblPr>
      <w:tblGrid>
        <w:gridCol w:w="4696"/>
        <w:gridCol w:w="4664"/>
      </w:tblGrid>
      <w:tr w:rsidR="003D5BAC" w:rsidRPr="00695B0D" w14:paraId="19450D14" w14:textId="77777777" w:rsidTr="00C13D10">
        <w:trPr>
          <w:jc w:val="center"/>
        </w:trPr>
        <w:tc>
          <w:tcPr>
            <w:tcW w:w="4696" w:type="dxa"/>
          </w:tcPr>
          <w:p w14:paraId="6C739735" w14:textId="24255C9C" w:rsidR="001C4AD6" w:rsidRPr="00695B0D" w:rsidRDefault="002B7635" w:rsidP="00C177D5">
            <w:pPr>
              <w:widowControl/>
              <w:contextualSpacing/>
              <w:rPr>
                <w:sz w:val="26"/>
                <w:szCs w:val="26"/>
              </w:rPr>
            </w:pPr>
            <w:r w:rsidRPr="00695B0D">
              <w:rPr>
                <w:sz w:val="26"/>
                <w:szCs w:val="26"/>
              </w:rPr>
              <w:t>License Application of G</w:t>
            </w:r>
            <w:r w:rsidR="006F7A09" w:rsidRPr="00695B0D">
              <w:rPr>
                <w:sz w:val="26"/>
                <w:szCs w:val="26"/>
              </w:rPr>
              <w:t>REENCROWN</w:t>
            </w:r>
            <w:r w:rsidRPr="00695B0D">
              <w:rPr>
                <w:sz w:val="26"/>
                <w:szCs w:val="26"/>
              </w:rPr>
              <w:t xml:space="preserve"> Energy, LLC for Approval to Offer, Render, Furnish, or Supply Electricity or Electric Generation Services as a Broker/Marketer</w:t>
            </w:r>
          </w:p>
        </w:tc>
        <w:tc>
          <w:tcPr>
            <w:tcW w:w="4664" w:type="dxa"/>
          </w:tcPr>
          <w:p w14:paraId="2ECEA607" w14:textId="53DF7111" w:rsidR="001C4AD6" w:rsidRPr="00695B0D" w:rsidRDefault="003D5BAC" w:rsidP="00C177D5">
            <w:pPr>
              <w:widowControl/>
              <w:contextualSpacing/>
              <w:jc w:val="right"/>
              <w:rPr>
                <w:sz w:val="26"/>
                <w:szCs w:val="26"/>
              </w:rPr>
            </w:pPr>
            <w:r w:rsidRPr="00695B0D">
              <w:rPr>
                <w:sz w:val="26"/>
                <w:szCs w:val="26"/>
              </w:rPr>
              <w:t>A-2020-302</w:t>
            </w:r>
            <w:r w:rsidR="002B7635" w:rsidRPr="00695B0D">
              <w:rPr>
                <w:sz w:val="26"/>
                <w:szCs w:val="26"/>
              </w:rPr>
              <w:t>1546</w:t>
            </w:r>
          </w:p>
          <w:p w14:paraId="48C437E7" w14:textId="77777777" w:rsidR="001C4AD6" w:rsidRPr="00695B0D" w:rsidRDefault="001C4AD6" w:rsidP="00C177D5">
            <w:pPr>
              <w:widowControl/>
              <w:contextualSpacing/>
              <w:jc w:val="right"/>
              <w:rPr>
                <w:sz w:val="26"/>
                <w:szCs w:val="26"/>
              </w:rPr>
            </w:pPr>
          </w:p>
          <w:p w14:paraId="18DAB456" w14:textId="1B1817BE" w:rsidR="001C4AD6" w:rsidRPr="00695B0D" w:rsidRDefault="001C4AD6" w:rsidP="00C177D5">
            <w:pPr>
              <w:widowControl/>
              <w:contextualSpacing/>
              <w:jc w:val="right"/>
              <w:rPr>
                <w:sz w:val="26"/>
                <w:szCs w:val="26"/>
              </w:rPr>
            </w:pPr>
          </w:p>
        </w:tc>
      </w:tr>
    </w:tbl>
    <w:p w14:paraId="091376D6" w14:textId="78BAC73C" w:rsidR="001C4AD6" w:rsidRPr="00695B0D" w:rsidRDefault="001C4AD6" w:rsidP="00C177D5">
      <w:pPr>
        <w:widowControl/>
        <w:tabs>
          <w:tab w:val="center" w:pos="4680"/>
        </w:tabs>
        <w:suppressAutoHyphens/>
        <w:contextualSpacing/>
        <w:rPr>
          <w:sz w:val="26"/>
          <w:szCs w:val="26"/>
        </w:rPr>
      </w:pPr>
    </w:p>
    <w:p w14:paraId="307A4AF3" w14:textId="77777777" w:rsidR="003D5BAC" w:rsidRPr="00695B0D" w:rsidRDefault="003D5BAC" w:rsidP="001C4AD6">
      <w:pPr>
        <w:widowControl/>
        <w:tabs>
          <w:tab w:val="center" w:pos="4680"/>
        </w:tabs>
        <w:suppressAutoHyphens/>
        <w:spacing w:line="360" w:lineRule="auto"/>
        <w:contextualSpacing/>
        <w:rPr>
          <w:sz w:val="26"/>
          <w:szCs w:val="26"/>
        </w:rPr>
      </w:pPr>
    </w:p>
    <w:p w14:paraId="4AC2968E" w14:textId="77777777" w:rsidR="00776AD2" w:rsidRPr="00695B0D" w:rsidRDefault="001C4AD6" w:rsidP="001C4AD6">
      <w:pPr>
        <w:widowControl/>
        <w:contextualSpacing/>
        <w:jc w:val="center"/>
        <w:rPr>
          <w:b/>
          <w:sz w:val="26"/>
          <w:szCs w:val="26"/>
        </w:rPr>
      </w:pPr>
      <w:r w:rsidRPr="00695B0D">
        <w:rPr>
          <w:b/>
          <w:sz w:val="26"/>
          <w:szCs w:val="26"/>
        </w:rPr>
        <w:t>OPINION AND ORDER</w:t>
      </w:r>
    </w:p>
    <w:p w14:paraId="4D732452" w14:textId="77777777" w:rsidR="00776AD2" w:rsidRPr="00695B0D" w:rsidRDefault="00776AD2" w:rsidP="003D5BAC">
      <w:pPr>
        <w:widowControl/>
        <w:contextualSpacing/>
        <w:rPr>
          <w:b/>
          <w:sz w:val="26"/>
          <w:szCs w:val="26"/>
        </w:rPr>
      </w:pPr>
    </w:p>
    <w:p w14:paraId="5545396D" w14:textId="77777777" w:rsidR="00C50B7A" w:rsidRPr="00695B0D" w:rsidRDefault="00C50B7A" w:rsidP="007A08A5">
      <w:pPr>
        <w:widowControl/>
        <w:contextualSpacing/>
        <w:rPr>
          <w:b/>
          <w:sz w:val="26"/>
          <w:szCs w:val="26"/>
        </w:rPr>
      </w:pPr>
    </w:p>
    <w:p w14:paraId="5BB8EA0E" w14:textId="0AB8FB69" w:rsidR="00776AD2" w:rsidRPr="00695B0D" w:rsidRDefault="00776AD2" w:rsidP="00454273">
      <w:pPr>
        <w:widowControl/>
        <w:spacing w:line="360" w:lineRule="auto"/>
        <w:contextualSpacing/>
        <w:rPr>
          <w:b/>
          <w:sz w:val="26"/>
          <w:szCs w:val="26"/>
        </w:rPr>
      </w:pPr>
      <w:r w:rsidRPr="00695B0D">
        <w:rPr>
          <w:b/>
          <w:sz w:val="26"/>
          <w:szCs w:val="26"/>
        </w:rPr>
        <w:t>BY THE COMMISSION:</w:t>
      </w:r>
      <w:r w:rsidR="00B0360E" w:rsidRPr="00695B0D">
        <w:rPr>
          <w:b/>
          <w:sz w:val="26"/>
          <w:szCs w:val="26"/>
        </w:rPr>
        <w:t xml:space="preserve"> </w:t>
      </w:r>
    </w:p>
    <w:p w14:paraId="75919BC5" w14:textId="77777777" w:rsidR="00562D52" w:rsidRPr="00695B0D" w:rsidRDefault="00562D52" w:rsidP="00562D52">
      <w:pPr>
        <w:widowControl/>
        <w:contextualSpacing/>
        <w:rPr>
          <w:b/>
          <w:sz w:val="26"/>
          <w:szCs w:val="26"/>
        </w:rPr>
      </w:pPr>
    </w:p>
    <w:p w14:paraId="257EE483" w14:textId="1D207EEF" w:rsidR="006C7EB6" w:rsidRPr="00695B0D" w:rsidRDefault="008E6D82" w:rsidP="00454273">
      <w:pPr>
        <w:widowControl/>
        <w:spacing w:line="360" w:lineRule="auto"/>
        <w:ind w:firstLine="1440"/>
        <w:rPr>
          <w:sz w:val="24"/>
          <w:szCs w:val="24"/>
        </w:rPr>
      </w:pPr>
      <w:r w:rsidRPr="00695B0D">
        <w:rPr>
          <w:sz w:val="26"/>
          <w:szCs w:val="26"/>
        </w:rPr>
        <w:t>Before the Pennsylvania Public Utility Commission (Commission) for consideration and disposition</w:t>
      </w:r>
      <w:r w:rsidR="003D5BAC" w:rsidRPr="00695B0D">
        <w:rPr>
          <w:sz w:val="26"/>
        </w:rPr>
        <w:t xml:space="preserve"> is the Petition for Reconsideration</w:t>
      </w:r>
      <w:r w:rsidR="009A251A" w:rsidRPr="00695B0D">
        <w:rPr>
          <w:sz w:val="26"/>
        </w:rPr>
        <w:t>, Rescission and Reinstatement</w:t>
      </w:r>
      <w:r w:rsidR="003D5BAC" w:rsidRPr="00695B0D">
        <w:rPr>
          <w:sz w:val="26"/>
        </w:rPr>
        <w:t xml:space="preserve"> (Petition), filed by </w:t>
      </w:r>
      <w:bookmarkStart w:id="0" w:name="_Hlk534639008"/>
      <w:bookmarkStart w:id="1" w:name="_Hlk69401858"/>
      <w:r w:rsidR="002B7635" w:rsidRPr="00695B0D">
        <w:rPr>
          <w:sz w:val="26"/>
        </w:rPr>
        <w:t>G</w:t>
      </w:r>
      <w:r w:rsidR="006F7A09" w:rsidRPr="00695B0D">
        <w:rPr>
          <w:sz w:val="26"/>
        </w:rPr>
        <w:t>REENCROWN</w:t>
      </w:r>
      <w:r w:rsidR="002B7635" w:rsidRPr="00695B0D">
        <w:rPr>
          <w:sz w:val="26"/>
        </w:rPr>
        <w:t xml:space="preserve"> Energy, LLC</w:t>
      </w:r>
      <w:r w:rsidR="003D5BAC" w:rsidRPr="00695B0D">
        <w:rPr>
          <w:sz w:val="26"/>
        </w:rPr>
        <w:t xml:space="preserve"> </w:t>
      </w:r>
      <w:bookmarkEnd w:id="0"/>
      <w:r w:rsidR="00EF2FEB" w:rsidRPr="00695B0D">
        <w:rPr>
          <w:sz w:val="26"/>
        </w:rPr>
        <w:t>(G</w:t>
      </w:r>
      <w:r w:rsidR="00A258AE" w:rsidRPr="00695B0D">
        <w:rPr>
          <w:sz w:val="26"/>
        </w:rPr>
        <w:t>REENCROWN</w:t>
      </w:r>
      <w:r w:rsidR="00A070DB" w:rsidRPr="00695B0D">
        <w:rPr>
          <w:sz w:val="26"/>
        </w:rPr>
        <w:t xml:space="preserve"> or Petitioner</w:t>
      </w:r>
      <w:r w:rsidR="00EF2FEB" w:rsidRPr="00695B0D">
        <w:rPr>
          <w:sz w:val="26"/>
        </w:rPr>
        <w:t xml:space="preserve">) </w:t>
      </w:r>
      <w:r w:rsidR="003D5BAC" w:rsidRPr="00695B0D">
        <w:rPr>
          <w:sz w:val="26"/>
        </w:rPr>
        <w:t xml:space="preserve">on November </w:t>
      </w:r>
      <w:r w:rsidR="002B7635" w:rsidRPr="00695B0D">
        <w:rPr>
          <w:sz w:val="26"/>
        </w:rPr>
        <w:t>26</w:t>
      </w:r>
      <w:r w:rsidR="003D5BAC" w:rsidRPr="00695B0D">
        <w:rPr>
          <w:sz w:val="26"/>
        </w:rPr>
        <w:t xml:space="preserve">, 2020, </w:t>
      </w:r>
      <w:bookmarkEnd w:id="1"/>
      <w:r w:rsidR="003D5BAC" w:rsidRPr="00695B0D">
        <w:rPr>
          <w:sz w:val="26"/>
        </w:rPr>
        <w:t>seeking reconsideration</w:t>
      </w:r>
      <w:r w:rsidR="006F7A09" w:rsidRPr="00695B0D">
        <w:rPr>
          <w:sz w:val="26"/>
        </w:rPr>
        <w:t>, rescission</w:t>
      </w:r>
      <w:r w:rsidR="003D5BAC" w:rsidRPr="00695B0D">
        <w:rPr>
          <w:sz w:val="26"/>
        </w:rPr>
        <w:t xml:space="preserve"> and </w:t>
      </w:r>
      <w:r w:rsidR="006F7A09" w:rsidRPr="00695B0D">
        <w:rPr>
          <w:sz w:val="26"/>
        </w:rPr>
        <w:t>reinstatement</w:t>
      </w:r>
      <w:r w:rsidR="00EC29DE" w:rsidRPr="00695B0D">
        <w:rPr>
          <w:sz w:val="26"/>
        </w:rPr>
        <w:t xml:space="preserve"> </w:t>
      </w:r>
      <w:r w:rsidR="003D5BAC" w:rsidRPr="00695B0D">
        <w:rPr>
          <w:sz w:val="26"/>
        </w:rPr>
        <w:t>of the Commission’s Opinion and Order entered November 19, 2020</w:t>
      </w:r>
      <w:r w:rsidR="00EF2FEB" w:rsidRPr="00695B0D">
        <w:rPr>
          <w:sz w:val="26"/>
        </w:rPr>
        <w:t xml:space="preserve"> </w:t>
      </w:r>
      <w:r w:rsidR="00EF2FEB" w:rsidRPr="00695B0D">
        <w:rPr>
          <w:i/>
          <w:iCs/>
          <w:sz w:val="26"/>
        </w:rPr>
        <w:t>(November 2020 Order)</w:t>
      </w:r>
      <w:r w:rsidR="003D5BAC" w:rsidRPr="00695B0D">
        <w:rPr>
          <w:sz w:val="26"/>
        </w:rPr>
        <w:t>,</w:t>
      </w:r>
      <w:r w:rsidR="00A070DB" w:rsidRPr="00695B0D">
        <w:rPr>
          <w:rStyle w:val="FootnoteReference"/>
          <w:sz w:val="26"/>
        </w:rPr>
        <w:footnoteReference w:id="1"/>
      </w:r>
      <w:r w:rsidR="006C7EB6" w:rsidRPr="00695B0D">
        <w:rPr>
          <w:sz w:val="26"/>
        </w:rPr>
        <w:t xml:space="preserve"> </w:t>
      </w:r>
      <w:r w:rsidR="003D5BAC" w:rsidRPr="00695B0D">
        <w:rPr>
          <w:sz w:val="26"/>
        </w:rPr>
        <w:t xml:space="preserve">relative to the above-captioned proceeding.  </w:t>
      </w:r>
      <w:r w:rsidR="006C7EB6" w:rsidRPr="00695B0D">
        <w:rPr>
          <w:sz w:val="26"/>
        </w:rPr>
        <w:t>By Order entered December</w:t>
      </w:r>
      <w:r w:rsidR="00F73E4F" w:rsidRPr="00695B0D">
        <w:rPr>
          <w:sz w:val="26"/>
        </w:rPr>
        <w:t> </w:t>
      </w:r>
      <w:r w:rsidR="006C7EB6" w:rsidRPr="00695B0D">
        <w:rPr>
          <w:sz w:val="26"/>
        </w:rPr>
        <w:t>17,</w:t>
      </w:r>
      <w:r w:rsidR="00F73E4F" w:rsidRPr="00695B0D">
        <w:rPr>
          <w:sz w:val="26"/>
        </w:rPr>
        <w:t> </w:t>
      </w:r>
      <w:r w:rsidR="006C7EB6" w:rsidRPr="00695B0D">
        <w:rPr>
          <w:sz w:val="26"/>
        </w:rPr>
        <w:t xml:space="preserve">2020, we granted reconsideration, within the meaning of </w:t>
      </w:r>
      <w:r w:rsidR="006C7EB6" w:rsidRPr="00695B0D">
        <w:rPr>
          <w:sz w:val="26"/>
        </w:rPr>
        <w:lastRenderedPageBreak/>
        <w:t>Pa.</w:t>
      </w:r>
      <w:r w:rsidR="00C13D10" w:rsidRPr="00695B0D">
        <w:rPr>
          <w:sz w:val="26"/>
        </w:rPr>
        <w:t> </w:t>
      </w:r>
      <w:r w:rsidR="006C7EB6" w:rsidRPr="00695B0D">
        <w:rPr>
          <w:sz w:val="26"/>
        </w:rPr>
        <w:t>R.A.P.</w:t>
      </w:r>
      <w:r w:rsidR="00C13D10" w:rsidRPr="00695B0D">
        <w:rPr>
          <w:sz w:val="26"/>
        </w:rPr>
        <w:t> </w:t>
      </w:r>
      <w:r w:rsidR="006C7EB6" w:rsidRPr="00695B0D">
        <w:rPr>
          <w:sz w:val="26"/>
        </w:rPr>
        <w:t>Rule</w:t>
      </w:r>
      <w:r w:rsidR="00F73E4F" w:rsidRPr="00695B0D">
        <w:rPr>
          <w:sz w:val="26"/>
        </w:rPr>
        <w:t> </w:t>
      </w:r>
      <w:r w:rsidR="006C7EB6" w:rsidRPr="00695B0D">
        <w:rPr>
          <w:sz w:val="26"/>
        </w:rPr>
        <w:t>1701(b)(3), pending review of, and consideration on, the merits of the Petition.  No</w:t>
      </w:r>
      <w:r w:rsidR="00F73E4F" w:rsidRPr="00695B0D">
        <w:rPr>
          <w:sz w:val="26"/>
        </w:rPr>
        <w:t> </w:t>
      </w:r>
      <w:r w:rsidR="006C7EB6" w:rsidRPr="00695B0D">
        <w:rPr>
          <w:sz w:val="26"/>
        </w:rPr>
        <w:t>Answer to the Petition</w:t>
      </w:r>
      <w:r w:rsidR="00A84090" w:rsidRPr="00695B0D">
        <w:rPr>
          <w:sz w:val="26"/>
        </w:rPr>
        <w:t xml:space="preserve"> has been</w:t>
      </w:r>
      <w:r w:rsidR="006C7EB6" w:rsidRPr="00695B0D">
        <w:rPr>
          <w:sz w:val="26"/>
        </w:rPr>
        <w:t xml:space="preserve"> filed.  </w:t>
      </w:r>
      <w:r w:rsidR="006C7EB6" w:rsidRPr="00695B0D">
        <w:rPr>
          <w:sz w:val="26"/>
          <w:szCs w:val="26"/>
        </w:rPr>
        <w:t>For the reasons stated below, we shall grant the Petition</w:t>
      </w:r>
      <w:r w:rsidR="00CC2EB9" w:rsidRPr="00695B0D">
        <w:rPr>
          <w:sz w:val="26"/>
          <w:szCs w:val="26"/>
        </w:rPr>
        <w:t xml:space="preserve"> and remand the matter to the Commission’s Bureau of Technical Utility Services (TUS) for further processing</w:t>
      </w:r>
      <w:r w:rsidR="0055218E" w:rsidRPr="00695B0D">
        <w:rPr>
          <w:sz w:val="26"/>
          <w:szCs w:val="26"/>
        </w:rPr>
        <w:t xml:space="preserve"> as may be deemed necessary</w:t>
      </w:r>
      <w:r w:rsidR="006C7EB6" w:rsidRPr="00695B0D">
        <w:rPr>
          <w:sz w:val="26"/>
          <w:szCs w:val="26"/>
        </w:rPr>
        <w:t xml:space="preserve">, consistent with the discussion in this </w:t>
      </w:r>
      <w:r w:rsidR="000433DD" w:rsidRPr="00695B0D">
        <w:rPr>
          <w:sz w:val="26"/>
          <w:szCs w:val="26"/>
        </w:rPr>
        <w:t xml:space="preserve">Opinion and </w:t>
      </w:r>
      <w:r w:rsidR="006C7EB6" w:rsidRPr="00695B0D">
        <w:rPr>
          <w:sz w:val="26"/>
          <w:szCs w:val="26"/>
        </w:rPr>
        <w:t xml:space="preserve">Order.  </w:t>
      </w:r>
    </w:p>
    <w:p w14:paraId="3AC49B69" w14:textId="77777777" w:rsidR="003D5BAC" w:rsidRPr="00695B0D" w:rsidRDefault="003D5BAC" w:rsidP="003D5BAC">
      <w:pPr>
        <w:widowControl/>
        <w:tabs>
          <w:tab w:val="left" w:pos="-720"/>
        </w:tabs>
        <w:suppressAutoHyphens/>
        <w:spacing w:line="360" w:lineRule="auto"/>
        <w:ind w:firstLine="1440"/>
        <w:contextualSpacing/>
        <w:rPr>
          <w:sz w:val="26"/>
        </w:rPr>
      </w:pPr>
    </w:p>
    <w:p w14:paraId="2ADBC9E1" w14:textId="77777777" w:rsidR="0000268A" w:rsidRPr="00695B0D" w:rsidRDefault="0000268A" w:rsidP="0000268A">
      <w:pPr>
        <w:pStyle w:val="ListParagraph"/>
        <w:keepNext/>
        <w:widowControl/>
        <w:numPr>
          <w:ilvl w:val="0"/>
          <w:numId w:val="8"/>
        </w:numPr>
        <w:spacing w:line="360" w:lineRule="auto"/>
        <w:ind w:left="0" w:firstLine="0"/>
        <w:jc w:val="center"/>
        <w:rPr>
          <w:b/>
          <w:sz w:val="26"/>
          <w:szCs w:val="26"/>
        </w:rPr>
      </w:pPr>
      <w:bookmarkStart w:id="2" w:name="OLE_LINK1"/>
      <w:bookmarkStart w:id="3" w:name="OLE_LINK2"/>
      <w:r w:rsidRPr="00695B0D">
        <w:rPr>
          <w:b/>
          <w:sz w:val="26"/>
          <w:szCs w:val="26"/>
        </w:rPr>
        <w:t>History of the Proceeding</w:t>
      </w:r>
    </w:p>
    <w:p w14:paraId="4CDC8771" w14:textId="77777777" w:rsidR="0000268A" w:rsidRPr="00695B0D" w:rsidRDefault="0000268A" w:rsidP="0000268A">
      <w:pPr>
        <w:keepNext/>
        <w:widowControl/>
        <w:spacing w:line="360" w:lineRule="auto"/>
        <w:jc w:val="center"/>
        <w:rPr>
          <w:b/>
          <w:sz w:val="26"/>
          <w:szCs w:val="26"/>
        </w:rPr>
      </w:pPr>
    </w:p>
    <w:p w14:paraId="6296D8FD" w14:textId="5EC1D12B" w:rsidR="0000268A" w:rsidRPr="00695B0D" w:rsidRDefault="0000268A" w:rsidP="003F0FE6">
      <w:pPr>
        <w:spacing w:line="360" w:lineRule="auto"/>
        <w:ind w:firstLine="720"/>
        <w:rPr>
          <w:sz w:val="26"/>
          <w:szCs w:val="26"/>
        </w:rPr>
      </w:pPr>
      <w:r w:rsidRPr="00695B0D">
        <w:rPr>
          <w:color w:val="000000"/>
          <w:sz w:val="26"/>
          <w:szCs w:val="26"/>
        </w:rPr>
        <w:tab/>
      </w:r>
      <w:r w:rsidR="003F0FE6" w:rsidRPr="00695B0D">
        <w:rPr>
          <w:sz w:val="26"/>
          <w:szCs w:val="26"/>
        </w:rPr>
        <w:t>On</w:t>
      </w:r>
      <w:r w:rsidR="00C94D34" w:rsidRPr="00695B0D">
        <w:rPr>
          <w:sz w:val="26"/>
          <w:szCs w:val="26"/>
        </w:rPr>
        <w:t xml:space="preserve"> June 10</w:t>
      </w:r>
      <w:r w:rsidR="003F0FE6" w:rsidRPr="00695B0D">
        <w:rPr>
          <w:sz w:val="26"/>
          <w:szCs w:val="26"/>
        </w:rPr>
        <w:t xml:space="preserve">, 2020, GREENCROWN </w:t>
      </w:r>
      <w:r w:rsidR="00560002" w:rsidRPr="00695B0D">
        <w:rPr>
          <w:sz w:val="26"/>
          <w:szCs w:val="26"/>
        </w:rPr>
        <w:t>filed the above-captioned A</w:t>
      </w:r>
      <w:r w:rsidR="003F0FE6" w:rsidRPr="00695B0D">
        <w:rPr>
          <w:sz w:val="26"/>
          <w:szCs w:val="26"/>
        </w:rPr>
        <w:t xml:space="preserve">pplication seeking to become a licensed electric generation supplier (EGS) as a broker/marketer, in all the electric distribution company (EDC) service territories throughout the Commonwealth of Pennsylvania.  The </w:t>
      </w:r>
      <w:r w:rsidR="00560002" w:rsidRPr="00695B0D">
        <w:rPr>
          <w:sz w:val="26"/>
          <w:szCs w:val="26"/>
        </w:rPr>
        <w:t>A</w:t>
      </w:r>
      <w:r w:rsidR="003F0FE6" w:rsidRPr="00695B0D">
        <w:rPr>
          <w:sz w:val="26"/>
          <w:szCs w:val="26"/>
        </w:rPr>
        <w:t xml:space="preserve">pplication was filed pursuant to the Commission’s </w:t>
      </w:r>
      <w:r w:rsidR="00141DD4" w:rsidRPr="00695B0D">
        <w:rPr>
          <w:sz w:val="26"/>
          <w:szCs w:val="26"/>
        </w:rPr>
        <w:t>R</w:t>
      </w:r>
      <w:r w:rsidR="003F0FE6" w:rsidRPr="00695B0D">
        <w:rPr>
          <w:sz w:val="26"/>
          <w:szCs w:val="26"/>
        </w:rPr>
        <w:t>egulations at 52 Pa. Code §§</w:t>
      </w:r>
      <w:r w:rsidR="00C106A9" w:rsidRPr="00695B0D">
        <w:rPr>
          <w:sz w:val="26"/>
          <w:szCs w:val="26"/>
        </w:rPr>
        <w:t xml:space="preserve"> </w:t>
      </w:r>
      <w:r w:rsidR="003F0FE6" w:rsidRPr="00695B0D">
        <w:rPr>
          <w:sz w:val="26"/>
          <w:szCs w:val="26"/>
        </w:rPr>
        <w:t xml:space="preserve">54.31-54.43, which became effective on August 8, 1998, and which were established under </w:t>
      </w:r>
      <w:r w:rsidR="004F21B6" w:rsidRPr="00695B0D">
        <w:rPr>
          <w:sz w:val="26"/>
          <w:szCs w:val="26"/>
        </w:rPr>
        <w:t>S</w:t>
      </w:r>
      <w:r w:rsidR="003F0FE6" w:rsidRPr="00695B0D">
        <w:rPr>
          <w:sz w:val="26"/>
          <w:szCs w:val="26"/>
        </w:rPr>
        <w:t>ection 2809 of the Public Utility Code</w:t>
      </w:r>
      <w:r w:rsidR="00141DD4" w:rsidRPr="00695B0D">
        <w:rPr>
          <w:sz w:val="26"/>
          <w:szCs w:val="26"/>
        </w:rPr>
        <w:t xml:space="preserve"> (Code)</w:t>
      </w:r>
      <w:r w:rsidR="003F0FE6" w:rsidRPr="00695B0D">
        <w:rPr>
          <w:sz w:val="26"/>
          <w:szCs w:val="26"/>
        </w:rPr>
        <w:t>, 66 Pa. C.S. §</w:t>
      </w:r>
      <w:r w:rsidR="00C106A9" w:rsidRPr="00695B0D">
        <w:rPr>
          <w:sz w:val="26"/>
          <w:szCs w:val="26"/>
        </w:rPr>
        <w:t xml:space="preserve"> </w:t>
      </w:r>
      <w:r w:rsidR="003F0FE6" w:rsidRPr="00695B0D">
        <w:rPr>
          <w:sz w:val="26"/>
          <w:szCs w:val="26"/>
        </w:rPr>
        <w:t>2809.</w:t>
      </w:r>
      <w:r w:rsidR="00C35E56" w:rsidRPr="00695B0D">
        <w:rPr>
          <w:rStyle w:val="FootnoteReference"/>
          <w:sz w:val="26"/>
          <w:szCs w:val="26"/>
        </w:rPr>
        <w:footnoteReference w:id="2"/>
      </w:r>
    </w:p>
    <w:p w14:paraId="03E66894" w14:textId="2781C5AD" w:rsidR="003F0FE6" w:rsidRPr="00695B0D" w:rsidRDefault="00476A2C" w:rsidP="00361796">
      <w:pPr>
        <w:widowControl/>
        <w:spacing w:line="360" w:lineRule="auto"/>
        <w:ind w:firstLine="1440"/>
        <w:rPr>
          <w:sz w:val="26"/>
          <w:szCs w:val="26"/>
        </w:rPr>
      </w:pPr>
      <w:r w:rsidRPr="00695B0D">
        <w:rPr>
          <w:sz w:val="26"/>
          <w:szCs w:val="26"/>
        </w:rPr>
        <w:lastRenderedPageBreak/>
        <w:t>On September 8, 2020, TUS staff sent a data request to GREENCROWN</w:t>
      </w:r>
      <w:r w:rsidR="00A87936" w:rsidRPr="00695B0D">
        <w:rPr>
          <w:sz w:val="26"/>
          <w:szCs w:val="26"/>
        </w:rPr>
        <w:t xml:space="preserve"> </w:t>
      </w:r>
      <w:r w:rsidRPr="00695B0D">
        <w:rPr>
          <w:sz w:val="26"/>
          <w:szCs w:val="26"/>
        </w:rPr>
        <w:t>seeking additional information.</w:t>
      </w:r>
      <w:r w:rsidR="001C1ED5" w:rsidRPr="00695B0D">
        <w:rPr>
          <w:rStyle w:val="FootnoteReference"/>
          <w:sz w:val="26"/>
          <w:szCs w:val="26"/>
        </w:rPr>
        <w:footnoteReference w:id="3"/>
      </w:r>
      <w:r w:rsidRPr="00695B0D">
        <w:rPr>
          <w:sz w:val="26"/>
          <w:szCs w:val="26"/>
        </w:rPr>
        <w:t xml:space="preserve">  </w:t>
      </w:r>
      <w:r w:rsidR="002155C3" w:rsidRPr="00695B0D">
        <w:rPr>
          <w:sz w:val="26"/>
          <w:szCs w:val="26"/>
        </w:rPr>
        <w:t xml:space="preserve">Specifically, the data request asked for missing or insufficient information regarding Section 5.c of the </w:t>
      </w:r>
      <w:r w:rsidR="009A2DEF" w:rsidRPr="00695B0D">
        <w:rPr>
          <w:sz w:val="26"/>
          <w:szCs w:val="26"/>
        </w:rPr>
        <w:t>A</w:t>
      </w:r>
      <w:r w:rsidR="002155C3" w:rsidRPr="00695B0D">
        <w:rPr>
          <w:sz w:val="26"/>
          <w:szCs w:val="26"/>
        </w:rPr>
        <w:t>pplication</w:t>
      </w:r>
      <w:r w:rsidR="00221076" w:rsidRPr="00695B0D">
        <w:rPr>
          <w:sz w:val="26"/>
          <w:szCs w:val="26"/>
        </w:rPr>
        <w:t xml:space="preserve"> or </w:t>
      </w:r>
      <w:r w:rsidR="002155C3" w:rsidRPr="00695B0D">
        <w:rPr>
          <w:sz w:val="26"/>
          <w:szCs w:val="26"/>
        </w:rPr>
        <w:t>Compliance Section</w:t>
      </w:r>
      <w:r w:rsidR="00A43ECF" w:rsidRPr="00695B0D">
        <w:rPr>
          <w:rStyle w:val="FootnoteReference"/>
          <w:sz w:val="26"/>
          <w:szCs w:val="26"/>
        </w:rPr>
        <w:footnoteReference w:id="4"/>
      </w:r>
      <w:r w:rsidR="002155C3" w:rsidRPr="00695B0D">
        <w:rPr>
          <w:sz w:val="26"/>
          <w:szCs w:val="26"/>
        </w:rPr>
        <w:t xml:space="preserve"> that was left unanswered in GREENCROWN</w:t>
      </w:r>
      <w:r w:rsidR="009A2DEF" w:rsidRPr="00695B0D">
        <w:rPr>
          <w:sz w:val="26"/>
          <w:szCs w:val="26"/>
        </w:rPr>
        <w:t>’s A</w:t>
      </w:r>
      <w:r w:rsidR="002155C3" w:rsidRPr="00695B0D">
        <w:rPr>
          <w:sz w:val="26"/>
          <w:szCs w:val="26"/>
        </w:rPr>
        <w:t>pplication.  The data request asked GREENCROWN</w:t>
      </w:r>
      <w:r w:rsidR="009A2DEF" w:rsidRPr="00695B0D">
        <w:rPr>
          <w:sz w:val="26"/>
          <w:szCs w:val="26"/>
        </w:rPr>
        <w:t xml:space="preserve"> </w:t>
      </w:r>
      <w:r w:rsidR="002155C3" w:rsidRPr="00695B0D">
        <w:rPr>
          <w:sz w:val="26"/>
          <w:szCs w:val="26"/>
        </w:rPr>
        <w:t>to file an updated application page with a response to Section 5.c.</w:t>
      </w:r>
    </w:p>
    <w:p w14:paraId="120D4147" w14:textId="218DEA61" w:rsidR="00882A7A" w:rsidRPr="00695B0D" w:rsidRDefault="00882A7A" w:rsidP="00361796">
      <w:pPr>
        <w:widowControl/>
        <w:spacing w:line="360" w:lineRule="auto"/>
        <w:ind w:firstLine="1440"/>
        <w:rPr>
          <w:sz w:val="26"/>
          <w:szCs w:val="26"/>
        </w:rPr>
      </w:pPr>
    </w:p>
    <w:p w14:paraId="37CCAE7C" w14:textId="69652ED3" w:rsidR="00882A7A" w:rsidRPr="00695B0D" w:rsidRDefault="00882A7A" w:rsidP="00361796">
      <w:pPr>
        <w:widowControl/>
        <w:suppressAutoHyphens/>
        <w:spacing w:line="360" w:lineRule="auto"/>
        <w:ind w:firstLine="1440"/>
        <w:rPr>
          <w:kern w:val="2"/>
          <w:sz w:val="26"/>
          <w:szCs w:val="26"/>
        </w:rPr>
      </w:pPr>
      <w:r w:rsidRPr="00695B0D">
        <w:rPr>
          <w:sz w:val="26"/>
          <w:szCs w:val="26"/>
        </w:rPr>
        <w:t xml:space="preserve">On September 25, 2020, </w:t>
      </w:r>
      <w:r w:rsidRPr="00695B0D">
        <w:rPr>
          <w:kern w:val="1"/>
          <w:sz w:val="26"/>
          <w:szCs w:val="26"/>
        </w:rPr>
        <w:t xml:space="preserve">GREENCROWN </w:t>
      </w:r>
      <w:r w:rsidRPr="00695B0D">
        <w:rPr>
          <w:color w:val="000000"/>
          <w:sz w:val="26"/>
          <w:szCs w:val="26"/>
        </w:rPr>
        <w:t xml:space="preserve">submitted a response </w:t>
      </w:r>
      <w:r w:rsidRPr="00695B0D">
        <w:rPr>
          <w:kern w:val="2"/>
          <w:sz w:val="26"/>
          <w:szCs w:val="26"/>
        </w:rPr>
        <w:t>providing the same information it submitted in the Application on</w:t>
      </w:r>
      <w:r w:rsidR="00C94D34" w:rsidRPr="00695B0D">
        <w:rPr>
          <w:kern w:val="2"/>
          <w:sz w:val="26"/>
          <w:szCs w:val="26"/>
        </w:rPr>
        <w:t xml:space="preserve"> June 10</w:t>
      </w:r>
      <w:r w:rsidRPr="00695B0D">
        <w:rPr>
          <w:kern w:val="2"/>
          <w:sz w:val="26"/>
          <w:szCs w:val="26"/>
        </w:rPr>
        <w:t>, 2020, leaving Section</w:t>
      </w:r>
      <w:r w:rsidR="00C13D10" w:rsidRPr="00695B0D">
        <w:rPr>
          <w:kern w:val="2"/>
          <w:sz w:val="26"/>
          <w:szCs w:val="26"/>
        </w:rPr>
        <w:t> </w:t>
      </w:r>
      <w:r w:rsidRPr="00695B0D">
        <w:rPr>
          <w:kern w:val="2"/>
          <w:sz w:val="26"/>
          <w:szCs w:val="26"/>
        </w:rPr>
        <w:t xml:space="preserve">5.c still unanswered.  </w:t>
      </w:r>
    </w:p>
    <w:p w14:paraId="12AE5CE4" w14:textId="523442F1" w:rsidR="00FC4361" w:rsidRPr="00695B0D" w:rsidRDefault="00FC4361" w:rsidP="00A03CDF">
      <w:pPr>
        <w:suppressAutoHyphens/>
        <w:spacing w:line="360" w:lineRule="auto"/>
        <w:ind w:firstLine="1440"/>
        <w:rPr>
          <w:kern w:val="2"/>
          <w:sz w:val="26"/>
          <w:szCs w:val="26"/>
        </w:rPr>
      </w:pPr>
      <w:r w:rsidRPr="00695B0D">
        <w:rPr>
          <w:kern w:val="2"/>
          <w:sz w:val="26"/>
          <w:szCs w:val="26"/>
        </w:rPr>
        <w:lastRenderedPageBreak/>
        <w:t>On October 9, 2020,</w:t>
      </w:r>
      <w:r w:rsidR="00367BA7" w:rsidRPr="00695B0D">
        <w:rPr>
          <w:kern w:val="2"/>
          <w:sz w:val="26"/>
          <w:szCs w:val="26"/>
        </w:rPr>
        <w:t xml:space="preserve"> TUS </w:t>
      </w:r>
      <w:r w:rsidRPr="00695B0D">
        <w:rPr>
          <w:kern w:val="2"/>
          <w:sz w:val="26"/>
          <w:szCs w:val="26"/>
        </w:rPr>
        <w:t xml:space="preserve">staff sent a second data request to GREENCROWN.  The data request asked if the applicant was the same GREENCROWN Energy LLC that had its EGS license cancelled by the Commission, </w:t>
      </w:r>
      <w:bookmarkStart w:id="4" w:name="_Hlk55198876"/>
      <w:r w:rsidRPr="00695B0D">
        <w:rPr>
          <w:kern w:val="2"/>
          <w:sz w:val="26"/>
          <w:szCs w:val="26"/>
        </w:rPr>
        <w:t>at Docket No. A-2015-2501450, for failure to maintain an approved financial security in compliance with 52 Pa. Code §</w:t>
      </w:r>
      <w:r w:rsidR="00033439" w:rsidRPr="00695B0D">
        <w:rPr>
          <w:kern w:val="2"/>
          <w:sz w:val="26"/>
          <w:szCs w:val="26"/>
        </w:rPr>
        <w:t xml:space="preserve"> </w:t>
      </w:r>
      <w:r w:rsidRPr="00695B0D">
        <w:rPr>
          <w:kern w:val="2"/>
          <w:sz w:val="26"/>
          <w:szCs w:val="26"/>
        </w:rPr>
        <w:t>54.40(a)</w:t>
      </w:r>
      <w:r w:rsidR="00033439" w:rsidRPr="00695B0D">
        <w:rPr>
          <w:kern w:val="2"/>
          <w:sz w:val="26"/>
          <w:szCs w:val="26"/>
        </w:rPr>
        <w:t>,</w:t>
      </w:r>
      <w:r w:rsidRPr="00695B0D">
        <w:rPr>
          <w:kern w:val="2"/>
          <w:sz w:val="26"/>
          <w:szCs w:val="26"/>
        </w:rPr>
        <w:t>(d).</w:t>
      </w:r>
      <w:bookmarkEnd w:id="4"/>
      <w:r w:rsidRPr="00695B0D">
        <w:rPr>
          <w:kern w:val="2"/>
          <w:sz w:val="26"/>
          <w:szCs w:val="26"/>
        </w:rPr>
        <w:t xml:space="preserve">  </w:t>
      </w:r>
    </w:p>
    <w:p w14:paraId="17143AAC" w14:textId="7E1B8C7B" w:rsidR="004E1BF0" w:rsidRPr="00695B0D" w:rsidRDefault="004E1BF0" w:rsidP="00882A7A">
      <w:pPr>
        <w:tabs>
          <w:tab w:val="left" w:pos="90"/>
        </w:tabs>
        <w:suppressAutoHyphens/>
        <w:spacing w:line="360" w:lineRule="auto"/>
        <w:rPr>
          <w:kern w:val="2"/>
          <w:sz w:val="26"/>
          <w:szCs w:val="26"/>
        </w:rPr>
      </w:pPr>
    </w:p>
    <w:p w14:paraId="4CEA38B2" w14:textId="7234A5E9" w:rsidR="004E1BF0" w:rsidRPr="00695B0D" w:rsidRDefault="004E1BF0" w:rsidP="00A03CDF">
      <w:pPr>
        <w:suppressAutoHyphens/>
        <w:spacing w:line="360" w:lineRule="auto"/>
        <w:ind w:firstLine="1440"/>
        <w:rPr>
          <w:kern w:val="2"/>
          <w:sz w:val="26"/>
          <w:szCs w:val="26"/>
        </w:rPr>
      </w:pPr>
      <w:r w:rsidRPr="00695B0D">
        <w:rPr>
          <w:kern w:val="2"/>
          <w:sz w:val="26"/>
          <w:szCs w:val="26"/>
        </w:rPr>
        <w:t>On October 14, 2020, GREENCROWN submitted a response confirming it was the entity previously licensed at A-2015-2501450.  However, in its response, GREENCROWN</w:t>
      </w:r>
      <w:r w:rsidR="002502E5" w:rsidRPr="00695B0D">
        <w:rPr>
          <w:kern w:val="2"/>
          <w:sz w:val="26"/>
          <w:szCs w:val="26"/>
        </w:rPr>
        <w:t xml:space="preserve"> </w:t>
      </w:r>
      <w:r w:rsidRPr="00695B0D">
        <w:rPr>
          <w:kern w:val="2"/>
          <w:sz w:val="26"/>
          <w:szCs w:val="26"/>
        </w:rPr>
        <w:t xml:space="preserve">failed to provide a reason for its failure to properly disclose its previous EGS license cancellation when completing Section 5.c of the </w:t>
      </w:r>
      <w:r w:rsidR="002502E5" w:rsidRPr="00695B0D">
        <w:rPr>
          <w:kern w:val="2"/>
          <w:sz w:val="26"/>
          <w:szCs w:val="26"/>
        </w:rPr>
        <w:t>A</w:t>
      </w:r>
      <w:r w:rsidRPr="00695B0D">
        <w:rPr>
          <w:kern w:val="2"/>
          <w:sz w:val="26"/>
          <w:szCs w:val="26"/>
        </w:rPr>
        <w:t>pplication, nor did GREENCROWN</w:t>
      </w:r>
      <w:r w:rsidR="002502E5" w:rsidRPr="00695B0D">
        <w:rPr>
          <w:kern w:val="2"/>
          <w:sz w:val="26"/>
          <w:szCs w:val="26"/>
        </w:rPr>
        <w:t xml:space="preserve"> </w:t>
      </w:r>
      <w:r w:rsidRPr="00695B0D">
        <w:rPr>
          <w:kern w:val="2"/>
          <w:sz w:val="26"/>
          <w:szCs w:val="26"/>
        </w:rPr>
        <w:t xml:space="preserve">provide an update to its </w:t>
      </w:r>
      <w:r w:rsidR="002502E5" w:rsidRPr="00695B0D">
        <w:rPr>
          <w:kern w:val="2"/>
          <w:sz w:val="26"/>
          <w:szCs w:val="26"/>
        </w:rPr>
        <w:t>A</w:t>
      </w:r>
      <w:r w:rsidRPr="00695B0D">
        <w:rPr>
          <w:kern w:val="2"/>
          <w:sz w:val="26"/>
          <w:szCs w:val="26"/>
        </w:rPr>
        <w:t>pplication.</w:t>
      </w:r>
    </w:p>
    <w:p w14:paraId="17B85A19" w14:textId="16653891" w:rsidR="00F939A6" w:rsidRPr="00695B0D" w:rsidRDefault="00F939A6" w:rsidP="004E1BF0">
      <w:pPr>
        <w:tabs>
          <w:tab w:val="left" w:pos="90"/>
        </w:tabs>
        <w:suppressAutoHyphens/>
        <w:spacing w:line="360" w:lineRule="auto"/>
        <w:rPr>
          <w:kern w:val="2"/>
          <w:sz w:val="26"/>
          <w:szCs w:val="26"/>
        </w:rPr>
      </w:pPr>
    </w:p>
    <w:p w14:paraId="5C655DCF" w14:textId="68CDD09B" w:rsidR="00882A7A" w:rsidRPr="00695B0D" w:rsidRDefault="00F939A6" w:rsidP="00A03CDF">
      <w:pPr>
        <w:suppressAutoHyphens/>
        <w:spacing w:line="360" w:lineRule="auto"/>
        <w:ind w:firstLine="1440"/>
        <w:rPr>
          <w:sz w:val="26"/>
          <w:szCs w:val="26"/>
        </w:rPr>
      </w:pPr>
      <w:r w:rsidRPr="00695B0D">
        <w:rPr>
          <w:kern w:val="2"/>
          <w:sz w:val="26"/>
          <w:szCs w:val="26"/>
        </w:rPr>
        <w:t xml:space="preserve">On November 19, 2020, the Commission entered the </w:t>
      </w:r>
      <w:r w:rsidRPr="00695B0D">
        <w:rPr>
          <w:i/>
          <w:iCs/>
          <w:sz w:val="26"/>
        </w:rPr>
        <w:t>November 2020 Order</w:t>
      </w:r>
      <w:r w:rsidR="008851B9" w:rsidRPr="00695B0D">
        <w:rPr>
          <w:i/>
          <w:iCs/>
          <w:sz w:val="26"/>
        </w:rPr>
        <w:t xml:space="preserve"> </w:t>
      </w:r>
      <w:r w:rsidR="008851B9" w:rsidRPr="00695B0D">
        <w:rPr>
          <w:sz w:val="26"/>
        </w:rPr>
        <w:t>denying</w:t>
      </w:r>
      <w:r w:rsidR="00E879D4" w:rsidRPr="00695B0D">
        <w:rPr>
          <w:sz w:val="26"/>
        </w:rPr>
        <w:t xml:space="preserve"> GREENCROWN’s </w:t>
      </w:r>
      <w:r w:rsidR="008851B9" w:rsidRPr="00695B0D">
        <w:rPr>
          <w:sz w:val="26"/>
        </w:rPr>
        <w:t xml:space="preserve">Application, without prejudice, for failure to </w:t>
      </w:r>
      <w:r w:rsidR="001E7CF3" w:rsidRPr="00695B0D">
        <w:rPr>
          <w:sz w:val="26"/>
        </w:rPr>
        <w:t xml:space="preserve">provide </w:t>
      </w:r>
      <w:r w:rsidR="004E43A2" w:rsidRPr="00695B0D">
        <w:rPr>
          <w:sz w:val="26"/>
          <w:szCs w:val="26"/>
        </w:rPr>
        <w:t>accurate information in response to Section 5.c of the EGS Application</w:t>
      </w:r>
      <w:r w:rsidR="00E879D4" w:rsidRPr="00695B0D">
        <w:rPr>
          <w:sz w:val="26"/>
          <w:szCs w:val="26"/>
        </w:rPr>
        <w:t xml:space="preserve">.  </w:t>
      </w:r>
    </w:p>
    <w:p w14:paraId="5AA59968" w14:textId="77777777" w:rsidR="00476A2C" w:rsidRPr="00695B0D" w:rsidRDefault="00476A2C" w:rsidP="003F0FE6">
      <w:pPr>
        <w:spacing w:line="360" w:lineRule="auto"/>
        <w:ind w:firstLine="720"/>
        <w:rPr>
          <w:sz w:val="26"/>
          <w:szCs w:val="26"/>
        </w:rPr>
      </w:pPr>
    </w:p>
    <w:p w14:paraId="500F40EB" w14:textId="79B2FF03" w:rsidR="0000268A" w:rsidRPr="00695B0D" w:rsidRDefault="0000268A" w:rsidP="0000268A">
      <w:pPr>
        <w:spacing w:line="360" w:lineRule="auto"/>
        <w:ind w:right="144" w:firstLine="1440"/>
        <w:textAlignment w:val="baseline"/>
        <w:rPr>
          <w:color w:val="000000"/>
          <w:sz w:val="26"/>
        </w:rPr>
      </w:pPr>
      <w:r w:rsidRPr="00695B0D">
        <w:rPr>
          <w:color w:val="000000"/>
          <w:sz w:val="26"/>
        </w:rPr>
        <w:t>As noted,</w:t>
      </w:r>
      <w:r w:rsidR="00B23DD6" w:rsidRPr="00695B0D">
        <w:rPr>
          <w:color w:val="000000"/>
          <w:sz w:val="26"/>
        </w:rPr>
        <w:t xml:space="preserve"> GREENCROWN</w:t>
      </w:r>
      <w:r w:rsidRPr="00695B0D">
        <w:rPr>
          <w:color w:val="000000"/>
          <w:sz w:val="26"/>
        </w:rPr>
        <w:t xml:space="preserve"> filed its Petition</w:t>
      </w:r>
      <w:r w:rsidRPr="00695B0D">
        <w:rPr>
          <w:i/>
          <w:iCs/>
          <w:color w:val="000000"/>
          <w:sz w:val="26"/>
        </w:rPr>
        <w:t xml:space="preserve"> </w:t>
      </w:r>
      <w:r w:rsidRPr="00695B0D">
        <w:rPr>
          <w:color w:val="000000"/>
          <w:sz w:val="26"/>
        </w:rPr>
        <w:t>on</w:t>
      </w:r>
      <w:r w:rsidR="005B3B88" w:rsidRPr="00695B0D">
        <w:rPr>
          <w:color w:val="000000"/>
          <w:sz w:val="26"/>
        </w:rPr>
        <w:t xml:space="preserve"> Nov</w:t>
      </w:r>
      <w:r w:rsidRPr="00695B0D">
        <w:rPr>
          <w:color w:val="000000"/>
          <w:sz w:val="26"/>
        </w:rPr>
        <w:t xml:space="preserve">ember </w:t>
      </w:r>
      <w:r w:rsidR="005B3B88" w:rsidRPr="00695B0D">
        <w:rPr>
          <w:color w:val="000000"/>
          <w:sz w:val="26"/>
        </w:rPr>
        <w:t>26</w:t>
      </w:r>
      <w:r w:rsidRPr="00695B0D">
        <w:rPr>
          <w:color w:val="000000"/>
          <w:sz w:val="26"/>
        </w:rPr>
        <w:t>, 2020.  No Answer to the Petition</w:t>
      </w:r>
      <w:r w:rsidR="0016497E" w:rsidRPr="00695B0D">
        <w:rPr>
          <w:color w:val="000000"/>
          <w:sz w:val="26"/>
        </w:rPr>
        <w:t xml:space="preserve"> has been </w:t>
      </w:r>
      <w:r w:rsidRPr="00695B0D">
        <w:rPr>
          <w:color w:val="000000"/>
          <w:sz w:val="26"/>
        </w:rPr>
        <w:t xml:space="preserve">filed.  </w:t>
      </w:r>
    </w:p>
    <w:p w14:paraId="743A5D7F" w14:textId="77777777" w:rsidR="0000268A" w:rsidRPr="00695B0D" w:rsidRDefault="0000268A" w:rsidP="0000268A">
      <w:pPr>
        <w:widowControl/>
        <w:spacing w:line="360" w:lineRule="auto"/>
        <w:rPr>
          <w:sz w:val="26"/>
          <w:szCs w:val="26"/>
        </w:rPr>
      </w:pPr>
    </w:p>
    <w:bookmarkEnd w:id="2"/>
    <w:bookmarkEnd w:id="3"/>
    <w:p w14:paraId="7E21C113" w14:textId="77777777" w:rsidR="0000268A" w:rsidRPr="00695B0D" w:rsidRDefault="0000268A" w:rsidP="0000268A">
      <w:pPr>
        <w:pStyle w:val="ListParagraph"/>
        <w:keepNext/>
        <w:widowControl/>
        <w:numPr>
          <w:ilvl w:val="0"/>
          <w:numId w:val="8"/>
        </w:numPr>
        <w:spacing w:line="360" w:lineRule="auto"/>
        <w:ind w:left="0" w:firstLine="0"/>
        <w:jc w:val="center"/>
        <w:rPr>
          <w:b/>
          <w:sz w:val="26"/>
          <w:szCs w:val="26"/>
        </w:rPr>
      </w:pPr>
      <w:r w:rsidRPr="00695B0D">
        <w:rPr>
          <w:b/>
          <w:sz w:val="26"/>
          <w:szCs w:val="26"/>
        </w:rPr>
        <w:t>Discussion</w:t>
      </w:r>
    </w:p>
    <w:p w14:paraId="6FF9047D" w14:textId="77777777" w:rsidR="0000268A" w:rsidRPr="00695B0D" w:rsidRDefault="0000268A" w:rsidP="0000268A">
      <w:pPr>
        <w:keepNext/>
        <w:widowControl/>
        <w:spacing w:line="360" w:lineRule="auto"/>
        <w:rPr>
          <w:b/>
          <w:sz w:val="26"/>
          <w:szCs w:val="26"/>
        </w:rPr>
      </w:pPr>
    </w:p>
    <w:p w14:paraId="3F2E22BA" w14:textId="77777777" w:rsidR="0000268A" w:rsidRPr="00695B0D" w:rsidRDefault="0000268A" w:rsidP="0000268A">
      <w:pPr>
        <w:keepNext/>
        <w:widowControl/>
        <w:spacing w:line="360" w:lineRule="auto"/>
        <w:rPr>
          <w:b/>
          <w:sz w:val="26"/>
          <w:szCs w:val="26"/>
        </w:rPr>
      </w:pPr>
      <w:r w:rsidRPr="00695B0D">
        <w:rPr>
          <w:b/>
          <w:sz w:val="26"/>
          <w:szCs w:val="26"/>
        </w:rPr>
        <w:t>A.</w:t>
      </w:r>
      <w:r w:rsidRPr="00695B0D">
        <w:rPr>
          <w:b/>
          <w:sz w:val="26"/>
          <w:szCs w:val="26"/>
        </w:rPr>
        <w:tab/>
        <w:t>Legal Standards</w:t>
      </w:r>
    </w:p>
    <w:p w14:paraId="67F70206" w14:textId="77777777" w:rsidR="0000268A" w:rsidRPr="00695B0D" w:rsidRDefault="0000268A" w:rsidP="0000268A">
      <w:pPr>
        <w:keepNext/>
        <w:widowControl/>
        <w:spacing w:line="360" w:lineRule="auto"/>
        <w:rPr>
          <w:sz w:val="26"/>
          <w:szCs w:val="26"/>
        </w:rPr>
      </w:pPr>
    </w:p>
    <w:p w14:paraId="0A1592D3" w14:textId="287C2533" w:rsidR="0000268A" w:rsidRPr="00695B0D" w:rsidRDefault="0000268A" w:rsidP="0000268A">
      <w:pPr>
        <w:widowControl/>
        <w:spacing w:line="360" w:lineRule="auto"/>
        <w:ind w:firstLine="1440"/>
        <w:rPr>
          <w:sz w:val="26"/>
        </w:rPr>
      </w:pPr>
      <w:r w:rsidRPr="00695B0D">
        <w:rPr>
          <w:sz w:val="26"/>
        </w:rPr>
        <w:t>The Cod</w:t>
      </w:r>
      <w:r w:rsidR="00154798" w:rsidRPr="00695B0D">
        <w:rPr>
          <w:sz w:val="26"/>
        </w:rPr>
        <w:t>e</w:t>
      </w:r>
      <w:r w:rsidRPr="00695B0D">
        <w:rPr>
          <w:sz w:val="26"/>
        </w:rPr>
        <w:t xml:space="preserve"> establishes a party’s right to seek relief following the issuance of our final decisions pursuant to Subsections 703(f) and (g), 66 Pa.</w:t>
      </w:r>
      <w:r w:rsidR="00F56930" w:rsidRPr="00695B0D">
        <w:rPr>
          <w:sz w:val="26"/>
        </w:rPr>
        <w:t xml:space="preserve"> </w:t>
      </w:r>
      <w:r w:rsidRPr="00695B0D">
        <w:rPr>
          <w:sz w:val="26"/>
        </w:rPr>
        <w:t xml:space="preserve">C.S. § 703(f) and § 703(g), relating to </w:t>
      </w:r>
      <w:proofErr w:type="spellStart"/>
      <w:r w:rsidRPr="00695B0D">
        <w:rPr>
          <w:sz w:val="26"/>
        </w:rPr>
        <w:t>rehearings</w:t>
      </w:r>
      <w:proofErr w:type="spellEnd"/>
      <w:r w:rsidRPr="00695B0D">
        <w:rPr>
          <w:sz w:val="26"/>
        </w:rPr>
        <w:t>, as well as the rescission and amendment of orders.  Such requests for relief must be consistent with Section 5.572 of our Regulations, 52 Pa. Code § 5.572, relating to petitions for relief following the issuance of a final decision.</w:t>
      </w:r>
    </w:p>
    <w:p w14:paraId="78AE58AE" w14:textId="77777777" w:rsidR="0000268A" w:rsidRPr="00695B0D" w:rsidRDefault="0000268A" w:rsidP="0000268A">
      <w:pPr>
        <w:widowControl/>
        <w:spacing w:line="360" w:lineRule="auto"/>
        <w:rPr>
          <w:sz w:val="26"/>
        </w:rPr>
      </w:pPr>
    </w:p>
    <w:p w14:paraId="538CF59C" w14:textId="77777777" w:rsidR="0000268A" w:rsidRPr="00695B0D" w:rsidRDefault="0000268A" w:rsidP="0000268A">
      <w:pPr>
        <w:spacing w:line="360" w:lineRule="auto"/>
        <w:ind w:firstLine="1440"/>
        <w:rPr>
          <w:sz w:val="26"/>
          <w:szCs w:val="26"/>
        </w:rPr>
      </w:pPr>
      <w:r w:rsidRPr="00695B0D">
        <w:rPr>
          <w:sz w:val="26"/>
          <w:szCs w:val="26"/>
        </w:rPr>
        <w:lastRenderedPageBreak/>
        <w:t xml:space="preserve">In exercising Commission authority to amend or rescind an order pursuant to Section 703(g) of the Code, the Supreme Court of Pennsylvania has stated: “Because such relief may result in disturbance of final orders, it must be granted judiciously and only under appropriate circumstances.”  </w:t>
      </w:r>
      <w:r w:rsidRPr="00695B0D">
        <w:rPr>
          <w:i/>
          <w:iCs/>
          <w:sz w:val="26"/>
          <w:szCs w:val="26"/>
        </w:rPr>
        <w:t>See</w:t>
      </w:r>
      <w:r w:rsidRPr="00695B0D">
        <w:rPr>
          <w:sz w:val="26"/>
          <w:szCs w:val="26"/>
        </w:rPr>
        <w:t xml:space="preserve"> </w:t>
      </w:r>
      <w:r w:rsidRPr="00695B0D">
        <w:rPr>
          <w:i/>
          <w:iCs/>
          <w:sz w:val="26"/>
          <w:szCs w:val="26"/>
        </w:rPr>
        <w:t>City of Pittsburgh v. Pennsylvania Department of Transportation</w:t>
      </w:r>
      <w:r w:rsidRPr="00695B0D">
        <w:rPr>
          <w:sz w:val="26"/>
          <w:szCs w:val="26"/>
        </w:rPr>
        <w:t>, 490 Pa. 264, 416 A.2d 461 (1980).</w:t>
      </w:r>
    </w:p>
    <w:p w14:paraId="61B738D0" w14:textId="77777777" w:rsidR="0000268A" w:rsidRPr="00695B0D" w:rsidRDefault="0000268A" w:rsidP="0000268A">
      <w:pPr>
        <w:spacing w:line="360" w:lineRule="auto"/>
        <w:rPr>
          <w:sz w:val="26"/>
          <w:szCs w:val="26"/>
        </w:rPr>
      </w:pPr>
    </w:p>
    <w:p w14:paraId="4D0B66EB" w14:textId="77777777" w:rsidR="0000268A" w:rsidRPr="00695B0D" w:rsidRDefault="0000268A" w:rsidP="0000268A">
      <w:pPr>
        <w:widowControl/>
        <w:spacing w:line="360" w:lineRule="auto"/>
        <w:ind w:firstLine="1440"/>
        <w:rPr>
          <w:sz w:val="26"/>
        </w:rPr>
      </w:pPr>
      <w:r w:rsidRPr="00695B0D">
        <w:rPr>
          <w:sz w:val="26"/>
        </w:rPr>
        <w:t xml:space="preserve">The standards for granting a Petition for Reconsideration were set forth in </w:t>
      </w:r>
      <w:proofErr w:type="spellStart"/>
      <w:r w:rsidRPr="00695B0D">
        <w:rPr>
          <w:i/>
          <w:sz w:val="26"/>
        </w:rPr>
        <w:t>Duick</w:t>
      </w:r>
      <w:proofErr w:type="spellEnd"/>
      <w:r w:rsidRPr="00695B0D">
        <w:rPr>
          <w:i/>
          <w:sz w:val="26"/>
        </w:rPr>
        <w:t> v. Pennsylvania Gas and Water Company</w:t>
      </w:r>
      <w:r w:rsidRPr="00695B0D">
        <w:rPr>
          <w:sz w:val="26"/>
        </w:rPr>
        <w:t xml:space="preserve">, </w:t>
      </w:r>
      <w:r w:rsidRPr="00695B0D">
        <w:rPr>
          <w:sz w:val="26"/>
          <w:szCs w:val="24"/>
        </w:rPr>
        <w:t>56 Pa. P.U.C. 553</w:t>
      </w:r>
      <w:r w:rsidRPr="00695B0D">
        <w:rPr>
          <w:sz w:val="26"/>
        </w:rPr>
        <w:t xml:space="preserve"> (1982) (</w:t>
      </w:r>
      <w:proofErr w:type="spellStart"/>
      <w:r w:rsidRPr="00695B0D">
        <w:rPr>
          <w:i/>
          <w:iCs/>
          <w:sz w:val="26"/>
        </w:rPr>
        <w:t>Duick</w:t>
      </w:r>
      <w:proofErr w:type="spellEnd"/>
      <w:r w:rsidRPr="00695B0D">
        <w:rPr>
          <w:sz w:val="26"/>
        </w:rPr>
        <w:t>):</w:t>
      </w:r>
    </w:p>
    <w:p w14:paraId="497819AA" w14:textId="77777777" w:rsidR="0000268A" w:rsidRPr="00695B0D" w:rsidRDefault="0000268A" w:rsidP="007255B3">
      <w:pPr>
        <w:widowControl/>
        <w:rPr>
          <w:sz w:val="26"/>
        </w:rPr>
      </w:pPr>
    </w:p>
    <w:p w14:paraId="2B1F505D" w14:textId="2FD2F9A1" w:rsidR="0000268A" w:rsidRPr="00695B0D" w:rsidRDefault="0000268A" w:rsidP="0000268A">
      <w:pPr>
        <w:widowControl/>
        <w:ind w:left="1440" w:right="1440"/>
        <w:rPr>
          <w:sz w:val="26"/>
        </w:rPr>
      </w:pPr>
      <w:r w:rsidRPr="00695B0D">
        <w:rPr>
          <w:sz w:val="26"/>
        </w:rPr>
        <w:t>A Petition for Reconsideration, under the provisions of 66</w:t>
      </w:r>
      <w:r w:rsidR="00A45AE5" w:rsidRPr="00695B0D">
        <w:rPr>
          <w:sz w:val="26"/>
        </w:rPr>
        <w:t> </w:t>
      </w:r>
      <w:r w:rsidRPr="00695B0D">
        <w:rPr>
          <w:sz w:val="26"/>
        </w:rPr>
        <w:t>Pa.</w:t>
      </w:r>
      <w:r w:rsidR="00A45AE5" w:rsidRPr="00695B0D">
        <w:rPr>
          <w:sz w:val="26"/>
        </w:rPr>
        <w:t> </w:t>
      </w:r>
      <w:r w:rsidRPr="00695B0D">
        <w:rPr>
          <w:sz w:val="26"/>
        </w:rPr>
        <w:t xml:space="preserve">C.S. § 703(g), may properly raise any matters designed to convince the Commission that it should exercise its discretion under this code section to rescind or amend a prior order in whole or in part.  </w:t>
      </w:r>
    </w:p>
    <w:p w14:paraId="6B5AD8A6" w14:textId="77777777" w:rsidR="0000268A" w:rsidRPr="00695B0D" w:rsidRDefault="0000268A" w:rsidP="0000268A">
      <w:pPr>
        <w:widowControl/>
        <w:ind w:left="1440" w:right="1440"/>
        <w:rPr>
          <w:sz w:val="26"/>
        </w:rPr>
      </w:pPr>
    </w:p>
    <w:p w14:paraId="1736427B" w14:textId="77777777" w:rsidR="0000268A" w:rsidRPr="00695B0D" w:rsidRDefault="0000268A" w:rsidP="0000268A">
      <w:pPr>
        <w:widowControl/>
        <w:ind w:left="1440" w:right="1440"/>
        <w:rPr>
          <w:sz w:val="26"/>
        </w:rPr>
      </w:pPr>
      <w:r w:rsidRPr="00695B0D">
        <w:rPr>
          <w:sz w:val="26"/>
        </w:rPr>
        <w:tab/>
        <w:t>In this regard we agree with the court in the Pennsyl</w:t>
      </w:r>
      <w:r w:rsidRPr="00695B0D">
        <w:rPr>
          <w:sz w:val="26"/>
        </w:rPr>
        <w:softHyphen/>
        <w:t>vania Railroad Company case, wherein it was stated that:</w:t>
      </w:r>
    </w:p>
    <w:p w14:paraId="17A12AFF" w14:textId="77777777" w:rsidR="0000268A" w:rsidRPr="00695B0D" w:rsidRDefault="0000268A" w:rsidP="0000268A">
      <w:pPr>
        <w:widowControl/>
        <w:ind w:left="2160" w:right="2160"/>
        <w:rPr>
          <w:sz w:val="26"/>
        </w:rPr>
      </w:pPr>
    </w:p>
    <w:p w14:paraId="1CFB48F6" w14:textId="77777777" w:rsidR="0000268A" w:rsidRPr="00695B0D" w:rsidRDefault="0000268A" w:rsidP="0000268A">
      <w:pPr>
        <w:pStyle w:val="BlockText"/>
        <w:widowControl/>
        <w:spacing w:line="240" w:lineRule="auto"/>
        <w:ind w:left="2160"/>
      </w:pPr>
      <w:r w:rsidRPr="00695B0D">
        <w:tab/>
        <w:t xml:space="preserve">Parties . . . cannot be permitted by a second motion to review and reconsider, to raise the same questions which were specifically decided against them . . . what we expect to see raised in such petitions </w:t>
      </w:r>
      <w:bookmarkStart w:id="5" w:name="_Hlk2276757"/>
      <w:r w:rsidRPr="00695B0D">
        <w:t>are new and novel arguments, not previously heard, or considera</w:t>
      </w:r>
      <w:r w:rsidRPr="00695B0D">
        <w:softHyphen/>
        <w:t>tions which appear to have been overlooked by the Commission</w:t>
      </w:r>
      <w:bookmarkEnd w:id="5"/>
      <w:r w:rsidRPr="00695B0D">
        <w:t>.</w:t>
      </w:r>
    </w:p>
    <w:p w14:paraId="6F2AD46A" w14:textId="77777777" w:rsidR="0000268A" w:rsidRPr="00695B0D" w:rsidRDefault="0000268A" w:rsidP="0000268A">
      <w:pPr>
        <w:pStyle w:val="BlockText"/>
        <w:widowControl/>
        <w:ind w:left="0"/>
      </w:pPr>
    </w:p>
    <w:p w14:paraId="5923D88C" w14:textId="452F9C6D" w:rsidR="0000268A" w:rsidRPr="00695B0D" w:rsidRDefault="0000268A" w:rsidP="0000268A">
      <w:pPr>
        <w:widowControl/>
        <w:spacing w:line="360" w:lineRule="auto"/>
        <w:rPr>
          <w:sz w:val="26"/>
          <w:szCs w:val="24"/>
        </w:rPr>
      </w:pPr>
      <w:proofErr w:type="spellStart"/>
      <w:r w:rsidRPr="00695B0D">
        <w:rPr>
          <w:i/>
          <w:sz w:val="26"/>
        </w:rPr>
        <w:t>Duick</w:t>
      </w:r>
      <w:proofErr w:type="spellEnd"/>
      <w:r w:rsidRPr="00695B0D">
        <w:rPr>
          <w:iCs/>
          <w:sz w:val="26"/>
        </w:rPr>
        <w:t xml:space="preserve">, </w:t>
      </w:r>
      <w:r w:rsidRPr="00695B0D">
        <w:rPr>
          <w:sz w:val="26"/>
          <w:szCs w:val="24"/>
        </w:rPr>
        <w:t xml:space="preserve">56 Pa. P.U.C. at 559 (quoting </w:t>
      </w:r>
      <w:r w:rsidRPr="00695B0D">
        <w:rPr>
          <w:i/>
          <w:sz w:val="26"/>
          <w:szCs w:val="24"/>
        </w:rPr>
        <w:t>Pennsylvania Railroad Co. v. Pennsylvania Public Service Commission</w:t>
      </w:r>
      <w:r w:rsidRPr="00695B0D">
        <w:rPr>
          <w:sz w:val="26"/>
          <w:szCs w:val="24"/>
        </w:rPr>
        <w:t>, 179 A. 850, 854 (Pa. Super. 1935)).</w:t>
      </w:r>
    </w:p>
    <w:p w14:paraId="52BA4FEB" w14:textId="77777777" w:rsidR="00BE6457" w:rsidRPr="00695B0D" w:rsidRDefault="00BE6457" w:rsidP="0000268A">
      <w:pPr>
        <w:widowControl/>
        <w:spacing w:line="360" w:lineRule="auto"/>
        <w:rPr>
          <w:sz w:val="26"/>
          <w:szCs w:val="24"/>
        </w:rPr>
      </w:pPr>
    </w:p>
    <w:p w14:paraId="1A2CA22E" w14:textId="77777777" w:rsidR="0000268A" w:rsidRPr="00695B0D" w:rsidRDefault="0000268A" w:rsidP="0000268A">
      <w:pPr>
        <w:widowControl/>
        <w:suppressAutoHyphens/>
        <w:spacing w:line="360" w:lineRule="auto"/>
        <w:rPr>
          <w:color w:val="000000"/>
          <w:sz w:val="26"/>
          <w:u w:color="000000"/>
        </w:rPr>
      </w:pPr>
      <w:r w:rsidRPr="00695B0D">
        <w:rPr>
          <w:color w:val="000000"/>
          <w:sz w:val="26"/>
          <w:u w:color="000000"/>
        </w:rPr>
        <w:tab/>
      </w:r>
      <w:r w:rsidRPr="00695B0D">
        <w:rPr>
          <w:color w:val="000000"/>
          <w:sz w:val="26"/>
          <w:u w:color="000000"/>
        </w:rPr>
        <w:tab/>
        <w:t xml:space="preserve">Under the standards of </w:t>
      </w:r>
      <w:proofErr w:type="spellStart"/>
      <w:r w:rsidRPr="00695B0D">
        <w:rPr>
          <w:i/>
          <w:color w:val="000000"/>
          <w:sz w:val="26"/>
          <w:u w:color="000000"/>
        </w:rPr>
        <w:t>Duick</w:t>
      </w:r>
      <w:proofErr w:type="spellEnd"/>
      <w:r w:rsidRPr="00695B0D">
        <w:rPr>
          <w:color w:val="000000"/>
          <w:sz w:val="26"/>
          <w:u w:color="000000"/>
        </w:rPr>
        <w:t xml:space="preserve">, a petition for reconsideration may properly raise any matter designed to convince the Commission that we should exercise our discretion to amend or rescind a prior Order, in whole or in part.  Such petitions are likely to succeed only when they raise “new and novel arguments” not previously heard or </w:t>
      </w:r>
      <w:r w:rsidRPr="00695B0D">
        <w:rPr>
          <w:color w:val="000000"/>
          <w:sz w:val="26"/>
          <w:u w:color="000000"/>
        </w:rPr>
        <w:lastRenderedPageBreak/>
        <w:t xml:space="preserve">considerations which appear to have been overlooked or not addressed by the Commission.  </w:t>
      </w:r>
      <w:proofErr w:type="spellStart"/>
      <w:r w:rsidRPr="00695B0D">
        <w:rPr>
          <w:i/>
          <w:color w:val="000000"/>
          <w:sz w:val="26"/>
          <w:u w:color="000000"/>
        </w:rPr>
        <w:t>Duick</w:t>
      </w:r>
      <w:proofErr w:type="spellEnd"/>
      <w:r w:rsidRPr="00695B0D">
        <w:rPr>
          <w:color w:val="000000"/>
          <w:sz w:val="26"/>
          <w:u w:color="000000"/>
        </w:rPr>
        <w:t>, 56 Pa. P.U.C. at 559.</w:t>
      </w:r>
    </w:p>
    <w:p w14:paraId="3D568A9D" w14:textId="77777777" w:rsidR="0000268A" w:rsidRPr="00695B0D" w:rsidRDefault="0000268A" w:rsidP="0000268A">
      <w:pPr>
        <w:widowControl/>
        <w:suppressAutoHyphens/>
        <w:spacing w:line="360" w:lineRule="auto"/>
        <w:rPr>
          <w:color w:val="000000"/>
          <w:sz w:val="26"/>
          <w:u w:color="000000"/>
        </w:rPr>
      </w:pPr>
    </w:p>
    <w:p w14:paraId="3C1082F3" w14:textId="7AE6F781" w:rsidR="0000268A" w:rsidRPr="00695B0D" w:rsidRDefault="0000268A" w:rsidP="0000268A">
      <w:pPr>
        <w:widowControl/>
        <w:spacing w:line="360" w:lineRule="auto"/>
        <w:rPr>
          <w:sz w:val="26"/>
          <w:szCs w:val="26"/>
        </w:rPr>
      </w:pPr>
      <w:r w:rsidRPr="00695B0D">
        <w:rPr>
          <w:i/>
          <w:sz w:val="26"/>
          <w:szCs w:val="26"/>
        </w:rPr>
        <w:tab/>
      </w:r>
      <w:r w:rsidRPr="00695B0D">
        <w:rPr>
          <w:i/>
          <w:sz w:val="26"/>
          <w:szCs w:val="26"/>
        </w:rPr>
        <w:tab/>
      </w:r>
      <w:r w:rsidRPr="00695B0D">
        <w:rPr>
          <w:iCs/>
          <w:sz w:val="26"/>
          <w:szCs w:val="26"/>
        </w:rPr>
        <w:t xml:space="preserve">Additionally, </w:t>
      </w:r>
      <w:proofErr w:type="spellStart"/>
      <w:r w:rsidRPr="00695B0D">
        <w:rPr>
          <w:i/>
          <w:sz w:val="26"/>
          <w:szCs w:val="26"/>
        </w:rPr>
        <w:t>Duick</w:t>
      </w:r>
      <w:proofErr w:type="spellEnd"/>
      <w:r w:rsidRPr="00695B0D">
        <w:rPr>
          <w:sz w:val="26"/>
          <w:szCs w:val="26"/>
        </w:rPr>
        <w:t xml:space="preserve"> held that a petition for rehearing under Subsection</w:t>
      </w:r>
      <w:r w:rsidR="00A45AE5" w:rsidRPr="00695B0D">
        <w:rPr>
          <w:sz w:val="26"/>
          <w:szCs w:val="26"/>
        </w:rPr>
        <w:t> </w:t>
      </w:r>
      <w:r w:rsidRPr="00695B0D">
        <w:rPr>
          <w:sz w:val="26"/>
          <w:szCs w:val="26"/>
        </w:rPr>
        <w:t xml:space="preserve">703(f) of the Code, 66 Pa. C.S. § 703(f), must allege newly discovered evidence not discoverable through the exercise of due diligence prior to the close of the record.  </w:t>
      </w:r>
      <w:proofErr w:type="spellStart"/>
      <w:r w:rsidRPr="00695B0D">
        <w:rPr>
          <w:i/>
          <w:sz w:val="26"/>
          <w:szCs w:val="26"/>
        </w:rPr>
        <w:t>Duick</w:t>
      </w:r>
      <w:proofErr w:type="spellEnd"/>
      <w:r w:rsidRPr="00695B0D">
        <w:rPr>
          <w:sz w:val="26"/>
          <w:szCs w:val="26"/>
        </w:rPr>
        <w:t xml:space="preserve"> at 558.  </w:t>
      </w:r>
    </w:p>
    <w:p w14:paraId="607C7CEA" w14:textId="77777777" w:rsidR="0000268A" w:rsidRPr="00695B0D" w:rsidRDefault="0000268A" w:rsidP="0000268A">
      <w:pPr>
        <w:widowControl/>
        <w:spacing w:line="360" w:lineRule="auto"/>
        <w:rPr>
          <w:sz w:val="26"/>
          <w:szCs w:val="26"/>
        </w:rPr>
      </w:pPr>
    </w:p>
    <w:p w14:paraId="22D118A4" w14:textId="727E8599" w:rsidR="0000268A" w:rsidRPr="00695B0D" w:rsidRDefault="0000268A" w:rsidP="000B0B95">
      <w:pPr>
        <w:widowControl/>
        <w:suppressAutoHyphens/>
        <w:spacing w:line="360" w:lineRule="auto"/>
        <w:ind w:firstLine="1440"/>
        <w:rPr>
          <w:sz w:val="26"/>
        </w:rPr>
      </w:pPr>
      <w:r w:rsidRPr="00695B0D">
        <w:rPr>
          <w:sz w:val="26"/>
        </w:rPr>
        <w:t xml:space="preserve">Finally, in addressing the Petition, we note that any argument not specifically discussed shall be deemed to have been duly considered and denied without further discussion.  The Commission is not required to consider expressly or at length each contention or argument raised by the parties.  </w:t>
      </w:r>
      <w:r w:rsidRPr="00695B0D">
        <w:rPr>
          <w:i/>
          <w:sz w:val="26"/>
        </w:rPr>
        <w:t>Consolidated Rail Corp. v. Pa. PUC</w:t>
      </w:r>
      <w:r w:rsidRPr="00695B0D">
        <w:rPr>
          <w:iCs/>
          <w:sz w:val="26"/>
        </w:rPr>
        <w:t>,</w:t>
      </w:r>
      <w:r w:rsidRPr="00695B0D">
        <w:rPr>
          <w:i/>
          <w:sz w:val="26"/>
        </w:rPr>
        <w:t xml:space="preserve"> </w:t>
      </w:r>
      <w:r w:rsidRPr="00695B0D">
        <w:rPr>
          <w:sz w:val="26"/>
        </w:rPr>
        <w:t>625 A.2d 741 (Pa. Cmwlth. 1993).</w:t>
      </w:r>
    </w:p>
    <w:p w14:paraId="2BADE388" w14:textId="795FD3A9" w:rsidR="003E6484" w:rsidRPr="00695B0D" w:rsidRDefault="003E6484" w:rsidP="000B0B95">
      <w:pPr>
        <w:widowControl/>
        <w:suppressAutoHyphens/>
        <w:spacing w:line="360" w:lineRule="auto"/>
        <w:rPr>
          <w:sz w:val="26"/>
        </w:rPr>
      </w:pPr>
    </w:p>
    <w:p w14:paraId="6C47E46A" w14:textId="736353AB" w:rsidR="003E6484" w:rsidRPr="00695B0D" w:rsidRDefault="003E6484" w:rsidP="000B0B95">
      <w:pPr>
        <w:widowControl/>
        <w:suppressAutoHyphens/>
        <w:spacing w:line="360" w:lineRule="auto"/>
        <w:rPr>
          <w:b/>
          <w:bCs/>
          <w:i/>
          <w:iCs/>
          <w:sz w:val="26"/>
          <w:szCs w:val="26"/>
        </w:rPr>
      </w:pPr>
      <w:r w:rsidRPr="00695B0D">
        <w:rPr>
          <w:b/>
          <w:bCs/>
          <w:sz w:val="26"/>
        </w:rPr>
        <w:t>B.</w:t>
      </w:r>
      <w:r w:rsidRPr="00695B0D">
        <w:rPr>
          <w:sz w:val="26"/>
        </w:rPr>
        <w:t xml:space="preserve"> </w:t>
      </w:r>
      <w:r w:rsidR="00BF5080" w:rsidRPr="00695B0D">
        <w:rPr>
          <w:sz w:val="26"/>
        </w:rPr>
        <w:tab/>
      </w:r>
      <w:r w:rsidR="00BF5080" w:rsidRPr="00695B0D">
        <w:rPr>
          <w:b/>
          <w:bCs/>
          <w:sz w:val="26"/>
          <w:szCs w:val="26"/>
        </w:rPr>
        <w:t>November 2020 Order</w:t>
      </w:r>
    </w:p>
    <w:p w14:paraId="448DC706" w14:textId="0E190D6B" w:rsidR="00697B03" w:rsidRPr="00695B0D" w:rsidRDefault="00697B03" w:rsidP="000B0B95">
      <w:pPr>
        <w:widowControl/>
        <w:suppressAutoHyphens/>
        <w:spacing w:line="360" w:lineRule="auto"/>
        <w:rPr>
          <w:b/>
          <w:bCs/>
          <w:i/>
          <w:iCs/>
          <w:sz w:val="26"/>
          <w:szCs w:val="26"/>
        </w:rPr>
      </w:pPr>
    </w:p>
    <w:p w14:paraId="23B1A7F5" w14:textId="4E3211B7" w:rsidR="006E7ADB" w:rsidRPr="00695B0D" w:rsidRDefault="00697B03" w:rsidP="000B0B95">
      <w:pPr>
        <w:suppressAutoHyphens/>
        <w:spacing w:line="360" w:lineRule="auto"/>
        <w:ind w:firstLine="720"/>
        <w:rPr>
          <w:sz w:val="26"/>
          <w:szCs w:val="26"/>
        </w:rPr>
      </w:pPr>
      <w:r w:rsidRPr="00695B0D">
        <w:rPr>
          <w:sz w:val="26"/>
          <w:szCs w:val="26"/>
        </w:rPr>
        <w:tab/>
        <w:t xml:space="preserve">In our </w:t>
      </w:r>
      <w:r w:rsidRPr="00695B0D">
        <w:rPr>
          <w:i/>
          <w:iCs/>
          <w:sz w:val="26"/>
          <w:szCs w:val="26"/>
        </w:rPr>
        <w:t>November 2020 Order</w:t>
      </w:r>
      <w:r w:rsidRPr="00695B0D">
        <w:rPr>
          <w:sz w:val="26"/>
          <w:szCs w:val="26"/>
        </w:rPr>
        <w:t>,</w:t>
      </w:r>
      <w:r w:rsidRPr="00695B0D">
        <w:rPr>
          <w:i/>
          <w:iCs/>
          <w:sz w:val="26"/>
          <w:szCs w:val="26"/>
        </w:rPr>
        <w:t xml:space="preserve"> </w:t>
      </w:r>
      <w:r w:rsidR="006E7ADB" w:rsidRPr="00695B0D">
        <w:rPr>
          <w:sz w:val="26"/>
          <w:szCs w:val="26"/>
        </w:rPr>
        <w:t xml:space="preserve">we noted </w:t>
      </w:r>
      <w:r w:rsidR="00B719BE" w:rsidRPr="00695B0D">
        <w:rPr>
          <w:sz w:val="26"/>
          <w:szCs w:val="26"/>
        </w:rPr>
        <w:t xml:space="preserve">that </w:t>
      </w:r>
      <w:r w:rsidR="006E7ADB" w:rsidRPr="00695B0D">
        <w:rPr>
          <w:sz w:val="26"/>
          <w:szCs w:val="26"/>
        </w:rPr>
        <w:t>GREENCROWN signified its agreement to</w:t>
      </w:r>
      <w:r w:rsidR="006406FF" w:rsidRPr="00695B0D">
        <w:rPr>
          <w:sz w:val="26"/>
          <w:szCs w:val="26"/>
        </w:rPr>
        <w:t xml:space="preserve"> </w:t>
      </w:r>
      <w:r w:rsidR="00B719BE" w:rsidRPr="00695B0D">
        <w:rPr>
          <w:sz w:val="26"/>
          <w:szCs w:val="26"/>
        </w:rPr>
        <w:t xml:space="preserve">Section 5.c of </w:t>
      </w:r>
      <w:r w:rsidR="005145BA" w:rsidRPr="00695B0D">
        <w:rPr>
          <w:sz w:val="26"/>
          <w:szCs w:val="26"/>
        </w:rPr>
        <w:t xml:space="preserve">its </w:t>
      </w:r>
      <w:r w:rsidR="00B719BE" w:rsidRPr="00695B0D">
        <w:rPr>
          <w:sz w:val="26"/>
          <w:szCs w:val="26"/>
        </w:rPr>
        <w:t>Application</w:t>
      </w:r>
      <w:r w:rsidR="006E7ADB" w:rsidRPr="00695B0D">
        <w:rPr>
          <w:sz w:val="26"/>
          <w:szCs w:val="26"/>
        </w:rPr>
        <w:t xml:space="preserve">, indicating that it was aware of its responsibility to provide complete and candid responses in the submitted license </w:t>
      </w:r>
      <w:r w:rsidR="00C94D34" w:rsidRPr="00695B0D">
        <w:rPr>
          <w:sz w:val="26"/>
          <w:szCs w:val="26"/>
        </w:rPr>
        <w:t>A</w:t>
      </w:r>
      <w:r w:rsidR="006E7ADB" w:rsidRPr="00695B0D">
        <w:rPr>
          <w:sz w:val="26"/>
          <w:szCs w:val="26"/>
        </w:rPr>
        <w:t xml:space="preserve">pplication.  </w:t>
      </w:r>
      <w:r w:rsidR="005145BA" w:rsidRPr="00695B0D">
        <w:rPr>
          <w:sz w:val="26"/>
          <w:szCs w:val="26"/>
        </w:rPr>
        <w:t>We</w:t>
      </w:r>
      <w:r w:rsidR="00B54988" w:rsidRPr="00695B0D">
        <w:rPr>
          <w:sz w:val="26"/>
          <w:szCs w:val="26"/>
        </w:rPr>
        <w:t xml:space="preserve"> stated </w:t>
      </w:r>
      <w:r w:rsidR="005145BA" w:rsidRPr="00695B0D">
        <w:rPr>
          <w:sz w:val="26"/>
          <w:szCs w:val="26"/>
        </w:rPr>
        <w:t>that</w:t>
      </w:r>
      <w:r w:rsidR="006E7ADB" w:rsidRPr="00695B0D">
        <w:rPr>
          <w:sz w:val="26"/>
          <w:szCs w:val="26"/>
        </w:rPr>
        <w:t xml:space="preserve"> GREENCROWN had a previous EGS license cancelled by the Commission due to non-compliance with 52 Pa. Code §</w:t>
      </w:r>
      <w:r w:rsidR="0051628D" w:rsidRPr="00695B0D">
        <w:rPr>
          <w:sz w:val="26"/>
          <w:szCs w:val="26"/>
        </w:rPr>
        <w:t xml:space="preserve"> </w:t>
      </w:r>
      <w:r w:rsidR="006E7ADB" w:rsidRPr="00695B0D">
        <w:rPr>
          <w:sz w:val="26"/>
          <w:szCs w:val="26"/>
        </w:rPr>
        <w:t>54.40(a)</w:t>
      </w:r>
      <w:r w:rsidR="0051628D" w:rsidRPr="00695B0D">
        <w:rPr>
          <w:sz w:val="26"/>
          <w:szCs w:val="26"/>
        </w:rPr>
        <w:t>,</w:t>
      </w:r>
      <w:r w:rsidR="006E7ADB" w:rsidRPr="00695B0D">
        <w:rPr>
          <w:sz w:val="26"/>
          <w:szCs w:val="26"/>
        </w:rPr>
        <w:t xml:space="preserve">(d) regarding EGS financial security requirements.  </w:t>
      </w:r>
      <w:r w:rsidR="0059565E" w:rsidRPr="00695B0D">
        <w:rPr>
          <w:sz w:val="26"/>
          <w:szCs w:val="26"/>
        </w:rPr>
        <w:t xml:space="preserve">We further noted that </w:t>
      </w:r>
      <w:r w:rsidR="006E7ADB" w:rsidRPr="00695B0D">
        <w:rPr>
          <w:sz w:val="26"/>
          <w:szCs w:val="26"/>
        </w:rPr>
        <w:t>GREENCROWN failed, in</w:t>
      </w:r>
      <w:r w:rsidR="0059565E" w:rsidRPr="00695B0D">
        <w:rPr>
          <w:sz w:val="26"/>
          <w:szCs w:val="26"/>
        </w:rPr>
        <w:t xml:space="preserve"> its</w:t>
      </w:r>
      <w:r w:rsidR="006E7ADB" w:rsidRPr="00695B0D">
        <w:rPr>
          <w:sz w:val="26"/>
          <w:szCs w:val="26"/>
        </w:rPr>
        <w:t xml:space="preserve"> </w:t>
      </w:r>
      <w:r w:rsidR="0059565E" w:rsidRPr="00695B0D">
        <w:rPr>
          <w:sz w:val="26"/>
          <w:szCs w:val="26"/>
        </w:rPr>
        <w:t>A</w:t>
      </w:r>
      <w:r w:rsidR="006E7ADB" w:rsidRPr="00695B0D">
        <w:rPr>
          <w:sz w:val="26"/>
          <w:szCs w:val="26"/>
        </w:rPr>
        <w:t>pplication, to disclose that it had its license cancelled by the Commission as required by Section 5.c of the EGS Application.</w:t>
      </w:r>
      <w:r w:rsidR="00836F1C" w:rsidRPr="00695B0D">
        <w:rPr>
          <w:sz w:val="26"/>
          <w:szCs w:val="26"/>
        </w:rPr>
        <w:t xml:space="preserve">  </w:t>
      </w:r>
      <w:r w:rsidR="008E3142" w:rsidRPr="00695B0D">
        <w:rPr>
          <w:sz w:val="26"/>
          <w:szCs w:val="26"/>
        </w:rPr>
        <w:t>We</w:t>
      </w:r>
      <w:r w:rsidR="00C5569C" w:rsidRPr="00695B0D">
        <w:rPr>
          <w:sz w:val="26"/>
          <w:szCs w:val="26"/>
        </w:rPr>
        <w:t xml:space="preserve"> explained that</w:t>
      </w:r>
      <w:r w:rsidR="008E3142" w:rsidRPr="00695B0D">
        <w:rPr>
          <w:sz w:val="26"/>
          <w:szCs w:val="26"/>
        </w:rPr>
        <w:t xml:space="preserve"> t</w:t>
      </w:r>
      <w:r w:rsidR="006E7ADB" w:rsidRPr="00695B0D">
        <w:rPr>
          <w:sz w:val="26"/>
          <w:szCs w:val="26"/>
        </w:rPr>
        <w:t>he fact that GREENCROWN</w:t>
      </w:r>
      <w:r w:rsidR="008E3142" w:rsidRPr="00695B0D">
        <w:rPr>
          <w:sz w:val="26"/>
          <w:szCs w:val="26"/>
        </w:rPr>
        <w:t xml:space="preserve"> </w:t>
      </w:r>
      <w:r w:rsidR="006E7ADB" w:rsidRPr="00695B0D">
        <w:rPr>
          <w:sz w:val="26"/>
          <w:szCs w:val="26"/>
        </w:rPr>
        <w:t>was cancelled</w:t>
      </w:r>
      <w:r w:rsidR="00EF52D6" w:rsidRPr="00695B0D">
        <w:rPr>
          <w:sz w:val="26"/>
          <w:szCs w:val="26"/>
        </w:rPr>
        <w:t xml:space="preserve"> and </w:t>
      </w:r>
      <w:r w:rsidR="006E7ADB" w:rsidRPr="00695B0D">
        <w:rPr>
          <w:sz w:val="26"/>
          <w:szCs w:val="26"/>
        </w:rPr>
        <w:t>failed to disclose such on</w:t>
      </w:r>
      <w:r w:rsidR="00397277" w:rsidRPr="00695B0D">
        <w:rPr>
          <w:sz w:val="26"/>
          <w:szCs w:val="26"/>
        </w:rPr>
        <w:t xml:space="preserve"> its </w:t>
      </w:r>
      <w:r w:rsidR="007F628F" w:rsidRPr="00695B0D">
        <w:rPr>
          <w:sz w:val="26"/>
          <w:szCs w:val="26"/>
        </w:rPr>
        <w:t>A</w:t>
      </w:r>
      <w:r w:rsidR="006E7ADB" w:rsidRPr="00695B0D">
        <w:rPr>
          <w:sz w:val="26"/>
          <w:szCs w:val="26"/>
        </w:rPr>
        <w:t>pplication, raises a concern regarding the integrity</w:t>
      </w:r>
      <w:r w:rsidR="00EF52D6" w:rsidRPr="00695B0D">
        <w:rPr>
          <w:sz w:val="26"/>
          <w:szCs w:val="26"/>
        </w:rPr>
        <w:t xml:space="preserve"> </w:t>
      </w:r>
      <w:r w:rsidR="00700BD2" w:rsidRPr="00695B0D">
        <w:rPr>
          <w:sz w:val="26"/>
          <w:szCs w:val="26"/>
        </w:rPr>
        <w:t xml:space="preserve">of </w:t>
      </w:r>
      <w:r w:rsidR="00EF52D6" w:rsidRPr="00695B0D">
        <w:rPr>
          <w:sz w:val="26"/>
          <w:szCs w:val="26"/>
        </w:rPr>
        <w:t xml:space="preserve">GREENCROWN </w:t>
      </w:r>
      <w:r w:rsidR="006E7ADB" w:rsidRPr="00695B0D">
        <w:rPr>
          <w:sz w:val="26"/>
          <w:szCs w:val="26"/>
        </w:rPr>
        <w:t xml:space="preserve">as a broker/marketer of retail power in the Commonwealth of Pennsylvania.  </w:t>
      </w:r>
      <w:r w:rsidR="00D13C5A" w:rsidRPr="00695B0D">
        <w:rPr>
          <w:sz w:val="26"/>
          <w:szCs w:val="26"/>
        </w:rPr>
        <w:t>We</w:t>
      </w:r>
      <w:r w:rsidR="001E497F" w:rsidRPr="00695B0D">
        <w:rPr>
          <w:sz w:val="26"/>
          <w:szCs w:val="26"/>
        </w:rPr>
        <w:t xml:space="preserve"> determined </w:t>
      </w:r>
      <w:r w:rsidR="00D13C5A" w:rsidRPr="00695B0D">
        <w:rPr>
          <w:sz w:val="26"/>
          <w:szCs w:val="26"/>
        </w:rPr>
        <w:t>that t</w:t>
      </w:r>
      <w:r w:rsidR="006E7ADB" w:rsidRPr="00695B0D">
        <w:rPr>
          <w:sz w:val="26"/>
          <w:szCs w:val="26"/>
        </w:rPr>
        <w:t>he Commission finds</w:t>
      </w:r>
      <w:r w:rsidR="00B03FF8" w:rsidRPr="00695B0D">
        <w:rPr>
          <w:sz w:val="26"/>
          <w:szCs w:val="26"/>
        </w:rPr>
        <w:t xml:space="preserve"> </w:t>
      </w:r>
      <w:r w:rsidR="001E497F" w:rsidRPr="00695B0D">
        <w:rPr>
          <w:sz w:val="26"/>
          <w:szCs w:val="26"/>
        </w:rPr>
        <w:t xml:space="preserve">that </w:t>
      </w:r>
      <w:r w:rsidR="00B03FF8" w:rsidRPr="00695B0D">
        <w:rPr>
          <w:sz w:val="26"/>
          <w:szCs w:val="26"/>
        </w:rPr>
        <w:t>the</w:t>
      </w:r>
      <w:r w:rsidR="006E7ADB" w:rsidRPr="00695B0D">
        <w:rPr>
          <w:sz w:val="26"/>
          <w:szCs w:val="26"/>
        </w:rPr>
        <w:t xml:space="preserve"> lack of candor and integrity puts into question GREENCROWN’s technical fitness as a broker/marketer of retail power.  We </w:t>
      </w:r>
      <w:r w:rsidR="00D13C5A" w:rsidRPr="00695B0D">
        <w:rPr>
          <w:sz w:val="26"/>
          <w:szCs w:val="26"/>
        </w:rPr>
        <w:t xml:space="preserve">also </w:t>
      </w:r>
      <w:r w:rsidR="006E7ADB" w:rsidRPr="00695B0D">
        <w:rPr>
          <w:sz w:val="26"/>
          <w:szCs w:val="26"/>
        </w:rPr>
        <w:t>note</w:t>
      </w:r>
      <w:r w:rsidR="00D13C5A" w:rsidRPr="00695B0D">
        <w:rPr>
          <w:sz w:val="26"/>
          <w:szCs w:val="26"/>
        </w:rPr>
        <w:t>d</w:t>
      </w:r>
      <w:r w:rsidR="006E7ADB" w:rsidRPr="00695B0D">
        <w:rPr>
          <w:sz w:val="26"/>
          <w:szCs w:val="26"/>
        </w:rPr>
        <w:t xml:space="preserve"> that all licensed suppliers are obligated to </w:t>
      </w:r>
      <w:r w:rsidR="006E7ADB" w:rsidRPr="00695B0D">
        <w:rPr>
          <w:sz w:val="26"/>
          <w:szCs w:val="26"/>
        </w:rPr>
        <w:lastRenderedPageBreak/>
        <w:t xml:space="preserve">comply with Commission </w:t>
      </w:r>
      <w:r w:rsidR="004928E3" w:rsidRPr="00695B0D">
        <w:rPr>
          <w:sz w:val="26"/>
          <w:szCs w:val="26"/>
        </w:rPr>
        <w:t>R</w:t>
      </w:r>
      <w:r w:rsidR="006E7ADB" w:rsidRPr="00695B0D">
        <w:rPr>
          <w:sz w:val="26"/>
          <w:szCs w:val="26"/>
        </w:rPr>
        <w:t xml:space="preserve">egulations and </w:t>
      </w:r>
      <w:r w:rsidR="00FE1080" w:rsidRPr="00695B0D">
        <w:rPr>
          <w:sz w:val="26"/>
          <w:szCs w:val="26"/>
        </w:rPr>
        <w:t>O</w:t>
      </w:r>
      <w:r w:rsidR="006E7ADB" w:rsidRPr="00695B0D">
        <w:rPr>
          <w:sz w:val="26"/>
          <w:szCs w:val="26"/>
        </w:rPr>
        <w:t>rders</w:t>
      </w:r>
      <w:r w:rsidR="001E086E" w:rsidRPr="00695B0D">
        <w:rPr>
          <w:sz w:val="26"/>
          <w:szCs w:val="26"/>
        </w:rPr>
        <w:t xml:space="preserve">.  Accordingly, </w:t>
      </w:r>
      <w:r w:rsidR="006E7ADB" w:rsidRPr="00695B0D">
        <w:rPr>
          <w:sz w:val="26"/>
          <w:szCs w:val="26"/>
        </w:rPr>
        <w:t>we f</w:t>
      </w:r>
      <w:r w:rsidR="004928E3" w:rsidRPr="00695B0D">
        <w:rPr>
          <w:sz w:val="26"/>
          <w:szCs w:val="26"/>
        </w:rPr>
        <w:t>ound</w:t>
      </w:r>
      <w:r w:rsidR="006E7ADB" w:rsidRPr="00695B0D">
        <w:rPr>
          <w:sz w:val="26"/>
          <w:szCs w:val="26"/>
        </w:rPr>
        <w:t xml:space="preserve"> that GREENCROWN’s lack of candor and integrity on</w:t>
      </w:r>
      <w:r w:rsidR="00414C59" w:rsidRPr="00695B0D">
        <w:rPr>
          <w:sz w:val="26"/>
          <w:szCs w:val="26"/>
        </w:rPr>
        <w:t xml:space="preserve"> its </w:t>
      </w:r>
      <w:r w:rsidR="004928E3" w:rsidRPr="00695B0D">
        <w:rPr>
          <w:sz w:val="26"/>
          <w:szCs w:val="26"/>
        </w:rPr>
        <w:t>A</w:t>
      </w:r>
      <w:r w:rsidR="006E7ADB" w:rsidRPr="00695B0D">
        <w:rPr>
          <w:sz w:val="26"/>
          <w:szCs w:val="26"/>
        </w:rPr>
        <w:t>pplication raises questions as to whether GREENCROWN</w:t>
      </w:r>
      <w:r w:rsidR="004928E3" w:rsidRPr="00695B0D">
        <w:rPr>
          <w:sz w:val="26"/>
          <w:szCs w:val="26"/>
        </w:rPr>
        <w:t xml:space="preserve"> </w:t>
      </w:r>
      <w:r w:rsidR="006E7ADB" w:rsidRPr="00695B0D">
        <w:rPr>
          <w:sz w:val="26"/>
          <w:szCs w:val="26"/>
        </w:rPr>
        <w:t xml:space="preserve">has the ability to comply with all such </w:t>
      </w:r>
      <w:r w:rsidR="0035573C" w:rsidRPr="00695B0D">
        <w:rPr>
          <w:sz w:val="26"/>
          <w:szCs w:val="26"/>
        </w:rPr>
        <w:t>R</w:t>
      </w:r>
      <w:r w:rsidR="006E7ADB" w:rsidRPr="00695B0D">
        <w:rPr>
          <w:sz w:val="26"/>
          <w:szCs w:val="26"/>
        </w:rPr>
        <w:t xml:space="preserve">egulations and </w:t>
      </w:r>
      <w:r w:rsidR="0035573C" w:rsidRPr="00695B0D">
        <w:rPr>
          <w:sz w:val="26"/>
          <w:szCs w:val="26"/>
        </w:rPr>
        <w:t>O</w:t>
      </w:r>
      <w:r w:rsidR="006E7ADB" w:rsidRPr="00695B0D">
        <w:rPr>
          <w:sz w:val="26"/>
          <w:szCs w:val="26"/>
        </w:rPr>
        <w:t>rders when</w:t>
      </w:r>
      <w:r w:rsidR="00C94D34" w:rsidRPr="00695B0D">
        <w:rPr>
          <w:sz w:val="26"/>
          <w:szCs w:val="26"/>
        </w:rPr>
        <w:t xml:space="preserve"> it </w:t>
      </w:r>
      <w:r w:rsidR="006E7ADB" w:rsidRPr="00695B0D">
        <w:rPr>
          <w:sz w:val="26"/>
          <w:szCs w:val="26"/>
        </w:rPr>
        <w:t xml:space="preserve">cannot complete the </w:t>
      </w:r>
      <w:r w:rsidR="0035573C" w:rsidRPr="00695B0D">
        <w:rPr>
          <w:sz w:val="26"/>
          <w:szCs w:val="26"/>
        </w:rPr>
        <w:t>EGS</w:t>
      </w:r>
      <w:r w:rsidR="006E7ADB" w:rsidRPr="00695B0D">
        <w:rPr>
          <w:sz w:val="26"/>
          <w:szCs w:val="26"/>
        </w:rPr>
        <w:t xml:space="preserve"> application in a manner that is candidly responsive to all sections of said application.</w:t>
      </w:r>
      <w:r w:rsidR="00433DCE" w:rsidRPr="00695B0D">
        <w:rPr>
          <w:sz w:val="26"/>
          <w:szCs w:val="26"/>
        </w:rPr>
        <w:t xml:space="preserve">  </w:t>
      </w:r>
      <w:r w:rsidR="00433DCE" w:rsidRPr="00695B0D">
        <w:rPr>
          <w:i/>
          <w:iCs/>
          <w:sz w:val="26"/>
          <w:szCs w:val="26"/>
        </w:rPr>
        <w:t>November 2020 Order</w:t>
      </w:r>
      <w:r w:rsidR="00433DCE" w:rsidRPr="00695B0D">
        <w:rPr>
          <w:sz w:val="26"/>
          <w:szCs w:val="26"/>
        </w:rPr>
        <w:t xml:space="preserve"> at 4.</w:t>
      </w:r>
    </w:p>
    <w:p w14:paraId="71853984" w14:textId="77777777" w:rsidR="006E7ADB" w:rsidRPr="00695B0D" w:rsidRDefault="006E7ADB" w:rsidP="006E7ADB">
      <w:pPr>
        <w:suppressAutoHyphens/>
        <w:spacing w:line="360" w:lineRule="auto"/>
        <w:ind w:firstLine="720"/>
        <w:rPr>
          <w:sz w:val="26"/>
          <w:szCs w:val="26"/>
        </w:rPr>
      </w:pPr>
    </w:p>
    <w:p w14:paraId="72248C59" w14:textId="7DBE852C" w:rsidR="00697B03" w:rsidRPr="00695B0D" w:rsidRDefault="00513C64" w:rsidP="003E6484">
      <w:pPr>
        <w:widowControl/>
        <w:suppressAutoHyphens/>
        <w:spacing w:line="360" w:lineRule="auto"/>
        <w:rPr>
          <w:sz w:val="26"/>
        </w:rPr>
      </w:pPr>
      <w:r w:rsidRPr="00695B0D">
        <w:rPr>
          <w:sz w:val="26"/>
        </w:rPr>
        <w:tab/>
      </w:r>
      <w:r w:rsidRPr="00695B0D">
        <w:rPr>
          <w:sz w:val="26"/>
        </w:rPr>
        <w:tab/>
      </w:r>
      <w:r w:rsidR="006D629D" w:rsidRPr="00695B0D">
        <w:rPr>
          <w:sz w:val="26"/>
        </w:rPr>
        <w:t>Consequently</w:t>
      </w:r>
      <w:r w:rsidR="00DB2F52" w:rsidRPr="00695B0D">
        <w:rPr>
          <w:sz w:val="26"/>
        </w:rPr>
        <w:t xml:space="preserve">, </w:t>
      </w:r>
      <w:r w:rsidR="00DB2F52" w:rsidRPr="00695B0D">
        <w:rPr>
          <w:sz w:val="26"/>
          <w:szCs w:val="26"/>
        </w:rPr>
        <w:t>g</w:t>
      </w:r>
      <w:r w:rsidRPr="00695B0D">
        <w:rPr>
          <w:sz w:val="26"/>
          <w:szCs w:val="26"/>
        </w:rPr>
        <w:t xml:space="preserve">iven GREENCROWN’s failure to provide accurate information in response to Section 5.c of the EGS Application, </w:t>
      </w:r>
      <w:r w:rsidR="00502970" w:rsidRPr="00695B0D">
        <w:rPr>
          <w:sz w:val="26"/>
          <w:szCs w:val="26"/>
        </w:rPr>
        <w:t>we denied</w:t>
      </w:r>
      <w:r w:rsidR="000A1328" w:rsidRPr="00695B0D">
        <w:rPr>
          <w:sz w:val="26"/>
          <w:szCs w:val="26"/>
        </w:rPr>
        <w:t xml:space="preserve"> without prejudice,</w:t>
      </w:r>
      <w:r w:rsidR="00502970" w:rsidRPr="00695B0D">
        <w:rPr>
          <w:sz w:val="26"/>
          <w:szCs w:val="26"/>
        </w:rPr>
        <w:t xml:space="preserve"> </w:t>
      </w:r>
      <w:r w:rsidRPr="00695B0D">
        <w:rPr>
          <w:sz w:val="26"/>
          <w:szCs w:val="26"/>
        </w:rPr>
        <w:t>GREENCROWN</w:t>
      </w:r>
      <w:r w:rsidR="00502970" w:rsidRPr="00695B0D">
        <w:rPr>
          <w:sz w:val="26"/>
          <w:szCs w:val="26"/>
        </w:rPr>
        <w:t>’s</w:t>
      </w:r>
      <w:r w:rsidR="005341FB" w:rsidRPr="00695B0D">
        <w:rPr>
          <w:sz w:val="26"/>
          <w:szCs w:val="26"/>
        </w:rPr>
        <w:t xml:space="preserve"> Application</w:t>
      </w:r>
      <w:r w:rsidRPr="00695B0D">
        <w:rPr>
          <w:sz w:val="26"/>
          <w:szCs w:val="26"/>
        </w:rPr>
        <w:t xml:space="preserve"> to become a licensed electric generation supplier as a broker/marketer to small commercial (25 kW and under demand), and large commercial (over 25 kW demand) customers, in all the</w:t>
      </w:r>
      <w:r w:rsidR="00F878D1" w:rsidRPr="00695B0D">
        <w:rPr>
          <w:sz w:val="26"/>
          <w:szCs w:val="26"/>
        </w:rPr>
        <w:t xml:space="preserve"> EDC </w:t>
      </w:r>
      <w:r w:rsidRPr="00695B0D">
        <w:rPr>
          <w:sz w:val="26"/>
          <w:szCs w:val="26"/>
        </w:rPr>
        <w:t>service territories throughout the Commonwealth of Pennsylvania</w:t>
      </w:r>
      <w:r w:rsidR="00F878D1" w:rsidRPr="00695B0D">
        <w:rPr>
          <w:sz w:val="26"/>
          <w:szCs w:val="26"/>
        </w:rPr>
        <w:t xml:space="preserve">, </w:t>
      </w:r>
      <w:r w:rsidRPr="00695B0D">
        <w:rPr>
          <w:sz w:val="26"/>
          <w:szCs w:val="26"/>
        </w:rPr>
        <w:t xml:space="preserve">in accordance with Section 10.g of the EGS </w:t>
      </w:r>
      <w:r w:rsidR="007432C2" w:rsidRPr="00695B0D">
        <w:rPr>
          <w:sz w:val="26"/>
          <w:szCs w:val="26"/>
        </w:rPr>
        <w:t>A</w:t>
      </w:r>
      <w:r w:rsidRPr="00695B0D">
        <w:rPr>
          <w:sz w:val="26"/>
          <w:szCs w:val="26"/>
        </w:rPr>
        <w:t>pplication</w:t>
      </w:r>
      <w:r w:rsidR="00964AAF" w:rsidRPr="00695B0D">
        <w:rPr>
          <w:rStyle w:val="FootnoteReference"/>
          <w:sz w:val="26"/>
          <w:szCs w:val="26"/>
        </w:rPr>
        <w:footnoteReference w:id="5"/>
      </w:r>
      <w:r w:rsidR="00964AAF" w:rsidRPr="00695B0D">
        <w:rPr>
          <w:sz w:val="26"/>
          <w:szCs w:val="26"/>
        </w:rPr>
        <w:t xml:space="preserve"> </w:t>
      </w:r>
      <w:r w:rsidRPr="00695B0D">
        <w:rPr>
          <w:sz w:val="26"/>
          <w:szCs w:val="26"/>
        </w:rPr>
        <w:t xml:space="preserve">and </w:t>
      </w:r>
      <w:r w:rsidR="00CB3378" w:rsidRPr="00695B0D">
        <w:rPr>
          <w:sz w:val="26"/>
          <w:szCs w:val="26"/>
        </w:rPr>
        <w:t>GREENCROWN’s</w:t>
      </w:r>
      <w:r w:rsidRPr="00695B0D">
        <w:rPr>
          <w:sz w:val="26"/>
          <w:szCs w:val="26"/>
        </w:rPr>
        <w:t xml:space="preserve"> failure to demonstrate the technical fitness to act in that capacity</w:t>
      </w:r>
      <w:r w:rsidR="005341FB" w:rsidRPr="00695B0D">
        <w:rPr>
          <w:sz w:val="26"/>
          <w:szCs w:val="26"/>
        </w:rPr>
        <w:t xml:space="preserve">. </w:t>
      </w:r>
      <w:r w:rsidR="00964AAF" w:rsidRPr="00695B0D">
        <w:rPr>
          <w:sz w:val="26"/>
          <w:szCs w:val="26"/>
        </w:rPr>
        <w:t xml:space="preserve"> </w:t>
      </w:r>
      <w:r w:rsidR="005345F8" w:rsidRPr="00695B0D">
        <w:rPr>
          <w:i/>
          <w:iCs/>
          <w:sz w:val="26"/>
          <w:szCs w:val="26"/>
        </w:rPr>
        <w:t>November 2020 Order</w:t>
      </w:r>
      <w:r w:rsidR="005345F8" w:rsidRPr="00695B0D">
        <w:rPr>
          <w:sz w:val="26"/>
          <w:szCs w:val="26"/>
        </w:rPr>
        <w:t xml:space="preserve"> </w:t>
      </w:r>
      <w:r w:rsidR="00DB2F52" w:rsidRPr="00695B0D">
        <w:rPr>
          <w:sz w:val="26"/>
          <w:szCs w:val="26"/>
        </w:rPr>
        <w:t>at 4-5.</w:t>
      </w:r>
    </w:p>
    <w:p w14:paraId="4AAB1A2D" w14:textId="77777777" w:rsidR="0000268A" w:rsidRPr="00695B0D" w:rsidRDefault="0000268A" w:rsidP="0000268A">
      <w:pPr>
        <w:widowControl/>
        <w:suppressAutoHyphens/>
        <w:spacing w:line="360" w:lineRule="auto"/>
        <w:rPr>
          <w:sz w:val="26"/>
        </w:rPr>
      </w:pPr>
    </w:p>
    <w:p w14:paraId="21181EF2" w14:textId="08FC90BF" w:rsidR="0000268A" w:rsidRPr="00695B0D" w:rsidRDefault="00CE5EA1" w:rsidP="0000268A">
      <w:pPr>
        <w:keepNext/>
        <w:widowControl/>
        <w:tabs>
          <w:tab w:val="left" w:pos="-720"/>
        </w:tabs>
        <w:suppressAutoHyphens/>
        <w:overflowPunct w:val="0"/>
        <w:autoSpaceDE w:val="0"/>
        <w:autoSpaceDN w:val="0"/>
        <w:adjustRightInd w:val="0"/>
        <w:spacing w:line="360" w:lineRule="auto"/>
        <w:textAlignment w:val="baseline"/>
        <w:rPr>
          <w:b/>
          <w:bCs/>
          <w:sz w:val="26"/>
          <w:szCs w:val="26"/>
        </w:rPr>
      </w:pPr>
      <w:r w:rsidRPr="00695B0D">
        <w:rPr>
          <w:b/>
          <w:color w:val="000000"/>
          <w:sz w:val="26"/>
          <w:u w:color="000000"/>
        </w:rPr>
        <w:t>C</w:t>
      </w:r>
      <w:r w:rsidR="0000268A" w:rsidRPr="00695B0D">
        <w:rPr>
          <w:b/>
          <w:color w:val="000000"/>
          <w:sz w:val="26"/>
          <w:u w:color="000000"/>
        </w:rPr>
        <w:t>.</w:t>
      </w:r>
      <w:r w:rsidR="0000268A" w:rsidRPr="00695B0D">
        <w:rPr>
          <w:b/>
          <w:color w:val="000000"/>
          <w:sz w:val="26"/>
          <w:u w:color="000000"/>
        </w:rPr>
        <w:tab/>
      </w:r>
      <w:r w:rsidR="0000268A" w:rsidRPr="00695B0D">
        <w:rPr>
          <w:b/>
          <w:bCs/>
          <w:sz w:val="26"/>
          <w:szCs w:val="26"/>
        </w:rPr>
        <w:t xml:space="preserve">Petition </w:t>
      </w:r>
    </w:p>
    <w:p w14:paraId="3567E149" w14:textId="77777777" w:rsidR="0000268A" w:rsidRPr="00695B0D" w:rsidRDefault="0000268A" w:rsidP="0000268A">
      <w:pPr>
        <w:keepNext/>
        <w:widowControl/>
        <w:tabs>
          <w:tab w:val="left" w:pos="-720"/>
        </w:tabs>
        <w:suppressAutoHyphens/>
        <w:overflowPunct w:val="0"/>
        <w:autoSpaceDE w:val="0"/>
        <w:autoSpaceDN w:val="0"/>
        <w:adjustRightInd w:val="0"/>
        <w:spacing w:line="360" w:lineRule="auto"/>
        <w:textAlignment w:val="baseline"/>
        <w:rPr>
          <w:sz w:val="26"/>
          <w:szCs w:val="26"/>
        </w:rPr>
      </w:pPr>
    </w:p>
    <w:p w14:paraId="7DCF25BF" w14:textId="4C7B3B8D" w:rsidR="00221076" w:rsidRPr="00695B0D" w:rsidRDefault="0000268A" w:rsidP="0000268A">
      <w:pPr>
        <w:pStyle w:val="Default"/>
        <w:spacing w:line="360" w:lineRule="auto"/>
        <w:rPr>
          <w:color w:val="auto"/>
          <w:sz w:val="26"/>
          <w:szCs w:val="26"/>
        </w:rPr>
      </w:pPr>
      <w:r w:rsidRPr="00695B0D">
        <w:rPr>
          <w:sz w:val="26"/>
          <w:szCs w:val="26"/>
        </w:rPr>
        <w:tab/>
      </w:r>
      <w:r w:rsidRPr="00695B0D">
        <w:rPr>
          <w:sz w:val="26"/>
          <w:szCs w:val="26"/>
        </w:rPr>
        <w:tab/>
        <w:t xml:space="preserve">In its Petition, </w:t>
      </w:r>
      <w:r w:rsidR="00221076" w:rsidRPr="00695B0D">
        <w:rPr>
          <w:sz w:val="26"/>
          <w:szCs w:val="26"/>
        </w:rPr>
        <w:t>GREENCROWN acknowledges receipt of both data requests from TUS requesting response</w:t>
      </w:r>
      <w:r w:rsidR="00A760F0" w:rsidRPr="00695B0D">
        <w:rPr>
          <w:sz w:val="26"/>
          <w:szCs w:val="26"/>
        </w:rPr>
        <w:t>s</w:t>
      </w:r>
      <w:r w:rsidR="00221076" w:rsidRPr="00695B0D">
        <w:rPr>
          <w:sz w:val="26"/>
          <w:szCs w:val="26"/>
        </w:rPr>
        <w:t xml:space="preserve"> </w:t>
      </w:r>
      <w:r w:rsidR="00D27779" w:rsidRPr="00695B0D">
        <w:rPr>
          <w:sz w:val="26"/>
          <w:szCs w:val="26"/>
        </w:rPr>
        <w:t xml:space="preserve">to </w:t>
      </w:r>
      <w:r w:rsidR="00D27779" w:rsidRPr="00695B0D">
        <w:rPr>
          <w:color w:val="auto"/>
          <w:sz w:val="26"/>
          <w:szCs w:val="26"/>
        </w:rPr>
        <w:t xml:space="preserve">5.c of the </w:t>
      </w:r>
      <w:r w:rsidR="00D27779" w:rsidRPr="00695B0D">
        <w:rPr>
          <w:sz w:val="26"/>
          <w:szCs w:val="26"/>
        </w:rPr>
        <w:t>A</w:t>
      </w:r>
      <w:r w:rsidR="00D27779" w:rsidRPr="00695B0D">
        <w:rPr>
          <w:color w:val="auto"/>
          <w:sz w:val="26"/>
          <w:szCs w:val="26"/>
        </w:rPr>
        <w:t>pplication</w:t>
      </w:r>
      <w:r w:rsidR="00B275B7" w:rsidRPr="00695B0D">
        <w:rPr>
          <w:color w:val="auto"/>
          <w:sz w:val="26"/>
          <w:szCs w:val="26"/>
        </w:rPr>
        <w:t xml:space="preserve">.  However, according to the Petitioner, </w:t>
      </w:r>
      <w:r w:rsidR="000F7421" w:rsidRPr="00695B0D">
        <w:rPr>
          <w:color w:val="auto"/>
          <w:sz w:val="26"/>
          <w:szCs w:val="26"/>
        </w:rPr>
        <w:t xml:space="preserve">upon </w:t>
      </w:r>
      <w:r w:rsidR="00A620E7" w:rsidRPr="00695B0D">
        <w:rPr>
          <w:color w:val="auto"/>
          <w:sz w:val="26"/>
          <w:szCs w:val="26"/>
        </w:rPr>
        <w:t xml:space="preserve">receipt of TUS’ first set of data request dated September 8, 2020, </w:t>
      </w:r>
      <w:r w:rsidR="00C746BD" w:rsidRPr="00695B0D">
        <w:rPr>
          <w:color w:val="auto"/>
          <w:sz w:val="26"/>
          <w:szCs w:val="26"/>
        </w:rPr>
        <w:t xml:space="preserve">GREENCROWN advised its licensing provider, </w:t>
      </w:r>
      <w:r w:rsidR="00473C07" w:rsidRPr="00695B0D">
        <w:rPr>
          <w:color w:val="auto"/>
          <w:sz w:val="26"/>
          <w:szCs w:val="26"/>
        </w:rPr>
        <w:t xml:space="preserve">LicenseLogix, on how to respond to the data request but LicenseLogix </w:t>
      </w:r>
      <w:r w:rsidR="005E2C33" w:rsidRPr="00695B0D">
        <w:rPr>
          <w:color w:val="auto"/>
          <w:sz w:val="26"/>
          <w:szCs w:val="26"/>
        </w:rPr>
        <w:t xml:space="preserve">inadvertently omitted the revised page from its response to </w:t>
      </w:r>
      <w:r w:rsidR="005E2C33" w:rsidRPr="00695B0D">
        <w:rPr>
          <w:color w:val="auto"/>
          <w:sz w:val="26"/>
          <w:szCs w:val="26"/>
        </w:rPr>
        <w:lastRenderedPageBreak/>
        <w:t>the data request.</w:t>
      </w:r>
      <w:r w:rsidR="00EB1A29" w:rsidRPr="00695B0D">
        <w:rPr>
          <w:color w:val="auto"/>
          <w:sz w:val="26"/>
          <w:szCs w:val="26"/>
        </w:rPr>
        <w:t xml:space="preserve">  GREENCROWN emphasizes that it ha</w:t>
      </w:r>
      <w:r w:rsidR="00E02F15" w:rsidRPr="00695B0D">
        <w:rPr>
          <w:color w:val="auto"/>
          <w:sz w:val="26"/>
          <w:szCs w:val="26"/>
        </w:rPr>
        <w:t>d</w:t>
      </w:r>
      <w:r w:rsidR="00EB1A29" w:rsidRPr="00695B0D">
        <w:rPr>
          <w:color w:val="auto"/>
          <w:sz w:val="26"/>
          <w:szCs w:val="26"/>
        </w:rPr>
        <w:t xml:space="preserve"> no intention </w:t>
      </w:r>
      <w:r w:rsidR="00E9370C" w:rsidRPr="00695B0D">
        <w:rPr>
          <w:color w:val="auto"/>
          <w:sz w:val="26"/>
          <w:szCs w:val="26"/>
        </w:rPr>
        <w:t xml:space="preserve">of making any false statement </w:t>
      </w:r>
      <w:r w:rsidR="004D3C7D" w:rsidRPr="00695B0D">
        <w:rPr>
          <w:color w:val="auto"/>
          <w:sz w:val="26"/>
          <w:szCs w:val="26"/>
        </w:rPr>
        <w:t xml:space="preserve">to the Commission </w:t>
      </w:r>
      <w:r w:rsidR="00E9370C" w:rsidRPr="00695B0D">
        <w:rPr>
          <w:color w:val="auto"/>
          <w:sz w:val="26"/>
          <w:szCs w:val="26"/>
        </w:rPr>
        <w:t xml:space="preserve">but </w:t>
      </w:r>
      <w:r w:rsidR="004D3C7D" w:rsidRPr="00695B0D">
        <w:rPr>
          <w:color w:val="auto"/>
          <w:sz w:val="26"/>
          <w:szCs w:val="26"/>
        </w:rPr>
        <w:t xml:space="preserve">that </w:t>
      </w:r>
      <w:r w:rsidR="00E9370C" w:rsidRPr="00695B0D">
        <w:rPr>
          <w:color w:val="auto"/>
          <w:sz w:val="26"/>
          <w:szCs w:val="26"/>
        </w:rPr>
        <w:t xml:space="preserve">the omission was an oversight on the part </w:t>
      </w:r>
      <w:r w:rsidR="004D3C7D" w:rsidRPr="00695B0D">
        <w:rPr>
          <w:color w:val="auto"/>
          <w:sz w:val="26"/>
          <w:szCs w:val="26"/>
        </w:rPr>
        <w:t xml:space="preserve">of its licensing provider, LicenseLogix.  Petition at </w:t>
      </w:r>
      <w:r w:rsidR="005D2B55" w:rsidRPr="00695B0D">
        <w:rPr>
          <w:color w:val="auto"/>
          <w:sz w:val="26"/>
          <w:szCs w:val="26"/>
        </w:rPr>
        <w:t>1.</w:t>
      </w:r>
    </w:p>
    <w:p w14:paraId="4A32838E" w14:textId="0EEDC025" w:rsidR="00F403D2" w:rsidRPr="00695B0D" w:rsidRDefault="00F403D2" w:rsidP="0000268A">
      <w:pPr>
        <w:pStyle w:val="Default"/>
        <w:spacing w:line="360" w:lineRule="auto"/>
        <w:rPr>
          <w:color w:val="auto"/>
          <w:sz w:val="26"/>
          <w:szCs w:val="26"/>
        </w:rPr>
      </w:pPr>
    </w:p>
    <w:p w14:paraId="51F111F3" w14:textId="5BE7052F" w:rsidR="00F403D2" w:rsidRPr="00695B0D" w:rsidRDefault="00F403D2" w:rsidP="0000268A">
      <w:pPr>
        <w:pStyle w:val="Default"/>
        <w:spacing w:line="360" w:lineRule="auto"/>
        <w:rPr>
          <w:color w:val="auto"/>
          <w:sz w:val="26"/>
          <w:szCs w:val="26"/>
        </w:rPr>
      </w:pPr>
      <w:r w:rsidRPr="00695B0D">
        <w:rPr>
          <w:color w:val="auto"/>
          <w:sz w:val="26"/>
          <w:szCs w:val="26"/>
        </w:rPr>
        <w:tab/>
      </w:r>
      <w:r w:rsidRPr="00695B0D">
        <w:rPr>
          <w:color w:val="auto"/>
          <w:sz w:val="26"/>
          <w:szCs w:val="26"/>
        </w:rPr>
        <w:tab/>
        <w:t>With regard to TUS’ second data request</w:t>
      </w:r>
      <w:r w:rsidR="00A95E54" w:rsidRPr="00695B0D">
        <w:rPr>
          <w:color w:val="auto"/>
          <w:sz w:val="26"/>
          <w:szCs w:val="26"/>
        </w:rPr>
        <w:t xml:space="preserve"> dated October 9, 2020, GREENCROWN contends </w:t>
      </w:r>
      <w:r w:rsidR="00634FD4" w:rsidRPr="00695B0D">
        <w:rPr>
          <w:color w:val="auto"/>
          <w:sz w:val="26"/>
          <w:szCs w:val="26"/>
        </w:rPr>
        <w:t xml:space="preserve">it </w:t>
      </w:r>
      <w:r w:rsidR="009E07F6" w:rsidRPr="00695B0D">
        <w:rPr>
          <w:color w:val="auto"/>
          <w:sz w:val="26"/>
          <w:szCs w:val="26"/>
        </w:rPr>
        <w:t xml:space="preserve">responded </w:t>
      </w:r>
      <w:r w:rsidR="0054093D" w:rsidRPr="00695B0D">
        <w:rPr>
          <w:color w:val="auto"/>
          <w:sz w:val="26"/>
          <w:szCs w:val="26"/>
        </w:rPr>
        <w:t>by</w:t>
      </w:r>
      <w:r w:rsidR="006807E0" w:rsidRPr="00695B0D">
        <w:rPr>
          <w:color w:val="auto"/>
          <w:sz w:val="26"/>
          <w:szCs w:val="26"/>
        </w:rPr>
        <w:t xml:space="preserve"> confirm</w:t>
      </w:r>
      <w:r w:rsidR="0054093D" w:rsidRPr="00695B0D">
        <w:rPr>
          <w:color w:val="auto"/>
          <w:sz w:val="26"/>
          <w:szCs w:val="26"/>
        </w:rPr>
        <w:t>ing</w:t>
      </w:r>
      <w:r w:rsidR="009E07F6" w:rsidRPr="00695B0D">
        <w:rPr>
          <w:color w:val="auto"/>
          <w:sz w:val="26"/>
          <w:szCs w:val="26"/>
        </w:rPr>
        <w:t xml:space="preserve"> </w:t>
      </w:r>
      <w:r w:rsidR="00DA20B0" w:rsidRPr="00695B0D">
        <w:rPr>
          <w:color w:val="auto"/>
          <w:sz w:val="26"/>
          <w:szCs w:val="26"/>
        </w:rPr>
        <w:t xml:space="preserve">to </w:t>
      </w:r>
      <w:r w:rsidR="009E07F6" w:rsidRPr="00695B0D">
        <w:rPr>
          <w:color w:val="auto"/>
          <w:sz w:val="26"/>
          <w:szCs w:val="26"/>
        </w:rPr>
        <w:t>the data request</w:t>
      </w:r>
      <w:r w:rsidR="00F936D3" w:rsidRPr="00695B0D">
        <w:rPr>
          <w:color w:val="auto"/>
          <w:sz w:val="26"/>
          <w:szCs w:val="26"/>
        </w:rPr>
        <w:t xml:space="preserve"> as </w:t>
      </w:r>
      <w:r w:rsidR="009C427D" w:rsidRPr="00695B0D">
        <w:rPr>
          <w:color w:val="auto"/>
          <w:sz w:val="26"/>
          <w:szCs w:val="26"/>
        </w:rPr>
        <w:t>it</w:t>
      </w:r>
      <w:r w:rsidR="006F6A4B" w:rsidRPr="00695B0D">
        <w:rPr>
          <w:color w:val="auto"/>
          <w:sz w:val="26"/>
          <w:szCs w:val="26"/>
        </w:rPr>
        <w:t xml:space="preserve"> thought </w:t>
      </w:r>
      <w:r w:rsidR="009C427D" w:rsidRPr="00695B0D">
        <w:rPr>
          <w:color w:val="auto"/>
          <w:sz w:val="26"/>
          <w:szCs w:val="26"/>
        </w:rPr>
        <w:t>the data request</w:t>
      </w:r>
      <w:r w:rsidR="00F936D3" w:rsidRPr="00695B0D">
        <w:rPr>
          <w:color w:val="auto"/>
          <w:sz w:val="26"/>
          <w:szCs w:val="26"/>
        </w:rPr>
        <w:t xml:space="preserve"> only required the Petitioner’s confirmation.</w:t>
      </w:r>
      <w:r w:rsidR="00F936D3" w:rsidRPr="00695B0D">
        <w:rPr>
          <w:rStyle w:val="FootnoteReference"/>
          <w:color w:val="auto"/>
          <w:sz w:val="26"/>
          <w:szCs w:val="26"/>
        </w:rPr>
        <w:footnoteReference w:id="6"/>
      </w:r>
      <w:r w:rsidR="00AA3B02" w:rsidRPr="00695B0D">
        <w:rPr>
          <w:color w:val="auto"/>
          <w:sz w:val="26"/>
          <w:szCs w:val="26"/>
        </w:rPr>
        <w:t xml:space="preserve">  The Petitioner </w:t>
      </w:r>
      <w:r w:rsidR="00273ECD" w:rsidRPr="00695B0D">
        <w:rPr>
          <w:color w:val="auto"/>
          <w:sz w:val="26"/>
          <w:szCs w:val="26"/>
        </w:rPr>
        <w:t xml:space="preserve">reiterates that its failure to provide the </w:t>
      </w:r>
      <w:r w:rsidR="00C15BBF" w:rsidRPr="00695B0D">
        <w:rPr>
          <w:color w:val="auto"/>
          <w:sz w:val="26"/>
          <w:szCs w:val="26"/>
        </w:rPr>
        <w:t>requested information was not an</w:t>
      </w:r>
      <w:r w:rsidR="004F4737" w:rsidRPr="00695B0D">
        <w:rPr>
          <w:color w:val="auto"/>
          <w:sz w:val="26"/>
          <w:szCs w:val="26"/>
        </w:rPr>
        <w:t xml:space="preserve"> attempt </w:t>
      </w:r>
      <w:r w:rsidR="00C15BBF" w:rsidRPr="00695B0D">
        <w:rPr>
          <w:color w:val="auto"/>
          <w:sz w:val="26"/>
          <w:szCs w:val="26"/>
        </w:rPr>
        <w:t xml:space="preserve">to </w:t>
      </w:r>
      <w:r w:rsidR="00FE0B78" w:rsidRPr="00695B0D">
        <w:rPr>
          <w:color w:val="auto"/>
          <w:sz w:val="26"/>
          <w:szCs w:val="26"/>
        </w:rPr>
        <w:t xml:space="preserve">make any false statements but was merely an oversight.  </w:t>
      </w:r>
      <w:r w:rsidR="000254D6" w:rsidRPr="00695B0D">
        <w:rPr>
          <w:color w:val="auto"/>
          <w:sz w:val="26"/>
          <w:szCs w:val="26"/>
        </w:rPr>
        <w:t xml:space="preserve">Petition </w:t>
      </w:r>
      <w:r w:rsidR="00884F8C" w:rsidRPr="00695B0D">
        <w:rPr>
          <w:color w:val="auto"/>
          <w:sz w:val="26"/>
          <w:szCs w:val="26"/>
        </w:rPr>
        <w:t xml:space="preserve">at 2. </w:t>
      </w:r>
    </w:p>
    <w:p w14:paraId="02726B9E" w14:textId="7A972D70" w:rsidR="000A665E" w:rsidRPr="00695B0D" w:rsidRDefault="000A665E" w:rsidP="0000268A">
      <w:pPr>
        <w:pStyle w:val="Default"/>
        <w:spacing w:line="360" w:lineRule="auto"/>
        <w:rPr>
          <w:color w:val="auto"/>
          <w:sz w:val="26"/>
          <w:szCs w:val="26"/>
        </w:rPr>
      </w:pPr>
    </w:p>
    <w:p w14:paraId="14B725DE" w14:textId="78F3D7E3" w:rsidR="000A665E" w:rsidRPr="00695B0D" w:rsidRDefault="000A665E" w:rsidP="0000268A">
      <w:pPr>
        <w:pStyle w:val="Default"/>
        <w:spacing w:line="360" w:lineRule="auto"/>
        <w:rPr>
          <w:color w:val="auto"/>
          <w:sz w:val="26"/>
          <w:szCs w:val="26"/>
        </w:rPr>
      </w:pPr>
      <w:r w:rsidRPr="00695B0D">
        <w:rPr>
          <w:color w:val="auto"/>
          <w:sz w:val="26"/>
          <w:szCs w:val="26"/>
        </w:rPr>
        <w:tab/>
      </w:r>
      <w:r w:rsidRPr="00695B0D">
        <w:rPr>
          <w:color w:val="auto"/>
          <w:sz w:val="26"/>
          <w:szCs w:val="26"/>
        </w:rPr>
        <w:tab/>
      </w:r>
      <w:r w:rsidR="00945631" w:rsidRPr="00695B0D">
        <w:rPr>
          <w:color w:val="auto"/>
          <w:sz w:val="26"/>
          <w:szCs w:val="26"/>
        </w:rPr>
        <w:t>GREENCROWN asserts</w:t>
      </w:r>
      <w:r w:rsidR="00A737CB" w:rsidRPr="00695B0D">
        <w:rPr>
          <w:color w:val="auto"/>
          <w:sz w:val="26"/>
          <w:szCs w:val="26"/>
        </w:rPr>
        <w:t xml:space="preserve">, </w:t>
      </w:r>
      <w:r w:rsidR="00FB6D41" w:rsidRPr="00695B0D">
        <w:rPr>
          <w:color w:val="auto"/>
          <w:sz w:val="26"/>
          <w:szCs w:val="26"/>
        </w:rPr>
        <w:t>as</w:t>
      </w:r>
      <w:r w:rsidR="005B75E0" w:rsidRPr="00695B0D">
        <w:rPr>
          <w:color w:val="auto"/>
          <w:sz w:val="26"/>
          <w:szCs w:val="26"/>
        </w:rPr>
        <w:t xml:space="preserve"> </w:t>
      </w:r>
      <w:r w:rsidR="004A4897" w:rsidRPr="00695B0D">
        <w:rPr>
          <w:color w:val="auto"/>
          <w:sz w:val="26"/>
          <w:szCs w:val="26"/>
        </w:rPr>
        <w:t xml:space="preserve">it </w:t>
      </w:r>
      <w:r w:rsidR="005B75E0" w:rsidRPr="00695B0D">
        <w:rPr>
          <w:color w:val="auto"/>
          <w:sz w:val="26"/>
          <w:szCs w:val="26"/>
        </w:rPr>
        <w:t>acknowledged</w:t>
      </w:r>
      <w:r w:rsidR="00FB6D41" w:rsidRPr="00695B0D">
        <w:rPr>
          <w:color w:val="auto"/>
          <w:sz w:val="26"/>
          <w:szCs w:val="26"/>
        </w:rPr>
        <w:t xml:space="preserve"> in its response to TUS’ second data reques</w:t>
      </w:r>
      <w:r w:rsidR="00A4256C" w:rsidRPr="00695B0D">
        <w:rPr>
          <w:color w:val="auto"/>
          <w:sz w:val="26"/>
          <w:szCs w:val="26"/>
        </w:rPr>
        <w:t xml:space="preserve">t, </w:t>
      </w:r>
      <w:r w:rsidR="005B75E0" w:rsidRPr="00695B0D">
        <w:rPr>
          <w:color w:val="auto"/>
          <w:sz w:val="26"/>
          <w:szCs w:val="26"/>
        </w:rPr>
        <w:t xml:space="preserve">that </w:t>
      </w:r>
      <w:r w:rsidR="00C06F95" w:rsidRPr="00695B0D">
        <w:rPr>
          <w:color w:val="auto"/>
          <w:sz w:val="26"/>
          <w:szCs w:val="26"/>
        </w:rPr>
        <w:t>it had previously filed an application as</w:t>
      </w:r>
      <w:r w:rsidR="005B75E0" w:rsidRPr="00695B0D">
        <w:rPr>
          <w:color w:val="auto"/>
          <w:sz w:val="26"/>
          <w:szCs w:val="26"/>
        </w:rPr>
        <w:t xml:space="preserve"> </w:t>
      </w:r>
      <w:r w:rsidR="00C06F95" w:rsidRPr="00695B0D">
        <w:rPr>
          <w:color w:val="auto"/>
          <w:sz w:val="26"/>
          <w:szCs w:val="26"/>
        </w:rPr>
        <w:t xml:space="preserve">an EGS </w:t>
      </w:r>
      <w:r w:rsidR="00DE21CA" w:rsidRPr="00695B0D">
        <w:rPr>
          <w:color w:val="auto"/>
          <w:sz w:val="26"/>
          <w:szCs w:val="26"/>
        </w:rPr>
        <w:t>with the Commission and had no intention of keeping this information from the Commission</w:t>
      </w:r>
      <w:r w:rsidR="00677CE2" w:rsidRPr="00695B0D">
        <w:rPr>
          <w:color w:val="auto"/>
          <w:sz w:val="26"/>
          <w:szCs w:val="26"/>
        </w:rPr>
        <w:t xml:space="preserve">.  </w:t>
      </w:r>
      <w:r w:rsidR="004A4897" w:rsidRPr="00695B0D">
        <w:rPr>
          <w:color w:val="auto"/>
          <w:sz w:val="26"/>
          <w:szCs w:val="26"/>
        </w:rPr>
        <w:t xml:space="preserve">According to GREENCROWN, its failure to </w:t>
      </w:r>
      <w:r w:rsidR="00954591" w:rsidRPr="00695B0D">
        <w:rPr>
          <w:color w:val="auto"/>
          <w:sz w:val="26"/>
          <w:szCs w:val="26"/>
        </w:rPr>
        <w:t>fill out Section 5.c of the EGS Application</w:t>
      </w:r>
      <w:r w:rsidR="000F6A35" w:rsidRPr="00695B0D">
        <w:rPr>
          <w:color w:val="auto"/>
          <w:sz w:val="26"/>
          <w:szCs w:val="26"/>
        </w:rPr>
        <w:t xml:space="preserve"> or to respond to TUS’ </w:t>
      </w:r>
      <w:r w:rsidR="00C94D34" w:rsidRPr="00695B0D">
        <w:rPr>
          <w:color w:val="auto"/>
          <w:sz w:val="26"/>
          <w:szCs w:val="26"/>
        </w:rPr>
        <w:t>first data</w:t>
      </w:r>
      <w:r w:rsidR="000F6A35" w:rsidRPr="00695B0D">
        <w:rPr>
          <w:color w:val="auto"/>
          <w:sz w:val="26"/>
          <w:szCs w:val="26"/>
        </w:rPr>
        <w:t xml:space="preserve"> request </w:t>
      </w:r>
      <w:r w:rsidR="00170478" w:rsidRPr="00695B0D">
        <w:rPr>
          <w:color w:val="auto"/>
          <w:sz w:val="26"/>
          <w:szCs w:val="26"/>
        </w:rPr>
        <w:t xml:space="preserve">requesting information regarding this section was </w:t>
      </w:r>
      <w:r w:rsidR="008A4278" w:rsidRPr="00695B0D">
        <w:rPr>
          <w:color w:val="auto"/>
          <w:sz w:val="26"/>
          <w:szCs w:val="26"/>
        </w:rPr>
        <w:t xml:space="preserve">an honest oversight and not an attempt to make false statements to the Commission.  </w:t>
      </w:r>
      <w:r w:rsidR="003E38DD" w:rsidRPr="00695B0D">
        <w:rPr>
          <w:color w:val="auto"/>
          <w:sz w:val="26"/>
          <w:szCs w:val="26"/>
        </w:rPr>
        <w:t>Consequently</w:t>
      </w:r>
      <w:r w:rsidR="00E526E8" w:rsidRPr="00695B0D">
        <w:rPr>
          <w:color w:val="auto"/>
          <w:sz w:val="26"/>
          <w:szCs w:val="26"/>
        </w:rPr>
        <w:t xml:space="preserve">, the Petitioner attached </w:t>
      </w:r>
      <w:r w:rsidR="00AB72CB" w:rsidRPr="00695B0D">
        <w:rPr>
          <w:color w:val="auto"/>
          <w:sz w:val="26"/>
          <w:szCs w:val="26"/>
        </w:rPr>
        <w:t xml:space="preserve">as </w:t>
      </w:r>
      <w:r w:rsidR="0037178B" w:rsidRPr="00695B0D">
        <w:rPr>
          <w:color w:val="auto"/>
          <w:sz w:val="26"/>
          <w:szCs w:val="26"/>
        </w:rPr>
        <w:t>E</w:t>
      </w:r>
      <w:r w:rsidR="00AB72CB" w:rsidRPr="00695B0D">
        <w:rPr>
          <w:color w:val="auto"/>
          <w:sz w:val="26"/>
          <w:szCs w:val="26"/>
        </w:rPr>
        <w:t>xhibit D to its Petition</w:t>
      </w:r>
      <w:r w:rsidR="002A4519" w:rsidRPr="00695B0D">
        <w:rPr>
          <w:color w:val="auto"/>
          <w:sz w:val="26"/>
          <w:szCs w:val="26"/>
        </w:rPr>
        <w:t>, a clear and detailed response to Section 5.c of the EGS Application</w:t>
      </w:r>
      <w:r w:rsidR="00C068BB" w:rsidRPr="00695B0D">
        <w:rPr>
          <w:color w:val="auto"/>
          <w:sz w:val="26"/>
          <w:szCs w:val="26"/>
        </w:rPr>
        <w:t xml:space="preserve">.  </w:t>
      </w:r>
      <w:r w:rsidR="00616C5C" w:rsidRPr="00695B0D">
        <w:rPr>
          <w:color w:val="auto"/>
          <w:sz w:val="26"/>
          <w:szCs w:val="26"/>
        </w:rPr>
        <w:t xml:space="preserve">Accordingly, GREENCROWN </w:t>
      </w:r>
      <w:r w:rsidR="00343918" w:rsidRPr="00695B0D">
        <w:rPr>
          <w:color w:val="auto"/>
          <w:sz w:val="26"/>
          <w:szCs w:val="26"/>
        </w:rPr>
        <w:t xml:space="preserve">requests that the Commission reconsider its </w:t>
      </w:r>
      <w:r w:rsidR="00343918" w:rsidRPr="00695B0D">
        <w:rPr>
          <w:i/>
          <w:iCs/>
          <w:sz w:val="26"/>
          <w:szCs w:val="26"/>
        </w:rPr>
        <w:t>November 2020 Order</w:t>
      </w:r>
      <w:r w:rsidR="00343918" w:rsidRPr="00695B0D">
        <w:rPr>
          <w:sz w:val="26"/>
          <w:szCs w:val="26"/>
        </w:rPr>
        <w:t xml:space="preserve"> denying the Petitioner’s Application </w:t>
      </w:r>
      <w:r w:rsidR="00343918" w:rsidRPr="00695B0D">
        <w:rPr>
          <w:color w:val="auto"/>
          <w:sz w:val="26"/>
          <w:szCs w:val="26"/>
        </w:rPr>
        <w:t>to become a licensed electric generation supplier as a broker/marketer to small commercial (25 kW and under demand), and large commercial (over 25 kW demand) customers, in all the</w:t>
      </w:r>
      <w:r w:rsidR="00343918" w:rsidRPr="00695B0D">
        <w:rPr>
          <w:sz w:val="26"/>
          <w:szCs w:val="26"/>
        </w:rPr>
        <w:t xml:space="preserve"> EDC </w:t>
      </w:r>
      <w:r w:rsidR="00343918" w:rsidRPr="00695B0D">
        <w:rPr>
          <w:color w:val="auto"/>
          <w:sz w:val="26"/>
          <w:szCs w:val="26"/>
        </w:rPr>
        <w:t xml:space="preserve">service territories throughout the Commonwealth of Pennsylvania.  </w:t>
      </w:r>
      <w:r w:rsidR="00343918" w:rsidRPr="00695B0D">
        <w:rPr>
          <w:i/>
          <w:iCs/>
          <w:color w:val="auto"/>
          <w:sz w:val="26"/>
          <w:szCs w:val="26"/>
        </w:rPr>
        <w:t>Id.</w:t>
      </w:r>
      <w:r w:rsidR="00343918" w:rsidRPr="00695B0D">
        <w:rPr>
          <w:color w:val="auto"/>
          <w:sz w:val="26"/>
          <w:szCs w:val="26"/>
        </w:rPr>
        <w:t xml:space="preserve"> </w:t>
      </w:r>
    </w:p>
    <w:p w14:paraId="638144ED" w14:textId="5BD61FD7" w:rsidR="0000268A" w:rsidRPr="00695B0D" w:rsidRDefault="00C068BB" w:rsidP="0000268A">
      <w:pPr>
        <w:keepNext/>
        <w:widowControl/>
        <w:tabs>
          <w:tab w:val="left" w:pos="-720"/>
        </w:tabs>
        <w:suppressAutoHyphens/>
        <w:overflowPunct w:val="0"/>
        <w:autoSpaceDE w:val="0"/>
        <w:autoSpaceDN w:val="0"/>
        <w:adjustRightInd w:val="0"/>
        <w:spacing w:line="360" w:lineRule="auto"/>
        <w:textAlignment w:val="baseline"/>
        <w:rPr>
          <w:b/>
          <w:bCs/>
          <w:sz w:val="26"/>
          <w:szCs w:val="26"/>
        </w:rPr>
      </w:pPr>
      <w:r w:rsidRPr="00695B0D">
        <w:rPr>
          <w:b/>
          <w:bCs/>
          <w:sz w:val="26"/>
          <w:szCs w:val="26"/>
        </w:rPr>
        <w:lastRenderedPageBreak/>
        <w:t xml:space="preserve">D. </w:t>
      </w:r>
      <w:r w:rsidRPr="00695B0D">
        <w:rPr>
          <w:b/>
          <w:bCs/>
          <w:sz w:val="26"/>
          <w:szCs w:val="26"/>
        </w:rPr>
        <w:tab/>
      </w:r>
      <w:r w:rsidR="0000268A" w:rsidRPr="00695B0D">
        <w:rPr>
          <w:b/>
          <w:bCs/>
          <w:sz w:val="26"/>
          <w:szCs w:val="26"/>
        </w:rPr>
        <w:t>Disposition</w:t>
      </w:r>
    </w:p>
    <w:p w14:paraId="48F1A2C9" w14:textId="1256DF77" w:rsidR="0042020C" w:rsidRPr="00695B0D" w:rsidRDefault="0042020C" w:rsidP="0000268A">
      <w:pPr>
        <w:keepNext/>
        <w:widowControl/>
        <w:tabs>
          <w:tab w:val="left" w:pos="-720"/>
        </w:tabs>
        <w:suppressAutoHyphens/>
        <w:overflowPunct w:val="0"/>
        <w:autoSpaceDE w:val="0"/>
        <w:autoSpaceDN w:val="0"/>
        <w:adjustRightInd w:val="0"/>
        <w:spacing w:line="360" w:lineRule="auto"/>
        <w:textAlignment w:val="baseline"/>
        <w:rPr>
          <w:sz w:val="26"/>
          <w:szCs w:val="26"/>
        </w:rPr>
      </w:pPr>
    </w:p>
    <w:p w14:paraId="713E1DFF" w14:textId="6308D24C" w:rsidR="0000268A" w:rsidRPr="00695B0D" w:rsidRDefault="0042020C" w:rsidP="0000268A">
      <w:pPr>
        <w:keepNext/>
        <w:widowControl/>
        <w:tabs>
          <w:tab w:val="left" w:pos="-720"/>
        </w:tabs>
        <w:suppressAutoHyphens/>
        <w:overflowPunct w:val="0"/>
        <w:autoSpaceDE w:val="0"/>
        <w:autoSpaceDN w:val="0"/>
        <w:adjustRightInd w:val="0"/>
        <w:spacing w:line="360" w:lineRule="auto"/>
        <w:textAlignment w:val="baseline"/>
        <w:rPr>
          <w:sz w:val="26"/>
          <w:szCs w:val="26"/>
        </w:rPr>
      </w:pPr>
      <w:r w:rsidRPr="00695B0D">
        <w:rPr>
          <w:sz w:val="26"/>
          <w:szCs w:val="26"/>
        </w:rPr>
        <w:tab/>
      </w:r>
      <w:r w:rsidRPr="00695B0D">
        <w:rPr>
          <w:sz w:val="26"/>
          <w:szCs w:val="26"/>
        </w:rPr>
        <w:tab/>
      </w:r>
      <w:r w:rsidR="00B52164" w:rsidRPr="00695B0D">
        <w:rPr>
          <w:sz w:val="26"/>
          <w:szCs w:val="26"/>
        </w:rPr>
        <w:t xml:space="preserve">As stated above, a petition for reconsideration is governed by </w:t>
      </w:r>
      <w:proofErr w:type="spellStart"/>
      <w:r w:rsidR="00B52164" w:rsidRPr="00695B0D">
        <w:rPr>
          <w:i/>
          <w:sz w:val="26"/>
          <w:szCs w:val="26"/>
        </w:rPr>
        <w:t>Duick</w:t>
      </w:r>
      <w:proofErr w:type="spellEnd"/>
      <w:r w:rsidR="00B52164" w:rsidRPr="00695B0D">
        <w:rPr>
          <w:sz w:val="26"/>
          <w:szCs w:val="26"/>
        </w:rPr>
        <w:t>, which essentially requires the Commission to perform a two-step analysis.  First, the Commission must determine whether the petitioner has offered any new arguments that were not addressed by the Commission in its previous order.  The Commission will not reconsider its previous decision based on arguments that have already been made.  However, the Commission will not necessarily modify a prior order just because a petitioner offers a new argument that was not addressed by the Commission in its previous order.  Second, the Commission must evaluate any new argument or evidence and decide whether to modify its previous decision.</w:t>
      </w:r>
    </w:p>
    <w:p w14:paraId="3F2B83B4" w14:textId="03685D7F" w:rsidR="00B52164" w:rsidRPr="00695B0D" w:rsidRDefault="00B52164" w:rsidP="0000268A">
      <w:pPr>
        <w:keepNext/>
        <w:widowControl/>
        <w:tabs>
          <w:tab w:val="left" w:pos="-720"/>
        </w:tabs>
        <w:suppressAutoHyphens/>
        <w:overflowPunct w:val="0"/>
        <w:autoSpaceDE w:val="0"/>
        <w:autoSpaceDN w:val="0"/>
        <w:adjustRightInd w:val="0"/>
        <w:spacing w:line="360" w:lineRule="auto"/>
        <w:textAlignment w:val="baseline"/>
        <w:rPr>
          <w:sz w:val="26"/>
          <w:szCs w:val="26"/>
        </w:rPr>
      </w:pPr>
    </w:p>
    <w:p w14:paraId="6F680900" w14:textId="7B500303" w:rsidR="009A1414" w:rsidRPr="00695B0D" w:rsidRDefault="00B52164" w:rsidP="00E417E0">
      <w:pPr>
        <w:widowControl/>
        <w:tabs>
          <w:tab w:val="left" w:pos="-720"/>
        </w:tabs>
        <w:suppressAutoHyphens/>
        <w:overflowPunct w:val="0"/>
        <w:autoSpaceDE w:val="0"/>
        <w:autoSpaceDN w:val="0"/>
        <w:adjustRightInd w:val="0"/>
        <w:spacing w:line="360" w:lineRule="auto"/>
        <w:textAlignment w:val="baseline"/>
        <w:rPr>
          <w:sz w:val="26"/>
          <w:szCs w:val="26"/>
        </w:rPr>
      </w:pPr>
      <w:r w:rsidRPr="00695B0D">
        <w:rPr>
          <w:sz w:val="26"/>
          <w:szCs w:val="26"/>
        </w:rPr>
        <w:tab/>
      </w:r>
      <w:r w:rsidR="0042020C" w:rsidRPr="00695B0D">
        <w:rPr>
          <w:sz w:val="26"/>
          <w:szCs w:val="26"/>
        </w:rPr>
        <w:tab/>
        <w:t xml:space="preserve">Upon review of GREENCROWN’s averments, we shall grant the instant Petition.  The responses provided to TUS’ data requests were not available prior to submission of this Petition and therefore add new information for the Commission to consider, consistent with the </w:t>
      </w:r>
      <w:proofErr w:type="spellStart"/>
      <w:r w:rsidR="0042020C" w:rsidRPr="00695B0D">
        <w:rPr>
          <w:i/>
          <w:iCs/>
          <w:sz w:val="26"/>
          <w:szCs w:val="26"/>
        </w:rPr>
        <w:t>Duick</w:t>
      </w:r>
      <w:proofErr w:type="spellEnd"/>
      <w:r w:rsidR="0042020C" w:rsidRPr="00695B0D">
        <w:rPr>
          <w:sz w:val="26"/>
          <w:szCs w:val="26"/>
        </w:rPr>
        <w:t xml:space="preserve"> standards.  </w:t>
      </w:r>
      <w:r w:rsidRPr="00695B0D">
        <w:rPr>
          <w:sz w:val="26"/>
          <w:szCs w:val="26"/>
        </w:rPr>
        <w:t>Here</w:t>
      </w:r>
      <w:r w:rsidR="0042020C" w:rsidRPr="00695B0D">
        <w:rPr>
          <w:sz w:val="26"/>
          <w:szCs w:val="26"/>
        </w:rPr>
        <w:t>,</w:t>
      </w:r>
      <w:r w:rsidRPr="00695B0D">
        <w:rPr>
          <w:sz w:val="26"/>
          <w:szCs w:val="26"/>
        </w:rPr>
        <w:t xml:space="preserve"> </w:t>
      </w:r>
      <w:r w:rsidRPr="00695B0D">
        <w:rPr>
          <w:caps/>
          <w:sz w:val="26"/>
          <w:szCs w:val="26"/>
        </w:rPr>
        <w:t>Greencrown</w:t>
      </w:r>
      <w:r w:rsidRPr="00695B0D">
        <w:rPr>
          <w:sz w:val="26"/>
          <w:szCs w:val="26"/>
        </w:rPr>
        <w:t xml:space="preserve"> has </w:t>
      </w:r>
      <w:r w:rsidR="00BD542D" w:rsidRPr="00695B0D">
        <w:rPr>
          <w:sz w:val="26"/>
          <w:szCs w:val="26"/>
        </w:rPr>
        <w:t>submitted a clear detailed response to Section 5.c of the EGS Application regarding cancellation of its previous EGS License.</w:t>
      </w:r>
      <w:r w:rsidR="009A1414" w:rsidRPr="00695B0D">
        <w:rPr>
          <w:sz w:val="26"/>
          <w:szCs w:val="26"/>
        </w:rPr>
        <w:t xml:space="preserve">  </w:t>
      </w:r>
      <w:r w:rsidR="009A1414" w:rsidRPr="00695B0D">
        <w:rPr>
          <w:caps/>
          <w:sz w:val="26"/>
          <w:szCs w:val="26"/>
        </w:rPr>
        <w:t>Greencrown</w:t>
      </w:r>
      <w:r w:rsidR="009A1414" w:rsidRPr="00695B0D">
        <w:rPr>
          <w:sz w:val="26"/>
          <w:szCs w:val="26"/>
        </w:rPr>
        <w:t xml:space="preserve"> also stated that it had no intention of making any false statement to the Commission and that the omission was an oversight on the part of their licensing provider which caused the cancellation of its initial EGS </w:t>
      </w:r>
      <w:r w:rsidR="00094BA4" w:rsidRPr="00695B0D">
        <w:rPr>
          <w:sz w:val="26"/>
          <w:szCs w:val="26"/>
        </w:rPr>
        <w:t>L</w:t>
      </w:r>
      <w:r w:rsidR="009A1414" w:rsidRPr="00695B0D">
        <w:rPr>
          <w:sz w:val="26"/>
          <w:szCs w:val="26"/>
        </w:rPr>
        <w:t>icense by the Commission.</w:t>
      </w:r>
      <w:r w:rsidR="0042020C" w:rsidRPr="00695B0D">
        <w:rPr>
          <w:sz w:val="26"/>
          <w:szCs w:val="26"/>
        </w:rPr>
        <w:t xml:space="preserve">  Accordingly, we shall grant </w:t>
      </w:r>
      <w:r w:rsidR="0042020C" w:rsidRPr="00695B0D">
        <w:rPr>
          <w:caps/>
          <w:sz w:val="26"/>
          <w:szCs w:val="26"/>
        </w:rPr>
        <w:t>Greencrown’s</w:t>
      </w:r>
      <w:r w:rsidR="0042020C" w:rsidRPr="00695B0D">
        <w:rPr>
          <w:sz w:val="26"/>
          <w:szCs w:val="26"/>
        </w:rPr>
        <w:t xml:space="preserve"> Petition for Reconsideration, rescind the conclusion in the Commission’s </w:t>
      </w:r>
      <w:r w:rsidR="0042020C" w:rsidRPr="00695B0D">
        <w:rPr>
          <w:i/>
          <w:sz w:val="26"/>
          <w:szCs w:val="26"/>
        </w:rPr>
        <w:t>November 2020 Opinion and Order</w:t>
      </w:r>
      <w:r w:rsidR="0042020C" w:rsidRPr="00695B0D">
        <w:rPr>
          <w:iCs/>
          <w:sz w:val="26"/>
          <w:szCs w:val="26"/>
        </w:rPr>
        <w:t xml:space="preserve"> and remand this matter to TUS </w:t>
      </w:r>
      <w:r w:rsidR="0042020C" w:rsidRPr="00695B0D">
        <w:rPr>
          <w:sz w:val="26"/>
          <w:szCs w:val="26"/>
        </w:rPr>
        <w:t>for further processing as may be deemed necessary.</w:t>
      </w:r>
    </w:p>
    <w:p w14:paraId="479094EF" w14:textId="77777777" w:rsidR="006A5C7D" w:rsidRPr="00695B0D" w:rsidRDefault="006A5C7D" w:rsidP="00E417E0">
      <w:pPr>
        <w:widowControl/>
        <w:tabs>
          <w:tab w:val="left" w:pos="-720"/>
        </w:tabs>
        <w:suppressAutoHyphens/>
        <w:overflowPunct w:val="0"/>
        <w:autoSpaceDE w:val="0"/>
        <w:autoSpaceDN w:val="0"/>
        <w:adjustRightInd w:val="0"/>
        <w:spacing w:line="360" w:lineRule="auto"/>
        <w:textAlignment w:val="baseline"/>
        <w:rPr>
          <w:sz w:val="26"/>
          <w:szCs w:val="26"/>
        </w:rPr>
      </w:pPr>
    </w:p>
    <w:p w14:paraId="263865E1" w14:textId="30D6800F" w:rsidR="0000268A" w:rsidRPr="00695B0D" w:rsidRDefault="0000268A" w:rsidP="0000268A">
      <w:pPr>
        <w:keepNext/>
        <w:keepLines/>
        <w:widowControl/>
        <w:tabs>
          <w:tab w:val="left" w:pos="-720"/>
        </w:tabs>
        <w:suppressAutoHyphens/>
        <w:overflowPunct w:val="0"/>
        <w:autoSpaceDE w:val="0"/>
        <w:autoSpaceDN w:val="0"/>
        <w:adjustRightInd w:val="0"/>
        <w:spacing w:line="360" w:lineRule="auto"/>
        <w:jc w:val="center"/>
        <w:textAlignment w:val="baseline"/>
        <w:rPr>
          <w:b/>
          <w:sz w:val="26"/>
          <w:szCs w:val="26"/>
        </w:rPr>
      </w:pPr>
      <w:r w:rsidRPr="00695B0D">
        <w:rPr>
          <w:b/>
          <w:sz w:val="26"/>
          <w:szCs w:val="26"/>
        </w:rPr>
        <w:t>Conclusion</w:t>
      </w:r>
    </w:p>
    <w:p w14:paraId="5CA93FE1" w14:textId="77777777" w:rsidR="0000268A" w:rsidRPr="00695B0D" w:rsidRDefault="0000268A" w:rsidP="0000268A">
      <w:pPr>
        <w:keepNext/>
        <w:keepLines/>
        <w:widowControl/>
        <w:suppressAutoHyphens/>
        <w:overflowPunct w:val="0"/>
        <w:autoSpaceDE w:val="0"/>
        <w:autoSpaceDN w:val="0"/>
        <w:adjustRightInd w:val="0"/>
        <w:spacing w:line="360" w:lineRule="auto"/>
        <w:ind w:firstLine="1440"/>
        <w:textAlignment w:val="baseline"/>
        <w:rPr>
          <w:sz w:val="26"/>
          <w:szCs w:val="26"/>
        </w:rPr>
      </w:pPr>
    </w:p>
    <w:p w14:paraId="64047E17" w14:textId="539072CA" w:rsidR="0000268A" w:rsidRPr="00695B0D" w:rsidRDefault="0000268A" w:rsidP="006A5C7D">
      <w:pPr>
        <w:widowControl/>
        <w:spacing w:line="360" w:lineRule="auto"/>
        <w:ind w:firstLine="1440"/>
        <w:rPr>
          <w:b/>
          <w:sz w:val="26"/>
        </w:rPr>
      </w:pPr>
      <w:r w:rsidRPr="00695B0D">
        <w:rPr>
          <w:sz w:val="26"/>
        </w:rPr>
        <w:t xml:space="preserve">For the reasons set forth above, we shall grant the Petition, </w:t>
      </w:r>
      <w:r w:rsidRPr="00695B0D">
        <w:rPr>
          <w:sz w:val="26"/>
          <w:szCs w:val="26"/>
        </w:rPr>
        <w:t xml:space="preserve">rescind the conclusion in the Commission’s </w:t>
      </w:r>
      <w:r w:rsidR="002A54E2" w:rsidRPr="00695B0D">
        <w:rPr>
          <w:i/>
          <w:sz w:val="26"/>
          <w:szCs w:val="26"/>
        </w:rPr>
        <w:t>November</w:t>
      </w:r>
      <w:r w:rsidRPr="00695B0D">
        <w:rPr>
          <w:i/>
          <w:sz w:val="26"/>
          <w:szCs w:val="26"/>
        </w:rPr>
        <w:t xml:space="preserve"> 2020 Opinion and Order</w:t>
      </w:r>
      <w:r w:rsidR="002A54E2" w:rsidRPr="00695B0D">
        <w:rPr>
          <w:iCs/>
          <w:sz w:val="26"/>
          <w:szCs w:val="26"/>
        </w:rPr>
        <w:t xml:space="preserve"> and remand this </w:t>
      </w:r>
      <w:r w:rsidR="002A54E2" w:rsidRPr="00695B0D">
        <w:rPr>
          <w:iCs/>
          <w:sz w:val="26"/>
          <w:szCs w:val="26"/>
        </w:rPr>
        <w:lastRenderedPageBreak/>
        <w:t xml:space="preserve">matter to TUS </w:t>
      </w:r>
      <w:r w:rsidR="002A54E2" w:rsidRPr="00695B0D">
        <w:rPr>
          <w:sz w:val="26"/>
          <w:szCs w:val="26"/>
        </w:rPr>
        <w:t xml:space="preserve">for </w:t>
      </w:r>
      <w:r w:rsidR="00CE6D6A" w:rsidRPr="00695B0D">
        <w:rPr>
          <w:sz w:val="26"/>
          <w:szCs w:val="26"/>
        </w:rPr>
        <w:t xml:space="preserve">such </w:t>
      </w:r>
      <w:r w:rsidR="002A54E2" w:rsidRPr="00695B0D">
        <w:rPr>
          <w:sz w:val="26"/>
          <w:szCs w:val="26"/>
        </w:rPr>
        <w:t xml:space="preserve">further </w:t>
      </w:r>
      <w:r w:rsidR="00CE6D6A" w:rsidRPr="00695B0D">
        <w:rPr>
          <w:sz w:val="26"/>
          <w:szCs w:val="26"/>
        </w:rPr>
        <w:t>action</w:t>
      </w:r>
      <w:r w:rsidR="002A54E2" w:rsidRPr="00695B0D">
        <w:rPr>
          <w:sz w:val="26"/>
          <w:szCs w:val="26"/>
        </w:rPr>
        <w:t xml:space="preserve"> as may be deemed necessary, consistent with the discussion in this Opinion and Order</w:t>
      </w:r>
      <w:r w:rsidRPr="00695B0D">
        <w:rPr>
          <w:sz w:val="26"/>
        </w:rPr>
        <w:t xml:space="preserve">; </w:t>
      </w:r>
      <w:r w:rsidRPr="00695B0D">
        <w:rPr>
          <w:b/>
          <w:sz w:val="26"/>
        </w:rPr>
        <w:t>THEREFORE,</w:t>
      </w:r>
    </w:p>
    <w:p w14:paraId="1B663304" w14:textId="77777777" w:rsidR="0000268A" w:rsidRPr="00695B0D" w:rsidRDefault="0000268A" w:rsidP="006A5C7D">
      <w:pPr>
        <w:widowControl/>
        <w:overflowPunct w:val="0"/>
        <w:autoSpaceDE w:val="0"/>
        <w:autoSpaceDN w:val="0"/>
        <w:adjustRightInd w:val="0"/>
        <w:spacing w:line="360" w:lineRule="auto"/>
        <w:ind w:firstLine="1440"/>
        <w:textAlignment w:val="baseline"/>
        <w:rPr>
          <w:b/>
          <w:sz w:val="26"/>
        </w:rPr>
      </w:pPr>
    </w:p>
    <w:p w14:paraId="3ABFE131" w14:textId="77777777" w:rsidR="0000268A" w:rsidRPr="00695B0D" w:rsidRDefault="0000268A" w:rsidP="006A5C7D">
      <w:pPr>
        <w:keepNext/>
        <w:widowControl/>
        <w:spacing w:line="360" w:lineRule="auto"/>
        <w:rPr>
          <w:b/>
          <w:sz w:val="26"/>
          <w:szCs w:val="26"/>
        </w:rPr>
      </w:pPr>
      <w:r w:rsidRPr="00695B0D">
        <w:rPr>
          <w:b/>
          <w:sz w:val="26"/>
          <w:szCs w:val="26"/>
        </w:rPr>
        <w:tab/>
      </w:r>
      <w:r w:rsidRPr="00695B0D">
        <w:rPr>
          <w:b/>
          <w:sz w:val="26"/>
          <w:szCs w:val="26"/>
        </w:rPr>
        <w:tab/>
        <w:t>IT IS ORDERED:</w:t>
      </w:r>
    </w:p>
    <w:p w14:paraId="6E2EEC3D" w14:textId="77777777" w:rsidR="0000268A" w:rsidRPr="00695B0D" w:rsidRDefault="0000268A" w:rsidP="006A5C7D">
      <w:pPr>
        <w:keepNext/>
        <w:widowControl/>
        <w:spacing w:line="360" w:lineRule="auto"/>
        <w:rPr>
          <w:b/>
          <w:sz w:val="26"/>
          <w:szCs w:val="26"/>
        </w:rPr>
      </w:pPr>
    </w:p>
    <w:p w14:paraId="1929DF64" w14:textId="3F5A4049" w:rsidR="0000268A" w:rsidRPr="00695B0D" w:rsidRDefault="0000268A" w:rsidP="006A5C7D">
      <w:pPr>
        <w:pStyle w:val="ListParagraph"/>
        <w:widowControl/>
        <w:numPr>
          <w:ilvl w:val="0"/>
          <w:numId w:val="10"/>
        </w:numPr>
        <w:spacing w:line="360" w:lineRule="auto"/>
        <w:ind w:left="0" w:firstLine="1440"/>
        <w:rPr>
          <w:sz w:val="26"/>
          <w:szCs w:val="26"/>
        </w:rPr>
      </w:pPr>
      <w:r w:rsidRPr="00695B0D">
        <w:rPr>
          <w:sz w:val="26"/>
          <w:szCs w:val="26"/>
        </w:rPr>
        <w:t>That the Petitio</w:t>
      </w:r>
      <w:r w:rsidR="00094BA4" w:rsidRPr="00695B0D">
        <w:rPr>
          <w:sz w:val="26"/>
          <w:szCs w:val="26"/>
        </w:rPr>
        <w:t xml:space="preserve">n </w:t>
      </w:r>
      <w:r w:rsidR="00152AE4" w:rsidRPr="00695B0D">
        <w:rPr>
          <w:sz w:val="26"/>
          <w:szCs w:val="26"/>
        </w:rPr>
        <w:t xml:space="preserve">for Reconsideration </w:t>
      </w:r>
      <w:r w:rsidR="0042020C" w:rsidRPr="00695B0D">
        <w:rPr>
          <w:sz w:val="26"/>
          <w:szCs w:val="26"/>
        </w:rPr>
        <w:t xml:space="preserve">filed by </w:t>
      </w:r>
      <w:r w:rsidR="0042020C" w:rsidRPr="00695B0D">
        <w:rPr>
          <w:sz w:val="26"/>
        </w:rPr>
        <w:t xml:space="preserve">GREENCROWN Energy, LLC on November 26, </w:t>
      </w:r>
      <w:r w:rsidR="00094BA4" w:rsidRPr="00695B0D">
        <w:rPr>
          <w:sz w:val="26"/>
        </w:rPr>
        <w:t xml:space="preserve">2020, </w:t>
      </w:r>
      <w:r w:rsidR="00094BA4" w:rsidRPr="00695B0D">
        <w:rPr>
          <w:sz w:val="26"/>
          <w:szCs w:val="26"/>
        </w:rPr>
        <w:t>is</w:t>
      </w:r>
      <w:r w:rsidR="00152AE4" w:rsidRPr="00695B0D">
        <w:rPr>
          <w:sz w:val="26"/>
          <w:szCs w:val="26"/>
        </w:rPr>
        <w:t xml:space="preserve"> granted, consistent with this Opinion and Order</w:t>
      </w:r>
      <w:r w:rsidR="00094BA4" w:rsidRPr="00695B0D">
        <w:rPr>
          <w:sz w:val="26"/>
          <w:szCs w:val="26"/>
        </w:rPr>
        <w:t>.</w:t>
      </w:r>
    </w:p>
    <w:p w14:paraId="2E5CB967" w14:textId="77777777" w:rsidR="00094BA4" w:rsidRPr="00695B0D" w:rsidRDefault="00094BA4" w:rsidP="006A5C7D">
      <w:pPr>
        <w:widowControl/>
        <w:spacing w:line="360" w:lineRule="auto"/>
        <w:rPr>
          <w:sz w:val="26"/>
          <w:szCs w:val="26"/>
        </w:rPr>
      </w:pPr>
    </w:p>
    <w:p w14:paraId="3DB2F506" w14:textId="655A39F3" w:rsidR="00152AE4" w:rsidRPr="00695B0D" w:rsidRDefault="00152AE4" w:rsidP="006A5C7D">
      <w:pPr>
        <w:pStyle w:val="ListParagraph"/>
        <w:widowControl/>
        <w:numPr>
          <w:ilvl w:val="0"/>
          <w:numId w:val="10"/>
        </w:numPr>
        <w:spacing w:line="360" w:lineRule="auto"/>
        <w:ind w:left="0" w:firstLine="1440"/>
        <w:rPr>
          <w:sz w:val="26"/>
          <w:szCs w:val="26"/>
        </w:rPr>
      </w:pPr>
      <w:r w:rsidRPr="00695B0D">
        <w:rPr>
          <w:sz w:val="26"/>
          <w:szCs w:val="26"/>
        </w:rPr>
        <w:t xml:space="preserve">That this matter be referred to the Bureau of Technical Utility Services for such further action as may be </w:t>
      </w:r>
      <w:r w:rsidR="00CE6D6A" w:rsidRPr="00695B0D">
        <w:rPr>
          <w:sz w:val="26"/>
          <w:szCs w:val="26"/>
        </w:rPr>
        <w:t>deemed necessary</w:t>
      </w:r>
      <w:r w:rsidRPr="00695B0D">
        <w:rPr>
          <w:sz w:val="26"/>
          <w:szCs w:val="26"/>
        </w:rPr>
        <w:t>, consistent with this Opinion and Order.</w:t>
      </w:r>
    </w:p>
    <w:p w14:paraId="44388B33" w14:textId="17DC9961" w:rsidR="0000268A" w:rsidRPr="00695B0D" w:rsidRDefault="0000268A" w:rsidP="006A5C7D">
      <w:pPr>
        <w:widowControl/>
        <w:spacing w:line="360" w:lineRule="auto"/>
        <w:rPr>
          <w:b/>
          <w:sz w:val="26"/>
          <w:szCs w:val="26"/>
        </w:rPr>
      </w:pPr>
      <w:r w:rsidRPr="00695B0D">
        <w:rPr>
          <w:sz w:val="26"/>
          <w:szCs w:val="26"/>
        </w:rPr>
        <w:tab/>
      </w:r>
    </w:p>
    <w:p w14:paraId="484103CF" w14:textId="7CE06191" w:rsidR="0000268A" w:rsidRPr="00695B0D" w:rsidRDefault="009B5C87" w:rsidP="0000268A">
      <w:pPr>
        <w:keepLines/>
        <w:widowControl/>
        <w:tabs>
          <w:tab w:val="left" w:pos="-720"/>
        </w:tabs>
        <w:ind w:firstLine="5040"/>
        <w:rPr>
          <w:sz w:val="26"/>
          <w:szCs w:val="26"/>
        </w:rPr>
      </w:pPr>
      <w:r w:rsidRPr="009F01BA">
        <w:rPr>
          <w:b/>
          <w:noProof/>
        </w:rPr>
        <w:drawing>
          <wp:anchor distT="0" distB="0" distL="114300" distR="114300" simplePos="0" relativeHeight="251659264" behindDoc="1" locked="0" layoutInCell="1" allowOverlap="1" wp14:anchorId="19AFBA92" wp14:editId="3E91BCDD">
            <wp:simplePos x="0" y="0"/>
            <wp:positionH relativeFrom="column">
              <wp:posOffset>3028950</wp:posOffset>
            </wp:positionH>
            <wp:positionV relativeFrom="paragraph">
              <wp:posOffset>91258</wp:posOffset>
            </wp:positionV>
            <wp:extent cx="1990725" cy="758371"/>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8319" cy="765074"/>
                    </a:xfrm>
                    <a:prstGeom prst="rect">
                      <a:avLst/>
                    </a:prstGeom>
                    <a:noFill/>
                  </pic:spPr>
                </pic:pic>
              </a:graphicData>
            </a:graphic>
            <wp14:sizeRelH relativeFrom="page">
              <wp14:pctWidth>0</wp14:pctWidth>
            </wp14:sizeRelH>
            <wp14:sizeRelV relativeFrom="page">
              <wp14:pctHeight>0</wp14:pctHeight>
            </wp14:sizeRelV>
          </wp:anchor>
        </w:drawing>
      </w:r>
      <w:r w:rsidR="0000268A" w:rsidRPr="00695B0D">
        <w:rPr>
          <w:b/>
          <w:sz w:val="26"/>
          <w:szCs w:val="26"/>
        </w:rPr>
        <w:t>BY THE COMMISSION,</w:t>
      </w:r>
    </w:p>
    <w:p w14:paraId="013C05B4" w14:textId="0439F07D" w:rsidR="0000268A" w:rsidRPr="00695B0D" w:rsidRDefault="0000268A" w:rsidP="0000268A">
      <w:pPr>
        <w:keepLines/>
        <w:widowControl/>
        <w:tabs>
          <w:tab w:val="left" w:pos="-720"/>
        </w:tabs>
        <w:rPr>
          <w:sz w:val="26"/>
          <w:szCs w:val="26"/>
        </w:rPr>
      </w:pPr>
    </w:p>
    <w:p w14:paraId="76B37446" w14:textId="2A96F922" w:rsidR="0000268A" w:rsidRPr="00695B0D" w:rsidRDefault="0000268A" w:rsidP="0000268A">
      <w:pPr>
        <w:keepLines/>
        <w:widowControl/>
        <w:tabs>
          <w:tab w:val="left" w:pos="-720"/>
        </w:tabs>
        <w:rPr>
          <w:sz w:val="26"/>
          <w:szCs w:val="26"/>
        </w:rPr>
      </w:pPr>
    </w:p>
    <w:p w14:paraId="5D808FE0" w14:textId="77777777" w:rsidR="0000268A" w:rsidRPr="00695B0D" w:rsidRDefault="0000268A" w:rsidP="0000268A">
      <w:pPr>
        <w:keepLines/>
        <w:widowControl/>
        <w:tabs>
          <w:tab w:val="left" w:pos="-720"/>
        </w:tabs>
        <w:rPr>
          <w:sz w:val="26"/>
          <w:szCs w:val="26"/>
        </w:rPr>
      </w:pPr>
    </w:p>
    <w:p w14:paraId="281C5FB7" w14:textId="77777777" w:rsidR="0000268A" w:rsidRPr="00695B0D" w:rsidRDefault="0000268A" w:rsidP="0000268A">
      <w:pPr>
        <w:keepLines/>
        <w:widowControl/>
        <w:tabs>
          <w:tab w:val="left" w:pos="-720"/>
        </w:tabs>
        <w:rPr>
          <w:sz w:val="26"/>
          <w:szCs w:val="26"/>
        </w:rPr>
      </w:pPr>
    </w:p>
    <w:p w14:paraId="6390B310" w14:textId="77777777" w:rsidR="0000268A" w:rsidRPr="00695B0D" w:rsidRDefault="0000268A" w:rsidP="0000268A">
      <w:pPr>
        <w:keepLines/>
        <w:widowControl/>
        <w:tabs>
          <w:tab w:val="left" w:pos="-720"/>
        </w:tabs>
        <w:ind w:firstLine="5040"/>
        <w:rPr>
          <w:b/>
          <w:sz w:val="26"/>
          <w:szCs w:val="26"/>
        </w:rPr>
      </w:pPr>
      <w:r w:rsidRPr="00695B0D">
        <w:rPr>
          <w:sz w:val="26"/>
          <w:szCs w:val="26"/>
        </w:rPr>
        <w:t>Rosemary Chiavetta</w:t>
      </w:r>
    </w:p>
    <w:p w14:paraId="413266DF" w14:textId="77777777" w:rsidR="0000268A" w:rsidRPr="00695B0D" w:rsidRDefault="0000268A" w:rsidP="0000268A">
      <w:pPr>
        <w:keepLines/>
        <w:widowControl/>
        <w:tabs>
          <w:tab w:val="left" w:pos="-720"/>
        </w:tabs>
        <w:ind w:firstLine="5040"/>
        <w:rPr>
          <w:sz w:val="26"/>
          <w:szCs w:val="26"/>
        </w:rPr>
      </w:pPr>
      <w:r w:rsidRPr="00695B0D">
        <w:rPr>
          <w:sz w:val="26"/>
          <w:szCs w:val="26"/>
        </w:rPr>
        <w:t>Secretary</w:t>
      </w:r>
    </w:p>
    <w:p w14:paraId="45A14EBB" w14:textId="77777777" w:rsidR="0000268A" w:rsidRPr="00695B0D" w:rsidRDefault="0000268A" w:rsidP="0000268A">
      <w:pPr>
        <w:keepLines/>
        <w:widowControl/>
        <w:tabs>
          <w:tab w:val="left" w:pos="-720"/>
        </w:tabs>
        <w:rPr>
          <w:sz w:val="26"/>
          <w:szCs w:val="26"/>
        </w:rPr>
      </w:pPr>
    </w:p>
    <w:p w14:paraId="58562DFB" w14:textId="77777777" w:rsidR="0000268A" w:rsidRPr="00695B0D" w:rsidRDefault="0000268A" w:rsidP="0000268A">
      <w:pPr>
        <w:keepLines/>
        <w:widowControl/>
        <w:tabs>
          <w:tab w:val="left" w:pos="-720"/>
        </w:tabs>
        <w:rPr>
          <w:sz w:val="26"/>
          <w:szCs w:val="26"/>
        </w:rPr>
      </w:pPr>
      <w:r w:rsidRPr="00695B0D">
        <w:rPr>
          <w:sz w:val="26"/>
          <w:szCs w:val="26"/>
        </w:rPr>
        <w:t>(SEAL)</w:t>
      </w:r>
    </w:p>
    <w:p w14:paraId="7D2ECC0C" w14:textId="77777777" w:rsidR="0000268A" w:rsidRPr="00695B0D" w:rsidRDefault="0000268A" w:rsidP="0000268A">
      <w:pPr>
        <w:keepNext/>
        <w:keepLines/>
        <w:widowControl/>
        <w:tabs>
          <w:tab w:val="left" w:pos="-720"/>
        </w:tabs>
        <w:rPr>
          <w:sz w:val="26"/>
          <w:szCs w:val="26"/>
        </w:rPr>
      </w:pPr>
    </w:p>
    <w:p w14:paraId="0756EEB6" w14:textId="6C285E6E" w:rsidR="0000268A" w:rsidRPr="00695B0D" w:rsidRDefault="0000268A" w:rsidP="0000268A">
      <w:pPr>
        <w:keepNext/>
        <w:keepLines/>
        <w:widowControl/>
        <w:tabs>
          <w:tab w:val="left" w:pos="-720"/>
        </w:tabs>
        <w:rPr>
          <w:sz w:val="26"/>
          <w:szCs w:val="26"/>
        </w:rPr>
      </w:pPr>
      <w:r w:rsidRPr="00695B0D">
        <w:rPr>
          <w:sz w:val="26"/>
          <w:szCs w:val="26"/>
        </w:rPr>
        <w:t xml:space="preserve">ORDER ADOPTED:  </w:t>
      </w:r>
      <w:r w:rsidR="00152AE4" w:rsidRPr="00695B0D">
        <w:rPr>
          <w:sz w:val="26"/>
          <w:szCs w:val="26"/>
        </w:rPr>
        <w:t>May 6, 202</w:t>
      </w:r>
      <w:r w:rsidR="00094BA4" w:rsidRPr="00695B0D">
        <w:rPr>
          <w:sz w:val="26"/>
          <w:szCs w:val="26"/>
        </w:rPr>
        <w:t>1</w:t>
      </w:r>
    </w:p>
    <w:p w14:paraId="2D106375" w14:textId="77777777" w:rsidR="0000268A" w:rsidRPr="00695B0D" w:rsidRDefault="0000268A" w:rsidP="0000268A">
      <w:pPr>
        <w:keepNext/>
        <w:keepLines/>
        <w:widowControl/>
        <w:tabs>
          <w:tab w:val="left" w:pos="-720"/>
        </w:tabs>
        <w:rPr>
          <w:sz w:val="26"/>
          <w:szCs w:val="26"/>
        </w:rPr>
      </w:pPr>
    </w:p>
    <w:p w14:paraId="525FF277" w14:textId="511D8765" w:rsidR="00F272E7" w:rsidRPr="00E417E0" w:rsidRDefault="0000268A" w:rsidP="00E417E0">
      <w:pPr>
        <w:keepNext/>
        <w:keepLines/>
        <w:widowControl/>
        <w:tabs>
          <w:tab w:val="left" w:pos="-720"/>
        </w:tabs>
        <w:rPr>
          <w:sz w:val="26"/>
          <w:szCs w:val="26"/>
        </w:rPr>
      </w:pPr>
      <w:r w:rsidRPr="00695B0D">
        <w:rPr>
          <w:sz w:val="26"/>
          <w:szCs w:val="26"/>
        </w:rPr>
        <w:t>ORDER ENTERED:</w:t>
      </w:r>
      <w:r w:rsidRPr="00D365A7">
        <w:rPr>
          <w:sz w:val="26"/>
          <w:szCs w:val="26"/>
        </w:rPr>
        <w:t xml:space="preserve">  </w:t>
      </w:r>
      <w:r w:rsidR="009B5C87">
        <w:rPr>
          <w:sz w:val="26"/>
          <w:szCs w:val="26"/>
        </w:rPr>
        <w:t>May 6, 2021</w:t>
      </w:r>
    </w:p>
    <w:sectPr w:rsidR="00F272E7" w:rsidRPr="00E417E0"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C172" w14:textId="77777777" w:rsidR="00510154" w:rsidRDefault="00510154">
      <w:r>
        <w:separator/>
      </w:r>
    </w:p>
  </w:endnote>
  <w:endnote w:type="continuationSeparator" w:id="0">
    <w:p w14:paraId="56859223" w14:textId="77777777" w:rsidR="00510154" w:rsidRDefault="0051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A4C1" w14:textId="77777777"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2B3935" w14:textId="77777777" w:rsidR="00817F37" w:rsidRDefault="00817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8F4E" w14:textId="48C7704A"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91D93">
      <w:rPr>
        <w:rStyle w:val="PageNumber"/>
        <w:noProof/>
        <w:sz w:val="26"/>
      </w:rPr>
      <w:t>3</w:t>
    </w:r>
    <w:r w:rsidRPr="00C7667D">
      <w:rPr>
        <w:rStyle w:val="PageNumber"/>
        <w:sz w:val="26"/>
      </w:rPr>
      <w:fldChar w:fldCharType="end"/>
    </w:r>
  </w:p>
  <w:p w14:paraId="232694A1" w14:textId="77777777" w:rsidR="00817F37" w:rsidRDefault="00817F37"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0FEE" w14:textId="77777777" w:rsidR="00510154" w:rsidRDefault="00510154">
      <w:r>
        <w:separator/>
      </w:r>
    </w:p>
  </w:footnote>
  <w:footnote w:type="continuationSeparator" w:id="0">
    <w:p w14:paraId="0422CE1F" w14:textId="77777777" w:rsidR="00510154" w:rsidRDefault="00510154">
      <w:r>
        <w:continuationSeparator/>
      </w:r>
    </w:p>
  </w:footnote>
  <w:footnote w:id="1">
    <w:p w14:paraId="23ACE70D" w14:textId="3B4D87D2" w:rsidR="00A070DB" w:rsidRPr="00A070DB" w:rsidRDefault="00A070DB" w:rsidP="00A070DB">
      <w:pPr>
        <w:pStyle w:val="FootnoteText"/>
        <w:ind w:firstLine="720"/>
        <w:rPr>
          <w:sz w:val="26"/>
          <w:szCs w:val="26"/>
        </w:rPr>
      </w:pPr>
      <w:r w:rsidRPr="00A070DB">
        <w:rPr>
          <w:rStyle w:val="FootnoteReference"/>
          <w:sz w:val="26"/>
          <w:szCs w:val="26"/>
        </w:rPr>
        <w:footnoteRef/>
      </w:r>
      <w:r w:rsidRPr="00A070DB">
        <w:rPr>
          <w:sz w:val="26"/>
          <w:szCs w:val="26"/>
        </w:rPr>
        <w:t xml:space="preserve"> </w:t>
      </w:r>
      <w:r w:rsidRPr="00A070DB">
        <w:rPr>
          <w:sz w:val="26"/>
          <w:szCs w:val="26"/>
        </w:rPr>
        <w:tab/>
        <w:t>Although GREENCROWN filed the Petition as a Reconsideration, Rescission and Reinstatement</w:t>
      </w:r>
      <w:r w:rsidR="004B5268">
        <w:rPr>
          <w:sz w:val="26"/>
          <w:szCs w:val="26"/>
        </w:rPr>
        <w:t xml:space="preserve"> of </w:t>
      </w:r>
      <w:r w:rsidR="005F7401">
        <w:rPr>
          <w:sz w:val="26"/>
          <w:szCs w:val="26"/>
        </w:rPr>
        <w:t xml:space="preserve">the </w:t>
      </w:r>
      <w:r w:rsidR="004B5268" w:rsidRPr="00A070DB">
        <w:rPr>
          <w:i/>
          <w:iCs/>
          <w:sz w:val="26"/>
          <w:szCs w:val="26"/>
        </w:rPr>
        <w:t>November 2020 Order</w:t>
      </w:r>
      <w:r w:rsidRPr="00C13D10">
        <w:rPr>
          <w:sz w:val="26"/>
          <w:szCs w:val="26"/>
        </w:rPr>
        <w:t>,</w:t>
      </w:r>
      <w:r w:rsidRPr="00A070DB">
        <w:rPr>
          <w:sz w:val="26"/>
          <w:szCs w:val="26"/>
        </w:rPr>
        <w:t xml:space="preserve"> </w:t>
      </w:r>
      <w:r>
        <w:rPr>
          <w:sz w:val="26"/>
          <w:szCs w:val="26"/>
        </w:rPr>
        <w:t xml:space="preserve">because the Petition was timely filed, </w:t>
      </w:r>
      <w:r w:rsidRPr="00A070DB">
        <w:rPr>
          <w:sz w:val="26"/>
          <w:szCs w:val="26"/>
        </w:rPr>
        <w:t xml:space="preserve">we shall consider it as a </w:t>
      </w:r>
      <w:r w:rsidR="00F20856">
        <w:rPr>
          <w:sz w:val="26"/>
          <w:szCs w:val="26"/>
        </w:rPr>
        <w:t xml:space="preserve">Petition for </w:t>
      </w:r>
      <w:r w:rsidRPr="00A070DB">
        <w:rPr>
          <w:sz w:val="26"/>
          <w:szCs w:val="26"/>
        </w:rPr>
        <w:t>Reconsideration.</w:t>
      </w:r>
    </w:p>
  </w:footnote>
  <w:footnote w:id="2">
    <w:p w14:paraId="27EDF66A" w14:textId="27C4F562" w:rsidR="00C35E56" w:rsidRPr="00C13D10" w:rsidRDefault="00C35E56" w:rsidP="00DE1E5A">
      <w:pPr>
        <w:ind w:firstLine="720"/>
        <w:rPr>
          <w:kern w:val="1"/>
          <w:sz w:val="26"/>
          <w:szCs w:val="26"/>
        </w:rPr>
      </w:pPr>
      <w:r w:rsidRPr="00C13D10">
        <w:rPr>
          <w:rStyle w:val="FootnoteReference"/>
          <w:sz w:val="26"/>
          <w:szCs w:val="26"/>
        </w:rPr>
        <w:footnoteRef/>
      </w:r>
      <w:r w:rsidRPr="00C13D10">
        <w:rPr>
          <w:sz w:val="26"/>
          <w:szCs w:val="26"/>
        </w:rPr>
        <w:t xml:space="preserve"> </w:t>
      </w:r>
      <w:r w:rsidRPr="00C13D10">
        <w:rPr>
          <w:sz w:val="26"/>
          <w:szCs w:val="26"/>
        </w:rPr>
        <w:tab/>
      </w:r>
      <w:r w:rsidRPr="00C13D10">
        <w:rPr>
          <w:kern w:val="1"/>
          <w:sz w:val="26"/>
          <w:szCs w:val="26"/>
        </w:rPr>
        <w:t>Section 2809 provides in pertinent part that:</w:t>
      </w:r>
    </w:p>
    <w:p w14:paraId="4A0672B0" w14:textId="77777777" w:rsidR="00DE1E5A" w:rsidRPr="00C13D10" w:rsidRDefault="00DE1E5A" w:rsidP="00DE1E5A">
      <w:pPr>
        <w:ind w:firstLine="720"/>
        <w:rPr>
          <w:sz w:val="26"/>
          <w:szCs w:val="26"/>
        </w:rPr>
      </w:pPr>
    </w:p>
    <w:p w14:paraId="6F12F5DB" w14:textId="746AABB7" w:rsidR="00C35E56" w:rsidRPr="00C13D10" w:rsidRDefault="00C35E56" w:rsidP="00DE1E5A">
      <w:pPr>
        <w:pStyle w:val="BlockText"/>
        <w:spacing w:line="240" w:lineRule="auto"/>
        <w:rPr>
          <w:szCs w:val="26"/>
        </w:rPr>
      </w:pPr>
      <w:r w:rsidRPr="00C13D10">
        <w:rPr>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14:paraId="3B4A8D42" w14:textId="77777777" w:rsidR="00DE1E5A" w:rsidRPr="00C13D10" w:rsidRDefault="00DE1E5A" w:rsidP="00DE1E5A">
      <w:pPr>
        <w:pStyle w:val="BlockText"/>
        <w:spacing w:line="240" w:lineRule="auto"/>
        <w:rPr>
          <w:szCs w:val="26"/>
        </w:rPr>
      </w:pPr>
    </w:p>
    <w:p w14:paraId="43BB8113" w14:textId="094F6ED5" w:rsidR="00C35E56" w:rsidRPr="00C13D10" w:rsidRDefault="00C35E56" w:rsidP="00DE1E5A">
      <w:pPr>
        <w:tabs>
          <w:tab w:val="left" w:pos="0"/>
        </w:tabs>
        <w:suppressAutoHyphens/>
        <w:ind w:right="806"/>
        <w:rPr>
          <w:kern w:val="1"/>
          <w:sz w:val="26"/>
          <w:szCs w:val="26"/>
        </w:rPr>
      </w:pPr>
      <w:r w:rsidRPr="00C13D10">
        <w:rPr>
          <w:kern w:val="1"/>
          <w:sz w:val="26"/>
          <w:szCs w:val="26"/>
        </w:rPr>
        <w:t>66 Pa. C.S. §</w:t>
      </w:r>
      <w:r w:rsidR="00FE2985" w:rsidRPr="00C13D10">
        <w:rPr>
          <w:kern w:val="1"/>
          <w:sz w:val="26"/>
          <w:szCs w:val="26"/>
        </w:rPr>
        <w:t xml:space="preserve"> </w:t>
      </w:r>
      <w:r w:rsidRPr="00C13D10">
        <w:rPr>
          <w:kern w:val="1"/>
          <w:sz w:val="26"/>
          <w:szCs w:val="26"/>
        </w:rPr>
        <w:t>2809.</w:t>
      </w:r>
    </w:p>
    <w:p w14:paraId="0B539477" w14:textId="77777777" w:rsidR="00C35E56" w:rsidRPr="00C13D10" w:rsidRDefault="00C35E56" w:rsidP="00C35E56">
      <w:pPr>
        <w:tabs>
          <w:tab w:val="left" w:pos="0"/>
        </w:tabs>
        <w:suppressAutoHyphens/>
        <w:ind w:right="806"/>
        <w:rPr>
          <w:kern w:val="1"/>
          <w:sz w:val="26"/>
          <w:szCs w:val="26"/>
        </w:rPr>
      </w:pPr>
    </w:p>
    <w:p w14:paraId="2073558D" w14:textId="77777777" w:rsidR="00C35E56" w:rsidRPr="00C13D10" w:rsidRDefault="00C35E56" w:rsidP="00C35E56">
      <w:pPr>
        <w:tabs>
          <w:tab w:val="left" w:pos="0"/>
        </w:tabs>
        <w:suppressAutoHyphens/>
        <w:ind w:left="720" w:hanging="720"/>
        <w:jc w:val="both"/>
        <w:rPr>
          <w:kern w:val="1"/>
          <w:sz w:val="26"/>
          <w:szCs w:val="26"/>
        </w:rPr>
      </w:pPr>
      <w:r w:rsidRPr="00C13D10">
        <w:rPr>
          <w:kern w:val="1"/>
          <w:sz w:val="26"/>
          <w:szCs w:val="26"/>
        </w:rPr>
        <w:tab/>
        <w:t>An electric generation supplier is defined as:</w:t>
      </w:r>
    </w:p>
    <w:p w14:paraId="03A5BE2B" w14:textId="77777777" w:rsidR="00C35E56" w:rsidRPr="00C13D10" w:rsidRDefault="00C35E56" w:rsidP="00C35E56">
      <w:pPr>
        <w:tabs>
          <w:tab w:val="left" w:pos="0"/>
        </w:tabs>
        <w:suppressAutoHyphens/>
        <w:ind w:left="720" w:hanging="720"/>
        <w:jc w:val="both"/>
        <w:rPr>
          <w:kern w:val="1"/>
          <w:sz w:val="26"/>
          <w:szCs w:val="26"/>
        </w:rPr>
      </w:pPr>
    </w:p>
    <w:p w14:paraId="087D3717" w14:textId="77777777" w:rsidR="00C35E56" w:rsidRPr="00C13D10" w:rsidRDefault="00C35E56" w:rsidP="00C35E56">
      <w:pPr>
        <w:tabs>
          <w:tab w:val="left" w:pos="0"/>
        </w:tabs>
        <w:suppressAutoHyphens/>
        <w:ind w:left="1440" w:right="1440"/>
        <w:rPr>
          <w:kern w:val="1"/>
          <w:sz w:val="26"/>
          <w:szCs w:val="26"/>
        </w:rPr>
      </w:pPr>
      <w:r w:rsidRPr="00C13D10">
        <w:rPr>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w:t>
      </w:r>
      <w:r w:rsidRPr="00145694">
        <w:rPr>
          <w:spacing w:val="-3"/>
          <w:kern w:val="1"/>
          <w:sz w:val="26"/>
          <w:szCs w:val="26"/>
        </w:rPr>
        <w:t xml:space="preserve"> </w:t>
      </w:r>
      <w:r w:rsidRPr="00C13D10">
        <w:rPr>
          <w:kern w:val="1"/>
          <w:sz w:val="26"/>
          <w:szCs w:val="26"/>
        </w:rPr>
        <w:t xml:space="preserve">entities, that sells to end-use customers electricity or related services utilizing the jurisdictional transmission and distribution facilities of an electric distribution company, or that purchases, brokers, arranges or markets electricity or related services for sale to end-use customers utilizing the jurisdictional transmission and distribution facilities of an electric distribution company.  </w:t>
      </w:r>
    </w:p>
    <w:p w14:paraId="46B71B10" w14:textId="77777777" w:rsidR="00C35E56" w:rsidRPr="00C13D10" w:rsidRDefault="00C35E56" w:rsidP="00C35E56">
      <w:pPr>
        <w:suppressAutoHyphens/>
        <w:ind w:left="1440" w:right="1440" w:firstLine="1440"/>
        <w:rPr>
          <w:sz w:val="26"/>
          <w:szCs w:val="26"/>
        </w:rPr>
      </w:pPr>
    </w:p>
    <w:p w14:paraId="73EF6C3A" w14:textId="5CA691B2" w:rsidR="00C35E56" w:rsidRPr="00C13D10" w:rsidRDefault="00C35E56" w:rsidP="00C13D10">
      <w:pPr>
        <w:tabs>
          <w:tab w:val="left" w:pos="0"/>
        </w:tabs>
        <w:suppressAutoHyphens/>
        <w:spacing w:after="120"/>
        <w:ind w:right="806"/>
        <w:rPr>
          <w:kern w:val="1"/>
          <w:sz w:val="26"/>
          <w:szCs w:val="26"/>
        </w:rPr>
      </w:pPr>
      <w:r w:rsidRPr="00C13D10">
        <w:rPr>
          <w:kern w:val="1"/>
          <w:sz w:val="26"/>
          <w:szCs w:val="26"/>
        </w:rPr>
        <w:t>66 Pa. C.S. § 2803.</w:t>
      </w:r>
    </w:p>
  </w:footnote>
  <w:footnote w:id="3">
    <w:p w14:paraId="43217D92" w14:textId="1E4C434C" w:rsidR="001C1ED5" w:rsidRPr="00C13D10" w:rsidRDefault="001C1ED5" w:rsidP="00C94D34">
      <w:pPr>
        <w:pStyle w:val="FootnoteText"/>
        <w:spacing w:after="120"/>
        <w:ind w:firstLine="720"/>
        <w:rPr>
          <w:sz w:val="26"/>
          <w:szCs w:val="26"/>
        </w:rPr>
      </w:pPr>
      <w:r w:rsidRPr="00C13D10">
        <w:rPr>
          <w:rStyle w:val="FootnoteReference"/>
          <w:sz w:val="26"/>
          <w:szCs w:val="26"/>
        </w:rPr>
        <w:footnoteRef/>
      </w:r>
      <w:r w:rsidRPr="00C13D10">
        <w:rPr>
          <w:sz w:val="26"/>
          <w:szCs w:val="26"/>
        </w:rPr>
        <w:t xml:space="preserve"> </w:t>
      </w:r>
      <w:r w:rsidRPr="00C13D10">
        <w:rPr>
          <w:sz w:val="26"/>
          <w:szCs w:val="26"/>
        </w:rPr>
        <w:tab/>
        <w:t xml:space="preserve">We note that </w:t>
      </w:r>
      <w:r w:rsidR="0011019C" w:rsidRPr="00C13D10">
        <w:rPr>
          <w:sz w:val="26"/>
          <w:szCs w:val="26"/>
        </w:rPr>
        <w:t xml:space="preserve">TUS’ </w:t>
      </w:r>
      <w:r w:rsidR="00DB0887" w:rsidRPr="00C13D10">
        <w:rPr>
          <w:sz w:val="26"/>
          <w:szCs w:val="26"/>
        </w:rPr>
        <w:t>d</w:t>
      </w:r>
      <w:r w:rsidR="0011019C" w:rsidRPr="00C13D10">
        <w:rPr>
          <w:sz w:val="26"/>
          <w:szCs w:val="26"/>
        </w:rPr>
        <w:t xml:space="preserve">ata </w:t>
      </w:r>
      <w:r w:rsidR="00DB0887" w:rsidRPr="00C13D10">
        <w:rPr>
          <w:sz w:val="26"/>
          <w:szCs w:val="26"/>
        </w:rPr>
        <w:t>r</w:t>
      </w:r>
      <w:r w:rsidR="0011019C" w:rsidRPr="00C13D10">
        <w:rPr>
          <w:sz w:val="26"/>
          <w:szCs w:val="26"/>
        </w:rPr>
        <w:t>equest</w:t>
      </w:r>
      <w:r w:rsidR="00DB0887" w:rsidRPr="00C13D10">
        <w:rPr>
          <w:sz w:val="26"/>
          <w:szCs w:val="26"/>
        </w:rPr>
        <w:t xml:space="preserve"> sent to GREENCROWN</w:t>
      </w:r>
      <w:r w:rsidR="0011019C" w:rsidRPr="00C13D10">
        <w:rPr>
          <w:sz w:val="26"/>
          <w:szCs w:val="26"/>
        </w:rPr>
        <w:t xml:space="preserve"> on September</w:t>
      </w:r>
      <w:r w:rsidR="00921A3B">
        <w:rPr>
          <w:sz w:val="26"/>
          <w:szCs w:val="26"/>
        </w:rPr>
        <w:t> </w:t>
      </w:r>
      <w:r w:rsidR="0011019C" w:rsidRPr="00C13D10">
        <w:rPr>
          <w:sz w:val="26"/>
          <w:szCs w:val="26"/>
        </w:rPr>
        <w:t>8,</w:t>
      </w:r>
      <w:r w:rsidR="00921A3B">
        <w:rPr>
          <w:sz w:val="26"/>
          <w:szCs w:val="26"/>
        </w:rPr>
        <w:t> </w:t>
      </w:r>
      <w:r w:rsidR="0011019C" w:rsidRPr="00C13D10">
        <w:rPr>
          <w:sz w:val="26"/>
          <w:szCs w:val="26"/>
        </w:rPr>
        <w:t>2020, is inac</w:t>
      </w:r>
      <w:r w:rsidR="00802519" w:rsidRPr="00C13D10">
        <w:rPr>
          <w:sz w:val="26"/>
          <w:szCs w:val="26"/>
        </w:rPr>
        <w:t xml:space="preserve">curately labeled </w:t>
      </w:r>
      <w:r w:rsidR="00EB4D69" w:rsidRPr="00C13D10">
        <w:rPr>
          <w:sz w:val="26"/>
          <w:szCs w:val="26"/>
        </w:rPr>
        <w:t xml:space="preserve">as </w:t>
      </w:r>
      <w:r w:rsidR="00802519" w:rsidRPr="00C13D10">
        <w:rPr>
          <w:sz w:val="26"/>
          <w:szCs w:val="26"/>
        </w:rPr>
        <w:t xml:space="preserve">“Reply to Data Request” in the Commission’s case management system. </w:t>
      </w:r>
    </w:p>
  </w:footnote>
  <w:footnote w:id="4">
    <w:p w14:paraId="6234A51B" w14:textId="2A1D7A74" w:rsidR="00A43ECF" w:rsidRPr="00C13D10" w:rsidRDefault="00A43ECF" w:rsidP="00A03CDF">
      <w:pPr>
        <w:tabs>
          <w:tab w:val="left" w:pos="90"/>
        </w:tabs>
        <w:suppressAutoHyphens/>
        <w:rPr>
          <w:kern w:val="1"/>
          <w:sz w:val="26"/>
          <w:szCs w:val="26"/>
        </w:rPr>
      </w:pPr>
      <w:r w:rsidRPr="00C13D10">
        <w:rPr>
          <w:sz w:val="26"/>
          <w:szCs w:val="26"/>
        </w:rPr>
        <w:tab/>
      </w:r>
      <w:r w:rsidR="00425990" w:rsidRPr="00C13D10">
        <w:rPr>
          <w:sz w:val="26"/>
          <w:szCs w:val="26"/>
        </w:rPr>
        <w:tab/>
      </w:r>
      <w:r w:rsidRPr="00C13D10">
        <w:rPr>
          <w:rStyle w:val="FootnoteReference"/>
          <w:sz w:val="26"/>
          <w:szCs w:val="26"/>
        </w:rPr>
        <w:footnoteRef/>
      </w:r>
      <w:r w:rsidRPr="00C13D10">
        <w:rPr>
          <w:sz w:val="26"/>
          <w:szCs w:val="26"/>
        </w:rPr>
        <w:t xml:space="preserve"> </w:t>
      </w:r>
      <w:r w:rsidRPr="00C13D10">
        <w:rPr>
          <w:sz w:val="26"/>
          <w:szCs w:val="26"/>
        </w:rPr>
        <w:tab/>
      </w:r>
      <w:r w:rsidRPr="00C13D10">
        <w:rPr>
          <w:kern w:val="1"/>
          <w:sz w:val="26"/>
          <w:szCs w:val="26"/>
        </w:rPr>
        <w:t>The Commission’s EGS application, Compliance Section 5.c states:</w:t>
      </w:r>
      <w:r w:rsidRPr="00C13D10">
        <w:rPr>
          <w:sz w:val="26"/>
          <w:szCs w:val="26"/>
        </w:rPr>
        <w:t xml:space="preserve"> </w:t>
      </w:r>
    </w:p>
    <w:p w14:paraId="18AEE975" w14:textId="77777777" w:rsidR="00A43ECF" w:rsidRPr="00C13D10" w:rsidRDefault="00A43ECF" w:rsidP="00A03CDF">
      <w:pPr>
        <w:tabs>
          <w:tab w:val="left" w:pos="90"/>
        </w:tabs>
        <w:suppressAutoHyphens/>
        <w:rPr>
          <w:kern w:val="1"/>
          <w:sz w:val="26"/>
          <w:szCs w:val="26"/>
        </w:rPr>
      </w:pPr>
    </w:p>
    <w:p w14:paraId="4D5C450B" w14:textId="041CD1B6" w:rsidR="00A43ECF" w:rsidRPr="00921A3B" w:rsidRDefault="00A43ECF" w:rsidP="00921A3B">
      <w:pPr>
        <w:tabs>
          <w:tab w:val="left" w:pos="90"/>
        </w:tabs>
        <w:suppressAutoHyphens/>
        <w:ind w:left="1440" w:right="1440"/>
        <w:rPr>
          <w:kern w:val="1"/>
          <w:sz w:val="26"/>
          <w:szCs w:val="26"/>
        </w:rPr>
      </w:pPr>
      <w:r w:rsidRPr="00C13D10">
        <w:rPr>
          <w:kern w:val="1"/>
          <w:sz w:val="26"/>
          <w:szCs w:val="26"/>
        </w:rPr>
        <w:t>c.</w:t>
      </w:r>
      <w:r w:rsidRPr="00C13D10">
        <w:rPr>
          <w:kern w:val="1"/>
          <w:sz w:val="26"/>
          <w:szCs w:val="26"/>
        </w:rPr>
        <w:tab/>
        <w:t xml:space="preserve">CUSTOMER/REGULATORY/PROSECUTORY ACTIONS:  Identify all formal or escalated actions or complaints, in the Commonwealth of Pennsylvania or any state, filed with or by a customer, regulatory agency, or </w:t>
      </w:r>
      <w:proofErr w:type="spellStart"/>
      <w:r w:rsidRPr="00C13D10">
        <w:rPr>
          <w:kern w:val="1"/>
          <w:sz w:val="26"/>
          <w:szCs w:val="26"/>
        </w:rPr>
        <w:t>Prosecutory</w:t>
      </w:r>
      <w:proofErr w:type="spellEnd"/>
      <w:r w:rsidRPr="00C13D10">
        <w:rPr>
          <w:kern w:val="1"/>
          <w:sz w:val="26"/>
          <w:szCs w:val="26"/>
        </w:rPr>
        <w:t xml:space="preserve"> agency against the Applicant, an affiliate, a predecessor of either, or a person identified in this Application, for the prior five (5) years, including but not limited to customers, Utility Commissions, and Consumer Protection Agencies such as the Offices of Attorney General.  </w:t>
      </w:r>
      <w:r w:rsidRPr="00C13D10">
        <w:rPr>
          <w:b/>
          <w:bCs/>
          <w:kern w:val="1"/>
          <w:sz w:val="26"/>
          <w:szCs w:val="26"/>
          <w:u w:val="single"/>
        </w:rPr>
        <w:t>Applicant should also include if it had a Pennsylvania PUC EGS or NGS license previously cancelled by the Commission.</w:t>
      </w:r>
      <w:r w:rsidRPr="00C13D10">
        <w:rPr>
          <w:kern w:val="1"/>
          <w:sz w:val="26"/>
          <w:szCs w:val="26"/>
        </w:rPr>
        <w:t xml:space="preserve">  If the Applicant has no actions or complaints to list, explicitly state such. </w:t>
      </w:r>
    </w:p>
  </w:footnote>
  <w:footnote w:id="5">
    <w:p w14:paraId="04AFC4D5" w14:textId="52190F01" w:rsidR="008B44B5" w:rsidRDefault="00964AAF" w:rsidP="00F73348">
      <w:pPr>
        <w:tabs>
          <w:tab w:val="left" w:pos="90"/>
        </w:tabs>
        <w:suppressAutoHyphens/>
        <w:spacing w:line="480" w:lineRule="auto"/>
        <w:rPr>
          <w:sz w:val="26"/>
          <w:szCs w:val="26"/>
        </w:rPr>
      </w:pPr>
      <w:r>
        <w:tab/>
      </w:r>
      <w:r>
        <w:tab/>
      </w:r>
      <w:r w:rsidRPr="00D741B0">
        <w:rPr>
          <w:rStyle w:val="FootnoteReference"/>
          <w:sz w:val="26"/>
          <w:szCs w:val="26"/>
        </w:rPr>
        <w:footnoteRef/>
      </w:r>
      <w:r w:rsidRPr="00D741B0">
        <w:rPr>
          <w:sz w:val="26"/>
          <w:szCs w:val="26"/>
        </w:rPr>
        <w:t xml:space="preserve"> </w:t>
      </w:r>
      <w:r w:rsidRPr="00D741B0">
        <w:rPr>
          <w:sz w:val="26"/>
          <w:szCs w:val="26"/>
        </w:rPr>
        <w:tab/>
        <w:t>Section 10.g. of the Commission’s EGS application states:</w:t>
      </w:r>
    </w:p>
    <w:p w14:paraId="27C0BAB5" w14:textId="77777777" w:rsidR="00964AAF" w:rsidRPr="00D741B0" w:rsidRDefault="00964AAF" w:rsidP="00964AAF">
      <w:pPr>
        <w:tabs>
          <w:tab w:val="left" w:pos="90"/>
        </w:tabs>
        <w:suppressAutoHyphens/>
        <w:ind w:left="1440" w:right="1440"/>
        <w:rPr>
          <w:sz w:val="26"/>
          <w:szCs w:val="26"/>
        </w:rPr>
      </w:pPr>
      <w:r w:rsidRPr="00D741B0">
        <w:rPr>
          <w:sz w:val="26"/>
          <w:szCs w:val="26"/>
        </w:rPr>
        <w:t>g.</w:t>
      </w:r>
      <w:r w:rsidRPr="00D741B0">
        <w:rPr>
          <w:sz w:val="26"/>
          <w:szCs w:val="26"/>
        </w:rPr>
        <w:tab/>
        <w:t>FALSIFICATION:  The Applicant understands that the making of false statement(s) herein may be grounds for denying the Application or, if later discovered, for revoking any authority granted pursuant to the Application.  This Application is subject to 18 Pa. C.S. §§4903 and 4904, relating to perjury and falsification in official matters.</w:t>
      </w:r>
    </w:p>
    <w:p w14:paraId="27C76DEC" w14:textId="77777777" w:rsidR="00964AAF" w:rsidRPr="00D741B0" w:rsidRDefault="00964AAF" w:rsidP="00964AAF">
      <w:pPr>
        <w:pStyle w:val="FootnoteText"/>
        <w:ind w:firstLine="720"/>
        <w:rPr>
          <w:sz w:val="26"/>
          <w:szCs w:val="26"/>
        </w:rPr>
      </w:pPr>
    </w:p>
  </w:footnote>
  <w:footnote w:id="6">
    <w:p w14:paraId="43B4223B" w14:textId="5939183B" w:rsidR="00F936D3" w:rsidRPr="0013182E" w:rsidRDefault="00F936D3" w:rsidP="00F936D3">
      <w:pPr>
        <w:pStyle w:val="FootnoteText"/>
        <w:ind w:firstLine="720"/>
        <w:rPr>
          <w:sz w:val="26"/>
          <w:szCs w:val="26"/>
        </w:rPr>
      </w:pPr>
      <w:r w:rsidRPr="0013182E">
        <w:rPr>
          <w:rStyle w:val="FootnoteReference"/>
          <w:sz w:val="26"/>
          <w:szCs w:val="26"/>
        </w:rPr>
        <w:footnoteRef/>
      </w:r>
      <w:r w:rsidRPr="0013182E">
        <w:rPr>
          <w:sz w:val="26"/>
          <w:szCs w:val="26"/>
        </w:rPr>
        <w:t xml:space="preserve"> </w:t>
      </w:r>
      <w:r w:rsidRPr="0013182E">
        <w:rPr>
          <w:sz w:val="26"/>
          <w:szCs w:val="26"/>
        </w:rPr>
        <w:tab/>
      </w:r>
      <w:r w:rsidR="00DD55CF" w:rsidRPr="0013182E">
        <w:rPr>
          <w:sz w:val="26"/>
          <w:szCs w:val="26"/>
        </w:rPr>
        <w:t>The data request states as follows</w:t>
      </w:r>
      <w:r w:rsidR="00A941B2">
        <w:rPr>
          <w:sz w:val="26"/>
          <w:szCs w:val="26"/>
        </w:rPr>
        <w:t>:</w:t>
      </w:r>
    </w:p>
    <w:p w14:paraId="6598B143" w14:textId="2DD54689" w:rsidR="00DD55CF" w:rsidRPr="00A941B2" w:rsidRDefault="00DD55CF" w:rsidP="00F936D3">
      <w:pPr>
        <w:pStyle w:val="FootnoteText"/>
        <w:ind w:firstLine="720"/>
        <w:rPr>
          <w:sz w:val="26"/>
          <w:szCs w:val="26"/>
        </w:rPr>
      </w:pPr>
    </w:p>
    <w:p w14:paraId="5EC1B90C" w14:textId="4C1DA059" w:rsidR="0013182E" w:rsidRPr="0013182E" w:rsidRDefault="0013182E" w:rsidP="0013182E">
      <w:pPr>
        <w:pStyle w:val="ListParagraph"/>
        <w:numPr>
          <w:ilvl w:val="0"/>
          <w:numId w:val="9"/>
        </w:numPr>
        <w:ind w:right="1440"/>
        <w:rPr>
          <w:sz w:val="26"/>
          <w:szCs w:val="26"/>
        </w:rPr>
      </w:pPr>
      <w:r w:rsidRPr="0013182E">
        <w:rPr>
          <w:sz w:val="26"/>
          <w:szCs w:val="26"/>
        </w:rPr>
        <w:t xml:space="preserve">Please confirm or disaffirm if </w:t>
      </w:r>
      <w:proofErr w:type="spellStart"/>
      <w:r w:rsidRPr="0013182E">
        <w:rPr>
          <w:sz w:val="26"/>
          <w:szCs w:val="26"/>
        </w:rPr>
        <w:t>Greencrown</w:t>
      </w:r>
      <w:proofErr w:type="spellEnd"/>
      <w:r w:rsidRPr="0013182E">
        <w:rPr>
          <w:sz w:val="26"/>
          <w:szCs w:val="26"/>
        </w:rPr>
        <w:t xml:space="preserve"> Energy LLC, is the same </w:t>
      </w:r>
      <w:proofErr w:type="spellStart"/>
      <w:r w:rsidRPr="0013182E">
        <w:rPr>
          <w:sz w:val="26"/>
          <w:szCs w:val="26"/>
        </w:rPr>
        <w:t>Greencrown</w:t>
      </w:r>
      <w:proofErr w:type="spellEnd"/>
      <w:r w:rsidRPr="0013182E">
        <w:rPr>
          <w:sz w:val="26"/>
          <w:szCs w:val="26"/>
        </w:rPr>
        <w:t xml:space="preserve"> Energy LLC, licensed to broker electricity on December 3, 2015 at Docket No. A</w:t>
      </w:r>
      <w:r w:rsidR="00A941B2">
        <w:rPr>
          <w:sz w:val="26"/>
          <w:szCs w:val="26"/>
        </w:rPr>
        <w:noBreakHyphen/>
      </w:r>
      <w:r w:rsidRPr="0013182E">
        <w:rPr>
          <w:sz w:val="26"/>
          <w:szCs w:val="26"/>
        </w:rPr>
        <w:t>2015</w:t>
      </w:r>
      <w:r w:rsidR="00A941B2">
        <w:rPr>
          <w:sz w:val="26"/>
          <w:szCs w:val="26"/>
        </w:rPr>
        <w:noBreakHyphen/>
      </w:r>
      <w:r w:rsidRPr="0013182E">
        <w:rPr>
          <w:sz w:val="26"/>
          <w:szCs w:val="26"/>
        </w:rPr>
        <w:t>2501450, and cancelled on August 6, 2019.</w:t>
      </w:r>
    </w:p>
    <w:p w14:paraId="69FFBE86" w14:textId="77777777" w:rsidR="00DD55CF" w:rsidRDefault="00DD55CF" w:rsidP="0013182E">
      <w:pPr>
        <w:pStyle w:val="FootnoteText"/>
        <w:ind w:left="1440" w:right="1440"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331804"/>
    <w:multiLevelType w:val="hybridMultilevel"/>
    <w:tmpl w:val="8ADCA932"/>
    <w:lvl w:ilvl="0" w:tplc="B9EC2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C782C"/>
    <w:multiLevelType w:val="hybridMultilevel"/>
    <w:tmpl w:val="CFFED7B8"/>
    <w:lvl w:ilvl="0" w:tplc="56D837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6" w15:restartNumberingAfterBreak="0">
    <w:nsid w:val="60463129"/>
    <w:multiLevelType w:val="hybridMultilevel"/>
    <w:tmpl w:val="F0FA56EA"/>
    <w:lvl w:ilvl="0" w:tplc="0B8096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B667B7C"/>
    <w:multiLevelType w:val="hybridMultilevel"/>
    <w:tmpl w:val="6F207F82"/>
    <w:lvl w:ilvl="0" w:tplc="B5CE347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1"/>
  </w:num>
  <w:num w:numId="3">
    <w:abstractNumId w:val="2"/>
  </w:num>
  <w:num w:numId="4">
    <w:abstractNumId w:val="9"/>
  </w:num>
  <w:num w:numId="5">
    <w:abstractNumId w:val="8"/>
  </w:num>
  <w:num w:numId="6">
    <w:abstractNumId w:val="0"/>
  </w:num>
  <w:num w:numId="7">
    <w:abstractNumId w:val="7"/>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03F"/>
    <w:rsid w:val="00002348"/>
    <w:rsid w:val="0000268A"/>
    <w:rsid w:val="00002CE4"/>
    <w:rsid w:val="00002F2A"/>
    <w:rsid w:val="00002F49"/>
    <w:rsid w:val="000038D3"/>
    <w:rsid w:val="00003A05"/>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C75"/>
    <w:rsid w:val="00020E43"/>
    <w:rsid w:val="00022D45"/>
    <w:rsid w:val="00023536"/>
    <w:rsid w:val="0002355F"/>
    <w:rsid w:val="000254D6"/>
    <w:rsid w:val="000310BE"/>
    <w:rsid w:val="000320BB"/>
    <w:rsid w:val="000323A8"/>
    <w:rsid w:val="00033439"/>
    <w:rsid w:val="00033C9A"/>
    <w:rsid w:val="00034CD7"/>
    <w:rsid w:val="00036927"/>
    <w:rsid w:val="000369A9"/>
    <w:rsid w:val="000433DD"/>
    <w:rsid w:val="000438A2"/>
    <w:rsid w:val="00045A7A"/>
    <w:rsid w:val="000502B3"/>
    <w:rsid w:val="000505E5"/>
    <w:rsid w:val="00051647"/>
    <w:rsid w:val="000530A9"/>
    <w:rsid w:val="00053CED"/>
    <w:rsid w:val="000540F0"/>
    <w:rsid w:val="000549A7"/>
    <w:rsid w:val="00056968"/>
    <w:rsid w:val="00057057"/>
    <w:rsid w:val="00057859"/>
    <w:rsid w:val="000606AA"/>
    <w:rsid w:val="000610F9"/>
    <w:rsid w:val="00061850"/>
    <w:rsid w:val="000629CD"/>
    <w:rsid w:val="00063028"/>
    <w:rsid w:val="00065DB6"/>
    <w:rsid w:val="00065F40"/>
    <w:rsid w:val="00067196"/>
    <w:rsid w:val="000673D1"/>
    <w:rsid w:val="00067A0D"/>
    <w:rsid w:val="00071064"/>
    <w:rsid w:val="00071A8A"/>
    <w:rsid w:val="00073870"/>
    <w:rsid w:val="00075210"/>
    <w:rsid w:val="00075F0C"/>
    <w:rsid w:val="00080CCC"/>
    <w:rsid w:val="0008328F"/>
    <w:rsid w:val="000836DB"/>
    <w:rsid w:val="00084DB9"/>
    <w:rsid w:val="00086D0B"/>
    <w:rsid w:val="00087D18"/>
    <w:rsid w:val="0009007E"/>
    <w:rsid w:val="00090AF0"/>
    <w:rsid w:val="00091989"/>
    <w:rsid w:val="0009269E"/>
    <w:rsid w:val="00092ABD"/>
    <w:rsid w:val="000940CD"/>
    <w:rsid w:val="0009466E"/>
    <w:rsid w:val="0009476C"/>
    <w:rsid w:val="00094BA4"/>
    <w:rsid w:val="00094F3D"/>
    <w:rsid w:val="00096F18"/>
    <w:rsid w:val="0009781B"/>
    <w:rsid w:val="000A0D32"/>
    <w:rsid w:val="000A1328"/>
    <w:rsid w:val="000A135D"/>
    <w:rsid w:val="000A1B73"/>
    <w:rsid w:val="000A1EF2"/>
    <w:rsid w:val="000A35F4"/>
    <w:rsid w:val="000A4770"/>
    <w:rsid w:val="000A5E26"/>
    <w:rsid w:val="000A665E"/>
    <w:rsid w:val="000A6ADC"/>
    <w:rsid w:val="000A748C"/>
    <w:rsid w:val="000A7DDC"/>
    <w:rsid w:val="000A7F96"/>
    <w:rsid w:val="000B0B95"/>
    <w:rsid w:val="000B2B80"/>
    <w:rsid w:val="000B465F"/>
    <w:rsid w:val="000B673D"/>
    <w:rsid w:val="000B729D"/>
    <w:rsid w:val="000C0702"/>
    <w:rsid w:val="000C742F"/>
    <w:rsid w:val="000C7852"/>
    <w:rsid w:val="000D03DD"/>
    <w:rsid w:val="000D2456"/>
    <w:rsid w:val="000D30C8"/>
    <w:rsid w:val="000D7483"/>
    <w:rsid w:val="000E3D4C"/>
    <w:rsid w:val="000E4BED"/>
    <w:rsid w:val="000E515B"/>
    <w:rsid w:val="000E570C"/>
    <w:rsid w:val="000E5BCD"/>
    <w:rsid w:val="000F1318"/>
    <w:rsid w:val="000F22DA"/>
    <w:rsid w:val="000F2540"/>
    <w:rsid w:val="000F35E6"/>
    <w:rsid w:val="000F3795"/>
    <w:rsid w:val="000F3896"/>
    <w:rsid w:val="000F4467"/>
    <w:rsid w:val="000F4F95"/>
    <w:rsid w:val="000F6A35"/>
    <w:rsid w:val="000F6D5A"/>
    <w:rsid w:val="000F7421"/>
    <w:rsid w:val="0010013C"/>
    <w:rsid w:val="001006F0"/>
    <w:rsid w:val="00100BA6"/>
    <w:rsid w:val="00101745"/>
    <w:rsid w:val="00102D03"/>
    <w:rsid w:val="00105084"/>
    <w:rsid w:val="00105193"/>
    <w:rsid w:val="00106537"/>
    <w:rsid w:val="00106BE0"/>
    <w:rsid w:val="00106D7F"/>
    <w:rsid w:val="0011019C"/>
    <w:rsid w:val="0011033A"/>
    <w:rsid w:val="00111A44"/>
    <w:rsid w:val="0011423D"/>
    <w:rsid w:val="00114D80"/>
    <w:rsid w:val="001170DB"/>
    <w:rsid w:val="00120FCD"/>
    <w:rsid w:val="00121111"/>
    <w:rsid w:val="00122941"/>
    <w:rsid w:val="00123375"/>
    <w:rsid w:val="00123802"/>
    <w:rsid w:val="0012456C"/>
    <w:rsid w:val="001260A0"/>
    <w:rsid w:val="0012697D"/>
    <w:rsid w:val="00126ED0"/>
    <w:rsid w:val="00131517"/>
    <w:rsid w:val="0013182E"/>
    <w:rsid w:val="00131A77"/>
    <w:rsid w:val="00131B43"/>
    <w:rsid w:val="00132C3A"/>
    <w:rsid w:val="00133684"/>
    <w:rsid w:val="00133D28"/>
    <w:rsid w:val="00134C35"/>
    <w:rsid w:val="00134D3A"/>
    <w:rsid w:val="00141281"/>
    <w:rsid w:val="00141760"/>
    <w:rsid w:val="00141DD4"/>
    <w:rsid w:val="001437B9"/>
    <w:rsid w:val="00147714"/>
    <w:rsid w:val="00150989"/>
    <w:rsid w:val="00151166"/>
    <w:rsid w:val="00152AE4"/>
    <w:rsid w:val="00153234"/>
    <w:rsid w:val="00153B73"/>
    <w:rsid w:val="00154798"/>
    <w:rsid w:val="0015662E"/>
    <w:rsid w:val="0015669F"/>
    <w:rsid w:val="00156BE1"/>
    <w:rsid w:val="0015798E"/>
    <w:rsid w:val="00157A84"/>
    <w:rsid w:val="0016005F"/>
    <w:rsid w:val="00160565"/>
    <w:rsid w:val="001606BC"/>
    <w:rsid w:val="00160B7C"/>
    <w:rsid w:val="001620E4"/>
    <w:rsid w:val="00162420"/>
    <w:rsid w:val="00163AA3"/>
    <w:rsid w:val="0016497E"/>
    <w:rsid w:val="00165945"/>
    <w:rsid w:val="00167F11"/>
    <w:rsid w:val="00170478"/>
    <w:rsid w:val="00172C4A"/>
    <w:rsid w:val="001730AD"/>
    <w:rsid w:val="001738D5"/>
    <w:rsid w:val="00175722"/>
    <w:rsid w:val="00175B2F"/>
    <w:rsid w:val="00177A43"/>
    <w:rsid w:val="00177ACE"/>
    <w:rsid w:val="001827DB"/>
    <w:rsid w:val="00185B5E"/>
    <w:rsid w:val="00186183"/>
    <w:rsid w:val="00186887"/>
    <w:rsid w:val="0019288C"/>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E44"/>
    <w:rsid w:val="001C167C"/>
    <w:rsid w:val="001C1BD4"/>
    <w:rsid w:val="001C1ED5"/>
    <w:rsid w:val="001C3135"/>
    <w:rsid w:val="001C420E"/>
    <w:rsid w:val="001C4A70"/>
    <w:rsid w:val="001C4AD6"/>
    <w:rsid w:val="001C52AC"/>
    <w:rsid w:val="001C53B1"/>
    <w:rsid w:val="001C730F"/>
    <w:rsid w:val="001C7C12"/>
    <w:rsid w:val="001D11B8"/>
    <w:rsid w:val="001D266F"/>
    <w:rsid w:val="001D2BAD"/>
    <w:rsid w:val="001D51B5"/>
    <w:rsid w:val="001D7EBD"/>
    <w:rsid w:val="001E05C6"/>
    <w:rsid w:val="001E086E"/>
    <w:rsid w:val="001E2658"/>
    <w:rsid w:val="001E2CFB"/>
    <w:rsid w:val="001E342B"/>
    <w:rsid w:val="001E497F"/>
    <w:rsid w:val="001E4C1C"/>
    <w:rsid w:val="001E51E9"/>
    <w:rsid w:val="001E5417"/>
    <w:rsid w:val="001E5511"/>
    <w:rsid w:val="001E6066"/>
    <w:rsid w:val="001E73AB"/>
    <w:rsid w:val="001E7CF3"/>
    <w:rsid w:val="001E7D86"/>
    <w:rsid w:val="001E7F03"/>
    <w:rsid w:val="001F0488"/>
    <w:rsid w:val="001F0C62"/>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B98"/>
    <w:rsid w:val="00213024"/>
    <w:rsid w:val="00213639"/>
    <w:rsid w:val="00213B95"/>
    <w:rsid w:val="00214830"/>
    <w:rsid w:val="002155C3"/>
    <w:rsid w:val="002158D0"/>
    <w:rsid w:val="0021645F"/>
    <w:rsid w:val="00217C4E"/>
    <w:rsid w:val="00217E3D"/>
    <w:rsid w:val="00220CE0"/>
    <w:rsid w:val="00221076"/>
    <w:rsid w:val="00221C10"/>
    <w:rsid w:val="002234B5"/>
    <w:rsid w:val="002235CE"/>
    <w:rsid w:val="002242F7"/>
    <w:rsid w:val="00224B35"/>
    <w:rsid w:val="00225BD2"/>
    <w:rsid w:val="0022734C"/>
    <w:rsid w:val="00230396"/>
    <w:rsid w:val="00230BAB"/>
    <w:rsid w:val="0023234B"/>
    <w:rsid w:val="00233E2F"/>
    <w:rsid w:val="0023535F"/>
    <w:rsid w:val="00237CB3"/>
    <w:rsid w:val="00241B87"/>
    <w:rsid w:val="0024205D"/>
    <w:rsid w:val="00247BB1"/>
    <w:rsid w:val="002502E5"/>
    <w:rsid w:val="00252D9D"/>
    <w:rsid w:val="00252E14"/>
    <w:rsid w:val="00253F56"/>
    <w:rsid w:val="00253FD2"/>
    <w:rsid w:val="00255A6D"/>
    <w:rsid w:val="0025691E"/>
    <w:rsid w:val="00256A4C"/>
    <w:rsid w:val="00260041"/>
    <w:rsid w:val="00260547"/>
    <w:rsid w:val="00260A97"/>
    <w:rsid w:val="0026191C"/>
    <w:rsid w:val="00263EDB"/>
    <w:rsid w:val="00264ABB"/>
    <w:rsid w:val="00264FEB"/>
    <w:rsid w:val="00266827"/>
    <w:rsid w:val="0027071C"/>
    <w:rsid w:val="00273ECD"/>
    <w:rsid w:val="00274284"/>
    <w:rsid w:val="00274861"/>
    <w:rsid w:val="00275124"/>
    <w:rsid w:val="002751AE"/>
    <w:rsid w:val="002753CE"/>
    <w:rsid w:val="00277004"/>
    <w:rsid w:val="00281D3B"/>
    <w:rsid w:val="00282D52"/>
    <w:rsid w:val="002836FA"/>
    <w:rsid w:val="002838E3"/>
    <w:rsid w:val="00285550"/>
    <w:rsid w:val="00285919"/>
    <w:rsid w:val="0028615A"/>
    <w:rsid w:val="00286F7C"/>
    <w:rsid w:val="00287BE6"/>
    <w:rsid w:val="00290436"/>
    <w:rsid w:val="0029085A"/>
    <w:rsid w:val="002931D9"/>
    <w:rsid w:val="002958B5"/>
    <w:rsid w:val="00295962"/>
    <w:rsid w:val="00296612"/>
    <w:rsid w:val="00297C2E"/>
    <w:rsid w:val="002A0DEF"/>
    <w:rsid w:val="002A1C25"/>
    <w:rsid w:val="002A1E1B"/>
    <w:rsid w:val="002A2A68"/>
    <w:rsid w:val="002A3A6E"/>
    <w:rsid w:val="002A3AC8"/>
    <w:rsid w:val="002A4519"/>
    <w:rsid w:val="002A4B76"/>
    <w:rsid w:val="002A53EA"/>
    <w:rsid w:val="002A54E2"/>
    <w:rsid w:val="002A5B9B"/>
    <w:rsid w:val="002A63DE"/>
    <w:rsid w:val="002A6C1F"/>
    <w:rsid w:val="002A6F9C"/>
    <w:rsid w:val="002A71F9"/>
    <w:rsid w:val="002A740E"/>
    <w:rsid w:val="002B3767"/>
    <w:rsid w:val="002B3979"/>
    <w:rsid w:val="002B4B0D"/>
    <w:rsid w:val="002B574E"/>
    <w:rsid w:val="002B7635"/>
    <w:rsid w:val="002C0012"/>
    <w:rsid w:val="002C011D"/>
    <w:rsid w:val="002C19D9"/>
    <w:rsid w:val="002C47F4"/>
    <w:rsid w:val="002C4BF6"/>
    <w:rsid w:val="002C5EE0"/>
    <w:rsid w:val="002C617F"/>
    <w:rsid w:val="002C6B37"/>
    <w:rsid w:val="002C6BD7"/>
    <w:rsid w:val="002C6E17"/>
    <w:rsid w:val="002D1465"/>
    <w:rsid w:val="002D1892"/>
    <w:rsid w:val="002D2D30"/>
    <w:rsid w:val="002D43F8"/>
    <w:rsid w:val="002D5A50"/>
    <w:rsid w:val="002D5C5B"/>
    <w:rsid w:val="002D6210"/>
    <w:rsid w:val="002D650D"/>
    <w:rsid w:val="002D70FB"/>
    <w:rsid w:val="002E035D"/>
    <w:rsid w:val="002E0503"/>
    <w:rsid w:val="002E1177"/>
    <w:rsid w:val="002E16FC"/>
    <w:rsid w:val="002E5790"/>
    <w:rsid w:val="002E6B07"/>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6806"/>
    <w:rsid w:val="0030758B"/>
    <w:rsid w:val="0031153E"/>
    <w:rsid w:val="0031247B"/>
    <w:rsid w:val="00312E08"/>
    <w:rsid w:val="003143DF"/>
    <w:rsid w:val="003158CE"/>
    <w:rsid w:val="003159BD"/>
    <w:rsid w:val="00316BFA"/>
    <w:rsid w:val="003177A0"/>
    <w:rsid w:val="003211A5"/>
    <w:rsid w:val="003218DD"/>
    <w:rsid w:val="00322A65"/>
    <w:rsid w:val="00324FDF"/>
    <w:rsid w:val="003255BF"/>
    <w:rsid w:val="00325638"/>
    <w:rsid w:val="00326A17"/>
    <w:rsid w:val="003336F9"/>
    <w:rsid w:val="00337DFD"/>
    <w:rsid w:val="00340C45"/>
    <w:rsid w:val="00343918"/>
    <w:rsid w:val="00343BD1"/>
    <w:rsid w:val="00345135"/>
    <w:rsid w:val="00347B63"/>
    <w:rsid w:val="00350145"/>
    <w:rsid w:val="00351C07"/>
    <w:rsid w:val="00353BD2"/>
    <w:rsid w:val="00353E07"/>
    <w:rsid w:val="003550FF"/>
    <w:rsid w:val="003551C4"/>
    <w:rsid w:val="0035573C"/>
    <w:rsid w:val="0036013A"/>
    <w:rsid w:val="00360D84"/>
    <w:rsid w:val="00361796"/>
    <w:rsid w:val="003625EF"/>
    <w:rsid w:val="0036428E"/>
    <w:rsid w:val="00364C2A"/>
    <w:rsid w:val="00364F96"/>
    <w:rsid w:val="00365293"/>
    <w:rsid w:val="00366601"/>
    <w:rsid w:val="003669C8"/>
    <w:rsid w:val="00366C7B"/>
    <w:rsid w:val="00367BA7"/>
    <w:rsid w:val="00367C68"/>
    <w:rsid w:val="003704B1"/>
    <w:rsid w:val="003708CD"/>
    <w:rsid w:val="0037178B"/>
    <w:rsid w:val="00373F74"/>
    <w:rsid w:val="003742CF"/>
    <w:rsid w:val="00374344"/>
    <w:rsid w:val="00375080"/>
    <w:rsid w:val="0037692B"/>
    <w:rsid w:val="00380505"/>
    <w:rsid w:val="003806A7"/>
    <w:rsid w:val="00380889"/>
    <w:rsid w:val="0038121C"/>
    <w:rsid w:val="003813B6"/>
    <w:rsid w:val="00381C7A"/>
    <w:rsid w:val="00382A4B"/>
    <w:rsid w:val="00383539"/>
    <w:rsid w:val="00384D26"/>
    <w:rsid w:val="00385595"/>
    <w:rsid w:val="00390901"/>
    <w:rsid w:val="00390FB3"/>
    <w:rsid w:val="0039323C"/>
    <w:rsid w:val="00394901"/>
    <w:rsid w:val="00396E0C"/>
    <w:rsid w:val="00397277"/>
    <w:rsid w:val="00397A8B"/>
    <w:rsid w:val="00397DE1"/>
    <w:rsid w:val="003A0289"/>
    <w:rsid w:val="003A05A4"/>
    <w:rsid w:val="003A1A53"/>
    <w:rsid w:val="003A1BF7"/>
    <w:rsid w:val="003A3888"/>
    <w:rsid w:val="003A4F76"/>
    <w:rsid w:val="003A50AE"/>
    <w:rsid w:val="003A5385"/>
    <w:rsid w:val="003A5892"/>
    <w:rsid w:val="003A79A7"/>
    <w:rsid w:val="003B1460"/>
    <w:rsid w:val="003B3893"/>
    <w:rsid w:val="003B3CEA"/>
    <w:rsid w:val="003B4BE3"/>
    <w:rsid w:val="003B55BA"/>
    <w:rsid w:val="003B561F"/>
    <w:rsid w:val="003B6A0D"/>
    <w:rsid w:val="003B6F63"/>
    <w:rsid w:val="003C042A"/>
    <w:rsid w:val="003C0DCF"/>
    <w:rsid w:val="003C0F72"/>
    <w:rsid w:val="003C135E"/>
    <w:rsid w:val="003C1A4B"/>
    <w:rsid w:val="003C4355"/>
    <w:rsid w:val="003C5CBD"/>
    <w:rsid w:val="003C61AD"/>
    <w:rsid w:val="003D1299"/>
    <w:rsid w:val="003D234C"/>
    <w:rsid w:val="003D2818"/>
    <w:rsid w:val="003D4436"/>
    <w:rsid w:val="003D4638"/>
    <w:rsid w:val="003D509A"/>
    <w:rsid w:val="003D5BAC"/>
    <w:rsid w:val="003D7A8D"/>
    <w:rsid w:val="003E0DA9"/>
    <w:rsid w:val="003E22CB"/>
    <w:rsid w:val="003E3836"/>
    <w:rsid w:val="003E38DD"/>
    <w:rsid w:val="003E6484"/>
    <w:rsid w:val="003E6544"/>
    <w:rsid w:val="003E771C"/>
    <w:rsid w:val="003E784C"/>
    <w:rsid w:val="003F07AF"/>
    <w:rsid w:val="003F08B3"/>
    <w:rsid w:val="003F0FE6"/>
    <w:rsid w:val="003F27D1"/>
    <w:rsid w:val="003F287E"/>
    <w:rsid w:val="003F7000"/>
    <w:rsid w:val="00400A85"/>
    <w:rsid w:val="004023F4"/>
    <w:rsid w:val="00402479"/>
    <w:rsid w:val="004024DE"/>
    <w:rsid w:val="00403783"/>
    <w:rsid w:val="00404D47"/>
    <w:rsid w:val="00406562"/>
    <w:rsid w:val="0041052A"/>
    <w:rsid w:val="004113DE"/>
    <w:rsid w:val="00411CC6"/>
    <w:rsid w:val="00412DCF"/>
    <w:rsid w:val="004144EE"/>
    <w:rsid w:val="004146BE"/>
    <w:rsid w:val="00414855"/>
    <w:rsid w:val="00414C59"/>
    <w:rsid w:val="00415460"/>
    <w:rsid w:val="00415483"/>
    <w:rsid w:val="004170E4"/>
    <w:rsid w:val="00417166"/>
    <w:rsid w:val="0042020C"/>
    <w:rsid w:val="00420B2F"/>
    <w:rsid w:val="004214D7"/>
    <w:rsid w:val="004217F6"/>
    <w:rsid w:val="0042446A"/>
    <w:rsid w:val="00425990"/>
    <w:rsid w:val="00426B65"/>
    <w:rsid w:val="004275F4"/>
    <w:rsid w:val="00433069"/>
    <w:rsid w:val="004337A1"/>
    <w:rsid w:val="00433DCE"/>
    <w:rsid w:val="00437F57"/>
    <w:rsid w:val="00442A6D"/>
    <w:rsid w:val="00442CCD"/>
    <w:rsid w:val="00446BF2"/>
    <w:rsid w:val="0044738E"/>
    <w:rsid w:val="00450B3B"/>
    <w:rsid w:val="0045283E"/>
    <w:rsid w:val="0045374A"/>
    <w:rsid w:val="00454273"/>
    <w:rsid w:val="00455DFC"/>
    <w:rsid w:val="00456DED"/>
    <w:rsid w:val="00457051"/>
    <w:rsid w:val="0045711B"/>
    <w:rsid w:val="0045730E"/>
    <w:rsid w:val="004600FF"/>
    <w:rsid w:val="00461166"/>
    <w:rsid w:val="004635D2"/>
    <w:rsid w:val="00464917"/>
    <w:rsid w:val="00464C0F"/>
    <w:rsid w:val="00465BFC"/>
    <w:rsid w:val="00467C2D"/>
    <w:rsid w:val="00470B07"/>
    <w:rsid w:val="00471CE8"/>
    <w:rsid w:val="00472342"/>
    <w:rsid w:val="004724DE"/>
    <w:rsid w:val="0047373F"/>
    <w:rsid w:val="00473C07"/>
    <w:rsid w:val="00473CA5"/>
    <w:rsid w:val="00475D26"/>
    <w:rsid w:val="00476668"/>
    <w:rsid w:val="00476A2C"/>
    <w:rsid w:val="00477723"/>
    <w:rsid w:val="00477A9D"/>
    <w:rsid w:val="00482FDC"/>
    <w:rsid w:val="00483C56"/>
    <w:rsid w:val="004840C2"/>
    <w:rsid w:val="004847CC"/>
    <w:rsid w:val="00486FC3"/>
    <w:rsid w:val="004870D9"/>
    <w:rsid w:val="0048747D"/>
    <w:rsid w:val="004920D8"/>
    <w:rsid w:val="004928E3"/>
    <w:rsid w:val="0049291D"/>
    <w:rsid w:val="004938FA"/>
    <w:rsid w:val="00493EA2"/>
    <w:rsid w:val="004949D0"/>
    <w:rsid w:val="00495EA0"/>
    <w:rsid w:val="00496DAA"/>
    <w:rsid w:val="0049745E"/>
    <w:rsid w:val="0049771B"/>
    <w:rsid w:val="004A34D5"/>
    <w:rsid w:val="004A43F1"/>
    <w:rsid w:val="004A45DC"/>
    <w:rsid w:val="004A4839"/>
    <w:rsid w:val="004A4897"/>
    <w:rsid w:val="004A4D14"/>
    <w:rsid w:val="004A6496"/>
    <w:rsid w:val="004A6520"/>
    <w:rsid w:val="004A7831"/>
    <w:rsid w:val="004A7E33"/>
    <w:rsid w:val="004B2FCC"/>
    <w:rsid w:val="004B3A7B"/>
    <w:rsid w:val="004B3BCD"/>
    <w:rsid w:val="004B430B"/>
    <w:rsid w:val="004B5268"/>
    <w:rsid w:val="004B5F0B"/>
    <w:rsid w:val="004C1F63"/>
    <w:rsid w:val="004C39DE"/>
    <w:rsid w:val="004C40E8"/>
    <w:rsid w:val="004C4277"/>
    <w:rsid w:val="004C4F45"/>
    <w:rsid w:val="004C6AD8"/>
    <w:rsid w:val="004C749A"/>
    <w:rsid w:val="004D08F5"/>
    <w:rsid w:val="004D35E2"/>
    <w:rsid w:val="004D3C7D"/>
    <w:rsid w:val="004D438D"/>
    <w:rsid w:val="004D5A16"/>
    <w:rsid w:val="004D5E02"/>
    <w:rsid w:val="004D5EB9"/>
    <w:rsid w:val="004D652F"/>
    <w:rsid w:val="004D667C"/>
    <w:rsid w:val="004D78EC"/>
    <w:rsid w:val="004E1BF0"/>
    <w:rsid w:val="004E43A2"/>
    <w:rsid w:val="004E5323"/>
    <w:rsid w:val="004E58C3"/>
    <w:rsid w:val="004F1BE1"/>
    <w:rsid w:val="004F21B6"/>
    <w:rsid w:val="004F2383"/>
    <w:rsid w:val="004F4737"/>
    <w:rsid w:val="004F5854"/>
    <w:rsid w:val="004F59CD"/>
    <w:rsid w:val="004F7A65"/>
    <w:rsid w:val="00500B53"/>
    <w:rsid w:val="00501313"/>
    <w:rsid w:val="00502970"/>
    <w:rsid w:val="00505654"/>
    <w:rsid w:val="00505BA0"/>
    <w:rsid w:val="00505E50"/>
    <w:rsid w:val="00510154"/>
    <w:rsid w:val="005121D5"/>
    <w:rsid w:val="005125C4"/>
    <w:rsid w:val="005129AA"/>
    <w:rsid w:val="00513C64"/>
    <w:rsid w:val="005145BA"/>
    <w:rsid w:val="00515F69"/>
    <w:rsid w:val="0051628D"/>
    <w:rsid w:val="005175D0"/>
    <w:rsid w:val="00517E17"/>
    <w:rsid w:val="005201D8"/>
    <w:rsid w:val="00520BBC"/>
    <w:rsid w:val="0052172B"/>
    <w:rsid w:val="005229E8"/>
    <w:rsid w:val="00523347"/>
    <w:rsid w:val="005233D3"/>
    <w:rsid w:val="00524EF6"/>
    <w:rsid w:val="005265A2"/>
    <w:rsid w:val="00530F5B"/>
    <w:rsid w:val="005321F4"/>
    <w:rsid w:val="005332F5"/>
    <w:rsid w:val="005341FB"/>
    <w:rsid w:val="005345F8"/>
    <w:rsid w:val="00534A1D"/>
    <w:rsid w:val="00536217"/>
    <w:rsid w:val="00536591"/>
    <w:rsid w:val="005406D3"/>
    <w:rsid w:val="0054093D"/>
    <w:rsid w:val="005417B5"/>
    <w:rsid w:val="005429B4"/>
    <w:rsid w:val="00542BE8"/>
    <w:rsid w:val="00543E4D"/>
    <w:rsid w:val="00544F99"/>
    <w:rsid w:val="005455AB"/>
    <w:rsid w:val="00545FB5"/>
    <w:rsid w:val="0055184D"/>
    <w:rsid w:val="0055218E"/>
    <w:rsid w:val="00552997"/>
    <w:rsid w:val="00553497"/>
    <w:rsid w:val="0055414F"/>
    <w:rsid w:val="00555069"/>
    <w:rsid w:val="005579ED"/>
    <w:rsid w:val="005579F7"/>
    <w:rsid w:val="00560002"/>
    <w:rsid w:val="005605A1"/>
    <w:rsid w:val="00560E96"/>
    <w:rsid w:val="0056119D"/>
    <w:rsid w:val="005621B2"/>
    <w:rsid w:val="0056260E"/>
    <w:rsid w:val="005626BA"/>
    <w:rsid w:val="00562D52"/>
    <w:rsid w:val="00562E63"/>
    <w:rsid w:val="00564E19"/>
    <w:rsid w:val="00567D40"/>
    <w:rsid w:val="005703A8"/>
    <w:rsid w:val="00574ED6"/>
    <w:rsid w:val="00575107"/>
    <w:rsid w:val="0057514C"/>
    <w:rsid w:val="0057789B"/>
    <w:rsid w:val="00577B05"/>
    <w:rsid w:val="005823D7"/>
    <w:rsid w:val="00582CB3"/>
    <w:rsid w:val="0058331B"/>
    <w:rsid w:val="00583807"/>
    <w:rsid w:val="00584BB2"/>
    <w:rsid w:val="0058529B"/>
    <w:rsid w:val="00592CAB"/>
    <w:rsid w:val="0059565E"/>
    <w:rsid w:val="0059626E"/>
    <w:rsid w:val="005A08BE"/>
    <w:rsid w:val="005A0CF6"/>
    <w:rsid w:val="005A2D70"/>
    <w:rsid w:val="005A4358"/>
    <w:rsid w:val="005A4418"/>
    <w:rsid w:val="005A4D2D"/>
    <w:rsid w:val="005A6378"/>
    <w:rsid w:val="005A6DEC"/>
    <w:rsid w:val="005B01F2"/>
    <w:rsid w:val="005B1396"/>
    <w:rsid w:val="005B1F31"/>
    <w:rsid w:val="005B3B88"/>
    <w:rsid w:val="005B4DDD"/>
    <w:rsid w:val="005B5F54"/>
    <w:rsid w:val="005B75E0"/>
    <w:rsid w:val="005C1FAF"/>
    <w:rsid w:val="005C27AF"/>
    <w:rsid w:val="005C2FC8"/>
    <w:rsid w:val="005C4A52"/>
    <w:rsid w:val="005C78FA"/>
    <w:rsid w:val="005C7928"/>
    <w:rsid w:val="005D14A8"/>
    <w:rsid w:val="005D14FC"/>
    <w:rsid w:val="005D18D2"/>
    <w:rsid w:val="005D2B55"/>
    <w:rsid w:val="005D2D5F"/>
    <w:rsid w:val="005D353A"/>
    <w:rsid w:val="005D3582"/>
    <w:rsid w:val="005D482A"/>
    <w:rsid w:val="005D60FF"/>
    <w:rsid w:val="005D73C6"/>
    <w:rsid w:val="005E0114"/>
    <w:rsid w:val="005E0DB4"/>
    <w:rsid w:val="005E2082"/>
    <w:rsid w:val="005E2C33"/>
    <w:rsid w:val="005E6F70"/>
    <w:rsid w:val="005F3729"/>
    <w:rsid w:val="005F37D2"/>
    <w:rsid w:val="005F4E1B"/>
    <w:rsid w:val="005F5031"/>
    <w:rsid w:val="005F5398"/>
    <w:rsid w:val="005F6FFE"/>
    <w:rsid w:val="005F7401"/>
    <w:rsid w:val="005F777A"/>
    <w:rsid w:val="005F7A1F"/>
    <w:rsid w:val="00600E98"/>
    <w:rsid w:val="00600F6F"/>
    <w:rsid w:val="0060108D"/>
    <w:rsid w:val="00601D83"/>
    <w:rsid w:val="0060382E"/>
    <w:rsid w:val="00604966"/>
    <w:rsid w:val="006049C5"/>
    <w:rsid w:val="006054D5"/>
    <w:rsid w:val="00605D8F"/>
    <w:rsid w:val="00605DED"/>
    <w:rsid w:val="00607554"/>
    <w:rsid w:val="00610A49"/>
    <w:rsid w:val="006114D8"/>
    <w:rsid w:val="00613C23"/>
    <w:rsid w:val="0061418D"/>
    <w:rsid w:val="00614DC2"/>
    <w:rsid w:val="006158BA"/>
    <w:rsid w:val="00615DBD"/>
    <w:rsid w:val="006161D8"/>
    <w:rsid w:val="00616C5C"/>
    <w:rsid w:val="00616EA7"/>
    <w:rsid w:val="00617175"/>
    <w:rsid w:val="0061739E"/>
    <w:rsid w:val="006209DD"/>
    <w:rsid w:val="0062143F"/>
    <w:rsid w:val="00625036"/>
    <w:rsid w:val="00625C7F"/>
    <w:rsid w:val="006301EB"/>
    <w:rsid w:val="0063290C"/>
    <w:rsid w:val="00634133"/>
    <w:rsid w:val="0063425C"/>
    <w:rsid w:val="00634CD6"/>
    <w:rsid w:val="00634FD4"/>
    <w:rsid w:val="00635D6D"/>
    <w:rsid w:val="00636142"/>
    <w:rsid w:val="00636AAC"/>
    <w:rsid w:val="00637B98"/>
    <w:rsid w:val="006403CA"/>
    <w:rsid w:val="006406FF"/>
    <w:rsid w:val="00640D08"/>
    <w:rsid w:val="00641F38"/>
    <w:rsid w:val="00642A8F"/>
    <w:rsid w:val="00643BA9"/>
    <w:rsid w:val="006464FE"/>
    <w:rsid w:val="00646EA4"/>
    <w:rsid w:val="0064745B"/>
    <w:rsid w:val="0065242B"/>
    <w:rsid w:val="00652638"/>
    <w:rsid w:val="006526C1"/>
    <w:rsid w:val="0065707C"/>
    <w:rsid w:val="00657623"/>
    <w:rsid w:val="00657E57"/>
    <w:rsid w:val="00660C81"/>
    <w:rsid w:val="00660EDC"/>
    <w:rsid w:val="006617A4"/>
    <w:rsid w:val="006643E9"/>
    <w:rsid w:val="00664FE3"/>
    <w:rsid w:val="00667DA0"/>
    <w:rsid w:val="0067116A"/>
    <w:rsid w:val="00675032"/>
    <w:rsid w:val="006757DB"/>
    <w:rsid w:val="00676B83"/>
    <w:rsid w:val="00677531"/>
    <w:rsid w:val="00677CE2"/>
    <w:rsid w:val="00677F26"/>
    <w:rsid w:val="006807E0"/>
    <w:rsid w:val="006811E0"/>
    <w:rsid w:val="006812F2"/>
    <w:rsid w:val="006815AB"/>
    <w:rsid w:val="00681F8C"/>
    <w:rsid w:val="006827FF"/>
    <w:rsid w:val="00682EFB"/>
    <w:rsid w:val="0068309C"/>
    <w:rsid w:val="0068393B"/>
    <w:rsid w:val="00685BC7"/>
    <w:rsid w:val="00685C47"/>
    <w:rsid w:val="00686D73"/>
    <w:rsid w:val="00686F6C"/>
    <w:rsid w:val="006873CB"/>
    <w:rsid w:val="006878D9"/>
    <w:rsid w:val="0069121A"/>
    <w:rsid w:val="00693AF4"/>
    <w:rsid w:val="00693B4A"/>
    <w:rsid w:val="00694612"/>
    <w:rsid w:val="00694DFF"/>
    <w:rsid w:val="00695B0D"/>
    <w:rsid w:val="00697B03"/>
    <w:rsid w:val="006A0106"/>
    <w:rsid w:val="006A0550"/>
    <w:rsid w:val="006A0B82"/>
    <w:rsid w:val="006A15A1"/>
    <w:rsid w:val="006A29BE"/>
    <w:rsid w:val="006A41E2"/>
    <w:rsid w:val="006A5C7D"/>
    <w:rsid w:val="006A5D48"/>
    <w:rsid w:val="006A780B"/>
    <w:rsid w:val="006A78FD"/>
    <w:rsid w:val="006B1632"/>
    <w:rsid w:val="006B2236"/>
    <w:rsid w:val="006B2529"/>
    <w:rsid w:val="006B2CA4"/>
    <w:rsid w:val="006B2D7F"/>
    <w:rsid w:val="006B54BB"/>
    <w:rsid w:val="006B6994"/>
    <w:rsid w:val="006B6F21"/>
    <w:rsid w:val="006B7130"/>
    <w:rsid w:val="006C0C94"/>
    <w:rsid w:val="006C2A53"/>
    <w:rsid w:val="006C411F"/>
    <w:rsid w:val="006C48BC"/>
    <w:rsid w:val="006C4B3A"/>
    <w:rsid w:val="006C5BFF"/>
    <w:rsid w:val="006C5DAF"/>
    <w:rsid w:val="006C7EB6"/>
    <w:rsid w:val="006D06A5"/>
    <w:rsid w:val="006D16EE"/>
    <w:rsid w:val="006D1987"/>
    <w:rsid w:val="006D1F59"/>
    <w:rsid w:val="006D3169"/>
    <w:rsid w:val="006D3F69"/>
    <w:rsid w:val="006D44CC"/>
    <w:rsid w:val="006D629D"/>
    <w:rsid w:val="006E05E8"/>
    <w:rsid w:val="006E0927"/>
    <w:rsid w:val="006E26F2"/>
    <w:rsid w:val="006E37C1"/>
    <w:rsid w:val="006E40D4"/>
    <w:rsid w:val="006E4730"/>
    <w:rsid w:val="006E7ADB"/>
    <w:rsid w:val="006E7EAD"/>
    <w:rsid w:val="006F0316"/>
    <w:rsid w:val="006F0FCB"/>
    <w:rsid w:val="006F1FC8"/>
    <w:rsid w:val="006F35C0"/>
    <w:rsid w:val="006F381F"/>
    <w:rsid w:val="006F3A31"/>
    <w:rsid w:val="006F3BFD"/>
    <w:rsid w:val="006F4482"/>
    <w:rsid w:val="006F57F7"/>
    <w:rsid w:val="006F611E"/>
    <w:rsid w:val="006F6A4B"/>
    <w:rsid w:val="006F7821"/>
    <w:rsid w:val="006F7A09"/>
    <w:rsid w:val="0070000C"/>
    <w:rsid w:val="00700BD2"/>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42EF"/>
    <w:rsid w:val="007255B3"/>
    <w:rsid w:val="00725DC7"/>
    <w:rsid w:val="00727214"/>
    <w:rsid w:val="007272EB"/>
    <w:rsid w:val="0073214E"/>
    <w:rsid w:val="00733B06"/>
    <w:rsid w:val="00734D57"/>
    <w:rsid w:val="0073522D"/>
    <w:rsid w:val="00737F05"/>
    <w:rsid w:val="007417DE"/>
    <w:rsid w:val="0074182D"/>
    <w:rsid w:val="007432C2"/>
    <w:rsid w:val="007446FC"/>
    <w:rsid w:val="00745184"/>
    <w:rsid w:val="007455DF"/>
    <w:rsid w:val="00745908"/>
    <w:rsid w:val="00747066"/>
    <w:rsid w:val="007477F4"/>
    <w:rsid w:val="00752F02"/>
    <w:rsid w:val="007538C7"/>
    <w:rsid w:val="0075784D"/>
    <w:rsid w:val="00757B89"/>
    <w:rsid w:val="00757C4B"/>
    <w:rsid w:val="00760C68"/>
    <w:rsid w:val="007631E0"/>
    <w:rsid w:val="007655F8"/>
    <w:rsid w:val="00765FB5"/>
    <w:rsid w:val="0076670A"/>
    <w:rsid w:val="00766820"/>
    <w:rsid w:val="00767352"/>
    <w:rsid w:val="00767745"/>
    <w:rsid w:val="00770268"/>
    <w:rsid w:val="007721FA"/>
    <w:rsid w:val="00772F48"/>
    <w:rsid w:val="007736BA"/>
    <w:rsid w:val="00774394"/>
    <w:rsid w:val="0077505E"/>
    <w:rsid w:val="00775F8A"/>
    <w:rsid w:val="00776AD2"/>
    <w:rsid w:val="007800E4"/>
    <w:rsid w:val="00780972"/>
    <w:rsid w:val="00780A9E"/>
    <w:rsid w:val="00780AA2"/>
    <w:rsid w:val="00781A9D"/>
    <w:rsid w:val="00781E30"/>
    <w:rsid w:val="00783778"/>
    <w:rsid w:val="007840BB"/>
    <w:rsid w:val="00785E2E"/>
    <w:rsid w:val="00790164"/>
    <w:rsid w:val="007908C5"/>
    <w:rsid w:val="00791772"/>
    <w:rsid w:val="00794A1F"/>
    <w:rsid w:val="00795F22"/>
    <w:rsid w:val="007A08A5"/>
    <w:rsid w:val="007A1051"/>
    <w:rsid w:val="007A20AD"/>
    <w:rsid w:val="007A488E"/>
    <w:rsid w:val="007A5539"/>
    <w:rsid w:val="007A61EC"/>
    <w:rsid w:val="007A6548"/>
    <w:rsid w:val="007A6E7E"/>
    <w:rsid w:val="007A7415"/>
    <w:rsid w:val="007A7CE5"/>
    <w:rsid w:val="007B00E1"/>
    <w:rsid w:val="007B1211"/>
    <w:rsid w:val="007B187C"/>
    <w:rsid w:val="007B1ECA"/>
    <w:rsid w:val="007B220F"/>
    <w:rsid w:val="007B3B0E"/>
    <w:rsid w:val="007B3DF4"/>
    <w:rsid w:val="007B6B1E"/>
    <w:rsid w:val="007B7CC9"/>
    <w:rsid w:val="007C1DFC"/>
    <w:rsid w:val="007C2AD4"/>
    <w:rsid w:val="007C2DD4"/>
    <w:rsid w:val="007C3B06"/>
    <w:rsid w:val="007C3E46"/>
    <w:rsid w:val="007C4F78"/>
    <w:rsid w:val="007C5024"/>
    <w:rsid w:val="007C5CBD"/>
    <w:rsid w:val="007C73B8"/>
    <w:rsid w:val="007D3420"/>
    <w:rsid w:val="007D3687"/>
    <w:rsid w:val="007D4EA3"/>
    <w:rsid w:val="007D5362"/>
    <w:rsid w:val="007E000F"/>
    <w:rsid w:val="007E1135"/>
    <w:rsid w:val="007E1D38"/>
    <w:rsid w:val="007E29CF"/>
    <w:rsid w:val="007E35D8"/>
    <w:rsid w:val="007E496A"/>
    <w:rsid w:val="007E6661"/>
    <w:rsid w:val="007E6721"/>
    <w:rsid w:val="007F2E32"/>
    <w:rsid w:val="007F3880"/>
    <w:rsid w:val="007F3B8C"/>
    <w:rsid w:val="007F421B"/>
    <w:rsid w:val="007F613D"/>
    <w:rsid w:val="007F628F"/>
    <w:rsid w:val="00802519"/>
    <w:rsid w:val="00804D26"/>
    <w:rsid w:val="00807623"/>
    <w:rsid w:val="00807B53"/>
    <w:rsid w:val="00810BD7"/>
    <w:rsid w:val="00810D34"/>
    <w:rsid w:val="00811503"/>
    <w:rsid w:val="00812EEE"/>
    <w:rsid w:val="00812F41"/>
    <w:rsid w:val="00814E45"/>
    <w:rsid w:val="0081620E"/>
    <w:rsid w:val="0081658F"/>
    <w:rsid w:val="0081739B"/>
    <w:rsid w:val="008179CF"/>
    <w:rsid w:val="00817F37"/>
    <w:rsid w:val="00820CE5"/>
    <w:rsid w:val="00820E00"/>
    <w:rsid w:val="008213F1"/>
    <w:rsid w:val="00825D43"/>
    <w:rsid w:val="00830148"/>
    <w:rsid w:val="008316AD"/>
    <w:rsid w:val="00833286"/>
    <w:rsid w:val="0083378E"/>
    <w:rsid w:val="00833C7E"/>
    <w:rsid w:val="00834FD5"/>
    <w:rsid w:val="008363A2"/>
    <w:rsid w:val="00836F1C"/>
    <w:rsid w:val="00837125"/>
    <w:rsid w:val="00841DAA"/>
    <w:rsid w:val="00842834"/>
    <w:rsid w:val="008445D4"/>
    <w:rsid w:val="008446F1"/>
    <w:rsid w:val="00846FF0"/>
    <w:rsid w:val="00847435"/>
    <w:rsid w:val="00850B37"/>
    <w:rsid w:val="0085298A"/>
    <w:rsid w:val="00855413"/>
    <w:rsid w:val="00855458"/>
    <w:rsid w:val="00855C60"/>
    <w:rsid w:val="00856FE2"/>
    <w:rsid w:val="0085728C"/>
    <w:rsid w:val="0086134D"/>
    <w:rsid w:val="00861FD7"/>
    <w:rsid w:val="00865057"/>
    <w:rsid w:val="00865472"/>
    <w:rsid w:val="008667ED"/>
    <w:rsid w:val="0087080C"/>
    <w:rsid w:val="00870E37"/>
    <w:rsid w:val="00874671"/>
    <w:rsid w:val="0087635E"/>
    <w:rsid w:val="00876921"/>
    <w:rsid w:val="00876B68"/>
    <w:rsid w:val="0088013C"/>
    <w:rsid w:val="008821C7"/>
    <w:rsid w:val="0088286F"/>
    <w:rsid w:val="00882A7A"/>
    <w:rsid w:val="00883EAF"/>
    <w:rsid w:val="00884452"/>
    <w:rsid w:val="00884F8C"/>
    <w:rsid w:val="008851B9"/>
    <w:rsid w:val="008905D7"/>
    <w:rsid w:val="00890679"/>
    <w:rsid w:val="008926C3"/>
    <w:rsid w:val="00893951"/>
    <w:rsid w:val="00893FC1"/>
    <w:rsid w:val="008955C5"/>
    <w:rsid w:val="008959F4"/>
    <w:rsid w:val="00895B87"/>
    <w:rsid w:val="00896511"/>
    <w:rsid w:val="00897763"/>
    <w:rsid w:val="00897A5A"/>
    <w:rsid w:val="008A08D2"/>
    <w:rsid w:val="008A26A7"/>
    <w:rsid w:val="008A2E7B"/>
    <w:rsid w:val="008A35E6"/>
    <w:rsid w:val="008A3A4A"/>
    <w:rsid w:val="008A4278"/>
    <w:rsid w:val="008A4B8E"/>
    <w:rsid w:val="008A5C8E"/>
    <w:rsid w:val="008B1C95"/>
    <w:rsid w:val="008B30B7"/>
    <w:rsid w:val="008B44B5"/>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AE2"/>
    <w:rsid w:val="008D0C62"/>
    <w:rsid w:val="008D2528"/>
    <w:rsid w:val="008D2CD6"/>
    <w:rsid w:val="008D39B0"/>
    <w:rsid w:val="008D462B"/>
    <w:rsid w:val="008D4939"/>
    <w:rsid w:val="008D4F0B"/>
    <w:rsid w:val="008E0465"/>
    <w:rsid w:val="008E1195"/>
    <w:rsid w:val="008E2E38"/>
    <w:rsid w:val="008E3142"/>
    <w:rsid w:val="008E3AEA"/>
    <w:rsid w:val="008E3D60"/>
    <w:rsid w:val="008E6B68"/>
    <w:rsid w:val="008E6D82"/>
    <w:rsid w:val="008E7390"/>
    <w:rsid w:val="008E762D"/>
    <w:rsid w:val="008F000D"/>
    <w:rsid w:val="008F1F00"/>
    <w:rsid w:val="008F32A1"/>
    <w:rsid w:val="008F6E84"/>
    <w:rsid w:val="008F7354"/>
    <w:rsid w:val="008F7EBB"/>
    <w:rsid w:val="0090056C"/>
    <w:rsid w:val="0090057B"/>
    <w:rsid w:val="00900939"/>
    <w:rsid w:val="00900DF0"/>
    <w:rsid w:val="00903621"/>
    <w:rsid w:val="00905898"/>
    <w:rsid w:val="00907EE2"/>
    <w:rsid w:val="009113AE"/>
    <w:rsid w:val="00911F60"/>
    <w:rsid w:val="00914284"/>
    <w:rsid w:val="00914550"/>
    <w:rsid w:val="00914E36"/>
    <w:rsid w:val="00915300"/>
    <w:rsid w:val="009173B9"/>
    <w:rsid w:val="009179A7"/>
    <w:rsid w:val="00917AE1"/>
    <w:rsid w:val="009202B1"/>
    <w:rsid w:val="0092042A"/>
    <w:rsid w:val="009216CA"/>
    <w:rsid w:val="00921A3B"/>
    <w:rsid w:val="00921FAF"/>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2AE0"/>
    <w:rsid w:val="00943D44"/>
    <w:rsid w:val="00945631"/>
    <w:rsid w:val="00945D12"/>
    <w:rsid w:val="00947F9D"/>
    <w:rsid w:val="00950381"/>
    <w:rsid w:val="00953C4E"/>
    <w:rsid w:val="009543A2"/>
    <w:rsid w:val="00954591"/>
    <w:rsid w:val="00962287"/>
    <w:rsid w:val="00962690"/>
    <w:rsid w:val="00964AAF"/>
    <w:rsid w:val="00971077"/>
    <w:rsid w:val="00971B25"/>
    <w:rsid w:val="00973FD3"/>
    <w:rsid w:val="00973FE6"/>
    <w:rsid w:val="009740C4"/>
    <w:rsid w:val="00976F69"/>
    <w:rsid w:val="00981F79"/>
    <w:rsid w:val="009825C9"/>
    <w:rsid w:val="009850EF"/>
    <w:rsid w:val="00985278"/>
    <w:rsid w:val="009858F1"/>
    <w:rsid w:val="009868FC"/>
    <w:rsid w:val="00990A70"/>
    <w:rsid w:val="00991558"/>
    <w:rsid w:val="00991A16"/>
    <w:rsid w:val="00991C10"/>
    <w:rsid w:val="00991D93"/>
    <w:rsid w:val="00992433"/>
    <w:rsid w:val="00992BE2"/>
    <w:rsid w:val="009941C2"/>
    <w:rsid w:val="0099562E"/>
    <w:rsid w:val="00996DDC"/>
    <w:rsid w:val="009A1414"/>
    <w:rsid w:val="009A251A"/>
    <w:rsid w:val="009A2DEF"/>
    <w:rsid w:val="009A2E41"/>
    <w:rsid w:val="009A52C1"/>
    <w:rsid w:val="009A5EA7"/>
    <w:rsid w:val="009B455D"/>
    <w:rsid w:val="009B4E8F"/>
    <w:rsid w:val="009B5C87"/>
    <w:rsid w:val="009B7769"/>
    <w:rsid w:val="009C0EDD"/>
    <w:rsid w:val="009C2436"/>
    <w:rsid w:val="009C427D"/>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07F6"/>
    <w:rsid w:val="009E121C"/>
    <w:rsid w:val="009E1B98"/>
    <w:rsid w:val="009E23CD"/>
    <w:rsid w:val="009E39DC"/>
    <w:rsid w:val="009E3E51"/>
    <w:rsid w:val="009E3F68"/>
    <w:rsid w:val="009E3FAC"/>
    <w:rsid w:val="009E5351"/>
    <w:rsid w:val="009E5378"/>
    <w:rsid w:val="009E56B4"/>
    <w:rsid w:val="009E6CAD"/>
    <w:rsid w:val="009E6D68"/>
    <w:rsid w:val="009F029A"/>
    <w:rsid w:val="009F0DA4"/>
    <w:rsid w:val="009F28C9"/>
    <w:rsid w:val="009F397E"/>
    <w:rsid w:val="009F43C3"/>
    <w:rsid w:val="009F4D28"/>
    <w:rsid w:val="009F6110"/>
    <w:rsid w:val="009F615E"/>
    <w:rsid w:val="009F6933"/>
    <w:rsid w:val="009F7D43"/>
    <w:rsid w:val="00A012D0"/>
    <w:rsid w:val="00A03CDF"/>
    <w:rsid w:val="00A043FE"/>
    <w:rsid w:val="00A05803"/>
    <w:rsid w:val="00A05916"/>
    <w:rsid w:val="00A06285"/>
    <w:rsid w:val="00A06E1B"/>
    <w:rsid w:val="00A070DB"/>
    <w:rsid w:val="00A0794D"/>
    <w:rsid w:val="00A16480"/>
    <w:rsid w:val="00A16741"/>
    <w:rsid w:val="00A2114F"/>
    <w:rsid w:val="00A218A7"/>
    <w:rsid w:val="00A2216E"/>
    <w:rsid w:val="00A22A96"/>
    <w:rsid w:val="00A2370B"/>
    <w:rsid w:val="00A2475E"/>
    <w:rsid w:val="00A24782"/>
    <w:rsid w:val="00A25885"/>
    <w:rsid w:val="00A258AE"/>
    <w:rsid w:val="00A265F3"/>
    <w:rsid w:val="00A26CAA"/>
    <w:rsid w:val="00A26CCB"/>
    <w:rsid w:val="00A27AFB"/>
    <w:rsid w:val="00A31536"/>
    <w:rsid w:val="00A31956"/>
    <w:rsid w:val="00A33C0B"/>
    <w:rsid w:val="00A33DC9"/>
    <w:rsid w:val="00A33F77"/>
    <w:rsid w:val="00A35831"/>
    <w:rsid w:val="00A36E14"/>
    <w:rsid w:val="00A3743F"/>
    <w:rsid w:val="00A412EF"/>
    <w:rsid w:val="00A424C5"/>
    <w:rsid w:val="00A4256C"/>
    <w:rsid w:val="00A42EF2"/>
    <w:rsid w:val="00A43ECF"/>
    <w:rsid w:val="00A44D84"/>
    <w:rsid w:val="00A45AE5"/>
    <w:rsid w:val="00A45BD2"/>
    <w:rsid w:val="00A46F60"/>
    <w:rsid w:val="00A4716C"/>
    <w:rsid w:val="00A479EA"/>
    <w:rsid w:val="00A50436"/>
    <w:rsid w:val="00A5275D"/>
    <w:rsid w:val="00A52A12"/>
    <w:rsid w:val="00A52ED5"/>
    <w:rsid w:val="00A5372E"/>
    <w:rsid w:val="00A54194"/>
    <w:rsid w:val="00A54E6E"/>
    <w:rsid w:val="00A5515B"/>
    <w:rsid w:val="00A578D4"/>
    <w:rsid w:val="00A61015"/>
    <w:rsid w:val="00A61D6F"/>
    <w:rsid w:val="00A61D7A"/>
    <w:rsid w:val="00A620E7"/>
    <w:rsid w:val="00A64735"/>
    <w:rsid w:val="00A64A5F"/>
    <w:rsid w:val="00A653BF"/>
    <w:rsid w:val="00A654E5"/>
    <w:rsid w:val="00A659E2"/>
    <w:rsid w:val="00A7271D"/>
    <w:rsid w:val="00A72F5E"/>
    <w:rsid w:val="00A7322E"/>
    <w:rsid w:val="00A737CB"/>
    <w:rsid w:val="00A73FFB"/>
    <w:rsid w:val="00A74A7D"/>
    <w:rsid w:val="00A760F0"/>
    <w:rsid w:val="00A766F9"/>
    <w:rsid w:val="00A81E2E"/>
    <w:rsid w:val="00A8265A"/>
    <w:rsid w:val="00A829D8"/>
    <w:rsid w:val="00A83F16"/>
    <w:rsid w:val="00A84090"/>
    <w:rsid w:val="00A84303"/>
    <w:rsid w:val="00A84D22"/>
    <w:rsid w:val="00A8510A"/>
    <w:rsid w:val="00A860D4"/>
    <w:rsid w:val="00A8651D"/>
    <w:rsid w:val="00A87936"/>
    <w:rsid w:val="00A916E4"/>
    <w:rsid w:val="00A91BFE"/>
    <w:rsid w:val="00A92240"/>
    <w:rsid w:val="00A931DE"/>
    <w:rsid w:val="00A93D89"/>
    <w:rsid w:val="00A9404A"/>
    <w:rsid w:val="00A941B2"/>
    <w:rsid w:val="00A95A99"/>
    <w:rsid w:val="00A95E54"/>
    <w:rsid w:val="00A95EB3"/>
    <w:rsid w:val="00A964C1"/>
    <w:rsid w:val="00AA1034"/>
    <w:rsid w:val="00AA3B02"/>
    <w:rsid w:val="00AA4A4A"/>
    <w:rsid w:val="00AA548E"/>
    <w:rsid w:val="00AA5C5A"/>
    <w:rsid w:val="00AA6178"/>
    <w:rsid w:val="00AB2251"/>
    <w:rsid w:val="00AB2C4F"/>
    <w:rsid w:val="00AB5F73"/>
    <w:rsid w:val="00AB6968"/>
    <w:rsid w:val="00AB72CB"/>
    <w:rsid w:val="00AC014D"/>
    <w:rsid w:val="00AC409E"/>
    <w:rsid w:val="00AC43E5"/>
    <w:rsid w:val="00AC4FFA"/>
    <w:rsid w:val="00AC7204"/>
    <w:rsid w:val="00AC7EA1"/>
    <w:rsid w:val="00AD07F3"/>
    <w:rsid w:val="00AD0B76"/>
    <w:rsid w:val="00AD12A0"/>
    <w:rsid w:val="00AD1F22"/>
    <w:rsid w:val="00AD241E"/>
    <w:rsid w:val="00AD3C01"/>
    <w:rsid w:val="00AD445A"/>
    <w:rsid w:val="00AD5E93"/>
    <w:rsid w:val="00AD6ADC"/>
    <w:rsid w:val="00AD7C99"/>
    <w:rsid w:val="00AD7D0B"/>
    <w:rsid w:val="00AE1258"/>
    <w:rsid w:val="00AE22A4"/>
    <w:rsid w:val="00AE32D0"/>
    <w:rsid w:val="00AE5BCC"/>
    <w:rsid w:val="00AE665F"/>
    <w:rsid w:val="00AE67D7"/>
    <w:rsid w:val="00AF03C9"/>
    <w:rsid w:val="00AF0428"/>
    <w:rsid w:val="00AF193B"/>
    <w:rsid w:val="00AF3BFA"/>
    <w:rsid w:val="00AF3E3E"/>
    <w:rsid w:val="00AF490E"/>
    <w:rsid w:val="00AF57F6"/>
    <w:rsid w:val="00AF629B"/>
    <w:rsid w:val="00B0360E"/>
    <w:rsid w:val="00B03FF8"/>
    <w:rsid w:val="00B04D8B"/>
    <w:rsid w:val="00B068F4"/>
    <w:rsid w:val="00B075DE"/>
    <w:rsid w:val="00B07E37"/>
    <w:rsid w:val="00B11D1A"/>
    <w:rsid w:val="00B11E5B"/>
    <w:rsid w:val="00B12E10"/>
    <w:rsid w:val="00B146AF"/>
    <w:rsid w:val="00B210A2"/>
    <w:rsid w:val="00B216E3"/>
    <w:rsid w:val="00B217E8"/>
    <w:rsid w:val="00B21AE5"/>
    <w:rsid w:val="00B23540"/>
    <w:rsid w:val="00B23DD6"/>
    <w:rsid w:val="00B24B12"/>
    <w:rsid w:val="00B258FE"/>
    <w:rsid w:val="00B26BB7"/>
    <w:rsid w:val="00B275B7"/>
    <w:rsid w:val="00B30888"/>
    <w:rsid w:val="00B3107C"/>
    <w:rsid w:val="00B32D74"/>
    <w:rsid w:val="00B35E0E"/>
    <w:rsid w:val="00B36C27"/>
    <w:rsid w:val="00B40231"/>
    <w:rsid w:val="00B41911"/>
    <w:rsid w:val="00B45477"/>
    <w:rsid w:val="00B46787"/>
    <w:rsid w:val="00B501B5"/>
    <w:rsid w:val="00B508E9"/>
    <w:rsid w:val="00B50A32"/>
    <w:rsid w:val="00B51417"/>
    <w:rsid w:val="00B52164"/>
    <w:rsid w:val="00B52B1B"/>
    <w:rsid w:val="00B531F1"/>
    <w:rsid w:val="00B54027"/>
    <w:rsid w:val="00B54988"/>
    <w:rsid w:val="00B55F29"/>
    <w:rsid w:val="00B56156"/>
    <w:rsid w:val="00B562F0"/>
    <w:rsid w:val="00B56E5D"/>
    <w:rsid w:val="00B60F8C"/>
    <w:rsid w:val="00B6365C"/>
    <w:rsid w:val="00B70517"/>
    <w:rsid w:val="00B7154E"/>
    <w:rsid w:val="00B715C6"/>
    <w:rsid w:val="00B719BE"/>
    <w:rsid w:val="00B75272"/>
    <w:rsid w:val="00B75BB3"/>
    <w:rsid w:val="00B75BC1"/>
    <w:rsid w:val="00B76878"/>
    <w:rsid w:val="00B76BFB"/>
    <w:rsid w:val="00B802C9"/>
    <w:rsid w:val="00B8045B"/>
    <w:rsid w:val="00B8210E"/>
    <w:rsid w:val="00B831D5"/>
    <w:rsid w:val="00B8325D"/>
    <w:rsid w:val="00B84B13"/>
    <w:rsid w:val="00B8546D"/>
    <w:rsid w:val="00B85E95"/>
    <w:rsid w:val="00B85EED"/>
    <w:rsid w:val="00B86562"/>
    <w:rsid w:val="00B875C0"/>
    <w:rsid w:val="00B904F3"/>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103F"/>
    <w:rsid w:val="00BC4B1E"/>
    <w:rsid w:val="00BC55DE"/>
    <w:rsid w:val="00BC5C7E"/>
    <w:rsid w:val="00BD0BDE"/>
    <w:rsid w:val="00BD1988"/>
    <w:rsid w:val="00BD4AA6"/>
    <w:rsid w:val="00BD4FD8"/>
    <w:rsid w:val="00BD5373"/>
    <w:rsid w:val="00BD542D"/>
    <w:rsid w:val="00BE17D6"/>
    <w:rsid w:val="00BE1981"/>
    <w:rsid w:val="00BE25C9"/>
    <w:rsid w:val="00BE37E1"/>
    <w:rsid w:val="00BE6457"/>
    <w:rsid w:val="00BE6BBF"/>
    <w:rsid w:val="00BE76B9"/>
    <w:rsid w:val="00BE78A4"/>
    <w:rsid w:val="00BF1182"/>
    <w:rsid w:val="00BF2383"/>
    <w:rsid w:val="00BF4C43"/>
    <w:rsid w:val="00BF5080"/>
    <w:rsid w:val="00BF778F"/>
    <w:rsid w:val="00BF7D4A"/>
    <w:rsid w:val="00C017BF"/>
    <w:rsid w:val="00C02983"/>
    <w:rsid w:val="00C03981"/>
    <w:rsid w:val="00C04218"/>
    <w:rsid w:val="00C0680D"/>
    <w:rsid w:val="00C068BB"/>
    <w:rsid w:val="00C06F95"/>
    <w:rsid w:val="00C07042"/>
    <w:rsid w:val="00C0704F"/>
    <w:rsid w:val="00C07844"/>
    <w:rsid w:val="00C106A9"/>
    <w:rsid w:val="00C10C95"/>
    <w:rsid w:val="00C11B45"/>
    <w:rsid w:val="00C11E3E"/>
    <w:rsid w:val="00C13D10"/>
    <w:rsid w:val="00C14AB0"/>
    <w:rsid w:val="00C15225"/>
    <w:rsid w:val="00C15BBF"/>
    <w:rsid w:val="00C15CEE"/>
    <w:rsid w:val="00C15E9D"/>
    <w:rsid w:val="00C167D1"/>
    <w:rsid w:val="00C177D5"/>
    <w:rsid w:val="00C17D3D"/>
    <w:rsid w:val="00C212AB"/>
    <w:rsid w:val="00C214F0"/>
    <w:rsid w:val="00C26422"/>
    <w:rsid w:val="00C26C7C"/>
    <w:rsid w:val="00C30A90"/>
    <w:rsid w:val="00C3269F"/>
    <w:rsid w:val="00C3288D"/>
    <w:rsid w:val="00C342DB"/>
    <w:rsid w:val="00C35E56"/>
    <w:rsid w:val="00C40EF8"/>
    <w:rsid w:val="00C42785"/>
    <w:rsid w:val="00C45243"/>
    <w:rsid w:val="00C4681F"/>
    <w:rsid w:val="00C50B7A"/>
    <w:rsid w:val="00C52184"/>
    <w:rsid w:val="00C5255F"/>
    <w:rsid w:val="00C53234"/>
    <w:rsid w:val="00C53989"/>
    <w:rsid w:val="00C53E83"/>
    <w:rsid w:val="00C54F52"/>
    <w:rsid w:val="00C553B7"/>
    <w:rsid w:val="00C5569C"/>
    <w:rsid w:val="00C5798E"/>
    <w:rsid w:val="00C57D4A"/>
    <w:rsid w:val="00C60A09"/>
    <w:rsid w:val="00C64A55"/>
    <w:rsid w:val="00C652E2"/>
    <w:rsid w:val="00C65356"/>
    <w:rsid w:val="00C65A41"/>
    <w:rsid w:val="00C65D10"/>
    <w:rsid w:val="00C67C95"/>
    <w:rsid w:val="00C67EE6"/>
    <w:rsid w:val="00C70497"/>
    <w:rsid w:val="00C70D5A"/>
    <w:rsid w:val="00C71284"/>
    <w:rsid w:val="00C712D7"/>
    <w:rsid w:val="00C72121"/>
    <w:rsid w:val="00C72DC6"/>
    <w:rsid w:val="00C7307F"/>
    <w:rsid w:val="00C7375E"/>
    <w:rsid w:val="00C7463A"/>
    <w:rsid w:val="00C746BD"/>
    <w:rsid w:val="00C74CA2"/>
    <w:rsid w:val="00C756E0"/>
    <w:rsid w:val="00C7667D"/>
    <w:rsid w:val="00C77E8A"/>
    <w:rsid w:val="00C81F24"/>
    <w:rsid w:val="00C869F3"/>
    <w:rsid w:val="00C87B7D"/>
    <w:rsid w:val="00C87DCB"/>
    <w:rsid w:val="00C91119"/>
    <w:rsid w:val="00C91249"/>
    <w:rsid w:val="00C9495E"/>
    <w:rsid w:val="00C94D34"/>
    <w:rsid w:val="00C94E7E"/>
    <w:rsid w:val="00C96096"/>
    <w:rsid w:val="00C967F4"/>
    <w:rsid w:val="00C97C9B"/>
    <w:rsid w:val="00CA0008"/>
    <w:rsid w:val="00CA08AE"/>
    <w:rsid w:val="00CA0E3A"/>
    <w:rsid w:val="00CA12F4"/>
    <w:rsid w:val="00CA1C47"/>
    <w:rsid w:val="00CA3333"/>
    <w:rsid w:val="00CA6A22"/>
    <w:rsid w:val="00CA6E12"/>
    <w:rsid w:val="00CB004D"/>
    <w:rsid w:val="00CB08D8"/>
    <w:rsid w:val="00CB0B66"/>
    <w:rsid w:val="00CB3378"/>
    <w:rsid w:val="00CB34CC"/>
    <w:rsid w:val="00CB42F2"/>
    <w:rsid w:val="00CB4618"/>
    <w:rsid w:val="00CB5FEC"/>
    <w:rsid w:val="00CB6472"/>
    <w:rsid w:val="00CC04CB"/>
    <w:rsid w:val="00CC058D"/>
    <w:rsid w:val="00CC14C4"/>
    <w:rsid w:val="00CC2EB9"/>
    <w:rsid w:val="00CC4EAB"/>
    <w:rsid w:val="00CC5527"/>
    <w:rsid w:val="00CC7EE6"/>
    <w:rsid w:val="00CD1C68"/>
    <w:rsid w:val="00CD32A8"/>
    <w:rsid w:val="00CD682B"/>
    <w:rsid w:val="00CD7494"/>
    <w:rsid w:val="00CD754D"/>
    <w:rsid w:val="00CD7F80"/>
    <w:rsid w:val="00CE02AD"/>
    <w:rsid w:val="00CE053C"/>
    <w:rsid w:val="00CE080E"/>
    <w:rsid w:val="00CE10E3"/>
    <w:rsid w:val="00CE1198"/>
    <w:rsid w:val="00CE186F"/>
    <w:rsid w:val="00CE2075"/>
    <w:rsid w:val="00CE23AA"/>
    <w:rsid w:val="00CE2B42"/>
    <w:rsid w:val="00CE319B"/>
    <w:rsid w:val="00CE40E3"/>
    <w:rsid w:val="00CE4A86"/>
    <w:rsid w:val="00CE4CAE"/>
    <w:rsid w:val="00CE55DA"/>
    <w:rsid w:val="00CE5EA1"/>
    <w:rsid w:val="00CE624C"/>
    <w:rsid w:val="00CE69C0"/>
    <w:rsid w:val="00CE6D6A"/>
    <w:rsid w:val="00CF1829"/>
    <w:rsid w:val="00CF38F4"/>
    <w:rsid w:val="00CF44B5"/>
    <w:rsid w:val="00CF5879"/>
    <w:rsid w:val="00CF5FD5"/>
    <w:rsid w:val="00D00375"/>
    <w:rsid w:val="00D022DC"/>
    <w:rsid w:val="00D0253C"/>
    <w:rsid w:val="00D046C9"/>
    <w:rsid w:val="00D05183"/>
    <w:rsid w:val="00D05704"/>
    <w:rsid w:val="00D06BC9"/>
    <w:rsid w:val="00D07A5A"/>
    <w:rsid w:val="00D12493"/>
    <w:rsid w:val="00D12C7A"/>
    <w:rsid w:val="00D13C5A"/>
    <w:rsid w:val="00D14EF9"/>
    <w:rsid w:val="00D15416"/>
    <w:rsid w:val="00D2066E"/>
    <w:rsid w:val="00D20F4F"/>
    <w:rsid w:val="00D214F7"/>
    <w:rsid w:val="00D22C5B"/>
    <w:rsid w:val="00D23D51"/>
    <w:rsid w:val="00D250CE"/>
    <w:rsid w:val="00D276A4"/>
    <w:rsid w:val="00D27779"/>
    <w:rsid w:val="00D30181"/>
    <w:rsid w:val="00D305CD"/>
    <w:rsid w:val="00D30B29"/>
    <w:rsid w:val="00D3464C"/>
    <w:rsid w:val="00D3501F"/>
    <w:rsid w:val="00D36224"/>
    <w:rsid w:val="00D3657A"/>
    <w:rsid w:val="00D41625"/>
    <w:rsid w:val="00D416AA"/>
    <w:rsid w:val="00D416F5"/>
    <w:rsid w:val="00D41FA3"/>
    <w:rsid w:val="00D44111"/>
    <w:rsid w:val="00D444A1"/>
    <w:rsid w:val="00D4614F"/>
    <w:rsid w:val="00D4655A"/>
    <w:rsid w:val="00D46A93"/>
    <w:rsid w:val="00D50EE4"/>
    <w:rsid w:val="00D51945"/>
    <w:rsid w:val="00D522BB"/>
    <w:rsid w:val="00D53045"/>
    <w:rsid w:val="00D5474F"/>
    <w:rsid w:val="00D55056"/>
    <w:rsid w:val="00D5724D"/>
    <w:rsid w:val="00D61635"/>
    <w:rsid w:val="00D61C23"/>
    <w:rsid w:val="00D626A9"/>
    <w:rsid w:val="00D628C5"/>
    <w:rsid w:val="00D63DB5"/>
    <w:rsid w:val="00D64CAC"/>
    <w:rsid w:val="00D7066E"/>
    <w:rsid w:val="00D7078F"/>
    <w:rsid w:val="00D72BC6"/>
    <w:rsid w:val="00D741B0"/>
    <w:rsid w:val="00D74447"/>
    <w:rsid w:val="00D75DD0"/>
    <w:rsid w:val="00D7613E"/>
    <w:rsid w:val="00D76EF3"/>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4CBE"/>
    <w:rsid w:val="00D9594F"/>
    <w:rsid w:val="00D97AB4"/>
    <w:rsid w:val="00DA20B0"/>
    <w:rsid w:val="00DA3E5A"/>
    <w:rsid w:val="00DA3FEA"/>
    <w:rsid w:val="00DA5B39"/>
    <w:rsid w:val="00DA6CA4"/>
    <w:rsid w:val="00DA7199"/>
    <w:rsid w:val="00DB07BF"/>
    <w:rsid w:val="00DB0887"/>
    <w:rsid w:val="00DB2F52"/>
    <w:rsid w:val="00DC0B04"/>
    <w:rsid w:val="00DC262C"/>
    <w:rsid w:val="00DC2DC4"/>
    <w:rsid w:val="00DC3D25"/>
    <w:rsid w:val="00DC4FD4"/>
    <w:rsid w:val="00DC5F21"/>
    <w:rsid w:val="00DC6174"/>
    <w:rsid w:val="00DC6E87"/>
    <w:rsid w:val="00DC72ED"/>
    <w:rsid w:val="00DC7506"/>
    <w:rsid w:val="00DD035E"/>
    <w:rsid w:val="00DD1C92"/>
    <w:rsid w:val="00DD461A"/>
    <w:rsid w:val="00DD55CF"/>
    <w:rsid w:val="00DD58FD"/>
    <w:rsid w:val="00DD6697"/>
    <w:rsid w:val="00DD75E5"/>
    <w:rsid w:val="00DD7963"/>
    <w:rsid w:val="00DE04DD"/>
    <w:rsid w:val="00DE1E03"/>
    <w:rsid w:val="00DE1E5A"/>
    <w:rsid w:val="00DE21CA"/>
    <w:rsid w:val="00DE252A"/>
    <w:rsid w:val="00DE49C0"/>
    <w:rsid w:val="00DE5402"/>
    <w:rsid w:val="00DE7564"/>
    <w:rsid w:val="00DE7AB3"/>
    <w:rsid w:val="00DE7F24"/>
    <w:rsid w:val="00DF0036"/>
    <w:rsid w:val="00DF013F"/>
    <w:rsid w:val="00DF0724"/>
    <w:rsid w:val="00DF1C9D"/>
    <w:rsid w:val="00DF4709"/>
    <w:rsid w:val="00DF5DEB"/>
    <w:rsid w:val="00DF7501"/>
    <w:rsid w:val="00DF7781"/>
    <w:rsid w:val="00DF788A"/>
    <w:rsid w:val="00DF7A7E"/>
    <w:rsid w:val="00E0081B"/>
    <w:rsid w:val="00E01BE5"/>
    <w:rsid w:val="00E01FDB"/>
    <w:rsid w:val="00E02F15"/>
    <w:rsid w:val="00E03674"/>
    <w:rsid w:val="00E04231"/>
    <w:rsid w:val="00E0486D"/>
    <w:rsid w:val="00E05419"/>
    <w:rsid w:val="00E05C7D"/>
    <w:rsid w:val="00E05EB1"/>
    <w:rsid w:val="00E064FC"/>
    <w:rsid w:val="00E10031"/>
    <w:rsid w:val="00E12301"/>
    <w:rsid w:val="00E12B86"/>
    <w:rsid w:val="00E13CEA"/>
    <w:rsid w:val="00E1416C"/>
    <w:rsid w:val="00E14272"/>
    <w:rsid w:val="00E16CC8"/>
    <w:rsid w:val="00E21838"/>
    <w:rsid w:val="00E21C8C"/>
    <w:rsid w:val="00E22360"/>
    <w:rsid w:val="00E23BB7"/>
    <w:rsid w:val="00E25274"/>
    <w:rsid w:val="00E2573D"/>
    <w:rsid w:val="00E266C1"/>
    <w:rsid w:val="00E26E0C"/>
    <w:rsid w:val="00E276AB"/>
    <w:rsid w:val="00E302B8"/>
    <w:rsid w:val="00E31CAA"/>
    <w:rsid w:val="00E338C6"/>
    <w:rsid w:val="00E33FA7"/>
    <w:rsid w:val="00E34E03"/>
    <w:rsid w:val="00E36AE9"/>
    <w:rsid w:val="00E375EE"/>
    <w:rsid w:val="00E40018"/>
    <w:rsid w:val="00E40854"/>
    <w:rsid w:val="00E40F9B"/>
    <w:rsid w:val="00E412C8"/>
    <w:rsid w:val="00E41345"/>
    <w:rsid w:val="00E417E0"/>
    <w:rsid w:val="00E42464"/>
    <w:rsid w:val="00E42CB1"/>
    <w:rsid w:val="00E4428D"/>
    <w:rsid w:val="00E45397"/>
    <w:rsid w:val="00E45971"/>
    <w:rsid w:val="00E46C3A"/>
    <w:rsid w:val="00E47ACF"/>
    <w:rsid w:val="00E47FDD"/>
    <w:rsid w:val="00E5134F"/>
    <w:rsid w:val="00E522D2"/>
    <w:rsid w:val="00E526E8"/>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6A5E"/>
    <w:rsid w:val="00E743CA"/>
    <w:rsid w:val="00E7534B"/>
    <w:rsid w:val="00E77401"/>
    <w:rsid w:val="00E80FAC"/>
    <w:rsid w:val="00E83822"/>
    <w:rsid w:val="00E8400B"/>
    <w:rsid w:val="00E84422"/>
    <w:rsid w:val="00E8461C"/>
    <w:rsid w:val="00E84665"/>
    <w:rsid w:val="00E84CC7"/>
    <w:rsid w:val="00E8564D"/>
    <w:rsid w:val="00E85D74"/>
    <w:rsid w:val="00E85DC4"/>
    <w:rsid w:val="00E86E77"/>
    <w:rsid w:val="00E879D4"/>
    <w:rsid w:val="00E907C3"/>
    <w:rsid w:val="00E91184"/>
    <w:rsid w:val="00E9272A"/>
    <w:rsid w:val="00E9370C"/>
    <w:rsid w:val="00E94FED"/>
    <w:rsid w:val="00E952A1"/>
    <w:rsid w:val="00E95491"/>
    <w:rsid w:val="00E95F0D"/>
    <w:rsid w:val="00E966E3"/>
    <w:rsid w:val="00E968B2"/>
    <w:rsid w:val="00E96FC9"/>
    <w:rsid w:val="00EA12AE"/>
    <w:rsid w:val="00EA1B47"/>
    <w:rsid w:val="00EA1C91"/>
    <w:rsid w:val="00EA269D"/>
    <w:rsid w:val="00EA4B71"/>
    <w:rsid w:val="00EA4EBA"/>
    <w:rsid w:val="00EA6567"/>
    <w:rsid w:val="00EA79E3"/>
    <w:rsid w:val="00EB1A29"/>
    <w:rsid w:val="00EB24BD"/>
    <w:rsid w:val="00EB40AE"/>
    <w:rsid w:val="00EB4D69"/>
    <w:rsid w:val="00EB51CF"/>
    <w:rsid w:val="00EB70CC"/>
    <w:rsid w:val="00EC0156"/>
    <w:rsid w:val="00EC18D0"/>
    <w:rsid w:val="00EC29DE"/>
    <w:rsid w:val="00EC2F15"/>
    <w:rsid w:val="00EC37EC"/>
    <w:rsid w:val="00EC4AB0"/>
    <w:rsid w:val="00EC56D6"/>
    <w:rsid w:val="00EC5EF0"/>
    <w:rsid w:val="00EC702F"/>
    <w:rsid w:val="00EC7841"/>
    <w:rsid w:val="00ED0782"/>
    <w:rsid w:val="00ED0DB6"/>
    <w:rsid w:val="00ED1ED0"/>
    <w:rsid w:val="00ED250C"/>
    <w:rsid w:val="00ED3C7F"/>
    <w:rsid w:val="00ED46F3"/>
    <w:rsid w:val="00ED76C6"/>
    <w:rsid w:val="00ED785A"/>
    <w:rsid w:val="00ED7D8E"/>
    <w:rsid w:val="00ED7F27"/>
    <w:rsid w:val="00EE05B4"/>
    <w:rsid w:val="00EE7916"/>
    <w:rsid w:val="00EE7A1F"/>
    <w:rsid w:val="00EE7F74"/>
    <w:rsid w:val="00EF1579"/>
    <w:rsid w:val="00EF25C0"/>
    <w:rsid w:val="00EF2FEB"/>
    <w:rsid w:val="00EF311A"/>
    <w:rsid w:val="00EF41B6"/>
    <w:rsid w:val="00EF52D6"/>
    <w:rsid w:val="00EF56AC"/>
    <w:rsid w:val="00EF67D7"/>
    <w:rsid w:val="00EF70EB"/>
    <w:rsid w:val="00EF77F3"/>
    <w:rsid w:val="00F014A8"/>
    <w:rsid w:val="00F024B6"/>
    <w:rsid w:val="00F02BCC"/>
    <w:rsid w:val="00F04BBF"/>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20856"/>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3D2"/>
    <w:rsid w:val="00F408A7"/>
    <w:rsid w:val="00F409F0"/>
    <w:rsid w:val="00F40C6A"/>
    <w:rsid w:val="00F43B25"/>
    <w:rsid w:val="00F4477B"/>
    <w:rsid w:val="00F50C10"/>
    <w:rsid w:val="00F52C7E"/>
    <w:rsid w:val="00F53844"/>
    <w:rsid w:val="00F5537D"/>
    <w:rsid w:val="00F55602"/>
    <w:rsid w:val="00F55C05"/>
    <w:rsid w:val="00F56930"/>
    <w:rsid w:val="00F5729E"/>
    <w:rsid w:val="00F622E2"/>
    <w:rsid w:val="00F6283A"/>
    <w:rsid w:val="00F62F81"/>
    <w:rsid w:val="00F6311D"/>
    <w:rsid w:val="00F63B9D"/>
    <w:rsid w:val="00F64418"/>
    <w:rsid w:val="00F64FAE"/>
    <w:rsid w:val="00F65F60"/>
    <w:rsid w:val="00F67F35"/>
    <w:rsid w:val="00F7068C"/>
    <w:rsid w:val="00F72200"/>
    <w:rsid w:val="00F73348"/>
    <w:rsid w:val="00F73E4F"/>
    <w:rsid w:val="00F755DA"/>
    <w:rsid w:val="00F80010"/>
    <w:rsid w:val="00F805B1"/>
    <w:rsid w:val="00F80F63"/>
    <w:rsid w:val="00F814EE"/>
    <w:rsid w:val="00F8156C"/>
    <w:rsid w:val="00F8487F"/>
    <w:rsid w:val="00F85E8D"/>
    <w:rsid w:val="00F86AFF"/>
    <w:rsid w:val="00F878D1"/>
    <w:rsid w:val="00F9099C"/>
    <w:rsid w:val="00F9223A"/>
    <w:rsid w:val="00F93027"/>
    <w:rsid w:val="00F936D3"/>
    <w:rsid w:val="00F939A6"/>
    <w:rsid w:val="00F9451F"/>
    <w:rsid w:val="00F96208"/>
    <w:rsid w:val="00F9654A"/>
    <w:rsid w:val="00F979DB"/>
    <w:rsid w:val="00FA1E4A"/>
    <w:rsid w:val="00FA2770"/>
    <w:rsid w:val="00FA4180"/>
    <w:rsid w:val="00FA4F12"/>
    <w:rsid w:val="00FA5D6D"/>
    <w:rsid w:val="00FA777D"/>
    <w:rsid w:val="00FB0722"/>
    <w:rsid w:val="00FB434F"/>
    <w:rsid w:val="00FB4C38"/>
    <w:rsid w:val="00FB592A"/>
    <w:rsid w:val="00FB65AC"/>
    <w:rsid w:val="00FB6BCF"/>
    <w:rsid w:val="00FB6D41"/>
    <w:rsid w:val="00FB7660"/>
    <w:rsid w:val="00FB7B78"/>
    <w:rsid w:val="00FC14C8"/>
    <w:rsid w:val="00FC196D"/>
    <w:rsid w:val="00FC3DEB"/>
    <w:rsid w:val="00FC4361"/>
    <w:rsid w:val="00FC45C9"/>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E0B78"/>
    <w:rsid w:val="00FE0C89"/>
    <w:rsid w:val="00FE1080"/>
    <w:rsid w:val="00FE2985"/>
    <w:rsid w:val="00FE3446"/>
    <w:rsid w:val="00FE4072"/>
    <w:rsid w:val="00FE4AD9"/>
    <w:rsid w:val="00FF0555"/>
    <w:rsid w:val="00FF1289"/>
    <w:rsid w:val="00FF4CF7"/>
    <w:rsid w:val="00FF4F7F"/>
    <w:rsid w:val="00FF66C1"/>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02BE1"/>
  <w15:docId w15:val="{B866CF91-EAFA-49DF-A02E-FEED14C3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paragraph" w:styleId="ListParagraph">
    <w:name w:val="List Paragraph"/>
    <w:basedOn w:val="Normal"/>
    <w:uiPriority w:val="34"/>
    <w:qFormat/>
    <w:rsid w:val="003D2818"/>
    <w:pPr>
      <w:ind w:left="720"/>
      <w:contextualSpacing/>
    </w:pPr>
  </w:style>
  <w:style w:type="paragraph" w:styleId="NoSpacing">
    <w:name w:val="No Spacing"/>
    <w:uiPriority w:val="1"/>
    <w:qFormat/>
    <w:rsid w:val="00FB592A"/>
    <w:rPr>
      <w:rFonts w:ascii="Courier New" w:hAnsi="Courier New"/>
      <w:sz w:val="24"/>
    </w:rPr>
  </w:style>
  <w:style w:type="character" w:styleId="CommentReference">
    <w:name w:val="annotation reference"/>
    <w:basedOn w:val="DefaultParagraphFont"/>
    <w:semiHidden/>
    <w:unhideWhenUsed/>
    <w:rsid w:val="009A251A"/>
    <w:rPr>
      <w:sz w:val="16"/>
      <w:szCs w:val="16"/>
    </w:rPr>
  </w:style>
  <w:style w:type="paragraph" w:styleId="CommentText">
    <w:name w:val="annotation text"/>
    <w:basedOn w:val="Normal"/>
    <w:link w:val="CommentTextChar"/>
    <w:semiHidden/>
    <w:unhideWhenUsed/>
    <w:rsid w:val="009A251A"/>
  </w:style>
  <w:style w:type="character" w:customStyle="1" w:styleId="CommentTextChar">
    <w:name w:val="Comment Text Char"/>
    <w:basedOn w:val="DefaultParagraphFont"/>
    <w:link w:val="CommentText"/>
    <w:semiHidden/>
    <w:rsid w:val="009A251A"/>
  </w:style>
  <w:style w:type="paragraph" w:styleId="CommentSubject">
    <w:name w:val="annotation subject"/>
    <w:basedOn w:val="CommentText"/>
    <w:next w:val="CommentText"/>
    <w:link w:val="CommentSubjectChar"/>
    <w:semiHidden/>
    <w:unhideWhenUsed/>
    <w:rsid w:val="009A251A"/>
    <w:rPr>
      <w:b/>
      <w:bCs/>
    </w:rPr>
  </w:style>
  <w:style w:type="character" w:customStyle="1" w:styleId="CommentSubjectChar">
    <w:name w:val="Comment Subject Char"/>
    <w:basedOn w:val="CommentTextChar"/>
    <w:link w:val="CommentSubject"/>
    <w:semiHidden/>
    <w:rsid w:val="009A251A"/>
    <w:rPr>
      <w:b/>
      <w:bCs/>
    </w:rPr>
  </w:style>
  <w:style w:type="paragraph" w:styleId="BlockText">
    <w:name w:val="Block Text"/>
    <w:basedOn w:val="Normal"/>
    <w:rsid w:val="0000268A"/>
    <w:pPr>
      <w:tabs>
        <w:tab w:val="left" w:pos="-720"/>
      </w:tabs>
      <w:spacing w:line="360" w:lineRule="auto"/>
      <w:ind w:left="1440" w:right="2160"/>
    </w:pPr>
    <w:rPr>
      <w:sz w:val="26"/>
    </w:rPr>
  </w:style>
  <w:style w:type="paragraph" w:customStyle="1" w:styleId="Default">
    <w:name w:val="Default"/>
    <w:rsid w:val="0000268A"/>
    <w:pPr>
      <w:autoSpaceDE w:val="0"/>
      <w:autoSpaceDN w:val="0"/>
      <w:adjustRightInd w:val="0"/>
    </w:pPr>
    <w:rPr>
      <w:rFonts w:eastAsiaTheme="minorHAnsi"/>
      <w:color w:val="000000"/>
      <w:sz w:val="24"/>
      <w:szCs w:val="24"/>
    </w:rPr>
  </w:style>
  <w:style w:type="paragraph" w:customStyle="1" w:styleId="p3">
    <w:name w:val="p3"/>
    <w:basedOn w:val="Normal"/>
    <w:rsid w:val="0000268A"/>
    <w:pPr>
      <w:tabs>
        <w:tab w:val="left" w:pos="204"/>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ADC93-58CD-4D4C-9E18-3D54063B19D8}">
  <ds:schemaRefs>
    <ds:schemaRef ds:uri="http://schemas.openxmlformats.org/officeDocument/2006/bibliography"/>
  </ds:schemaRefs>
</ds:datastoreItem>
</file>

<file path=customXml/itemProps2.xml><?xml version="1.0" encoding="utf-8"?>
<ds:datastoreItem xmlns:ds="http://schemas.openxmlformats.org/officeDocument/2006/customXml" ds:itemID="{0ECC7750-3E6B-4D6D-8733-3FE7810997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566D2-F5C1-44C4-858E-F694D39A6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D4B52-7849-449D-AE97-A27770208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28</cp:revision>
  <cp:lastPrinted>2014-01-09T12:16:00Z</cp:lastPrinted>
  <dcterms:created xsi:type="dcterms:W3CDTF">2021-04-26T19:30:00Z</dcterms:created>
  <dcterms:modified xsi:type="dcterms:W3CDTF">2021-05-06T15:18:00Z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