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F59B" w14:textId="781D1D3E" w:rsidR="00C322F0" w:rsidRPr="006A749D" w:rsidRDefault="00C322F0" w:rsidP="0048770E">
      <w:pPr>
        <w:pStyle w:val="Title"/>
      </w:pPr>
      <w:r w:rsidRPr="006A749D">
        <w:t>PENNSYLVANIA</w:t>
      </w:r>
    </w:p>
    <w:p w14:paraId="40DF263B" w14:textId="77777777" w:rsidR="00C322F0" w:rsidRPr="006A749D" w:rsidRDefault="00C322F0" w:rsidP="0048770E">
      <w:pPr>
        <w:tabs>
          <w:tab w:val="center" w:pos="4680"/>
        </w:tabs>
        <w:jc w:val="center"/>
        <w:rPr>
          <w:rFonts w:ascii="Times New Roman" w:eastAsia="Times New Roman" w:hAnsi="Times New Roman" w:cs="Times New Roman"/>
          <w:sz w:val="26"/>
          <w:szCs w:val="26"/>
        </w:rPr>
      </w:pPr>
      <w:r w:rsidRPr="006A749D">
        <w:rPr>
          <w:rFonts w:ascii="Times New Roman" w:eastAsia="Times New Roman" w:hAnsi="Times New Roman" w:cs="Times New Roman"/>
          <w:b/>
          <w:sz w:val="26"/>
          <w:szCs w:val="26"/>
        </w:rPr>
        <w:t>PUBLIC UTILITY COMMISSION</w:t>
      </w:r>
    </w:p>
    <w:p w14:paraId="4BCA8711" w14:textId="6F0EE3BC" w:rsidR="00C322F0" w:rsidRPr="006A749D" w:rsidRDefault="00C322F0" w:rsidP="0048770E">
      <w:pPr>
        <w:tabs>
          <w:tab w:val="center" w:pos="4680"/>
        </w:tabs>
        <w:jc w:val="center"/>
        <w:rPr>
          <w:rFonts w:ascii="Times New Roman" w:eastAsia="Times New Roman" w:hAnsi="Times New Roman" w:cs="Times New Roman"/>
          <w:sz w:val="26"/>
          <w:szCs w:val="26"/>
        </w:rPr>
      </w:pPr>
      <w:r w:rsidRPr="006A749D">
        <w:rPr>
          <w:rFonts w:ascii="Times New Roman" w:eastAsia="Times New Roman" w:hAnsi="Times New Roman" w:cs="Times New Roman"/>
          <w:b/>
          <w:sz w:val="26"/>
          <w:szCs w:val="26"/>
        </w:rPr>
        <w:t xml:space="preserve">Harrisburg, PA </w:t>
      </w:r>
      <w:r w:rsidR="00770F3C">
        <w:rPr>
          <w:rFonts w:ascii="Times New Roman" w:eastAsia="Times New Roman" w:hAnsi="Times New Roman" w:cs="Times New Roman"/>
          <w:b/>
          <w:sz w:val="26"/>
          <w:szCs w:val="26"/>
        </w:rPr>
        <w:t xml:space="preserve"> </w:t>
      </w:r>
      <w:r w:rsidR="00CA348C" w:rsidRPr="006A749D">
        <w:rPr>
          <w:rFonts w:ascii="Times New Roman" w:eastAsia="Times New Roman" w:hAnsi="Times New Roman" w:cs="Times New Roman"/>
          <w:b/>
          <w:sz w:val="26"/>
          <w:szCs w:val="26"/>
        </w:rPr>
        <w:t>17120</w:t>
      </w:r>
    </w:p>
    <w:p w14:paraId="33AC64A7" w14:textId="640E5D5F" w:rsidR="00C322F0" w:rsidRPr="006A749D" w:rsidRDefault="00C322F0" w:rsidP="0048770E">
      <w:pPr>
        <w:rPr>
          <w:rFonts w:ascii="Times New Roman" w:eastAsia="Times New Roman" w:hAnsi="Times New Roman" w:cs="Times New Roman"/>
          <w:sz w:val="26"/>
          <w:szCs w:val="26"/>
        </w:rPr>
      </w:pPr>
    </w:p>
    <w:p w14:paraId="1620E247" w14:textId="77777777" w:rsidR="0048770E" w:rsidRPr="006A749D" w:rsidRDefault="0048770E" w:rsidP="0048770E">
      <w:pPr>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539"/>
      </w:tblGrid>
      <w:tr w:rsidR="00C322F0" w:rsidRPr="006A749D" w14:paraId="46F2DF39" w14:textId="77777777" w:rsidTr="00875DAC">
        <w:tc>
          <w:tcPr>
            <w:tcW w:w="4821" w:type="dxa"/>
          </w:tcPr>
          <w:p w14:paraId="779E2D76" w14:textId="77777777" w:rsidR="00C322F0" w:rsidRPr="006A749D" w:rsidRDefault="00C322F0" w:rsidP="0048770E">
            <w:pPr>
              <w:rPr>
                <w:rFonts w:ascii="Times New Roman" w:eastAsia="Times New Roman" w:hAnsi="Times New Roman" w:cs="Times New Roman"/>
                <w:sz w:val="26"/>
                <w:szCs w:val="26"/>
              </w:rPr>
            </w:pPr>
          </w:p>
        </w:tc>
        <w:tc>
          <w:tcPr>
            <w:tcW w:w="4539" w:type="dxa"/>
          </w:tcPr>
          <w:p w14:paraId="0A42FD0F" w14:textId="3C3F532C" w:rsidR="00C322F0" w:rsidRPr="006A749D" w:rsidRDefault="00C322F0" w:rsidP="0048770E">
            <w:pPr>
              <w:jc w:val="right"/>
              <w:rPr>
                <w:rFonts w:ascii="Times New Roman" w:eastAsia="Times New Roman" w:hAnsi="Times New Roman" w:cs="Times New Roman"/>
                <w:sz w:val="26"/>
                <w:szCs w:val="26"/>
              </w:rPr>
            </w:pPr>
            <w:r w:rsidRPr="006A749D">
              <w:rPr>
                <w:rFonts w:ascii="Times New Roman" w:eastAsia="Times New Roman" w:hAnsi="Times New Roman" w:cs="Times New Roman"/>
                <w:sz w:val="26"/>
                <w:szCs w:val="26"/>
              </w:rPr>
              <w:t xml:space="preserve">Public Meeting held </w:t>
            </w:r>
            <w:r w:rsidR="0007559E" w:rsidRPr="006A749D">
              <w:rPr>
                <w:rFonts w:ascii="Times New Roman" w:eastAsia="Times New Roman" w:hAnsi="Times New Roman" w:cs="Times New Roman"/>
                <w:sz w:val="26"/>
                <w:szCs w:val="26"/>
              </w:rPr>
              <w:t>Ma</w:t>
            </w:r>
            <w:r w:rsidR="00DB0F6E">
              <w:rPr>
                <w:rFonts w:ascii="Times New Roman" w:eastAsia="Times New Roman" w:hAnsi="Times New Roman" w:cs="Times New Roman"/>
                <w:sz w:val="26"/>
                <w:szCs w:val="26"/>
              </w:rPr>
              <w:t>y 6</w:t>
            </w:r>
            <w:r w:rsidR="001B1000" w:rsidRPr="006A749D">
              <w:rPr>
                <w:rFonts w:ascii="Times New Roman" w:eastAsia="Times New Roman" w:hAnsi="Times New Roman" w:cs="Times New Roman"/>
                <w:sz w:val="26"/>
                <w:szCs w:val="26"/>
              </w:rPr>
              <w:t>, 202</w:t>
            </w:r>
            <w:r w:rsidR="0007559E" w:rsidRPr="006A749D">
              <w:rPr>
                <w:rFonts w:ascii="Times New Roman" w:eastAsia="Times New Roman" w:hAnsi="Times New Roman" w:cs="Times New Roman"/>
                <w:sz w:val="26"/>
                <w:szCs w:val="26"/>
              </w:rPr>
              <w:t>1</w:t>
            </w:r>
          </w:p>
        </w:tc>
      </w:tr>
      <w:tr w:rsidR="00C322F0" w:rsidRPr="006A749D" w14:paraId="5A8AFBB7" w14:textId="77777777" w:rsidTr="002D6ED4">
        <w:trPr>
          <w:trHeight w:val="2547"/>
        </w:trPr>
        <w:tc>
          <w:tcPr>
            <w:tcW w:w="9360" w:type="dxa"/>
            <w:gridSpan w:val="2"/>
          </w:tcPr>
          <w:p w14:paraId="6E6A5F14" w14:textId="06956C54" w:rsidR="00C322F0" w:rsidRPr="006A749D" w:rsidRDefault="00C322F0" w:rsidP="0048770E">
            <w:pPr>
              <w:rPr>
                <w:rFonts w:ascii="Times New Roman" w:eastAsia="Times New Roman" w:hAnsi="Times New Roman" w:cs="Times New Roman"/>
                <w:sz w:val="26"/>
                <w:szCs w:val="26"/>
              </w:rPr>
            </w:pPr>
          </w:p>
          <w:p w14:paraId="2D697E46" w14:textId="77777777" w:rsidR="0048770E" w:rsidRPr="006A749D" w:rsidRDefault="0048770E" w:rsidP="0048770E">
            <w:pPr>
              <w:rPr>
                <w:rFonts w:ascii="Times New Roman" w:eastAsia="Times New Roman" w:hAnsi="Times New Roman" w:cs="Times New Roman"/>
                <w:sz w:val="26"/>
                <w:szCs w:val="26"/>
              </w:rPr>
            </w:pPr>
          </w:p>
          <w:p w14:paraId="01CE6626" w14:textId="77777777" w:rsidR="00C322F0" w:rsidRPr="006A749D" w:rsidRDefault="00C322F0" w:rsidP="0048770E">
            <w:pPr>
              <w:rPr>
                <w:rFonts w:ascii="Times New Roman" w:eastAsia="Times New Roman" w:hAnsi="Times New Roman" w:cs="Times New Roman"/>
                <w:sz w:val="26"/>
                <w:szCs w:val="26"/>
              </w:rPr>
            </w:pPr>
            <w:r w:rsidRPr="006A749D">
              <w:rPr>
                <w:rFonts w:ascii="Times New Roman" w:eastAsia="Times New Roman" w:hAnsi="Times New Roman" w:cs="Times New Roman"/>
                <w:sz w:val="26"/>
                <w:szCs w:val="26"/>
              </w:rPr>
              <w:t>Commissioners Present:</w:t>
            </w:r>
          </w:p>
          <w:p w14:paraId="66317839" w14:textId="77777777" w:rsidR="00C322F0" w:rsidRPr="006A749D" w:rsidRDefault="00C322F0" w:rsidP="0048770E">
            <w:pPr>
              <w:rPr>
                <w:rFonts w:ascii="Times New Roman" w:eastAsia="Times New Roman" w:hAnsi="Times New Roman" w:cs="Times New Roman"/>
                <w:sz w:val="26"/>
                <w:szCs w:val="26"/>
              </w:rPr>
            </w:pPr>
          </w:p>
          <w:p w14:paraId="12DE1A4C" w14:textId="3AE00B2C" w:rsidR="00A16920" w:rsidRPr="006A749D" w:rsidRDefault="00A16920" w:rsidP="0048770E">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Gladys Brown</w:t>
            </w:r>
            <w:r w:rsidR="00CA348C" w:rsidRPr="006A749D">
              <w:rPr>
                <w:rFonts w:ascii="Times New Roman" w:hAnsi="Times New Roman" w:cs="Times New Roman"/>
                <w:sz w:val="26"/>
                <w:szCs w:val="26"/>
              </w:rPr>
              <w:t xml:space="preserve"> Dutrieuille</w:t>
            </w:r>
            <w:r w:rsidRPr="006A749D">
              <w:rPr>
                <w:rFonts w:ascii="Times New Roman" w:hAnsi="Times New Roman" w:cs="Times New Roman"/>
                <w:sz w:val="26"/>
                <w:szCs w:val="26"/>
              </w:rPr>
              <w:t>, Chairman</w:t>
            </w:r>
          </w:p>
          <w:p w14:paraId="6DA39C30" w14:textId="77777777" w:rsidR="00A16920" w:rsidRPr="006A749D" w:rsidRDefault="00A16920" w:rsidP="0048770E">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David W. Sweet, Vice Chairman</w:t>
            </w:r>
          </w:p>
          <w:p w14:paraId="0BA0DC9C" w14:textId="74B783FD" w:rsidR="00C322F0" w:rsidRPr="006A749D" w:rsidRDefault="00A16920" w:rsidP="0048770E">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John F. Coleman, Jr.</w:t>
            </w:r>
          </w:p>
          <w:p w14:paraId="3F4F8888" w14:textId="61FEBE52" w:rsidR="00CA348C" w:rsidRPr="006A749D" w:rsidRDefault="00CA348C" w:rsidP="0048770E">
            <w:pPr>
              <w:tabs>
                <w:tab w:val="left" w:pos="-720"/>
              </w:tabs>
              <w:ind w:left="720"/>
              <w:rPr>
                <w:rFonts w:ascii="Times New Roman" w:hAnsi="Times New Roman" w:cs="Times New Roman"/>
                <w:sz w:val="26"/>
                <w:szCs w:val="26"/>
              </w:rPr>
            </w:pPr>
            <w:r w:rsidRPr="006A749D">
              <w:rPr>
                <w:rFonts w:ascii="Times New Roman" w:hAnsi="Times New Roman" w:cs="Times New Roman"/>
                <w:sz w:val="26"/>
                <w:szCs w:val="26"/>
              </w:rPr>
              <w:t>Ralph V. Yanora</w:t>
            </w:r>
          </w:p>
          <w:p w14:paraId="353C04A5" w14:textId="77777777" w:rsidR="00A16920" w:rsidRPr="006A749D" w:rsidRDefault="00A16920" w:rsidP="0048770E">
            <w:pPr>
              <w:rPr>
                <w:rFonts w:ascii="Times New Roman" w:eastAsia="Times New Roman" w:hAnsi="Times New Roman" w:cs="Times New Roman"/>
                <w:sz w:val="26"/>
                <w:szCs w:val="26"/>
              </w:rPr>
            </w:pPr>
          </w:p>
        </w:tc>
      </w:tr>
      <w:tr w:rsidR="00C322F0" w:rsidRPr="006A749D" w14:paraId="6ADDBBBE" w14:textId="77777777" w:rsidTr="00875DAC">
        <w:tc>
          <w:tcPr>
            <w:tcW w:w="4821" w:type="dxa"/>
          </w:tcPr>
          <w:p w14:paraId="20E78A27" w14:textId="77777777" w:rsidR="00C322F0" w:rsidRPr="006A749D" w:rsidRDefault="00C322F0" w:rsidP="0048770E">
            <w:pPr>
              <w:rPr>
                <w:rFonts w:ascii="Times New Roman" w:eastAsia="Times New Roman" w:hAnsi="Times New Roman" w:cs="Times New Roman"/>
                <w:sz w:val="26"/>
                <w:szCs w:val="26"/>
              </w:rPr>
            </w:pPr>
          </w:p>
          <w:p w14:paraId="6FD231DC" w14:textId="00C0D90A" w:rsidR="00C322F0" w:rsidRPr="006A749D" w:rsidRDefault="00222BBB" w:rsidP="00DB0F6E">
            <w:pPr>
              <w:adjustRightInd w:val="0"/>
              <w:rPr>
                <w:rFonts w:ascii="Times New Roman" w:eastAsia="Times New Roman" w:hAnsi="Times New Roman" w:cs="Times New Roman"/>
                <w:sz w:val="26"/>
                <w:szCs w:val="26"/>
              </w:rPr>
            </w:pPr>
            <w:r w:rsidRPr="006A749D">
              <w:rPr>
                <w:rFonts w:ascii="Times New Roman" w:hAnsi="Times New Roman" w:cs="Times New Roman"/>
                <w:sz w:val="26"/>
                <w:szCs w:val="26"/>
              </w:rPr>
              <w:t>Application of Pennsylvania</w:t>
            </w:r>
            <w:r w:rsidR="00DB0F6E">
              <w:rPr>
                <w:rFonts w:ascii="Times New Roman" w:hAnsi="Times New Roman" w:cs="Times New Roman"/>
                <w:sz w:val="26"/>
                <w:szCs w:val="26"/>
              </w:rPr>
              <w:t>-American Water Company – Wastewater Division</w:t>
            </w:r>
            <w:r w:rsidRPr="006A749D">
              <w:rPr>
                <w:rFonts w:ascii="Times New Roman" w:hAnsi="Times New Roman" w:cs="Times New Roman"/>
                <w:sz w:val="26"/>
                <w:szCs w:val="26"/>
              </w:rPr>
              <w:t xml:space="preserve"> </w:t>
            </w:r>
            <w:r w:rsidR="00DB0F6E">
              <w:rPr>
                <w:rFonts w:ascii="Times New Roman" w:hAnsi="Times New Roman" w:cs="Times New Roman"/>
                <w:sz w:val="26"/>
                <w:szCs w:val="26"/>
              </w:rPr>
              <w:t>under Section 1329 of the Pennsylvania Public Utility Code, 66 Pa. C.S. §</w:t>
            </w:r>
            <w:r w:rsidR="00CF23B2" w:rsidRPr="006A749D">
              <w:rPr>
                <w:rFonts w:ascii="Times New Roman" w:hAnsi="Times New Roman" w:cs="Times New Roman"/>
                <w:sz w:val="26"/>
                <w:szCs w:val="26"/>
              </w:rPr>
              <w:t xml:space="preserve"> </w:t>
            </w:r>
            <w:r w:rsidRPr="006A749D">
              <w:rPr>
                <w:rFonts w:ascii="Times New Roman" w:hAnsi="Times New Roman" w:cs="Times New Roman"/>
                <w:sz w:val="26"/>
                <w:szCs w:val="26"/>
              </w:rPr>
              <w:t>1329</w:t>
            </w:r>
            <w:r w:rsidR="00DB0F6E">
              <w:rPr>
                <w:rFonts w:ascii="Times New Roman" w:hAnsi="Times New Roman" w:cs="Times New Roman"/>
                <w:sz w:val="26"/>
                <w:szCs w:val="26"/>
              </w:rPr>
              <w:t>, for the Acquisition of Royersford Borough’s Wastewater System Assets</w:t>
            </w:r>
          </w:p>
        </w:tc>
        <w:tc>
          <w:tcPr>
            <w:tcW w:w="4539" w:type="dxa"/>
          </w:tcPr>
          <w:p w14:paraId="6DCFAEA5" w14:textId="77777777" w:rsidR="00C322F0" w:rsidRPr="006A749D" w:rsidRDefault="00C322F0" w:rsidP="0048770E">
            <w:pPr>
              <w:rPr>
                <w:rFonts w:ascii="Times New Roman" w:eastAsia="Times New Roman" w:hAnsi="Times New Roman" w:cs="Times New Roman"/>
                <w:sz w:val="26"/>
                <w:szCs w:val="26"/>
              </w:rPr>
            </w:pPr>
          </w:p>
          <w:p w14:paraId="536BD52B" w14:textId="20F71275" w:rsidR="00C322F0" w:rsidRPr="006A749D" w:rsidRDefault="00222BBB" w:rsidP="0048770E">
            <w:pPr>
              <w:jc w:val="right"/>
              <w:rPr>
                <w:rFonts w:ascii="Times New Roman" w:eastAsia="Times New Roman" w:hAnsi="Times New Roman" w:cs="Times New Roman"/>
                <w:sz w:val="26"/>
                <w:szCs w:val="26"/>
              </w:rPr>
            </w:pPr>
            <w:r w:rsidRPr="006A749D">
              <w:rPr>
                <w:rFonts w:ascii="Times New Roman" w:eastAsia="Times New Roman" w:hAnsi="Times New Roman" w:cs="Times New Roman"/>
                <w:color w:val="000000"/>
                <w:sz w:val="26"/>
                <w:szCs w:val="26"/>
              </w:rPr>
              <w:t>A-20</w:t>
            </w:r>
            <w:r w:rsidR="00DB0F6E">
              <w:rPr>
                <w:rFonts w:ascii="Times New Roman" w:eastAsia="Times New Roman" w:hAnsi="Times New Roman" w:cs="Times New Roman"/>
                <w:color w:val="000000"/>
                <w:sz w:val="26"/>
                <w:szCs w:val="26"/>
              </w:rPr>
              <w:t>20</w:t>
            </w:r>
            <w:r w:rsidRPr="006A749D">
              <w:rPr>
                <w:rFonts w:ascii="Times New Roman" w:eastAsia="Times New Roman" w:hAnsi="Times New Roman" w:cs="Times New Roman"/>
                <w:color w:val="000000"/>
                <w:sz w:val="26"/>
                <w:szCs w:val="26"/>
              </w:rPr>
              <w:t>-301</w:t>
            </w:r>
            <w:r w:rsidR="00DB0F6E">
              <w:rPr>
                <w:rFonts w:ascii="Times New Roman" w:eastAsia="Times New Roman" w:hAnsi="Times New Roman" w:cs="Times New Roman"/>
                <w:color w:val="000000"/>
                <w:sz w:val="26"/>
                <w:szCs w:val="26"/>
              </w:rPr>
              <w:t>9634</w:t>
            </w:r>
          </w:p>
        </w:tc>
      </w:tr>
      <w:tr w:rsidR="00C322F0" w:rsidRPr="006A749D" w14:paraId="0E2A0818" w14:textId="77777777" w:rsidTr="00875DAC">
        <w:tc>
          <w:tcPr>
            <w:tcW w:w="4821" w:type="dxa"/>
          </w:tcPr>
          <w:p w14:paraId="405A755E" w14:textId="77777777" w:rsidR="00C322F0" w:rsidRPr="006A749D" w:rsidRDefault="00C322F0" w:rsidP="0048770E">
            <w:pPr>
              <w:ind w:firstLine="1440"/>
              <w:rPr>
                <w:rFonts w:ascii="Times New Roman" w:eastAsia="Times New Roman" w:hAnsi="Times New Roman" w:cs="Times New Roman"/>
                <w:sz w:val="26"/>
                <w:szCs w:val="26"/>
              </w:rPr>
            </w:pPr>
          </w:p>
        </w:tc>
        <w:tc>
          <w:tcPr>
            <w:tcW w:w="4539" w:type="dxa"/>
          </w:tcPr>
          <w:p w14:paraId="69557302" w14:textId="77777777" w:rsidR="00C322F0" w:rsidRPr="006A749D" w:rsidRDefault="00C322F0" w:rsidP="0048770E">
            <w:pPr>
              <w:rPr>
                <w:rFonts w:ascii="Times New Roman" w:eastAsia="Times New Roman" w:hAnsi="Times New Roman" w:cs="Times New Roman"/>
                <w:sz w:val="26"/>
                <w:szCs w:val="26"/>
              </w:rPr>
            </w:pPr>
          </w:p>
        </w:tc>
      </w:tr>
      <w:tr w:rsidR="00C322F0" w:rsidRPr="006A749D" w14:paraId="4C3149A5" w14:textId="77777777" w:rsidTr="00875DAC">
        <w:tc>
          <w:tcPr>
            <w:tcW w:w="4821" w:type="dxa"/>
          </w:tcPr>
          <w:p w14:paraId="7AB18E03" w14:textId="77777777" w:rsidR="00C322F0" w:rsidRPr="006A749D" w:rsidRDefault="00C322F0" w:rsidP="0048770E">
            <w:pPr>
              <w:rPr>
                <w:rFonts w:ascii="Times New Roman" w:eastAsia="Times New Roman" w:hAnsi="Times New Roman" w:cs="Times New Roman"/>
                <w:sz w:val="26"/>
                <w:szCs w:val="26"/>
              </w:rPr>
            </w:pPr>
          </w:p>
        </w:tc>
        <w:tc>
          <w:tcPr>
            <w:tcW w:w="4539" w:type="dxa"/>
          </w:tcPr>
          <w:p w14:paraId="08A20F4A" w14:textId="77777777" w:rsidR="00C322F0" w:rsidRPr="006A749D" w:rsidRDefault="00C322F0" w:rsidP="0048770E">
            <w:pPr>
              <w:rPr>
                <w:rFonts w:ascii="Times New Roman" w:eastAsia="Times New Roman" w:hAnsi="Times New Roman" w:cs="Times New Roman"/>
                <w:sz w:val="26"/>
                <w:szCs w:val="26"/>
              </w:rPr>
            </w:pPr>
          </w:p>
        </w:tc>
      </w:tr>
    </w:tbl>
    <w:p w14:paraId="3B8A7C2D" w14:textId="77777777" w:rsidR="00C322F0" w:rsidRPr="006A749D" w:rsidRDefault="00C322F0" w:rsidP="0048770E">
      <w:pPr>
        <w:rPr>
          <w:rFonts w:ascii="Times New Roman" w:eastAsia="Times New Roman" w:hAnsi="Times New Roman" w:cs="Times New Roman"/>
          <w:sz w:val="26"/>
          <w:szCs w:val="26"/>
        </w:rPr>
      </w:pPr>
    </w:p>
    <w:p w14:paraId="4ACAAFA6" w14:textId="39C79219" w:rsidR="00C322F0" w:rsidRPr="006A749D" w:rsidRDefault="002D6ED4" w:rsidP="009312A3">
      <w:pPr>
        <w:jc w:val="center"/>
        <w:rPr>
          <w:rFonts w:ascii="Times New Roman" w:eastAsia="Times New Roman" w:hAnsi="Times New Roman" w:cs="Times New Roman"/>
          <w:b/>
          <w:sz w:val="26"/>
          <w:szCs w:val="26"/>
        </w:rPr>
      </w:pPr>
      <w:r w:rsidRPr="006A749D">
        <w:rPr>
          <w:rFonts w:ascii="Times New Roman" w:eastAsia="Times New Roman" w:hAnsi="Times New Roman" w:cs="Times New Roman"/>
          <w:b/>
          <w:sz w:val="26"/>
          <w:szCs w:val="26"/>
        </w:rPr>
        <w:t>O</w:t>
      </w:r>
      <w:r w:rsidR="00C322F0" w:rsidRPr="006A749D">
        <w:rPr>
          <w:rFonts w:ascii="Times New Roman" w:eastAsia="Times New Roman" w:hAnsi="Times New Roman" w:cs="Times New Roman"/>
          <w:b/>
          <w:sz w:val="26"/>
          <w:szCs w:val="26"/>
        </w:rPr>
        <w:t>PINION AND ORDER</w:t>
      </w:r>
    </w:p>
    <w:p w14:paraId="2A1B6901" w14:textId="77777777" w:rsidR="0054142F" w:rsidRPr="006A749D" w:rsidRDefault="0054142F">
      <w:pPr>
        <w:rPr>
          <w:rFonts w:ascii="Times New Roman" w:eastAsia="Times New Roman" w:hAnsi="Times New Roman" w:cs="Times New Roman"/>
          <w:b/>
          <w:sz w:val="26"/>
          <w:szCs w:val="26"/>
        </w:rPr>
      </w:pPr>
    </w:p>
    <w:p w14:paraId="45F31738" w14:textId="77777777" w:rsidR="00DB0F6E" w:rsidRDefault="00DB0F6E" w:rsidP="0048770E">
      <w:pPr>
        <w:spacing w:line="360" w:lineRule="auto"/>
        <w:rPr>
          <w:rFonts w:ascii="Times New Roman" w:eastAsia="Times New Roman" w:hAnsi="Times New Roman" w:cs="Times New Roman"/>
          <w:b/>
          <w:sz w:val="26"/>
          <w:szCs w:val="26"/>
        </w:rPr>
      </w:pPr>
    </w:p>
    <w:p w14:paraId="020C2FD6" w14:textId="4FE6024D" w:rsidR="00C322F0" w:rsidRPr="006A749D" w:rsidRDefault="00C322F0" w:rsidP="0048770E">
      <w:pPr>
        <w:spacing w:line="360" w:lineRule="auto"/>
        <w:rPr>
          <w:rFonts w:ascii="Times New Roman" w:eastAsia="Times New Roman" w:hAnsi="Times New Roman" w:cs="Times New Roman"/>
          <w:b/>
          <w:sz w:val="26"/>
          <w:szCs w:val="26"/>
        </w:rPr>
      </w:pPr>
      <w:r w:rsidRPr="006A749D">
        <w:rPr>
          <w:rFonts w:ascii="Times New Roman" w:eastAsia="Times New Roman" w:hAnsi="Times New Roman" w:cs="Times New Roman"/>
          <w:b/>
          <w:sz w:val="26"/>
          <w:szCs w:val="26"/>
        </w:rPr>
        <w:t>BY THE COMMISSION:</w:t>
      </w:r>
    </w:p>
    <w:p w14:paraId="2893DF90" w14:textId="77777777" w:rsidR="00C322F0" w:rsidRPr="006A749D" w:rsidRDefault="00C322F0" w:rsidP="0048770E">
      <w:pPr>
        <w:spacing w:line="360" w:lineRule="auto"/>
        <w:rPr>
          <w:rFonts w:ascii="Times New Roman" w:eastAsia="Times New Roman" w:hAnsi="Times New Roman" w:cs="Times New Roman"/>
          <w:b/>
          <w:sz w:val="26"/>
          <w:szCs w:val="26"/>
        </w:rPr>
      </w:pPr>
    </w:p>
    <w:p w14:paraId="57659AF4" w14:textId="21E29D0E" w:rsidR="00B968BE" w:rsidRDefault="00222BBB" w:rsidP="00B968BE">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 xml:space="preserve">Before the Pennsylvania Public Utility Commission (Commission) for consideration and disposition </w:t>
      </w:r>
      <w:r w:rsidR="00714A87">
        <w:rPr>
          <w:rFonts w:ascii="Times New Roman" w:hAnsi="Times New Roman" w:cs="Times New Roman"/>
          <w:sz w:val="26"/>
          <w:szCs w:val="26"/>
        </w:rPr>
        <w:t xml:space="preserve">is </w:t>
      </w:r>
      <w:r w:rsidR="003221BE" w:rsidRPr="006A749D">
        <w:rPr>
          <w:rFonts w:ascii="Times New Roman" w:hAnsi="Times New Roman" w:cs="Times New Roman"/>
          <w:sz w:val="26"/>
          <w:szCs w:val="26"/>
        </w:rPr>
        <w:t>the Exception of</w:t>
      </w:r>
      <w:r w:rsidRPr="006A749D">
        <w:rPr>
          <w:rFonts w:ascii="Times New Roman" w:hAnsi="Times New Roman" w:cs="Times New Roman"/>
          <w:color w:val="000000" w:themeColor="text1"/>
          <w:sz w:val="26"/>
          <w:szCs w:val="26"/>
        </w:rPr>
        <w:t xml:space="preserve"> </w:t>
      </w:r>
      <w:r w:rsidR="00DB0F6E">
        <w:rPr>
          <w:rFonts w:ascii="Times New Roman" w:hAnsi="Times New Roman" w:cs="Times New Roman"/>
          <w:color w:val="000000" w:themeColor="text1"/>
          <w:sz w:val="26"/>
          <w:szCs w:val="26"/>
        </w:rPr>
        <w:t xml:space="preserve">the Office of Consumer Advocate (OCA) </w:t>
      </w:r>
      <w:r w:rsidR="003221BE" w:rsidRPr="006A749D">
        <w:rPr>
          <w:rFonts w:ascii="Times New Roman" w:hAnsi="Times New Roman" w:cs="Times New Roman"/>
          <w:color w:val="000000" w:themeColor="text1"/>
          <w:sz w:val="26"/>
          <w:szCs w:val="26"/>
        </w:rPr>
        <w:t>filed</w:t>
      </w:r>
      <w:r w:rsidR="00781CED" w:rsidRPr="006A749D">
        <w:rPr>
          <w:rFonts w:ascii="Times New Roman" w:hAnsi="Times New Roman" w:cs="Times New Roman"/>
          <w:sz w:val="26"/>
          <w:szCs w:val="26"/>
        </w:rPr>
        <w:t xml:space="preserve"> </w:t>
      </w:r>
      <w:r w:rsidRPr="006A749D">
        <w:rPr>
          <w:rFonts w:ascii="Times New Roman" w:hAnsi="Times New Roman" w:cs="Times New Roman"/>
          <w:color w:val="000000" w:themeColor="text1"/>
          <w:sz w:val="26"/>
          <w:szCs w:val="26"/>
        </w:rPr>
        <w:t xml:space="preserve">on </w:t>
      </w:r>
      <w:r w:rsidR="005E1C2E">
        <w:rPr>
          <w:rFonts w:ascii="Times New Roman" w:hAnsi="Times New Roman" w:cs="Times New Roman"/>
          <w:color w:val="000000" w:themeColor="text1"/>
          <w:sz w:val="26"/>
          <w:szCs w:val="26"/>
        </w:rPr>
        <w:t>March 26</w:t>
      </w:r>
      <w:r w:rsidR="003221BE" w:rsidRPr="006A749D">
        <w:rPr>
          <w:rFonts w:ascii="Times New Roman" w:hAnsi="Times New Roman" w:cs="Times New Roman"/>
          <w:color w:val="000000" w:themeColor="text1"/>
          <w:sz w:val="26"/>
          <w:szCs w:val="26"/>
        </w:rPr>
        <w:t>, 20</w:t>
      </w:r>
      <w:r w:rsidR="004A6E13" w:rsidRPr="006A749D">
        <w:rPr>
          <w:rFonts w:ascii="Times New Roman" w:hAnsi="Times New Roman" w:cs="Times New Roman"/>
          <w:color w:val="000000" w:themeColor="text1"/>
          <w:sz w:val="26"/>
          <w:szCs w:val="26"/>
        </w:rPr>
        <w:t>2</w:t>
      </w:r>
      <w:r w:rsidR="003221BE" w:rsidRPr="006A749D">
        <w:rPr>
          <w:rFonts w:ascii="Times New Roman" w:hAnsi="Times New Roman" w:cs="Times New Roman"/>
          <w:color w:val="000000" w:themeColor="text1"/>
          <w:sz w:val="26"/>
          <w:szCs w:val="26"/>
        </w:rPr>
        <w:t>1</w:t>
      </w:r>
      <w:r w:rsidRPr="006A749D">
        <w:rPr>
          <w:rFonts w:ascii="Times New Roman" w:hAnsi="Times New Roman" w:cs="Times New Roman"/>
          <w:color w:val="000000" w:themeColor="text1"/>
          <w:sz w:val="26"/>
          <w:szCs w:val="26"/>
        </w:rPr>
        <w:t xml:space="preserve">, in the above-captioned proceeding.  </w:t>
      </w:r>
      <w:r w:rsidRPr="006A749D">
        <w:rPr>
          <w:rFonts w:ascii="Times New Roman" w:hAnsi="Times New Roman" w:cs="Times New Roman"/>
          <w:sz w:val="26"/>
          <w:szCs w:val="26"/>
        </w:rPr>
        <w:t xml:space="preserve">The </w:t>
      </w:r>
      <w:r w:rsidR="003221BE" w:rsidRPr="006A749D">
        <w:rPr>
          <w:rFonts w:ascii="Times New Roman" w:hAnsi="Times New Roman" w:cs="Times New Roman"/>
          <w:sz w:val="26"/>
          <w:szCs w:val="26"/>
        </w:rPr>
        <w:t>Exception</w:t>
      </w:r>
      <w:r w:rsidR="00714A87">
        <w:rPr>
          <w:rFonts w:ascii="Times New Roman" w:hAnsi="Times New Roman" w:cs="Times New Roman"/>
          <w:sz w:val="26"/>
          <w:szCs w:val="26"/>
        </w:rPr>
        <w:t xml:space="preserve"> </w:t>
      </w:r>
      <w:r w:rsidR="003221BE" w:rsidRPr="006A749D">
        <w:rPr>
          <w:rFonts w:ascii="Times New Roman" w:hAnsi="Times New Roman" w:cs="Times New Roman"/>
          <w:sz w:val="26"/>
          <w:szCs w:val="26"/>
        </w:rPr>
        <w:t>w</w:t>
      </w:r>
      <w:r w:rsidR="00714A87">
        <w:rPr>
          <w:rFonts w:ascii="Times New Roman" w:hAnsi="Times New Roman" w:cs="Times New Roman"/>
          <w:sz w:val="26"/>
          <w:szCs w:val="26"/>
        </w:rPr>
        <w:t>as</w:t>
      </w:r>
      <w:r w:rsidRPr="006A749D">
        <w:rPr>
          <w:rFonts w:ascii="Times New Roman" w:hAnsi="Times New Roman" w:cs="Times New Roman"/>
          <w:sz w:val="26"/>
          <w:szCs w:val="26"/>
        </w:rPr>
        <w:t xml:space="preserve"> filed in response to </w:t>
      </w:r>
      <w:r w:rsidR="00781CED" w:rsidRPr="006A749D">
        <w:rPr>
          <w:rFonts w:ascii="Times New Roman" w:hAnsi="Times New Roman" w:cs="Times New Roman"/>
          <w:sz w:val="26"/>
          <w:szCs w:val="26"/>
        </w:rPr>
        <w:t xml:space="preserve">the </w:t>
      </w:r>
      <w:r w:rsidR="003221BE" w:rsidRPr="006A749D">
        <w:rPr>
          <w:rFonts w:ascii="Times New Roman" w:hAnsi="Times New Roman" w:cs="Times New Roman"/>
          <w:sz w:val="26"/>
          <w:szCs w:val="26"/>
        </w:rPr>
        <w:t xml:space="preserve">Recommended Decision of Administrative Law Judge (ALJ) </w:t>
      </w:r>
      <w:r w:rsidR="005E1C2E">
        <w:rPr>
          <w:rFonts w:ascii="Times New Roman" w:hAnsi="Times New Roman" w:cs="Times New Roman"/>
          <w:sz w:val="26"/>
          <w:szCs w:val="26"/>
        </w:rPr>
        <w:t xml:space="preserve">Marta </w:t>
      </w:r>
      <w:proofErr w:type="spellStart"/>
      <w:r w:rsidR="005E1C2E">
        <w:rPr>
          <w:rFonts w:ascii="Times New Roman" w:hAnsi="Times New Roman" w:cs="Times New Roman"/>
          <w:sz w:val="26"/>
          <w:szCs w:val="26"/>
        </w:rPr>
        <w:t>Guhl</w:t>
      </w:r>
      <w:proofErr w:type="spellEnd"/>
      <w:r w:rsidR="003221BE" w:rsidRPr="006A749D">
        <w:rPr>
          <w:rFonts w:ascii="Times New Roman" w:hAnsi="Times New Roman" w:cs="Times New Roman"/>
          <w:sz w:val="26"/>
          <w:szCs w:val="26"/>
        </w:rPr>
        <w:t xml:space="preserve"> issued on </w:t>
      </w:r>
      <w:r w:rsidR="005E1C2E">
        <w:rPr>
          <w:rFonts w:ascii="Times New Roman" w:hAnsi="Times New Roman" w:cs="Times New Roman"/>
          <w:sz w:val="26"/>
          <w:szCs w:val="26"/>
        </w:rPr>
        <w:t>March 16</w:t>
      </w:r>
      <w:r w:rsidR="00AE16EB" w:rsidRPr="006A749D">
        <w:rPr>
          <w:rFonts w:ascii="Times New Roman" w:hAnsi="Times New Roman" w:cs="Times New Roman"/>
          <w:sz w:val="26"/>
          <w:szCs w:val="26"/>
        </w:rPr>
        <w:t xml:space="preserve">, 2021.  </w:t>
      </w:r>
      <w:r w:rsidR="002D7152" w:rsidRPr="006A749D">
        <w:rPr>
          <w:rFonts w:ascii="Times New Roman" w:hAnsi="Times New Roman" w:cs="Times New Roman"/>
          <w:sz w:val="26"/>
          <w:szCs w:val="26"/>
        </w:rPr>
        <w:t xml:space="preserve">On </w:t>
      </w:r>
      <w:r w:rsidR="005E1C2E">
        <w:rPr>
          <w:rFonts w:ascii="Times New Roman" w:hAnsi="Times New Roman" w:cs="Times New Roman"/>
          <w:sz w:val="26"/>
          <w:szCs w:val="26"/>
        </w:rPr>
        <w:t>March 29</w:t>
      </w:r>
      <w:r w:rsidR="00AE16EB" w:rsidRPr="006A749D">
        <w:rPr>
          <w:rFonts w:ascii="Times New Roman" w:hAnsi="Times New Roman" w:cs="Times New Roman"/>
          <w:sz w:val="26"/>
          <w:szCs w:val="26"/>
        </w:rPr>
        <w:t>,</w:t>
      </w:r>
      <w:r w:rsidR="00643E6E">
        <w:rPr>
          <w:rFonts w:ascii="Times New Roman" w:hAnsi="Times New Roman" w:cs="Times New Roman"/>
          <w:sz w:val="26"/>
          <w:szCs w:val="26"/>
        </w:rPr>
        <w:t> </w:t>
      </w:r>
      <w:r w:rsidR="00AE16EB" w:rsidRPr="006A749D">
        <w:rPr>
          <w:rFonts w:ascii="Times New Roman" w:hAnsi="Times New Roman" w:cs="Times New Roman"/>
          <w:sz w:val="26"/>
          <w:szCs w:val="26"/>
        </w:rPr>
        <w:t xml:space="preserve">2021, </w:t>
      </w:r>
      <w:r w:rsidR="005E1C2E">
        <w:rPr>
          <w:rFonts w:ascii="Times New Roman" w:eastAsia="Times New Roman" w:hAnsi="Times New Roman" w:cs="Times New Roman"/>
          <w:color w:val="000000"/>
          <w:sz w:val="26"/>
          <w:szCs w:val="26"/>
        </w:rPr>
        <w:t xml:space="preserve">Pennsylvania-American Water Company – Wastewater Division (PAWC or Company) </w:t>
      </w:r>
      <w:r w:rsidR="002D7152" w:rsidRPr="006A749D">
        <w:rPr>
          <w:rFonts w:ascii="Times New Roman" w:hAnsi="Times New Roman" w:cs="Times New Roman"/>
          <w:sz w:val="26"/>
          <w:szCs w:val="26"/>
        </w:rPr>
        <w:t xml:space="preserve">filed </w:t>
      </w:r>
      <w:r w:rsidR="00AE16EB" w:rsidRPr="006A749D">
        <w:rPr>
          <w:rFonts w:ascii="Times New Roman" w:hAnsi="Times New Roman" w:cs="Times New Roman"/>
          <w:sz w:val="26"/>
          <w:szCs w:val="26"/>
        </w:rPr>
        <w:t xml:space="preserve">Replies to </w:t>
      </w:r>
      <w:r w:rsidR="00714A87">
        <w:rPr>
          <w:rFonts w:ascii="Times New Roman" w:hAnsi="Times New Roman" w:cs="Times New Roman"/>
          <w:sz w:val="26"/>
          <w:szCs w:val="26"/>
        </w:rPr>
        <w:t xml:space="preserve">the </w:t>
      </w:r>
      <w:r w:rsidR="00AE16EB" w:rsidRPr="006A749D">
        <w:rPr>
          <w:rFonts w:ascii="Times New Roman" w:hAnsi="Times New Roman" w:cs="Times New Roman"/>
          <w:sz w:val="26"/>
          <w:szCs w:val="26"/>
        </w:rPr>
        <w:t>Exception</w:t>
      </w:r>
      <w:r w:rsidR="00544641">
        <w:rPr>
          <w:rFonts w:ascii="Times New Roman" w:hAnsi="Times New Roman" w:cs="Times New Roman"/>
          <w:sz w:val="26"/>
          <w:szCs w:val="26"/>
        </w:rPr>
        <w:t xml:space="preserve"> and</w:t>
      </w:r>
      <w:r w:rsidR="005E1C2E">
        <w:rPr>
          <w:rFonts w:ascii="Times New Roman" w:hAnsi="Times New Roman" w:cs="Times New Roman"/>
          <w:sz w:val="26"/>
          <w:szCs w:val="26"/>
        </w:rPr>
        <w:t xml:space="preserve"> </w:t>
      </w:r>
      <w:r w:rsidR="00B968BE">
        <w:rPr>
          <w:rFonts w:ascii="Times New Roman" w:hAnsi="Times New Roman" w:cs="Times New Roman"/>
          <w:sz w:val="26"/>
          <w:szCs w:val="26"/>
        </w:rPr>
        <w:t xml:space="preserve">Royersford </w:t>
      </w:r>
      <w:r w:rsidR="005E1C2E">
        <w:rPr>
          <w:rFonts w:ascii="Times New Roman" w:hAnsi="Times New Roman" w:cs="Times New Roman"/>
          <w:sz w:val="26"/>
          <w:szCs w:val="26"/>
        </w:rPr>
        <w:t>Borough (</w:t>
      </w:r>
      <w:r w:rsidR="00B968BE">
        <w:rPr>
          <w:rFonts w:ascii="Times New Roman" w:hAnsi="Times New Roman" w:cs="Times New Roman"/>
          <w:sz w:val="26"/>
          <w:szCs w:val="26"/>
        </w:rPr>
        <w:t xml:space="preserve">Royersford or </w:t>
      </w:r>
      <w:r w:rsidR="005E1C2E">
        <w:rPr>
          <w:rFonts w:ascii="Times New Roman" w:hAnsi="Times New Roman" w:cs="Times New Roman"/>
          <w:sz w:val="26"/>
          <w:szCs w:val="26"/>
        </w:rPr>
        <w:t>Borough</w:t>
      </w:r>
      <w:r w:rsidR="0001628A">
        <w:rPr>
          <w:rFonts w:ascii="Times New Roman" w:hAnsi="Times New Roman" w:cs="Times New Roman"/>
          <w:sz w:val="26"/>
          <w:szCs w:val="26"/>
        </w:rPr>
        <w:t xml:space="preserve"> or Royersford Borough</w:t>
      </w:r>
      <w:r w:rsidR="005E1C2E">
        <w:rPr>
          <w:rFonts w:ascii="Times New Roman" w:hAnsi="Times New Roman" w:cs="Times New Roman"/>
          <w:sz w:val="26"/>
          <w:szCs w:val="26"/>
        </w:rPr>
        <w:t xml:space="preserve">) filed a letter </w:t>
      </w:r>
      <w:r w:rsidR="00B968BE">
        <w:rPr>
          <w:rFonts w:ascii="Times New Roman" w:hAnsi="Times New Roman" w:cs="Times New Roman"/>
          <w:sz w:val="26"/>
          <w:szCs w:val="26"/>
        </w:rPr>
        <w:t xml:space="preserve">joining in the </w:t>
      </w:r>
      <w:r w:rsidR="00090C51">
        <w:rPr>
          <w:rFonts w:ascii="Times New Roman" w:hAnsi="Times New Roman" w:cs="Times New Roman"/>
          <w:sz w:val="26"/>
          <w:szCs w:val="26"/>
        </w:rPr>
        <w:t xml:space="preserve">Replies </w:t>
      </w:r>
      <w:r w:rsidR="00A52E0C">
        <w:rPr>
          <w:rFonts w:ascii="Times New Roman" w:hAnsi="Times New Roman" w:cs="Times New Roman"/>
          <w:sz w:val="26"/>
          <w:szCs w:val="26"/>
        </w:rPr>
        <w:t xml:space="preserve">to </w:t>
      </w:r>
      <w:r w:rsidR="00B968BE">
        <w:rPr>
          <w:rFonts w:ascii="Times New Roman" w:hAnsi="Times New Roman" w:cs="Times New Roman"/>
          <w:sz w:val="26"/>
          <w:szCs w:val="26"/>
        </w:rPr>
        <w:t>Exception</w:t>
      </w:r>
      <w:r w:rsidR="00BF66BC">
        <w:rPr>
          <w:rFonts w:ascii="Times New Roman" w:hAnsi="Times New Roman" w:cs="Times New Roman"/>
          <w:sz w:val="26"/>
          <w:szCs w:val="26"/>
        </w:rPr>
        <w:t xml:space="preserve"> </w:t>
      </w:r>
      <w:r w:rsidR="00B968BE">
        <w:rPr>
          <w:rFonts w:ascii="Times New Roman" w:hAnsi="Times New Roman" w:cs="Times New Roman"/>
          <w:sz w:val="26"/>
          <w:szCs w:val="26"/>
        </w:rPr>
        <w:t xml:space="preserve">of PAWC.  Also, before the Commission </w:t>
      </w:r>
      <w:r w:rsidR="00B968BE">
        <w:rPr>
          <w:rFonts w:ascii="Times New Roman" w:hAnsi="Times New Roman" w:cs="Times New Roman"/>
          <w:sz w:val="26"/>
          <w:szCs w:val="26"/>
        </w:rPr>
        <w:lastRenderedPageBreak/>
        <w:t xml:space="preserve">is the Joint Petition for Approval of Settlement of All Issues (Joint Petition or Settlement) filed by PAWC, the OCA, the Bureau of Investigation and Enforcement (I&amp;E), the Office of Small Business Advocate (OSBA), and Royersford on January 29, 2021.  </w:t>
      </w:r>
      <w:r w:rsidR="0007750A" w:rsidRPr="006A749D">
        <w:rPr>
          <w:rFonts w:ascii="Times New Roman" w:hAnsi="Times New Roman" w:cs="Times New Roman"/>
          <w:sz w:val="26"/>
          <w:szCs w:val="26"/>
        </w:rPr>
        <w:t xml:space="preserve">For the reasons below, we shall </w:t>
      </w:r>
      <w:r w:rsidR="00E42EC4" w:rsidRPr="006A749D">
        <w:rPr>
          <w:rFonts w:ascii="Times New Roman" w:hAnsi="Times New Roman" w:cs="Times New Roman"/>
          <w:sz w:val="26"/>
          <w:szCs w:val="26"/>
        </w:rPr>
        <w:t xml:space="preserve">grant </w:t>
      </w:r>
      <w:r w:rsidRPr="006A749D">
        <w:rPr>
          <w:rFonts w:ascii="Times New Roman" w:hAnsi="Times New Roman" w:cs="Times New Roman"/>
          <w:sz w:val="26"/>
          <w:szCs w:val="26"/>
        </w:rPr>
        <w:t xml:space="preserve">the </w:t>
      </w:r>
      <w:r w:rsidR="00AE16EB" w:rsidRPr="006A749D">
        <w:rPr>
          <w:rFonts w:ascii="Times New Roman" w:hAnsi="Times New Roman" w:cs="Times New Roman"/>
          <w:sz w:val="26"/>
          <w:szCs w:val="26"/>
        </w:rPr>
        <w:t>Exception</w:t>
      </w:r>
      <w:r w:rsidR="00B968BE">
        <w:rPr>
          <w:rFonts w:ascii="Times New Roman" w:hAnsi="Times New Roman" w:cs="Times New Roman"/>
          <w:sz w:val="26"/>
          <w:szCs w:val="26"/>
        </w:rPr>
        <w:t xml:space="preserve">, </w:t>
      </w:r>
      <w:r w:rsidR="00697BA0" w:rsidRPr="006A749D">
        <w:rPr>
          <w:rFonts w:ascii="Times New Roman" w:hAnsi="Times New Roman" w:cs="Times New Roman"/>
          <w:sz w:val="26"/>
          <w:szCs w:val="26"/>
        </w:rPr>
        <w:t>adopt</w:t>
      </w:r>
      <w:r w:rsidR="00AE16EB" w:rsidRPr="006A749D">
        <w:rPr>
          <w:rFonts w:ascii="Times New Roman" w:hAnsi="Times New Roman" w:cs="Times New Roman"/>
          <w:sz w:val="26"/>
          <w:szCs w:val="26"/>
        </w:rPr>
        <w:t xml:space="preserve"> the Recommended Decision, </w:t>
      </w:r>
      <w:r w:rsidR="00F66D05" w:rsidRPr="006A749D">
        <w:rPr>
          <w:rFonts w:ascii="Times New Roman" w:hAnsi="Times New Roman" w:cs="Times New Roman"/>
          <w:sz w:val="26"/>
          <w:szCs w:val="26"/>
        </w:rPr>
        <w:t xml:space="preserve">as modified, </w:t>
      </w:r>
      <w:r w:rsidR="00AA0984" w:rsidRPr="006A749D">
        <w:rPr>
          <w:rFonts w:ascii="Times New Roman" w:hAnsi="Times New Roman" w:cs="Times New Roman"/>
          <w:sz w:val="26"/>
          <w:szCs w:val="26"/>
        </w:rPr>
        <w:t xml:space="preserve">and </w:t>
      </w:r>
      <w:r w:rsidR="00B968BE">
        <w:rPr>
          <w:rFonts w:ascii="Times New Roman" w:hAnsi="Times New Roman" w:cs="Times New Roman"/>
          <w:sz w:val="26"/>
          <w:szCs w:val="26"/>
        </w:rPr>
        <w:t>approve the Joint Petition</w:t>
      </w:r>
      <w:r w:rsidR="00BF66BC">
        <w:rPr>
          <w:rFonts w:ascii="Times New Roman" w:hAnsi="Times New Roman" w:cs="Times New Roman"/>
          <w:sz w:val="26"/>
          <w:szCs w:val="26"/>
        </w:rPr>
        <w:t>, without modification,</w:t>
      </w:r>
      <w:r w:rsidR="00B968BE">
        <w:rPr>
          <w:rFonts w:ascii="Times New Roman" w:hAnsi="Times New Roman" w:cs="Times New Roman"/>
          <w:sz w:val="26"/>
          <w:szCs w:val="26"/>
        </w:rPr>
        <w:t xml:space="preserve"> as being in the public interest.  </w:t>
      </w:r>
      <w:bookmarkStart w:id="0" w:name="_Toc66196368"/>
    </w:p>
    <w:p w14:paraId="661ECB58" w14:textId="77777777" w:rsidR="00B968BE" w:rsidRPr="006A749D" w:rsidRDefault="00B968BE" w:rsidP="00B968BE">
      <w:pPr>
        <w:spacing w:line="360" w:lineRule="auto"/>
        <w:ind w:firstLine="1440"/>
      </w:pPr>
    </w:p>
    <w:p w14:paraId="11FB8917" w14:textId="405B4095" w:rsidR="00304CD6" w:rsidRPr="006A749D" w:rsidRDefault="00304CD6" w:rsidP="004B24DA">
      <w:pPr>
        <w:pStyle w:val="Heading1"/>
        <w:numPr>
          <w:ilvl w:val="0"/>
          <w:numId w:val="45"/>
        </w:numPr>
        <w:ind w:left="0" w:firstLine="0"/>
      </w:pPr>
      <w:r w:rsidRPr="006A749D">
        <w:t>History of the Proceeding</w:t>
      </w:r>
      <w:bookmarkEnd w:id="0"/>
    </w:p>
    <w:p w14:paraId="3763CF45" w14:textId="77777777" w:rsidR="00304CD6" w:rsidRPr="006A749D" w:rsidRDefault="00304CD6" w:rsidP="0054142F">
      <w:pPr>
        <w:keepNext/>
        <w:keepLines/>
        <w:tabs>
          <w:tab w:val="left" w:pos="-720"/>
        </w:tabs>
        <w:spacing w:line="360" w:lineRule="auto"/>
        <w:jc w:val="center"/>
        <w:rPr>
          <w:rFonts w:ascii="Times New Roman" w:eastAsia="Times New Roman" w:hAnsi="Times New Roman" w:cs="Times New Roman"/>
          <w:b/>
          <w:sz w:val="26"/>
          <w:szCs w:val="26"/>
        </w:rPr>
      </w:pPr>
    </w:p>
    <w:p w14:paraId="1811694F" w14:textId="5BE5CC03" w:rsidR="002B73B3" w:rsidRPr="006A749D" w:rsidRDefault="001541EF" w:rsidP="0062716A">
      <w:pPr>
        <w:spacing w:line="360" w:lineRule="auto"/>
        <w:ind w:firstLine="1440"/>
        <w:textAlignment w:val="baseline"/>
        <w:rPr>
          <w:rFonts w:ascii="Times New Roman" w:hAnsi="Times New Roman" w:cs="Times New Roman"/>
          <w:color w:val="000000"/>
          <w:sz w:val="26"/>
          <w:szCs w:val="26"/>
        </w:rPr>
      </w:pPr>
      <w:r w:rsidRPr="006A749D">
        <w:rPr>
          <w:rFonts w:ascii="Times New Roman" w:hAnsi="Times New Roman" w:cs="Times New Roman"/>
          <w:color w:val="000000"/>
          <w:sz w:val="26"/>
          <w:szCs w:val="26"/>
        </w:rPr>
        <w:t xml:space="preserve">This matter concerns the Application of </w:t>
      </w:r>
      <w:r w:rsidR="00E37CDF">
        <w:rPr>
          <w:rFonts w:ascii="Times New Roman" w:hAnsi="Times New Roman" w:cs="Times New Roman"/>
          <w:color w:val="000000"/>
          <w:sz w:val="26"/>
          <w:szCs w:val="26"/>
        </w:rPr>
        <w:t>PAWC</w:t>
      </w:r>
      <w:r w:rsidRPr="006A749D">
        <w:rPr>
          <w:rFonts w:ascii="Times New Roman" w:hAnsi="Times New Roman" w:cs="Times New Roman"/>
          <w:color w:val="000000"/>
          <w:sz w:val="26"/>
          <w:szCs w:val="26"/>
        </w:rPr>
        <w:t xml:space="preserve"> filed on </w:t>
      </w:r>
      <w:r w:rsidR="009D087E">
        <w:rPr>
          <w:rFonts w:ascii="Times New Roman" w:hAnsi="Times New Roman" w:cs="Times New Roman"/>
          <w:color w:val="000000"/>
          <w:sz w:val="26"/>
          <w:szCs w:val="26"/>
        </w:rPr>
        <w:t>July 14</w:t>
      </w:r>
      <w:r w:rsidRPr="006A749D">
        <w:rPr>
          <w:rFonts w:ascii="Times New Roman" w:hAnsi="Times New Roman" w:cs="Times New Roman"/>
          <w:color w:val="000000"/>
          <w:sz w:val="26"/>
          <w:szCs w:val="26"/>
        </w:rPr>
        <w:t xml:space="preserve">, 2020, </w:t>
      </w:r>
      <w:r w:rsidR="00CF23B2" w:rsidRPr="006A749D">
        <w:rPr>
          <w:rFonts w:ascii="Times New Roman" w:hAnsi="Times New Roman" w:cs="Times New Roman"/>
          <w:color w:val="000000"/>
          <w:sz w:val="26"/>
          <w:szCs w:val="26"/>
        </w:rPr>
        <w:t>pursuant to Sections 1102</w:t>
      </w:r>
      <w:r w:rsidR="00D621FC">
        <w:rPr>
          <w:rFonts w:ascii="Times New Roman" w:hAnsi="Times New Roman" w:cs="Times New Roman"/>
          <w:color w:val="000000"/>
          <w:sz w:val="26"/>
          <w:szCs w:val="26"/>
        </w:rPr>
        <w:t xml:space="preserve"> and</w:t>
      </w:r>
      <w:r w:rsidR="00A36B7C" w:rsidRPr="006A749D">
        <w:rPr>
          <w:rFonts w:ascii="Times New Roman" w:hAnsi="Times New Roman" w:cs="Times New Roman"/>
          <w:color w:val="000000"/>
          <w:sz w:val="26"/>
          <w:szCs w:val="26"/>
        </w:rPr>
        <w:t xml:space="preserve"> </w:t>
      </w:r>
      <w:r w:rsidR="00CF23B2" w:rsidRPr="006A749D">
        <w:rPr>
          <w:rFonts w:ascii="Times New Roman" w:hAnsi="Times New Roman" w:cs="Times New Roman"/>
          <w:color w:val="000000"/>
          <w:sz w:val="26"/>
          <w:szCs w:val="26"/>
        </w:rPr>
        <w:t>1329 of the Public Utility Code (Code), 66 Pa. C.S. §§</w:t>
      </w:r>
      <w:r w:rsidR="00110F22">
        <w:rPr>
          <w:rFonts w:ascii="Times New Roman" w:hAnsi="Times New Roman" w:cs="Times New Roman"/>
          <w:color w:val="000000"/>
          <w:sz w:val="26"/>
          <w:szCs w:val="26"/>
        </w:rPr>
        <w:t> </w:t>
      </w:r>
      <w:r w:rsidR="00CF23B2" w:rsidRPr="006A749D">
        <w:rPr>
          <w:rFonts w:ascii="Times New Roman" w:hAnsi="Times New Roman" w:cs="Times New Roman"/>
          <w:color w:val="000000"/>
          <w:sz w:val="26"/>
          <w:szCs w:val="26"/>
        </w:rPr>
        <w:t>1102</w:t>
      </w:r>
      <w:r w:rsidR="00D621FC">
        <w:rPr>
          <w:rFonts w:ascii="Times New Roman" w:hAnsi="Times New Roman" w:cs="Times New Roman"/>
          <w:color w:val="000000"/>
          <w:sz w:val="26"/>
          <w:szCs w:val="26"/>
        </w:rPr>
        <w:t xml:space="preserve"> and</w:t>
      </w:r>
      <w:r w:rsidR="00CF23B2" w:rsidRPr="006A749D">
        <w:rPr>
          <w:rFonts w:ascii="Times New Roman" w:hAnsi="Times New Roman" w:cs="Times New Roman"/>
          <w:color w:val="000000"/>
          <w:sz w:val="26"/>
          <w:szCs w:val="26"/>
        </w:rPr>
        <w:t xml:space="preserve"> </w:t>
      </w:r>
      <w:r w:rsidRPr="006A749D">
        <w:rPr>
          <w:rFonts w:ascii="Times New Roman" w:hAnsi="Times New Roman" w:cs="Times New Roman"/>
          <w:color w:val="000000"/>
          <w:sz w:val="26"/>
          <w:szCs w:val="26"/>
        </w:rPr>
        <w:t xml:space="preserve">1329.  In its Application, </w:t>
      </w:r>
      <w:r w:rsidR="00CA031E">
        <w:rPr>
          <w:rFonts w:ascii="Times New Roman" w:hAnsi="Times New Roman" w:cs="Times New Roman"/>
          <w:color w:val="000000"/>
          <w:sz w:val="26"/>
          <w:szCs w:val="26"/>
        </w:rPr>
        <w:t>PAWC</w:t>
      </w:r>
      <w:r w:rsidRPr="006A749D">
        <w:rPr>
          <w:rFonts w:ascii="Times New Roman" w:hAnsi="Times New Roman" w:cs="Times New Roman"/>
          <w:color w:val="000000"/>
          <w:sz w:val="26"/>
          <w:szCs w:val="26"/>
        </w:rPr>
        <w:t xml:space="preserve"> requests</w:t>
      </w:r>
      <w:r w:rsidR="000D0367">
        <w:rPr>
          <w:rFonts w:ascii="Times New Roman" w:hAnsi="Times New Roman" w:cs="Times New Roman"/>
          <w:color w:val="000000"/>
          <w:sz w:val="26"/>
          <w:szCs w:val="26"/>
        </w:rPr>
        <w:t xml:space="preserve"> the approval of</w:t>
      </w:r>
      <w:r w:rsidR="00E17EB2">
        <w:rPr>
          <w:rFonts w:ascii="Times New Roman" w:hAnsi="Times New Roman" w:cs="Times New Roman"/>
          <w:color w:val="000000"/>
          <w:sz w:val="26"/>
          <w:szCs w:val="26"/>
        </w:rPr>
        <w:t>:</w:t>
      </w:r>
      <w:r w:rsidR="002841A8">
        <w:rPr>
          <w:rFonts w:ascii="Times New Roman" w:hAnsi="Times New Roman" w:cs="Times New Roman"/>
          <w:color w:val="000000"/>
          <w:sz w:val="26"/>
          <w:szCs w:val="26"/>
        </w:rPr>
        <w:t xml:space="preserve"> </w:t>
      </w:r>
      <w:r w:rsidR="0073233B" w:rsidRPr="006A749D">
        <w:rPr>
          <w:rFonts w:ascii="Times New Roman" w:hAnsi="Times New Roman" w:cs="Times New Roman"/>
          <w:color w:val="000000"/>
          <w:sz w:val="26"/>
          <w:szCs w:val="26"/>
        </w:rPr>
        <w:t xml:space="preserve"> </w:t>
      </w:r>
      <w:r w:rsidR="00E17EB2">
        <w:rPr>
          <w:rFonts w:ascii="Times New Roman" w:hAnsi="Times New Roman" w:cs="Times New Roman"/>
          <w:color w:val="000000"/>
          <w:sz w:val="26"/>
          <w:szCs w:val="26"/>
        </w:rPr>
        <w:t>(</w:t>
      </w:r>
      <w:r w:rsidR="00D64215" w:rsidRPr="00621AE0">
        <w:rPr>
          <w:rFonts w:ascii="Times New Roman" w:eastAsia="Times New Roman" w:hAnsi="Times New Roman" w:cs="Times New Roman"/>
          <w:color w:val="000000"/>
          <w:spacing w:val="-2"/>
          <w:sz w:val="26"/>
          <w:szCs w:val="26"/>
        </w:rPr>
        <w:t xml:space="preserve">1) the transfer, by sale, of substantially all of the wastewater system assets, properties and rights of Royersford Borough related to its wastewater collection and treatment system; </w:t>
      </w:r>
      <w:r w:rsidR="00621AE0">
        <w:rPr>
          <w:rFonts w:ascii="Times New Roman" w:eastAsia="Times New Roman" w:hAnsi="Times New Roman" w:cs="Times New Roman"/>
          <w:color w:val="000000"/>
          <w:spacing w:val="-2"/>
          <w:sz w:val="26"/>
          <w:szCs w:val="26"/>
        </w:rPr>
        <w:t xml:space="preserve">and </w:t>
      </w:r>
      <w:r w:rsidR="00D64215" w:rsidRPr="00621AE0">
        <w:rPr>
          <w:rFonts w:ascii="Times New Roman" w:eastAsia="Times New Roman" w:hAnsi="Times New Roman" w:cs="Times New Roman"/>
          <w:color w:val="000000"/>
          <w:spacing w:val="-2"/>
          <w:sz w:val="26"/>
          <w:szCs w:val="26"/>
        </w:rPr>
        <w:t>(2) the right of PAWC to begin to offer or furnish wastewater service to the public in Royersford Borough and portions of Upper Providence Township, Montgomery County, Pennsylvania</w:t>
      </w:r>
      <w:r w:rsidR="00621AE0">
        <w:rPr>
          <w:rFonts w:ascii="Times New Roman" w:eastAsia="Times New Roman" w:hAnsi="Times New Roman" w:cs="Times New Roman"/>
          <w:color w:val="000000"/>
          <w:spacing w:val="-2"/>
          <w:sz w:val="26"/>
          <w:szCs w:val="26"/>
        </w:rPr>
        <w:t xml:space="preserve">.  </w:t>
      </w:r>
      <w:r w:rsidR="00A816AA" w:rsidRPr="006A749D">
        <w:rPr>
          <w:rFonts w:ascii="Times New Roman" w:hAnsi="Times New Roman" w:cs="Times New Roman"/>
          <w:color w:val="000000"/>
          <w:sz w:val="26"/>
          <w:szCs w:val="26"/>
        </w:rPr>
        <w:t>In its Applica</w:t>
      </w:r>
      <w:r w:rsidR="00B21296" w:rsidRPr="006A749D">
        <w:rPr>
          <w:rFonts w:ascii="Times New Roman" w:hAnsi="Times New Roman" w:cs="Times New Roman"/>
          <w:color w:val="000000"/>
          <w:sz w:val="26"/>
          <w:szCs w:val="26"/>
        </w:rPr>
        <w:t xml:space="preserve">tion, </w:t>
      </w:r>
      <w:r w:rsidR="00621AE0">
        <w:rPr>
          <w:rFonts w:ascii="Times New Roman" w:hAnsi="Times New Roman" w:cs="Times New Roman"/>
          <w:color w:val="000000"/>
          <w:sz w:val="26"/>
          <w:szCs w:val="26"/>
        </w:rPr>
        <w:t>PAWC</w:t>
      </w:r>
      <w:r w:rsidR="00B21296" w:rsidRPr="006A749D">
        <w:rPr>
          <w:rFonts w:ascii="Times New Roman" w:hAnsi="Times New Roman" w:cs="Times New Roman"/>
          <w:color w:val="000000"/>
          <w:sz w:val="26"/>
          <w:szCs w:val="26"/>
        </w:rPr>
        <w:t xml:space="preserve"> also requested</w:t>
      </w:r>
      <w:r w:rsidR="00144AEB" w:rsidRPr="006A749D">
        <w:rPr>
          <w:rFonts w:ascii="Times New Roman" w:hAnsi="Times New Roman" w:cs="Times New Roman"/>
          <w:color w:val="000000"/>
          <w:sz w:val="26"/>
          <w:szCs w:val="26"/>
        </w:rPr>
        <w:t xml:space="preserve">, pursuant to </w:t>
      </w:r>
      <w:r w:rsidR="00DA6648" w:rsidRPr="006A749D">
        <w:rPr>
          <w:rFonts w:ascii="Times New Roman" w:hAnsi="Times New Roman" w:cs="Times New Roman"/>
          <w:color w:val="000000"/>
          <w:sz w:val="26"/>
          <w:szCs w:val="26"/>
        </w:rPr>
        <w:t xml:space="preserve">Section 1329(c)(2), </w:t>
      </w:r>
      <w:r w:rsidR="00B21296" w:rsidRPr="006A749D">
        <w:rPr>
          <w:rFonts w:ascii="Times New Roman" w:hAnsi="Times New Roman" w:cs="Times New Roman"/>
          <w:color w:val="000000"/>
          <w:sz w:val="26"/>
          <w:szCs w:val="26"/>
        </w:rPr>
        <w:t xml:space="preserve">the Commission’s approval </w:t>
      </w:r>
      <w:r w:rsidR="00144AEB" w:rsidRPr="006A749D">
        <w:rPr>
          <w:rFonts w:ascii="Times New Roman" w:hAnsi="Times New Roman" w:cs="Times New Roman"/>
          <w:color w:val="000000"/>
          <w:sz w:val="26"/>
          <w:szCs w:val="26"/>
        </w:rPr>
        <w:t>of a ratemaking rate base value of the assets</w:t>
      </w:r>
      <w:r w:rsidR="00C44273" w:rsidRPr="006A749D">
        <w:rPr>
          <w:rFonts w:ascii="Times New Roman" w:hAnsi="Times New Roman" w:cs="Times New Roman"/>
          <w:color w:val="000000"/>
          <w:sz w:val="26"/>
          <w:szCs w:val="26"/>
        </w:rPr>
        <w:t xml:space="preserve"> to be acquired by </w:t>
      </w:r>
      <w:r w:rsidR="00621AE0">
        <w:rPr>
          <w:rFonts w:ascii="Times New Roman" w:hAnsi="Times New Roman" w:cs="Times New Roman"/>
          <w:color w:val="000000"/>
          <w:sz w:val="26"/>
          <w:szCs w:val="26"/>
        </w:rPr>
        <w:t>the Company</w:t>
      </w:r>
      <w:r w:rsidR="00C44273" w:rsidRPr="006A749D">
        <w:rPr>
          <w:rFonts w:ascii="Times New Roman" w:hAnsi="Times New Roman" w:cs="Times New Roman"/>
          <w:color w:val="000000"/>
          <w:sz w:val="26"/>
          <w:szCs w:val="26"/>
        </w:rPr>
        <w:t xml:space="preserve"> in the amount of $</w:t>
      </w:r>
      <w:r w:rsidR="00621AE0">
        <w:rPr>
          <w:rFonts w:ascii="Times New Roman" w:hAnsi="Times New Roman" w:cs="Times New Roman"/>
          <w:color w:val="000000"/>
          <w:sz w:val="26"/>
          <w:szCs w:val="26"/>
        </w:rPr>
        <w:t>13</w:t>
      </w:r>
      <w:r w:rsidR="00546811">
        <w:rPr>
          <w:rFonts w:ascii="Times New Roman" w:hAnsi="Times New Roman" w:cs="Times New Roman"/>
          <w:color w:val="000000"/>
          <w:sz w:val="26"/>
          <w:szCs w:val="26"/>
        </w:rPr>
        <w:t>,000,000</w:t>
      </w:r>
      <w:r w:rsidR="00C44273" w:rsidRPr="006A749D">
        <w:rPr>
          <w:rFonts w:ascii="Times New Roman" w:hAnsi="Times New Roman" w:cs="Times New Roman"/>
          <w:color w:val="000000"/>
          <w:sz w:val="26"/>
          <w:szCs w:val="26"/>
        </w:rPr>
        <w:t xml:space="preserve">.  66 Pa. C.S. § 1329(c)(2).  </w:t>
      </w:r>
    </w:p>
    <w:p w14:paraId="1A380D19" w14:textId="77777777" w:rsidR="00C6001F" w:rsidRDefault="00C6001F" w:rsidP="00C6001F">
      <w:pPr>
        <w:spacing w:line="360" w:lineRule="auto"/>
        <w:textAlignment w:val="baseline"/>
        <w:rPr>
          <w:rFonts w:ascii="Times New Roman" w:eastAsia="Times New Roman" w:hAnsi="Times New Roman" w:cs="Times New Roman"/>
          <w:color w:val="000000"/>
          <w:sz w:val="26"/>
          <w:szCs w:val="26"/>
        </w:rPr>
      </w:pPr>
    </w:p>
    <w:p w14:paraId="35CFDEA9" w14:textId="0D8AA065" w:rsidR="006A6347" w:rsidRPr="006A6347" w:rsidRDefault="006A6347" w:rsidP="00C6001F">
      <w:pPr>
        <w:spacing w:line="360" w:lineRule="auto"/>
        <w:ind w:left="720" w:firstLine="720"/>
        <w:textAlignment w:val="baseline"/>
        <w:rPr>
          <w:rFonts w:ascii="Times New Roman" w:eastAsia="Times New Roman" w:hAnsi="Times New Roman" w:cs="Times New Roman"/>
          <w:color w:val="000000"/>
          <w:sz w:val="26"/>
          <w:szCs w:val="26"/>
        </w:rPr>
      </w:pPr>
      <w:r w:rsidRPr="006A6347">
        <w:rPr>
          <w:rFonts w:ascii="Times New Roman" w:eastAsia="Times New Roman" w:hAnsi="Times New Roman" w:cs="Times New Roman"/>
          <w:color w:val="000000"/>
          <w:sz w:val="26"/>
          <w:szCs w:val="26"/>
        </w:rPr>
        <w:t xml:space="preserve">On July 21, 2020, I&amp;E </w:t>
      </w:r>
      <w:r w:rsidR="00287065" w:rsidRPr="00C6001F">
        <w:rPr>
          <w:rFonts w:ascii="Times New Roman" w:eastAsia="Times New Roman" w:hAnsi="Times New Roman" w:cs="Times New Roman"/>
          <w:color w:val="000000"/>
          <w:sz w:val="26"/>
          <w:szCs w:val="26"/>
        </w:rPr>
        <w:t>filed a</w:t>
      </w:r>
      <w:r w:rsidR="00170DEF" w:rsidRPr="00C6001F">
        <w:rPr>
          <w:rFonts w:ascii="Times New Roman" w:eastAsia="Times New Roman" w:hAnsi="Times New Roman" w:cs="Times New Roman"/>
          <w:color w:val="000000"/>
          <w:sz w:val="26"/>
          <w:szCs w:val="26"/>
        </w:rPr>
        <w:t xml:space="preserve"> Notice of A</w:t>
      </w:r>
      <w:r w:rsidRPr="006A6347">
        <w:rPr>
          <w:rFonts w:ascii="Times New Roman" w:eastAsia="Times New Roman" w:hAnsi="Times New Roman" w:cs="Times New Roman"/>
          <w:color w:val="000000"/>
          <w:sz w:val="26"/>
          <w:szCs w:val="26"/>
        </w:rPr>
        <w:t xml:space="preserve">ppearance. </w:t>
      </w:r>
    </w:p>
    <w:p w14:paraId="0DC2262F" w14:textId="77777777" w:rsidR="00C6001F" w:rsidRDefault="00C6001F" w:rsidP="00C6001F">
      <w:pPr>
        <w:spacing w:line="360" w:lineRule="auto"/>
        <w:textAlignment w:val="baseline"/>
        <w:rPr>
          <w:rFonts w:ascii="Times New Roman" w:eastAsia="Times New Roman" w:hAnsi="Times New Roman" w:cs="Times New Roman"/>
          <w:color w:val="000000"/>
          <w:sz w:val="26"/>
          <w:szCs w:val="26"/>
        </w:rPr>
      </w:pPr>
    </w:p>
    <w:p w14:paraId="029DCE84" w14:textId="735B39B7" w:rsidR="006A6347" w:rsidRPr="006A6347" w:rsidRDefault="006A6347" w:rsidP="00C6001F">
      <w:pPr>
        <w:spacing w:line="360" w:lineRule="auto"/>
        <w:ind w:left="720" w:firstLine="720"/>
        <w:textAlignment w:val="baseline"/>
        <w:rPr>
          <w:rFonts w:ascii="Times New Roman" w:eastAsia="Times New Roman" w:hAnsi="Times New Roman" w:cs="Times New Roman"/>
          <w:color w:val="000000"/>
          <w:sz w:val="26"/>
          <w:szCs w:val="26"/>
        </w:rPr>
      </w:pPr>
      <w:r w:rsidRPr="006A6347">
        <w:rPr>
          <w:rFonts w:ascii="Times New Roman" w:eastAsia="Times New Roman" w:hAnsi="Times New Roman" w:cs="Times New Roman"/>
          <w:color w:val="000000"/>
          <w:sz w:val="26"/>
          <w:szCs w:val="26"/>
        </w:rPr>
        <w:t>On July 29, 2020, the OSBA</w:t>
      </w:r>
      <w:r w:rsidR="00170DEF" w:rsidRPr="00C6001F">
        <w:rPr>
          <w:rFonts w:ascii="Times New Roman" w:eastAsia="Times New Roman" w:hAnsi="Times New Roman" w:cs="Times New Roman"/>
          <w:color w:val="000000"/>
          <w:sz w:val="26"/>
          <w:szCs w:val="26"/>
        </w:rPr>
        <w:t xml:space="preserve"> </w:t>
      </w:r>
      <w:r w:rsidRPr="006A6347">
        <w:rPr>
          <w:rFonts w:ascii="Times New Roman" w:eastAsia="Times New Roman" w:hAnsi="Times New Roman" w:cs="Times New Roman"/>
          <w:color w:val="000000"/>
          <w:sz w:val="26"/>
          <w:szCs w:val="26"/>
        </w:rPr>
        <w:t>filed Notice</w:t>
      </w:r>
      <w:r w:rsidR="00287065" w:rsidRPr="00C6001F">
        <w:rPr>
          <w:rFonts w:ascii="Times New Roman" w:eastAsia="Times New Roman" w:hAnsi="Times New Roman" w:cs="Times New Roman"/>
          <w:color w:val="000000"/>
          <w:sz w:val="26"/>
          <w:szCs w:val="26"/>
        </w:rPr>
        <w:t>s</w:t>
      </w:r>
      <w:r w:rsidRPr="006A6347">
        <w:rPr>
          <w:rFonts w:ascii="Times New Roman" w:eastAsia="Times New Roman" w:hAnsi="Times New Roman" w:cs="Times New Roman"/>
          <w:color w:val="000000"/>
          <w:sz w:val="26"/>
          <w:szCs w:val="26"/>
        </w:rPr>
        <w:t xml:space="preserve"> of Intervention and </w:t>
      </w:r>
      <w:r w:rsidR="00D63825" w:rsidRPr="00C6001F">
        <w:rPr>
          <w:rFonts w:ascii="Times New Roman" w:eastAsia="Times New Roman" w:hAnsi="Times New Roman" w:cs="Times New Roman"/>
          <w:color w:val="000000"/>
          <w:sz w:val="26"/>
          <w:szCs w:val="26"/>
        </w:rPr>
        <w:t>Appearance</w:t>
      </w:r>
      <w:r w:rsidRPr="006A6347">
        <w:rPr>
          <w:rFonts w:ascii="Times New Roman" w:eastAsia="Times New Roman" w:hAnsi="Times New Roman" w:cs="Times New Roman"/>
          <w:color w:val="000000"/>
          <w:sz w:val="26"/>
          <w:szCs w:val="26"/>
        </w:rPr>
        <w:t>.</w:t>
      </w:r>
    </w:p>
    <w:p w14:paraId="7B085E9D" w14:textId="7D737C58" w:rsidR="006A6347" w:rsidRDefault="00C6001F" w:rsidP="00C6001F">
      <w:pPr>
        <w:spacing w:line="360" w:lineRule="auto"/>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Also, o</w:t>
      </w:r>
      <w:r w:rsidR="006A6347" w:rsidRPr="006A6347">
        <w:rPr>
          <w:rFonts w:ascii="Times New Roman" w:eastAsia="Times New Roman" w:hAnsi="Times New Roman" w:cs="Times New Roman"/>
          <w:color w:val="000000"/>
          <w:sz w:val="26"/>
          <w:szCs w:val="26"/>
        </w:rPr>
        <w:t>n July 29, 2020, the OCA filed a Protest</w:t>
      </w:r>
      <w:r w:rsidR="00CF0AAE">
        <w:rPr>
          <w:rFonts w:ascii="Times New Roman" w:eastAsia="Times New Roman" w:hAnsi="Times New Roman" w:cs="Times New Roman"/>
          <w:color w:val="000000"/>
          <w:sz w:val="26"/>
          <w:szCs w:val="26"/>
        </w:rPr>
        <w:t xml:space="preserve">, a </w:t>
      </w:r>
      <w:r w:rsidR="006A6347" w:rsidRPr="006A6347">
        <w:rPr>
          <w:rFonts w:ascii="Times New Roman" w:eastAsia="Times New Roman" w:hAnsi="Times New Roman" w:cs="Times New Roman"/>
          <w:color w:val="000000"/>
          <w:sz w:val="26"/>
          <w:szCs w:val="26"/>
        </w:rPr>
        <w:t>Public Statement</w:t>
      </w:r>
      <w:r w:rsidR="00CF0AAE">
        <w:rPr>
          <w:rFonts w:ascii="Times New Roman" w:eastAsia="Times New Roman" w:hAnsi="Times New Roman" w:cs="Times New Roman"/>
          <w:color w:val="000000"/>
          <w:sz w:val="26"/>
          <w:szCs w:val="26"/>
        </w:rPr>
        <w:t>,</w:t>
      </w:r>
      <w:r w:rsidR="00D63825" w:rsidRPr="00C6001F">
        <w:rPr>
          <w:rFonts w:ascii="Times New Roman" w:eastAsia="Times New Roman" w:hAnsi="Times New Roman" w:cs="Times New Roman"/>
          <w:color w:val="000000"/>
          <w:sz w:val="26"/>
          <w:szCs w:val="26"/>
        </w:rPr>
        <w:t xml:space="preserve"> and a Notice of Appearance.  </w:t>
      </w:r>
    </w:p>
    <w:p w14:paraId="52763F78" w14:textId="1D6DB00B" w:rsidR="00C77E81" w:rsidRDefault="00C77E81" w:rsidP="00C6001F">
      <w:pPr>
        <w:spacing w:line="360" w:lineRule="auto"/>
        <w:textAlignment w:val="baseline"/>
        <w:rPr>
          <w:rFonts w:ascii="Times New Roman" w:eastAsia="Times New Roman" w:hAnsi="Times New Roman" w:cs="Times New Roman"/>
          <w:color w:val="000000"/>
          <w:sz w:val="26"/>
          <w:szCs w:val="26"/>
        </w:rPr>
      </w:pPr>
    </w:p>
    <w:p w14:paraId="14075A7C" w14:textId="6AFED8CE" w:rsidR="00C77E81" w:rsidRDefault="00C77E81" w:rsidP="00C6001F">
      <w:pPr>
        <w:spacing w:line="360" w:lineRule="auto"/>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ab/>
      </w:r>
      <w:r>
        <w:rPr>
          <w:rFonts w:ascii="Times New Roman" w:eastAsia="Times New Roman" w:hAnsi="Times New Roman" w:cs="Times New Roman"/>
          <w:color w:val="000000"/>
          <w:sz w:val="26"/>
          <w:szCs w:val="26"/>
        </w:rPr>
        <w:tab/>
        <w:t xml:space="preserve">On </w:t>
      </w:r>
      <w:r w:rsidR="00451201">
        <w:rPr>
          <w:rFonts w:ascii="Times New Roman" w:eastAsia="Times New Roman" w:hAnsi="Times New Roman" w:cs="Times New Roman"/>
          <w:color w:val="000000"/>
          <w:sz w:val="26"/>
          <w:szCs w:val="26"/>
        </w:rPr>
        <w:t xml:space="preserve">October 30, 2020, PAWC filed the First Amendment to the </w:t>
      </w:r>
      <w:r w:rsidR="003702E4">
        <w:rPr>
          <w:rFonts w:ascii="Times New Roman" w:eastAsia="Times New Roman" w:hAnsi="Times New Roman" w:cs="Times New Roman"/>
          <w:color w:val="000000"/>
          <w:sz w:val="26"/>
          <w:szCs w:val="26"/>
        </w:rPr>
        <w:t>Asset Purchase Agreement (</w:t>
      </w:r>
      <w:r w:rsidR="00451201">
        <w:rPr>
          <w:rFonts w:ascii="Times New Roman" w:eastAsia="Times New Roman" w:hAnsi="Times New Roman" w:cs="Times New Roman"/>
          <w:color w:val="000000"/>
          <w:sz w:val="26"/>
          <w:szCs w:val="26"/>
        </w:rPr>
        <w:t>APA</w:t>
      </w:r>
      <w:r w:rsidR="003702E4">
        <w:rPr>
          <w:rFonts w:ascii="Times New Roman" w:eastAsia="Times New Roman" w:hAnsi="Times New Roman" w:cs="Times New Roman"/>
          <w:color w:val="000000"/>
          <w:sz w:val="26"/>
          <w:szCs w:val="26"/>
        </w:rPr>
        <w:t>)</w:t>
      </w:r>
      <w:r w:rsidR="00451201">
        <w:rPr>
          <w:rFonts w:ascii="Times New Roman" w:eastAsia="Times New Roman" w:hAnsi="Times New Roman" w:cs="Times New Roman"/>
          <w:color w:val="000000"/>
          <w:sz w:val="26"/>
          <w:szCs w:val="26"/>
        </w:rPr>
        <w:t>, together with supporting documents.</w:t>
      </w:r>
      <w:r w:rsidR="00F25B5F">
        <w:rPr>
          <w:rStyle w:val="FootnoteReference"/>
          <w:rFonts w:ascii="Times New Roman" w:eastAsia="Times New Roman" w:hAnsi="Times New Roman" w:cs="Times New Roman"/>
          <w:color w:val="000000"/>
          <w:sz w:val="26"/>
          <w:szCs w:val="26"/>
        </w:rPr>
        <w:footnoteReference w:id="2"/>
      </w:r>
      <w:r w:rsidR="00451201">
        <w:rPr>
          <w:rFonts w:ascii="Times New Roman" w:eastAsia="Times New Roman" w:hAnsi="Times New Roman" w:cs="Times New Roman"/>
          <w:color w:val="000000"/>
          <w:sz w:val="26"/>
          <w:szCs w:val="26"/>
        </w:rPr>
        <w:t xml:space="preserve">  </w:t>
      </w:r>
    </w:p>
    <w:p w14:paraId="4DD058C3" w14:textId="77777777" w:rsidR="007B0D4D" w:rsidRPr="006A6347" w:rsidRDefault="007B0D4D" w:rsidP="00C6001F">
      <w:pPr>
        <w:spacing w:line="360" w:lineRule="auto"/>
        <w:textAlignment w:val="baseline"/>
        <w:rPr>
          <w:rFonts w:ascii="Times New Roman" w:eastAsia="Times New Roman" w:hAnsi="Times New Roman" w:cs="Times New Roman"/>
          <w:color w:val="000000"/>
          <w:sz w:val="26"/>
          <w:szCs w:val="26"/>
        </w:rPr>
      </w:pPr>
    </w:p>
    <w:p w14:paraId="4AF59613" w14:textId="1260EF81" w:rsidR="006A6347" w:rsidRPr="006A6347" w:rsidRDefault="006A6347" w:rsidP="00C6001F">
      <w:pPr>
        <w:spacing w:line="360" w:lineRule="auto"/>
        <w:ind w:firstLine="1440"/>
        <w:textAlignment w:val="baseline"/>
        <w:rPr>
          <w:rFonts w:ascii="Times New Roman" w:eastAsia="Times New Roman" w:hAnsi="Times New Roman" w:cs="Times New Roman"/>
          <w:color w:val="000000"/>
          <w:sz w:val="26"/>
          <w:szCs w:val="26"/>
        </w:rPr>
      </w:pPr>
      <w:r w:rsidRPr="006A6347">
        <w:rPr>
          <w:rFonts w:ascii="Times New Roman" w:eastAsia="Times New Roman" w:hAnsi="Times New Roman" w:cs="Times New Roman"/>
          <w:color w:val="000000"/>
          <w:sz w:val="26"/>
          <w:szCs w:val="26"/>
        </w:rPr>
        <w:t xml:space="preserve">On November 9, 2020, the Commission accepted the Application as complete. </w:t>
      </w:r>
      <w:r w:rsidR="00C6001F">
        <w:rPr>
          <w:rFonts w:ascii="Times New Roman" w:eastAsia="Times New Roman" w:hAnsi="Times New Roman" w:cs="Times New Roman"/>
          <w:color w:val="000000"/>
          <w:sz w:val="26"/>
          <w:szCs w:val="26"/>
        </w:rPr>
        <w:t xml:space="preserve"> </w:t>
      </w:r>
      <w:r w:rsidRPr="006A6347">
        <w:rPr>
          <w:rFonts w:ascii="Times New Roman" w:eastAsia="Times New Roman" w:hAnsi="Times New Roman" w:cs="Times New Roman"/>
          <w:color w:val="000000"/>
          <w:sz w:val="26"/>
          <w:szCs w:val="26"/>
        </w:rPr>
        <w:t xml:space="preserve">Notice of the Application was published in the </w:t>
      </w:r>
      <w:r w:rsidRPr="006A6347">
        <w:rPr>
          <w:rFonts w:ascii="Times New Roman" w:eastAsia="Times New Roman" w:hAnsi="Times New Roman" w:cs="Times New Roman"/>
          <w:i/>
          <w:color w:val="000000"/>
          <w:sz w:val="26"/>
          <w:szCs w:val="26"/>
        </w:rPr>
        <w:t xml:space="preserve">Pennsylvania Bulletin </w:t>
      </w:r>
      <w:r w:rsidR="007279FE" w:rsidRPr="00C6001F">
        <w:rPr>
          <w:rFonts w:ascii="Times New Roman" w:eastAsia="Times New Roman" w:hAnsi="Times New Roman" w:cs="Times New Roman"/>
          <w:color w:val="000000"/>
          <w:sz w:val="26"/>
          <w:szCs w:val="26"/>
        </w:rPr>
        <w:t xml:space="preserve">on November 21, 2020, which </w:t>
      </w:r>
      <w:r w:rsidRPr="006A6347">
        <w:rPr>
          <w:rFonts w:ascii="Times New Roman" w:eastAsia="Times New Roman" w:hAnsi="Times New Roman" w:cs="Times New Roman"/>
          <w:color w:val="000000"/>
          <w:sz w:val="26"/>
          <w:szCs w:val="26"/>
        </w:rPr>
        <w:t xml:space="preserve">advised that any protests and petitions to intervene must be filed by December 7, 2020. </w:t>
      </w:r>
      <w:r w:rsidR="007279FE" w:rsidRPr="00C6001F">
        <w:rPr>
          <w:rFonts w:ascii="Times New Roman" w:eastAsia="Times New Roman" w:hAnsi="Times New Roman" w:cs="Times New Roman"/>
          <w:color w:val="000000"/>
          <w:sz w:val="26"/>
          <w:szCs w:val="26"/>
        </w:rPr>
        <w:t xml:space="preserve"> </w:t>
      </w:r>
      <w:r w:rsidRPr="006A6347">
        <w:rPr>
          <w:rFonts w:ascii="Times New Roman" w:eastAsia="Times New Roman" w:hAnsi="Times New Roman" w:cs="Times New Roman"/>
          <w:color w:val="000000"/>
          <w:sz w:val="26"/>
          <w:szCs w:val="26"/>
        </w:rPr>
        <w:t xml:space="preserve">50 </w:t>
      </w:r>
      <w:proofErr w:type="spellStart"/>
      <w:r w:rsidRPr="006A6347">
        <w:rPr>
          <w:rFonts w:ascii="Times New Roman" w:eastAsia="Times New Roman" w:hAnsi="Times New Roman" w:cs="Times New Roman"/>
          <w:i/>
          <w:iCs/>
          <w:color w:val="000000"/>
          <w:sz w:val="26"/>
          <w:szCs w:val="26"/>
        </w:rPr>
        <w:t>Pa</w:t>
      </w:r>
      <w:r w:rsidR="00E17EB2">
        <w:rPr>
          <w:rFonts w:ascii="Times New Roman" w:eastAsia="Times New Roman" w:hAnsi="Times New Roman" w:cs="Times New Roman"/>
          <w:i/>
          <w:iCs/>
          <w:color w:val="000000"/>
          <w:sz w:val="26"/>
          <w:szCs w:val="26"/>
        </w:rPr>
        <w:t>.</w:t>
      </w:r>
      <w:r w:rsidRPr="006A6347">
        <w:rPr>
          <w:rFonts w:ascii="Times New Roman" w:eastAsia="Times New Roman" w:hAnsi="Times New Roman" w:cs="Times New Roman"/>
          <w:i/>
          <w:iCs/>
          <w:color w:val="000000"/>
          <w:sz w:val="26"/>
          <w:szCs w:val="26"/>
        </w:rPr>
        <w:t>B</w:t>
      </w:r>
      <w:proofErr w:type="spellEnd"/>
      <w:r w:rsidRPr="006A6347">
        <w:rPr>
          <w:rFonts w:ascii="Times New Roman" w:eastAsia="Times New Roman" w:hAnsi="Times New Roman" w:cs="Times New Roman"/>
          <w:i/>
          <w:iCs/>
          <w:color w:val="000000"/>
          <w:sz w:val="26"/>
          <w:szCs w:val="26"/>
        </w:rPr>
        <w:t>.</w:t>
      </w:r>
      <w:r w:rsidRPr="006A6347">
        <w:rPr>
          <w:rFonts w:ascii="Times New Roman" w:eastAsia="Times New Roman" w:hAnsi="Times New Roman" w:cs="Times New Roman"/>
          <w:color w:val="000000"/>
          <w:sz w:val="26"/>
          <w:szCs w:val="26"/>
        </w:rPr>
        <w:t xml:space="preserve"> 6761.</w:t>
      </w:r>
    </w:p>
    <w:p w14:paraId="7358DCAD" w14:textId="77777777" w:rsidR="007768BF" w:rsidRDefault="007768BF" w:rsidP="00C6001F">
      <w:pPr>
        <w:spacing w:line="360" w:lineRule="auto"/>
        <w:ind w:left="720" w:firstLine="720"/>
        <w:textAlignment w:val="baseline"/>
        <w:rPr>
          <w:rFonts w:ascii="Times New Roman" w:eastAsia="Times New Roman" w:hAnsi="Times New Roman" w:cs="Times New Roman"/>
          <w:color w:val="000000"/>
          <w:sz w:val="26"/>
          <w:szCs w:val="26"/>
        </w:rPr>
      </w:pPr>
    </w:p>
    <w:p w14:paraId="0D8F2F15" w14:textId="5EEF82B4" w:rsidR="006A6347" w:rsidRPr="006A6347" w:rsidRDefault="006A6347" w:rsidP="00C6001F">
      <w:pPr>
        <w:spacing w:line="360" w:lineRule="auto"/>
        <w:ind w:left="720" w:firstLine="720"/>
        <w:textAlignment w:val="baseline"/>
        <w:rPr>
          <w:rFonts w:ascii="Times New Roman" w:eastAsia="Times New Roman" w:hAnsi="Times New Roman" w:cs="Times New Roman"/>
          <w:color w:val="000000"/>
          <w:sz w:val="26"/>
          <w:szCs w:val="26"/>
        </w:rPr>
      </w:pPr>
      <w:r w:rsidRPr="006A6347">
        <w:rPr>
          <w:rFonts w:ascii="Times New Roman" w:eastAsia="Times New Roman" w:hAnsi="Times New Roman" w:cs="Times New Roman"/>
          <w:color w:val="000000"/>
          <w:sz w:val="26"/>
          <w:szCs w:val="26"/>
        </w:rPr>
        <w:t>On November 1</w:t>
      </w:r>
      <w:r w:rsidR="00314BDC">
        <w:rPr>
          <w:rFonts w:ascii="Times New Roman" w:eastAsia="Times New Roman" w:hAnsi="Times New Roman" w:cs="Times New Roman"/>
          <w:color w:val="000000"/>
          <w:sz w:val="26"/>
          <w:szCs w:val="26"/>
        </w:rPr>
        <w:t>3</w:t>
      </w:r>
      <w:r w:rsidRPr="006A6347">
        <w:rPr>
          <w:rFonts w:ascii="Times New Roman" w:eastAsia="Times New Roman" w:hAnsi="Times New Roman" w:cs="Times New Roman"/>
          <w:color w:val="000000"/>
          <w:sz w:val="26"/>
          <w:szCs w:val="26"/>
        </w:rPr>
        <w:t>, 2020, Royersford</w:t>
      </w:r>
      <w:r w:rsidR="00D404E4" w:rsidRPr="00C6001F">
        <w:rPr>
          <w:rFonts w:ascii="Times New Roman" w:eastAsia="Times New Roman" w:hAnsi="Times New Roman" w:cs="Times New Roman"/>
          <w:color w:val="000000"/>
          <w:sz w:val="26"/>
          <w:szCs w:val="26"/>
        </w:rPr>
        <w:t xml:space="preserve"> Borough</w:t>
      </w:r>
      <w:r w:rsidR="008077DD" w:rsidRPr="00C6001F">
        <w:rPr>
          <w:rFonts w:ascii="Times New Roman" w:eastAsia="Times New Roman" w:hAnsi="Times New Roman" w:cs="Times New Roman"/>
          <w:color w:val="000000"/>
          <w:sz w:val="26"/>
          <w:szCs w:val="26"/>
        </w:rPr>
        <w:t xml:space="preserve"> </w:t>
      </w:r>
      <w:r w:rsidRPr="006A6347">
        <w:rPr>
          <w:rFonts w:ascii="Times New Roman" w:eastAsia="Times New Roman" w:hAnsi="Times New Roman" w:cs="Times New Roman"/>
          <w:color w:val="000000"/>
          <w:sz w:val="26"/>
          <w:szCs w:val="26"/>
        </w:rPr>
        <w:t>filed a Petition to Intervene.</w:t>
      </w:r>
    </w:p>
    <w:p w14:paraId="4ED90723" w14:textId="77777777" w:rsidR="00C6001F" w:rsidRDefault="00C6001F" w:rsidP="00C6001F">
      <w:pPr>
        <w:spacing w:line="360" w:lineRule="auto"/>
        <w:textAlignment w:val="baseline"/>
        <w:rPr>
          <w:rFonts w:ascii="Times New Roman" w:eastAsia="Times New Roman" w:hAnsi="Times New Roman" w:cs="Times New Roman"/>
          <w:color w:val="000000"/>
          <w:sz w:val="26"/>
          <w:szCs w:val="26"/>
        </w:rPr>
      </w:pPr>
    </w:p>
    <w:p w14:paraId="490DF698" w14:textId="7ED1B9FC" w:rsidR="006A6347" w:rsidRPr="006A6347" w:rsidRDefault="006A6347" w:rsidP="00C6001F">
      <w:pPr>
        <w:spacing w:line="360" w:lineRule="auto"/>
        <w:ind w:left="720" w:firstLine="720"/>
        <w:textAlignment w:val="baseline"/>
        <w:rPr>
          <w:rFonts w:ascii="Times New Roman" w:eastAsia="Times New Roman" w:hAnsi="Times New Roman" w:cs="Times New Roman"/>
          <w:color w:val="000000"/>
          <w:sz w:val="26"/>
          <w:szCs w:val="26"/>
        </w:rPr>
      </w:pPr>
      <w:r w:rsidRPr="006A6347">
        <w:rPr>
          <w:rFonts w:ascii="Times New Roman" w:eastAsia="Times New Roman" w:hAnsi="Times New Roman" w:cs="Times New Roman"/>
          <w:color w:val="000000"/>
          <w:sz w:val="26"/>
          <w:szCs w:val="26"/>
        </w:rPr>
        <w:t xml:space="preserve">On November 19, 2020, Robert </w:t>
      </w:r>
      <w:proofErr w:type="spellStart"/>
      <w:r w:rsidRPr="006A6347">
        <w:rPr>
          <w:rFonts w:ascii="Times New Roman" w:eastAsia="Times New Roman" w:hAnsi="Times New Roman" w:cs="Times New Roman"/>
          <w:color w:val="000000"/>
          <w:sz w:val="26"/>
          <w:szCs w:val="26"/>
        </w:rPr>
        <w:t>Redinger</w:t>
      </w:r>
      <w:proofErr w:type="spellEnd"/>
      <w:r w:rsidRPr="006A6347">
        <w:rPr>
          <w:rFonts w:ascii="Times New Roman" w:eastAsia="Times New Roman" w:hAnsi="Times New Roman" w:cs="Times New Roman"/>
          <w:color w:val="000000"/>
          <w:sz w:val="26"/>
          <w:szCs w:val="26"/>
        </w:rPr>
        <w:t>, Jr. filed a Protest in this case.</w:t>
      </w:r>
    </w:p>
    <w:p w14:paraId="79E7E680" w14:textId="77777777" w:rsidR="00C6001F" w:rsidRDefault="00C6001F" w:rsidP="00C6001F">
      <w:pPr>
        <w:spacing w:line="360" w:lineRule="auto"/>
        <w:textAlignment w:val="baseline"/>
        <w:rPr>
          <w:rFonts w:ascii="Times New Roman" w:eastAsia="Times New Roman" w:hAnsi="Times New Roman" w:cs="Times New Roman"/>
          <w:color w:val="000000"/>
          <w:sz w:val="26"/>
          <w:szCs w:val="26"/>
        </w:rPr>
      </w:pPr>
    </w:p>
    <w:p w14:paraId="25E9F4E8" w14:textId="76F396AA" w:rsidR="006A6347" w:rsidRPr="006A6347" w:rsidRDefault="006A6347" w:rsidP="00C6001F">
      <w:pPr>
        <w:spacing w:line="360" w:lineRule="auto"/>
        <w:ind w:firstLine="1440"/>
        <w:textAlignment w:val="baseline"/>
        <w:rPr>
          <w:rFonts w:ascii="Times New Roman" w:eastAsia="Times New Roman" w:hAnsi="Times New Roman" w:cs="Times New Roman"/>
          <w:color w:val="000000"/>
          <w:sz w:val="26"/>
          <w:szCs w:val="26"/>
        </w:rPr>
      </w:pPr>
      <w:r w:rsidRPr="006A6347">
        <w:rPr>
          <w:rFonts w:ascii="Times New Roman" w:eastAsia="Times New Roman" w:hAnsi="Times New Roman" w:cs="Times New Roman"/>
          <w:color w:val="000000"/>
          <w:sz w:val="26"/>
          <w:szCs w:val="26"/>
        </w:rPr>
        <w:t xml:space="preserve">On January 7, 2021, </w:t>
      </w:r>
      <w:r w:rsidR="008077DD" w:rsidRPr="00C6001F">
        <w:rPr>
          <w:rFonts w:ascii="Times New Roman" w:eastAsia="Times New Roman" w:hAnsi="Times New Roman" w:cs="Times New Roman"/>
          <w:color w:val="000000"/>
          <w:sz w:val="26"/>
          <w:szCs w:val="26"/>
        </w:rPr>
        <w:t>a</w:t>
      </w:r>
      <w:r w:rsidRPr="006A6347">
        <w:rPr>
          <w:rFonts w:ascii="Times New Roman" w:eastAsia="Times New Roman" w:hAnsi="Times New Roman" w:cs="Times New Roman"/>
          <w:color w:val="000000"/>
          <w:sz w:val="26"/>
          <w:szCs w:val="26"/>
        </w:rPr>
        <w:t xml:space="preserve"> public input hearing was held telephonically. </w:t>
      </w:r>
      <w:r w:rsidR="008077DD" w:rsidRPr="00C6001F">
        <w:rPr>
          <w:rFonts w:ascii="Times New Roman" w:eastAsia="Times New Roman" w:hAnsi="Times New Roman" w:cs="Times New Roman"/>
          <w:color w:val="000000"/>
          <w:sz w:val="26"/>
          <w:szCs w:val="26"/>
        </w:rPr>
        <w:t xml:space="preserve"> </w:t>
      </w:r>
      <w:r w:rsidRPr="006A6347">
        <w:rPr>
          <w:rFonts w:ascii="Times New Roman" w:eastAsia="Times New Roman" w:hAnsi="Times New Roman" w:cs="Times New Roman"/>
          <w:color w:val="000000"/>
          <w:sz w:val="26"/>
          <w:szCs w:val="26"/>
        </w:rPr>
        <w:t>One person presented an on-the-record statement.</w:t>
      </w:r>
    </w:p>
    <w:p w14:paraId="74833326" w14:textId="77777777" w:rsidR="00C6001F" w:rsidRDefault="00C6001F" w:rsidP="00C6001F">
      <w:pPr>
        <w:spacing w:line="360" w:lineRule="auto"/>
        <w:textAlignment w:val="baseline"/>
        <w:rPr>
          <w:rFonts w:ascii="Times New Roman" w:eastAsia="Times New Roman" w:hAnsi="Times New Roman" w:cs="Times New Roman"/>
          <w:color w:val="000000"/>
          <w:sz w:val="26"/>
          <w:szCs w:val="26"/>
        </w:rPr>
      </w:pPr>
    </w:p>
    <w:p w14:paraId="110371DC" w14:textId="57F6290B" w:rsidR="006A6347" w:rsidRPr="006A6347" w:rsidRDefault="006A6347" w:rsidP="00C6001F">
      <w:pPr>
        <w:spacing w:line="360" w:lineRule="auto"/>
        <w:ind w:firstLine="1440"/>
        <w:textAlignment w:val="baseline"/>
        <w:rPr>
          <w:rFonts w:ascii="Times New Roman" w:eastAsia="Times New Roman" w:hAnsi="Times New Roman" w:cs="Times New Roman"/>
          <w:color w:val="000000"/>
          <w:sz w:val="26"/>
          <w:szCs w:val="26"/>
        </w:rPr>
      </w:pPr>
      <w:r w:rsidRPr="006A6347">
        <w:rPr>
          <w:rFonts w:ascii="Times New Roman" w:eastAsia="Times New Roman" w:hAnsi="Times New Roman" w:cs="Times New Roman"/>
          <w:color w:val="000000"/>
          <w:sz w:val="26"/>
          <w:szCs w:val="26"/>
        </w:rPr>
        <w:t xml:space="preserve">On January 14, 2021, the </w:t>
      </w:r>
      <w:r w:rsidR="008077DD" w:rsidRPr="00C6001F">
        <w:rPr>
          <w:rFonts w:ascii="Times New Roman" w:eastAsia="Times New Roman" w:hAnsi="Times New Roman" w:cs="Times New Roman"/>
          <w:color w:val="000000"/>
          <w:sz w:val="26"/>
          <w:szCs w:val="26"/>
        </w:rPr>
        <w:t>P</w:t>
      </w:r>
      <w:r w:rsidRPr="006A6347">
        <w:rPr>
          <w:rFonts w:ascii="Times New Roman" w:eastAsia="Times New Roman" w:hAnsi="Times New Roman" w:cs="Times New Roman"/>
          <w:color w:val="000000"/>
          <w:sz w:val="26"/>
          <w:szCs w:val="26"/>
        </w:rPr>
        <w:t xml:space="preserve">arties informed </w:t>
      </w:r>
      <w:r w:rsidR="008077DD" w:rsidRPr="00C6001F">
        <w:rPr>
          <w:rFonts w:ascii="Times New Roman" w:eastAsia="Times New Roman" w:hAnsi="Times New Roman" w:cs="Times New Roman"/>
          <w:color w:val="000000"/>
          <w:sz w:val="26"/>
          <w:szCs w:val="26"/>
        </w:rPr>
        <w:t xml:space="preserve">ALJ </w:t>
      </w:r>
      <w:proofErr w:type="spellStart"/>
      <w:r w:rsidR="008077DD" w:rsidRPr="00C6001F">
        <w:rPr>
          <w:rFonts w:ascii="Times New Roman" w:eastAsia="Times New Roman" w:hAnsi="Times New Roman" w:cs="Times New Roman"/>
          <w:color w:val="000000"/>
          <w:sz w:val="26"/>
          <w:szCs w:val="26"/>
        </w:rPr>
        <w:t>Guhl</w:t>
      </w:r>
      <w:proofErr w:type="spellEnd"/>
      <w:r w:rsidRPr="006A6347">
        <w:rPr>
          <w:rFonts w:ascii="Times New Roman" w:eastAsia="Times New Roman" w:hAnsi="Times New Roman" w:cs="Times New Roman"/>
          <w:color w:val="000000"/>
          <w:sz w:val="26"/>
          <w:szCs w:val="26"/>
        </w:rPr>
        <w:t xml:space="preserve"> that they had reached</w:t>
      </w:r>
      <w:r w:rsidR="00C6001F">
        <w:rPr>
          <w:rFonts w:ascii="Times New Roman" w:eastAsia="Times New Roman" w:hAnsi="Times New Roman" w:cs="Times New Roman"/>
          <w:color w:val="000000"/>
          <w:sz w:val="26"/>
          <w:szCs w:val="26"/>
        </w:rPr>
        <w:t xml:space="preserve"> </w:t>
      </w:r>
      <w:r w:rsidRPr="006A6347">
        <w:rPr>
          <w:rFonts w:ascii="Times New Roman" w:eastAsia="Times New Roman" w:hAnsi="Times New Roman" w:cs="Times New Roman"/>
          <w:color w:val="000000"/>
          <w:sz w:val="26"/>
          <w:szCs w:val="26"/>
        </w:rPr>
        <w:t xml:space="preserve">a settlement in principle on all issues in the case. </w:t>
      </w:r>
      <w:r w:rsidR="008077DD" w:rsidRPr="00C6001F">
        <w:rPr>
          <w:rFonts w:ascii="Times New Roman" w:eastAsia="Times New Roman" w:hAnsi="Times New Roman" w:cs="Times New Roman"/>
          <w:color w:val="000000"/>
          <w:sz w:val="26"/>
          <w:szCs w:val="26"/>
        </w:rPr>
        <w:t xml:space="preserve"> </w:t>
      </w:r>
      <w:r w:rsidRPr="006A6347">
        <w:rPr>
          <w:rFonts w:ascii="Times New Roman" w:eastAsia="Times New Roman" w:hAnsi="Times New Roman" w:cs="Times New Roman"/>
          <w:color w:val="000000"/>
          <w:sz w:val="26"/>
          <w:szCs w:val="26"/>
        </w:rPr>
        <w:t xml:space="preserve">On January 15, 2021, </w:t>
      </w:r>
      <w:r w:rsidR="00FA4BA2" w:rsidRPr="00C6001F">
        <w:rPr>
          <w:rFonts w:ascii="Times New Roman" w:eastAsia="Times New Roman" w:hAnsi="Times New Roman" w:cs="Times New Roman"/>
          <w:color w:val="000000"/>
          <w:sz w:val="26"/>
          <w:szCs w:val="26"/>
        </w:rPr>
        <w:t xml:space="preserve">ALJ </w:t>
      </w:r>
      <w:proofErr w:type="spellStart"/>
      <w:r w:rsidR="00FA4BA2" w:rsidRPr="00C6001F">
        <w:rPr>
          <w:rFonts w:ascii="Times New Roman" w:eastAsia="Times New Roman" w:hAnsi="Times New Roman" w:cs="Times New Roman"/>
          <w:color w:val="000000"/>
          <w:sz w:val="26"/>
          <w:szCs w:val="26"/>
        </w:rPr>
        <w:t>Guhl</w:t>
      </w:r>
      <w:proofErr w:type="spellEnd"/>
      <w:r w:rsidRPr="006A6347">
        <w:rPr>
          <w:rFonts w:ascii="Times New Roman" w:eastAsia="Times New Roman" w:hAnsi="Times New Roman" w:cs="Times New Roman"/>
          <w:color w:val="000000"/>
          <w:sz w:val="26"/>
          <w:szCs w:val="26"/>
        </w:rPr>
        <w:t xml:space="preserve"> issued an Order suspending the litigation schedule.</w:t>
      </w:r>
    </w:p>
    <w:p w14:paraId="7A765FE6" w14:textId="77777777" w:rsidR="00C6001F" w:rsidRDefault="00C6001F" w:rsidP="00C6001F">
      <w:pPr>
        <w:spacing w:line="360" w:lineRule="auto"/>
        <w:textAlignment w:val="baseline"/>
        <w:rPr>
          <w:rFonts w:ascii="Times New Roman" w:eastAsia="Times New Roman" w:hAnsi="Times New Roman" w:cs="Times New Roman"/>
          <w:color w:val="000000"/>
          <w:spacing w:val="-1"/>
          <w:sz w:val="26"/>
          <w:szCs w:val="26"/>
        </w:rPr>
      </w:pPr>
    </w:p>
    <w:p w14:paraId="51DCBFAE" w14:textId="3E7904F6" w:rsidR="006A6347" w:rsidRPr="006A6347" w:rsidRDefault="006A6347" w:rsidP="009817EC">
      <w:pPr>
        <w:spacing w:line="360" w:lineRule="auto"/>
        <w:ind w:firstLine="1440"/>
        <w:textAlignment w:val="baseline"/>
        <w:rPr>
          <w:rFonts w:ascii="Times New Roman" w:eastAsia="Times New Roman" w:hAnsi="Times New Roman" w:cs="Times New Roman"/>
          <w:color w:val="000000"/>
          <w:spacing w:val="-1"/>
          <w:sz w:val="26"/>
          <w:szCs w:val="26"/>
        </w:rPr>
      </w:pPr>
      <w:r w:rsidRPr="006A6347">
        <w:rPr>
          <w:rFonts w:ascii="Times New Roman" w:eastAsia="Times New Roman" w:hAnsi="Times New Roman" w:cs="Times New Roman"/>
          <w:color w:val="000000"/>
          <w:spacing w:val="-1"/>
          <w:sz w:val="26"/>
          <w:szCs w:val="26"/>
        </w:rPr>
        <w:t xml:space="preserve">On January 29, 2021, </w:t>
      </w:r>
      <w:r w:rsidR="008C62B6">
        <w:rPr>
          <w:rFonts w:ascii="Times New Roman" w:eastAsia="Times New Roman" w:hAnsi="Times New Roman" w:cs="Times New Roman"/>
          <w:color w:val="000000"/>
          <w:spacing w:val="-1"/>
          <w:sz w:val="26"/>
          <w:szCs w:val="26"/>
        </w:rPr>
        <w:t xml:space="preserve">the </w:t>
      </w:r>
      <w:r w:rsidRPr="006A6347">
        <w:rPr>
          <w:rFonts w:ascii="Times New Roman" w:eastAsia="Times New Roman" w:hAnsi="Times New Roman" w:cs="Times New Roman"/>
          <w:color w:val="000000"/>
          <w:spacing w:val="-1"/>
          <w:sz w:val="26"/>
          <w:szCs w:val="26"/>
        </w:rPr>
        <w:t xml:space="preserve">Joint Petition, along with Statements in Support </w:t>
      </w:r>
      <w:r w:rsidR="00F73027">
        <w:rPr>
          <w:rFonts w:ascii="Times New Roman" w:eastAsia="Times New Roman" w:hAnsi="Times New Roman" w:cs="Times New Roman"/>
          <w:color w:val="000000"/>
          <w:spacing w:val="-1"/>
          <w:sz w:val="26"/>
          <w:szCs w:val="26"/>
        </w:rPr>
        <w:t>of the Settlement, were filed by P</w:t>
      </w:r>
      <w:r w:rsidRPr="006A6347">
        <w:rPr>
          <w:rFonts w:ascii="Times New Roman" w:eastAsia="Times New Roman" w:hAnsi="Times New Roman" w:cs="Times New Roman"/>
          <w:color w:val="000000"/>
          <w:spacing w:val="-1"/>
          <w:sz w:val="26"/>
          <w:szCs w:val="26"/>
        </w:rPr>
        <w:t xml:space="preserve">AWC, I&amp;E, </w:t>
      </w:r>
      <w:r w:rsidR="00F73027">
        <w:rPr>
          <w:rFonts w:ascii="Times New Roman" w:eastAsia="Times New Roman" w:hAnsi="Times New Roman" w:cs="Times New Roman"/>
          <w:color w:val="000000"/>
          <w:spacing w:val="-1"/>
          <w:sz w:val="26"/>
          <w:szCs w:val="26"/>
        </w:rPr>
        <w:t xml:space="preserve">the OCA, the </w:t>
      </w:r>
      <w:r w:rsidRPr="006A6347">
        <w:rPr>
          <w:rFonts w:ascii="Times New Roman" w:eastAsia="Times New Roman" w:hAnsi="Times New Roman" w:cs="Times New Roman"/>
          <w:color w:val="000000"/>
          <w:spacing w:val="-1"/>
          <w:sz w:val="26"/>
          <w:szCs w:val="26"/>
        </w:rPr>
        <w:t>OSBA</w:t>
      </w:r>
      <w:r w:rsidR="00F73027">
        <w:rPr>
          <w:rFonts w:ascii="Times New Roman" w:eastAsia="Times New Roman" w:hAnsi="Times New Roman" w:cs="Times New Roman"/>
          <w:color w:val="000000"/>
          <w:spacing w:val="-1"/>
          <w:sz w:val="26"/>
          <w:szCs w:val="26"/>
        </w:rPr>
        <w:t>,</w:t>
      </w:r>
      <w:r w:rsidR="009817EC">
        <w:rPr>
          <w:rFonts w:ascii="Times New Roman" w:eastAsia="Times New Roman" w:hAnsi="Times New Roman" w:cs="Times New Roman"/>
          <w:color w:val="000000"/>
          <w:spacing w:val="-1"/>
          <w:sz w:val="26"/>
          <w:szCs w:val="26"/>
        </w:rPr>
        <w:t xml:space="preserve"> </w:t>
      </w:r>
      <w:r w:rsidRPr="006A6347">
        <w:rPr>
          <w:rFonts w:ascii="Times New Roman" w:eastAsia="Times New Roman" w:hAnsi="Times New Roman" w:cs="Times New Roman"/>
          <w:color w:val="000000"/>
          <w:sz w:val="26"/>
          <w:szCs w:val="26"/>
        </w:rPr>
        <w:t>and Royersford.</w:t>
      </w:r>
      <w:r w:rsidR="00C6001F" w:rsidRPr="00C6001F">
        <w:rPr>
          <w:rFonts w:ascii="Times New Roman" w:eastAsia="Times New Roman" w:hAnsi="Times New Roman" w:cs="Times New Roman"/>
          <w:color w:val="000000"/>
          <w:sz w:val="26"/>
          <w:szCs w:val="26"/>
        </w:rPr>
        <w:t xml:space="preserve"> </w:t>
      </w:r>
      <w:r w:rsidR="00FA4BA2" w:rsidRPr="00C6001F">
        <w:rPr>
          <w:rFonts w:ascii="Times New Roman" w:eastAsia="Times New Roman" w:hAnsi="Times New Roman" w:cs="Times New Roman"/>
          <w:color w:val="000000"/>
          <w:sz w:val="26"/>
          <w:szCs w:val="26"/>
        </w:rPr>
        <w:t xml:space="preserve"> </w:t>
      </w:r>
      <w:r w:rsidR="00476EB0">
        <w:rPr>
          <w:rFonts w:ascii="Times New Roman" w:eastAsia="Times New Roman" w:hAnsi="Times New Roman" w:cs="Times New Roman"/>
          <w:color w:val="000000"/>
          <w:sz w:val="26"/>
          <w:szCs w:val="26"/>
        </w:rPr>
        <w:t>Also</w:t>
      </w:r>
      <w:r w:rsidR="009A299D">
        <w:rPr>
          <w:rFonts w:ascii="Times New Roman" w:eastAsia="Times New Roman" w:hAnsi="Times New Roman" w:cs="Times New Roman"/>
          <w:color w:val="000000"/>
          <w:sz w:val="26"/>
          <w:szCs w:val="26"/>
        </w:rPr>
        <w:t>, on January 29, 2021</w:t>
      </w:r>
      <w:r w:rsidRPr="006A6347">
        <w:rPr>
          <w:rFonts w:ascii="Times New Roman" w:eastAsia="Times New Roman" w:hAnsi="Times New Roman" w:cs="Times New Roman"/>
          <w:color w:val="000000"/>
          <w:sz w:val="26"/>
          <w:szCs w:val="26"/>
        </w:rPr>
        <w:t xml:space="preserve">, the </w:t>
      </w:r>
      <w:r w:rsidR="009A299D">
        <w:rPr>
          <w:rFonts w:ascii="Times New Roman" w:eastAsia="Times New Roman" w:hAnsi="Times New Roman" w:cs="Times New Roman"/>
          <w:color w:val="000000"/>
          <w:sz w:val="26"/>
          <w:szCs w:val="26"/>
        </w:rPr>
        <w:t>P</w:t>
      </w:r>
      <w:r w:rsidRPr="006A6347">
        <w:rPr>
          <w:rFonts w:ascii="Times New Roman" w:eastAsia="Times New Roman" w:hAnsi="Times New Roman" w:cs="Times New Roman"/>
          <w:color w:val="000000"/>
          <w:sz w:val="26"/>
          <w:szCs w:val="26"/>
        </w:rPr>
        <w:t>arties filed a Joint Stipulation for the Admission of Evidence.</w:t>
      </w:r>
    </w:p>
    <w:p w14:paraId="54F249EC" w14:textId="77777777" w:rsidR="009A299D" w:rsidRDefault="009A299D" w:rsidP="00C6001F">
      <w:pPr>
        <w:spacing w:line="360" w:lineRule="auto"/>
        <w:textAlignment w:val="baseline"/>
        <w:rPr>
          <w:rFonts w:ascii="Times New Roman" w:eastAsia="Times New Roman" w:hAnsi="Times New Roman" w:cs="Times New Roman"/>
          <w:color w:val="000000"/>
          <w:sz w:val="26"/>
          <w:szCs w:val="26"/>
        </w:rPr>
      </w:pPr>
    </w:p>
    <w:p w14:paraId="1CB25D64" w14:textId="6F3789B1" w:rsidR="006A6347" w:rsidRPr="006A6347" w:rsidRDefault="006A6347" w:rsidP="009A299D">
      <w:pPr>
        <w:spacing w:line="360" w:lineRule="auto"/>
        <w:ind w:firstLine="1440"/>
        <w:textAlignment w:val="baseline"/>
        <w:rPr>
          <w:rFonts w:ascii="Times New Roman" w:eastAsia="Times New Roman" w:hAnsi="Times New Roman" w:cs="Times New Roman"/>
          <w:color w:val="000000"/>
          <w:sz w:val="26"/>
          <w:szCs w:val="26"/>
        </w:rPr>
      </w:pPr>
      <w:r w:rsidRPr="006A6347">
        <w:rPr>
          <w:rFonts w:ascii="Times New Roman" w:eastAsia="Times New Roman" w:hAnsi="Times New Roman" w:cs="Times New Roman"/>
          <w:color w:val="000000"/>
          <w:sz w:val="26"/>
          <w:szCs w:val="26"/>
        </w:rPr>
        <w:t xml:space="preserve">On February 1, 2021, </w:t>
      </w:r>
      <w:r w:rsidR="009A299D">
        <w:rPr>
          <w:rFonts w:ascii="Times New Roman" w:eastAsia="Times New Roman" w:hAnsi="Times New Roman" w:cs="Times New Roman"/>
          <w:color w:val="000000"/>
          <w:sz w:val="26"/>
          <w:szCs w:val="26"/>
        </w:rPr>
        <w:t xml:space="preserve">ALJ </w:t>
      </w:r>
      <w:proofErr w:type="spellStart"/>
      <w:r w:rsidR="009A299D">
        <w:rPr>
          <w:rFonts w:ascii="Times New Roman" w:eastAsia="Times New Roman" w:hAnsi="Times New Roman" w:cs="Times New Roman"/>
          <w:color w:val="000000"/>
          <w:sz w:val="26"/>
          <w:szCs w:val="26"/>
        </w:rPr>
        <w:t>Guhl</w:t>
      </w:r>
      <w:proofErr w:type="spellEnd"/>
      <w:r w:rsidR="009A299D">
        <w:rPr>
          <w:rFonts w:ascii="Times New Roman" w:eastAsia="Times New Roman" w:hAnsi="Times New Roman" w:cs="Times New Roman"/>
          <w:color w:val="000000"/>
          <w:sz w:val="26"/>
          <w:szCs w:val="26"/>
        </w:rPr>
        <w:t xml:space="preserve"> </w:t>
      </w:r>
      <w:r w:rsidRPr="006A6347">
        <w:rPr>
          <w:rFonts w:ascii="Times New Roman" w:eastAsia="Times New Roman" w:hAnsi="Times New Roman" w:cs="Times New Roman"/>
          <w:color w:val="000000"/>
          <w:sz w:val="26"/>
          <w:szCs w:val="26"/>
        </w:rPr>
        <w:t xml:space="preserve">sent a letter to Protestant Mr. </w:t>
      </w:r>
      <w:proofErr w:type="spellStart"/>
      <w:r w:rsidRPr="006A6347">
        <w:rPr>
          <w:rFonts w:ascii="Times New Roman" w:eastAsia="Times New Roman" w:hAnsi="Times New Roman" w:cs="Times New Roman"/>
          <w:color w:val="000000"/>
          <w:sz w:val="26"/>
          <w:szCs w:val="26"/>
        </w:rPr>
        <w:t>Redinger</w:t>
      </w:r>
      <w:proofErr w:type="spellEnd"/>
      <w:r w:rsidRPr="006A6347">
        <w:rPr>
          <w:rFonts w:ascii="Times New Roman" w:eastAsia="Times New Roman" w:hAnsi="Times New Roman" w:cs="Times New Roman"/>
          <w:color w:val="000000"/>
          <w:sz w:val="26"/>
          <w:szCs w:val="26"/>
        </w:rPr>
        <w:t xml:space="preserve"> regarding the Settlement and indicated that he would need to provide any comments </w:t>
      </w:r>
      <w:r w:rsidRPr="006A6347">
        <w:rPr>
          <w:rFonts w:ascii="Times New Roman" w:eastAsia="Times New Roman" w:hAnsi="Times New Roman" w:cs="Times New Roman"/>
          <w:color w:val="000000"/>
          <w:sz w:val="26"/>
          <w:szCs w:val="26"/>
        </w:rPr>
        <w:lastRenderedPageBreak/>
        <w:t xml:space="preserve">about the Settlement by February 8, 2021. </w:t>
      </w:r>
      <w:r w:rsidR="009A299D">
        <w:rPr>
          <w:rFonts w:ascii="Times New Roman" w:eastAsia="Times New Roman" w:hAnsi="Times New Roman" w:cs="Times New Roman"/>
          <w:color w:val="000000"/>
          <w:sz w:val="26"/>
          <w:szCs w:val="26"/>
        </w:rPr>
        <w:t xml:space="preserve"> </w:t>
      </w:r>
      <w:r w:rsidRPr="006A6347">
        <w:rPr>
          <w:rFonts w:ascii="Times New Roman" w:eastAsia="Times New Roman" w:hAnsi="Times New Roman" w:cs="Times New Roman"/>
          <w:color w:val="000000"/>
          <w:sz w:val="26"/>
          <w:szCs w:val="26"/>
        </w:rPr>
        <w:t xml:space="preserve">As of the date of </w:t>
      </w:r>
      <w:r w:rsidR="009A299D">
        <w:rPr>
          <w:rFonts w:ascii="Times New Roman" w:eastAsia="Times New Roman" w:hAnsi="Times New Roman" w:cs="Times New Roman"/>
          <w:color w:val="000000"/>
          <w:sz w:val="26"/>
          <w:szCs w:val="26"/>
        </w:rPr>
        <w:t>the</w:t>
      </w:r>
      <w:r w:rsidRPr="006A6347">
        <w:rPr>
          <w:rFonts w:ascii="Times New Roman" w:eastAsia="Times New Roman" w:hAnsi="Times New Roman" w:cs="Times New Roman"/>
          <w:color w:val="000000"/>
          <w:sz w:val="26"/>
          <w:szCs w:val="26"/>
        </w:rPr>
        <w:t xml:space="preserve"> Recommended Decision, Mr. </w:t>
      </w:r>
      <w:proofErr w:type="spellStart"/>
      <w:r w:rsidRPr="006A6347">
        <w:rPr>
          <w:rFonts w:ascii="Times New Roman" w:eastAsia="Times New Roman" w:hAnsi="Times New Roman" w:cs="Times New Roman"/>
          <w:color w:val="000000"/>
          <w:sz w:val="26"/>
          <w:szCs w:val="26"/>
        </w:rPr>
        <w:t>Redinger</w:t>
      </w:r>
      <w:proofErr w:type="spellEnd"/>
      <w:r w:rsidRPr="006A6347">
        <w:rPr>
          <w:rFonts w:ascii="Times New Roman" w:eastAsia="Times New Roman" w:hAnsi="Times New Roman" w:cs="Times New Roman"/>
          <w:color w:val="000000"/>
          <w:sz w:val="26"/>
          <w:szCs w:val="26"/>
        </w:rPr>
        <w:t xml:space="preserve"> ha</w:t>
      </w:r>
      <w:r w:rsidR="009A299D">
        <w:rPr>
          <w:rFonts w:ascii="Times New Roman" w:eastAsia="Times New Roman" w:hAnsi="Times New Roman" w:cs="Times New Roman"/>
          <w:color w:val="000000"/>
          <w:sz w:val="26"/>
          <w:szCs w:val="26"/>
        </w:rPr>
        <w:t>d</w:t>
      </w:r>
      <w:r w:rsidRPr="006A6347">
        <w:rPr>
          <w:rFonts w:ascii="Times New Roman" w:eastAsia="Times New Roman" w:hAnsi="Times New Roman" w:cs="Times New Roman"/>
          <w:color w:val="000000"/>
          <w:sz w:val="26"/>
          <w:szCs w:val="26"/>
        </w:rPr>
        <w:t xml:space="preserve"> not submitted any comments.</w:t>
      </w:r>
    </w:p>
    <w:p w14:paraId="5C2B9322" w14:textId="77777777" w:rsidR="009A299D" w:rsidRDefault="009A299D" w:rsidP="00C6001F">
      <w:pPr>
        <w:spacing w:line="360" w:lineRule="auto"/>
        <w:textAlignment w:val="baseline"/>
        <w:rPr>
          <w:rFonts w:ascii="Times New Roman" w:eastAsia="Times New Roman" w:hAnsi="Times New Roman" w:cs="Times New Roman"/>
          <w:color w:val="000000"/>
          <w:sz w:val="26"/>
          <w:szCs w:val="26"/>
        </w:rPr>
      </w:pPr>
    </w:p>
    <w:p w14:paraId="01B57D61" w14:textId="05EAF4C1" w:rsidR="006A6347" w:rsidRPr="006A6347" w:rsidRDefault="009A299D" w:rsidP="009A299D">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By Order dated </w:t>
      </w:r>
      <w:r w:rsidR="006A6347" w:rsidRPr="006A6347">
        <w:rPr>
          <w:rFonts w:ascii="Times New Roman" w:eastAsia="Times New Roman" w:hAnsi="Times New Roman" w:cs="Times New Roman"/>
          <w:color w:val="000000"/>
          <w:sz w:val="26"/>
          <w:szCs w:val="26"/>
        </w:rPr>
        <w:t xml:space="preserve">February 5, 2021, </w:t>
      </w:r>
      <w:r w:rsidR="00C50E26">
        <w:rPr>
          <w:rFonts w:ascii="Times New Roman" w:eastAsia="Times New Roman" w:hAnsi="Times New Roman" w:cs="Times New Roman"/>
          <w:color w:val="000000"/>
          <w:sz w:val="26"/>
          <w:szCs w:val="26"/>
        </w:rPr>
        <w:t xml:space="preserve">ALJ </w:t>
      </w:r>
      <w:proofErr w:type="spellStart"/>
      <w:r w:rsidR="00C50E26">
        <w:rPr>
          <w:rFonts w:ascii="Times New Roman" w:eastAsia="Times New Roman" w:hAnsi="Times New Roman" w:cs="Times New Roman"/>
          <w:color w:val="000000"/>
          <w:sz w:val="26"/>
          <w:szCs w:val="26"/>
        </w:rPr>
        <w:t>Guhl</w:t>
      </w:r>
      <w:proofErr w:type="spellEnd"/>
      <w:r w:rsidR="00C50E26">
        <w:rPr>
          <w:rFonts w:ascii="Times New Roman" w:eastAsia="Times New Roman" w:hAnsi="Times New Roman" w:cs="Times New Roman"/>
          <w:color w:val="000000"/>
          <w:sz w:val="26"/>
          <w:szCs w:val="26"/>
        </w:rPr>
        <w:t xml:space="preserve"> granted </w:t>
      </w:r>
      <w:r w:rsidR="006A6347" w:rsidRPr="006A6347">
        <w:rPr>
          <w:rFonts w:ascii="Times New Roman" w:eastAsia="Times New Roman" w:hAnsi="Times New Roman" w:cs="Times New Roman"/>
          <w:color w:val="000000"/>
          <w:sz w:val="26"/>
          <w:szCs w:val="26"/>
        </w:rPr>
        <w:t>the Joint Stipulation for the Admission of Evidence</w:t>
      </w:r>
      <w:r w:rsidR="001A57F0">
        <w:rPr>
          <w:rFonts w:ascii="Times New Roman" w:eastAsia="Times New Roman" w:hAnsi="Times New Roman" w:cs="Times New Roman"/>
          <w:color w:val="000000"/>
          <w:sz w:val="26"/>
          <w:szCs w:val="26"/>
        </w:rPr>
        <w:t xml:space="preserve"> and t</w:t>
      </w:r>
      <w:r w:rsidR="006A6347" w:rsidRPr="006A6347">
        <w:rPr>
          <w:rFonts w:ascii="Times New Roman" w:eastAsia="Times New Roman" w:hAnsi="Times New Roman" w:cs="Times New Roman"/>
          <w:color w:val="000000"/>
          <w:sz w:val="26"/>
          <w:szCs w:val="26"/>
        </w:rPr>
        <w:t>he record closed on February 10, 2021.</w:t>
      </w:r>
    </w:p>
    <w:p w14:paraId="5E5FCA7E" w14:textId="77777777" w:rsidR="006A6347" w:rsidRDefault="006A6347" w:rsidP="0048770E">
      <w:pPr>
        <w:spacing w:line="360" w:lineRule="auto"/>
        <w:ind w:firstLine="1440"/>
        <w:rPr>
          <w:rFonts w:ascii="Times New Roman" w:hAnsi="Times New Roman" w:cs="Times New Roman"/>
          <w:color w:val="000000"/>
          <w:sz w:val="26"/>
          <w:szCs w:val="26"/>
        </w:rPr>
      </w:pPr>
    </w:p>
    <w:p w14:paraId="1D1808CB" w14:textId="0D8D14DC" w:rsidR="00830D8A" w:rsidRDefault="0032798C" w:rsidP="00A81AD8">
      <w:pPr>
        <w:spacing w:line="360" w:lineRule="auto"/>
        <w:ind w:firstLine="1440"/>
        <w:textAlignment w:val="baseline"/>
        <w:rPr>
          <w:rFonts w:ascii="Times New Roman" w:eastAsia="Times New Roman" w:hAnsi="Times New Roman" w:cs="Times New Roman"/>
          <w:color w:val="000000"/>
          <w:sz w:val="26"/>
          <w:szCs w:val="26"/>
        </w:rPr>
      </w:pPr>
      <w:r w:rsidRPr="006A749D">
        <w:rPr>
          <w:rFonts w:ascii="Times New Roman" w:eastAsia="Times New Roman" w:hAnsi="Times New Roman" w:cs="Times New Roman"/>
          <w:color w:val="000000"/>
          <w:sz w:val="26"/>
          <w:szCs w:val="26"/>
        </w:rPr>
        <w:t xml:space="preserve">In the Recommended Decision issued on </w:t>
      </w:r>
      <w:r w:rsidR="005A3047">
        <w:rPr>
          <w:rFonts w:ascii="Times New Roman" w:eastAsia="Times New Roman" w:hAnsi="Times New Roman" w:cs="Times New Roman"/>
          <w:color w:val="000000"/>
          <w:sz w:val="26"/>
          <w:szCs w:val="26"/>
        </w:rPr>
        <w:t>March 16</w:t>
      </w:r>
      <w:r w:rsidR="00862438" w:rsidRPr="006A749D">
        <w:rPr>
          <w:rFonts w:ascii="Times New Roman" w:eastAsia="Times New Roman" w:hAnsi="Times New Roman" w:cs="Times New Roman"/>
          <w:color w:val="000000"/>
          <w:sz w:val="26"/>
          <w:szCs w:val="26"/>
        </w:rPr>
        <w:t>, 2021, the ALJ</w:t>
      </w:r>
      <w:r w:rsidR="00760933">
        <w:rPr>
          <w:rFonts w:ascii="Times New Roman" w:eastAsia="Times New Roman" w:hAnsi="Times New Roman" w:cs="Times New Roman"/>
          <w:color w:val="000000"/>
          <w:sz w:val="26"/>
          <w:szCs w:val="26"/>
        </w:rPr>
        <w:t xml:space="preserve"> </w:t>
      </w:r>
      <w:r w:rsidR="00634FD9" w:rsidRPr="006A749D">
        <w:rPr>
          <w:rFonts w:ascii="Times New Roman" w:eastAsia="Times New Roman" w:hAnsi="Times New Roman" w:cs="Times New Roman"/>
          <w:color w:val="000000"/>
          <w:sz w:val="26"/>
          <w:szCs w:val="26"/>
        </w:rPr>
        <w:t xml:space="preserve">recommended </w:t>
      </w:r>
      <w:r w:rsidR="00862438" w:rsidRPr="006A749D">
        <w:rPr>
          <w:rFonts w:ascii="Times New Roman" w:eastAsia="Times New Roman" w:hAnsi="Times New Roman" w:cs="Times New Roman"/>
          <w:color w:val="000000"/>
          <w:sz w:val="26"/>
          <w:szCs w:val="26"/>
        </w:rPr>
        <w:t>th</w:t>
      </w:r>
      <w:r w:rsidR="0083438B">
        <w:rPr>
          <w:rFonts w:ascii="Times New Roman" w:eastAsia="Times New Roman" w:hAnsi="Times New Roman" w:cs="Times New Roman"/>
          <w:color w:val="000000"/>
          <w:sz w:val="26"/>
          <w:szCs w:val="26"/>
        </w:rPr>
        <w:t>at the Commission approve the Settlement</w:t>
      </w:r>
      <w:r w:rsidR="00E553B1">
        <w:rPr>
          <w:rFonts w:ascii="Times New Roman" w:eastAsia="Times New Roman" w:hAnsi="Times New Roman" w:cs="Times New Roman"/>
          <w:color w:val="000000"/>
          <w:sz w:val="26"/>
          <w:szCs w:val="26"/>
        </w:rPr>
        <w:t xml:space="preserve"> without modification because it is supported by substantial evidence and is in the public interest.  </w:t>
      </w:r>
      <w:r w:rsidR="0066391E">
        <w:rPr>
          <w:rFonts w:ascii="Times New Roman" w:eastAsia="Times New Roman" w:hAnsi="Times New Roman" w:cs="Times New Roman"/>
          <w:color w:val="000000"/>
          <w:sz w:val="26"/>
          <w:szCs w:val="26"/>
        </w:rPr>
        <w:t xml:space="preserve">R.D. at 1, </w:t>
      </w:r>
      <w:r w:rsidR="00C6213E">
        <w:rPr>
          <w:rFonts w:ascii="Times New Roman" w:eastAsia="Times New Roman" w:hAnsi="Times New Roman" w:cs="Times New Roman"/>
          <w:color w:val="000000"/>
          <w:sz w:val="26"/>
          <w:szCs w:val="26"/>
        </w:rPr>
        <w:t xml:space="preserve">42, </w:t>
      </w:r>
      <w:r w:rsidR="00DF47A4">
        <w:rPr>
          <w:rFonts w:ascii="Times New Roman" w:eastAsia="Times New Roman" w:hAnsi="Times New Roman" w:cs="Times New Roman"/>
          <w:color w:val="000000"/>
          <w:sz w:val="26"/>
          <w:szCs w:val="26"/>
        </w:rPr>
        <w:t>46.</w:t>
      </w:r>
    </w:p>
    <w:p w14:paraId="3EC43951" w14:textId="08D7B557" w:rsidR="003F6FC8" w:rsidRDefault="003F6FC8" w:rsidP="00A81AD8">
      <w:pPr>
        <w:spacing w:line="360" w:lineRule="auto"/>
        <w:ind w:firstLine="1440"/>
        <w:textAlignment w:val="baseline"/>
        <w:rPr>
          <w:rFonts w:ascii="Times New Roman" w:eastAsia="Times New Roman" w:hAnsi="Times New Roman" w:cs="Times New Roman"/>
          <w:color w:val="000000"/>
          <w:sz w:val="26"/>
          <w:szCs w:val="26"/>
        </w:rPr>
      </w:pPr>
    </w:p>
    <w:p w14:paraId="4A1210F6" w14:textId="15BB8A49" w:rsidR="006F790A" w:rsidRPr="006A749D" w:rsidRDefault="003F6FC8" w:rsidP="006F790A">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On March 26, 2021, the OCA filed </w:t>
      </w:r>
      <w:r w:rsidR="00F42E3F">
        <w:rPr>
          <w:rFonts w:ascii="Times New Roman" w:eastAsia="Times New Roman" w:hAnsi="Times New Roman" w:cs="Times New Roman"/>
          <w:color w:val="000000"/>
          <w:sz w:val="26"/>
          <w:szCs w:val="26"/>
        </w:rPr>
        <w:t xml:space="preserve">its </w:t>
      </w:r>
      <w:r>
        <w:rPr>
          <w:rFonts w:ascii="Times New Roman" w:eastAsia="Times New Roman" w:hAnsi="Times New Roman" w:cs="Times New Roman"/>
          <w:color w:val="000000"/>
          <w:sz w:val="26"/>
          <w:szCs w:val="26"/>
        </w:rPr>
        <w:t xml:space="preserve">Exception </w:t>
      </w:r>
      <w:r w:rsidR="004E2A1D">
        <w:rPr>
          <w:rFonts w:ascii="Times New Roman" w:eastAsia="Times New Roman" w:hAnsi="Times New Roman" w:cs="Times New Roman"/>
          <w:color w:val="000000"/>
          <w:sz w:val="26"/>
          <w:szCs w:val="26"/>
        </w:rPr>
        <w:t xml:space="preserve">indicating that it is not withdrawing from the </w:t>
      </w:r>
      <w:r w:rsidR="00134FE4">
        <w:rPr>
          <w:rFonts w:ascii="Times New Roman" w:eastAsia="Times New Roman" w:hAnsi="Times New Roman" w:cs="Times New Roman"/>
          <w:color w:val="000000"/>
          <w:sz w:val="26"/>
          <w:szCs w:val="26"/>
        </w:rPr>
        <w:t>Joint Petition but that it is submitting its E</w:t>
      </w:r>
      <w:r w:rsidR="00542678">
        <w:rPr>
          <w:rFonts w:ascii="Times New Roman" w:eastAsia="Times New Roman" w:hAnsi="Times New Roman" w:cs="Times New Roman"/>
          <w:color w:val="000000"/>
          <w:sz w:val="26"/>
          <w:szCs w:val="26"/>
        </w:rPr>
        <w:t>xception</w:t>
      </w:r>
      <w:r w:rsidR="00134FE4">
        <w:rPr>
          <w:rFonts w:ascii="Times New Roman" w:eastAsia="Times New Roman" w:hAnsi="Times New Roman" w:cs="Times New Roman"/>
          <w:color w:val="000000"/>
          <w:sz w:val="26"/>
          <w:szCs w:val="26"/>
        </w:rPr>
        <w:t xml:space="preserve"> </w:t>
      </w:r>
      <w:r w:rsidR="00B91953">
        <w:rPr>
          <w:rFonts w:ascii="Times New Roman" w:eastAsia="Times New Roman" w:hAnsi="Times New Roman" w:cs="Times New Roman"/>
          <w:color w:val="000000"/>
          <w:sz w:val="26"/>
          <w:szCs w:val="26"/>
        </w:rPr>
        <w:t xml:space="preserve">for the limited purpose </w:t>
      </w:r>
      <w:r w:rsidR="003E5AB7">
        <w:rPr>
          <w:rFonts w:ascii="Times New Roman" w:eastAsia="Times New Roman" w:hAnsi="Times New Roman" w:cs="Times New Roman"/>
          <w:color w:val="000000"/>
          <w:sz w:val="26"/>
          <w:szCs w:val="26"/>
        </w:rPr>
        <w:t>related to one specific material, contested issue.</w:t>
      </w:r>
      <w:r w:rsidR="003E5AB7">
        <w:rPr>
          <w:rStyle w:val="FootnoteReference"/>
          <w:rFonts w:ascii="Times New Roman" w:eastAsia="Times New Roman" w:hAnsi="Times New Roman" w:cs="Times New Roman"/>
          <w:color w:val="000000"/>
          <w:sz w:val="26"/>
          <w:szCs w:val="26"/>
        </w:rPr>
        <w:footnoteReference w:id="3"/>
      </w:r>
      <w:r w:rsidR="00CE50BD">
        <w:rPr>
          <w:rFonts w:ascii="Times New Roman" w:eastAsia="Times New Roman" w:hAnsi="Times New Roman" w:cs="Times New Roman"/>
          <w:color w:val="000000"/>
          <w:sz w:val="26"/>
          <w:szCs w:val="26"/>
        </w:rPr>
        <w:t xml:space="preserve">  On </w:t>
      </w:r>
      <w:r w:rsidR="00D43A62">
        <w:rPr>
          <w:rFonts w:ascii="Times New Roman" w:eastAsia="Times New Roman" w:hAnsi="Times New Roman" w:cs="Times New Roman"/>
          <w:color w:val="000000"/>
          <w:sz w:val="26"/>
          <w:szCs w:val="26"/>
        </w:rPr>
        <w:t xml:space="preserve">March 29, 2021, PAWC filed Replies to </w:t>
      </w:r>
      <w:r w:rsidR="00542678">
        <w:rPr>
          <w:rFonts w:ascii="Times New Roman" w:eastAsia="Times New Roman" w:hAnsi="Times New Roman" w:cs="Times New Roman"/>
          <w:color w:val="000000"/>
          <w:sz w:val="26"/>
          <w:szCs w:val="26"/>
        </w:rPr>
        <w:t xml:space="preserve">the </w:t>
      </w:r>
      <w:r w:rsidR="00D43A62">
        <w:rPr>
          <w:rFonts w:ascii="Times New Roman" w:eastAsia="Times New Roman" w:hAnsi="Times New Roman" w:cs="Times New Roman"/>
          <w:color w:val="000000"/>
          <w:sz w:val="26"/>
          <w:szCs w:val="26"/>
        </w:rPr>
        <w:t xml:space="preserve">Exception </w:t>
      </w:r>
      <w:r w:rsidR="00BF4F3B">
        <w:rPr>
          <w:rFonts w:ascii="Times New Roman" w:eastAsia="Times New Roman" w:hAnsi="Times New Roman" w:cs="Times New Roman"/>
          <w:color w:val="000000"/>
          <w:sz w:val="26"/>
          <w:szCs w:val="26"/>
        </w:rPr>
        <w:t>requesting that the Commission adopt the Recommended Decision approving the Application as modified by the Settlement</w:t>
      </w:r>
      <w:r w:rsidR="00C4271A">
        <w:rPr>
          <w:rFonts w:ascii="Times New Roman" w:eastAsia="Times New Roman" w:hAnsi="Times New Roman" w:cs="Times New Roman"/>
          <w:color w:val="000000"/>
          <w:sz w:val="26"/>
          <w:szCs w:val="26"/>
        </w:rPr>
        <w:t xml:space="preserve"> and indicating that it has no objection to the clarification requested by the OCA in its Exceptions.  R. Exc. at 2.  </w:t>
      </w:r>
      <w:r w:rsidR="00A52E0C">
        <w:rPr>
          <w:rFonts w:ascii="Times New Roman" w:eastAsia="Times New Roman" w:hAnsi="Times New Roman" w:cs="Times New Roman"/>
          <w:color w:val="000000"/>
          <w:sz w:val="26"/>
          <w:szCs w:val="26"/>
        </w:rPr>
        <w:t xml:space="preserve">Also, on March 29, 2021, Royersford filed a letter joining in the Replies to </w:t>
      </w:r>
      <w:r w:rsidR="00675E89">
        <w:rPr>
          <w:rFonts w:ascii="Times New Roman" w:eastAsia="Times New Roman" w:hAnsi="Times New Roman" w:cs="Times New Roman"/>
          <w:color w:val="000000"/>
          <w:sz w:val="26"/>
          <w:szCs w:val="26"/>
        </w:rPr>
        <w:t xml:space="preserve">the </w:t>
      </w:r>
      <w:r w:rsidR="00A52E0C">
        <w:rPr>
          <w:rFonts w:ascii="Times New Roman" w:eastAsia="Times New Roman" w:hAnsi="Times New Roman" w:cs="Times New Roman"/>
          <w:color w:val="000000"/>
          <w:sz w:val="26"/>
          <w:szCs w:val="26"/>
        </w:rPr>
        <w:t xml:space="preserve">Exception of the Company.  </w:t>
      </w:r>
    </w:p>
    <w:p w14:paraId="6EAD35F4" w14:textId="77777777" w:rsidR="0015104D" w:rsidRPr="006A749D" w:rsidRDefault="0015104D" w:rsidP="008E0284">
      <w:pPr>
        <w:spacing w:line="360" w:lineRule="auto"/>
        <w:rPr>
          <w:rFonts w:ascii="Times New Roman" w:hAnsi="Times New Roman" w:cs="Times New Roman"/>
          <w:sz w:val="26"/>
          <w:szCs w:val="26"/>
        </w:rPr>
      </w:pPr>
    </w:p>
    <w:p w14:paraId="58021CB4" w14:textId="54795448" w:rsidR="00222BBB" w:rsidRPr="006A749D" w:rsidRDefault="00FF0A0E" w:rsidP="007B0D4D">
      <w:pPr>
        <w:pStyle w:val="Heading1"/>
      </w:pPr>
      <w:bookmarkStart w:id="1" w:name="_Toc66196369"/>
      <w:r w:rsidRPr="006A749D">
        <w:lastRenderedPageBreak/>
        <w:t>II.</w:t>
      </w:r>
      <w:r w:rsidRPr="006A749D">
        <w:tab/>
      </w:r>
      <w:r w:rsidR="00D67CD0" w:rsidRPr="006A749D">
        <w:t>Discussion</w:t>
      </w:r>
      <w:bookmarkEnd w:id="1"/>
    </w:p>
    <w:p w14:paraId="72CB67E4" w14:textId="77777777" w:rsidR="00D67CD0" w:rsidRPr="006A749D" w:rsidRDefault="00D67CD0" w:rsidP="007B0D4D">
      <w:pPr>
        <w:keepNext/>
        <w:keepLines/>
        <w:tabs>
          <w:tab w:val="left" w:pos="-720"/>
        </w:tabs>
        <w:suppressAutoHyphens/>
        <w:spacing w:line="360" w:lineRule="auto"/>
        <w:rPr>
          <w:rFonts w:ascii="Times New Roman" w:hAnsi="Times New Roman" w:cs="Times New Roman"/>
          <w:bCs/>
          <w:sz w:val="26"/>
          <w:szCs w:val="26"/>
        </w:rPr>
      </w:pPr>
    </w:p>
    <w:p w14:paraId="09C8F637" w14:textId="7E321383" w:rsidR="00D67CD0" w:rsidRPr="006A749D" w:rsidRDefault="00D67CD0" w:rsidP="007B0D4D">
      <w:pPr>
        <w:pStyle w:val="Heading2"/>
      </w:pPr>
      <w:bookmarkStart w:id="2" w:name="_Toc66196370"/>
      <w:r w:rsidRPr="006A749D">
        <w:t>A.</w:t>
      </w:r>
      <w:r w:rsidRPr="006A749D">
        <w:tab/>
        <w:t>Legal Standards</w:t>
      </w:r>
      <w:bookmarkEnd w:id="2"/>
    </w:p>
    <w:p w14:paraId="622381BF" w14:textId="073571A7" w:rsidR="00B35CEB" w:rsidRPr="006A749D" w:rsidRDefault="00B35CEB" w:rsidP="007B0D4D">
      <w:pPr>
        <w:keepNext/>
        <w:keepLines/>
        <w:tabs>
          <w:tab w:val="left" w:pos="-720"/>
        </w:tabs>
        <w:suppressAutoHyphens/>
        <w:spacing w:line="360" w:lineRule="auto"/>
        <w:rPr>
          <w:rFonts w:ascii="Times New Roman" w:hAnsi="Times New Roman" w:cs="Times New Roman"/>
          <w:b/>
          <w:sz w:val="26"/>
          <w:szCs w:val="26"/>
        </w:rPr>
      </w:pPr>
    </w:p>
    <w:p w14:paraId="2855D169" w14:textId="7705AA8C" w:rsidR="00B35CEB" w:rsidRPr="006A749D" w:rsidRDefault="00B35CEB" w:rsidP="007B0D4D">
      <w:pPr>
        <w:pStyle w:val="Heading3"/>
        <w:keepNext/>
      </w:pPr>
      <w:bookmarkStart w:id="3" w:name="_Toc66196371"/>
      <w:r w:rsidRPr="006A749D">
        <w:t>Burden of Proof, 66 Pa. C.S. § 332(a)</w:t>
      </w:r>
      <w:bookmarkEnd w:id="3"/>
    </w:p>
    <w:p w14:paraId="748041BF" w14:textId="3BFECD44" w:rsidR="00371C6E" w:rsidRPr="006A749D" w:rsidRDefault="00371C6E" w:rsidP="007B0D4D">
      <w:pPr>
        <w:keepNext/>
        <w:keepLines/>
        <w:tabs>
          <w:tab w:val="left" w:pos="-720"/>
        </w:tabs>
        <w:suppressAutoHyphens/>
        <w:spacing w:line="360" w:lineRule="auto"/>
        <w:rPr>
          <w:rFonts w:ascii="Times New Roman" w:hAnsi="Times New Roman" w:cs="Times New Roman"/>
          <w:b/>
          <w:sz w:val="26"/>
          <w:szCs w:val="26"/>
        </w:rPr>
      </w:pPr>
    </w:p>
    <w:p w14:paraId="3915833E" w14:textId="2A3E7110" w:rsidR="00D07988" w:rsidRPr="006A749D" w:rsidRDefault="003C12DE" w:rsidP="007B0D4D">
      <w:pPr>
        <w:keepNext/>
        <w:tabs>
          <w:tab w:val="left" w:pos="-720"/>
        </w:tabs>
        <w:spacing w:line="360" w:lineRule="auto"/>
        <w:ind w:firstLine="1440"/>
        <w:rPr>
          <w:rFonts w:ascii="Times New Roman" w:hAnsi="Times New Roman" w:cs="Times New Roman"/>
          <w:sz w:val="26"/>
          <w:szCs w:val="26"/>
        </w:rPr>
      </w:pPr>
      <w:r w:rsidRPr="00B62C9D">
        <w:rPr>
          <w:rFonts w:ascii="Times New Roman" w:eastAsia="Times New Roman" w:hAnsi="Times New Roman" w:cs="Times New Roman"/>
          <w:color w:val="000000"/>
          <w:sz w:val="26"/>
          <w:szCs w:val="26"/>
        </w:rPr>
        <w:t xml:space="preserve">As the proponent of a rule or order in this proceeding, </w:t>
      </w:r>
      <w:r>
        <w:rPr>
          <w:rFonts w:ascii="Times New Roman" w:eastAsia="Times New Roman" w:hAnsi="Times New Roman" w:cs="Times New Roman"/>
          <w:color w:val="000000"/>
          <w:sz w:val="26"/>
          <w:szCs w:val="26"/>
        </w:rPr>
        <w:t>PAWC</w:t>
      </w:r>
      <w:r w:rsidRPr="00B62C9D">
        <w:rPr>
          <w:rFonts w:ascii="Times New Roman" w:eastAsia="Times New Roman" w:hAnsi="Times New Roman" w:cs="Times New Roman"/>
          <w:color w:val="000000"/>
          <w:sz w:val="26"/>
          <w:szCs w:val="26"/>
        </w:rPr>
        <w:t xml:space="preserve"> has the burden of proof to establish that it is entitled to the relief it is seeking.  66 Pa. C.S. §</w:t>
      </w:r>
      <w:r>
        <w:rPr>
          <w:rFonts w:ascii="Times New Roman" w:eastAsia="Times New Roman" w:hAnsi="Times New Roman" w:cs="Times New Roman"/>
          <w:color w:val="000000"/>
          <w:sz w:val="26"/>
          <w:szCs w:val="26"/>
        </w:rPr>
        <w:t> </w:t>
      </w:r>
      <w:r w:rsidRPr="00B62C9D">
        <w:rPr>
          <w:rFonts w:ascii="Times New Roman" w:eastAsia="Times New Roman" w:hAnsi="Times New Roman" w:cs="Times New Roman"/>
          <w:color w:val="000000"/>
          <w:sz w:val="26"/>
          <w:szCs w:val="26"/>
        </w:rPr>
        <w:t xml:space="preserve">332(a).  The Applicant must establish its case by a preponderance of the evidence.  </w:t>
      </w:r>
      <w:r w:rsidRPr="00B038CC">
        <w:rPr>
          <w:rFonts w:ascii="Times New Roman" w:eastAsia="Times New Roman" w:hAnsi="Times New Roman" w:cs="Times New Roman"/>
          <w:i/>
          <w:iCs/>
          <w:color w:val="000000"/>
          <w:sz w:val="26"/>
          <w:szCs w:val="26"/>
        </w:rPr>
        <w:t xml:space="preserve">Samuel J. </w:t>
      </w:r>
      <w:proofErr w:type="spellStart"/>
      <w:r w:rsidRPr="00B038CC">
        <w:rPr>
          <w:rFonts w:ascii="Times New Roman" w:eastAsia="Times New Roman" w:hAnsi="Times New Roman" w:cs="Times New Roman"/>
          <w:i/>
          <w:iCs/>
          <w:color w:val="000000"/>
          <w:sz w:val="26"/>
          <w:szCs w:val="26"/>
        </w:rPr>
        <w:t>Lansberry</w:t>
      </w:r>
      <w:proofErr w:type="spellEnd"/>
      <w:r w:rsidRPr="00B038CC">
        <w:rPr>
          <w:rFonts w:ascii="Times New Roman" w:eastAsia="Times New Roman" w:hAnsi="Times New Roman" w:cs="Times New Roman"/>
          <w:i/>
          <w:iCs/>
          <w:color w:val="000000"/>
          <w:sz w:val="26"/>
          <w:szCs w:val="26"/>
        </w:rPr>
        <w:t>, Inc. v. Pa. PUC</w:t>
      </w:r>
      <w:r w:rsidRPr="00B62C9D">
        <w:rPr>
          <w:rFonts w:ascii="Times New Roman" w:eastAsia="Times New Roman" w:hAnsi="Times New Roman" w:cs="Times New Roman"/>
          <w:color w:val="000000"/>
          <w:sz w:val="26"/>
          <w:szCs w:val="26"/>
        </w:rPr>
        <w:t xml:space="preserve">, 578 A.2d 600 (Pa. Cmwlth. 1990), </w:t>
      </w:r>
      <w:proofErr w:type="spellStart"/>
      <w:r w:rsidRPr="002348B2">
        <w:rPr>
          <w:rFonts w:ascii="Times New Roman" w:eastAsia="Times New Roman" w:hAnsi="Times New Roman" w:cs="Times New Roman"/>
          <w:i/>
          <w:iCs/>
          <w:color w:val="000000"/>
          <w:sz w:val="26"/>
          <w:szCs w:val="26"/>
        </w:rPr>
        <w:t>alloc</w:t>
      </w:r>
      <w:proofErr w:type="spellEnd"/>
      <w:r w:rsidRPr="002348B2">
        <w:rPr>
          <w:rFonts w:ascii="Times New Roman" w:eastAsia="Times New Roman" w:hAnsi="Times New Roman" w:cs="Times New Roman"/>
          <w:i/>
          <w:iCs/>
          <w:color w:val="000000"/>
          <w:sz w:val="26"/>
          <w:szCs w:val="26"/>
        </w:rPr>
        <w:t>. denied</w:t>
      </w:r>
      <w:r w:rsidRPr="00B62C9D">
        <w:rPr>
          <w:rFonts w:ascii="Times New Roman" w:eastAsia="Times New Roman" w:hAnsi="Times New Roman" w:cs="Times New Roman"/>
          <w:color w:val="000000"/>
          <w:sz w:val="26"/>
          <w:szCs w:val="26"/>
        </w:rPr>
        <w:t xml:space="preserve">, 529 Pa. 654, 602 A.2d 863 (1992).  That is, the Applicant’s evidence must be more convincing, by even the smallest amount, than that presented by any opposing party.  </w:t>
      </w:r>
      <w:r w:rsidRPr="0082256A">
        <w:rPr>
          <w:rFonts w:ascii="Times New Roman" w:eastAsia="Times New Roman" w:hAnsi="Times New Roman" w:cs="Times New Roman"/>
          <w:i/>
          <w:iCs/>
          <w:color w:val="000000"/>
          <w:sz w:val="26"/>
          <w:szCs w:val="26"/>
        </w:rPr>
        <w:t>Se</w:t>
      </w:r>
      <w:r>
        <w:rPr>
          <w:rFonts w:ascii="Times New Roman" w:eastAsia="Times New Roman" w:hAnsi="Times New Roman" w:cs="Times New Roman"/>
          <w:i/>
          <w:iCs/>
          <w:color w:val="000000"/>
          <w:sz w:val="26"/>
          <w:szCs w:val="26"/>
        </w:rPr>
        <w:noBreakHyphen/>
      </w:r>
      <w:r w:rsidRPr="0082256A">
        <w:rPr>
          <w:rFonts w:ascii="Times New Roman" w:eastAsia="Times New Roman" w:hAnsi="Times New Roman" w:cs="Times New Roman"/>
          <w:i/>
          <w:iCs/>
          <w:color w:val="000000"/>
          <w:sz w:val="26"/>
          <w:szCs w:val="26"/>
        </w:rPr>
        <w:t>Ling Hosiery, Inc. v. Margulies</w:t>
      </w:r>
      <w:r w:rsidRPr="001A262A">
        <w:rPr>
          <w:rFonts w:ascii="Times New Roman" w:eastAsia="Times New Roman" w:hAnsi="Times New Roman" w:cs="Times New Roman"/>
          <w:color w:val="000000"/>
          <w:sz w:val="26"/>
          <w:szCs w:val="26"/>
        </w:rPr>
        <w:t>, 3</w:t>
      </w:r>
      <w:r w:rsidRPr="00B62C9D">
        <w:rPr>
          <w:rFonts w:ascii="Times New Roman" w:eastAsia="Times New Roman" w:hAnsi="Times New Roman" w:cs="Times New Roman"/>
          <w:color w:val="000000"/>
          <w:sz w:val="26"/>
          <w:szCs w:val="26"/>
        </w:rPr>
        <w:t xml:space="preserve">64 Pa. 45, 70 A.2d 854 (1950).  Additionally, this Commission’s decision must be supported by substantial evidence in the record.  More is required than a mere trace of evidence or a suspicion of the existence of a fact sought to be established.  </w:t>
      </w:r>
      <w:r w:rsidRPr="0082256A">
        <w:rPr>
          <w:rFonts w:ascii="Times New Roman" w:eastAsia="Times New Roman" w:hAnsi="Times New Roman" w:cs="Times New Roman"/>
          <w:i/>
          <w:iCs/>
          <w:color w:val="000000"/>
          <w:sz w:val="26"/>
          <w:szCs w:val="26"/>
        </w:rPr>
        <w:t>Norfolk &amp; Western Ry. Co. v. Pa. PUC</w:t>
      </w:r>
      <w:r w:rsidRPr="00B62C9D">
        <w:rPr>
          <w:rFonts w:ascii="Times New Roman" w:eastAsia="Times New Roman" w:hAnsi="Times New Roman" w:cs="Times New Roman"/>
          <w:color w:val="000000"/>
          <w:sz w:val="26"/>
          <w:szCs w:val="26"/>
        </w:rPr>
        <w:t>, 489 Pa. 109, 413 A.2d 1037 (1980).</w:t>
      </w:r>
    </w:p>
    <w:p w14:paraId="3D40A432" w14:textId="73E7DAD7" w:rsidR="00131723" w:rsidRPr="006A749D" w:rsidRDefault="00131723" w:rsidP="00F8213E">
      <w:pPr>
        <w:tabs>
          <w:tab w:val="left" w:pos="-720"/>
        </w:tabs>
        <w:spacing w:line="360" w:lineRule="auto"/>
        <w:rPr>
          <w:rFonts w:ascii="Times New Roman" w:hAnsi="Times New Roman" w:cs="Times New Roman"/>
          <w:sz w:val="26"/>
          <w:szCs w:val="26"/>
        </w:rPr>
      </w:pPr>
    </w:p>
    <w:p w14:paraId="20C371A7" w14:textId="0FBF0373" w:rsidR="00131723" w:rsidRPr="006A749D" w:rsidRDefault="00131723" w:rsidP="00F8213E">
      <w:pPr>
        <w:pStyle w:val="Heading3"/>
        <w:keepNext/>
      </w:pPr>
      <w:bookmarkStart w:id="4" w:name="_Toc66196372"/>
      <w:r w:rsidRPr="006A749D">
        <w:t>Certificate of Public Convenience, 66 Pa. C.S. §§ 1102, 1103</w:t>
      </w:r>
      <w:bookmarkEnd w:id="4"/>
    </w:p>
    <w:p w14:paraId="6389B3E3" w14:textId="34C6FCC2" w:rsidR="00131723" w:rsidRPr="001D2B4E" w:rsidRDefault="00131723" w:rsidP="00F8213E">
      <w:pPr>
        <w:keepNext/>
        <w:tabs>
          <w:tab w:val="left" w:pos="-720"/>
        </w:tabs>
        <w:spacing w:line="360" w:lineRule="auto"/>
        <w:rPr>
          <w:rFonts w:ascii="Times New Roman" w:hAnsi="Times New Roman" w:cs="Times New Roman"/>
          <w:sz w:val="26"/>
          <w:szCs w:val="26"/>
        </w:rPr>
      </w:pPr>
    </w:p>
    <w:p w14:paraId="0964B90D" w14:textId="15F145C6" w:rsidR="00847B65" w:rsidRPr="006A749D" w:rsidRDefault="00847B65" w:rsidP="00912AC6">
      <w:pPr>
        <w:keepNext/>
        <w:spacing w:line="360" w:lineRule="auto"/>
        <w:ind w:firstLine="1440"/>
        <w:rPr>
          <w:rFonts w:ascii="Times New Roman" w:eastAsia="Calibri" w:hAnsi="Times New Roman" w:cs="Times New Roman"/>
          <w:sz w:val="26"/>
          <w:szCs w:val="26"/>
        </w:rPr>
      </w:pPr>
      <w:r w:rsidRPr="006A749D">
        <w:rPr>
          <w:rFonts w:ascii="Times New Roman" w:eastAsia="Calibri" w:hAnsi="Times New Roman" w:cs="Times New Roman"/>
          <w:color w:val="000000"/>
          <w:sz w:val="26"/>
          <w:szCs w:val="26"/>
        </w:rPr>
        <w:t>Section 1102(a)(1)(</w:t>
      </w:r>
      <w:proofErr w:type="spellStart"/>
      <w:r w:rsidRPr="006A749D">
        <w:rPr>
          <w:rFonts w:ascii="Times New Roman" w:eastAsia="Calibri" w:hAnsi="Times New Roman" w:cs="Times New Roman"/>
          <w:color w:val="000000"/>
          <w:sz w:val="26"/>
          <w:szCs w:val="26"/>
        </w:rPr>
        <w:t>i</w:t>
      </w:r>
      <w:proofErr w:type="spellEnd"/>
      <w:r w:rsidRPr="006A749D">
        <w:rPr>
          <w:rFonts w:ascii="Times New Roman" w:eastAsia="Calibri" w:hAnsi="Times New Roman" w:cs="Times New Roman"/>
          <w:color w:val="000000"/>
          <w:sz w:val="26"/>
          <w:szCs w:val="26"/>
        </w:rPr>
        <w:t xml:space="preserve">) of the Code requires a utility to first obtain a Certificate </w:t>
      </w:r>
      <w:r w:rsidR="00FF071E">
        <w:rPr>
          <w:rFonts w:ascii="Times New Roman" w:eastAsia="Calibri" w:hAnsi="Times New Roman" w:cs="Times New Roman"/>
          <w:color w:val="000000"/>
          <w:sz w:val="26"/>
          <w:szCs w:val="26"/>
        </w:rPr>
        <w:t xml:space="preserve">of Public Convenience </w:t>
      </w:r>
      <w:r w:rsidR="005754C5">
        <w:rPr>
          <w:rFonts w:ascii="Times New Roman" w:eastAsia="Calibri" w:hAnsi="Times New Roman" w:cs="Times New Roman"/>
          <w:color w:val="000000"/>
          <w:sz w:val="26"/>
          <w:szCs w:val="26"/>
        </w:rPr>
        <w:t xml:space="preserve">(Certificate) </w:t>
      </w:r>
      <w:r w:rsidRPr="006A749D">
        <w:rPr>
          <w:rFonts w:ascii="Times New Roman" w:eastAsia="Calibri" w:hAnsi="Times New Roman" w:cs="Times New Roman"/>
          <w:color w:val="000000"/>
          <w:sz w:val="26"/>
          <w:szCs w:val="26"/>
        </w:rPr>
        <w:t xml:space="preserve">prior to beginning to offer or supply utility service to a different territory than that previously authorized by the Commission.  </w:t>
      </w:r>
      <w:r w:rsidRPr="006A749D">
        <w:rPr>
          <w:rFonts w:ascii="Times New Roman" w:eastAsia="Calibri" w:hAnsi="Times New Roman" w:cs="Times New Roman"/>
          <w:sz w:val="26"/>
          <w:szCs w:val="26"/>
        </w:rPr>
        <w:t>66 Pa. C.S. § 1102(a)(1)(</w:t>
      </w:r>
      <w:proofErr w:type="spellStart"/>
      <w:r w:rsidRPr="006A749D">
        <w:rPr>
          <w:rFonts w:ascii="Times New Roman" w:eastAsia="Calibri" w:hAnsi="Times New Roman" w:cs="Times New Roman"/>
          <w:sz w:val="26"/>
          <w:szCs w:val="26"/>
        </w:rPr>
        <w:t>i</w:t>
      </w:r>
      <w:proofErr w:type="spellEnd"/>
      <w:r w:rsidRPr="006A749D">
        <w:rPr>
          <w:rFonts w:ascii="Times New Roman" w:eastAsia="Calibri" w:hAnsi="Times New Roman" w:cs="Times New Roman"/>
          <w:sz w:val="26"/>
          <w:szCs w:val="26"/>
        </w:rPr>
        <w:t>).</w:t>
      </w:r>
    </w:p>
    <w:p w14:paraId="781BE66F" w14:textId="77777777" w:rsidR="00847B65" w:rsidRPr="006A749D" w:rsidRDefault="00847B65" w:rsidP="002317EA">
      <w:pPr>
        <w:spacing w:line="360" w:lineRule="auto"/>
        <w:rPr>
          <w:rFonts w:ascii="Times New Roman" w:eastAsia="Calibri" w:hAnsi="Times New Roman" w:cs="Times New Roman"/>
          <w:sz w:val="26"/>
          <w:szCs w:val="26"/>
        </w:rPr>
      </w:pPr>
    </w:p>
    <w:p w14:paraId="5FB48B42" w14:textId="65C17509" w:rsidR="00847B65" w:rsidRPr="006A749D" w:rsidRDefault="00847B65" w:rsidP="00E73584">
      <w:pPr>
        <w:spacing w:line="360" w:lineRule="auto"/>
        <w:ind w:firstLine="1440"/>
        <w:rPr>
          <w:rFonts w:ascii="Times New Roman" w:eastAsia="Calibri" w:hAnsi="Times New Roman" w:cs="Times New Roman"/>
          <w:sz w:val="26"/>
          <w:szCs w:val="26"/>
        </w:rPr>
      </w:pPr>
      <w:r w:rsidRPr="006A749D">
        <w:rPr>
          <w:rFonts w:ascii="Times New Roman" w:eastAsia="Calibri" w:hAnsi="Times New Roman" w:cs="Times New Roman"/>
          <w:color w:val="000000"/>
          <w:sz w:val="26"/>
          <w:szCs w:val="26"/>
        </w:rPr>
        <w:t xml:space="preserve">Section 1102(a)(3) of the Code </w:t>
      </w:r>
      <w:r w:rsidRPr="006A749D">
        <w:rPr>
          <w:rFonts w:ascii="Times New Roman" w:eastAsia="Calibri" w:hAnsi="Times New Roman" w:cs="Times New Roman"/>
          <w:sz w:val="26"/>
          <w:szCs w:val="26"/>
        </w:rPr>
        <w:t>requires a utility to first obtain a Certificate from the Commission prior to a utility or an affiliated interest of a utility to acquire or transfer</w:t>
      </w:r>
      <w:r w:rsidR="00042248">
        <w:rPr>
          <w:rFonts w:ascii="Times New Roman" w:eastAsia="Calibri" w:hAnsi="Times New Roman" w:cs="Times New Roman"/>
          <w:sz w:val="26"/>
          <w:szCs w:val="26"/>
        </w:rPr>
        <w:t>,</w:t>
      </w:r>
      <w:r w:rsidRPr="006A749D">
        <w:rPr>
          <w:rFonts w:ascii="Times New Roman" w:eastAsia="Calibri" w:hAnsi="Times New Roman" w:cs="Times New Roman"/>
          <w:sz w:val="26"/>
          <w:szCs w:val="26"/>
        </w:rPr>
        <w:t xml:space="preserve"> to any person or corporation by any method</w:t>
      </w:r>
      <w:r w:rsidR="00042248">
        <w:rPr>
          <w:rFonts w:ascii="Times New Roman" w:eastAsia="Calibri" w:hAnsi="Times New Roman" w:cs="Times New Roman"/>
          <w:sz w:val="26"/>
          <w:szCs w:val="26"/>
        </w:rPr>
        <w:t>,</w:t>
      </w:r>
      <w:r w:rsidRPr="006A749D">
        <w:rPr>
          <w:rFonts w:ascii="Times New Roman" w:eastAsia="Calibri" w:hAnsi="Times New Roman" w:cs="Times New Roman"/>
          <w:sz w:val="26"/>
          <w:szCs w:val="26"/>
        </w:rPr>
        <w:t xml:space="preserve"> </w:t>
      </w:r>
      <w:r w:rsidRPr="00042248">
        <w:rPr>
          <w:rFonts w:ascii="Times New Roman" w:eastAsia="Calibri" w:hAnsi="Times New Roman" w:cs="Times New Roman"/>
          <w:sz w:val="26"/>
          <w:szCs w:val="26"/>
        </w:rPr>
        <w:t>proper</w:t>
      </w:r>
      <w:r w:rsidR="00536385" w:rsidRPr="00042248">
        <w:rPr>
          <w:rFonts w:ascii="Times New Roman" w:eastAsia="Calibri" w:hAnsi="Times New Roman" w:cs="Times New Roman"/>
          <w:sz w:val="26"/>
          <w:szCs w:val="26"/>
        </w:rPr>
        <w:t>t</w:t>
      </w:r>
      <w:r w:rsidRPr="00042248">
        <w:rPr>
          <w:rFonts w:ascii="Times New Roman" w:eastAsia="Calibri" w:hAnsi="Times New Roman" w:cs="Times New Roman"/>
          <w:sz w:val="26"/>
          <w:szCs w:val="26"/>
        </w:rPr>
        <w:t>y</w:t>
      </w:r>
      <w:r w:rsidRPr="006A749D">
        <w:rPr>
          <w:rFonts w:ascii="Times New Roman" w:eastAsia="Calibri" w:hAnsi="Times New Roman" w:cs="Times New Roman"/>
          <w:sz w:val="26"/>
          <w:szCs w:val="26"/>
        </w:rPr>
        <w:t xml:space="preserve"> used or useful in the public service.  66 Pa. C.S. § 1102(a)(3).</w:t>
      </w:r>
    </w:p>
    <w:p w14:paraId="7AD3A1F1" w14:textId="77777777" w:rsidR="00847B65" w:rsidRPr="006A749D" w:rsidRDefault="00847B65" w:rsidP="00DC74D6">
      <w:pPr>
        <w:keepNext/>
        <w:spacing w:line="360" w:lineRule="auto"/>
        <w:ind w:firstLine="1440"/>
        <w:rPr>
          <w:rFonts w:ascii="Times New Roman" w:eastAsia="Calibri" w:hAnsi="Times New Roman" w:cs="Times New Roman"/>
          <w:color w:val="000000"/>
          <w:sz w:val="26"/>
          <w:szCs w:val="26"/>
        </w:rPr>
      </w:pPr>
      <w:r w:rsidRPr="006A749D">
        <w:rPr>
          <w:rFonts w:ascii="Times New Roman" w:hAnsi="Times New Roman" w:cs="Times New Roman"/>
          <w:sz w:val="26"/>
          <w:szCs w:val="26"/>
        </w:rPr>
        <w:lastRenderedPageBreak/>
        <w:t>Section 1103(a) of the Code establishes the standard for granting a Certificate required under Section 1102:</w:t>
      </w:r>
    </w:p>
    <w:p w14:paraId="23F89D61" w14:textId="77777777" w:rsidR="00847B65" w:rsidRPr="006A749D" w:rsidRDefault="00847B65" w:rsidP="007D6EDE">
      <w:pPr>
        <w:keepNext/>
        <w:ind w:firstLine="1440"/>
        <w:rPr>
          <w:rFonts w:ascii="Times New Roman" w:hAnsi="Times New Roman" w:cs="Times New Roman"/>
          <w:sz w:val="26"/>
          <w:szCs w:val="26"/>
        </w:rPr>
      </w:pPr>
    </w:p>
    <w:p w14:paraId="13BA4B69" w14:textId="77777777" w:rsidR="00847B65" w:rsidRPr="006A749D" w:rsidRDefault="00847B65" w:rsidP="009811A7">
      <w:pPr>
        <w:ind w:left="1440" w:right="1440"/>
        <w:rPr>
          <w:rFonts w:ascii="Times New Roman" w:hAnsi="Times New Roman" w:cs="Times New Roman"/>
          <w:sz w:val="26"/>
          <w:szCs w:val="26"/>
          <w:lang w:val="en"/>
        </w:rPr>
      </w:pPr>
      <w:r w:rsidRPr="006A749D">
        <w:rPr>
          <w:rFonts w:ascii="Times New Roman" w:hAnsi="Times New Roman" w:cs="Times New Roman"/>
          <w:sz w:val="26"/>
          <w:szCs w:val="26"/>
          <w:lang w:val="en"/>
        </w:rPr>
        <w:t xml:space="preserve">A certificate of public convenience shall be granted . . . only if the commission shall find or determine that the granting of such certificate </w:t>
      </w:r>
      <w:r w:rsidRPr="006A749D">
        <w:rPr>
          <w:rFonts w:ascii="Times New Roman" w:hAnsi="Times New Roman" w:cs="Times New Roman"/>
          <w:i/>
          <w:sz w:val="26"/>
          <w:szCs w:val="26"/>
          <w:lang w:val="en"/>
        </w:rPr>
        <w:t xml:space="preserve">is necessary or proper for the service, accommodation, </w:t>
      </w:r>
      <w:proofErr w:type="gramStart"/>
      <w:r w:rsidRPr="006A749D">
        <w:rPr>
          <w:rFonts w:ascii="Times New Roman" w:hAnsi="Times New Roman" w:cs="Times New Roman"/>
          <w:i/>
          <w:sz w:val="26"/>
          <w:szCs w:val="26"/>
          <w:lang w:val="en"/>
        </w:rPr>
        <w:t>convenience</w:t>
      </w:r>
      <w:proofErr w:type="gramEnd"/>
      <w:r w:rsidRPr="006A749D">
        <w:rPr>
          <w:rFonts w:ascii="Times New Roman" w:hAnsi="Times New Roman" w:cs="Times New Roman"/>
          <w:i/>
          <w:sz w:val="26"/>
          <w:szCs w:val="26"/>
          <w:lang w:val="en"/>
        </w:rPr>
        <w:t xml:space="preserve"> or safety of the public</w:t>
      </w:r>
      <w:r w:rsidRPr="006A749D">
        <w:rPr>
          <w:rFonts w:ascii="Times New Roman" w:hAnsi="Times New Roman" w:cs="Times New Roman"/>
          <w:sz w:val="26"/>
          <w:szCs w:val="26"/>
          <w:lang w:val="en"/>
        </w:rPr>
        <w:t>.  The commission, in granting such certificate, may impose such conditions as it may deem to be just and reasonable.</w:t>
      </w:r>
    </w:p>
    <w:p w14:paraId="6CEBC552" w14:textId="77777777" w:rsidR="00847B65" w:rsidRPr="006A749D" w:rsidRDefault="00847B65" w:rsidP="002317EA">
      <w:pPr>
        <w:spacing w:line="360" w:lineRule="auto"/>
        <w:rPr>
          <w:rFonts w:ascii="Times New Roman" w:hAnsi="Times New Roman" w:cs="Times New Roman"/>
          <w:sz w:val="26"/>
          <w:szCs w:val="26"/>
          <w:lang w:val="en"/>
        </w:rPr>
      </w:pPr>
    </w:p>
    <w:p w14:paraId="2BFDD440" w14:textId="29350B6F" w:rsidR="00847B65" w:rsidRPr="006A749D" w:rsidRDefault="00847B65" w:rsidP="002317EA">
      <w:pPr>
        <w:spacing w:line="360" w:lineRule="auto"/>
        <w:rPr>
          <w:rFonts w:ascii="Times New Roman" w:hAnsi="Times New Roman" w:cs="Times New Roman"/>
          <w:sz w:val="26"/>
          <w:szCs w:val="26"/>
        </w:rPr>
      </w:pPr>
      <w:r w:rsidRPr="006A749D">
        <w:rPr>
          <w:rFonts w:ascii="Times New Roman" w:hAnsi="Times New Roman" w:cs="Times New Roman"/>
          <w:sz w:val="26"/>
          <w:szCs w:val="26"/>
          <w:lang w:val="en"/>
        </w:rPr>
        <w:t xml:space="preserve">66 Pa. C.S. § 1103(a) (emphasis added); </w:t>
      </w:r>
      <w:r w:rsidRPr="006A749D">
        <w:rPr>
          <w:rFonts w:ascii="Times New Roman" w:hAnsi="Times New Roman" w:cs="Times New Roman"/>
          <w:i/>
          <w:iCs/>
          <w:sz w:val="26"/>
          <w:szCs w:val="26"/>
        </w:rPr>
        <w:t>see also Seaboard Tank Lines v. Pa. PUC</w:t>
      </w:r>
      <w:r w:rsidRPr="006A749D">
        <w:rPr>
          <w:rFonts w:ascii="Times New Roman" w:hAnsi="Times New Roman" w:cs="Times New Roman"/>
          <w:sz w:val="26"/>
          <w:szCs w:val="26"/>
        </w:rPr>
        <w:t>,</w:t>
      </w:r>
      <w:r w:rsidRPr="006A749D">
        <w:rPr>
          <w:rFonts w:ascii="Times New Roman" w:hAnsi="Times New Roman" w:cs="Times New Roman"/>
          <w:i/>
          <w:iCs/>
          <w:sz w:val="26"/>
          <w:szCs w:val="26"/>
        </w:rPr>
        <w:t xml:space="preserve"> </w:t>
      </w:r>
      <w:r w:rsidRPr="006A749D">
        <w:rPr>
          <w:rFonts w:ascii="Times New Roman" w:hAnsi="Times New Roman" w:cs="Times New Roman"/>
          <w:sz w:val="26"/>
          <w:szCs w:val="26"/>
        </w:rPr>
        <w:t>502 A.2d 763, 764-65 (Pa. Cmwlth. 1985).</w:t>
      </w:r>
    </w:p>
    <w:p w14:paraId="73046A14" w14:textId="77777777" w:rsidR="009811A7" w:rsidRPr="006A749D" w:rsidRDefault="009811A7" w:rsidP="002317EA">
      <w:pPr>
        <w:spacing w:line="360" w:lineRule="auto"/>
        <w:rPr>
          <w:rFonts w:ascii="Times New Roman" w:eastAsia="Calibri" w:hAnsi="Times New Roman" w:cs="Times New Roman"/>
          <w:color w:val="000000"/>
          <w:sz w:val="26"/>
          <w:szCs w:val="26"/>
        </w:rPr>
      </w:pPr>
    </w:p>
    <w:p w14:paraId="43C45FA9" w14:textId="14D87E89" w:rsidR="00847B65" w:rsidRDefault="00847B65" w:rsidP="002317EA">
      <w:pPr>
        <w:spacing w:line="360" w:lineRule="auto"/>
        <w:ind w:firstLine="1440"/>
        <w:rPr>
          <w:rFonts w:ascii="Times New Roman" w:hAnsi="Times New Roman" w:cs="Times New Roman"/>
          <w:iCs/>
          <w:sz w:val="26"/>
          <w:szCs w:val="26"/>
          <w:lang w:val="en"/>
        </w:rPr>
      </w:pPr>
      <w:r w:rsidRPr="006A749D">
        <w:rPr>
          <w:rFonts w:ascii="Times New Roman" w:hAnsi="Times New Roman" w:cs="Times New Roman"/>
          <w:sz w:val="26"/>
          <w:szCs w:val="26"/>
          <w:lang w:val="en"/>
        </w:rPr>
        <w:t xml:space="preserve">According to the Pennsylvania Supreme Court, satisfying the standard of Section 1103(a) requires the Commission to find that the proposed transaction will “affirmatively promote the service, accommodation, convenience, or safety of the pubic in some substantial way.”  </w:t>
      </w:r>
      <w:r w:rsidRPr="006A749D">
        <w:rPr>
          <w:rFonts w:ascii="Times New Roman" w:hAnsi="Times New Roman" w:cs="Times New Roman"/>
          <w:i/>
          <w:sz w:val="26"/>
          <w:szCs w:val="26"/>
          <w:lang w:val="en"/>
        </w:rPr>
        <w:t>City of York v. Pa. PUC</w:t>
      </w:r>
      <w:r w:rsidRPr="006A749D">
        <w:rPr>
          <w:rFonts w:ascii="Times New Roman" w:hAnsi="Times New Roman" w:cs="Times New Roman"/>
          <w:sz w:val="26"/>
          <w:szCs w:val="26"/>
          <w:lang w:val="en"/>
        </w:rPr>
        <w:t>, 449 Pa. 136, 141, 295 A.2d 825, 828 (1972) (</w:t>
      </w:r>
      <w:r w:rsidRPr="006A749D">
        <w:rPr>
          <w:rFonts w:ascii="Times New Roman" w:hAnsi="Times New Roman" w:cs="Times New Roman"/>
          <w:i/>
          <w:sz w:val="26"/>
          <w:szCs w:val="26"/>
          <w:lang w:val="en"/>
        </w:rPr>
        <w:t>City of York</w:t>
      </w:r>
      <w:r w:rsidRPr="006A749D">
        <w:rPr>
          <w:rFonts w:ascii="Times New Roman" w:hAnsi="Times New Roman" w:cs="Times New Roman"/>
          <w:sz w:val="26"/>
          <w:szCs w:val="26"/>
          <w:lang w:val="en"/>
        </w:rPr>
        <w:t>)</w:t>
      </w:r>
      <w:r w:rsidR="00C71E33" w:rsidRPr="006A749D">
        <w:rPr>
          <w:rFonts w:ascii="Times New Roman" w:hAnsi="Times New Roman" w:cs="Times New Roman"/>
          <w:sz w:val="26"/>
          <w:szCs w:val="26"/>
          <w:lang w:val="en"/>
        </w:rPr>
        <w:t xml:space="preserve">.  </w:t>
      </w:r>
      <w:r w:rsidRPr="006A749D">
        <w:rPr>
          <w:rFonts w:ascii="Times New Roman" w:hAnsi="Times New Roman" w:cs="Times New Roman"/>
          <w:sz w:val="26"/>
          <w:szCs w:val="26"/>
          <w:lang w:val="en"/>
        </w:rPr>
        <w:t xml:space="preserve">In establishing this precedent, the Court held that the statute’s clear command is that the Commission must find that the granting of a certificate “will affirmatively benefit the public.”  </w:t>
      </w:r>
      <w:r w:rsidRPr="006A749D">
        <w:rPr>
          <w:rFonts w:ascii="Times New Roman" w:hAnsi="Times New Roman" w:cs="Times New Roman"/>
          <w:i/>
          <w:sz w:val="26"/>
          <w:szCs w:val="26"/>
          <w:lang w:val="en"/>
        </w:rPr>
        <w:t>Id</w:t>
      </w:r>
      <w:r w:rsidRPr="006A749D">
        <w:rPr>
          <w:rFonts w:ascii="Times New Roman" w:hAnsi="Times New Roman" w:cs="Times New Roman"/>
          <w:sz w:val="26"/>
          <w:szCs w:val="26"/>
          <w:lang w:val="en"/>
        </w:rPr>
        <w:t xml:space="preserve">. (overruling in part, </w:t>
      </w:r>
      <w:r w:rsidRPr="006A749D">
        <w:rPr>
          <w:rFonts w:ascii="Times New Roman" w:hAnsi="Times New Roman" w:cs="Times New Roman"/>
          <w:i/>
          <w:sz w:val="26"/>
          <w:szCs w:val="26"/>
          <w:lang w:val="en"/>
        </w:rPr>
        <w:t>Northern Pennsylvania Power Co</w:t>
      </w:r>
      <w:r w:rsidRPr="006A749D">
        <w:rPr>
          <w:rFonts w:ascii="Times New Roman" w:hAnsi="Times New Roman" w:cs="Times New Roman"/>
          <w:sz w:val="26"/>
          <w:szCs w:val="26"/>
          <w:lang w:val="en"/>
        </w:rPr>
        <w:t xml:space="preserve">. </w:t>
      </w:r>
      <w:r w:rsidRPr="006A749D">
        <w:rPr>
          <w:rFonts w:ascii="Times New Roman" w:hAnsi="Times New Roman" w:cs="Times New Roman"/>
          <w:i/>
          <w:iCs/>
          <w:sz w:val="26"/>
          <w:szCs w:val="26"/>
          <w:lang w:val="en"/>
        </w:rPr>
        <w:t>v. Pa. PUC</w:t>
      </w:r>
      <w:r w:rsidRPr="006A749D">
        <w:rPr>
          <w:rFonts w:ascii="Times New Roman" w:hAnsi="Times New Roman" w:cs="Times New Roman"/>
          <w:sz w:val="26"/>
          <w:szCs w:val="26"/>
          <w:lang w:val="en"/>
        </w:rPr>
        <w:t>, 333 Pa. 265, 267, 5 A.2d 133, 134)</w:t>
      </w:r>
      <w:r w:rsidRPr="006A749D">
        <w:rPr>
          <w:rFonts w:ascii="Times New Roman" w:hAnsi="Times New Roman" w:cs="Times New Roman"/>
          <w:iCs/>
          <w:sz w:val="26"/>
          <w:szCs w:val="26"/>
          <w:lang w:val="en"/>
        </w:rPr>
        <w:t>.</w:t>
      </w:r>
    </w:p>
    <w:p w14:paraId="507B0883" w14:textId="77777777" w:rsidR="00B34B61" w:rsidRPr="006A749D" w:rsidRDefault="00B34B61" w:rsidP="002317EA">
      <w:pPr>
        <w:spacing w:line="360" w:lineRule="auto"/>
        <w:ind w:firstLine="1440"/>
        <w:rPr>
          <w:rFonts w:ascii="Times New Roman" w:hAnsi="Times New Roman" w:cs="Times New Roman"/>
          <w:iCs/>
          <w:sz w:val="26"/>
          <w:szCs w:val="26"/>
          <w:lang w:val="en"/>
        </w:rPr>
      </w:pPr>
    </w:p>
    <w:p w14:paraId="32052A34" w14:textId="77777777" w:rsidR="00847B65" w:rsidRPr="006A749D" w:rsidRDefault="00847B65" w:rsidP="0054142F">
      <w:pPr>
        <w:keepNext/>
        <w:spacing w:line="360" w:lineRule="auto"/>
        <w:ind w:firstLine="1440"/>
        <w:rPr>
          <w:rFonts w:ascii="Times New Roman" w:hAnsi="Times New Roman" w:cs="Times New Roman"/>
          <w:sz w:val="26"/>
          <w:szCs w:val="26"/>
          <w:lang w:val="en"/>
        </w:rPr>
      </w:pPr>
      <w:r w:rsidRPr="006A749D">
        <w:rPr>
          <w:rFonts w:ascii="Times New Roman" w:hAnsi="Times New Roman" w:cs="Times New Roman"/>
          <w:sz w:val="26"/>
          <w:szCs w:val="26"/>
          <w:lang w:val="en"/>
        </w:rPr>
        <w:t>The Supreme Court further held:</w:t>
      </w:r>
    </w:p>
    <w:p w14:paraId="0B30E310" w14:textId="77777777" w:rsidR="00847B65" w:rsidRPr="006A749D" w:rsidRDefault="00847B65" w:rsidP="00DC74D6">
      <w:pPr>
        <w:keepNext/>
        <w:ind w:firstLine="1440"/>
        <w:rPr>
          <w:rFonts w:ascii="Times New Roman" w:eastAsia="Calibri" w:hAnsi="Times New Roman" w:cs="Times New Roman"/>
          <w:sz w:val="26"/>
          <w:szCs w:val="26"/>
        </w:rPr>
      </w:pPr>
    </w:p>
    <w:p w14:paraId="6D838BF1" w14:textId="77777777" w:rsidR="00847B65" w:rsidRPr="006A749D" w:rsidRDefault="00847B65" w:rsidP="0054142F">
      <w:pPr>
        <w:keepNext/>
        <w:ind w:left="1440" w:right="1440"/>
        <w:rPr>
          <w:rFonts w:ascii="Times New Roman" w:hAnsi="Times New Roman" w:cs="Times New Roman"/>
          <w:sz w:val="26"/>
          <w:szCs w:val="26"/>
        </w:rPr>
      </w:pPr>
      <w:bookmarkStart w:id="5" w:name="_Hlk15564363"/>
      <w:r w:rsidRPr="006A749D">
        <w:rPr>
          <w:rFonts w:ascii="Times New Roman" w:hAnsi="Times New Roman" w:cs="Times New Roman"/>
          <w:sz w:val="26"/>
          <w:szCs w:val="26"/>
          <w:lang w:val="en"/>
        </w:rPr>
        <w:t xml:space="preserve">In conducting the underlying inquiry, the Commission is </w:t>
      </w:r>
      <w:r w:rsidRPr="006A749D">
        <w:rPr>
          <w:rFonts w:ascii="Times New Roman" w:hAnsi="Times New Roman" w:cs="Times New Roman"/>
          <w:sz w:val="26"/>
          <w:szCs w:val="26"/>
        </w:rPr>
        <w:t>not required to secure legally binding commitments or to quantify benefits where this may be impractical, burdensome, or impossible; rather, the PUC properly applies a preponderance of the evidence standard to make factually-based determinations (including predictive ones informed by expert judgment) concerning certification matters.</w:t>
      </w:r>
    </w:p>
    <w:p w14:paraId="6A9C800E" w14:textId="77777777" w:rsidR="00847B65" w:rsidRPr="006A749D" w:rsidRDefault="00847B65" w:rsidP="002317EA">
      <w:pPr>
        <w:spacing w:line="360" w:lineRule="auto"/>
        <w:rPr>
          <w:rFonts w:ascii="Times New Roman" w:hAnsi="Times New Roman" w:cs="Times New Roman"/>
          <w:i/>
          <w:sz w:val="26"/>
          <w:szCs w:val="26"/>
          <w:lang w:val="en"/>
        </w:rPr>
      </w:pPr>
    </w:p>
    <w:p w14:paraId="10E97B52" w14:textId="1D848EA4" w:rsidR="00847B65" w:rsidRPr="006A749D" w:rsidRDefault="00847B65" w:rsidP="002317EA">
      <w:pPr>
        <w:spacing w:line="360" w:lineRule="auto"/>
        <w:rPr>
          <w:rFonts w:ascii="Times New Roman" w:hAnsi="Times New Roman" w:cs="Times New Roman"/>
          <w:color w:val="000000"/>
          <w:sz w:val="26"/>
          <w:szCs w:val="26"/>
        </w:rPr>
      </w:pPr>
      <w:proofErr w:type="spellStart"/>
      <w:r w:rsidRPr="006A749D">
        <w:rPr>
          <w:rFonts w:ascii="Times New Roman" w:hAnsi="Times New Roman" w:cs="Times New Roman"/>
          <w:i/>
          <w:sz w:val="26"/>
          <w:szCs w:val="26"/>
          <w:lang w:val="en"/>
        </w:rPr>
        <w:t>Popowsky</w:t>
      </w:r>
      <w:proofErr w:type="spellEnd"/>
      <w:r w:rsidRPr="006A749D">
        <w:rPr>
          <w:rFonts w:ascii="Times New Roman" w:hAnsi="Times New Roman" w:cs="Times New Roman"/>
          <w:i/>
          <w:sz w:val="26"/>
          <w:szCs w:val="26"/>
          <w:lang w:val="en"/>
        </w:rPr>
        <w:t xml:space="preserve"> v. Pa. PUC</w:t>
      </w:r>
      <w:r w:rsidRPr="006A749D">
        <w:rPr>
          <w:rFonts w:ascii="Times New Roman" w:hAnsi="Times New Roman" w:cs="Times New Roman"/>
          <w:sz w:val="26"/>
          <w:szCs w:val="26"/>
          <w:lang w:val="en"/>
        </w:rPr>
        <w:t xml:space="preserve">, 594 Pa. 583, 611, 937 A.2d 1040, 1057 (2007) </w:t>
      </w:r>
      <w:r w:rsidRPr="006A749D">
        <w:rPr>
          <w:rFonts w:ascii="Times New Roman" w:hAnsi="Times New Roman" w:cs="Times New Roman"/>
          <w:i/>
          <w:sz w:val="26"/>
          <w:szCs w:val="26"/>
          <w:lang w:val="en"/>
        </w:rPr>
        <w:t>(</w:t>
      </w:r>
      <w:proofErr w:type="spellStart"/>
      <w:r w:rsidRPr="006A749D">
        <w:rPr>
          <w:rFonts w:ascii="Times New Roman" w:hAnsi="Times New Roman" w:cs="Times New Roman"/>
          <w:i/>
          <w:sz w:val="26"/>
          <w:szCs w:val="26"/>
          <w:lang w:val="en"/>
        </w:rPr>
        <w:t>Popowsky</w:t>
      </w:r>
      <w:proofErr w:type="spellEnd"/>
      <w:r w:rsidRPr="006A749D">
        <w:rPr>
          <w:rFonts w:ascii="Times New Roman" w:hAnsi="Times New Roman" w:cs="Times New Roman"/>
          <w:i/>
          <w:sz w:val="26"/>
          <w:szCs w:val="26"/>
          <w:lang w:val="en"/>
        </w:rPr>
        <w:t xml:space="preserve">).  </w:t>
      </w:r>
      <w:r w:rsidRPr="006A749D">
        <w:rPr>
          <w:rFonts w:ascii="Times New Roman" w:hAnsi="Times New Roman" w:cs="Times New Roman"/>
          <w:sz w:val="26"/>
          <w:szCs w:val="26"/>
          <w:lang w:val="en"/>
        </w:rPr>
        <w:t xml:space="preserve">Further, the Court explained that demonstration of the affirmative public benefit does not </w:t>
      </w:r>
      <w:r w:rsidRPr="006A749D">
        <w:rPr>
          <w:rFonts w:ascii="Times New Roman" w:hAnsi="Times New Roman" w:cs="Times New Roman"/>
          <w:sz w:val="26"/>
          <w:szCs w:val="26"/>
          <w:lang w:val="en"/>
        </w:rPr>
        <w:lastRenderedPageBreak/>
        <w:t xml:space="preserve">require that every customer receive a benefit from the proposed transaction.  </w:t>
      </w:r>
      <w:r w:rsidRPr="006A749D">
        <w:rPr>
          <w:rFonts w:ascii="Times New Roman" w:hAnsi="Times New Roman" w:cs="Times New Roman"/>
          <w:i/>
          <w:sz w:val="26"/>
          <w:szCs w:val="26"/>
          <w:lang w:val="en"/>
        </w:rPr>
        <w:t>Id</w:t>
      </w:r>
      <w:r w:rsidRPr="006A749D">
        <w:rPr>
          <w:rFonts w:ascii="Times New Roman" w:hAnsi="Times New Roman" w:cs="Times New Roman"/>
          <w:sz w:val="26"/>
          <w:szCs w:val="26"/>
          <w:lang w:val="en"/>
        </w:rPr>
        <w:t>.</w:t>
      </w:r>
      <w:r w:rsidRPr="006A749D">
        <w:rPr>
          <w:rFonts w:ascii="Times New Roman" w:hAnsi="Times New Roman" w:cs="Times New Roman"/>
          <w:color w:val="000000"/>
          <w:sz w:val="26"/>
          <w:szCs w:val="26"/>
        </w:rPr>
        <w:t xml:space="preserve"> at 617</w:t>
      </w:r>
      <w:r w:rsidRPr="006A749D">
        <w:rPr>
          <w:rFonts w:ascii="Times New Roman" w:hAnsi="Times New Roman" w:cs="Times New Roman"/>
          <w:color w:val="000000"/>
          <w:sz w:val="26"/>
          <w:szCs w:val="26"/>
        </w:rPr>
        <w:noBreakHyphen/>
        <w:t xml:space="preserve">618, 937 A.2d at 1061.  </w:t>
      </w:r>
      <w:r w:rsidRPr="006A749D">
        <w:rPr>
          <w:rFonts w:ascii="Times New Roman" w:hAnsi="Times New Roman" w:cs="Times New Roman"/>
          <w:sz w:val="26"/>
          <w:szCs w:val="26"/>
        </w:rPr>
        <w:t>In addition, “in some circumstances conditions may be necessary to satisfy the Commission that public benefits sufficient to meet the requirement of Section</w:t>
      </w:r>
      <w:r w:rsidR="00786239">
        <w:rPr>
          <w:rFonts w:ascii="Times New Roman" w:hAnsi="Times New Roman" w:cs="Times New Roman"/>
          <w:sz w:val="26"/>
          <w:szCs w:val="26"/>
        </w:rPr>
        <w:t> </w:t>
      </w:r>
      <w:r w:rsidRPr="006A749D">
        <w:rPr>
          <w:rFonts w:ascii="Times New Roman" w:hAnsi="Times New Roman" w:cs="Times New Roman"/>
          <w:sz w:val="26"/>
          <w:szCs w:val="26"/>
        </w:rPr>
        <w:t xml:space="preserve">1103(a) will ensue.” </w:t>
      </w:r>
      <w:r w:rsidR="00012E76">
        <w:rPr>
          <w:rFonts w:ascii="Times New Roman" w:hAnsi="Times New Roman" w:cs="Times New Roman"/>
          <w:sz w:val="26"/>
          <w:szCs w:val="26"/>
        </w:rPr>
        <w:t xml:space="preserve"> </w:t>
      </w:r>
      <w:r w:rsidRPr="006A749D">
        <w:rPr>
          <w:rFonts w:ascii="Times New Roman" w:hAnsi="Times New Roman" w:cs="Times New Roman"/>
          <w:i/>
          <w:iCs/>
          <w:sz w:val="26"/>
          <w:szCs w:val="26"/>
        </w:rPr>
        <w:t>Id.</w:t>
      </w:r>
      <w:r w:rsidRPr="006A749D">
        <w:rPr>
          <w:rFonts w:ascii="Times New Roman" w:hAnsi="Times New Roman" w:cs="Times New Roman"/>
          <w:sz w:val="26"/>
          <w:szCs w:val="26"/>
        </w:rPr>
        <w:t xml:space="preserve"> at n.21.  The Commission can, under Section 1103(a), impose conditions that it deems just and reasonable. </w:t>
      </w:r>
      <w:r w:rsidR="00F74FFA" w:rsidRPr="006A749D">
        <w:rPr>
          <w:rFonts w:ascii="Times New Roman" w:hAnsi="Times New Roman" w:cs="Times New Roman"/>
          <w:sz w:val="26"/>
          <w:szCs w:val="26"/>
        </w:rPr>
        <w:t xml:space="preserve"> </w:t>
      </w:r>
      <w:r w:rsidRPr="006A749D">
        <w:rPr>
          <w:rFonts w:ascii="Times New Roman" w:hAnsi="Times New Roman" w:cs="Times New Roman"/>
          <w:sz w:val="26"/>
          <w:szCs w:val="26"/>
        </w:rPr>
        <w:t>66 Pa. C.S. § 1103(a).</w:t>
      </w:r>
    </w:p>
    <w:bookmarkEnd w:id="5"/>
    <w:p w14:paraId="682CB148" w14:textId="77777777" w:rsidR="00847B65" w:rsidRPr="006A749D" w:rsidRDefault="00847B65" w:rsidP="002317EA">
      <w:pPr>
        <w:spacing w:line="360" w:lineRule="auto"/>
        <w:ind w:firstLine="720"/>
        <w:rPr>
          <w:rFonts w:ascii="Times New Roman" w:hAnsi="Times New Roman" w:cs="Times New Roman"/>
          <w:sz w:val="26"/>
          <w:szCs w:val="26"/>
        </w:rPr>
      </w:pPr>
    </w:p>
    <w:p w14:paraId="159A15B7" w14:textId="77777777" w:rsidR="00847B65" w:rsidRPr="006A749D" w:rsidRDefault="00847B65" w:rsidP="002317EA">
      <w:pPr>
        <w:keepNext/>
        <w:keepLines/>
        <w:autoSpaceDE w:val="0"/>
        <w:autoSpaceDN w:val="0"/>
        <w:adjustRightInd w:val="0"/>
        <w:spacing w:line="360" w:lineRule="auto"/>
        <w:ind w:firstLine="1440"/>
        <w:jc w:val="both"/>
        <w:rPr>
          <w:rFonts w:ascii="Times New Roman" w:hAnsi="Times New Roman" w:cs="Times New Roman"/>
          <w:sz w:val="26"/>
          <w:szCs w:val="26"/>
        </w:rPr>
      </w:pPr>
      <w:r w:rsidRPr="006A749D">
        <w:rPr>
          <w:rFonts w:ascii="Times New Roman" w:hAnsi="Times New Roman" w:cs="Times New Roman"/>
          <w:sz w:val="26"/>
          <w:szCs w:val="26"/>
        </w:rPr>
        <w:t xml:space="preserve">One of the factors that the Supreme Court identified in the </w:t>
      </w:r>
      <w:r w:rsidRPr="006A749D">
        <w:rPr>
          <w:rFonts w:ascii="Times New Roman" w:hAnsi="Times New Roman" w:cs="Times New Roman"/>
          <w:i/>
          <w:iCs/>
          <w:sz w:val="26"/>
          <w:szCs w:val="26"/>
        </w:rPr>
        <w:t>City of York</w:t>
      </w:r>
      <w:r w:rsidRPr="006A749D">
        <w:rPr>
          <w:rFonts w:ascii="Times New Roman" w:hAnsi="Times New Roman" w:cs="Times New Roman"/>
          <w:sz w:val="26"/>
          <w:szCs w:val="26"/>
        </w:rPr>
        <w:t xml:space="preserve"> for the Commission to consider, in determining whether there is an affirmative public benefit is:</w:t>
      </w:r>
    </w:p>
    <w:p w14:paraId="533FB8F0" w14:textId="77777777" w:rsidR="00847B65" w:rsidRPr="006A749D" w:rsidRDefault="00847B65" w:rsidP="007D6EDE">
      <w:pPr>
        <w:keepNext/>
        <w:keepLines/>
        <w:autoSpaceDE w:val="0"/>
        <w:autoSpaceDN w:val="0"/>
        <w:adjustRightInd w:val="0"/>
        <w:ind w:firstLine="720"/>
        <w:jc w:val="both"/>
        <w:rPr>
          <w:rFonts w:ascii="Times New Roman" w:hAnsi="Times New Roman" w:cs="Times New Roman"/>
          <w:sz w:val="26"/>
          <w:szCs w:val="26"/>
        </w:rPr>
      </w:pPr>
    </w:p>
    <w:p w14:paraId="4EA6B683" w14:textId="77777777" w:rsidR="00847B65" w:rsidRPr="006A749D" w:rsidRDefault="00847B65" w:rsidP="0054142F">
      <w:pPr>
        <w:keepNext/>
        <w:keepLines/>
        <w:autoSpaceDE w:val="0"/>
        <w:autoSpaceDN w:val="0"/>
        <w:adjustRightInd w:val="0"/>
        <w:ind w:left="1440" w:right="1440"/>
        <w:rPr>
          <w:rFonts w:ascii="Times New Roman" w:hAnsi="Times New Roman" w:cs="Times New Roman"/>
          <w:color w:val="000000"/>
          <w:sz w:val="26"/>
          <w:szCs w:val="26"/>
        </w:rPr>
      </w:pPr>
      <w:r w:rsidRPr="006A749D">
        <w:rPr>
          <w:rFonts w:ascii="Times New Roman" w:hAnsi="Times New Roman" w:cs="Times New Roman"/>
          <w:color w:val="000000"/>
          <w:sz w:val="26"/>
          <w:szCs w:val="26"/>
        </w:rPr>
        <w:t xml:space="preserve">[A]t least in a general fashion, the effect that a proposed merger is likely to have </w:t>
      </w:r>
      <w:bookmarkStart w:id="6" w:name="co_pp_sp_7691_1065_1"/>
      <w:bookmarkEnd w:id="6"/>
      <w:r w:rsidRPr="006A749D">
        <w:rPr>
          <w:rFonts w:ascii="Times New Roman" w:hAnsi="Times New Roman" w:cs="Times New Roman"/>
          <w:color w:val="000000"/>
          <w:sz w:val="26"/>
          <w:szCs w:val="26"/>
        </w:rPr>
        <w:t xml:space="preserve">on future rates to consumers. Along with the likely effect of a proposed merger upon the service that will be rendered to consumers, the probable general effect of the merger upon rates is certainly a </w:t>
      </w:r>
      <w:proofErr w:type="gramStart"/>
      <w:r w:rsidRPr="006A749D">
        <w:rPr>
          <w:rFonts w:ascii="Times New Roman" w:hAnsi="Times New Roman" w:cs="Times New Roman"/>
          <w:color w:val="000000"/>
          <w:sz w:val="26"/>
          <w:szCs w:val="26"/>
        </w:rPr>
        <w:t>relevant criteria</w:t>
      </w:r>
      <w:proofErr w:type="gramEnd"/>
      <w:r w:rsidRPr="006A749D">
        <w:rPr>
          <w:rFonts w:ascii="Times New Roman" w:hAnsi="Times New Roman" w:cs="Times New Roman"/>
          <w:color w:val="000000"/>
          <w:sz w:val="26"/>
          <w:szCs w:val="26"/>
        </w:rPr>
        <w:t xml:space="preserve"> of whether the merger will benefit the public.</w:t>
      </w:r>
    </w:p>
    <w:p w14:paraId="6CB4ABEF" w14:textId="77777777" w:rsidR="00847B65" w:rsidRPr="006A749D" w:rsidRDefault="00847B65" w:rsidP="0054142F">
      <w:pPr>
        <w:keepNext/>
        <w:autoSpaceDE w:val="0"/>
        <w:autoSpaceDN w:val="0"/>
        <w:adjustRightInd w:val="0"/>
        <w:spacing w:line="360" w:lineRule="auto"/>
        <w:rPr>
          <w:rFonts w:ascii="Times New Roman" w:hAnsi="Times New Roman" w:cs="Times New Roman"/>
          <w:color w:val="000000"/>
          <w:sz w:val="26"/>
          <w:szCs w:val="26"/>
        </w:rPr>
      </w:pPr>
    </w:p>
    <w:p w14:paraId="6A34E2B0" w14:textId="77777777" w:rsidR="00847B65" w:rsidRPr="006A749D" w:rsidRDefault="00847B65" w:rsidP="0054142F">
      <w:pPr>
        <w:keepNext/>
        <w:autoSpaceDE w:val="0"/>
        <w:autoSpaceDN w:val="0"/>
        <w:adjustRightInd w:val="0"/>
        <w:spacing w:line="360" w:lineRule="auto"/>
        <w:jc w:val="both"/>
        <w:rPr>
          <w:rFonts w:ascii="Times New Roman" w:hAnsi="Times New Roman" w:cs="Times New Roman"/>
          <w:sz w:val="26"/>
          <w:szCs w:val="26"/>
        </w:rPr>
      </w:pPr>
      <w:r w:rsidRPr="006A749D">
        <w:rPr>
          <w:rFonts w:ascii="Times New Roman" w:hAnsi="Times New Roman" w:cs="Times New Roman"/>
          <w:i/>
          <w:iCs/>
          <w:sz w:val="26"/>
          <w:szCs w:val="26"/>
        </w:rPr>
        <w:t>City of York</w:t>
      </w:r>
      <w:r w:rsidRPr="006A749D">
        <w:rPr>
          <w:rFonts w:ascii="Times New Roman" w:hAnsi="Times New Roman" w:cs="Times New Roman"/>
          <w:sz w:val="26"/>
          <w:szCs w:val="26"/>
        </w:rPr>
        <w:t>, 295 A.2d at 829.</w:t>
      </w:r>
    </w:p>
    <w:p w14:paraId="09E96550" w14:textId="77777777" w:rsidR="00847B65" w:rsidRPr="006A749D" w:rsidRDefault="00847B65" w:rsidP="002317EA">
      <w:pPr>
        <w:autoSpaceDE w:val="0"/>
        <w:autoSpaceDN w:val="0"/>
        <w:adjustRightInd w:val="0"/>
        <w:spacing w:line="360" w:lineRule="auto"/>
        <w:jc w:val="both"/>
        <w:rPr>
          <w:rFonts w:ascii="Times New Roman" w:hAnsi="Times New Roman" w:cs="Times New Roman"/>
          <w:sz w:val="26"/>
          <w:szCs w:val="26"/>
        </w:rPr>
      </w:pPr>
    </w:p>
    <w:p w14:paraId="59E06CB4" w14:textId="71A92EDA" w:rsidR="00847B65" w:rsidRPr="006A749D" w:rsidRDefault="00847B65" w:rsidP="00705D30">
      <w:pPr>
        <w:spacing w:line="360" w:lineRule="auto"/>
        <w:ind w:right="180" w:firstLine="1440"/>
        <w:rPr>
          <w:rFonts w:ascii="Times New Roman" w:hAnsi="Times New Roman" w:cs="Times New Roman"/>
          <w:sz w:val="26"/>
          <w:szCs w:val="26"/>
        </w:rPr>
      </w:pPr>
      <w:r w:rsidRPr="006A749D">
        <w:rPr>
          <w:rFonts w:ascii="Times New Roman" w:hAnsi="Times New Roman" w:cs="Times New Roman"/>
          <w:sz w:val="26"/>
          <w:szCs w:val="26"/>
        </w:rPr>
        <w:t>In applying this specific factor, the Pennsylvania Commonwealth Court recently held that the Commission must perform “the balancing test required by Section</w:t>
      </w:r>
      <w:r w:rsidR="00DC74D6">
        <w:rPr>
          <w:rFonts w:ascii="Times New Roman" w:hAnsi="Times New Roman" w:cs="Times New Roman"/>
          <w:sz w:val="26"/>
          <w:szCs w:val="26"/>
        </w:rPr>
        <w:t> </w:t>
      </w:r>
      <w:r w:rsidRPr="006A749D">
        <w:rPr>
          <w:rFonts w:ascii="Times New Roman" w:hAnsi="Times New Roman" w:cs="Times New Roman"/>
          <w:sz w:val="26"/>
          <w:szCs w:val="26"/>
        </w:rPr>
        <w:t xml:space="preserve">1102 of the Code to weigh all the factors for and against the transaction, </w:t>
      </w:r>
      <w:r w:rsidRPr="006A749D">
        <w:rPr>
          <w:rFonts w:ascii="Times New Roman" w:hAnsi="Times New Roman" w:cs="Times New Roman"/>
          <w:i/>
          <w:iCs/>
          <w:sz w:val="26"/>
          <w:szCs w:val="26"/>
        </w:rPr>
        <w:t>including the impact on rates</w:t>
      </w:r>
      <w:r w:rsidRPr="006A749D">
        <w:rPr>
          <w:rFonts w:ascii="Times New Roman" w:hAnsi="Times New Roman" w:cs="Times New Roman"/>
          <w:sz w:val="26"/>
          <w:szCs w:val="26"/>
        </w:rPr>
        <w:t xml:space="preserve">, to determine if there is a substantial public benefit.”  </w:t>
      </w:r>
      <w:r w:rsidRPr="006A749D">
        <w:rPr>
          <w:rFonts w:ascii="Times New Roman" w:hAnsi="Times New Roman" w:cs="Times New Roman"/>
          <w:i/>
          <w:iCs/>
          <w:sz w:val="26"/>
          <w:szCs w:val="26"/>
        </w:rPr>
        <w:t>McCloskey v. Pa. PUC</w:t>
      </w:r>
      <w:r w:rsidRPr="006A749D">
        <w:rPr>
          <w:rFonts w:ascii="Times New Roman" w:hAnsi="Times New Roman" w:cs="Times New Roman"/>
          <w:iCs/>
          <w:sz w:val="26"/>
          <w:szCs w:val="26"/>
        </w:rPr>
        <w:t>,</w:t>
      </w:r>
      <w:r w:rsidRPr="006A749D">
        <w:rPr>
          <w:rFonts w:ascii="Times New Roman" w:hAnsi="Times New Roman" w:cs="Times New Roman"/>
          <w:i/>
          <w:iCs/>
          <w:sz w:val="26"/>
          <w:szCs w:val="26"/>
        </w:rPr>
        <w:t xml:space="preserve"> </w:t>
      </w:r>
      <w:r w:rsidRPr="006A749D">
        <w:rPr>
          <w:rFonts w:ascii="Times New Roman" w:hAnsi="Times New Roman" w:cs="Times New Roman"/>
          <w:sz w:val="26"/>
          <w:szCs w:val="26"/>
        </w:rPr>
        <w:t xml:space="preserve">195 A.3d 1055, 1066-1067 (Pa. Cmwlth. 2018), </w:t>
      </w:r>
      <w:r w:rsidRPr="006A749D">
        <w:rPr>
          <w:rFonts w:ascii="Times New Roman" w:hAnsi="Times New Roman" w:cs="Times New Roman"/>
          <w:i/>
          <w:iCs/>
          <w:sz w:val="26"/>
          <w:szCs w:val="26"/>
        </w:rPr>
        <w:t>appeal denied</w:t>
      </w:r>
      <w:r w:rsidRPr="006A749D">
        <w:rPr>
          <w:rFonts w:ascii="Times New Roman" w:hAnsi="Times New Roman" w:cs="Times New Roman"/>
          <w:sz w:val="26"/>
          <w:szCs w:val="26"/>
        </w:rPr>
        <w:t>,</w:t>
      </w:r>
      <w:r w:rsidRPr="006A749D">
        <w:rPr>
          <w:rFonts w:ascii="Times New Roman" w:hAnsi="Times New Roman" w:cs="Times New Roman"/>
          <w:i/>
          <w:iCs/>
          <w:sz w:val="26"/>
          <w:szCs w:val="26"/>
        </w:rPr>
        <w:t xml:space="preserve"> </w:t>
      </w:r>
      <w:r w:rsidRPr="006A749D">
        <w:rPr>
          <w:rFonts w:ascii="Times New Roman" w:hAnsi="Times New Roman" w:cs="Times New Roman"/>
          <w:sz w:val="26"/>
          <w:szCs w:val="26"/>
        </w:rPr>
        <w:t>207 A.3d 290 (Pa. 2019) (</w:t>
      </w:r>
      <w:r w:rsidRPr="006A749D">
        <w:rPr>
          <w:rFonts w:ascii="Times New Roman" w:hAnsi="Times New Roman" w:cs="Times New Roman"/>
          <w:i/>
          <w:iCs/>
          <w:sz w:val="26"/>
          <w:szCs w:val="26"/>
        </w:rPr>
        <w:t>McCloskey</w:t>
      </w:r>
      <w:r w:rsidRPr="006A749D">
        <w:rPr>
          <w:rFonts w:ascii="Times New Roman" w:hAnsi="Times New Roman" w:cs="Times New Roman"/>
          <w:sz w:val="26"/>
          <w:szCs w:val="26"/>
        </w:rPr>
        <w:t xml:space="preserve">) (emphasis added).  While </w:t>
      </w:r>
      <w:r w:rsidRPr="006A749D">
        <w:rPr>
          <w:rFonts w:ascii="Times New Roman" w:hAnsi="Times New Roman" w:cs="Times New Roman"/>
          <w:i/>
          <w:iCs/>
          <w:sz w:val="26"/>
          <w:szCs w:val="26"/>
        </w:rPr>
        <w:t xml:space="preserve">McCloskey </w:t>
      </w:r>
      <w:r w:rsidRPr="006A749D">
        <w:rPr>
          <w:rFonts w:ascii="Times New Roman" w:hAnsi="Times New Roman" w:cs="Times New Roman"/>
          <w:sz w:val="26"/>
          <w:szCs w:val="26"/>
        </w:rPr>
        <w:t>held that rate impact must be addressed, it recognized that “the Commission is charged with deciding whether the impact of rates…is outweighed by … other positive factors that…served [as] a substantial public benefit.”  195 A.3d at 1067.</w:t>
      </w:r>
    </w:p>
    <w:p w14:paraId="11B7098A" w14:textId="77777777" w:rsidR="00847B65" w:rsidRPr="006A749D" w:rsidRDefault="00847B65" w:rsidP="002317EA">
      <w:pPr>
        <w:spacing w:line="360" w:lineRule="auto"/>
        <w:ind w:firstLine="1440"/>
        <w:rPr>
          <w:rFonts w:ascii="Times New Roman" w:hAnsi="Times New Roman" w:cs="Times New Roman"/>
          <w:sz w:val="26"/>
          <w:szCs w:val="26"/>
        </w:rPr>
      </w:pPr>
    </w:p>
    <w:p w14:paraId="35F5A5EF" w14:textId="059B9411" w:rsidR="00847B65" w:rsidRPr="006A749D" w:rsidRDefault="00847B65" w:rsidP="002317EA">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lastRenderedPageBreak/>
        <w:t xml:space="preserve">The Commission and the courts have held that granting a certificate need not be “absolutely necessary” in order to be in the public interest. </w:t>
      </w:r>
      <w:r w:rsidRPr="006A749D">
        <w:rPr>
          <w:rFonts w:ascii="Times New Roman" w:hAnsi="Times New Roman" w:cs="Times New Roman"/>
          <w:i/>
          <w:iCs/>
          <w:sz w:val="26"/>
          <w:szCs w:val="26"/>
        </w:rPr>
        <w:t xml:space="preserve"> See</w:t>
      </w:r>
      <w:r w:rsidRPr="006A749D">
        <w:rPr>
          <w:rFonts w:ascii="Times New Roman" w:hAnsi="Times New Roman" w:cs="Times New Roman"/>
          <w:sz w:val="26"/>
          <w:szCs w:val="26"/>
        </w:rPr>
        <w:t xml:space="preserve"> </w:t>
      </w:r>
      <w:r w:rsidRPr="006A749D">
        <w:rPr>
          <w:rFonts w:ascii="Times New Roman" w:hAnsi="Times New Roman" w:cs="Times New Roman"/>
          <w:i/>
          <w:iCs/>
          <w:sz w:val="26"/>
          <w:szCs w:val="26"/>
        </w:rPr>
        <w:t>Hess v. Pa. PUC</w:t>
      </w:r>
      <w:r w:rsidRPr="006A749D">
        <w:rPr>
          <w:rFonts w:ascii="Times New Roman" w:hAnsi="Times New Roman" w:cs="Times New Roman"/>
          <w:sz w:val="26"/>
          <w:szCs w:val="26"/>
        </w:rPr>
        <w:t>,</w:t>
      </w:r>
      <w:r w:rsidRPr="006A749D">
        <w:rPr>
          <w:rFonts w:ascii="Times New Roman" w:hAnsi="Times New Roman" w:cs="Times New Roman"/>
          <w:i/>
          <w:iCs/>
          <w:sz w:val="26"/>
          <w:szCs w:val="26"/>
        </w:rPr>
        <w:t xml:space="preserve"> </w:t>
      </w:r>
      <w:r w:rsidRPr="006A749D">
        <w:rPr>
          <w:rFonts w:ascii="Times New Roman" w:hAnsi="Times New Roman" w:cs="Times New Roman"/>
          <w:sz w:val="26"/>
          <w:szCs w:val="26"/>
        </w:rPr>
        <w:t>107</w:t>
      </w:r>
      <w:r w:rsidR="00E96B9F">
        <w:rPr>
          <w:rFonts w:ascii="Times New Roman" w:hAnsi="Times New Roman" w:cs="Times New Roman"/>
          <w:sz w:val="26"/>
          <w:szCs w:val="26"/>
        </w:rPr>
        <w:t> </w:t>
      </w:r>
      <w:r w:rsidRPr="006A749D">
        <w:rPr>
          <w:rFonts w:ascii="Times New Roman" w:hAnsi="Times New Roman" w:cs="Times New Roman"/>
          <w:sz w:val="26"/>
          <w:szCs w:val="26"/>
        </w:rPr>
        <w:t>A.3d 246. 262 (Pa. Cmwlth. 2014)</w:t>
      </w:r>
      <w:r w:rsidR="00A723D1" w:rsidRPr="006A749D">
        <w:rPr>
          <w:rFonts w:ascii="Times New Roman" w:hAnsi="Times New Roman" w:cs="Times New Roman"/>
          <w:sz w:val="26"/>
          <w:szCs w:val="26"/>
        </w:rPr>
        <w:t>.</w:t>
      </w:r>
      <w:r w:rsidRPr="006A749D">
        <w:rPr>
          <w:rFonts w:ascii="Times New Roman" w:hAnsi="Times New Roman" w:cs="Times New Roman"/>
          <w:sz w:val="26"/>
          <w:szCs w:val="26"/>
        </w:rPr>
        <w:t xml:space="preserve"> </w:t>
      </w:r>
      <w:r w:rsidR="00A723D1" w:rsidRPr="006A749D">
        <w:rPr>
          <w:rFonts w:ascii="Times New Roman" w:hAnsi="Times New Roman" w:cs="Times New Roman"/>
          <w:sz w:val="26"/>
          <w:szCs w:val="26"/>
        </w:rPr>
        <w:t xml:space="preserve"> </w:t>
      </w:r>
      <w:r w:rsidRPr="006A749D">
        <w:rPr>
          <w:rFonts w:ascii="Times New Roman" w:hAnsi="Times New Roman" w:cs="Times New Roman"/>
          <w:sz w:val="26"/>
          <w:szCs w:val="26"/>
        </w:rPr>
        <w:t>The Commonwealth Court reasoned, “</w:t>
      </w:r>
      <w:r w:rsidR="00F47E8F">
        <w:rPr>
          <w:rFonts w:ascii="Times New Roman" w:hAnsi="Times New Roman" w:cs="Times New Roman"/>
          <w:sz w:val="26"/>
          <w:szCs w:val="26"/>
        </w:rPr>
        <w:t>[n]</w:t>
      </w:r>
      <w:proofErr w:type="spellStart"/>
      <w:r w:rsidRPr="006A749D">
        <w:rPr>
          <w:rFonts w:ascii="Times New Roman" w:hAnsi="Times New Roman" w:cs="Times New Roman"/>
          <w:sz w:val="26"/>
          <w:szCs w:val="26"/>
        </w:rPr>
        <w:t>ot</w:t>
      </w:r>
      <w:proofErr w:type="spellEnd"/>
      <w:r w:rsidRPr="006A749D">
        <w:rPr>
          <w:rFonts w:ascii="Times New Roman" w:hAnsi="Times New Roman" w:cs="Times New Roman"/>
          <w:sz w:val="26"/>
          <w:szCs w:val="26"/>
        </w:rPr>
        <w:t xml:space="preserve"> only would this approach be impractical and unrealistic, it would actually pose a danger to the health, safety and welfare of the public.”  </w:t>
      </w:r>
      <w:r w:rsidRPr="006A749D">
        <w:rPr>
          <w:rFonts w:ascii="Times New Roman" w:hAnsi="Times New Roman" w:cs="Times New Roman"/>
          <w:i/>
          <w:iCs/>
          <w:sz w:val="26"/>
          <w:szCs w:val="26"/>
        </w:rPr>
        <w:t xml:space="preserve">Id.  </w:t>
      </w:r>
      <w:r w:rsidRPr="006A749D">
        <w:rPr>
          <w:rFonts w:ascii="Times New Roman" w:hAnsi="Times New Roman" w:cs="Times New Roman"/>
          <w:sz w:val="26"/>
          <w:szCs w:val="26"/>
        </w:rPr>
        <w:t>In addition, when considering the public interest, the Commission may consider how the benefits and detriments impact “</w:t>
      </w:r>
      <w:r w:rsidRPr="006A749D">
        <w:rPr>
          <w:rFonts w:ascii="Times New Roman" w:hAnsi="Times New Roman" w:cs="Times New Roman"/>
          <w:i/>
          <w:iCs/>
          <w:sz w:val="26"/>
          <w:szCs w:val="26"/>
        </w:rPr>
        <w:t>all affected parties</w:t>
      </w:r>
      <w:r w:rsidRPr="006A749D">
        <w:rPr>
          <w:rFonts w:ascii="Times New Roman" w:hAnsi="Times New Roman" w:cs="Times New Roman"/>
          <w:sz w:val="26"/>
          <w:szCs w:val="26"/>
        </w:rPr>
        <w:t xml:space="preserve">, and not merely one particular group or geographic subdivision.”  </w:t>
      </w:r>
      <w:r w:rsidRPr="006A749D">
        <w:rPr>
          <w:rFonts w:ascii="Times New Roman" w:hAnsi="Times New Roman" w:cs="Times New Roman"/>
          <w:i/>
          <w:iCs/>
          <w:sz w:val="26"/>
          <w:szCs w:val="26"/>
        </w:rPr>
        <w:t>Middletown Twp. v. Pa. PUC</w:t>
      </w:r>
      <w:r w:rsidRPr="006A749D">
        <w:rPr>
          <w:rFonts w:ascii="Times New Roman" w:hAnsi="Times New Roman" w:cs="Times New Roman"/>
          <w:sz w:val="26"/>
          <w:szCs w:val="26"/>
        </w:rPr>
        <w:t>,</w:t>
      </w:r>
      <w:r w:rsidRPr="006A749D">
        <w:rPr>
          <w:rFonts w:ascii="Times New Roman" w:hAnsi="Times New Roman" w:cs="Times New Roman"/>
          <w:i/>
          <w:iCs/>
          <w:sz w:val="26"/>
          <w:szCs w:val="26"/>
        </w:rPr>
        <w:t xml:space="preserve"> </w:t>
      </w:r>
      <w:r w:rsidRPr="006A749D">
        <w:rPr>
          <w:rFonts w:ascii="Times New Roman" w:hAnsi="Times New Roman" w:cs="Times New Roman"/>
          <w:sz w:val="26"/>
          <w:szCs w:val="26"/>
        </w:rPr>
        <w:t xml:space="preserve">482 A.2d 674, 682 (Pa. Cmwlth. 1984) (emphasis in original); </w:t>
      </w:r>
      <w:r w:rsidRPr="006A749D">
        <w:rPr>
          <w:rFonts w:ascii="Times New Roman" w:hAnsi="Times New Roman" w:cs="Times New Roman"/>
          <w:i/>
          <w:iCs/>
          <w:sz w:val="26"/>
          <w:szCs w:val="26"/>
        </w:rPr>
        <w:t>see also</w:t>
      </w:r>
      <w:r w:rsidRPr="006A749D">
        <w:rPr>
          <w:rFonts w:ascii="Times New Roman" w:hAnsi="Times New Roman" w:cs="Times New Roman"/>
          <w:sz w:val="26"/>
          <w:szCs w:val="26"/>
        </w:rPr>
        <w:t xml:space="preserve">, </w:t>
      </w:r>
      <w:r w:rsidRPr="006A749D">
        <w:rPr>
          <w:rFonts w:ascii="Times New Roman" w:hAnsi="Times New Roman" w:cs="Times New Roman"/>
          <w:i/>
          <w:iCs/>
          <w:sz w:val="26"/>
          <w:szCs w:val="26"/>
        </w:rPr>
        <w:t>Dunk v. Pa. PUC</w:t>
      </w:r>
      <w:r w:rsidRPr="006A749D">
        <w:rPr>
          <w:rFonts w:ascii="Times New Roman" w:hAnsi="Times New Roman" w:cs="Times New Roman"/>
          <w:sz w:val="26"/>
          <w:szCs w:val="26"/>
        </w:rPr>
        <w:t>,</w:t>
      </w:r>
      <w:r w:rsidRPr="006A749D">
        <w:rPr>
          <w:rFonts w:ascii="Times New Roman" w:hAnsi="Times New Roman" w:cs="Times New Roman"/>
          <w:i/>
          <w:iCs/>
          <w:sz w:val="26"/>
          <w:szCs w:val="26"/>
        </w:rPr>
        <w:t xml:space="preserve"> </w:t>
      </w:r>
      <w:r w:rsidRPr="006A749D">
        <w:rPr>
          <w:rFonts w:ascii="Times New Roman" w:hAnsi="Times New Roman" w:cs="Times New Roman"/>
          <w:sz w:val="26"/>
          <w:szCs w:val="26"/>
        </w:rPr>
        <w:t>232 A.2d 231, 234-35 (Pa. Super. 1967),</w:t>
      </w:r>
      <w:r w:rsidRPr="006A749D">
        <w:rPr>
          <w:rFonts w:ascii="Times New Roman" w:hAnsi="Times New Roman" w:cs="Times New Roman"/>
          <w:i/>
          <w:sz w:val="26"/>
          <w:szCs w:val="26"/>
        </w:rPr>
        <w:t xml:space="preserve"> aff</w:t>
      </w:r>
      <w:r w:rsidR="006C1D90">
        <w:rPr>
          <w:rFonts w:ascii="Times New Roman" w:hAnsi="Times New Roman" w:cs="Times New Roman"/>
          <w:i/>
          <w:sz w:val="26"/>
          <w:szCs w:val="26"/>
        </w:rPr>
        <w:t>’</w:t>
      </w:r>
      <w:r w:rsidRPr="006A749D">
        <w:rPr>
          <w:rFonts w:ascii="Times New Roman" w:hAnsi="Times New Roman" w:cs="Times New Roman"/>
          <w:i/>
          <w:sz w:val="26"/>
          <w:szCs w:val="26"/>
        </w:rPr>
        <w:t>d</w:t>
      </w:r>
      <w:r w:rsidRPr="006A749D">
        <w:rPr>
          <w:rFonts w:ascii="Times New Roman" w:hAnsi="Times New Roman" w:cs="Times New Roman"/>
          <w:sz w:val="26"/>
          <w:szCs w:val="26"/>
        </w:rPr>
        <w:t>, 252</w:t>
      </w:r>
      <w:r w:rsidR="00E96B9F">
        <w:rPr>
          <w:rFonts w:ascii="Times New Roman" w:hAnsi="Times New Roman" w:cs="Times New Roman"/>
          <w:sz w:val="26"/>
          <w:szCs w:val="26"/>
        </w:rPr>
        <w:t> </w:t>
      </w:r>
      <w:r w:rsidRPr="006A749D">
        <w:rPr>
          <w:rFonts w:ascii="Times New Roman" w:hAnsi="Times New Roman" w:cs="Times New Roman"/>
          <w:sz w:val="26"/>
          <w:szCs w:val="26"/>
        </w:rPr>
        <w:t>A.2d 589 (1969) (where public benefit included companies and customers other than the proponent utility).</w:t>
      </w:r>
    </w:p>
    <w:p w14:paraId="2BEBA182" w14:textId="77777777" w:rsidR="00847B65" w:rsidRPr="006A749D" w:rsidRDefault="00847B65" w:rsidP="002317EA">
      <w:pPr>
        <w:spacing w:line="360" w:lineRule="auto"/>
        <w:ind w:firstLine="1440"/>
        <w:rPr>
          <w:rFonts w:ascii="Times New Roman" w:hAnsi="Times New Roman" w:cs="Times New Roman"/>
          <w:sz w:val="26"/>
          <w:szCs w:val="26"/>
        </w:rPr>
      </w:pPr>
    </w:p>
    <w:p w14:paraId="099FD059" w14:textId="43C02224" w:rsidR="00847B65" w:rsidRDefault="00847B65" w:rsidP="002317EA">
      <w:pPr>
        <w:spacing w:line="360" w:lineRule="auto"/>
        <w:ind w:firstLine="1440"/>
        <w:rPr>
          <w:rFonts w:ascii="Times New Roman" w:hAnsi="Times New Roman" w:cs="Times New Roman"/>
          <w:i/>
          <w:iCs/>
          <w:sz w:val="26"/>
          <w:szCs w:val="26"/>
        </w:rPr>
      </w:pPr>
      <w:r w:rsidRPr="006A749D">
        <w:rPr>
          <w:rFonts w:ascii="Times New Roman" w:hAnsi="Times New Roman" w:cs="Times New Roman"/>
          <w:sz w:val="26"/>
          <w:szCs w:val="26"/>
        </w:rPr>
        <w:t xml:space="preserve">An existing certificate holder is entitled to a “continuing presumption regarding its fitness to operate,” which includes a presumption that the certificate holder has a propensity to operate legally.  </w:t>
      </w:r>
      <w:r w:rsidRPr="006A749D">
        <w:rPr>
          <w:rFonts w:ascii="Times New Roman" w:hAnsi="Times New Roman" w:cs="Times New Roman"/>
          <w:i/>
          <w:iCs/>
          <w:sz w:val="26"/>
          <w:szCs w:val="26"/>
        </w:rPr>
        <w:t>Lehigh Valley Transp. Servs., Inc. v. Pa. PUC</w:t>
      </w:r>
      <w:r w:rsidRPr="006A749D">
        <w:rPr>
          <w:rFonts w:ascii="Times New Roman" w:hAnsi="Times New Roman" w:cs="Times New Roman"/>
          <w:sz w:val="26"/>
          <w:szCs w:val="26"/>
        </w:rPr>
        <w:t>, 56</w:t>
      </w:r>
      <w:r w:rsidR="00931A0F">
        <w:rPr>
          <w:rFonts w:ascii="Times New Roman" w:hAnsi="Times New Roman" w:cs="Times New Roman"/>
          <w:sz w:val="26"/>
          <w:szCs w:val="26"/>
        </w:rPr>
        <w:t> </w:t>
      </w:r>
      <w:r w:rsidRPr="006A749D">
        <w:rPr>
          <w:rFonts w:ascii="Times New Roman" w:hAnsi="Times New Roman" w:cs="Times New Roman"/>
          <w:sz w:val="26"/>
          <w:szCs w:val="26"/>
        </w:rPr>
        <w:t>A.3d</w:t>
      </w:r>
      <w:r w:rsidR="00931A0F">
        <w:rPr>
          <w:rFonts w:ascii="Times New Roman" w:hAnsi="Times New Roman" w:cs="Times New Roman"/>
          <w:sz w:val="26"/>
          <w:szCs w:val="26"/>
        </w:rPr>
        <w:t> </w:t>
      </w:r>
      <w:r w:rsidRPr="006A749D">
        <w:rPr>
          <w:rFonts w:ascii="Times New Roman" w:hAnsi="Times New Roman" w:cs="Times New Roman"/>
          <w:sz w:val="26"/>
          <w:szCs w:val="26"/>
        </w:rPr>
        <w:t>49, 58 (Pa. Cmwlth. 2012) (</w:t>
      </w:r>
      <w:r w:rsidRPr="006A749D">
        <w:rPr>
          <w:rFonts w:ascii="Times New Roman" w:hAnsi="Times New Roman" w:cs="Times New Roman"/>
          <w:i/>
          <w:iCs/>
          <w:sz w:val="26"/>
          <w:szCs w:val="26"/>
        </w:rPr>
        <w:t>Lehigh Valley Transp.</w:t>
      </w:r>
      <w:r w:rsidRPr="006A749D">
        <w:rPr>
          <w:rFonts w:ascii="Times New Roman" w:hAnsi="Times New Roman" w:cs="Times New Roman"/>
          <w:sz w:val="26"/>
          <w:szCs w:val="26"/>
        </w:rPr>
        <w:t xml:space="preserve">); </w:t>
      </w:r>
      <w:r w:rsidRPr="006A749D">
        <w:rPr>
          <w:rFonts w:ascii="Times New Roman" w:hAnsi="Times New Roman" w:cs="Times New Roman"/>
          <w:i/>
          <w:iCs/>
          <w:sz w:val="26"/>
          <w:szCs w:val="26"/>
        </w:rPr>
        <w:t>South Hills Movers, Inc. v. Pa. PUC</w:t>
      </w:r>
      <w:r w:rsidRPr="006A749D">
        <w:rPr>
          <w:rFonts w:ascii="Times New Roman" w:hAnsi="Times New Roman" w:cs="Times New Roman"/>
          <w:sz w:val="26"/>
          <w:szCs w:val="26"/>
        </w:rPr>
        <w:t>,</w:t>
      </w:r>
      <w:r w:rsidRPr="006A749D">
        <w:rPr>
          <w:rFonts w:ascii="Times New Roman" w:hAnsi="Times New Roman" w:cs="Times New Roman"/>
          <w:i/>
          <w:iCs/>
          <w:sz w:val="26"/>
          <w:szCs w:val="26"/>
        </w:rPr>
        <w:t xml:space="preserve"> </w:t>
      </w:r>
      <w:r w:rsidRPr="006A749D">
        <w:rPr>
          <w:rFonts w:ascii="Times New Roman" w:hAnsi="Times New Roman" w:cs="Times New Roman"/>
          <w:sz w:val="26"/>
          <w:szCs w:val="26"/>
        </w:rPr>
        <w:t>601 A.2d 1308, 1310 (Pa. Cmwlth. 1992)</w:t>
      </w:r>
      <w:r w:rsidR="00A723D1" w:rsidRPr="006A749D">
        <w:rPr>
          <w:rFonts w:ascii="Times New Roman" w:hAnsi="Times New Roman" w:cs="Times New Roman"/>
          <w:sz w:val="26"/>
          <w:szCs w:val="26"/>
        </w:rPr>
        <w:t xml:space="preserve">.  </w:t>
      </w:r>
      <w:r w:rsidRPr="006A749D">
        <w:rPr>
          <w:rFonts w:ascii="Times New Roman" w:hAnsi="Times New Roman" w:cs="Times New Roman"/>
          <w:sz w:val="26"/>
          <w:szCs w:val="26"/>
        </w:rPr>
        <w:t>It is the protestant</w:t>
      </w:r>
      <w:r w:rsidR="005C4222">
        <w:rPr>
          <w:rFonts w:ascii="Times New Roman" w:hAnsi="Times New Roman" w:cs="Times New Roman"/>
          <w:sz w:val="26"/>
          <w:szCs w:val="26"/>
        </w:rPr>
        <w:t>’</w:t>
      </w:r>
      <w:r w:rsidRPr="006A749D">
        <w:rPr>
          <w:rFonts w:ascii="Times New Roman" w:hAnsi="Times New Roman" w:cs="Times New Roman"/>
          <w:sz w:val="26"/>
          <w:szCs w:val="26"/>
        </w:rPr>
        <w:t xml:space="preserve">s burden to rebut that presumption.  </w:t>
      </w:r>
      <w:r w:rsidRPr="006A749D">
        <w:rPr>
          <w:rFonts w:ascii="Times New Roman" w:hAnsi="Times New Roman" w:cs="Times New Roman"/>
          <w:i/>
          <w:iCs/>
          <w:sz w:val="26"/>
          <w:szCs w:val="26"/>
        </w:rPr>
        <w:t>Lehigh Valley Transp.</w:t>
      </w:r>
      <w:r w:rsidRPr="006A749D">
        <w:rPr>
          <w:rFonts w:ascii="Times New Roman" w:hAnsi="Times New Roman" w:cs="Times New Roman"/>
          <w:sz w:val="26"/>
          <w:szCs w:val="26"/>
        </w:rPr>
        <w:t xml:space="preserve">  Where an Applicant is both presumed fit and sets forth affirmative evidence demonstrating fitness, this burden is particularly heavy.  </w:t>
      </w:r>
      <w:r w:rsidRPr="006A749D">
        <w:rPr>
          <w:rFonts w:ascii="Times New Roman" w:hAnsi="Times New Roman" w:cs="Times New Roman"/>
          <w:i/>
          <w:iCs/>
          <w:sz w:val="26"/>
          <w:szCs w:val="26"/>
        </w:rPr>
        <w:t>Id.</w:t>
      </w:r>
    </w:p>
    <w:p w14:paraId="0F5510AE" w14:textId="77777777" w:rsidR="007768BF" w:rsidRPr="006A749D" w:rsidRDefault="007768BF" w:rsidP="002317EA">
      <w:pPr>
        <w:spacing w:line="360" w:lineRule="auto"/>
        <w:ind w:firstLine="1440"/>
        <w:rPr>
          <w:rFonts w:ascii="Times New Roman" w:hAnsi="Times New Roman" w:cs="Times New Roman"/>
          <w:sz w:val="26"/>
          <w:szCs w:val="26"/>
        </w:rPr>
      </w:pPr>
    </w:p>
    <w:p w14:paraId="4977FA91" w14:textId="4B53014D" w:rsidR="00646B81" w:rsidRPr="006A749D" w:rsidRDefault="00646B81" w:rsidP="00DF2330">
      <w:pPr>
        <w:pStyle w:val="Heading3"/>
        <w:keepNext/>
      </w:pPr>
      <w:bookmarkStart w:id="7" w:name="_Toc66196373"/>
      <w:r w:rsidRPr="006A749D">
        <w:t>Ratemaking Rate Base Value, 66 Pa. C.S. § 1329</w:t>
      </w:r>
      <w:bookmarkEnd w:id="7"/>
    </w:p>
    <w:p w14:paraId="7A8B43D0" w14:textId="3C7B1DB5" w:rsidR="00646B81" w:rsidRPr="006A749D" w:rsidRDefault="00646B81" w:rsidP="00DF2330">
      <w:pPr>
        <w:keepNext/>
        <w:tabs>
          <w:tab w:val="left" w:pos="-720"/>
        </w:tabs>
        <w:spacing w:line="360" w:lineRule="auto"/>
        <w:rPr>
          <w:rFonts w:ascii="Times New Roman" w:hAnsi="Times New Roman" w:cs="Times New Roman"/>
          <w:b/>
          <w:bCs/>
          <w:sz w:val="26"/>
          <w:szCs w:val="26"/>
        </w:rPr>
      </w:pPr>
    </w:p>
    <w:p w14:paraId="3411BD29" w14:textId="148C0034" w:rsidR="002D06F7" w:rsidRPr="006A749D" w:rsidRDefault="002D06F7" w:rsidP="00DF2330">
      <w:pPr>
        <w:keepNext/>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Section 1329 of the Code establishes a process for ratemaking purposes to value the plant of municipal-owned water and wastewater systems to be acquired by certificated public utilities.  66 Pa. C.S. § 1329.</w:t>
      </w:r>
      <w:r w:rsidR="008A141C" w:rsidRPr="006A749D">
        <w:rPr>
          <w:rStyle w:val="FootnoteReference"/>
          <w:rFonts w:ascii="Times New Roman" w:hAnsi="Times New Roman" w:cs="Times New Roman"/>
          <w:sz w:val="26"/>
          <w:szCs w:val="26"/>
        </w:rPr>
        <w:footnoteReference w:id="4"/>
      </w:r>
      <w:r w:rsidRPr="006A749D">
        <w:rPr>
          <w:rFonts w:ascii="Times New Roman" w:hAnsi="Times New Roman" w:cs="Times New Roman"/>
          <w:sz w:val="26"/>
          <w:szCs w:val="26"/>
        </w:rPr>
        <w:t xml:space="preserve">  Under Section 1329, the value of water </w:t>
      </w:r>
      <w:r w:rsidRPr="006A749D">
        <w:rPr>
          <w:rFonts w:ascii="Times New Roman" w:hAnsi="Times New Roman" w:cs="Times New Roman"/>
          <w:sz w:val="26"/>
          <w:szCs w:val="26"/>
        </w:rPr>
        <w:lastRenderedPageBreak/>
        <w:t>and wastewater system assets to be included in the acquiring utility’s rate base for ratemaking purposes will be the lesser of the purchase price negotiated by the acquiring utility and seller or the “fair market value” of the selling utility’s system.  66 Pa. C.S. § 1329(c)(2).</w:t>
      </w:r>
    </w:p>
    <w:p w14:paraId="279295AD" w14:textId="77777777" w:rsidR="002D06F7" w:rsidRPr="006A749D" w:rsidRDefault="002D06F7" w:rsidP="002D06F7">
      <w:pPr>
        <w:spacing w:line="360" w:lineRule="auto"/>
        <w:ind w:firstLine="1440"/>
        <w:rPr>
          <w:rFonts w:ascii="Times New Roman" w:hAnsi="Times New Roman" w:cs="Times New Roman"/>
          <w:sz w:val="26"/>
          <w:szCs w:val="26"/>
        </w:rPr>
      </w:pPr>
    </w:p>
    <w:p w14:paraId="3D84E823" w14:textId="0B392FB3" w:rsidR="002D06F7" w:rsidRPr="006A749D" w:rsidRDefault="002D06F7" w:rsidP="002D06F7">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The fair market valuation process under Section 1329 where the acquiring utility and the seller must elect and agree to have the fair market value of the seller’s assets established through separate, independent appraisals conducted by Utility Valuation Experts (UVEs) is voluntary.  66 Pa. C.S. § 1329(a).  The Commission maintains a list of qualified UVEs from which the acquiring utility and seller must choose their respective appraisers.</w:t>
      </w:r>
      <w:r w:rsidR="00994DB6" w:rsidRPr="006A749D">
        <w:rPr>
          <w:rFonts w:ascii="Times New Roman" w:hAnsi="Times New Roman" w:cs="Times New Roman"/>
          <w:sz w:val="26"/>
          <w:szCs w:val="26"/>
        </w:rPr>
        <w:t xml:space="preserve"> </w:t>
      </w:r>
      <w:r w:rsidRPr="006A749D">
        <w:rPr>
          <w:rFonts w:ascii="Times New Roman" w:hAnsi="Times New Roman" w:cs="Times New Roman"/>
          <w:sz w:val="26"/>
          <w:szCs w:val="26"/>
        </w:rPr>
        <w:t xml:space="preserve"> 66 Pa. C.S. §§ 1329(a)(1), (2).</w:t>
      </w:r>
    </w:p>
    <w:p w14:paraId="2ECA5BD6" w14:textId="77777777" w:rsidR="002D06F7" w:rsidRPr="006A749D" w:rsidRDefault="002D06F7" w:rsidP="002D06F7">
      <w:pPr>
        <w:spacing w:line="360" w:lineRule="auto"/>
        <w:ind w:firstLine="1440"/>
        <w:rPr>
          <w:rFonts w:ascii="Times New Roman" w:hAnsi="Times New Roman" w:cs="Times New Roman"/>
          <w:sz w:val="26"/>
          <w:szCs w:val="26"/>
        </w:rPr>
      </w:pPr>
    </w:p>
    <w:p w14:paraId="2431E168" w14:textId="5049FA0F" w:rsidR="002D06F7" w:rsidRPr="006A749D" w:rsidRDefault="002D06F7" w:rsidP="002D06F7">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 xml:space="preserve">The UVEs must prepare an appraisal of the seller’s system assets in compliance with the Uniform Standards of Professional Appraisal Practice (USPAP), employing the cost, </w:t>
      </w:r>
      <w:proofErr w:type="gramStart"/>
      <w:r w:rsidRPr="006A749D">
        <w:rPr>
          <w:rFonts w:ascii="Times New Roman" w:hAnsi="Times New Roman" w:cs="Times New Roman"/>
          <w:sz w:val="26"/>
          <w:szCs w:val="26"/>
        </w:rPr>
        <w:t>market</w:t>
      </w:r>
      <w:proofErr w:type="gramEnd"/>
      <w:r w:rsidRPr="006A749D">
        <w:rPr>
          <w:rFonts w:ascii="Times New Roman" w:hAnsi="Times New Roman" w:cs="Times New Roman"/>
          <w:sz w:val="26"/>
          <w:szCs w:val="26"/>
        </w:rPr>
        <w:t xml:space="preserve"> and income approaches.  66 Pa.</w:t>
      </w:r>
      <w:r w:rsidR="00284A64">
        <w:rPr>
          <w:rFonts w:ascii="Times New Roman" w:hAnsi="Times New Roman" w:cs="Times New Roman"/>
          <w:sz w:val="26"/>
          <w:szCs w:val="26"/>
        </w:rPr>
        <w:t xml:space="preserve"> </w:t>
      </w:r>
      <w:r w:rsidRPr="006A749D">
        <w:rPr>
          <w:rFonts w:ascii="Times New Roman" w:hAnsi="Times New Roman" w:cs="Times New Roman"/>
          <w:sz w:val="26"/>
          <w:szCs w:val="26"/>
        </w:rPr>
        <w:t>C.S. § 1329(a)(3).  The fair market value of the system is defined as the average of the two separate UVE appraisals conducted in compliance with Section 1329(a)(3).  66 Pa. C.S. § 1329(g).</w:t>
      </w:r>
    </w:p>
    <w:p w14:paraId="28A12342" w14:textId="77777777" w:rsidR="002D06F7" w:rsidRPr="006A749D" w:rsidRDefault="002D06F7" w:rsidP="002D06F7">
      <w:pPr>
        <w:spacing w:line="360" w:lineRule="auto"/>
        <w:ind w:firstLine="1440"/>
        <w:rPr>
          <w:rFonts w:ascii="Times New Roman" w:hAnsi="Times New Roman" w:cs="Times New Roman"/>
          <w:sz w:val="26"/>
          <w:szCs w:val="26"/>
        </w:rPr>
      </w:pPr>
    </w:p>
    <w:p w14:paraId="48D25199" w14:textId="4D6D9184" w:rsidR="002D06F7" w:rsidRDefault="002D06F7" w:rsidP="002D06F7">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The Applicant must provide to the Commission copies of the appraisals; the purchase price; the ratemaking rate base; the closing costs; and, if applicable, a tariff and rate stabilization plan.  66 Pa. C.S. § 1329(d)(1).</w:t>
      </w:r>
    </w:p>
    <w:p w14:paraId="7F745887" w14:textId="77777777" w:rsidR="007768BF" w:rsidRPr="006A749D" w:rsidRDefault="007768BF" w:rsidP="002D06F7">
      <w:pPr>
        <w:spacing w:line="360" w:lineRule="auto"/>
        <w:ind w:firstLine="1440"/>
        <w:rPr>
          <w:rFonts w:ascii="Times New Roman" w:hAnsi="Times New Roman" w:cs="Times New Roman"/>
          <w:sz w:val="26"/>
          <w:szCs w:val="26"/>
        </w:rPr>
      </w:pPr>
    </w:p>
    <w:p w14:paraId="282B0692" w14:textId="59745288" w:rsidR="009F5D3A" w:rsidRPr="006A749D" w:rsidRDefault="00B74AB1" w:rsidP="007108AB">
      <w:pPr>
        <w:pStyle w:val="Heading3"/>
        <w:keepNext/>
      </w:pPr>
      <w:bookmarkStart w:id="8" w:name="_Toc66196375"/>
      <w:r w:rsidRPr="006A749D">
        <w:t>General Standards</w:t>
      </w:r>
      <w:bookmarkEnd w:id="8"/>
    </w:p>
    <w:p w14:paraId="2CF15E2F" w14:textId="42B6F8DB" w:rsidR="00B74AB1" w:rsidRPr="006A749D" w:rsidRDefault="00B74AB1" w:rsidP="007108AB">
      <w:pPr>
        <w:keepNext/>
        <w:tabs>
          <w:tab w:val="left" w:pos="-720"/>
        </w:tabs>
        <w:spacing w:line="360" w:lineRule="auto"/>
        <w:rPr>
          <w:rFonts w:ascii="Times New Roman" w:hAnsi="Times New Roman" w:cs="Times New Roman"/>
          <w:b/>
          <w:bCs/>
          <w:color w:val="000000"/>
          <w:sz w:val="26"/>
          <w:szCs w:val="26"/>
        </w:rPr>
      </w:pPr>
    </w:p>
    <w:p w14:paraId="4B12E7C4" w14:textId="0CFA290B" w:rsidR="000673C0" w:rsidRPr="006A749D" w:rsidRDefault="000673C0" w:rsidP="007108AB">
      <w:pPr>
        <w:keepNext/>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 xml:space="preserve">In the Recommended Decision, </w:t>
      </w:r>
      <w:r w:rsidR="009F7E8D">
        <w:rPr>
          <w:rFonts w:ascii="Times New Roman" w:hAnsi="Times New Roman" w:cs="Times New Roman"/>
          <w:sz w:val="26"/>
          <w:szCs w:val="26"/>
        </w:rPr>
        <w:t>the</w:t>
      </w:r>
      <w:r w:rsidRPr="006A749D">
        <w:rPr>
          <w:rFonts w:ascii="Times New Roman" w:hAnsi="Times New Roman" w:cs="Times New Roman"/>
          <w:sz w:val="26"/>
          <w:szCs w:val="26"/>
        </w:rPr>
        <w:t xml:space="preserve"> ALJ made </w:t>
      </w:r>
      <w:r w:rsidR="001848D7">
        <w:rPr>
          <w:rFonts w:ascii="Times New Roman" w:hAnsi="Times New Roman" w:cs="Times New Roman"/>
          <w:sz w:val="26"/>
          <w:szCs w:val="26"/>
        </w:rPr>
        <w:t>eighty-three</w:t>
      </w:r>
      <w:r w:rsidRPr="006A749D">
        <w:rPr>
          <w:rFonts w:ascii="Times New Roman" w:hAnsi="Times New Roman" w:cs="Times New Roman"/>
          <w:sz w:val="26"/>
          <w:szCs w:val="26"/>
        </w:rPr>
        <w:t xml:space="preserve"> Findings of Fact and reached </w:t>
      </w:r>
      <w:r w:rsidR="002C64DA">
        <w:rPr>
          <w:rFonts w:ascii="Times New Roman" w:hAnsi="Times New Roman" w:cs="Times New Roman"/>
          <w:sz w:val="26"/>
          <w:szCs w:val="26"/>
        </w:rPr>
        <w:t>twenty-one</w:t>
      </w:r>
      <w:r w:rsidRPr="006A749D">
        <w:rPr>
          <w:rFonts w:ascii="Times New Roman" w:hAnsi="Times New Roman" w:cs="Times New Roman"/>
          <w:sz w:val="26"/>
          <w:szCs w:val="26"/>
        </w:rPr>
        <w:t xml:space="preserve"> Conclusions of Law.  </w:t>
      </w:r>
      <w:r w:rsidRPr="006A749D">
        <w:rPr>
          <w:rFonts w:ascii="Times New Roman" w:hAnsi="Times New Roman" w:cs="Times New Roman"/>
          <w:i/>
          <w:sz w:val="26"/>
          <w:szCs w:val="26"/>
        </w:rPr>
        <w:t>See</w:t>
      </w:r>
      <w:r w:rsidRPr="006A749D">
        <w:rPr>
          <w:rFonts w:ascii="Times New Roman" w:hAnsi="Times New Roman" w:cs="Times New Roman"/>
          <w:sz w:val="26"/>
          <w:szCs w:val="26"/>
        </w:rPr>
        <w:t xml:space="preserve"> </w:t>
      </w:r>
      <w:r w:rsidR="00971810" w:rsidRPr="006A749D">
        <w:rPr>
          <w:rFonts w:ascii="Times New Roman" w:hAnsi="Times New Roman" w:cs="Times New Roman"/>
          <w:sz w:val="26"/>
          <w:szCs w:val="26"/>
        </w:rPr>
        <w:t>R</w:t>
      </w:r>
      <w:r w:rsidRPr="006A749D">
        <w:rPr>
          <w:rFonts w:ascii="Times New Roman" w:hAnsi="Times New Roman" w:cs="Times New Roman"/>
          <w:sz w:val="26"/>
          <w:szCs w:val="26"/>
        </w:rPr>
        <w:t xml:space="preserve">.D. at </w:t>
      </w:r>
      <w:r w:rsidR="001848D7">
        <w:rPr>
          <w:rFonts w:ascii="Times New Roman" w:hAnsi="Times New Roman" w:cs="Times New Roman"/>
          <w:sz w:val="26"/>
          <w:szCs w:val="26"/>
        </w:rPr>
        <w:t>4</w:t>
      </w:r>
      <w:r w:rsidRPr="006A749D">
        <w:rPr>
          <w:rFonts w:ascii="Times New Roman" w:hAnsi="Times New Roman" w:cs="Times New Roman"/>
          <w:sz w:val="26"/>
          <w:szCs w:val="26"/>
        </w:rPr>
        <w:t>-1</w:t>
      </w:r>
      <w:r w:rsidR="001848D7">
        <w:rPr>
          <w:rFonts w:ascii="Times New Roman" w:hAnsi="Times New Roman" w:cs="Times New Roman"/>
          <w:sz w:val="26"/>
          <w:szCs w:val="26"/>
        </w:rPr>
        <w:t>6</w:t>
      </w:r>
      <w:r w:rsidRPr="006A749D">
        <w:rPr>
          <w:rFonts w:ascii="Times New Roman" w:hAnsi="Times New Roman" w:cs="Times New Roman"/>
          <w:sz w:val="26"/>
          <w:szCs w:val="26"/>
        </w:rPr>
        <w:t xml:space="preserve">, </w:t>
      </w:r>
      <w:r w:rsidR="0099321C">
        <w:rPr>
          <w:rFonts w:ascii="Times New Roman" w:hAnsi="Times New Roman" w:cs="Times New Roman"/>
          <w:sz w:val="26"/>
          <w:szCs w:val="26"/>
        </w:rPr>
        <w:t>42</w:t>
      </w:r>
      <w:r w:rsidRPr="006A749D">
        <w:rPr>
          <w:rFonts w:ascii="Times New Roman" w:hAnsi="Times New Roman" w:cs="Times New Roman"/>
          <w:sz w:val="26"/>
          <w:szCs w:val="26"/>
        </w:rPr>
        <w:t>-</w:t>
      </w:r>
      <w:r w:rsidR="00653317" w:rsidRPr="006A749D">
        <w:rPr>
          <w:rFonts w:ascii="Times New Roman" w:hAnsi="Times New Roman" w:cs="Times New Roman"/>
          <w:sz w:val="26"/>
          <w:szCs w:val="26"/>
        </w:rPr>
        <w:t>2</w:t>
      </w:r>
      <w:r w:rsidR="0099321C">
        <w:rPr>
          <w:rFonts w:ascii="Times New Roman" w:hAnsi="Times New Roman" w:cs="Times New Roman"/>
          <w:sz w:val="26"/>
          <w:szCs w:val="26"/>
        </w:rPr>
        <w:t>5</w:t>
      </w:r>
      <w:r w:rsidRPr="006A749D">
        <w:rPr>
          <w:rFonts w:ascii="Times New Roman" w:hAnsi="Times New Roman" w:cs="Times New Roman"/>
          <w:sz w:val="26"/>
          <w:szCs w:val="26"/>
        </w:rPr>
        <w:t xml:space="preserve">.  The Findings of Fact and Conclusions of Law are incorporated herein by reference and are adopted </w:t>
      </w:r>
      <w:r w:rsidRPr="006A749D">
        <w:rPr>
          <w:rFonts w:ascii="Times New Roman" w:hAnsi="Times New Roman" w:cs="Times New Roman"/>
          <w:sz w:val="26"/>
          <w:szCs w:val="26"/>
        </w:rPr>
        <w:lastRenderedPageBreak/>
        <w:t>without comment unless they are either expressly or by necessary implication rejected or modified by this Opinion and Order.</w:t>
      </w:r>
    </w:p>
    <w:p w14:paraId="0E7FCE47" w14:textId="77777777" w:rsidR="0054142F" w:rsidRPr="006A749D" w:rsidRDefault="0054142F" w:rsidP="000673C0">
      <w:pPr>
        <w:spacing w:line="360" w:lineRule="auto"/>
        <w:ind w:firstLine="1440"/>
        <w:rPr>
          <w:rFonts w:ascii="Times New Roman" w:hAnsi="Times New Roman" w:cs="Times New Roman"/>
          <w:sz w:val="26"/>
          <w:szCs w:val="26"/>
        </w:rPr>
      </w:pPr>
    </w:p>
    <w:p w14:paraId="733F7B4D" w14:textId="787DCD5D" w:rsidR="00FB7B6A" w:rsidRPr="006A749D" w:rsidRDefault="000673C0" w:rsidP="00FB7B6A">
      <w:pPr>
        <w:spacing w:line="360" w:lineRule="auto"/>
        <w:ind w:firstLine="1440"/>
        <w:rPr>
          <w:rFonts w:ascii="Times New Roman" w:hAnsi="Times New Roman" w:cs="Times New Roman"/>
          <w:sz w:val="26"/>
          <w:szCs w:val="26"/>
        </w:rPr>
      </w:pPr>
      <w:r w:rsidRPr="006A749D">
        <w:rPr>
          <w:rFonts w:ascii="Times New Roman" w:hAnsi="Times New Roman" w:cs="Times New Roman"/>
          <w:sz w:val="26"/>
          <w:szCs w:val="26"/>
        </w:rPr>
        <w:t xml:space="preserve">As we proceed in our review of the various positions of the Parties in this proceeding, we are reminded that the Commission is not required to consider expressly or at length each contention or argument raised by the parties.  </w:t>
      </w:r>
      <w:hyperlink r:id="rId11" w:history="1">
        <w:r w:rsidRPr="006A749D">
          <w:rPr>
            <w:rFonts w:ascii="Times New Roman" w:hAnsi="Times New Roman" w:cs="Times New Roman"/>
            <w:i/>
            <w:iCs/>
            <w:sz w:val="26"/>
            <w:szCs w:val="26"/>
          </w:rPr>
          <w:t>Consolidated Rail Corp. v. Pa.</w:t>
        </w:r>
        <w:r w:rsidR="00EF3AEF">
          <w:rPr>
            <w:rFonts w:ascii="Times New Roman" w:hAnsi="Times New Roman" w:cs="Times New Roman"/>
            <w:i/>
            <w:iCs/>
            <w:sz w:val="26"/>
            <w:szCs w:val="26"/>
          </w:rPr>
          <w:t> </w:t>
        </w:r>
        <w:r w:rsidRPr="006A749D">
          <w:rPr>
            <w:rFonts w:ascii="Times New Roman" w:hAnsi="Times New Roman" w:cs="Times New Roman"/>
            <w:i/>
            <w:iCs/>
            <w:sz w:val="26"/>
            <w:szCs w:val="26"/>
          </w:rPr>
          <w:t>PUC</w:t>
        </w:r>
        <w:r w:rsidRPr="006A749D">
          <w:rPr>
            <w:rFonts w:ascii="Times New Roman" w:hAnsi="Times New Roman" w:cs="Times New Roman"/>
            <w:sz w:val="26"/>
            <w:szCs w:val="26"/>
          </w:rPr>
          <w:t>,</w:t>
        </w:r>
        <w:r w:rsidRPr="006A749D">
          <w:rPr>
            <w:rFonts w:ascii="Times New Roman" w:hAnsi="Times New Roman" w:cs="Times New Roman"/>
            <w:i/>
            <w:iCs/>
            <w:sz w:val="26"/>
            <w:szCs w:val="26"/>
          </w:rPr>
          <w:t xml:space="preserve"> </w:t>
        </w:r>
        <w:r w:rsidRPr="006A749D">
          <w:rPr>
            <w:rFonts w:ascii="Times New Roman" w:hAnsi="Times New Roman" w:cs="Times New Roman"/>
            <w:sz w:val="26"/>
            <w:szCs w:val="26"/>
          </w:rPr>
          <w:t>625 A.2d 741 (Pa. Cmwlth. 1993);</w:t>
        </w:r>
      </w:hyperlink>
      <w:r w:rsidRPr="006A749D">
        <w:rPr>
          <w:rFonts w:ascii="Times New Roman" w:hAnsi="Times New Roman" w:cs="Times New Roman"/>
          <w:sz w:val="26"/>
          <w:szCs w:val="26"/>
        </w:rPr>
        <w:t xml:space="preserve"> </w:t>
      </w:r>
      <w:r w:rsidRPr="006A749D">
        <w:rPr>
          <w:rFonts w:ascii="Times New Roman" w:hAnsi="Times New Roman" w:cs="Times New Roman"/>
          <w:i/>
          <w:sz w:val="26"/>
          <w:szCs w:val="26"/>
        </w:rPr>
        <w:t xml:space="preserve">also </w:t>
      </w:r>
      <w:r w:rsidRPr="006A749D">
        <w:rPr>
          <w:rFonts w:ascii="Times New Roman" w:hAnsi="Times New Roman" w:cs="Times New Roman"/>
          <w:i/>
          <w:iCs/>
          <w:sz w:val="26"/>
          <w:szCs w:val="26"/>
        </w:rPr>
        <w:t>see</w:t>
      </w:r>
      <w:r w:rsidRPr="006A749D">
        <w:rPr>
          <w:rFonts w:ascii="Times New Roman" w:hAnsi="Times New Roman" w:cs="Times New Roman"/>
          <w:i/>
          <w:iCs/>
          <w:color w:val="000000"/>
          <w:sz w:val="26"/>
          <w:szCs w:val="26"/>
        </w:rPr>
        <w:t xml:space="preserve">, generally, </w:t>
      </w:r>
      <w:hyperlink r:id="rId12" w:history="1">
        <w:r w:rsidRPr="006A749D">
          <w:rPr>
            <w:rFonts w:ascii="Times New Roman" w:hAnsi="Times New Roman" w:cs="Times New Roman"/>
            <w:i/>
            <w:iCs/>
            <w:color w:val="000000"/>
            <w:sz w:val="26"/>
            <w:szCs w:val="26"/>
          </w:rPr>
          <w:t>University of Pennsylvania v. Pa. PUC</w:t>
        </w:r>
        <w:r w:rsidRPr="006A749D">
          <w:rPr>
            <w:rFonts w:ascii="Times New Roman" w:hAnsi="Times New Roman" w:cs="Times New Roman"/>
            <w:color w:val="000000"/>
            <w:sz w:val="26"/>
            <w:szCs w:val="26"/>
          </w:rPr>
          <w:t>, 485 A.2d 1217 (Pa. Cmwlth. 1984).</w:t>
        </w:r>
      </w:hyperlink>
      <w:r w:rsidRPr="006A749D">
        <w:rPr>
          <w:rFonts w:ascii="Times New Roman" w:hAnsi="Times New Roman" w:cs="Times New Roman"/>
          <w:color w:val="000000"/>
          <w:sz w:val="26"/>
          <w:szCs w:val="26"/>
        </w:rPr>
        <w:t xml:space="preserve">  </w:t>
      </w:r>
      <w:r w:rsidR="00FB7B6A" w:rsidRPr="006A749D">
        <w:rPr>
          <w:rFonts w:ascii="Times New Roman" w:hAnsi="Times New Roman" w:cs="Times New Roman"/>
          <w:sz w:val="26"/>
          <w:szCs w:val="26"/>
        </w:rPr>
        <w:t>Exception</w:t>
      </w:r>
      <w:r w:rsidR="00025ADB">
        <w:rPr>
          <w:rFonts w:ascii="Times New Roman" w:hAnsi="Times New Roman" w:cs="Times New Roman"/>
          <w:sz w:val="26"/>
          <w:szCs w:val="26"/>
        </w:rPr>
        <w:t>s</w:t>
      </w:r>
      <w:r w:rsidR="00FB7B6A" w:rsidRPr="006A749D">
        <w:rPr>
          <w:rFonts w:ascii="Times New Roman" w:hAnsi="Times New Roman" w:cs="Times New Roman"/>
          <w:sz w:val="26"/>
          <w:szCs w:val="26"/>
        </w:rPr>
        <w:t xml:space="preserve"> that we do not specifically address shall be deemed to have been duly considered and denied without further discussion.</w:t>
      </w:r>
    </w:p>
    <w:p w14:paraId="11C96C6E" w14:textId="77516417" w:rsidR="00BE524F" w:rsidRPr="006A749D" w:rsidRDefault="00BE524F" w:rsidP="000673C0">
      <w:pPr>
        <w:tabs>
          <w:tab w:val="left" w:pos="-720"/>
        </w:tabs>
        <w:spacing w:line="360" w:lineRule="auto"/>
        <w:rPr>
          <w:rFonts w:ascii="Times New Roman" w:hAnsi="Times New Roman" w:cs="Times New Roman"/>
          <w:sz w:val="26"/>
          <w:szCs w:val="26"/>
        </w:rPr>
      </w:pPr>
    </w:p>
    <w:p w14:paraId="0879C609" w14:textId="569B1641" w:rsidR="00BE524F" w:rsidRPr="006A749D" w:rsidRDefault="00BE524F" w:rsidP="00113019">
      <w:pPr>
        <w:pStyle w:val="Heading2"/>
      </w:pPr>
      <w:bookmarkStart w:id="9" w:name="_Toc66196376"/>
      <w:r w:rsidRPr="006A749D">
        <w:t>B.</w:t>
      </w:r>
      <w:r w:rsidRPr="006A749D">
        <w:tab/>
      </w:r>
      <w:r w:rsidR="007D30F2" w:rsidRPr="006A749D">
        <w:t>Transaction Overview</w:t>
      </w:r>
      <w:bookmarkEnd w:id="9"/>
    </w:p>
    <w:p w14:paraId="22DBB935" w14:textId="1B2F3D14" w:rsidR="00D67CD0" w:rsidRPr="006A749D" w:rsidRDefault="00D67CD0" w:rsidP="00113019">
      <w:pPr>
        <w:keepNext/>
        <w:keepLines/>
        <w:tabs>
          <w:tab w:val="left" w:pos="-720"/>
        </w:tabs>
        <w:suppressAutoHyphens/>
        <w:spacing w:line="360" w:lineRule="auto"/>
        <w:rPr>
          <w:rFonts w:ascii="Times New Roman" w:hAnsi="Times New Roman" w:cs="Times New Roman"/>
          <w:bCs/>
          <w:sz w:val="26"/>
          <w:szCs w:val="26"/>
        </w:rPr>
      </w:pPr>
    </w:p>
    <w:p w14:paraId="4946AA6D" w14:textId="22C00D27" w:rsidR="0080113F" w:rsidRDefault="00174E3E" w:rsidP="00113019">
      <w:pPr>
        <w:keepNext/>
        <w:spacing w:line="360" w:lineRule="auto"/>
        <w:ind w:firstLine="1440"/>
        <w:textAlignment w:val="baseline"/>
        <w:rPr>
          <w:rFonts w:ascii="Times New Roman" w:eastAsia="Times New Roman" w:hAnsi="Times New Roman" w:cs="Times New Roman"/>
          <w:color w:val="000000"/>
          <w:sz w:val="26"/>
          <w:szCs w:val="26"/>
        </w:rPr>
      </w:pPr>
      <w:r w:rsidRPr="00174E3E">
        <w:rPr>
          <w:rFonts w:ascii="Times New Roman" w:eastAsia="Times New Roman" w:hAnsi="Times New Roman" w:cs="Times New Roman"/>
          <w:color w:val="000000"/>
          <w:sz w:val="26"/>
          <w:szCs w:val="26"/>
        </w:rPr>
        <w:t>PAWC</w:t>
      </w:r>
      <w:r w:rsidR="004B0864" w:rsidRPr="004A2C3A">
        <w:rPr>
          <w:rFonts w:ascii="Times New Roman" w:eastAsia="Times New Roman" w:hAnsi="Times New Roman" w:cs="Times New Roman"/>
          <w:color w:val="000000"/>
          <w:sz w:val="26"/>
          <w:szCs w:val="26"/>
        </w:rPr>
        <w:t xml:space="preserve">, </w:t>
      </w:r>
      <w:r w:rsidRPr="00174E3E">
        <w:rPr>
          <w:rFonts w:ascii="Times New Roman" w:eastAsia="Times New Roman" w:hAnsi="Times New Roman" w:cs="Times New Roman"/>
          <w:color w:val="000000"/>
          <w:sz w:val="26"/>
          <w:szCs w:val="26"/>
        </w:rPr>
        <w:t>a subsidiary of American Water Works Company, Inc.</w:t>
      </w:r>
      <w:r w:rsidR="00636B87">
        <w:rPr>
          <w:rFonts w:ascii="Times New Roman" w:eastAsia="Times New Roman" w:hAnsi="Times New Roman" w:cs="Times New Roman"/>
          <w:color w:val="000000"/>
          <w:sz w:val="26"/>
          <w:szCs w:val="26"/>
        </w:rPr>
        <w:t xml:space="preserve"> (</w:t>
      </w:r>
      <w:r w:rsidR="00585CB8">
        <w:rPr>
          <w:rFonts w:ascii="Times New Roman" w:eastAsia="Times New Roman" w:hAnsi="Times New Roman" w:cs="Times New Roman"/>
          <w:color w:val="000000"/>
          <w:sz w:val="26"/>
          <w:szCs w:val="26"/>
        </w:rPr>
        <w:t>American Water)</w:t>
      </w:r>
      <w:r w:rsidRPr="00174E3E">
        <w:rPr>
          <w:rFonts w:ascii="Times New Roman" w:eastAsia="Times New Roman" w:hAnsi="Times New Roman" w:cs="Times New Roman"/>
          <w:color w:val="000000"/>
          <w:sz w:val="26"/>
          <w:szCs w:val="26"/>
        </w:rPr>
        <w:t xml:space="preserve">, </w:t>
      </w:r>
      <w:r w:rsidR="00DD2950" w:rsidRPr="004A2C3A">
        <w:rPr>
          <w:rFonts w:ascii="Times New Roman" w:eastAsia="Times New Roman" w:hAnsi="Times New Roman"/>
          <w:color w:val="000000"/>
          <w:sz w:val="26"/>
          <w:szCs w:val="26"/>
        </w:rPr>
        <w:t xml:space="preserve">is the largest regulated water and wastewater public utility duly organized and existing under the laws of the Commonwealth of Pennsylvania.  </w:t>
      </w:r>
      <w:r w:rsidR="00847C1D" w:rsidRPr="004A2C3A">
        <w:rPr>
          <w:rFonts w:ascii="Times New Roman" w:eastAsia="Times New Roman" w:hAnsi="Times New Roman"/>
          <w:color w:val="000000"/>
          <w:spacing w:val="-1"/>
          <w:sz w:val="26"/>
          <w:szCs w:val="26"/>
        </w:rPr>
        <w:t xml:space="preserve">PAWC furnishes water and wastewater service to the public in a service territory encompassing more than 400 communities in </w:t>
      </w:r>
      <w:r w:rsidR="00BE194D">
        <w:rPr>
          <w:rFonts w:ascii="Times New Roman" w:eastAsia="Times New Roman" w:hAnsi="Times New Roman"/>
          <w:color w:val="000000"/>
          <w:spacing w:val="-1"/>
          <w:sz w:val="26"/>
          <w:szCs w:val="26"/>
        </w:rPr>
        <w:t>thirty-six</w:t>
      </w:r>
      <w:r w:rsidR="00847C1D" w:rsidRPr="004A2C3A">
        <w:rPr>
          <w:rFonts w:ascii="Times New Roman" w:eastAsia="Times New Roman" w:hAnsi="Times New Roman"/>
          <w:color w:val="000000"/>
          <w:spacing w:val="-1"/>
          <w:sz w:val="26"/>
          <w:szCs w:val="26"/>
        </w:rPr>
        <w:t xml:space="preserve"> counties </w:t>
      </w:r>
      <w:r w:rsidR="005358F4" w:rsidRPr="004A2C3A">
        <w:rPr>
          <w:rFonts w:ascii="Times New Roman" w:eastAsia="Times New Roman" w:hAnsi="Times New Roman"/>
          <w:color w:val="000000"/>
          <w:spacing w:val="-1"/>
          <w:sz w:val="26"/>
          <w:szCs w:val="26"/>
        </w:rPr>
        <w:t xml:space="preserve">and serves a combined population of over </w:t>
      </w:r>
      <w:r w:rsidRPr="00174E3E">
        <w:rPr>
          <w:rFonts w:ascii="Times New Roman" w:eastAsia="Times New Roman" w:hAnsi="Times New Roman" w:cs="Times New Roman"/>
          <w:color w:val="000000"/>
          <w:sz w:val="26"/>
          <w:szCs w:val="26"/>
        </w:rPr>
        <w:t>2,400,000 customers</w:t>
      </w:r>
      <w:r w:rsidR="004A53BF" w:rsidRPr="004A2C3A">
        <w:rPr>
          <w:rFonts w:ascii="Times New Roman" w:eastAsia="Times New Roman" w:hAnsi="Times New Roman" w:cs="Times New Roman"/>
          <w:color w:val="000000"/>
          <w:sz w:val="26"/>
          <w:szCs w:val="26"/>
        </w:rPr>
        <w:t xml:space="preserve"> across the Commonwealth</w:t>
      </w:r>
      <w:r w:rsidRPr="00174E3E">
        <w:rPr>
          <w:rFonts w:ascii="Times New Roman" w:eastAsia="Times New Roman" w:hAnsi="Times New Roman" w:cs="Times New Roman"/>
          <w:color w:val="000000"/>
          <w:sz w:val="26"/>
          <w:szCs w:val="26"/>
        </w:rPr>
        <w:t xml:space="preserve">.  </w:t>
      </w:r>
      <w:r w:rsidR="00003FB5" w:rsidRPr="004A2C3A">
        <w:rPr>
          <w:rFonts w:ascii="Times New Roman" w:eastAsia="Times New Roman" w:hAnsi="Times New Roman"/>
          <w:color w:val="000000"/>
          <w:sz w:val="26"/>
          <w:szCs w:val="26"/>
        </w:rPr>
        <w:t>As of May 20, 2020, PAWC furnished wastewater services to approximately 74,754 customers, and furnished water services to approximately 668,658 customers, in Pennsylvania</w:t>
      </w:r>
      <w:r w:rsidR="0080113F" w:rsidRPr="004A2C3A">
        <w:rPr>
          <w:rFonts w:ascii="Times New Roman" w:eastAsia="Times New Roman" w:hAnsi="Times New Roman" w:cs="Times New Roman"/>
          <w:color w:val="000000"/>
          <w:sz w:val="26"/>
          <w:szCs w:val="26"/>
        </w:rPr>
        <w:t>.</w:t>
      </w:r>
      <w:r w:rsidR="0080113F">
        <w:rPr>
          <w:rFonts w:ascii="Times New Roman" w:eastAsia="Times New Roman" w:hAnsi="Times New Roman" w:cs="Times New Roman"/>
          <w:color w:val="000000"/>
          <w:sz w:val="26"/>
          <w:szCs w:val="26"/>
        </w:rPr>
        <w:t xml:space="preserve">  PAWC St. 1 at 13-14.</w:t>
      </w:r>
    </w:p>
    <w:p w14:paraId="567AE728" w14:textId="77777777" w:rsidR="0080113F" w:rsidRDefault="0080113F" w:rsidP="00174E3E">
      <w:pPr>
        <w:spacing w:line="360" w:lineRule="auto"/>
        <w:ind w:firstLine="1440"/>
        <w:textAlignment w:val="baseline"/>
        <w:rPr>
          <w:rFonts w:ascii="Times New Roman" w:eastAsia="Times New Roman" w:hAnsi="Times New Roman" w:cs="Times New Roman"/>
          <w:color w:val="000000"/>
          <w:sz w:val="26"/>
          <w:szCs w:val="26"/>
        </w:rPr>
      </w:pPr>
    </w:p>
    <w:p w14:paraId="13C78D47" w14:textId="6BF1D292" w:rsidR="009660B3" w:rsidRPr="00C279CF" w:rsidRDefault="009660B3" w:rsidP="00C279CF">
      <w:pPr>
        <w:spacing w:line="360" w:lineRule="auto"/>
        <w:ind w:firstLine="1440"/>
        <w:textAlignment w:val="baseline"/>
        <w:rPr>
          <w:rFonts w:ascii="Times New Roman" w:eastAsia="Times New Roman" w:hAnsi="Times New Roman" w:cs="Times New Roman"/>
          <w:color w:val="000000"/>
          <w:sz w:val="26"/>
          <w:szCs w:val="26"/>
        </w:rPr>
      </w:pPr>
      <w:r w:rsidRPr="00C279CF">
        <w:rPr>
          <w:rFonts w:ascii="Times New Roman" w:eastAsia="Times New Roman" w:hAnsi="Times New Roman"/>
          <w:color w:val="000000"/>
          <w:sz w:val="26"/>
          <w:szCs w:val="26"/>
        </w:rPr>
        <w:t xml:space="preserve">Royersford is a body corporate and politic, </w:t>
      </w:r>
      <w:proofErr w:type="gramStart"/>
      <w:r w:rsidRPr="00C279CF">
        <w:rPr>
          <w:rFonts w:ascii="Times New Roman" w:eastAsia="Times New Roman" w:hAnsi="Times New Roman"/>
          <w:color w:val="000000"/>
          <w:sz w:val="26"/>
          <w:szCs w:val="26"/>
        </w:rPr>
        <w:t>organized</w:t>
      </w:r>
      <w:proofErr w:type="gramEnd"/>
      <w:r w:rsidRPr="00C279CF">
        <w:rPr>
          <w:rFonts w:ascii="Times New Roman" w:eastAsia="Times New Roman" w:hAnsi="Times New Roman"/>
          <w:color w:val="000000"/>
          <w:sz w:val="26"/>
          <w:szCs w:val="26"/>
        </w:rPr>
        <w:t xml:space="preserve"> and existing under the laws of the Commonwealth </w:t>
      </w:r>
      <w:r w:rsidR="006C0A04" w:rsidRPr="00C279CF">
        <w:rPr>
          <w:rFonts w:ascii="Times New Roman" w:eastAsia="Times New Roman" w:hAnsi="Times New Roman"/>
          <w:color w:val="000000"/>
          <w:sz w:val="26"/>
          <w:szCs w:val="26"/>
        </w:rPr>
        <w:t>and</w:t>
      </w:r>
      <w:r w:rsidRPr="00C279CF">
        <w:rPr>
          <w:rFonts w:ascii="Times New Roman" w:eastAsia="Times New Roman" w:hAnsi="Times New Roman"/>
          <w:color w:val="000000"/>
          <w:sz w:val="26"/>
          <w:szCs w:val="26"/>
        </w:rPr>
        <w:t xml:space="preserve"> is located in Montgomery County.</w:t>
      </w:r>
      <w:r w:rsidR="00D8195C" w:rsidRPr="00C279CF">
        <w:rPr>
          <w:rFonts w:ascii="Times New Roman" w:eastAsia="Times New Roman" w:hAnsi="Times New Roman"/>
          <w:color w:val="000000"/>
          <w:sz w:val="26"/>
          <w:szCs w:val="26"/>
        </w:rPr>
        <w:t xml:space="preserve">  </w:t>
      </w:r>
      <w:r w:rsidR="007549D0" w:rsidRPr="00C279CF">
        <w:rPr>
          <w:rFonts w:ascii="Times New Roman" w:eastAsia="Times New Roman" w:hAnsi="Times New Roman"/>
          <w:color w:val="000000"/>
          <w:sz w:val="26"/>
          <w:szCs w:val="26"/>
        </w:rPr>
        <w:t>As of June 1, 2020, t</w:t>
      </w:r>
      <w:r w:rsidR="00B64794" w:rsidRPr="00C279CF">
        <w:rPr>
          <w:rFonts w:ascii="Times New Roman" w:eastAsia="Times New Roman" w:hAnsi="Times New Roman"/>
          <w:color w:val="000000"/>
          <w:sz w:val="26"/>
          <w:szCs w:val="26"/>
        </w:rPr>
        <w:t>he Borough</w:t>
      </w:r>
      <w:r w:rsidR="004A0057" w:rsidRPr="00C279CF">
        <w:rPr>
          <w:rFonts w:ascii="Times New Roman" w:eastAsia="Times New Roman" w:hAnsi="Times New Roman"/>
          <w:color w:val="000000"/>
          <w:sz w:val="26"/>
          <w:szCs w:val="26"/>
        </w:rPr>
        <w:t xml:space="preserve">’s wastewater collection and treatment system </w:t>
      </w:r>
      <w:r w:rsidR="00804F70">
        <w:rPr>
          <w:rFonts w:ascii="Times New Roman" w:eastAsia="Times New Roman" w:hAnsi="Times New Roman"/>
          <w:color w:val="000000"/>
          <w:sz w:val="26"/>
          <w:szCs w:val="26"/>
        </w:rPr>
        <w:t xml:space="preserve">(the System) </w:t>
      </w:r>
      <w:r w:rsidR="0014017F" w:rsidRPr="00C279CF">
        <w:rPr>
          <w:rFonts w:ascii="Times New Roman" w:eastAsia="Times New Roman" w:hAnsi="Times New Roman"/>
          <w:color w:val="000000"/>
          <w:sz w:val="26"/>
          <w:szCs w:val="26"/>
        </w:rPr>
        <w:t>provide</w:t>
      </w:r>
      <w:r w:rsidR="007549D0" w:rsidRPr="00C279CF">
        <w:rPr>
          <w:rFonts w:ascii="Times New Roman" w:eastAsia="Times New Roman" w:hAnsi="Times New Roman"/>
          <w:color w:val="000000"/>
          <w:sz w:val="26"/>
          <w:szCs w:val="26"/>
        </w:rPr>
        <w:t>d</w:t>
      </w:r>
      <w:r w:rsidR="0014017F" w:rsidRPr="00C279CF">
        <w:rPr>
          <w:rFonts w:ascii="Times New Roman" w:eastAsia="Times New Roman" w:hAnsi="Times New Roman"/>
          <w:color w:val="000000"/>
          <w:sz w:val="26"/>
          <w:szCs w:val="26"/>
        </w:rPr>
        <w:t xml:space="preserve"> service to approximately 1,600 customers in Royersford </w:t>
      </w:r>
      <w:r w:rsidR="009A25C0" w:rsidRPr="00C279CF">
        <w:rPr>
          <w:rFonts w:ascii="Times New Roman" w:eastAsia="Times New Roman" w:hAnsi="Times New Roman"/>
          <w:color w:val="000000"/>
          <w:sz w:val="26"/>
          <w:szCs w:val="26"/>
        </w:rPr>
        <w:t xml:space="preserve">and </w:t>
      </w:r>
      <w:r w:rsidR="006829C9">
        <w:rPr>
          <w:rFonts w:ascii="Times New Roman" w:eastAsia="Times New Roman" w:hAnsi="Times New Roman"/>
          <w:color w:val="000000"/>
          <w:sz w:val="26"/>
          <w:szCs w:val="26"/>
        </w:rPr>
        <w:t>16</w:t>
      </w:r>
      <w:r w:rsidR="009A25C0" w:rsidRPr="00C279CF">
        <w:rPr>
          <w:rFonts w:ascii="Times New Roman" w:eastAsia="Times New Roman" w:hAnsi="Times New Roman"/>
          <w:color w:val="000000"/>
          <w:sz w:val="26"/>
          <w:szCs w:val="26"/>
        </w:rPr>
        <w:t xml:space="preserve"> customers in Upper Providence Township.  </w:t>
      </w:r>
      <w:r w:rsidR="007549D0" w:rsidRPr="00C279CF">
        <w:rPr>
          <w:rFonts w:ascii="Times New Roman" w:eastAsia="Times New Roman" w:hAnsi="Times New Roman"/>
          <w:color w:val="000000"/>
          <w:sz w:val="26"/>
          <w:szCs w:val="26"/>
        </w:rPr>
        <w:t xml:space="preserve">In addition, </w:t>
      </w:r>
      <w:r w:rsidR="00106AE8" w:rsidRPr="00C279CF">
        <w:rPr>
          <w:rFonts w:ascii="Times New Roman" w:eastAsia="Times New Roman" w:hAnsi="Times New Roman"/>
          <w:color w:val="000000"/>
          <w:sz w:val="26"/>
          <w:szCs w:val="26"/>
        </w:rPr>
        <w:t xml:space="preserve">the </w:t>
      </w:r>
      <w:r w:rsidR="00804F70">
        <w:rPr>
          <w:rFonts w:ascii="Times New Roman" w:eastAsia="Times New Roman" w:hAnsi="Times New Roman"/>
          <w:color w:val="000000"/>
          <w:sz w:val="26"/>
          <w:szCs w:val="26"/>
        </w:rPr>
        <w:t>System</w:t>
      </w:r>
      <w:r w:rsidR="00106AE8" w:rsidRPr="00C279CF">
        <w:rPr>
          <w:rFonts w:ascii="Times New Roman" w:eastAsia="Times New Roman" w:hAnsi="Times New Roman"/>
          <w:color w:val="000000"/>
          <w:sz w:val="26"/>
          <w:szCs w:val="26"/>
        </w:rPr>
        <w:t xml:space="preserve"> provided service to customers in Limerick Township </w:t>
      </w:r>
      <w:r w:rsidR="00106AE8" w:rsidRPr="00C279CF">
        <w:rPr>
          <w:rFonts w:ascii="Times New Roman" w:eastAsia="Times New Roman" w:hAnsi="Times New Roman"/>
          <w:color w:val="000000"/>
          <w:sz w:val="26"/>
          <w:szCs w:val="26"/>
        </w:rPr>
        <w:lastRenderedPageBreak/>
        <w:t xml:space="preserve">via a bulk service interconnection located in Royersford.  </w:t>
      </w:r>
      <w:r w:rsidR="002C1B62">
        <w:rPr>
          <w:rFonts w:ascii="Times New Roman" w:eastAsia="Times New Roman" w:hAnsi="Times New Roman"/>
          <w:color w:val="000000"/>
          <w:sz w:val="26"/>
          <w:szCs w:val="26"/>
        </w:rPr>
        <w:t xml:space="preserve">PAWC </w:t>
      </w:r>
      <w:proofErr w:type="spellStart"/>
      <w:r w:rsidR="002C1B62">
        <w:rPr>
          <w:rFonts w:ascii="Times New Roman" w:eastAsia="Times New Roman" w:hAnsi="Times New Roman"/>
          <w:color w:val="000000"/>
          <w:sz w:val="26"/>
          <w:szCs w:val="26"/>
        </w:rPr>
        <w:t>Ex</w:t>
      </w:r>
      <w:r w:rsidR="00850018">
        <w:rPr>
          <w:rFonts w:ascii="Times New Roman" w:eastAsia="Times New Roman" w:hAnsi="Times New Roman"/>
          <w:color w:val="000000"/>
          <w:sz w:val="26"/>
          <w:szCs w:val="26"/>
        </w:rPr>
        <w:t>h</w:t>
      </w:r>
      <w:proofErr w:type="spellEnd"/>
      <w:r w:rsidR="002C1B62">
        <w:rPr>
          <w:rFonts w:ascii="Times New Roman" w:eastAsia="Times New Roman" w:hAnsi="Times New Roman"/>
          <w:color w:val="000000"/>
          <w:sz w:val="26"/>
          <w:szCs w:val="26"/>
        </w:rPr>
        <w:t>. MS-1, App.</w:t>
      </w:r>
      <w:r w:rsidR="009A2195">
        <w:rPr>
          <w:rFonts w:ascii="Times New Roman" w:eastAsia="Times New Roman" w:hAnsi="Times New Roman"/>
          <w:color w:val="000000"/>
          <w:sz w:val="26"/>
          <w:szCs w:val="26"/>
        </w:rPr>
        <w:t> </w:t>
      </w:r>
      <w:r w:rsidR="002C1B62">
        <w:rPr>
          <w:rFonts w:ascii="Times New Roman" w:eastAsia="Times New Roman" w:hAnsi="Times New Roman"/>
          <w:color w:val="000000"/>
          <w:sz w:val="26"/>
          <w:szCs w:val="26"/>
        </w:rPr>
        <w:t>A</w:t>
      </w:r>
      <w:r w:rsidR="001C3B53">
        <w:rPr>
          <w:rFonts w:ascii="Times New Roman" w:eastAsia="Times New Roman" w:hAnsi="Times New Roman"/>
          <w:color w:val="000000"/>
          <w:sz w:val="26"/>
          <w:szCs w:val="26"/>
        </w:rPr>
        <w:noBreakHyphen/>
      </w:r>
      <w:r w:rsidR="002C1B62">
        <w:rPr>
          <w:rFonts w:ascii="Times New Roman" w:eastAsia="Times New Roman" w:hAnsi="Times New Roman"/>
          <w:color w:val="000000"/>
          <w:sz w:val="26"/>
          <w:szCs w:val="26"/>
        </w:rPr>
        <w:t>24</w:t>
      </w:r>
      <w:r w:rsidR="009A2195">
        <w:rPr>
          <w:rFonts w:ascii="Times New Roman" w:eastAsia="Times New Roman" w:hAnsi="Times New Roman"/>
          <w:color w:val="000000"/>
          <w:sz w:val="26"/>
          <w:szCs w:val="26"/>
        </w:rPr>
        <w:noBreakHyphen/>
      </w:r>
      <w:r w:rsidR="002C1B62">
        <w:rPr>
          <w:rFonts w:ascii="Times New Roman" w:eastAsia="Times New Roman" w:hAnsi="Times New Roman"/>
          <w:color w:val="000000"/>
          <w:sz w:val="26"/>
          <w:szCs w:val="26"/>
        </w:rPr>
        <w:t>a (</w:t>
      </w:r>
      <w:r w:rsidR="002C1B62" w:rsidRPr="004F31CA">
        <w:rPr>
          <w:rFonts w:ascii="Times New Roman" w:eastAsia="Times New Roman" w:hAnsi="Times New Roman"/>
          <w:color w:val="000000"/>
          <w:sz w:val="26"/>
          <w:szCs w:val="26"/>
        </w:rPr>
        <w:t>CONFIDENTIAL</w:t>
      </w:r>
      <w:r w:rsidR="002C1B62">
        <w:rPr>
          <w:rFonts w:ascii="Times New Roman" w:eastAsia="Times New Roman" w:hAnsi="Times New Roman"/>
          <w:color w:val="000000"/>
          <w:sz w:val="26"/>
          <w:szCs w:val="26"/>
        </w:rPr>
        <w:t xml:space="preserve">) at 1; </w:t>
      </w:r>
      <w:r w:rsidR="00831535">
        <w:rPr>
          <w:rFonts w:ascii="Times New Roman" w:eastAsia="Times New Roman" w:hAnsi="Times New Roman"/>
          <w:color w:val="000000"/>
          <w:sz w:val="26"/>
          <w:szCs w:val="26"/>
        </w:rPr>
        <w:t>PAWC St. 1 a</w:t>
      </w:r>
      <w:r w:rsidR="00B7748A" w:rsidRPr="00C279CF">
        <w:rPr>
          <w:rFonts w:ascii="Times New Roman" w:eastAsia="Times New Roman" w:hAnsi="Times New Roman"/>
          <w:color w:val="000000"/>
          <w:sz w:val="26"/>
          <w:szCs w:val="26"/>
        </w:rPr>
        <w:t>t 14; PAWC S</w:t>
      </w:r>
      <w:r w:rsidR="00C279CF" w:rsidRPr="00C279CF">
        <w:rPr>
          <w:rFonts w:ascii="Times New Roman" w:eastAsia="Times New Roman" w:hAnsi="Times New Roman"/>
          <w:color w:val="000000"/>
          <w:sz w:val="26"/>
          <w:szCs w:val="26"/>
        </w:rPr>
        <w:t>t. 2 at 3.</w:t>
      </w:r>
      <w:r w:rsidR="00121444">
        <w:rPr>
          <w:rStyle w:val="FootnoteReference"/>
          <w:rFonts w:ascii="Times New Roman" w:eastAsia="Times New Roman" w:hAnsi="Times New Roman"/>
          <w:color w:val="000000"/>
          <w:sz w:val="26"/>
          <w:szCs w:val="26"/>
        </w:rPr>
        <w:footnoteReference w:id="5"/>
      </w:r>
      <w:r w:rsidR="00C279CF" w:rsidRPr="00C279CF">
        <w:rPr>
          <w:rFonts w:ascii="Times New Roman" w:eastAsia="Times New Roman" w:hAnsi="Times New Roman"/>
          <w:color w:val="000000"/>
          <w:sz w:val="26"/>
          <w:szCs w:val="26"/>
        </w:rPr>
        <w:t xml:space="preserve">  </w:t>
      </w:r>
    </w:p>
    <w:p w14:paraId="78B827EC" w14:textId="77777777" w:rsidR="009660B3" w:rsidRDefault="009660B3" w:rsidP="00174E3E">
      <w:pPr>
        <w:spacing w:line="360" w:lineRule="auto"/>
        <w:textAlignment w:val="baseline"/>
        <w:rPr>
          <w:rFonts w:ascii="Times New Roman" w:eastAsia="Times New Roman" w:hAnsi="Times New Roman" w:cs="Times New Roman"/>
          <w:color w:val="000000"/>
          <w:sz w:val="26"/>
          <w:szCs w:val="26"/>
        </w:rPr>
      </w:pPr>
    </w:p>
    <w:p w14:paraId="0A8BD046" w14:textId="106A2CD1" w:rsidR="006F1B23" w:rsidRDefault="00174E3E" w:rsidP="006F1B23">
      <w:pPr>
        <w:spacing w:line="360" w:lineRule="auto"/>
        <w:textAlignment w:val="baseline"/>
        <w:rPr>
          <w:rFonts w:ascii="Times New Roman" w:eastAsia="Times New Roman" w:hAnsi="Times New Roman" w:cs="Times New Roman"/>
          <w:color w:val="000000"/>
          <w:sz w:val="26"/>
          <w:szCs w:val="26"/>
        </w:rPr>
      </w:pPr>
      <w:r w:rsidRPr="00174E3E">
        <w:rPr>
          <w:rFonts w:ascii="Times New Roman" w:eastAsia="Times New Roman" w:hAnsi="Times New Roman" w:cs="Times New Roman"/>
          <w:color w:val="000000"/>
          <w:sz w:val="26"/>
          <w:szCs w:val="26"/>
        </w:rPr>
        <w:tab/>
      </w:r>
      <w:r w:rsidRPr="00174E3E">
        <w:rPr>
          <w:rFonts w:ascii="Times New Roman" w:eastAsia="Times New Roman" w:hAnsi="Times New Roman" w:cs="Times New Roman"/>
          <w:color w:val="000000"/>
          <w:sz w:val="26"/>
          <w:szCs w:val="26"/>
        </w:rPr>
        <w:tab/>
      </w:r>
      <w:r w:rsidR="00DF4560">
        <w:rPr>
          <w:rFonts w:ascii="Times New Roman" w:eastAsia="Times New Roman" w:hAnsi="Times New Roman" w:cs="Times New Roman"/>
          <w:color w:val="000000"/>
          <w:sz w:val="26"/>
          <w:szCs w:val="26"/>
        </w:rPr>
        <w:t>On December</w:t>
      </w:r>
      <w:r w:rsidR="005959A3">
        <w:rPr>
          <w:rFonts w:ascii="Times New Roman" w:eastAsia="Times New Roman" w:hAnsi="Times New Roman" w:cs="Times New Roman"/>
          <w:color w:val="000000"/>
          <w:sz w:val="26"/>
          <w:szCs w:val="26"/>
        </w:rPr>
        <w:t xml:space="preserve"> </w:t>
      </w:r>
      <w:r w:rsidR="00DF4560">
        <w:rPr>
          <w:rFonts w:ascii="Times New Roman" w:eastAsia="Times New Roman" w:hAnsi="Times New Roman" w:cs="Times New Roman"/>
          <w:color w:val="000000"/>
          <w:sz w:val="26"/>
          <w:szCs w:val="26"/>
        </w:rPr>
        <w:t xml:space="preserve">10, </w:t>
      </w:r>
      <w:r w:rsidR="000A2998">
        <w:rPr>
          <w:rFonts w:ascii="Times New Roman" w:eastAsia="Times New Roman" w:hAnsi="Times New Roman" w:cs="Times New Roman"/>
          <w:color w:val="000000"/>
          <w:sz w:val="26"/>
          <w:szCs w:val="26"/>
        </w:rPr>
        <w:t xml:space="preserve">2019, </w:t>
      </w:r>
      <w:r w:rsidR="005959A3">
        <w:rPr>
          <w:rFonts w:ascii="Times New Roman" w:eastAsia="Times New Roman" w:hAnsi="Times New Roman" w:cs="Times New Roman"/>
          <w:color w:val="000000"/>
          <w:sz w:val="26"/>
          <w:szCs w:val="26"/>
        </w:rPr>
        <w:t xml:space="preserve">PAWC and Royersford </w:t>
      </w:r>
      <w:r w:rsidR="00A176E4">
        <w:rPr>
          <w:rFonts w:ascii="Times New Roman" w:eastAsia="Times New Roman" w:hAnsi="Times New Roman" w:cs="Times New Roman"/>
          <w:color w:val="000000"/>
          <w:sz w:val="26"/>
          <w:szCs w:val="26"/>
        </w:rPr>
        <w:t>entered into an APA for the sale of substantially all of the assets, properties</w:t>
      </w:r>
      <w:r w:rsidR="00804F70">
        <w:rPr>
          <w:rFonts w:ascii="Times New Roman" w:eastAsia="Times New Roman" w:hAnsi="Times New Roman" w:cs="Times New Roman"/>
          <w:color w:val="000000"/>
          <w:sz w:val="26"/>
          <w:szCs w:val="26"/>
        </w:rPr>
        <w:t>,</w:t>
      </w:r>
      <w:r w:rsidR="00A176E4">
        <w:rPr>
          <w:rFonts w:ascii="Times New Roman" w:eastAsia="Times New Roman" w:hAnsi="Times New Roman" w:cs="Times New Roman"/>
          <w:color w:val="000000"/>
          <w:sz w:val="26"/>
          <w:szCs w:val="26"/>
        </w:rPr>
        <w:t xml:space="preserve"> and rights of the </w:t>
      </w:r>
      <w:r w:rsidR="00804F70">
        <w:rPr>
          <w:rFonts w:ascii="Times New Roman" w:eastAsia="Times New Roman" w:hAnsi="Times New Roman" w:cs="Times New Roman"/>
          <w:color w:val="000000"/>
          <w:sz w:val="26"/>
          <w:szCs w:val="26"/>
        </w:rPr>
        <w:t>S</w:t>
      </w:r>
      <w:r w:rsidR="00A176E4">
        <w:rPr>
          <w:rFonts w:ascii="Times New Roman" w:eastAsia="Times New Roman" w:hAnsi="Times New Roman" w:cs="Times New Roman"/>
          <w:color w:val="000000"/>
          <w:sz w:val="26"/>
          <w:szCs w:val="26"/>
        </w:rPr>
        <w:t xml:space="preserve">ystem.  </w:t>
      </w:r>
      <w:r w:rsidR="00D703A7">
        <w:rPr>
          <w:rFonts w:ascii="Times New Roman" w:eastAsia="Times New Roman" w:hAnsi="Times New Roman" w:cs="Times New Roman"/>
          <w:color w:val="000000"/>
          <w:sz w:val="26"/>
          <w:szCs w:val="26"/>
        </w:rPr>
        <w:t>The APA provided for a purchase price of $13,000,000</w:t>
      </w:r>
      <w:r w:rsidR="008E3476">
        <w:rPr>
          <w:rFonts w:ascii="Times New Roman" w:eastAsia="Times New Roman" w:hAnsi="Times New Roman" w:cs="Times New Roman"/>
          <w:color w:val="000000"/>
          <w:sz w:val="26"/>
          <w:szCs w:val="26"/>
        </w:rPr>
        <w:t xml:space="preserve"> and the use of the fair market valuation process of Section 1329 of the Code.  On October 27, 2020, </w:t>
      </w:r>
      <w:r w:rsidR="00C63AEA">
        <w:rPr>
          <w:rFonts w:ascii="Times New Roman" w:eastAsia="Times New Roman" w:hAnsi="Times New Roman" w:cs="Times New Roman"/>
          <w:color w:val="000000"/>
          <w:sz w:val="26"/>
          <w:szCs w:val="26"/>
        </w:rPr>
        <w:t xml:space="preserve">PAWC and Royersford entered into the First Amendment to the Asset Purchase Agreement (First Amendment).  PAWC </w:t>
      </w:r>
      <w:proofErr w:type="spellStart"/>
      <w:r w:rsidR="00C63AEA">
        <w:rPr>
          <w:rFonts w:ascii="Times New Roman" w:eastAsia="Times New Roman" w:hAnsi="Times New Roman" w:cs="Times New Roman"/>
          <w:color w:val="000000"/>
          <w:sz w:val="26"/>
          <w:szCs w:val="26"/>
        </w:rPr>
        <w:t>Ex</w:t>
      </w:r>
      <w:r w:rsidR="001D25BE">
        <w:rPr>
          <w:rFonts w:ascii="Times New Roman" w:eastAsia="Times New Roman" w:hAnsi="Times New Roman" w:cs="Times New Roman"/>
          <w:color w:val="000000"/>
          <w:sz w:val="26"/>
          <w:szCs w:val="26"/>
        </w:rPr>
        <w:t>h</w:t>
      </w:r>
      <w:proofErr w:type="spellEnd"/>
      <w:r w:rsidR="00C63AEA">
        <w:rPr>
          <w:rFonts w:ascii="Times New Roman" w:eastAsia="Times New Roman" w:hAnsi="Times New Roman" w:cs="Times New Roman"/>
          <w:color w:val="000000"/>
          <w:sz w:val="26"/>
          <w:szCs w:val="26"/>
        </w:rPr>
        <w:t xml:space="preserve">. MS-1, App. </w:t>
      </w:r>
      <w:r w:rsidR="007A4A52">
        <w:rPr>
          <w:rFonts w:ascii="Times New Roman" w:eastAsia="Times New Roman" w:hAnsi="Times New Roman" w:cs="Times New Roman"/>
          <w:color w:val="000000"/>
          <w:sz w:val="26"/>
          <w:szCs w:val="26"/>
        </w:rPr>
        <w:t xml:space="preserve">A-24-a-1 (CONFIDENTIAL).  </w:t>
      </w:r>
      <w:r w:rsidR="008337F3">
        <w:rPr>
          <w:rFonts w:ascii="Times New Roman" w:eastAsia="Times New Roman" w:hAnsi="Times New Roman" w:cs="Times New Roman"/>
          <w:color w:val="000000"/>
          <w:sz w:val="26"/>
          <w:szCs w:val="26"/>
        </w:rPr>
        <w:t>As required by Section 1329</w:t>
      </w:r>
      <w:r w:rsidR="00BF74EE">
        <w:rPr>
          <w:rFonts w:ascii="Times New Roman" w:eastAsia="Times New Roman" w:hAnsi="Times New Roman" w:cs="Times New Roman"/>
          <w:color w:val="000000"/>
          <w:sz w:val="26"/>
          <w:szCs w:val="26"/>
        </w:rPr>
        <w:t xml:space="preserve">, PAWC and Royersford jointly retained the services of </w:t>
      </w:r>
      <w:proofErr w:type="spellStart"/>
      <w:r w:rsidR="00BF74EE">
        <w:rPr>
          <w:rFonts w:ascii="Times New Roman" w:eastAsia="Times New Roman" w:hAnsi="Times New Roman" w:cs="Times New Roman"/>
          <w:color w:val="000000"/>
          <w:sz w:val="26"/>
          <w:szCs w:val="26"/>
        </w:rPr>
        <w:t>Pennoni</w:t>
      </w:r>
      <w:proofErr w:type="spellEnd"/>
      <w:r w:rsidR="00BF74EE">
        <w:rPr>
          <w:rFonts w:ascii="Times New Roman" w:eastAsia="Times New Roman" w:hAnsi="Times New Roman" w:cs="Times New Roman"/>
          <w:color w:val="000000"/>
          <w:sz w:val="26"/>
          <w:szCs w:val="26"/>
        </w:rPr>
        <w:t xml:space="preserve"> Associates, Inc., to comp</w:t>
      </w:r>
      <w:r w:rsidR="00D67CF6">
        <w:rPr>
          <w:rFonts w:ascii="Times New Roman" w:eastAsia="Times New Roman" w:hAnsi="Times New Roman" w:cs="Times New Roman"/>
          <w:color w:val="000000"/>
          <w:sz w:val="26"/>
          <w:szCs w:val="26"/>
        </w:rPr>
        <w:t>lete the engineering assessment and original cost o</w:t>
      </w:r>
      <w:r w:rsidR="00A349B5">
        <w:rPr>
          <w:rFonts w:ascii="Times New Roman" w:eastAsia="Times New Roman" w:hAnsi="Times New Roman" w:cs="Times New Roman"/>
          <w:color w:val="000000"/>
          <w:sz w:val="26"/>
          <w:szCs w:val="26"/>
        </w:rPr>
        <w:t xml:space="preserve">f the System.  </w:t>
      </w:r>
      <w:r w:rsidR="00C76C96">
        <w:rPr>
          <w:rFonts w:ascii="Times New Roman" w:eastAsia="Times New Roman" w:hAnsi="Times New Roman" w:cs="Times New Roman"/>
          <w:color w:val="000000"/>
          <w:sz w:val="26"/>
          <w:szCs w:val="26"/>
        </w:rPr>
        <w:t>PAWC</w:t>
      </w:r>
      <w:r w:rsidR="00DE4017">
        <w:rPr>
          <w:rFonts w:ascii="Times New Roman" w:eastAsia="Times New Roman" w:hAnsi="Times New Roman" w:cs="Times New Roman"/>
          <w:color w:val="000000"/>
          <w:sz w:val="26"/>
          <w:szCs w:val="26"/>
        </w:rPr>
        <w:t xml:space="preserve"> selected A</w:t>
      </w:r>
      <w:r w:rsidR="002F25BF">
        <w:rPr>
          <w:rFonts w:ascii="Times New Roman" w:eastAsia="Times New Roman" w:hAnsi="Times New Roman" w:cs="Times New Roman"/>
          <w:color w:val="000000"/>
          <w:sz w:val="26"/>
          <w:szCs w:val="26"/>
        </w:rPr>
        <w:t>US Consultants, Inc.</w:t>
      </w:r>
      <w:r w:rsidR="00895760">
        <w:rPr>
          <w:rFonts w:ascii="Times New Roman" w:eastAsia="Times New Roman" w:hAnsi="Times New Roman" w:cs="Times New Roman"/>
          <w:color w:val="000000"/>
          <w:sz w:val="26"/>
          <w:szCs w:val="26"/>
        </w:rPr>
        <w:t xml:space="preserve"> (AUS)</w:t>
      </w:r>
      <w:r w:rsidR="002F25BF">
        <w:rPr>
          <w:rFonts w:ascii="Times New Roman" w:eastAsia="Times New Roman" w:hAnsi="Times New Roman" w:cs="Times New Roman"/>
          <w:color w:val="000000"/>
          <w:sz w:val="26"/>
          <w:szCs w:val="26"/>
        </w:rPr>
        <w:t>, and Royersford</w:t>
      </w:r>
      <w:r w:rsidR="00DE4017">
        <w:rPr>
          <w:rFonts w:ascii="Times New Roman" w:eastAsia="Times New Roman" w:hAnsi="Times New Roman" w:cs="Times New Roman"/>
          <w:color w:val="000000"/>
          <w:sz w:val="26"/>
          <w:szCs w:val="26"/>
        </w:rPr>
        <w:t xml:space="preserve"> selected </w:t>
      </w:r>
      <w:r w:rsidR="00895760">
        <w:rPr>
          <w:rFonts w:ascii="Times New Roman" w:eastAsia="Times New Roman" w:hAnsi="Times New Roman" w:cs="Times New Roman"/>
          <w:color w:val="000000"/>
          <w:sz w:val="26"/>
          <w:szCs w:val="26"/>
        </w:rPr>
        <w:t>Gannett Fleming Valuation and Rate Consultants, LLC (Gannett Fleming)</w:t>
      </w:r>
      <w:r w:rsidR="00905DC8">
        <w:rPr>
          <w:rFonts w:ascii="Times New Roman" w:eastAsia="Times New Roman" w:hAnsi="Times New Roman" w:cs="Times New Roman"/>
          <w:color w:val="000000"/>
          <w:sz w:val="26"/>
          <w:szCs w:val="26"/>
        </w:rPr>
        <w:t>,</w:t>
      </w:r>
      <w:r w:rsidR="00DE4017" w:rsidRPr="00DE4017">
        <w:rPr>
          <w:rFonts w:ascii="Times New Roman" w:eastAsia="Times New Roman" w:hAnsi="Times New Roman" w:cs="Times New Roman"/>
          <w:color w:val="000000"/>
          <w:sz w:val="26"/>
          <w:szCs w:val="26"/>
        </w:rPr>
        <w:t xml:space="preserve"> </w:t>
      </w:r>
      <w:r w:rsidR="00DE4017" w:rsidRPr="00174E3E">
        <w:rPr>
          <w:rFonts w:ascii="Times New Roman" w:eastAsia="Times New Roman" w:hAnsi="Times New Roman" w:cs="Times New Roman"/>
          <w:color w:val="000000"/>
          <w:sz w:val="26"/>
          <w:szCs w:val="26"/>
        </w:rPr>
        <w:t>as their respective UVEs to prepare fair market value appraisals of the</w:t>
      </w:r>
      <w:r w:rsidR="00DE4017">
        <w:rPr>
          <w:rFonts w:ascii="Times New Roman" w:eastAsia="Times New Roman" w:hAnsi="Times New Roman" w:cs="Times New Roman"/>
          <w:color w:val="000000"/>
          <w:sz w:val="26"/>
          <w:szCs w:val="26"/>
        </w:rPr>
        <w:t xml:space="preserve"> System</w:t>
      </w:r>
      <w:r w:rsidR="00895760">
        <w:rPr>
          <w:rFonts w:ascii="Times New Roman" w:eastAsia="Times New Roman" w:hAnsi="Times New Roman" w:cs="Times New Roman"/>
          <w:color w:val="000000"/>
          <w:sz w:val="26"/>
          <w:szCs w:val="26"/>
        </w:rPr>
        <w:t xml:space="preserve">.  </w:t>
      </w:r>
      <w:r w:rsidR="00956390">
        <w:rPr>
          <w:rFonts w:ascii="Times New Roman" w:eastAsia="Times New Roman" w:hAnsi="Times New Roman" w:cs="Times New Roman"/>
          <w:color w:val="000000"/>
          <w:sz w:val="26"/>
          <w:szCs w:val="26"/>
        </w:rPr>
        <w:t>AUS’s fair market value report concluded that the value of the System was $13,769,801</w:t>
      </w:r>
      <w:r w:rsidR="00AE439A">
        <w:rPr>
          <w:rFonts w:ascii="Times New Roman" w:eastAsia="Times New Roman" w:hAnsi="Times New Roman" w:cs="Times New Roman"/>
          <w:color w:val="000000"/>
          <w:sz w:val="26"/>
          <w:szCs w:val="26"/>
        </w:rPr>
        <w:t>; Gannett Fleming’s fa</w:t>
      </w:r>
      <w:r w:rsidR="00943A77">
        <w:rPr>
          <w:rFonts w:ascii="Times New Roman" w:eastAsia="Times New Roman" w:hAnsi="Times New Roman" w:cs="Times New Roman"/>
          <w:color w:val="000000"/>
          <w:sz w:val="26"/>
          <w:szCs w:val="26"/>
        </w:rPr>
        <w:t xml:space="preserve">ir market value was approximately $13,219,000.  </w:t>
      </w:r>
      <w:r w:rsidRPr="00174E3E">
        <w:rPr>
          <w:rFonts w:ascii="Times New Roman" w:eastAsia="Times New Roman" w:hAnsi="Times New Roman" w:cs="Times New Roman"/>
          <w:color w:val="000000"/>
          <w:sz w:val="26"/>
          <w:szCs w:val="26"/>
        </w:rPr>
        <w:t xml:space="preserve">Both appraisals were prepared using the USPAP employing the cost, income, and market approaches to value.  </w:t>
      </w:r>
      <w:r w:rsidR="006F1B23" w:rsidRPr="00174E3E">
        <w:rPr>
          <w:rFonts w:ascii="Times New Roman" w:eastAsia="Times New Roman" w:hAnsi="Times New Roman" w:cs="Times New Roman"/>
          <w:color w:val="000000"/>
          <w:sz w:val="26"/>
          <w:szCs w:val="26"/>
        </w:rPr>
        <w:t xml:space="preserve">PAWC St. </w:t>
      </w:r>
      <w:r w:rsidR="006F1B23">
        <w:rPr>
          <w:rFonts w:ascii="Times New Roman" w:eastAsia="Times New Roman" w:hAnsi="Times New Roman" w:cs="Times New Roman"/>
          <w:color w:val="000000"/>
          <w:sz w:val="26"/>
          <w:szCs w:val="26"/>
        </w:rPr>
        <w:t xml:space="preserve">4 </w:t>
      </w:r>
      <w:r w:rsidR="006F1B23" w:rsidRPr="00174E3E">
        <w:rPr>
          <w:rFonts w:ascii="Times New Roman" w:eastAsia="Times New Roman" w:hAnsi="Times New Roman" w:cs="Times New Roman"/>
          <w:color w:val="000000"/>
          <w:sz w:val="26"/>
          <w:szCs w:val="26"/>
        </w:rPr>
        <w:t xml:space="preserve">at </w:t>
      </w:r>
      <w:r w:rsidR="006F1B23">
        <w:rPr>
          <w:rFonts w:ascii="Times New Roman" w:eastAsia="Times New Roman" w:hAnsi="Times New Roman" w:cs="Times New Roman"/>
          <w:color w:val="000000"/>
          <w:sz w:val="26"/>
          <w:szCs w:val="26"/>
        </w:rPr>
        <w:t>1-3</w:t>
      </w:r>
      <w:r w:rsidR="006F1B23" w:rsidRPr="00174E3E">
        <w:rPr>
          <w:rFonts w:ascii="Times New Roman" w:eastAsia="Times New Roman" w:hAnsi="Times New Roman" w:cs="Times New Roman"/>
          <w:color w:val="000000"/>
          <w:sz w:val="26"/>
          <w:szCs w:val="26"/>
        </w:rPr>
        <w:t xml:space="preserve">; </w:t>
      </w:r>
      <w:r w:rsidR="006F1B23">
        <w:rPr>
          <w:rFonts w:ascii="Times New Roman" w:eastAsia="Times New Roman" w:hAnsi="Times New Roman" w:cs="Times New Roman"/>
          <w:color w:val="000000"/>
          <w:sz w:val="26"/>
          <w:szCs w:val="26"/>
        </w:rPr>
        <w:t>Royersford</w:t>
      </w:r>
      <w:r w:rsidR="006F1B23" w:rsidRPr="00174E3E">
        <w:rPr>
          <w:rFonts w:ascii="Times New Roman" w:eastAsia="Times New Roman" w:hAnsi="Times New Roman" w:cs="Times New Roman"/>
          <w:color w:val="000000"/>
          <w:sz w:val="26"/>
          <w:szCs w:val="26"/>
        </w:rPr>
        <w:t xml:space="preserve"> St. </w:t>
      </w:r>
      <w:r w:rsidR="006F1B23">
        <w:rPr>
          <w:rFonts w:ascii="Times New Roman" w:eastAsia="Times New Roman" w:hAnsi="Times New Roman" w:cs="Times New Roman"/>
          <w:color w:val="000000"/>
          <w:sz w:val="26"/>
          <w:szCs w:val="26"/>
        </w:rPr>
        <w:t>2 at 3-</w:t>
      </w:r>
      <w:r w:rsidR="006F1B23" w:rsidRPr="00174E3E">
        <w:rPr>
          <w:rFonts w:ascii="Times New Roman" w:eastAsia="Times New Roman" w:hAnsi="Times New Roman" w:cs="Times New Roman"/>
          <w:color w:val="000000"/>
          <w:sz w:val="26"/>
          <w:szCs w:val="26"/>
        </w:rPr>
        <w:t>4</w:t>
      </w:r>
      <w:r w:rsidR="006F1B23">
        <w:rPr>
          <w:rFonts w:ascii="Times New Roman" w:eastAsia="Times New Roman" w:hAnsi="Times New Roman" w:cs="Times New Roman"/>
          <w:color w:val="000000"/>
          <w:sz w:val="26"/>
          <w:szCs w:val="26"/>
        </w:rPr>
        <w:t>, 13</w:t>
      </w:r>
      <w:r w:rsidR="006F1B23" w:rsidRPr="00174E3E">
        <w:rPr>
          <w:rFonts w:ascii="Times New Roman" w:eastAsia="Times New Roman" w:hAnsi="Times New Roman" w:cs="Times New Roman"/>
          <w:color w:val="000000"/>
          <w:sz w:val="26"/>
          <w:szCs w:val="26"/>
        </w:rPr>
        <w:t>.</w:t>
      </w:r>
    </w:p>
    <w:p w14:paraId="56513A66" w14:textId="77777777" w:rsidR="00925D72" w:rsidRDefault="00925D72" w:rsidP="006F1B23">
      <w:pPr>
        <w:spacing w:line="360" w:lineRule="auto"/>
        <w:textAlignment w:val="baseline"/>
        <w:rPr>
          <w:rFonts w:ascii="Times New Roman" w:eastAsia="Times New Roman" w:hAnsi="Times New Roman" w:cs="Times New Roman"/>
          <w:color w:val="000000"/>
          <w:sz w:val="26"/>
          <w:szCs w:val="26"/>
        </w:rPr>
      </w:pPr>
    </w:p>
    <w:p w14:paraId="42904007" w14:textId="433E2A30" w:rsidR="006F1B23" w:rsidRPr="00174E3E" w:rsidRDefault="00AE39F2" w:rsidP="006F1B23">
      <w:pPr>
        <w:spacing w:line="360" w:lineRule="auto"/>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In its A</w:t>
      </w:r>
      <w:r w:rsidR="009F620E">
        <w:rPr>
          <w:rFonts w:ascii="Times New Roman" w:eastAsia="Times New Roman" w:hAnsi="Times New Roman" w:cs="Times New Roman"/>
          <w:color w:val="000000"/>
          <w:sz w:val="26"/>
          <w:szCs w:val="26"/>
        </w:rPr>
        <w:t xml:space="preserve">pplication, PAWC proposes a ratemaking rate base of $13,000,000 based on the agreed-to purchase price of </w:t>
      </w:r>
      <w:r w:rsidR="00B877EA">
        <w:rPr>
          <w:rFonts w:ascii="Times New Roman" w:eastAsia="Times New Roman" w:hAnsi="Times New Roman" w:cs="Times New Roman"/>
          <w:color w:val="000000"/>
          <w:sz w:val="26"/>
          <w:szCs w:val="26"/>
        </w:rPr>
        <w:t>$13,000,000.  This amount is less than the average of the two UVE appraisals (</w:t>
      </w:r>
      <w:r w:rsidR="00027FE5">
        <w:rPr>
          <w:rFonts w:ascii="Times New Roman" w:eastAsia="Times New Roman" w:hAnsi="Times New Roman" w:cs="Times New Roman"/>
          <w:color w:val="000000"/>
          <w:sz w:val="26"/>
          <w:szCs w:val="26"/>
        </w:rPr>
        <w:t>(</w:t>
      </w:r>
      <w:r w:rsidR="00B877EA">
        <w:rPr>
          <w:rFonts w:ascii="Times New Roman" w:eastAsia="Times New Roman" w:hAnsi="Times New Roman" w:cs="Times New Roman"/>
          <w:color w:val="000000"/>
          <w:sz w:val="26"/>
          <w:szCs w:val="26"/>
        </w:rPr>
        <w:t>$13,</w:t>
      </w:r>
      <w:r w:rsidR="00027FE5">
        <w:rPr>
          <w:rFonts w:ascii="Times New Roman" w:eastAsia="Times New Roman" w:hAnsi="Times New Roman" w:cs="Times New Roman"/>
          <w:color w:val="000000"/>
          <w:sz w:val="26"/>
          <w:szCs w:val="26"/>
        </w:rPr>
        <w:t>769,801 + $13,219,000</w:t>
      </w:r>
      <w:r w:rsidR="00DA2EF8">
        <w:rPr>
          <w:rFonts w:ascii="Times New Roman" w:eastAsia="Times New Roman" w:hAnsi="Times New Roman" w:cs="Times New Roman"/>
          <w:color w:val="000000"/>
          <w:sz w:val="26"/>
          <w:szCs w:val="26"/>
        </w:rPr>
        <w:t>)/2 = $13,494,401</w:t>
      </w:r>
      <w:r w:rsidR="007D71F1">
        <w:rPr>
          <w:rFonts w:ascii="Times New Roman" w:eastAsia="Times New Roman" w:hAnsi="Times New Roman" w:cs="Times New Roman"/>
          <w:color w:val="000000"/>
          <w:sz w:val="26"/>
          <w:szCs w:val="26"/>
        </w:rPr>
        <w:t xml:space="preserve">).  PAWC St. 3 at 6.  </w:t>
      </w:r>
    </w:p>
    <w:p w14:paraId="3DA63966" w14:textId="72200AF8" w:rsidR="00174E3E" w:rsidRPr="00174E3E" w:rsidRDefault="00174E3E" w:rsidP="00174E3E">
      <w:pPr>
        <w:spacing w:line="360" w:lineRule="auto"/>
        <w:textAlignment w:val="baseline"/>
        <w:rPr>
          <w:rFonts w:ascii="Times New Roman" w:eastAsia="Times New Roman" w:hAnsi="Times New Roman" w:cs="Times New Roman"/>
          <w:color w:val="000000"/>
          <w:sz w:val="26"/>
          <w:szCs w:val="26"/>
        </w:rPr>
      </w:pPr>
    </w:p>
    <w:p w14:paraId="24C477F0" w14:textId="54461602" w:rsidR="00765365" w:rsidRPr="006A749D" w:rsidRDefault="00881BF1" w:rsidP="000F4B9B">
      <w:pPr>
        <w:spacing w:line="360" w:lineRule="auto"/>
        <w:ind w:firstLine="144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The OCA </w:t>
      </w:r>
      <w:r w:rsidR="00375BC3">
        <w:rPr>
          <w:rFonts w:ascii="Times New Roman" w:eastAsia="Times New Roman" w:hAnsi="Times New Roman" w:cs="Times New Roman"/>
          <w:color w:val="000000"/>
          <w:sz w:val="26"/>
          <w:szCs w:val="26"/>
        </w:rPr>
        <w:t>challenged</w:t>
      </w:r>
      <w:r w:rsidR="00FF4407">
        <w:rPr>
          <w:rFonts w:ascii="Times New Roman" w:eastAsia="Times New Roman" w:hAnsi="Times New Roman" w:cs="Times New Roman"/>
          <w:color w:val="000000"/>
          <w:sz w:val="26"/>
          <w:szCs w:val="26"/>
        </w:rPr>
        <w:t xml:space="preserve"> </w:t>
      </w:r>
      <w:r w:rsidR="00375BC3">
        <w:rPr>
          <w:rFonts w:ascii="Times New Roman" w:eastAsia="Times New Roman" w:hAnsi="Times New Roman" w:cs="Times New Roman"/>
          <w:color w:val="000000"/>
          <w:sz w:val="26"/>
          <w:szCs w:val="26"/>
        </w:rPr>
        <w:t>and proposed adjustments to</w:t>
      </w:r>
      <w:r w:rsidR="00FF4407">
        <w:rPr>
          <w:rFonts w:ascii="Times New Roman" w:eastAsia="Times New Roman" w:hAnsi="Times New Roman" w:cs="Times New Roman"/>
          <w:color w:val="000000"/>
          <w:sz w:val="26"/>
          <w:szCs w:val="26"/>
        </w:rPr>
        <w:t xml:space="preserve"> </w:t>
      </w:r>
      <w:r w:rsidR="00375BC3">
        <w:rPr>
          <w:rFonts w:ascii="Times New Roman" w:eastAsia="Times New Roman" w:hAnsi="Times New Roman" w:cs="Times New Roman"/>
          <w:color w:val="000000"/>
          <w:sz w:val="26"/>
          <w:szCs w:val="26"/>
        </w:rPr>
        <w:t xml:space="preserve">the appraisals of </w:t>
      </w:r>
      <w:r w:rsidR="009F5B12">
        <w:rPr>
          <w:rFonts w:ascii="Times New Roman" w:eastAsia="Times New Roman" w:hAnsi="Times New Roman" w:cs="Times New Roman"/>
          <w:color w:val="000000"/>
          <w:sz w:val="26"/>
          <w:szCs w:val="26"/>
        </w:rPr>
        <w:t xml:space="preserve">AUS and Gannett Fleming.  The OCA’s proposed </w:t>
      </w:r>
      <w:r w:rsidR="00B17BEE">
        <w:rPr>
          <w:rFonts w:ascii="Times New Roman" w:eastAsia="Times New Roman" w:hAnsi="Times New Roman" w:cs="Times New Roman"/>
          <w:color w:val="000000"/>
          <w:sz w:val="26"/>
          <w:szCs w:val="26"/>
        </w:rPr>
        <w:t>adjustments would have reduced the average of the two UVE appraisals to $</w:t>
      </w:r>
      <w:r w:rsidR="00F443FB">
        <w:rPr>
          <w:rFonts w:ascii="Times New Roman" w:eastAsia="Times New Roman" w:hAnsi="Times New Roman" w:cs="Times New Roman"/>
          <w:color w:val="000000"/>
          <w:sz w:val="26"/>
          <w:szCs w:val="26"/>
        </w:rPr>
        <w:t>9,957,330.  OCA St. 1 at 10.</w:t>
      </w:r>
      <w:r w:rsidR="00D71ABF">
        <w:rPr>
          <w:rFonts w:ascii="Times New Roman" w:eastAsia="Times New Roman" w:hAnsi="Times New Roman" w:cs="Times New Roman"/>
          <w:color w:val="000000"/>
          <w:sz w:val="26"/>
          <w:szCs w:val="26"/>
        </w:rPr>
        <w:t xml:space="preserve">  </w:t>
      </w:r>
    </w:p>
    <w:p w14:paraId="1D7DA495" w14:textId="77777777" w:rsidR="007108AB" w:rsidRPr="006A749D" w:rsidRDefault="007108AB" w:rsidP="000F4B9B">
      <w:pPr>
        <w:spacing w:line="360" w:lineRule="auto"/>
        <w:ind w:firstLine="1440"/>
        <w:textAlignment w:val="baseline"/>
        <w:rPr>
          <w:rFonts w:ascii="Times New Roman" w:eastAsia="Times New Roman" w:hAnsi="Times New Roman" w:cs="Times New Roman"/>
          <w:color w:val="000000"/>
          <w:sz w:val="26"/>
          <w:szCs w:val="26"/>
        </w:rPr>
      </w:pPr>
    </w:p>
    <w:p w14:paraId="7E46E03C" w14:textId="1D265F47" w:rsidR="00FD0DB3" w:rsidRDefault="00B42D23" w:rsidP="001340CF">
      <w:pPr>
        <w:pStyle w:val="Heading2"/>
      </w:pPr>
      <w:bookmarkStart w:id="10" w:name="_Toc66196377"/>
      <w:r w:rsidRPr="006A749D">
        <w:t>C.</w:t>
      </w:r>
      <w:r w:rsidRPr="006A749D">
        <w:tab/>
      </w:r>
      <w:bookmarkEnd w:id="10"/>
      <w:r w:rsidR="00F604BA">
        <w:t>Settlement</w:t>
      </w:r>
    </w:p>
    <w:p w14:paraId="6421DF96" w14:textId="028B718F" w:rsidR="00AE5B67" w:rsidRDefault="00AE5B67" w:rsidP="00AE5B67"/>
    <w:p w14:paraId="3A903C4A" w14:textId="1250D6D0" w:rsidR="00AE5B67" w:rsidRPr="00AE5B67" w:rsidRDefault="004E5114" w:rsidP="00AE5B67">
      <w:r>
        <w:tab/>
      </w:r>
      <w:r>
        <w:tab/>
      </w:r>
    </w:p>
    <w:p w14:paraId="0D3962B2" w14:textId="4ED06963" w:rsidR="00B94402" w:rsidRPr="00B94402" w:rsidRDefault="004E5114" w:rsidP="00C34167">
      <w:pPr>
        <w:spacing w:line="360" w:lineRule="auto"/>
        <w:ind w:firstLine="1440"/>
        <w:textAlignment w:val="baseline"/>
        <w:rPr>
          <w:rFonts w:ascii="Times New Roman" w:eastAsia="Times New Roman" w:hAnsi="Times New Roman"/>
          <w:color w:val="000000"/>
          <w:spacing w:val="-1"/>
          <w:sz w:val="26"/>
          <w:szCs w:val="26"/>
        </w:rPr>
      </w:pPr>
      <w:r>
        <w:rPr>
          <w:rFonts w:ascii="Times New Roman" w:hAnsi="Times New Roman" w:cs="Times New Roman"/>
          <w:bCs/>
          <w:sz w:val="26"/>
          <w:szCs w:val="26"/>
        </w:rPr>
        <w:t>As stated above, the P</w:t>
      </w:r>
      <w:r w:rsidR="00E62F9B">
        <w:rPr>
          <w:rFonts w:ascii="Times New Roman" w:hAnsi="Times New Roman" w:cs="Times New Roman"/>
          <w:bCs/>
          <w:sz w:val="26"/>
          <w:szCs w:val="26"/>
        </w:rPr>
        <w:t>arties reached a Settlement in this proceeding</w:t>
      </w:r>
      <w:r w:rsidR="00EA1077">
        <w:rPr>
          <w:rFonts w:ascii="Times New Roman" w:hAnsi="Times New Roman" w:cs="Times New Roman"/>
          <w:bCs/>
          <w:sz w:val="26"/>
          <w:szCs w:val="26"/>
        </w:rPr>
        <w:t>.  I</w:t>
      </w:r>
      <w:r w:rsidR="001B345E">
        <w:rPr>
          <w:rFonts w:ascii="Times New Roman" w:hAnsi="Times New Roman" w:cs="Times New Roman"/>
          <w:bCs/>
          <w:sz w:val="26"/>
          <w:szCs w:val="26"/>
        </w:rPr>
        <w:t>n</w:t>
      </w:r>
      <w:r w:rsidR="00EA1077">
        <w:rPr>
          <w:rFonts w:ascii="Times New Roman" w:hAnsi="Times New Roman" w:cs="Times New Roman"/>
          <w:bCs/>
          <w:sz w:val="26"/>
          <w:szCs w:val="26"/>
        </w:rPr>
        <w:t xml:space="preserve"> the Joint Petition filed by </w:t>
      </w:r>
      <w:r w:rsidR="006E35DA">
        <w:rPr>
          <w:rFonts w:ascii="Times New Roman" w:hAnsi="Times New Roman" w:cs="Times New Roman"/>
          <w:bCs/>
          <w:sz w:val="26"/>
          <w:szCs w:val="26"/>
        </w:rPr>
        <w:t xml:space="preserve">PAWC, I&amp;E, the OCA, the OSBA, and Royersford, </w:t>
      </w:r>
      <w:r w:rsidR="001B345E" w:rsidRPr="004D1D3C">
        <w:rPr>
          <w:rFonts w:ascii="Times New Roman" w:eastAsia="Times New Roman" w:hAnsi="Times New Roman"/>
          <w:color w:val="000000"/>
          <w:spacing w:val="-1"/>
          <w:sz w:val="26"/>
          <w:szCs w:val="26"/>
        </w:rPr>
        <w:t>all of the issues that were the subject of litigation in this proceeding were resolved</w:t>
      </w:r>
      <w:r w:rsidR="001B345E">
        <w:rPr>
          <w:rFonts w:ascii="Times New Roman" w:eastAsia="Times New Roman" w:hAnsi="Times New Roman"/>
          <w:color w:val="000000"/>
          <w:spacing w:val="-1"/>
          <w:sz w:val="26"/>
          <w:szCs w:val="26"/>
        </w:rPr>
        <w:t xml:space="preserve">.  </w:t>
      </w:r>
      <w:r w:rsidR="00B94402" w:rsidRPr="00B94402">
        <w:rPr>
          <w:rFonts w:ascii="Times New Roman" w:eastAsia="Times New Roman" w:hAnsi="Times New Roman"/>
          <w:color w:val="000000"/>
          <w:spacing w:val="-1"/>
          <w:sz w:val="26"/>
          <w:szCs w:val="26"/>
        </w:rPr>
        <w:t xml:space="preserve">The Joint Petition contained proposed Findings of Fact, proposed Conclusions of </w:t>
      </w:r>
      <w:proofErr w:type="gramStart"/>
      <w:r w:rsidR="00B94402" w:rsidRPr="00B94402">
        <w:rPr>
          <w:rFonts w:ascii="Times New Roman" w:eastAsia="Times New Roman" w:hAnsi="Times New Roman"/>
          <w:color w:val="000000"/>
          <w:spacing w:val="-1"/>
          <w:sz w:val="26"/>
          <w:szCs w:val="26"/>
        </w:rPr>
        <w:t>Law</w:t>
      </w:r>
      <w:proofErr w:type="gramEnd"/>
      <w:r w:rsidR="00B94402" w:rsidRPr="00B94402">
        <w:rPr>
          <w:rFonts w:ascii="Times New Roman" w:eastAsia="Times New Roman" w:hAnsi="Times New Roman"/>
          <w:color w:val="000000"/>
          <w:spacing w:val="-1"/>
          <w:sz w:val="26"/>
          <w:szCs w:val="26"/>
        </w:rPr>
        <w:t xml:space="preserve"> and proposed Ordering Paragraphs.  The Joint Petition also referenced any filings needed to complete the Settlement, including (without limitation) the PAWC</w:t>
      </w:r>
      <w:r w:rsidR="00214F4C">
        <w:rPr>
          <w:rFonts w:ascii="Times New Roman" w:eastAsia="Times New Roman" w:hAnsi="Times New Roman"/>
          <w:color w:val="000000"/>
          <w:spacing w:val="-1"/>
          <w:sz w:val="26"/>
          <w:szCs w:val="26"/>
        </w:rPr>
        <w:t>-</w:t>
      </w:r>
      <w:r w:rsidR="00B94402" w:rsidRPr="00B94402">
        <w:rPr>
          <w:rFonts w:ascii="Times New Roman" w:eastAsia="Times New Roman" w:hAnsi="Times New Roman"/>
          <w:color w:val="000000"/>
          <w:spacing w:val="-1"/>
          <w:sz w:val="26"/>
          <w:szCs w:val="26"/>
        </w:rPr>
        <w:t>proposed Tariff which had been appended to PAWC’s Application.</w:t>
      </w:r>
    </w:p>
    <w:p w14:paraId="6D8BF139" w14:textId="77777777" w:rsidR="00B94402" w:rsidRPr="00B94402" w:rsidRDefault="00B94402" w:rsidP="00B94402">
      <w:pPr>
        <w:spacing w:line="360" w:lineRule="auto"/>
        <w:textAlignment w:val="baseline"/>
        <w:rPr>
          <w:rFonts w:ascii="Times New Roman" w:eastAsia="Times New Roman" w:hAnsi="Times New Roman"/>
          <w:color w:val="000000"/>
          <w:spacing w:val="-1"/>
          <w:sz w:val="26"/>
          <w:szCs w:val="26"/>
        </w:rPr>
      </w:pPr>
    </w:p>
    <w:p w14:paraId="2CB1F824" w14:textId="70832786" w:rsidR="00B94402" w:rsidRPr="00B94402" w:rsidRDefault="00B94402" w:rsidP="00E971AC">
      <w:pPr>
        <w:spacing w:line="360" w:lineRule="auto"/>
        <w:ind w:left="720"/>
        <w:textAlignment w:val="baseline"/>
        <w:rPr>
          <w:rFonts w:ascii="Times New Roman" w:eastAsia="Times New Roman" w:hAnsi="Times New Roman"/>
          <w:b/>
          <w:bCs/>
          <w:color w:val="000000"/>
          <w:spacing w:val="-1"/>
          <w:sz w:val="26"/>
          <w:szCs w:val="26"/>
        </w:rPr>
      </w:pPr>
      <w:r w:rsidRPr="00B94402">
        <w:rPr>
          <w:rFonts w:ascii="Times New Roman" w:eastAsia="Times New Roman" w:hAnsi="Times New Roman"/>
          <w:b/>
          <w:bCs/>
          <w:color w:val="000000"/>
          <w:spacing w:val="-1"/>
          <w:sz w:val="26"/>
          <w:szCs w:val="26"/>
        </w:rPr>
        <w:t>1.</w:t>
      </w:r>
      <w:r w:rsidRPr="00B94402">
        <w:rPr>
          <w:rFonts w:ascii="Times New Roman" w:eastAsia="Times New Roman" w:hAnsi="Times New Roman"/>
          <w:b/>
          <w:bCs/>
          <w:color w:val="000000"/>
          <w:spacing w:val="-1"/>
          <w:sz w:val="26"/>
          <w:szCs w:val="26"/>
        </w:rPr>
        <w:tab/>
        <w:t>Terms of the Settlement</w:t>
      </w:r>
    </w:p>
    <w:p w14:paraId="42894E3A" w14:textId="77777777" w:rsidR="00B94402" w:rsidRPr="00B94402" w:rsidRDefault="00B94402" w:rsidP="00B94402">
      <w:pPr>
        <w:spacing w:line="360" w:lineRule="auto"/>
        <w:textAlignment w:val="baseline"/>
        <w:rPr>
          <w:rFonts w:ascii="Times New Roman" w:eastAsia="Times New Roman" w:hAnsi="Times New Roman"/>
          <w:b/>
          <w:bCs/>
          <w:color w:val="000000"/>
          <w:spacing w:val="-1"/>
          <w:sz w:val="26"/>
          <w:szCs w:val="26"/>
        </w:rPr>
      </w:pPr>
    </w:p>
    <w:p w14:paraId="635D810A" w14:textId="77777777" w:rsidR="00D74B67" w:rsidRDefault="0008771C" w:rsidP="000D1333">
      <w:pPr>
        <w:tabs>
          <w:tab w:val="left" w:pos="1440"/>
        </w:tabs>
        <w:spacing w:line="360" w:lineRule="auto"/>
        <w:textAlignment w:val="baseline"/>
        <w:rPr>
          <w:rFonts w:ascii="Times New Roman" w:eastAsia="Times New Roman" w:hAnsi="Times New Roman"/>
          <w:color w:val="000000"/>
          <w:spacing w:val="-1"/>
          <w:sz w:val="26"/>
          <w:szCs w:val="26"/>
        </w:rPr>
      </w:pPr>
      <w:r>
        <w:rPr>
          <w:rFonts w:ascii="Times New Roman" w:eastAsia="Times New Roman" w:hAnsi="Times New Roman"/>
          <w:b/>
          <w:bCs/>
          <w:color w:val="000000"/>
          <w:spacing w:val="-1"/>
          <w:sz w:val="26"/>
          <w:szCs w:val="26"/>
        </w:rPr>
        <w:tab/>
      </w:r>
      <w:r w:rsidR="00B94402" w:rsidRPr="00B94402">
        <w:rPr>
          <w:rFonts w:ascii="Times New Roman" w:eastAsia="Times New Roman" w:hAnsi="Times New Roman"/>
          <w:color w:val="000000"/>
          <w:spacing w:val="-1"/>
          <w:sz w:val="26"/>
          <w:szCs w:val="26"/>
        </w:rPr>
        <w:t xml:space="preserve">The terms of the Settlement are set forth below, as submitted by the Parties in the Joint Petition.  The original paragraph </w:t>
      </w:r>
      <w:r w:rsidR="007D1EB5">
        <w:rPr>
          <w:rFonts w:ascii="Times New Roman" w:eastAsia="Times New Roman" w:hAnsi="Times New Roman"/>
          <w:color w:val="000000"/>
          <w:spacing w:val="-1"/>
          <w:sz w:val="26"/>
          <w:szCs w:val="26"/>
        </w:rPr>
        <w:t>numbers and sub</w:t>
      </w:r>
      <w:r w:rsidR="00B94402" w:rsidRPr="00B94402">
        <w:rPr>
          <w:rFonts w:ascii="Times New Roman" w:eastAsia="Times New Roman" w:hAnsi="Times New Roman"/>
          <w:color w:val="000000"/>
          <w:spacing w:val="-1"/>
          <w:sz w:val="26"/>
          <w:szCs w:val="26"/>
        </w:rPr>
        <w:t xml:space="preserve">headings </w:t>
      </w:r>
      <w:r w:rsidR="007D1EB5">
        <w:rPr>
          <w:rFonts w:ascii="Times New Roman" w:eastAsia="Times New Roman" w:hAnsi="Times New Roman"/>
          <w:color w:val="000000"/>
          <w:spacing w:val="-1"/>
          <w:sz w:val="26"/>
          <w:szCs w:val="26"/>
        </w:rPr>
        <w:t>have been retained.</w:t>
      </w:r>
    </w:p>
    <w:p w14:paraId="21F0C5C5" w14:textId="77777777" w:rsidR="00931D93" w:rsidRPr="00931D93" w:rsidRDefault="00931D93" w:rsidP="00931D93">
      <w:pPr>
        <w:spacing w:line="360" w:lineRule="auto"/>
        <w:ind w:left="14" w:firstLine="1426"/>
        <w:jc w:val="both"/>
        <w:rPr>
          <w:rFonts w:ascii="Times New Roman" w:eastAsia="Times New Roman" w:hAnsi="Times New Roman" w:cs="Times New Roman"/>
          <w:color w:val="000000"/>
          <w:sz w:val="26"/>
          <w:szCs w:val="26"/>
        </w:rPr>
      </w:pPr>
    </w:p>
    <w:p w14:paraId="2CDFEA43" w14:textId="77777777" w:rsidR="00931D93" w:rsidRPr="00931D93" w:rsidRDefault="00931D93" w:rsidP="00931D93">
      <w:pPr>
        <w:keepNext/>
        <w:numPr>
          <w:ilvl w:val="0"/>
          <w:numId w:val="38"/>
        </w:numPr>
        <w:tabs>
          <w:tab w:val="left" w:pos="1530"/>
        </w:tabs>
        <w:spacing w:after="5" w:line="244" w:lineRule="auto"/>
        <w:ind w:right="1440"/>
        <w:rPr>
          <w:rFonts w:ascii="Times New Roman" w:eastAsia="Times New Roman" w:hAnsi="Times New Roman" w:cs="Times New Roman"/>
          <w:b/>
          <w:bCs/>
          <w:color w:val="000000"/>
          <w:sz w:val="26"/>
          <w:szCs w:val="26"/>
        </w:rPr>
      </w:pPr>
      <w:r w:rsidRPr="00931D93">
        <w:rPr>
          <w:rFonts w:ascii="Times New Roman" w:eastAsia="Times New Roman" w:hAnsi="Times New Roman" w:cs="Times New Roman"/>
          <w:b/>
          <w:bCs/>
          <w:color w:val="000000"/>
          <w:sz w:val="26"/>
          <w:szCs w:val="26"/>
        </w:rPr>
        <w:t>Approval of Application</w:t>
      </w:r>
    </w:p>
    <w:p w14:paraId="252AE20F" w14:textId="77777777" w:rsidR="00931D93" w:rsidRPr="00931D93" w:rsidRDefault="00931D93" w:rsidP="00931D93">
      <w:pPr>
        <w:keepNext/>
        <w:tabs>
          <w:tab w:val="left" w:pos="1530"/>
        </w:tabs>
        <w:ind w:left="2190" w:right="1440"/>
        <w:rPr>
          <w:rFonts w:ascii="Times New Roman" w:eastAsia="Times New Roman" w:hAnsi="Times New Roman" w:cs="Times New Roman"/>
          <w:b/>
          <w:bCs/>
          <w:color w:val="000000"/>
          <w:sz w:val="26"/>
          <w:szCs w:val="26"/>
        </w:rPr>
      </w:pPr>
    </w:p>
    <w:p w14:paraId="792F2B7E" w14:textId="77777777" w:rsidR="00931D93" w:rsidRPr="00931D93" w:rsidRDefault="00931D93" w:rsidP="00931D93">
      <w:pPr>
        <w:keepNext/>
        <w:keepLines/>
        <w:ind w:left="1440" w:right="1440" w:firstLine="720"/>
        <w:outlineLvl w:val="0"/>
        <w:rPr>
          <w:rFonts w:ascii="Times New Roman" w:eastAsia="Times New Roman" w:hAnsi="Times New Roman" w:cs="Times New Roman"/>
          <w:color w:val="000000"/>
          <w:sz w:val="26"/>
          <w:szCs w:val="26"/>
          <w:u w:color="000000"/>
        </w:rPr>
      </w:pPr>
      <w:r w:rsidRPr="00931D93">
        <w:rPr>
          <w:rFonts w:ascii="Times New Roman" w:eastAsia="Times New Roman" w:hAnsi="Times New Roman" w:cs="Times New Roman"/>
          <w:color w:val="000000"/>
          <w:sz w:val="26"/>
          <w:szCs w:val="26"/>
          <w:u w:color="000000"/>
        </w:rPr>
        <w:t>20.</w:t>
      </w:r>
      <w:r w:rsidRPr="00931D93">
        <w:rPr>
          <w:rFonts w:ascii="Times New Roman" w:eastAsia="Times New Roman" w:hAnsi="Times New Roman" w:cs="Times New Roman"/>
          <w:color w:val="000000"/>
          <w:sz w:val="26"/>
          <w:szCs w:val="26"/>
          <w:u w:color="000000"/>
        </w:rPr>
        <w:tab/>
        <w:t>The Commission should approve PAWC’s acquisition of Royersford’s wastewater system assets and PAWC’s right to begin to offer, render, furnish, or supply wastewater service in the areas served by Royersford, as well as any other necessary approvals or certificates for the transaction, subject to approval of all the following conditions and without modification.</w:t>
      </w:r>
    </w:p>
    <w:p w14:paraId="21A47D02" w14:textId="77777777" w:rsidR="00931D93" w:rsidRPr="00931D93" w:rsidRDefault="00931D93" w:rsidP="00931D93">
      <w:pPr>
        <w:ind w:left="10" w:hanging="10"/>
        <w:rPr>
          <w:rFonts w:ascii="Times New Roman" w:eastAsia="Times New Roman" w:hAnsi="Times New Roman" w:cs="Times New Roman"/>
          <w:color w:val="000000"/>
          <w:sz w:val="26"/>
          <w:szCs w:val="26"/>
        </w:rPr>
      </w:pPr>
    </w:p>
    <w:p w14:paraId="3E5C6F7F" w14:textId="77777777" w:rsidR="00931D93" w:rsidRPr="00931D93" w:rsidRDefault="00931D93" w:rsidP="00931D93">
      <w:pPr>
        <w:keepNext/>
        <w:numPr>
          <w:ilvl w:val="0"/>
          <w:numId w:val="38"/>
        </w:numPr>
        <w:spacing w:after="5" w:line="244" w:lineRule="auto"/>
        <w:ind w:right="1440"/>
        <w:rPr>
          <w:rFonts w:ascii="Times New Roman" w:eastAsia="Times New Roman" w:hAnsi="Times New Roman" w:cs="Times New Roman"/>
          <w:b/>
          <w:bCs/>
          <w:color w:val="000000"/>
          <w:sz w:val="26"/>
          <w:szCs w:val="26"/>
        </w:rPr>
      </w:pPr>
      <w:r w:rsidRPr="00931D93">
        <w:rPr>
          <w:rFonts w:ascii="Times New Roman" w:eastAsia="Times New Roman" w:hAnsi="Times New Roman" w:cs="Times New Roman"/>
          <w:b/>
          <w:bCs/>
          <w:color w:val="000000"/>
          <w:sz w:val="26"/>
          <w:szCs w:val="26"/>
        </w:rPr>
        <w:lastRenderedPageBreak/>
        <w:t>Tariff</w:t>
      </w:r>
    </w:p>
    <w:p w14:paraId="7B2E36B2" w14:textId="77777777" w:rsidR="00931D93" w:rsidRPr="00931D93" w:rsidRDefault="00931D93" w:rsidP="00931D93">
      <w:pPr>
        <w:keepNext/>
        <w:ind w:left="2190" w:right="1440"/>
        <w:rPr>
          <w:rFonts w:ascii="Times New Roman" w:eastAsia="Times New Roman" w:hAnsi="Times New Roman" w:cs="Times New Roman"/>
          <w:b/>
          <w:bCs/>
          <w:color w:val="000000"/>
          <w:sz w:val="26"/>
          <w:szCs w:val="26"/>
        </w:rPr>
      </w:pPr>
    </w:p>
    <w:p w14:paraId="0563A905" w14:textId="1634D530" w:rsidR="00931D93" w:rsidRPr="0050577C" w:rsidRDefault="00931D93" w:rsidP="00B34958">
      <w:pPr>
        <w:keepNext/>
        <w:keepLines/>
        <w:ind w:left="1440" w:right="1440" w:firstLine="720"/>
        <w:outlineLvl w:val="0"/>
        <w:rPr>
          <w:rFonts w:ascii="Times New Roman" w:eastAsia="Times New Roman" w:hAnsi="Times New Roman" w:cs="Times New Roman"/>
          <w:color w:val="000000"/>
          <w:sz w:val="26"/>
          <w:szCs w:val="26"/>
          <w:u w:color="000000"/>
        </w:rPr>
      </w:pPr>
      <w:r w:rsidRPr="00931D93">
        <w:rPr>
          <w:rFonts w:ascii="Times New Roman" w:eastAsia="Times New Roman" w:hAnsi="Times New Roman" w:cs="Times New Roman"/>
          <w:color w:val="000000"/>
          <w:sz w:val="26"/>
          <w:szCs w:val="26"/>
          <w:u w:color="000000"/>
        </w:rPr>
        <w:t>21.</w:t>
      </w:r>
      <w:r w:rsidRPr="00931D93">
        <w:rPr>
          <w:rFonts w:ascii="Times New Roman" w:eastAsia="Times New Roman" w:hAnsi="Times New Roman" w:cs="Times New Roman"/>
          <w:color w:val="000000"/>
          <w:sz w:val="26"/>
          <w:szCs w:val="26"/>
          <w:u w:color="000000"/>
        </w:rPr>
        <w:tab/>
        <w:t xml:space="preserve">The </w:t>
      </w:r>
      <w:r w:rsidRPr="00931D93">
        <w:rPr>
          <w:rFonts w:ascii="Times New Roman" w:eastAsia="Times New Roman" w:hAnsi="Times New Roman" w:cs="Times New Roman"/>
          <w:i/>
          <w:color w:val="000000"/>
          <w:sz w:val="26"/>
          <w:szCs w:val="26"/>
          <w:u w:color="000000"/>
        </w:rPr>
        <w:t>pro forma</w:t>
      </w:r>
      <w:r w:rsidRPr="00931D93">
        <w:rPr>
          <w:rFonts w:ascii="Times New Roman" w:eastAsia="Times New Roman" w:hAnsi="Times New Roman" w:cs="Times New Roman"/>
          <w:color w:val="000000"/>
          <w:sz w:val="26"/>
          <w:szCs w:val="26"/>
          <w:u w:color="000000"/>
        </w:rPr>
        <w:t xml:space="preserve"> tariff supplement submitted with the Application as Appendix A-12, as further amended by Amended Appendix A-12, including all rates, </w:t>
      </w:r>
      <w:proofErr w:type="gramStart"/>
      <w:r w:rsidRPr="00931D93">
        <w:rPr>
          <w:rFonts w:ascii="Times New Roman" w:eastAsia="Times New Roman" w:hAnsi="Times New Roman" w:cs="Times New Roman"/>
          <w:color w:val="000000"/>
          <w:sz w:val="26"/>
          <w:szCs w:val="26"/>
          <w:u w:color="000000"/>
        </w:rPr>
        <w:t>rules</w:t>
      </w:r>
      <w:proofErr w:type="gramEnd"/>
      <w:r w:rsidRPr="00931D93">
        <w:rPr>
          <w:rFonts w:ascii="Times New Roman" w:eastAsia="Times New Roman" w:hAnsi="Times New Roman" w:cs="Times New Roman"/>
          <w:color w:val="000000"/>
          <w:sz w:val="26"/>
          <w:szCs w:val="26"/>
          <w:u w:color="000000"/>
        </w:rPr>
        <w:t xml:space="preserve"> and regulations regarding conditions of PAWC’s wastewater service, should be permitted to become effective immediately upon closing of the Transaction.</w:t>
      </w:r>
    </w:p>
    <w:p w14:paraId="03E35D25" w14:textId="77777777" w:rsidR="00B34958" w:rsidRPr="00931D93" w:rsidRDefault="00B34958" w:rsidP="00B34958">
      <w:pPr>
        <w:keepNext/>
        <w:keepLines/>
        <w:ind w:left="1440" w:right="1440" w:firstLine="720"/>
        <w:outlineLvl w:val="0"/>
        <w:rPr>
          <w:rFonts w:ascii="Times New Roman" w:eastAsia="Times New Roman" w:hAnsi="Times New Roman" w:cs="Times New Roman"/>
          <w:color w:val="000000"/>
          <w:sz w:val="26"/>
          <w:szCs w:val="26"/>
        </w:rPr>
      </w:pPr>
    </w:p>
    <w:p w14:paraId="5B57E82D" w14:textId="77777777" w:rsidR="00931D93" w:rsidRPr="00931D93" w:rsidRDefault="00931D93" w:rsidP="00687A03">
      <w:pPr>
        <w:numPr>
          <w:ilvl w:val="0"/>
          <w:numId w:val="38"/>
        </w:numPr>
        <w:spacing w:after="5"/>
        <w:ind w:right="1440"/>
        <w:contextualSpacing/>
        <w:rPr>
          <w:rFonts w:ascii="Times New Roman" w:eastAsia="Times New Roman" w:hAnsi="Times New Roman" w:cs="Times New Roman"/>
          <w:b/>
          <w:sz w:val="26"/>
          <w:szCs w:val="26"/>
        </w:rPr>
      </w:pPr>
      <w:r w:rsidRPr="00931D93">
        <w:rPr>
          <w:rFonts w:ascii="Times New Roman" w:eastAsia="Times New Roman" w:hAnsi="Times New Roman" w:cs="Times New Roman"/>
          <w:b/>
          <w:sz w:val="26"/>
          <w:szCs w:val="26"/>
        </w:rPr>
        <w:t>Fair Market Value for Ratemaking Rate Base Purposes</w:t>
      </w:r>
    </w:p>
    <w:p w14:paraId="5672EB80" w14:textId="77777777" w:rsidR="00931D93" w:rsidRPr="00931D93" w:rsidRDefault="00931D93" w:rsidP="00931D93">
      <w:pPr>
        <w:ind w:left="2190" w:right="1440"/>
        <w:contextualSpacing/>
        <w:rPr>
          <w:rFonts w:ascii="Times New Roman" w:eastAsia="Times New Roman" w:hAnsi="Times New Roman" w:cs="Times New Roman"/>
          <w:b/>
          <w:sz w:val="26"/>
          <w:szCs w:val="26"/>
        </w:rPr>
      </w:pPr>
    </w:p>
    <w:p w14:paraId="11C16F96" w14:textId="77777777" w:rsidR="00931D93" w:rsidRPr="00931D93" w:rsidRDefault="00931D93" w:rsidP="00931D93">
      <w:pPr>
        <w:ind w:left="1440" w:right="1440" w:hanging="10"/>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tab/>
      </w:r>
      <w:r w:rsidRPr="00931D93">
        <w:rPr>
          <w:rFonts w:ascii="Times New Roman" w:eastAsia="Times New Roman" w:hAnsi="Times New Roman" w:cs="Times New Roman"/>
          <w:color w:val="000000"/>
          <w:sz w:val="26"/>
          <w:szCs w:val="26"/>
        </w:rPr>
        <w:tab/>
        <w:t>22.</w:t>
      </w:r>
      <w:r w:rsidRPr="00931D93">
        <w:rPr>
          <w:rFonts w:ascii="Times New Roman" w:eastAsia="Times New Roman" w:hAnsi="Times New Roman" w:cs="Times New Roman"/>
          <w:color w:val="000000"/>
          <w:sz w:val="26"/>
          <w:szCs w:val="26"/>
        </w:rPr>
        <w:tab/>
        <w:t>Pursuant to 66 Pa. C.S. § 1329, PAWC should be permitted to use $13,000,000 for ratemaking rate base purposes for the acquired assets.</w:t>
      </w:r>
      <w:r w:rsidRPr="00931D93">
        <w:rPr>
          <w:rFonts w:ascii="Times New Roman" w:eastAsia="Times New Roman" w:hAnsi="Times New Roman" w:cs="Times New Roman"/>
          <w:color w:val="000000"/>
          <w:sz w:val="26"/>
          <w:szCs w:val="26"/>
          <w:vertAlign w:val="superscript"/>
        </w:rPr>
        <w:footnoteReference w:id="6"/>
      </w:r>
    </w:p>
    <w:p w14:paraId="44E2780D" w14:textId="77777777" w:rsidR="00931D93" w:rsidRPr="00931D93" w:rsidRDefault="00931D93" w:rsidP="00931D93">
      <w:pPr>
        <w:ind w:left="1440" w:right="1440" w:hanging="10"/>
        <w:rPr>
          <w:rFonts w:ascii="Times New Roman" w:eastAsia="Times New Roman" w:hAnsi="Times New Roman" w:cs="Times New Roman"/>
          <w:color w:val="000000"/>
          <w:sz w:val="26"/>
          <w:szCs w:val="26"/>
        </w:rPr>
      </w:pPr>
    </w:p>
    <w:p w14:paraId="3F246B28" w14:textId="77777777" w:rsidR="00931D93" w:rsidRPr="00931D93" w:rsidRDefault="00931D93" w:rsidP="00931D93">
      <w:pPr>
        <w:tabs>
          <w:tab w:val="left" w:pos="1440"/>
        </w:tabs>
        <w:ind w:left="1440" w:right="1440" w:firstLine="720"/>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t>23.</w:t>
      </w:r>
      <w:r w:rsidRPr="00931D93">
        <w:rPr>
          <w:rFonts w:ascii="Times New Roman" w:eastAsia="Times New Roman" w:hAnsi="Times New Roman" w:cs="Times New Roman"/>
          <w:color w:val="000000"/>
          <w:sz w:val="26"/>
          <w:szCs w:val="26"/>
        </w:rPr>
        <w:tab/>
        <w:t>With regard to the determination of the fair market value of the acquired system in future acquisitions by PAWC under 66 Pa. C.S. § 1329 filed subsequent to submission of this Settlement by the Joint Petitioners to the Administrative Law Judge, PAWC shall not support the portion of an AUS Consultants’ appraisal that does not use a consistent method going forward to determine the indicated (conclusion) value under the market approach analysis; provided, however, that this prohibition shall not apply if the Commission determines, through a (a) final order in a non-PAWC proceeding, (b) regulation or (c) statement of policy, that a different method should be utilized by utility valuation experts.</w:t>
      </w:r>
    </w:p>
    <w:p w14:paraId="732FAE9A" w14:textId="77777777" w:rsidR="00931D93" w:rsidRPr="00931D93" w:rsidRDefault="00931D93" w:rsidP="00931D93">
      <w:pPr>
        <w:tabs>
          <w:tab w:val="left" w:pos="1440"/>
        </w:tabs>
        <w:ind w:left="1440" w:right="1440" w:firstLine="720"/>
        <w:rPr>
          <w:rFonts w:ascii="Times New Roman" w:eastAsia="Times New Roman" w:hAnsi="Times New Roman" w:cs="Times New Roman"/>
          <w:color w:val="000000"/>
          <w:sz w:val="26"/>
          <w:szCs w:val="26"/>
        </w:rPr>
      </w:pPr>
    </w:p>
    <w:p w14:paraId="074A3852" w14:textId="77777777" w:rsidR="00931D93" w:rsidRPr="00931D93" w:rsidRDefault="00931D93" w:rsidP="00931D93">
      <w:pPr>
        <w:keepNext/>
        <w:numPr>
          <w:ilvl w:val="0"/>
          <w:numId w:val="38"/>
        </w:numPr>
        <w:spacing w:after="5" w:line="244" w:lineRule="auto"/>
        <w:ind w:right="1440"/>
        <w:contextualSpacing/>
        <w:rPr>
          <w:rFonts w:ascii="Times New Roman" w:eastAsia="Times New Roman" w:hAnsi="Times New Roman" w:cs="Times New Roman"/>
          <w:b/>
          <w:sz w:val="26"/>
          <w:szCs w:val="26"/>
        </w:rPr>
      </w:pPr>
      <w:r w:rsidRPr="00931D93">
        <w:rPr>
          <w:rFonts w:ascii="Times New Roman" w:eastAsia="Times New Roman" w:hAnsi="Times New Roman" w:cs="Times New Roman"/>
          <w:b/>
          <w:sz w:val="26"/>
          <w:szCs w:val="26"/>
        </w:rPr>
        <w:t>Rates</w:t>
      </w:r>
    </w:p>
    <w:p w14:paraId="455F4455" w14:textId="77777777" w:rsidR="00931D93" w:rsidRPr="00931D93" w:rsidRDefault="00931D93" w:rsidP="00931D93">
      <w:pPr>
        <w:keepNext/>
        <w:ind w:left="2190" w:right="1440"/>
        <w:contextualSpacing/>
        <w:rPr>
          <w:rFonts w:ascii="Times New Roman" w:eastAsia="Times New Roman" w:hAnsi="Times New Roman" w:cs="Times New Roman"/>
          <w:b/>
          <w:sz w:val="26"/>
          <w:szCs w:val="26"/>
        </w:rPr>
      </w:pPr>
    </w:p>
    <w:p w14:paraId="72CD409A" w14:textId="77777777" w:rsidR="00931D93" w:rsidRPr="00931D93" w:rsidRDefault="00931D93" w:rsidP="00931D93">
      <w:pPr>
        <w:ind w:left="1440" w:right="1440" w:hanging="14"/>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tab/>
      </w:r>
      <w:r w:rsidRPr="00931D93">
        <w:rPr>
          <w:rFonts w:ascii="Times New Roman" w:eastAsia="Times New Roman" w:hAnsi="Times New Roman" w:cs="Times New Roman"/>
          <w:color w:val="000000"/>
          <w:sz w:val="26"/>
          <w:szCs w:val="26"/>
        </w:rPr>
        <w:tab/>
        <w:t>24.</w:t>
      </w:r>
      <w:r w:rsidRPr="00931D93">
        <w:rPr>
          <w:rFonts w:ascii="Times New Roman" w:eastAsia="Times New Roman" w:hAnsi="Times New Roman" w:cs="Times New Roman"/>
          <w:color w:val="000000"/>
          <w:sz w:val="26"/>
          <w:szCs w:val="26"/>
        </w:rPr>
        <w:tab/>
        <w:t>Except as explicitly agreed upon in this Settlement, nothing contained herein or in the Commission’s approval of the Application shall preclude any Joint Petitioner from asserting any position or raising any issue in a future PAWC proceeding.</w:t>
      </w:r>
    </w:p>
    <w:p w14:paraId="473437F9" w14:textId="77777777" w:rsidR="00931D93" w:rsidRPr="00931D93" w:rsidRDefault="00931D93" w:rsidP="00931D93">
      <w:pPr>
        <w:ind w:left="1440" w:right="1440" w:hanging="14"/>
        <w:rPr>
          <w:rFonts w:ascii="Times New Roman" w:eastAsia="Times New Roman" w:hAnsi="Times New Roman" w:cs="Times New Roman"/>
          <w:color w:val="000000"/>
          <w:sz w:val="26"/>
          <w:szCs w:val="26"/>
        </w:rPr>
      </w:pPr>
    </w:p>
    <w:p w14:paraId="3954382E" w14:textId="77777777" w:rsidR="00931D93" w:rsidRPr="00931D93" w:rsidRDefault="00931D93" w:rsidP="00931D93">
      <w:pPr>
        <w:ind w:left="1440" w:right="1440" w:hanging="14"/>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tab/>
      </w:r>
      <w:r w:rsidRPr="00931D93">
        <w:rPr>
          <w:rFonts w:ascii="Times New Roman" w:eastAsia="Times New Roman" w:hAnsi="Times New Roman" w:cs="Times New Roman"/>
          <w:color w:val="000000"/>
          <w:sz w:val="26"/>
          <w:szCs w:val="26"/>
        </w:rPr>
        <w:tab/>
        <w:t>25.</w:t>
      </w:r>
      <w:r w:rsidRPr="00931D93">
        <w:rPr>
          <w:rFonts w:ascii="Times New Roman" w:eastAsia="Times New Roman" w:hAnsi="Times New Roman" w:cs="Times New Roman"/>
          <w:color w:val="000000"/>
          <w:sz w:val="26"/>
          <w:szCs w:val="26"/>
        </w:rPr>
        <w:tab/>
        <w:t>In the first base rate case that includes Royersford’s wastewater system assets:</w:t>
      </w:r>
    </w:p>
    <w:p w14:paraId="55732DFE" w14:textId="77777777" w:rsidR="00931D93" w:rsidRPr="00931D93" w:rsidRDefault="00931D93" w:rsidP="00931D93">
      <w:pPr>
        <w:ind w:left="2880" w:right="1440"/>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lastRenderedPageBreak/>
        <w:t>a.</w:t>
      </w:r>
      <w:r w:rsidRPr="00931D93">
        <w:rPr>
          <w:rFonts w:ascii="Times New Roman" w:eastAsia="Times New Roman" w:hAnsi="Times New Roman" w:cs="Times New Roman"/>
          <w:color w:val="000000"/>
          <w:sz w:val="26"/>
          <w:szCs w:val="26"/>
        </w:rPr>
        <w:tab/>
        <w:t xml:space="preserve">PAWC will submit a </w:t>
      </w:r>
      <w:proofErr w:type="gramStart"/>
      <w:r w:rsidRPr="00931D93">
        <w:rPr>
          <w:rFonts w:ascii="Times New Roman" w:eastAsia="Times New Roman" w:hAnsi="Times New Roman" w:cs="Times New Roman"/>
          <w:color w:val="000000"/>
          <w:sz w:val="26"/>
          <w:szCs w:val="26"/>
        </w:rPr>
        <w:t>cost of service</w:t>
      </w:r>
      <w:proofErr w:type="gramEnd"/>
      <w:r w:rsidRPr="00931D93">
        <w:rPr>
          <w:rFonts w:ascii="Times New Roman" w:eastAsia="Times New Roman" w:hAnsi="Times New Roman" w:cs="Times New Roman"/>
          <w:color w:val="000000"/>
          <w:sz w:val="26"/>
          <w:szCs w:val="26"/>
        </w:rPr>
        <w:t xml:space="preserve"> study that removes all costs and revenues associated with the operation of Royersford’s system.</w:t>
      </w:r>
    </w:p>
    <w:p w14:paraId="3EB84942" w14:textId="77777777" w:rsidR="00931D93" w:rsidRPr="00931D93" w:rsidRDefault="00931D93" w:rsidP="00931D93">
      <w:pPr>
        <w:ind w:left="2880" w:right="1440"/>
        <w:rPr>
          <w:rFonts w:ascii="Times New Roman" w:eastAsia="Times New Roman" w:hAnsi="Times New Roman" w:cs="Times New Roman"/>
          <w:color w:val="000000"/>
          <w:sz w:val="26"/>
          <w:szCs w:val="26"/>
        </w:rPr>
      </w:pPr>
    </w:p>
    <w:p w14:paraId="3EDF369A" w14:textId="77777777" w:rsidR="00931D93" w:rsidRPr="00931D93" w:rsidRDefault="00931D93" w:rsidP="00931D93">
      <w:pPr>
        <w:ind w:left="2880" w:right="1440"/>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t>b.</w:t>
      </w:r>
      <w:r w:rsidRPr="00931D93">
        <w:rPr>
          <w:rFonts w:ascii="Times New Roman" w:eastAsia="Times New Roman" w:hAnsi="Times New Roman" w:cs="Times New Roman"/>
          <w:color w:val="000000"/>
          <w:sz w:val="26"/>
          <w:szCs w:val="26"/>
        </w:rPr>
        <w:tab/>
        <w:t>PAWC will provide a separate cost of service study for the Royersford system.</w:t>
      </w:r>
    </w:p>
    <w:p w14:paraId="143E92AE" w14:textId="77777777" w:rsidR="00931D93" w:rsidRPr="00931D93" w:rsidRDefault="00931D93" w:rsidP="00931D93">
      <w:pPr>
        <w:ind w:left="2880" w:right="1440"/>
        <w:rPr>
          <w:rFonts w:ascii="Times New Roman" w:eastAsia="Times New Roman" w:hAnsi="Times New Roman" w:cs="Times New Roman"/>
          <w:color w:val="000000"/>
          <w:sz w:val="26"/>
          <w:szCs w:val="26"/>
        </w:rPr>
      </w:pPr>
    </w:p>
    <w:p w14:paraId="3F8DE3CB" w14:textId="77777777" w:rsidR="00931D93" w:rsidRPr="00931D93" w:rsidRDefault="00931D93" w:rsidP="00931D93">
      <w:pPr>
        <w:ind w:left="2880" w:right="1440"/>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t>c.</w:t>
      </w:r>
      <w:r w:rsidRPr="00931D93">
        <w:rPr>
          <w:rFonts w:ascii="Times New Roman" w:eastAsia="Times New Roman" w:hAnsi="Times New Roman" w:cs="Times New Roman"/>
          <w:color w:val="000000"/>
          <w:sz w:val="26"/>
          <w:szCs w:val="26"/>
        </w:rPr>
        <w:tab/>
        <w:t xml:space="preserve">PAWC will propose to move the Royersford system to its cost of service or 1.7x the current Royersford wastewater rate, whichever is lower, based on a separate cost of service study for Royersford’s system; provided, however, that PAWC will not be obligated to propose Royersford wastewater rates in excess of PAWC’s proposed Rate Zone 1 system-average rates.  The current average Royersford rate is $30.00 per month based on 3,630 gallons of monthly usage.  </w:t>
      </w:r>
    </w:p>
    <w:p w14:paraId="4168C0A2" w14:textId="77777777" w:rsidR="00931D93" w:rsidRPr="00931D93" w:rsidRDefault="00931D93" w:rsidP="00931D93">
      <w:pPr>
        <w:ind w:left="2880" w:right="1440"/>
        <w:rPr>
          <w:rFonts w:ascii="Times New Roman" w:eastAsia="Times New Roman" w:hAnsi="Times New Roman" w:cs="Times New Roman"/>
          <w:color w:val="000000"/>
          <w:sz w:val="26"/>
          <w:szCs w:val="26"/>
        </w:rPr>
      </w:pPr>
    </w:p>
    <w:p w14:paraId="6AB2D12E" w14:textId="77777777" w:rsidR="00931D93" w:rsidRPr="00931D93" w:rsidRDefault="00931D93" w:rsidP="00931D93">
      <w:pPr>
        <w:ind w:left="2880" w:right="1440"/>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t>d.</w:t>
      </w:r>
      <w:r w:rsidRPr="00931D93">
        <w:rPr>
          <w:rFonts w:ascii="Times New Roman" w:eastAsia="Times New Roman" w:hAnsi="Times New Roman" w:cs="Times New Roman"/>
          <w:color w:val="000000"/>
          <w:sz w:val="26"/>
          <w:szCs w:val="26"/>
        </w:rPr>
        <w:tab/>
        <w:t>PAWC may propose an effective date for new rates for Royersford wastewater customers that is different from the effective date of new rates for other customers.</w:t>
      </w:r>
    </w:p>
    <w:p w14:paraId="690FB2BE" w14:textId="77777777" w:rsidR="00931D93" w:rsidRPr="00931D93" w:rsidRDefault="00931D93" w:rsidP="00931D93">
      <w:pPr>
        <w:ind w:left="2880" w:right="1440"/>
        <w:rPr>
          <w:rFonts w:ascii="Times New Roman" w:eastAsia="Times New Roman" w:hAnsi="Times New Roman" w:cs="Times New Roman"/>
          <w:color w:val="000000"/>
          <w:sz w:val="26"/>
          <w:szCs w:val="26"/>
        </w:rPr>
      </w:pPr>
    </w:p>
    <w:p w14:paraId="1A49057B" w14:textId="77777777" w:rsidR="00931D93" w:rsidRPr="00931D93" w:rsidRDefault="00931D93" w:rsidP="00931D93">
      <w:pPr>
        <w:ind w:left="2880" w:right="1440"/>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t>e.</w:t>
      </w:r>
      <w:r w:rsidRPr="00931D93">
        <w:rPr>
          <w:rFonts w:ascii="Times New Roman" w:eastAsia="Times New Roman" w:hAnsi="Times New Roman" w:cs="Times New Roman"/>
          <w:color w:val="000000"/>
          <w:sz w:val="26"/>
          <w:szCs w:val="26"/>
        </w:rPr>
        <w:tab/>
        <w:t>PAWC may agree to rates other than those proposed for Royersford customers in the context of a settlement of the base rate case.</w:t>
      </w:r>
    </w:p>
    <w:p w14:paraId="7E640D15" w14:textId="77777777" w:rsidR="00931D93" w:rsidRPr="00931D93" w:rsidRDefault="00931D93" w:rsidP="00931D93">
      <w:pPr>
        <w:ind w:left="2880" w:right="1440"/>
        <w:rPr>
          <w:rFonts w:ascii="Times New Roman" w:eastAsia="Times New Roman" w:hAnsi="Times New Roman" w:cs="Times New Roman"/>
          <w:color w:val="000000"/>
          <w:sz w:val="26"/>
          <w:szCs w:val="26"/>
        </w:rPr>
      </w:pPr>
    </w:p>
    <w:p w14:paraId="5F56D0D1" w14:textId="77777777" w:rsidR="00931D93" w:rsidRPr="00931D93" w:rsidRDefault="00931D93" w:rsidP="00931D93">
      <w:pPr>
        <w:ind w:left="2880" w:right="1440"/>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t>f.</w:t>
      </w:r>
      <w:r w:rsidRPr="00931D93">
        <w:rPr>
          <w:rFonts w:ascii="Times New Roman" w:eastAsia="Times New Roman" w:hAnsi="Times New Roman" w:cs="Times New Roman"/>
          <w:color w:val="000000"/>
          <w:sz w:val="26"/>
          <w:szCs w:val="26"/>
        </w:rPr>
        <w:tab/>
        <w:t>OCA, I&amp;E and OSBA reserve their rights to address PAWC’s rate proposals fully, and to make other rate proposals.</w:t>
      </w:r>
    </w:p>
    <w:p w14:paraId="2095DB3D" w14:textId="77777777" w:rsidR="00931D93" w:rsidRPr="00931D93" w:rsidRDefault="00931D93" w:rsidP="00931D93">
      <w:pPr>
        <w:ind w:left="2880" w:right="1440"/>
        <w:rPr>
          <w:rFonts w:ascii="Times New Roman" w:eastAsia="Times New Roman" w:hAnsi="Times New Roman" w:cs="Times New Roman"/>
          <w:color w:val="000000"/>
          <w:sz w:val="26"/>
          <w:szCs w:val="26"/>
        </w:rPr>
      </w:pPr>
    </w:p>
    <w:p w14:paraId="3008698F" w14:textId="77777777" w:rsidR="00931D93" w:rsidRPr="00931D93" w:rsidRDefault="00931D93" w:rsidP="00931D93">
      <w:pPr>
        <w:ind w:left="1440" w:right="1440" w:hanging="14"/>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tab/>
      </w:r>
      <w:r w:rsidRPr="00931D93">
        <w:rPr>
          <w:rFonts w:ascii="Times New Roman" w:eastAsia="Times New Roman" w:hAnsi="Times New Roman" w:cs="Times New Roman"/>
          <w:color w:val="000000"/>
          <w:sz w:val="26"/>
          <w:szCs w:val="26"/>
        </w:rPr>
        <w:tab/>
        <w:t>26.</w:t>
      </w:r>
      <w:r w:rsidRPr="00931D93">
        <w:rPr>
          <w:rFonts w:ascii="Times New Roman" w:eastAsia="Times New Roman" w:hAnsi="Times New Roman" w:cs="Times New Roman"/>
          <w:color w:val="000000"/>
          <w:sz w:val="26"/>
          <w:szCs w:val="26"/>
        </w:rPr>
        <w:tab/>
        <w:t>PAWC will provide combined bills for Royersford wastewater customers who are also PAWC water customers.</w:t>
      </w:r>
    </w:p>
    <w:p w14:paraId="4DC667D8" w14:textId="77777777" w:rsidR="00931D93" w:rsidRPr="00931D93" w:rsidRDefault="00931D93" w:rsidP="00931D93">
      <w:pPr>
        <w:ind w:left="1440" w:right="1440" w:hanging="14"/>
        <w:rPr>
          <w:rFonts w:ascii="Times New Roman" w:eastAsia="Times New Roman" w:hAnsi="Times New Roman" w:cs="Times New Roman"/>
          <w:color w:val="000000"/>
          <w:sz w:val="26"/>
          <w:szCs w:val="26"/>
        </w:rPr>
      </w:pPr>
    </w:p>
    <w:p w14:paraId="4F8A9B97" w14:textId="77777777" w:rsidR="00931D93" w:rsidRPr="00931D93" w:rsidRDefault="00931D93" w:rsidP="00931D93">
      <w:pPr>
        <w:keepNext/>
        <w:numPr>
          <w:ilvl w:val="0"/>
          <w:numId w:val="38"/>
        </w:numPr>
        <w:spacing w:after="5" w:line="244" w:lineRule="auto"/>
        <w:ind w:right="1440"/>
        <w:contextualSpacing/>
        <w:rPr>
          <w:rFonts w:ascii="Times New Roman" w:eastAsia="Times New Roman" w:hAnsi="Times New Roman" w:cs="Times New Roman"/>
          <w:b/>
          <w:sz w:val="26"/>
          <w:szCs w:val="26"/>
        </w:rPr>
      </w:pPr>
      <w:r w:rsidRPr="00931D93">
        <w:rPr>
          <w:rFonts w:ascii="Times New Roman" w:eastAsia="Times New Roman" w:hAnsi="Times New Roman" w:cs="Times New Roman"/>
          <w:b/>
          <w:sz w:val="26"/>
          <w:szCs w:val="26"/>
        </w:rPr>
        <w:t>Distribution System Improvement Charge</w:t>
      </w:r>
    </w:p>
    <w:p w14:paraId="137FCCB2" w14:textId="77777777" w:rsidR="00931D93" w:rsidRPr="00931D93" w:rsidRDefault="00931D93" w:rsidP="00931D93">
      <w:pPr>
        <w:keepNext/>
        <w:ind w:left="2190" w:right="1440"/>
        <w:contextualSpacing/>
        <w:rPr>
          <w:rFonts w:ascii="Times New Roman" w:eastAsia="Times New Roman" w:hAnsi="Times New Roman" w:cs="Times New Roman"/>
          <w:b/>
          <w:sz w:val="26"/>
          <w:szCs w:val="26"/>
        </w:rPr>
      </w:pPr>
    </w:p>
    <w:p w14:paraId="28DC7E2A" w14:textId="77777777" w:rsidR="00931D93" w:rsidRPr="00931D93" w:rsidRDefault="00931D93" w:rsidP="00931D93">
      <w:pPr>
        <w:ind w:left="1440" w:right="1440" w:hanging="14"/>
        <w:rPr>
          <w:rFonts w:ascii="Times New Roman" w:eastAsia="Times New Roman" w:hAnsi="Times New Roman" w:cs="Times New Roman"/>
          <w:bCs/>
          <w:color w:val="000000"/>
          <w:sz w:val="26"/>
          <w:szCs w:val="26"/>
        </w:rPr>
      </w:pPr>
      <w:r w:rsidRPr="00931D93">
        <w:rPr>
          <w:rFonts w:ascii="Times New Roman" w:eastAsia="Times New Roman" w:hAnsi="Times New Roman" w:cs="Times New Roman"/>
          <w:color w:val="000000"/>
          <w:sz w:val="26"/>
          <w:szCs w:val="26"/>
        </w:rPr>
        <w:tab/>
      </w:r>
      <w:r w:rsidRPr="00931D93">
        <w:rPr>
          <w:rFonts w:ascii="Times New Roman" w:eastAsia="Times New Roman" w:hAnsi="Times New Roman" w:cs="Times New Roman"/>
          <w:color w:val="000000"/>
          <w:sz w:val="26"/>
          <w:szCs w:val="26"/>
        </w:rPr>
        <w:tab/>
        <w:t>27.</w:t>
      </w:r>
      <w:r w:rsidRPr="00931D93">
        <w:rPr>
          <w:rFonts w:ascii="Times New Roman" w:eastAsia="Times New Roman" w:hAnsi="Times New Roman" w:cs="Times New Roman"/>
          <w:color w:val="000000"/>
          <w:sz w:val="26"/>
          <w:szCs w:val="26"/>
        </w:rPr>
        <w:tab/>
      </w:r>
      <w:r w:rsidRPr="00931D93">
        <w:rPr>
          <w:rFonts w:ascii="Times New Roman" w:eastAsia="Times New Roman" w:hAnsi="Times New Roman" w:cs="Times New Roman"/>
          <w:bCs/>
          <w:color w:val="000000"/>
          <w:sz w:val="26"/>
          <w:szCs w:val="26"/>
        </w:rPr>
        <w:t xml:space="preserve">If PAWC proposes to modify its Long-Term Infrastructure Improvement Plan (“LTIIP”) to include </w:t>
      </w:r>
      <w:proofErr w:type="spellStart"/>
      <w:r w:rsidRPr="00931D93">
        <w:rPr>
          <w:rFonts w:ascii="Times New Roman" w:eastAsia="Times New Roman" w:hAnsi="Times New Roman" w:cs="Times New Roman"/>
          <w:bCs/>
          <w:color w:val="000000"/>
          <w:sz w:val="26"/>
          <w:szCs w:val="26"/>
        </w:rPr>
        <w:t>Royerford’s</w:t>
      </w:r>
      <w:proofErr w:type="spellEnd"/>
      <w:r w:rsidRPr="00931D93">
        <w:rPr>
          <w:rFonts w:ascii="Times New Roman" w:eastAsia="Times New Roman" w:hAnsi="Times New Roman" w:cs="Times New Roman"/>
          <w:bCs/>
          <w:color w:val="000000"/>
          <w:sz w:val="26"/>
          <w:szCs w:val="26"/>
        </w:rPr>
        <w:t xml:space="preserve"> wastewater system, PAWC will not reprioritize other existing capital improvements that the Company already </w:t>
      </w:r>
      <w:r w:rsidRPr="00931D93">
        <w:rPr>
          <w:rFonts w:ascii="Times New Roman" w:eastAsia="Times New Roman" w:hAnsi="Times New Roman" w:cs="Times New Roman"/>
          <w:bCs/>
          <w:color w:val="000000"/>
          <w:sz w:val="26"/>
          <w:szCs w:val="26"/>
        </w:rPr>
        <w:lastRenderedPageBreak/>
        <w:t>committed to undertake in other service areas.  Upon approval by the Commission of such modification to its LTIIP, PAWC shall be permitted to collect a Distribution System Improvement Charge (“DSIC”) related to Royersford’s wastewater system prior to the first base rate case in which Royersford’s assets are incorporated into rate base.</w:t>
      </w:r>
    </w:p>
    <w:p w14:paraId="2DE0DF42" w14:textId="77777777" w:rsidR="00931D93" w:rsidRPr="00931D93" w:rsidRDefault="00931D93" w:rsidP="00931D93">
      <w:pPr>
        <w:ind w:left="1440" w:right="1440" w:hanging="14"/>
        <w:rPr>
          <w:rFonts w:ascii="Times New Roman" w:eastAsia="Times New Roman" w:hAnsi="Times New Roman" w:cs="Times New Roman"/>
          <w:bCs/>
          <w:color w:val="000000"/>
          <w:sz w:val="26"/>
          <w:szCs w:val="26"/>
        </w:rPr>
      </w:pPr>
    </w:p>
    <w:p w14:paraId="26E1C430" w14:textId="77777777" w:rsidR="00931D93" w:rsidRPr="00931D93" w:rsidRDefault="00931D93" w:rsidP="00931D93">
      <w:pPr>
        <w:ind w:left="2160" w:right="1440" w:hanging="720"/>
        <w:rPr>
          <w:rFonts w:ascii="Times New Roman" w:eastAsia="Times New Roman" w:hAnsi="Times New Roman" w:cs="Times New Roman"/>
          <w:b/>
          <w:bCs/>
          <w:color w:val="000000"/>
          <w:sz w:val="26"/>
          <w:szCs w:val="26"/>
        </w:rPr>
      </w:pPr>
      <w:r w:rsidRPr="00931D93">
        <w:rPr>
          <w:rFonts w:ascii="Times New Roman" w:eastAsia="Times New Roman" w:hAnsi="Times New Roman" w:cs="Times New Roman"/>
          <w:b/>
          <w:bCs/>
          <w:color w:val="000000"/>
          <w:sz w:val="26"/>
          <w:szCs w:val="26"/>
        </w:rPr>
        <w:t>F.</w:t>
      </w:r>
      <w:r w:rsidRPr="00931D93">
        <w:rPr>
          <w:rFonts w:ascii="Times New Roman" w:eastAsia="Times New Roman" w:hAnsi="Times New Roman" w:cs="Times New Roman"/>
          <w:b/>
          <w:bCs/>
          <w:color w:val="000000"/>
          <w:sz w:val="26"/>
          <w:szCs w:val="26"/>
        </w:rPr>
        <w:tab/>
        <w:t>Claims for Allowance for Funds Used During Construction and Deferred Depreciation</w:t>
      </w:r>
    </w:p>
    <w:p w14:paraId="3E303DC7" w14:textId="77777777" w:rsidR="00931D93" w:rsidRPr="00931D93" w:rsidRDefault="00931D93" w:rsidP="00931D93">
      <w:pPr>
        <w:ind w:left="1440" w:right="1440"/>
        <w:rPr>
          <w:rFonts w:ascii="Times New Roman" w:eastAsia="Times New Roman" w:hAnsi="Times New Roman" w:cs="Times New Roman"/>
          <w:b/>
          <w:bCs/>
          <w:color w:val="000000"/>
          <w:sz w:val="26"/>
          <w:szCs w:val="26"/>
        </w:rPr>
      </w:pPr>
    </w:p>
    <w:p w14:paraId="5BBEDB0D" w14:textId="54AE0C7A" w:rsidR="00931D93" w:rsidRPr="00931D93" w:rsidRDefault="00931D93" w:rsidP="00931D93">
      <w:pPr>
        <w:ind w:left="1440" w:right="1440" w:hanging="10"/>
        <w:rPr>
          <w:rFonts w:ascii="Times New Roman" w:eastAsia="Calibri" w:hAnsi="Times New Roman" w:cs="Times New Roman"/>
          <w:bCs/>
          <w:color w:val="000000"/>
          <w:sz w:val="26"/>
          <w:szCs w:val="26"/>
        </w:rPr>
      </w:pPr>
      <w:r w:rsidRPr="00931D93">
        <w:rPr>
          <w:rFonts w:ascii="Times New Roman" w:eastAsia="Times New Roman" w:hAnsi="Times New Roman" w:cs="Times New Roman"/>
          <w:bCs/>
          <w:color w:val="000000"/>
          <w:sz w:val="26"/>
          <w:szCs w:val="26"/>
        </w:rPr>
        <w:tab/>
      </w:r>
      <w:r w:rsidRPr="00931D93">
        <w:rPr>
          <w:rFonts w:ascii="Times New Roman" w:eastAsia="Times New Roman" w:hAnsi="Times New Roman" w:cs="Times New Roman"/>
          <w:bCs/>
          <w:color w:val="000000"/>
          <w:sz w:val="26"/>
          <w:szCs w:val="26"/>
        </w:rPr>
        <w:tab/>
        <w:t>28.</w:t>
      </w:r>
      <w:r w:rsidRPr="00931D93">
        <w:rPr>
          <w:rFonts w:ascii="Times New Roman" w:eastAsia="Times New Roman" w:hAnsi="Times New Roman" w:cs="Times New Roman"/>
          <w:bCs/>
          <w:color w:val="000000"/>
          <w:sz w:val="26"/>
          <w:szCs w:val="26"/>
        </w:rPr>
        <w:tab/>
        <w:t>The Joint Petitioners acknowledge that the Application includes a request that (</w:t>
      </w:r>
      <w:proofErr w:type="spellStart"/>
      <w:r w:rsidRPr="00931D93">
        <w:rPr>
          <w:rFonts w:ascii="Times New Roman" w:eastAsia="Times New Roman" w:hAnsi="Times New Roman" w:cs="Times New Roman"/>
          <w:bCs/>
          <w:color w:val="000000"/>
          <w:sz w:val="26"/>
          <w:szCs w:val="26"/>
        </w:rPr>
        <w:t>i</w:t>
      </w:r>
      <w:proofErr w:type="spellEnd"/>
      <w:r w:rsidRPr="00931D93">
        <w:rPr>
          <w:rFonts w:ascii="Times New Roman" w:eastAsia="Times New Roman" w:hAnsi="Times New Roman" w:cs="Times New Roman"/>
          <w:bCs/>
          <w:color w:val="000000"/>
          <w:sz w:val="26"/>
          <w:szCs w:val="26"/>
        </w:rPr>
        <w:t xml:space="preserve">) </w:t>
      </w:r>
      <w:r w:rsidRPr="00931D93">
        <w:rPr>
          <w:rFonts w:ascii="Times New Roman" w:eastAsia="Times New Roman" w:hAnsi="Times New Roman" w:cs="Times New Roman"/>
          <w:color w:val="000000"/>
          <w:sz w:val="26"/>
          <w:szCs w:val="26"/>
        </w:rPr>
        <w:t xml:space="preserve">PAWC be permitted to accrue </w:t>
      </w:r>
      <w:r w:rsidRPr="00931D93">
        <w:rPr>
          <w:rFonts w:ascii="Times New Roman" w:eastAsia="Times New Roman" w:hAnsi="Times New Roman" w:cs="Times New Roman"/>
          <w:bCs/>
          <w:color w:val="000000"/>
          <w:sz w:val="26"/>
          <w:szCs w:val="26"/>
        </w:rPr>
        <w:t>Allowance for Funds Used During Construction (“AFUDC”) for post-acquisition improvements not recovered through the DSIC for book and ratemaking purposes, and (ii)</w:t>
      </w:r>
      <w:r w:rsidR="00216B97">
        <w:rPr>
          <w:rFonts w:ascii="Times New Roman" w:eastAsia="Times New Roman" w:hAnsi="Times New Roman" w:cs="Times New Roman"/>
          <w:bCs/>
          <w:color w:val="000000"/>
          <w:sz w:val="26"/>
          <w:szCs w:val="26"/>
        </w:rPr>
        <w:t> </w:t>
      </w:r>
      <w:r w:rsidRPr="00931D93">
        <w:rPr>
          <w:rFonts w:ascii="Times New Roman" w:eastAsia="Times New Roman" w:hAnsi="Times New Roman" w:cs="Times New Roman"/>
          <w:bCs/>
          <w:color w:val="000000"/>
          <w:sz w:val="26"/>
          <w:szCs w:val="26"/>
        </w:rPr>
        <w:t xml:space="preserve">PAWC be permitted to defer depreciation related to post-acquisition improvements not recovered through the DSIC for book and ratemaking purposes.  Any claims for AFUDC and deferred depreciation related to post-acquisition improvements not recovered through the DSIC for book and ratemaking purposes will be addressed in PAWC’s first base rate case which includes Royersford’s wastewater system assets.  </w:t>
      </w:r>
      <w:r w:rsidRPr="00931D93">
        <w:rPr>
          <w:rFonts w:ascii="Times New Roman" w:eastAsia="Calibri" w:hAnsi="Times New Roman" w:cs="Times New Roman"/>
          <w:bCs/>
          <w:color w:val="000000"/>
          <w:sz w:val="26"/>
          <w:szCs w:val="26"/>
        </w:rPr>
        <w:t>The Joint Petitioners reserve their rights to litigate their positions fully in future rate cases when these issues are ripe for review.  The Joint Petitioners’ assent to this term should not be construed to operate as their preapproval of PAWC’s requests.</w:t>
      </w:r>
    </w:p>
    <w:p w14:paraId="43E660CF" w14:textId="77777777" w:rsidR="00931D93" w:rsidRPr="00931D93" w:rsidRDefault="00931D93" w:rsidP="00931D93">
      <w:pPr>
        <w:ind w:left="1440" w:right="1440" w:hanging="10"/>
        <w:rPr>
          <w:rFonts w:ascii="Times New Roman" w:eastAsia="Times New Roman" w:hAnsi="Times New Roman" w:cs="Times New Roman"/>
          <w:bCs/>
          <w:color w:val="000000"/>
          <w:sz w:val="26"/>
          <w:szCs w:val="26"/>
        </w:rPr>
      </w:pPr>
    </w:p>
    <w:p w14:paraId="781CABEE" w14:textId="18B3E653" w:rsidR="00931D93" w:rsidRPr="00931D93" w:rsidRDefault="00B528A2" w:rsidP="00B528A2">
      <w:pPr>
        <w:keepNext/>
        <w:spacing w:after="5" w:line="244" w:lineRule="auto"/>
        <w:ind w:left="1530" w:right="1440"/>
        <w:contextualSpacing/>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G.</w:t>
      </w:r>
      <w:r>
        <w:rPr>
          <w:rFonts w:ascii="Times New Roman" w:eastAsia="Times New Roman" w:hAnsi="Times New Roman" w:cs="Times New Roman"/>
          <w:b/>
          <w:bCs/>
          <w:sz w:val="26"/>
          <w:szCs w:val="26"/>
        </w:rPr>
        <w:tab/>
      </w:r>
      <w:r w:rsidR="00931D93" w:rsidRPr="00931D93">
        <w:rPr>
          <w:rFonts w:ascii="Times New Roman" w:eastAsia="Times New Roman" w:hAnsi="Times New Roman" w:cs="Times New Roman"/>
          <w:b/>
          <w:bCs/>
          <w:sz w:val="26"/>
          <w:szCs w:val="26"/>
        </w:rPr>
        <w:t>Transaction and Closing Costs</w:t>
      </w:r>
    </w:p>
    <w:p w14:paraId="7EFCB547" w14:textId="77777777" w:rsidR="00931D93" w:rsidRPr="00931D93" w:rsidRDefault="00931D93" w:rsidP="00931D93">
      <w:pPr>
        <w:keepNext/>
        <w:ind w:left="2190" w:right="1440"/>
        <w:contextualSpacing/>
        <w:rPr>
          <w:rFonts w:ascii="Times New Roman" w:eastAsia="Times New Roman" w:hAnsi="Times New Roman" w:cs="Times New Roman"/>
          <w:b/>
          <w:bCs/>
          <w:sz w:val="26"/>
          <w:szCs w:val="26"/>
        </w:rPr>
      </w:pPr>
    </w:p>
    <w:p w14:paraId="3FC373AE" w14:textId="77777777" w:rsidR="00931D93" w:rsidRPr="00931D93" w:rsidRDefault="00931D93" w:rsidP="00931D93">
      <w:pPr>
        <w:ind w:left="1440" w:right="1440" w:hanging="10"/>
        <w:rPr>
          <w:rFonts w:ascii="Times New Roman" w:eastAsia="Times New Roman" w:hAnsi="Times New Roman" w:cs="Times New Roman"/>
          <w:bCs/>
          <w:color w:val="000000"/>
          <w:sz w:val="26"/>
          <w:szCs w:val="26"/>
        </w:rPr>
      </w:pPr>
      <w:r w:rsidRPr="00931D93">
        <w:rPr>
          <w:rFonts w:ascii="Times New Roman" w:eastAsia="Times New Roman" w:hAnsi="Times New Roman" w:cs="Times New Roman"/>
          <w:bCs/>
          <w:color w:val="000000"/>
          <w:sz w:val="26"/>
          <w:szCs w:val="26"/>
        </w:rPr>
        <w:tab/>
      </w:r>
      <w:r w:rsidRPr="00931D93">
        <w:rPr>
          <w:rFonts w:ascii="Times New Roman" w:eastAsia="Times New Roman" w:hAnsi="Times New Roman" w:cs="Times New Roman"/>
          <w:bCs/>
          <w:color w:val="000000"/>
          <w:sz w:val="26"/>
          <w:szCs w:val="26"/>
        </w:rPr>
        <w:tab/>
        <w:t>29.</w:t>
      </w:r>
      <w:r w:rsidRPr="00931D93">
        <w:rPr>
          <w:rFonts w:ascii="Times New Roman" w:eastAsia="Times New Roman" w:hAnsi="Times New Roman" w:cs="Times New Roman"/>
          <w:bCs/>
          <w:color w:val="000000"/>
          <w:sz w:val="26"/>
          <w:szCs w:val="26"/>
        </w:rPr>
        <w:tab/>
        <w:t>The Joint Petitioners acknowledge that the Application includes a request that PAWC be permitted to claim transaction and closing costs associated with the Transaction.  The Joint Petitioners agree that they will not contest this request in this proceeding, but they reserve their rights to litigate their positions fully in future rate cases when this issue is ripe for review.  The Joint Petitioners’ assent to this term should not be construed to operate as their preapproval of PAWC’s request.</w:t>
      </w:r>
    </w:p>
    <w:p w14:paraId="4839C309" w14:textId="77777777" w:rsidR="00931D93" w:rsidRPr="00931D93" w:rsidRDefault="00931D93" w:rsidP="00931D93">
      <w:pPr>
        <w:ind w:left="1440" w:right="1440" w:hanging="10"/>
        <w:rPr>
          <w:rFonts w:ascii="Times New Roman" w:eastAsia="Times New Roman" w:hAnsi="Times New Roman" w:cs="Times New Roman"/>
          <w:bCs/>
          <w:color w:val="000000"/>
          <w:sz w:val="26"/>
          <w:szCs w:val="26"/>
        </w:rPr>
      </w:pPr>
    </w:p>
    <w:p w14:paraId="6AFC0E87" w14:textId="77777777" w:rsidR="00931D93" w:rsidRPr="00931D93" w:rsidRDefault="00931D93" w:rsidP="00931D93">
      <w:pPr>
        <w:ind w:left="1440" w:right="1440" w:firstLine="720"/>
        <w:rPr>
          <w:rFonts w:ascii="Times New Roman" w:eastAsia="Times New Roman" w:hAnsi="Times New Roman" w:cs="Times New Roman"/>
          <w:bCs/>
          <w:color w:val="000000"/>
          <w:sz w:val="26"/>
          <w:szCs w:val="26"/>
        </w:rPr>
      </w:pPr>
      <w:r w:rsidRPr="00931D93">
        <w:rPr>
          <w:rFonts w:ascii="Times New Roman" w:eastAsia="Times New Roman" w:hAnsi="Times New Roman" w:cs="Times New Roman"/>
          <w:bCs/>
          <w:color w:val="000000"/>
          <w:sz w:val="26"/>
          <w:szCs w:val="26"/>
        </w:rPr>
        <w:t>30.</w:t>
      </w:r>
      <w:r w:rsidRPr="00931D93">
        <w:rPr>
          <w:rFonts w:ascii="Times New Roman" w:eastAsia="Times New Roman" w:hAnsi="Times New Roman" w:cs="Times New Roman"/>
          <w:bCs/>
          <w:color w:val="000000"/>
          <w:sz w:val="26"/>
          <w:szCs w:val="26"/>
        </w:rPr>
        <w:tab/>
        <w:t xml:space="preserve">The inclusion of outside legal fees, if any, in PAWC’s transaction and closing costs under the Asset </w:t>
      </w:r>
      <w:r w:rsidRPr="00931D93">
        <w:rPr>
          <w:rFonts w:ascii="Times New Roman" w:eastAsia="Times New Roman" w:hAnsi="Times New Roman" w:cs="Times New Roman"/>
          <w:bCs/>
          <w:color w:val="000000"/>
          <w:sz w:val="26"/>
          <w:szCs w:val="26"/>
        </w:rPr>
        <w:lastRenderedPageBreak/>
        <w:t>Purchase Agreement between PAWC and Royersford shall be separately identified in PAWC’s next base rate case, and OCA, I&amp;E and OSBA reserve the right to challenge the reasonableness, prudency, and basis for such fees.</w:t>
      </w:r>
    </w:p>
    <w:p w14:paraId="62C63E36" w14:textId="77777777" w:rsidR="00931D93" w:rsidRPr="00931D93" w:rsidRDefault="00931D93" w:rsidP="00931D93">
      <w:pPr>
        <w:ind w:left="1440" w:right="1440" w:firstLine="720"/>
        <w:rPr>
          <w:rFonts w:ascii="Times New Roman" w:eastAsia="Times New Roman" w:hAnsi="Times New Roman" w:cs="Times New Roman"/>
          <w:bCs/>
          <w:color w:val="000000"/>
          <w:sz w:val="26"/>
          <w:szCs w:val="26"/>
        </w:rPr>
      </w:pPr>
    </w:p>
    <w:p w14:paraId="6A4D907B" w14:textId="74976700" w:rsidR="00931D93" w:rsidRPr="00931D93" w:rsidRDefault="00B528A2" w:rsidP="00B528A2">
      <w:pPr>
        <w:keepNext/>
        <w:spacing w:after="5" w:line="244" w:lineRule="auto"/>
        <w:ind w:left="1440" w:right="1440"/>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t>H.</w:t>
      </w:r>
      <w:r>
        <w:rPr>
          <w:rFonts w:ascii="Times New Roman" w:eastAsia="Times New Roman" w:hAnsi="Times New Roman" w:cs="Times New Roman"/>
          <w:b/>
          <w:sz w:val="26"/>
          <w:szCs w:val="26"/>
        </w:rPr>
        <w:tab/>
      </w:r>
      <w:r w:rsidR="00931D93" w:rsidRPr="00931D93">
        <w:rPr>
          <w:rFonts w:ascii="Times New Roman" w:eastAsia="Times New Roman" w:hAnsi="Times New Roman" w:cs="Times New Roman"/>
          <w:b/>
          <w:sz w:val="26"/>
          <w:szCs w:val="26"/>
        </w:rPr>
        <w:t>Low-Income Program Outreach</w:t>
      </w:r>
    </w:p>
    <w:p w14:paraId="3CACA9FB" w14:textId="77777777" w:rsidR="00931D93" w:rsidRPr="00931D93" w:rsidRDefault="00931D93" w:rsidP="00931D93">
      <w:pPr>
        <w:keepNext/>
        <w:ind w:left="2190" w:right="1440"/>
        <w:contextualSpacing/>
        <w:rPr>
          <w:rFonts w:ascii="Times New Roman" w:eastAsia="Times New Roman" w:hAnsi="Times New Roman" w:cs="Times New Roman"/>
          <w:b/>
          <w:sz w:val="26"/>
          <w:szCs w:val="26"/>
        </w:rPr>
      </w:pPr>
    </w:p>
    <w:p w14:paraId="4701E038" w14:textId="77777777" w:rsidR="00931D93" w:rsidRPr="00931D93" w:rsidRDefault="00931D93" w:rsidP="00931D93">
      <w:pPr>
        <w:ind w:left="1440" w:right="1440" w:firstLine="720"/>
        <w:rPr>
          <w:rFonts w:ascii="Times New Roman" w:eastAsia="Times New Roman" w:hAnsi="Times New Roman" w:cs="Times New Roman"/>
          <w:color w:val="000000"/>
          <w:sz w:val="26"/>
          <w:szCs w:val="26"/>
        </w:rPr>
      </w:pPr>
      <w:r w:rsidRPr="00931D93">
        <w:rPr>
          <w:rFonts w:ascii="Times New Roman" w:eastAsia="Times New Roman" w:hAnsi="Times New Roman" w:cs="Times New Roman"/>
          <w:color w:val="000000"/>
          <w:sz w:val="26"/>
          <w:szCs w:val="26"/>
        </w:rPr>
        <w:t>31.</w:t>
      </w:r>
      <w:r w:rsidRPr="00931D93">
        <w:rPr>
          <w:rFonts w:ascii="Times New Roman" w:eastAsia="Times New Roman" w:hAnsi="Times New Roman" w:cs="Times New Roman"/>
          <w:color w:val="000000"/>
          <w:sz w:val="26"/>
          <w:szCs w:val="26"/>
        </w:rPr>
        <w:tab/>
        <w:t xml:space="preserve">Within the first billing cycle following closing, PAWC shall include a bill insert to Royersford’s customers regarding its low-income programs and shall include such information in a welcome letter to Royersford’s customers.  The bill insert and welcome letter shall include, at a minimum, a description of the available low-income programs, eligibility requirements for participation in the programs, and PAWC’s contact information.  PAWC also agrees to ongoing, targeted outreach to its Royersford-area customers regarding its </w:t>
      </w:r>
    </w:p>
    <w:p w14:paraId="2E039C9C" w14:textId="77777777" w:rsidR="00931D93" w:rsidRPr="00931D93" w:rsidRDefault="00931D93" w:rsidP="00931D93">
      <w:pPr>
        <w:ind w:left="10" w:right="1440" w:firstLine="1430"/>
        <w:rPr>
          <w:rFonts w:ascii="Times New Roman" w:eastAsia="Times New Roman" w:hAnsi="Times New Roman" w:cs="Times New Roman"/>
          <w:color w:val="000000"/>
          <w:sz w:val="26"/>
          <w:szCs w:val="26"/>
        </w:rPr>
      </w:pPr>
      <w:proofErr w:type="gramStart"/>
      <w:r w:rsidRPr="00931D93">
        <w:rPr>
          <w:rFonts w:ascii="Times New Roman" w:eastAsia="Times New Roman" w:hAnsi="Times New Roman" w:cs="Times New Roman"/>
          <w:color w:val="000000"/>
          <w:sz w:val="26"/>
          <w:szCs w:val="26"/>
        </w:rPr>
        <w:t>low income</w:t>
      </w:r>
      <w:proofErr w:type="gramEnd"/>
      <w:r w:rsidRPr="00931D93">
        <w:rPr>
          <w:rFonts w:ascii="Times New Roman" w:eastAsia="Times New Roman" w:hAnsi="Times New Roman" w:cs="Times New Roman"/>
          <w:color w:val="000000"/>
          <w:sz w:val="26"/>
          <w:szCs w:val="26"/>
        </w:rPr>
        <w:t xml:space="preserve"> program. </w:t>
      </w:r>
    </w:p>
    <w:p w14:paraId="5B9BE576" w14:textId="77777777" w:rsidR="00931D93" w:rsidRPr="00931D93" w:rsidRDefault="00931D93" w:rsidP="00931D93">
      <w:pPr>
        <w:ind w:left="10" w:right="1440" w:firstLine="1430"/>
        <w:rPr>
          <w:rFonts w:ascii="Times New Roman" w:eastAsia="Times New Roman" w:hAnsi="Times New Roman" w:cs="Times New Roman"/>
          <w:color w:val="000000"/>
          <w:sz w:val="26"/>
          <w:szCs w:val="26"/>
        </w:rPr>
      </w:pPr>
    </w:p>
    <w:p w14:paraId="06BEC313" w14:textId="7B609BBD" w:rsidR="00931D93" w:rsidRPr="00931D93" w:rsidRDefault="00B528A2" w:rsidP="00B528A2">
      <w:pPr>
        <w:spacing w:after="5" w:line="244" w:lineRule="auto"/>
        <w:ind w:left="1440" w:right="1440"/>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t>I.</w:t>
      </w:r>
      <w:r>
        <w:rPr>
          <w:rFonts w:ascii="Times New Roman" w:eastAsia="Times New Roman" w:hAnsi="Times New Roman" w:cs="Times New Roman"/>
          <w:b/>
          <w:sz w:val="26"/>
          <w:szCs w:val="26"/>
        </w:rPr>
        <w:tab/>
      </w:r>
      <w:r w:rsidR="00931D93" w:rsidRPr="00931D93">
        <w:rPr>
          <w:rFonts w:ascii="Times New Roman" w:eastAsia="Times New Roman" w:hAnsi="Times New Roman" w:cs="Times New Roman"/>
          <w:b/>
          <w:sz w:val="26"/>
          <w:szCs w:val="26"/>
        </w:rPr>
        <w:t>Approval of Section 507 Agreements</w:t>
      </w:r>
    </w:p>
    <w:p w14:paraId="5F4E7642" w14:textId="77777777" w:rsidR="00931D93" w:rsidRPr="00931D93" w:rsidRDefault="00931D93" w:rsidP="00931D93">
      <w:pPr>
        <w:ind w:left="2190" w:right="1440"/>
        <w:contextualSpacing/>
        <w:rPr>
          <w:rFonts w:ascii="Times New Roman" w:eastAsia="Times New Roman" w:hAnsi="Times New Roman" w:cs="Times New Roman"/>
          <w:b/>
          <w:sz w:val="26"/>
          <w:szCs w:val="26"/>
        </w:rPr>
      </w:pPr>
    </w:p>
    <w:p w14:paraId="601BB152" w14:textId="713666F4" w:rsidR="00931D93" w:rsidRPr="00931D93" w:rsidRDefault="00931D93" w:rsidP="00931D93">
      <w:pPr>
        <w:ind w:left="1440" w:right="1440" w:firstLine="720"/>
        <w:rPr>
          <w:rFonts w:ascii="Times New Roman" w:eastAsia="Times New Roman" w:hAnsi="Times New Roman" w:cs="Times New Roman"/>
          <w:color w:val="000000"/>
          <w:sz w:val="26"/>
          <w:szCs w:val="26"/>
        </w:rPr>
      </w:pPr>
      <w:r w:rsidRPr="00931D93">
        <w:rPr>
          <w:rFonts w:ascii="Times New Roman" w:eastAsia="Times New Roman" w:hAnsi="Times New Roman" w:cs="Times New Roman"/>
          <w:bCs/>
          <w:color w:val="000000"/>
          <w:sz w:val="26"/>
          <w:szCs w:val="26"/>
        </w:rPr>
        <w:t>32.</w:t>
      </w:r>
      <w:r w:rsidRPr="00931D93">
        <w:rPr>
          <w:rFonts w:ascii="Times New Roman" w:eastAsia="Times New Roman" w:hAnsi="Times New Roman" w:cs="Times New Roman"/>
          <w:bCs/>
          <w:color w:val="000000"/>
          <w:sz w:val="26"/>
          <w:szCs w:val="26"/>
        </w:rPr>
        <w:tab/>
        <w:t>P</w:t>
      </w:r>
      <w:r w:rsidRPr="00931D93">
        <w:rPr>
          <w:rFonts w:ascii="Times New Roman" w:eastAsia="Times New Roman" w:hAnsi="Times New Roman" w:cs="Times New Roman"/>
          <w:color w:val="000000"/>
          <w:sz w:val="26"/>
          <w:szCs w:val="26"/>
        </w:rPr>
        <w:t>ursuant to 66 Pa. C.S. § 507, the Commission shall issue Certificates of Filing or approvals for the following agreements between PAWC and a municipal corporation:  (a) the Asset Purchase Agreement By and Between Royersford Borough, Montgomery County, as Seller, and Pennsylvania-American Water Company, as Buyer, dated as of December 10, 2019, and (b) the First Amendment to Asset Purchase Agreement, dated as of October 27, 2020, between Royersford Borough, Montgomery County and Pennsylvania-American Water Company.</w:t>
      </w:r>
    </w:p>
    <w:p w14:paraId="216E6D7C" w14:textId="77777777" w:rsidR="00931D93" w:rsidRPr="00931D93" w:rsidRDefault="00931D93" w:rsidP="00931D93">
      <w:pPr>
        <w:ind w:left="1440" w:right="1440" w:firstLine="720"/>
        <w:rPr>
          <w:rFonts w:ascii="Times New Roman" w:eastAsia="Times New Roman" w:hAnsi="Times New Roman" w:cs="Times New Roman"/>
          <w:color w:val="000000"/>
          <w:sz w:val="26"/>
          <w:szCs w:val="26"/>
        </w:rPr>
      </w:pPr>
    </w:p>
    <w:p w14:paraId="246AE798" w14:textId="77777777" w:rsidR="00931D93" w:rsidRPr="00931D93" w:rsidRDefault="00931D93" w:rsidP="00931D93">
      <w:pPr>
        <w:keepNext/>
        <w:ind w:left="1440" w:right="1440" w:hanging="10"/>
        <w:rPr>
          <w:rFonts w:ascii="Times New Roman" w:eastAsia="Times New Roman" w:hAnsi="Times New Roman" w:cs="Times New Roman"/>
          <w:b/>
          <w:color w:val="000000"/>
          <w:sz w:val="26"/>
          <w:szCs w:val="26"/>
        </w:rPr>
      </w:pPr>
      <w:r w:rsidRPr="00931D93">
        <w:rPr>
          <w:rFonts w:ascii="Times New Roman" w:eastAsia="Times New Roman" w:hAnsi="Times New Roman" w:cs="Times New Roman"/>
          <w:b/>
          <w:color w:val="000000"/>
          <w:sz w:val="26"/>
          <w:szCs w:val="26"/>
        </w:rPr>
        <w:tab/>
        <w:t>J.</w:t>
      </w:r>
      <w:r w:rsidRPr="00931D93">
        <w:rPr>
          <w:rFonts w:ascii="Times New Roman" w:eastAsia="Times New Roman" w:hAnsi="Times New Roman" w:cs="Times New Roman"/>
          <w:b/>
          <w:color w:val="000000"/>
          <w:sz w:val="26"/>
          <w:szCs w:val="26"/>
        </w:rPr>
        <w:tab/>
        <w:t>Other Necessary Approvals</w:t>
      </w:r>
    </w:p>
    <w:p w14:paraId="344378E1" w14:textId="77777777" w:rsidR="00931D93" w:rsidRPr="00931D93" w:rsidRDefault="00931D93" w:rsidP="00931D93">
      <w:pPr>
        <w:keepNext/>
        <w:ind w:left="1440" w:right="1440" w:hanging="10"/>
        <w:rPr>
          <w:rFonts w:ascii="Times New Roman" w:eastAsia="Times New Roman" w:hAnsi="Times New Roman" w:cs="Times New Roman"/>
          <w:b/>
          <w:color w:val="000000"/>
          <w:sz w:val="26"/>
          <w:szCs w:val="26"/>
        </w:rPr>
      </w:pPr>
    </w:p>
    <w:p w14:paraId="4DB674D4" w14:textId="3844A1C9" w:rsidR="0008771C" w:rsidRDefault="00931D93" w:rsidP="005A7A2F">
      <w:pPr>
        <w:keepNext/>
        <w:tabs>
          <w:tab w:val="left" w:pos="1440"/>
        </w:tabs>
        <w:ind w:left="1440" w:right="1440"/>
        <w:textAlignment w:val="baseline"/>
        <w:rPr>
          <w:rFonts w:ascii="Times New Roman" w:eastAsia="Times New Roman" w:hAnsi="Times New Roman"/>
          <w:color w:val="000000"/>
          <w:spacing w:val="-1"/>
          <w:sz w:val="26"/>
          <w:szCs w:val="26"/>
        </w:rPr>
      </w:pPr>
      <w:r w:rsidRPr="0050577C">
        <w:rPr>
          <w:rFonts w:ascii="Times New Roman" w:eastAsia="Times New Roman" w:hAnsi="Times New Roman" w:cs="Times New Roman"/>
          <w:color w:val="000000"/>
          <w:sz w:val="26"/>
          <w:szCs w:val="26"/>
        </w:rPr>
        <w:tab/>
        <w:t>33.</w:t>
      </w:r>
      <w:r w:rsidRPr="0050577C">
        <w:rPr>
          <w:rFonts w:ascii="Times New Roman" w:eastAsia="Times New Roman" w:hAnsi="Times New Roman" w:cs="Times New Roman"/>
          <w:color w:val="000000"/>
          <w:sz w:val="26"/>
          <w:szCs w:val="26"/>
        </w:rPr>
        <w:tab/>
        <w:t xml:space="preserve">The Commission shall issue any other approvals or certificates appropriate, customary, or necessary under the Pennsylvania Public Utility Code to carry out the </w:t>
      </w:r>
      <w:r w:rsidRPr="0050577C">
        <w:rPr>
          <w:rFonts w:ascii="Times New Roman" w:eastAsia="Times New Roman" w:hAnsi="Times New Roman" w:cs="Times New Roman"/>
          <w:color w:val="000000"/>
          <w:sz w:val="26"/>
          <w:szCs w:val="26"/>
        </w:rPr>
        <w:lastRenderedPageBreak/>
        <w:t>transaction contemplated in the Application in a lawful manner.</w:t>
      </w:r>
    </w:p>
    <w:p w14:paraId="43ED58D4" w14:textId="77777777" w:rsidR="001642A1" w:rsidRDefault="001642A1" w:rsidP="00216B97">
      <w:pPr>
        <w:keepNext/>
        <w:spacing w:line="360" w:lineRule="auto"/>
        <w:textAlignment w:val="baseline"/>
        <w:rPr>
          <w:rFonts w:ascii="Times New Roman" w:eastAsia="Times New Roman" w:hAnsi="Times New Roman"/>
          <w:color w:val="000000"/>
          <w:spacing w:val="-1"/>
          <w:sz w:val="26"/>
          <w:szCs w:val="26"/>
        </w:rPr>
      </w:pPr>
    </w:p>
    <w:p w14:paraId="6277DE9F" w14:textId="3E65013D" w:rsidR="00E403EA" w:rsidRDefault="00E403EA" w:rsidP="00216B97">
      <w:pPr>
        <w:keepNext/>
        <w:spacing w:line="360" w:lineRule="auto"/>
        <w:textAlignment w:val="baseline"/>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 xml:space="preserve">Joint Petition at </w:t>
      </w:r>
      <w:r w:rsidR="00E46BD3">
        <w:rPr>
          <w:rFonts w:ascii="Times New Roman" w:eastAsia="Times New Roman" w:hAnsi="Times New Roman"/>
          <w:color w:val="000000"/>
          <w:spacing w:val="-1"/>
          <w:sz w:val="26"/>
          <w:szCs w:val="26"/>
        </w:rPr>
        <w:t>4-8</w:t>
      </w:r>
      <w:r>
        <w:rPr>
          <w:rFonts w:ascii="Times New Roman" w:eastAsia="Times New Roman" w:hAnsi="Times New Roman"/>
          <w:color w:val="000000"/>
          <w:spacing w:val="-1"/>
          <w:sz w:val="26"/>
          <w:szCs w:val="26"/>
        </w:rPr>
        <w:t>.</w:t>
      </w:r>
    </w:p>
    <w:p w14:paraId="04AEC671" w14:textId="148E3E8D" w:rsidR="00B94402" w:rsidRDefault="00B94402" w:rsidP="00216B97">
      <w:pPr>
        <w:keepNext/>
        <w:spacing w:line="360" w:lineRule="auto"/>
        <w:ind w:firstLine="1440"/>
        <w:textAlignment w:val="baseline"/>
        <w:rPr>
          <w:rFonts w:ascii="Times New Roman" w:eastAsia="Times New Roman" w:hAnsi="Times New Roman"/>
          <w:color w:val="000000"/>
          <w:spacing w:val="-1"/>
          <w:sz w:val="26"/>
          <w:szCs w:val="26"/>
        </w:rPr>
      </w:pPr>
    </w:p>
    <w:p w14:paraId="3002674A" w14:textId="7A1B9455" w:rsidR="00DC6CC5" w:rsidRPr="00DC6CC5" w:rsidRDefault="00DC6CC5" w:rsidP="00216B97">
      <w:pPr>
        <w:keepNext/>
        <w:spacing w:line="360" w:lineRule="auto"/>
        <w:textAlignment w:val="baseline"/>
        <w:rPr>
          <w:rFonts w:ascii="Times New Roman" w:eastAsia="Times New Roman" w:hAnsi="Times New Roman"/>
          <w:b/>
          <w:bCs/>
          <w:color w:val="000000"/>
          <w:spacing w:val="-1"/>
          <w:sz w:val="26"/>
          <w:szCs w:val="26"/>
        </w:rPr>
      </w:pPr>
      <w:r w:rsidRPr="00DC6CC5">
        <w:rPr>
          <w:rFonts w:ascii="Times New Roman" w:eastAsia="Times New Roman" w:hAnsi="Times New Roman"/>
          <w:b/>
          <w:bCs/>
          <w:color w:val="000000"/>
          <w:spacing w:val="-1"/>
          <w:sz w:val="26"/>
          <w:szCs w:val="26"/>
        </w:rPr>
        <w:t>D.</w:t>
      </w:r>
      <w:r w:rsidRPr="00DC6CC5">
        <w:rPr>
          <w:rFonts w:ascii="Times New Roman" w:eastAsia="Times New Roman" w:hAnsi="Times New Roman"/>
          <w:b/>
          <w:bCs/>
          <w:color w:val="000000"/>
          <w:spacing w:val="-1"/>
          <w:sz w:val="26"/>
          <w:szCs w:val="26"/>
        </w:rPr>
        <w:tab/>
        <w:t>Recommended Decision</w:t>
      </w:r>
    </w:p>
    <w:p w14:paraId="4CB9C14C" w14:textId="52047FB8" w:rsidR="00B94402" w:rsidRDefault="00B94402" w:rsidP="00216B97">
      <w:pPr>
        <w:keepNext/>
        <w:spacing w:line="360" w:lineRule="auto"/>
        <w:ind w:firstLine="1440"/>
        <w:textAlignment w:val="baseline"/>
        <w:rPr>
          <w:rFonts w:ascii="Times New Roman" w:eastAsia="Times New Roman" w:hAnsi="Times New Roman"/>
          <w:color w:val="000000"/>
          <w:spacing w:val="-1"/>
          <w:sz w:val="26"/>
          <w:szCs w:val="26"/>
        </w:rPr>
      </w:pPr>
    </w:p>
    <w:p w14:paraId="11A498FA" w14:textId="18129E05" w:rsidR="00AA0099" w:rsidRDefault="00AA0099" w:rsidP="00216B97">
      <w:pPr>
        <w:keepNext/>
        <w:spacing w:line="360" w:lineRule="auto"/>
        <w:ind w:firstLine="1440"/>
        <w:textAlignment w:val="baseline"/>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 xml:space="preserve">The ALJ summarized the positions of the Parties </w:t>
      </w:r>
      <w:r w:rsidR="00A961C5">
        <w:rPr>
          <w:rFonts w:ascii="Times New Roman" w:eastAsia="Times New Roman" w:hAnsi="Times New Roman"/>
          <w:color w:val="000000"/>
          <w:spacing w:val="-1"/>
          <w:sz w:val="26"/>
          <w:szCs w:val="26"/>
        </w:rPr>
        <w:t xml:space="preserve">pertaining to the contested issues in this case and the </w:t>
      </w:r>
      <w:r w:rsidR="001A7065">
        <w:rPr>
          <w:rFonts w:ascii="Times New Roman" w:eastAsia="Times New Roman" w:hAnsi="Times New Roman"/>
          <w:color w:val="000000"/>
          <w:spacing w:val="-1"/>
          <w:sz w:val="26"/>
          <w:szCs w:val="26"/>
        </w:rPr>
        <w:t xml:space="preserve">resolution of them in the Settlement.  The ALJ explained </w:t>
      </w:r>
      <w:r w:rsidR="009F36FD">
        <w:rPr>
          <w:rFonts w:ascii="Times New Roman" w:eastAsia="Times New Roman" w:hAnsi="Times New Roman"/>
          <w:color w:val="000000"/>
          <w:spacing w:val="-1"/>
          <w:sz w:val="26"/>
          <w:szCs w:val="26"/>
        </w:rPr>
        <w:t xml:space="preserve">that not every issue was of equal concern to the Parties and, thus, </w:t>
      </w:r>
      <w:r w:rsidR="00677F1D">
        <w:rPr>
          <w:rFonts w:ascii="Times New Roman" w:eastAsia="Times New Roman" w:hAnsi="Times New Roman"/>
          <w:color w:val="000000"/>
          <w:spacing w:val="-1"/>
          <w:sz w:val="26"/>
          <w:szCs w:val="26"/>
        </w:rPr>
        <w:t>each of the statements in support</w:t>
      </w:r>
      <w:r w:rsidR="006228B5">
        <w:rPr>
          <w:rFonts w:ascii="Times New Roman" w:eastAsia="Times New Roman" w:hAnsi="Times New Roman"/>
          <w:color w:val="000000"/>
          <w:spacing w:val="-1"/>
          <w:sz w:val="26"/>
          <w:szCs w:val="26"/>
        </w:rPr>
        <w:t xml:space="preserve"> </w:t>
      </w:r>
      <w:r w:rsidR="00677F1D">
        <w:rPr>
          <w:rFonts w:ascii="Times New Roman" w:eastAsia="Times New Roman" w:hAnsi="Times New Roman"/>
          <w:color w:val="000000"/>
          <w:spacing w:val="-1"/>
          <w:sz w:val="26"/>
          <w:szCs w:val="26"/>
        </w:rPr>
        <w:t xml:space="preserve">did </w:t>
      </w:r>
      <w:r w:rsidR="006228B5">
        <w:rPr>
          <w:rFonts w:ascii="Times New Roman" w:eastAsia="Times New Roman" w:hAnsi="Times New Roman"/>
          <w:color w:val="000000"/>
          <w:spacing w:val="-1"/>
          <w:sz w:val="26"/>
          <w:szCs w:val="26"/>
        </w:rPr>
        <w:t xml:space="preserve">not </w:t>
      </w:r>
      <w:r w:rsidR="0069694D">
        <w:rPr>
          <w:rFonts w:ascii="Times New Roman" w:eastAsia="Times New Roman" w:hAnsi="Times New Roman"/>
          <w:color w:val="000000"/>
          <w:spacing w:val="-1"/>
          <w:sz w:val="26"/>
          <w:szCs w:val="26"/>
        </w:rPr>
        <w:t xml:space="preserve">address each aspect of the Settlement.  Specifically, the ALJ summarized the </w:t>
      </w:r>
      <w:r w:rsidR="00756821">
        <w:rPr>
          <w:rFonts w:ascii="Times New Roman" w:eastAsia="Times New Roman" w:hAnsi="Times New Roman"/>
          <w:color w:val="000000"/>
          <w:spacing w:val="-1"/>
          <w:sz w:val="26"/>
          <w:szCs w:val="26"/>
        </w:rPr>
        <w:t xml:space="preserve">Parties’ </w:t>
      </w:r>
      <w:r w:rsidR="000D0FC4">
        <w:rPr>
          <w:rFonts w:ascii="Times New Roman" w:eastAsia="Times New Roman" w:hAnsi="Times New Roman"/>
          <w:color w:val="000000"/>
          <w:spacing w:val="-1"/>
          <w:sz w:val="26"/>
          <w:szCs w:val="26"/>
        </w:rPr>
        <w:t>positions as to the following issues:</w:t>
      </w:r>
    </w:p>
    <w:p w14:paraId="3E3B9DF6" w14:textId="77777777" w:rsidR="00BA5F15" w:rsidRDefault="00BA5F15" w:rsidP="00216B97">
      <w:pPr>
        <w:keepNext/>
        <w:ind w:left="1440"/>
        <w:textAlignment w:val="baseline"/>
        <w:rPr>
          <w:rFonts w:ascii="Times New Roman" w:eastAsia="Times New Roman" w:hAnsi="Times New Roman"/>
          <w:color w:val="000000"/>
          <w:spacing w:val="-1"/>
          <w:sz w:val="26"/>
          <w:szCs w:val="26"/>
        </w:rPr>
      </w:pPr>
    </w:p>
    <w:p w14:paraId="7DC4B29A" w14:textId="3983A38E" w:rsidR="000D0FC4" w:rsidRDefault="00A85B46" w:rsidP="005A7A2F">
      <w:pPr>
        <w:pStyle w:val="ListParagraph"/>
        <w:keepNext/>
        <w:numPr>
          <w:ilvl w:val="0"/>
          <w:numId w:val="39"/>
        </w:numPr>
        <w:ind w:left="1440" w:hanging="720"/>
        <w:contextualSpacing w:val="0"/>
        <w:textAlignment w:val="baseline"/>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Sections 1102 and 1103 Approvals – Fitness</w:t>
      </w:r>
    </w:p>
    <w:p w14:paraId="031C8836" w14:textId="6065EF1C" w:rsidR="00A85B46" w:rsidRDefault="006F3F6E" w:rsidP="005A7A2F">
      <w:pPr>
        <w:pStyle w:val="ListParagraph"/>
        <w:keepNext/>
        <w:numPr>
          <w:ilvl w:val="0"/>
          <w:numId w:val="39"/>
        </w:numPr>
        <w:ind w:left="1440" w:hanging="720"/>
        <w:contextualSpacing w:val="0"/>
        <w:textAlignment w:val="baseline"/>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Sections 1102 and 1103 Approvals – Affirmative Public Benefits</w:t>
      </w:r>
    </w:p>
    <w:p w14:paraId="7670C3B7" w14:textId="2E4C594B" w:rsidR="006F3F6E" w:rsidRDefault="007E44C2" w:rsidP="005A7A2F">
      <w:pPr>
        <w:pStyle w:val="ListParagraph"/>
        <w:keepNext/>
        <w:numPr>
          <w:ilvl w:val="0"/>
          <w:numId w:val="39"/>
        </w:numPr>
        <w:ind w:left="1440" w:hanging="720"/>
        <w:contextualSpacing w:val="0"/>
        <w:textAlignment w:val="baseline"/>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 xml:space="preserve">Section 1329 Approvals – Ratemaking Rate Base </w:t>
      </w:r>
      <w:r w:rsidR="000B01A0">
        <w:rPr>
          <w:rFonts w:ascii="Times New Roman" w:eastAsia="Times New Roman" w:hAnsi="Times New Roman"/>
          <w:color w:val="000000"/>
          <w:spacing w:val="-1"/>
          <w:sz w:val="26"/>
          <w:szCs w:val="26"/>
        </w:rPr>
        <w:t xml:space="preserve">and Fair Market Value  </w:t>
      </w:r>
    </w:p>
    <w:p w14:paraId="535CBEA5" w14:textId="52E4275E" w:rsidR="000B01A0" w:rsidRDefault="000B01A0" w:rsidP="005A7A2F">
      <w:pPr>
        <w:pStyle w:val="ListParagraph"/>
        <w:keepNext/>
        <w:numPr>
          <w:ilvl w:val="0"/>
          <w:numId w:val="39"/>
        </w:numPr>
        <w:ind w:left="1440" w:hanging="720"/>
        <w:contextualSpacing w:val="0"/>
        <w:textAlignment w:val="baseline"/>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Section 1329 Approvals –</w:t>
      </w:r>
      <w:r w:rsidR="00267E56">
        <w:rPr>
          <w:rFonts w:ascii="Times New Roman" w:eastAsia="Times New Roman" w:hAnsi="Times New Roman"/>
          <w:color w:val="000000"/>
          <w:spacing w:val="-1"/>
          <w:sz w:val="26"/>
          <w:szCs w:val="26"/>
        </w:rPr>
        <w:t xml:space="preserve"> Cost of Service Study</w:t>
      </w:r>
    </w:p>
    <w:p w14:paraId="7510C890" w14:textId="15C710A6" w:rsidR="00267E56" w:rsidRDefault="00267E56" w:rsidP="005A7A2F">
      <w:pPr>
        <w:pStyle w:val="ListParagraph"/>
        <w:keepNext/>
        <w:numPr>
          <w:ilvl w:val="0"/>
          <w:numId w:val="39"/>
        </w:numPr>
        <w:ind w:left="1440" w:hanging="720"/>
        <w:contextualSpacing w:val="0"/>
        <w:textAlignment w:val="baseline"/>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Section 1329 Approvals – Rates</w:t>
      </w:r>
    </w:p>
    <w:p w14:paraId="6AEA06A2" w14:textId="6F7F809A" w:rsidR="00E55CF4" w:rsidRDefault="00E55CF4" w:rsidP="005A7A2F">
      <w:pPr>
        <w:pStyle w:val="ListParagraph"/>
        <w:keepNext/>
        <w:numPr>
          <w:ilvl w:val="0"/>
          <w:numId w:val="39"/>
        </w:numPr>
        <w:ind w:left="1440" w:hanging="720"/>
        <w:contextualSpacing w:val="0"/>
        <w:textAlignment w:val="baseline"/>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Section 1329 Approvals – Distribution System Improvement Charge</w:t>
      </w:r>
    </w:p>
    <w:p w14:paraId="25DC5E4D" w14:textId="618385A0" w:rsidR="00E55CF4" w:rsidRDefault="00E55CF4" w:rsidP="005A7A2F">
      <w:pPr>
        <w:pStyle w:val="ListParagraph"/>
        <w:keepNext/>
        <w:numPr>
          <w:ilvl w:val="0"/>
          <w:numId w:val="39"/>
        </w:numPr>
        <w:ind w:left="1440" w:hanging="720"/>
        <w:contextualSpacing w:val="0"/>
        <w:textAlignment w:val="baseline"/>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Section 1329 Approvals – Allowance for Funds Used During Construction and Def</w:t>
      </w:r>
      <w:r w:rsidR="00D546BD">
        <w:rPr>
          <w:rFonts w:ascii="Times New Roman" w:eastAsia="Times New Roman" w:hAnsi="Times New Roman"/>
          <w:color w:val="000000"/>
          <w:spacing w:val="-1"/>
          <w:sz w:val="26"/>
          <w:szCs w:val="26"/>
        </w:rPr>
        <w:t>erral of Depreciation and Transaction Costs</w:t>
      </w:r>
    </w:p>
    <w:p w14:paraId="60BD7AA6" w14:textId="1D1B2E33" w:rsidR="00BA5F15" w:rsidRDefault="009211F6" w:rsidP="005A7A2F">
      <w:pPr>
        <w:pStyle w:val="ListParagraph"/>
        <w:keepNext/>
        <w:numPr>
          <w:ilvl w:val="0"/>
          <w:numId w:val="39"/>
        </w:numPr>
        <w:spacing w:line="360" w:lineRule="auto"/>
        <w:ind w:left="1440" w:hanging="720"/>
        <w:contextualSpacing w:val="0"/>
        <w:textAlignment w:val="baseline"/>
        <w:rPr>
          <w:rFonts w:ascii="Times New Roman" w:eastAsia="Times New Roman" w:hAnsi="Times New Roman"/>
          <w:color w:val="000000"/>
          <w:spacing w:val="-1"/>
          <w:sz w:val="26"/>
          <w:szCs w:val="26"/>
        </w:rPr>
      </w:pPr>
      <w:r w:rsidRPr="00C710AC">
        <w:rPr>
          <w:rFonts w:ascii="Times New Roman" w:eastAsia="Times New Roman" w:hAnsi="Times New Roman"/>
          <w:color w:val="000000"/>
          <w:spacing w:val="-1"/>
          <w:sz w:val="26"/>
          <w:szCs w:val="26"/>
        </w:rPr>
        <w:t>Section 1329 Approvals – Low Income Customer Outreach</w:t>
      </w:r>
    </w:p>
    <w:p w14:paraId="36C81EDD" w14:textId="77777777" w:rsidR="00C710AC" w:rsidRPr="00C710AC" w:rsidRDefault="00C710AC" w:rsidP="00C710AC">
      <w:pPr>
        <w:keepNext/>
        <w:spacing w:line="360" w:lineRule="auto"/>
        <w:textAlignment w:val="baseline"/>
        <w:rPr>
          <w:rFonts w:ascii="Times New Roman" w:eastAsia="Times New Roman" w:hAnsi="Times New Roman"/>
          <w:color w:val="000000"/>
          <w:spacing w:val="-1"/>
          <w:sz w:val="26"/>
          <w:szCs w:val="26"/>
        </w:rPr>
      </w:pPr>
    </w:p>
    <w:p w14:paraId="177BD55D" w14:textId="0E7661DC" w:rsidR="000F1B32" w:rsidRPr="000F1B32" w:rsidRDefault="000F1B32" w:rsidP="000F1B32">
      <w:pPr>
        <w:keepNext/>
        <w:spacing w:line="360" w:lineRule="auto"/>
        <w:ind w:left="720"/>
        <w:textAlignment w:val="baseline"/>
        <w:rPr>
          <w:rFonts w:ascii="Times New Roman" w:eastAsia="Times New Roman" w:hAnsi="Times New Roman"/>
          <w:b/>
          <w:bCs/>
          <w:color w:val="000000"/>
          <w:spacing w:val="-1"/>
          <w:sz w:val="26"/>
          <w:szCs w:val="26"/>
        </w:rPr>
      </w:pPr>
      <w:r w:rsidRPr="000F1B32">
        <w:rPr>
          <w:rFonts w:ascii="Times New Roman" w:eastAsia="Times New Roman" w:hAnsi="Times New Roman"/>
          <w:b/>
          <w:bCs/>
          <w:color w:val="000000"/>
          <w:spacing w:val="-1"/>
          <w:sz w:val="26"/>
          <w:szCs w:val="26"/>
        </w:rPr>
        <w:t>1.</w:t>
      </w:r>
      <w:r w:rsidRPr="000F1B32">
        <w:rPr>
          <w:rFonts w:ascii="Times New Roman" w:eastAsia="Times New Roman" w:hAnsi="Times New Roman"/>
          <w:b/>
          <w:bCs/>
          <w:color w:val="000000"/>
          <w:spacing w:val="-1"/>
          <w:sz w:val="26"/>
          <w:szCs w:val="26"/>
        </w:rPr>
        <w:tab/>
        <w:t>Fitness</w:t>
      </w:r>
    </w:p>
    <w:p w14:paraId="6E94F894" w14:textId="641146CA" w:rsidR="000F1B32" w:rsidRDefault="000F1B32" w:rsidP="000F1B32">
      <w:pPr>
        <w:keepNext/>
        <w:spacing w:line="360" w:lineRule="auto"/>
        <w:ind w:left="720"/>
        <w:textAlignment w:val="baseline"/>
        <w:rPr>
          <w:rFonts w:ascii="Times New Roman" w:eastAsia="Times New Roman" w:hAnsi="Times New Roman"/>
          <w:color w:val="000000"/>
          <w:spacing w:val="-1"/>
          <w:sz w:val="26"/>
          <w:szCs w:val="26"/>
        </w:rPr>
      </w:pPr>
    </w:p>
    <w:p w14:paraId="0DBD336B" w14:textId="47B80161" w:rsidR="00E458F9" w:rsidRDefault="00E458F9" w:rsidP="000D793D">
      <w:pPr>
        <w:spacing w:line="360" w:lineRule="auto"/>
        <w:ind w:firstLine="1440"/>
        <w:textAlignment w:val="baseline"/>
        <w:rPr>
          <w:rFonts w:ascii="Times New Roman" w:eastAsia="Times New Roman" w:hAnsi="Times New Roman"/>
          <w:color w:val="000000"/>
          <w:spacing w:val="-1"/>
          <w:sz w:val="26"/>
          <w:szCs w:val="26"/>
        </w:rPr>
      </w:pPr>
      <w:r w:rsidRPr="00685C8D">
        <w:rPr>
          <w:rFonts w:ascii="Times New Roman" w:eastAsia="Times New Roman" w:hAnsi="Times New Roman"/>
          <w:color w:val="000000"/>
          <w:spacing w:val="-1"/>
          <w:sz w:val="26"/>
          <w:szCs w:val="26"/>
        </w:rPr>
        <w:t xml:space="preserve">The ALJ </w:t>
      </w:r>
      <w:r w:rsidR="00577BB7">
        <w:rPr>
          <w:rFonts w:ascii="Times New Roman" w:eastAsia="Times New Roman" w:hAnsi="Times New Roman"/>
          <w:color w:val="000000"/>
          <w:spacing w:val="-1"/>
          <w:sz w:val="26"/>
          <w:szCs w:val="26"/>
        </w:rPr>
        <w:t xml:space="preserve">began by noting </w:t>
      </w:r>
      <w:r w:rsidRPr="00685C8D">
        <w:rPr>
          <w:rFonts w:ascii="Times New Roman" w:eastAsia="Times New Roman" w:hAnsi="Times New Roman"/>
          <w:color w:val="000000"/>
          <w:spacing w:val="-1"/>
          <w:sz w:val="26"/>
          <w:szCs w:val="26"/>
        </w:rPr>
        <w:t xml:space="preserve">that as an existing, certificated public utility, the Company enjoys a presumption of fitness in this proceeding.  Here, no Party presented evidence to challenge PAWC’s fitness.  Regarding financial fitness, PAWC </w:t>
      </w:r>
      <w:r w:rsidR="000D793D">
        <w:rPr>
          <w:rFonts w:ascii="Times New Roman" w:eastAsia="Times New Roman" w:hAnsi="Times New Roman"/>
          <w:color w:val="000000"/>
          <w:spacing w:val="-1"/>
          <w:sz w:val="26"/>
          <w:szCs w:val="26"/>
        </w:rPr>
        <w:t xml:space="preserve">asserted that it </w:t>
      </w:r>
      <w:r w:rsidRPr="00685C8D">
        <w:rPr>
          <w:rFonts w:ascii="Times New Roman" w:eastAsia="Times New Roman" w:hAnsi="Times New Roman"/>
          <w:color w:val="000000"/>
          <w:spacing w:val="-1"/>
          <w:sz w:val="26"/>
          <w:szCs w:val="26"/>
        </w:rPr>
        <w:t>ha</w:t>
      </w:r>
      <w:r>
        <w:rPr>
          <w:rFonts w:ascii="Times New Roman" w:eastAsia="Times New Roman" w:hAnsi="Times New Roman"/>
          <w:color w:val="000000"/>
          <w:spacing w:val="-1"/>
          <w:sz w:val="26"/>
          <w:szCs w:val="26"/>
        </w:rPr>
        <w:t>d</w:t>
      </w:r>
      <w:r w:rsidRPr="00685C8D">
        <w:rPr>
          <w:rFonts w:ascii="Times New Roman" w:eastAsia="Times New Roman" w:hAnsi="Times New Roman"/>
          <w:color w:val="000000"/>
          <w:spacing w:val="-1"/>
          <w:sz w:val="26"/>
          <w:szCs w:val="26"/>
        </w:rPr>
        <w:t xml:space="preserve"> total assets of $</w:t>
      </w:r>
      <w:r>
        <w:rPr>
          <w:rFonts w:ascii="Times New Roman" w:eastAsia="Times New Roman" w:hAnsi="Times New Roman"/>
          <w:color w:val="000000"/>
          <w:spacing w:val="-1"/>
          <w:sz w:val="26"/>
          <w:szCs w:val="26"/>
        </w:rPr>
        <w:t>5.3</w:t>
      </w:r>
      <w:r w:rsidRPr="00685C8D">
        <w:rPr>
          <w:rFonts w:ascii="Times New Roman" w:eastAsia="Times New Roman" w:hAnsi="Times New Roman"/>
          <w:color w:val="000000"/>
          <w:spacing w:val="-1"/>
          <w:sz w:val="26"/>
          <w:szCs w:val="26"/>
        </w:rPr>
        <w:t xml:space="preserve"> billion </w:t>
      </w:r>
      <w:r>
        <w:rPr>
          <w:rFonts w:ascii="Times New Roman" w:eastAsia="Times New Roman" w:hAnsi="Times New Roman"/>
          <w:color w:val="000000"/>
          <w:spacing w:val="-1"/>
          <w:sz w:val="26"/>
          <w:szCs w:val="26"/>
        </w:rPr>
        <w:t>as of December 31, 2019.  For 2019, the Company had operating income of approximately $330 million and net income of $187 million.  PAWC</w:t>
      </w:r>
      <w:r w:rsidR="001435F4">
        <w:rPr>
          <w:rFonts w:ascii="Times New Roman" w:eastAsia="Times New Roman" w:hAnsi="Times New Roman"/>
          <w:color w:val="000000"/>
          <w:spacing w:val="-1"/>
          <w:sz w:val="26"/>
          <w:szCs w:val="26"/>
        </w:rPr>
        <w:t xml:space="preserve"> highlighted its </w:t>
      </w:r>
      <w:r>
        <w:rPr>
          <w:rFonts w:ascii="Times New Roman" w:eastAsia="Times New Roman" w:hAnsi="Times New Roman"/>
          <w:color w:val="000000"/>
          <w:spacing w:val="-1"/>
          <w:sz w:val="26"/>
          <w:szCs w:val="26"/>
        </w:rPr>
        <w:t xml:space="preserve">ability to generate positive operating cash flows and to obtain financing through equity investments, lines of credit and </w:t>
      </w:r>
      <w:proofErr w:type="gramStart"/>
      <w:r>
        <w:rPr>
          <w:rFonts w:ascii="Times New Roman" w:eastAsia="Times New Roman" w:hAnsi="Times New Roman"/>
          <w:color w:val="000000"/>
          <w:spacing w:val="-1"/>
          <w:sz w:val="26"/>
          <w:szCs w:val="26"/>
        </w:rPr>
        <w:t>long term</w:t>
      </w:r>
      <w:proofErr w:type="gramEnd"/>
      <w:r>
        <w:rPr>
          <w:rFonts w:ascii="Times New Roman" w:eastAsia="Times New Roman" w:hAnsi="Times New Roman"/>
          <w:color w:val="000000"/>
          <w:spacing w:val="-1"/>
          <w:sz w:val="26"/>
          <w:szCs w:val="26"/>
        </w:rPr>
        <w:t xml:space="preserve"> debt financing at favorable rates.  </w:t>
      </w:r>
      <w:r>
        <w:rPr>
          <w:rFonts w:ascii="Times New Roman" w:eastAsia="Times New Roman" w:hAnsi="Times New Roman"/>
          <w:color w:val="000000"/>
          <w:spacing w:val="-1"/>
          <w:sz w:val="26"/>
          <w:szCs w:val="26"/>
        </w:rPr>
        <w:lastRenderedPageBreak/>
        <w:t xml:space="preserve">PAWC will initially fund the transaction with short-term debt and later replace it with a combination of long-term debt and equity capital.  R.D. at 26 (citing PAWC St. 1 at 18, PAWC St. 3 at 4-5).  </w:t>
      </w:r>
    </w:p>
    <w:p w14:paraId="2E6A5661" w14:textId="77777777" w:rsidR="00E458F9" w:rsidRDefault="00E458F9" w:rsidP="00E458F9">
      <w:pPr>
        <w:spacing w:line="360" w:lineRule="auto"/>
        <w:textAlignment w:val="baseline"/>
        <w:rPr>
          <w:rFonts w:ascii="Times New Roman" w:eastAsia="Times New Roman" w:hAnsi="Times New Roman"/>
          <w:color w:val="000000"/>
          <w:spacing w:val="-1"/>
          <w:sz w:val="26"/>
          <w:szCs w:val="26"/>
        </w:rPr>
      </w:pPr>
    </w:p>
    <w:p w14:paraId="40809E28" w14:textId="4CB5CC58" w:rsidR="00E458F9" w:rsidRPr="00685C8D" w:rsidRDefault="00E458F9" w:rsidP="00E458F9">
      <w:pPr>
        <w:spacing w:line="360" w:lineRule="auto"/>
        <w:textAlignment w:val="baseline"/>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ab/>
      </w:r>
      <w:r>
        <w:rPr>
          <w:rFonts w:ascii="Times New Roman" w:eastAsia="Times New Roman" w:hAnsi="Times New Roman"/>
          <w:color w:val="000000"/>
          <w:spacing w:val="-1"/>
          <w:sz w:val="26"/>
          <w:szCs w:val="26"/>
        </w:rPr>
        <w:tab/>
        <w:t>In addition, PAWC</w:t>
      </w:r>
      <w:r w:rsidR="001435F4">
        <w:rPr>
          <w:rFonts w:ascii="Times New Roman" w:eastAsia="Times New Roman" w:hAnsi="Times New Roman"/>
          <w:color w:val="000000"/>
          <w:spacing w:val="-1"/>
          <w:sz w:val="26"/>
          <w:szCs w:val="26"/>
        </w:rPr>
        <w:t xml:space="preserve"> testified</w:t>
      </w:r>
      <w:r>
        <w:rPr>
          <w:rFonts w:ascii="Times New Roman" w:eastAsia="Times New Roman" w:hAnsi="Times New Roman"/>
          <w:color w:val="000000"/>
          <w:spacing w:val="-1"/>
          <w:sz w:val="26"/>
          <w:szCs w:val="26"/>
        </w:rPr>
        <w:t xml:space="preserve"> that the Company does not anticipate that the acquisition of the System will have a negative impact on PAWC’s cash flows, credit ratings or access to capital.  Rather, given its size, access to capital and its recognized strengths in system planning, capital budgeting and construction management, </w:t>
      </w:r>
      <w:r w:rsidR="001435F4">
        <w:rPr>
          <w:rFonts w:ascii="Times New Roman" w:eastAsia="Times New Roman" w:hAnsi="Times New Roman"/>
          <w:color w:val="000000"/>
          <w:spacing w:val="-1"/>
          <w:sz w:val="26"/>
          <w:szCs w:val="26"/>
        </w:rPr>
        <w:t>PAWC asserted that it</w:t>
      </w:r>
      <w:r>
        <w:rPr>
          <w:rFonts w:ascii="Times New Roman" w:eastAsia="Times New Roman" w:hAnsi="Times New Roman"/>
          <w:color w:val="000000"/>
          <w:spacing w:val="-1"/>
          <w:sz w:val="26"/>
          <w:szCs w:val="26"/>
        </w:rPr>
        <w:t xml:space="preserve"> </w:t>
      </w:r>
      <w:r w:rsidR="00053C78">
        <w:rPr>
          <w:rFonts w:ascii="Times New Roman" w:eastAsia="Times New Roman" w:hAnsi="Times New Roman"/>
          <w:color w:val="000000"/>
          <w:spacing w:val="-1"/>
          <w:sz w:val="26"/>
          <w:szCs w:val="26"/>
        </w:rPr>
        <w:t xml:space="preserve">is </w:t>
      </w:r>
      <w:r>
        <w:rPr>
          <w:rFonts w:ascii="Times New Roman" w:eastAsia="Times New Roman" w:hAnsi="Times New Roman"/>
          <w:color w:val="000000"/>
          <w:spacing w:val="-1"/>
          <w:sz w:val="26"/>
          <w:szCs w:val="26"/>
        </w:rPr>
        <w:t xml:space="preserve">well positioned from a financial perspective to ensure that high quality wastewater service meeting all federal and state requirements will be provided to Royersford’s customers and maintained for PAWC’s existing customers.  R.D. at 26-27 (citing PAWC St. 3 at 4, 6-7, 9).  </w:t>
      </w:r>
    </w:p>
    <w:p w14:paraId="214032FC" w14:textId="77777777" w:rsidR="00E458F9" w:rsidRPr="00685C8D" w:rsidRDefault="00E458F9" w:rsidP="00E458F9">
      <w:pPr>
        <w:spacing w:line="360" w:lineRule="auto"/>
        <w:textAlignment w:val="baseline"/>
        <w:rPr>
          <w:rFonts w:ascii="Times New Roman" w:eastAsia="Times New Roman" w:hAnsi="Times New Roman"/>
          <w:color w:val="000000"/>
          <w:spacing w:val="-1"/>
          <w:sz w:val="26"/>
          <w:szCs w:val="26"/>
        </w:rPr>
      </w:pPr>
    </w:p>
    <w:p w14:paraId="36F0A7D8" w14:textId="543092C9" w:rsidR="00E458F9" w:rsidRPr="00685C8D" w:rsidRDefault="00E458F9" w:rsidP="00E458F9">
      <w:pPr>
        <w:spacing w:line="360" w:lineRule="auto"/>
        <w:textAlignment w:val="baseline"/>
        <w:rPr>
          <w:rFonts w:ascii="Times New Roman" w:eastAsia="Times New Roman" w:hAnsi="Times New Roman"/>
          <w:color w:val="000000"/>
          <w:spacing w:val="-1"/>
          <w:sz w:val="26"/>
          <w:szCs w:val="26"/>
        </w:rPr>
      </w:pPr>
      <w:r w:rsidRPr="00685C8D">
        <w:rPr>
          <w:rFonts w:ascii="Times New Roman" w:eastAsia="Times New Roman" w:hAnsi="Times New Roman"/>
          <w:color w:val="000000"/>
          <w:spacing w:val="-1"/>
          <w:sz w:val="26"/>
          <w:szCs w:val="26"/>
        </w:rPr>
        <w:tab/>
      </w:r>
      <w:r w:rsidRPr="00685C8D">
        <w:rPr>
          <w:rFonts w:ascii="Times New Roman" w:eastAsia="Times New Roman" w:hAnsi="Times New Roman"/>
          <w:color w:val="000000"/>
          <w:spacing w:val="-1"/>
          <w:sz w:val="26"/>
          <w:szCs w:val="26"/>
        </w:rPr>
        <w:tab/>
        <w:t>As to technical fitness, PAWC</w:t>
      </w:r>
      <w:r w:rsidR="005525D5">
        <w:rPr>
          <w:rFonts w:ascii="Times New Roman" w:eastAsia="Times New Roman" w:hAnsi="Times New Roman"/>
          <w:color w:val="000000"/>
          <w:spacing w:val="-1"/>
          <w:sz w:val="26"/>
          <w:szCs w:val="26"/>
        </w:rPr>
        <w:t xml:space="preserve"> proffered </w:t>
      </w:r>
      <w:r w:rsidRPr="00685C8D">
        <w:rPr>
          <w:rFonts w:ascii="Times New Roman" w:eastAsia="Times New Roman" w:hAnsi="Times New Roman"/>
          <w:color w:val="000000"/>
          <w:spacing w:val="-1"/>
          <w:sz w:val="26"/>
          <w:szCs w:val="26"/>
        </w:rPr>
        <w:t xml:space="preserve">that it currently employs 1,100 professionals with expertise in all areas of water and wastewater utility operations.  Moreover, PAWC, as a subsidiary of American Water, has additional resources to support PAWC in their operations.  </w:t>
      </w:r>
      <w:r w:rsidR="00632628">
        <w:rPr>
          <w:rFonts w:ascii="Times New Roman" w:eastAsia="Times New Roman" w:hAnsi="Times New Roman"/>
          <w:color w:val="000000"/>
          <w:spacing w:val="-1"/>
          <w:sz w:val="26"/>
          <w:szCs w:val="26"/>
        </w:rPr>
        <w:t>Moreover,</w:t>
      </w:r>
      <w:r w:rsidRPr="00685C8D">
        <w:rPr>
          <w:rFonts w:ascii="Times New Roman" w:eastAsia="Times New Roman" w:hAnsi="Times New Roman"/>
          <w:color w:val="000000"/>
          <w:spacing w:val="-1"/>
          <w:sz w:val="26"/>
          <w:szCs w:val="26"/>
        </w:rPr>
        <w:t xml:space="preserve"> PAWC is currently the water provider within </w:t>
      </w:r>
      <w:r>
        <w:rPr>
          <w:rFonts w:ascii="Times New Roman" w:eastAsia="Times New Roman" w:hAnsi="Times New Roman"/>
          <w:color w:val="000000"/>
          <w:spacing w:val="-1"/>
          <w:sz w:val="26"/>
          <w:szCs w:val="26"/>
        </w:rPr>
        <w:t>Royersford and Upper Providence Township</w:t>
      </w:r>
      <w:r w:rsidRPr="00685C8D">
        <w:rPr>
          <w:rFonts w:ascii="Times New Roman" w:eastAsia="Times New Roman" w:hAnsi="Times New Roman"/>
          <w:color w:val="000000"/>
          <w:spacing w:val="-1"/>
          <w:sz w:val="26"/>
          <w:szCs w:val="26"/>
        </w:rPr>
        <w:t xml:space="preserve">.  Lastly, the System will be operated as a stand-alone system within PAWC’s Southeast Area Operations with the support of PAWC’s operations </w:t>
      </w:r>
      <w:r>
        <w:rPr>
          <w:rFonts w:ascii="Times New Roman" w:eastAsia="Times New Roman" w:hAnsi="Times New Roman"/>
          <w:color w:val="000000"/>
          <w:spacing w:val="-1"/>
          <w:sz w:val="26"/>
          <w:szCs w:val="26"/>
        </w:rPr>
        <w:t>which provides a range of shared support services, including purchasing, environmental compliance, health and safety, meter reading, customer service work and PA One Call</w:t>
      </w:r>
      <w:r w:rsidRPr="00685C8D">
        <w:rPr>
          <w:rFonts w:ascii="Times New Roman" w:eastAsia="Times New Roman" w:hAnsi="Times New Roman"/>
          <w:color w:val="000000"/>
          <w:spacing w:val="-1"/>
          <w:sz w:val="26"/>
          <w:szCs w:val="26"/>
        </w:rPr>
        <w:t xml:space="preserve">.  </w:t>
      </w:r>
      <w:r>
        <w:rPr>
          <w:rFonts w:ascii="Times New Roman" w:eastAsia="Times New Roman" w:hAnsi="Times New Roman"/>
          <w:color w:val="000000"/>
          <w:spacing w:val="-1"/>
          <w:sz w:val="26"/>
          <w:szCs w:val="26"/>
        </w:rPr>
        <w:t>R.D. at 27 (citing PAWC St. 1 at 13, PAWC St. 2 at 6, 8-9)</w:t>
      </w:r>
      <w:r w:rsidRPr="00685C8D">
        <w:rPr>
          <w:rFonts w:ascii="Times New Roman" w:eastAsia="Times New Roman" w:hAnsi="Times New Roman"/>
          <w:color w:val="000000"/>
          <w:spacing w:val="-1"/>
          <w:sz w:val="26"/>
          <w:szCs w:val="26"/>
        </w:rPr>
        <w:t>.  Next, the ALJ summarized the Company’s evidence pertaining to its legal fitness explaining that there are no pending legal proceedings challenging PAWC’s ability or propensity to operate safely and legally</w:t>
      </w:r>
      <w:r>
        <w:rPr>
          <w:rFonts w:ascii="Times New Roman" w:eastAsia="Times New Roman" w:hAnsi="Times New Roman"/>
          <w:color w:val="000000"/>
          <w:spacing w:val="-1"/>
          <w:sz w:val="26"/>
          <w:szCs w:val="26"/>
        </w:rPr>
        <w:t xml:space="preserve"> and that PAWC has a good compliance history with the Commission</w:t>
      </w:r>
      <w:r w:rsidRPr="00685C8D">
        <w:rPr>
          <w:rFonts w:ascii="Times New Roman" w:eastAsia="Times New Roman" w:hAnsi="Times New Roman"/>
          <w:color w:val="000000"/>
          <w:spacing w:val="-1"/>
          <w:sz w:val="26"/>
          <w:szCs w:val="26"/>
        </w:rPr>
        <w:t>.</w:t>
      </w:r>
      <w:r>
        <w:rPr>
          <w:rFonts w:ascii="Times New Roman" w:eastAsia="Times New Roman" w:hAnsi="Times New Roman"/>
          <w:color w:val="000000"/>
          <w:spacing w:val="-1"/>
          <w:sz w:val="26"/>
          <w:szCs w:val="26"/>
        </w:rPr>
        <w:t xml:space="preserve">  </w:t>
      </w:r>
      <w:r w:rsidRPr="00D76385">
        <w:rPr>
          <w:rFonts w:ascii="Times New Roman" w:eastAsia="Times New Roman" w:hAnsi="Times New Roman"/>
          <w:i/>
          <w:iCs/>
          <w:color w:val="000000"/>
          <w:spacing w:val="-1"/>
          <w:sz w:val="26"/>
          <w:szCs w:val="26"/>
        </w:rPr>
        <w:t>Id</w:t>
      </w:r>
      <w:r>
        <w:rPr>
          <w:rFonts w:ascii="Times New Roman" w:eastAsia="Times New Roman" w:hAnsi="Times New Roman"/>
          <w:color w:val="000000"/>
          <w:spacing w:val="-1"/>
          <w:sz w:val="26"/>
          <w:szCs w:val="26"/>
        </w:rPr>
        <w:t>. (citing PAWC St. 1 at 13, 18).</w:t>
      </w:r>
    </w:p>
    <w:p w14:paraId="4963C915" w14:textId="77777777" w:rsidR="00E458F9" w:rsidRPr="00685C8D" w:rsidRDefault="00E458F9" w:rsidP="00E458F9">
      <w:pPr>
        <w:spacing w:line="360" w:lineRule="auto"/>
        <w:textAlignment w:val="baseline"/>
        <w:rPr>
          <w:rFonts w:ascii="Times New Roman" w:eastAsia="Times New Roman" w:hAnsi="Times New Roman"/>
          <w:color w:val="000000"/>
          <w:spacing w:val="-1"/>
          <w:sz w:val="26"/>
          <w:szCs w:val="26"/>
        </w:rPr>
      </w:pPr>
    </w:p>
    <w:p w14:paraId="05D5AB7F" w14:textId="110C2D1C" w:rsidR="000F1B32" w:rsidRPr="00B23C18" w:rsidRDefault="00B23C18" w:rsidP="006C6AA7">
      <w:pPr>
        <w:keepNext/>
        <w:spacing w:line="360" w:lineRule="auto"/>
        <w:ind w:firstLine="720"/>
        <w:textAlignment w:val="baseline"/>
        <w:rPr>
          <w:rFonts w:ascii="Times New Roman" w:eastAsia="Times New Roman" w:hAnsi="Times New Roman"/>
          <w:b/>
          <w:bCs/>
          <w:color w:val="000000"/>
          <w:spacing w:val="-1"/>
          <w:sz w:val="26"/>
          <w:szCs w:val="26"/>
        </w:rPr>
      </w:pPr>
      <w:r w:rsidRPr="00B23C18">
        <w:rPr>
          <w:rFonts w:ascii="Times New Roman" w:eastAsia="Times New Roman" w:hAnsi="Times New Roman"/>
          <w:b/>
          <w:bCs/>
          <w:color w:val="000000"/>
          <w:spacing w:val="-1"/>
          <w:sz w:val="26"/>
          <w:szCs w:val="26"/>
        </w:rPr>
        <w:lastRenderedPageBreak/>
        <w:t>2.</w:t>
      </w:r>
      <w:r w:rsidRPr="00B23C18">
        <w:rPr>
          <w:rFonts w:ascii="Times New Roman" w:eastAsia="Times New Roman" w:hAnsi="Times New Roman"/>
          <w:b/>
          <w:bCs/>
          <w:color w:val="000000"/>
          <w:spacing w:val="-1"/>
          <w:sz w:val="26"/>
          <w:szCs w:val="26"/>
        </w:rPr>
        <w:tab/>
        <w:t>Affirmative Public Benefits</w:t>
      </w:r>
    </w:p>
    <w:p w14:paraId="56D93B16" w14:textId="77777777" w:rsidR="003E798E" w:rsidRDefault="003E798E" w:rsidP="006C6AA7">
      <w:pPr>
        <w:keepNext/>
        <w:spacing w:line="360" w:lineRule="auto"/>
        <w:rPr>
          <w:rFonts w:ascii="Times New Roman" w:hAnsi="Times New Roman" w:cs="Times New Roman"/>
          <w:sz w:val="26"/>
          <w:szCs w:val="26"/>
        </w:rPr>
      </w:pPr>
    </w:p>
    <w:p w14:paraId="3D9C75B5" w14:textId="229AE626" w:rsidR="00EA439F" w:rsidRDefault="003E798E" w:rsidP="006C6AA7">
      <w:pPr>
        <w:keepNext/>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ALJ initially </w:t>
      </w:r>
      <w:r w:rsidR="00816A13">
        <w:rPr>
          <w:rFonts w:ascii="Times New Roman" w:hAnsi="Times New Roman" w:cs="Times New Roman"/>
          <w:sz w:val="26"/>
          <w:szCs w:val="26"/>
        </w:rPr>
        <w:t>explained</w:t>
      </w:r>
      <w:r>
        <w:rPr>
          <w:rFonts w:ascii="Times New Roman" w:hAnsi="Times New Roman" w:cs="Times New Roman"/>
          <w:sz w:val="26"/>
          <w:szCs w:val="26"/>
        </w:rPr>
        <w:t xml:space="preserve"> that the </w:t>
      </w:r>
      <w:r w:rsidRPr="003E798E">
        <w:rPr>
          <w:rFonts w:ascii="Times New Roman" w:hAnsi="Times New Roman" w:cs="Times New Roman"/>
          <w:sz w:val="26"/>
          <w:szCs w:val="26"/>
        </w:rPr>
        <w:t xml:space="preserve">Joint Petitioners have agreed that it is appropriate for the Commission to grant PAWC a certificate of public convenience to acquire the assets of </w:t>
      </w:r>
      <w:r w:rsidR="00ED2F51">
        <w:rPr>
          <w:rFonts w:ascii="Times New Roman" w:hAnsi="Times New Roman" w:cs="Times New Roman"/>
          <w:sz w:val="26"/>
          <w:szCs w:val="26"/>
        </w:rPr>
        <w:t>the System</w:t>
      </w:r>
      <w:r w:rsidRPr="003E798E">
        <w:rPr>
          <w:rFonts w:ascii="Times New Roman" w:hAnsi="Times New Roman" w:cs="Times New Roman"/>
          <w:sz w:val="26"/>
          <w:szCs w:val="26"/>
        </w:rPr>
        <w:t xml:space="preserve"> and to begin to render public utility service to </w:t>
      </w:r>
      <w:r w:rsidR="00ED2F51">
        <w:rPr>
          <w:rFonts w:ascii="Times New Roman" w:hAnsi="Times New Roman" w:cs="Times New Roman"/>
          <w:sz w:val="26"/>
          <w:szCs w:val="26"/>
        </w:rPr>
        <w:t>the Borough’s</w:t>
      </w:r>
      <w:r w:rsidRPr="003E798E">
        <w:rPr>
          <w:rFonts w:ascii="Times New Roman" w:hAnsi="Times New Roman" w:cs="Times New Roman"/>
          <w:sz w:val="26"/>
          <w:szCs w:val="26"/>
        </w:rPr>
        <w:t xml:space="preserve"> customers.</w:t>
      </w:r>
      <w:r w:rsidR="00001FB6">
        <w:rPr>
          <w:rFonts w:ascii="Times New Roman" w:hAnsi="Times New Roman" w:cs="Times New Roman"/>
          <w:sz w:val="26"/>
          <w:szCs w:val="26"/>
        </w:rPr>
        <w:t xml:space="preserve">  R.D. at 28.  </w:t>
      </w:r>
    </w:p>
    <w:p w14:paraId="119C1024" w14:textId="77777777" w:rsidR="00EA439F" w:rsidRDefault="00EA439F" w:rsidP="003E798E">
      <w:pPr>
        <w:spacing w:line="360" w:lineRule="auto"/>
        <w:ind w:firstLine="1440"/>
        <w:rPr>
          <w:rFonts w:ascii="Times New Roman" w:hAnsi="Times New Roman" w:cs="Times New Roman"/>
          <w:sz w:val="26"/>
          <w:szCs w:val="26"/>
        </w:rPr>
      </w:pPr>
    </w:p>
    <w:p w14:paraId="129EFF86" w14:textId="2C176092" w:rsidR="0093556B" w:rsidRPr="004F1DF0" w:rsidRDefault="0093556B" w:rsidP="0093556B">
      <w:pPr>
        <w:spacing w:line="360" w:lineRule="auto"/>
        <w:ind w:firstLine="1440"/>
        <w:rPr>
          <w:rFonts w:ascii="Times New Roman" w:eastAsia="Times New Roman" w:hAnsi="Times New Roman" w:cs="Times New Roman"/>
          <w:color w:val="000000"/>
          <w:sz w:val="26"/>
          <w:szCs w:val="26"/>
        </w:rPr>
      </w:pPr>
      <w:r w:rsidRPr="004F1DF0">
        <w:rPr>
          <w:rFonts w:ascii="Times New Roman" w:eastAsia="Times New Roman" w:hAnsi="Times New Roman" w:cs="Times New Roman"/>
          <w:color w:val="000000"/>
          <w:sz w:val="26"/>
          <w:szCs w:val="26"/>
        </w:rPr>
        <w:t>PAWC argue</w:t>
      </w:r>
      <w:r w:rsidR="00851C65" w:rsidRPr="004F1DF0">
        <w:rPr>
          <w:rFonts w:ascii="Times New Roman" w:eastAsia="Times New Roman" w:hAnsi="Times New Roman" w:cs="Times New Roman"/>
          <w:color w:val="000000"/>
          <w:sz w:val="26"/>
          <w:szCs w:val="26"/>
        </w:rPr>
        <w:t>d</w:t>
      </w:r>
      <w:r w:rsidRPr="004F1DF0">
        <w:rPr>
          <w:rFonts w:ascii="Times New Roman" w:eastAsia="Times New Roman" w:hAnsi="Times New Roman" w:cs="Times New Roman"/>
          <w:color w:val="000000"/>
          <w:sz w:val="26"/>
          <w:szCs w:val="26"/>
        </w:rPr>
        <w:t xml:space="preserve"> that the transaction, with the conditions described in the Settlement, benefits all of the stakeholder groups impacted by the transaction:  the public-at large; the Borough; the existing customers of Royersford’s System; and the existing customers of PAWC.  </w:t>
      </w:r>
      <w:r w:rsidR="000849AD" w:rsidRPr="004F1DF0">
        <w:rPr>
          <w:rFonts w:ascii="Times New Roman" w:eastAsia="Times New Roman" w:hAnsi="Times New Roman" w:cs="Times New Roman"/>
          <w:color w:val="000000"/>
          <w:sz w:val="26"/>
          <w:szCs w:val="26"/>
        </w:rPr>
        <w:t>The Company</w:t>
      </w:r>
      <w:r w:rsidRPr="004F1DF0">
        <w:rPr>
          <w:rFonts w:ascii="Times New Roman" w:eastAsia="Times New Roman" w:hAnsi="Times New Roman" w:cs="Times New Roman"/>
          <w:color w:val="000000"/>
          <w:sz w:val="26"/>
          <w:szCs w:val="26"/>
        </w:rPr>
        <w:t xml:space="preserve"> </w:t>
      </w:r>
      <w:r w:rsidR="00851C65" w:rsidRPr="004F1DF0">
        <w:rPr>
          <w:rFonts w:ascii="Times New Roman" w:eastAsia="Times New Roman" w:hAnsi="Times New Roman" w:cs="Times New Roman"/>
          <w:color w:val="000000"/>
          <w:sz w:val="26"/>
          <w:szCs w:val="26"/>
        </w:rPr>
        <w:t>contended</w:t>
      </w:r>
      <w:r w:rsidRPr="004F1DF0">
        <w:rPr>
          <w:rFonts w:ascii="Times New Roman" w:eastAsia="Times New Roman" w:hAnsi="Times New Roman" w:cs="Times New Roman"/>
          <w:color w:val="000000"/>
          <w:sz w:val="26"/>
          <w:szCs w:val="26"/>
        </w:rPr>
        <w:t xml:space="preserve"> that the transaction benefits members of the public-at-large </w:t>
      </w:r>
      <w:r w:rsidR="006C1BBE" w:rsidRPr="004F1DF0">
        <w:rPr>
          <w:rFonts w:ascii="Times New Roman" w:eastAsia="Times New Roman" w:hAnsi="Times New Roman" w:cs="Times New Roman"/>
          <w:color w:val="000000"/>
          <w:sz w:val="26"/>
          <w:szCs w:val="26"/>
        </w:rPr>
        <w:t>by promoting</w:t>
      </w:r>
      <w:r w:rsidRPr="004F1DF0">
        <w:rPr>
          <w:rFonts w:ascii="Times New Roman" w:eastAsia="Times New Roman" w:hAnsi="Times New Roman" w:cs="Times New Roman"/>
          <w:color w:val="000000"/>
          <w:sz w:val="26"/>
          <w:szCs w:val="26"/>
        </w:rPr>
        <w:t xml:space="preserve"> the Commission’s policy favoring regionalization and consolidation of water and wastewater systems</w:t>
      </w:r>
      <w:r w:rsidR="009E74F8" w:rsidRPr="004F1DF0">
        <w:rPr>
          <w:rFonts w:ascii="Times New Roman" w:eastAsia="Times New Roman" w:hAnsi="Times New Roman" w:cs="Times New Roman"/>
          <w:color w:val="000000"/>
          <w:sz w:val="26"/>
          <w:szCs w:val="26"/>
        </w:rPr>
        <w:t xml:space="preserve"> and the public policy goals in Section</w:t>
      </w:r>
      <w:r w:rsidR="00FB1F60">
        <w:rPr>
          <w:rFonts w:ascii="Times New Roman" w:eastAsia="Times New Roman" w:hAnsi="Times New Roman" w:cs="Times New Roman"/>
          <w:color w:val="000000"/>
          <w:sz w:val="26"/>
          <w:szCs w:val="26"/>
        </w:rPr>
        <w:t> </w:t>
      </w:r>
      <w:r w:rsidR="009E74F8" w:rsidRPr="004F1DF0">
        <w:rPr>
          <w:rFonts w:ascii="Times New Roman" w:eastAsia="Times New Roman" w:hAnsi="Times New Roman" w:cs="Times New Roman"/>
          <w:color w:val="000000"/>
          <w:sz w:val="26"/>
          <w:szCs w:val="26"/>
        </w:rPr>
        <w:t>1329 of the Code</w:t>
      </w:r>
      <w:r w:rsidRPr="004F1DF0">
        <w:rPr>
          <w:rFonts w:ascii="Times New Roman" w:eastAsia="Times New Roman" w:hAnsi="Times New Roman" w:cs="Times New Roman"/>
          <w:color w:val="000000"/>
          <w:sz w:val="26"/>
          <w:szCs w:val="26"/>
        </w:rPr>
        <w:t xml:space="preserve">.  </w:t>
      </w:r>
      <w:r w:rsidR="00255C93" w:rsidRPr="004F1DF0">
        <w:rPr>
          <w:rFonts w:ascii="Times New Roman" w:eastAsia="Times New Roman" w:hAnsi="Times New Roman" w:cs="Times New Roman"/>
          <w:color w:val="000000"/>
          <w:sz w:val="26"/>
          <w:szCs w:val="26"/>
        </w:rPr>
        <w:t xml:space="preserve">R.D. at 28 (citing </w:t>
      </w:r>
      <w:r w:rsidRPr="004F1DF0">
        <w:rPr>
          <w:rFonts w:ascii="Times New Roman" w:eastAsia="Times New Roman" w:hAnsi="Times New Roman" w:cs="Times New Roman"/>
          <w:color w:val="000000"/>
          <w:sz w:val="26"/>
          <w:szCs w:val="26"/>
        </w:rPr>
        <w:t>52 Pa.</w:t>
      </w:r>
      <w:r w:rsidR="00255C93" w:rsidRPr="004F1DF0">
        <w:rPr>
          <w:rFonts w:ascii="Times New Roman" w:eastAsia="Times New Roman" w:hAnsi="Times New Roman" w:cs="Times New Roman"/>
          <w:color w:val="000000"/>
          <w:sz w:val="26"/>
          <w:szCs w:val="26"/>
        </w:rPr>
        <w:t xml:space="preserve"> </w:t>
      </w:r>
      <w:r w:rsidRPr="004F1DF0">
        <w:rPr>
          <w:rFonts w:ascii="Times New Roman" w:eastAsia="Times New Roman" w:hAnsi="Times New Roman" w:cs="Times New Roman"/>
          <w:color w:val="000000"/>
          <w:sz w:val="26"/>
          <w:szCs w:val="26"/>
        </w:rPr>
        <w:t xml:space="preserve">Code § 69.721(a); PAWC St. 1 </w:t>
      </w:r>
      <w:r w:rsidR="00B4115C" w:rsidRPr="004F1DF0">
        <w:rPr>
          <w:rFonts w:ascii="Times New Roman" w:eastAsia="Times New Roman" w:hAnsi="Times New Roman" w:cs="Times New Roman"/>
          <w:color w:val="000000"/>
          <w:sz w:val="26"/>
          <w:szCs w:val="26"/>
        </w:rPr>
        <w:t>at</w:t>
      </w:r>
      <w:r w:rsidRPr="004F1DF0">
        <w:rPr>
          <w:rFonts w:ascii="Times New Roman" w:eastAsia="Times New Roman" w:hAnsi="Times New Roman" w:cs="Times New Roman"/>
          <w:color w:val="000000"/>
          <w:sz w:val="26"/>
          <w:szCs w:val="26"/>
        </w:rPr>
        <w:t xml:space="preserve"> 15</w:t>
      </w:r>
      <w:r w:rsidR="00B4115C" w:rsidRPr="004F1DF0">
        <w:rPr>
          <w:rFonts w:ascii="Times New Roman" w:eastAsia="Times New Roman" w:hAnsi="Times New Roman" w:cs="Times New Roman"/>
          <w:color w:val="000000"/>
          <w:sz w:val="26"/>
          <w:szCs w:val="26"/>
        </w:rPr>
        <w:t>, 18</w:t>
      </w:r>
      <w:r w:rsidRPr="004F1DF0">
        <w:rPr>
          <w:rFonts w:ascii="Times New Roman" w:eastAsia="Times New Roman" w:hAnsi="Times New Roman" w:cs="Times New Roman"/>
          <w:color w:val="000000"/>
          <w:sz w:val="26"/>
          <w:szCs w:val="26"/>
        </w:rPr>
        <w:t xml:space="preserve">; PAWC St. 1-R </w:t>
      </w:r>
      <w:r w:rsidR="00B4115C" w:rsidRPr="004F1DF0">
        <w:rPr>
          <w:rFonts w:ascii="Times New Roman" w:eastAsia="Times New Roman" w:hAnsi="Times New Roman" w:cs="Times New Roman"/>
          <w:color w:val="000000"/>
          <w:sz w:val="26"/>
          <w:szCs w:val="26"/>
        </w:rPr>
        <w:t>at</w:t>
      </w:r>
      <w:r w:rsidRPr="004F1DF0">
        <w:rPr>
          <w:rFonts w:ascii="Times New Roman" w:eastAsia="Times New Roman" w:hAnsi="Times New Roman" w:cs="Times New Roman"/>
          <w:color w:val="000000"/>
          <w:sz w:val="26"/>
          <w:szCs w:val="26"/>
        </w:rPr>
        <w:t xml:space="preserve"> 9-10</w:t>
      </w:r>
      <w:r w:rsidR="00B4115C" w:rsidRPr="004F1DF0">
        <w:rPr>
          <w:rFonts w:ascii="Times New Roman" w:eastAsia="Times New Roman" w:hAnsi="Times New Roman" w:cs="Times New Roman"/>
          <w:color w:val="000000"/>
          <w:sz w:val="26"/>
          <w:szCs w:val="26"/>
        </w:rPr>
        <w:t>)</w:t>
      </w:r>
      <w:r w:rsidRPr="004F1DF0">
        <w:rPr>
          <w:rFonts w:ascii="Times New Roman" w:eastAsia="Times New Roman" w:hAnsi="Times New Roman" w:cs="Times New Roman"/>
          <w:color w:val="000000"/>
          <w:sz w:val="26"/>
          <w:szCs w:val="26"/>
        </w:rPr>
        <w:t xml:space="preserve">.  </w:t>
      </w:r>
    </w:p>
    <w:p w14:paraId="78BD6AED" w14:textId="77777777" w:rsidR="0093556B" w:rsidRPr="0093556B" w:rsidRDefault="0093556B" w:rsidP="0093556B">
      <w:pPr>
        <w:spacing w:line="360" w:lineRule="auto"/>
        <w:ind w:firstLine="1440"/>
        <w:jc w:val="both"/>
        <w:rPr>
          <w:rFonts w:ascii="Times New Roman" w:eastAsia="Times New Roman" w:hAnsi="Times New Roman" w:cs="Times New Roman"/>
          <w:color w:val="000000"/>
          <w:sz w:val="26"/>
          <w:szCs w:val="26"/>
        </w:rPr>
      </w:pPr>
    </w:p>
    <w:p w14:paraId="15BC0F98" w14:textId="6E6C7DBB" w:rsidR="0093556B" w:rsidRPr="0093556B" w:rsidRDefault="0093556B" w:rsidP="0093556B">
      <w:pPr>
        <w:spacing w:line="360" w:lineRule="auto"/>
        <w:ind w:left="10" w:firstLine="1430"/>
        <w:rPr>
          <w:rFonts w:ascii="Times New Roman" w:eastAsia="Times New Roman" w:hAnsi="Times New Roman" w:cs="Times New Roman"/>
          <w:color w:val="000000"/>
          <w:sz w:val="26"/>
          <w:szCs w:val="26"/>
        </w:rPr>
      </w:pPr>
      <w:r w:rsidRPr="0093556B">
        <w:rPr>
          <w:rFonts w:ascii="Times New Roman" w:eastAsia="Times New Roman" w:hAnsi="Times New Roman" w:cs="Times New Roman"/>
          <w:color w:val="000000"/>
          <w:sz w:val="26"/>
          <w:szCs w:val="26"/>
        </w:rPr>
        <w:t>PAWC also contend</w:t>
      </w:r>
      <w:r w:rsidR="002F6E6B">
        <w:rPr>
          <w:rFonts w:ascii="Times New Roman" w:eastAsia="Times New Roman" w:hAnsi="Times New Roman" w:cs="Times New Roman"/>
          <w:color w:val="000000"/>
          <w:sz w:val="26"/>
          <w:szCs w:val="26"/>
        </w:rPr>
        <w:t>ed</w:t>
      </w:r>
      <w:r w:rsidRPr="0093556B">
        <w:rPr>
          <w:rFonts w:ascii="Times New Roman" w:eastAsia="Times New Roman" w:hAnsi="Times New Roman" w:cs="Times New Roman"/>
          <w:color w:val="000000"/>
          <w:sz w:val="26"/>
          <w:szCs w:val="26"/>
        </w:rPr>
        <w:t xml:space="preserve"> that the transaction </w:t>
      </w:r>
      <w:r w:rsidR="0052467A" w:rsidRPr="004F1DF0">
        <w:rPr>
          <w:rFonts w:ascii="Times New Roman" w:eastAsia="Times New Roman" w:hAnsi="Times New Roman" w:cs="Times New Roman"/>
          <w:color w:val="000000"/>
          <w:sz w:val="26"/>
          <w:szCs w:val="26"/>
        </w:rPr>
        <w:t>provides</w:t>
      </w:r>
      <w:r w:rsidRPr="0093556B">
        <w:rPr>
          <w:rFonts w:ascii="Times New Roman" w:eastAsia="Times New Roman" w:hAnsi="Times New Roman" w:cs="Times New Roman"/>
          <w:color w:val="000000"/>
          <w:sz w:val="26"/>
          <w:szCs w:val="26"/>
        </w:rPr>
        <w:t xml:space="preserve"> environmental benefits</w:t>
      </w:r>
      <w:r w:rsidR="0052467A" w:rsidRPr="004F1DF0">
        <w:rPr>
          <w:rFonts w:ascii="Times New Roman" w:eastAsia="Times New Roman" w:hAnsi="Times New Roman" w:cs="Times New Roman"/>
          <w:color w:val="000000"/>
          <w:sz w:val="26"/>
          <w:szCs w:val="26"/>
        </w:rPr>
        <w:t xml:space="preserve"> noting the</w:t>
      </w:r>
      <w:r w:rsidRPr="0093556B">
        <w:rPr>
          <w:rFonts w:ascii="Times New Roman" w:eastAsia="Times New Roman" w:hAnsi="Times New Roman" w:cs="Times New Roman"/>
          <w:color w:val="000000"/>
          <w:sz w:val="26"/>
          <w:szCs w:val="26"/>
        </w:rPr>
        <w:t xml:space="preserve"> evidence of nine</w:t>
      </w:r>
      <w:r w:rsidR="00112A18" w:rsidRPr="00112A18">
        <w:rPr>
          <w:rFonts w:ascii="Times New Roman" w:hAnsi="Times New Roman" w:cs="Times New Roman"/>
          <w:sz w:val="26"/>
          <w:szCs w:val="26"/>
        </w:rPr>
        <w:t xml:space="preserve"> </w:t>
      </w:r>
      <w:r w:rsidR="00112A18" w:rsidRPr="006A749D">
        <w:rPr>
          <w:rFonts w:ascii="Times New Roman" w:hAnsi="Times New Roman" w:cs="Times New Roman"/>
          <w:sz w:val="26"/>
          <w:szCs w:val="26"/>
        </w:rPr>
        <w:t>National Pollutant Discharge Elimination System</w:t>
      </w:r>
      <w:r w:rsidRPr="0093556B">
        <w:rPr>
          <w:rFonts w:ascii="Times New Roman" w:eastAsia="Times New Roman" w:hAnsi="Times New Roman" w:cs="Times New Roman"/>
          <w:color w:val="000000"/>
          <w:sz w:val="26"/>
          <w:szCs w:val="26"/>
        </w:rPr>
        <w:t xml:space="preserve"> permit exceedances at the </w:t>
      </w:r>
      <w:r w:rsidR="0052467A" w:rsidRPr="004F1DF0">
        <w:rPr>
          <w:rFonts w:ascii="Times New Roman" w:eastAsia="Times New Roman" w:hAnsi="Times New Roman" w:cs="Times New Roman"/>
          <w:color w:val="000000"/>
          <w:sz w:val="26"/>
          <w:szCs w:val="26"/>
        </w:rPr>
        <w:t>System</w:t>
      </w:r>
      <w:r w:rsidRPr="0093556B">
        <w:rPr>
          <w:rFonts w:ascii="Times New Roman" w:eastAsia="Times New Roman" w:hAnsi="Times New Roman" w:cs="Times New Roman"/>
          <w:color w:val="000000"/>
          <w:sz w:val="26"/>
          <w:szCs w:val="26"/>
        </w:rPr>
        <w:t xml:space="preserve"> in recent years, which resulted in pollutants being discharged into waters of the Commonwealth.  </w:t>
      </w:r>
      <w:r w:rsidR="0052467A" w:rsidRPr="004F1DF0">
        <w:rPr>
          <w:rFonts w:ascii="Times New Roman" w:eastAsia="Times New Roman" w:hAnsi="Times New Roman" w:cs="Times New Roman"/>
          <w:color w:val="000000"/>
          <w:sz w:val="26"/>
          <w:szCs w:val="26"/>
        </w:rPr>
        <w:t>The Company</w:t>
      </w:r>
      <w:r w:rsidR="00E344F3" w:rsidRPr="004F1DF0">
        <w:rPr>
          <w:rFonts w:ascii="Times New Roman" w:eastAsia="Times New Roman" w:hAnsi="Times New Roman" w:cs="Times New Roman"/>
          <w:color w:val="000000"/>
          <w:sz w:val="26"/>
          <w:szCs w:val="26"/>
        </w:rPr>
        <w:t xml:space="preserve"> asserted that it h</w:t>
      </w:r>
      <w:r w:rsidRPr="0093556B">
        <w:rPr>
          <w:rFonts w:ascii="Times New Roman" w:eastAsia="Times New Roman" w:hAnsi="Times New Roman" w:cs="Times New Roman"/>
          <w:color w:val="000000"/>
          <w:sz w:val="26"/>
          <w:szCs w:val="26"/>
        </w:rPr>
        <w:t xml:space="preserve">as plans for making capital improvements and operational changes to address these issues after closing.  </w:t>
      </w:r>
      <w:r w:rsidR="00E344F3" w:rsidRPr="004F1DF0">
        <w:rPr>
          <w:rFonts w:ascii="Times New Roman" w:eastAsia="Times New Roman" w:hAnsi="Times New Roman" w:cs="Times New Roman"/>
          <w:color w:val="000000"/>
          <w:sz w:val="26"/>
          <w:szCs w:val="26"/>
        </w:rPr>
        <w:t>Mor</w:t>
      </w:r>
      <w:r w:rsidR="00E24D93" w:rsidRPr="004F1DF0">
        <w:rPr>
          <w:rFonts w:ascii="Times New Roman" w:eastAsia="Times New Roman" w:hAnsi="Times New Roman" w:cs="Times New Roman"/>
          <w:color w:val="000000"/>
          <w:sz w:val="26"/>
          <w:szCs w:val="26"/>
        </w:rPr>
        <w:t xml:space="preserve">eover, </w:t>
      </w:r>
      <w:r w:rsidRPr="0093556B">
        <w:rPr>
          <w:rFonts w:ascii="Times New Roman" w:eastAsia="Times New Roman" w:hAnsi="Times New Roman" w:cs="Times New Roman"/>
          <w:color w:val="000000"/>
          <w:sz w:val="26"/>
          <w:szCs w:val="26"/>
        </w:rPr>
        <w:t xml:space="preserve">PAWC </w:t>
      </w:r>
      <w:r w:rsidR="00E24D93" w:rsidRPr="004F1DF0">
        <w:rPr>
          <w:rFonts w:ascii="Times New Roman" w:eastAsia="Times New Roman" w:hAnsi="Times New Roman" w:cs="Times New Roman"/>
          <w:color w:val="000000"/>
          <w:sz w:val="26"/>
          <w:szCs w:val="26"/>
        </w:rPr>
        <w:t xml:space="preserve">contended that </w:t>
      </w:r>
      <w:r w:rsidRPr="0093556B">
        <w:rPr>
          <w:rFonts w:ascii="Times New Roman" w:eastAsia="Times New Roman" w:hAnsi="Times New Roman" w:cs="Times New Roman"/>
          <w:color w:val="000000"/>
          <w:sz w:val="26"/>
          <w:szCs w:val="26"/>
        </w:rPr>
        <w:t>it will provide enhanced technical, operational</w:t>
      </w:r>
      <w:r w:rsidR="00DA2A6D">
        <w:rPr>
          <w:rFonts w:ascii="Times New Roman" w:eastAsia="Times New Roman" w:hAnsi="Times New Roman" w:cs="Times New Roman"/>
          <w:color w:val="000000"/>
          <w:sz w:val="26"/>
          <w:szCs w:val="26"/>
        </w:rPr>
        <w:t>,</w:t>
      </w:r>
      <w:r w:rsidRPr="0093556B">
        <w:rPr>
          <w:rFonts w:ascii="Times New Roman" w:eastAsia="Times New Roman" w:hAnsi="Times New Roman" w:cs="Times New Roman"/>
          <w:color w:val="000000"/>
          <w:sz w:val="26"/>
          <w:szCs w:val="26"/>
        </w:rPr>
        <w:t xml:space="preserve"> and engineering support to the operations staff at Royersford to optimize operations of the treatment processes.  </w:t>
      </w:r>
      <w:r w:rsidR="0090461B" w:rsidRPr="002C25C3">
        <w:rPr>
          <w:rFonts w:ascii="Times New Roman" w:eastAsia="Times New Roman" w:hAnsi="Times New Roman" w:cs="Times New Roman"/>
          <w:color w:val="000000"/>
          <w:sz w:val="26"/>
          <w:szCs w:val="26"/>
        </w:rPr>
        <w:t>R.D. at 28</w:t>
      </w:r>
      <w:r w:rsidR="00E24D93" w:rsidRPr="004F1DF0">
        <w:rPr>
          <w:rFonts w:ascii="Times New Roman" w:eastAsia="Times New Roman" w:hAnsi="Times New Roman" w:cs="Times New Roman"/>
          <w:color w:val="000000"/>
          <w:sz w:val="26"/>
          <w:szCs w:val="26"/>
        </w:rPr>
        <w:t xml:space="preserve"> </w:t>
      </w:r>
      <w:r w:rsidR="002D6FBF" w:rsidRPr="004F1DF0">
        <w:rPr>
          <w:rFonts w:ascii="Times New Roman" w:eastAsia="Times New Roman" w:hAnsi="Times New Roman" w:cs="Times New Roman"/>
          <w:color w:val="000000"/>
          <w:sz w:val="26"/>
          <w:szCs w:val="26"/>
        </w:rPr>
        <w:t>(citing PAWC</w:t>
      </w:r>
      <w:r w:rsidR="004F1DF0" w:rsidRPr="004F1DF0">
        <w:rPr>
          <w:rFonts w:ascii="Times New Roman" w:eastAsia="Times New Roman" w:hAnsi="Times New Roman" w:cs="Times New Roman"/>
          <w:color w:val="000000"/>
          <w:sz w:val="26"/>
          <w:szCs w:val="26"/>
        </w:rPr>
        <w:t xml:space="preserve"> St. 1-R at 11; </w:t>
      </w:r>
      <w:r w:rsidRPr="0093556B">
        <w:rPr>
          <w:rFonts w:ascii="Times New Roman" w:eastAsia="Times New Roman" w:hAnsi="Times New Roman" w:cs="Times New Roman"/>
          <w:color w:val="000000"/>
          <w:sz w:val="26"/>
          <w:szCs w:val="26"/>
        </w:rPr>
        <w:t xml:space="preserve">PAWC St. 2-R </w:t>
      </w:r>
      <w:r w:rsidR="004F1DF0" w:rsidRPr="004F1DF0">
        <w:rPr>
          <w:rFonts w:ascii="Times New Roman" w:eastAsia="Times New Roman" w:hAnsi="Times New Roman" w:cs="Times New Roman"/>
          <w:color w:val="000000"/>
          <w:sz w:val="26"/>
          <w:szCs w:val="26"/>
        </w:rPr>
        <w:t>at</w:t>
      </w:r>
      <w:r w:rsidRPr="0093556B">
        <w:rPr>
          <w:rFonts w:ascii="Times New Roman" w:eastAsia="Times New Roman" w:hAnsi="Times New Roman" w:cs="Times New Roman"/>
          <w:color w:val="000000"/>
          <w:sz w:val="26"/>
          <w:szCs w:val="26"/>
        </w:rPr>
        <w:t xml:space="preserve"> 2</w:t>
      </w:r>
      <w:r w:rsidR="004F1DF0" w:rsidRPr="004F1DF0">
        <w:rPr>
          <w:rFonts w:ascii="Times New Roman" w:eastAsia="Times New Roman" w:hAnsi="Times New Roman" w:cs="Times New Roman"/>
          <w:color w:val="000000"/>
          <w:sz w:val="26"/>
          <w:szCs w:val="26"/>
        </w:rPr>
        <w:t>)</w:t>
      </w:r>
      <w:r w:rsidRPr="0093556B">
        <w:rPr>
          <w:rFonts w:ascii="Times New Roman" w:eastAsia="Times New Roman" w:hAnsi="Times New Roman" w:cs="Times New Roman"/>
          <w:color w:val="000000"/>
          <w:sz w:val="26"/>
          <w:szCs w:val="26"/>
        </w:rPr>
        <w:t xml:space="preserve">.  </w:t>
      </w:r>
    </w:p>
    <w:p w14:paraId="6AAEF9AE" w14:textId="77777777" w:rsidR="0093556B" w:rsidRPr="0093556B" w:rsidRDefault="0093556B" w:rsidP="0093556B">
      <w:pPr>
        <w:spacing w:line="360" w:lineRule="auto"/>
        <w:ind w:left="10" w:firstLine="1430"/>
        <w:rPr>
          <w:rFonts w:ascii="Times New Roman" w:eastAsia="Times New Roman" w:hAnsi="Times New Roman" w:cs="Times New Roman"/>
          <w:color w:val="000000"/>
          <w:sz w:val="26"/>
          <w:szCs w:val="26"/>
        </w:rPr>
      </w:pPr>
    </w:p>
    <w:p w14:paraId="55AD82A5" w14:textId="379320F6" w:rsidR="0093556B" w:rsidRPr="0093556B" w:rsidRDefault="0093556B" w:rsidP="0093556B">
      <w:pPr>
        <w:spacing w:line="360" w:lineRule="auto"/>
        <w:ind w:left="10" w:firstLine="1430"/>
        <w:rPr>
          <w:rFonts w:ascii="Times New Roman" w:eastAsia="Times New Roman" w:hAnsi="Times New Roman" w:cs="Times New Roman"/>
          <w:color w:val="000000"/>
          <w:sz w:val="26"/>
          <w:szCs w:val="26"/>
        </w:rPr>
      </w:pPr>
      <w:r w:rsidRPr="0093556B">
        <w:rPr>
          <w:rFonts w:ascii="Times New Roman" w:eastAsia="Times New Roman" w:hAnsi="Times New Roman" w:cs="Times New Roman"/>
          <w:color w:val="000000"/>
          <w:sz w:val="26"/>
          <w:szCs w:val="26"/>
        </w:rPr>
        <w:t xml:space="preserve">PAWC </w:t>
      </w:r>
      <w:r w:rsidR="00800403">
        <w:rPr>
          <w:rFonts w:ascii="Times New Roman" w:eastAsia="Times New Roman" w:hAnsi="Times New Roman" w:cs="Times New Roman"/>
          <w:color w:val="000000"/>
          <w:sz w:val="26"/>
          <w:szCs w:val="26"/>
        </w:rPr>
        <w:t xml:space="preserve">further </w:t>
      </w:r>
      <w:r w:rsidRPr="0093556B">
        <w:rPr>
          <w:rFonts w:ascii="Times New Roman" w:eastAsia="Times New Roman" w:hAnsi="Times New Roman" w:cs="Times New Roman"/>
          <w:color w:val="000000"/>
          <w:sz w:val="26"/>
          <w:szCs w:val="26"/>
        </w:rPr>
        <w:t>contend</w:t>
      </w:r>
      <w:r w:rsidR="00A26CD5">
        <w:rPr>
          <w:rFonts w:ascii="Times New Roman" w:eastAsia="Times New Roman" w:hAnsi="Times New Roman" w:cs="Times New Roman"/>
          <w:color w:val="000000"/>
          <w:sz w:val="26"/>
          <w:szCs w:val="26"/>
        </w:rPr>
        <w:t>ed</w:t>
      </w:r>
      <w:r w:rsidRPr="0093556B">
        <w:rPr>
          <w:rFonts w:ascii="Times New Roman" w:eastAsia="Times New Roman" w:hAnsi="Times New Roman" w:cs="Times New Roman"/>
          <w:color w:val="000000"/>
          <w:sz w:val="26"/>
          <w:szCs w:val="26"/>
        </w:rPr>
        <w:t xml:space="preserve"> that it is better able to make the necessary improvements to the System to protect Pennsylvania’s water and environment</w:t>
      </w:r>
      <w:r w:rsidR="00110957">
        <w:rPr>
          <w:rFonts w:ascii="Times New Roman" w:eastAsia="Times New Roman" w:hAnsi="Times New Roman" w:cs="Times New Roman"/>
          <w:color w:val="000000"/>
          <w:sz w:val="26"/>
          <w:szCs w:val="26"/>
        </w:rPr>
        <w:t xml:space="preserve"> due to its a</w:t>
      </w:r>
      <w:r w:rsidRPr="0093556B">
        <w:rPr>
          <w:rFonts w:ascii="Times New Roman" w:eastAsia="Times New Roman" w:hAnsi="Times New Roman" w:cs="Times New Roman"/>
          <w:color w:val="000000"/>
          <w:sz w:val="26"/>
          <w:szCs w:val="26"/>
        </w:rPr>
        <w:t xml:space="preserve">ccess to lines of credit and equity markets </w:t>
      </w:r>
      <w:r w:rsidR="00110957">
        <w:rPr>
          <w:rFonts w:ascii="Times New Roman" w:eastAsia="Times New Roman" w:hAnsi="Times New Roman" w:cs="Times New Roman"/>
          <w:color w:val="000000"/>
          <w:sz w:val="26"/>
          <w:szCs w:val="26"/>
        </w:rPr>
        <w:t>and its technical expertise</w:t>
      </w:r>
      <w:r w:rsidR="009F508C">
        <w:rPr>
          <w:rFonts w:ascii="Times New Roman" w:eastAsia="Times New Roman" w:hAnsi="Times New Roman" w:cs="Times New Roman"/>
          <w:color w:val="000000"/>
          <w:sz w:val="26"/>
          <w:szCs w:val="26"/>
        </w:rPr>
        <w:t xml:space="preserve">.  </w:t>
      </w:r>
      <w:r w:rsidR="00CD6E14">
        <w:rPr>
          <w:rFonts w:ascii="Times New Roman" w:eastAsia="Times New Roman" w:hAnsi="Times New Roman" w:cs="Times New Roman"/>
          <w:color w:val="000000"/>
          <w:sz w:val="26"/>
          <w:szCs w:val="26"/>
        </w:rPr>
        <w:t>The Company also proffer</w:t>
      </w:r>
      <w:r w:rsidR="00D94ACD">
        <w:rPr>
          <w:rFonts w:ascii="Times New Roman" w:eastAsia="Times New Roman" w:hAnsi="Times New Roman" w:cs="Times New Roman"/>
          <w:color w:val="000000"/>
          <w:sz w:val="26"/>
          <w:szCs w:val="26"/>
        </w:rPr>
        <w:t>ed</w:t>
      </w:r>
      <w:r w:rsidR="00CD6E14">
        <w:rPr>
          <w:rFonts w:ascii="Times New Roman" w:eastAsia="Times New Roman" w:hAnsi="Times New Roman" w:cs="Times New Roman"/>
          <w:color w:val="000000"/>
          <w:sz w:val="26"/>
          <w:szCs w:val="26"/>
        </w:rPr>
        <w:t xml:space="preserve"> that the transaction </w:t>
      </w:r>
      <w:proofErr w:type="gramStart"/>
      <w:r w:rsidR="00CD6E14">
        <w:rPr>
          <w:rFonts w:ascii="Times New Roman" w:eastAsia="Times New Roman" w:hAnsi="Times New Roman" w:cs="Times New Roman"/>
          <w:color w:val="000000"/>
          <w:sz w:val="26"/>
          <w:szCs w:val="26"/>
        </w:rPr>
        <w:t>will</w:t>
      </w:r>
      <w:proofErr w:type="gramEnd"/>
      <w:r w:rsidR="00CD6E14">
        <w:rPr>
          <w:rFonts w:ascii="Times New Roman" w:eastAsia="Times New Roman" w:hAnsi="Times New Roman" w:cs="Times New Roman"/>
          <w:color w:val="000000"/>
          <w:sz w:val="26"/>
          <w:szCs w:val="26"/>
        </w:rPr>
        <w:t xml:space="preserve"> </w:t>
      </w:r>
      <w:r w:rsidR="00B226E3">
        <w:rPr>
          <w:rFonts w:ascii="Times New Roman" w:eastAsia="Times New Roman" w:hAnsi="Times New Roman" w:cs="Times New Roman"/>
          <w:color w:val="000000"/>
          <w:sz w:val="26"/>
          <w:szCs w:val="26"/>
        </w:rPr>
        <w:t xml:space="preserve">improve the ultimate </w:t>
      </w:r>
      <w:r w:rsidR="00894C27">
        <w:rPr>
          <w:rFonts w:ascii="Times New Roman" w:eastAsia="Times New Roman" w:hAnsi="Times New Roman" w:cs="Times New Roman"/>
          <w:color w:val="000000"/>
          <w:sz w:val="26"/>
          <w:szCs w:val="26"/>
        </w:rPr>
        <w:t xml:space="preserve">financial condition and </w:t>
      </w:r>
      <w:r w:rsidR="00894C27">
        <w:rPr>
          <w:rFonts w:ascii="Times New Roman" w:eastAsia="Times New Roman" w:hAnsi="Times New Roman" w:cs="Times New Roman"/>
          <w:color w:val="000000"/>
          <w:sz w:val="26"/>
          <w:szCs w:val="26"/>
        </w:rPr>
        <w:lastRenderedPageBreak/>
        <w:t xml:space="preserve">outlook of the Borough and </w:t>
      </w:r>
      <w:r w:rsidR="00B70B9A">
        <w:rPr>
          <w:rFonts w:ascii="Times New Roman" w:eastAsia="Times New Roman" w:hAnsi="Times New Roman" w:cs="Times New Roman"/>
          <w:color w:val="000000"/>
          <w:sz w:val="26"/>
          <w:szCs w:val="26"/>
        </w:rPr>
        <w:t>wi</w:t>
      </w:r>
      <w:r w:rsidR="00D94ACD">
        <w:rPr>
          <w:rFonts w:ascii="Times New Roman" w:eastAsia="Times New Roman" w:hAnsi="Times New Roman" w:cs="Times New Roman"/>
          <w:color w:val="000000"/>
          <w:sz w:val="26"/>
          <w:szCs w:val="26"/>
        </w:rPr>
        <w:t xml:space="preserve">ll </w:t>
      </w:r>
      <w:r w:rsidR="00894C27">
        <w:rPr>
          <w:rFonts w:ascii="Times New Roman" w:eastAsia="Times New Roman" w:hAnsi="Times New Roman" w:cs="Times New Roman"/>
          <w:color w:val="000000"/>
          <w:sz w:val="26"/>
          <w:szCs w:val="26"/>
        </w:rPr>
        <w:t xml:space="preserve">allow </w:t>
      </w:r>
      <w:r w:rsidR="001D0A9D">
        <w:rPr>
          <w:rFonts w:ascii="Times New Roman" w:eastAsia="Times New Roman" w:hAnsi="Times New Roman" w:cs="Times New Roman"/>
          <w:color w:val="000000"/>
          <w:sz w:val="26"/>
          <w:szCs w:val="26"/>
        </w:rPr>
        <w:t>Royersford the flexibility to undertake non-System related capital pro</w:t>
      </w:r>
      <w:r w:rsidR="00B70B9A">
        <w:rPr>
          <w:rFonts w:ascii="Times New Roman" w:eastAsia="Times New Roman" w:hAnsi="Times New Roman" w:cs="Times New Roman"/>
          <w:color w:val="000000"/>
          <w:sz w:val="26"/>
          <w:szCs w:val="26"/>
        </w:rPr>
        <w:t xml:space="preserve">jects and other key initiatives.  </w:t>
      </w:r>
      <w:r w:rsidR="00EC0919">
        <w:rPr>
          <w:rFonts w:ascii="Times New Roman" w:eastAsia="Times New Roman" w:hAnsi="Times New Roman" w:cs="Times New Roman"/>
          <w:color w:val="000000"/>
          <w:sz w:val="26"/>
          <w:szCs w:val="26"/>
        </w:rPr>
        <w:t xml:space="preserve">R.D. at 29 (citing </w:t>
      </w:r>
      <w:r w:rsidR="00B70B9A" w:rsidRPr="0093556B">
        <w:rPr>
          <w:rFonts w:ascii="Times New Roman" w:eastAsia="Times New Roman" w:hAnsi="Times New Roman" w:cs="Times New Roman"/>
          <w:color w:val="000000"/>
          <w:sz w:val="26"/>
          <w:szCs w:val="26"/>
        </w:rPr>
        <w:t xml:space="preserve">PAWC St. 2 </w:t>
      </w:r>
      <w:r w:rsidR="00EC0919">
        <w:rPr>
          <w:rFonts w:ascii="Times New Roman" w:eastAsia="Times New Roman" w:hAnsi="Times New Roman" w:cs="Times New Roman"/>
          <w:color w:val="000000"/>
          <w:sz w:val="26"/>
          <w:szCs w:val="26"/>
        </w:rPr>
        <w:t>at</w:t>
      </w:r>
      <w:r w:rsidR="00B70B9A" w:rsidRPr="0093556B">
        <w:rPr>
          <w:rFonts w:ascii="Times New Roman" w:eastAsia="Times New Roman" w:hAnsi="Times New Roman" w:cs="Times New Roman"/>
          <w:color w:val="000000"/>
          <w:sz w:val="26"/>
          <w:szCs w:val="26"/>
        </w:rPr>
        <w:t xml:space="preserve"> 8-</w:t>
      </w:r>
      <w:r w:rsidR="00372EEC" w:rsidRPr="0093556B">
        <w:rPr>
          <w:rFonts w:ascii="Times New Roman" w:eastAsia="Times New Roman" w:hAnsi="Times New Roman" w:cs="Times New Roman"/>
          <w:color w:val="000000"/>
          <w:sz w:val="26"/>
          <w:szCs w:val="26"/>
        </w:rPr>
        <w:t>10</w:t>
      </w:r>
      <w:r w:rsidR="00372EEC">
        <w:rPr>
          <w:rFonts w:ascii="Times New Roman" w:eastAsia="Times New Roman" w:hAnsi="Times New Roman" w:cs="Times New Roman"/>
          <w:color w:val="000000"/>
          <w:sz w:val="26"/>
          <w:szCs w:val="26"/>
        </w:rPr>
        <w:t>;</w:t>
      </w:r>
      <w:r w:rsidR="00372EEC" w:rsidRPr="0093556B">
        <w:rPr>
          <w:rFonts w:ascii="Times New Roman" w:eastAsia="Times New Roman" w:hAnsi="Times New Roman" w:cs="Times New Roman"/>
          <w:color w:val="000000"/>
          <w:sz w:val="26"/>
          <w:szCs w:val="26"/>
        </w:rPr>
        <w:t xml:space="preserve"> Royersford</w:t>
      </w:r>
      <w:r w:rsidR="00D94ACD" w:rsidRPr="0093556B">
        <w:rPr>
          <w:rFonts w:ascii="Times New Roman" w:eastAsia="Times New Roman" w:hAnsi="Times New Roman" w:cs="Times New Roman"/>
          <w:color w:val="000000"/>
          <w:sz w:val="26"/>
          <w:szCs w:val="26"/>
        </w:rPr>
        <w:t xml:space="preserve"> St. 1 </w:t>
      </w:r>
      <w:r w:rsidR="00EC0919">
        <w:rPr>
          <w:rFonts w:ascii="Times New Roman" w:eastAsia="Times New Roman" w:hAnsi="Times New Roman" w:cs="Times New Roman"/>
          <w:color w:val="000000"/>
          <w:sz w:val="26"/>
          <w:szCs w:val="26"/>
        </w:rPr>
        <w:t>at</w:t>
      </w:r>
      <w:r w:rsidR="00D94ACD" w:rsidRPr="0093556B">
        <w:rPr>
          <w:rFonts w:ascii="Times New Roman" w:eastAsia="Times New Roman" w:hAnsi="Times New Roman" w:cs="Times New Roman"/>
          <w:color w:val="000000"/>
          <w:sz w:val="26"/>
          <w:szCs w:val="26"/>
        </w:rPr>
        <w:t xml:space="preserve"> 3-4</w:t>
      </w:r>
      <w:r w:rsidR="00EC0919">
        <w:rPr>
          <w:rFonts w:ascii="Times New Roman" w:eastAsia="Times New Roman" w:hAnsi="Times New Roman" w:cs="Times New Roman"/>
          <w:color w:val="000000"/>
          <w:sz w:val="26"/>
          <w:szCs w:val="26"/>
        </w:rPr>
        <w:t>)</w:t>
      </w:r>
      <w:r w:rsidR="00D94ACD" w:rsidRPr="0093556B">
        <w:rPr>
          <w:rFonts w:ascii="Times New Roman" w:eastAsia="Times New Roman" w:hAnsi="Times New Roman" w:cs="Times New Roman"/>
          <w:color w:val="000000"/>
          <w:sz w:val="26"/>
          <w:szCs w:val="26"/>
        </w:rPr>
        <w:t xml:space="preserve">.  </w:t>
      </w:r>
    </w:p>
    <w:p w14:paraId="7C79C622" w14:textId="77777777" w:rsidR="0093556B" w:rsidRPr="0093556B" w:rsidRDefault="0093556B" w:rsidP="0093556B">
      <w:pPr>
        <w:spacing w:line="360" w:lineRule="auto"/>
        <w:ind w:left="10" w:firstLine="720"/>
        <w:rPr>
          <w:rFonts w:ascii="Times New Roman" w:eastAsia="Times New Roman" w:hAnsi="Times New Roman" w:cs="Times New Roman"/>
          <w:color w:val="000000"/>
          <w:sz w:val="26"/>
          <w:szCs w:val="26"/>
        </w:rPr>
      </w:pPr>
    </w:p>
    <w:p w14:paraId="18C28BD4" w14:textId="1B863F3C" w:rsidR="0093556B" w:rsidRPr="0093556B" w:rsidRDefault="0093556B" w:rsidP="0093556B">
      <w:pPr>
        <w:spacing w:line="360" w:lineRule="auto"/>
        <w:ind w:left="10" w:firstLine="1430"/>
        <w:rPr>
          <w:rFonts w:ascii="Times New Roman" w:eastAsia="Times New Roman" w:hAnsi="Times New Roman" w:cs="Times New Roman"/>
          <w:color w:val="000000"/>
          <w:sz w:val="26"/>
          <w:szCs w:val="26"/>
        </w:rPr>
      </w:pPr>
      <w:r w:rsidRPr="0093556B">
        <w:rPr>
          <w:rFonts w:ascii="Times New Roman" w:eastAsia="Times New Roman" w:hAnsi="Times New Roman" w:cs="Times New Roman"/>
          <w:color w:val="000000"/>
          <w:sz w:val="26"/>
          <w:szCs w:val="26"/>
        </w:rPr>
        <w:t xml:space="preserve">PAWC </w:t>
      </w:r>
      <w:r w:rsidR="00C82572">
        <w:rPr>
          <w:rFonts w:ascii="Times New Roman" w:eastAsia="Times New Roman" w:hAnsi="Times New Roman" w:cs="Times New Roman"/>
          <w:color w:val="000000"/>
          <w:sz w:val="26"/>
          <w:szCs w:val="26"/>
        </w:rPr>
        <w:t xml:space="preserve">also addressed </w:t>
      </w:r>
      <w:r w:rsidRPr="0093556B">
        <w:rPr>
          <w:rFonts w:ascii="Times New Roman" w:eastAsia="Times New Roman" w:hAnsi="Times New Roman" w:cs="Times New Roman"/>
          <w:color w:val="000000"/>
          <w:sz w:val="26"/>
          <w:szCs w:val="26"/>
        </w:rPr>
        <w:t xml:space="preserve">the transaction benefits </w:t>
      </w:r>
      <w:r w:rsidR="004A6FAB">
        <w:rPr>
          <w:rFonts w:ascii="Times New Roman" w:eastAsia="Times New Roman" w:hAnsi="Times New Roman" w:cs="Times New Roman"/>
          <w:color w:val="000000"/>
          <w:sz w:val="26"/>
          <w:szCs w:val="26"/>
        </w:rPr>
        <w:t xml:space="preserve">to </w:t>
      </w:r>
      <w:r w:rsidRPr="0093556B">
        <w:rPr>
          <w:rFonts w:ascii="Times New Roman" w:eastAsia="Times New Roman" w:hAnsi="Times New Roman" w:cs="Times New Roman"/>
          <w:color w:val="000000"/>
          <w:sz w:val="26"/>
          <w:szCs w:val="26"/>
        </w:rPr>
        <w:t>Royersford’s existing customers</w:t>
      </w:r>
      <w:r w:rsidR="0091312C">
        <w:rPr>
          <w:rFonts w:ascii="Times New Roman" w:eastAsia="Times New Roman" w:hAnsi="Times New Roman" w:cs="Times New Roman"/>
          <w:color w:val="000000"/>
          <w:sz w:val="26"/>
          <w:szCs w:val="26"/>
        </w:rPr>
        <w:t xml:space="preserve"> </w:t>
      </w:r>
      <w:r w:rsidR="00A53A91">
        <w:rPr>
          <w:rFonts w:ascii="Times New Roman" w:eastAsia="Times New Roman" w:hAnsi="Times New Roman" w:cs="Times New Roman"/>
          <w:color w:val="000000"/>
          <w:sz w:val="26"/>
          <w:szCs w:val="26"/>
        </w:rPr>
        <w:t xml:space="preserve">including the protections of the System becoming a Commission-regulated utility and </w:t>
      </w:r>
      <w:r w:rsidR="005D50D0">
        <w:rPr>
          <w:rFonts w:ascii="Times New Roman" w:eastAsia="Times New Roman" w:hAnsi="Times New Roman" w:cs="Times New Roman"/>
          <w:color w:val="000000"/>
          <w:sz w:val="26"/>
          <w:szCs w:val="26"/>
        </w:rPr>
        <w:t xml:space="preserve">of having access to PAWC’s </w:t>
      </w:r>
      <w:r w:rsidR="00831645">
        <w:rPr>
          <w:rFonts w:ascii="Times New Roman" w:eastAsia="Times New Roman" w:hAnsi="Times New Roman" w:cs="Times New Roman"/>
          <w:color w:val="000000"/>
          <w:sz w:val="26"/>
          <w:szCs w:val="26"/>
        </w:rPr>
        <w:t xml:space="preserve">enhanced </w:t>
      </w:r>
      <w:r w:rsidR="005D50D0">
        <w:rPr>
          <w:rFonts w:ascii="Times New Roman" w:eastAsia="Times New Roman" w:hAnsi="Times New Roman" w:cs="Times New Roman"/>
          <w:color w:val="000000"/>
          <w:sz w:val="26"/>
          <w:szCs w:val="26"/>
        </w:rPr>
        <w:t>customer service</w:t>
      </w:r>
      <w:r w:rsidR="00831645">
        <w:rPr>
          <w:rFonts w:ascii="Times New Roman" w:eastAsia="Times New Roman" w:hAnsi="Times New Roman" w:cs="Times New Roman"/>
          <w:color w:val="000000"/>
          <w:sz w:val="26"/>
          <w:szCs w:val="26"/>
        </w:rPr>
        <w:t xml:space="preserve">s.  </w:t>
      </w:r>
      <w:r w:rsidR="00F23D51">
        <w:rPr>
          <w:rFonts w:ascii="Times New Roman" w:eastAsia="Times New Roman" w:hAnsi="Times New Roman" w:cs="Times New Roman"/>
          <w:color w:val="000000"/>
          <w:sz w:val="26"/>
          <w:szCs w:val="26"/>
        </w:rPr>
        <w:t>In support, t</w:t>
      </w:r>
      <w:r w:rsidR="00831645">
        <w:rPr>
          <w:rFonts w:ascii="Times New Roman" w:eastAsia="Times New Roman" w:hAnsi="Times New Roman" w:cs="Times New Roman"/>
          <w:color w:val="000000"/>
          <w:sz w:val="26"/>
          <w:szCs w:val="26"/>
        </w:rPr>
        <w:t xml:space="preserve">he Company cited to its plans to invest </w:t>
      </w:r>
      <w:r w:rsidR="00860462">
        <w:rPr>
          <w:rFonts w:ascii="Times New Roman" w:eastAsia="Times New Roman" w:hAnsi="Times New Roman" w:cs="Times New Roman"/>
          <w:color w:val="000000"/>
          <w:sz w:val="26"/>
          <w:szCs w:val="26"/>
        </w:rPr>
        <w:t>millions of dollars to improve the System.  R.D. at</w:t>
      </w:r>
      <w:r w:rsidR="00FB1F60">
        <w:rPr>
          <w:rFonts w:ascii="Times New Roman" w:eastAsia="Times New Roman" w:hAnsi="Times New Roman" w:cs="Times New Roman"/>
          <w:color w:val="000000"/>
          <w:sz w:val="26"/>
          <w:szCs w:val="26"/>
        </w:rPr>
        <w:t> </w:t>
      </w:r>
      <w:r w:rsidR="00860462">
        <w:rPr>
          <w:rFonts w:ascii="Times New Roman" w:eastAsia="Times New Roman" w:hAnsi="Times New Roman" w:cs="Times New Roman"/>
          <w:color w:val="000000"/>
          <w:sz w:val="26"/>
          <w:szCs w:val="26"/>
        </w:rPr>
        <w:t xml:space="preserve">29-30 (citing </w:t>
      </w:r>
      <w:r w:rsidR="00860462" w:rsidRPr="0093556B">
        <w:rPr>
          <w:rFonts w:ascii="Times New Roman" w:hAnsi="Times New Roman" w:cs="Times New Roman"/>
          <w:sz w:val="26"/>
          <w:szCs w:val="26"/>
        </w:rPr>
        <w:t xml:space="preserve">PAWC St. 1-R </w:t>
      </w:r>
      <w:r w:rsidR="00860462">
        <w:rPr>
          <w:rFonts w:ascii="Times New Roman" w:hAnsi="Times New Roman" w:cs="Times New Roman"/>
          <w:sz w:val="26"/>
          <w:szCs w:val="26"/>
        </w:rPr>
        <w:t>at</w:t>
      </w:r>
      <w:r w:rsidR="00860462" w:rsidRPr="0093556B">
        <w:rPr>
          <w:rFonts w:ascii="Times New Roman" w:hAnsi="Times New Roman" w:cs="Times New Roman"/>
          <w:sz w:val="26"/>
          <w:szCs w:val="26"/>
        </w:rPr>
        <w:t xml:space="preserve"> 7-8; </w:t>
      </w:r>
      <w:r w:rsidR="00B825E5" w:rsidRPr="0093556B">
        <w:rPr>
          <w:rFonts w:ascii="Times New Roman" w:hAnsi="Times New Roman" w:cs="Times New Roman"/>
          <w:sz w:val="26"/>
          <w:szCs w:val="26"/>
        </w:rPr>
        <w:t xml:space="preserve">PAWC St. 2 </w:t>
      </w:r>
      <w:r w:rsidR="00A77C8F">
        <w:rPr>
          <w:rFonts w:ascii="Times New Roman" w:hAnsi="Times New Roman" w:cs="Times New Roman"/>
          <w:sz w:val="26"/>
          <w:szCs w:val="26"/>
        </w:rPr>
        <w:t>at</w:t>
      </w:r>
      <w:r w:rsidR="00B825E5" w:rsidRPr="0093556B">
        <w:rPr>
          <w:rFonts w:ascii="Times New Roman" w:hAnsi="Times New Roman" w:cs="Times New Roman"/>
          <w:sz w:val="26"/>
          <w:szCs w:val="26"/>
        </w:rPr>
        <w:t xml:space="preserve"> </w:t>
      </w:r>
      <w:r w:rsidR="00A77C8F">
        <w:rPr>
          <w:rFonts w:ascii="Times New Roman" w:hAnsi="Times New Roman" w:cs="Times New Roman"/>
          <w:sz w:val="26"/>
          <w:szCs w:val="26"/>
        </w:rPr>
        <w:t xml:space="preserve">8, </w:t>
      </w:r>
      <w:r w:rsidR="00B825E5" w:rsidRPr="0093556B">
        <w:rPr>
          <w:rFonts w:ascii="Times New Roman" w:hAnsi="Times New Roman" w:cs="Times New Roman"/>
          <w:sz w:val="26"/>
          <w:szCs w:val="26"/>
        </w:rPr>
        <w:t>14-17</w:t>
      </w:r>
      <w:r w:rsidR="00552936">
        <w:rPr>
          <w:rFonts w:ascii="Times New Roman" w:hAnsi="Times New Roman" w:cs="Times New Roman"/>
          <w:sz w:val="26"/>
          <w:szCs w:val="26"/>
        </w:rPr>
        <w:t>;</w:t>
      </w:r>
      <w:r w:rsidR="00B825E5">
        <w:rPr>
          <w:rFonts w:ascii="Times New Roman" w:hAnsi="Times New Roman" w:cs="Times New Roman"/>
          <w:sz w:val="26"/>
          <w:szCs w:val="26"/>
        </w:rPr>
        <w:t xml:space="preserve"> </w:t>
      </w:r>
      <w:r w:rsidR="00552936" w:rsidRPr="0093556B">
        <w:rPr>
          <w:rFonts w:ascii="Times New Roman" w:hAnsi="Times New Roman" w:cs="Times New Roman"/>
          <w:sz w:val="26"/>
          <w:szCs w:val="26"/>
        </w:rPr>
        <w:t xml:space="preserve">PAWC </w:t>
      </w:r>
      <w:proofErr w:type="spellStart"/>
      <w:r w:rsidR="00552936" w:rsidRPr="0093556B">
        <w:rPr>
          <w:rFonts w:ascii="Times New Roman" w:hAnsi="Times New Roman" w:cs="Times New Roman"/>
          <w:sz w:val="26"/>
          <w:szCs w:val="26"/>
        </w:rPr>
        <w:t>Exh</w:t>
      </w:r>
      <w:proofErr w:type="spellEnd"/>
      <w:r w:rsidR="00552936">
        <w:rPr>
          <w:rFonts w:ascii="Times New Roman" w:hAnsi="Times New Roman" w:cs="Times New Roman"/>
          <w:sz w:val="26"/>
          <w:szCs w:val="26"/>
        </w:rPr>
        <w:t>.</w:t>
      </w:r>
      <w:r w:rsidR="00552936" w:rsidRPr="0093556B">
        <w:rPr>
          <w:rFonts w:ascii="Times New Roman" w:hAnsi="Times New Roman" w:cs="Times New Roman"/>
          <w:sz w:val="26"/>
          <w:szCs w:val="26"/>
        </w:rPr>
        <w:t xml:space="preserve"> MJG-1; PAWC St. 2-R </w:t>
      </w:r>
      <w:r w:rsidR="00552936">
        <w:rPr>
          <w:rFonts w:ascii="Times New Roman" w:hAnsi="Times New Roman" w:cs="Times New Roman"/>
          <w:sz w:val="26"/>
          <w:szCs w:val="26"/>
        </w:rPr>
        <w:t>at</w:t>
      </w:r>
      <w:r w:rsidR="00552936" w:rsidRPr="0093556B">
        <w:rPr>
          <w:rFonts w:ascii="Times New Roman" w:hAnsi="Times New Roman" w:cs="Times New Roman"/>
          <w:sz w:val="26"/>
          <w:szCs w:val="26"/>
        </w:rPr>
        <w:t xml:space="preserve"> 2</w:t>
      </w:r>
      <w:r w:rsidR="00552936">
        <w:rPr>
          <w:rFonts w:ascii="Times New Roman" w:hAnsi="Times New Roman" w:cs="Times New Roman"/>
          <w:sz w:val="26"/>
          <w:szCs w:val="26"/>
        </w:rPr>
        <w:t xml:space="preserve">; </w:t>
      </w:r>
      <w:r w:rsidR="00860462" w:rsidRPr="0093556B">
        <w:rPr>
          <w:rFonts w:ascii="Times New Roman" w:hAnsi="Times New Roman" w:cs="Times New Roman"/>
          <w:sz w:val="26"/>
          <w:szCs w:val="26"/>
        </w:rPr>
        <w:t xml:space="preserve">Royersford St. 1 </w:t>
      </w:r>
      <w:r w:rsidR="00DD51FA">
        <w:rPr>
          <w:rFonts w:ascii="Times New Roman" w:hAnsi="Times New Roman" w:cs="Times New Roman"/>
          <w:sz w:val="26"/>
          <w:szCs w:val="26"/>
        </w:rPr>
        <w:t>at</w:t>
      </w:r>
      <w:r w:rsidR="00860462" w:rsidRPr="0093556B">
        <w:rPr>
          <w:rFonts w:ascii="Times New Roman" w:hAnsi="Times New Roman" w:cs="Times New Roman"/>
          <w:sz w:val="26"/>
          <w:szCs w:val="26"/>
        </w:rPr>
        <w:t xml:space="preserve"> 4</w:t>
      </w:r>
      <w:r w:rsidR="00286522">
        <w:rPr>
          <w:rFonts w:ascii="Times New Roman" w:hAnsi="Times New Roman" w:cs="Times New Roman"/>
          <w:sz w:val="26"/>
          <w:szCs w:val="26"/>
        </w:rPr>
        <w:t>).</w:t>
      </w:r>
    </w:p>
    <w:p w14:paraId="6425570B" w14:textId="77777777" w:rsidR="0093556B" w:rsidRPr="0093556B" w:rsidRDefault="0093556B" w:rsidP="0093556B">
      <w:pPr>
        <w:spacing w:line="360" w:lineRule="auto"/>
        <w:ind w:left="14" w:firstLine="1426"/>
        <w:rPr>
          <w:rFonts w:ascii="Times New Roman" w:eastAsia="Times New Roman" w:hAnsi="Times New Roman" w:cs="Times New Roman"/>
          <w:color w:val="000000"/>
          <w:sz w:val="26"/>
          <w:szCs w:val="26"/>
        </w:rPr>
      </w:pPr>
    </w:p>
    <w:p w14:paraId="0789331E" w14:textId="32AE1CB0" w:rsidR="0093556B" w:rsidRPr="0093556B" w:rsidRDefault="0093556B" w:rsidP="0093556B">
      <w:pPr>
        <w:spacing w:line="360" w:lineRule="auto"/>
        <w:ind w:left="10" w:firstLine="1430"/>
        <w:rPr>
          <w:rFonts w:ascii="Times New Roman" w:eastAsia="Times New Roman" w:hAnsi="Times New Roman" w:cs="Times New Roman"/>
          <w:color w:val="000000"/>
          <w:sz w:val="26"/>
          <w:szCs w:val="26"/>
        </w:rPr>
      </w:pPr>
      <w:r w:rsidRPr="0093556B">
        <w:rPr>
          <w:rFonts w:ascii="Times New Roman" w:eastAsia="Times New Roman" w:hAnsi="Times New Roman" w:cs="Times New Roman"/>
          <w:color w:val="000000"/>
          <w:sz w:val="26"/>
          <w:szCs w:val="26"/>
        </w:rPr>
        <w:t>Further, PAWC argue</w:t>
      </w:r>
      <w:r w:rsidR="00286522">
        <w:rPr>
          <w:rFonts w:ascii="Times New Roman" w:eastAsia="Times New Roman" w:hAnsi="Times New Roman" w:cs="Times New Roman"/>
          <w:color w:val="000000"/>
          <w:sz w:val="26"/>
          <w:szCs w:val="26"/>
        </w:rPr>
        <w:t>d</w:t>
      </w:r>
      <w:r w:rsidRPr="0093556B">
        <w:rPr>
          <w:rFonts w:ascii="Times New Roman" w:eastAsia="Times New Roman" w:hAnsi="Times New Roman" w:cs="Times New Roman"/>
          <w:color w:val="000000"/>
          <w:sz w:val="26"/>
          <w:szCs w:val="26"/>
        </w:rPr>
        <w:t xml:space="preserve"> that </w:t>
      </w:r>
      <w:r w:rsidR="00286522">
        <w:rPr>
          <w:rFonts w:ascii="Times New Roman" w:eastAsia="Times New Roman" w:hAnsi="Times New Roman" w:cs="Times New Roman"/>
          <w:color w:val="000000"/>
          <w:sz w:val="26"/>
          <w:szCs w:val="26"/>
        </w:rPr>
        <w:t xml:space="preserve">the Settlement </w:t>
      </w:r>
      <w:r w:rsidRPr="0093556B">
        <w:rPr>
          <w:rFonts w:ascii="Times New Roman" w:eastAsia="Times New Roman" w:hAnsi="Times New Roman" w:cs="Times New Roman"/>
          <w:color w:val="000000"/>
          <w:sz w:val="26"/>
          <w:szCs w:val="26"/>
        </w:rPr>
        <w:t xml:space="preserve">requires </w:t>
      </w:r>
      <w:r w:rsidR="00286522">
        <w:rPr>
          <w:rFonts w:ascii="Times New Roman" w:eastAsia="Times New Roman" w:hAnsi="Times New Roman" w:cs="Times New Roman"/>
          <w:color w:val="000000"/>
          <w:sz w:val="26"/>
          <w:szCs w:val="26"/>
        </w:rPr>
        <w:t>the Company</w:t>
      </w:r>
      <w:r w:rsidRPr="0093556B">
        <w:rPr>
          <w:rFonts w:ascii="Times New Roman" w:eastAsia="Times New Roman" w:hAnsi="Times New Roman" w:cs="Times New Roman"/>
          <w:color w:val="000000"/>
          <w:sz w:val="26"/>
          <w:szCs w:val="26"/>
        </w:rPr>
        <w:t xml:space="preserve"> to provide information to Royersford’s customers regarding PAWC’s low-income programs within the first billing cycle following closing and in a welcome letter to Royersford’s customers.  </w:t>
      </w:r>
      <w:r w:rsidR="00DD51D3">
        <w:rPr>
          <w:rFonts w:ascii="Times New Roman" w:eastAsia="Times New Roman" w:hAnsi="Times New Roman" w:cs="Times New Roman"/>
          <w:color w:val="000000"/>
          <w:sz w:val="26"/>
          <w:szCs w:val="26"/>
        </w:rPr>
        <w:t xml:space="preserve">R.D. at 30 (citing </w:t>
      </w:r>
      <w:r w:rsidRPr="0093556B">
        <w:rPr>
          <w:rFonts w:ascii="Times New Roman" w:eastAsia="Times New Roman" w:hAnsi="Times New Roman" w:cs="Times New Roman"/>
          <w:color w:val="000000"/>
          <w:sz w:val="26"/>
          <w:szCs w:val="26"/>
        </w:rPr>
        <w:t>Settlement ¶ 31</w:t>
      </w:r>
      <w:r w:rsidR="00DD51D3">
        <w:rPr>
          <w:rFonts w:ascii="Times New Roman" w:eastAsia="Times New Roman" w:hAnsi="Times New Roman" w:cs="Times New Roman"/>
          <w:color w:val="000000"/>
          <w:sz w:val="26"/>
          <w:szCs w:val="26"/>
        </w:rPr>
        <w:t>)</w:t>
      </w:r>
      <w:r w:rsidRPr="0093556B">
        <w:rPr>
          <w:rFonts w:ascii="Times New Roman" w:eastAsia="Times New Roman" w:hAnsi="Times New Roman" w:cs="Times New Roman"/>
          <w:color w:val="000000"/>
          <w:sz w:val="26"/>
          <w:szCs w:val="26"/>
        </w:rPr>
        <w:t xml:space="preserve">.  </w:t>
      </w:r>
    </w:p>
    <w:p w14:paraId="357AAB83" w14:textId="77777777" w:rsidR="0093556B" w:rsidRPr="0093556B" w:rsidRDefault="0093556B" w:rsidP="0093556B">
      <w:pPr>
        <w:spacing w:line="360" w:lineRule="auto"/>
        <w:ind w:left="10" w:firstLine="720"/>
        <w:rPr>
          <w:rFonts w:ascii="Times New Roman" w:eastAsia="Times New Roman" w:hAnsi="Times New Roman" w:cs="Times New Roman"/>
          <w:color w:val="000000"/>
          <w:sz w:val="26"/>
          <w:szCs w:val="26"/>
        </w:rPr>
      </w:pPr>
    </w:p>
    <w:p w14:paraId="712E5BB5" w14:textId="465C6EEA" w:rsidR="0093556B" w:rsidRPr="0093556B" w:rsidRDefault="00DD51D3" w:rsidP="0078425D">
      <w:pPr>
        <w:spacing w:line="360" w:lineRule="auto"/>
        <w:ind w:left="10" w:firstLine="1430"/>
        <w:rPr>
          <w:rFonts w:ascii="Times New Roman" w:hAnsi="Times New Roman" w:cs="Times New Roman"/>
          <w:sz w:val="26"/>
          <w:szCs w:val="26"/>
        </w:rPr>
      </w:pPr>
      <w:r w:rsidRPr="001F359E">
        <w:rPr>
          <w:rFonts w:ascii="Times New Roman" w:eastAsia="Times New Roman" w:hAnsi="Times New Roman" w:cs="Times New Roman"/>
          <w:color w:val="000000"/>
          <w:sz w:val="26"/>
          <w:szCs w:val="26"/>
        </w:rPr>
        <w:t xml:space="preserve">Regarding the benefits to </w:t>
      </w:r>
      <w:r w:rsidR="0093556B" w:rsidRPr="001F359E">
        <w:rPr>
          <w:rFonts w:ascii="Times New Roman" w:eastAsia="Times New Roman" w:hAnsi="Times New Roman" w:cs="Times New Roman"/>
          <w:color w:val="000000"/>
          <w:sz w:val="26"/>
          <w:szCs w:val="26"/>
        </w:rPr>
        <w:t>PAWC</w:t>
      </w:r>
      <w:r w:rsidR="00ED5A60" w:rsidRPr="001F359E">
        <w:rPr>
          <w:rFonts w:ascii="Times New Roman" w:eastAsia="Times New Roman" w:hAnsi="Times New Roman" w:cs="Times New Roman"/>
          <w:color w:val="000000"/>
          <w:sz w:val="26"/>
          <w:szCs w:val="26"/>
        </w:rPr>
        <w:t xml:space="preserve">’s existing </w:t>
      </w:r>
      <w:r w:rsidR="0093556B" w:rsidRPr="001F359E">
        <w:rPr>
          <w:rFonts w:ascii="Times New Roman" w:eastAsia="Times New Roman" w:hAnsi="Times New Roman" w:cs="Times New Roman"/>
          <w:iCs/>
          <w:color w:val="000000"/>
          <w:sz w:val="26"/>
          <w:szCs w:val="26"/>
        </w:rPr>
        <w:t>c</w:t>
      </w:r>
      <w:r w:rsidR="0093556B" w:rsidRPr="001F359E">
        <w:rPr>
          <w:rFonts w:ascii="Times New Roman" w:eastAsia="Times New Roman" w:hAnsi="Times New Roman" w:cs="Times New Roman"/>
          <w:color w:val="000000"/>
          <w:sz w:val="26"/>
          <w:szCs w:val="26"/>
        </w:rPr>
        <w:t>ustomers</w:t>
      </w:r>
      <w:r w:rsidR="00ED5A60" w:rsidRPr="001F359E">
        <w:rPr>
          <w:rFonts w:ascii="Times New Roman" w:eastAsia="Times New Roman" w:hAnsi="Times New Roman" w:cs="Times New Roman"/>
          <w:color w:val="000000"/>
          <w:sz w:val="26"/>
          <w:szCs w:val="26"/>
        </w:rPr>
        <w:t xml:space="preserve">, the Company </w:t>
      </w:r>
      <w:r w:rsidR="00436441" w:rsidRPr="001F359E">
        <w:rPr>
          <w:rFonts w:ascii="Times New Roman" w:eastAsia="Times New Roman" w:hAnsi="Times New Roman" w:cs="Times New Roman"/>
          <w:color w:val="000000"/>
          <w:sz w:val="26"/>
          <w:szCs w:val="26"/>
        </w:rPr>
        <w:t xml:space="preserve">highlighted the addition of new customers to PAWC’s wastewater customer base </w:t>
      </w:r>
      <w:r w:rsidR="0013228A" w:rsidRPr="001F359E">
        <w:rPr>
          <w:rFonts w:ascii="Times New Roman" w:eastAsia="Times New Roman" w:hAnsi="Times New Roman" w:cs="Times New Roman"/>
          <w:color w:val="000000"/>
          <w:sz w:val="26"/>
          <w:szCs w:val="26"/>
        </w:rPr>
        <w:t xml:space="preserve">who can share the cost of operating the entire PAWC wastewater system.  </w:t>
      </w:r>
      <w:r w:rsidR="004B2AAA" w:rsidRPr="001F359E">
        <w:rPr>
          <w:rFonts w:ascii="Times New Roman" w:eastAsia="Times New Roman" w:hAnsi="Times New Roman" w:cs="Times New Roman"/>
          <w:color w:val="000000"/>
          <w:sz w:val="26"/>
          <w:szCs w:val="26"/>
        </w:rPr>
        <w:t xml:space="preserve">PAWC also emphasized </w:t>
      </w:r>
      <w:r w:rsidR="00CA2034" w:rsidRPr="001F359E">
        <w:rPr>
          <w:rFonts w:ascii="Times New Roman" w:eastAsia="Times New Roman" w:hAnsi="Times New Roman" w:cs="Times New Roman"/>
          <w:color w:val="000000"/>
          <w:sz w:val="26"/>
          <w:szCs w:val="26"/>
        </w:rPr>
        <w:t xml:space="preserve">the elimination of duplicate </w:t>
      </w:r>
      <w:r w:rsidR="00D6431A" w:rsidRPr="001F359E">
        <w:rPr>
          <w:rFonts w:ascii="Times New Roman" w:eastAsia="Times New Roman" w:hAnsi="Times New Roman" w:cs="Times New Roman"/>
          <w:color w:val="000000"/>
          <w:sz w:val="26"/>
          <w:szCs w:val="26"/>
        </w:rPr>
        <w:t xml:space="preserve">equipment between the </w:t>
      </w:r>
      <w:r w:rsidR="004B2AAA" w:rsidRPr="001F359E">
        <w:rPr>
          <w:rFonts w:ascii="Times New Roman" w:hAnsi="Times New Roman" w:cs="Times New Roman"/>
          <w:sz w:val="26"/>
          <w:szCs w:val="26"/>
        </w:rPr>
        <w:t xml:space="preserve">System and PAWC’s system by </w:t>
      </w:r>
      <w:r w:rsidR="00D6431A" w:rsidRPr="001F359E">
        <w:rPr>
          <w:rFonts w:ascii="Times New Roman" w:hAnsi="Times New Roman" w:cs="Times New Roman"/>
          <w:sz w:val="26"/>
          <w:szCs w:val="26"/>
        </w:rPr>
        <w:t xml:space="preserve">the </w:t>
      </w:r>
      <w:r w:rsidR="004B2AAA" w:rsidRPr="001F359E">
        <w:rPr>
          <w:rFonts w:ascii="Times New Roman" w:hAnsi="Times New Roman" w:cs="Times New Roman"/>
          <w:sz w:val="26"/>
          <w:szCs w:val="26"/>
        </w:rPr>
        <w:t xml:space="preserve">sharing </w:t>
      </w:r>
      <w:r w:rsidR="00D6431A" w:rsidRPr="001F359E">
        <w:rPr>
          <w:rFonts w:ascii="Times New Roman" w:hAnsi="Times New Roman" w:cs="Times New Roman"/>
          <w:sz w:val="26"/>
          <w:szCs w:val="26"/>
        </w:rPr>
        <w:t xml:space="preserve">of </w:t>
      </w:r>
      <w:r w:rsidR="004B2AAA" w:rsidRPr="001F359E">
        <w:rPr>
          <w:rFonts w:ascii="Times New Roman" w:hAnsi="Times New Roman" w:cs="Times New Roman"/>
          <w:sz w:val="26"/>
          <w:szCs w:val="26"/>
        </w:rPr>
        <w:t xml:space="preserve">local resources that cannot currently </w:t>
      </w:r>
      <w:r w:rsidR="00D6431A" w:rsidRPr="001F359E">
        <w:rPr>
          <w:rFonts w:ascii="Times New Roman" w:hAnsi="Times New Roman" w:cs="Times New Roman"/>
          <w:sz w:val="26"/>
          <w:szCs w:val="26"/>
        </w:rPr>
        <w:t xml:space="preserve">be shared without approval of the Application. </w:t>
      </w:r>
      <w:r w:rsidR="0093556B" w:rsidRPr="001F359E">
        <w:rPr>
          <w:rFonts w:ascii="Times New Roman" w:eastAsia="Times New Roman" w:hAnsi="Times New Roman" w:cs="Times New Roman"/>
          <w:color w:val="000000"/>
          <w:sz w:val="26"/>
          <w:szCs w:val="26"/>
        </w:rPr>
        <w:t xml:space="preserve"> </w:t>
      </w:r>
      <w:r w:rsidR="0078425D" w:rsidRPr="001F359E">
        <w:rPr>
          <w:rFonts w:ascii="Times New Roman" w:eastAsia="Times New Roman" w:hAnsi="Times New Roman" w:cs="Times New Roman"/>
          <w:color w:val="000000"/>
          <w:sz w:val="26"/>
          <w:szCs w:val="26"/>
        </w:rPr>
        <w:t xml:space="preserve">R.D. at 30 (citing </w:t>
      </w:r>
      <w:r w:rsidR="00D6431A" w:rsidRPr="001F359E">
        <w:rPr>
          <w:rFonts w:ascii="Times New Roman" w:hAnsi="Times New Roman" w:cs="Times New Roman"/>
          <w:sz w:val="26"/>
          <w:szCs w:val="26"/>
        </w:rPr>
        <w:t xml:space="preserve">PAWC St. 1 </w:t>
      </w:r>
      <w:r w:rsidR="0078425D" w:rsidRPr="001F359E">
        <w:rPr>
          <w:rFonts w:ascii="Times New Roman" w:hAnsi="Times New Roman" w:cs="Times New Roman"/>
          <w:sz w:val="26"/>
          <w:szCs w:val="26"/>
        </w:rPr>
        <w:t xml:space="preserve">at </w:t>
      </w:r>
      <w:r w:rsidR="00D6431A" w:rsidRPr="001F359E">
        <w:rPr>
          <w:rFonts w:ascii="Times New Roman" w:hAnsi="Times New Roman" w:cs="Times New Roman"/>
          <w:sz w:val="26"/>
          <w:szCs w:val="26"/>
        </w:rPr>
        <w:t xml:space="preserve">17; PAWC St. 1-R </w:t>
      </w:r>
      <w:r w:rsidR="0078425D" w:rsidRPr="001F359E">
        <w:rPr>
          <w:rFonts w:ascii="Times New Roman" w:hAnsi="Times New Roman" w:cs="Times New Roman"/>
          <w:sz w:val="26"/>
          <w:szCs w:val="26"/>
        </w:rPr>
        <w:t>at</w:t>
      </w:r>
      <w:r w:rsidR="00D6431A" w:rsidRPr="001F359E">
        <w:rPr>
          <w:rFonts w:ascii="Times New Roman" w:hAnsi="Times New Roman" w:cs="Times New Roman"/>
          <w:sz w:val="26"/>
          <w:szCs w:val="26"/>
        </w:rPr>
        <w:t xml:space="preserve"> 5</w:t>
      </w:r>
      <w:r w:rsidR="0078425D" w:rsidRPr="001F359E">
        <w:rPr>
          <w:rFonts w:ascii="Times New Roman" w:hAnsi="Times New Roman" w:cs="Times New Roman"/>
          <w:sz w:val="26"/>
          <w:szCs w:val="26"/>
        </w:rPr>
        <w:t>).</w:t>
      </w:r>
      <w:r w:rsidR="0093556B" w:rsidRPr="0093556B">
        <w:rPr>
          <w:rFonts w:ascii="Times New Roman" w:hAnsi="Times New Roman" w:cs="Times New Roman"/>
          <w:sz w:val="26"/>
          <w:szCs w:val="26"/>
        </w:rPr>
        <w:t xml:space="preserve"> </w:t>
      </w:r>
    </w:p>
    <w:p w14:paraId="1A812093" w14:textId="77777777" w:rsidR="0093556B" w:rsidRPr="0093556B" w:rsidRDefault="0093556B" w:rsidP="0093556B">
      <w:pPr>
        <w:tabs>
          <w:tab w:val="left" w:pos="720"/>
        </w:tabs>
        <w:spacing w:line="360" w:lineRule="auto"/>
        <w:ind w:left="1440"/>
        <w:contextualSpacing/>
        <w:rPr>
          <w:rFonts w:ascii="Times New Roman" w:hAnsi="Times New Roman" w:cs="Times New Roman"/>
          <w:sz w:val="26"/>
          <w:szCs w:val="26"/>
        </w:rPr>
      </w:pPr>
    </w:p>
    <w:p w14:paraId="66CB5794" w14:textId="05D921AD" w:rsidR="0093556B" w:rsidRPr="0093556B" w:rsidRDefault="0078425D" w:rsidP="0093556B">
      <w:pPr>
        <w:spacing w:line="360" w:lineRule="auto"/>
        <w:ind w:left="10" w:firstLine="143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As a final argument</w:t>
      </w:r>
      <w:r w:rsidR="0093556B" w:rsidRPr="0093556B">
        <w:rPr>
          <w:rFonts w:ascii="Times New Roman" w:eastAsia="Times New Roman" w:hAnsi="Times New Roman" w:cs="Times New Roman"/>
          <w:color w:val="000000"/>
          <w:sz w:val="26"/>
          <w:szCs w:val="26"/>
        </w:rPr>
        <w:t xml:space="preserve">, PAWC </w:t>
      </w:r>
      <w:r>
        <w:rPr>
          <w:rFonts w:ascii="Times New Roman" w:eastAsia="Times New Roman" w:hAnsi="Times New Roman" w:cs="Times New Roman"/>
          <w:color w:val="000000"/>
          <w:sz w:val="26"/>
          <w:szCs w:val="26"/>
        </w:rPr>
        <w:t>stated</w:t>
      </w:r>
      <w:r w:rsidR="0093556B" w:rsidRPr="0093556B">
        <w:rPr>
          <w:rFonts w:ascii="Times New Roman" w:eastAsia="Times New Roman" w:hAnsi="Times New Roman" w:cs="Times New Roman"/>
          <w:color w:val="000000"/>
          <w:sz w:val="26"/>
          <w:szCs w:val="26"/>
        </w:rPr>
        <w:t xml:space="preserve"> that the transaction will only result in an increase in rates for </w:t>
      </w:r>
      <w:r w:rsidR="00CD42A5">
        <w:rPr>
          <w:rFonts w:ascii="Times New Roman" w:eastAsia="Times New Roman" w:hAnsi="Times New Roman" w:cs="Times New Roman"/>
          <w:color w:val="000000"/>
          <w:sz w:val="26"/>
          <w:szCs w:val="26"/>
        </w:rPr>
        <w:t xml:space="preserve">its existing </w:t>
      </w:r>
      <w:r w:rsidR="0093556B" w:rsidRPr="0093556B">
        <w:rPr>
          <w:rFonts w:ascii="Times New Roman" w:eastAsia="Times New Roman" w:hAnsi="Times New Roman" w:cs="Times New Roman"/>
          <w:color w:val="000000"/>
          <w:sz w:val="26"/>
          <w:szCs w:val="26"/>
        </w:rPr>
        <w:t>customers, pursuant to 66 Pa.</w:t>
      </w:r>
      <w:r w:rsidR="005356DC">
        <w:rPr>
          <w:rFonts w:ascii="Times New Roman" w:eastAsia="Times New Roman" w:hAnsi="Times New Roman" w:cs="Times New Roman"/>
          <w:color w:val="000000"/>
          <w:sz w:val="26"/>
          <w:szCs w:val="26"/>
        </w:rPr>
        <w:t xml:space="preserve"> </w:t>
      </w:r>
      <w:r w:rsidR="0093556B" w:rsidRPr="0093556B">
        <w:rPr>
          <w:rFonts w:ascii="Times New Roman" w:eastAsia="Times New Roman" w:hAnsi="Times New Roman" w:cs="Times New Roman"/>
          <w:color w:val="000000"/>
          <w:sz w:val="26"/>
          <w:szCs w:val="26"/>
        </w:rPr>
        <w:t>C.S. § 1311(c), if in a future rate case the Commission determines that an allocation of PAWC’s wastewater requirement to water customers is in the public interest.</w:t>
      </w:r>
      <w:r w:rsidR="00CD42A5">
        <w:rPr>
          <w:rFonts w:ascii="Times New Roman" w:eastAsia="Times New Roman" w:hAnsi="Times New Roman" w:cs="Times New Roman"/>
          <w:color w:val="000000"/>
          <w:sz w:val="26"/>
          <w:szCs w:val="26"/>
        </w:rPr>
        <w:t xml:space="preserve">  R.D. at 30 (citing </w:t>
      </w:r>
      <w:r w:rsidR="0093556B" w:rsidRPr="0093556B">
        <w:rPr>
          <w:rFonts w:ascii="Times New Roman" w:eastAsia="Times New Roman" w:hAnsi="Times New Roman" w:cs="Times New Roman"/>
          <w:color w:val="000000"/>
          <w:sz w:val="26"/>
          <w:szCs w:val="26"/>
        </w:rPr>
        <w:t xml:space="preserve">PAWC Statement in Support at 23-24). </w:t>
      </w:r>
    </w:p>
    <w:p w14:paraId="21EBC11A" w14:textId="77777777" w:rsidR="0093556B" w:rsidRPr="0093556B" w:rsidRDefault="0093556B" w:rsidP="0093556B">
      <w:pPr>
        <w:spacing w:line="360" w:lineRule="auto"/>
        <w:ind w:left="10" w:firstLine="720"/>
        <w:jc w:val="both"/>
        <w:rPr>
          <w:rFonts w:ascii="Times New Roman" w:eastAsia="Times New Roman" w:hAnsi="Times New Roman" w:cs="Times New Roman"/>
          <w:color w:val="000000"/>
          <w:sz w:val="26"/>
          <w:szCs w:val="26"/>
        </w:rPr>
      </w:pPr>
    </w:p>
    <w:p w14:paraId="6C5BD158" w14:textId="54AF8B11" w:rsidR="0093556B" w:rsidRPr="0093556B" w:rsidRDefault="00C52E4F" w:rsidP="00FB1F60">
      <w:pPr>
        <w:spacing w:line="360" w:lineRule="auto"/>
        <w:ind w:firstLine="1440"/>
        <w:rPr>
          <w:rFonts w:ascii="Times New Roman" w:hAnsi="Times New Roman" w:cs="Times New Roman"/>
          <w:iCs/>
          <w:sz w:val="26"/>
          <w:szCs w:val="26"/>
        </w:rPr>
      </w:pPr>
      <w:r>
        <w:rPr>
          <w:rFonts w:ascii="Times New Roman" w:hAnsi="Times New Roman" w:cs="Times New Roman"/>
          <w:color w:val="000000" w:themeColor="text1"/>
          <w:sz w:val="26"/>
          <w:szCs w:val="26"/>
        </w:rPr>
        <w:lastRenderedPageBreak/>
        <w:t xml:space="preserve">The ALJ also summarized </w:t>
      </w:r>
      <w:r w:rsidR="00C705BE">
        <w:rPr>
          <w:rFonts w:ascii="Times New Roman" w:hAnsi="Times New Roman" w:cs="Times New Roman"/>
          <w:color w:val="000000" w:themeColor="text1"/>
          <w:sz w:val="26"/>
          <w:szCs w:val="26"/>
        </w:rPr>
        <w:t xml:space="preserve">Royersford’s </w:t>
      </w:r>
      <w:r>
        <w:rPr>
          <w:rFonts w:ascii="Times New Roman" w:hAnsi="Times New Roman" w:cs="Times New Roman"/>
          <w:color w:val="000000" w:themeColor="text1"/>
          <w:sz w:val="26"/>
          <w:szCs w:val="26"/>
        </w:rPr>
        <w:t>similar arguments pertaining to the</w:t>
      </w:r>
      <w:r w:rsidR="0093556B" w:rsidRPr="0093556B">
        <w:rPr>
          <w:rFonts w:ascii="Times New Roman" w:hAnsi="Times New Roman" w:cs="Times New Roman"/>
          <w:color w:val="000000" w:themeColor="text1"/>
          <w:sz w:val="26"/>
          <w:szCs w:val="26"/>
        </w:rPr>
        <w:t xml:space="preserve"> managerial, technical</w:t>
      </w:r>
      <w:r w:rsidR="00B21FE4">
        <w:rPr>
          <w:rFonts w:ascii="Times New Roman" w:hAnsi="Times New Roman" w:cs="Times New Roman"/>
          <w:color w:val="000000" w:themeColor="text1"/>
          <w:sz w:val="26"/>
          <w:szCs w:val="26"/>
        </w:rPr>
        <w:t>,</w:t>
      </w:r>
      <w:r w:rsidR="0093556B" w:rsidRPr="0093556B">
        <w:rPr>
          <w:rFonts w:ascii="Times New Roman" w:hAnsi="Times New Roman" w:cs="Times New Roman"/>
          <w:color w:val="000000" w:themeColor="text1"/>
          <w:sz w:val="26"/>
          <w:szCs w:val="26"/>
        </w:rPr>
        <w:t xml:space="preserve"> and financial resources </w:t>
      </w:r>
      <w:r w:rsidR="00C705BE">
        <w:rPr>
          <w:rFonts w:ascii="Times New Roman" w:hAnsi="Times New Roman" w:cs="Times New Roman"/>
          <w:color w:val="000000" w:themeColor="text1"/>
          <w:sz w:val="26"/>
          <w:szCs w:val="26"/>
        </w:rPr>
        <w:t xml:space="preserve">and benefits </w:t>
      </w:r>
      <w:r w:rsidR="00860839">
        <w:rPr>
          <w:rFonts w:ascii="Times New Roman" w:hAnsi="Times New Roman" w:cs="Times New Roman"/>
          <w:color w:val="000000" w:themeColor="text1"/>
          <w:sz w:val="26"/>
          <w:szCs w:val="26"/>
        </w:rPr>
        <w:t xml:space="preserve">of PAWC.  </w:t>
      </w:r>
      <w:r w:rsidR="00C705BE">
        <w:rPr>
          <w:rFonts w:ascii="Times New Roman" w:hAnsi="Times New Roman" w:cs="Times New Roman"/>
          <w:color w:val="000000" w:themeColor="text1"/>
          <w:sz w:val="26"/>
          <w:szCs w:val="26"/>
        </w:rPr>
        <w:t xml:space="preserve">See R.D. at 30-32.  </w:t>
      </w:r>
    </w:p>
    <w:p w14:paraId="08EDF52C" w14:textId="67178091" w:rsidR="00E81DAF" w:rsidRDefault="00E81DAF" w:rsidP="00FB1F60">
      <w:pPr>
        <w:spacing w:line="360" w:lineRule="auto"/>
        <w:rPr>
          <w:rFonts w:ascii="Times New Roman" w:hAnsi="Times New Roman" w:cs="Times New Roman"/>
          <w:b/>
          <w:bCs/>
          <w:sz w:val="26"/>
          <w:szCs w:val="26"/>
        </w:rPr>
      </w:pPr>
    </w:p>
    <w:p w14:paraId="7747626D" w14:textId="55D76521" w:rsidR="00B23C18" w:rsidRDefault="00B51C07" w:rsidP="00E65202">
      <w:pPr>
        <w:keepNext/>
        <w:spacing w:line="360" w:lineRule="auto"/>
        <w:ind w:left="720"/>
        <w:rPr>
          <w:rFonts w:ascii="Times New Roman" w:hAnsi="Times New Roman" w:cs="Times New Roman"/>
          <w:b/>
          <w:bCs/>
          <w:sz w:val="26"/>
          <w:szCs w:val="26"/>
        </w:rPr>
      </w:pPr>
      <w:r w:rsidRPr="00B21FE4">
        <w:rPr>
          <w:rFonts w:ascii="Times New Roman" w:hAnsi="Times New Roman" w:cs="Times New Roman"/>
          <w:b/>
          <w:bCs/>
          <w:sz w:val="26"/>
          <w:szCs w:val="26"/>
        </w:rPr>
        <w:t>3.</w:t>
      </w:r>
      <w:r>
        <w:rPr>
          <w:rFonts w:ascii="Times New Roman" w:hAnsi="Times New Roman" w:cs="Times New Roman"/>
          <w:sz w:val="26"/>
          <w:szCs w:val="26"/>
        </w:rPr>
        <w:tab/>
      </w:r>
      <w:r w:rsidR="00B21FE4" w:rsidRPr="00B21FE4">
        <w:rPr>
          <w:rFonts w:ascii="Times New Roman" w:hAnsi="Times New Roman" w:cs="Times New Roman"/>
          <w:b/>
          <w:bCs/>
          <w:sz w:val="26"/>
          <w:szCs w:val="26"/>
        </w:rPr>
        <w:t>Ratemaking Rate Base and Fair Market Value</w:t>
      </w:r>
    </w:p>
    <w:p w14:paraId="434F800D" w14:textId="77777777" w:rsidR="00840BED" w:rsidRPr="00B21FE4" w:rsidRDefault="00840BED" w:rsidP="00FB1F60">
      <w:pPr>
        <w:keepNext/>
        <w:spacing w:line="360" w:lineRule="auto"/>
        <w:rPr>
          <w:rFonts w:ascii="Times New Roman" w:hAnsi="Times New Roman" w:cs="Times New Roman"/>
          <w:b/>
          <w:bCs/>
          <w:sz w:val="26"/>
          <w:szCs w:val="26"/>
        </w:rPr>
      </w:pPr>
    </w:p>
    <w:p w14:paraId="292C3ECA" w14:textId="77777777" w:rsidR="001A3F51" w:rsidRDefault="00F35A6A" w:rsidP="00FB1F60">
      <w:pPr>
        <w:keepNext/>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The ALJ summarized the </w:t>
      </w:r>
      <w:r w:rsidR="00415E44">
        <w:rPr>
          <w:rFonts w:ascii="Times New Roman" w:eastAsia="Times New Roman" w:hAnsi="Times New Roman" w:cs="Times New Roman"/>
          <w:color w:val="000000"/>
          <w:sz w:val="26"/>
          <w:szCs w:val="26"/>
        </w:rPr>
        <w:t xml:space="preserve">arguments </w:t>
      </w:r>
      <w:r w:rsidR="00733456">
        <w:rPr>
          <w:rFonts w:ascii="Times New Roman" w:eastAsia="Times New Roman" w:hAnsi="Times New Roman" w:cs="Times New Roman"/>
          <w:color w:val="000000"/>
          <w:sz w:val="26"/>
          <w:szCs w:val="26"/>
        </w:rPr>
        <w:t xml:space="preserve">of PAWC and Royersford </w:t>
      </w:r>
      <w:r w:rsidR="00D51B69">
        <w:rPr>
          <w:rFonts w:ascii="Times New Roman" w:eastAsia="Times New Roman" w:hAnsi="Times New Roman" w:cs="Times New Roman"/>
          <w:color w:val="000000"/>
          <w:sz w:val="26"/>
          <w:szCs w:val="26"/>
        </w:rPr>
        <w:t>who asserted that there is agreement among the</w:t>
      </w:r>
      <w:r w:rsidR="00360766" w:rsidRPr="00360766">
        <w:rPr>
          <w:rFonts w:ascii="Times New Roman" w:eastAsia="Times New Roman" w:hAnsi="Times New Roman" w:cs="Times New Roman"/>
          <w:color w:val="000000"/>
          <w:sz w:val="26"/>
          <w:szCs w:val="26"/>
        </w:rPr>
        <w:t xml:space="preserve"> Joint Petitioners that </w:t>
      </w:r>
      <w:r w:rsidR="0032494D">
        <w:rPr>
          <w:rFonts w:ascii="Times New Roman" w:eastAsia="Times New Roman" w:hAnsi="Times New Roman" w:cs="Times New Roman"/>
          <w:color w:val="000000"/>
          <w:sz w:val="26"/>
          <w:szCs w:val="26"/>
        </w:rPr>
        <w:t xml:space="preserve">the </w:t>
      </w:r>
      <w:r w:rsidR="00360766" w:rsidRPr="00360766">
        <w:rPr>
          <w:rFonts w:ascii="Times New Roman" w:eastAsia="Times New Roman" w:hAnsi="Times New Roman" w:cs="Times New Roman"/>
          <w:color w:val="000000"/>
          <w:sz w:val="26"/>
          <w:szCs w:val="26"/>
        </w:rPr>
        <w:t>$13,000,000 purchase price will go into PAWC’s rate base in its next rate case due to the acquisition of the System</w:t>
      </w:r>
      <w:r w:rsidR="00D36562">
        <w:rPr>
          <w:rFonts w:ascii="Times New Roman" w:eastAsia="Times New Roman" w:hAnsi="Times New Roman" w:cs="Times New Roman"/>
          <w:color w:val="000000"/>
          <w:sz w:val="26"/>
          <w:szCs w:val="26"/>
        </w:rPr>
        <w:t xml:space="preserve">.  </w:t>
      </w:r>
      <w:r w:rsidR="00802BA4">
        <w:rPr>
          <w:rFonts w:ascii="Times New Roman" w:eastAsia="Times New Roman" w:hAnsi="Times New Roman" w:cs="Times New Roman"/>
          <w:color w:val="000000"/>
          <w:sz w:val="26"/>
          <w:szCs w:val="26"/>
        </w:rPr>
        <w:t>Here, the ALJ noted that</w:t>
      </w:r>
      <w:r w:rsidR="00606F9A">
        <w:rPr>
          <w:rFonts w:ascii="Times New Roman" w:eastAsia="Times New Roman" w:hAnsi="Times New Roman" w:cs="Times New Roman"/>
          <w:color w:val="000000"/>
          <w:sz w:val="26"/>
          <w:szCs w:val="26"/>
        </w:rPr>
        <w:t>,</w:t>
      </w:r>
      <w:r w:rsidR="00802BA4">
        <w:rPr>
          <w:rFonts w:ascii="Times New Roman" w:eastAsia="Times New Roman" w:hAnsi="Times New Roman" w:cs="Times New Roman"/>
          <w:color w:val="000000"/>
          <w:sz w:val="26"/>
          <w:szCs w:val="26"/>
        </w:rPr>
        <w:t xml:space="preserve"> </w:t>
      </w:r>
      <w:r w:rsidR="008F492C">
        <w:rPr>
          <w:rFonts w:ascii="Times New Roman" w:eastAsia="Times New Roman" w:hAnsi="Times New Roman" w:cs="Times New Roman"/>
          <w:color w:val="000000"/>
          <w:sz w:val="26"/>
          <w:szCs w:val="26"/>
        </w:rPr>
        <w:t xml:space="preserve">although the OCA did not join in </w:t>
      </w:r>
      <w:r w:rsidR="00AA5E3C">
        <w:rPr>
          <w:rFonts w:ascii="Times New Roman" w:eastAsia="Times New Roman" w:hAnsi="Times New Roman" w:cs="Times New Roman"/>
          <w:color w:val="000000"/>
          <w:sz w:val="26"/>
          <w:szCs w:val="26"/>
        </w:rPr>
        <w:t xml:space="preserve">Settlement ¶ 22 </w:t>
      </w:r>
      <w:r w:rsidR="00E07F1C">
        <w:rPr>
          <w:rFonts w:ascii="Times New Roman" w:eastAsia="Times New Roman" w:hAnsi="Times New Roman" w:cs="Times New Roman"/>
          <w:color w:val="000000"/>
          <w:sz w:val="26"/>
          <w:szCs w:val="26"/>
        </w:rPr>
        <w:t xml:space="preserve">pertaining to the $13,000,000 going into the </w:t>
      </w:r>
      <w:r w:rsidR="00606F9A">
        <w:rPr>
          <w:rFonts w:ascii="Times New Roman" w:eastAsia="Times New Roman" w:hAnsi="Times New Roman" w:cs="Times New Roman"/>
          <w:color w:val="000000"/>
          <w:sz w:val="26"/>
          <w:szCs w:val="26"/>
        </w:rPr>
        <w:t xml:space="preserve">PAWC’s rate base in its next rate case, the OCA does not oppose it.  </w:t>
      </w:r>
      <w:r w:rsidR="00D36562">
        <w:rPr>
          <w:rFonts w:ascii="Times New Roman" w:eastAsia="Times New Roman" w:hAnsi="Times New Roman" w:cs="Times New Roman"/>
          <w:color w:val="000000"/>
          <w:sz w:val="26"/>
          <w:szCs w:val="26"/>
        </w:rPr>
        <w:t xml:space="preserve">According to </w:t>
      </w:r>
      <w:r w:rsidR="00360766" w:rsidRPr="00360766">
        <w:rPr>
          <w:rFonts w:ascii="Times New Roman" w:eastAsia="Times New Roman" w:hAnsi="Times New Roman" w:cs="Times New Roman"/>
          <w:color w:val="000000"/>
          <w:sz w:val="26"/>
          <w:szCs w:val="26"/>
        </w:rPr>
        <w:t>PAWC</w:t>
      </w:r>
      <w:r w:rsidR="00D36562">
        <w:rPr>
          <w:rFonts w:ascii="Times New Roman" w:eastAsia="Times New Roman" w:hAnsi="Times New Roman" w:cs="Times New Roman"/>
          <w:color w:val="000000"/>
          <w:sz w:val="26"/>
          <w:szCs w:val="26"/>
        </w:rPr>
        <w:t>,</w:t>
      </w:r>
      <w:r w:rsidR="00360766" w:rsidRPr="00360766">
        <w:rPr>
          <w:rFonts w:ascii="Times New Roman" w:eastAsia="Times New Roman" w:hAnsi="Times New Roman" w:cs="Times New Roman"/>
          <w:color w:val="000000"/>
          <w:sz w:val="26"/>
          <w:szCs w:val="26"/>
        </w:rPr>
        <w:t xml:space="preserve"> the agreed-upon ratemaking rate base of $13,000,000 is supported by substantial record evidence and is within the range of the litigation positions of the Parties.  </w:t>
      </w:r>
      <w:r w:rsidR="002B7E49">
        <w:rPr>
          <w:rFonts w:ascii="Times New Roman" w:eastAsia="Times New Roman" w:hAnsi="Times New Roman" w:cs="Times New Roman"/>
          <w:color w:val="000000"/>
          <w:sz w:val="26"/>
          <w:szCs w:val="26"/>
        </w:rPr>
        <w:t xml:space="preserve">In addition, </w:t>
      </w:r>
      <w:r w:rsidR="00360766" w:rsidRPr="00360766">
        <w:rPr>
          <w:rFonts w:ascii="Times New Roman" w:eastAsia="Times New Roman" w:hAnsi="Times New Roman" w:cs="Times New Roman"/>
          <w:color w:val="000000"/>
          <w:sz w:val="26"/>
          <w:szCs w:val="26"/>
        </w:rPr>
        <w:t xml:space="preserve">PAWC </w:t>
      </w:r>
      <w:r w:rsidR="002B7E49">
        <w:rPr>
          <w:rFonts w:ascii="Times New Roman" w:eastAsia="Times New Roman" w:hAnsi="Times New Roman" w:cs="Times New Roman"/>
          <w:color w:val="000000"/>
          <w:sz w:val="26"/>
          <w:szCs w:val="26"/>
        </w:rPr>
        <w:t>assert</w:t>
      </w:r>
      <w:r w:rsidR="00606F9A">
        <w:rPr>
          <w:rFonts w:ascii="Times New Roman" w:eastAsia="Times New Roman" w:hAnsi="Times New Roman" w:cs="Times New Roman"/>
          <w:color w:val="000000"/>
          <w:sz w:val="26"/>
          <w:szCs w:val="26"/>
        </w:rPr>
        <w:t>ed</w:t>
      </w:r>
      <w:r w:rsidR="002B7E49">
        <w:rPr>
          <w:rFonts w:ascii="Times New Roman" w:eastAsia="Times New Roman" w:hAnsi="Times New Roman" w:cs="Times New Roman"/>
          <w:color w:val="000000"/>
          <w:sz w:val="26"/>
          <w:szCs w:val="26"/>
        </w:rPr>
        <w:t xml:space="preserve"> that in r</w:t>
      </w:r>
      <w:r w:rsidR="00360766" w:rsidRPr="00360766">
        <w:rPr>
          <w:rFonts w:ascii="Times New Roman" w:eastAsia="Times New Roman" w:hAnsi="Times New Roman" w:cs="Times New Roman"/>
          <w:color w:val="000000"/>
          <w:sz w:val="26"/>
          <w:szCs w:val="26"/>
        </w:rPr>
        <w:t xml:space="preserve">eaching this agreement on the ratemaking rate base, the Joint Petitioners fully </w:t>
      </w:r>
      <w:proofErr w:type="gramStart"/>
      <w:r w:rsidR="00360766" w:rsidRPr="00360766">
        <w:rPr>
          <w:rFonts w:ascii="Times New Roman" w:eastAsia="Times New Roman" w:hAnsi="Times New Roman" w:cs="Times New Roman"/>
          <w:color w:val="000000"/>
          <w:sz w:val="26"/>
          <w:szCs w:val="26"/>
        </w:rPr>
        <w:t>took into account</w:t>
      </w:r>
      <w:proofErr w:type="gramEnd"/>
      <w:r w:rsidR="00360766" w:rsidRPr="00360766">
        <w:rPr>
          <w:rFonts w:ascii="Times New Roman" w:eastAsia="Times New Roman" w:hAnsi="Times New Roman" w:cs="Times New Roman"/>
          <w:color w:val="000000"/>
          <w:sz w:val="26"/>
          <w:szCs w:val="26"/>
        </w:rPr>
        <w:t xml:space="preserve"> the rate impact of the transaction as required by </w:t>
      </w:r>
      <w:r w:rsidR="00360766" w:rsidRPr="00360766">
        <w:rPr>
          <w:rFonts w:ascii="Times New Roman" w:eastAsia="Times New Roman" w:hAnsi="Times New Roman" w:cs="Times New Roman"/>
          <w:i/>
          <w:color w:val="000000"/>
          <w:sz w:val="26"/>
          <w:szCs w:val="26"/>
        </w:rPr>
        <w:t>McCloskey</w:t>
      </w:r>
      <w:r w:rsidR="00360766" w:rsidRPr="00360766">
        <w:rPr>
          <w:rFonts w:ascii="Times New Roman" w:eastAsia="Times New Roman" w:hAnsi="Times New Roman" w:cs="Times New Roman"/>
          <w:color w:val="000000"/>
          <w:sz w:val="26"/>
          <w:szCs w:val="26"/>
        </w:rPr>
        <w:t xml:space="preserve">.  </w:t>
      </w:r>
      <w:r w:rsidR="002B7E49">
        <w:rPr>
          <w:rFonts w:ascii="Times New Roman" w:eastAsia="Times New Roman" w:hAnsi="Times New Roman" w:cs="Times New Roman"/>
          <w:color w:val="000000"/>
          <w:sz w:val="26"/>
          <w:szCs w:val="26"/>
        </w:rPr>
        <w:t xml:space="preserve">Moreover, </w:t>
      </w:r>
      <w:r w:rsidR="00360766" w:rsidRPr="00360766">
        <w:rPr>
          <w:rFonts w:ascii="Times New Roman" w:eastAsia="Times New Roman" w:hAnsi="Times New Roman" w:cs="Times New Roman"/>
          <w:color w:val="000000"/>
          <w:sz w:val="26"/>
          <w:szCs w:val="26"/>
        </w:rPr>
        <w:t xml:space="preserve">PAWC </w:t>
      </w:r>
      <w:r w:rsidR="00606F9A">
        <w:rPr>
          <w:rFonts w:ascii="Times New Roman" w:eastAsia="Times New Roman" w:hAnsi="Times New Roman" w:cs="Times New Roman"/>
          <w:color w:val="000000"/>
          <w:sz w:val="26"/>
          <w:szCs w:val="26"/>
        </w:rPr>
        <w:t>contended</w:t>
      </w:r>
      <w:r w:rsidR="002B7E49">
        <w:rPr>
          <w:rFonts w:ascii="Times New Roman" w:eastAsia="Times New Roman" w:hAnsi="Times New Roman" w:cs="Times New Roman"/>
          <w:color w:val="000000"/>
          <w:sz w:val="26"/>
          <w:szCs w:val="26"/>
        </w:rPr>
        <w:t xml:space="preserve"> </w:t>
      </w:r>
      <w:r w:rsidR="00360766" w:rsidRPr="00360766">
        <w:rPr>
          <w:rFonts w:ascii="Times New Roman" w:eastAsia="Times New Roman" w:hAnsi="Times New Roman" w:cs="Times New Roman"/>
          <w:color w:val="000000"/>
          <w:sz w:val="26"/>
          <w:szCs w:val="26"/>
        </w:rPr>
        <w:t xml:space="preserve">that the evidence of record supports a conclusion that the Commission, using the various ratemaking tools available to it, can set rates for PAWC’s customers prospectively that are “just and reasonable” under Section 1301 of the Code.  </w:t>
      </w:r>
      <w:r w:rsidR="008C4E4C">
        <w:rPr>
          <w:rFonts w:ascii="Times New Roman" w:eastAsia="Times New Roman" w:hAnsi="Times New Roman" w:cs="Times New Roman"/>
          <w:color w:val="000000"/>
          <w:sz w:val="26"/>
          <w:szCs w:val="26"/>
        </w:rPr>
        <w:t xml:space="preserve">R.D. at </w:t>
      </w:r>
      <w:r w:rsidR="001B31ED">
        <w:rPr>
          <w:rFonts w:ascii="Times New Roman" w:eastAsia="Times New Roman" w:hAnsi="Times New Roman" w:cs="Times New Roman"/>
          <w:color w:val="000000"/>
          <w:sz w:val="26"/>
          <w:szCs w:val="26"/>
        </w:rPr>
        <w:t>32-33</w:t>
      </w:r>
      <w:r w:rsidR="001A3F51">
        <w:rPr>
          <w:rFonts w:ascii="Times New Roman" w:eastAsia="Times New Roman" w:hAnsi="Times New Roman" w:cs="Times New Roman"/>
          <w:color w:val="000000"/>
          <w:sz w:val="26"/>
          <w:szCs w:val="26"/>
        </w:rPr>
        <w:t xml:space="preserve"> (citing</w:t>
      </w:r>
      <w:r w:rsidR="00360766" w:rsidRPr="00360766">
        <w:rPr>
          <w:rFonts w:ascii="Times New Roman" w:eastAsia="Times New Roman" w:hAnsi="Times New Roman" w:cs="Times New Roman"/>
          <w:color w:val="000000"/>
          <w:sz w:val="26"/>
          <w:szCs w:val="26"/>
        </w:rPr>
        <w:t xml:space="preserve"> PAWC St. 1-R </w:t>
      </w:r>
      <w:r w:rsidR="001A3F51">
        <w:rPr>
          <w:rFonts w:ascii="Times New Roman" w:eastAsia="Times New Roman" w:hAnsi="Times New Roman" w:cs="Times New Roman"/>
          <w:color w:val="000000"/>
          <w:sz w:val="26"/>
          <w:szCs w:val="26"/>
        </w:rPr>
        <w:t>at</w:t>
      </w:r>
      <w:r w:rsidR="00360766" w:rsidRPr="00360766">
        <w:rPr>
          <w:rFonts w:ascii="Times New Roman" w:eastAsia="Times New Roman" w:hAnsi="Times New Roman" w:cs="Times New Roman"/>
          <w:color w:val="000000"/>
          <w:sz w:val="26"/>
          <w:szCs w:val="26"/>
        </w:rPr>
        <w:t xml:space="preserve"> 3</w:t>
      </w:r>
      <w:r w:rsidR="001A3F51">
        <w:rPr>
          <w:rFonts w:ascii="Times New Roman" w:eastAsia="Times New Roman" w:hAnsi="Times New Roman" w:cs="Times New Roman"/>
          <w:color w:val="000000"/>
          <w:sz w:val="26"/>
          <w:szCs w:val="26"/>
        </w:rPr>
        <w:t>)</w:t>
      </w:r>
      <w:r w:rsidR="00360766" w:rsidRPr="00360766">
        <w:rPr>
          <w:rFonts w:ascii="Times New Roman" w:eastAsia="Times New Roman" w:hAnsi="Times New Roman" w:cs="Times New Roman"/>
          <w:color w:val="000000"/>
          <w:sz w:val="26"/>
          <w:szCs w:val="26"/>
        </w:rPr>
        <w:t xml:space="preserve">.  </w:t>
      </w:r>
    </w:p>
    <w:p w14:paraId="1F18D62D" w14:textId="77777777" w:rsidR="001A3F51" w:rsidRDefault="001A3F51" w:rsidP="00756821">
      <w:pPr>
        <w:spacing w:line="360" w:lineRule="auto"/>
        <w:rPr>
          <w:rFonts w:ascii="Times New Roman" w:eastAsia="Times New Roman" w:hAnsi="Times New Roman" w:cs="Times New Roman"/>
          <w:color w:val="000000"/>
          <w:sz w:val="26"/>
          <w:szCs w:val="26"/>
        </w:rPr>
      </w:pPr>
    </w:p>
    <w:p w14:paraId="71298D00" w14:textId="0BAC296C" w:rsidR="00360766" w:rsidRDefault="001A3F51" w:rsidP="007559A4">
      <w:pPr>
        <w:spacing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In addition, the ALJ summarized </w:t>
      </w:r>
      <w:r w:rsidR="00360766" w:rsidRPr="00360766">
        <w:rPr>
          <w:rFonts w:ascii="Times New Roman" w:eastAsia="Times New Roman" w:hAnsi="Times New Roman" w:cs="Times New Roman"/>
          <w:color w:val="000000"/>
          <w:sz w:val="26"/>
          <w:szCs w:val="26"/>
        </w:rPr>
        <w:t>PAWC</w:t>
      </w:r>
      <w:r w:rsidR="00B06085">
        <w:rPr>
          <w:rFonts w:ascii="Times New Roman" w:eastAsia="Times New Roman" w:hAnsi="Times New Roman" w:cs="Times New Roman"/>
          <w:color w:val="000000"/>
          <w:sz w:val="26"/>
          <w:szCs w:val="26"/>
        </w:rPr>
        <w:t xml:space="preserve">’s arguments </w:t>
      </w:r>
      <w:r w:rsidR="006D2D7E">
        <w:rPr>
          <w:rFonts w:ascii="Times New Roman" w:eastAsia="Times New Roman" w:hAnsi="Times New Roman" w:cs="Times New Roman"/>
          <w:color w:val="000000"/>
          <w:sz w:val="26"/>
          <w:szCs w:val="26"/>
        </w:rPr>
        <w:t xml:space="preserve">pertaining to the legislative intent behind Section 1329 of the Code.  </w:t>
      </w:r>
      <w:r w:rsidR="0000141D">
        <w:rPr>
          <w:rFonts w:ascii="Times New Roman" w:eastAsia="Times New Roman" w:hAnsi="Times New Roman" w:cs="Times New Roman"/>
          <w:color w:val="000000"/>
          <w:sz w:val="26"/>
          <w:szCs w:val="26"/>
        </w:rPr>
        <w:t xml:space="preserve">The ALJ also noted the assertions of Royersford </w:t>
      </w:r>
      <w:r w:rsidR="007559A4">
        <w:rPr>
          <w:rFonts w:ascii="Times New Roman" w:eastAsia="Times New Roman" w:hAnsi="Times New Roman" w:cs="Times New Roman"/>
          <w:color w:val="000000"/>
          <w:sz w:val="26"/>
          <w:szCs w:val="26"/>
        </w:rPr>
        <w:t xml:space="preserve">about the establishment of the UVEs and how the </w:t>
      </w:r>
      <w:r w:rsidR="00360766" w:rsidRPr="00360766">
        <w:rPr>
          <w:rFonts w:ascii="Times New Roman" w:eastAsia="Times New Roman" w:hAnsi="Times New Roman" w:cs="Times New Roman"/>
          <w:color w:val="000000"/>
          <w:sz w:val="26"/>
          <w:szCs w:val="26"/>
        </w:rPr>
        <w:t xml:space="preserve">ratemaking rate base determined pursuant to Section 1329(c)(2) of the Code is $13,000,000, </w:t>
      </w:r>
      <w:r w:rsidR="007559A4">
        <w:rPr>
          <w:rFonts w:ascii="Times New Roman" w:eastAsia="Times New Roman" w:hAnsi="Times New Roman" w:cs="Times New Roman"/>
          <w:color w:val="000000"/>
          <w:sz w:val="26"/>
          <w:szCs w:val="26"/>
        </w:rPr>
        <w:t xml:space="preserve">which is </w:t>
      </w:r>
      <w:r w:rsidR="00360766" w:rsidRPr="00360766">
        <w:rPr>
          <w:rFonts w:ascii="Times New Roman" w:eastAsia="Times New Roman" w:hAnsi="Times New Roman" w:cs="Times New Roman"/>
          <w:color w:val="000000"/>
          <w:sz w:val="26"/>
          <w:szCs w:val="26"/>
        </w:rPr>
        <w:t xml:space="preserve">the lesser of the negotiated purchase price of $13,000,000 and the average of </w:t>
      </w:r>
      <w:r w:rsidR="002F47AE">
        <w:rPr>
          <w:rFonts w:ascii="Times New Roman" w:eastAsia="Times New Roman" w:hAnsi="Times New Roman" w:cs="Times New Roman"/>
          <w:color w:val="000000"/>
          <w:sz w:val="26"/>
          <w:szCs w:val="26"/>
        </w:rPr>
        <w:t>the UVEs (</w:t>
      </w:r>
      <w:r w:rsidR="00360766" w:rsidRPr="00360766">
        <w:rPr>
          <w:rFonts w:ascii="Times New Roman" w:eastAsia="Times New Roman" w:hAnsi="Times New Roman" w:cs="Times New Roman"/>
          <w:color w:val="000000"/>
          <w:sz w:val="26"/>
          <w:szCs w:val="26"/>
        </w:rPr>
        <w:t>$13,494,401</w:t>
      </w:r>
      <w:r w:rsidR="002F47AE">
        <w:rPr>
          <w:rFonts w:ascii="Times New Roman" w:eastAsia="Times New Roman" w:hAnsi="Times New Roman" w:cs="Times New Roman"/>
          <w:color w:val="000000"/>
          <w:sz w:val="26"/>
          <w:szCs w:val="26"/>
        </w:rPr>
        <w:t>)</w:t>
      </w:r>
      <w:r w:rsidR="00360766" w:rsidRPr="00360766">
        <w:rPr>
          <w:rFonts w:ascii="Times New Roman" w:eastAsia="Times New Roman" w:hAnsi="Times New Roman" w:cs="Times New Roman"/>
          <w:color w:val="000000"/>
          <w:sz w:val="26"/>
          <w:szCs w:val="26"/>
        </w:rPr>
        <w:t xml:space="preserve">.  </w:t>
      </w:r>
      <w:r w:rsidR="00AB3F8C">
        <w:rPr>
          <w:rFonts w:ascii="Times New Roman" w:eastAsia="Times New Roman" w:hAnsi="Times New Roman" w:cs="Times New Roman"/>
          <w:color w:val="000000"/>
          <w:sz w:val="26"/>
          <w:szCs w:val="26"/>
        </w:rPr>
        <w:t xml:space="preserve">R.D. at 33-34.  </w:t>
      </w:r>
    </w:p>
    <w:p w14:paraId="66BDD98A" w14:textId="77777777" w:rsidR="006C6AA7" w:rsidRPr="00360766" w:rsidRDefault="006C6AA7" w:rsidP="007559A4">
      <w:pPr>
        <w:spacing w:line="360" w:lineRule="auto"/>
        <w:ind w:firstLine="1440"/>
        <w:rPr>
          <w:rFonts w:ascii="Times New Roman" w:eastAsia="Times New Roman" w:hAnsi="Times New Roman" w:cs="Times New Roman"/>
          <w:color w:val="000000"/>
          <w:sz w:val="26"/>
          <w:szCs w:val="26"/>
        </w:rPr>
      </w:pPr>
    </w:p>
    <w:p w14:paraId="23E7B7D4" w14:textId="4F4A40CD" w:rsidR="00360766" w:rsidRDefault="00360766" w:rsidP="005C3A65">
      <w:pPr>
        <w:widowControl w:val="0"/>
        <w:autoSpaceDE w:val="0"/>
        <w:autoSpaceDN w:val="0"/>
        <w:adjustRightInd w:val="0"/>
        <w:spacing w:line="360" w:lineRule="auto"/>
        <w:ind w:firstLine="1440"/>
        <w:rPr>
          <w:rFonts w:ascii="Times New Roman" w:eastAsia="Times New Roman" w:hAnsi="Times New Roman" w:cs="Times New Roman"/>
          <w:color w:val="000000"/>
          <w:sz w:val="26"/>
          <w:szCs w:val="26"/>
        </w:rPr>
      </w:pPr>
      <w:r w:rsidRPr="00360766">
        <w:rPr>
          <w:rFonts w:ascii="Times New Roman" w:eastAsia="Times New Roman" w:hAnsi="Times New Roman" w:cs="Times New Roman"/>
          <w:color w:val="000000"/>
          <w:sz w:val="26"/>
          <w:szCs w:val="26"/>
        </w:rPr>
        <w:t xml:space="preserve">Royersford </w:t>
      </w:r>
      <w:r w:rsidR="00043DF0">
        <w:rPr>
          <w:rFonts w:ascii="Times New Roman" w:eastAsia="Times New Roman" w:hAnsi="Times New Roman" w:cs="Times New Roman"/>
          <w:color w:val="000000"/>
          <w:sz w:val="26"/>
          <w:szCs w:val="26"/>
        </w:rPr>
        <w:t xml:space="preserve">also </w:t>
      </w:r>
      <w:r w:rsidR="00687C50">
        <w:rPr>
          <w:rFonts w:ascii="Times New Roman" w:eastAsia="Times New Roman" w:hAnsi="Times New Roman" w:cs="Times New Roman"/>
          <w:color w:val="000000"/>
          <w:sz w:val="26"/>
          <w:szCs w:val="26"/>
        </w:rPr>
        <w:t xml:space="preserve">noted </w:t>
      </w:r>
      <w:r w:rsidRPr="00360766">
        <w:rPr>
          <w:rFonts w:ascii="Times New Roman" w:eastAsia="Times New Roman" w:hAnsi="Times New Roman" w:cs="Times New Roman"/>
          <w:color w:val="000000"/>
          <w:sz w:val="26"/>
          <w:szCs w:val="26"/>
        </w:rPr>
        <w:t xml:space="preserve">that the determination of </w:t>
      </w:r>
      <w:r w:rsidR="00043DF0">
        <w:rPr>
          <w:rFonts w:ascii="Times New Roman" w:eastAsia="Times New Roman" w:hAnsi="Times New Roman" w:cs="Times New Roman"/>
          <w:color w:val="000000"/>
          <w:sz w:val="26"/>
          <w:szCs w:val="26"/>
        </w:rPr>
        <w:t xml:space="preserve">the </w:t>
      </w:r>
      <w:r w:rsidRPr="00360766">
        <w:rPr>
          <w:rFonts w:ascii="Times New Roman" w:eastAsia="Times New Roman" w:hAnsi="Times New Roman" w:cs="Times New Roman"/>
          <w:color w:val="000000"/>
          <w:sz w:val="26"/>
          <w:szCs w:val="26"/>
        </w:rPr>
        <w:t xml:space="preserve">ratemaking rate base was a matter of controversy between PAWC, I&amp;E, and </w:t>
      </w:r>
      <w:r w:rsidR="00043DF0">
        <w:rPr>
          <w:rFonts w:ascii="Times New Roman" w:eastAsia="Times New Roman" w:hAnsi="Times New Roman" w:cs="Times New Roman"/>
          <w:color w:val="000000"/>
          <w:sz w:val="26"/>
          <w:szCs w:val="26"/>
        </w:rPr>
        <w:t xml:space="preserve">the </w:t>
      </w:r>
      <w:r w:rsidRPr="00360766">
        <w:rPr>
          <w:rFonts w:ascii="Times New Roman" w:eastAsia="Times New Roman" w:hAnsi="Times New Roman" w:cs="Times New Roman"/>
          <w:color w:val="000000"/>
          <w:sz w:val="26"/>
          <w:szCs w:val="26"/>
        </w:rPr>
        <w:t xml:space="preserve">OCA </w:t>
      </w:r>
      <w:r w:rsidR="00043DF0">
        <w:rPr>
          <w:rFonts w:ascii="Times New Roman" w:eastAsia="Times New Roman" w:hAnsi="Times New Roman" w:cs="Times New Roman"/>
          <w:color w:val="000000"/>
          <w:sz w:val="26"/>
          <w:szCs w:val="26"/>
        </w:rPr>
        <w:t xml:space="preserve">– </w:t>
      </w:r>
      <w:r w:rsidRPr="00360766">
        <w:rPr>
          <w:rFonts w:ascii="Times New Roman" w:eastAsia="Times New Roman" w:hAnsi="Times New Roman" w:cs="Times New Roman"/>
          <w:color w:val="000000"/>
          <w:sz w:val="26"/>
          <w:szCs w:val="26"/>
        </w:rPr>
        <w:t xml:space="preserve">with </w:t>
      </w:r>
      <w:r w:rsidR="00687C50">
        <w:rPr>
          <w:rFonts w:ascii="Times New Roman" w:eastAsia="Times New Roman" w:hAnsi="Times New Roman" w:cs="Times New Roman"/>
          <w:color w:val="000000"/>
          <w:sz w:val="26"/>
          <w:szCs w:val="26"/>
        </w:rPr>
        <w:t xml:space="preserve">the </w:t>
      </w:r>
      <w:r w:rsidRPr="00360766">
        <w:rPr>
          <w:rFonts w:ascii="Times New Roman" w:eastAsia="Times New Roman" w:hAnsi="Times New Roman" w:cs="Times New Roman"/>
          <w:color w:val="000000"/>
          <w:sz w:val="26"/>
          <w:szCs w:val="26"/>
        </w:rPr>
        <w:t xml:space="preserve">OCA </w:t>
      </w:r>
      <w:r w:rsidRPr="00360766">
        <w:rPr>
          <w:rFonts w:ascii="Times New Roman" w:eastAsia="Times New Roman" w:hAnsi="Times New Roman" w:cs="Times New Roman"/>
          <w:color w:val="000000"/>
          <w:sz w:val="26"/>
          <w:szCs w:val="26"/>
        </w:rPr>
        <w:lastRenderedPageBreak/>
        <w:t>proposing adjustments to reduce the average of the UVEs</w:t>
      </w:r>
      <w:r w:rsidR="00445F7E">
        <w:rPr>
          <w:rFonts w:ascii="Times New Roman" w:eastAsia="Times New Roman" w:hAnsi="Times New Roman" w:cs="Times New Roman"/>
          <w:color w:val="000000"/>
          <w:sz w:val="26"/>
          <w:szCs w:val="26"/>
        </w:rPr>
        <w:t>’</w:t>
      </w:r>
      <w:r w:rsidRPr="00360766">
        <w:rPr>
          <w:rFonts w:ascii="Times New Roman" w:eastAsia="Times New Roman" w:hAnsi="Times New Roman" w:cs="Times New Roman"/>
          <w:color w:val="000000"/>
          <w:sz w:val="26"/>
          <w:szCs w:val="26"/>
        </w:rPr>
        <w:t xml:space="preserve"> appraisal</w:t>
      </w:r>
      <w:r w:rsidR="00445F7E">
        <w:rPr>
          <w:rFonts w:ascii="Times New Roman" w:eastAsia="Times New Roman" w:hAnsi="Times New Roman" w:cs="Times New Roman"/>
          <w:color w:val="000000"/>
          <w:sz w:val="26"/>
          <w:szCs w:val="26"/>
        </w:rPr>
        <w:t>s</w:t>
      </w:r>
      <w:r w:rsidRPr="00360766">
        <w:rPr>
          <w:rFonts w:ascii="Times New Roman" w:eastAsia="Times New Roman" w:hAnsi="Times New Roman" w:cs="Times New Roman"/>
          <w:color w:val="000000"/>
          <w:sz w:val="26"/>
          <w:szCs w:val="26"/>
        </w:rPr>
        <w:t xml:space="preserve"> to $9,957,330</w:t>
      </w:r>
      <w:r w:rsidR="00687C50">
        <w:rPr>
          <w:rFonts w:ascii="Times New Roman" w:eastAsia="Times New Roman" w:hAnsi="Times New Roman" w:cs="Times New Roman"/>
          <w:color w:val="000000"/>
          <w:sz w:val="26"/>
          <w:szCs w:val="26"/>
        </w:rPr>
        <w:t xml:space="preserve">.  </w:t>
      </w:r>
      <w:r w:rsidR="005C3A65">
        <w:rPr>
          <w:rFonts w:ascii="Times New Roman" w:eastAsia="Times New Roman" w:hAnsi="Times New Roman" w:cs="Times New Roman"/>
          <w:color w:val="000000"/>
          <w:sz w:val="26"/>
          <w:szCs w:val="26"/>
        </w:rPr>
        <w:t>However, the Borough emphasized that</w:t>
      </w:r>
      <w:r w:rsidR="00687C50">
        <w:rPr>
          <w:rFonts w:ascii="Times New Roman" w:eastAsia="Times New Roman" w:hAnsi="Times New Roman" w:cs="Times New Roman"/>
          <w:color w:val="000000"/>
          <w:sz w:val="26"/>
          <w:szCs w:val="26"/>
        </w:rPr>
        <w:t xml:space="preserve"> the Joint Petitioners agreed to the</w:t>
      </w:r>
      <w:r w:rsidRPr="00360766">
        <w:rPr>
          <w:rFonts w:ascii="Times New Roman" w:eastAsia="Times New Roman" w:hAnsi="Times New Roman" w:cs="Times New Roman"/>
          <w:color w:val="000000"/>
          <w:sz w:val="26"/>
          <w:szCs w:val="26"/>
        </w:rPr>
        <w:t xml:space="preserve"> rate base </w:t>
      </w:r>
      <w:r w:rsidR="00687C50">
        <w:rPr>
          <w:rFonts w:ascii="Times New Roman" w:eastAsia="Times New Roman" w:hAnsi="Times New Roman" w:cs="Times New Roman"/>
          <w:color w:val="000000"/>
          <w:sz w:val="26"/>
          <w:szCs w:val="26"/>
        </w:rPr>
        <w:t>amount of</w:t>
      </w:r>
      <w:r w:rsidRPr="00360766">
        <w:rPr>
          <w:rFonts w:ascii="Times New Roman" w:eastAsia="Times New Roman" w:hAnsi="Times New Roman" w:cs="Times New Roman"/>
          <w:color w:val="000000"/>
          <w:sz w:val="26"/>
          <w:szCs w:val="26"/>
        </w:rPr>
        <w:t xml:space="preserve"> $13,000,000</w:t>
      </w:r>
      <w:r w:rsidR="005C3A65">
        <w:rPr>
          <w:rFonts w:ascii="Times New Roman" w:eastAsia="Times New Roman" w:hAnsi="Times New Roman" w:cs="Times New Roman"/>
          <w:color w:val="000000"/>
          <w:sz w:val="26"/>
          <w:szCs w:val="26"/>
        </w:rPr>
        <w:t xml:space="preserve"> </w:t>
      </w:r>
      <w:r w:rsidRPr="00360766">
        <w:rPr>
          <w:rFonts w:ascii="Times New Roman" w:eastAsia="Times New Roman" w:hAnsi="Times New Roman" w:cs="Times New Roman"/>
          <w:color w:val="000000"/>
          <w:sz w:val="26"/>
          <w:szCs w:val="26"/>
        </w:rPr>
        <w:t xml:space="preserve">with all </w:t>
      </w:r>
      <w:r w:rsidR="005C3A65">
        <w:rPr>
          <w:rFonts w:ascii="Times New Roman" w:eastAsia="Times New Roman" w:hAnsi="Times New Roman" w:cs="Times New Roman"/>
          <w:color w:val="000000"/>
          <w:sz w:val="26"/>
          <w:szCs w:val="26"/>
        </w:rPr>
        <w:t>the P</w:t>
      </w:r>
      <w:r w:rsidRPr="00360766">
        <w:rPr>
          <w:rFonts w:ascii="Times New Roman" w:eastAsia="Times New Roman" w:hAnsi="Times New Roman" w:cs="Times New Roman"/>
          <w:color w:val="000000"/>
          <w:sz w:val="26"/>
          <w:szCs w:val="26"/>
        </w:rPr>
        <w:t xml:space="preserve">arties reserving their rights to litigate PAWC’s rate proposals and make other proposals in the first base rate case that includes Royersford’s wastewater system assets.  </w:t>
      </w:r>
      <w:r w:rsidR="006532F3">
        <w:rPr>
          <w:rFonts w:ascii="Times New Roman" w:eastAsia="Times New Roman" w:hAnsi="Times New Roman" w:cs="Times New Roman"/>
          <w:color w:val="000000"/>
          <w:sz w:val="26"/>
          <w:szCs w:val="26"/>
        </w:rPr>
        <w:t>R.D. at 33-34.</w:t>
      </w:r>
    </w:p>
    <w:p w14:paraId="6EA4DAED" w14:textId="77777777" w:rsidR="006532F3" w:rsidRPr="00360766" w:rsidRDefault="006532F3" w:rsidP="005C3A65">
      <w:pPr>
        <w:widowControl w:val="0"/>
        <w:autoSpaceDE w:val="0"/>
        <w:autoSpaceDN w:val="0"/>
        <w:adjustRightInd w:val="0"/>
        <w:spacing w:line="360" w:lineRule="auto"/>
        <w:ind w:firstLine="1440"/>
        <w:rPr>
          <w:rFonts w:ascii="Times New Roman" w:eastAsia="Times New Roman" w:hAnsi="Times New Roman" w:cs="Times New Roman"/>
          <w:color w:val="000000"/>
          <w:sz w:val="26"/>
          <w:szCs w:val="26"/>
        </w:rPr>
      </w:pPr>
    </w:p>
    <w:p w14:paraId="0B8400FB" w14:textId="0EFA7746" w:rsidR="00360766" w:rsidRPr="00360766" w:rsidRDefault="00EE2009" w:rsidP="00EE2009">
      <w:pPr>
        <w:spacing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Additionally, the ALJ summarized </w:t>
      </w:r>
      <w:r w:rsidR="00360766" w:rsidRPr="00360766">
        <w:rPr>
          <w:rFonts w:ascii="Times New Roman" w:eastAsia="Times New Roman" w:hAnsi="Times New Roman" w:cs="Times New Roman"/>
          <w:color w:val="000000"/>
          <w:sz w:val="26"/>
          <w:szCs w:val="26"/>
        </w:rPr>
        <w:t>I&amp;E</w:t>
      </w:r>
      <w:r>
        <w:rPr>
          <w:rFonts w:ascii="Times New Roman" w:eastAsia="Times New Roman" w:hAnsi="Times New Roman" w:cs="Times New Roman"/>
          <w:color w:val="000000"/>
          <w:sz w:val="26"/>
          <w:szCs w:val="26"/>
        </w:rPr>
        <w:t>’s</w:t>
      </w:r>
      <w:r w:rsidR="00360766" w:rsidRPr="00360766">
        <w:rPr>
          <w:rFonts w:ascii="Times New Roman" w:eastAsia="Times New Roman" w:hAnsi="Times New Roman" w:cs="Times New Roman"/>
          <w:color w:val="000000"/>
          <w:sz w:val="26"/>
          <w:szCs w:val="26"/>
        </w:rPr>
        <w:t xml:space="preserve"> argu</w:t>
      </w:r>
      <w:r w:rsidR="007B4B6A">
        <w:rPr>
          <w:rFonts w:ascii="Times New Roman" w:eastAsia="Times New Roman" w:hAnsi="Times New Roman" w:cs="Times New Roman"/>
          <w:color w:val="000000"/>
          <w:sz w:val="26"/>
          <w:szCs w:val="26"/>
        </w:rPr>
        <w:t xml:space="preserve">ment </w:t>
      </w:r>
      <w:r w:rsidR="00293C29">
        <w:rPr>
          <w:rFonts w:ascii="Times New Roman" w:eastAsia="Times New Roman" w:hAnsi="Times New Roman" w:cs="Times New Roman"/>
          <w:color w:val="000000"/>
          <w:sz w:val="26"/>
          <w:szCs w:val="26"/>
        </w:rPr>
        <w:t>that</w:t>
      </w:r>
      <w:r w:rsidR="00360766" w:rsidRPr="00360766">
        <w:rPr>
          <w:rFonts w:ascii="Times New Roman" w:eastAsia="Times New Roman" w:hAnsi="Times New Roman" w:cs="Times New Roman"/>
          <w:color w:val="000000"/>
          <w:sz w:val="26"/>
          <w:szCs w:val="26"/>
        </w:rPr>
        <w:t xml:space="preserve"> PAWC </w:t>
      </w:r>
      <w:r w:rsidR="007D4BD2">
        <w:rPr>
          <w:rFonts w:ascii="Times New Roman" w:eastAsia="Times New Roman" w:hAnsi="Times New Roman" w:cs="Times New Roman"/>
          <w:color w:val="000000"/>
          <w:sz w:val="26"/>
          <w:szCs w:val="26"/>
        </w:rPr>
        <w:t xml:space="preserve">witness </w:t>
      </w:r>
      <w:r w:rsidR="00FB05B7">
        <w:rPr>
          <w:rFonts w:ascii="Times New Roman" w:eastAsia="Times New Roman" w:hAnsi="Times New Roman" w:cs="Times New Roman"/>
          <w:color w:val="000000"/>
          <w:sz w:val="26"/>
          <w:szCs w:val="26"/>
        </w:rPr>
        <w:t>Jerome W</w:t>
      </w:r>
      <w:r w:rsidR="00BF3FC9">
        <w:rPr>
          <w:rFonts w:ascii="Times New Roman" w:eastAsia="Times New Roman" w:hAnsi="Times New Roman" w:cs="Times New Roman"/>
          <w:color w:val="000000"/>
          <w:sz w:val="26"/>
          <w:szCs w:val="26"/>
        </w:rPr>
        <w:t>e</w:t>
      </w:r>
      <w:r w:rsidR="00FB05B7">
        <w:rPr>
          <w:rFonts w:ascii="Times New Roman" w:eastAsia="Times New Roman" w:hAnsi="Times New Roman" w:cs="Times New Roman"/>
          <w:color w:val="000000"/>
          <w:sz w:val="26"/>
          <w:szCs w:val="26"/>
        </w:rPr>
        <w:t xml:space="preserve">inert </w:t>
      </w:r>
      <w:r w:rsidR="00293C29">
        <w:rPr>
          <w:rFonts w:ascii="Times New Roman" w:eastAsia="Times New Roman" w:hAnsi="Times New Roman" w:cs="Times New Roman"/>
          <w:color w:val="000000"/>
          <w:sz w:val="26"/>
          <w:szCs w:val="26"/>
        </w:rPr>
        <w:t xml:space="preserve">used </w:t>
      </w:r>
      <w:r w:rsidR="00360766" w:rsidRPr="00360766">
        <w:rPr>
          <w:rFonts w:ascii="Times New Roman" w:eastAsia="Times New Roman" w:hAnsi="Times New Roman" w:cs="Times New Roman"/>
          <w:color w:val="000000"/>
          <w:sz w:val="26"/>
          <w:szCs w:val="26"/>
        </w:rPr>
        <w:t xml:space="preserve">a market approach analysis inconsistent with his market approach analyses in previous </w:t>
      </w:r>
      <w:r w:rsidR="00FB05B7">
        <w:rPr>
          <w:rFonts w:ascii="Times New Roman" w:eastAsia="Times New Roman" w:hAnsi="Times New Roman" w:cs="Times New Roman"/>
          <w:color w:val="000000"/>
          <w:sz w:val="26"/>
          <w:szCs w:val="26"/>
        </w:rPr>
        <w:t>Section</w:t>
      </w:r>
      <w:r w:rsidR="00360766" w:rsidRPr="00360766">
        <w:rPr>
          <w:rFonts w:ascii="Times New Roman" w:eastAsia="Times New Roman" w:hAnsi="Times New Roman" w:cs="Times New Roman"/>
          <w:color w:val="000000"/>
          <w:sz w:val="26"/>
          <w:szCs w:val="26"/>
        </w:rPr>
        <w:t xml:space="preserve"> 1329 proceedings.  </w:t>
      </w:r>
      <w:r w:rsidR="00FB05B7">
        <w:rPr>
          <w:rFonts w:ascii="Times New Roman" w:eastAsia="Times New Roman" w:hAnsi="Times New Roman" w:cs="Times New Roman"/>
          <w:color w:val="000000"/>
          <w:sz w:val="26"/>
          <w:szCs w:val="26"/>
        </w:rPr>
        <w:t xml:space="preserve">According to I&amp;E, </w:t>
      </w:r>
      <w:r w:rsidR="00360766" w:rsidRPr="00360766">
        <w:rPr>
          <w:rFonts w:ascii="Times New Roman" w:eastAsia="Times New Roman" w:hAnsi="Times New Roman" w:cs="Times New Roman"/>
          <w:color w:val="000000"/>
          <w:sz w:val="26"/>
          <w:szCs w:val="26"/>
        </w:rPr>
        <w:t xml:space="preserve">PAWC witness Weinert did not provide any rationale for this variation.  Therefore, to avoid inconsistent application of methods causing a higher ratemaking rate base, I&amp;E recommended AUS use a consistent method going forward to determine its market approach analysis conclusion.  </w:t>
      </w:r>
      <w:r w:rsidR="00BF3FC9">
        <w:rPr>
          <w:rFonts w:ascii="Times New Roman" w:eastAsia="Times New Roman" w:hAnsi="Times New Roman" w:cs="Times New Roman"/>
          <w:color w:val="000000"/>
          <w:sz w:val="26"/>
          <w:szCs w:val="26"/>
        </w:rPr>
        <w:t xml:space="preserve">R.D. at 34 (citing I&amp;E St. 1 </w:t>
      </w:r>
      <w:r w:rsidR="00403B37">
        <w:rPr>
          <w:rFonts w:ascii="Times New Roman" w:eastAsia="Times New Roman" w:hAnsi="Times New Roman" w:cs="Times New Roman"/>
          <w:color w:val="000000"/>
          <w:sz w:val="26"/>
          <w:szCs w:val="26"/>
        </w:rPr>
        <w:t>at 4-7, Sch. 1 at 4-5).</w:t>
      </w:r>
      <w:r w:rsidR="00D71ABF">
        <w:rPr>
          <w:rFonts w:ascii="Times New Roman" w:eastAsia="Times New Roman" w:hAnsi="Times New Roman" w:cs="Times New Roman"/>
          <w:color w:val="000000"/>
          <w:sz w:val="26"/>
          <w:szCs w:val="26"/>
        </w:rPr>
        <w:t xml:space="preserve">  </w:t>
      </w:r>
    </w:p>
    <w:p w14:paraId="6226632A" w14:textId="77777777" w:rsidR="00360766" w:rsidRPr="00360766" w:rsidRDefault="00360766" w:rsidP="00756821">
      <w:pPr>
        <w:spacing w:line="360" w:lineRule="auto"/>
        <w:rPr>
          <w:rFonts w:ascii="Times New Roman" w:eastAsia="Times New Roman" w:hAnsi="Times New Roman" w:cs="Times New Roman"/>
          <w:sz w:val="26"/>
          <w:szCs w:val="26"/>
        </w:rPr>
      </w:pPr>
    </w:p>
    <w:p w14:paraId="4649B62F" w14:textId="79C11FE6" w:rsidR="00CA46E1" w:rsidRDefault="00403B37" w:rsidP="00E65202">
      <w:pPr>
        <w:spacing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Specifically, </w:t>
      </w:r>
      <w:r w:rsidR="00360766" w:rsidRPr="00756821">
        <w:rPr>
          <w:rFonts w:ascii="Times New Roman" w:eastAsia="Times New Roman" w:hAnsi="Times New Roman" w:cs="Times New Roman"/>
          <w:color w:val="000000"/>
          <w:sz w:val="26"/>
          <w:szCs w:val="26"/>
        </w:rPr>
        <w:t>I&amp;E note</w:t>
      </w:r>
      <w:r>
        <w:rPr>
          <w:rFonts w:ascii="Times New Roman" w:eastAsia="Times New Roman" w:hAnsi="Times New Roman" w:cs="Times New Roman"/>
          <w:color w:val="000000"/>
          <w:sz w:val="26"/>
          <w:szCs w:val="26"/>
        </w:rPr>
        <w:t>d</w:t>
      </w:r>
      <w:r w:rsidR="00360766" w:rsidRPr="00756821">
        <w:rPr>
          <w:rFonts w:ascii="Times New Roman" w:eastAsia="Times New Roman" w:hAnsi="Times New Roman" w:cs="Times New Roman"/>
          <w:color w:val="000000"/>
          <w:sz w:val="26"/>
          <w:szCs w:val="26"/>
        </w:rPr>
        <w:t xml:space="preserve"> that PAWC witness Weinert did not explicitly agree to I&amp;E’s recommendation</w:t>
      </w:r>
      <w:r w:rsidR="005452FE">
        <w:rPr>
          <w:rFonts w:ascii="Times New Roman" w:eastAsia="Times New Roman" w:hAnsi="Times New Roman" w:cs="Times New Roman"/>
          <w:color w:val="000000"/>
          <w:sz w:val="26"/>
          <w:szCs w:val="26"/>
        </w:rPr>
        <w:t xml:space="preserve"> and </w:t>
      </w:r>
      <w:r w:rsidR="00360766" w:rsidRPr="00756821">
        <w:rPr>
          <w:rFonts w:ascii="Times New Roman" w:eastAsia="Times New Roman" w:hAnsi="Times New Roman" w:cs="Times New Roman"/>
          <w:color w:val="000000"/>
          <w:sz w:val="26"/>
          <w:szCs w:val="26"/>
        </w:rPr>
        <w:t>indicated that the market analysis methodology used in this proceeding (</w:t>
      </w:r>
      <w:r w:rsidR="00360766" w:rsidRPr="00756821">
        <w:rPr>
          <w:rFonts w:ascii="Times New Roman" w:eastAsia="Times New Roman" w:hAnsi="Times New Roman" w:cs="Times New Roman"/>
          <w:i/>
          <w:iCs/>
          <w:color w:val="000000"/>
          <w:sz w:val="26"/>
          <w:szCs w:val="26"/>
        </w:rPr>
        <w:t>i.e.</w:t>
      </w:r>
      <w:r w:rsidR="00360766" w:rsidRPr="00756821">
        <w:rPr>
          <w:rFonts w:ascii="Times New Roman" w:eastAsia="Times New Roman" w:hAnsi="Times New Roman" w:cs="Times New Roman"/>
          <w:color w:val="000000"/>
          <w:sz w:val="26"/>
          <w:szCs w:val="26"/>
        </w:rPr>
        <w:t>, purchase price to replacement cost new less depreciation) has become mature enough to place reliance on it.</w:t>
      </w:r>
      <w:r w:rsidR="000540A7">
        <w:rPr>
          <w:rFonts w:ascii="Times New Roman" w:eastAsia="Times New Roman" w:hAnsi="Times New Roman" w:cs="Times New Roman"/>
          <w:color w:val="000000"/>
          <w:sz w:val="26"/>
          <w:szCs w:val="26"/>
        </w:rPr>
        <w:t xml:space="preserve">  R.D. at </w:t>
      </w:r>
      <w:r w:rsidR="00597F9A">
        <w:rPr>
          <w:rFonts w:ascii="Times New Roman" w:eastAsia="Times New Roman" w:hAnsi="Times New Roman" w:cs="Times New Roman"/>
          <w:color w:val="000000"/>
          <w:sz w:val="26"/>
          <w:szCs w:val="26"/>
        </w:rPr>
        <w:t>34 (citing PAWC St. 4-R at 30).</w:t>
      </w:r>
      <w:r w:rsidR="00360766" w:rsidRPr="00756821">
        <w:rPr>
          <w:rFonts w:ascii="Times New Roman" w:eastAsia="Times New Roman" w:hAnsi="Times New Roman" w:cs="Times New Roman"/>
          <w:color w:val="000000"/>
          <w:sz w:val="26"/>
          <w:szCs w:val="26"/>
        </w:rPr>
        <w:t xml:space="preserve">  </w:t>
      </w:r>
      <w:r w:rsidR="005365A0">
        <w:rPr>
          <w:rFonts w:ascii="Times New Roman" w:eastAsia="Times New Roman" w:hAnsi="Times New Roman" w:cs="Times New Roman"/>
          <w:color w:val="000000"/>
          <w:sz w:val="26"/>
          <w:szCs w:val="26"/>
        </w:rPr>
        <w:t>However, the ALJ noted that in the Settlement</w:t>
      </w:r>
      <w:r w:rsidR="00360766" w:rsidRPr="00756821">
        <w:rPr>
          <w:rFonts w:ascii="Times New Roman" w:eastAsia="Times New Roman" w:hAnsi="Times New Roman" w:cs="Times New Roman"/>
          <w:color w:val="000000"/>
          <w:sz w:val="26"/>
          <w:szCs w:val="26"/>
        </w:rPr>
        <w:t xml:space="preserve">, PAWC agrees it will not support the portion of an AUS appraisal that does not use a consistent method to determine a conclusion under the market approach analysis, unless otherwise directed by the Commission.  </w:t>
      </w:r>
      <w:r w:rsidR="00A478F5">
        <w:rPr>
          <w:rFonts w:ascii="Times New Roman" w:eastAsia="Times New Roman" w:hAnsi="Times New Roman" w:cs="Times New Roman"/>
          <w:color w:val="000000"/>
          <w:sz w:val="26"/>
          <w:szCs w:val="26"/>
        </w:rPr>
        <w:t xml:space="preserve">The ALJ cited </w:t>
      </w:r>
      <w:r w:rsidR="00360766" w:rsidRPr="00756821">
        <w:rPr>
          <w:rFonts w:ascii="Times New Roman" w:eastAsia="Times New Roman" w:hAnsi="Times New Roman" w:cs="Times New Roman"/>
          <w:color w:val="000000"/>
          <w:sz w:val="26"/>
          <w:szCs w:val="26"/>
        </w:rPr>
        <w:t>I&amp;E</w:t>
      </w:r>
      <w:r w:rsidR="000540A7">
        <w:rPr>
          <w:rFonts w:ascii="Times New Roman" w:eastAsia="Times New Roman" w:hAnsi="Times New Roman" w:cs="Times New Roman"/>
          <w:color w:val="000000"/>
          <w:sz w:val="26"/>
          <w:szCs w:val="26"/>
        </w:rPr>
        <w:t>’s</w:t>
      </w:r>
      <w:r w:rsidR="00360766" w:rsidRPr="00756821">
        <w:rPr>
          <w:rFonts w:ascii="Times New Roman" w:eastAsia="Times New Roman" w:hAnsi="Times New Roman" w:cs="Times New Roman"/>
          <w:color w:val="000000"/>
          <w:sz w:val="26"/>
          <w:szCs w:val="26"/>
        </w:rPr>
        <w:t xml:space="preserve"> support</w:t>
      </w:r>
      <w:r w:rsidR="000540A7">
        <w:rPr>
          <w:rFonts w:ascii="Times New Roman" w:eastAsia="Times New Roman" w:hAnsi="Times New Roman" w:cs="Times New Roman"/>
          <w:color w:val="000000"/>
          <w:sz w:val="26"/>
          <w:szCs w:val="26"/>
        </w:rPr>
        <w:t xml:space="preserve"> of </w:t>
      </w:r>
      <w:r w:rsidR="00360766" w:rsidRPr="00756821">
        <w:rPr>
          <w:rFonts w:ascii="Times New Roman" w:eastAsia="Times New Roman" w:hAnsi="Times New Roman" w:cs="Times New Roman"/>
          <w:color w:val="000000"/>
          <w:sz w:val="26"/>
          <w:szCs w:val="26"/>
        </w:rPr>
        <w:t xml:space="preserve">this settlement term because it serves the public interest by ensuring a consistent application of methodology in future cases filed by PAWC.  </w:t>
      </w:r>
      <w:r w:rsidR="000540A7">
        <w:rPr>
          <w:rFonts w:ascii="Times New Roman" w:eastAsia="Times New Roman" w:hAnsi="Times New Roman" w:cs="Times New Roman"/>
          <w:color w:val="000000"/>
          <w:sz w:val="26"/>
          <w:szCs w:val="26"/>
        </w:rPr>
        <w:t xml:space="preserve">R.D. at </w:t>
      </w:r>
      <w:r w:rsidR="000063CD">
        <w:rPr>
          <w:rFonts w:ascii="Times New Roman" w:eastAsia="Times New Roman" w:hAnsi="Times New Roman" w:cs="Times New Roman"/>
          <w:color w:val="000000"/>
          <w:sz w:val="26"/>
          <w:szCs w:val="26"/>
        </w:rPr>
        <w:t xml:space="preserve">34-35.  </w:t>
      </w:r>
    </w:p>
    <w:p w14:paraId="46EB4393" w14:textId="67E6CE1A" w:rsidR="00607984" w:rsidRDefault="00607984" w:rsidP="00E65202">
      <w:pPr>
        <w:spacing w:line="360" w:lineRule="auto"/>
        <w:rPr>
          <w:rFonts w:ascii="Times New Roman" w:eastAsia="Times New Roman" w:hAnsi="Times New Roman" w:cs="Times New Roman"/>
          <w:color w:val="000000"/>
          <w:sz w:val="26"/>
          <w:szCs w:val="26"/>
        </w:rPr>
      </w:pPr>
    </w:p>
    <w:p w14:paraId="346D0C23" w14:textId="080BC759" w:rsidR="000063CD" w:rsidRPr="007E77F1" w:rsidRDefault="007E77F1" w:rsidP="00E65202">
      <w:pPr>
        <w:keepNext/>
        <w:spacing w:line="360" w:lineRule="auto"/>
        <w:ind w:left="720"/>
        <w:rPr>
          <w:rFonts w:ascii="Times New Roman" w:eastAsia="Times New Roman" w:hAnsi="Times New Roman" w:cs="Times New Roman"/>
          <w:b/>
          <w:bCs/>
          <w:color w:val="000000"/>
          <w:sz w:val="26"/>
          <w:szCs w:val="26"/>
        </w:rPr>
      </w:pPr>
      <w:r w:rsidRPr="007E77F1">
        <w:rPr>
          <w:rFonts w:ascii="Times New Roman" w:eastAsia="Times New Roman" w:hAnsi="Times New Roman" w:cs="Times New Roman"/>
          <w:b/>
          <w:bCs/>
          <w:color w:val="000000"/>
          <w:sz w:val="26"/>
          <w:szCs w:val="26"/>
        </w:rPr>
        <w:t>4.</w:t>
      </w:r>
      <w:r w:rsidRPr="007E77F1">
        <w:rPr>
          <w:rFonts w:ascii="Times New Roman" w:eastAsia="Times New Roman" w:hAnsi="Times New Roman" w:cs="Times New Roman"/>
          <w:b/>
          <w:bCs/>
          <w:color w:val="000000"/>
          <w:sz w:val="26"/>
          <w:szCs w:val="26"/>
        </w:rPr>
        <w:tab/>
        <w:t>Cost of Service Study</w:t>
      </w:r>
    </w:p>
    <w:p w14:paraId="22BF185C" w14:textId="77777777" w:rsidR="00597F9A" w:rsidRPr="00756821" w:rsidRDefault="00597F9A" w:rsidP="00E65202">
      <w:pPr>
        <w:keepNext/>
        <w:spacing w:line="360" w:lineRule="auto"/>
        <w:ind w:firstLine="1440"/>
        <w:rPr>
          <w:rFonts w:ascii="Times New Roman" w:eastAsia="Times New Roman" w:hAnsi="Times New Roman" w:cs="Times New Roman"/>
          <w:color w:val="000000"/>
          <w:sz w:val="26"/>
          <w:szCs w:val="26"/>
        </w:rPr>
      </w:pPr>
    </w:p>
    <w:p w14:paraId="6AADC7D1" w14:textId="4F564CDA" w:rsidR="004017F8" w:rsidRDefault="00F708F5" w:rsidP="00E65202">
      <w:pPr>
        <w:keepNext/>
        <w:spacing w:line="360" w:lineRule="auto"/>
        <w:ind w:firstLine="1440"/>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The ALJ summarized the OCA’s arguments </w:t>
      </w:r>
      <w:r w:rsidR="00CC5753">
        <w:rPr>
          <w:rFonts w:ascii="Times New Roman" w:eastAsia="Times New Roman" w:hAnsi="Times New Roman" w:cs="Times New Roman"/>
          <w:color w:val="000000"/>
          <w:sz w:val="26"/>
          <w:szCs w:val="26"/>
        </w:rPr>
        <w:t xml:space="preserve">about the need for </w:t>
      </w:r>
      <w:r w:rsidR="00157349">
        <w:rPr>
          <w:rFonts w:ascii="Times New Roman" w:eastAsia="Times New Roman" w:hAnsi="Times New Roman" w:cs="Times New Roman"/>
          <w:color w:val="000000"/>
          <w:sz w:val="26"/>
          <w:szCs w:val="26"/>
        </w:rPr>
        <w:t xml:space="preserve">future cost of service studies.  Specifically, the OCA </w:t>
      </w:r>
      <w:r w:rsidR="001F41A4" w:rsidRPr="001F41A4">
        <w:rPr>
          <w:rFonts w:ascii="Times New Roman" w:hAnsi="Times New Roman" w:cs="Times New Roman"/>
          <w:sz w:val="26"/>
          <w:szCs w:val="26"/>
        </w:rPr>
        <w:t xml:space="preserve">identified the need for PAWC to provide – in </w:t>
      </w:r>
      <w:r w:rsidR="001F41A4" w:rsidRPr="001F41A4">
        <w:rPr>
          <w:rFonts w:ascii="Times New Roman" w:hAnsi="Times New Roman" w:cs="Times New Roman"/>
          <w:sz w:val="26"/>
          <w:szCs w:val="26"/>
        </w:rPr>
        <w:lastRenderedPageBreak/>
        <w:t xml:space="preserve">the first base rate case in which it includes the Borough’s assets in rate base – a cost of service study that removes all costs and revenues associated with the operations of Royersford wastewater system, as well as a separate cost of service study for the Royersford system.  </w:t>
      </w:r>
      <w:r w:rsidR="004017F8">
        <w:rPr>
          <w:rFonts w:ascii="Times New Roman" w:hAnsi="Times New Roman" w:cs="Times New Roman"/>
          <w:sz w:val="26"/>
          <w:szCs w:val="26"/>
        </w:rPr>
        <w:t xml:space="preserve">The </w:t>
      </w:r>
      <w:r w:rsidR="001F41A4" w:rsidRPr="001F41A4">
        <w:rPr>
          <w:rFonts w:ascii="Times New Roman" w:hAnsi="Times New Roman" w:cs="Times New Roman"/>
          <w:sz w:val="26"/>
          <w:szCs w:val="26"/>
        </w:rPr>
        <w:t>OCA contend</w:t>
      </w:r>
      <w:r w:rsidR="004017F8">
        <w:rPr>
          <w:rFonts w:ascii="Times New Roman" w:hAnsi="Times New Roman" w:cs="Times New Roman"/>
          <w:sz w:val="26"/>
          <w:szCs w:val="26"/>
        </w:rPr>
        <w:t>ed</w:t>
      </w:r>
      <w:r w:rsidR="001F41A4" w:rsidRPr="001F41A4">
        <w:rPr>
          <w:rFonts w:ascii="Times New Roman" w:hAnsi="Times New Roman" w:cs="Times New Roman"/>
          <w:sz w:val="26"/>
          <w:szCs w:val="26"/>
        </w:rPr>
        <w:t xml:space="preserve"> that these studies </w:t>
      </w:r>
      <w:proofErr w:type="gramStart"/>
      <w:r w:rsidR="001F41A4" w:rsidRPr="001F41A4">
        <w:rPr>
          <w:rFonts w:ascii="Times New Roman" w:hAnsi="Times New Roman" w:cs="Times New Roman"/>
          <w:sz w:val="26"/>
          <w:szCs w:val="26"/>
        </w:rPr>
        <w:t>will</w:t>
      </w:r>
      <w:proofErr w:type="gramEnd"/>
      <w:r w:rsidR="001F41A4" w:rsidRPr="001F41A4">
        <w:rPr>
          <w:rFonts w:ascii="Times New Roman" w:hAnsi="Times New Roman" w:cs="Times New Roman"/>
          <w:sz w:val="26"/>
          <w:szCs w:val="26"/>
        </w:rPr>
        <w:t xml:space="preserve"> provide information to establish rates that reflect the costs for the Royersford system.  </w:t>
      </w:r>
      <w:r w:rsidR="00F3281C">
        <w:rPr>
          <w:rFonts w:ascii="Times New Roman" w:hAnsi="Times New Roman" w:cs="Times New Roman"/>
          <w:sz w:val="26"/>
          <w:szCs w:val="26"/>
        </w:rPr>
        <w:t>R.D. at 35 (citing OCA St.</w:t>
      </w:r>
      <w:r w:rsidR="00FB1F60">
        <w:rPr>
          <w:rFonts w:ascii="Times New Roman" w:hAnsi="Times New Roman" w:cs="Times New Roman"/>
          <w:sz w:val="26"/>
          <w:szCs w:val="26"/>
        </w:rPr>
        <w:t> </w:t>
      </w:r>
      <w:r w:rsidR="00F3281C">
        <w:rPr>
          <w:rFonts w:ascii="Times New Roman" w:hAnsi="Times New Roman" w:cs="Times New Roman"/>
          <w:sz w:val="26"/>
          <w:szCs w:val="26"/>
        </w:rPr>
        <w:t>1 at 50).</w:t>
      </w:r>
      <w:r w:rsidR="004017F8">
        <w:rPr>
          <w:rFonts w:ascii="Times New Roman" w:hAnsi="Times New Roman" w:cs="Times New Roman"/>
          <w:sz w:val="26"/>
          <w:szCs w:val="26"/>
        </w:rPr>
        <w:t xml:space="preserve">  </w:t>
      </w:r>
    </w:p>
    <w:p w14:paraId="0535F1F9" w14:textId="77777777" w:rsidR="00985962" w:rsidRDefault="00985962" w:rsidP="006228B5">
      <w:pPr>
        <w:spacing w:line="360" w:lineRule="auto"/>
        <w:ind w:firstLine="1440"/>
        <w:rPr>
          <w:rFonts w:ascii="Times New Roman" w:hAnsi="Times New Roman" w:cs="Times New Roman"/>
          <w:sz w:val="26"/>
          <w:szCs w:val="26"/>
        </w:rPr>
      </w:pPr>
    </w:p>
    <w:p w14:paraId="6CD92CD4" w14:textId="02A69FDE" w:rsidR="00433DDC" w:rsidRDefault="004017F8" w:rsidP="00433DDC">
      <w:pPr>
        <w:keepNext/>
        <w:spacing w:line="360" w:lineRule="auto"/>
        <w:ind w:left="14" w:firstLine="1426"/>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The </w:t>
      </w:r>
      <w:r w:rsidR="00392180">
        <w:rPr>
          <w:rFonts w:ascii="Times New Roman" w:hAnsi="Times New Roman" w:cs="Times New Roman"/>
          <w:sz w:val="26"/>
          <w:szCs w:val="26"/>
        </w:rPr>
        <w:t xml:space="preserve">ALJ further emphasized </w:t>
      </w:r>
      <w:r w:rsidR="00187E91">
        <w:rPr>
          <w:rFonts w:ascii="Times New Roman" w:hAnsi="Times New Roman" w:cs="Times New Roman"/>
          <w:sz w:val="26"/>
          <w:szCs w:val="26"/>
        </w:rPr>
        <w:t>the Company’s willing</w:t>
      </w:r>
      <w:r w:rsidR="009B5656">
        <w:rPr>
          <w:rFonts w:ascii="Times New Roman" w:hAnsi="Times New Roman" w:cs="Times New Roman"/>
          <w:sz w:val="26"/>
          <w:szCs w:val="26"/>
        </w:rPr>
        <w:t>ness</w:t>
      </w:r>
      <w:r w:rsidR="00A75E39">
        <w:rPr>
          <w:rFonts w:ascii="Times New Roman" w:hAnsi="Times New Roman" w:cs="Times New Roman"/>
          <w:sz w:val="26"/>
          <w:szCs w:val="26"/>
        </w:rPr>
        <w:t>,</w:t>
      </w:r>
      <w:r w:rsidR="009B5656">
        <w:rPr>
          <w:rFonts w:ascii="Times New Roman" w:hAnsi="Times New Roman" w:cs="Times New Roman"/>
          <w:sz w:val="26"/>
          <w:szCs w:val="26"/>
        </w:rPr>
        <w:t xml:space="preserve"> </w:t>
      </w:r>
      <w:r w:rsidR="00A75E39">
        <w:rPr>
          <w:rFonts w:ascii="Times New Roman" w:hAnsi="Times New Roman" w:cs="Times New Roman"/>
          <w:sz w:val="26"/>
          <w:szCs w:val="26"/>
        </w:rPr>
        <w:t xml:space="preserve">in the interest of resolving this case, </w:t>
      </w:r>
      <w:r w:rsidR="009B5656">
        <w:rPr>
          <w:rFonts w:ascii="Times New Roman" w:hAnsi="Times New Roman" w:cs="Times New Roman"/>
          <w:sz w:val="26"/>
          <w:szCs w:val="26"/>
        </w:rPr>
        <w:t xml:space="preserve">to conduct the requested cost of service studies.  </w:t>
      </w:r>
      <w:r w:rsidR="00A75E39">
        <w:rPr>
          <w:rFonts w:ascii="Times New Roman" w:hAnsi="Times New Roman" w:cs="Times New Roman"/>
          <w:sz w:val="26"/>
          <w:szCs w:val="26"/>
        </w:rPr>
        <w:t xml:space="preserve">Pursuant to </w:t>
      </w:r>
      <w:r w:rsidR="000D178E">
        <w:rPr>
          <w:rFonts w:ascii="Times New Roman" w:hAnsi="Times New Roman" w:cs="Times New Roman"/>
          <w:sz w:val="26"/>
          <w:szCs w:val="26"/>
        </w:rPr>
        <w:t>Settlement ¶¶</w:t>
      </w:r>
      <w:r w:rsidR="008E4398">
        <w:rPr>
          <w:rFonts w:ascii="Times New Roman" w:hAnsi="Times New Roman" w:cs="Times New Roman"/>
          <w:sz w:val="26"/>
          <w:szCs w:val="26"/>
        </w:rPr>
        <w:t xml:space="preserve"> 25a-b, </w:t>
      </w:r>
      <w:r w:rsidR="005364CA">
        <w:rPr>
          <w:rFonts w:ascii="Times New Roman" w:hAnsi="Times New Roman" w:cs="Times New Roman"/>
          <w:sz w:val="26"/>
          <w:szCs w:val="26"/>
        </w:rPr>
        <w:t xml:space="preserve">PAWC </w:t>
      </w:r>
      <w:r w:rsidR="009D03A5" w:rsidRPr="00BA1868">
        <w:rPr>
          <w:rFonts w:ascii="Times New Roman" w:eastAsia="Times New Roman" w:hAnsi="Times New Roman" w:cs="Times New Roman"/>
          <w:color w:val="000000"/>
          <w:sz w:val="26"/>
          <w:szCs w:val="26"/>
        </w:rPr>
        <w:t xml:space="preserve">will submit two cost of service studies in the first base rate case that includes the Royersford System: </w:t>
      </w:r>
      <w:r w:rsidR="008C7021">
        <w:rPr>
          <w:rFonts w:ascii="Times New Roman" w:eastAsia="Times New Roman" w:hAnsi="Times New Roman" w:cs="Times New Roman"/>
          <w:color w:val="000000"/>
          <w:sz w:val="26"/>
          <w:szCs w:val="26"/>
        </w:rPr>
        <w:t xml:space="preserve"> </w:t>
      </w:r>
      <w:r w:rsidR="009D03A5" w:rsidRPr="00BA1868">
        <w:rPr>
          <w:rFonts w:ascii="Times New Roman" w:eastAsia="Times New Roman" w:hAnsi="Times New Roman" w:cs="Times New Roman"/>
          <w:color w:val="000000"/>
          <w:sz w:val="26"/>
          <w:szCs w:val="26"/>
        </w:rPr>
        <w:t xml:space="preserve">(a) a </w:t>
      </w:r>
      <w:proofErr w:type="gramStart"/>
      <w:r w:rsidR="009D03A5" w:rsidRPr="00BA1868">
        <w:rPr>
          <w:rFonts w:ascii="Times New Roman" w:eastAsia="Times New Roman" w:hAnsi="Times New Roman" w:cs="Times New Roman"/>
          <w:color w:val="000000"/>
          <w:sz w:val="26"/>
          <w:szCs w:val="26"/>
        </w:rPr>
        <w:t>cost of service</w:t>
      </w:r>
      <w:proofErr w:type="gramEnd"/>
      <w:r w:rsidR="009D03A5" w:rsidRPr="00BA1868">
        <w:rPr>
          <w:rFonts w:ascii="Times New Roman" w:eastAsia="Times New Roman" w:hAnsi="Times New Roman" w:cs="Times New Roman"/>
          <w:color w:val="000000"/>
          <w:sz w:val="26"/>
          <w:szCs w:val="26"/>
        </w:rPr>
        <w:t xml:space="preserve"> study that removes all costs and revenues associated with the operation of the Royersford System; and (b) a cost of service study for the Royersford System.  PAWC’s obligation to prepare cost of service studies </w:t>
      </w:r>
      <w:r w:rsidR="008E4398" w:rsidRPr="00BA1868">
        <w:rPr>
          <w:rFonts w:ascii="Times New Roman" w:eastAsia="Times New Roman" w:hAnsi="Times New Roman" w:cs="Times New Roman"/>
          <w:color w:val="000000"/>
          <w:sz w:val="26"/>
          <w:szCs w:val="26"/>
        </w:rPr>
        <w:t xml:space="preserve">would only </w:t>
      </w:r>
      <w:r w:rsidR="009D03A5" w:rsidRPr="00BA1868">
        <w:rPr>
          <w:rFonts w:ascii="Times New Roman" w:eastAsia="Times New Roman" w:hAnsi="Times New Roman" w:cs="Times New Roman"/>
          <w:color w:val="000000"/>
          <w:sz w:val="26"/>
          <w:szCs w:val="26"/>
        </w:rPr>
        <w:t xml:space="preserve">extend to the first base rate case in which Royersford is included.  </w:t>
      </w:r>
      <w:r w:rsidR="00BA4CC7" w:rsidRPr="00BA1868">
        <w:rPr>
          <w:rFonts w:ascii="Times New Roman" w:eastAsia="Times New Roman" w:hAnsi="Times New Roman" w:cs="Times New Roman"/>
          <w:color w:val="000000"/>
          <w:sz w:val="26"/>
          <w:szCs w:val="26"/>
        </w:rPr>
        <w:t xml:space="preserve">According to PAWC, </w:t>
      </w:r>
      <w:r w:rsidR="009D03A5" w:rsidRPr="00BA1868">
        <w:rPr>
          <w:rFonts w:ascii="Times New Roman" w:eastAsia="Times New Roman" w:hAnsi="Times New Roman" w:cs="Times New Roman"/>
          <w:color w:val="000000"/>
          <w:sz w:val="26"/>
          <w:szCs w:val="26"/>
        </w:rPr>
        <w:t>unnecessary cost of service studies can be avoided in subsequent rate cases</w:t>
      </w:r>
      <w:r w:rsidR="00BA1868" w:rsidRPr="00BA1868">
        <w:rPr>
          <w:rFonts w:ascii="Times New Roman" w:eastAsia="Times New Roman" w:hAnsi="Times New Roman" w:cs="Times New Roman"/>
          <w:color w:val="000000"/>
          <w:sz w:val="26"/>
          <w:szCs w:val="26"/>
        </w:rPr>
        <w:t xml:space="preserve"> by these Settlement terms</w:t>
      </w:r>
      <w:r w:rsidR="009D03A5" w:rsidRPr="00BA1868">
        <w:rPr>
          <w:rFonts w:ascii="Times New Roman" w:eastAsia="Times New Roman" w:hAnsi="Times New Roman" w:cs="Times New Roman"/>
          <w:color w:val="000000"/>
          <w:sz w:val="26"/>
          <w:szCs w:val="26"/>
        </w:rPr>
        <w:t xml:space="preserve">.  </w:t>
      </w:r>
      <w:r w:rsidR="000D178E" w:rsidRPr="00BA1868">
        <w:rPr>
          <w:rFonts w:ascii="Times New Roman" w:eastAsia="Times New Roman" w:hAnsi="Times New Roman" w:cs="Times New Roman"/>
          <w:color w:val="000000"/>
          <w:sz w:val="26"/>
          <w:szCs w:val="26"/>
        </w:rPr>
        <w:t xml:space="preserve">R.D. at 36 </w:t>
      </w:r>
      <w:r w:rsidR="009D03A5" w:rsidRPr="00BA1868">
        <w:rPr>
          <w:rFonts w:ascii="Times New Roman" w:eastAsia="Times New Roman" w:hAnsi="Times New Roman" w:cs="Times New Roman"/>
          <w:color w:val="000000"/>
          <w:sz w:val="26"/>
          <w:szCs w:val="26"/>
        </w:rPr>
        <w:t>(</w:t>
      </w:r>
      <w:r w:rsidR="000D178E" w:rsidRPr="00BA1868">
        <w:rPr>
          <w:rFonts w:ascii="Times New Roman" w:eastAsia="Times New Roman" w:hAnsi="Times New Roman" w:cs="Times New Roman"/>
          <w:color w:val="000000"/>
          <w:sz w:val="26"/>
          <w:szCs w:val="26"/>
        </w:rPr>
        <w:t xml:space="preserve">citing </w:t>
      </w:r>
      <w:r w:rsidR="009D03A5" w:rsidRPr="00BA1868">
        <w:rPr>
          <w:rFonts w:ascii="Times New Roman" w:eastAsia="Times New Roman" w:hAnsi="Times New Roman" w:cs="Times New Roman"/>
          <w:color w:val="000000"/>
          <w:sz w:val="26"/>
          <w:szCs w:val="26"/>
        </w:rPr>
        <w:t>PAWC Statement in Support at 24).</w:t>
      </w:r>
      <w:r w:rsidR="00433DDC">
        <w:rPr>
          <w:rFonts w:ascii="Times New Roman" w:eastAsia="Times New Roman" w:hAnsi="Times New Roman" w:cs="Times New Roman"/>
          <w:color w:val="000000"/>
          <w:sz w:val="26"/>
          <w:szCs w:val="26"/>
        </w:rPr>
        <w:t xml:space="preserve">  </w:t>
      </w:r>
    </w:p>
    <w:p w14:paraId="3FAA7243" w14:textId="77777777" w:rsidR="00433DDC" w:rsidRDefault="00433DDC" w:rsidP="00433DDC">
      <w:pPr>
        <w:keepNext/>
        <w:spacing w:line="360" w:lineRule="auto"/>
        <w:rPr>
          <w:rFonts w:ascii="Times New Roman" w:eastAsia="Times New Roman" w:hAnsi="Times New Roman" w:cs="Times New Roman"/>
          <w:color w:val="000000"/>
          <w:sz w:val="26"/>
          <w:szCs w:val="26"/>
        </w:rPr>
      </w:pPr>
    </w:p>
    <w:p w14:paraId="340A35D9" w14:textId="08EE3ED2" w:rsidR="00F217E7" w:rsidRPr="00AE7B99" w:rsidRDefault="00433DDC" w:rsidP="00510C44">
      <w:pPr>
        <w:keepNext/>
        <w:spacing w:line="360" w:lineRule="auto"/>
        <w:ind w:firstLine="720"/>
        <w:rPr>
          <w:rFonts w:ascii="Times New Roman" w:eastAsia="Times New Roman" w:hAnsi="Times New Roman" w:cs="Times New Roman"/>
          <w:b/>
          <w:bCs/>
          <w:color w:val="000000"/>
          <w:sz w:val="26"/>
          <w:szCs w:val="26"/>
        </w:rPr>
      </w:pPr>
      <w:r w:rsidRPr="00AE7B99">
        <w:rPr>
          <w:rFonts w:ascii="Times New Roman" w:eastAsia="Times New Roman" w:hAnsi="Times New Roman" w:cs="Times New Roman"/>
          <w:b/>
          <w:bCs/>
          <w:color w:val="000000"/>
          <w:sz w:val="26"/>
          <w:szCs w:val="26"/>
        </w:rPr>
        <w:t xml:space="preserve">5. </w:t>
      </w:r>
      <w:r w:rsidRPr="00AE7B99">
        <w:rPr>
          <w:rFonts w:ascii="Times New Roman" w:eastAsia="Times New Roman" w:hAnsi="Times New Roman" w:cs="Times New Roman"/>
          <w:b/>
          <w:bCs/>
          <w:color w:val="000000"/>
          <w:sz w:val="26"/>
          <w:szCs w:val="26"/>
        </w:rPr>
        <w:tab/>
        <w:t>Rates</w:t>
      </w:r>
    </w:p>
    <w:p w14:paraId="135512FC" w14:textId="4E750623" w:rsidR="004017F8" w:rsidRDefault="004017F8" w:rsidP="00510C44">
      <w:pPr>
        <w:keepNext/>
        <w:spacing w:line="360" w:lineRule="auto"/>
        <w:rPr>
          <w:rFonts w:ascii="Times New Roman" w:eastAsia="Times New Roman" w:hAnsi="Times New Roman" w:cs="Times New Roman"/>
          <w:color w:val="000000"/>
          <w:sz w:val="26"/>
          <w:szCs w:val="26"/>
        </w:rPr>
      </w:pPr>
    </w:p>
    <w:p w14:paraId="26F27DA5" w14:textId="7C65C476" w:rsidR="00926DCA" w:rsidRPr="00AC60E0" w:rsidRDefault="00424955" w:rsidP="00510C44">
      <w:pPr>
        <w:pStyle w:val="BodyText"/>
        <w:keepNext/>
        <w:spacing w:after="0" w:line="360" w:lineRule="auto"/>
        <w:ind w:left="14" w:firstLine="1426"/>
        <w:rPr>
          <w:color w:val="auto"/>
          <w:sz w:val="26"/>
          <w:szCs w:val="26"/>
        </w:rPr>
      </w:pPr>
      <w:r w:rsidRPr="00AC60E0">
        <w:rPr>
          <w:sz w:val="26"/>
          <w:szCs w:val="26"/>
        </w:rPr>
        <w:t>In summariz</w:t>
      </w:r>
      <w:r w:rsidR="004205CE" w:rsidRPr="00AC60E0">
        <w:rPr>
          <w:sz w:val="26"/>
          <w:szCs w:val="26"/>
        </w:rPr>
        <w:t xml:space="preserve">ing </w:t>
      </w:r>
      <w:r w:rsidR="00926DCA" w:rsidRPr="00AC60E0">
        <w:rPr>
          <w:sz w:val="26"/>
          <w:szCs w:val="26"/>
        </w:rPr>
        <w:t>PAWC</w:t>
      </w:r>
      <w:r w:rsidR="004205CE" w:rsidRPr="00AC60E0">
        <w:rPr>
          <w:sz w:val="26"/>
          <w:szCs w:val="26"/>
        </w:rPr>
        <w:t xml:space="preserve">’s position about the rate impact, the ALJ noted </w:t>
      </w:r>
      <w:r w:rsidR="00926DCA" w:rsidRPr="00AC60E0">
        <w:rPr>
          <w:sz w:val="26"/>
          <w:szCs w:val="26"/>
        </w:rPr>
        <w:t xml:space="preserve">that the Settlement would ensure that </w:t>
      </w:r>
      <w:r w:rsidR="004205CE" w:rsidRPr="00AC60E0">
        <w:rPr>
          <w:sz w:val="26"/>
          <w:szCs w:val="26"/>
        </w:rPr>
        <w:t>the Company</w:t>
      </w:r>
      <w:r w:rsidR="00926DCA" w:rsidRPr="00AC60E0">
        <w:rPr>
          <w:sz w:val="26"/>
          <w:szCs w:val="26"/>
        </w:rPr>
        <w:t xml:space="preserve"> will charge rates after closing that are equal to Royersford’s existing rates.  PAWC state</w:t>
      </w:r>
      <w:r w:rsidR="004205CE" w:rsidRPr="00AC60E0">
        <w:rPr>
          <w:sz w:val="26"/>
          <w:szCs w:val="26"/>
        </w:rPr>
        <w:t>d</w:t>
      </w:r>
      <w:r w:rsidR="00926DCA" w:rsidRPr="00AC60E0">
        <w:rPr>
          <w:sz w:val="26"/>
          <w:szCs w:val="26"/>
        </w:rPr>
        <w:t xml:space="preserve"> that </w:t>
      </w:r>
      <w:r w:rsidR="004205CE" w:rsidRPr="00AC60E0">
        <w:rPr>
          <w:sz w:val="26"/>
          <w:szCs w:val="26"/>
        </w:rPr>
        <w:t>Paragraph 25c of the</w:t>
      </w:r>
      <w:r w:rsidR="00926DCA" w:rsidRPr="00AC60E0">
        <w:rPr>
          <w:sz w:val="26"/>
          <w:szCs w:val="26"/>
        </w:rPr>
        <w:t xml:space="preserve"> Settlement requires it, in the first base rate case that includes Royersford, to propose moving Royersford’s customer rates toward the cost of service</w:t>
      </w:r>
      <w:r w:rsidR="002822DE" w:rsidRPr="00AC60E0">
        <w:rPr>
          <w:sz w:val="26"/>
          <w:szCs w:val="26"/>
        </w:rPr>
        <w:t xml:space="preserve"> and, thereby,</w:t>
      </w:r>
      <w:r w:rsidR="00926DCA" w:rsidRPr="00AC60E0">
        <w:rPr>
          <w:sz w:val="26"/>
          <w:szCs w:val="26"/>
        </w:rPr>
        <w:t xml:space="preserve"> limiting any potential subsidization of Royersford’s customers by PAWC’s existing water and wastewater customers.  Specifically, PAWC indicate</w:t>
      </w:r>
      <w:r w:rsidR="002822DE" w:rsidRPr="00AC60E0">
        <w:rPr>
          <w:sz w:val="26"/>
          <w:szCs w:val="26"/>
        </w:rPr>
        <w:t>d</w:t>
      </w:r>
      <w:r w:rsidR="00926DCA" w:rsidRPr="00AC60E0">
        <w:rPr>
          <w:sz w:val="26"/>
          <w:szCs w:val="26"/>
        </w:rPr>
        <w:t xml:space="preserve"> that the Settlement limits the proposed rate increase to no more than 1.7 times Royersford’s customers’ initial rate, or PAWC’s proposed Rate Zone 1 system-average rates, whichever is lower.  PAWC </w:t>
      </w:r>
      <w:r w:rsidR="00926DCA" w:rsidRPr="00AC60E0">
        <w:rPr>
          <w:sz w:val="26"/>
          <w:szCs w:val="26"/>
        </w:rPr>
        <w:lastRenderedPageBreak/>
        <w:t>assert</w:t>
      </w:r>
      <w:r w:rsidR="002822DE" w:rsidRPr="00AC60E0">
        <w:rPr>
          <w:sz w:val="26"/>
          <w:szCs w:val="26"/>
        </w:rPr>
        <w:t>ed</w:t>
      </w:r>
      <w:r w:rsidR="00926DCA" w:rsidRPr="00AC60E0">
        <w:rPr>
          <w:sz w:val="26"/>
          <w:szCs w:val="26"/>
        </w:rPr>
        <w:t xml:space="preserve"> that this increase is consistent with the customer notice sent to Royersford customers, which indicated that the acquisition could possibly result in a 69.8% rate increase.  </w:t>
      </w:r>
      <w:r w:rsidR="00AC60E0" w:rsidRPr="00AC60E0">
        <w:rPr>
          <w:sz w:val="26"/>
          <w:szCs w:val="26"/>
        </w:rPr>
        <w:t xml:space="preserve">R.D. at 36-37 (citing </w:t>
      </w:r>
      <w:r w:rsidR="00926DCA" w:rsidRPr="00AC60E0">
        <w:rPr>
          <w:sz w:val="26"/>
          <w:szCs w:val="26"/>
        </w:rPr>
        <w:t>PAWC Statement in Support at 26).</w:t>
      </w:r>
    </w:p>
    <w:p w14:paraId="3FCAD7D7" w14:textId="77777777" w:rsidR="00926DCA" w:rsidRPr="00AC60E0" w:rsidRDefault="00926DCA" w:rsidP="00926DCA">
      <w:pPr>
        <w:pStyle w:val="BodyText"/>
        <w:spacing w:after="0" w:line="360" w:lineRule="auto"/>
        <w:ind w:left="14" w:firstLine="1426"/>
        <w:rPr>
          <w:color w:val="auto"/>
          <w:sz w:val="26"/>
          <w:szCs w:val="26"/>
        </w:rPr>
      </w:pPr>
    </w:p>
    <w:p w14:paraId="63C73615" w14:textId="2CB76E17" w:rsidR="00926DCA" w:rsidRDefault="00AC60E0" w:rsidP="00926DCA">
      <w:pPr>
        <w:pStyle w:val="BodyText"/>
        <w:spacing w:after="0" w:line="360" w:lineRule="auto"/>
        <w:ind w:left="14" w:firstLine="1426"/>
        <w:rPr>
          <w:sz w:val="26"/>
          <w:szCs w:val="26"/>
        </w:rPr>
      </w:pPr>
      <w:r>
        <w:rPr>
          <w:sz w:val="26"/>
          <w:szCs w:val="26"/>
        </w:rPr>
        <w:t xml:space="preserve">Additionally, the ALJ </w:t>
      </w:r>
      <w:r w:rsidR="0016528B">
        <w:rPr>
          <w:sz w:val="26"/>
          <w:szCs w:val="26"/>
        </w:rPr>
        <w:t xml:space="preserve">noted </w:t>
      </w:r>
      <w:r w:rsidR="009508CF">
        <w:rPr>
          <w:sz w:val="26"/>
          <w:szCs w:val="26"/>
        </w:rPr>
        <w:t xml:space="preserve">the assertions of PAWC </w:t>
      </w:r>
      <w:r w:rsidR="0016528B">
        <w:rPr>
          <w:sz w:val="26"/>
          <w:szCs w:val="26"/>
        </w:rPr>
        <w:t xml:space="preserve">that the </w:t>
      </w:r>
      <w:r w:rsidR="00926DCA" w:rsidRPr="00AC60E0">
        <w:rPr>
          <w:sz w:val="26"/>
          <w:szCs w:val="26"/>
        </w:rPr>
        <w:t xml:space="preserve">Settlement permits the Company to propose a different effective date for increased rates to Royersford than to other customers, so that it may comply with the APA provision prohibiting rate increases in Royersford until two years after the date of closing.  However, PAWC </w:t>
      </w:r>
      <w:r w:rsidR="009508CF">
        <w:rPr>
          <w:sz w:val="26"/>
          <w:szCs w:val="26"/>
        </w:rPr>
        <w:t>contended</w:t>
      </w:r>
      <w:r w:rsidR="00926DCA" w:rsidRPr="00AC60E0">
        <w:rPr>
          <w:sz w:val="26"/>
          <w:szCs w:val="26"/>
        </w:rPr>
        <w:t xml:space="preserve"> that the Settlement does not preclude any Joint Petitioner from asserting any position or raising any issue in a future PAWC base rate proceeding</w:t>
      </w:r>
      <w:r w:rsidR="009508CF">
        <w:rPr>
          <w:sz w:val="26"/>
          <w:szCs w:val="26"/>
        </w:rPr>
        <w:t>, pursuant to</w:t>
      </w:r>
      <w:r w:rsidR="00C7047F">
        <w:rPr>
          <w:sz w:val="26"/>
          <w:szCs w:val="26"/>
        </w:rPr>
        <w:t xml:space="preserve"> </w:t>
      </w:r>
      <w:r w:rsidR="00926DCA" w:rsidRPr="00AC60E0">
        <w:rPr>
          <w:sz w:val="26"/>
          <w:szCs w:val="26"/>
        </w:rPr>
        <w:t xml:space="preserve">Settlement ¶ 25f.  Further, the </w:t>
      </w:r>
      <w:r w:rsidR="009508CF">
        <w:rPr>
          <w:sz w:val="26"/>
          <w:szCs w:val="26"/>
        </w:rPr>
        <w:t xml:space="preserve">Company indicated that the </w:t>
      </w:r>
      <w:r w:rsidR="00926DCA" w:rsidRPr="00AC60E0">
        <w:rPr>
          <w:sz w:val="26"/>
          <w:szCs w:val="26"/>
        </w:rPr>
        <w:t xml:space="preserve">Settlement contains no provision purporting to restrict the Commission’s ultimate ratemaking authority to set “just and reasonable” rates.  </w:t>
      </w:r>
      <w:r w:rsidR="00C7047F">
        <w:rPr>
          <w:sz w:val="26"/>
          <w:szCs w:val="26"/>
        </w:rPr>
        <w:t xml:space="preserve">R.D. at 37 </w:t>
      </w:r>
      <w:r w:rsidR="00926DCA" w:rsidRPr="00AC60E0">
        <w:rPr>
          <w:sz w:val="26"/>
          <w:szCs w:val="26"/>
        </w:rPr>
        <w:t>(</w:t>
      </w:r>
      <w:r w:rsidR="00C7047F">
        <w:rPr>
          <w:sz w:val="26"/>
          <w:szCs w:val="26"/>
        </w:rPr>
        <w:t xml:space="preserve">citing </w:t>
      </w:r>
      <w:r w:rsidR="00926DCA" w:rsidRPr="00AC60E0">
        <w:rPr>
          <w:sz w:val="26"/>
          <w:szCs w:val="26"/>
        </w:rPr>
        <w:t>PAWC Statement in Support at 26-27).</w:t>
      </w:r>
    </w:p>
    <w:p w14:paraId="1407304A" w14:textId="72D448BE" w:rsidR="007A5B2E" w:rsidRDefault="007A5B2E" w:rsidP="00926DCA">
      <w:pPr>
        <w:pStyle w:val="BodyText"/>
        <w:spacing w:after="0" w:line="360" w:lineRule="auto"/>
        <w:ind w:left="14" w:firstLine="1426"/>
        <w:rPr>
          <w:sz w:val="26"/>
          <w:szCs w:val="26"/>
        </w:rPr>
      </w:pPr>
    </w:p>
    <w:p w14:paraId="147EBC8F" w14:textId="77777777" w:rsidR="00FD6EC7" w:rsidRDefault="007A5B2E" w:rsidP="00926DCA">
      <w:pPr>
        <w:pStyle w:val="BodyText"/>
        <w:spacing w:after="0" w:line="360" w:lineRule="auto"/>
        <w:ind w:left="14" w:firstLine="1426"/>
        <w:rPr>
          <w:sz w:val="26"/>
          <w:szCs w:val="26"/>
        </w:rPr>
      </w:pPr>
      <w:r>
        <w:rPr>
          <w:sz w:val="26"/>
          <w:szCs w:val="26"/>
        </w:rPr>
        <w:t>The ALJ further summarized the positions of the OSBA and I&amp;E indicating t</w:t>
      </w:r>
      <w:r w:rsidR="00D54E0A">
        <w:rPr>
          <w:sz w:val="26"/>
          <w:szCs w:val="26"/>
        </w:rPr>
        <w:t>hat the Settle</w:t>
      </w:r>
      <w:r w:rsidR="00D43E33">
        <w:rPr>
          <w:sz w:val="26"/>
          <w:szCs w:val="26"/>
        </w:rPr>
        <w:t xml:space="preserve">ment </w:t>
      </w:r>
      <w:r w:rsidR="00D54E0A">
        <w:rPr>
          <w:sz w:val="26"/>
          <w:szCs w:val="26"/>
        </w:rPr>
        <w:t>is reasonable</w:t>
      </w:r>
      <w:r w:rsidR="00D43E33">
        <w:rPr>
          <w:sz w:val="26"/>
          <w:szCs w:val="26"/>
        </w:rPr>
        <w:t xml:space="preserve"> </w:t>
      </w:r>
      <w:r w:rsidR="00E21527">
        <w:rPr>
          <w:sz w:val="26"/>
          <w:szCs w:val="26"/>
        </w:rPr>
        <w:t xml:space="preserve">and in the public interest </w:t>
      </w:r>
      <w:r w:rsidR="00A211C2">
        <w:rPr>
          <w:sz w:val="26"/>
          <w:szCs w:val="26"/>
        </w:rPr>
        <w:t xml:space="preserve">for various </w:t>
      </w:r>
      <w:r w:rsidR="00E21527">
        <w:rPr>
          <w:sz w:val="26"/>
          <w:szCs w:val="26"/>
        </w:rPr>
        <w:t>reasons including the fact that the Parties</w:t>
      </w:r>
      <w:r w:rsidR="00A56870">
        <w:rPr>
          <w:sz w:val="26"/>
          <w:szCs w:val="26"/>
        </w:rPr>
        <w:t xml:space="preserve"> have preserved the right to make rate proposals concerning the</w:t>
      </w:r>
      <w:r w:rsidR="00FD6EC7">
        <w:rPr>
          <w:sz w:val="26"/>
          <w:szCs w:val="26"/>
        </w:rPr>
        <w:t xml:space="preserve"> System in the first base rate case following acquisition.  R.D. at 37-38.</w:t>
      </w:r>
    </w:p>
    <w:p w14:paraId="66809576" w14:textId="77777777" w:rsidR="00FD6EC7" w:rsidRDefault="00FD6EC7" w:rsidP="00FD6EC7">
      <w:pPr>
        <w:pStyle w:val="BodyText"/>
        <w:spacing w:after="0" w:line="360" w:lineRule="auto"/>
        <w:rPr>
          <w:sz w:val="26"/>
          <w:szCs w:val="26"/>
        </w:rPr>
      </w:pPr>
    </w:p>
    <w:p w14:paraId="54F79443" w14:textId="0A7C798D" w:rsidR="007A5B2E" w:rsidRPr="0081123F" w:rsidRDefault="00FD6EC7" w:rsidP="00970F5A">
      <w:pPr>
        <w:pStyle w:val="BodyText"/>
        <w:keepNext/>
        <w:spacing w:after="0" w:line="360" w:lineRule="auto"/>
        <w:ind w:left="720"/>
        <w:rPr>
          <w:b/>
          <w:bCs/>
          <w:color w:val="auto"/>
          <w:sz w:val="26"/>
          <w:szCs w:val="26"/>
        </w:rPr>
      </w:pPr>
      <w:r>
        <w:rPr>
          <w:sz w:val="26"/>
          <w:szCs w:val="26"/>
        </w:rPr>
        <w:tab/>
      </w:r>
      <w:r w:rsidR="0081123F" w:rsidRPr="0081123F">
        <w:rPr>
          <w:b/>
          <w:bCs/>
          <w:sz w:val="26"/>
          <w:szCs w:val="26"/>
        </w:rPr>
        <w:t>6.</w:t>
      </w:r>
      <w:r w:rsidR="0081123F" w:rsidRPr="0081123F">
        <w:rPr>
          <w:b/>
          <w:bCs/>
          <w:sz w:val="26"/>
          <w:szCs w:val="26"/>
        </w:rPr>
        <w:tab/>
        <w:t>Distribution System Improvement Charge</w:t>
      </w:r>
      <w:r w:rsidR="00E21527" w:rsidRPr="0081123F">
        <w:rPr>
          <w:b/>
          <w:bCs/>
          <w:sz w:val="26"/>
          <w:szCs w:val="26"/>
        </w:rPr>
        <w:t xml:space="preserve"> </w:t>
      </w:r>
      <w:r w:rsidR="00645084" w:rsidRPr="0081123F">
        <w:rPr>
          <w:b/>
          <w:bCs/>
          <w:sz w:val="26"/>
          <w:szCs w:val="26"/>
        </w:rPr>
        <w:t xml:space="preserve"> </w:t>
      </w:r>
    </w:p>
    <w:p w14:paraId="222F96E3" w14:textId="77777777" w:rsidR="007E77F1" w:rsidRPr="00AC60E0" w:rsidRDefault="007E77F1" w:rsidP="00970F5A">
      <w:pPr>
        <w:keepNext/>
        <w:spacing w:line="360" w:lineRule="auto"/>
        <w:ind w:firstLine="1440"/>
        <w:rPr>
          <w:rFonts w:ascii="Times New Roman" w:eastAsia="Times New Roman" w:hAnsi="Times New Roman" w:cs="Times New Roman"/>
          <w:color w:val="000000"/>
          <w:sz w:val="26"/>
          <w:szCs w:val="26"/>
        </w:rPr>
      </w:pPr>
    </w:p>
    <w:p w14:paraId="5DCDB8CD" w14:textId="600D3F77" w:rsidR="00107AF2" w:rsidRDefault="00B12C8F" w:rsidP="00970F5A">
      <w:pPr>
        <w:pStyle w:val="BodyText2"/>
        <w:keepNext/>
        <w:spacing w:after="0" w:line="360" w:lineRule="auto"/>
        <w:ind w:firstLine="1440"/>
        <w:rPr>
          <w:rFonts w:ascii="Times New Roman" w:eastAsia="Times New Roman" w:hAnsi="Times New Roman" w:cs="Times New Roman"/>
          <w:sz w:val="26"/>
          <w:szCs w:val="26"/>
        </w:rPr>
      </w:pPr>
      <w:r w:rsidRPr="00077D2E">
        <w:rPr>
          <w:rFonts w:ascii="Times New Roman" w:eastAsia="Times New Roman" w:hAnsi="Times New Roman" w:cs="Times New Roman"/>
          <w:color w:val="000000"/>
          <w:sz w:val="26"/>
          <w:szCs w:val="26"/>
        </w:rPr>
        <w:t xml:space="preserve">The ALJ explained that </w:t>
      </w:r>
      <w:r w:rsidR="00107AF2" w:rsidRPr="00077D2E">
        <w:rPr>
          <w:rFonts w:ascii="Times New Roman" w:eastAsia="Times New Roman" w:hAnsi="Times New Roman" w:cs="Times New Roman"/>
          <w:sz w:val="26"/>
          <w:szCs w:val="26"/>
        </w:rPr>
        <w:t xml:space="preserve">Section 1329(d)(4) of the Code permits an acquiring public utility to collect a distribution system improvement charge (DSIC) from the date of closing on the transaction until new rates are approved in the utility’s next base rate case.  To qualify for DSIC recovery, </w:t>
      </w:r>
      <w:r w:rsidR="00B04C80" w:rsidRPr="00077D2E">
        <w:rPr>
          <w:rFonts w:ascii="Times New Roman" w:eastAsia="Times New Roman" w:hAnsi="Times New Roman" w:cs="Times New Roman"/>
          <w:sz w:val="26"/>
          <w:szCs w:val="26"/>
        </w:rPr>
        <w:t xml:space="preserve">the ALJ added, </w:t>
      </w:r>
      <w:r w:rsidR="00107AF2" w:rsidRPr="00077D2E">
        <w:rPr>
          <w:rFonts w:ascii="Times New Roman" w:eastAsia="Times New Roman" w:hAnsi="Times New Roman" w:cs="Times New Roman"/>
          <w:sz w:val="26"/>
          <w:szCs w:val="26"/>
        </w:rPr>
        <w:t>a utility must submit a long-term infrastructure improvement plan (LTIIP) to, and receive approval from, the Commission.</w:t>
      </w:r>
      <w:r w:rsidR="00B04C80" w:rsidRPr="00077D2E">
        <w:rPr>
          <w:rFonts w:ascii="Times New Roman" w:eastAsia="Times New Roman" w:hAnsi="Times New Roman" w:cs="Times New Roman"/>
          <w:sz w:val="26"/>
          <w:szCs w:val="26"/>
        </w:rPr>
        <w:t xml:space="preserve">  R.D. at 38.  </w:t>
      </w:r>
    </w:p>
    <w:p w14:paraId="7748B4FC" w14:textId="77777777" w:rsidR="00510C44" w:rsidRPr="00077D2E" w:rsidRDefault="00510C44" w:rsidP="00970F5A">
      <w:pPr>
        <w:pStyle w:val="BodyText2"/>
        <w:spacing w:after="0" w:line="360" w:lineRule="auto"/>
        <w:ind w:firstLine="1440"/>
        <w:rPr>
          <w:rFonts w:ascii="Times New Roman" w:eastAsia="Times New Roman" w:hAnsi="Times New Roman" w:cs="Times New Roman"/>
          <w:sz w:val="26"/>
          <w:szCs w:val="26"/>
        </w:rPr>
      </w:pPr>
    </w:p>
    <w:p w14:paraId="5C441150" w14:textId="68F65A48" w:rsidR="00B12C8F" w:rsidRPr="00077D2E" w:rsidRDefault="00C54967" w:rsidP="00970F5A">
      <w:pPr>
        <w:spacing w:line="360" w:lineRule="auto"/>
        <w:ind w:firstLine="1440"/>
        <w:rPr>
          <w:rFonts w:ascii="Times New Roman" w:eastAsia="Times New Roman" w:hAnsi="Times New Roman" w:cs="Times New Roman"/>
          <w:color w:val="000000"/>
          <w:sz w:val="26"/>
          <w:szCs w:val="26"/>
        </w:rPr>
      </w:pPr>
      <w:r w:rsidRPr="00077D2E">
        <w:rPr>
          <w:rFonts w:ascii="Times New Roman" w:eastAsia="Times New Roman" w:hAnsi="Times New Roman" w:cs="Times New Roman"/>
          <w:color w:val="000000"/>
          <w:sz w:val="26"/>
          <w:szCs w:val="26"/>
        </w:rPr>
        <w:lastRenderedPageBreak/>
        <w:t xml:space="preserve">The ALJ noted that </w:t>
      </w:r>
      <w:r w:rsidR="00107AF2" w:rsidRPr="00077D2E">
        <w:rPr>
          <w:rFonts w:ascii="Times New Roman" w:eastAsia="Times New Roman" w:hAnsi="Times New Roman" w:cs="Times New Roman"/>
          <w:color w:val="000000"/>
          <w:sz w:val="26"/>
          <w:szCs w:val="26"/>
        </w:rPr>
        <w:t>PAWC ha</w:t>
      </w:r>
      <w:r w:rsidRPr="00077D2E">
        <w:rPr>
          <w:rFonts w:ascii="Times New Roman" w:eastAsia="Times New Roman" w:hAnsi="Times New Roman" w:cs="Times New Roman"/>
          <w:color w:val="000000"/>
          <w:sz w:val="26"/>
          <w:szCs w:val="26"/>
        </w:rPr>
        <w:t>d</w:t>
      </w:r>
      <w:r w:rsidR="00107AF2" w:rsidRPr="00077D2E">
        <w:rPr>
          <w:rFonts w:ascii="Times New Roman" w:eastAsia="Times New Roman" w:hAnsi="Times New Roman" w:cs="Times New Roman"/>
          <w:color w:val="000000"/>
          <w:sz w:val="26"/>
          <w:szCs w:val="26"/>
        </w:rPr>
        <w:t xml:space="preserve"> previously received Commission approval of a wastewater LTIIP, and received Commission approval of a DSIC tariff, for other portions of its wastewater system.  In its Application, PAWC requested conditional approval to implement a DSIC for the Royersford service territory.  </w:t>
      </w:r>
      <w:r w:rsidR="0005735F" w:rsidRPr="00077D2E">
        <w:rPr>
          <w:rFonts w:ascii="Times New Roman" w:eastAsia="Times New Roman" w:hAnsi="Times New Roman" w:cs="Times New Roman"/>
          <w:color w:val="000000"/>
          <w:sz w:val="26"/>
          <w:szCs w:val="26"/>
        </w:rPr>
        <w:t xml:space="preserve">R.D. at 38 (citing </w:t>
      </w:r>
      <w:r w:rsidR="00107AF2" w:rsidRPr="00077D2E">
        <w:rPr>
          <w:rFonts w:ascii="Times New Roman" w:eastAsia="Times New Roman" w:hAnsi="Times New Roman" w:cs="Times New Roman"/>
          <w:color w:val="000000"/>
          <w:sz w:val="26"/>
          <w:szCs w:val="26"/>
        </w:rPr>
        <w:t xml:space="preserve">Application ¶ 2; PAWC St. 1 </w:t>
      </w:r>
      <w:r w:rsidR="00651A3C" w:rsidRPr="00077D2E">
        <w:rPr>
          <w:rFonts w:ascii="Times New Roman" w:eastAsia="Times New Roman" w:hAnsi="Times New Roman" w:cs="Times New Roman"/>
          <w:color w:val="000000"/>
          <w:sz w:val="26"/>
          <w:szCs w:val="26"/>
        </w:rPr>
        <w:t>at</w:t>
      </w:r>
      <w:r w:rsidR="00107AF2" w:rsidRPr="00077D2E">
        <w:rPr>
          <w:rFonts w:ascii="Times New Roman" w:eastAsia="Times New Roman" w:hAnsi="Times New Roman" w:cs="Times New Roman"/>
          <w:color w:val="000000"/>
          <w:sz w:val="26"/>
          <w:szCs w:val="26"/>
        </w:rPr>
        <w:t xml:space="preserve"> 4</w:t>
      </w:r>
      <w:r w:rsidR="00651A3C" w:rsidRPr="00077D2E">
        <w:rPr>
          <w:rFonts w:ascii="Times New Roman" w:eastAsia="Times New Roman" w:hAnsi="Times New Roman" w:cs="Times New Roman"/>
          <w:color w:val="000000"/>
          <w:sz w:val="26"/>
          <w:szCs w:val="26"/>
        </w:rPr>
        <w:t>)</w:t>
      </w:r>
      <w:r w:rsidR="00107AF2" w:rsidRPr="00077D2E">
        <w:rPr>
          <w:rFonts w:ascii="Times New Roman" w:eastAsia="Times New Roman" w:hAnsi="Times New Roman" w:cs="Times New Roman"/>
          <w:color w:val="000000"/>
          <w:sz w:val="26"/>
          <w:szCs w:val="26"/>
        </w:rPr>
        <w:t>.  Pursuant to the Settlement, PAWC may file an amended LTIIP for the Royersford service territory that does not reprioritize other existing capital improvements that PAWC has already committed to undertake in other service areas.  Following Commission approval of that amended LTIIP, PAWC could</w:t>
      </w:r>
      <w:r w:rsidR="002B518D" w:rsidRPr="00077D2E">
        <w:rPr>
          <w:rFonts w:ascii="Times New Roman" w:eastAsia="Times New Roman" w:hAnsi="Times New Roman" w:cs="Times New Roman"/>
          <w:color w:val="000000"/>
          <w:sz w:val="26"/>
          <w:szCs w:val="26"/>
        </w:rPr>
        <w:t xml:space="preserve"> </w:t>
      </w:r>
      <w:r w:rsidR="00107AF2" w:rsidRPr="00077D2E">
        <w:rPr>
          <w:rFonts w:ascii="Times New Roman" w:eastAsia="Times New Roman" w:hAnsi="Times New Roman" w:cs="Times New Roman"/>
          <w:color w:val="000000"/>
          <w:sz w:val="26"/>
          <w:szCs w:val="26"/>
        </w:rPr>
        <w:t>make a tariff supplement compliance filing</w:t>
      </w:r>
      <w:r w:rsidR="000C20A5" w:rsidRPr="00077D2E">
        <w:rPr>
          <w:rFonts w:ascii="Times New Roman" w:eastAsia="Times New Roman" w:hAnsi="Times New Roman" w:cs="Times New Roman"/>
          <w:color w:val="000000"/>
          <w:sz w:val="26"/>
          <w:szCs w:val="26"/>
        </w:rPr>
        <w:t xml:space="preserve">, </w:t>
      </w:r>
      <w:r w:rsidR="00107AF2" w:rsidRPr="00077D2E">
        <w:rPr>
          <w:rFonts w:ascii="Times New Roman" w:eastAsia="Times New Roman" w:hAnsi="Times New Roman" w:cs="Times New Roman"/>
          <w:color w:val="000000"/>
          <w:sz w:val="26"/>
          <w:szCs w:val="26"/>
        </w:rPr>
        <w:t xml:space="preserve">which would include the Royersford service territory in PAWC’s existing DSIC tariff.  </w:t>
      </w:r>
      <w:r w:rsidR="009E62D7" w:rsidRPr="00077D2E">
        <w:rPr>
          <w:rFonts w:ascii="Times New Roman" w:eastAsia="Times New Roman" w:hAnsi="Times New Roman" w:cs="Times New Roman"/>
          <w:color w:val="000000"/>
          <w:sz w:val="26"/>
          <w:szCs w:val="26"/>
        </w:rPr>
        <w:t xml:space="preserve">R.D. at 38 (citing Settlement at ¶ 27).  </w:t>
      </w:r>
      <w:r w:rsidR="00BE0F20" w:rsidRPr="00077D2E">
        <w:rPr>
          <w:rFonts w:ascii="Times New Roman" w:eastAsia="Times New Roman" w:hAnsi="Times New Roman" w:cs="Times New Roman"/>
          <w:color w:val="000000"/>
          <w:sz w:val="26"/>
          <w:szCs w:val="26"/>
        </w:rPr>
        <w:t>According to PAWC,</w:t>
      </w:r>
      <w:r w:rsidRPr="00077D2E">
        <w:rPr>
          <w:rFonts w:ascii="Times New Roman" w:eastAsia="Times New Roman" w:hAnsi="Times New Roman" w:cs="Times New Roman"/>
          <w:color w:val="000000"/>
          <w:sz w:val="26"/>
          <w:szCs w:val="26"/>
        </w:rPr>
        <w:t xml:space="preserve"> t</w:t>
      </w:r>
      <w:r w:rsidR="00107AF2" w:rsidRPr="00077D2E">
        <w:rPr>
          <w:rFonts w:ascii="Times New Roman" w:eastAsia="Times New Roman" w:hAnsi="Times New Roman" w:cs="Times New Roman"/>
          <w:color w:val="000000"/>
          <w:sz w:val="26"/>
          <w:szCs w:val="26"/>
        </w:rPr>
        <w:t>he Settlement recognizes the Commission’s authority to modify PAWC’s LTIIP submission.  Finally, the</w:t>
      </w:r>
      <w:r w:rsidR="000C20A5" w:rsidRPr="00077D2E">
        <w:rPr>
          <w:rFonts w:ascii="Times New Roman" w:eastAsia="Times New Roman" w:hAnsi="Times New Roman" w:cs="Times New Roman"/>
          <w:color w:val="000000"/>
          <w:sz w:val="26"/>
          <w:szCs w:val="26"/>
        </w:rPr>
        <w:t xml:space="preserve"> Company contended that the</w:t>
      </w:r>
      <w:r w:rsidR="00107AF2" w:rsidRPr="00077D2E">
        <w:rPr>
          <w:rFonts w:ascii="Times New Roman" w:eastAsia="Times New Roman" w:hAnsi="Times New Roman" w:cs="Times New Roman"/>
          <w:color w:val="000000"/>
          <w:sz w:val="26"/>
          <w:szCs w:val="26"/>
        </w:rPr>
        <w:t xml:space="preserve"> Settlement is consistent with the Code and </w:t>
      </w:r>
      <w:r w:rsidR="00107AF2" w:rsidRPr="00077D2E">
        <w:rPr>
          <w:rFonts w:ascii="Times New Roman" w:eastAsia="Times New Roman" w:hAnsi="Times New Roman" w:cs="Times New Roman"/>
          <w:i/>
          <w:color w:val="000000"/>
          <w:sz w:val="26"/>
          <w:szCs w:val="26"/>
        </w:rPr>
        <w:t>Implementation of Act 11 of 2012</w:t>
      </w:r>
      <w:r w:rsidR="00107AF2" w:rsidRPr="00970F5A">
        <w:rPr>
          <w:rFonts w:ascii="Times New Roman" w:eastAsia="Times New Roman" w:hAnsi="Times New Roman" w:cs="Times New Roman"/>
          <w:iCs/>
          <w:color w:val="000000"/>
          <w:sz w:val="26"/>
          <w:szCs w:val="26"/>
        </w:rPr>
        <w:t>,</w:t>
      </w:r>
      <w:r w:rsidR="00107AF2" w:rsidRPr="00077D2E">
        <w:rPr>
          <w:rFonts w:ascii="Times New Roman" w:eastAsia="Times New Roman" w:hAnsi="Times New Roman" w:cs="Times New Roman"/>
          <w:i/>
          <w:color w:val="000000"/>
          <w:sz w:val="26"/>
          <w:szCs w:val="26"/>
        </w:rPr>
        <w:t xml:space="preserve"> </w:t>
      </w:r>
      <w:r w:rsidR="00107AF2" w:rsidRPr="00077D2E">
        <w:rPr>
          <w:rFonts w:ascii="Times New Roman" w:eastAsia="Times New Roman" w:hAnsi="Times New Roman" w:cs="Times New Roman"/>
          <w:color w:val="000000"/>
          <w:sz w:val="26"/>
          <w:szCs w:val="26"/>
        </w:rPr>
        <w:t>Docket No. M</w:t>
      </w:r>
      <w:r w:rsidR="00970F5A">
        <w:rPr>
          <w:rFonts w:ascii="Times New Roman" w:eastAsia="Times New Roman" w:hAnsi="Times New Roman" w:cs="Times New Roman"/>
          <w:color w:val="000000"/>
          <w:sz w:val="26"/>
          <w:szCs w:val="26"/>
        </w:rPr>
        <w:noBreakHyphen/>
      </w:r>
      <w:r w:rsidR="00107AF2" w:rsidRPr="00077D2E">
        <w:rPr>
          <w:rFonts w:ascii="Times New Roman" w:eastAsia="Times New Roman" w:hAnsi="Times New Roman" w:cs="Times New Roman"/>
          <w:color w:val="000000"/>
          <w:sz w:val="26"/>
          <w:szCs w:val="26"/>
        </w:rPr>
        <w:t>2012</w:t>
      </w:r>
      <w:r w:rsidR="00970F5A">
        <w:rPr>
          <w:rFonts w:ascii="Times New Roman" w:eastAsia="Times New Roman" w:hAnsi="Times New Roman" w:cs="Times New Roman"/>
          <w:color w:val="000000"/>
          <w:sz w:val="26"/>
          <w:szCs w:val="26"/>
        </w:rPr>
        <w:noBreakHyphen/>
      </w:r>
      <w:r w:rsidR="00107AF2" w:rsidRPr="00077D2E">
        <w:rPr>
          <w:rFonts w:ascii="Times New Roman" w:eastAsia="Times New Roman" w:hAnsi="Times New Roman" w:cs="Times New Roman"/>
          <w:color w:val="000000"/>
          <w:sz w:val="26"/>
          <w:szCs w:val="26"/>
        </w:rPr>
        <w:t xml:space="preserve">2293611 (Final Implementation Order entered August 2, 2012).  For these reasons, </w:t>
      </w:r>
      <w:r w:rsidR="00BE0F20" w:rsidRPr="00077D2E">
        <w:rPr>
          <w:rFonts w:ascii="Times New Roman" w:eastAsia="Times New Roman" w:hAnsi="Times New Roman" w:cs="Times New Roman"/>
          <w:color w:val="000000"/>
          <w:sz w:val="26"/>
          <w:szCs w:val="26"/>
        </w:rPr>
        <w:t>PAWC argued that t</w:t>
      </w:r>
      <w:r w:rsidR="00107AF2" w:rsidRPr="00077D2E">
        <w:rPr>
          <w:rFonts w:ascii="Times New Roman" w:eastAsia="Times New Roman" w:hAnsi="Times New Roman" w:cs="Times New Roman"/>
          <w:color w:val="000000"/>
          <w:sz w:val="26"/>
          <w:szCs w:val="26"/>
        </w:rPr>
        <w:t xml:space="preserve">he Settlement is in the public interest and should be approved.  </w:t>
      </w:r>
      <w:r w:rsidR="0008528B" w:rsidRPr="00077D2E">
        <w:rPr>
          <w:rFonts w:ascii="Times New Roman" w:eastAsia="Times New Roman" w:hAnsi="Times New Roman" w:cs="Times New Roman"/>
          <w:color w:val="000000"/>
          <w:sz w:val="26"/>
          <w:szCs w:val="26"/>
        </w:rPr>
        <w:t>R.D.</w:t>
      </w:r>
      <w:r w:rsidR="00970F5A">
        <w:rPr>
          <w:rFonts w:ascii="Times New Roman" w:eastAsia="Times New Roman" w:hAnsi="Times New Roman" w:cs="Times New Roman"/>
          <w:color w:val="000000"/>
          <w:sz w:val="26"/>
          <w:szCs w:val="26"/>
        </w:rPr>
        <w:t> </w:t>
      </w:r>
      <w:r w:rsidR="0008528B" w:rsidRPr="00077D2E">
        <w:rPr>
          <w:rFonts w:ascii="Times New Roman" w:eastAsia="Times New Roman" w:hAnsi="Times New Roman" w:cs="Times New Roman"/>
          <w:color w:val="000000"/>
          <w:sz w:val="26"/>
          <w:szCs w:val="26"/>
        </w:rPr>
        <w:t xml:space="preserve">at 39 </w:t>
      </w:r>
      <w:r w:rsidR="00107AF2" w:rsidRPr="00077D2E">
        <w:rPr>
          <w:rFonts w:ascii="Times New Roman" w:eastAsia="Times New Roman" w:hAnsi="Times New Roman" w:cs="Times New Roman"/>
          <w:color w:val="000000"/>
          <w:sz w:val="26"/>
          <w:szCs w:val="26"/>
        </w:rPr>
        <w:t>(</w:t>
      </w:r>
      <w:r w:rsidR="0008528B" w:rsidRPr="00077D2E">
        <w:rPr>
          <w:rFonts w:ascii="Times New Roman" w:eastAsia="Times New Roman" w:hAnsi="Times New Roman" w:cs="Times New Roman"/>
          <w:color w:val="000000"/>
          <w:sz w:val="26"/>
          <w:szCs w:val="26"/>
        </w:rPr>
        <w:t xml:space="preserve">citing </w:t>
      </w:r>
      <w:r w:rsidR="00107AF2" w:rsidRPr="00077D2E">
        <w:rPr>
          <w:rFonts w:ascii="Times New Roman" w:eastAsia="Times New Roman" w:hAnsi="Times New Roman" w:cs="Times New Roman"/>
          <w:color w:val="000000"/>
          <w:sz w:val="26"/>
          <w:szCs w:val="26"/>
        </w:rPr>
        <w:t>PAWC Statement in Support at 27-28).</w:t>
      </w:r>
    </w:p>
    <w:p w14:paraId="6C74693C" w14:textId="4BB703B8" w:rsidR="0008528B" w:rsidRPr="00077D2E" w:rsidRDefault="0008528B" w:rsidP="00970F5A">
      <w:pPr>
        <w:spacing w:line="360" w:lineRule="auto"/>
        <w:ind w:firstLine="1440"/>
        <w:rPr>
          <w:rFonts w:ascii="Times New Roman" w:eastAsia="Times New Roman" w:hAnsi="Times New Roman" w:cs="Times New Roman"/>
          <w:color w:val="000000"/>
          <w:sz w:val="26"/>
          <w:szCs w:val="26"/>
        </w:rPr>
      </w:pPr>
    </w:p>
    <w:p w14:paraId="47168B07" w14:textId="3DB7EE79" w:rsidR="00EB29AB" w:rsidRDefault="00EB29AB" w:rsidP="00970F5A">
      <w:pPr>
        <w:spacing w:line="360" w:lineRule="auto"/>
        <w:ind w:firstLine="1440"/>
        <w:rPr>
          <w:rFonts w:ascii="Times New Roman" w:eastAsia="Times New Roman" w:hAnsi="Times New Roman" w:cs="Times New Roman"/>
          <w:color w:val="000000"/>
          <w:sz w:val="26"/>
          <w:szCs w:val="26"/>
        </w:rPr>
      </w:pPr>
      <w:r w:rsidRPr="00077D2E">
        <w:rPr>
          <w:rFonts w:ascii="Times New Roman" w:eastAsia="Times New Roman" w:hAnsi="Times New Roman" w:cs="Times New Roman"/>
          <w:color w:val="000000"/>
          <w:sz w:val="26"/>
          <w:szCs w:val="26"/>
        </w:rPr>
        <w:t xml:space="preserve">The ALJ summarized the positions of I&amp;E and the OCA that the Settlement provision pertaining to the DSIC </w:t>
      </w:r>
      <w:r w:rsidR="004F3876" w:rsidRPr="00077D2E">
        <w:rPr>
          <w:rFonts w:ascii="Times New Roman" w:eastAsia="Times New Roman" w:hAnsi="Times New Roman" w:cs="Times New Roman"/>
          <w:color w:val="000000"/>
          <w:sz w:val="26"/>
          <w:szCs w:val="26"/>
        </w:rPr>
        <w:t xml:space="preserve">serves the public interest </w:t>
      </w:r>
      <w:r w:rsidR="00727A92" w:rsidRPr="00077D2E">
        <w:rPr>
          <w:rFonts w:ascii="Times New Roman" w:eastAsia="Times New Roman" w:hAnsi="Times New Roman" w:cs="Times New Roman"/>
          <w:color w:val="000000"/>
          <w:sz w:val="26"/>
          <w:szCs w:val="26"/>
        </w:rPr>
        <w:t xml:space="preserve">and addresses prior concerns </w:t>
      </w:r>
      <w:r w:rsidR="00502BA0" w:rsidRPr="00077D2E">
        <w:rPr>
          <w:rFonts w:ascii="Times New Roman" w:eastAsia="Times New Roman" w:hAnsi="Times New Roman" w:cs="Times New Roman"/>
          <w:color w:val="000000"/>
          <w:sz w:val="26"/>
          <w:szCs w:val="26"/>
        </w:rPr>
        <w:t xml:space="preserve">such as ensuring that </w:t>
      </w:r>
      <w:r w:rsidR="00B72E85" w:rsidRPr="00077D2E">
        <w:rPr>
          <w:rFonts w:ascii="Times New Roman" w:eastAsia="Times New Roman" w:hAnsi="Times New Roman" w:cs="Times New Roman"/>
          <w:color w:val="000000"/>
          <w:sz w:val="26"/>
          <w:szCs w:val="26"/>
        </w:rPr>
        <w:t>projects for the Borough’s customers should be in addition to any capital</w:t>
      </w:r>
      <w:r w:rsidR="00077D2E" w:rsidRPr="00077D2E">
        <w:rPr>
          <w:rFonts w:ascii="Times New Roman" w:eastAsia="Times New Roman" w:hAnsi="Times New Roman" w:cs="Times New Roman"/>
          <w:color w:val="000000"/>
          <w:sz w:val="26"/>
          <w:szCs w:val="26"/>
        </w:rPr>
        <w:t xml:space="preserve"> improvements that PAWC was already committed to undertake for existing customers.  R.D. at 39.</w:t>
      </w:r>
    </w:p>
    <w:p w14:paraId="54445C97" w14:textId="5DA0F561" w:rsidR="005C42F8" w:rsidRDefault="005C42F8" w:rsidP="00970F5A">
      <w:pPr>
        <w:spacing w:line="360" w:lineRule="auto"/>
        <w:rPr>
          <w:rFonts w:ascii="Times New Roman" w:eastAsia="Times New Roman" w:hAnsi="Times New Roman" w:cs="Times New Roman"/>
          <w:color w:val="000000"/>
          <w:sz w:val="26"/>
          <w:szCs w:val="26"/>
        </w:rPr>
      </w:pPr>
    </w:p>
    <w:p w14:paraId="0F46BD9E" w14:textId="511D8011" w:rsidR="00E8636B" w:rsidRPr="00BD35D7" w:rsidRDefault="005C42F8" w:rsidP="00970F5A">
      <w:pPr>
        <w:pStyle w:val="ListParagraph"/>
        <w:keepNext/>
        <w:ind w:left="1440" w:hanging="720"/>
        <w:rPr>
          <w:rFonts w:ascii="Times New Roman" w:eastAsia="Times New Roman" w:hAnsi="Times New Roman" w:cs="Times New Roman"/>
          <w:b/>
          <w:bCs/>
          <w:sz w:val="26"/>
          <w:szCs w:val="26"/>
        </w:rPr>
      </w:pPr>
      <w:r w:rsidRPr="00BD35D7">
        <w:rPr>
          <w:rFonts w:ascii="Times New Roman" w:eastAsia="Times New Roman" w:hAnsi="Times New Roman" w:cs="Times New Roman"/>
          <w:b/>
          <w:bCs/>
          <w:color w:val="000000"/>
          <w:sz w:val="26"/>
          <w:szCs w:val="26"/>
        </w:rPr>
        <w:t>7.</w:t>
      </w:r>
      <w:r w:rsidRPr="00BD35D7">
        <w:rPr>
          <w:rFonts w:ascii="Times New Roman" w:eastAsia="Times New Roman" w:hAnsi="Times New Roman" w:cs="Times New Roman"/>
          <w:b/>
          <w:bCs/>
          <w:color w:val="000000"/>
          <w:sz w:val="26"/>
          <w:szCs w:val="26"/>
        </w:rPr>
        <w:tab/>
      </w:r>
      <w:r w:rsidR="00E8636B" w:rsidRPr="00BD35D7">
        <w:rPr>
          <w:rFonts w:ascii="Times New Roman" w:eastAsia="Times New Roman" w:hAnsi="Times New Roman" w:cs="Times New Roman"/>
          <w:b/>
          <w:bCs/>
          <w:sz w:val="26"/>
          <w:szCs w:val="26"/>
        </w:rPr>
        <w:t xml:space="preserve">Allowance for Funds Used During Construction, Deferral of Depreciation and Transaction Costs  </w:t>
      </w:r>
    </w:p>
    <w:p w14:paraId="27E5212E" w14:textId="77777777" w:rsidR="00E8636B" w:rsidRPr="00E8636B" w:rsidRDefault="00E8636B" w:rsidP="00970F5A">
      <w:pPr>
        <w:keepNext/>
        <w:spacing w:line="360" w:lineRule="auto"/>
        <w:ind w:left="10" w:hanging="10"/>
        <w:rPr>
          <w:rFonts w:ascii="Times New Roman" w:eastAsia="Times New Roman" w:hAnsi="Times New Roman" w:cs="Times New Roman"/>
          <w:color w:val="000000"/>
          <w:sz w:val="26"/>
          <w:szCs w:val="26"/>
        </w:rPr>
      </w:pPr>
    </w:p>
    <w:p w14:paraId="1C369FD4" w14:textId="4D4FAC70" w:rsidR="00E8636B" w:rsidRPr="00E8636B" w:rsidRDefault="00E8636B" w:rsidP="00970F5A">
      <w:pPr>
        <w:keepNext/>
        <w:spacing w:line="360" w:lineRule="auto"/>
        <w:ind w:left="10" w:firstLine="1440"/>
        <w:rPr>
          <w:rFonts w:ascii="Times New Roman" w:eastAsia="Times New Roman" w:hAnsi="Times New Roman" w:cs="Times New Roman"/>
          <w:color w:val="000000"/>
          <w:sz w:val="26"/>
          <w:szCs w:val="26"/>
        </w:rPr>
      </w:pPr>
      <w:r w:rsidRPr="007B0112">
        <w:rPr>
          <w:rFonts w:ascii="Times New Roman" w:eastAsia="Times New Roman" w:hAnsi="Times New Roman" w:cs="Times New Roman"/>
          <w:color w:val="000000"/>
          <w:sz w:val="26"/>
          <w:szCs w:val="26"/>
        </w:rPr>
        <w:t xml:space="preserve">The ALJ explained that </w:t>
      </w:r>
      <w:r w:rsidRPr="00E8636B">
        <w:rPr>
          <w:rFonts w:ascii="Times New Roman" w:eastAsia="Times New Roman" w:hAnsi="Times New Roman" w:cs="Times New Roman"/>
          <w:color w:val="000000"/>
          <w:sz w:val="26"/>
          <w:szCs w:val="26"/>
        </w:rPr>
        <w:t xml:space="preserve">Section 1329(f)(1) of the Code permits an acquiring public utility to accrue an allowance for funds used during construction (AFUDC) on post-acquisition improvements that are not included in a DSIC, from the </w:t>
      </w:r>
      <w:r w:rsidRPr="00E8636B">
        <w:rPr>
          <w:rFonts w:ascii="Times New Roman" w:eastAsia="Times New Roman" w:hAnsi="Times New Roman" w:cs="Times New Roman"/>
          <w:color w:val="000000"/>
          <w:sz w:val="26"/>
          <w:szCs w:val="26"/>
        </w:rPr>
        <w:lastRenderedPageBreak/>
        <w:t xml:space="preserve">date the cost was incurred until the earlier of the following events: </w:t>
      </w:r>
      <w:r w:rsidR="008C7021">
        <w:rPr>
          <w:rFonts w:ascii="Times New Roman" w:eastAsia="Times New Roman" w:hAnsi="Times New Roman" w:cs="Times New Roman"/>
          <w:color w:val="000000"/>
          <w:sz w:val="26"/>
          <w:szCs w:val="26"/>
        </w:rPr>
        <w:t xml:space="preserve"> </w:t>
      </w:r>
      <w:r w:rsidRPr="00E8636B">
        <w:rPr>
          <w:rFonts w:ascii="Times New Roman" w:eastAsia="Times New Roman" w:hAnsi="Times New Roman" w:cs="Times New Roman"/>
          <w:color w:val="000000"/>
          <w:sz w:val="26"/>
          <w:szCs w:val="26"/>
        </w:rPr>
        <w:t xml:space="preserve">the asset has been in service for a period of four years, or the asset is included in the acquiring utility’s next base rate case. </w:t>
      </w:r>
      <w:r w:rsidRPr="007B0112">
        <w:rPr>
          <w:rFonts w:ascii="Times New Roman" w:eastAsia="Times New Roman" w:hAnsi="Times New Roman" w:cs="Times New Roman"/>
          <w:color w:val="000000"/>
          <w:sz w:val="26"/>
          <w:szCs w:val="26"/>
        </w:rPr>
        <w:t xml:space="preserve"> </w:t>
      </w:r>
      <w:r w:rsidRPr="00E8636B">
        <w:rPr>
          <w:rFonts w:ascii="Times New Roman" w:eastAsia="Times New Roman" w:hAnsi="Times New Roman" w:cs="Times New Roman"/>
          <w:color w:val="000000"/>
          <w:sz w:val="26"/>
          <w:szCs w:val="26"/>
        </w:rPr>
        <w:t>S</w:t>
      </w:r>
      <w:bookmarkStart w:id="11" w:name="_BA_Cite_C1EE36_000138"/>
      <w:bookmarkEnd w:id="11"/>
      <w:r w:rsidRPr="00E8636B">
        <w:rPr>
          <w:rFonts w:ascii="Times New Roman" w:eastAsia="Times New Roman" w:hAnsi="Times New Roman" w:cs="Times New Roman"/>
          <w:color w:val="000000"/>
          <w:sz w:val="26"/>
          <w:szCs w:val="26"/>
        </w:rPr>
        <w:t xml:space="preserve">ection 1329(f)(2) </w:t>
      </w:r>
      <w:bookmarkStart w:id="12" w:name="_BA_Cite_C1EE36_000140"/>
      <w:bookmarkEnd w:id="12"/>
      <w:r w:rsidRPr="00E8636B">
        <w:rPr>
          <w:rFonts w:ascii="Times New Roman" w:eastAsia="Times New Roman" w:hAnsi="Times New Roman" w:cs="Times New Roman"/>
          <w:color w:val="000000"/>
          <w:sz w:val="26"/>
          <w:szCs w:val="26"/>
        </w:rPr>
        <w:t xml:space="preserve">of the Code permits an acquiring public utility to defer depreciation on its post-acquisition improvements that are not included in a DSIC.  Section 1329(d)(1)(iv) permits an acquiring public utility to include, in its next base rate case, a claim for the transaction and closing costs incurred for the acquisition.  </w:t>
      </w:r>
      <w:r w:rsidR="00BD35D7" w:rsidRPr="007B0112">
        <w:rPr>
          <w:rFonts w:ascii="Times New Roman" w:eastAsia="Times New Roman" w:hAnsi="Times New Roman" w:cs="Times New Roman"/>
          <w:color w:val="000000"/>
          <w:sz w:val="26"/>
          <w:szCs w:val="26"/>
        </w:rPr>
        <w:t>R.D. at 40.</w:t>
      </w:r>
    </w:p>
    <w:p w14:paraId="769E51BE" w14:textId="77777777" w:rsidR="00E8636B" w:rsidRPr="00E8636B" w:rsidRDefault="00E8636B" w:rsidP="00970F5A">
      <w:pPr>
        <w:spacing w:line="360" w:lineRule="auto"/>
        <w:ind w:left="14" w:firstLine="1440"/>
        <w:rPr>
          <w:rFonts w:ascii="Times New Roman" w:eastAsia="Times New Roman" w:hAnsi="Times New Roman" w:cs="Times New Roman"/>
          <w:color w:val="000000"/>
          <w:sz w:val="26"/>
          <w:szCs w:val="26"/>
        </w:rPr>
      </w:pPr>
    </w:p>
    <w:p w14:paraId="32B2DC09" w14:textId="66AE743A" w:rsidR="00E8636B" w:rsidRPr="007B0112" w:rsidRDefault="00887891" w:rsidP="00970F5A">
      <w:pPr>
        <w:spacing w:line="360" w:lineRule="auto"/>
        <w:ind w:left="14" w:firstLine="1440"/>
        <w:rPr>
          <w:rFonts w:ascii="Times New Roman" w:eastAsia="Times New Roman" w:hAnsi="Times New Roman" w:cs="Times New Roman"/>
          <w:color w:val="000000"/>
          <w:sz w:val="26"/>
          <w:szCs w:val="26"/>
        </w:rPr>
      </w:pPr>
      <w:r w:rsidRPr="007B0112">
        <w:rPr>
          <w:rFonts w:ascii="Times New Roman" w:eastAsia="Times New Roman" w:hAnsi="Times New Roman" w:cs="Times New Roman"/>
          <w:color w:val="000000"/>
          <w:sz w:val="26"/>
          <w:szCs w:val="26"/>
        </w:rPr>
        <w:t xml:space="preserve">The ALJ stated that </w:t>
      </w:r>
      <w:r w:rsidR="00E8636B" w:rsidRPr="00E8636B">
        <w:rPr>
          <w:rFonts w:ascii="Times New Roman" w:eastAsia="Times New Roman" w:hAnsi="Times New Roman" w:cs="Times New Roman"/>
          <w:color w:val="000000"/>
          <w:sz w:val="26"/>
          <w:szCs w:val="26"/>
        </w:rPr>
        <w:t>PAWC requested permission to accrue AFUDC on post-acquisition improvements that are not included in a DSIC.  PAWC also request</w:t>
      </w:r>
      <w:r w:rsidR="00D87B37" w:rsidRPr="007B0112">
        <w:rPr>
          <w:rFonts w:ascii="Times New Roman" w:eastAsia="Times New Roman" w:hAnsi="Times New Roman" w:cs="Times New Roman"/>
          <w:color w:val="000000"/>
          <w:sz w:val="26"/>
          <w:szCs w:val="26"/>
        </w:rPr>
        <w:t>ed</w:t>
      </w:r>
      <w:r w:rsidR="00E8636B" w:rsidRPr="00E8636B">
        <w:rPr>
          <w:rFonts w:ascii="Times New Roman" w:eastAsia="Times New Roman" w:hAnsi="Times New Roman" w:cs="Times New Roman"/>
          <w:color w:val="000000"/>
          <w:sz w:val="26"/>
          <w:szCs w:val="26"/>
        </w:rPr>
        <w:t xml:space="preserve"> permission to defer depreciation on post-acquisition improvements that are not included in a DSIC.  </w:t>
      </w:r>
      <w:r w:rsidR="00FE6B8C" w:rsidRPr="007B0112">
        <w:rPr>
          <w:rFonts w:ascii="Times New Roman" w:eastAsia="Times New Roman" w:hAnsi="Times New Roman" w:cs="Times New Roman"/>
          <w:i/>
          <w:iCs/>
          <w:color w:val="000000"/>
          <w:sz w:val="26"/>
          <w:szCs w:val="26"/>
        </w:rPr>
        <w:t>Id</w:t>
      </w:r>
      <w:r w:rsidR="00FE6B8C" w:rsidRPr="007B0112">
        <w:rPr>
          <w:rFonts w:ascii="Times New Roman" w:eastAsia="Times New Roman" w:hAnsi="Times New Roman" w:cs="Times New Roman"/>
          <w:color w:val="000000"/>
          <w:sz w:val="26"/>
          <w:szCs w:val="26"/>
        </w:rPr>
        <w:t xml:space="preserve">. (citing PAWC St. 1 at 4-5).  </w:t>
      </w:r>
      <w:r w:rsidR="00E8636B" w:rsidRPr="00E8636B">
        <w:rPr>
          <w:rFonts w:ascii="Times New Roman" w:eastAsia="Times New Roman" w:hAnsi="Times New Roman" w:cs="Times New Roman"/>
          <w:color w:val="000000"/>
          <w:sz w:val="26"/>
          <w:szCs w:val="26"/>
        </w:rPr>
        <w:t xml:space="preserve">PAWC </w:t>
      </w:r>
      <w:r w:rsidR="00262296" w:rsidRPr="007B0112">
        <w:rPr>
          <w:rFonts w:ascii="Times New Roman" w:eastAsia="Times New Roman" w:hAnsi="Times New Roman" w:cs="Times New Roman"/>
          <w:color w:val="000000"/>
          <w:sz w:val="26"/>
          <w:szCs w:val="26"/>
        </w:rPr>
        <w:t>asserted</w:t>
      </w:r>
      <w:r w:rsidR="00E8636B" w:rsidRPr="00E8636B">
        <w:rPr>
          <w:rFonts w:ascii="Times New Roman" w:eastAsia="Times New Roman" w:hAnsi="Times New Roman" w:cs="Times New Roman"/>
          <w:color w:val="000000"/>
          <w:sz w:val="26"/>
          <w:szCs w:val="26"/>
        </w:rPr>
        <w:t xml:space="preserve"> that the Settlement acknowledges that PAWC may, in the first base rate case that includes the Royersford System, include the transaction and closing costs incurred in this proceeding.  </w:t>
      </w:r>
      <w:r w:rsidR="00262296" w:rsidRPr="007B0112">
        <w:rPr>
          <w:rFonts w:ascii="Times New Roman" w:eastAsia="Times New Roman" w:hAnsi="Times New Roman" w:cs="Times New Roman"/>
          <w:color w:val="000000"/>
          <w:sz w:val="26"/>
          <w:szCs w:val="26"/>
        </w:rPr>
        <w:t xml:space="preserve">According to </w:t>
      </w:r>
      <w:r w:rsidR="00E8636B" w:rsidRPr="00E8636B">
        <w:rPr>
          <w:rFonts w:ascii="Times New Roman" w:eastAsia="Times New Roman" w:hAnsi="Times New Roman" w:cs="Times New Roman"/>
          <w:color w:val="000000"/>
          <w:sz w:val="26"/>
          <w:szCs w:val="26"/>
        </w:rPr>
        <w:t>PAWC</w:t>
      </w:r>
      <w:r w:rsidR="00262296" w:rsidRPr="007B0112">
        <w:rPr>
          <w:rFonts w:ascii="Times New Roman" w:eastAsia="Times New Roman" w:hAnsi="Times New Roman" w:cs="Times New Roman"/>
          <w:color w:val="000000"/>
          <w:sz w:val="26"/>
          <w:szCs w:val="26"/>
        </w:rPr>
        <w:t>,</w:t>
      </w:r>
      <w:r w:rsidR="00E8636B" w:rsidRPr="00E8636B">
        <w:rPr>
          <w:rFonts w:ascii="Times New Roman" w:eastAsia="Times New Roman" w:hAnsi="Times New Roman" w:cs="Times New Roman"/>
          <w:color w:val="000000"/>
          <w:sz w:val="26"/>
          <w:szCs w:val="26"/>
        </w:rPr>
        <w:t xml:space="preserve"> the Settlement is in the public interest because it makes clear that the other Joint Petitioners do not oppose these requests and they reserve their rights to litigate their positions fully in future rate cases.  </w:t>
      </w:r>
      <w:r w:rsidR="00FE6B8C" w:rsidRPr="007B0112">
        <w:rPr>
          <w:rFonts w:ascii="Times New Roman" w:eastAsia="Times New Roman" w:hAnsi="Times New Roman" w:cs="Times New Roman"/>
          <w:color w:val="000000"/>
          <w:sz w:val="26"/>
          <w:szCs w:val="26"/>
        </w:rPr>
        <w:t>R.D. at 40</w:t>
      </w:r>
      <w:r w:rsidR="00E8636B" w:rsidRPr="00E8636B">
        <w:rPr>
          <w:rFonts w:ascii="Times New Roman" w:eastAsia="Times New Roman" w:hAnsi="Times New Roman" w:cs="Times New Roman"/>
          <w:color w:val="000000"/>
          <w:sz w:val="26"/>
          <w:szCs w:val="26"/>
        </w:rPr>
        <w:t xml:space="preserve"> (</w:t>
      </w:r>
      <w:r w:rsidR="00FE6B8C" w:rsidRPr="007B0112">
        <w:rPr>
          <w:rFonts w:ascii="Times New Roman" w:eastAsia="Times New Roman" w:hAnsi="Times New Roman" w:cs="Times New Roman"/>
          <w:color w:val="000000"/>
          <w:sz w:val="26"/>
          <w:szCs w:val="26"/>
        </w:rPr>
        <w:t xml:space="preserve">citing </w:t>
      </w:r>
      <w:r w:rsidR="00E8636B" w:rsidRPr="00E8636B">
        <w:rPr>
          <w:rFonts w:ascii="Times New Roman" w:eastAsia="Times New Roman" w:hAnsi="Times New Roman" w:cs="Times New Roman"/>
          <w:color w:val="000000"/>
          <w:sz w:val="26"/>
          <w:szCs w:val="26"/>
        </w:rPr>
        <w:t>PAWC Statement in Support at</w:t>
      </w:r>
      <w:r w:rsidR="00970F5A">
        <w:rPr>
          <w:rFonts w:ascii="Times New Roman" w:eastAsia="Times New Roman" w:hAnsi="Times New Roman" w:cs="Times New Roman"/>
          <w:color w:val="000000"/>
          <w:sz w:val="26"/>
          <w:szCs w:val="26"/>
        </w:rPr>
        <w:t> </w:t>
      </w:r>
      <w:r w:rsidR="00E8636B" w:rsidRPr="00E8636B">
        <w:rPr>
          <w:rFonts w:ascii="Times New Roman" w:eastAsia="Times New Roman" w:hAnsi="Times New Roman" w:cs="Times New Roman"/>
          <w:color w:val="000000"/>
          <w:sz w:val="26"/>
          <w:szCs w:val="26"/>
        </w:rPr>
        <w:t>28</w:t>
      </w:r>
      <w:r w:rsidR="00510C44">
        <w:rPr>
          <w:rFonts w:ascii="Times New Roman" w:eastAsia="Times New Roman" w:hAnsi="Times New Roman" w:cs="Times New Roman"/>
          <w:color w:val="000000"/>
          <w:sz w:val="26"/>
          <w:szCs w:val="26"/>
        </w:rPr>
        <w:noBreakHyphen/>
      </w:r>
      <w:r w:rsidR="00E8636B" w:rsidRPr="00E8636B">
        <w:rPr>
          <w:rFonts w:ascii="Times New Roman" w:eastAsia="Times New Roman" w:hAnsi="Times New Roman" w:cs="Times New Roman"/>
          <w:color w:val="000000"/>
          <w:sz w:val="26"/>
          <w:szCs w:val="26"/>
        </w:rPr>
        <w:t xml:space="preserve">29).  </w:t>
      </w:r>
    </w:p>
    <w:p w14:paraId="2704F082" w14:textId="038B61DA" w:rsidR="00D405AD" w:rsidRPr="007B0112" w:rsidRDefault="00D405AD" w:rsidP="00970F5A">
      <w:pPr>
        <w:spacing w:line="360" w:lineRule="auto"/>
        <w:ind w:left="14" w:firstLine="1440"/>
        <w:rPr>
          <w:rFonts w:ascii="Times New Roman" w:eastAsia="Times New Roman" w:hAnsi="Times New Roman" w:cs="Times New Roman"/>
          <w:color w:val="000000"/>
          <w:sz w:val="26"/>
          <w:szCs w:val="26"/>
        </w:rPr>
      </w:pPr>
    </w:p>
    <w:p w14:paraId="1535ABA2" w14:textId="4DE9EB87" w:rsidR="00D405AD" w:rsidRPr="007B0112" w:rsidRDefault="00D403D3" w:rsidP="00970F5A">
      <w:pPr>
        <w:spacing w:line="360" w:lineRule="auto"/>
        <w:ind w:left="14" w:firstLine="1440"/>
        <w:rPr>
          <w:rFonts w:ascii="Times New Roman" w:eastAsia="Times New Roman" w:hAnsi="Times New Roman" w:cs="Times New Roman"/>
          <w:color w:val="000000"/>
          <w:sz w:val="26"/>
          <w:szCs w:val="26"/>
        </w:rPr>
      </w:pPr>
      <w:r w:rsidRPr="007B0112">
        <w:rPr>
          <w:rFonts w:ascii="Times New Roman" w:eastAsia="Times New Roman" w:hAnsi="Times New Roman" w:cs="Times New Roman"/>
          <w:color w:val="000000"/>
          <w:sz w:val="26"/>
          <w:szCs w:val="26"/>
        </w:rPr>
        <w:t>The ALJ noted th</w:t>
      </w:r>
      <w:r w:rsidR="00784106" w:rsidRPr="007B0112">
        <w:rPr>
          <w:rFonts w:ascii="Times New Roman" w:eastAsia="Times New Roman" w:hAnsi="Times New Roman" w:cs="Times New Roman"/>
          <w:color w:val="000000"/>
          <w:sz w:val="26"/>
          <w:szCs w:val="26"/>
        </w:rPr>
        <w:t xml:space="preserve">at I&amp;E and the OCA did not contest the Settlement provisions pertaining to these issues </w:t>
      </w:r>
      <w:r w:rsidR="008261E5" w:rsidRPr="007B0112">
        <w:rPr>
          <w:rFonts w:ascii="Times New Roman" w:eastAsia="Times New Roman" w:hAnsi="Times New Roman" w:cs="Times New Roman"/>
          <w:color w:val="000000"/>
          <w:sz w:val="26"/>
          <w:szCs w:val="26"/>
        </w:rPr>
        <w:t xml:space="preserve">and </w:t>
      </w:r>
      <w:r w:rsidR="008F3069" w:rsidRPr="007B0112">
        <w:rPr>
          <w:rFonts w:ascii="Times New Roman" w:eastAsia="Times New Roman" w:hAnsi="Times New Roman" w:cs="Times New Roman"/>
          <w:color w:val="000000"/>
          <w:sz w:val="26"/>
          <w:szCs w:val="26"/>
        </w:rPr>
        <w:t xml:space="preserve">that they </w:t>
      </w:r>
      <w:r w:rsidR="008261E5" w:rsidRPr="007B0112">
        <w:rPr>
          <w:rFonts w:ascii="Times New Roman" w:eastAsia="Times New Roman" w:hAnsi="Times New Roman" w:cs="Times New Roman"/>
          <w:color w:val="000000"/>
          <w:sz w:val="26"/>
          <w:szCs w:val="26"/>
        </w:rPr>
        <w:t xml:space="preserve">asserted the right to address them </w:t>
      </w:r>
      <w:r w:rsidR="00673B6E" w:rsidRPr="007B0112">
        <w:rPr>
          <w:rFonts w:ascii="Times New Roman" w:eastAsia="Times New Roman" w:hAnsi="Times New Roman" w:cs="Times New Roman"/>
          <w:color w:val="000000"/>
          <w:sz w:val="26"/>
          <w:szCs w:val="26"/>
        </w:rPr>
        <w:t xml:space="preserve">in future rate cases.  R.D. at 40-41. </w:t>
      </w:r>
    </w:p>
    <w:p w14:paraId="21FD7349" w14:textId="77777777" w:rsidR="007B0112" w:rsidRPr="00E8636B" w:rsidRDefault="007B0112" w:rsidP="00970F5A">
      <w:pPr>
        <w:spacing w:line="360" w:lineRule="auto"/>
        <w:ind w:left="14" w:firstLine="1440"/>
        <w:rPr>
          <w:rFonts w:ascii="Times New Roman" w:eastAsia="Times New Roman" w:hAnsi="Times New Roman" w:cs="Times New Roman"/>
          <w:color w:val="000000"/>
          <w:sz w:val="26"/>
          <w:szCs w:val="26"/>
        </w:rPr>
      </w:pPr>
    </w:p>
    <w:p w14:paraId="02F272FE" w14:textId="14089748" w:rsidR="005C42F8" w:rsidRPr="00BF2943" w:rsidRDefault="007B0112" w:rsidP="00510C44">
      <w:pPr>
        <w:keepNext/>
        <w:spacing w:line="36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ab/>
      </w:r>
      <w:r w:rsidRPr="00BF2943">
        <w:rPr>
          <w:rFonts w:ascii="Times New Roman" w:eastAsia="Times New Roman" w:hAnsi="Times New Roman" w:cs="Times New Roman"/>
          <w:b/>
          <w:bCs/>
          <w:color w:val="000000"/>
          <w:sz w:val="26"/>
          <w:szCs w:val="26"/>
        </w:rPr>
        <w:t>8.</w:t>
      </w:r>
      <w:r w:rsidRPr="00BF2943">
        <w:rPr>
          <w:rFonts w:ascii="Times New Roman" w:eastAsia="Times New Roman" w:hAnsi="Times New Roman" w:cs="Times New Roman"/>
          <w:b/>
          <w:bCs/>
          <w:color w:val="000000"/>
          <w:sz w:val="26"/>
          <w:szCs w:val="26"/>
        </w:rPr>
        <w:tab/>
        <w:t>Low Income Customer Outreach</w:t>
      </w:r>
    </w:p>
    <w:p w14:paraId="28A05137" w14:textId="77777777" w:rsidR="007B0112" w:rsidRPr="00077D2E" w:rsidRDefault="007B0112" w:rsidP="00510C44">
      <w:pPr>
        <w:keepNext/>
        <w:spacing w:line="360" w:lineRule="auto"/>
        <w:rPr>
          <w:rFonts w:ascii="Times New Roman" w:eastAsia="Times New Roman" w:hAnsi="Times New Roman" w:cs="Times New Roman"/>
          <w:color w:val="000000"/>
          <w:sz w:val="26"/>
          <w:szCs w:val="26"/>
        </w:rPr>
      </w:pPr>
    </w:p>
    <w:p w14:paraId="69F046AA" w14:textId="10F58ACF" w:rsidR="0072341C" w:rsidRDefault="0072341C" w:rsidP="00510C44">
      <w:pPr>
        <w:keepNext/>
        <w:spacing w:line="360" w:lineRule="auto"/>
        <w:ind w:firstLine="1440"/>
        <w:rPr>
          <w:rFonts w:ascii="Times New Roman" w:eastAsia="Calibri" w:hAnsi="Times New Roman" w:cs="Times New Roman"/>
          <w:iCs/>
          <w:sz w:val="26"/>
          <w:szCs w:val="26"/>
        </w:rPr>
      </w:pPr>
      <w:r w:rsidRPr="00BF2943">
        <w:rPr>
          <w:rFonts w:ascii="Times New Roman" w:eastAsia="Calibri" w:hAnsi="Times New Roman" w:cs="Times New Roman"/>
          <w:iCs/>
          <w:sz w:val="26"/>
          <w:szCs w:val="26"/>
        </w:rPr>
        <w:t>The ALJ summarize</w:t>
      </w:r>
      <w:r w:rsidR="00AC6C02" w:rsidRPr="00BF2943">
        <w:rPr>
          <w:rFonts w:ascii="Times New Roman" w:eastAsia="Calibri" w:hAnsi="Times New Roman" w:cs="Times New Roman"/>
          <w:iCs/>
          <w:sz w:val="26"/>
          <w:szCs w:val="26"/>
        </w:rPr>
        <w:t xml:space="preserve">d that </w:t>
      </w:r>
      <w:r w:rsidRPr="0072341C">
        <w:rPr>
          <w:rFonts w:ascii="Times New Roman" w:eastAsia="Calibri" w:hAnsi="Times New Roman" w:cs="Times New Roman"/>
          <w:iCs/>
          <w:sz w:val="26"/>
          <w:szCs w:val="26"/>
        </w:rPr>
        <w:t xml:space="preserve">PAWC has agreed to provide information about its </w:t>
      </w:r>
      <w:proofErr w:type="gramStart"/>
      <w:r w:rsidRPr="0072341C">
        <w:rPr>
          <w:rFonts w:ascii="Times New Roman" w:eastAsia="Calibri" w:hAnsi="Times New Roman" w:cs="Times New Roman"/>
          <w:iCs/>
          <w:sz w:val="26"/>
          <w:szCs w:val="26"/>
        </w:rPr>
        <w:t>low income</w:t>
      </w:r>
      <w:proofErr w:type="gramEnd"/>
      <w:r w:rsidRPr="0072341C">
        <w:rPr>
          <w:rFonts w:ascii="Times New Roman" w:eastAsia="Calibri" w:hAnsi="Times New Roman" w:cs="Times New Roman"/>
          <w:iCs/>
          <w:sz w:val="26"/>
          <w:szCs w:val="26"/>
        </w:rPr>
        <w:t xml:space="preserve"> programs in a welcome letter to the Borough customers and in a bill insert in the first billing cycle following closing. </w:t>
      </w:r>
      <w:r w:rsidR="00287517" w:rsidRPr="00BF2943">
        <w:rPr>
          <w:rFonts w:ascii="Times New Roman" w:eastAsia="Calibri" w:hAnsi="Times New Roman" w:cs="Times New Roman"/>
          <w:iCs/>
          <w:sz w:val="26"/>
          <w:szCs w:val="26"/>
        </w:rPr>
        <w:t xml:space="preserve"> </w:t>
      </w:r>
      <w:r w:rsidR="00A523CF" w:rsidRPr="00BF2943">
        <w:rPr>
          <w:rFonts w:ascii="Times New Roman" w:eastAsia="Calibri" w:hAnsi="Times New Roman" w:cs="Times New Roman"/>
          <w:iCs/>
          <w:sz w:val="26"/>
          <w:szCs w:val="26"/>
        </w:rPr>
        <w:t xml:space="preserve">In response to this Settlement provision, the </w:t>
      </w:r>
      <w:r w:rsidRPr="0072341C">
        <w:rPr>
          <w:rFonts w:ascii="Times New Roman" w:eastAsia="Calibri" w:hAnsi="Times New Roman" w:cs="Times New Roman"/>
          <w:iCs/>
          <w:sz w:val="26"/>
          <w:szCs w:val="26"/>
        </w:rPr>
        <w:t>OCA state</w:t>
      </w:r>
      <w:r w:rsidR="00A523CF" w:rsidRPr="00BF2943">
        <w:rPr>
          <w:rFonts w:ascii="Times New Roman" w:eastAsia="Calibri" w:hAnsi="Times New Roman" w:cs="Times New Roman"/>
          <w:iCs/>
          <w:sz w:val="26"/>
          <w:szCs w:val="26"/>
        </w:rPr>
        <w:t>d</w:t>
      </w:r>
      <w:r w:rsidRPr="0072341C">
        <w:rPr>
          <w:rFonts w:ascii="Times New Roman" w:eastAsia="Calibri" w:hAnsi="Times New Roman" w:cs="Times New Roman"/>
          <w:iCs/>
          <w:sz w:val="26"/>
          <w:szCs w:val="26"/>
        </w:rPr>
        <w:t xml:space="preserve"> that the information will describe the available programs, eligibility requirements and contact information for PAWC.  </w:t>
      </w:r>
      <w:r w:rsidR="0011328D" w:rsidRPr="00BF2943">
        <w:rPr>
          <w:rFonts w:ascii="Times New Roman" w:eastAsia="Calibri" w:hAnsi="Times New Roman" w:cs="Times New Roman"/>
          <w:iCs/>
          <w:sz w:val="26"/>
          <w:szCs w:val="26"/>
        </w:rPr>
        <w:t xml:space="preserve">The </w:t>
      </w:r>
      <w:r w:rsidRPr="0072341C">
        <w:rPr>
          <w:rFonts w:ascii="Times New Roman" w:eastAsia="Calibri" w:hAnsi="Times New Roman" w:cs="Times New Roman"/>
          <w:iCs/>
          <w:sz w:val="26"/>
          <w:szCs w:val="26"/>
        </w:rPr>
        <w:t>OCA also note</w:t>
      </w:r>
      <w:r w:rsidR="0011328D" w:rsidRPr="00BF2943">
        <w:rPr>
          <w:rFonts w:ascii="Times New Roman" w:eastAsia="Calibri" w:hAnsi="Times New Roman" w:cs="Times New Roman"/>
          <w:iCs/>
          <w:sz w:val="26"/>
          <w:szCs w:val="26"/>
        </w:rPr>
        <w:t>d</w:t>
      </w:r>
      <w:r w:rsidRPr="0072341C">
        <w:rPr>
          <w:rFonts w:ascii="Times New Roman" w:eastAsia="Calibri" w:hAnsi="Times New Roman" w:cs="Times New Roman"/>
          <w:iCs/>
          <w:sz w:val="26"/>
          <w:szCs w:val="26"/>
        </w:rPr>
        <w:t xml:space="preserve"> that PAWC </w:t>
      </w:r>
      <w:r w:rsidRPr="0072341C">
        <w:rPr>
          <w:rFonts w:ascii="Times New Roman" w:eastAsia="Calibri" w:hAnsi="Times New Roman" w:cs="Times New Roman"/>
          <w:iCs/>
          <w:sz w:val="26"/>
          <w:szCs w:val="26"/>
        </w:rPr>
        <w:lastRenderedPageBreak/>
        <w:t>agreed to ongoing</w:t>
      </w:r>
      <w:r w:rsidR="006054A1">
        <w:rPr>
          <w:rFonts w:ascii="Times New Roman" w:eastAsia="Calibri" w:hAnsi="Times New Roman" w:cs="Times New Roman"/>
          <w:iCs/>
          <w:sz w:val="26"/>
          <w:szCs w:val="26"/>
        </w:rPr>
        <w:t xml:space="preserve">, </w:t>
      </w:r>
      <w:r w:rsidRPr="0072341C">
        <w:rPr>
          <w:rFonts w:ascii="Times New Roman" w:eastAsia="Calibri" w:hAnsi="Times New Roman" w:cs="Times New Roman"/>
          <w:iCs/>
          <w:sz w:val="26"/>
          <w:szCs w:val="26"/>
        </w:rPr>
        <w:t xml:space="preserve">targeted outreach to its Royersford-area customers regarding its </w:t>
      </w:r>
      <w:proofErr w:type="gramStart"/>
      <w:r w:rsidRPr="0072341C">
        <w:rPr>
          <w:rFonts w:ascii="Times New Roman" w:eastAsia="Calibri" w:hAnsi="Times New Roman" w:cs="Times New Roman"/>
          <w:iCs/>
          <w:sz w:val="26"/>
          <w:szCs w:val="26"/>
        </w:rPr>
        <w:t>low income</w:t>
      </w:r>
      <w:proofErr w:type="gramEnd"/>
      <w:r w:rsidRPr="0072341C">
        <w:rPr>
          <w:rFonts w:ascii="Times New Roman" w:eastAsia="Calibri" w:hAnsi="Times New Roman" w:cs="Times New Roman"/>
          <w:iCs/>
          <w:sz w:val="26"/>
          <w:szCs w:val="26"/>
        </w:rPr>
        <w:t xml:space="preserve"> program.  </w:t>
      </w:r>
      <w:r w:rsidR="0011328D" w:rsidRPr="00BF2943">
        <w:rPr>
          <w:rFonts w:ascii="Times New Roman" w:eastAsia="Calibri" w:hAnsi="Times New Roman" w:cs="Times New Roman"/>
          <w:iCs/>
          <w:sz w:val="26"/>
          <w:szCs w:val="26"/>
        </w:rPr>
        <w:t xml:space="preserve">According to the OCA, </w:t>
      </w:r>
      <w:r w:rsidRPr="0072341C">
        <w:rPr>
          <w:rFonts w:ascii="Times New Roman" w:eastAsia="Calibri" w:hAnsi="Times New Roman" w:cs="Times New Roman"/>
          <w:iCs/>
          <w:sz w:val="26"/>
          <w:szCs w:val="26"/>
        </w:rPr>
        <w:t xml:space="preserve">this provision is reasonable and will provide timely information that may be helpful to some of the Royersford customers.  </w:t>
      </w:r>
      <w:r w:rsidR="0011328D" w:rsidRPr="00BF2943">
        <w:rPr>
          <w:rFonts w:ascii="Times New Roman" w:eastAsia="Calibri" w:hAnsi="Times New Roman" w:cs="Times New Roman"/>
          <w:iCs/>
          <w:sz w:val="26"/>
          <w:szCs w:val="26"/>
        </w:rPr>
        <w:t xml:space="preserve">R.D. at 41 </w:t>
      </w:r>
      <w:r w:rsidRPr="0072341C">
        <w:rPr>
          <w:rFonts w:ascii="Times New Roman" w:eastAsia="Calibri" w:hAnsi="Times New Roman" w:cs="Times New Roman"/>
          <w:iCs/>
          <w:sz w:val="26"/>
          <w:szCs w:val="26"/>
        </w:rPr>
        <w:t>(</w:t>
      </w:r>
      <w:r w:rsidR="0011328D" w:rsidRPr="00BF2943">
        <w:rPr>
          <w:rFonts w:ascii="Times New Roman" w:eastAsia="Calibri" w:hAnsi="Times New Roman" w:cs="Times New Roman"/>
          <w:iCs/>
          <w:sz w:val="26"/>
          <w:szCs w:val="26"/>
        </w:rPr>
        <w:t xml:space="preserve">citing </w:t>
      </w:r>
      <w:r w:rsidRPr="0072341C">
        <w:rPr>
          <w:rFonts w:ascii="Times New Roman" w:eastAsia="Calibri" w:hAnsi="Times New Roman" w:cs="Times New Roman"/>
          <w:iCs/>
          <w:sz w:val="26"/>
          <w:szCs w:val="26"/>
        </w:rPr>
        <w:t xml:space="preserve">OCA Statement in Support at 5).  </w:t>
      </w:r>
      <w:r w:rsidR="003C0CED" w:rsidRPr="00BF2943">
        <w:rPr>
          <w:rFonts w:ascii="Times New Roman" w:eastAsia="Calibri" w:hAnsi="Times New Roman" w:cs="Times New Roman"/>
          <w:iCs/>
          <w:sz w:val="26"/>
          <w:szCs w:val="26"/>
        </w:rPr>
        <w:t xml:space="preserve">In addition, the ALJ cited to I&amp;E’s </w:t>
      </w:r>
      <w:r w:rsidR="00571933" w:rsidRPr="00BF2943">
        <w:rPr>
          <w:rFonts w:ascii="Times New Roman" w:eastAsia="Calibri" w:hAnsi="Times New Roman" w:cs="Times New Roman"/>
          <w:iCs/>
          <w:sz w:val="26"/>
          <w:szCs w:val="26"/>
        </w:rPr>
        <w:t>assertion that this term of the Sett</w:t>
      </w:r>
      <w:r w:rsidR="008611D6" w:rsidRPr="00BF2943">
        <w:rPr>
          <w:rFonts w:ascii="Times New Roman" w:eastAsia="Calibri" w:hAnsi="Times New Roman" w:cs="Times New Roman"/>
          <w:iCs/>
          <w:sz w:val="26"/>
          <w:szCs w:val="26"/>
        </w:rPr>
        <w:t xml:space="preserve">lement </w:t>
      </w:r>
      <w:r w:rsidR="00B05109" w:rsidRPr="00BF2943">
        <w:rPr>
          <w:rFonts w:ascii="Times New Roman" w:eastAsia="Calibri" w:hAnsi="Times New Roman" w:cs="Times New Roman"/>
          <w:iCs/>
          <w:sz w:val="26"/>
          <w:szCs w:val="26"/>
        </w:rPr>
        <w:t>is in the public interest</w:t>
      </w:r>
      <w:r w:rsidR="00BF2943" w:rsidRPr="00BF2943">
        <w:rPr>
          <w:rFonts w:ascii="Times New Roman" w:eastAsia="Calibri" w:hAnsi="Times New Roman" w:cs="Times New Roman"/>
          <w:iCs/>
          <w:sz w:val="26"/>
          <w:szCs w:val="26"/>
        </w:rPr>
        <w:t xml:space="preserve">.  </w:t>
      </w:r>
      <w:r w:rsidR="00BF2943" w:rsidRPr="00D23F57">
        <w:rPr>
          <w:rFonts w:ascii="Times New Roman" w:eastAsia="Calibri" w:hAnsi="Times New Roman" w:cs="Times New Roman"/>
          <w:i/>
          <w:sz w:val="26"/>
          <w:szCs w:val="26"/>
        </w:rPr>
        <w:t>Id.</w:t>
      </w:r>
      <w:r w:rsidR="00BF2943" w:rsidRPr="00BF2943">
        <w:rPr>
          <w:rFonts w:ascii="Times New Roman" w:eastAsia="Calibri" w:hAnsi="Times New Roman" w:cs="Times New Roman"/>
          <w:iCs/>
          <w:sz w:val="26"/>
          <w:szCs w:val="26"/>
        </w:rPr>
        <w:t xml:space="preserve"> (citing I&amp;E Statement in Support at 13-14).  </w:t>
      </w:r>
    </w:p>
    <w:p w14:paraId="4AA2BF97" w14:textId="1A762472" w:rsidR="00840BED" w:rsidRDefault="00840BED" w:rsidP="00C9169D">
      <w:pPr>
        <w:spacing w:line="360" w:lineRule="auto"/>
        <w:rPr>
          <w:rFonts w:ascii="Times New Roman" w:eastAsia="Times New Roman" w:hAnsi="Times New Roman" w:cs="Times New Roman"/>
          <w:color w:val="000000"/>
          <w:sz w:val="26"/>
          <w:szCs w:val="26"/>
        </w:rPr>
      </w:pPr>
    </w:p>
    <w:p w14:paraId="39ED99E9" w14:textId="62E3723F" w:rsidR="00D20E37" w:rsidRPr="00B2010A" w:rsidRDefault="00B2010A" w:rsidP="00510C44">
      <w:pPr>
        <w:keepNext/>
        <w:spacing w:line="360" w:lineRule="auto"/>
        <w:ind w:firstLine="720"/>
        <w:rPr>
          <w:rFonts w:ascii="Times New Roman" w:eastAsia="Times New Roman" w:hAnsi="Times New Roman" w:cs="Times New Roman"/>
          <w:b/>
          <w:bCs/>
          <w:color w:val="000000"/>
          <w:sz w:val="26"/>
          <w:szCs w:val="26"/>
        </w:rPr>
      </w:pPr>
      <w:r w:rsidRPr="00B2010A">
        <w:rPr>
          <w:rFonts w:ascii="Times New Roman" w:eastAsia="Times New Roman" w:hAnsi="Times New Roman" w:cs="Times New Roman"/>
          <w:b/>
          <w:bCs/>
          <w:color w:val="000000"/>
          <w:sz w:val="26"/>
          <w:szCs w:val="26"/>
        </w:rPr>
        <w:t>9.</w:t>
      </w:r>
      <w:r w:rsidRPr="00B2010A">
        <w:rPr>
          <w:rFonts w:ascii="Times New Roman" w:eastAsia="Times New Roman" w:hAnsi="Times New Roman" w:cs="Times New Roman"/>
          <w:b/>
          <w:bCs/>
          <w:color w:val="000000"/>
          <w:sz w:val="26"/>
          <w:szCs w:val="26"/>
        </w:rPr>
        <w:tab/>
        <w:t>ALJ’s Recommendation</w:t>
      </w:r>
    </w:p>
    <w:p w14:paraId="1C143E40" w14:textId="77777777" w:rsidR="00D20E37" w:rsidRDefault="00D20E37" w:rsidP="00510C44">
      <w:pPr>
        <w:keepNext/>
        <w:spacing w:line="360" w:lineRule="auto"/>
        <w:ind w:firstLine="1440"/>
        <w:rPr>
          <w:rFonts w:ascii="Times New Roman" w:eastAsia="Times New Roman" w:hAnsi="Times New Roman" w:cs="Times New Roman"/>
          <w:color w:val="000000"/>
          <w:sz w:val="26"/>
          <w:szCs w:val="26"/>
        </w:rPr>
      </w:pPr>
    </w:p>
    <w:p w14:paraId="1D379645" w14:textId="6B119763" w:rsidR="00DA3CF8" w:rsidRDefault="005D6A9E" w:rsidP="00510C44">
      <w:pPr>
        <w:keepNext/>
        <w:spacing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ALJ reasoned that when v</w:t>
      </w:r>
      <w:r w:rsidR="006228B5" w:rsidRPr="006228B5">
        <w:rPr>
          <w:rFonts w:ascii="Times New Roman" w:eastAsia="Times New Roman" w:hAnsi="Times New Roman" w:cs="Times New Roman"/>
          <w:color w:val="000000"/>
          <w:sz w:val="26"/>
          <w:szCs w:val="26"/>
        </w:rPr>
        <w:t xml:space="preserve">iewed in totality, the Settlement represents a fair compromise of </w:t>
      </w:r>
      <w:r w:rsidR="003F5A96">
        <w:rPr>
          <w:rFonts w:ascii="Times New Roman" w:eastAsia="Times New Roman" w:hAnsi="Times New Roman" w:cs="Times New Roman"/>
          <w:color w:val="000000"/>
          <w:sz w:val="26"/>
          <w:szCs w:val="26"/>
        </w:rPr>
        <w:t xml:space="preserve">the </w:t>
      </w:r>
      <w:r w:rsidR="006228B5" w:rsidRPr="006228B5">
        <w:rPr>
          <w:rFonts w:ascii="Times New Roman" w:eastAsia="Times New Roman" w:hAnsi="Times New Roman" w:cs="Times New Roman"/>
          <w:color w:val="000000"/>
          <w:sz w:val="26"/>
          <w:szCs w:val="26"/>
        </w:rPr>
        <w:t xml:space="preserve">competing views and interests and should be approved without modification.  </w:t>
      </w:r>
      <w:r w:rsidR="003F5A96">
        <w:rPr>
          <w:rFonts w:ascii="Times New Roman" w:eastAsia="Times New Roman" w:hAnsi="Times New Roman" w:cs="Times New Roman"/>
          <w:color w:val="000000"/>
          <w:sz w:val="26"/>
          <w:szCs w:val="26"/>
        </w:rPr>
        <w:t xml:space="preserve">Considering the </w:t>
      </w:r>
      <w:r w:rsidR="006228B5" w:rsidRPr="006228B5">
        <w:rPr>
          <w:rFonts w:ascii="Times New Roman" w:eastAsia="Times New Roman" w:hAnsi="Times New Roman" w:cs="Times New Roman"/>
          <w:color w:val="000000"/>
          <w:sz w:val="26"/>
          <w:szCs w:val="26"/>
        </w:rPr>
        <w:t xml:space="preserve">modifications to the </w:t>
      </w:r>
      <w:r w:rsidR="007204DF">
        <w:rPr>
          <w:rFonts w:ascii="Times New Roman" w:eastAsia="Times New Roman" w:hAnsi="Times New Roman" w:cs="Times New Roman"/>
          <w:color w:val="000000"/>
          <w:sz w:val="26"/>
          <w:szCs w:val="26"/>
        </w:rPr>
        <w:t>t</w:t>
      </w:r>
      <w:r w:rsidR="006228B5" w:rsidRPr="006228B5">
        <w:rPr>
          <w:rFonts w:ascii="Times New Roman" w:eastAsia="Times New Roman" w:hAnsi="Times New Roman" w:cs="Times New Roman"/>
          <w:color w:val="000000"/>
          <w:sz w:val="26"/>
          <w:szCs w:val="26"/>
        </w:rPr>
        <w:t xml:space="preserve">ransaction permitting the acquisition </w:t>
      </w:r>
      <w:r w:rsidR="006228B5" w:rsidRPr="006228B5">
        <w:rPr>
          <w:rFonts w:ascii="Times New Roman" w:eastAsia="Times New Roman" w:hAnsi="Times New Roman" w:cs="Times New Roman"/>
          <w:color w:val="000000" w:themeColor="text1"/>
          <w:sz w:val="26"/>
          <w:szCs w:val="26"/>
        </w:rPr>
        <w:t xml:space="preserve">of the </w:t>
      </w:r>
      <w:r w:rsidR="007204DF">
        <w:rPr>
          <w:rFonts w:ascii="Times New Roman" w:eastAsia="Times New Roman" w:hAnsi="Times New Roman" w:cs="Times New Roman"/>
          <w:color w:val="000000" w:themeColor="text1"/>
          <w:sz w:val="26"/>
          <w:szCs w:val="26"/>
        </w:rPr>
        <w:t>S</w:t>
      </w:r>
      <w:r w:rsidR="006228B5" w:rsidRPr="006228B5">
        <w:rPr>
          <w:rFonts w:ascii="Times New Roman" w:eastAsia="Times New Roman" w:hAnsi="Times New Roman" w:cs="Times New Roman"/>
          <w:color w:val="000000" w:themeColor="text1"/>
          <w:sz w:val="26"/>
          <w:szCs w:val="26"/>
        </w:rPr>
        <w:t>ystem</w:t>
      </w:r>
      <w:r w:rsidR="006228B5" w:rsidRPr="006228B5">
        <w:rPr>
          <w:rFonts w:ascii="Times New Roman" w:eastAsia="Times New Roman" w:hAnsi="Times New Roman" w:cs="Times New Roman"/>
          <w:color w:val="000000"/>
          <w:sz w:val="26"/>
          <w:szCs w:val="26"/>
        </w:rPr>
        <w:t xml:space="preserve"> by PAWC, as agreed upon in the Settlement, </w:t>
      </w:r>
      <w:r w:rsidR="007204DF">
        <w:rPr>
          <w:rFonts w:ascii="Times New Roman" w:eastAsia="Times New Roman" w:hAnsi="Times New Roman" w:cs="Times New Roman"/>
          <w:color w:val="000000"/>
          <w:sz w:val="26"/>
          <w:szCs w:val="26"/>
        </w:rPr>
        <w:t xml:space="preserve">the ALJ determined that the </w:t>
      </w:r>
      <w:r w:rsidR="006228B5" w:rsidRPr="006228B5">
        <w:rPr>
          <w:rFonts w:ascii="Times New Roman" w:eastAsia="Times New Roman" w:hAnsi="Times New Roman" w:cs="Times New Roman"/>
          <w:color w:val="000000"/>
          <w:sz w:val="26"/>
          <w:szCs w:val="26"/>
        </w:rPr>
        <w:t xml:space="preserve">provisions adequately protect the competing interests of PAWC’s existing customers and stockholders, the </w:t>
      </w:r>
      <w:r w:rsidR="006228B5" w:rsidRPr="006228B5">
        <w:rPr>
          <w:rFonts w:ascii="Times New Roman" w:eastAsia="Calibri" w:hAnsi="Times New Roman" w:cs="Times New Roman"/>
          <w:color w:val="000000"/>
          <w:sz w:val="26"/>
          <w:szCs w:val="26"/>
        </w:rPr>
        <w:t>customers in the Royersford service area</w:t>
      </w:r>
      <w:r w:rsidR="006228B5" w:rsidRPr="006228B5">
        <w:rPr>
          <w:rFonts w:ascii="Times New Roman" w:eastAsia="Times New Roman" w:hAnsi="Times New Roman" w:cs="Times New Roman"/>
          <w:color w:val="000000"/>
          <w:sz w:val="26"/>
          <w:szCs w:val="26"/>
        </w:rPr>
        <w:t xml:space="preserve"> and the general public.  </w:t>
      </w:r>
      <w:r w:rsidR="00DA3CF8">
        <w:rPr>
          <w:rFonts w:ascii="Times New Roman" w:eastAsia="Times New Roman" w:hAnsi="Times New Roman" w:cs="Times New Roman"/>
          <w:color w:val="000000"/>
          <w:sz w:val="26"/>
          <w:szCs w:val="26"/>
        </w:rPr>
        <w:t>R.D.</w:t>
      </w:r>
      <w:r w:rsidR="00E671AC">
        <w:rPr>
          <w:rFonts w:ascii="Times New Roman" w:eastAsia="Times New Roman" w:hAnsi="Times New Roman" w:cs="Times New Roman"/>
          <w:color w:val="000000"/>
          <w:sz w:val="26"/>
          <w:szCs w:val="26"/>
        </w:rPr>
        <w:t> </w:t>
      </w:r>
      <w:r w:rsidR="00DA3CF8">
        <w:rPr>
          <w:rFonts w:ascii="Times New Roman" w:eastAsia="Times New Roman" w:hAnsi="Times New Roman" w:cs="Times New Roman"/>
          <w:color w:val="000000"/>
          <w:sz w:val="26"/>
          <w:szCs w:val="26"/>
        </w:rPr>
        <w:t xml:space="preserve">at 41-42.  </w:t>
      </w:r>
    </w:p>
    <w:p w14:paraId="4C5FA33F" w14:textId="77777777" w:rsidR="00B2010A" w:rsidRDefault="00B2010A" w:rsidP="006228B5">
      <w:pPr>
        <w:spacing w:line="360" w:lineRule="auto"/>
        <w:ind w:firstLine="1440"/>
        <w:rPr>
          <w:rFonts w:ascii="Times New Roman" w:eastAsia="Times New Roman" w:hAnsi="Times New Roman" w:cs="Times New Roman"/>
          <w:color w:val="000000"/>
          <w:sz w:val="26"/>
          <w:szCs w:val="26"/>
        </w:rPr>
      </w:pPr>
    </w:p>
    <w:p w14:paraId="1DFAA0B4" w14:textId="1FC71A87" w:rsidR="006228B5" w:rsidRPr="006228B5" w:rsidRDefault="006228B5" w:rsidP="006228B5">
      <w:pPr>
        <w:spacing w:line="360" w:lineRule="auto"/>
        <w:ind w:firstLine="1440"/>
        <w:rPr>
          <w:rFonts w:ascii="Times New Roman" w:eastAsia="Times New Roman" w:hAnsi="Times New Roman" w:cs="Times New Roman"/>
          <w:sz w:val="26"/>
          <w:szCs w:val="26"/>
        </w:rPr>
      </w:pPr>
      <w:r w:rsidRPr="006228B5">
        <w:rPr>
          <w:rFonts w:ascii="Times New Roman" w:eastAsia="Times New Roman" w:hAnsi="Times New Roman" w:cs="Times New Roman"/>
          <w:color w:val="000000"/>
          <w:sz w:val="26"/>
          <w:szCs w:val="26"/>
        </w:rPr>
        <w:t xml:space="preserve">The </w:t>
      </w:r>
      <w:r w:rsidR="003528B1">
        <w:rPr>
          <w:rFonts w:ascii="Times New Roman" w:eastAsia="Times New Roman" w:hAnsi="Times New Roman" w:cs="Times New Roman"/>
          <w:color w:val="000000"/>
          <w:sz w:val="26"/>
          <w:szCs w:val="26"/>
        </w:rPr>
        <w:t xml:space="preserve">ALJ noted that </w:t>
      </w:r>
      <w:r w:rsidR="00E472A0">
        <w:rPr>
          <w:rFonts w:ascii="Times New Roman" w:eastAsia="Times New Roman" w:hAnsi="Times New Roman" w:cs="Times New Roman"/>
          <w:color w:val="000000"/>
          <w:sz w:val="26"/>
          <w:szCs w:val="26"/>
        </w:rPr>
        <w:t xml:space="preserve">the </w:t>
      </w:r>
      <w:r w:rsidRPr="006228B5">
        <w:rPr>
          <w:rFonts w:ascii="Times New Roman" w:eastAsia="Times New Roman" w:hAnsi="Times New Roman" w:cs="Times New Roman"/>
          <w:color w:val="000000"/>
          <w:sz w:val="26"/>
          <w:szCs w:val="26"/>
        </w:rPr>
        <w:t xml:space="preserve">agreed upon ratemaking rate base value is within the range of proposals made by the </w:t>
      </w:r>
      <w:r w:rsidR="00CD05AA">
        <w:rPr>
          <w:rFonts w:ascii="Times New Roman" w:eastAsia="Times New Roman" w:hAnsi="Times New Roman" w:cs="Times New Roman"/>
          <w:color w:val="000000"/>
          <w:sz w:val="26"/>
          <w:szCs w:val="26"/>
        </w:rPr>
        <w:t>P</w:t>
      </w:r>
      <w:r w:rsidRPr="006228B5">
        <w:rPr>
          <w:rFonts w:ascii="Times New Roman" w:eastAsia="Times New Roman" w:hAnsi="Times New Roman" w:cs="Times New Roman"/>
          <w:color w:val="000000"/>
          <w:sz w:val="26"/>
          <w:szCs w:val="26"/>
        </w:rPr>
        <w:t xml:space="preserve">arties during the litigation and is consistent with the mandates of Section 1329.  Importantly, the rate treatment of </w:t>
      </w:r>
      <w:r w:rsidR="008044E4">
        <w:rPr>
          <w:rFonts w:ascii="Times New Roman" w:eastAsia="Times New Roman" w:hAnsi="Times New Roman" w:cs="Times New Roman"/>
          <w:color w:val="000000"/>
          <w:sz w:val="26"/>
          <w:szCs w:val="26"/>
        </w:rPr>
        <w:t xml:space="preserve">the </w:t>
      </w:r>
      <w:r w:rsidRPr="006228B5">
        <w:rPr>
          <w:rFonts w:ascii="Times New Roman" w:eastAsia="Times New Roman" w:hAnsi="Times New Roman" w:cs="Times New Roman"/>
          <w:color w:val="000000"/>
          <w:sz w:val="26"/>
          <w:szCs w:val="26"/>
        </w:rPr>
        <w:t>Borough</w:t>
      </w:r>
      <w:r w:rsidR="00B2010A">
        <w:rPr>
          <w:rFonts w:ascii="Times New Roman" w:eastAsia="Times New Roman" w:hAnsi="Times New Roman" w:cs="Times New Roman"/>
          <w:color w:val="000000"/>
          <w:sz w:val="26"/>
          <w:szCs w:val="26"/>
        </w:rPr>
        <w:t>’s</w:t>
      </w:r>
      <w:r w:rsidR="008044E4">
        <w:rPr>
          <w:rFonts w:ascii="Times New Roman" w:eastAsia="Times New Roman" w:hAnsi="Times New Roman" w:cs="Times New Roman"/>
          <w:color w:val="000000"/>
          <w:sz w:val="26"/>
          <w:szCs w:val="26"/>
        </w:rPr>
        <w:t xml:space="preserve"> S</w:t>
      </w:r>
      <w:r w:rsidRPr="006228B5">
        <w:rPr>
          <w:rFonts w:ascii="Times New Roman" w:eastAsia="Times New Roman" w:hAnsi="Times New Roman" w:cs="Times New Roman"/>
          <w:color w:val="000000"/>
          <w:sz w:val="26"/>
          <w:szCs w:val="26"/>
        </w:rPr>
        <w:t xml:space="preserve">ystem and its customers and existing PAWC customers as well as the </w:t>
      </w:r>
      <w:proofErr w:type="gramStart"/>
      <w:r w:rsidRPr="006228B5">
        <w:rPr>
          <w:rFonts w:ascii="Times New Roman" w:eastAsia="Times New Roman" w:hAnsi="Times New Roman" w:cs="Times New Roman"/>
          <w:color w:val="000000"/>
          <w:sz w:val="26"/>
          <w:szCs w:val="26"/>
        </w:rPr>
        <w:t>cost of service</w:t>
      </w:r>
      <w:proofErr w:type="gramEnd"/>
      <w:r w:rsidRPr="006228B5">
        <w:rPr>
          <w:rFonts w:ascii="Times New Roman" w:eastAsia="Times New Roman" w:hAnsi="Times New Roman" w:cs="Times New Roman"/>
          <w:color w:val="000000"/>
          <w:sz w:val="26"/>
          <w:szCs w:val="26"/>
        </w:rPr>
        <w:t xml:space="preserve"> studies are critical to protecting PAWC’s existing customers from potential cross-subsidization or other negative rate impacts. </w:t>
      </w:r>
      <w:r w:rsidR="00221B76">
        <w:rPr>
          <w:rFonts w:ascii="Times New Roman" w:eastAsia="Times New Roman" w:hAnsi="Times New Roman" w:cs="Times New Roman"/>
          <w:color w:val="000000"/>
          <w:sz w:val="26"/>
          <w:szCs w:val="26"/>
        </w:rPr>
        <w:t xml:space="preserve"> The ALJ submit</w:t>
      </w:r>
      <w:r w:rsidR="005B291D">
        <w:rPr>
          <w:rFonts w:ascii="Times New Roman" w:eastAsia="Times New Roman" w:hAnsi="Times New Roman" w:cs="Times New Roman"/>
          <w:color w:val="000000"/>
          <w:sz w:val="26"/>
          <w:szCs w:val="26"/>
        </w:rPr>
        <w:t xml:space="preserve">ted </w:t>
      </w:r>
      <w:r w:rsidR="00221B76">
        <w:rPr>
          <w:rFonts w:ascii="Times New Roman" w:eastAsia="Times New Roman" w:hAnsi="Times New Roman" w:cs="Times New Roman"/>
          <w:color w:val="000000"/>
          <w:sz w:val="26"/>
          <w:szCs w:val="26"/>
        </w:rPr>
        <w:t>that t</w:t>
      </w:r>
      <w:r w:rsidRPr="006228B5">
        <w:rPr>
          <w:rFonts w:ascii="Times New Roman" w:eastAsia="Times New Roman" w:hAnsi="Times New Roman" w:cs="Times New Roman"/>
          <w:color w:val="000000"/>
          <w:sz w:val="26"/>
          <w:szCs w:val="26"/>
        </w:rPr>
        <w:t xml:space="preserve">he Settlement addresses some of the concerns indicated at the public input hearing. </w:t>
      </w:r>
      <w:r w:rsidR="00221B76">
        <w:rPr>
          <w:rFonts w:ascii="Times New Roman" w:eastAsia="Times New Roman" w:hAnsi="Times New Roman" w:cs="Times New Roman"/>
          <w:color w:val="000000"/>
          <w:sz w:val="26"/>
          <w:szCs w:val="26"/>
        </w:rPr>
        <w:t xml:space="preserve"> </w:t>
      </w:r>
      <w:r w:rsidR="0055759E">
        <w:rPr>
          <w:rFonts w:ascii="Times New Roman" w:eastAsia="Times New Roman" w:hAnsi="Times New Roman" w:cs="Times New Roman"/>
          <w:color w:val="000000"/>
          <w:sz w:val="26"/>
          <w:szCs w:val="26"/>
        </w:rPr>
        <w:t>For example, t</w:t>
      </w:r>
      <w:r w:rsidRPr="006228B5">
        <w:rPr>
          <w:rFonts w:ascii="Times New Roman" w:eastAsia="Times New Roman" w:hAnsi="Times New Roman" w:cs="Times New Roman"/>
          <w:color w:val="000000"/>
          <w:sz w:val="26"/>
          <w:szCs w:val="26"/>
        </w:rPr>
        <w:t xml:space="preserve">he Settlement provides that there will be a cap on the potential rates when PAWC files its next base rate case for current Royersford system customers.  Further, the </w:t>
      </w:r>
      <w:r w:rsidR="002E44FF">
        <w:rPr>
          <w:rFonts w:ascii="Times New Roman" w:eastAsia="Times New Roman" w:hAnsi="Times New Roman" w:cs="Times New Roman"/>
          <w:color w:val="000000"/>
          <w:sz w:val="26"/>
          <w:szCs w:val="26"/>
        </w:rPr>
        <w:t xml:space="preserve">ALJ credited the </w:t>
      </w:r>
      <w:r w:rsidRPr="006228B5">
        <w:rPr>
          <w:rFonts w:ascii="Times New Roman" w:eastAsia="Times New Roman" w:hAnsi="Times New Roman" w:cs="Times New Roman"/>
          <w:color w:val="000000"/>
          <w:sz w:val="26"/>
          <w:szCs w:val="26"/>
        </w:rPr>
        <w:t xml:space="preserve">Settlement mandates that PAWC will reach out to low-income customers served by the Royersford system.  </w:t>
      </w:r>
      <w:r w:rsidR="0055759E">
        <w:rPr>
          <w:rFonts w:ascii="Times New Roman" w:eastAsia="Times New Roman" w:hAnsi="Times New Roman" w:cs="Times New Roman"/>
          <w:color w:val="000000"/>
          <w:sz w:val="26"/>
          <w:szCs w:val="26"/>
        </w:rPr>
        <w:t>Moreover, the ALJ</w:t>
      </w:r>
      <w:r w:rsidRPr="006228B5">
        <w:rPr>
          <w:rFonts w:ascii="Times New Roman" w:eastAsia="Times New Roman" w:hAnsi="Times New Roman" w:cs="Times New Roman"/>
          <w:color w:val="000000"/>
          <w:sz w:val="26"/>
          <w:szCs w:val="26"/>
        </w:rPr>
        <w:t xml:space="preserve"> noted that </w:t>
      </w:r>
      <w:r w:rsidR="00C9038C">
        <w:rPr>
          <w:rFonts w:ascii="Times New Roman" w:eastAsia="Times New Roman" w:hAnsi="Times New Roman" w:cs="Times New Roman"/>
          <w:color w:val="000000"/>
          <w:sz w:val="26"/>
          <w:szCs w:val="26"/>
        </w:rPr>
        <w:t>the S</w:t>
      </w:r>
      <w:r w:rsidRPr="006228B5">
        <w:rPr>
          <w:rFonts w:ascii="Times New Roman" w:eastAsia="Times New Roman" w:hAnsi="Times New Roman" w:cs="Times New Roman"/>
          <w:color w:val="000000"/>
          <w:sz w:val="26"/>
          <w:szCs w:val="26"/>
        </w:rPr>
        <w:t>ystem customers will have the opportunity to file complaints and testify at public input hearings, when PAWC file</w:t>
      </w:r>
      <w:r w:rsidR="00C9038C">
        <w:rPr>
          <w:rFonts w:ascii="Times New Roman" w:eastAsia="Times New Roman" w:hAnsi="Times New Roman" w:cs="Times New Roman"/>
          <w:color w:val="000000"/>
          <w:sz w:val="26"/>
          <w:szCs w:val="26"/>
        </w:rPr>
        <w:t>s</w:t>
      </w:r>
      <w:r w:rsidRPr="006228B5">
        <w:rPr>
          <w:rFonts w:ascii="Times New Roman" w:eastAsia="Times New Roman" w:hAnsi="Times New Roman" w:cs="Times New Roman"/>
          <w:color w:val="000000"/>
          <w:sz w:val="26"/>
          <w:szCs w:val="26"/>
        </w:rPr>
        <w:t xml:space="preserve"> its next base rate case. </w:t>
      </w:r>
      <w:r w:rsidR="00C9038C">
        <w:rPr>
          <w:rFonts w:ascii="Times New Roman" w:eastAsia="Times New Roman" w:hAnsi="Times New Roman" w:cs="Times New Roman"/>
          <w:color w:val="000000"/>
          <w:sz w:val="26"/>
          <w:szCs w:val="26"/>
        </w:rPr>
        <w:t xml:space="preserve"> </w:t>
      </w:r>
      <w:r w:rsidRPr="006228B5">
        <w:rPr>
          <w:rFonts w:ascii="Times New Roman" w:eastAsia="Times New Roman" w:hAnsi="Times New Roman" w:cs="Times New Roman"/>
          <w:color w:val="000000"/>
          <w:sz w:val="26"/>
          <w:szCs w:val="26"/>
        </w:rPr>
        <w:lastRenderedPageBreak/>
        <w:t xml:space="preserve">Finally, </w:t>
      </w:r>
      <w:r w:rsidR="00D02233">
        <w:rPr>
          <w:rFonts w:ascii="Times New Roman" w:eastAsia="Times New Roman" w:hAnsi="Times New Roman" w:cs="Times New Roman"/>
          <w:color w:val="000000"/>
          <w:sz w:val="26"/>
          <w:szCs w:val="26"/>
        </w:rPr>
        <w:t xml:space="preserve">the ALJ emphasized that </w:t>
      </w:r>
      <w:r w:rsidRPr="006228B5">
        <w:rPr>
          <w:rFonts w:ascii="Times New Roman" w:eastAsia="Times New Roman" w:hAnsi="Times New Roman" w:cs="Times New Roman"/>
          <w:color w:val="000000"/>
          <w:sz w:val="26"/>
          <w:szCs w:val="26"/>
        </w:rPr>
        <w:t xml:space="preserve">acceptance of the Settlement will negate the need for further litigation, including possible appeals.  The </w:t>
      </w:r>
      <w:r w:rsidR="005B291D">
        <w:rPr>
          <w:rFonts w:ascii="Times New Roman" w:eastAsia="Times New Roman" w:hAnsi="Times New Roman" w:cs="Times New Roman"/>
          <w:color w:val="000000"/>
          <w:sz w:val="26"/>
          <w:szCs w:val="26"/>
        </w:rPr>
        <w:t xml:space="preserve">ALJ explained that </w:t>
      </w:r>
      <w:r w:rsidRPr="006228B5">
        <w:rPr>
          <w:rFonts w:ascii="Times New Roman" w:eastAsia="Times New Roman" w:hAnsi="Times New Roman" w:cs="Times New Roman"/>
          <w:color w:val="000000"/>
          <w:sz w:val="26"/>
          <w:szCs w:val="26"/>
        </w:rPr>
        <w:t xml:space="preserve">avoidance of further rate case expense serves the interests of PAWC, the </w:t>
      </w:r>
      <w:r w:rsidR="00D71962">
        <w:rPr>
          <w:rFonts w:ascii="Times New Roman" w:eastAsia="Times New Roman" w:hAnsi="Times New Roman" w:cs="Times New Roman"/>
          <w:color w:val="000000"/>
          <w:sz w:val="26"/>
          <w:szCs w:val="26"/>
        </w:rPr>
        <w:t>P</w:t>
      </w:r>
      <w:r w:rsidRPr="006228B5">
        <w:rPr>
          <w:rFonts w:ascii="Times New Roman" w:eastAsia="Times New Roman" w:hAnsi="Times New Roman" w:cs="Times New Roman"/>
          <w:color w:val="000000"/>
          <w:sz w:val="26"/>
          <w:szCs w:val="26"/>
        </w:rPr>
        <w:t xml:space="preserve">arties, and PAWC’s customers.  </w:t>
      </w:r>
      <w:r w:rsidR="002E44FF" w:rsidRPr="002E44FF">
        <w:rPr>
          <w:rFonts w:ascii="Times New Roman" w:eastAsia="Times New Roman" w:hAnsi="Times New Roman" w:cs="Times New Roman"/>
          <w:i/>
          <w:iCs/>
          <w:color w:val="000000"/>
          <w:sz w:val="26"/>
          <w:szCs w:val="26"/>
        </w:rPr>
        <w:t>Id</w:t>
      </w:r>
      <w:r w:rsidR="002E44FF">
        <w:rPr>
          <w:rFonts w:ascii="Times New Roman" w:eastAsia="Times New Roman" w:hAnsi="Times New Roman" w:cs="Times New Roman"/>
          <w:color w:val="000000"/>
          <w:sz w:val="26"/>
          <w:szCs w:val="26"/>
        </w:rPr>
        <w:t xml:space="preserve">. at 42.  </w:t>
      </w:r>
    </w:p>
    <w:p w14:paraId="32F3E046" w14:textId="6B60E3D7" w:rsidR="006228B5" w:rsidRDefault="006228B5" w:rsidP="006228B5">
      <w:pPr>
        <w:autoSpaceDE w:val="0"/>
        <w:autoSpaceDN w:val="0"/>
        <w:spacing w:line="360" w:lineRule="auto"/>
        <w:ind w:hanging="10"/>
        <w:rPr>
          <w:rFonts w:ascii="Times New Roman" w:eastAsia="Times New Roman" w:hAnsi="Times New Roman" w:cs="Times New Roman"/>
          <w:color w:val="000000"/>
          <w:sz w:val="26"/>
          <w:szCs w:val="26"/>
        </w:rPr>
      </w:pPr>
    </w:p>
    <w:p w14:paraId="7F119036" w14:textId="1D99FB37" w:rsidR="009502CF" w:rsidRDefault="009502CF" w:rsidP="006228B5">
      <w:pPr>
        <w:autoSpaceDE w:val="0"/>
        <w:autoSpaceDN w:val="0"/>
        <w:spacing w:line="360" w:lineRule="auto"/>
        <w:ind w:hanging="1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In summary, the ALJ stated:</w:t>
      </w:r>
    </w:p>
    <w:p w14:paraId="37471F55" w14:textId="77777777" w:rsidR="003551C4" w:rsidRPr="006228B5" w:rsidRDefault="003551C4" w:rsidP="00E671AC">
      <w:pPr>
        <w:autoSpaceDE w:val="0"/>
        <w:autoSpaceDN w:val="0"/>
        <w:ind w:hanging="10"/>
        <w:rPr>
          <w:rFonts w:ascii="Times New Roman" w:eastAsia="Times New Roman" w:hAnsi="Times New Roman" w:cs="Times New Roman"/>
          <w:color w:val="000000"/>
          <w:sz w:val="26"/>
          <w:szCs w:val="26"/>
        </w:rPr>
      </w:pPr>
    </w:p>
    <w:p w14:paraId="792A2104" w14:textId="4D624C80" w:rsidR="00BA5F15" w:rsidRPr="006228B5" w:rsidRDefault="006228B5" w:rsidP="00510C44">
      <w:pPr>
        <w:keepNext/>
        <w:ind w:left="1440" w:right="1440"/>
        <w:textAlignment w:val="baseline"/>
        <w:rPr>
          <w:rFonts w:ascii="Times New Roman" w:eastAsia="Times New Roman" w:hAnsi="Times New Roman"/>
          <w:color w:val="000000"/>
          <w:spacing w:val="-1"/>
          <w:sz w:val="26"/>
          <w:szCs w:val="26"/>
        </w:rPr>
      </w:pPr>
      <w:r w:rsidRPr="006228B5">
        <w:rPr>
          <w:rFonts w:ascii="Times New Roman" w:eastAsia="Times New Roman" w:hAnsi="Times New Roman" w:cs="Times New Roman"/>
          <w:color w:val="000000"/>
          <w:sz w:val="26"/>
          <w:szCs w:val="26"/>
        </w:rPr>
        <w:t xml:space="preserve">After considering the Joint Petition for Complete Settlement, including the various agreements described above and the savings achieved by not litigating the case fully, </w:t>
      </w:r>
      <w:r w:rsidR="009A587B">
        <w:rPr>
          <w:rFonts w:ascii="Times New Roman" w:eastAsia="Times New Roman" w:hAnsi="Times New Roman" w:cs="Times New Roman"/>
          <w:color w:val="000000"/>
          <w:sz w:val="26"/>
          <w:szCs w:val="26"/>
        </w:rPr>
        <w:t xml:space="preserve">it is my opinion </w:t>
      </w:r>
      <w:r w:rsidRPr="006228B5">
        <w:rPr>
          <w:rFonts w:ascii="Times New Roman" w:eastAsia="Times New Roman" w:hAnsi="Times New Roman" w:cs="Times New Roman"/>
          <w:color w:val="000000"/>
          <w:sz w:val="26"/>
          <w:szCs w:val="26"/>
        </w:rPr>
        <w:t>that the settlement is fair, just, reasonable and in the public interest.  I wish to commend the parties.  The Settlement reflects a carefully balanced compromise of the interests of the Joint Petitioners and satisfies the various requirements of the Code.  It shows the diligence and good faith effort every party expended to arrive at a reasonable, workable arrangement.  The fact that the Settlement agreement is unopposed is further evidence of its reasonableness.  For these reasons, and the reasons discussed above, it is recommended that the Joint Petition for Complete Settlement be approved without modification by the Commission.</w:t>
      </w:r>
    </w:p>
    <w:p w14:paraId="32EDCB9C" w14:textId="50F97875" w:rsidR="00685C8D" w:rsidRPr="00685C8D" w:rsidRDefault="00685C8D" w:rsidP="00510C44">
      <w:pPr>
        <w:keepNext/>
        <w:spacing w:line="360" w:lineRule="auto"/>
        <w:textAlignment w:val="baseline"/>
        <w:rPr>
          <w:rFonts w:ascii="Times New Roman" w:eastAsia="Times New Roman" w:hAnsi="Times New Roman"/>
          <w:color w:val="000000"/>
          <w:spacing w:val="-1"/>
          <w:sz w:val="26"/>
          <w:szCs w:val="26"/>
        </w:rPr>
      </w:pPr>
    </w:p>
    <w:p w14:paraId="67A8FD55" w14:textId="02E483AD" w:rsidR="00685C8D" w:rsidRDefault="009502CF" w:rsidP="00510C44">
      <w:pPr>
        <w:keepNext/>
        <w:spacing w:line="360" w:lineRule="auto"/>
        <w:textAlignment w:val="baseline"/>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R.D. at 42.</w:t>
      </w:r>
    </w:p>
    <w:p w14:paraId="139C25B8" w14:textId="567A29AB" w:rsidR="009502CF" w:rsidRDefault="009502CF" w:rsidP="00685C8D">
      <w:pPr>
        <w:spacing w:line="360" w:lineRule="auto"/>
        <w:textAlignment w:val="baseline"/>
        <w:rPr>
          <w:rFonts w:ascii="Times New Roman" w:eastAsia="Times New Roman" w:hAnsi="Times New Roman"/>
          <w:color w:val="000000"/>
          <w:spacing w:val="-1"/>
          <w:sz w:val="26"/>
          <w:szCs w:val="26"/>
        </w:rPr>
      </w:pPr>
    </w:p>
    <w:p w14:paraId="279D597E" w14:textId="214860FA" w:rsidR="00B77EA1" w:rsidRPr="00B37369" w:rsidRDefault="00065C31" w:rsidP="00510C44">
      <w:pPr>
        <w:keepNext/>
        <w:spacing w:line="360" w:lineRule="auto"/>
        <w:textAlignment w:val="baseline"/>
        <w:rPr>
          <w:rFonts w:ascii="Times New Roman" w:eastAsia="Times New Roman" w:hAnsi="Times New Roman"/>
          <w:b/>
          <w:bCs/>
          <w:color w:val="000000"/>
          <w:spacing w:val="-1"/>
          <w:sz w:val="26"/>
          <w:szCs w:val="26"/>
        </w:rPr>
      </w:pPr>
      <w:r w:rsidRPr="00B37369">
        <w:rPr>
          <w:rFonts w:ascii="Times New Roman" w:eastAsia="Times New Roman" w:hAnsi="Times New Roman"/>
          <w:b/>
          <w:bCs/>
          <w:color w:val="000000"/>
          <w:spacing w:val="-1"/>
          <w:sz w:val="26"/>
          <w:szCs w:val="26"/>
        </w:rPr>
        <w:t>E.</w:t>
      </w:r>
      <w:r w:rsidRPr="00B37369">
        <w:rPr>
          <w:rFonts w:ascii="Times New Roman" w:eastAsia="Times New Roman" w:hAnsi="Times New Roman"/>
          <w:b/>
          <w:bCs/>
          <w:color w:val="000000"/>
          <w:spacing w:val="-1"/>
          <w:sz w:val="26"/>
          <w:szCs w:val="26"/>
        </w:rPr>
        <w:tab/>
        <w:t>Exception</w:t>
      </w:r>
      <w:r w:rsidR="00865568" w:rsidRPr="00B37369">
        <w:rPr>
          <w:rFonts w:ascii="Times New Roman" w:eastAsia="Times New Roman" w:hAnsi="Times New Roman"/>
          <w:b/>
          <w:bCs/>
          <w:color w:val="000000"/>
          <w:spacing w:val="-1"/>
          <w:sz w:val="26"/>
          <w:szCs w:val="26"/>
        </w:rPr>
        <w:t xml:space="preserve"> and Replies</w:t>
      </w:r>
    </w:p>
    <w:p w14:paraId="20A41E8F" w14:textId="533521E0" w:rsidR="00865568" w:rsidRDefault="00865568" w:rsidP="00510C44">
      <w:pPr>
        <w:keepNext/>
        <w:spacing w:line="360" w:lineRule="auto"/>
        <w:textAlignment w:val="baseline"/>
        <w:rPr>
          <w:rFonts w:ascii="Times New Roman" w:eastAsia="Times New Roman" w:hAnsi="Times New Roman"/>
          <w:color w:val="000000"/>
          <w:spacing w:val="-1"/>
          <w:sz w:val="26"/>
          <w:szCs w:val="26"/>
        </w:rPr>
      </w:pPr>
    </w:p>
    <w:p w14:paraId="67EF36A5" w14:textId="345171AE" w:rsidR="00553561" w:rsidRPr="00553561" w:rsidRDefault="00553561" w:rsidP="00510C44">
      <w:pPr>
        <w:keepNext/>
        <w:widowControl w:val="0"/>
        <w:spacing w:line="360" w:lineRule="auto"/>
        <w:ind w:firstLine="1440"/>
        <w:rPr>
          <w:rFonts w:ascii="Times New Roman" w:eastAsia="Times New Roman" w:hAnsi="Times New Roman" w:cs="Times New Roman"/>
          <w:sz w:val="26"/>
          <w:szCs w:val="26"/>
        </w:rPr>
      </w:pPr>
      <w:r w:rsidRPr="00553561">
        <w:rPr>
          <w:rFonts w:ascii="Times New Roman" w:eastAsia="Times New Roman" w:hAnsi="Times New Roman" w:cs="Times New Roman"/>
          <w:sz w:val="26"/>
          <w:szCs w:val="26"/>
        </w:rPr>
        <w:t xml:space="preserve">As noted above, </w:t>
      </w:r>
      <w:r w:rsidRPr="00553561">
        <w:rPr>
          <w:rFonts w:ascii="Times New Roman" w:hAnsi="Times New Roman" w:cs="Times New Roman"/>
          <w:sz w:val="26"/>
          <w:szCs w:val="26"/>
        </w:rPr>
        <w:t xml:space="preserve">the OCA filed </w:t>
      </w:r>
      <w:r w:rsidR="006164D2">
        <w:rPr>
          <w:rFonts w:ascii="Times New Roman" w:hAnsi="Times New Roman" w:cs="Times New Roman"/>
          <w:sz w:val="26"/>
          <w:szCs w:val="26"/>
        </w:rPr>
        <w:t xml:space="preserve">an </w:t>
      </w:r>
      <w:r w:rsidRPr="00553561">
        <w:rPr>
          <w:rFonts w:ascii="Times New Roman" w:hAnsi="Times New Roman" w:cs="Times New Roman"/>
          <w:sz w:val="26"/>
          <w:szCs w:val="26"/>
        </w:rPr>
        <w:t>Exception</w:t>
      </w:r>
      <w:r w:rsidR="006164D2">
        <w:rPr>
          <w:rFonts w:ascii="Times New Roman" w:hAnsi="Times New Roman" w:cs="Times New Roman"/>
          <w:sz w:val="26"/>
          <w:szCs w:val="26"/>
        </w:rPr>
        <w:t xml:space="preserve"> </w:t>
      </w:r>
      <w:r w:rsidRPr="00553561">
        <w:rPr>
          <w:rFonts w:ascii="Times New Roman" w:hAnsi="Times New Roman" w:cs="Times New Roman"/>
          <w:sz w:val="26"/>
          <w:szCs w:val="26"/>
        </w:rPr>
        <w:t>seeking clarification of t</w:t>
      </w:r>
      <w:r w:rsidR="00C75586">
        <w:rPr>
          <w:rFonts w:ascii="Times New Roman" w:hAnsi="Times New Roman" w:cs="Times New Roman"/>
          <w:sz w:val="26"/>
          <w:szCs w:val="26"/>
        </w:rPr>
        <w:t>wo of the</w:t>
      </w:r>
      <w:r w:rsidRPr="00553561">
        <w:rPr>
          <w:rFonts w:ascii="Times New Roman" w:hAnsi="Times New Roman" w:cs="Times New Roman"/>
          <w:sz w:val="26"/>
          <w:szCs w:val="26"/>
        </w:rPr>
        <w:t xml:space="preserve"> ALJ</w:t>
      </w:r>
      <w:r>
        <w:rPr>
          <w:rFonts w:ascii="Times New Roman" w:hAnsi="Times New Roman" w:cs="Times New Roman"/>
          <w:sz w:val="26"/>
          <w:szCs w:val="26"/>
        </w:rPr>
        <w:t>’</w:t>
      </w:r>
      <w:r w:rsidRPr="00553561">
        <w:rPr>
          <w:rFonts w:ascii="Times New Roman" w:hAnsi="Times New Roman" w:cs="Times New Roman"/>
          <w:sz w:val="26"/>
          <w:szCs w:val="26"/>
        </w:rPr>
        <w:t xml:space="preserve">s </w:t>
      </w:r>
      <w:r w:rsidR="00C75586">
        <w:rPr>
          <w:rFonts w:ascii="Times New Roman" w:hAnsi="Times New Roman" w:cs="Times New Roman"/>
          <w:sz w:val="26"/>
          <w:szCs w:val="26"/>
        </w:rPr>
        <w:t>F</w:t>
      </w:r>
      <w:r w:rsidRPr="00553561">
        <w:rPr>
          <w:rFonts w:ascii="Times New Roman" w:hAnsi="Times New Roman" w:cs="Times New Roman"/>
          <w:sz w:val="26"/>
          <w:szCs w:val="26"/>
        </w:rPr>
        <w:t>indings</w:t>
      </w:r>
      <w:r w:rsidR="00C75586">
        <w:rPr>
          <w:rFonts w:ascii="Times New Roman" w:hAnsi="Times New Roman" w:cs="Times New Roman"/>
          <w:sz w:val="26"/>
          <w:szCs w:val="26"/>
        </w:rPr>
        <w:t xml:space="preserve"> of Fact</w:t>
      </w:r>
      <w:r w:rsidRPr="00553561">
        <w:rPr>
          <w:rFonts w:ascii="Times New Roman" w:hAnsi="Times New Roman" w:cs="Times New Roman"/>
          <w:sz w:val="26"/>
          <w:szCs w:val="26"/>
        </w:rPr>
        <w:t xml:space="preserve">, while supporting adoption of the Joint Petition without </w:t>
      </w:r>
      <w:r w:rsidRPr="00553561">
        <w:rPr>
          <w:rFonts w:ascii="Times New Roman" w:hAnsi="Times New Roman" w:cs="Times New Roman"/>
          <w:sz w:val="26"/>
          <w:szCs w:val="26"/>
        </w:rPr>
        <w:lastRenderedPageBreak/>
        <w:t>modification.</w:t>
      </w:r>
      <w:r w:rsidRPr="00553561">
        <w:rPr>
          <w:rFonts w:ascii="Times New Roman" w:eastAsia="Times New Roman" w:hAnsi="Times New Roman" w:cs="Times New Roman"/>
          <w:sz w:val="26"/>
          <w:szCs w:val="26"/>
          <w:vertAlign w:val="superscript"/>
        </w:rPr>
        <w:footnoteReference w:id="7"/>
      </w:r>
      <w:r w:rsidRPr="00553561">
        <w:rPr>
          <w:rFonts w:ascii="Times New Roman" w:eastAsia="Times New Roman" w:hAnsi="Times New Roman" w:cs="Times New Roman"/>
          <w:sz w:val="26"/>
          <w:szCs w:val="26"/>
        </w:rPr>
        <w:t xml:space="preserve">  Specifically, the OCA avers that certain factual findings by the ALJ are inaccurate, as they reference matters which were contested, but were ultimately not addressed in the Joint Petition.  As such, the OCA maintains that </w:t>
      </w:r>
      <w:r w:rsidR="00384898">
        <w:rPr>
          <w:rFonts w:ascii="Times New Roman" w:eastAsia="Times New Roman" w:hAnsi="Times New Roman" w:cs="Times New Roman"/>
          <w:sz w:val="26"/>
          <w:szCs w:val="26"/>
        </w:rPr>
        <w:t xml:space="preserve">the </w:t>
      </w:r>
      <w:r w:rsidRPr="00553561">
        <w:rPr>
          <w:rFonts w:ascii="Times New Roman" w:eastAsia="Times New Roman" w:hAnsi="Times New Roman" w:cs="Times New Roman"/>
          <w:sz w:val="26"/>
          <w:szCs w:val="26"/>
        </w:rPr>
        <w:t xml:space="preserve">references are extraneous to, and unnecessary, for the adoption of the Joint Petition without modification.  The OCA submits that </w:t>
      </w:r>
      <w:r w:rsidR="00384898">
        <w:rPr>
          <w:rFonts w:ascii="Times New Roman" w:eastAsia="Times New Roman" w:hAnsi="Times New Roman" w:cs="Times New Roman"/>
          <w:sz w:val="26"/>
          <w:szCs w:val="26"/>
        </w:rPr>
        <w:t xml:space="preserve">for purposes of clarification </w:t>
      </w:r>
      <w:r w:rsidRPr="00553561">
        <w:rPr>
          <w:rFonts w:ascii="Times New Roman" w:eastAsia="Times New Roman" w:hAnsi="Times New Roman" w:cs="Times New Roman"/>
          <w:sz w:val="26"/>
          <w:szCs w:val="26"/>
        </w:rPr>
        <w:t xml:space="preserve">the specific references should be deleted from the Recommended Decision and that the proposed deletions will not alter the adoption </w:t>
      </w:r>
      <w:r w:rsidR="00905AE7">
        <w:rPr>
          <w:rFonts w:ascii="Times New Roman" w:eastAsia="Times New Roman" w:hAnsi="Times New Roman" w:cs="Times New Roman"/>
          <w:sz w:val="26"/>
          <w:szCs w:val="26"/>
        </w:rPr>
        <w:t xml:space="preserve">of </w:t>
      </w:r>
      <w:r w:rsidRPr="00553561">
        <w:rPr>
          <w:rFonts w:ascii="Times New Roman" w:eastAsia="Times New Roman" w:hAnsi="Times New Roman" w:cs="Times New Roman"/>
          <w:sz w:val="26"/>
          <w:szCs w:val="26"/>
        </w:rPr>
        <w:t xml:space="preserve">the Joint Petition without modification.  </w:t>
      </w:r>
      <w:r w:rsidR="00384898">
        <w:rPr>
          <w:rFonts w:ascii="Times New Roman" w:eastAsia="Times New Roman" w:hAnsi="Times New Roman" w:cs="Times New Roman"/>
          <w:sz w:val="26"/>
          <w:szCs w:val="26"/>
        </w:rPr>
        <w:t xml:space="preserve">Exc. at </w:t>
      </w:r>
      <w:r w:rsidR="00787ADD">
        <w:rPr>
          <w:rFonts w:ascii="Times New Roman" w:eastAsia="Times New Roman" w:hAnsi="Times New Roman" w:cs="Times New Roman"/>
          <w:sz w:val="26"/>
          <w:szCs w:val="26"/>
        </w:rPr>
        <w:t>2.</w:t>
      </w:r>
    </w:p>
    <w:p w14:paraId="5F1050A6" w14:textId="77777777" w:rsidR="00553561" w:rsidRPr="00553561" w:rsidRDefault="00553561" w:rsidP="00553561">
      <w:pPr>
        <w:widowControl w:val="0"/>
        <w:spacing w:line="360" w:lineRule="auto"/>
        <w:ind w:firstLine="1440"/>
        <w:rPr>
          <w:rFonts w:ascii="Times New Roman" w:eastAsia="Times New Roman" w:hAnsi="Times New Roman" w:cs="Times New Roman"/>
          <w:sz w:val="26"/>
          <w:szCs w:val="26"/>
        </w:rPr>
      </w:pPr>
      <w:bookmarkStart w:id="13" w:name="_Hlk20140791"/>
    </w:p>
    <w:bookmarkEnd w:id="13"/>
    <w:p w14:paraId="3861649E" w14:textId="52A42088" w:rsidR="00865568" w:rsidRPr="00685C8D" w:rsidRDefault="00553561" w:rsidP="00787ADD">
      <w:pPr>
        <w:spacing w:line="360" w:lineRule="auto"/>
        <w:ind w:firstLine="1440"/>
        <w:textAlignment w:val="baseline"/>
        <w:rPr>
          <w:rFonts w:ascii="Times New Roman" w:eastAsia="Times New Roman" w:hAnsi="Times New Roman"/>
          <w:color w:val="000000"/>
          <w:spacing w:val="-1"/>
          <w:sz w:val="26"/>
          <w:szCs w:val="26"/>
        </w:rPr>
      </w:pPr>
      <w:r w:rsidRPr="00553561">
        <w:rPr>
          <w:rFonts w:ascii="Times New Roman" w:eastAsia="Times New Roman" w:hAnsi="Times New Roman" w:cs="Times New Roman"/>
          <w:sz w:val="26"/>
          <w:szCs w:val="26"/>
        </w:rPr>
        <w:t>Specifically, the OCA proposes that the Recommended Decision be clarified by delet</w:t>
      </w:r>
      <w:r w:rsidR="00E73404">
        <w:rPr>
          <w:rFonts w:ascii="Times New Roman" w:eastAsia="Times New Roman" w:hAnsi="Times New Roman" w:cs="Times New Roman"/>
          <w:sz w:val="26"/>
          <w:szCs w:val="26"/>
        </w:rPr>
        <w:t>ing</w:t>
      </w:r>
      <w:r w:rsidRPr="00553561">
        <w:rPr>
          <w:rFonts w:ascii="Times New Roman" w:eastAsia="Times New Roman" w:hAnsi="Times New Roman" w:cs="Times New Roman"/>
          <w:sz w:val="26"/>
          <w:szCs w:val="26"/>
        </w:rPr>
        <w:t xml:space="preserve"> the following </w:t>
      </w:r>
      <w:r w:rsidR="00787ADD">
        <w:rPr>
          <w:rFonts w:ascii="Times New Roman" w:eastAsia="Times New Roman" w:hAnsi="Times New Roman" w:cs="Times New Roman"/>
          <w:sz w:val="26"/>
          <w:szCs w:val="26"/>
        </w:rPr>
        <w:t>Findings of Fact</w:t>
      </w:r>
      <w:r w:rsidRPr="00553561">
        <w:rPr>
          <w:rFonts w:ascii="Times New Roman" w:eastAsia="Times New Roman" w:hAnsi="Times New Roman" w:cs="Times New Roman"/>
          <w:sz w:val="26"/>
          <w:szCs w:val="26"/>
        </w:rPr>
        <w:t>:</w:t>
      </w:r>
    </w:p>
    <w:p w14:paraId="1080CB10" w14:textId="281A5470" w:rsidR="00392B26" w:rsidRPr="003D2913" w:rsidRDefault="00685C8D" w:rsidP="00E671AC">
      <w:pPr>
        <w:keepNext/>
        <w:ind w:left="1440" w:right="1440"/>
        <w:textAlignment w:val="baseline"/>
        <w:rPr>
          <w:rFonts w:ascii="Times New Roman" w:eastAsia="Times New Roman" w:hAnsi="Times New Roman" w:cs="Times New Roman"/>
          <w:color w:val="000000"/>
          <w:sz w:val="26"/>
          <w:szCs w:val="26"/>
        </w:rPr>
      </w:pPr>
      <w:r w:rsidRPr="00685C8D">
        <w:rPr>
          <w:rFonts w:ascii="Times New Roman" w:eastAsia="Times New Roman" w:hAnsi="Times New Roman"/>
          <w:color w:val="000000"/>
          <w:spacing w:val="-1"/>
          <w:sz w:val="26"/>
          <w:szCs w:val="26"/>
        </w:rPr>
        <w:tab/>
      </w:r>
    </w:p>
    <w:p w14:paraId="06C9E2EF" w14:textId="3E173B09" w:rsidR="00622077" w:rsidRDefault="00622077" w:rsidP="003D2913">
      <w:pPr>
        <w:pStyle w:val="BodyText"/>
        <w:spacing w:after="0" w:line="240" w:lineRule="auto"/>
        <w:ind w:left="1440" w:right="1440" w:firstLine="720"/>
        <w:rPr>
          <w:sz w:val="26"/>
          <w:szCs w:val="26"/>
        </w:rPr>
      </w:pPr>
      <w:r w:rsidRPr="003D2913">
        <w:rPr>
          <w:sz w:val="26"/>
          <w:szCs w:val="26"/>
        </w:rPr>
        <w:t>71.</w:t>
      </w:r>
      <w:r w:rsidRPr="003D2913">
        <w:rPr>
          <w:sz w:val="26"/>
          <w:szCs w:val="26"/>
        </w:rPr>
        <w:tab/>
      </w:r>
      <w:proofErr w:type="gramStart"/>
      <w:r w:rsidRPr="003D2913">
        <w:rPr>
          <w:sz w:val="26"/>
          <w:szCs w:val="26"/>
        </w:rPr>
        <w:t>By adding additional connections to the entire PAWC system, there</w:t>
      </w:r>
      <w:proofErr w:type="gramEnd"/>
      <w:r w:rsidRPr="003D2913">
        <w:rPr>
          <w:sz w:val="26"/>
          <w:szCs w:val="26"/>
        </w:rPr>
        <w:t xml:space="preserve"> will be more customers to share future infrastructure investment costs, which promotes stable rates across the entire PAWC system.  PAWC St. No. 1 p. 17; PAWC St. No. 1-R p. 16.</w:t>
      </w:r>
    </w:p>
    <w:p w14:paraId="17A8B43D" w14:textId="77777777" w:rsidR="003D2913" w:rsidRPr="003D2913" w:rsidRDefault="003D2913" w:rsidP="003D2913">
      <w:pPr>
        <w:pStyle w:val="BodyText"/>
        <w:spacing w:after="0" w:line="240" w:lineRule="auto"/>
        <w:ind w:left="1440" w:right="1440" w:firstLine="0"/>
        <w:rPr>
          <w:color w:val="auto"/>
          <w:sz w:val="26"/>
          <w:szCs w:val="26"/>
        </w:rPr>
      </w:pPr>
    </w:p>
    <w:p w14:paraId="5B3C8197" w14:textId="1C40AEEC" w:rsidR="00622077" w:rsidRDefault="003D2913" w:rsidP="00510C44">
      <w:pPr>
        <w:pStyle w:val="BodyText"/>
        <w:keepNext/>
        <w:spacing w:after="0" w:line="240" w:lineRule="auto"/>
        <w:ind w:left="1440" w:right="1440" w:firstLine="720"/>
        <w:rPr>
          <w:sz w:val="26"/>
          <w:szCs w:val="26"/>
        </w:rPr>
      </w:pPr>
      <w:r w:rsidRPr="003D2913">
        <w:rPr>
          <w:sz w:val="26"/>
          <w:szCs w:val="26"/>
        </w:rPr>
        <w:t>73.</w:t>
      </w:r>
      <w:r w:rsidRPr="003D2913">
        <w:rPr>
          <w:sz w:val="26"/>
          <w:szCs w:val="26"/>
        </w:rPr>
        <w:tab/>
        <w:t>B</w:t>
      </w:r>
      <w:r w:rsidR="00622077" w:rsidRPr="003D2913">
        <w:rPr>
          <w:sz w:val="26"/>
          <w:szCs w:val="26"/>
        </w:rPr>
        <w:t>eing able to spread the costs of investing in and maintaining public wastewater systems over a growing customer base, particularly in a time of increased environmental requirements, is essential to the continued success and longevity of wastewater systems and maintaining reasonable rates for customers.  PAWC St. No. 1 p. 17; PAWC St. No. 1-R p. 16.</w:t>
      </w:r>
    </w:p>
    <w:p w14:paraId="788367BA" w14:textId="642F3C29" w:rsidR="003D2913" w:rsidRDefault="003D2913" w:rsidP="00E671AC">
      <w:pPr>
        <w:pStyle w:val="BodyText"/>
        <w:keepNext/>
        <w:spacing w:after="0" w:line="276" w:lineRule="auto"/>
        <w:ind w:left="0" w:right="1440" w:firstLine="0"/>
        <w:rPr>
          <w:sz w:val="26"/>
          <w:szCs w:val="26"/>
        </w:rPr>
      </w:pPr>
    </w:p>
    <w:p w14:paraId="0323D8D3" w14:textId="1D27F136" w:rsidR="003D2913" w:rsidRDefault="003D2913" w:rsidP="00510C44">
      <w:pPr>
        <w:pStyle w:val="BodyText"/>
        <w:keepNext/>
        <w:spacing w:after="0" w:line="360" w:lineRule="auto"/>
        <w:ind w:left="0" w:right="1440" w:firstLine="0"/>
        <w:rPr>
          <w:sz w:val="26"/>
          <w:szCs w:val="26"/>
        </w:rPr>
      </w:pPr>
      <w:r>
        <w:rPr>
          <w:sz w:val="26"/>
          <w:szCs w:val="26"/>
        </w:rPr>
        <w:t xml:space="preserve">R.D. at 14.  </w:t>
      </w:r>
    </w:p>
    <w:p w14:paraId="205D6116" w14:textId="396252DF" w:rsidR="007B5F3B" w:rsidRDefault="007B5F3B" w:rsidP="007B5F3B">
      <w:pPr>
        <w:pStyle w:val="BodyText"/>
        <w:spacing w:after="0" w:line="360" w:lineRule="auto"/>
        <w:ind w:left="0" w:right="1440" w:firstLine="0"/>
        <w:rPr>
          <w:sz w:val="26"/>
          <w:szCs w:val="26"/>
        </w:rPr>
      </w:pPr>
    </w:p>
    <w:p w14:paraId="0C12129A" w14:textId="672EDB5A" w:rsidR="007B5F3B" w:rsidRDefault="007B5F3B" w:rsidP="0050174B">
      <w:pPr>
        <w:pStyle w:val="BodyText"/>
        <w:spacing w:after="0" w:line="360" w:lineRule="auto"/>
        <w:ind w:left="0" w:firstLine="0"/>
        <w:rPr>
          <w:color w:val="auto"/>
          <w:sz w:val="26"/>
          <w:szCs w:val="26"/>
        </w:rPr>
      </w:pPr>
      <w:r>
        <w:rPr>
          <w:color w:val="auto"/>
          <w:sz w:val="26"/>
          <w:szCs w:val="26"/>
        </w:rPr>
        <w:lastRenderedPageBreak/>
        <w:tab/>
      </w:r>
      <w:r>
        <w:rPr>
          <w:color w:val="auto"/>
          <w:sz w:val="26"/>
          <w:szCs w:val="26"/>
        </w:rPr>
        <w:tab/>
        <w:t xml:space="preserve">The OCA submits that it </w:t>
      </w:r>
      <w:r w:rsidR="008916E6">
        <w:rPr>
          <w:color w:val="auto"/>
          <w:sz w:val="26"/>
          <w:szCs w:val="26"/>
        </w:rPr>
        <w:t xml:space="preserve">filed testimony containing compelling evidence to dispute these findings.  </w:t>
      </w:r>
      <w:r w:rsidR="003E2E6E">
        <w:rPr>
          <w:color w:val="auto"/>
          <w:sz w:val="26"/>
          <w:szCs w:val="26"/>
        </w:rPr>
        <w:t xml:space="preserve">The OCA adds that its expert witnesses directly challenged the general statement that the proposed acquisition would benefit existing customers </w:t>
      </w:r>
      <w:r w:rsidR="00CE49E0">
        <w:rPr>
          <w:color w:val="auto"/>
          <w:sz w:val="26"/>
          <w:szCs w:val="26"/>
        </w:rPr>
        <w:t>by spreading costs over a larger customer base because its witnesses found</w:t>
      </w:r>
      <w:r w:rsidR="000E25F3">
        <w:rPr>
          <w:color w:val="auto"/>
          <w:sz w:val="26"/>
          <w:szCs w:val="26"/>
        </w:rPr>
        <w:t xml:space="preserve"> that the transaction resulted in increased costs, not declining average costs.  Exc. at 3 (citing OCA St.</w:t>
      </w:r>
      <w:r w:rsidR="0050174B">
        <w:rPr>
          <w:color w:val="auto"/>
          <w:sz w:val="26"/>
          <w:szCs w:val="26"/>
        </w:rPr>
        <w:t xml:space="preserve"> 2 at 15-16; OCA St. 2-S at 8-9).  </w:t>
      </w:r>
    </w:p>
    <w:p w14:paraId="64B431DB" w14:textId="6FE98103" w:rsidR="00F64B48" w:rsidRDefault="00F64B48" w:rsidP="0050174B">
      <w:pPr>
        <w:pStyle w:val="BodyText"/>
        <w:spacing w:after="0" w:line="360" w:lineRule="auto"/>
        <w:ind w:left="0" w:firstLine="0"/>
        <w:rPr>
          <w:color w:val="auto"/>
          <w:sz w:val="26"/>
          <w:szCs w:val="26"/>
        </w:rPr>
      </w:pPr>
    </w:p>
    <w:p w14:paraId="6C0743DA" w14:textId="0E008202" w:rsidR="00F64B48" w:rsidRDefault="00F64B48" w:rsidP="0050174B">
      <w:pPr>
        <w:pStyle w:val="BodyText"/>
        <w:spacing w:after="0" w:line="360" w:lineRule="auto"/>
        <w:ind w:left="0" w:firstLine="0"/>
        <w:rPr>
          <w:color w:val="auto"/>
          <w:sz w:val="26"/>
          <w:szCs w:val="26"/>
        </w:rPr>
      </w:pPr>
      <w:r>
        <w:rPr>
          <w:color w:val="auto"/>
          <w:sz w:val="26"/>
          <w:szCs w:val="26"/>
        </w:rPr>
        <w:tab/>
      </w:r>
      <w:r>
        <w:rPr>
          <w:color w:val="auto"/>
          <w:sz w:val="26"/>
          <w:szCs w:val="26"/>
        </w:rPr>
        <w:tab/>
        <w:t xml:space="preserve">If the case had proceeded to litigation, the OCA asserts that </w:t>
      </w:r>
      <w:r w:rsidR="00AB0F53">
        <w:rPr>
          <w:color w:val="auto"/>
          <w:sz w:val="26"/>
          <w:szCs w:val="26"/>
        </w:rPr>
        <w:t xml:space="preserve">it would have briefed this contested issue.  However, the Parties </w:t>
      </w:r>
      <w:r w:rsidR="00F70F06">
        <w:rPr>
          <w:color w:val="auto"/>
          <w:sz w:val="26"/>
          <w:szCs w:val="26"/>
        </w:rPr>
        <w:t xml:space="preserve">reached a Settlement.  According to the OCA, </w:t>
      </w:r>
      <w:r w:rsidR="003146BB">
        <w:rPr>
          <w:color w:val="auto"/>
          <w:sz w:val="26"/>
          <w:szCs w:val="26"/>
        </w:rPr>
        <w:t xml:space="preserve">settlements allow flexibility in reaching amicable resolutions as long as the settlement is in the public interest.  </w:t>
      </w:r>
      <w:r w:rsidR="00DF74CD">
        <w:rPr>
          <w:color w:val="auto"/>
          <w:sz w:val="26"/>
          <w:szCs w:val="26"/>
        </w:rPr>
        <w:t xml:space="preserve">The OCA argues that the Joint Petition purposefully did not address the </w:t>
      </w:r>
      <w:r w:rsidR="006F5E45">
        <w:rPr>
          <w:color w:val="auto"/>
          <w:sz w:val="26"/>
          <w:szCs w:val="26"/>
        </w:rPr>
        <w:t xml:space="preserve">testimony by PAWC or the testimony by the OCA on this contested issue.  </w:t>
      </w:r>
      <w:r w:rsidR="00D613B2">
        <w:rPr>
          <w:color w:val="auto"/>
          <w:sz w:val="26"/>
          <w:szCs w:val="26"/>
        </w:rPr>
        <w:t xml:space="preserve">Moreover, the </w:t>
      </w:r>
      <w:r w:rsidR="009276FF">
        <w:rPr>
          <w:color w:val="auto"/>
          <w:sz w:val="26"/>
          <w:szCs w:val="26"/>
        </w:rPr>
        <w:t xml:space="preserve">OCA notes that it has filed similar Exceptions in two prior Section </w:t>
      </w:r>
      <w:r w:rsidR="0058581B">
        <w:rPr>
          <w:color w:val="auto"/>
          <w:sz w:val="26"/>
          <w:szCs w:val="26"/>
        </w:rPr>
        <w:t xml:space="preserve">1329 proceedings which the Commission has granted.  </w:t>
      </w:r>
      <w:r w:rsidR="006F5E45">
        <w:rPr>
          <w:color w:val="auto"/>
          <w:sz w:val="26"/>
          <w:szCs w:val="26"/>
        </w:rPr>
        <w:t>Exc. at 4</w:t>
      </w:r>
      <w:r w:rsidR="0058581B">
        <w:rPr>
          <w:color w:val="auto"/>
          <w:sz w:val="26"/>
          <w:szCs w:val="26"/>
        </w:rPr>
        <w:t xml:space="preserve"> (citing </w:t>
      </w:r>
      <w:r w:rsidR="0058581B" w:rsidRPr="009D0A79">
        <w:rPr>
          <w:i/>
          <w:iCs/>
          <w:color w:val="auto"/>
          <w:sz w:val="26"/>
          <w:szCs w:val="26"/>
        </w:rPr>
        <w:t xml:space="preserve">Application of PAWC for the Acquisition of the </w:t>
      </w:r>
      <w:r w:rsidR="00232CC5" w:rsidRPr="009D0A79">
        <w:rPr>
          <w:i/>
          <w:iCs/>
          <w:color w:val="auto"/>
          <w:sz w:val="26"/>
          <w:szCs w:val="26"/>
        </w:rPr>
        <w:t>Water Assets of Steelton Borough Authority</w:t>
      </w:r>
      <w:r w:rsidR="00232CC5">
        <w:rPr>
          <w:color w:val="auto"/>
          <w:sz w:val="26"/>
          <w:szCs w:val="26"/>
        </w:rPr>
        <w:t>, Docket No. A-2019-3006880 (Order entered October 3, 2019)</w:t>
      </w:r>
      <w:r w:rsidR="009429AD">
        <w:rPr>
          <w:color w:val="auto"/>
          <w:sz w:val="26"/>
          <w:szCs w:val="26"/>
        </w:rPr>
        <w:t xml:space="preserve">; and </w:t>
      </w:r>
      <w:r w:rsidR="009429AD" w:rsidRPr="009D0A79">
        <w:rPr>
          <w:i/>
          <w:iCs/>
          <w:color w:val="auto"/>
          <w:sz w:val="26"/>
          <w:szCs w:val="26"/>
        </w:rPr>
        <w:t xml:space="preserve">Application of PAWC for the Acquisition of the Wastewater Assets of </w:t>
      </w:r>
      <w:r w:rsidR="00065357" w:rsidRPr="009D0A79">
        <w:rPr>
          <w:i/>
          <w:iCs/>
          <w:color w:val="auto"/>
          <w:sz w:val="26"/>
          <w:szCs w:val="26"/>
        </w:rPr>
        <w:t>Exeter Township</w:t>
      </w:r>
      <w:r w:rsidR="00065357">
        <w:rPr>
          <w:color w:val="auto"/>
          <w:sz w:val="26"/>
          <w:szCs w:val="26"/>
        </w:rPr>
        <w:t>, Docket No. A-</w:t>
      </w:r>
      <w:r w:rsidR="009D0A79">
        <w:rPr>
          <w:color w:val="auto"/>
          <w:sz w:val="26"/>
          <w:szCs w:val="26"/>
        </w:rPr>
        <w:t>2018-3004933 (Order entered October 3, 2019))</w:t>
      </w:r>
      <w:r w:rsidR="006F5E45">
        <w:rPr>
          <w:color w:val="auto"/>
          <w:sz w:val="26"/>
          <w:szCs w:val="26"/>
        </w:rPr>
        <w:t xml:space="preserve">.  </w:t>
      </w:r>
    </w:p>
    <w:p w14:paraId="44882D04" w14:textId="3733C553" w:rsidR="008D6F21" w:rsidRDefault="008D6F21" w:rsidP="0050174B">
      <w:pPr>
        <w:pStyle w:val="BodyText"/>
        <w:spacing w:after="0" w:line="360" w:lineRule="auto"/>
        <w:ind w:left="0" w:firstLine="0"/>
        <w:rPr>
          <w:color w:val="auto"/>
          <w:sz w:val="26"/>
          <w:szCs w:val="26"/>
        </w:rPr>
      </w:pPr>
    </w:p>
    <w:p w14:paraId="5825D6F2" w14:textId="148368DC" w:rsidR="008D6F21" w:rsidRDefault="008D6F21" w:rsidP="0050174B">
      <w:pPr>
        <w:pStyle w:val="BodyText"/>
        <w:spacing w:after="0" w:line="360" w:lineRule="auto"/>
        <w:ind w:left="0" w:firstLine="0"/>
        <w:rPr>
          <w:color w:val="auto"/>
          <w:sz w:val="26"/>
          <w:szCs w:val="26"/>
        </w:rPr>
      </w:pPr>
      <w:r>
        <w:rPr>
          <w:color w:val="auto"/>
          <w:sz w:val="26"/>
          <w:szCs w:val="26"/>
        </w:rPr>
        <w:tab/>
      </w:r>
      <w:r>
        <w:rPr>
          <w:color w:val="auto"/>
          <w:sz w:val="26"/>
          <w:szCs w:val="26"/>
        </w:rPr>
        <w:tab/>
        <w:t>According to the OCA</w:t>
      </w:r>
      <w:r w:rsidR="001F7646">
        <w:rPr>
          <w:color w:val="auto"/>
          <w:sz w:val="26"/>
          <w:szCs w:val="26"/>
        </w:rPr>
        <w:t>, the OSBA supports the OCA’s request and I&amp;E does not oppose</w:t>
      </w:r>
      <w:r w:rsidR="00840BED">
        <w:rPr>
          <w:color w:val="auto"/>
          <w:sz w:val="26"/>
          <w:szCs w:val="26"/>
        </w:rPr>
        <w:t xml:space="preserve"> it</w:t>
      </w:r>
      <w:r w:rsidR="001F7646">
        <w:rPr>
          <w:color w:val="auto"/>
          <w:sz w:val="26"/>
          <w:szCs w:val="26"/>
        </w:rPr>
        <w:t xml:space="preserve">.  Exc. at 4.  </w:t>
      </w:r>
    </w:p>
    <w:p w14:paraId="105A8276" w14:textId="7B4BA7BB" w:rsidR="005F2B3A" w:rsidRDefault="005F2B3A" w:rsidP="0050174B">
      <w:pPr>
        <w:pStyle w:val="BodyText"/>
        <w:spacing w:after="0" w:line="360" w:lineRule="auto"/>
        <w:ind w:left="0" w:firstLine="0"/>
        <w:rPr>
          <w:color w:val="auto"/>
          <w:sz w:val="26"/>
          <w:szCs w:val="26"/>
        </w:rPr>
      </w:pPr>
    </w:p>
    <w:p w14:paraId="206E99FC" w14:textId="3382E260" w:rsidR="005F2B3A" w:rsidRDefault="005F2B3A" w:rsidP="00E65202">
      <w:pPr>
        <w:pStyle w:val="BodyText"/>
        <w:spacing w:after="0" w:line="360" w:lineRule="auto"/>
        <w:ind w:left="0" w:firstLine="0"/>
        <w:rPr>
          <w:color w:val="auto"/>
          <w:sz w:val="26"/>
          <w:szCs w:val="26"/>
        </w:rPr>
      </w:pPr>
      <w:r>
        <w:rPr>
          <w:color w:val="auto"/>
          <w:sz w:val="26"/>
          <w:szCs w:val="26"/>
        </w:rPr>
        <w:tab/>
      </w:r>
      <w:r>
        <w:rPr>
          <w:color w:val="auto"/>
          <w:sz w:val="26"/>
          <w:szCs w:val="26"/>
        </w:rPr>
        <w:tab/>
        <w:t xml:space="preserve">In its Replies to the Exception, </w:t>
      </w:r>
      <w:r w:rsidR="00964F91">
        <w:rPr>
          <w:color w:val="auto"/>
          <w:sz w:val="26"/>
          <w:szCs w:val="26"/>
        </w:rPr>
        <w:t xml:space="preserve">PAWC asserts that it continues to believe that the preponderance </w:t>
      </w:r>
      <w:r w:rsidR="00242038">
        <w:rPr>
          <w:color w:val="auto"/>
          <w:sz w:val="26"/>
          <w:szCs w:val="26"/>
        </w:rPr>
        <w:t xml:space="preserve">of the evidence </w:t>
      </w:r>
      <w:r w:rsidR="00B71FE5">
        <w:rPr>
          <w:color w:val="auto"/>
          <w:sz w:val="26"/>
          <w:szCs w:val="26"/>
        </w:rPr>
        <w:t>supports Findings of Fact Nos. 71 and 73 and that the A</w:t>
      </w:r>
      <w:r w:rsidR="000C45D1">
        <w:rPr>
          <w:color w:val="auto"/>
          <w:sz w:val="26"/>
          <w:szCs w:val="26"/>
        </w:rPr>
        <w:t>LJ properly adopted these findings.  However, in the interest of compromise and to expedite the final resolution of the proceeding, the Company</w:t>
      </w:r>
      <w:r w:rsidR="00B43021">
        <w:rPr>
          <w:color w:val="auto"/>
          <w:sz w:val="26"/>
          <w:szCs w:val="26"/>
        </w:rPr>
        <w:t xml:space="preserve"> does not object to the OCA’s </w:t>
      </w:r>
      <w:r w:rsidR="00242038">
        <w:rPr>
          <w:color w:val="auto"/>
          <w:sz w:val="26"/>
          <w:szCs w:val="26"/>
        </w:rPr>
        <w:t xml:space="preserve">request </w:t>
      </w:r>
      <w:r w:rsidR="006164D2">
        <w:rPr>
          <w:color w:val="auto"/>
          <w:sz w:val="26"/>
          <w:szCs w:val="26"/>
        </w:rPr>
        <w:t xml:space="preserve">in its </w:t>
      </w:r>
      <w:r w:rsidR="00B43021">
        <w:rPr>
          <w:color w:val="auto"/>
          <w:sz w:val="26"/>
          <w:szCs w:val="26"/>
        </w:rPr>
        <w:t>Exception.  PAWC contends that even without the</w:t>
      </w:r>
      <w:r w:rsidR="00415FA5">
        <w:rPr>
          <w:color w:val="auto"/>
          <w:sz w:val="26"/>
          <w:szCs w:val="26"/>
        </w:rPr>
        <w:t xml:space="preserve">se Findings of Fact, </w:t>
      </w:r>
      <w:bookmarkStart w:id="14" w:name="_Hlk70323691"/>
      <w:r w:rsidR="002E194A">
        <w:rPr>
          <w:color w:val="auto"/>
          <w:sz w:val="26"/>
          <w:szCs w:val="26"/>
        </w:rPr>
        <w:t xml:space="preserve">there is substantial </w:t>
      </w:r>
      <w:r w:rsidR="00313F99">
        <w:rPr>
          <w:color w:val="auto"/>
          <w:sz w:val="26"/>
          <w:szCs w:val="26"/>
        </w:rPr>
        <w:t xml:space="preserve">evidence in the </w:t>
      </w:r>
      <w:r w:rsidR="002E194A">
        <w:rPr>
          <w:color w:val="auto"/>
          <w:sz w:val="26"/>
          <w:szCs w:val="26"/>
        </w:rPr>
        <w:t xml:space="preserve">record, </w:t>
      </w:r>
      <w:bookmarkEnd w:id="14"/>
      <w:r w:rsidR="002E194A">
        <w:rPr>
          <w:color w:val="auto"/>
          <w:sz w:val="26"/>
          <w:szCs w:val="26"/>
        </w:rPr>
        <w:t xml:space="preserve">as agreed-to by the Parties, to support </w:t>
      </w:r>
      <w:r w:rsidR="00626504">
        <w:rPr>
          <w:color w:val="auto"/>
          <w:sz w:val="26"/>
          <w:szCs w:val="26"/>
        </w:rPr>
        <w:t xml:space="preserve">a Commission determination that the Settlement is in the public interest and that the </w:t>
      </w:r>
      <w:r w:rsidR="00626504">
        <w:rPr>
          <w:color w:val="auto"/>
          <w:sz w:val="26"/>
          <w:szCs w:val="26"/>
        </w:rPr>
        <w:lastRenderedPageBreak/>
        <w:t xml:space="preserve">transaction will affirmatively promote the service, accommodation, </w:t>
      </w:r>
      <w:proofErr w:type="gramStart"/>
      <w:r w:rsidR="00626504">
        <w:rPr>
          <w:color w:val="auto"/>
          <w:sz w:val="26"/>
          <w:szCs w:val="26"/>
        </w:rPr>
        <w:t>convenience</w:t>
      </w:r>
      <w:proofErr w:type="gramEnd"/>
      <w:r w:rsidR="00626504">
        <w:rPr>
          <w:color w:val="auto"/>
          <w:sz w:val="26"/>
          <w:szCs w:val="26"/>
        </w:rPr>
        <w:t xml:space="preserve"> or safety of the public in some substantial way.  R. Exc. at 2 (citing </w:t>
      </w:r>
      <w:r w:rsidR="00626504" w:rsidRPr="00626504">
        <w:rPr>
          <w:i/>
          <w:iCs/>
          <w:color w:val="auto"/>
          <w:sz w:val="26"/>
          <w:szCs w:val="26"/>
        </w:rPr>
        <w:t>City of York</w:t>
      </w:r>
      <w:r w:rsidR="00626504">
        <w:rPr>
          <w:color w:val="auto"/>
          <w:sz w:val="26"/>
          <w:szCs w:val="26"/>
        </w:rPr>
        <w:t xml:space="preserve">).  </w:t>
      </w:r>
      <w:r w:rsidR="00714A87">
        <w:rPr>
          <w:color w:val="auto"/>
          <w:sz w:val="26"/>
          <w:szCs w:val="26"/>
        </w:rPr>
        <w:t xml:space="preserve">As noted above, the Borough </w:t>
      </w:r>
      <w:r w:rsidR="00675E89">
        <w:rPr>
          <w:color w:val="auto"/>
          <w:sz w:val="26"/>
          <w:szCs w:val="26"/>
        </w:rPr>
        <w:t xml:space="preserve">joins in the Company’s Replies to the Exception.  </w:t>
      </w:r>
    </w:p>
    <w:p w14:paraId="2A7255D4" w14:textId="4160D758" w:rsidR="00607984" w:rsidRDefault="00607984" w:rsidP="00E65202">
      <w:pPr>
        <w:spacing w:line="360" w:lineRule="auto"/>
        <w:rPr>
          <w:rFonts w:ascii="Times New Roman" w:eastAsia="Times New Roman" w:hAnsi="Times New Roman" w:cs="Times New Roman"/>
          <w:b/>
          <w:bCs/>
          <w:sz w:val="26"/>
          <w:szCs w:val="26"/>
        </w:rPr>
      </w:pPr>
    </w:p>
    <w:p w14:paraId="1CDB7060" w14:textId="37148D02" w:rsidR="00D4027A" w:rsidRPr="00D566A4" w:rsidRDefault="00D4027A" w:rsidP="00E65202">
      <w:pPr>
        <w:pStyle w:val="BodyText"/>
        <w:keepNext/>
        <w:spacing w:after="0" w:line="360" w:lineRule="auto"/>
        <w:ind w:left="0" w:firstLine="0"/>
        <w:rPr>
          <w:b/>
          <w:bCs/>
          <w:color w:val="auto"/>
          <w:sz w:val="26"/>
          <w:szCs w:val="26"/>
        </w:rPr>
      </w:pPr>
      <w:r w:rsidRPr="00D566A4">
        <w:rPr>
          <w:b/>
          <w:bCs/>
          <w:color w:val="auto"/>
          <w:sz w:val="26"/>
          <w:szCs w:val="26"/>
        </w:rPr>
        <w:t>F.</w:t>
      </w:r>
      <w:r w:rsidRPr="00D566A4">
        <w:rPr>
          <w:b/>
          <w:bCs/>
          <w:color w:val="auto"/>
          <w:sz w:val="26"/>
          <w:szCs w:val="26"/>
        </w:rPr>
        <w:tab/>
        <w:t>Disposition</w:t>
      </w:r>
    </w:p>
    <w:p w14:paraId="19D800B3" w14:textId="0E9FA048" w:rsidR="00D4027A" w:rsidRDefault="00D4027A" w:rsidP="00E65202">
      <w:pPr>
        <w:pStyle w:val="BodyText"/>
        <w:keepNext/>
        <w:spacing w:after="0" w:line="360" w:lineRule="auto"/>
        <w:ind w:left="0" w:firstLine="0"/>
        <w:rPr>
          <w:color w:val="auto"/>
          <w:sz w:val="26"/>
          <w:szCs w:val="26"/>
        </w:rPr>
      </w:pPr>
    </w:p>
    <w:p w14:paraId="631E896B" w14:textId="4ABE0821" w:rsidR="003954B1" w:rsidRPr="003954B1" w:rsidRDefault="003954B1" w:rsidP="00E65202">
      <w:pPr>
        <w:keepNext/>
        <w:spacing w:line="360" w:lineRule="auto"/>
        <w:ind w:firstLine="1440"/>
        <w:contextualSpacing/>
        <w:rPr>
          <w:rFonts w:ascii="Times New Roman" w:eastAsia="Times New Roman" w:hAnsi="Times New Roman" w:cs="Times New Roman"/>
          <w:sz w:val="26"/>
          <w:szCs w:val="26"/>
        </w:rPr>
      </w:pPr>
      <w:r w:rsidRPr="003954B1">
        <w:rPr>
          <w:rFonts w:ascii="Times New Roman" w:eastAsia="Times New Roman" w:hAnsi="Times New Roman" w:cs="Times New Roman"/>
          <w:sz w:val="26"/>
          <w:szCs w:val="26"/>
        </w:rPr>
        <w:t xml:space="preserve">With respect to the OCA’s Exception requesting modification of the Recommended Decision </w:t>
      </w:r>
      <w:r w:rsidRPr="003954B1">
        <w:rPr>
          <w:rFonts w:ascii="Times New Roman" w:eastAsia="Times New Roman" w:hAnsi="Times New Roman" w:cs="Times New Roman"/>
          <w:i/>
          <w:iCs/>
          <w:sz w:val="26"/>
          <w:szCs w:val="26"/>
        </w:rPr>
        <w:t>via</w:t>
      </w:r>
      <w:r w:rsidRPr="003954B1">
        <w:rPr>
          <w:rFonts w:ascii="Times New Roman" w:eastAsia="Times New Roman" w:hAnsi="Times New Roman" w:cs="Times New Roman"/>
          <w:sz w:val="26"/>
          <w:szCs w:val="26"/>
        </w:rPr>
        <w:t xml:space="preserve"> limited deletions of references to </w:t>
      </w:r>
      <w:r w:rsidR="00B41F2A">
        <w:rPr>
          <w:rFonts w:ascii="Times New Roman" w:eastAsia="Times New Roman" w:hAnsi="Times New Roman" w:cs="Times New Roman"/>
          <w:sz w:val="26"/>
          <w:szCs w:val="26"/>
        </w:rPr>
        <w:t xml:space="preserve">findings </w:t>
      </w:r>
      <w:r w:rsidRPr="003954B1">
        <w:rPr>
          <w:rFonts w:ascii="Times New Roman" w:eastAsia="Times New Roman" w:hAnsi="Times New Roman" w:cs="Times New Roman"/>
          <w:sz w:val="26"/>
          <w:szCs w:val="26"/>
        </w:rPr>
        <w:t xml:space="preserve">that were contested on the record and not expressly resolved by the terms and conditions of the Joint Petition, we agree with the OCA.  We note that </w:t>
      </w:r>
      <w:r w:rsidR="0096081F">
        <w:rPr>
          <w:rFonts w:ascii="Times New Roman" w:eastAsia="Times New Roman" w:hAnsi="Times New Roman" w:cs="Times New Roman"/>
          <w:sz w:val="26"/>
          <w:szCs w:val="26"/>
        </w:rPr>
        <w:t xml:space="preserve">the Parties either support or do not object to </w:t>
      </w:r>
      <w:r w:rsidRPr="003954B1">
        <w:rPr>
          <w:rFonts w:ascii="Times New Roman" w:eastAsia="Times New Roman" w:hAnsi="Times New Roman" w:cs="Times New Roman"/>
          <w:sz w:val="26"/>
          <w:szCs w:val="26"/>
        </w:rPr>
        <w:t xml:space="preserve">the OCA’s Exception and that the deletions requested for purposes of clarification do not interfere with the adoption of the terms and conditions of the Joint Petition.  Rather, the proposed deletions of </w:t>
      </w:r>
      <w:r w:rsidR="00972A1E">
        <w:rPr>
          <w:rFonts w:ascii="Times New Roman" w:eastAsia="Times New Roman" w:hAnsi="Times New Roman" w:cs="Times New Roman"/>
          <w:sz w:val="26"/>
          <w:szCs w:val="26"/>
        </w:rPr>
        <w:t xml:space="preserve">Findings of Fact Nos. 71 and 73 would appear to </w:t>
      </w:r>
      <w:r w:rsidRPr="003954B1">
        <w:rPr>
          <w:rFonts w:ascii="Times New Roman" w:eastAsia="Times New Roman" w:hAnsi="Times New Roman" w:cs="Times New Roman"/>
          <w:sz w:val="26"/>
          <w:szCs w:val="26"/>
        </w:rPr>
        <w:t xml:space="preserve">delete </w:t>
      </w:r>
      <w:r w:rsidRPr="003954B1">
        <w:rPr>
          <w:rFonts w:ascii="Times New Roman" w:eastAsia="Times New Roman" w:hAnsi="Times New Roman" w:cs="Times New Roman"/>
          <w:i/>
          <w:iCs/>
          <w:sz w:val="26"/>
          <w:szCs w:val="26"/>
        </w:rPr>
        <w:t>dicta</w:t>
      </w:r>
      <w:r w:rsidRPr="003954B1">
        <w:rPr>
          <w:rFonts w:ascii="Times New Roman" w:eastAsia="Times New Roman" w:hAnsi="Times New Roman" w:cs="Times New Roman"/>
          <w:sz w:val="26"/>
          <w:szCs w:val="26"/>
        </w:rPr>
        <w:t xml:space="preserve"> from the Recommended Decision</w:t>
      </w:r>
      <w:r w:rsidR="004C6534">
        <w:rPr>
          <w:rFonts w:ascii="Times New Roman" w:eastAsia="Times New Roman" w:hAnsi="Times New Roman" w:cs="Times New Roman"/>
          <w:sz w:val="26"/>
          <w:szCs w:val="26"/>
        </w:rPr>
        <w:t>,</w:t>
      </w:r>
      <w:r w:rsidRPr="003954B1">
        <w:rPr>
          <w:rFonts w:ascii="Times New Roman" w:eastAsia="Times New Roman" w:hAnsi="Times New Roman" w:cs="Times New Roman"/>
          <w:sz w:val="26"/>
          <w:szCs w:val="26"/>
        </w:rPr>
        <w:t xml:space="preserve"> which is immaterial to our review and decision whether to adopt the Joint Petition.</w:t>
      </w:r>
    </w:p>
    <w:p w14:paraId="258ABF9D" w14:textId="77777777" w:rsidR="003954B1" w:rsidRPr="003954B1" w:rsidRDefault="003954B1" w:rsidP="003954B1">
      <w:pPr>
        <w:spacing w:line="360" w:lineRule="auto"/>
        <w:ind w:firstLine="1440"/>
        <w:contextualSpacing/>
        <w:rPr>
          <w:rFonts w:ascii="Times New Roman" w:eastAsia="Times New Roman" w:hAnsi="Times New Roman" w:cs="Times New Roman"/>
          <w:sz w:val="26"/>
          <w:szCs w:val="26"/>
        </w:rPr>
      </w:pPr>
    </w:p>
    <w:p w14:paraId="57C33A5E" w14:textId="406E1791" w:rsidR="00666145" w:rsidRDefault="003954B1" w:rsidP="003954B1">
      <w:pPr>
        <w:spacing w:line="360" w:lineRule="auto"/>
        <w:ind w:firstLine="1440"/>
        <w:contextualSpacing/>
        <w:rPr>
          <w:rFonts w:ascii="Times New Roman" w:eastAsia="Times New Roman" w:hAnsi="Times New Roman" w:cs="Times New Roman"/>
          <w:sz w:val="26"/>
          <w:szCs w:val="26"/>
        </w:rPr>
      </w:pPr>
      <w:r w:rsidRPr="003954B1">
        <w:rPr>
          <w:rFonts w:ascii="Times New Roman" w:eastAsia="Times New Roman" w:hAnsi="Times New Roman" w:cs="Times New Roman"/>
          <w:sz w:val="26"/>
          <w:szCs w:val="26"/>
        </w:rPr>
        <w:t>Therefore, we will grant the OCA’s Exception, and modify the ALJ’</w:t>
      </w:r>
      <w:r w:rsidR="00A33A58">
        <w:rPr>
          <w:rFonts w:ascii="Times New Roman" w:eastAsia="Times New Roman" w:hAnsi="Times New Roman" w:cs="Times New Roman"/>
          <w:sz w:val="26"/>
          <w:szCs w:val="26"/>
        </w:rPr>
        <w:t>s</w:t>
      </w:r>
      <w:r w:rsidRPr="003954B1">
        <w:rPr>
          <w:rFonts w:ascii="Times New Roman" w:eastAsia="Times New Roman" w:hAnsi="Times New Roman" w:cs="Times New Roman"/>
          <w:sz w:val="26"/>
          <w:szCs w:val="26"/>
        </w:rPr>
        <w:t xml:space="preserve"> Recommended Decision to delete </w:t>
      </w:r>
      <w:r w:rsidR="00081D91">
        <w:rPr>
          <w:rFonts w:ascii="Times New Roman" w:eastAsia="Times New Roman" w:hAnsi="Times New Roman" w:cs="Times New Roman"/>
          <w:sz w:val="26"/>
          <w:szCs w:val="26"/>
        </w:rPr>
        <w:t>Findings of Fact Nos. 71 and 73</w:t>
      </w:r>
      <w:r w:rsidRPr="003954B1">
        <w:rPr>
          <w:rFonts w:ascii="Times New Roman" w:eastAsia="Times New Roman" w:hAnsi="Times New Roman" w:cs="Times New Roman"/>
          <w:sz w:val="26"/>
          <w:szCs w:val="26"/>
        </w:rPr>
        <w:t>.</w:t>
      </w:r>
      <w:r w:rsidR="00081D91">
        <w:rPr>
          <w:rFonts w:ascii="Times New Roman" w:eastAsia="Times New Roman" w:hAnsi="Times New Roman" w:cs="Times New Roman"/>
          <w:sz w:val="26"/>
          <w:szCs w:val="26"/>
        </w:rPr>
        <w:t xml:space="preserve"> </w:t>
      </w:r>
    </w:p>
    <w:p w14:paraId="56E5B988" w14:textId="3C38528A" w:rsidR="003954B1" w:rsidRDefault="00081D91" w:rsidP="003954B1">
      <w:pPr>
        <w:spacing w:line="360" w:lineRule="auto"/>
        <w:ind w:firstLine="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AFDACD2" w14:textId="46D772D2" w:rsidR="00666145" w:rsidRPr="00666145" w:rsidRDefault="00666145" w:rsidP="00666145">
      <w:pPr>
        <w:spacing w:line="360" w:lineRule="auto"/>
        <w:ind w:left="72" w:right="72" w:firstLine="1440"/>
        <w:contextualSpacing/>
        <w:textAlignment w:val="baseline"/>
        <w:rPr>
          <w:rFonts w:ascii="Times New Roman" w:eastAsia="Times New Roman" w:hAnsi="Times New Roman" w:cs="Times New Roman"/>
          <w:color w:val="000000"/>
          <w:sz w:val="26"/>
          <w:szCs w:val="26"/>
        </w:rPr>
      </w:pPr>
      <w:r w:rsidRPr="00666145">
        <w:rPr>
          <w:rFonts w:ascii="Times New Roman" w:eastAsia="Times New Roman" w:hAnsi="Times New Roman" w:cs="Times New Roman"/>
          <w:color w:val="000000"/>
          <w:sz w:val="26"/>
          <w:szCs w:val="26"/>
        </w:rPr>
        <w:t>With respect to the Joint Petition seeking approval of PAWC’s Application, as summarized above, the ALJ recommended approval of each of the settlement terms, without modification, as being in the public interest.  We concur.</w:t>
      </w:r>
    </w:p>
    <w:p w14:paraId="70DBE25B" w14:textId="77777777" w:rsidR="00666145" w:rsidRPr="00666145" w:rsidRDefault="00666145" w:rsidP="00666145">
      <w:pPr>
        <w:spacing w:line="360" w:lineRule="auto"/>
        <w:ind w:left="72" w:right="72" w:firstLine="1440"/>
        <w:contextualSpacing/>
        <w:textAlignment w:val="baseline"/>
        <w:rPr>
          <w:rFonts w:ascii="Times New Roman" w:eastAsia="Times New Roman" w:hAnsi="Times New Roman" w:cs="Times New Roman"/>
          <w:color w:val="000000"/>
          <w:sz w:val="26"/>
          <w:szCs w:val="26"/>
        </w:rPr>
      </w:pPr>
    </w:p>
    <w:p w14:paraId="3E87B6D1" w14:textId="503210DE" w:rsidR="00666145" w:rsidRPr="00666145" w:rsidRDefault="00666145" w:rsidP="00666145">
      <w:pPr>
        <w:spacing w:line="360" w:lineRule="auto"/>
        <w:ind w:firstLine="1440"/>
        <w:contextualSpacing/>
        <w:rPr>
          <w:rFonts w:ascii="Times New Roman" w:eastAsia="Times New Roman" w:hAnsi="Times New Roman" w:cs="Times New Roman"/>
          <w:sz w:val="26"/>
          <w:szCs w:val="26"/>
        </w:rPr>
      </w:pPr>
      <w:r w:rsidRPr="00666145">
        <w:rPr>
          <w:rFonts w:ascii="Times New Roman" w:eastAsia="Times New Roman" w:hAnsi="Times New Roman" w:cs="Times New Roman"/>
          <w:sz w:val="26"/>
          <w:szCs w:val="26"/>
        </w:rPr>
        <w:t xml:space="preserve">The policy of the Commission is to encourage settlements,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used in litigating the proceeding, while a partial settlement may significantly reduce the time, </w:t>
      </w:r>
      <w:proofErr w:type="gramStart"/>
      <w:r w:rsidRPr="00666145">
        <w:rPr>
          <w:rFonts w:ascii="Times New Roman" w:eastAsia="Times New Roman" w:hAnsi="Times New Roman" w:cs="Times New Roman"/>
          <w:sz w:val="26"/>
          <w:szCs w:val="26"/>
        </w:rPr>
        <w:t>effort</w:t>
      </w:r>
      <w:proofErr w:type="gramEnd"/>
      <w:r w:rsidRPr="00666145">
        <w:rPr>
          <w:rFonts w:ascii="Times New Roman" w:eastAsia="Times New Roman" w:hAnsi="Times New Roman" w:cs="Times New Roman"/>
          <w:sz w:val="26"/>
          <w:szCs w:val="26"/>
        </w:rPr>
        <w:t xml:space="preserve"> and expense of litigating a case.  A settlement, </w:t>
      </w:r>
      <w:r w:rsidRPr="00666145">
        <w:rPr>
          <w:rFonts w:ascii="Times New Roman" w:eastAsia="Times New Roman" w:hAnsi="Times New Roman" w:cs="Times New Roman"/>
          <w:sz w:val="26"/>
          <w:szCs w:val="26"/>
        </w:rPr>
        <w:lastRenderedPageBreak/>
        <w:t xml:space="preserve">whether whole or partial, benefits not only the named parties directly, but, indirectly, all customers of the public utility involved in the case.  </w:t>
      </w:r>
      <w:r w:rsidRPr="00666145">
        <w:rPr>
          <w:rFonts w:ascii="Times New Roman" w:eastAsia="Times New Roman" w:hAnsi="Times New Roman" w:cs="Times New Roman"/>
          <w:i/>
          <w:sz w:val="26"/>
          <w:szCs w:val="26"/>
        </w:rPr>
        <w:t>Pa. PUC, et al. v. Columbia Gas of Pennsylvania, Inc.</w:t>
      </w:r>
      <w:r w:rsidRPr="00666145">
        <w:rPr>
          <w:rFonts w:ascii="Times New Roman" w:eastAsia="Times New Roman" w:hAnsi="Times New Roman" w:cs="Times New Roman"/>
          <w:sz w:val="26"/>
          <w:szCs w:val="26"/>
        </w:rPr>
        <w:t xml:space="preserve">, Docket Nos. R-2015-2468056, </w:t>
      </w:r>
      <w:r w:rsidRPr="00666145">
        <w:rPr>
          <w:rFonts w:ascii="Times New Roman" w:eastAsia="Times New Roman" w:hAnsi="Times New Roman" w:cs="Times New Roman"/>
          <w:i/>
          <w:sz w:val="26"/>
          <w:szCs w:val="26"/>
        </w:rPr>
        <w:t>et al.</w:t>
      </w:r>
      <w:r w:rsidRPr="00666145">
        <w:rPr>
          <w:rFonts w:ascii="Times New Roman" w:eastAsia="Times New Roman" w:hAnsi="Times New Roman" w:cs="Times New Roman"/>
          <w:sz w:val="26"/>
          <w:szCs w:val="26"/>
        </w:rPr>
        <w:t xml:space="preserve"> (Order entered December</w:t>
      </w:r>
      <w:r w:rsidR="00A45DA5">
        <w:rPr>
          <w:rFonts w:ascii="Times New Roman" w:eastAsia="Times New Roman" w:hAnsi="Times New Roman" w:cs="Times New Roman"/>
          <w:sz w:val="26"/>
          <w:szCs w:val="26"/>
        </w:rPr>
        <w:t> </w:t>
      </w:r>
      <w:r w:rsidRPr="00666145">
        <w:rPr>
          <w:rFonts w:ascii="Times New Roman" w:eastAsia="Times New Roman" w:hAnsi="Times New Roman" w:cs="Times New Roman"/>
          <w:sz w:val="26"/>
          <w:szCs w:val="26"/>
        </w:rPr>
        <w:t>3,</w:t>
      </w:r>
      <w:r w:rsidR="00A45DA5">
        <w:rPr>
          <w:rFonts w:ascii="Times New Roman" w:eastAsia="Times New Roman" w:hAnsi="Times New Roman" w:cs="Times New Roman"/>
          <w:sz w:val="26"/>
          <w:szCs w:val="26"/>
        </w:rPr>
        <w:t> </w:t>
      </w:r>
      <w:r w:rsidRPr="00666145">
        <w:rPr>
          <w:rFonts w:ascii="Times New Roman" w:eastAsia="Times New Roman" w:hAnsi="Times New Roman" w:cs="Times New Roman"/>
          <w:sz w:val="26"/>
          <w:szCs w:val="26"/>
        </w:rPr>
        <w:t>2015) at 6-7.</w:t>
      </w:r>
    </w:p>
    <w:p w14:paraId="777D5035" w14:textId="77777777" w:rsidR="00666145" w:rsidRPr="00666145" w:rsidRDefault="00666145" w:rsidP="00666145">
      <w:pPr>
        <w:spacing w:line="360" w:lineRule="auto"/>
        <w:ind w:firstLine="1440"/>
        <w:contextualSpacing/>
        <w:rPr>
          <w:rFonts w:ascii="Times New Roman" w:eastAsia="Times New Roman" w:hAnsi="Times New Roman" w:cs="Times New Roman"/>
          <w:sz w:val="26"/>
          <w:szCs w:val="26"/>
        </w:rPr>
      </w:pPr>
    </w:p>
    <w:p w14:paraId="1D7AEAC1" w14:textId="77777777" w:rsidR="00666145" w:rsidRPr="00666145" w:rsidRDefault="00666145" w:rsidP="00666145">
      <w:pPr>
        <w:suppressAutoHyphens/>
        <w:spacing w:line="360" w:lineRule="auto"/>
        <w:ind w:firstLine="1440"/>
        <w:contextualSpacing/>
        <w:rPr>
          <w:rFonts w:ascii="Times New Roman" w:eastAsia="Times New Roman" w:hAnsi="Times New Roman" w:cs="Times New Roman"/>
          <w:sz w:val="26"/>
          <w:szCs w:val="26"/>
        </w:rPr>
      </w:pPr>
      <w:r w:rsidRPr="00666145">
        <w:rPr>
          <w:rFonts w:ascii="Times New Roman" w:eastAsia="Times New Roman" w:hAnsi="Times New Roman" w:cs="Times New Roman"/>
          <w:sz w:val="26"/>
          <w:szCs w:val="26"/>
        </w:rPr>
        <w:t xml:space="preserve">Partial or full settlements allow the parties to avoid the substantial costs of preparing and serving testimony and the cross-examination of witnesses in lengthy hearings, the preparation and service of briefs, reply briefs, exceptions and replies to exceptions, together with the briefs and reply briefs necessitated by any appeal of the Commission’s decision, yielding significant expense savings for the company’s customers.  For this and other sound reasons, settlements are encouraged by long-standing Commission policy.  </w:t>
      </w:r>
      <w:r w:rsidRPr="00666145">
        <w:rPr>
          <w:rFonts w:ascii="Times New Roman" w:eastAsia="Times New Roman" w:hAnsi="Times New Roman" w:cs="Times New Roman"/>
          <w:i/>
          <w:sz w:val="26"/>
          <w:szCs w:val="26"/>
        </w:rPr>
        <w:t>Id.</w:t>
      </w:r>
    </w:p>
    <w:p w14:paraId="0F8CBE5D" w14:textId="77777777" w:rsidR="00666145" w:rsidRPr="00666145" w:rsidRDefault="00666145" w:rsidP="00666145">
      <w:pPr>
        <w:suppressAutoHyphens/>
        <w:spacing w:line="360" w:lineRule="auto"/>
        <w:ind w:firstLine="1440"/>
        <w:contextualSpacing/>
        <w:rPr>
          <w:rFonts w:ascii="Times New Roman" w:eastAsia="Times New Roman" w:hAnsi="Times New Roman" w:cs="Times New Roman"/>
          <w:sz w:val="26"/>
          <w:szCs w:val="26"/>
        </w:rPr>
      </w:pPr>
    </w:p>
    <w:p w14:paraId="256FBDDE" w14:textId="77777777" w:rsidR="00666145" w:rsidRPr="00666145" w:rsidRDefault="00666145" w:rsidP="00666145">
      <w:pPr>
        <w:spacing w:line="360" w:lineRule="auto"/>
        <w:ind w:firstLine="1440"/>
        <w:contextualSpacing/>
        <w:rPr>
          <w:rFonts w:ascii="Times New Roman" w:eastAsia="Times New Roman" w:hAnsi="Times New Roman" w:cs="Times New Roman"/>
          <w:sz w:val="26"/>
          <w:szCs w:val="26"/>
        </w:rPr>
      </w:pPr>
      <w:r w:rsidRPr="00666145">
        <w:rPr>
          <w:rFonts w:ascii="Times New Roman" w:eastAsia="Times New Roman" w:hAnsi="Times New Roman" w:cs="Times New Roman"/>
          <w:sz w:val="26"/>
          <w:szCs w:val="26"/>
        </w:rPr>
        <w:t xml:space="preserve">Despite the policy favoring settlements, the Commission does not simply rubber stamp settlements without further inquiry.  In order to accept a settlement such as those proposed here, the Commission must determine that the proposed terms and conditions are in the public interest.  </w:t>
      </w:r>
      <w:r w:rsidRPr="00666145">
        <w:rPr>
          <w:rFonts w:ascii="Times New Roman" w:eastAsia="Times New Roman" w:hAnsi="Times New Roman" w:cs="Times New Roman"/>
          <w:i/>
          <w:sz w:val="26"/>
          <w:szCs w:val="26"/>
        </w:rPr>
        <w:t>Pa. PUC v. York Water Co.</w:t>
      </w:r>
      <w:r w:rsidRPr="00666145">
        <w:rPr>
          <w:rFonts w:ascii="Times New Roman" w:eastAsia="Times New Roman" w:hAnsi="Times New Roman" w:cs="Times New Roman"/>
          <w:sz w:val="26"/>
          <w:szCs w:val="26"/>
        </w:rPr>
        <w:t>, Docket No. R</w:t>
      </w:r>
      <w:r w:rsidRPr="00666145">
        <w:rPr>
          <w:rFonts w:ascii="Times New Roman" w:eastAsia="Times New Roman" w:hAnsi="Times New Roman" w:cs="Times New Roman"/>
          <w:sz w:val="26"/>
          <w:szCs w:val="26"/>
        </w:rPr>
        <w:noBreakHyphen/>
        <w:t xml:space="preserve">00049165 (Order entered October 4, 2004); </w:t>
      </w:r>
      <w:r w:rsidRPr="00666145">
        <w:rPr>
          <w:rFonts w:ascii="Times New Roman" w:eastAsia="Times New Roman" w:hAnsi="Times New Roman" w:cs="Times New Roman"/>
          <w:i/>
          <w:sz w:val="26"/>
          <w:szCs w:val="26"/>
        </w:rPr>
        <w:t>Pa. PUC v. C. S. Water and Sewer Assoc.</w:t>
      </w:r>
      <w:r w:rsidRPr="00666145">
        <w:rPr>
          <w:rFonts w:ascii="Times New Roman" w:eastAsia="Times New Roman" w:hAnsi="Times New Roman" w:cs="Times New Roman"/>
          <w:sz w:val="26"/>
          <w:szCs w:val="26"/>
        </w:rPr>
        <w:t>, 74 Pa. P.U.C. 767 (1991).</w:t>
      </w:r>
    </w:p>
    <w:p w14:paraId="4AD3BD72" w14:textId="77777777" w:rsidR="00666145" w:rsidRPr="00666145" w:rsidRDefault="00666145" w:rsidP="00666145">
      <w:pPr>
        <w:spacing w:line="360" w:lineRule="auto"/>
        <w:ind w:firstLine="1440"/>
        <w:contextualSpacing/>
        <w:rPr>
          <w:rFonts w:ascii="Times New Roman" w:eastAsia="Times New Roman" w:hAnsi="Times New Roman" w:cs="Times New Roman"/>
          <w:sz w:val="26"/>
          <w:szCs w:val="26"/>
        </w:rPr>
      </w:pPr>
    </w:p>
    <w:p w14:paraId="3817A96A" w14:textId="0CC14848" w:rsidR="00666145" w:rsidRPr="00666145" w:rsidRDefault="00666145" w:rsidP="00666145">
      <w:pPr>
        <w:spacing w:line="360" w:lineRule="auto"/>
        <w:ind w:left="72" w:right="72" w:firstLine="1440"/>
        <w:contextualSpacing/>
        <w:textAlignment w:val="baseline"/>
        <w:rPr>
          <w:rFonts w:ascii="Times New Roman" w:eastAsia="Times New Roman" w:hAnsi="Times New Roman" w:cs="Times New Roman"/>
          <w:sz w:val="26"/>
          <w:szCs w:val="26"/>
        </w:rPr>
      </w:pPr>
      <w:r w:rsidRPr="00666145">
        <w:rPr>
          <w:rFonts w:ascii="Times New Roman" w:eastAsia="Times New Roman" w:hAnsi="Times New Roman" w:cs="Times New Roman"/>
          <w:sz w:val="26"/>
          <w:szCs w:val="26"/>
        </w:rPr>
        <w:t xml:space="preserve">The Joint Petition reflects the consensus of the Parties that the terms and conditions benefit all interested parties, including securing a lower rate increase than might have otherwise resulted from protracted litigation. </w:t>
      </w:r>
      <w:r w:rsidR="001442E2">
        <w:rPr>
          <w:rFonts w:ascii="Times New Roman" w:eastAsia="Times New Roman" w:hAnsi="Times New Roman" w:cs="Times New Roman"/>
          <w:sz w:val="26"/>
          <w:szCs w:val="26"/>
        </w:rPr>
        <w:t xml:space="preserve"> </w:t>
      </w:r>
      <w:r w:rsidRPr="00666145">
        <w:rPr>
          <w:rFonts w:ascii="Times New Roman" w:eastAsia="Times New Roman" w:hAnsi="Times New Roman" w:cs="Times New Roman"/>
          <w:sz w:val="26"/>
          <w:szCs w:val="26"/>
        </w:rPr>
        <w:t xml:space="preserve">The Joint Petition resolves the issues necessary for the ultimate resolution of the present proceeding.  It also removes several potentially contentious issues that would have prolonged or required further litigation or administrative proceedings.  The benefits of approving the Joint Petition are numerous and will result in savings of time and expenses for all Parties involved by avoiding the necessity of further administrative proceedings, as well as possible appellate court proceedings, conserving precious administrative resources.  Moreover, </w:t>
      </w:r>
      <w:r w:rsidRPr="00666145">
        <w:rPr>
          <w:rFonts w:ascii="Times New Roman" w:eastAsia="Times New Roman" w:hAnsi="Times New Roman" w:cs="Times New Roman"/>
          <w:sz w:val="26"/>
          <w:szCs w:val="26"/>
        </w:rPr>
        <w:lastRenderedPageBreak/>
        <w:t xml:space="preserve">the Joint Stipulation provides regulatory certainty with respect to the disposition of issues which benefits all </w:t>
      </w:r>
      <w:r w:rsidR="00EC5CA7">
        <w:rPr>
          <w:rFonts w:ascii="Times New Roman" w:eastAsia="Times New Roman" w:hAnsi="Times New Roman" w:cs="Times New Roman"/>
          <w:sz w:val="26"/>
          <w:szCs w:val="26"/>
        </w:rPr>
        <w:t>P</w:t>
      </w:r>
      <w:r w:rsidRPr="00666145">
        <w:rPr>
          <w:rFonts w:ascii="Times New Roman" w:eastAsia="Times New Roman" w:hAnsi="Times New Roman" w:cs="Times New Roman"/>
          <w:sz w:val="26"/>
          <w:szCs w:val="26"/>
        </w:rPr>
        <w:t>arties.</w:t>
      </w:r>
    </w:p>
    <w:p w14:paraId="7ECB09AA" w14:textId="77777777" w:rsidR="00666145" w:rsidRPr="00666145" w:rsidRDefault="00666145" w:rsidP="00666145">
      <w:pPr>
        <w:spacing w:line="360" w:lineRule="auto"/>
        <w:ind w:left="72" w:right="72" w:firstLine="1440"/>
        <w:contextualSpacing/>
        <w:textAlignment w:val="baseline"/>
        <w:rPr>
          <w:rFonts w:ascii="Times New Roman" w:eastAsia="Times New Roman" w:hAnsi="Times New Roman" w:cs="Times New Roman"/>
          <w:sz w:val="26"/>
          <w:szCs w:val="26"/>
        </w:rPr>
      </w:pPr>
    </w:p>
    <w:p w14:paraId="32E04627" w14:textId="17795C7D" w:rsidR="008E6929" w:rsidRDefault="00666145" w:rsidP="00E65202">
      <w:pPr>
        <w:spacing w:line="360" w:lineRule="auto"/>
        <w:ind w:firstLine="1440"/>
        <w:contextualSpacing/>
        <w:rPr>
          <w:rFonts w:ascii="Times New Roman" w:eastAsia="Times New Roman" w:hAnsi="Times New Roman" w:cs="Times New Roman"/>
          <w:sz w:val="26"/>
          <w:szCs w:val="26"/>
        </w:rPr>
      </w:pPr>
      <w:r w:rsidRPr="00666145">
        <w:rPr>
          <w:rFonts w:ascii="Times New Roman" w:eastAsia="Times New Roman" w:hAnsi="Times New Roman" w:cs="Times New Roman"/>
          <w:sz w:val="26"/>
          <w:szCs w:val="26"/>
        </w:rPr>
        <w:t>We agree with the ALJ’</w:t>
      </w:r>
      <w:r w:rsidR="001442E2">
        <w:rPr>
          <w:rFonts w:ascii="Times New Roman" w:eastAsia="Times New Roman" w:hAnsi="Times New Roman" w:cs="Times New Roman"/>
          <w:sz w:val="26"/>
          <w:szCs w:val="26"/>
        </w:rPr>
        <w:t>s</w:t>
      </w:r>
      <w:r w:rsidRPr="00666145">
        <w:rPr>
          <w:rFonts w:ascii="Times New Roman" w:eastAsia="Times New Roman" w:hAnsi="Times New Roman" w:cs="Times New Roman"/>
          <w:sz w:val="26"/>
          <w:szCs w:val="26"/>
        </w:rPr>
        <w:t xml:space="preserve"> analysis and conclusion that the provisions of the Joint Petition are in the public interest.  Accordingly, we shall adopt the ALJ</w:t>
      </w:r>
      <w:r w:rsidR="001442E2">
        <w:rPr>
          <w:rFonts w:ascii="Times New Roman" w:eastAsia="Times New Roman" w:hAnsi="Times New Roman" w:cs="Times New Roman"/>
          <w:sz w:val="26"/>
          <w:szCs w:val="26"/>
        </w:rPr>
        <w:t>’</w:t>
      </w:r>
      <w:r w:rsidRPr="00666145">
        <w:rPr>
          <w:rFonts w:ascii="Times New Roman" w:eastAsia="Times New Roman" w:hAnsi="Times New Roman" w:cs="Times New Roman"/>
          <w:sz w:val="26"/>
          <w:szCs w:val="26"/>
        </w:rPr>
        <w:t>s recommendation and approve the Joint Petition, without modification.</w:t>
      </w:r>
    </w:p>
    <w:p w14:paraId="37FAE254" w14:textId="77777777" w:rsidR="00392B26" w:rsidRPr="006A749D" w:rsidRDefault="00392B26" w:rsidP="00E65202">
      <w:pPr>
        <w:spacing w:line="360" w:lineRule="auto"/>
        <w:ind w:firstLine="1440"/>
        <w:textAlignment w:val="baseline"/>
        <w:rPr>
          <w:rFonts w:ascii="Times New Roman" w:eastAsia="Times New Roman" w:hAnsi="Times New Roman" w:cs="Times New Roman"/>
          <w:color w:val="000000"/>
          <w:sz w:val="26"/>
          <w:szCs w:val="26"/>
        </w:rPr>
      </w:pPr>
    </w:p>
    <w:p w14:paraId="64140778" w14:textId="646AF9BA" w:rsidR="00222BBB" w:rsidRPr="006A749D" w:rsidRDefault="00A147EB" w:rsidP="00E65202">
      <w:pPr>
        <w:pStyle w:val="Heading1"/>
      </w:pPr>
      <w:bookmarkStart w:id="15" w:name="_Toc66196412"/>
      <w:r w:rsidRPr="006A749D">
        <w:t>III.</w:t>
      </w:r>
      <w:r w:rsidRPr="006A749D">
        <w:tab/>
      </w:r>
      <w:r w:rsidR="00222BBB" w:rsidRPr="006A749D">
        <w:t>Conclusion</w:t>
      </w:r>
      <w:bookmarkEnd w:id="15"/>
    </w:p>
    <w:p w14:paraId="6F6F7DE1" w14:textId="77777777" w:rsidR="00222BBB" w:rsidRPr="006A749D" w:rsidRDefault="00222BBB" w:rsidP="00E65202">
      <w:pPr>
        <w:keepNext/>
        <w:keepLines/>
        <w:spacing w:line="360" w:lineRule="auto"/>
        <w:ind w:firstLine="1440"/>
        <w:rPr>
          <w:rFonts w:ascii="Times New Roman" w:hAnsi="Times New Roman" w:cs="Times New Roman"/>
          <w:sz w:val="26"/>
          <w:szCs w:val="26"/>
        </w:rPr>
      </w:pPr>
    </w:p>
    <w:p w14:paraId="3E0B3C26" w14:textId="191266AF" w:rsidR="00D64C1F" w:rsidRPr="00D64C1F" w:rsidRDefault="00822A66" w:rsidP="00E65202">
      <w:pPr>
        <w:keepNext/>
        <w:spacing w:line="360" w:lineRule="auto"/>
        <w:ind w:firstLine="1440"/>
        <w:rPr>
          <w:rFonts w:ascii="Times New Roman" w:hAnsi="Times New Roman" w:cs="Times New Roman"/>
          <w:sz w:val="26"/>
          <w:szCs w:val="26"/>
        </w:rPr>
      </w:pPr>
      <w:r>
        <w:rPr>
          <w:rFonts w:ascii="Times New Roman" w:hAnsi="Times New Roman" w:cs="Times New Roman"/>
          <w:bCs/>
          <w:sz w:val="26"/>
          <w:szCs w:val="26"/>
        </w:rPr>
        <w:t>Upon review, we</w:t>
      </w:r>
      <w:r w:rsidR="00C72871" w:rsidRPr="00E54925">
        <w:rPr>
          <w:rFonts w:ascii="Times New Roman" w:hAnsi="Times New Roman" w:cs="Times New Roman"/>
          <w:bCs/>
          <w:sz w:val="26"/>
          <w:szCs w:val="26"/>
        </w:rPr>
        <w:t xml:space="preserve"> shall </w:t>
      </w:r>
      <w:r w:rsidR="00C72871" w:rsidRPr="00E54925">
        <w:rPr>
          <w:rFonts w:ascii="Times New Roman" w:eastAsia="Times New Roman" w:hAnsi="Times New Roman" w:cs="Times New Roman"/>
          <w:sz w:val="26"/>
          <w:szCs w:val="26"/>
        </w:rPr>
        <w:t>adopt the ALJ</w:t>
      </w:r>
      <w:r>
        <w:rPr>
          <w:rFonts w:ascii="Times New Roman" w:eastAsia="Times New Roman" w:hAnsi="Times New Roman" w:cs="Times New Roman"/>
          <w:sz w:val="26"/>
          <w:szCs w:val="26"/>
        </w:rPr>
        <w:t>’</w:t>
      </w:r>
      <w:r w:rsidR="00C72871" w:rsidRPr="00E54925">
        <w:rPr>
          <w:rFonts w:ascii="Times New Roman" w:eastAsia="Times New Roman" w:hAnsi="Times New Roman" w:cs="Times New Roman"/>
          <w:sz w:val="26"/>
          <w:szCs w:val="26"/>
        </w:rPr>
        <w:t xml:space="preserve">s recommendation that grants the Joint Petition and approve the terms and conditions of PAWC’s Application as </w:t>
      </w:r>
      <w:r w:rsidR="0066491A">
        <w:rPr>
          <w:rFonts w:ascii="Times New Roman" w:eastAsia="Times New Roman" w:hAnsi="Times New Roman" w:cs="Times New Roman"/>
          <w:sz w:val="26"/>
          <w:szCs w:val="26"/>
        </w:rPr>
        <w:t>modified by the Settlement</w:t>
      </w:r>
      <w:r w:rsidR="00C72871" w:rsidRPr="00E54925">
        <w:rPr>
          <w:rFonts w:ascii="Times New Roman" w:eastAsia="Times New Roman" w:hAnsi="Times New Roman" w:cs="Times New Roman"/>
          <w:sz w:val="26"/>
          <w:szCs w:val="26"/>
        </w:rPr>
        <w:t>.</w:t>
      </w:r>
      <w:r w:rsidR="00C72871">
        <w:rPr>
          <w:rFonts w:ascii="Times New Roman" w:eastAsia="Times New Roman" w:hAnsi="Times New Roman" w:cs="Times New Roman"/>
          <w:sz w:val="26"/>
          <w:szCs w:val="26"/>
        </w:rPr>
        <w:t xml:space="preserve"> </w:t>
      </w:r>
      <w:r w:rsidR="00C72871" w:rsidRPr="00E54925">
        <w:rPr>
          <w:rFonts w:ascii="Times New Roman" w:eastAsia="Times New Roman" w:hAnsi="Times New Roman" w:cs="Times New Roman"/>
          <w:sz w:val="26"/>
          <w:szCs w:val="26"/>
        </w:rPr>
        <w:t xml:space="preserve"> Further, we shall grant the Exception of </w:t>
      </w:r>
      <w:r w:rsidR="00C72871">
        <w:rPr>
          <w:rFonts w:ascii="Times New Roman" w:eastAsia="Times New Roman" w:hAnsi="Times New Roman" w:cs="Times New Roman"/>
          <w:sz w:val="26"/>
          <w:szCs w:val="26"/>
        </w:rPr>
        <w:t xml:space="preserve">the </w:t>
      </w:r>
      <w:r w:rsidR="00C72871" w:rsidRPr="00E54925">
        <w:rPr>
          <w:rFonts w:ascii="Times New Roman" w:eastAsia="Times New Roman" w:hAnsi="Times New Roman" w:cs="Times New Roman"/>
          <w:sz w:val="26"/>
          <w:szCs w:val="26"/>
        </w:rPr>
        <w:t>OCA, and modify the ALJ</w:t>
      </w:r>
      <w:r>
        <w:rPr>
          <w:rFonts w:ascii="Times New Roman" w:eastAsia="Times New Roman" w:hAnsi="Times New Roman" w:cs="Times New Roman"/>
          <w:sz w:val="26"/>
          <w:szCs w:val="26"/>
        </w:rPr>
        <w:t>’</w:t>
      </w:r>
      <w:r w:rsidR="00C72871" w:rsidRPr="00E54925">
        <w:rPr>
          <w:rFonts w:ascii="Times New Roman" w:eastAsia="Times New Roman" w:hAnsi="Times New Roman" w:cs="Times New Roman"/>
          <w:sz w:val="26"/>
          <w:szCs w:val="26"/>
        </w:rPr>
        <w:t>s Recommended Decision for purposes of clarification</w:t>
      </w:r>
      <w:r w:rsidR="00C72871" w:rsidRPr="00E54925">
        <w:rPr>
          <w:rFonts w:ascii="Times New Roman" w:hAnsi="Times New Roman" w:cs="Times New Roman"/>
          <w:bCs/>
          <w:sz w:val="26"/>
          <w:szCs w:val="26"/>
        </w:rPr>
        <w:t>, consistent with this Opinion and Order</w:t>
      </w:r>
      <w:r w:rsidR="00D64C1F" w:rsidRPr="00D64C1F">
        <w:rPr>
          <w:rFonts w:ascii="Times New Roman" w:hAnsi="Times New Roman" w:cs="Times New Roman"/>
          <w:sz w:val="26"/>
          <w:szCs w:val="26"/>
        </w:rPr>
        <w:t xml:space="preserve">; </w:t>
      </w:r>
      <w:r w:rsidR="00D64C1F" w:rsidRPr="00D64C1F">
        <w:rPr>
          <w:rFonts w:ascii="Times New Roman" w:hAnsi="Times New Roman" w:cs="Times New Roman"/>
          <w:b/>
          <w:sz w:val="26"/>
          <w:szCs w:val="26"/>
        </w:rPr>
        <w:t>THEREFORE,</w:t>
      </w:r>
    </w:p>
    <w:p w14:paraId="500F535F" w14:textId="77777777" w:rsidR="00D64C1F" w:rsidRPr="00D64C1F" w:rsidRDefault="00D64C1F" w:rsidP="001C756C">
      <w:pPr>
        <w:spacing w:line="360" w:lineRule="auto"/>
        <w:ind w:firstLine="1440"/>
        <w:rPr>
          <w:rFonts w:ascii="Times New Roman" w:hAnsi="Times New Roman" w:cs="Times New Roman"/>
          <w:sz w:val="26"/>
          <w:szCs w:val="26"/>
        </w:rPr>
      </w:pPr>
    </w:p>
    <w:p w14:paraId="76FE4DFB" w14:textId="77777777" w:rsidR="00D64C1F" w:rsidRPr="00D64C1F" w:rsidRDefault="00D64C1F" w:rsidP="001C756C">
      <w:pPr>
        <w:spacing w:line="360" w:lineRule="auto"/>
        <w:ind w:firstLine="1440"/>
        <w:rPr>
          <w:rFonts w:ascii="Times New Roman" w:hAnsi="Times New Roman" w:cs="Times New Roman"/>
          <w:b/>
          <w:sz w:val="26"/>
          <w:szCs w:val="26"/>
        </w:rPr>
      </w:pPr>
      <w:r w:rsidRPr="00D64C1F">
        <w:rPr>
          <w:rFonts w:ascii="Times New Roman" w:hAnsi="Times New Roman" w:cs="Times New Roman"/>
          <w:b/>
          <w:sz w:val="26"/>
          <w:szCs w:val="26"/>
        </w:rPr>
        <w:t>IT IS ORDERED:</w:t>
      </w:r>
    </w:p>
    <w:p w14:paraId="15029AA9" w14:textId="77777777" w:rsidR="00D64C1F" w:rsidRPr="00D64C1F" w:rsidRDefault="00D64C1F" w:rsidP="001C756C">
      <w:pPr>
        <w:spacing w:line="360" w:lineRule="auto"/>
        <w:ind w:firstLine="1440"/>
        <w:rPr>
          <w:rFonts w:ascii="Times New Roman" w:hAnsi="Times New Roman" w:cs="Times New Roman"/>
          <w:sz w:val="26"/>
          <w:szCs w:val="26"/>
        </w:rPr>
      </w:pPr>
    </w:p>
    <w:p w14:paraId="1FF3FE44" w14:textId="5CDE4764" w:rsidR="00D64C1F" w:rsidRPr="00D64C1F" w:rsidRDefault="00D64C1F" w:rsidP="001C756C">
      <w:pPr>
        <w:spacing w:line="360" w:lineRule="auto"/>
        <w:ind w:firstLine="1440"/>
        <w:rPr>
          <w:rFonts w:ascii="Times New Roman" w:hAnsi="Times New Roman" w:cs="Times New Roman"/>
          <w:sz w:val="26"/>
          <w:szCs w:val="26"/>
        </w:rPr>
      </w:pPr>
      <w:r w:rsidRPr="00D64C1F">
        <w:rPr>
          <w:rFonts w:ascii="Times New Roman" w:hAnsi="Times New Roman" w:cs="Times New Roman"/>
          <w:sz w:val="26"/>
          <w:szCs w:val="26"/>
        </w:rPr>
        <w:t>1.</w:t>
      </w:r>
      <w:r w:rsidRPr="00D64C1F">
        <w:rPr>
          <w:rFonts w:ascii="Times New Roman" w:hAnsi="Times New Roman" w:cs="Times New Roman"/>
          <w:sz w:val="26"/>
          <w:szCs w:val="26"/>
        </w:rPr>
        <w:tab/>
        <w:t xml:space="preserve">That the Exception of </w:t>
      </w:r>
      <w:r w:rsidR="002032CF">
        <w:rPr>
          <w:rFonts w:ascii="Times New Roman" w:hAnsi="Times New Roman" w:cs="Times New Roman"/>
          <w:sz w:val="26"/>
          <w:szCs w:val="26"/>
        </w:rPr>
        <w:t xml:space="preserve">the Office of Consumer Advocate </w:t>
      </w:r>
      <w:r w:rsidRPr="00D64C1F">
        <w:rPr>
          <w:rFonts w:ascii="Times New Roman" w:hAnsi="Times New Roman" w:cs="Times New Roman"/>
          <w:sz w:val="26"/>
          <w:szCs w:val="26"/>
        </w:rPr>
        <w:t xml:space="preserve">filed on </w:t>
      </w:r>
      <w:r w:rsidR="00593FCE">
        <w:rPr>
          <w:rFonts w:ascii="Times New Roman" w:hAnsi="Times New Roman" w:cs="Times New Roman"/>
          <w:color w:val="000000" w:themeColor="text1"/>
          <w:sz w:val="26"/>
          <w:szCs w:val="26"/>
        </w:rPr>
        <w:t>March 26</w:t>
      </w:r>
      <w:r w:rsidR="00593FCE" w:rsidRPr="006A749D">
        <w:rPr>
          <w:rFonts w:ascii="Times New Roman" w:hAnsi="Times New Roman" w:cs="Times New Roman"/>
          <w:color w:val="000000" w:themeColor="text1"/>
          <w:sz w:val="26"/>
          <w:szCs w:val="26"/>
        </w:rPr>
        <w:t>, 2021</w:t>
      </w:r>
      <w:r w:rsidRPr="00D64C1F">
        <w:rPr>
          <w:rFonts w:ascii="Times New Roman" w:hAnsi="Times New Roman" w:cs="Times New Roman"/>
          <w:sz w:val="26"/>
          <w:szCs w:val="26"/>
        </w:rPr>
        <w:t xml:space="preserve">, </w:t>
      </w:r>
      <w:r w:rsidR="00155CA7" w:rsidRPr="00E54925">
        <w:rPr>
          <w:rFonts w:ascii="Times New Roman" w:hAnsi="Times New Roman" w:cs="Times New Roman"/>
          <w:bCs/>
          <w:sz w:val="26"/>
          <w:szCs w:val="26"/>
        </w:rPr>
        <w:t xml:space="preserve">to the Recommended Decision of Administrative Law Judge </w:t>
      </w:r>
      <w:r w:rsidR="00155CA7">
        <w:rPr>
          <w:rFonts w:ascii="Times New Roman" w:hAnsi="Times New Roman" w:cs="Times New Roman"/>
          <w:sz w:val="26"/>
          <w:szCs w:val="26"/>
        </w:rPr>
        <w:t xml:space="preserve">Marta </w:t>
      </w:r>
      <w:proofErr w:type="spellStart"/>
      <w:r w:rsidR="00155CA7">
        <w:rPr>
          <w:rFonts w:ascii="Times New Roman" w:hAnsi="Times New Roman" w:cs="Times New Roman"/>
          <w:sz w:val="26"/>
          <w:szCs w:val="26"/>
        </w:rPr>
        <w:t>Guhl</w:t>
      </w:r>
      <w:proofErr w:type="spellEnd"/>
      <w:r w:rsidR="00155CA7" w:rsidRPr="006A749D">
        <w:rPr>
          <w:rFonts w:ascii="Times New Roman" w:hAnsi="Times New Roman" w:cs="Times New Roman"/>
          <w:sz w:val="26"/>
          <w:szCs w:val="26"/>
        </w:rPr>
        <w:t xml:space="preserve"> issued on </w:t>
      </w:r>
      <w:r w:rsidR="00155CA7">
        <w:rPr>
          <w:rFonts w:ascii="Times New Roman" w:hAnsi="Times New Roman" w:cs="Times New Roman"/>
          <w:sz w:val="26"/>
          <w:szCs w:val="26"/>
        </w:rPr>
        <w:t>March 16</w:t>
      </w:r>
      <w:r w:rsidR="00155CA7" w:rsidRPr="006A749D">
        <w:rPr>
          <w:rFonts w:ascii="Times New Roman" w:hAnsi="Times New Roman" w:cs="Times New Roman"/>
          <w:sz w:val="26"/>
          <w:szCs w:val="26"/>
        </w:rPr>
        <w:t>, 2021</w:t>
      </w:r>
      <w:r w:rsidR="00155CA7" w:rsidRPr="00E54925">
        <w:rPr>
          <w:rFonts w:ascii="Times New Roman" w:hAnsi="Times New Roman" w:cs="Times New Roman"/>
          <w:bCs/>
          <w:sz w:val="26"/>
          <w:szCs w:val="26"/>
        </w:rPr>
        <w:t xml:space="preserve">, </w:t>
      </w:r>
      <w:r w:rsidR="00155CA7">
        <w:rPr>
          <w:rFonts w:ascii="Times New Roman" w:hAnsi="Times New Roman" w:cs="Times New Roman"/>
          <w:bCs/>
          <w:sz w:val="26"/>
          <w:szCs w:val="26"/>
        </w:rPr>
        <w:t xml:space="preserve">is </w:t>
      </w:r>
      <w:r w:rsidR="00155CA7" w:rsidRPr="00E54925">
        <w:rPr>
          <w:rFonts w:ascii="Times New Roman" w:hAnsi="Times New Roman" w:cs="Times New Roman"/>
          <w:bCs/>
          <w:sz w:val="26"/>
          <w:szCs w:val="26"/>
        </w:rPr>
        <w:t xml:space="preserve">granted, and the Recommended Decision shall be modified for clarification purposes, </w:t>
      </w:r>
      <w:r w:rsidR="006A2039">
        <w:rPr>
          <w:rFonts w:ascii="Times New Roman" w:hAnsi="Times New Roman" w:cs="Times New Roman"/>
          <w:bCs/>
          <w:sz w:val="26"/>
          <w:szCs w:val="26"/>
        </w:rPr>
        <w:t>by deleting Finding of Fact Nos. 71 and 73</w:t>
      </w:r>
      <w:r w:rsidR="00155CA7" w:rsidRPr="00E54925">
        <w:rPr>
          <w:rFonts w:ascii="Times New Roman" w:hAnsi="Times New Roman" w:cs="Times New Roman"/>
          <w:bCs/>
          <w:sz w:val="26"/>
          <w:szCs w:val="26"/>
        </w:rPr>
        <w:t>, consistent with this Opinion and Order.</w:t>
      </w:r>
    </w:p>
    <w:p w14:paraId="6E6E4B5F" w14:textId="77777777" w:rsidR="00D64C1F" w:rsidRPr="00D64C1F" w:rsidRDefault="00D64C1F" w:rsidP="001C756C">
      <w:pPr>
        <w:spacing w:line="360" w:lineRule="auto"/>
        <w:ind w:firstLine="1440"/>
        <w:rPr>
          <w:rFonts w:ascii="Times New Roman" w:hAnsi="Times New Roman" w:cs="Times New Roman"/>
          <w:sz w:val="26"/>
          <w:szCs w:val="26"/>
        </w:rPr>
      </w:pPr>
    </w:p>
    <w:p w14:paraId="184E5F18" w14:textId="6418C7F0" w:rsidR="00D64C1F" w:rsidRPr="00D64C1F" w:rsidRDefault="00D64C1F" w:rsidP="001C756C">
      <w:pPr>
        <w:spacing w:line="360" w:lineRule="auto"/>
        <w:ind w:firstLine="1440"/>
        <w:rPr>
          <w:rFonts w:ascii="Times New Roman" w:hAnsi="Times New Roman" w:cs="Times New Roman"/>
          <w:sz w:val="26"/>
          <w:szCs w:val="26"/>
        </w:rPr>
      </w:pPr>
      <w:r w:rsidRPr="00D64C1F">
        <w:rPr>
          <w:rFonts w:ascii="Times New Roman" w:hAnsi="Times New Roman" w:cs="Times New Roman"/>
          <w:sz w:val="26"/>
          <w:szCs w:val="26"/>
        </w:rPr>
        <w:t>2.</w:t>
      </w:r>
      <w:r w:rsidRPr="00D64C1F">
        <w:rPr>
          <w:rFonts w:ascii="Times New Roman" w:hAnsi="Times New Roman" w:cs="Times New Roman"/>
          <w:sz w:val="26"/>
          <w:szCs w:val="26"/>
        </w:rPr>
        <w:tab/>
      </w:r>
      <w:r w:rsidR="002D7A6A" w:rsidRPr="00E54925">
        <w:rPr>
          <w:rFonts w:ascii="Times New Roman" w:hAnsi="Times New Roman" w:cs="Times New Roman"/>
          <w:bCs/>
          <w:sz w:val="26"/>
          <w:szCs w:val="26"/>
        </w:rPr>
        <w:t xml:space="preserve">That the Recommended Decision of Administrative Law Judge </w:t>
      </w:r>
      <w:r w:rsidR="002D7A6A">
        <w:rPr>
          <w:rFonts w:ascii="Times New Roman" w:hAnsi="Times New Roman" w:cs="Times New Roman"/>
          <w:sz w:val="26"/>
          <w:szCs w:val="26"/>
        </w:rPr>
        <w:t xml:space="preserve">Marta </w:t>
      </w:r>
      <w:proofErr w:type="spellStart"/>
      <w:r w:rsidR="002D7A6A">
        <w:rPr>
          <w:rFonts w:ascii="Times New Roman" w:hAnsi="Times New Roman" w:cs="Times New Roman"/>
          <w:sz w:val="26"/>
          <w:szCs w:val="26"/>
        </w:rPr>
        <w:t>Guhl</w:t>
      </w:r>
      <w:proofErr w:type="spellEnd"/>
      <w:r w:rsidR="002D7A6A" w:rsidRPr="006A749D">
        <w:rPr>
          <w:rFonts w:ascii="Times New Roman" w:hAnsi="Times New Roman" w:cs="Times New Roman"/>
          <w:sz w:val="26"/>
          <w:szCs w:val="26"/>
        </w:rPr>
        <w:t xml:space="preserve"> issued on </w:t>
      </w:r>
      <w:r w:rsidR="002D7A6A">
        <w:rPr>
          <w:rFonts w:ascii="Times New Roman" w:hAnsi="Times New Roman" w:cs="Times New Roman"/>
          <w:sz w:val="26"/>
          <w:szCs w:val="26"/>
        </w:rPr>
        <w:t>March 16</w:t>
      </w:r>
      <w:r w:rsidR="002D7A6A" w:rsidRPr="006A749D">
        <w:rPr>
          <w:rFonts w:ascii="Times New Roman" w:hAnsi="Times New Roman" w:cs="Times New Roman"/>
          <w:sz w:val="26"/>
          <w:szCs w:val="26"/>
        </w:rPr>
        <w:t>, 2021</w:t>
      </w:r>
      <w:r w:rsidR="002D7A6A" w:rsidRPr="00E54925">
        <w:rPr>
          <w:rFonts w:ascii="Times New Roman" w:hAnsi="Times New Roman" w:cs="Times New Roman"/>
          <w:bCs/>
          <w:sz w:val="26"/>
          <w:szCs w:val="26"/>
        </w:rPr>
        <w:t>, is adopted as modified, consistent with this Opinion and Order</w:t>
      </w:r>
      <w:r w:rsidRPr="00D64C1F">
        <w:rPr>
          <w:rFonts w:ascii="Times New Roman" w:hAnsi="Times New Roman" w:cs="Times New Roman"/>
          <w:sz w:val="26"/>
          <w:szCs w:val="26"/>
        </w:rPr>
        <w:t>.</w:t>
      </w:r>
    </w:p>
    <w:p w14:paraId="11A2DEA2" w14:textId="77777777" w:rsidR="00D64C1F" w:rsidRPr="00D64C1F" w:rsidRDefault="00D64C1F" w:rsidP="001C756C">
      <w:pPr>
        <w:spacing w:line="360" w:lineRule="auto"/>
        <w:ind w:firstLine="1440"/>
        <w:rPr>
          <w:rFonts w:ascii="Times New Roman" w:hAnsi="Times New Roman" w:cs="Times New Roman"/>
          <w:sz w:val="26"/>
          <w:szCs w:val="26"/>
        </w:rPr>
      </w:pPr>
    </w:p>
    <w:p w14:paraId="3043A832" w14:textId="34CC2E36" w:rsidR="00D64C1F" w:rsidRDefault="00D64C1F" w:rsidP="001C756C">
      <w:pPr>
        <w:spacing w:line="360" w:lineRule="auto"/>
        <w:ind w:firstLine="1440"/>
        <w:rPr>
          <w:rFonts w:ascii="Times New Roman" w:hAnsi="Times New Roman" w:cs="Times New Roman"/>
          <w:sz w:val="26"/>
          <w:szCs w:val="26"/>
        </w:rPr>
      </w:pPr>
      <w:r w:rsidRPr="00D64C1F">
        <w:rPr>
          <w:rFonts w:ascii="Times New Roman" w:hAnsi="Times New Roman" w:cs="Times New Roman"/>
          <w:sz w:val="26"/>
          <w:szCs w:val="26"/>
        </w:rPr>
        <w:t>3.</w:t>
      </w:r>
      <w:r w:rsidRPr="00D64C1F">
        <w:rPr>
          <w:rFonts w:ascii="Times New Roman" w:hAnsi="Times New Roman" w:cs="Times New Roman"/>
          <w:sz w:val="26"/>
          <w:szCs w:val="26"/>
        </w:rPr>
        <w:tab/>
      </w:r>
      <w:r w:rsidR="00D846E5" w:rsidRPr="00E54925">
        <w:rPr>
          <w:rFonts w:ascii="Times New Roman" w:eastAsia="Times New Roman" w:hAnsi="Times New Roman" w:cs="Times New Roman"/>
          <w:color w:val="000000"/>
          <w:sz w:val="26"/>
          <w:szCs w:val="26"/>
        </w:rPr>
        <w:t>That the Joint Petition for Approval of Settlement of All Issues filed by Pennsylvania-American Water Company</w:t>
      </w:r>
      <w:r w:rsidR="00791DCA">
        <w:rPr>
          <w:rFonts w:ascii="Times New Roman" w:eastAsia="Times New Roman" w:hAnsi="Times New Roman" w:cs="Times New Roman"/>
          <w:color w:val="000000"/>
          <w:sz w:val="26"/>
          <w:szCs w:val="26"/>
        </w:rPr>
        <w:t xml:space="preserve"> – Wastewater Division</w:t>
      </w:r>
      <w:r w:rsidR="00D846E5" w:rsidRPr="00E54925">
        <w:rPr>
          <w:rFonts w:ascii="Times New Roman" w:eastAsia="Times New Roman" w:hAnsi="Times New Roman" w:cs="Times New Roman"/>
          <w:color w:val="000000"/>
          <w:sz w:val="26"/>
          <w:szCs w:val="26"/>
        </w:rPr>
        <w:t xml:space="preserve">, </w:t>
      </w:r>
      <w:r w:rsidR="004613D3">
        <w:rPr>
          <w:rFonts w:ascii="Times New Roman" w:eastAsia="Times New Roman" w:hAnsi="Times New Roman" w:cs="Times New Roman"/>
          <w:color w:val="000000"/>
          <w:sz w:val="26"/>
          <w:szCs w:val="26"/>
        </w:rPr>
        <w:t xml:space="preserve">Royersford </w:t>
      </w:r>
      <w:r w:rsidR="004613D3">
        <w:rPr>
          <w:rFonts w:ascii="Times New Roman" w:eastAsia="Times New Roman" w:hAnsi="Times New Roman" w:cs="Times New Roman"/>
          <w:color w:val="000000"/>
          <w:sz w:val="26"/>
          <w:szCs w:val="26"/>
        </w:rPr>
        <w:lastRenderedPageBreak/>
        <w:t>Borough</w:t>
      </w:r>
      <w:r w:rsidR="00D846E5" w:rsidRPr="00E54925">
        <w:rPr>
          <w:rFonts w:ascii="Times New Roman" w:eastAsia="Times New Roman" w:hAnsi="Times New Roman" w:cs="Times New Roman"/>
          <w:color w:val="000000"/>
          <w:sz w:val="26"/>
          <w:szCs w:val="26"/>
        </w:rPr>
        <w:t xml:space="preserve">, the Office of Consumer Advocate, the Office of Small Business Advocate and the Bureau of Investigation and Enforcement on </w:t>
      </w:r>
      <w:r w:rsidR="00910E41">
        <w:rPr>
          <w:rFonts w:ascii="Times New Roman" w:hAnsi="Times New Roman" w:cs="Times New Roman"/>
          <w:sz w:val="26"/>
          <w:szCs w:val="26"/>
        </w:rPr>
        <w:t xml:space="preserve">January 29, 2021, </w:t>
      </w:r>
      <w:r w:rsidR="00D846E5" w:rsidRPr="00E54925">
        <w:rPr>
          <w:rFonts w:ascii="Times New Roman" w:eastAsia="Times New Roman" w:hAnsi="Times New Roman" w:cs="Times New Roman"/>
          <w:color w:val="000000"/>
          <w:sz w:val="26"/>
          <w:szCs w:val="26"/>
        </w:rPr>
        <w:t xml:space="preserve">at Docket No. </w:t>
      </w:r>
      <w:r w:rsidR="00910E41" w:rsidRPr="006A749D">
        <w:rPr>
          <w:rFonts w:ascii="Times New Roman" w:eastAsia="Times New Roman" w:hAnsi="Times New Roman" w:cs="Times New Roman"/>
          <w:color w:val="000000"/>
          <w:sz w:val="26"/>
          <w:szCs w:val="26"/>
        </w:rPr>
        <w:t>A</w:t>
      </w:r>
      <w:r w:rsidR="001C756C">
        <w:rPr>
          <w:rFonts w:ascii="Times New Roman" w:eastAsia="Times New Roman" w:hAnsi="Times New Roman" w:cs="Times New Roman"/>
          <w:color w:val="000000"/>
          <w:sz w:val="26"/>
          <w:szCs w:val="26"/>
        </w:rPr>
        <w:noBreakHyphen/>
      </w:r>
      <w:r w:rsidR="00910E41" w:rsidRPr="006A749D">
        <w:rPr>
          <w:rFonts w:ascii="Times New Roman" w:eastAsia="Times New Roman" w:hAnsi="Times New Roman" w:cs="Times New Roman"/>
          <w:color w:val="000000"/>
          <w:sz w:val="26"/>
          <w:szCs w:val="26"/>
        </w:rPr>
        <w:t>20</w:t>
      </w:r>
      <w:r w:rsidR="00910E41">
        <w:rPr>
          <w:rFonts w:ascii="Times New Roman" w:eastAsia="Times New Roman" w:hAnsi="Times New Roman" w:cs="Times New Roman"/>
          <w:color w:val="000000"/>
          <w:sz w:val="26"/>
          <w:szCs w:val="26"/>
        </w:rPr>
        <w:t>20</w:t>
      </w:r>
      <w:r w:rsidR="00910E41" w:rsidRPr="006A749D">
        <w:rPr>
          <w:rFonts w:ascii="Times New Roman" w:eastAsia="Times New Roman" w:hAnsi="Times New Roman" w:cs="Times New Roman"/>
          <w:color w:val="000000"/>
          <w:sz w:val="26"/>
          <w:szCs w:val="26"/>
        </w:rPr>
        <w:t>-301</w:t>
      </w:r>
      <w:r w:rsidR="00910E41">
        <w:rPr>
          <w:rFonts w:ascii="Times New Roman" w:eastAsia="Times New Roman" w:hAnsi="Times New Roman" w:cs="Times New Roman"/>
          <w:color w:val="000000"/>
          <w:sz w:val="26"/>
          <w:szCs w:val="26"/>
        </w:rPr>
        <w:t>9634</w:t>
      </w:r>
      <w:r w:rsidR="00D846E5" w:rsidRPr="00E54925">
        <w:rPr>
          <w:rFonts w:ascii="Times New Roman" w:eastAsia="Times New Roman" w:hAnsi="Times New Roman" w:cs="Times New Roman"/>
          <w:color w:val="000000"/>
          <w:sz w:val="26"/>
          <w:szCs w:val="26"/>
        </w:rPr>
        <w:t>, including all terms and conditions thereof, is approved without modification</w:t>
      </w:r>
      <w:r w:rsidRPr="00D64C1F">
        <w:rPr>
          <w:rFonts w:ascii="Times New Roman" w:hAnsi="Times New Roman" w:cs="Times New Roman"/>
          <w:sz w:val="26"/>
          <w:szCs w:val="26"/>
        </w:rPr>
        <w:t>.</w:t>
      </w:r>
    </w:p>
    <w:p w14:paraId="3DF97897" w14:textId="77777777" w:rsidR="00A9096A" w:rsidRPr="00D64C1F" w:rsidRDefault="00A9096A" w:rsidP="001C756C">
      <w:pPr>
        <w:spacing w:line="360" w:lineRule="auto"/>
        <w:ind w:firstLine="1440"/>
        <w:rPr>
          <w:rFonts w:ascii="Times New Roman" w:hAnsi="Times New Roman" w:cs="Times New Roman"/>
          <w:sz w:val="26"/>
          <w:szCs w:val="26"/>
        </w:rPr>
      </w:pPr>
    </w:p>
    <w:p w14:paraId="00710AF4" w14:textId="0E9B7527" w:rsidR="006F2B66" w:rsidRDefault="00D64C1F" w:rsidP="001C756C">
      <w:pPr>
        <w:spacing w:line="360" w:lineRule="auto"/>
        <w:ind w:firstLine="1440"/>
        <w:rPr>
          <w:rFonts w:ascii="Times New Roman" w:hAnsi="Times New Roman" w:cs="Times New Roman"/>
          <w:sz w:val="26"/>
          <w:szCs w:val="26"/>
        </w:rPr>
      </w:pPr>
      <w:r w:rsidRPr="00D64C1F">
        <w:rPr>
          <w:rFonts w:ascii="Times New Roman" w:hAnsi="Times New Roman" w:cs="Times New Roman"/>
          <w:sz w:val="26"/>
          <w:szCs w:val="26"/>
        </w:rPr>
        <w:t>4.</w:t>
      </w:r>
      <w:r w:rsidRPr="00D64C1F">
        <w:rPr>
          <w:rFonts w:ascii="Times New Roman" w:hAnsi="Times New Roman" w:cs="Times New Roman"/>
          <w:sz w:val="26"/>
          <w:szCs w:val="26"/>
        </w:rPr>
        <w:tab/>
      </w:r>
      <w:r w:rsidR="00A664B0" w:rsidRPr="008A6D63">
        <w:rPr>
          <w:rFonts w:ascii="Times New Roman" w:hAnsi="Times New Roman" w:cs="Times New Roman"/>
          <w:sz w:val="26"/>
          <w:szCs w:val="26"/>
        </w:rPr>
        <w:t>That the Secretary’s Bureau shall issue Certificates of Public Convenience under Sections 1102(a)(1) and 1102(a)(3) authorizing:</w:t>
      </w:r>
      <w:r w:rsidR="00313F99">
        <w:rPr>
          <w:rFonts w:ascii="Times New Roman" w:hAnsi="Times New Roman" w:cs="Times New Roman"/>
          <w:sz w:val="26"/>
          <w:szCs w:val="26"/>
        </w:rPr>
        <w:t xml:space="preserve"> </w:t>
      </w:r>
      <w:r w:rsidR="00A664B0" w:rsidRPr="008A6D63">
        <w:rPr>
          <w:rFonts w:ascii="Times New Roman" w:hAnsi="Times New Roman" w:cs="Times New Roman"/>
          <w:sz w:val="26"/>
          <w:szCs w:val="26"/>
        </w:rPr>
        <w:t xml:space="preserve"> (a) the transfer, by sale, of substantially all of the wastewater system assets of Royersford Borough situated </w:t>
      </w:r>
      <w:r w:rsidR="00235D23">
        <w:rPr>
          <w:rFonts w:ascii="Times New Roman" w:hAnsi="Times New Roman" w:cs="Times New Roman"/>
          <w:sz w:val="26"/>
          <w:szCs w:val="26"/>
        </w:rPr>
        <w:t xml:space="preserve">in </w:t>
      </w:r>
      <w:r w:rsidR="00A664B0" w:rsidRPr="008A6D63">
        <w:rPr>
          <w:rFonts w:ascii="Times New Roman" w:hAnsi="Times New Roman" w:cs="Times New Roman"/>
          <w:sz w:val="26"/>
          <w:szCs w:val="26"/>
        </w:rPr>
        <w:t>Montgomery County, Pennsylvania to Pennsylvania-American Water Company</w:t>
      </w:r>
      <w:r w:rsidR="00F4258B">
        <w:rPr>
          <w:rFonts w:ascii="Times New Roman" w:hAnsi="Times New Roman" w:cs="Times New Roman"/>
          <w:sz w:val="26"/>
          <w:szCs w:val="26"/>
        </w:rPr>
        <w:t xml:space="preserve"> – Wastewater Division</w:t>
      </w:r>
      <w:r w:rsidR="00A664B0" w:rsidRPr="008A6D63">
        <w:rPr>
          <w:rFonts w:ascii="Times New Roman" w:hAnsi="Times New Roman" w:cs="Times New Roman"/>
          <w:sz w:val="26"/>
          <w:szCs w:val="26"/>
        </w:rPr>
        <w:t>; (b) Pennsylvania-American Water Company</w:t>
      </w:r>
      <w:r w:rsidR="00540EA5">
        <w:rPr>
          <w:rFonts w:ascii="Times New Roman" w:hAnsi="Times New Roman" w:cs="Times New Roman"/>
          <w:sz w:val="26"/>
          <w:szCs w:val="26"/>
        </w:rPr>
        <w:t xml:space="preserve"> – Wastewater Division</w:t>
      </w:r>
      <w:r w:rsidR="00A664B0" w:rsidRPr="008A6D63">
        <w:rPr>
          <w:rFonts w:ascii="Times New Roman" w:hAnsi="Times New Roman" w:cs="Times New Roman"/>
          <w:sz w:val="26"/>
          <w:szCs w:val="26"/>
        </w:rPr>
        <w:t>’s right to begin to offer, render, furnish and supply wastewater service to the public in Royersford Borough and portions of Upper Providence Township, Montgomery County, Pennsylvania consistent with the Application’s Appendix A-16-c and Appendix</w:t>
      </w:r>
      <w:r w:rsidR="001C756C">
        <w:rPr>
          <w:rFonts w:ascii="Times New Roman" w:hAnsi="Times New Roman" w:cs="Times New Roman"/>
          <w:sz w:val="26"/>
          <w:szCs w:val="26"/>
        </w:rPr>
        <w:t> </w:t>
      </w:r>
      <w:r w:rsidR="00A664B0" w:rsidRPr="008A6D63">
        <w:rPr>
          <w:rFonts w:ascii="Times New Roman" w:hAnsi="Times New Roman" w:cs="Times New Roman"/>
          <w:sz w:val="26"/>
          <w:szCs w:val="26"/>
        </w:rPr>
        <w:t>A-16-d-e</w:t>
      </w:r>
      <w:r w:rsidR="00A664B0" w:rsidRPr="00D64C1F">
        <w:rPr>
          <w:rFonts w:ascii="Times New Roman" w:hAnsi="Times New Roman" w:cs="Times New Roman"/>
          <w:sz w:val="26"/>
          <w:szCs w:val="26"/>
        </w:rPr>
        <w:t>.</w:t>
      </w:r>
    </w:p>
    <w:p w14:paraId="19E2CFC6" w14:textId="77777777" w:rsidR="00C9169D" w:rsidRDefault="00C9169D" w:rsidP="001C756C">
      <w:pPr>
        <w:spacing w:line="360" w:lineRule="auto"/>
        <w:ind w:firstLine="1440"/>
        <w:rPr>
          <w:rFonts w:ascii="Times New Roman" w:hAnsi="Times New Roman" w:cs="Times New Roman"/>
          <w:sz w:val="26"/>
          <w:szCs w:val="26"/>
        </w:rPr>
      </w:pPr>
    </w:p>
    <w:p w14:paraId="62E0F8A1" w14:textId="444A4D95" w:rsidR="00A664B0" w:rsidRDefault="00A664B0" w:rsidP="001C75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AD76F9" w:rsidRPr="002E6BE0">
        <w:rPr>
          <w:rFonts w:ascii="Times New Roman" w:hAnsi="Times New Roman" w:cs="Times New Roman"/>
          <w:sz w:val="26"/>
          <w:szCs w:val="26"/>
        </w:rPr>
        <w:t xml:space="preserve">That within ten (10) days after closing of the acquisition, Pennsylvania-American Water Company </w:t>
      </w:r>
      <w:r w:rsidR="00AD76F9">
        <w:rPr>
          <w:rFonts w:ascii="Times New Roman" w:hAnsi="Times New Roman" w:cs="Times New Roman"/>
          <w:sz w:val="26"/>
          <w:szCs w:val="26"/>
        </w:rPr>
        <w:t xml:space="preserve">– Wastewater Division </w:t>
      </w:r>
      <w:r w:rsidR="00AD76F9" w:rsidRPr="002E6BE0">
        <w:rPr>
          <w:rFonts w:ascii="Times New Roman" w:hAnsi="Times New Roman" w:cs="Times New Roman"/>
          <w:sz w:val="26"/>
          <w:szCs w:val="26"/>
        </w:rPr>
        <w:t xml:space="preserve">shall file a tariff supplement in the form attached to the Application as Appendix A-12, as further amended by Amended Appendix A-12, implementing rates for Royersford Borough customers post-closing, to be effective </w:t>
      </w:r>
      <w:r w:rsidR="00AD76F9">
        <w:rPr>
          <w:rFonts w:ascii="Times New Roman" w:hAnsi="Times New Roman" w:cs="Times New Roman"/>
          <w:sz w:val="26"/>
          <w:szCs w:val="26"/>
        </w:rPr>
        <w:t xml:space="preserve">immediately </w:t>
      </w:r>
      <w:r w:rsidR="00AD76F9" w:rsidRPr="002E6BE0">
        <w:rPr>
          <w:rFonts w:ascii="Times New Roman" w:hAnsi="Times New Roman" w:cs="Times New Roman"/>
          <w:sz w:val="26"/>
          <w:szCs w:val="26"/>
        </w:rPr>
        <w:t xml:space="preserve">upon </w:t>
      </w:r>
      <w:r w:rsidR="00AD76F9">
        <w:rPr>
          <w:rFonts w:ascii="Times New Roman" w:hAnsi="Times New Roman" w:cs="Times New Roman"/>
          <w:sz w:val="26"/>
          <w:szCs w:val="26"/>
        </w:rPr>
        <w:t>closing of the Transaction.</w:t>
      </w:r>
    </w:p>
    <w:p w14:paraId="709F6E76" w14:textId="2F5DAA64" w:rsidR="006B0414" w:rsidRDefault="006B0414" w:rsidP="001C756C">
      <w:pPr>
        <w:spacing w:line="360" w:lineRule="auto"/>
        <w:ind w:firstLine="1440"/>
        <w:rPr>
          <w:rFonts w:ascii="Times New Roman" w:hAnsi="Times New Roman" w:cs="Times New Roman"/>
          <w:sz w:val="26"/>
          <w:szCs w:val="26"/>
        </w:rPr>
      </w:pPr>
    </w:p>
    <w:p w14:paraId="375E8C2E" w14:textId="73FDE469" w:rsidR="006B0414" w:rsidRDefault="006B0414" w:rsidP="001C75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D60AB2" w:rsidRPr="00D60AB2">
        <w:rPr>
          <w:rFonts w:ascii="Times New Roman" w:hAnsi="Times New Roman" w:cs="Times New Roman"/>
          <w:sz w:val="26"/>
          <w:szCs w:val="26"/>
        </w:rPr>
        <w:t>That</w:t>
      </w:r>
      <w:r w:rsidR="00D60AB2">
        <w:rPr>
          <w:rFonts w:ascii="Times New Roman" w:hAnsi="Times New Roman" w:cs="Times New Roman"/>
          <w:sz w:val="26"/>
          <w:szCs w:val="26"/>
        </w:rPr>
        <w:t>,</w:t>
      </w:r>
      <w:r w:rsidR="00D60AB2" w:rsidRPr="00D60AB2">
        <w:rPr>
          <w:rFonts w:ascii="Times New Roman" w:hAnsi="Times New Roman" w:cs="Times New Roman"/>
          <w:sz w:val="26"/>
          <w:szCs w:val="26"/>
        </w:rPr>
        <w:t xml:space="preserve"> pursuant to 66 Pa.</w:t>
      </w:r>
      <w:r w:rsidR="00D60AB2">
        <w:rPr>
          <w:rFonts w:ascii="Times New Roman" w:hAnsi="Times New Roman" w:cs="Times New Roman"/>
          <w:sz w:val="26"/>
          <w:szCs w:val="26"/>
        </w:rPr>
        <w:t xml:space="preserve"> </w:t>
      </w:r>
      <w:r w:rsidR="00D60AB2" w:rsidRPr="00D60AB2">
        <w:rPr>
          <w:rFonts w:ascii="Times New Roman" w:hAnsi="Times New Roman" w:cs="Times New Roman"/>
          <w:sz w:val="26"/>
          <w:szCs w:val="26"/>
        </w:rPr>
        <w:t>C.S. § 1329(c), a rate base addition of $13,000,000 associated with Pennsylvania-American Water Company</w:t>
      </w:r>
      <w:r w:rsidR="006D4D62">
        <w:rPr>
          <w:rFonts w:ascii="Times New Roman" w:hAnsi="Times New Roman" w:cs="Times New Roman"/>
          <w:sz w:val="26"/>
          <w:szCs w:val="26"/>
        </w:rPr>
        <w:t xml:space="preserve"> – Wastewater Division</w:t>
      </w:r>
      <w:r w:rsidR="00D60AB2" w:rsidRPr="00D60AB2">
        <w:rPr>
          <w:rFonts w:ascii="Times New Roman" w:hAnsi="Times New Roman" w:cs="Times New Roman"/>
          <w:sz w:val="26"/>
          <w:szCs w:val="26"/>
        </w:rPr>
        <w:t>’s acquisition of the Royersford Borough wastewater system</w:t>
      </w:r>
      <w:r w:rsidR="00687AD0">
        <w:rPr>
          <w:rFonts w:ascii="Times New Roman" w:hAnsi="Times New Roman" w:cs="Times New Roman"/>
          <w:sz w:val="26"/>
          <w:szCs w:val="26"/>
        </w:rPr>
        <w:t xml:space="preserve"> is approved.</w:t>
      </w:r>
    </w:p>
    <w:p w14:paraId="38B9BA8A" w14:textId="77777777" w:rsidR="006F2B66" w:rsidRDefault="006F2B66" w:rsidP="001C756C">
      <w:pPr>
        <w:spacing w:line="360" w:lineRule="auto"/>
        <w:ind w:firstLine="1440"/>
        <w:rPr>
          <w:rFonts w:ascii="Times New Roman" w:hAnsi="Times New Roman" w:cs="Times New Roman"/>
          <w:sz w:val="26"/>
          <w:szCs w:val="26"/>
        </w:rPr>
      </w:pPr>
    </w:p>
    <w:p w14:paraId="1EAC4AB4" w14:textId="684F64E9" w:rsidR="002724D0" w:rsidRPr="005B4B33" w:rsidRDefault="008C6ACA" w:rsidP="001C756C">
      <w:pPr>
        <w:spacing w:line="360" w:lineRule="auto"/>
        <w:ind w:firstLine="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ab/>
      </w:r>
      <w:r w:rsidR="002724D0" w:rsidRPr="005B4B33">
        <w:rPr>
          <w:rFonts w:ascii="Times New Roman" w:eastAsia="Times New Roman" w:hAnsi="Times New Roman" w:cs="Times New Roman"/>
          <w:color w:val="000000"/>
          <w:sz w:val="26"/>
          <w:szCs w:val="26"/>
        </w:rPr>
        <w:t xml:space="preserve">That the Application filed by Pennsylvania-American Water Company </w:t>
      </w:r>
      <w:r w:rsidR="00DA5738">
        <w:rPr>
          <w:rFonts w:ascii="Times New Roman" w:eastAsia="Times New Roman" w:hAnsi="Times New Roman" w:cs="Times New Roman"/>
          <w:color w:val="000000"/>
          <w:sz w:val="26"/>
          <w:szCs w:val="26"/>
        </w:rPr>
        <w:t xml:space="preserve">– Wastewater Division </w:t>
      </w:r>
      <w:r w:rsidR="002724D0" w:rsidRPr="005B4B33">
        <w:rPr>
          <w:rFonts w:ascii="Times New Roman" w:eastAsia="Times New Roman" w:hAnsi="Times New Roman" w:cs="Times New Roman"/>
          <w:color w:val="000000"/>
          <w:sz w:val="26"/>
          <w:szCs w:val="26"/>
        </w:rPr>
        <w:t>on July 20, 2020</w:t>
      </w:r>
      <w:r w:rsidR="00554622" w:rsidRPr="005B4B33">
        <w:rPr>
          <w:rFonts w:ascii="Times New Roman" w:eastAsia="Times New Roman" w:hAnsi="Times New Roman" w:cs="Times New Roman"/>
          <w:color w:val="000000"/>
          <w:sz w:val="26"/>
          <w:szCs w:val="26"/>
        </w:rPr>
        <w:t>, is approved</w:t>
      </w:r>
      <w:r w:rsidR="002724D0" w:rsidRPr="005B4B33">
        <w:rPr>
          <w:rFonts w:ascii="Times New Roman" w:eastAsia="Times New Roman" w:hAnsi="Times New Roman" w:cs="Times New Roman"/>
          <w:color w:val="000000"/>
          <w:sz w:val="26"/>
          <w:szCs w:val="26"/>
        </w:rPr>
        <w:t xml:space="preserve">, subject to the following conditions, which are consistent with the </w:t>
      </w:r>
      <w:r w:rsidR="00DF5A23" w:rsidRPr="00E54925">
        <w:rPr>
          <w:rFonts w:ascii="Times New Roman" w:eastAsia="Times New Roman" w:hAnsi="Times New Roman" w:cs="Times New Roman"/>
          <w:color w:val="000000"/>
          <w:sz w:val="26"/>
          <w:szCs w:val="26"/>
        </w:rPr>
        <w:t>Joint Petition for Approval of Settlement of All Issues</w:t>
      </w:r>
      <w:r w:rsidR="002724D0" w:rsidRPr="005B4B33">
        <w:rPr>
          <w:rFonts w:ascii="Times New Roman" w:eastAsia="Times New Roman" w:hAnsi="Times New Roman" w:cs="Times New Roman"/>
          <w:color w:val="000000"/>
          <w:sz w:val="26"/>
          <w:szCs w:val="26"/>
        </w:rPr>
        <w:t>:</w:t>
      </w:r>
    </w:p>
    <w:p w14:paraId="03C7C0F5" w14:textId="406AA971" w:rsidR="00472A0B" w:rsidRDefault="002724D0" w:rsidP="00285B63">
      <w:pPr>
        <w:numPr>
          <w:ilvl w:val="0"/>
          <w:numId w:val="43"/>
        </w:numPr>
        <w:spacing w:after="5" w:line="244" w:lineRule="auto"/>
        <w:ind w:right="1440" w:firstLine="0"/>
        <w:contextualSpacing/>
        <w:rPr>
          <w:rFonts w:ascii="Times New Roman" w:eastAsia="Times New Roman" w:hAnsi="Times New Roman" w:cs="Times New Roman"/>
          <w:sz w:val="26"/>
          <w:szCs w:val="26"/>
        </w:rPr>
      </w:pPr>
      <w:r w:rsidRPr="002724D0">
        <w:rPr>
          <w:rFonts w:ascii="Times New Roman" w:eastAsia="Times New Roman" w:hAnsi="Times New Roman" w:cs="Times New Roman"/>
          <w:sz w:val="26"/>
          <w:szCs w:val="26"/>
        </w:rPr>
        <w:lastRenderedPageBreak/>
        <w:t xml:space="preserve">That, in the first base rate case in which </w:t>
      </w:r>
      <w:r w:rsidR="00ED18E8" w:rsidRPr="005B4B33">
        <w:rPr>
          <w:rFonts w:ascii="Times New Roman" w:eastAsia="Times New Roman" w:hAnsi="Times New Roman" w:cs="Times New Roman"/>
          <w:color w:val="000000"/>
          <w:sz w:val="26"/>
          <w:szCs w:val="26"/>
        </w:rPr>
        <w:t>Pennsylvania-American Water Company</w:t>
      </w:r>
      <w:r w:rsidRPr="002724D0">
        <w:rPr>
          <w:rFonts w:ascii="Times New Roman" w:eastAsia="Times New Roman" w:hAnsi="Times New Roman" w:cs="Times New Roman"/>
          <w:sz w:val="26"/>
          <w:szCs w:val="26"/>
        </w:rPr>
        <w:t xml:space="preserve"> includes the </w:t>
      </w:r>
      <w:r w:rsidR="00ED18E8" w:rsidRPr="005B4B33">
        <w:rPr>
          <w:rFonts w:ascii="Times New Roman" w:eastAsia="Times New Roman" w:hAnsi="Times New Roman" w:cs="Times New Roman"/>
          <w:sz w:val="26"/>
          <w:szCs w:val="26"/>
        </w:rPr>
        <w:t xml:space="preserve">Royersford </w:t>
      </w:r>
      <w:r w:rsidRPr="002724D0">
        <w:rPr>
          <w:rFonts w:ascii="Times New Roman" w:eastAsia="Times New Roman" w:hAnsi="Times New Roman" w:cs="Times New Roman"/>
          <w:sz w:val="26"/>
          <w:szCs w:val="26"/>
        </w:rPr>
        <w:t>Borough’s assets in rate base</w:t>
      </w:r>
      <w:r w:rsidR="00472A0B">
        <w:rPr>
          <w:rFonts w:ascii="Times New Roman" w:eastAsia="Times New Roman" w:hAnsi="Times New Roman" w:cs="Times New Roman"/>
          <w:sz w:val="26"/>
          <w:szCs w:val="26"/>
        </w:rPr>
        <w:t xml:space="preserve">: </w:t>
      </w:r>
    </w:p>
    <w:p w14:paraId="7F95E2AF" w14:textId="77777777" w:rsidR="00472A0B" w:rsidRDefault="00472A0B" w:rsidP="00472A0B">
      <w:pPr>
        <w:spacing w:after="5" w:line="244" w:lineRule="auto"/>
        <w:ind w:left="2160"/>
        <w:contextualSpacing/>
        <w:rPr>
          <w:rFonts w:ascii="Times New Roman" w:eastAsia="Times New Roman" w:hAnsi="Times New Roman" w:cs="Times New Roman"/>
          <w:sz w:val="26"/>
          <w:szCs w:val="26"/>
        </w:rPr>
      </w:pPr>
    </w:p>
    <w:p w14:paraId="5C5AB18C" w14:textId="26940030" w:rsidR="002724D0" w:rsidRPr="002724D0" w:rsidRDefault="00472A0B" w:rsidP="00A9096A">
      <w:pPr>
        <w:spacing w:after="5" w:line="244" w:lineRule="auto"/>
        <w:ind w:left="2880" w:right="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i</w:t>
      </w:r>
      <w:proofErr w:type="spellEnd"/>
      <w:r>
        <w:rPr>
          <w:rFonts w:ascii="Times New Roman" w:eastAsia="Times New Roman" w:hAnsi="Times New Roman" w:cs="Times New Roman"/>
          <w:sz w:val="26"/>
          <w:szCs w:val="26"/>
        </w:rPr>
        <w:t xml:space="preserve">) </w:t>
      </w:r>
      <w:r w:rsidR="00A9096A">
        <w:rPr>
          <w:rFonts w:ascii="Times New Roman" w:eastAsia="Times New Roman" w:hAnsi="Times New Roman" w:cs="Times New Roman"/>
          <w:sz w:val="26"/>
          <w:szCs w:val="26"/>
        </w:rPr>
        <w:tab/>
      </w:r>
      <w:r w:rsidR="001066B4" w:rsidRPr="005B4B33">
        <w:rPr>
          <w:rFonts w:ascii="Times New Roman" w:eastAsia="Times New Roman" w:hAnsi="Times New Roman" w:cs="Times New Roman"/>
          <w:color w:val="000000"/>
          <w:sz w:val="26"/>
          <w:szCs w:val="26"/>
        </w:rPr>
        <w:t>Pennsylvania-American Water Company</w:t>
      </w:r>
      <w:r w:rsidR="001066B4" w:rsidRPr="002724D0">
        <w:rPr>
          <w:rFonts w:ascii="Times New Roman" w:eastAsia="Times New Roman" w:hAnsi="Times New Roman" w:cs="Times New Roman"/>
          <w:sz w:val="26"/>
          <w:szCs w:val="26"/>
        </w:rPr>
        <w:t xml:space="preserve"> </w:t>
      </w:r>
      <w:r w:rsidR="009623FD">
        <w:rPr>
          <w:rFonts w:ascii="Times New Roman" w:eastAsia="Times New Roman" w:hAnsi="Times New Roman" w:cs="Times New Roman"/>
          <w:sz w:val="26"/>
          <w:szCs w:val="26"/>
        </w:rPr>
        <w:t>shall</w:t>
      </w:r>
      <w:r w:rsidR="002724D0" w:rsidRPr="002724D0">
        <w:rPr>
          <w:rFonts w:ascii="Times New Roman" w:eastAsia="Times New Roman" w:hAnsi="Times New Roman" w:cs="Times New Roman"/>
          <w:sz w:val="26"/>
          <w:szCs w:val="26"/>
        </w:rPr>
        <w:t xml:space="preserve"> provide a separate cost of service study for the Royersford Borough system</w:t>
      </w:r>
      <w:r w:rsidR="001066B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14:paraId="1E5A3E8C" w14:textId="77777777" w:rsidR="002724D0" w:rsidRPr="002724D0" w:rsidRDefault="002724D0" w:rsidP="00A9096A">
      <w:pPr>
        <w:ind w:left="2160" w:right="1440"/>
        <w:contextualSpacing/>
        <w:rPr>
          <w:rFonts w:ascii="Times New Roman" w:eastAsia="Times New Roman" w:hAnsi="Times New Roman" w:cs="Times New Roman"/>
          <w:sz w:val="26"/>
          <w:szCs w:val="26"/>
        </w:rPr>
      </w:pPr>
    </w:p>
    <w:p w14:paraId="071E4FEA" w14:textId="16D80848" w:rsidR="002724D0" w:rsidRPr="002724D0" w:rsidRDefault="00472A0B" w:rsidP="00A9096A">
      <w:pPr>
        <w:spacing w:after="5" w:line="244" w:lineRule="auto"/>
        <w:ind w:left="2880" w:right="1440"/>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(ii) </w:t>
      </w:r>
      <w:r w:rsidR="00A9096A">
        <w:rPr>
          <w:rFonts w:ascii="Times New Roman" w:eastAsia="Times New Roman" w:hAnsi="Times New Roman" w:cs="Times New Roman"/>
          <w:color w:val="000000"/>
          <w:sz w:val="26"/>
          <w:szCs w:val="26"/>
        </w:rPr>
        <w:tab/>
      </w:r>
      <w:r w:rsidR="001066B4" w:rsidRPr="005B4B33">
        <w:rPr>
          <w:rFonts w:ascii="Times New Roman" w:eastAsia="Times New Roman" w:hAnsi="Times New Roman" w:cs="Times New Roman"/>
          <w:color w:val="000000"/>
          <w:sz w:val="26"/>
          <w:szCs w:val="26"/>
        </w:rPr>
        <w:t>Pennsylvania-American Water Company</w:t>
      </w:r>
      <w:r w:rsidR="001066B4" w:rsidRPr="002724D0">
        <w:rPr>
          <w:rFonts w:ascii="Times New Roman" w:eastAsia="Times New Roman" w:hAnsi="Times New Roman" w:cs="Times New Roman"/>
          <w:sz w:val="26"/>
          <w:szCs w:val="26"/>
        </w:rPr>
        <w:t xml:space="preserve"> </w:t>
      </w:r>
      <w:r w:rsidR="009623FD">
        <w:rPr>
          <w:rFonts w:ascii="Times New Roman" w:eastAsia="Times New Roman" w:hAnsi="Times New Roman" w:cs="Times New Roman"/>
          <w:sz w:val="26"/>
          <w:szCs w:val="26"/>
        </w:rPr>
        <w:t>shall</w:t>
      </w:r>
      <w:r w:rsidR="002724D0" w:rsidRPr="002724D0">
        <w:rPr>
          <w:rFonts w:ascii="Times New Roman" w:eastAsia="Times New Roman" w:hAnsi="Times New Roman" w:cs="Times New Roman"/>
          <w:sz w:val="26"/>
          <w:szCs w:val="26"/>
        </w:rPr>
        <w:t xml:space="preserve"> submit a </w:t>
      </w:r>
      <w:proofErr w:type="gramStart"/>
      <w:r w:rsidR="002724D0" w:rsidRPr="002724D0">
        <w:rPr>
          <w:rFonts w:ascii="Times New Roman" w:eastAsia="Times New Roman" w:hAnsi="Times New Roman" w:cs="Times New Roman"/>
          <w:sz w:val="26"/>
          <w:szCs w:val="26"/>
        </w:rPr>
        <w:t>cost of service</w:t>
      </w:r>
      <w:proofErr w:type="gramEnd"/>
      <w:r w:rsidR="002724D0" w:rsidRPr="002724D0">
        <w:rPr>
          <w:rFonts w:ascii="Times New Roman" w:eastAsia="Times New Roman" w:hAnsi="Times New Roman" w:cs="Times New Roman"/>
          <w:sz w:val="26"/>
          <w:szCs w:val="26"/>
        </w:rPr>
        <w:t xml:space="preserve"> study that removes all costs and revenues associated with the operation of Royersford’s system</w:t>
      </w:r>
      <w:r w:rsidR="001066B4">
        <w:rPr>
          <w:rFonts w:ascii="Times New Roman" w:eastAsia="Times New Roman" w:hAnsi="Times New Roman" w:cs="Times New Roman"/>
          <w:sz w:val="26"/>
          <w:szCs w:val="26"/>
        </w:rPr>
        <w:t>.</w:t>
      </w:r>
    </w:p>
    <w:p w14:paraId="30EC6953" w14:textId="77777777" w:rsidR="002724D0" w:rsidRPr="002724D0" w:rsidRDefault="002724D0" w:rsidP="00A9096A">
      <w:pPr>
        <w:ind w:left="2160" w:right="1440"/>
        <w:contextualSpacing/>
        <w:rPr>
          <w:rFonts w:ascii="Times New Roman" w:eastAsia="Times New Roman" w:hAnsi="Times New Roman" w:cs="Times New Roman"/>
          <w:color w:val="000000"/>
          <w:sz w:val="26"/>
          <w:szCs w:val="26"/>
        </w:rPr>
      </w:pPr>
    </w:p>
    <w:p w14:paraId="0A2021F5" w14:textId="616E7349" w:rsidR="00A62176" w:rsidRDefault="0044138D" w:rsidP="00A9096A">
      <w:pPr>
        <w:spacing w:after="5" w:line="244" w:lineRule="auto"/>
        <w:ind w:left="2880" w:right="1440"/>
        <w:contextualSpacing/>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(iii)</w:t>
      </w:r>
      <w:r>
        <w:rPr>
          <w:rFonts w:ascii="Times New Roman" w:eastAsia="Times New Roman" w:hAnsi="Times New Roman" w:cs="Times New Roman"/>
          <w:color w:val="000000"/>
          <w:sz w:val="26"/>
          <w:szCs w:val="26"/>
        </w:rPr>
        <w:tab/>
      </w:r>
      <w:r w:rsidR="001066B4" w:rsidRPr="005B4B33">
        <w:rPr>
          <w:rFonts w:ascii="Times New Roman" w:eastAsia="Times New Roman" w:hAnsi="Times New Roman" w:cs="Times New Roman"/>
          <w:color w:val="000000"/>
          <w:sz w:val="26"/>
          <w:szCs w:val="26"/>
        </w:rPr>
        <w:t>Pennsylvania-American Water Company</w:t>
      </w:r>
      <w:r w:rsidR="001066B4" w:rsidRPr="002724D0">
        <w:rPr>
          <w:rFonts w:ascii="Times New Roman" w:eastAsia="Times New Roman" w:hAnsi="Times New Roman" w:cs="Times New Roman"/>
          <w:sz w:val="26"/>
          <w:szCs w:val="26"/>
        </w:rPr>
        <w:t xml:space="preserve"> </w:t>
      </w:r>
      <w:r w:rsidR="00DC63A4">
        <w:rPr>
          <w:rFonts w:ascii="Times New Roman" w:eastAsia="Times New Roman" w:hAnsi="Times New Roman" w:cs="Times New Roman"/>
          <w:sz w:val="26"/>
          <w:szCs w:val="26"/>
        </w:rPr>
        <w:t>shall</w:t>
      </w:r>
      <w:r w:rsidR="002724D0" w:rsidRPr="002724D0">
        <w:rPr>
          <w:rFonts w:ascii="Times New Roman" w:eastAsia="Times New Roman" w:hAnsi="Times New Roman" w:cs="Times New Roman"/>
          <w:sz w:val="26"/>
          <w:szCs w:val="26"/>
        </w:rPr>
        <w:t xml:space="preserve"> propose to move the Royersford system to its cost of service or 1.7x the current Royersford wastewater rate, whichever is lower, based on a separate cost of service study for Royersford’s system; provided, however, that </w:t>
      </w:r>
      <w:r w:rsidR="00ED18E8" w:rsidRPr="005B4B33">
        <w:rPr>
          <w:rFonts w:ascii="Times New Roman" w:eastAsia="Times New Roman" w:hAnsi="Times New Roman" w:cs="Times New Roman"/>
          <w:color w:val="000000"/>
          <w:sz w:val="26"/>
          <w:szCs w:val="26"/>
        </w:rPr>
        <w:t>Pennsylvania-American Water Company</w:t>
      </w:r>
      <w:r w:rsidR="002724D0" w:rsidRPr="002724D0">
        <w:rPr>
          <w:rFonts w:ascii="Times New Roman" w:eastAsia="Times New Roman" w:hAnsi="Times New Roman" w:cs="Times New Roman"/>
          <w:sz w:val="26"/>
          <w:szCs w:val="26"/>
        </w:rPr>
        <w:t xml:space="preserve"> will not be obligated to propose Royersford wastewater rates in excess of </w:t>
      </w:r>
      <w:r w:rsidR="00ED18E8" w:rsidRPr="005B4B33">
        <w:rPr>
          <w:rFonts w:ascii="Times New Roman" w:eastAsia="Times New Roman" w:hAnsi="Times New Roman" w:cs="Times New Roman"/>
          <w:color w:val="000000"/>
          <w:sz w:val="26"/>
          <w:szCs w:val="26"/>
        </w:rPr>
        <w:t>Pennsylvania-American Water Company</w:t>
      </w:r>
      <w:r w:rsidR="002724D0" w:rsidRPr="002724D0">
        <w:rPr>
          <w:rFonts w:ascii="Times New Roman" w:eastAsia="Times New Roman" w:hAnsi="Times New Roman" w:cs="Times New Roman"/>
          <w:sz w:val="26"/>
          <w:szCs w:val="26"/>
        </w:rPr>
        <w:t xml:space="preserve">’s proposed Rate Zone 1 system-average rates. </w:t>
      </w:r>
    </w:p>
    <w:p w14:paraId="1AC7BDFB" w14:textId="77777777" w:rsidR="00A62176" w:rsidRDefault="00A62176" w:rsidP="00A9096A">
      <w:pPr>
        <w:spacing w:after="5" w:line="244" w:lineRule="auto"/>
        <w:ind w:left="2880" w:right="1440"/>
        <w:contextualSpacing/>
        <w:rPr>
          <w:rFonts w:ascii="Times New Roman" w:eastAsia="Times New Roman" w:hAnsi="Times New Roman" w:cs="Times New Roman"/>
          <w:sz w:val="26"/>
          <w:szCs w:val="26"/>
        </w:rPr>
      </w:pPr>
    </w:p>
    <w:p w14:paraId="01957EE7" w14:textId="3E285F03" w:rsidR="00A62176" w:rsidRDefault="00A62176" w:rsidP="00A9096A">
      <w:pPr>
        <w:spacing w:after="5" w:line="244" w:lineRule="auto"/>
        <w:ind w:left="2880" w:right="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(iv)</w:t>
      </w:r>
      <w:r>
        <w:rPr>
          <w:rFonts w:ascii="Times New Roman" w:eastAsia="Times New Roman" w:hAnsi="Times New Roman" w:cs="Times New Roman"/>
          <w:sz w:val="26"/>
          <w:szCs w:val="26"/>
        </w:rPr>
        <w:tab/>
      </w:r>
      <w:r w:rsidR="001066B4" w:rsidRPr="005B4B33">
        <w:rPr>
          <w:rFonts w:ascii="Times New Roman" w:eastAsia="Times New Roman" w:hAnsi="Times New Roman" w:cs="Times New Roman"/>
          <w:color w:val="000000"/>
          <w:sz w:val="26"/>
          <w:szCs w:val="26"/>
        </w:rPr>
        <w:t>Pennsylvania-American Water Company</w:t>
      </w:r>
      <w:r w:rsidR="001066B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may propose an effective date for new rates for Royersford wastewater customers that is different from the effective date of new rates for other customers.</w:t>
      </w:r>
    </w:p>
    <w:p w14:paraId="1CA1D2EE" w14:textId="77777777" w:rsidR="00A62176" w:rsidRDefault="00A62176" w:rsidP="0044138D">
      <w:pPr>
        <w:spacing w:after="5" w:line="244" w:lineRule="auto"/>
        <w:ind w:left="2880"/>
        <w:contextualSpacing/>
        <w:rPr>
          <w:rFonts w:ascii="Times New Roman" w:eastAsia="Times New Roman" w:hAnsi="Times New Roman" w:cs="Times New Roman"/>
          <w:sz w:val="26"/>
          <w:szCs w:val="26"/>
        </w:rPr>
      </w:pPr>
    </w:p>
    <w:p w14:paraId="17571410" w14:textId="3903AF39" w:rsidR="006E244D" w:rsidRDefault="00A62176" w:rsidP="00285B63">
      <w:pPr>
        <w:spacing w:after="5" w:line="244" w:lineRule="auto"/>
        <w:ind w:left="2880" w:right="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Pr>
          <w:rFonts w:ascii="Times New Roman" w:eastAsia="Times New Roman" w:hAnsi="Times New Roman" w:cs="Times New Roman"/>
          <w:sz w:val="26"/>
          <w:szCs w:val="26"/>
        </w:rPr>
        <w:tab/>
      </w:r>
      <w:r w:rsidR="001066B4" w:rsidRPr="005B4B33">
        <w:rPr>
          <w:rFonts w:ascii="Times New Roman" w:eastAsia="Times New Roman" w:hAnsi="Times New Roman" w:cs="Times New Roman"/>
          <w:color w:val="000000"/>
          <w:sz w:val="26"/>
          <w:szCs w:val="26"/>
        </w:rPr>
        <w:t>Pennsylvania-American Water Company</w:t>
      </w:r>
      <w:r w:rsidR="001066B4">
        <w:rPr>
          <w:rFonts w:ascii="Times New Roman" w:eastAsia="Times New Roman" w:hAnsi="Times New Roman" w:cs="Times New Roman"/>
          <w:sz w:val="26"/>
          <w:szCs w:val="26"/>
        </w:rPr>
        <w:t xml:space="preserve"> </w:t>
      </w:r>
      <w:r w:rsidR="006E244D">
        <w:rPr>
          <w:rFonts w:ascii="Times New Roman" w:eastAsia="Times New Roman" w:hAnsi="Times New Roman" w:cs="Times New Roman"/>
          <w:sz w:val="26"/>
          <w:szCs w:val="26"/>
        </w:rPr>
        <w:t>may agree to rates other than those proposed for Royersford customers in the context of a settlement of the base rate case.</w:t>
      </w:r>
    </w:p>
    <w:p w14:paraId="5D66015C" w14:textId="2D4F1697" w:rsidR="001066B4" w:rsidRDefault="001066B4" w:rsidP="00285B63">
      <w:pPr>
        <w:spacing w:after="5" w:line="244" w:lineRule="auto"/>
        <w:ind w:left="2880" w:right="1440"/>
        <w:contextualSpacing/>
        <w:rPr>
          <w:rFonts w:ascii="Times New Roman" w:eastAsia="Times New Roman" w:hAnsi="Times New Roman" w:cs="Times New Roman"/>
          <w:sz w:val="26"/>
          <w:szCs w:val="26"/>
        </w:rPr>
      </w:pPr>
    </w:p>
    <w:p w14:paraId="4E227579" w14:textId="06AEE0A3" w:rsidR="001066B4" w:rsidRDefault="001066B4" w:rsidP="00285B63">
      <w:pPr>
        <w:spacing w:after="5" w:line="244" w:lineRule="auto"/>
        <w:ind w:left="2880" w:right="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(vi)</w:t>
      </w:r>
      <w:r>
        <w:rPr>
          <w:rFonts w:ascii="Times New Roman" w:eastAsia="Times New Roman" w:hAnsi="Times New Roman" w:cs="Times New Roman"/>
          <w:sz w:val="26"/>
          <w:szCs w:val="26"/>
        </w:rPr>
        <w:tab/>
      </w:r>
      <w:r w:rsidR="00A602AD">
        <w:rPr>
          <w:rFonts w:ascii="Times New Roman" w:eastAsia="Times New Roman" w:hAnsi="Times New Roman" w:cs="Times New Roman"/>
          <w:sz w:val="26"/>
          <w:szCs w:val="26"/>
        </w:rPr>
        <w:t xml:space="preserve">The Office of Consumer Advocate, the Office of Small </w:t>
      </w:r>
      <w:r w:rsidR="00636D7E" w:rsidRPr="00E54925">
        <w:rPr>
          <w:rFonts w:ascii="Times New Roman" w:eastAsia="Times New Roman" w:hAnsi="Times New Roman" w:cs="Times New Roman"/>
          <w:color w:val="000000"/>
          <w:sz w:val="26"/>
          <w:szCs w:val="26"/>
        </w:rPr>
        <w:t>Business Advocate and the Bureau of Investigation and Enforcement</w:t>
      </w:r>
      <w:r w:rsidR="00636D7E">
        <w:rPr>
          <w:rFonts w:ascii="Times New Roman" w:eastAsia="Times New Roman" w:hAnsi="Times New Roman" w:cs="Times New Roman"/>
          <w:color w:val="000000"/>
          <w:sz w:val="26"/>
          <w:szCs w:val="26"/>
        </w:rPr>
        <w:t xml:space="preserve"> reserve the right</w:t>
      </w:r>
      <w:r w:rsidR="00833AC7">
        <w:rPr>
          <w:rFonts w:ascii="Times New Roman" w:eastAsia="Times New Roman" w:hAnsi="Times New Roman" w:cs="Times New Roman"/>
          <w:color w:val="000000"/>
          <w:sz w:val="26"/>
          <w:szCs w:val="26"/>
        </w:rPr>
        <w:t xml:space="preserve"> to address the rate proposals fully and to make other rate proposals.  </w:t>
      </w:r>
    </w:p>
    <w:p w14:paraId="1E35BE45" w14:textId="59B16FC7" w:rsidR="002724D0" w:rsidRDefault="00D71ABF" w:rsidP="00AF0C85">
      <w:pPr>
        <w:spacing w:after="5" w:line="244" w:lineRule="auto"/>
        <w:ind w:left="288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7F7F13A" w14:textId="3959CA6F" w:rsidR="0044138D" w:rsidRPr="002724D0" w:rsidRDefault="0044138D" w:rsidP="00285B63">
      <w:pPr>
        <w:numPr>
          <w:ilvl w:val="0"/>
          <w:numId w:val="43"/>
        </w:numPr>
        <w:spacing w:after="5" w:line="244" w:lineRule="auto"/>
        <w:ind w:right="1440" w:firstLine="0"/>
        <w:contextualSpacing/>
        <w:rPr>
          <w:rFonts w:ascii="Times New Roman" w:eastAsia="Times New Roman" w:hAnsi="Times New Roman" w:cs="Times New Roman"/>
          <w:sz w:val="26"/>
          <w:szCs w:val="26"/>
        </w:rPr>
      </w:pPr>
      <w:r w:rsidRPr="005B4B33">
        <w:rPr>
          <w:rFonts w:ascii="Times New Roman" w:eastAsia="Times New Roman" w:hAnsi="Times New Roman" w:cs="Times New Roman"/>
          <w:color w:val="000000"/>
          <w:sz w:val="26"/>
          <w:szCs w:val="26"/>
        </w:rPr>
        <w:lastRenderedPageBreak/>
        <w:t>Pennsylvania-American Water Company</w:t>
      </w:r>
      <w:r w:rsidRPr="002724D0">
        <w:rPr>
          <w:rFonts w:ascii="Times New Roman" w:eastAsia="Times New Roman" w:hAnsi="Times New Roman" w:cs="Times New Roman"/>
          <w:sz w:val="26"/>
          <w:szCs w:val="26"/>
        </w:rPr>
        <w:t xml:space="preserve"> </w:t>
      </w:r>
      <w:r w:rsidR="00DC63A4">
        <w:rPr>
          <w:rFonts w:ascii="Times New Roman" w:eastAsia="Times New Roman" w:hAnsi="Times New Roman" w:cs="Times New Roman"/>
          <w:sz w:val="26"/>
          <w:szCs w:val="26"/>
        </w:rPr>
        <w:t xml:space="preserve">shall </w:t>
      </w:r>
      <w:r w:rsidRPr="002724D0">
        <w:rPr>
          <w:rFonts w:ascii="Times New Roman" w:eastAsia="Times New Roman" w:hAnsi="Times New Roman" w:cs="Times New Roman"/>
          <w:sz w:val="26"/>
          <w:szCs w:val="26"/>
        </w:rPr>
        <w:t xml:space="preserve">provide combined bills for Royersford wastewater customers who are also </w:t>
      </w:r>
      <w:r w:rsidRPr="005B4B33">
        <w:rPr>
          <w:rFonts w:ascii="Times New Roman" w:eastAsia="Times New Roman" w:hAnsi="Times New Roman" w:cs="Times New Roman"/>
          <w:color w:val="000000"/>
          <w:sz w:val="26"/>
          <w:szCs w:val="26"/>
        </w:rPr>
        <w:t>Pennsylvania-American Water Company</w:t>
      </w:r>
      <w:r w:rsidRPr="002724D0">
        <w:rPr>
          <w:rFonts w:ascii="Times New Roman" w:eastAsia="Times New Roman" w:hAnsi="Times New Roman" w:cs="Times New Roman"/>
          <w:sz w:val="26"/>
          <w:szCs w:val="26"/>
        </w:rPr>
        <w:t xml:space="preserve"> water customers.</w:t>
      </w:r>
    </w:p>
    <w:p w14:paraId="275FF99E" w14:textId="77777777" w:rsidR="0044138D" w:rsidRPr="002724D0" w:rsidRDefault="0044138D" w:rsidP="00285B63">
      <w:pPr>
        <w:ind w:left="2160" w:right="1440"/>
        <w:contextualSpacing/>
        <w:rPr>
          <w:rFonts w:ascii="Times New Roman" w:eastAsia="Times New Roman" w:hAnsi="Times New Roman" w:cs="Times New Roman"/>
          <w:sz w:val="26"/>
          <w:szCs w:val="26"/>
        </w:rPr>
      </w:pPr>
    </w:p>
    <w:p w14:paraId="0D2AB891" w14:textId="5F7B7892" w:rsidR="0069691B" w:rsidRDefault="00117A5B" w:rsidP="00285B63">
      <w:pPr>
        <w:spacing w:after="5" w:line="244" w:lineRule="auto"/>
        <w:ind w:left="2160" w:right="1440"/>
        <w:rPr>
          <w:rFonts w:ascii="Times New Roman" w:hAnsi="Times New Roman" w:cs="Times New Roman"/>
          <w:sz w:val="26"/>
          <w:szCs w:val="26"/>
        </w:rPr>
      </w:pPr>
      <w:r>
        <w:rPr>
          <w:rFonts w:ascii="Times New Roman" w:eastAsia="Times New Roman" w:hAnsi="Times New Roman" w:cs="Times New Roman"/>
          <w:color w:val="000000"/>
          <w:sz w:val="26"/>
          <w:szCs w:val="26"/>
        </w:rPr>
        <w:t>c</w:t>
      </w:r>
      <w:r w:rsidR="002724D0" w:rsidRPr="002724D0">
        <w:rPr>
          <w:rFonts w:ascii="Times New Roman" w:eastAsia="Times New Roman" w:hAnsi="Times New Roman" w:cs="Times New Roman"/>
          <w:color w:val="000000"/>
          <w:sz w:val="26"/>
          <w:szCs w:val="26"/>
        </w:rPr>
        <w:t xml:space="preserve">. </w:t>
      </w:r>
      <w:r w:rsidR="002724D0" w:rsidRPr="002724D0">
        <w:rPr>
          <w:rFonts w:ascii="Times New Roman" w:eastAsia="Times New Roman" w:hAnsi="Times New Roman" w:cs="Times New Roman"/>
          <w:color w:val="000000"/>
          <w:sz w:val="26"/>
          <w:szCs w:val="26"/>
        </w:rPr>
        <w:tab/>
        <w:t xml:space="preserve">Within the first billing cycle following closing, </w:t>
      </w:r>
      <w:r w:rsidR="00ED18E8" w:rsidRPr="005B4B33">
        <w:rPr>
          <w:rFonts w:ascii="Times New Roman" w:eastAsia="Times New Roman" w:hAnsi="Times New Roman" w:cs="Times New Roman"/>
          <w:color w:val="000000"/>
          <w:sz w:val="26"/>
          <w:szCs w:val="26"/>
        </w:rPr>
        <w:t>Pennsylvania-American Water Company</w:t>
      </w:r>
      <w:r w:rsidR="002724D0" w:rsidRPr="002724D0">
        <w:rPr>
          <w:rFonts w:ascii="Times New Roman" w:eastAsia="Times New Roman" w:hAnsi="Times New Roman" w:cs="Times New Roman"/>
          <w:color w:val="000000"/>
          <w:sz w:val="26"/>
          <w:szCs w:val="26"/>
        </w:rPr>
        <w:t xml:space="preserve"> shall include a bill insert to Royersford’s customers regarding its low-income programs and shall include such information in a welcome letter to Royersford’s customers.  The bill insert and welcome letter shall include, at a minimum, a description of the available low-income programs, eligibility requirements for participation in the programs, and </w:t>
      </w:r>
      <w:r w:rsidR="00957CEB" w:rsidRPr="005B4B33">
        <w:rPr>
          <w:rFonts w:ascii="Times New Roman" w:eastAsia="Times New Roman" w:hAnsi="Times New Roman" w:cs="Times New Roman"/>
          <w:color w:val="000000"/>
          <w:sz w:val="26"/>
          <w:szCs w:val="26"/>
        </w:rPr>
        <w:t>Pennsylvania-American Water Company</w:t>
      </w:r>
      <w:r w:rsidR="002724D0" w:rsidRPr="002724D0">
        <w:rPr>
          <w:rFonts w:ascii="Times New Roman" w:eastAsia="Times New Roman" w:hAnsi="Times New Roman" w:cs="Times New Roman"/>
          <w:color w:val="000000"/>
          <w:sz w:val="26"/>
          <w:szCs w:val="26"/>
        </w:rPr>
        <w:t xml:space="preserve">’s contact information.  </w:t>
      </w:r>
      <w:r w:rsidR="00957CEB" w:rsidRPr="005B4B33">
        <w:rPr>
          <w:rFonts w:ascii="Times New Roman" w:eastAsia="Times New Roman" w:hAnsi="Times New Roman" w:cs="Times New Roman"/>
          <w:color w:val="000000"/>
          <w:sz w:val="26"/>
          <w:szCs w:val="26"/>
        </w:rPr>
        <w:t>Pennsylvania-American Water Company</w:t>
      </w:r>
      <w:r w:rsidR="002724D0" w:rsidRPr="002724D0">
        <w:rPr>
          <w:rFonts w:ascii="Times New Roman" w:eastAsia="Times New Roman" w:hAnsi="Times New Roman" w:cs="Times New Roman"/>
          <w:color w:val="000000"/>
          <w:sz w:val="26"/>
          <w:szCs w:val="26"/>
        </w:rPr>
        <w:t xml:space="preserve"> </w:t>
      </w:r>
      <w:r w:rsidR="00A57CD7">
        <w:rPr>
          <w:rFonts w:ascii="Times New Roman" w:eastAsia="Times New Roman" w:hAnsi="Times New Roman" w:cs="Times New Roman"/>
          <w:color w:val="000000"/>
          <w:sz w:val="26"/>
          <w:szCs w:val="26"/>
        </w:rPr>
        <w:t>shall further provide</w:t>
      </w:r>
      <w:r w:rsidR="00764916">
        <w:rPr>
          <w:rFonts w:ascii="Times New Roman" w:eastAsia="Times New Roman" w:hAnsi="Times New Roman" w:cs="Times New Roman"/>
          <w:color w:val="000000"/>
          <w:sz w:val="26"/>
          <w:szCs w:val="26"/>
        </w:rPr>
        <w:t xml:space="preserve"> </w:t>
      </w:r>
      <w:r w:rsidR="002724D0" w:rsidRPr="002724D0">
        <w:rPr>
          <w:rFonts w:ascii="Times New Roman" w:eastAsia="Times New Roman" w:hAnsi="Times New Roman" w:cs="Times New Roman"/>
          <w:color w:val="000000"/>
          <w:sz w:val="26"/>
          <w:szCs w:val="26"/>
        </w:rPr>
        <w:t xml:space="preserve">ongoing, targeted outreach to its Royersford-area customers regarding its </w:t>
      </w:r>
      <w:r w:rsidR="002724D0" w:rsidRPr="005B4B33">
        <w:rPr>
          <w:rFonts w:ascii="Times New Roman" w:eastAsia="Times New Roman" w:hAnsi="Times New Roman" w:cs="Times New Roman"/>
          <w:color w:val="000000"/>
          <w:sz w:val="26"/>
          <w:szCs w:val="26"/>
        </w:rPr>
        <w:t>low-income program</w:t>
      </w:r>
      <w:r w:rsidR="00D64C1F" w:rsidRPr="005B4B33">
        <w:rPr>
          <w:rFonts w:ascii="Times New Roman" w:hAnsi="Times New Roman" w:cs="Times New Roman"/>
          <w:sz w:val="26"/>
          <w:szCs w:val="26"/>
        </w:rPr>
        <w:t>.</w:t>
      </w:r>
    </w:p>
    <w:p w14:paraId="3C1CEE66" w14:textId="77777777" w:rsidR="0069691B" w:rsidRDefault="0069691B" w:rsidP="00285B63">
      <w:pPr>
        <w:spacing w:after="5" w:line="244" w:lineRule="auto"/>
        <w:ind w:left="2160" w:right="1440"/>
        <w:rPr>
          <w:rFonts w:ascii="Times New Roman" w:hAnsi="Times New Roman" w:cs="Times New Roman"/>
          <w:sz w:val="26"/>
          <w:szCs w:val="26"/>
        </w:rPr>
      </w:pPr>
    </w:p>
    <w:p w14:paraId="5080519C" w14:textId="5010885C" w:rsidR="003A3BF8" w:rsidRDefault="00117A5B" w:rsidP="00285B63">
      <w:pPr>
        <w:spacing w:after="5" w:line="244" w:lineRule="auto"/>
        <w:ind w:left="2160" w:right="1440"/>
        <w:rPr>
          <w:rFonts w:ascii="Times New Roman" w:eastAsia="Times New Roman" w:hAnsi="Times New Roman" w:cs="Times New Roman"/>
          <w:color w:val="000000"/>
          <w:sz w:val="26"/>
          <w:szCs w:val="26"/>
        </w:rPr>
      </w:pPr>
      <w:r>
        <w:rPr>
          <w:rFonts w:ascii="Times New Roman" w:hAnsi="Times New Roman" w:cs="Times New Roman"/>
          <w:sz w:val="26"/>
          <w:szCs w:val="26"/>
        </w:rPr>
        <w:t>d</w:t>
      </w:r>
      <w:r w:rsidR="0069691B">
        <w:rPr>
          <w:rFonts w:ascii="Times New Roman" w:hAnsi="Times New Roman" w:cs="Times New Roman"/>
          <w:sz w:val="26"/>
          <w:szCs w:val="26"/>
        </w:rPr>
        <w:t>.</w:t>
      </w:r>
      <w:r w:rsidR="0069691B">
        <w:rPr>
          <w:rFonts w:ascii="Times New Roman" w:hAnsi="Times New Roman" w:cs="Times New Roman"/>
          <w:sz w:val="26"/>
          <w:szCs w:val="26"/>
        </w:rPr>
        <w:tab/>
      </w:r>
      <w:r w:rsidR="00AF15E5">
        <w:rPr>
          <w:rFonts w:ascii="Times New Roman" w:hAnsi="Times New Roman" w:cs="Times New Roman"/>
          <w:sz w:val="26"/>
          <w:szCs w:val="26"/>
        </w:rPr>
        <w:t xml:space="preserve">In future acquisitions by </w:t>
      </w:r>
      <w:r w:rsidR="00AF15E5" w:rsidRPr="005B4B33">
        <w:rPr>
          <w:rFonts w:ascii="Times New Roman" w:eastAsia="Times New Roman" w:hAnsi="Times New Roman" w:cs="Times New Roman"/>
          <w:color w:val="000000"/>
          <w:sz w:val="26"/>
          <w:szCs w:val="26"/>
        </w:rPr>
        <w:t>Pennsylvania-American Water Company</w:t>
      </w:r>
      <w:r w:rsidR="00C43C61">
        <w:rPr>
          <w:rFonts w:ascii="Times New Roman" w:eastAsia="Times New Roman" w:hAnsi="Times New Roman" w:cs="Times New Roman"/>
          <w:color w:val="000000"/>
          <w:sz w:val="26"/>
          <w:szCs w:val="26"/>
        </w:rPr>
        <w:t xml:space="preserve"> under 66 Pa. C.S. § 1329, filed subsequent to the Joint Petition for </w:t>
      </w:r>
      <w:r w:rsidR="001D3FDA" w:rsidRPr="00E54925">
        <w:rPr>
          <w:rFonts w:ascii="Times New Roman" w:eastAsia="Times New Roman" w:hAnsi="Times New Roman" w:cs="Times New Roman"/>
          <w:color w:val="000000"/>
          <w:sz w:val="26"/>
          <w:szCs w:val="26"/>
        </w:rPr>
        <w:t>Approval of Settlement of All Issues</w:t>
      </w:r>
      <w:r w:rsidR="00D64C1F" w:rsidRPr="005B4B33">
        <w:rPr>
          <w:rFonts w:ascii="Times New Roman" w:hAnsi="Times New Roman" w:cs="Times New Roman"/>
          <w:sz w:val="26"/>
          <w:szCs w:val="26"/>
        </w:rPr>
        <w:t xml:space="preserve"> </w:t>
      </w:r>
      <w:r w:rsidR="00051D06">
        <w:rPr>
          <w:rFonts w:ascii="Times New Roman" w:hAnsi="Times New Roman" w:cs="Times New Roman"/>
          <w:sz w:val="26"/>
          <w:szCs w:val="26"/>
        </w:rPr>
        <w:t xml:space="preserve">filed </w:t>
      </w:r>
      <w:r w:rsidR="00EF7060">
        <w:rPr>
          <w:rFonts w:ascii="Times New Roman" w:hAnsi="Times New Roman" w:cs="Times New Roman"/>
          <w:sz w:val="26"/>
          <w:szCs w:val="26"/>
        </w:rPr>
        <w:t xml:space="preserve">in this proceeding, </w:t>
      </w:r>
      <w:r w:rsidR="00EF7060" w:rsidRPr="005B4B33">
        <w:rPr>
          <w:rFonts w:ascii="Times New Roman" w:eastAsia="Times New Roman" w:hAnsi="Times New Roman" w:cs="Times New Roman"/>
          <w:color w:val="000000"/>
          <w:sz w:val="26"/>
          <w:szCs w:val="26"/>
        </w:rPr>
        <w:t>Pennsylvania-American Water Company</w:t>
      </w:r>
      <w:r w:rsidR="00B028F7">
        <w:rPr>
          <w:rFonts w:ascii="Times New Roman" w:eastAsia="Times New Roman" w:hAnsi="Times New Roman" w:cs="Times New Roman"/>
          <w:color w:val="000000"/>
          <w:sz w:val="26"/>
          <w:szCs w:val="26"/>
        </w:rPr>
        <w:t xml:space="preserve"> </w:t>
      </w:r>
      <w:r w:rsidR="00DC63A4">
        <w:rPr>
          <w:rFonts w:ascii="Times New Roman" w:eastAsia="Times New Roman" w:hAnsi="Times New Roman" w:cs="Times New Roman"/>
          <w:color w:val="000000"/>
          <w:sz w:val="26"/>
          <w:szCs w:val="26"/>
        </w:rPr>
        <w:t>shall</w:t>
      </w:r>
      <w:r w:rsidR="00B028F7">
        <w:rPr>
          <w:rFonts w:ascii="Times New Roman" w:eastAsia="Times New Roman" w:hAnsi="Times New Roman" w:cs="Times New Roman"/>
          <w:color w:val="000000"/>
          <w:sz w:val="26"/>
          <w:szCs w:val="26"/>
        </w:rPr>
        <w:t xml:space="preserve"> not support the portion of an AUS Consultants’ appraisal that does not use a consistent method going forward to d</w:t>
      </w:r>
      <w:r w:rsidR="000F4CEF">
        <w:rPr>
          <w:rFonts w:ascii="Times New Roman" w:eastAsia="Times New Roman" w:hAnsi="Times New Roman" w:cs="Times New Roman"/>
          <w:color w:val="000000"/>
          <w:sz w:val="26"/>
          <w:szCs w:val="26"/>
        </w:rPr>
        <w:t xml:space="preserve">etermine the indicated (conclusion) value under the market approach analysis; provided, however, that this prohibition </w:t>
      </w:r>
      <w:r w:rsidR="001638DC">
        <w:rPr>
          <w:rFonts w:ascii="Times New Roman" w:eastAsia="Times New Roman" w:hAnsi="Times New Roman" w:cs="Times New Roman"/>
          <w:color w:val="000000"/>
          <w:sz w:val="26"/>
          <w:szCs w:val="26"/>
        </w:rPr>
        <w:t xml:space="preserve">shall not apply if the Commission determines, through a final </w:t>
      </w:r>
      <w:r w:rsidR="00257F86">
        <w:rPr>
          <w:rFonts w:ascii="Times New Roman" w:eastAsia="Times New Roman" w:hAnsi="Times New Roman" w:cs="Times New Roman"/>
          <w:color w:val="000000"/>
          <w:sz w:val="26"/>
          <w:szCs w:val="26"/>
        </w:rPr>
        <w:t>O</w:t>
      </w:r>
      <w:r w:rsidR="001638DC">
        <w:rPr>
          <w:rFonts w:ascii="Times New Roman" w:eastAsia="Times New Roman" w:hAnsi="Times New Roman" w:cs="Times New Roman"/>
          <w:color w:val="000000"/>
          <w:sz w:val="26"/>
          <w:szCs w:val="26"/>
        </w:rPr>
        <w:t>rder in a non-</w:t>
      </w:r>
      <w:r w:rsidR="001638DC" w:rsidRPr="005B4B33">
        <w:rPr>
          <w:rFonts w:ascii="Times New Roman" w:eastAsia="Times New Roman" w:hAnsi="Times New Roman" w:cs="Times New Roman"/>
          <w:color w:val="000000"/>
          <w:sz w:val="26"/>
          <w:szCs w:val="26"/>
        </w:rPr>
        <w:t>Pennsylvania-American Water Company</w:t>
      </w:r>
      <w:r w:rsidR="001638DC">
        <w:rPr>
          <w:rFonts w:ascii="Times New Roman" w:eastAsia="Times New Roman" w:hAnsi="Times New Roman" w:cs="Times New Roman"/>
          <w:color w:val="000000"/>
          <w:sz w:val="26"/>
          <w:szCs w:val="26"/>
        </w:rPr>
        <w:t xml:space="preserve"> </w:t>
      </w:r>
      <w:r w:rsidR="00095507">
        <w:rPr>
          <w:rFonts w:ascii="Times New Roman" w:eastAsia="Times New Roman" w:hAnsi="Times New Roman" w:cs="Times New Roman"/>
          <w:color w:val="000000"/>
          <w:sz w:val="26"/>
          <w:szCs w:val="26"/>
        </w:rPr>
        <w:t xml:space="preserve">proceeding, </w:t>
      </w:r>
      <w:r w:rsidR="00257F86">
        <w:rPr>
          <w:rFonts w:ascii="Times New Roman" w:eastAsia="Times New Roman" w:hAnsi="Times New Roman" w:cs="Times New Roman"/>
          <w:color w:val="000000"/>
          <w:sz w:val="26"/>
          <w:szCs w:val="26"/>
        </w:rPr>
        <w:t xml:space="preserve">a </w:t>
      </w:r>
      <w:r w:rsidR="00095507">
        <w:rPr>
          <w:rFonts w:ascii="Times New Roman" w:eastAsia="Times New Roman" w:hAnsi="Times New Roman" w:cs="Times New Roman"/>
          <w:color w:val="000000"/>
          <w:sz w:val="26"/>
          <w:szCs w:val="26"/>
        </w:rPr>
        <w:t>Commission Regulation</w:t>
      </w:r>
      <w:r w:rsidR="00133FD2">
        <w:rPr>
          <w:rFonts w:ascii="Times New Roman" w:eastAsia="Times New Roman" w:hAnsi="Times New Roman" w:cs="Times New Roman"/>
          <w:color w:val="000000"/>
          <w:sz w:val="26"/>
          <w:szCs w:val="26"/>
        </w:rPr>
        <w:t>, or</w:t>
      </w:r>
      <w:r w:rsidR="00257F86">
        <w:rPr>
          <w:rFonts w:ascii="Times New Roman" w:eastAsia="Times New Roman" w:hAnsi="Times New Roman" w:cs="Times New Roman"/>
          <w:color w:val="000000"/>
          <w:sz w:val="26"/>
          <w:szCs w:val="26"/>
        </w:rPr>
        <w:t xml:space="preserve"> </w:t>
      </w:r>
      <w:r w:rsidR="00133FD2">
        <w:rPr>
          <w:rFonts w:ascii="Times New Roman" w:eastAsia="Times New Roman" w:hAnsi="Times New Roman" w:cs="Times New Roman"/>
          <w:color w:val="000000"/>
          <w:sz w:val="26"/>
          <w:szCs w:val="26"/>
        </w:rPr>
        <w:t xml:space="preserve">statement of policy, that </w:t>
      </w:r>
      <w:r w:rsidR="00257F86">
        <w:rPr>
          <w:rFonts w:ascii="Times New Roman" w:eastAsia="Times New Roman" w:hAnsi="Times New Roman" w:cs="Times New Roman"/>
          <w:color w:val="000000"/>
          <w:sz w:val="26"/>
          <w:szCs w:val="26"/>
        </w:rPr>
        <w:t xml:space="preserve">a </w:t>
      </w:r>
      <w:r w:rsidR="00133FD2">
        <w:rPr>
          <w:rFonts w:ascii="Times New Roman" w:eastAsia="Times New Roman" w:hAnsi="Times New Roman" w:cs="Times New Roman"/>
          <w:color w:val="000000"/>
          <w:sz w:val="26"/>
          <w:szCs w:val="26"/>
        </w:rPr>
        <w:t>different method should be used by utility valuation experts.</w:t>
      </w:r>
    </w:p>
    <w:p w14:paraId="36051C53" w14:textId="77777777" w:rsidR="003A3BF8" w:rsidRDefault="003A3BF8" w:rsidP="0069691B">
      <w:pPr>
        <w:spacing w:after="5" w:line="244" w:lineRule="auto"/>
        <w:ind w:left="2160"/>
        <w:rPr>
          <w:rFonts w:ascii="Times New Roman" w:eastAsia="Times New Roman" w:hAnsi="Times New Roman" w:cs="Times New Roman"/>
          <w:color w:val="000000"/>
          <w:sz w:val="26"/>
          <w:szCs w:val="26"/>
        </w:rPr>
      </w:pPr>
    </w:p>
    <w:p w14:paraId="048D4DE1" w14:textId="1849C217" w:rsidR="00C765A6" w:rsidRPr="00C765A6" w:rsidRDefault="00117A5B" w:rsidP="00285B63">
      <w:pPr>
        <w:spacing w:after="5" w:line="244" w:lineRule="auto"/>
        <w:ind w:left="2160" w:right="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w:t>
      </w:r>
      <w:r w:rsidR="003A3BF8">
        <w:rPr>
          <w:rFonts w:ascii="Times New Roman" w:eastAsia="Times New Roman" w:hAnsi="Times New Roman" w:cs="Times New Roman"/>
          <w:color w:val="000000"/>
          <w:sz w:val="26"/>
          <w:szCs w:val="26"/>
        </w:rPr>
        <w:t>.</w:t>
      </w:r>
      <w:r w:rsidR="003A3BF8">
        <w:rPr>
          <w:rFonts w:ascii="Times New Roman" w:eastAsia="Times New Roman" w:hAnsi="Times New Roman" w:cs="Times New Roman"/>
          <w:color w:val="000000"/>
          <w:sz w:val="26"/>
          <w:szCs w:val="26"/>
        </w:rPr>
        <w:tab/>
      </w:r>
      <w:r w:rsidR="00C765A6" w:rsidRPr="00C765A6">
        <w:rPr>
          <w:rFonts w:ascii="Times New Roman" w:eastAsia="Times New Roman" w:hAnsi="Times New Roman" w:cs="Times New Roman"/>
          <w:color w:val="000000"/>
          <w:sz w:val="26"/>
          <w:szCs w:val="26"/>
        </w:rPr>
        <w:t xml:space="preserve">That Pennsylvania-American Water Company </w:t>
      </w:r>
      <w:r w:rsidR="00F256AC">
        <w:rPr>
          <w:rFonts w:ascii="Times New Roman" w:eastAsia="Times New Roman" w:hAnsi="Times New Roman" w:cs="Times New Roman"/>
          <w:color w:val="000000"/>
          <w:sz w:val="26"/>
          <w:szCs w:val="26"/>
        </w:rPr>
        <w:t>is permitted to</w:t>
      </w:r>
      <w:r w:rsidR="00C765A6" w:rsidRPr="00C765A6">
        <w:rPr>
          <w:rFonts w:ascii="Times New Roman" w:eastAsia="Times New Roman" w:hAnsi="Times New Roman" w:cs="Times New Roman"/>
          <w:color w:val="000000"/>
          <w:sz w:val="26"/>
          <w:szCs w:val="26"/>
        </w:rPr>
        <w:t xml:space="preserve"> apply the distribution system improvement charge to customers in the Royersford service area prior to the first base rate case in which the system’s plant in service is incorporated into Pennsylvania-American Water Company’s rate base, subject to the following conditions:</w:t>
      </w:r>
    </w:p>
    <w:p w14:paraId="36F49FC6" w14:textId="6D8B39FE" w:rsidR="00C765A6" w:rsidRPr="00C765A6" w:rsidRDefault="00ED73AD" w:rsidP="00285B63">
      <w:pPr>
        <w:spacing w:after="5" w:line="244" w:lineRule="auto"/>
        <w:ind w:left="2880" w:right="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roofErr w:type="spellStart"/>
      <w:r>
        <w:rPr>
          <w:rFonts w:ascii="Times New Roman" w:eastAsia="Times New Roman" w:hAnsi="Times New Roman" w:cs="Times New Roman"/>
          <w:sz w:val="26"/>
          <w:szCs w:val="26"/>
        </w:rPr>
        <w:t>i</w:t>
      </w:r>
      <w:proofErr w:type="spellEnd"/>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sidR="00C765A6" w:rsidRPr="00C765A6">
        <w:rPr>
          <w:rFonts w:ascii="Times New Roman" w:eastAsia="Times New Roman" w:hAnsi="Times New Roman" w:cs="Times New Roman"/>
          <w:sz w:val="26"/>
          <w:szCs w:val="26"/>
        </w:rPr>
        <w:t xml:space="preserve">Pennsylvania-American Water Company </w:t>
      </w:r>
      <w:r w:rsidR="009B2B52">
        <w:rPr>
          <w:rFonts w:ascii="Times New Roman" w:eastAsia="Times New Roman" w:hAnsi="Times New Roman" w:cs="Times New Roman"/>
          <w:sz w:val="26"/>
          <w:szCs w:val="26"/>
        </w:rPr>
        <w:t>shall</w:t>
      </w:r>
      <w:r w:rsidR="00C765A6" w:rsidRPr="00C765A6">
        <w:rPr>
          <w:rFonts w:ascii="Times New Roman" w:eastAsia="Times New Roman" w:hAnsi="Times New Roman" w:cs="Times New Roman"/>
          <w:sz w:val="26"/>
          <w:szCs w:val="26"/>
        </w:rPr>
        <w:t xml:space="preserve"> file an amended wastewater long term infrastructure improvement plan incorporating the Royersford Borough and related projects before it begins charging the distribution system improvement charge to customers in the Royersford service area.</w:t>
      </w:r>
    </w:p>
    <w:p w14:paraId="61A23FC7" w14:textId="77777777" w:rsidR="00C765A6" w:rsidRPr="00C765A6" w:rsidRDefault="00C765A6" w:rsidP="00285B63">
      <w:pPr>
        <w:ind w:left="1440" w:right="1440"/>
        <w:rPr>
          <w:rFonts w:ascii="Times New Roman" w:eastAsia="Times New Roman" w:hAnsi="Times New Roman" w:cs="Times New Roman"/>
          <w:sz w:val="26"/>
          <w:szCs w:val="26"/>
        </w:rPr>
      </w:pPr>
    </w:p>
    <w:p w14:paraId="28758EC2" w14:textId="50634B99" w:rsidR="00C765A6" w:rsidRPr="00C765A6" w:rsidRDefault="00ED73AD" w:rsidP="00285B63">
      <w:pPr>
        <w:spacing w:after="5" w:line="244" w:lineRule="auto"/>
        <w:ind w:left="2880" w:right="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(ii)</w:t>
      </w:r>
      <w:r>
        <w:rPr>
          <w:rFonts w:ascii="Times New Roman" w:eastAsia="Times New Roman" w:hAnsi="Times New Roman" w:cs="Times New Roman"/>
          <w:sz w:val="26"/>
          <w:szCs w:val="26"/>
        </w:rPr>
        <w:tab/>
      </w:r>
      <w:r w:rsidR="00C765A6" w:rsidRPr="00C765A6">
        <w:rPr>
          <w:rFonts w:ascii="Times New Roman" w:eastAsia="Times New Roman" w:hAnsi="Times New Roman" w:cs="Times New Roman"/>
          <w:sz w:val="26"/>
          <w:szCs w:val="26"/>
        </w:rPr>
        <w:t xml:space="preserve">Pennsylvania-American Water Company’s amended wastewater long term infrastructure improvement plan incorporating the Royersford area </w:t>
      </w:r>
      <w:r w:rsidR="009B2B52">
        <w:rPr>
          <w:rFonts w:ascii="Times New Roman" w:eastAsia="Times New Roman" w:hAnsi="Times New Roman" w:cs="Times New Roman"/>
          <w:sz w:val="26"/>
          <w:szCs w:val="26"/>
        </w:rPr>
        <w:t>shall</w:t>
      </w:r>
      <w:r w:rsidR="00C765A6" w:rsidRPr="00C765A6">
        <w:rPr>
          <w:rFonts w:ascii="Times New Roman" w:eastAsia="Times New Roman" w:hAnsi="Times New Roman" w:cs="Times New Roman"/>
          <w:sz w:val="26"/>
          <w:szCs w:val="26"/>
        </w:rPr>
        <w:t xml:space="preserve"> not re-prioritize other existing commitments in other service areas.</w:t>
      </w:r>
    </w:p>
    <w:p w14:paraId="40F27DAC" w14:textId="77777777" w:rsidR="00C765A6" w:rsidRPr="00C765A6" w:rsidRDefault="00C765A6" w:rsidP="00285B63">
      <w:pPr>
        <w:spacing w:after="5"/>
        <w:ind w:right="1440"/>
        <w:rPr>
          <w:rFonts w:ascii="Times New Roman" w:eastAsia="Times New Roman" w:hAnsi="Times New Roman" w:cs="Times New Roman"/>
          <w:color w:val="000000"/>
          <w:sz w:val="26"/>
          <w:szCs w:val="26"/>
        </w:rPr>
      </w:pPr>
    </w:p>
    <w:p w14:paraId="0A5572B8" w14:textId="555E16F5" w:rsidR="00852D6F" w:rsidRDefault="00BF2F88" w:rsidP="00285B63">
      <w:pPr>
        <w:ind w:left="2880" w:right="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(iii)</w:t>
      </w:r>
      <w:r>
        <w:rPr>
          <w:rFonts w:ascii="Times New Roman" w:eastAsia="Times New Roman" w:hAnsi="Times New Roman" w:cs="Times New Roman"/>
          <w:color w:val="000000"/>
          <w:sz w:val="26"/>
          <w:szCs w:val="26"/>
        </w:rPr>
        <w:tab/>
      </w:r>
      <w:r w:rsidR="00C765A6" w:rsidRPr="00C765A6">
        <w:rPr>
          <w:rFonts w:ascii="Times New Roman" w:eastAsia="Times New Roman" w:hAnsi="Times New Roman" w:cs="Times New Roman"/>
          <w:color w:val="000000"/>
          <w:sz w:val="26"/>
          <w:szCs w:val="26"/>
        </w:rPr>
        <w:t xml:space="preserve">Pennsylvania-American Water Company </w:t>
      </w:r>
      <w:r w:rsidR="009B2B52">
        <w:rPr>
          <w:rFonts w:ascii="Times New Roman" w:eastAsia="Times New Roman" w:hAnsi="Times New Roman" w:cs="Times New Roman"/>
          <w:color w:val="000000"/>
          <w:sz w:val="26"/>
          <w:szCs w:val="26"/>
        </w:rPr>
        <w:t>shall</w:t>
      </w:r>
      <w:r w:rsidR="00C765A6" w:rsidRPr="00C765A6">
        <w:rPr>
          <w:rFonts w:ascii="Times New Roman" w:eastAsia="Times New Roman" w:hAnsi="Times New Roman" w:cs="Times New Roman"/>
          <w:color w:val="000000"/>
          <w:sz w:val="26"/>
          <w:szCs w:val="26"/>
        </w:rPr>
        <w:t xml:space="preserve"> file a compliance tariff supplement incorporating the Royersford service territory into Pennsylvania American Water Company’s existing wastewater </w:t>
      </w:r>
      <w:r w:rsidR="00B6005F">
        <w:rPr>
          <w:rFonts w:ascii="Times New Roman" w:eastAsia="Times New Roman" w:hAnsi="Times New Roman" w:cs="Times New Roman"/>
          <w:color w:val="000000"/>
          <w:sz w:val="26"/>
          <w:szCs w:val="26"/>
        </w:rPr>
        <w:t>d</w:t>
      </w:r>
      <w:r w:rsidR="00C765A6" w:rsidRPr="00C765A6">
        <w:rPr>
          <w:rFonts w:ascii="Times New Roman" w:eastAsia="Times New Roman" w:hAnsi="Times New Roman" w:cs="Times New Roman"/>
          <w:color w:val="000000"/>
          <w:sz w:val="26"/>
          <w:szCs w:val="26"/>
        </w:rPr>
        <w:t xml:space="preserve">istribution </w:t>
      </w:r>
      <w:r w:rsidR="00B6005F">
        <w:rPr>
          <w:rFonts w:ascii="Times New Roman" w:eastAsia="Times New Roman" w:hAnsi="Times New Roman" w:cs="Times New Roman"/>
          <w:color w:val="000000"/>
          <w:sz w:val="26"/>
          <w:szCs w:val="26"/>
        </w:rPr>
        <w:t>s</w:t>
      </w:r>
      <w:r w:rsidR="00C765A6" w:rsidRPr="00C765A6">
        <w:rPr>
          <w:rFonts w:ascii="Times New Roman" w:eastAsia="Times New Roman" w:hAnsi="Times New Roman" w:cs="Times New Roman"/>
          <w:color w:val="000000"/>
          <w:sz w:val="26"/>
          <w:szCs w:val="26"/>
        </w:rPr>
        <w:t xml:space="preserve">ystem </w:t>
      </w:r>
      <w:r w:rsidR="00B6005F">
        <w:rPr>
          <w:rFonts w:ascii="Times New Roman" w:eastAsia="Times New Roman" w:hAnsi="Times New Roman" w:cs="Times New Roman"/>
          <w:color w:val="000000"/>
          <w:sz w:val="26"/>
          <w:szCs w:val="26"/>
        </w:rPr>
        <w:t>i</w:t>
      </w:r>
      <w:r w:rsidR="00C765A6" w:rsidRPr="00C765A6">
        <w:rPr>
          <w:rFonts w:ascii="Times New Roman" w:eastAsia="Times New Roman" w:hAnsi="Times New Roman" w:cs="Times New Roman"/>
          <w:color w:val="000000"/>
          <w:sz w:val="26"/>
          <w:szCs w:val="26"/>
        </w:rPr>
        <w:t xml:space="preserve">mprovement </w:t>
      </w:r>
      <w:r w:rsidR="00B6005F">
        <w:rPr>
          <w:rFonts w:ascii="Times New Roman" w:eastAsia="Times New Roman" w:hAnsi="Times New Roman" w:cs="Times New Roman"/>
          <w:color w:val="000000"/>
          <w:sz w:val="26"/>
          <w:szCs w:val="26"/>
        </w:rPr>
        <w:t>c</w:t>
      </w:r>
      <w:r w:rsidR="00C765A6" w:rsidRPr="00C765A6">
        <w:rPr>
          <w:rFonts w:ascii="Times New Roman" w:eastAsia="Times New Roman" w:hAnsi="Times New Roman" w:cs="Times New Roman"/>
          <w:color w:val="000000"/>
          <w:sz w:val="26"/>
          <w:szCs w:val="26"/>
        </w:rPr>
        <w:t>harge tariff provisions.</w:t>
      </w:r>
    </w:p>
    <w:p w14:paraId="42E1C60F" w14:textId="73B09BC6" w:rsidR="00401E7C" w:rsidRDefault="00401E7C" w:rsidP="00285B63">
      <w:pPr>
        <w:ind w:right="1440"/>
        <w:rPr>
          <w:rFonts w:ascii="Times New Roman" w:eastAsia="Times New Roman" w:hAnsi="Times New Roman" w:cs="Times New Roman"/>
          <w:color w:val="000000"/>
          <w:sz w:val="26"/>
          <w:szCs w:val="26"/>
        </w:rPr>
      </w:pPr>
    </w:p>
    <w:p w14:paraId="4497C6FF" w14:textId="44F7606E" w:rsidR="00401E7C" w:rsidRDefault="00AF0C85" w:rsidP="00285B63">
      <w:pPr>
        <w:ind w:left="2160" w:right="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w:t>
      </w:r>
      <w:r w:rsidR="00401E7C">
        <w:rPr>
          <w:rFonts w:ascii="Times New Roman" w:eastAsia="Times New Roman" w:hAnsi="Times New Roman" w:cs="Times New Roman"/>
          <w:color w:val="000000"/>
          <w:sz w:val="26"/>
          <w:szCs w:val="26"/>
        </w:rPr>
        <w:t>.</w:t>
      </w:r>
      <w:r w:rsidR="00401E7C">
        <w:rPr>
          <w:rFonts w:ascii="Times New Roman" w:eastAsia="Times New Roman" w:hAnsi="Times New Roman" w:cs="Times New Roman"/>
          <w:color w:val="000000"/>
          <w:sz w:val="26"/>
          <w:szCs w:val="26"/>
        </w:rPr>
        <w:tab/>
      </w:r>
      <w:r w:rsidR="008C16CE">
        <w:rPr>
          <w:rFonts w:ascii="Times New Roman" w:eastAsia="Times New Roman" w:hAnsi="Times New Roman" w:cs="Times New Roman"/>
          <w:color w:val="000000"/>
          <w:sz w:val="26"/>
          <w:szCs w:val="26"/>
        </w:rPr>
        <w:t xml:space="preserve">That pursuant to 66 Pa. C.S. § 1329(f), </w:t>
      </w:r>
      <w:r w:rsidR="008C16CE" w:rsidRPr="00C765A6">
        <w:rPr>
          <w:rFonts w:ascii="Times New Roman" w:eastAsia="Times New Roman" w:hAnsi="Times New Roman" w:cs="Times New Roman"/>
          <w:color w:val="000000"/>
          <w:sz w:val="26"/>
          <w:szCs w:val="26"/>
        </w:rPr>
        <w:t>Pennsylvania-American Water Company</w:t>
      </w:r>
      <w:r w:rsidR="008C16CE">
        <w:rPr>
          <w:rFonts w:ascii="Times New Roman" w:eastAsia="Times New Roman" w:hAnsi="Times New Roman" w:cs="Times New Roman"/>
          <w:color w:val="000000"/>
          <w:sz w:val="26"/>
          <w:szCs w:val="26"/>
        </w:rPr>
        <w:t xml:space="preserve"> is permitted to accrue </w:t>
      </w:r>
      <w:r w:rsidR="00692DB8" w:rsidRPr="00E8636B">
        <w:rPr>
          <w:rFonts w:ascii="Times New Roman" w:eastAsia="Times New Roman" w:hAnsi="Times New Roman" w:cs="Times New Roman"/>
          <w:color w:val="000000"/>
          <w:sz w:val="26"/>
          <w:szCs w:val="26"/>
        </w:rPr>
        <w:t>allowance for funds used during construction</w:t>
      </w:r>
      <w:r w:rsidR="00692DB8">
        <w:rPr>
          <w:rFonts w:ascii="Times New Roman" w:eastAsia="Times New Roman" w:hAnsi="Times New Roman" w:cs="Times New Roman"/>
          <w:color w:val="000000"/>
          <w:sz w:val="26"/>
          <w:szCs w:val="26"/>
        </w:rPr>
        <w:t xml:space="preserve"> for post-a</w:t>
      </w:r>
      <w:r w:rsidR="009B307C">
        <w:rPr>
          <w:rFonts w:ascii="Times New Roman" w:eastAsia="Times New Roman" w:hAnsi="Times New Roman" w:cs="Times New Roman"/>
          <w:color w:val="000000"/>
          <w:sz w:val="26"/>
          <w:szCs w:val="26"/>
        </w:rPr>
        <w:t xml:space="preserve">cquisition improvements not recovered through </w:t>
      </w:r>
      <w:r w:rsidR="0041272A">
        <w:rPr>
          <w:rFonts w:ascii="Times New Roman" w:eastAsia="Times New Roman" w:hAnsi="Times New Roman" w:cs="Times New Roman"/>
          <w:color w:val="000000"/>
          <w:sz w:val="26"/>
          <w:szCs w:val="26"/>
        </w:rPr>
        <w:t>the d</w:t>
      </w:r>
      <w:r w:rsidR="0041272A" w:rsidRPr="00C765A6">
        <w:rPr>
          <w:rFonts w:ascii="Times New Roman" w:eastAsia="Times New Roman" w:hAnsi="Times New Roman" w:cs="Times New Roman"/>
          <w:color w:val="000000"/>
          <w:sz w:val="26"/>
          <w:szCs w:val="26"/>
        </w:rPr>
        <w:t xml:space="preserve">istribution </w:t>
      </w:r>
      <w:r w:rsidR="0041272A">
        <w:rPr>
          <w:rFonts w:ascii="Times New Roman" w:eastAsia="Times New Roman" w:hAnsi="Times New Roman" w:cs="Times New Roman"/>
          <w:color w:val="000000"/>
          <w:sz w:val="26"/>
          <w:szCs w:val="26"/>
        </w:rPr>
        <w:t>s</w:t>
      </w:r>
      <w:r w:rsidR="0041272A" w:rsidRPr="00C765A6">
        <w:rPr>
          <w:rFonts w:ascii="Times New Roman" w:eastAsia="Times New Roman" w:hAnsi="Times New Roman" w:cs="Times New Roman"/>
          <w:color w:val="000000"/>
          <w:sz w:val="26"/>
          <w:szCs w:val="26"/>
        </w:rPr>
        <w:t xml:space="preserve">ystem </w:t>
      </w:r>
      <w:r w:rsidR="0041272A">
        <w:rPr>
          <w:rFonts w:ascii="Times New Roman" w:eastAsia="Times New Roman" w:hAnsi="Times New Roman" w:cs="Times New Roman"/>
          <w:color w:val="000000"/>
          <w:sz w:val="26"/>
          <w:szCs w:val="26"/>
        </w:rPr>
        <w:t>i</w:t>
      </w:r>
      <w:r w:rsidR="0041272A" w:rsidRPr="00C765A6">
        <w:rPr>
          <w:rFonts w:ascii="Times New Roman" w:eastAsia="Times New Roman" w:hAnsi="Times New Roman" w:cs="Times New Roman"/>
          <w:color w:val="000000"/>
          <w:sz w:val="26"/>
          <w:szCs w:val="26"/>
        </w:rPr>
        <w:t xml:space="preserve">mprovement </w:t>
      </w:r>
      <w:r w:rsidR="0041272A">
        <w:rPr>
          <w:rFonts w:ascii="Times New Roman" w:eastAsia="Times New Roman" w:hAnsi="Times New Roman" w:cs="Times New Roman"/>
          <w:color w:val="000000"/>
          <w:sz w:val="26"/>
          <w:szCs w:val="26"/>
        </w:rPr>
        <w:t>c</w:t>
      </w:r>
      <w:r w:rsidR="0041272A" w:rsidRPr="00C765A6">
        <w:rPr>
          <w:rFonts w:ascii="Times New Roman" w:eastAsia="Times New Roman" w:hAnsi="Times New Roman" w:cs="Times New Roman"/>
          <w:color w:val="000000"/>
          <w:sz w:val="26"/>
          <w:szCs w:val="26"/>
        </w:rPr>
        <w:t>harge</w:t>
      </w:r>
      <w:r w:rsidR="0041272A">
        <w:rPr>
          <w:rFonts w:ascii="Times New Roman" w:eastAsia="Times New Roman" w:hAnsi="Times New Roman" w:cs="Times New Roman"/>
          <w:color w:val="000000"/>
          <w:sz w:val="26"/>
          <w:szCs w:val="26"/>
        </w:rPr>
        <w:t xml:space="preserve"> for book and ratemaking </w:t>
      </w:r>
      <w:r w:rsidR="007E028F">
        <w:rPr>
          <w:rFonts w:ascii="Times New Roman" w:eastAsia="Times New Roman" w:hAnsi="Times New Roman" w:cs="Times New Roman"/>
          <w:color w:val="000000"/>
          <w:sz w:val="26"/>
          <w:szCs w:val="26"/>
        </w:rPr>
        <w:t xml:space="preserve">purposes; provided, however, that the Joint Petitioners to the </w:t>
      </w:r>
      <w:r w:rsidR="007E028F" w:rsidRPr="00E54925">
        <w:rPr>
          <w:rFonts w:ascii="Times New Roman" w:eastAsia="Times New Roman" w:hAnsi="Times New Roman" w:cs="Times New Roman"/>
          <w:color w:val="000000"/>
          <w:sz w:val="26"/>
          <w:szCs w:val="26"/>
        </w:rPr>
        <w:t>Joint Petition for Approval of Settlement of All Issues</w:t>
      </w:r>
      <w:r w:rsidR="00EA7EF4">
        <w:rPr>
          <w:rFonts w:ascii="Times New Roman" w:eastAsia="Times New Roman" w:hAnsi="Times New Roman" w:cs="Times New Roman"/>
          <w:color w:val="000000"/>
          <w:sz w:val="26"/>
          <w:szCs w:val="26"/>
        </w:rPr>
        <w:t xml:space="preserve"> reserve their rights to </w:t>
      </w:r>
      <w:r w:rsidR="00F2531E">
        <w:rPr>
          <w:rFonts w:ascii="Times New Roman" w:eastAsia="Times New Roman" w:hAnsi="Times New Roman" w:cs="Times New Roman"/>
          <w:color w:val="000000"/>
          <w:sz w:val="26"/>
          <w:szCs w:val="26"/>
        </w:rPr>
        <w:t xml:space="preserve">fully </w:t>
      </w:r>
      <w:r w:rsidR="00EA7EF4">
        <w:rPr>
          <w:rFonts w:ascii="Times New Roman" w:eastAsia="Times New Roman" w:hAnsi="Times New Roman" w:cs="Times New Roman"/>
          <w:color w:val="000000"/>
          <w:sz w:val="26"/>
          <w:szCs w:val="26"/>
        </w:rPr>
        <w:t xml:space="preserve">litigate </w:t>
      </w:r>
      <w:r w:rsidR="000E7DC8">
        <w:rPr>
          <w:rFonts w:ascii="Times New Roman" w:eastAsia="Times New Roman" w:hAnsi="Times New Roman" w:cs="Times New Roman"/>
          <w:color w:val="000000"/>
          <w:sz w:val="26"/>
          <w:szCs w:val="26"/>
        </w:rPr>
        <w:t xml:space="preserve">their positions </w:t>
      </w:r>
      <w:r w:rsidR="00CB10A7">
        <w:rPr>
          <w:rFonts w:ascii="Times New Roman" w:eastAsia="Times New Roman" w:hAnsi="Times New Roman" w:cs="Times New Roman"/>
          <w:color w:val="000000"/>
          <w:sz w:val="26"/>
          <w:szCs w:val="26"/>
        </w:rPr>
        <w:t>in future rate cases</w:t>
      </w:r>
      <w:r w:rsidR="000E7DC8">
        <w:rPr>
          <w:rFonts w:ascii="Times New Roman" w:eastAsia="Times New Roman" w:hAnsi="Times New Roman" w:cs="Times New Roman"/>
          <w:color w:val="000000"/>
          <w:sz w:val="26"/>
          <w:szCs w:val="26"/>
        </w:rPr>
        <w:t xml:space="preserve"> when this issue is ripe for review</w:t>
      </w:r>
      <w:r w:rsidR="00CB10A7">
        <w:rPr>
          <w:rFonts w:ascii="Times New Roman" w:eastAsia="Times New Roman" w:hAnsi="Times New Roman" w:cs="Times New Roman"/>
          <w:color w:val="000000"/>
          <w:sz w:val="26"/>
          <w:szCs w:val="26"/>
        </w:rPr>
        <w:t xml:space="preserve">.  </w:t>
      </w:r>
    </w:p>
    <w:p w14:paraId="5B57CB98" w14:textId="522A62D4" w:rsidR="00A5594E" w:rsidRDefault="00A5594E" w:rsidP="00645E77">
      <w:pPr>
        <w:ind w:left="2160"/>
        <w:rPr>
          <w:rFonts w:ascii="Times New Roman" w:eastAsia="Times New Roman" w:hAnsi="Times New Roman" w:cs="Times New Roman"/>
          <w:color w:val="000000"/>
          <w:sz w:val="26"/>
          <w:szCs w:val="26"/>
        </w:rPr>
      </w:pPr>
    </w:p>
    <w:p w14:paraId="14D77877" w14:textId="34FC68A2" w:rsidR="000E7DC8" w:rsidRDefault="00AF0C85" w:rsidP="00285B63">
      <w:pPr>
        <w:ind w:left="2160" w:right="144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w:t>
      </w:r>
      <w:r w:rsidR="00A5594E">
        <w:rPr>
          <w:rFonts w:ascii="Times New Roman" w:eastAsia="Times New Roman" w:hAnsi="Times New Roman" w:cs="Times New Roman"/>
          <w:color w:val="000000"/>
          <w:sz w:val="26"/>
          <w:szCs w:val="26"/>
        </w:rPr>
        <w:t>.</w:t>
      </w:r>
      <w:r w:rsidR="00A5594E">
        <w:rPr>
          <w:rFonts w:ascii="Times New Roman" w:eastAsia="Times New Roman" w:hAnsi="Times New Roman" w:cs="Times New Roman"/>
          <w:color w:val="000000"/>
          <w:sz w:val="26"/>
          <w:szCs w:val="26"/>
        </w:rPr>
        <w:tab/>
        <w:t xml:space="preserve">That pursuant to 66 Pa. C.S. § 1329(f), </w:t>
      </w:r>
      <w:r w:rsidR="00A5594E" w:rsidRPr="00C765A6">
        <w:rPr>
          <w:rFonts w:ascii="Times New Roman" w:eastAsia="Times New Roman" w:hAnsi="Times New Roman" w:cs="Times New Roman"/>
          <w:color w:val="000000"/>
          <w:sz w:val="26"/>
          <w:szCs w:val="26"/>
        </w:rPr>
        <w:t>Pennsylvania-American Water Company</w:t>
      </w:r>
      <w:r w:rsidR="00A5594E">
        <w:rPr>
          <w:rFonts w:ascii="Times New Roman" w:eastAsia="Times New Roman" w:hAnsi="Times New Roman" w:cs="Times New Roman"/>
          <w:color w:val="000000"/>
          <w:sz w:val="26"/>
          <w:szCs w:val="26"/>
        </w:rPr>
        <w:t xml:space="preserve"> is permitted to defer depreciation </w:t>
      </w:r>
      <w:r w:rsidR="00F2531E">
        <w:rPr>
          <w:rFonts w:ascii="Times New Roman" w:eastAsia="Times New Roman" w:hAnsi="Times New Roman" w:cs="Times New Roman"/>
          <w:color w:val="000000"/>
          <w:sz w:val="26"/>
          <w:szCs w:val="26"/>
        </w:rPr>
        <w:t>related to</w:t>
      </w:r>
      <w:r w:rsidR="00A5594E">
        <w:rPr>
          <w:rFonts w:ascii="Times New Roman" w:eastAsia="Times New Roman" w:hAnsi="Times New Roman" w:cs="Times New Roman"/>
          <w:color w:val="000000"/>
          <w:sz w:val="26"/>
          <w:szCs w:val="26"/>
        </w:rPr>
        <w:t xml:space="preserve"> post-acquisition improvements not recovered through the d</w:t>
      </w:r>
      <w:r w:rsidR="00A5594E" w:rsidRPr="00C765A6">
        <w:rPr>
          <w:rFonts w:ascii="Times New Roman" w:eastAsia="Times New Roman" w:hAnsi="Times New Roman" w:cs="Times New Roman"/>
          <w:color w:val="000000"/>
          <w:sz w:val="26"/>
          <w:szCs w:val="26"/>
        </w:rPr>
        <w:t xml:space="preserve">istribution </w:t>
      </w:r>
      <w:r w:rsidR="00A5594E">
        <w:rPr>
          <w:rFonts w:ascii="Times New Roman" w:eastAsia="Times New Roman" w:hAnsi="Times New Roman" w:cs="Times New Roman"/>
          <w:color w:val="000000"/>
          <w:sz w:val="26"/>
          <w:szCs w:val="26"/>
        </w:rPr>
        <w:t>s</w:t>
      </w:r>
      <w:r w:rsidR="00A5594E" w:rsidRPr="00C765A6">
        <w:rPr>
          <w:rFonts w:ascii="Times New Roman" w:eastAsia="Times New Roman" w:hAnsi="Times New Roman" w:cs="Times New Roman"/>
          <w:color w:val="000000"/>
          <w:sz w:val="26"/>
          <w:szCs w:val="26"/>
        </w:rPr>
        <w:t xml:space="preserve">ystem </w:t>
      </w:r>
      <w:r w:rsidR="00A5594E">
        <w:rPr>
          <w:rFonts w:ascii="Times New Roman" w:eastAsia="Times New Roman" w:hAnsi="Times New Roman" w:cs="Times New Roman"/>
          <w:color w:val="000000"/>
          <w:sz w:val="26"/>
          <w:szCs w:val="26"/>
        </w:rPr>
        <w:t>i</w:t>
      </w:r>
      <w:r w:rsidR="00A5594E" w:rsidRPr="00C765A6">
        <w:rPr>
          <w:rFonts w:ascii="Times New Roman" w:eastAsia="Times New Roman" w:hAnsi="Times New Roman" w:cs="Times New Roman"/>
          <w:color w:val="000000"/>
          <w:sz w:val="26"/>
          <w:szCs w:val="26"/>
        </w:rPr>
        <w:t xml:space="preserve">mprovement </w:t>
      </w:r>
      <w:r w:rsidR="00A5594E">
        <w:rPr>
          <w:rFonts w:ascii="Times New Roman" w:eastAsia="Times New Roman" w:hAnsi="Times New Roman" w:cs="Times New Roman"/>
          <w:color w:val="000000"/>
          <w:sz w:val="26"/>
          <w:szCs w:val="26"/>
        </w:rPr>
        <w:t>c</w:t>
      </w:r>
      <w:r w:rsidR="00A5594E" w:rsidRPr="00C765A6">
        <w:rPr>
          <w:rFonts w:ascii="Times New Roman" w:eastAsia="Times New Roman" w:hAnsi="Times New Roman" w:cs="Times New Roman"/>
          <w:color w:val="000000"/>
          <w:sz w:val="26"/>
          <w:szCs w:val="26"/>
        </w:rPr>
        <w:t>harge</w:t>
      </w:r>
      <w:r w:rsidR="00A5594E">
        <w:rPr>
          <w:rFonts w:ascii="Times New Roman" w:eastAsia="Times New Roman" w:hAnsi="Times New Roman" w:cs="Times New Roman"/>
          <w:color w:val="000000"/>
          <w:sz w:val="26"/>
          <w:szCs w:val="26"/>
        </w:rPr>
        <w:t xml:space="preserve"> for book and ratemaking purposes; provided, however, that the Joint Petitioners to the </w:t>
      </w:r>
      <w:r w:rsidR="00A5594E" w:rsidRPr="00E54925">
        <w:rPr>
          <w:rFonts w:ascii="Times New Roman" w:eastAsia="Times New Roman" w:hAnsi="Times New Roman" w:cs="Times New Roman"/>
          <w:color w:val="000000"/>
          <w:sz w:val="26"/>
          <w:szCs w:val="26"/>
        </w:rPr>
        <w:t>Joint Petition for Approval of Settlement of All Issues</w:t>
      </w:r>
      <w:r w:rsidR="00A5594E">
        <w:rPr>
          <w:rFonts w:ascii="Times New Roman" w:eastAsia="Times New Roman" w:hAnsi="Times New Roman" w:cs="Times New Roman"/>
          <w:color w:val="000000"/>
          <w:sz w:val="26"/>
          <w:szCs w:val="26"/>
        </w:rPr>
        <w:t xml:space="preserve"> reserve their rights to</w:t>
      </w:r>
      <w:r w:rsidR="00F2531E">
        <w:rPr>
          <w:rFonts w:ascii="Times New Roman" w:eastAsia="Times New Roman" w:hAnsi="Times New Roman" w:cs="Times New Roman"/>
          <w:color w:val="000000"/>
          <w:sz w:val="26"/>
          <w:szCs w:val="26"/>
        </w:rPr>
        <w:t xml:space="preserve"> fully</w:t>
      </w:r>
      <w:r w:rsidR="00A5594E">
        <w:rPr>
          <w:rFonts w:ascii="Times New Roman" w:eastAsia="Times New Roman" w:hAnsi="Times New Roman" w:cs="Times New Roman"/>
          <w:color w:val="000000"/>
          <w:sz w:val="26"/>
          <w:szCs w:val="26"/>
        </w:rPr>
        <w:t xml:space="preserve"> litigate </w:t>
      </w:r>
      <w:r w:rsidR="00725618">
        <w:rPr>
          <w:rFonts w:ascii="Times New Roman" w:eastAsia="Times New Roman" w:hAnsi="Times New Roman" w:cs="Times New Roman"/>
          <w:color w:val="000000"/>
          <w:sz w:val="26"/>
          <w:szCs w:val="26"/>
        </w:rPr>
        <w:t>their positions</w:t>
      </w:r>
      <w:r w:rsidR="00A5594E">
        <w:rPr>
          <w:rFonts w:ascii="Times New Roman" w:eastAsia="Times New Roman" w:hAnsi="Times New Roman" w:cs="Times New Roman"/>
          <w:color w:val="000000"/>
          <w:sz w:val="26"/>
          <w:szCs w:val="26"/>
        </w:rPr>
        <w:t xml:space="preserve"> in future rate cases</w:t>
      </w:r>
      <w:r w:rsidR="00AD4E0F">
        <w:rPr>
          <w:rFonts w:ascii="Times New Roman" w:eastAsia="Times New Roman" w:hAnsi="Times New Roman" w:cs="Times New Roman"/>
          <w:color w:val="000000"/>
          <w:sz w:val="26"/>
          <w:szCs w:val="26"/>
        </w:rPr>
        <w:t xml:space="preserve"> when this issue is ripe for review</w:t>
      </w:r>
      <w:r w:rsidR="00A5594E">
        <w:rPr>
          <w:rFonts w:ascii="Times New Roman" w:eastAsia="Times New Roman" w:hAnsi="Times New Roman" w:cs="Times New Roman"/>
          <w:color w:val="000000"/>
          <w:sz w:val="26"/>
          <w:szCs w:val="26"/>
        </w:rPr>
        <w:t xml:space="preserve">. </w:t>
      </w:r>
    </w:p>
    <w:p w14:paraId="767C6E31" w14:textId="77777777" w:rsidR="000E7DC8" w:rsidRDefault="000E7DC8" w:rsidP="00285B63">
      <w:pPr>
        <w:ind w:left="2160" w:right="1440"/>
        <w:rPr>
          <w:rFonts w:ascii="Times New Roman" w:eastAsia="Times New Roman" w:hAnsi="Times New Roman" w:cs="Times New Roman"/>
          <w:color w:val="000000"/>
          <w:sz w:val="26"/>
          <w:szCs w:val="26"/>
        </w:rPr>
      </w:pPr>
    </w:p>
    <w:p w14:paraId="3F1E4C56" w14:textId="025D0261" w:rsidR="00A5594E" w:rsidRPr="00C765A6" w:rsidRDefault="00AF0C85" w:rsidP="00285B63">
      <w:pPr>
        <w:ind w:left="2160" w:right="1440"/>
        <w:rPr>
          <w:rFonts w:ascii="Times New Roman" w:hAnsi="Times New Roman" w:cs="Times New Roman"/>
          <w:sz w:val="26"/>
          <w:szCs w:val="26"/>
        </w:rPr>
      </w:pPr>
      <w:r>
        <w:rPr>
          <w:rFonts w:ascii="Times New Roman" w:eastAsia="Times New Roman" w:hAnsi="Times New Roman" w:cs="Times New Roman"/>
          <w:color w:val="000000"/>
          <w:sz w:val="26"/>
          <w:szCs w:val="26"/>
        </w:rPr>
        <w:lastRenderedPageBreak/>
        <w:t>h</w:t>
      </w:r>
      <w:r w:rsidR="000E7DC8">
        <w:rPr>
          <w:rFonts w:ascii="Times New Roman" w:eastAsia="Times New Roman" w:hAnsi="Times New Roman" w:cs="Times New Roman"/>
          <w:color w:val="000000"/>
          <w:sz w:val="26"/>
          <w:szCs w:val="26"/>
        </w:rPr>
        <w:t>.</w:t>
      </w:r>
      <w:r w:rsidR="000E7DC8">
        <w:rPr>
          <w:rFonts w:ascii="Times New Roman" w:eastAsia="Times New Roman" w:hAnsi="Times New Roman" w:cs="Times New Roman"/>
          <w:color w:val="000000"/>
          <w:sz w:val="26"/>
          <w:szCs w:val="26"/>
        </w:rPr>
        <w:tab/>
      </w:r>
      <w:r w:rsidR="00385ECB">
        <w:rPr>
          <w:rFonts w:ascii="Times New Roman" w:eastAsia="Times New Roman" w:hAnsi="Times New Roman" w:cs="Times New Roman"/>
          <w:color w:val="000000"/>
          <w:sz w:val="26"/>
          <w:szCs w:val="26"/>
        </w:rPr>
        <w:t>That pursuant to 66 Pa. C.S. § 1329(d)(</w:t>
      </w:r>
      <w:r w:rsidR="000B7F47">
        <w:rPr>
          <w:rFonts w:ascii="Times New Roman" w:eastAsia="Times New Roman" w:hAnsi="Times New Roman" w:cs="Times New Roman"/>
          <w:color w:val="000000"/>
          <w:sz w:val="26"/>
          <w:szCs w:val="26"/>
        </w:rPr>
        <w:t>iv)</w:t>
      </w:r>
      <w:r w:rsidR="00385ECB">
        <w:rPr>
          <w:rFonts w:ascii="Times New Roman" w:eastAsia="Times New Roman" w:hAnsi="Times New Roman" w:cs="Times New Roman"/>
          <w:color w:val="000000"/>
          <w:sz w:val="26"/>
          <w:szCs w:val="26"/>
        </w:rPr>
        <w:t xml:space="preserve">, </w:t>
      </w:r>
      <w:r w:rsidR="00385ECB" w:rsidRPr="00C765A6">
        <w:rPr>
          <w:rFonts w:ascii="Times New Roman" w:eastAsia="Times New Roman" w:hAnsi="Times New Roman" w:cs="Times New Roman"/>
          <w:color w:val="000000"/>
          <w:sz w:val="26"/>
          <w:szCs w:val="26"/>
        </w:rPr>
        <w:t>Pennsylvania-American Water Company</w:t>
      </w:r>
      <w:r w:rsidR="00385ECB">
        <w:rPr>
          <w:rFonts w:ascii="Times New Roman" w:eastAsia="Times New Roman" w:hAnsi="Times New Roman" w:cs="Times New Roman"/>
          <w:color w:val="000000"/>
          <w:sz w:val="26"/>
          <w:szCs w:val="26"/>
        </w:rPr>
        <w:t xml:space="preserve"> is permitted to</w:t>
      </w:r>
      <w:r w:rsidR="00A5594E">
        <w:rPr>
          <w:rFonts w:ascii="Times New Roman" w:eastAsia="Times New Roman" w:hAnsi="Times New Roman" w:cs="Times New Roman"/>
          <w:color w:val="000000"/>
          <w:sz w:val="26"/>
          <w:szCs w:val="26"/>
        </w:rPr>
        <w:t xml:space="preserve"> </w:t>
      </w:r>
      <w:r w:rsidR="00D75008">
        <w:rPr>
          <w:rFonts w:ascii="Times New Roman" w:eastAsia="Times New Roman" w:hAnsi="Times New Roman" w:cs="Times New Roman"/>
          <w:color w:val="000000"/>
          <w:sz w:val="26"/>
          <w:szCs w:val="26"/>
        </w:rPr>
        <w:t xml:space="preserve">include in its next base rate case, a claim for transaction and closing costs related to the </w:t>
      </w:r>
      <w:r w:rsidR="00B54688">
        <w:rPr>
          <w:rFonts w:ascii="Times New Roman" w:eastAsia="Times New Roman" w:hAnsi="Times New Roman" w:cs="Times New Roman"/>
          <w:color w:val="000000"/>
          <w:sz w:val="26"/>
          <w:szCs w:val="26"/>
        </w:rPr>
        <w:t>acquisition of the Royersford Borough system</w:t>
      </w:r>
      <w:r w:rsidR="00E0293D">
        <w:rPr>
          <w:rFonts w:ascii="Times New Roman" w:eastAsia="Times New Roman" w:hAnsi="Times New Roman" w:cs="Times New Roman"/>
          <w:color w:val="000000"/>
          <w:sz w:val="26"/>
          <w:szCs w:val="26"/>
        </w:rPr>
        <w:t xml:space="preserve">; provided </w:t>
      </w:r>
      <w:r w:rsidR="00844819">
        <w:rPr>
          <w:rFonts w:ascii="Times New Roman" w:eastAsia="Times New Roman" w:hAnsi="Times New Roman" w:cs="Times New Roman"/>
          <w:color w:val="000000"/>
          <w:sz w:val="26"/>
          <w:szCs w:val="26"/>
        </w:rPr>
        <w:t xml:space="preserve">that outside legal fees, if any, shall be separately identified in </w:t>
      </w:r>
      <w:r w:rsidR="00844819" w:rsidRPr="00C765A6">
        <w:rPr>
          <w:rFonts w:ascii="Times New Roman" w:eastAsia="Times New Roman" w:hAnsi="Times New Roman" w:cs="Times New Roman"/>
          <w:color w:val="000000"/>
          <w:sz w:val="26"/>
          <w:szCs w:val="26"/>
        </w:rPr>
        <w:t>Pennsylvania-American Water Company</w:t>
      </w:r>
      <w:r w:rsidR="00221FE1">
        <w:rPr>
          <w:rFonts w:ascii="Times New Roman" w:eastAsia="Times New Roman" w:hAnsi="Times New Roman" w:cs="Times New Roman"/>
          <w:color w:val="000000"/>
          <w:sz w:val="26"/>
          <w:szCs w:val="26"/>
        </w:rPr>
        <w:t xml:space="preserve">’s next base rate case; and provided further that </w:t>
      </w:r>
      <w:r w:rsidR="001A4E31">
        <w:rPr>
          <w:rFonts w:ascii="Times New Roman" w:eastAsia="Times New Roman" w:hAnsi="Times New Roman" w:cs="Times New Roman"/>
          <w:color w:val="000000"/>
          <w:sz w:val="26"/>
          <w:szCs w:val="26"/>
        </w:rPr>
        <w:t xml:space="preserve">the Joint Petitioners to the </w:t>
      </w:r>
      <w:r w:rsidR="001A4E31" w:rsidRPr="00E54925">
        <w:rPr>
          <w:rFonts w:ascii="Times New Roman" w:eastAsia="Times New Roman" w:hAnsi="Times New Roman" w:cs="Times New Roman"/>
          <w:color w:val="000000"/>
          <w:sz w:val="26"/>
          <w:szCs w:val="26"/>
        </w:rPr>
        <w:t>Joint Petition for Approval of Settlement of All Issues</w:t>
      </w:r>
      <w:r w:rsidR="001A4E31">
        <w:rPr>
          <w:rFonts w:ascii="Times New Roman" w:eastAsia="Times New Roman" w:hAnsi="Times New Roman" w:cs="Times New Roman"/>
          <w:color w:val="000000"/>
          <w:sz w:val="26"/>
          <w:szCs w:val="26"/>
        </w:rPr>
        <w:t xml:space="preserve"> reserve their rights to fully litigate their positions in future rate cases when this issue is ripe for review.</w:t>
      </w:r>
    </w:p>
    <w:p w14:paraId="411867B2" w14:textId="76CAC2FD" w:rsidR="00C765A6" w:rsidRDefault="00C765A6" w:rsidP="00E65202">
      <w:pPr>
        <w:spacing w:line="480" w:lineRule="auto"/>
        <w:rPr>
          <w:rFonts w:ascii="Times New Roman" w:hAnsi="Times New Roman" w:cs="Times New Roman"/>
          <w:sz w:val="26"/>
          <w:szCs w:val="26"/>
        </w:rPr>
      </w:pPr>
    </w:p>
    <w:p w14:paraId="7FFDB678" w14:textId="07FF6A0D" w:rsidR="007935B8" w:rsidRDefault="00C765A6" w:rsidP="000D258C">
      <w:pPr>
        <w:pStyle w:val="BodyText2"/>
        <w:spacing w:after="0" w:line="360" w:lineRule="auto"/>
        <w:ind w:firstLine="1440"/>
        <w:rPr>
          <w:rFonts w:ascii="Times New Roman" w:eastAsia="Times New Roman" w:hAnsi="Times New Roman" w:cs="Times New Roman"/>
          <w:color w:val="000000"/>
          <w:sz w:val="26"/>
          <w:szCs w:val="26"/>
        </w:rPr>
      </w:pPr>
      <w:r>
        <w:rPr>
          <w:rFonts w:ascii="Times New Roman" w:hAnsi="Times New Roman" w:cs="Times New Roman"/>
          <w:sz w:val="26"/>
          <w:szCs w:val="26"/>
        </w:rPr>
        <w:t>8.</w:t>
      </w:r>
      <w:r>
        <w:rPr>
          <w:rFonts w:ascii="Times New Roman" w:hAnsi="Times New Roman" w:cs="Times New Roman"/>
          <w:sz w:val="26"/>
          <w:szCs w:val="26"/>
        </w:rPr>
        <w:tab/>
      </w:r>
      <w:r w:rsidR="0015073D" w:rsidRPr="00E67E2F">
        <w:rPr>
          <w:rFonts w:ascii="Times New Roman" w:eastAsia="Times New Roman" w:hAnsi="Times New Roman" w:cs="Times New Roman"/>
          <w:sz w:val="26"/>
          <w:szCs w:val="26"/>
        </w:rPr>
        <w:t xml:space="preserve">That the Secretary’s Bureau shall issue certificates of filing pursuant to </w:t>
      </w:r>
      <w:r w:rsidR="00FA556B">
        <w:rPr>
          <w:rFonts w:ascii="Times New Roman" w:eastAsia="Times New Roman" w:hAnsi="Times New Roman" w:cs="Times New Roman"/>
          <w:sz w:val="26"/>
          <w:szCs w:val="26"/>
        </w:rPr>
        <w:t xml:space="preserve">66 Pa. C.S. § 507 </w:t>
      </w:r>
      <w:r w:rsidR="0015073D" w:rsidRPr="00E67E2F">
        <w:rPr>
          <w:rFonts w:ascii="Times New Roman" w:eastAsia="Times New Roman" w:hAnsi="Times New Roman" w:cs="Times New Roman"/>
          <w:sz w:val="26"/>
          <w:szCs w:val="26"/>
        </w:rPr>
        <w:t>for the following agreements between Pennsylvania-American Water Company</w:t>
      </w:r>
      <w:r w:rsidR="005F2700">
        <w:rPr>
          <w:rFonts w:ascii="Times New Roman" w:eastAsia="Times New Roman" w:hAnsi="Times New Roman" w:cs="Times New Roman"/>
          <w:sz w:val="26"/>
          <w:szCs w:val="26"/>
        </w:rPr>
        <w:t xml:space="preserve"> – Wastewater Division</w:t>
      </w:r>
      <w:r w:rsidR="0015073D" w:rsidRPr="00E67E2F">
        <w:rPr>
          <w:rFonts w:ascii="Times New Roman" w:eastAsia="Times New Roman" w:hAnsi="Times New Roman" w:cs="Times New Roman"/>
          <w:sz w:val="26"/>
          <w:szCs w:val="26"/>
        </w:rPr>
        <w:t>, and a municipal corporation:</w:t>
      </w:r>
      <w:r w:rsidR="00313F99">
        <w:rPr>
          <w:rFonts w:ascii="Times New Roman" w:eastAsia="Times New Roman" w:hAnsi="Times New Roman" w:cs="Times New Roman"/>
          <w:sz w:val="26"/>
          <w:szCs w:val="26"/>
        </w:rPr>
        <w:t xml:space="preserve"> </w:t>
      </w:r>
      <w:r w:rsidR="007935B8">
        <w:rPr>
          <w:rFonts w:ascii="Times New Roman" w:eastAsia="Times New Roman" w:hAnsi="Times New Roman" w:cs="Times New Roman"/>
          <w:sz w:val="26"/>
          <w:szCs w:val="26"/>
        </w:rPr>
        <w:t xml:space="preserve"> (a) </w:t>
      </w:r>
      <w:r w:rsidR="0015073D" w:rsidRPr="00E67E2F">
        <w:rPr>
          <w:rFonts w:ascii="Times New Roman" w:eastAsia="Times New Roman" w:hAnsi="Times New Roman" w:cs="Times New Roman"/>
          <w:color w:val="000000"/>
          <w:sz w:val="26"/>
          <w:szCs w:val="26"/>
        </w:rPr>
        <w:t>Asset Purchase Agreement By and Between Royersford Borough, Montgomery County, as Seller, and Pennsylvania-American Water Company, as Buyer, dated as of December 10, 2019</w:t>
      </w:r>
      <w:r w:rsidR="007935B8">
        <w:rPr>
          <w:rFonts w:ascii="Times New Roman" w:eastAsia="Times New Roman" w:hAnsi="Times New Roman" w:cs="Times New Roman"/>
          <w:color w:val="000000"/>
          <w:sz w:val="26"/>
          <w:szCs w:val="26"/>
        </w:rPr>
        <w:t>;</w:t>
      </w:r>
      <w:r w:rsidR="0015073D" w:rsidRPr="00E67E2F">
        <w:rPr>
          <w:rFonts w:ascii="Times New Roman" w:eastAsia="Times New Roman" w:hAnsi="Times New Roman" w:cs="Times New Roman"/>
          <w:color w:val="000000"/>
          <w:sz w:val="26"/>
          <w:szCs w:val="26"/>
        </w:rPr>
        <w:t xml:space="preserve"> and </w:t>
      </w:r>
      <w:r w:rsidR="007935B8">
        <w:rPr>
          <w:rFonts w:ascii="Times New Roman" w:eastAsia="Times New Roman" w:hAnsi="Times New Roman" w:cs="Times New Roman"/>
          <w:color w:val="000000"/>
          <w:sz w:val="26"/>
          <w:szCs w:val="26"/>
        </w:rPr>
        <w:t xml:space="preserve">(b) </w:t>
      </w:r>
      <w:r w:rsidR="0015073D" w:rsidRPr="00E67E2F">
        <w:rPr>
          <w:rFonts w:ascii="Times New Roman" w:eastAsia="Times New Roman" w:hAnsi="Times New Roman" w:cs="Times New Roman"/>
          <w:color w:val="000000"/>
          <w:sz w:val="26"/>
          <w:szCs w:val="26"/>
        </w:rPr>
        <w:t>the First Amendment to Asset Purchase Agreement, dated as of October 27, 2020, between Royersford Borough, Montgomery County and Pennsylvania-American Water Company</w:t>
      </w:r>
      <w:r w:rsidR="006C5DFC">
        <w:rPr>
          <w:rFonts w:ascii="Times New Roman" w:eastAsia="Times New Roman" w:hAnsi="Times New Roman" w:cs="Times New Roman"/>
          <w:color w:val="000000"/>
          <w:sz w:val="26"/>
          <w:szCs w:val="26"/>
        </w:rPr>
        <w:t>.</w:t>
      </w:r>
    </w:p>
    <w:p w14:paraId="233E1B84" w14:textId="77777777" w:rsidR="007935B8" w:rsidRDefault="007935B8" w:rsidP="000D258C">
      <w:pPr>
        <w:pStyle w:val="BodyText2"/>
        <w:spacing w:after="0" w:line="360" w:lineRule="auto"/>
        <w:ind w:firstLine="1440"/>
        <w:rPr>
          <w:rFonts w:ascii="Times New Roman" w:eastAsia="Times New Roman" w:hAnsi="Times New Roman" w:cs="Times New Roman"/>
          <w:color w:val="000000"/>
          <w:sz w:val="26"/>
          <w:szCs w:val="26"/>
        </w:rPr>
      </w:pPr>
    </w:p>
    <w:p w14:paraId="36029E69" w14:textId="434E05B7" w:rsidR="001C1B4C" w:rsidRDefault="001C1B4C" w:rsidP="000D258C">
      <w:pPr>
        <w:pStyle w:val="BodyText2"/>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 xml:space="preserve">That the Protest of Robert </w:t>
      </w:r>
      <w:proofErr w:type="spellStart"/>
      <w:r>
        <w:rPr>
          <w:rFonts w:ascii="Times New Roman" w:hAnsi="Times New Roman" w:cs="Times New Roman"/>
          <w:sz w:val="26"/>
          <w:szCs w:val="26"/>
        </w:rPr>
        <w:t>Redinger</w:t>
      </w:r>
      <w:proofErr w:type="spellEnd"/>
      <w:r>
        <w:rPr>
          <w:rFonts w:ascii="Times New Roman" w:hAnsi="Times New Roman" w:cs="Times New Roman"/>
          <w:sz w:val="26"/>
          <w:szCs w:val="26"/>
        </w:rPr>
        <w:t>, Jr., is denied and dismissed.</w:t>
      </w:r>
    </w:p>
    <w:p w14:paraId="6802AB46" w14:textId="77777777" w:rsidR="001C1B4C" w:rsidRDefault="001C1B4C" w:rsidP="003D7612">
      <w:pPr>
        <w:spacing w:line="360" w:lineRule="auto"/>
        <w:ind w:firstLine="1440"/>
        <w:rPr>
          <w:rFonts w:ascii="Times New Roman" w:hAnsi="Times New Roman" w:cs="Times New Roman"/>
          <w:sz w:val="26"/>
          <w:szCs w:val="26"/>
        </w:rPr>
      </w:pPr>
    </w:p>
    <w:p w14:paraId="0BD8C0AC" w14:textId="39BC032F" w:rsidR="00D64C1F" w:rsidRPr="00D64C1F" w:rsidRDefault="00C27F1A" w:rsidP="00E65202">
      <w:pPr>
        <w:keepNext/>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10</w:t>
      </w:r>
      <w:r w:rsidR="00D64C1F" w:rsidRPr="00D64C1F">
        <w:rPr>
          <w:rFonts w:ascii="Times New Roman" w:hAnsi="Times New Roman" w:cs="Times New Roman"/>
          <w:sz w:val="26"/>
          <w:szCs w:val="26"/>
        </w:rPr>
        <w:t>.</w:t>
      </w:r>
      <w:r w:rsidR="00D64C1F" w:rsidRPr="00D64C1F">
        <w:rPr>
          <w:rFonts w:ascii="Times New Roman" w:hAnsi="Times New Roman" w:cs="Times New Roman"/>
          <w:sz w:val="26"/>
          <w:szCs w:val="26"/>
        </w:rPr>
        <w:tab/>
        <w:t xml:space="preserve">That the </w:t>
      </w:r>
      <w:r>
        <w:rPr>
          <w:rFonts w:ascii="Times New Roman" w:hAnsi="Times New Roman" w:cs="Times New Roman"/>
          <w:sz w:val="26"/>
          <w:szCs w:val="26"/>
        </w:rPr>
        <w:t xml:space="preserve">proceeding at </w:t>
      </w:r>
      <w:r w:rsidR="00D64C1F" w:rsidRPr="00D64C1F">
        <w:rPr>
          <w:rFonts w:ascii="Times New Roman" w:hAnsi="Times New Roman" w:cs="Times New Roman"/>
          <w:sz w:val="26"/>
          <w:szCs w:val="26"/>
        </w:rPr>
        <w:t>Docket No. A-2019-3015173 be marked closed.</w:t>
      </w:r>
    </w:p>
    <w:p w14:paraId="2E795FA9" w14:textId="48EF1472" w:rsidR="00400040" w:rsidRPr="006A749D" w:rsidRDefault="00400040" w:rsidP="000D258C">
      <w:pPr>
        <w:keepNext/>
        <w:ind w:firstLine="1440"/>
        <w:rPr>
          <w:rFonts w:ascii="Times New Roman" w:hAnsi="Times New Roman" w:cs="Times New Roman"/>
          <w:b/>
          <w:sz w:val="26"/>
          <w:szCs w:val="26"/>
        </w:rPr>
      </w:pPr>
    </w:p>
    <w:p w14:paraId="50106C72" w14:textId="16F02DB6" w:rsidR="00222BBB" w:rsidRPr="006A749D" w:rsidRDefault="00BB1C41" w:rsidP="00D64C1F">
      <w:pPr>
        <w:keepNext/>
        <w:keepLines/>
        <w:tabs>
          <w:tab w:val="left" w:pos="-720"/>
        </w:tabs>
        <w:ind w:firstLine="5040"/>
        <w:rPr>
          <w:rFonts w:ascii="Times New Roman" w:hAnsi="Times New Roman" w:cs="Times New Roman"/>
          <w:sz w:val="26"/>
          <w:szCs w:val="26"/>
        </w:rPr>
      </w:pPr>
      <w:r>
        <w:rPr>
          <w:noProof/>
        </w:rPr>
        <w:drawing>
          <wp:anchor distT="0" distB="0" distL="114300" distR="114300" simplePos="0" relativeHeight="251659264" behindDoc="1" locked="0" layoutInCell="1" allowOverlap="1" wp14:anchorId="07EB6AFE" wp14:editId="72A37483">
            <wp:simplePos x="0" y="0"/>
            <wp:positionH relativeFrom="column">
              <wp:posOffset>3181350</wp:posOffset>
            </wp:positionH>
            <wp:positionV relativeFrom="paragraph">
              <wp:posOffset>142875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22BBB" w:rsidRPr="006A749D">
        <w:rPr>
          <w:rFonts w:ascii="Times New Roman" w:hAnsi="Times New Roman" w:cs="Times New Roman"/>
          <w:b/>
          <w:sz w:val="26"/>
          <w:szCs w:val="26"/>
        </w:rPr>
        <w:t>BY THE COMMISSION,</w:t>
      </w:r>
    </w:p>
    <w:p w14:paraId="211D3EE3" w14:textId="142A6629" w:rsidR="00222BBB" w:rsidRPr="006A749D" w:rsidRDefault="00222BBB" w:rsidP="000D258C">
      <w:pPr>
        <w:keepNext/>
        <w:keepLines/>
        <w:tabs>
          <w:tab w:val="left" w:pos="-720"/>
        </w:tabs>
        <w:ind w:left="5040"/>
        <w:rPr>
          <w:rFonts w:ascii="Times New Roman" w:hAnsi="Times New Roman" w:cs="Times New Roman"/>
          <w:sz w:val="26"/>
          <w:szCs w:val="26"/>
        </w:rPr>
      </w:pPr>
    </w:p>
    <w:p w14:paraId="7A024C66" w14:textId="15385B7F" w:rsidR="00222BBB" w:rsidRPr="006A749D" w:rsidRDefault="00222BBB" w:rsidP="000D258C">
      <w:pPr>
        <w:keepNext/>
        <w:keepLines/>
        <w:tabs>
          <w:tab w:val="left" w:pos="-720"/>
        </w:tabs>
        <w:ind w:left="5040"/>
        <w:rPr>
          <w:rFonts w:ascii="Times New Roman" w:hAnsi="Times New Roman" w:cs="Times New Roman"/>
          <w:sz w:val="26"/>
          <w:szCs w:val="26"/>
        </w:rPr>
      </w:pPr>
    </w:p>
    <w:p w14:paraId="1C9AB943" w14:textId="576576EB" w:rsidR="00400040" w:rsidRPr="006A749D" w:rsidRDefault="00400040" w:rsidP="000D258C">
      <w:pPr>
        <w:keepNext/>
        <w:keepLines/>
        <w:tabs>
          <w:tab w:val="left" w:pos="-720"/>
        </w:tabs>
        <w:ind w:left="5040"/>
        <w:rPr>
          <w:rFonts w:ascii="Times New Roman" w:hAnsi="Times New Roman" w:cs="Times New Roman"/>
          <w:sz w:val="26"/>
          <w:szCs w:val="26"/>
        </w:rPr>
      </w:pPr>
    </w:p>
    <w:p w14:paraId="4539DF43" w14:textId="77777777" w:rsidR="00222BBB" w:rsidRPr="006A749D" w:rsidRDefault="00222BBB" w:rsidP="000D258C">
      <w:pPr>
        <w:keepNext/>
        <w:keepLines/>
        <w:tabs>
          <w:tab w:val="left" w:pos="-720"/>
        </w:tabs>
        <w:ind w:left="5040"/>
        <w:rPr>
          <w:rFonts w:ascii="Times New Roman" w:hAnsi="Times New Roman" w:cs="Times New Roman"/>
          <w:sz w:val="26"/>
          <w:szCs w:val="26"/>
        </w:rPr>
      </w:pPr>
    </w:p>
    <w:p w14:paraId="5836F111" w14:textId="77777777" w:rsidR="00222BBB" w:rsidRPr="006A749D" w:rsidRDefault="00222BBB" w:rsidP="0048770E">
      <w:pPr>
        <w:keepNext/>
        <w:keepLines/>
        <w:tabs>
          <w:tab w:val="left" w:pos="-720"/>
        </w:tabs>
        <w:ind w:firstLine="5040"/>
        <w:rPr>
          <w:rFonts w:ascii="Times New Roman" w:hAnsi="Times New Roman" w:cs="Times New Roman"/>
          <w:b/>
          <w:sz w:val="26"/>
          <w:szCs w:val="26"/>
        </w:rPr>
      </w:pPr>
      <w:r w:rsidRPr="006A749D">
        <w:rPr>
          <w:rFonts w:ascii="Times New Roman" w:hAnsi="Times New Roman" w:cs="Times New Roman"/>
          <w:sz w:val="26"/>
          <w:szCs w:val="26"/>
        </w:rPr>
        <w:t>Rosemary Chiavetta</w:t>
      </w:r>
    </w:p>
    <w:p w14:paraId="4ECB1050" w14:textId="77777777" w:rsidR="00222BBB" w:rsidRPr="006A749D" w:rsidRDefault="00222BBB" w:rsidP="0048770E">
      <w:pPr>
        <w:keepNext/>
        <w:keepLines/>
        <w:tabs>
          <w:tab w:val="left" w:pos="-720"/>
        </w:tabs>
        <w:ind w:firstLine="5040"/>
        <w:rPr>
          <w:rFonts w:ascii="Times New Roman" w:hAnsi="Times New Roman" w:cs="Times New Roman"/>
          <w:sz w:val="26"/>
          <w:szCs w:val="26"/>
        </w:rPr>
      </w:pPr>
      <w:r w:rsidRPr="006A749D">
        <w:rPr>
          <w:rFonts w:ascii="Times New Roman" w:hAnsi="Times New Roman" w:cs="Times New Roman"/>
          <w:sz w:val="26"/>
          <w:szCs w:val="26"/>
        </w:rPr>
        <w:t>Secretary</w:t>
      </w:r>
    </w:p>
    <w:p w14:paraId="5F3D9F8F" w14:textId="77777777" w:rsidR="00222BBB" w:rsidRPr="006A749D" w:rsidRDefault="00222BBB" w:rsidP="0048770E">
      <w:pPr>
        <w:keepNext/>
        <w:keepLines/>
        <w:tabs>
          <w:tab w:val="left" w:pos="-720"/>
        </w:tabs>
        <w:rPr>
          <w:rFonts w:ascii="Times New Roman" w:hAnsi="Times New Roman" w:cs="Times New Roman"/>
          <w:sz w:val="26"/>
          <w:szCs w:val="26"/>
        </w:rPr>
      </w:pPr>
    </w:p>
    <w:p w14:paraId="5A1F0A43" w14:textId="77777777" w:rsidR="00222BBB" w:rsidRPr="006A749D" w:rsidRDefault="00222BBB" w:rsidP="0048770E">
      <w:pPr>
        <w:keepNext/>
        <w:keepLines/>
        <w:tabs>
          <w:tab w:val="left" w:pos="-720"/>
        </w:tabs>
        <w:rPr>
          <w:rFonts w:ascii="Times New Roman" w:hAnsi="Times New Roman" w:cs="Times New Roman"/>
          <w:sz w:val="26"/>
          <w:szCs w:val="26"/>
        </w:rPr>
      </w:pPr>
      <w:r w:rsidRPr="006A749D">
        <w:rPr>
          <w:rFonts w:ascii="Times New Roman" w:hAnsi="Times New Roman" w:cs="Times New Roman"/>
          <w:sz w:val="26"/>
          <w:szCs w:val="26"/>
        </w:rPr>
        <w:t>(SEAL)</w:t>
      </w:r>
    </w:p>
    <w:p w14:paraId="73D999F5" w14:textId="77777777" w:rsidR="00222BBB" w:rsidRPr="006A749D" w:rsidRDefault="00222BBB" w:rsidP="0048770E">
      <w:pPr>
        <w:keepNext/>
        <w:keepLines/>
        <w:tabs>
          <w:tab w:val="left" w:pos="-720"/>
        </w:tabs>
        <w:rPr>
          <w:rFonts w:ascii="Times New Roman" w:hAnsi="Times New Roman" w:cs="Times New Roman"/>
          <w:sz w:val="26"/>
          <w:szCs w:val="26"/>
        </w:rPr>
      </w:pPr>
    </w:p>
    <w:p w14:paraId="1E9E1047" w14:textId="3FEEB2D3" w:rsidR="00222BBB" w:rsidRPr="006A749D" w:rsidRDefault="00222BBB" w:rsidP="0048770E">
      <w:pPr>
        <w:keepNext/>
        <w:keepLines/>
        <w:tabs>
          <w:tab w:val="left" w:pos="-720"/>
        </w:tabs>
        <w:rPr>
          <w:rFonts w:ascii="Times New Roman" w:hAnsi="Times New Roman" w:cs="Times New Roman"/>
          <w:sz w:val="26"/>
          <w:szCs w:val="26"/>
        </w:rPr>
      </w:pPr>
      <w:r w:rsidRPr="006A749D">
        <w:rPr>
          <w:rFonts w:ascii="Times New Roman" w:hAnsi="Times New Roman" w:cs="Times New Roman"/>
          <w:sz w:val="26"/>
          <w:szCs w:val="26"/>
        </w:rPr>
        <w:t xml:space="preserve">ORDER ADOPTED:  </w:t>
      </w:r>
      <w:r w:rsidR="00C27F1A">
        <w:rPr>
          <w:rFonts w:ascii="Times New Roman" w:hAnsi="Times New Roman" w:cs="Times New Roman"/>
          <w:sz w:val="26"/>
          <w:szCs w:val="26"/>
        </w:rPr>
        <w:t>May 6</w:t>
      </w:r>
      <w:r w:rsidR="009B0726" w:rsidRPr="006A749D">
        <w:rPr>
          <w:rFonts w:ascii="Times New Roman" w:hAnsi="Times New Roman" w:cs="Times New Roman"/>
          <w:sz w:val="26"/>
          <w:szCs w:val="26"/>
        </w:rPr>
        <w:t>, 2021</w:t>
      </w:r>
    </w:p>
    <w:p w14:paraId="46E6FA50" w14:textId="77777777" w:rsidR="00107B37" w:rsidRPr="006A749D" w:rsidRDefault="00107B37" w:rsidP="0048770E">
      <w:pPr>
        <w:keepNext/>
        <w:keepLines/>
        <w:tabs>
          <w:tab w:val="left" w:pos="-720"/>
        </w:tabs>
        <w:rPr>
          <w:rFonts w:ascii="Times New Roman" w:hAnsi="Times New Roman" w:cs="Times New Roman"/>
          <w:sz w:val="26"/>
          <w:szCs w:val="26"/>
        </w:rPr>
      </w:pPr>
    </w:p>
    <w:p w14:paraId="0FD90201" w14:textId="57336BAC" w:rsidR="00AA77EA" w:rsidRPr="00285B63" w:rsidRDefault="00222BBB" w:rsidP="00285B63">
      <w:pPr>
        <w:keepNext/>
        <w:keepLines/>
        <w:tabs>
          <w:tab w:val="left" w:pos="-720"/>
        </w:tabs>
        <w:rPr>
          <w:rFonts w:ascii="Times New Roman" w:hAnsi="Times New Roman" w:cs="Times New Roman"/>
          <w:sz w:val="26"/>
          <w:szCs w:val="26"/>
        </w:rPr>
      </w:pPr>
      <w:r w:rsidRPr="006A749D">
        <w:rPr>
          <w:rFonts w:ascii="Times New Roman" w:hAnsi="Times New Roman" w:cs="Times New Roman"/>
          <w:sz w:val="26"/>
          <w:szCs w:val="26"/>
        </w:rPr>
        <w:t xml:space="preserve">ORDER ENTERED: </w:t>
      </w:r>
      <w:r w:rsidR="00BB1C41">
        <w:rPr>
          <w:rFonts w:ascii="Times New Roman" w:hAnsi="Times New Roman" w:cs="Times New Roman"/>
          <w:sz w:val="26"/>
          <w:szCs w:val="26"/>
        </w:rPr>
        <w:t xml:space="preserve">May </w:t>
      </w:r>
      <w:r w:rsidR="006D5502">
        <w:rPr>
          <w:rFonts w:ascii="Times New Roman" w:hAnsi="Times New Roman" w:cs="Times New Roman"/>
          <w:sz w:val="26"/>
          <w:szCs w:val="26"/>
        </w:rPr>
        <w:t>7</w:t>
      </w:r>
      <w:r w:rsidR="00BB1C41">
        <w:rPr>
          <w:rFonts w:ascii="Times New Roman" w:hAnsi="Times New Roman" w:cs="Times New Roman"/>
          <w:sz w:val="26"/>
          <w:szCs w:val="26"/>
        </w:rPr>
        <w:t>, 2021</w:t>
      </w:r>
      <w:r w:rsidRPr="006A749D">
        <w:rPr>
          <w:rFonts w:ascii="Times New Roman" w:hAnsi="Times New Roman" w:cs="Times New Roman"/>
          <w:sz w:val="26"/>
          <w:szCs w:val="26"/>
        </w:rPr>
        <w:t xml:space="preserve"> </w:t>
      </w:r>
    </w:p>
    <w:sectPr w:rsidR="00AA77EA" w:rsidRPr="00285B63" w:rsidSect="00705D30">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21D2" w14:textId="77777777" w:rsidR="007C6095" w:rsidRDefault="007C6095" w:rsidP="00C322F0">
      <w:r>
        <w:separator/>
      </w:r>
    </w:p>
  </w:endnote>
  <w:endnote w:type="continuationSeparator" w:id="0">
    <w:p w14:paraId="38BB11F7" w14:textId="77777777" w:rsidR="007C6095" w:rsidRDefault="007C6095" w:rsidP="00C322F0">
      <w:r>
        <w:continuationSeparator/>
      </w:r>
    </w:p>
  </w:endnote>
  <w:endnote w:type="continuationNotice" w:id="1">
    <w:p w14:paraId="377E6018" w14:textId="77777777" w:rsidR="007C6095" w:rsidRDefault="007C6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304655"/>
      <w:docPartObj>
        <w:docPartGallery w:val="Page Numbers (Bottom of Page)"/>
        <w:docPartUnique/>
      </w:docPartObj>
    </w:sdtPr>
    <w:sdtEndPr>
      <w:rPr>
        <w:noProof/>
        <w:sz w:val="26"/>
        <w:szCs w:val="26"/>
      </w:rPr>
    </w:sdtEndPr>
    <w:sdtContent>
      <w:p w14:paraId="66B1FEEF" w14:textId="4A660302" w:rsidR="00985962" w:rsidRPr="00D71ABF" w:rsidRDefault="00985962" w:rsidP="00D71ABF">
        <w:pPr>
          <w:pStyle w:val="Footer"/>
          <w:jc w:val="center"/>
          <w:rPr>
            <w:sz w:val="26"/>
            <w:szCs w:val="26"/>
          </w:rPr>
        </w:pPr>
        <w:r w:rsidRPr="00D71ABF">
          <w:rPr>
            <w:sz w:val="26"/>
            <w:szCs w:val="26"/>
          </w:rPr>
          <w:fldChar w:fldCharType="begin"/>
        </w:r>
        <w:r w:rsidRPr="00D71ABF">
          <w:rPr>
            <w:sz w:val="26"/>
            <w:szCs w:val="26"/>
          </w:rPr>
          <w:instrText xml:space="preserve"> PAGE   \* MERGEFORMAT </w:instrText>
        </w:r>
        <w:r w:rsidRPr="00D71ABF">
          <w:rPr>
            <w:sz w:val="26"/>
            <w:szCs w:val="26"/>
          </w:rPr>
          <w:fldChar w:fldCharType="separate"/>
        </w:r>
        <w:r w:rsidRPr="00D71ABF">
          <w:rPr>
            <w:noProof/>
            <w:sz w:val="26"/>
            <w:szCs w:val="26"/>
          </w:rPr>
          <w:t>2</w:t>
        </w:r>
        <w:r w:rsidRPr="00D71ABF">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A36A" w14:textId="77777777" w:rsidR="007C6095" w:rsidRDefault="007C6095" w:rsidP="00C322F0">
      <w:r>
        <w:separator/>
      </w:r>
    </w:p>
  </w:footnote>
  <w:footnote w:type="continuationSeparator" w:id="0">
    <w:p w14:paraId="7AB7E87B" w14:textId="77777777" w:rsidR="007C6095" w:rsidRDefault="007C6095" w:rsidP="00C322F0">
      <w:r>
        <w:continuationSeparator/>
      </w:r>
    </w:p>
  </w:footnote>
  <w:footnote w:type="continuationNotice" w:id="1">
    <w:p w14:paraId="59F104E5" w14:textId="77777777" w:rsidR="007C6095" w:rsidRDefault="007C6095"/>
  </w:footnote>
  <w:footnote w:id="2">
    <w:p w14:paraId="0D6FC9D9" w14:textId="09EEFC58" w:rsidR="00F25B5F" w:rsidRPr="00377453" w:rsidRDefault="00F25B5F" w:rsidP="00377453">
      <w:pPr>
        <w:pStyle w:val="FootnoteText"/>
        <w:ind w:firstLine="720"/>
        <w:rPr>
          <w:sz w:val="26"/>
          <w:szCs w:val="26"/>
        </w:rPr>
      </w:pPr>
      <w:r w:rsidRPr="00377453">
        <w:rPr>
          <w:rStyle w:val="FootnoteReference"/>
          <w:sz w:val="26"/>
          <w:szCs w:val="26"/>
        </w:rPr>
        <w:footnoteRef/>
      </w:r>
      <w:r w:rsidRPr="00377453">
        <w:rPr>
          <w:sz w:val="26"/>
          <w:szCs w:val="26"/>
        </w:rPr>
        <w:t xml:space="preserve"> </w:t>
      </w:r>
      <w:r>
        <w:rPr>
          <w:sz w:val="26"/>
          <w:szCs w:val="26"/>
        </w:rPr>
        <w:tab/>
      </w:r>
      <w:r>
        <w:rPr>
          <w:color w:val="000000"/>
          <w:sz w:val="26"/>
          <w:szCs w:val="26"/>
        </w:rPr>
        <w:t>On December 10, 2019, PAWC and Royersford had entered into the original APA.</w:t>
      </w:r>
    </w:p>
  </w:footnote>
  <w:footnote w:id="3">
    <w:p w14:paraId="29EAD55B" w14:textId="065E7FCF" w:rsidR="003E5AB7" w:rsidRPr="003E5AB7" w:rsidRDefault="003E5AB7" w:rsidP="003E5AB7">
      <w:pPr>
        <w:pStyle w:val="FootnoteText"/>
        <w:ind w:firstLine="720"/>
        <w:rPr>
          <w:sz w:val="26"/>
          <w:szCs w:val="26"/>
        </w:rPr>
      </w:pPr>
      <w:r w:rsidRPr="003E5AB7">
        <w:rPr>
          <w:rStyle w:val="FootnoteReference"/>
          <w:sz w:val="26"/>
          <w:szCs w:val="26"/>
        </w:rPr>
        <w:footnoteRef/>
      </w:r>
      <w:r w:rsidRPr="003E5AB7">
        <w:rPr>
          <w:sz w:val="26"/>
          <w:szCs w:val="26"/>
        </w:rPr>
        <w:t xml:space="preserve"> </w:t>
      </w:r>
      <w:r>
        <w:rPr>
          <w:sz w:val="26"/>
          <w:szCs w:val="26"/>
        </w:rPr>
        <w:tab/>
        <w:t xml:space="preserve">Specifically, the OCA requests that </w:t>
      </w:r>
      <w:r w:rsidR="005E0691">
        <w:rPr>
          <w:sz w:val="26"/>
          <w:szCs w:val="26"/>
        </w:rPr>
        <w:t xml:space="preserve">Finding of Fact Nos. 71 and 73 not be adopted by the Commission because </w:t>
      </w:r>
      <w:r w:rsidR="00CE50BD">
        <w:rPr>
          <w:sz w:val="26"/>
          <w:szCs w:val="26"/>
        </w:rPr>
        <w:t xml:space="preserve">they are disputed and are not necessary for the approval of the Joint Petition.  Exc. at 1.  </w:t>
      </w:r>
    </w:p>
  </w:footnote>
  <w:footnote w:id="4">
    <w:p w14:paraId="502BFBCB" w14:textId="2D646EB3" w:rsidR="00DB0F6E" w:rsidRPr="008A141C" w:rsidRDefault="00DB0F6E" w:rsidP="008A141C">
      <w:pPr>
        <w:keepNext/>
        <w:keepLines/>
        <w:ind w:firstLine="720"/>
        <w:rPr>
          <w:rFonts w:ascii="Times New Roman" w:hAnsi="Times New Roman" w:cs="Times New Roman"/>
          <w:sz w:val="26"/>
          <w:szCs w:val="26"/>
        </w:rPr>
      </w:pPr>
      <w:r w:rsidRPr="008A141C">
        <w:rPr>
          <w:rStyle w:val="FootnoteReference"/>
          <w:rFonts w:ascii="Times New Roman" w:hAnsi="Times New Roman" w:cs="Times New Roman"/>
          <w:sz w:val="26"/>
          <w:szCs w:val="26"/>
        </w:rPr>
        <w:footnoteRef/>
      </w:r>
      <w:r w:rsidRPr="008A141C">
        <w:rPr>
          <w:rFonts w:ascii="Times New Roman" w:hAnsi="Times New Roman" w:cs="Times New Roman"/>
          <w:sz w:val="26"/>
          <w:szCs w:val="26"/>
        </w:rPr>
        <w:t xml:space="preserve"> </w:t>
      </w:r>
      <w:r w:rsidRPr="008A141C">
        <w:rPr>
          <w:rFonts w:ascii="Times New Roman" w:hAnsi="Times New Roman" w:cs="Times New Roman"/>
          <w:sz w:val="26"/>
          <w:szCs w:val="26"/>
        </w:rPr>
        <w:tab/>
        <w:t xml:space="preserve">Governor Wolf signed into law Act 12 of 2016 on April 14, 2016. </w:t>
      </w:r>
      <w:r>
        <w:rPr>
          <w:rFonts w:ascii="Times New Roman" w:hAnsi="Times New Roman" w:cs="Times New Roman"/>
          <w:sz w:val="26"/>
          <w:szCs w:val="26"/>
        </w:rPr>
        <w:t xml:space="preserve"> </w:t>
      </w:r>
      <w:r w:rsidRPr="008A141C">
        <w:rPr>
          <w:rFonts w:ascii="Times New Roman" w:hAnsi="Times New Roman" w:cs="Times New Roman"/>
          <w:sz w:val="26"/>
          <w:szCs w:val="26"/>
        </w:rPr>
        <w:t xml:space="preserve">This Act amended Chapter 13 of the Code by adding a new section, Section 1329, which became effective on June 13, 2019. </w:t>
      </w:r>
      <w:r>
        <w:rPr>
          <w:rFonts w:ascii="Times New Roman" w:hAnsi="Times New Roman" w:cs="Times New Roman"/>
          <w:sz w:val="26"/>
          <w:szCs w:val="26"/>
        </w:rPr>
        <w:t xml:space="preserve"> </w:t>
      </w:r>
      <w:r w:rsidRPr="008A141C">
        <w:rPr>
          <w:rFonts w:ascii="Times New Roman" w:hAnsi="Times New Roman" w:cs="Times New Roman"/>
          <w:sz w:val="26"/>
          <w:szCs w:val="26"/>
        </w:rPr>
        <w:t>66 Pa.</w:t>
      </w:r>
      <w:r>
        <w:rPr>
          <w:rFonts w:ascii="Times New Roman" w:hAnsi="Times New Roman" w:cs="Times New Roman"/>
          <w:sz w:val="26"/>
          <w:szCs w:val="26"/>
        </w:rPr>
        <w:t xml:space="preserve"> </w:t>
      </w:r>
      <w:r w:rsidRPr="008A141C">
        <w:rPr>
          <w:rFonts w:ascii="Times New Roman" w:hAnsi="Times New Roman" w:cs="Times New Roman"/>
          <w:sz w:val="26"/>
          <w:szCs w:val="26"/>
        </w:rPr>
        <w:t>C.S. § 1329.</w:t>
      </w:r>
    </w:p>
  </w:footnote>
  <w:footnote w:id="5">
    <w:p w14:paraId="3F748A97" w14:textId="464D2253" w:rsidR="00121444" w:rsidRPr="00121444" w:rsidRDefault="00121444" w:rsidP="00121444">
      <w:pPr>
        <w:pStyle w:val="FootnoteText"/>
        <w:ind w:firstLine="720"/>
        <w:rPr>
          <w:sz w:val="26"/>
          <w:szCs w:val="26"/>
        </w:rPr>
      </w:pPr>
      <w:r w:rsidRPr="00121444">
        <w:rPr>
          <w:rStyle w:val="FootnoteReference"/>
          <w:sz w:val="26"/>
          <w:szCs w:val="26"/>
        </w:rPr>
        <w:footnoteRef/>
      </w:r>
      <w:r w:rsidRPr="00121444">
        <w:rPr>
          <w:sz w:val="26"/>
          <w:szCs w:val="26"/>
        </w:rPr>
        <w:t xml:space="preserve"> </w:t>
      </w:r>
      <w:r>
        <w:rPr>
          <w:sz w:val="26"/>
          <w:szCs w:val="26"/>
        </w:rPr>
        <w:tab/>
      </w:r>
      <w:r w:rsidR="00804F70">
        <w:rPr>
          <w:sz w:val="26"/>
          <w:szCs w:val="26"/>
        </w:rPr>
        <w:t>The S</w:t>
      </w:r>
      <w:r w:rsidR="00EE0FD0">
        <w:rPr>
          <w:sz w:val="26"/>
          <w:szCs w:val="26"/>
        </w:rPr>
        <w:t xml:space="preserve">ystem is not a combined sewer system, nor is it a municipal separate storm sewer system.  PAWC St. 2 at 4.  </w:t>
      </w:r>
    </w:p>
  </w:footnote>
  <w:footnote w:id="6">
    <w:p w14:paraId="410BB3A4" w14:textId="6F95CE5E" w:rsidR="00931D93" w:rsidRPr="003577B8" w:rsidRDefault="00931D93" w:rsidP="003577B8">
      <w:pPr>
        <w:pStyle w:val="FootnoteText"/>
        <w:ind w:firstLine="720"/>
        <w:rPr>
          <w:sz w:val="26"/>
          <w:szCs w:val="26"/>
        </w:rPr>
      </w:pPr>
      <w:r w:rsidRPr="003577B8">
        <w:rPr>
          <w:rStyle w:val="FootnoteReference"/>
          <w:sz w:val="26"/>
          <w:szCs w:val="26"/>
        </w:rPr>
        <w:footnoteRef/>
      </w:r>
      <w:r w:rsidRPr="003577B8">
        <w:rPr>
          <w:sz w:val="26"/>
          <w:szCs w:val="26"/>
        </w:rPr>
        <w:t xml:space="preserve"> </w:t>
      </w:r>
      <w:r w:rsidRPr="003577B8">
        <w:rPr>
          <w:sz w:val="26"/>
          <w:szCs w:val="26"/>
        </w:rPr>
        <w:tab/>
      </w:r>
      <w:r w:rsidR="003577B8">
        <w:rPr>
          <w:sz w:val="26"/>
          <w:szCs w:val="26"/>
        </w:rPr>
        <w:t xml:space="preserve">The </w:t>
      </w:r>
      <w:r w:rsidRPr="003577B8">
        <w:rPr>
          <w:sz w:val="26"/>
          <w:szCs w:val="26"/>
        </w:rPr>
        <w:t xml:space="preserve">OCA does not join in this paragraph but does not oppose PAWC’s request. </w:t>
      </w:r>
    </w:p>
  </w:footnote>
  <w:footnote w:id="7">
    <w:p w14:paraId="73D6B5DB" w14:textId="6CBC74A6" w:rsidR="00553561" w:rsidRPr="00C8061E" w:rsidRDefault="00553561" w:rsidP="00E671AC">
      <w:pPr>
        <w:pStyle w:val="FootnoteText"/>
        <w:keepLines/>
        <w:ind w:firstLine="720"/>
        <w:rPr>
          <w:sz w:val="26"/>
          <w:szCs w:val="26"/>
        </w:rPr>
      </w:pPr>
      <w:r w:rsidRPr="00C8061E">
        <w:rPr>
          <w:rStyle w:val="FootnoteReference"/>
          <w:sz w:val="26"/>
          <w:szCs w:val="26"/>
        </w:rPr>
        <w:footnoteRef/>
      </w:r>
      <w:r w:rsidRPr="00C8061E">
        <w:rPr>
          <w:sz w:val="26"/>
          <w:szCs w:val="26"/>
        </w:rPr>
        <w:t xml:space="preserve"> </w:t>
      </w:r>
      <w:r w:rsidRPr="00C8061E">
        <w:rPr>
          <w:sz w:val="26"/>
          <w:szCs w:val="26"/>
        </w:rPr>
        <w:tab/>
        <w:t>By the terms of the Settlement, the Joint Petitioners, including the OCA, agreed to waive the righ</w:t>
      </w:r>
      <w:r>
        <w:rPr>
          <w:sz w:val="26"/>
          <w:szCs w:val="26"/>
        </w:rPr>
        <w:t xml:space="preserve">t </w:t>
      </w:r>
      <w:r w:rsidRPr="00C8061E">
        <w:rPr>
          <w:sz w:val="26"/>
          <w:szCs w:val="26"/>
        </w:rPr>
        <w:t xml:space="preserve">to file </w:t>
      </w:r>
      <w:r>
        <w:rPr>
          <w:sz w:val="26"/>
          <w:szCs w:val="26"/>
        </w:rPr>
        <w:t>E</w:t>
      </w:r>
      <w:r w:rsidRPr="00C8061E">
        <w:rPr>
          <w:sz w:val="26"/>
          <w:szCs w:val="26"/>
        </w:rPr>
        <w:t>xceptions to the ALJ</w:t>
      </w:r>
      <w:r w:rsidR="00C75586">
        <w:rPr>
          <w:sz w:val="26"/>
          <w:szCs w:val="26"/>
        </w:rPr>
        <w:t>’</w:t>
      </w:r>
      <w:r>
        <w:rPr>
          <w:sz w:val="26"/>
          <w:szCs w:val="26"/>
        </w:rPr>
        <w:t>s</w:t>
      </w:r>
      <w:r w:rsidRPr="00C8061E">
        <w:rPr>
          <w:sz w:val="26"/>
          <w:szCs w:val="26"/>
        </w:rPr>
        <w:t xml:space="preserve"> Recommended Decision, if the recommendation approved the Joint </w:t>
      </w:r>
      <w:r>
        <w:rPr>
          <w:sz w:val="26"/>
          <w:szCs w:val="26"/>
        </w:rPr>
        <w:t>Petition</w:t>
      </w:r>
      <w:r w:rsidRPr="00C8061E">
        <w:rPr>
          <w:sz w:val="26"/>
          <w:szCs w:val="26"/>
        </w:rPr>
        <w:t xml:space="preserve"> without modification. </w:t>
      </w:r>
      <w:r>
        <w:rPr>
          <w:sz w:val="26"/>
          <w:szCs w:val="26"/>
        </w:rPr>
        <w:t xml:space="preserve"> </w:t>
      </w:r>
      <w:r w:rsidRPr="00C8061E">
        <w:rPr>
          <w:sz w:val="26"/>
          <w:szCs w:val="26"/>
        </w:rPr>
        <w:t>R.D. at 1</w:t>
      </w:r>
      <w:r w:rsidR="008F1089">
        <w:rPr>
          <w:sz w:val="26"/>
          <w:szCs w:val="26"/>
        </w:rPr>
        <w:t>7</w:t>
      </w:r>
      <w:r w:rsidRPr="00C8061E">
        <w:rPr>
          <w:sz w:val="26"/>
          <w:szCs w:val="26"/>
        </w:rPr>
        <w:t xml:space="preserve">.  Although </w:t>
      </w:r>
      <w:r>
        <w:rPr>
          <w:sz w:val="26"/>
          <w:szCs w:val="26"/>
        </w:rPr>
        <w:t xml:space="preserve">the </w:t>
      </w:r>
      <w:r w:rsidRPr="00C8061E">
        <w:rPr>
          <w:sz w:val="26"/>
          <w:szCs w:val="26"/>
        </w:rPr>
        <w:t xml:space="preserve">OCA filed </w:t>
      </w:r>
      <w:r w:rsidR="006164D2">
        <w:rPr>
          <w:sz w:val="26"/>
          <w:szCs w:val="26"/>
        </w:rPr>
        <w:t xml:space="preserve">an </w:t>
      </w:r>
      <w:r w:rsidRPr="00C8061E">
        <w:rPr>
          <w:sz w:val="26"/>
          <w:szCs w:val="26"/>
        </w:rPr>
        <w:t>“</w:t>
      </w:r>
      <w:r>
        <w:rPr>
          <w:sz w:val="26"/>
          <w:szCs w:val="26"/>
        </w:rPr>
        <w:t>E</w:t>
      </w:r>
      <w:r w:rsidRPr="00C8061E">
        <w:rPr>
          <w:sz w:val="26"/>
          <w:szCs w:val="26"/>
        </w:rPr>
        <w:t xml:space="preserve">xception” to the Recommended Decision, the </w:t>
      </w:r>
      <w:r>
        <w:rPr>
          <w:sz w:val="26"/>
          <w:szCs w:val="26"/>
        </w:rPr>
        <w:t>E</w:t>
      </w:r>
      <w:r w:rsidRPr="00C8061E">
        <w:rPr>
          <w:sz w:val="26"/>
          <w:szCs w:val="26"/>
        </w:rPr>
        <w:t>xception do</w:t>
      </w:r>
      <w:r w:rsidR="006164D2">
        <w:rPr>
          <w:sz w:val="26"/>
          <w:szCs w:val="26"/>
        </w:rPr>
        <w:t>es</w:t>
      </w:r>
      <w:r w:rsidRPr="00C8061E">
        <w:rPr>
          <w:sz w:val="26"/>
          <w:szCs w:val="26"/>
        </w:rPr>
        <w:t xml:space="preserve"> not seek modification of any stipulated terms of </w:t>
      </w:r>
      <w:r w:rsidR="000264CE">
        <w:rPr>
          <w:sz w:val="26"/>
          <w:szCs w:val="26"/>
        </w:rPr>
        <w:t xml:space="preserve">the </w:t>
      </w:r>
      <w:r w:rsidRPr="00C8061E">
        <w:rPr>
          <w:sz w:val="26"/>
          <w:szCs w:val="26"/>
        </w:rPr>
        <w:t xml:space="preserve">settlement.  Rather, </w:t>
      </w:r>
      <w:r>
        <w:rPr>
          <w:sz w:val="26"/>
          <w:szCs w:val="26"/>
        </w:rPr>
        <w:t xml:space="preserve">the </w:t>
      </w:r>
      <w:r w:rsidRPr="00C8061E">
        <w:rPr>
          <w:sz w:val="26"/>
          <w:szCs w:val="26"/>
        </w:rPr>
        <w:t>OCA seeks clarification of the ALJ</w:t>
      </w:r>
      <w:r w:rsidR="008F1089">
        <w:rPr>
          <w:sz w:val="26"/>
          <w:szCs w:val="26"/>
        </w:rPr>
        <w:t>’</w:t>
      </w:r>
      <w:r w:rsidRPr="00C8061E">
        <w:rPr>
          <w:sz w:val="26"/>
          <w:szCs w:val="26"/>
        </w:rPr>
        <w:t xml:space="preserve">s factual findings which were, in </w:t>
      </w:r>
      <w:r>
        <w:rPr>
          <w:sz w:val="26"/>
          <w:szCs w:val="26"/>
        </w:rPr>
        <w:t xml:space="preserve">the </w:t>
      </w:r>
      <w:r w:rsidRPr="00C8061E">
        <w:rPr>
          <w:sz w:val="26"/>
          <w:szCs w:val="26"/>
        </w:rPr>
        <w:t xml:space="preserve">OCA’s view, inaccurate and unnecessary for the recommendation to adopt the stipulations. </w:t>
      </w:r>
      <w:r>
        <w:rPr>
          <w:sz w:val="26"/>
          <w:szCs w:val="26"/>
        </w:rPr>
        <w:t xml:space="preserve"> </w:t>
      </w:r>
      <w:r w:rsidRPr="00C8061E">
        <w:rPr>
          <w:sz w:val="26"/>
          <w:szCs w:val="26"/>
        </w:rPr>
        <w:t xml:space="preserve">Therefore, we shall address </w:t>
      </w:r>
      <w:r>
        <w:rPr>
          <w:sz w:val="26"/>
          <w:szCs w:val="26"/>
        </w:rPr>
        <w:t xml:space="preserve">the </w:t>
      </w:r>
      <w:r w:rsidRPr="00C8061E">
        <w:rPr>
          <w:sz w:val="26"/>
          <w:szCs w:val="26"/>
        </w:rPr>
        <w:t>OCA’s “</w:t>
      </w:r>
      <w:r>
        <w:rPr>
          <w:sz w:val="26"/>
          <w:szCs w:val="26"/>
        </w:rPr>
        <w:t>E</w:t>
      </w:r>
      <w:r w:rsidRPr="00C8061E">
        <w:rPr>
          <w:sz w:val="26"/>
          <w:szCs w:val="26"/>
        </w:rPr>
        <w:t xml:space="preserve">xception” and treat </w:t>
      </w:r>
      <w:r w:rsidR="006164D2">
        <w:rPr>
          <w:sz w:val="26"/>
          <w:szCs w:val="26"/>
        </w:rPr>
        <w:t>it</w:t>
      </w:r>
      <w:r w:rsidRPr="00C8061E">
        <w:rPr>
          <w:sz w:val="26"/>
          <w:szCs w:val="26"/>
        </w:rPr>
        <w:t xml:space="preserve"> as a </w:t>
      </w:r>
      <w:r>
        <w:rPr>
          <w:sz w:val="26"/>
          <w:szCs w:val="26"/>
        </w:rPr>
        <w:t>R</w:t>
      </w:r>
      <w:r w:rsidRPr="00C8061E">
        <w:rPr>
          <w:sz w:val="26"/>
          <w:szCs w:val="26"/>
        </w:rPr>
        <w:t xml:space="preserve">equest for </w:t>
      </w:r>
      <w:r>
        <w:rPr>
          <w:sz w:val="26"/>
          <w:szCs w:val="26"/>
        </w:rPr>
        <w:t>C</w:t>
      </w:r>
      <w:r w:rsidRPr="00C8061E">
        <w:rPr>
          <w:sz w:val="26"/>
          <w:szCs w:val="26"/>
        </w:rPr>
        <w:t>larification of the Recommended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216"/>
    <w:multiLevelType w:val="hybridMultilevel"/>
    <w:tmpl w:val="F502092E"/>
    <w:lvl w:ilvl="0" w:tplc="78C8331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C0505"/>
    <w:multiLevelType w:val="hybridMultilevel"/>
    <w:tmpl w:val="80605542"/>
    <w:lvl w:ilvl="0" w:tplc="D03E6FD6">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7ED"/>
    <w:multiLevelType w:val="singleLevel"/>
    <w:tmpl w:val="93F80AA6"/>
    <w:lvl w:ilvl="0">
      <w:start w:val="4"/>
      <w:numFmt w:val="decimal"/>
      <w:lvlText w:val="%1)"/>
      <w:lvlJc w:val="left"/>
      <w:pPr>
        <w:tabs>
          <w:tab w:val="num" w:pos="720"/>
        </w:tabs>
        <w:ind w:left="720" w:hanging="720"/>
      </w:pPr>
      <w:rPr>
        <w:rFonts w:hint="default"/>
        <w:snapToGrid/>
        <w:sz w:val="26"/>
        <w:szCs w:val="26"/>
      </w:rPr>
    </w:lvl>
  </w:abstractNum>
  <w:abstractNum w:abstractNumId="3" w15:restartNumberingAfterBreak="0">
    <w:nsid w:val="05F2F356"/>
    <w:multiLevelType w:val="singleLevel"/>
    <w:tmpl w:val="0D9639BE"/>
    <w:lvl w:ilvl="0">
      <w:numFmt w:val="bullet"/>
      <w:lvlText w:val="·"/>
      <w:lvlJc w:val="left"/>
      <w:pPr>
        <w:tabs>
          <w:tab w:val="num" w:pos="1440"/>
        </w:tabs>
        <w:ind w:left="1080"/>
      </w:pPr>
      <w:rPr>
        <w:rFonts w:ascii="Symbol" w:hAnsi="Symbol" w:cs="Symbol"/>
        <w:snapToGrid/>
        <w:spacing w:val="9"/>
        <w:sz w:val="24"/>
        <w:szCs w:val="24"/>
      </w:rPr>
    </w:lvl>
  </w:abstractNum>
  <w:abstractNum w:abstractNumId="4" w15:restartNumberingAfterBreak="0">
    <w:nsid w:val="07AF6B9A"/>
    <w:multiLevelType w:val="singleLevel"/>
    <w:tmpl w:val="C5829910"/>
    <w:lvl w:ilvl="0">
      <w:start w:val="1"/>
      <w:numFmt w:val="decimal"/>
      <w:lvlText w:val="%1)"/>
      <w:lvlJc w:val="left"/>
      <w:pPr>
        <w:tabs>
          <w:tab w:val="num" w:pos="1440"/>
        </w:tabs>
        <w:ind w:left="1440" w:hanging="720"/>
      </w:pPr>
      <w:rPr>
        <w:snapToGrid/>
        <w:spacing w:val="-1"/>
        <w:sz w:val="26"/>
        <w:szCs w:val="26"/>
      </w:rPr>
    </w:lvl>
  </w:abstractNum>
  <w:abstractNum w:abstractNumId="5" w15:restartNumberingAfterBreak="0">
    <w:nsid w:val="07C95683"/>
    <w:multiLevelType w:val="hybridMultilevel"/>
    <w:tmpl w:val="65502352"/>
    <w:lvl w:ilvl="0" w:tplc="781A1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2422D"/>
    <w:multiLevelType w:val="hybridMultilevel"/>
    <w:tmpl w:val="05389312"/>
    <w:lvl w:ilvl="0" w:tplc="A8DEEAE0">
      <w:start w:val="1"/>
      <w:numFmt w:val="decimal"/>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833FB"/>
    <w:multiLevelType w:val="hybridMultilevel"/>
    <w:tmpl w:val="CC288F1E"/>
    <w:lvl w:ilvl="0" w:tplc="0F1E6DA0">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0612B3"/>
    <w:multiLevelType w:val="hybridMultilevel"/>
    <w:tmpl w:val="67DCFD22"/>
    <w:lvl w:ilvl="0" w:tplc="C096BD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4E02F9"/>
    <w:multiLevelType w:val="multilevel"/>
    <w:tmpl w:val="970C31E0"/>
    <w:lvl w:ilvl="0">
      <w:start w:val="22"/>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58199C"/>
    <w:multiLevelType w:val="hybridMultilevel"/>
    <w:tmpl w:val="73A872FA"/>
    <w:lvl w:ilvl="0" w:tplc="AE98686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E7C2AFC"/>
    <w:multiLevelType w:val="hybridMultilevel"/>
    <w:tmpl w:val="88246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636024"/>
    <w:multiLevelType w:val="hybridMultilevel"/>
    <w:tmpl w:val="AB08DF26"/>
    <w:lvl w:ilvl="0" w:tplc="90A463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674992"/>
    <w:multiLevelType w:val="hybridMultilevel"/>
    <w:tmpl w:val="A11C4CD0"/>
    <w:lvl w:ilvl="0" w:tplc="593020E6">
      <w:start w:val="1"/>
      <w:numFmt w:val="upperLetter"/>
      <w:lvlText w:val="%1."/>
      <w:lvlJc w:val="left"/>
      <w:pPr>
        <w:ind w:left="2190" w:hanging="6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D084993"/>
    <w:multiLevelType w:val="hybridMultilevel"/>
    <w:tmpl w:val="A0A69690"/>
    <w:lvl w:ilvl="0" w:tplc="9B18890E">
      <w:start w:val="1"/>
      <w:numFmt w:val="bullet"/>
      <w:lvlText w:val=""/>
      <w:lvlJc w:val="left"/>
      <w:pPr>
        <w:ind w:left="2160" w:hanging="360"/>
      </w:pPr>
      <w:rPr>
        <w:rFonts w:ascii="Symbol" w:hAnsi="Symbol" w:hint="default"/>
      </w:rPr>
    </w:lvl>
    <w:lvl w:ilvl="1" w:tplc="3F703856">
      <w:start w:val="1"/>
      <w:numFmt w:val="bullet"/>
      <w:lvlText w:val="o"/>
      <w:lvlJc w:val="left"/>
      <w:pPr>
        <w:ind w:left="2880" w:hanging="360"/>
      </w:pPr>
      <w:rPr>
        <w:rFonts w:ascii="Courier New" w:hAnsi="Courier New" w:cs="Courier New" w:hint="default"/>
      </w:rPr>
    </w:lvl>
    <w:lvl w:ilvl="2" w:tplc="A5925D6E">
      <w:start w:val="1"/>
      <w:numFmt w:val="bullet"/>
      <w:lvlText w:val=""/>
      <w:lvlJc w:val="left"/>
      <w:pPr>
        <w:ind w:left="3600" w:hanging="360"/>
      </w:pPr>
      <w:rPr>
        <w:rFonts w:ascii="Wingdings" w:hAnsi="Wingdings" w:hint="default"/>
      </w:rPr>
    </w:lvl>
    <w:lvl w:ilvl="3" w:tplc="DE0E7738">
      <w:start w:val="1"/>
      <w:numFmt w:val="bullet"/>
      <w:lvlText w:val=""/>
      <w:lvlJc w:val="left"/>
      <w:pPr>
        <w:ind w:left="4320" w:hanging="360"/>
      </w:pPr>
      <w:rPr>
        <w:rFonts w:ascii="Symbol" w:hAnsi="Symbol" w:hint="default"/>
      </w:rPr>
    </w:lvl>
    <w:lvl w:ilvl="4" w:tplc="3380278A">
      <w:start w:val="1"/>
      <w:numFmt w:val="bullet"/>
      <w:lvlText w:val="o"/>
      <w:lvlJc w:val="left"/>
      <w:pPr>
        <w:ind w:left="5040" w:hanging="360"/>
      </w:pPr>
      <w:rPr>
        <w:rFonts w:ascii="Courier New" w:hAnsi="Courier New" w:cs="Courier New" w:hint="default"/>
      </w:rPr>
    </w:lvl>
    <w:lvl w:ilvl="5" w:tplc="22F2E3FE">
      <w:start w:val="1"/>
      <w:numFmt w:val="bullet"/>
      <w:lvlText w:val=""/>
      <w:lvlJc w:val="left"/>
      <w:pPr>
        <w:ind w:left="5760" w:hanging="360"/>
      </w:pPr>
      <w:rPr>
        <w:rFonts w:ascii="Wingdings" w:hAnsi="Wingdings" w:hint="default"/>
      </w:rPr>
    </w:lvl>
    <w:lvl w:ilvl="6" w:tplc="359ACE00">
      <w:start w:val="1"/>
      <w:numFmt w:val="bullet"/>
      <w:lvlText w:val=""/>
      <w:lvlJc w:val="left"/>
      <w:pPr>
        <w:ind w:left="6480" w:hanging="360"/>
      </w:pPr>
      <w:rPr>
        <w:rFonts w:ascii="Symbol" w:hAnsi="Symbol" w:hint="default"/>
      </w:rPr>
    </w:lvl>
    <w:lvl w:ilvl="7" w:tplc="8052708C">
      <w:start w:val="1"/>
      <w:numFmt w:val="bullet"/>
      <w:lvlText w:val="o"/>
      <w:lvlJc w:val="left"/>
      <w:pPr>
        <w:ind w:left="7200" w:hanging="360"/>
      </w:pPr>
      <w:rPr>
        <w:rFonts w:ascii="Courier New" w:hAnsi="Courier New" w:cs="Courier New" w:hint="default"/>
      </w:rPr>
    </w:lvl>
    <w:lvl w:ilvl="8" w:tplc="314CAFD4">
      <w:start w:val="1"/>
      <w:numFmt w:val="bullet"/>
      <w:lvlText w:val=""/>
      <w:lvlJc w:val="left"/>
      <w:pPr>
        <w:ind w:left="7920" w:hanging="360"/>
      </w:pPr>
      <w:rPr>
        <w:rFonts w:ascii="Wingdings" w:hAnsi="Wingdings" w:hint="default"/>
      </w:rPr>
    </w:lvl>
  </w:abstractNum>
  <w:abstractNum w:abstractNumId="15" w15:restartNumberingAfterBreak="0">
    <w:nsid w:val="32935E3D"/>
    <w:multiLevelType w:val="hybridMultilevel"/>
    <w:tmpl w:val="ADE843F0"/>
    <w:lvl w:ilvl="0" w:tplc="7594205E">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A644AA2"/>
    <w:multiLevelType w:val="hybridMultilevel"/>
    <w:tmpl w:val="5C9AE59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24C1CAE"/>
    <w:multiLevelType w:val="hybridMultilevel"/>
    <w:tmpl w:val="7112301E"/>
    <w:lvl w:ilvl="0" w:tplc="B518E3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9F53C0"/>
    <w:multiLevelType w:val="hybridMultilevel"/>
    <w:tmpl w:val="8E364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0872491"/>
    <w:multiLevelType w:val="multilevel"/>
    <w:tmpl w:val="F10047D2"/>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946B43"/>
    <w:multiLevelType w:val="hybridMultilevel"/>
    <w:tmpl w:val="D7460F86"/>
    <w:lvl w:ilvl="0" w:tplc="2DC68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1F3D0B"/>
    <w:multiLevelType w:val="multilevel"/>
    <w:tmpl w:val="10783154"/>
    <w:lvl w:ilvl="0">
      <w:start w:val="26"/>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DA2EB3"/>
    <w:multiLevelType w:val="hybridMultilevel"/>
    <w:tmpl w:val="8EFAAE84"/>
    <w:lvl w:ilvl="0" w:tplc="6BE0FE00">
      <w:start w:val="1"/>
      <w:numFmt w:val="bullet"/>
      <w:lvlText w:val=""/>
      <w:lvlJc w:val="left"/>
      <w:pPr>
        <w:ind w:left="1526" w:hanging="360"/>
      </w:pPr>
      <w:rPr>
        <w:rFonts w:ascii="Symbol" w:hAnsi="Symbol" w:hint="default"/>
      </w:rPr>
    </w:lvl>
    <w:lvl w:ilvl="1" w:tplc="136A1370">
      <w:start w:val="1"/>
      <w:numFmt w:val="bullet"/>
      <w:lvlText w:val="o"/>
      <w:lvlJc w:val="left"/>
      <w:pPr>
        <w:ind w:left="2246" w:hanging="360"/>
      </w:pPr>
      <w:rPr>
        <w:rFonts w:ascii="Courier New" w:hAnsi="Courier New" w:cs="Courier New" w:hint="default"/>
      </w:rPr>
    </w:lvl>
    <w:lvl w:ilvl="2" w:tplc="13089E2C">
      <w:start w:val="1"/>
      <w:numFmt w:val="bullet"/>
      <w:lvlText w:val=""/>
      <w:lvlJc w:val="left"/>
      <w:pPr>
        <w:ind w:left="2966" w:hanging="360"/>
      </w:pPr>
      <w:rPr>
        <w:rFonts w:ascii="Wingdings" w:hAnsi="Wingdings" w:hint="default"/>
      </w:rPr>
    </w:lvl>
    <w:lvl w:ilvl="3" w:tplc="9342B214">
      <w:start w:val="1"/>
      <w:numFmt w:val="bullet"/>
      <w:lvlText w:val=""/>
      <w:lvlJc w:val="left"/>
      <w:pPr>
        <w:ind w:left="3686" w:hanging="360"/>
      </w:pPr>
      <w:rPr>
        <w:rFonts w:ascii="Symbol" w:hAnsi="Symbol" w:hint="default"/>
      </w:rPr>
    </w:lvl>
    <w:lvl w:ilvl="4" w:tplc="1D8E1B80">
      <w:start w:val="1"/>
      <w:numFmt w:val="bullet"/>
      <w:lvlText w:val="o"/>
      <w:lvlJc w:val="left"/>
      <w:pPr>
        <w:ind w:left="4406" w:hanging="360"/>
      </w:pPr>
      <w:rPr>
        <w:rFonts w:ascii="Courier New" w:hAnsi="Courier New" w:cs="Courier New" w:hint="default"/>
      </w:rPr>
    </w:lvl>
    <w:lvl w:ilvl="5" w:tplc="4E3600C0">
      <w:start w:val="1"/>
      <w:numFmt w:val="bullet"/>
      <w:lvlText w:val=""/>
      <w:lvlJc w:val="left"/>
      <w:pPr>
        <w:ind w:left="5126" w:hanging="360"/>
      </w:pPr>
      <w:rPr>
        <w:rFonts w:ascii="Wingdings" w:hAnsi="Wingdings" w:hint="default"/>
      </w:rPr>
    </w:lvl>
    <w:lvl w:ilvl="6" w:tplc="2E1AEAE0">
      <w:start w:val="1"/>
      <w:numFmt w:val="bullet"/>
      <w:lvlText w:val=""/>
      <w:lvlJc w:val="left"/>
      <w:pPr>
        <w:ind w:left="5846" w:hanging="360"/>
      </w:pPr>
      <w:rPr>
        <w:rFonts w:ascii="Symbol" w:hAnsi="Symbol" w:hint="default"/>
      </w:rPr>
    </w:lvl>
    <w:lvl w:ilvl="7" w:tplc="1B447B04">
      <w:start w:val="1"/>
      <w:numFmt w:val="bullet"/>
      <w:lvlText w:val="o"/>
      <w:lvlJc w:val="left"/>
      <w:pPr>
        <w:ind w:left="6566" w:hanging="360"/>
      </w:pPr>
      <w:rPr>
        <w:rFonts w:ascii="Courier New" w:hAnsi="Courier New" w:cs="Courier New" w:hint="default"/>
      </w:rPr>
    </w:lvl>
    <w:lvl w:ilvl="8" w:tplc="DFCAD190">
      <w:start w:val="1"/>
      <w:numFmt w:val="bullet"/>
      <w:lvlText w:val=""/>
      <w:lvlJc w:val="left"/>
      <w:pPr>
        <w:ind w:left="7286" w:hanging="360"/>
      </w:pPr>
      <w:rPr>
        <w:rFonts w:ascii="Wingdings" w:hAnsi="Wingdings" w:hint="default"/>
      </w:rPr>
    </w:lvl>
  </w:abstractNum>
  <w:abstractNum w:abstractNumId="23" w15:restartNumberingAfterBreak="0">
    <w:nsid w:val="584B0CD0"/>
    <w:multiLevelType w:val="multilevel"/>
    <w:tmpl w:val="68D08EC2"/>
    <w:lvl w:ilvl="0">
      <w:start w:val="29"/>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A57A7F"/>
    <w:multiLevelType w:val="hybridMultilevel"/>
    <w:tmpl w:val="9D46F256"/>
    <w:lvl w:ilvl="0" w:tplc="67EC4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980FAB"/>
    <w:multiLevelType w:val="multilevel"/>
    <w:tmpl w:val="67B28A2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1703C6"/>
    <w:multiLevelType w:val="hybridMultilevel"/>
    <w:tmpl w:val="EB5265A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478CF"/>
    <w:multiLevelType w:val="hybridMultilevel"/>
    <w:tmpl w:val="5ABA0AF6"/>
    <w:lvl w:ilvl="0" w:tplc="D5302A7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F5E7590"/>
    <w:multiLevelType w:val="hybridMultilevel"/>
    <w:tmpl w:val="635AE9B0"/>
    <w:lvl w:ilvl="0" w:tplc="9F308DE6">
      <w:start w:val="1"/>
      <w:numFmt w:val="lowerLetter"/>
      <w:pStyle w:val="Heading6"/>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FBF5A47"/>
    <w:multiLevelType w:val="hybridMultilevel"/>
    <w:tmpl w:val="80EC4C84"/>
    <w:lvl w:ilvl="0" w:tplc="FAC2960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FDB200D"/>
    <w:multiLevelType w:val="hybridMultilevel"/>
    <w:tmpl w:val="9F3E8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0EA362E"/>
    <w:multiLevelType w:val="hybridMultilevel"/>
    <w:tmpl w:val="94D4126A"/>
    <w:lvl w:ilvl="0" w:tplc="E55C8A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4E003D6"/>
    <w:multiLevelType w:val="hybridMultilevel"/>
    <w:tmpl w:val="24D0CB9C"/>
    <w:lvl w:ilvl="0" w:tplc="F576456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85C29C0"/>
    <w:multiLevelType w:val="hybridMultilevel"/>
    <w:tmpl w:val="1DBAEDE8"/>
    <w:lvl w:ilvl="0" w:tplc="8B74766A">
      <w:start w:val="1"/>
      <w:numFmt w:val="decimal"/>
      <w:lvlText w:val="%1."/>
      <w:lvlJc w:val="left"/>
      <w:pPr>
        <w:ind w:left="1440" w:hanging="36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1"/>
  </w:num>
  <w:num w:numId="3">
    <w:abstractNumId w:val="26"/>
  </w:num>
  <w:num w:numId="4">
    <w:abstractNumId w:val="32"/>
  </w:num>
  <w:num w:numId="5">
    <w:abstractNumId w:val="10"/>
  </w:num>
  <w:num w:numId="6">
    <w:abstractNumId w:val="16"/>
  </w:num>
  <w:num w:numId="7">
    <w:abstractNumId w:val="6"/>
  </w:num>
  <w:num w:numId="8">
    <w:abstractNumId w:val="29"/>
  </w:num>
  <w:num w:numId="9">
    <w:abstractNumId w:val="28"/>
  </w:num>
  <w:num w:numId="10">
    <w:abstractNumId w:val="12"/>
  </w:num>
  <w:num w:numId="11">
    <w:abstractNumId w:val="6"/>
    <w:lvlOverride w:ilvl="0">
      <w:startOverride w:val="2"/>
    </w:lvlOverride>
  </w:num>
  <w:num w:numId="12">
    <w:abstractNumId w:val="7"/>
  </w:num>
  <w:num w:numId="13">
    <w:abstractNumId w:val="24"/>
  </w:num>
  <w:num w:numId="14">
    <w:abstractNumId w:val="20"/>
  </w:num>
  <w:num w:numId="15">
    <w:abstractNumId w:val="6"/>
    <w:lvlOverride w:ilvl="0">
      <w:startOverride w:val="1"/>
    </w:lvlOverride>
  </w:num>
  <w:num w:numId="16">
    <w:abstractNumId w:val="31"/>
  </w:num>
  <w:num w:numId="17">
    <w:abstractNumId w:val="0"/>
  </w:num>
  <w:num w:numId="18">
    <w:abstractNumId w:val="0"/>
    <w:lvlOverride w:ilvl="0">
      <w:startOverride w:val="1"/>
    </w:lvlOverride>
  </w:num>
  <w:num w:numId="19">
    <w:abstractNumId w:val="0"/>
    <w:lvlOverride w:ilvl="0">
      <w:startOverride w:val="1"/>
    </w:lvlOverride>
  </w:num>
  <w:num w:numId="20">
    <w:abstractNumId w:val="31"/>
    <w:lvlOverride w:ilvl="0">
      <w:startOverride w:val="1"/>
    </w:lvlOverride>
  </w:num>
  <w:num w:numId="21">
    <w:abstractNumId w:val="27"/>
  </w:num>
  <w:num w:numId="22">
    <w:abstractNumId w:val="27"/>
    <w:lvlOverride w:ilvl="0">
      <w:startOverride w:val="1"/>
    </w:lvlOverride>
  </w:num>
  <w:num w:numId="23">
    <w:abstractNumId w:val="1"/>
  </w:num>
  <w:num w:numId="24">
    <w:abstractNumId w:val="8"/>
  </w:num>
  <w:num w:numId="25">
    <w:abstractNumId w:val="8"/>
    <w:lvlOverride w:ilvl="0">
      <w:startOverride w:val="1"/>
    </w:lvlOverride>
  </w:num>
  <w:num w:numId="26">
    <w:abstractNumId w:val="8"/>
    <w:lvlOverride w:ilvl="0">
      <w:startOverride w:val="1"/>
    </w:lvlOverride>
  </w:num>
  <w:num w:numId="27">
    <w:abstractNumId w:val="6"/>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4"/>
  </w:num>
  <w:num w:numId="31">
    <w:abstractNumId w:val="2"/>
  </w:num>
  <w:num w:numId="32">
    <w:abstractNumId w:val="3"/>
    <w:lvlOverride w:ilvl="0">
      <w:lvl w:ilvl="0">
        <w:numFmt w:val="bullet"/>
        <w:lvlText w:val="·"/>
        <w:lvlJc w:val="left"/>
        <w:pPr>
          <w:tabs>
            <w:tab w:val="num" w:pos="1440"/>
          </w:tabs>
          <w:ind w:left="1440" w:hanging="360"/>
        </w:pPr>
        <w:rPr>
          <w:rFonts w:ascii="Symbol" w:hAnsi="Symbol" w:cs="Symbol"/>
          <w:snapToGrid/>
          <w:sz w:val="24"/>
          <w:szCs w:val="24"/>
        </w:rPr>
      </w:lvl>
    </w:lvlOverride>
  </w:num>
  <w:num w:numId="33">
    <w:abstractNumId w:val="9"/>
  </w:num>
  <w:num w:numId="34">
    <w:abstractNumId w:val="25"/>
  </w:num>
  <w:num w:numId="35">
    <w:abstractNumId w:val="19"/>
  </w:num>
  <w:num w:numId="36">
    <w:abstractNumId w:val="21"/>
  </w:num>
  <w:num w:numId="37">
    <w:abstractNumId w:val="23"/>
  </w:num>
  <w:num w:numId="38">
    <w:abstractNumId w:val="13"/>
  </w:num>
  <w:num w:numId="39">
    <w:abstractNumId w:val="30"/>
  </w:num>
  <w:num w:numId="40">
    <w:abstractNumId w:val="14"/>
  </w:num>
  <w:num w:numId="41">
    <w:abstractNumId w:val="22"/>
  </w:num>
  <w:num w:numId="42">
    <w:abstractNumId w:val="33"/>
  </w:num>
  <w:num w:numId="43">
    <w:abstractNumId w:val="17"/>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F0"/>
    <w:rsid w:val="000003EF"/>
    <w:rsid w:val="000005A9"/>
    <w:rsid w:val="0000141D"/>
    <w:rsid w:val="0000172D"/>
    <w:rsid w:val="000019F9"/>
    <w:rsid w:val="00001FB6"/>
    <w:rsid w:val="00003D03"/>
    <w:rsid w:val="00003E8B"/>
    <w:rsid w:val="00003FB5"/>
    <w:rsid w:val="00004616"/>
    <w:rsid w:val="00005995"/>
    <w:rsid w:val="000062C3"/>
    <w:rsid w:val="000063CD"/>
    <w:rsid w:val="00006DDE"/>
    <w:rsid w:val="00010479"/>
    <w:rsid w:val="00010509"/>
    <w:rsid w:val="00010983"/>
    <w:rsid w:val="0001118D"/>
    <w:rsid w:val="00011A2B"/>
    <w:rsid w:val="00011CF0"/>
    <w:rsid w:val="000122F6"/>
    <w:rsid w:val="00012E76"/>
    <w:rsid w:val="0001449F"/>
    <w:rsid w:val="000146AC"/>
    <w:rsid w:val="000150D0"/>
    <w:rsid w:val="00015383"/>
    <w:rsid w:val="000154EA"/>
    <w:rsid w:val="00015A63"/>
    <w:rsid w:val="00015F4A"/>
    <w:rsid w:val="0001628A"/>
    <w:rsid w:val="00016902"/>
    <w:rsid w:val="000170FE"/>
    <w:rsid w:val="00023426"/>
    <w:rsid w:val="000251ED"/>
    <w:rsid w:val="00025ADB"/>
    <w:rsid w:val="000264CE"/>
    <w:rsid w:val="00027FBB"/>
    <w:rsid w:val="00027FE5"/>
    <w:rsid w:val="00030824"/>
    <w:rsid w:val="00031309"/>
    <w:rsid w:val="00031927"/>
    <w:rsid w:val="000326BC"/>
    <w:rsid w:val="00032821"/>
    <w:rsid w:val="00032864"/>
    <w:rsid w:val="0003323F"/>
    <w:rsid w:val="00033E13"/>
    <w:rsid w:val="00034418"/>
    <w:rsid w:val="00034C7F"/>
    <w:rsid w:val="00036103"/>
    <w:rsid w:val="00036B67"/>
    <w:rsid w:val="00036E89"/>
    <w:rsid w:val="000371E7"/>
    <w:rsid w:val="000372D7"/>
    <w:rsid w:val="0004002B"/>
    <w:rsid w:val="00040163"/>
    <w:rsid w:val="00040E13"/>
    <w:rsid w:val="00042248"/>
    <w:rsid w:val="0004369D"/>
    <w:rsid w:val="00043CD4"/>
    <w:rsid w:val="00043DF0"/>
    <w:rsid w:val="000454E2"/>
    <w:rsid w:val="00046BDC"/>
    <w:rsid w:val="00047141"/>
    <w:rsid w:val="00047702"/>
    <w:rsid w:val="00047B88"/>
    <w:rsid w:val="000506C5"/>
    <w:rsid w:val="0005147F"/>
    <w:rsid w:val="00051D06"/>
    <w:rsid w:val="00051F65"/>
    <w:rsid w:val="00053237"/>
    <w:rsid w:val="000535BB"/>
    <w:rsid w:val="000539B9"/>
    <w:rsid w:val="00053C78"/>
    <w:rsid w:val="000540A7"/>
    <w:rsid w:val="00054131"/>
    <w:rsid w:val="00054485"/>
    <w:rsid w:val="0005464F"/>
    <w:rsid w:val="0005498E"/>
    <w:rsid w:val="00054F0A"/>
    <w:rsid w:val="00055203"/>
    <w:rsid w:val="00055C4E"/>
    <w:rsid w:val="000565A5"/>
    <w:rsid w:val="0005735F"/>
    <w:rsid w:val="00057FF6"/>
    <w:rsid w:val="00060C69"/>
    <w:rsid w:val="00061707"/>
    <w:rsid w:val="00061860"/>
    <w:rsid w:val="00061910"/>
    <w:rsid w:val="00061B10"/>
    <w:rsid w:val="00062D7F"/>
    <w:rsid w:val="00063522"/>
    <w:rsid w:val="00064388"/>
    <w:rsid w:val="0006468F"/>
    <w:rsid w:val="00065016"/>
    <w:rsid w:val="00065062"/>
    <w:rsid w:val="00065357"/>
    <w:rsid w:val="0006561C"/>
    <w:rsid w:val="00065C31"/>
    <w:rsid w:val="0006670F"/>
    <w:rsid w:val="00066C4D"/>
    <w:rsid w:val="000673C0"/>
    <w:rsid w:val="00067A51"/>
    <w:rsid w:val="00067D9A"/>
    <w:rsid w:val="00070369"/>
    <w:rsid w:val="000721D7"/>
    <w:rsid w:val="00072D60"/>
    <w:rsid w:val="00073D31"/>
    <w:rsid w:val="0007468B"/>
    <w:rsid w:val="00074C55"/>
    <w:rsid w:val="0007530B"/>
    <w:rsid w:val="0007559E"/>
    <w:rsid w:val="00075718"/>
    <w:rsid w:val="0007590E"/>
    <w:rsid w:val="00077128"/>
    <w:rsid w:val="0007726E"/>
    <w:rsid w:val="0007750A"/>
    <w:rsid w:val="00077D2E"/>
    <w:rsid w:val="00080A41"/>
    <w:rsid w:val="00081D91"/>
    <w:rsid w:val="00082E68"/>
    <w:rsid w:val="00082F7C"/>
    <w:rsid w:val="00083737"/>
    <w:rsid w:val="000842DB"/>
    <w:rsid w:val="000849AD"/>
    <w:rsid w:val="00084D3C"/>
    <w:rsid w:val="00084FB8"/>
    <w:rsid w:val="0008528B"/>
    <w:rsid w:val="00085840"/>
    <w:rsid w:val="0008609C"/>
    <w:rsid w:val="00087693"/>
    <w:rsid w:val="0008771C"/>
    <w:rsid w:val="00090B60"/>
    <w:rsid w:val="00090C51"/>
    <w:rsid w:val="00091C7C"/>
    <w:rsid w:val="00092B61"/>
    <w:rsid w:val="00092D13"/>
    <w:rsid w:val="000945EF"/>
    <w:rsid w:val="00094CBD"/>
    <w:rsid w:val="00095507"/>
    <w:rsid w:val="0009559C"/>
    <w:rsid w:val="000956BA"/>
    <w:rsid w:val="00095C10"/>
    <w:rsid w:val="000965C7"/>
    <w:rsid w:val="00097F27"/>
    <w:rsid w:val="000A25BE"/>
    <w:rsid w:val="000A2998"/>
    <w:rsid w:val="000A31E0"/>
    <w:rsid w:val="000A4719"/>
    <w:rsid w:val="000A4D1B"/>
    <w:rsid w:val="000A700A"/>
    <w:rsid w:val="000B01A0"/>
    <w:rsid w:val="000B0679"/>
    <w:rsid w:val="000B109F"/>
    <w:rsid w:val="000B279C"/>
    <w:rsid w:val="000B2870"/>
    <w:rsid w:val="000B2A7E"/>
    <w:rsid w:val="000B2DD2"/>
    <w:rsid w:val="000B2E16"/>
    <w:rsid w:val="000B3E6D"/>
    <w:rsid w:val="000B43EC"/>
    <w:rsid w:val="000B5191"/>
    <w:rsid w:val="000B6211"/>
    <w:rsid w:val="000B65EB"/>
    <w:rsid w:val="000B672F"/>
    <w:rsid w:val="000B68BE"/>
    <w:rsid w:val="000B70E0"/>
    <w:rsid w:val="000B7F47"/>
    <w:rsid w:val="000C0846"/>
    <w:rsid w:val="000C0F3B"/>
    <w:rsid w:val="000C146A"/>
    <w:rsid w:val="000C1A52"/>
    <w:rsid w:val="000C20A5"/>
    <w:rsid w:val="000C32F4"/>
    <w:rsid w:val="000C4085"/>
    <w:rsid w:val="000C45D1"/>
    <w:rsid w:val="000C58FC"/>
    <w:rsid w:val="000C607E"/>
    <w:rsid w:val="000C7770"/>
    <w:rsid w:val="000C7D8C"/>
    <w:rsid w:val="000D0199"/>
    <w:rsid w:val="000D0367"/>
    <w:rsid w:val="000D0780"/>
    <w:rsid w:val="000D0D6E"/>
    <w:rsid w:val="000D0FC4"/>
    <w:rsid w:val="000D1333"/>
    <w:rsid w:val="000D178E"/>
    <w:rsid w:val="000D18B4"/>
    <w:rsid w:val="000D20AC"/>
    <w:rsid w:val="000D222D"/>
    <w:rsid w:val="000D258C"/>
    <w:rsid w:val="000D379F"/>
    <w:rsid w:val="000D3C6F"/>
    <w:rsid w:val="000D4ECA"/>
    <w:rsid w:val="000D508B"/>
    <w:rsid w:val="000D5502"/>
    <w:rsid w:val="000D5E43"/>
    <w:rsid w:val="000D70CB"/>
    <w:rsid w:val="000D793D"/>
    <w:rsid w:val="000D7D1C"/>
    <w:rsid w:val="000E05EC"/>
    <w:rsid w:val="000E1625"/>
    <w:rsid w:val="000E25F3"/>
    <w:rsid w:val="000E2794"/>
    <w:rsid w:val="000E2A7D"/>
    <w:rsid w:val="000E2C3E"/>
    <w:rsid w:val="000E3A81"/>
    <w:rsid w:val="000E3C83"/>
    <w:rsid w:val="000E423C"/>
    <w:rsid w:val="000E4360"/>
    <w:rsid w:val="000E4D71"/>
    <w:rsid w:val="000E4F1B"/>
    <w:rsid w:val="000E4FC3"/>
    <w:rsid w:val="000E5102"/>
    <w:rsid w:val="000E5D55"/>
    <w:rsid w:val="000E63FD"/>
    <w:rsid w:val="000E6F06"/>
    <w:rsid w:val="000E7272"/>
    <w:rsid w:val="000E76B8"/>
    <w:rsid w:val="000E7DC8"/>
    <w:rsid w:val="000F019D"/>
    <w:rsid w:val="000F0E9C"/>
    <w:rsid w:val="000F0FC6"/>
    <w:rsid w:val="000F1603"/>
    <w:rsid w:val="000F1B32"/>
    <w:rsid w:val="000F254F"/>
    <w:rsid w:val="000F25E5"/>
    <w:rsid w:val="000F2AE1"/>
    <w:rsid w:val="000F3052"/>
    <w:rsid w:val="000F391B"/>
    <w:rsid w:val="000F3B5F"/>
    <w:rsid w:val="000F4B9B"/>
    <w:rsid w:val="000F4C9A"/>
    <w:rsid w:val="000F4CEF"/>
    <w:rsid w:val="000F6920"/>
    <w:rsid w:val="000F70B8"/>
    <w:rsid w:val="00102DDA"/>
    <w:rsid w:val="00102DFF"/>
    <w:rsid w:val="00102EDC"/>
    <w:rsid w:val="00103D2A"/>
    <w:rsid w:val="00104033"/>
    <w:rsid w:val="0010543A"/>
    <w:rsid w:val="00105AB0"/>
    <w:rsid w:val="001061B0"/>
    <w:rsid w:val="00106681"/>
    <w:rsid w:val="001066B4"/>
    <w:rsid w:val="00106AE8"/>
    <w:rsid w:val="00107AF2"/>
    <w:rsid w:val="00107B37"/>
    <w:rsid w:val="00110957"/>
    <w:rsid w:val="00110F22"/>
    <w:rsid w:val="00111393"/>
    <w:rsid w:val="001116DF"/>
    <w:rsid w:val="001119A7"/>
    <w:rsid w:val="001119DC"/>
    <w:rsid w:val="00112A18"/>
    <w:rsid w:val="00112C24"/>
    <w:rsid w:val="00112F1B"/>
    <w:rsid w:val="00112F21"/>
    <w:rsid w:val="00113019"/>
    <w:rsid w:val="0011328D"/>
    <w:rsid w:val="0011373B"/>
    <w:rsid w:val="00114A2C"/>
    <w:rsid w:val="00114FFF"/>
    <w:rsid w:val="00115531"/>
    <w:rsid w:val="00116247"/>
    <w:rsid w:val="00116994"/>
    <w:rsid w:val="00117A5B"/>
    <w:rsid w:val="00120D7C"/>
    <w:rsid w:val="00120DCF"/>
    <w:rsid w:val="00121119"/>
    <w:rsid w:val="00121444"/>
    <w:rsid w:val="00121999"/>
    <w:rsid w:val="001219D2"/>
    <w:rsid w:val="00121AC1"/>
    <w:rsid w:val="00121CA3"/>
    <w:rsid w:val="00121FA3"/>
    <w:rsid w:val="0012461D"/>
    <w:rsid w:val="00124FC2"/>
    <w:rsid w:val="001259E0"/>
    <w:rsid w:val="00126061"/>
    <w:rsid w:val="00126075"/>
    <w:rsid w:val="001273C5"/>
    <w:rsid w:val="00131723"/>
    <w:rsid w:val="00131B46"/>
    <w:rsid w:val="0013228A"/>
    <w:rsid w:val="00133E29"/>
    <w:rsid w:val="00133FD2"/>
    <w:rsid w:val="00133FF4"/>
    <w:rsid w:val="001340CF"/>
    <w:rsid w:val="00134FE4"/>
    <w:rsid w:val="001350EC"/>
    <w:rsid w:val="00137F0C"/>
    <w:rsid w:val="0014017F"/>
    <w:rsid w:val="001407D9"/>
    <w:rsid w:val="00140AB8"/>
    <w:rsid w:val="00141C29"/>
    <w:rsid w:val="00142178"/>
    <w:rsid w:val="00142838"/>
    <w:rsid w:val="001435F4"/>
    <w:rsid w:val="001442E2"/>
    <w:rsid w:val="00144AEB"/>
    <w:rsid w:val="00146361"/>
    <w:rsid w:val="0014677E"/>
    <w:rsid w:val="00147481"/>
    <w:rsid w:val="00147B9B"/>
    <w:rsid w:val="0015028C"/>
    <w:rsid w:val="001504E6"/>
    <w:rsid w:val="0015073D"/>
    <w:rsid w:val="0015104D"/>
    <w:rsid w:val="00151823"/>
    <w:rsid w:val="00151D7E"/>
    <w:rsid w:val="00152651"/>
    <w:rsid w:val="001528B1"/>
    <w:rsid w:val="001541EF"/>
    <w:rsid w:val="001547B7"/>
    <w:rsid w:val="00154CCE"/>
    <w:rsid w:val="00154E8C"/>
    <w:rsid w:val="00155CA7"/>
    <w:rsid w:val="00157349"/>
    <w:rsid w:val="0015744F"/>
    <w:rsid w:val="00157A0A"/>
    <w:rsid w:val="00157AD3"/>
    <w:rsid w:val="00157BB7"/>
    <w:rsid w:val="00157CB3"/>
    <w:rsid w:val="001600BE"/>
    <w:rsid w:val="00160701"/>
    <w:rsid w:val="00160E16"/>
    <w:rsid w:val="001610AF"/>
    <w:rsid w:val="00161853"/>
    <w:rsid w:val="00163459"/>
    <w:rsid w:val="00163656"/>
    <w:rsid w:val="001638DC"/>
    <w:rsid w:val="001638E5"/>
    <w:rsid w:val="001642A1"/>
    <w:rsid w:val="0016502A"/>
    <w:rsid w:val="0016528B"/>
    <w:rsid w:val="001657A8"/>
    <w:rsid w:val="00165D03"/>
    <w:rsid w:val="00166ABF"/>
    <w:rsid w:val="00167878"/>
    <w:rsid w:val="00170DEF"/>
    <w:rsid w:val="001712EE"/>
    <w:rsid w:val="00172304"/>
    <w:rsid w:val="00173567"/>
    <w:rsid w:val="00173D08"/>
    <w:rsid w:val="001741FE"/>
    <w:rsid w:val="0017431B"/>
    <w:rsid w:val="00174746"/>
    <w:rsid w:val="00174AF1"/>
    <w:rsid w:val="00174E3E"/>
    <w:rsid w:val="00174E64"/>
    <w:rsid w:val="0017523B"/>
    <w:rsid w:val="00175572"/>
    <w:rsid w:val="00175E3E"/>
    <w:rsid w:val="0017672B"/>
    <w:rsid w:val="001767C4"/>
    <w:rsid w:val="001774B4"/>
    <w:rsid w:val="00177501"/>
    <w:rsid w:val="00180794"/>
    <w:rsid w:val="001812B8"/>
    <w:rsid w:val="001812D7"/>
    <w:rsid w:val="001820D4"/>
    <w:rsid w:val="00182307"/>
    <w:rsid w:val="00182485"/>
    <w:rsid w:val="00182547"/>
    <w:rsid w:val="001843A3"/>
    <w:rsid w:val="001848D7"/>
    <w:rsid w:val="00184D9A"/>
    <w:rsid w:val="00185414"/>
    <w:rsid w:val="00186242"/>
    <w:rsid w:val="00186732"/>
    <w:rsid w:val="00186BA9"/>
    <w:rsid w:val="00187E91"/>
    <w:rsid w:val="00190737"/>
    <w:rsid w:val="00191D6F"/>
    <w:rsid w:val="00191E68"/>
    <w:rsid w:val="0019239D"/>
    <w:rsid w:val="00192D2B"/>
    <w:rsid w:val="00192F26"/>
    <w:rsid w:val="00193BFF"/>
    <w:rsid w:val="00193D80"/>
    <w:rsid w:val="00193DBC"/>
    <w:rsid w:val="00193DE3"/>
    <w:rsid w:val="00193ED3"/>
    <w:rsid w:val="00194DB6"/>
    <w:rsid w:val="00196B8B"/>
    <w:rsid w:val="00196DB2"/>
    <w:rsid w:val="00196F5B"/>
    <w:rsid w:val="001970A3"/>
    <w:rsid w:val="00197C1E"/>
    <w:rsid w:val="001A22CA"/>
    <w:rsid w:val="001A3F51"/>
    <w:rsid w:val="001A4E31"/>
    <w:rsid w:val="001A57F0"/>
    <w:rsid w:val="001A5A41"/>
    <w:rsid w:val="001A60A6"/>
    <w:rsid w:val="001A6C46"/>
    <w:rsid w:val="001A6F6A"/>
    <w:rsid w:val="001A6FA7"/>
    <w:rsid w:val="001A7065"/>
    <w:rsid w:val="001B04D5"/>
    <w:rsid w:val="001B1000"/>
    <w:rsid w:val="001B18CE"/>
    <w:rsid w:val="001B276E"/>
    <w:rsid w:val="001B31ED"/>
    <w:rsid w:val="001B345E"/>
    <w:rsid w:val="001B52BA"/>
    <w:rsid w:val="001B5B29"/>
    <w:rsid w:val="001B60C3"/>
    <w:rsid w:val="001B62DF"/>
    <w:rsid w:val="001B7FB3"/>
    <w:rsid w:val="001C04FE"/>
    <w:rsid w:val="001C0792"/>
    <w:rsid w:val="001C18F3"/>
    <w:rsid w:val="001C1B4C"/>
    <w:rsid w:val="001C1C2B"/>
    <w:rsid w:val="001C1D8D"/>
    <w:rsid w:val="001C3250"/>
    <w:rsid w:val="001C3B53"/>
    <w:rsid w:val="001C56EC"/>
    <w:rsid w:val="001C756C"/>
    <w:rsid w:val="001C79DF"/>
    <w:rsid w:val="001C7CAF"/>
    <w:rsid w:val="001C7F9B"/>
    <w:rsid w:val="001D05C9"/>
    <w:rsid w:val="001D0A9D"/>
    <w:rsid w:val="001D10E1"/>
    <w:rsid w:val="001D17F2"/>
    <w:rsid w:val="001D25BE"/>
    <w:rsid w:val="001D2B4E"/>
    <w:rsid w:val="001D33FA"/>
    <w:rsid w:val="001D3CAC"/>
    <w:rsid w:val="001D3FDA"/>
    <w:rsid w:val="001D4277"/>
    <w:rsid w:val="001D4765"/>
    <w:rsid w:val="001D5346"/>
    <w:rsid w:val="001D66DD"/>
    <w:rsid w:val="001D6CA2"/>
    <w:rsid w:val="001D7B12"/>
    <w:rsid w:val="001E047A"/>
    <w:rsid w:val="001E1B17"/>
    <w:rsid w:val="001E1DDA"/>
    <w:rsid w:val="001E28FF"/>
    <w:rsid w:val="001E3356"/>
    <w:rsid w:val="001E3994"/>
    <w:rsid w:val="001E3F30"/>
    <w:rsid w:val="001E4E9C"/>
    <w:rsid w:val="001E520F"/>
    <w:rsid w:val="001E53D3"/>
    <w:rsid w:val="001E5794"/>
    <w:rsid w:val="001E6050"/>
    <w:rsid w:val="001E661A"/>
    <w:rsid w:val="001E6C44"/>
    <w:rsid w:val="001E7C48"/>
    <w:rsid w:val="001F0DA5"/>
    <w:rsid w:val="001F1CD5"/>
    <w:rsid w:val="001F2819"/>
    <w:rsid w:val="001F2905"/>
    <w:rsid w:val="001F359E"/>
    <w:rsid w:val="001F38A0"/>
    <w:rsid w:val="001F3C29"/>
    <w:rsid w:val="001F3EB4"/>
    <w:rsid w:val="001F41A4"/>
    <w:rsid w:val="001F4B47"/>
    <w:rsid w:val="001F5358"/>
    <w:rsid w:val="001F549B"/>
    <w:rsid w:val="001F57DE"/>
    <w:rsid w:val="001F6A01"/>
    <w:rsid w:val="001F6BF8"/>
    <w:rsid w:val="001F6FCB"/>
    <w:rsid w:val="001F7055"/>
    <w:rsid w:val="001F725C"/>
    <w:rsid w:val="001F7646"/>
    <w:rsid w:val="001F7B80"/>
    <w:rsid w:val="00201753"/>
    <w:rsid w:val="00201F35"/>
    <w:rsid w:val="002020AB"/>
    <w:rsid w:val="0020262F"/>
    <w:rsid w:val="00202CB6"/>
    <w:rsid w:val="002030DF"/>
    <w:rsid w:val="002032CF"/>
    <w:rsid w:val="00203954"/>
    <w:rsid w:val="00203C20"/>
    <w:rsid w:val="002042CF"/>
    <w:rsid w:val="002044A9"/>
    <w:rsid w:val="00204872"/>
    <w:rsid w:val="00205805"/>
    <w:rsid w:val="00206077"/>
    <w:rsid w:val="0020641A"/>
    <w:rsid w:val="002064F4"/>
    <w:rsid w:val="00206771"/>
    <w:rsid w:val="00206C5D"/>
    <w:rsid w:val="00207435"/>
    <w:rsid w:val="0021269A"/>
    <w:rsid w:val="002126F5"/>
    <w:rsid w:val="002131F4"/>
    <w:rsid w:val="002136A0"/>
    <w:rsid w:val="00214F4C"/>
    <w:rsid w:val="00215D76"/>
    <w:rsid w:val="00216B97"/>
    <w:rsid w:val="00216CE1"/>
    <w:rsid w:val="00220569"/>
    <w:rsid w:val="00220F49"/>
    <w:rsid w:val="002218D9"/>
    <w:rsid w:val="00221B76"/>
    <w:rsid w:val="00221FE1"/>
    <w:rsid w:val="00222BBB"/>
    <w:rsid w:val="00222C96"/>
    <w:rsid w:val="002230CC"/>
    <w:rsid w:val="002245AC"/>
    <w:rsid w:val="0022517C"/>
    <w:rsid w:val="0022575C"/>
    <w:rsid w:val="00226197"/>
    <w:rsid w:val="002263C1"/>
    <w:rsid w:val="00226676"/>
    <w:rsid w:val="00226A8B"/>
    <w:rsid w:val="002278FE"/>
    <w:rsid w:val="00230B7C"/>
    <w:rsid w:val="002317EA"/>
    <w:rsid w:val="00231CA9"/>
    <w:rsid w:val="00232CC5"/>
    <w:rsid w:val="0023341B"/>
    <w:rsid w:val="00233860"/>
    <w:rsid w:val="00235D23"/>
    <w:rsid w:val="00235D60"/>
    <w:rsid w:val="0023604E"/>
    <w:rsid w:val="00236382"/>
    <w:rsid w:val="002364AD"/>
    <w:rsid w:val="00237809"/>
    <w:rsid w:val="002417F4"/>
    <w:rsid w:val="00242038"/>
    <w:rsid w:val="0024300A"/>
    <w:rsid w:val="002431C3"/>
    <w:rsid w:val="00243A41"/>
    <w:rsid w:val="00243B93"/>
    <w:rsid w:val="00245866"/>
    <w:rsid w:val="00245BA1"/>
    <w:rsid w:val="002462CB"/>
    <w:rsid w:val="002466B5"/>
    <w:rsid w:val="002467F3"/>
    <w:rsid w:val="00246E98"/>
    <w:rsid w:val="00247629"/>
    <w:rsid w:val="002477FF"/>
    <w:rsid w:val="00247B95"/>
    <w:rsid w:val="0025015C"/>
    <w:rsid w:val="00250E97"/>
    <w:rsid w:val="00250F54"/>
    <w:rsid w:val="00251317"/>
    <w:rsid w:val="002532D1"/>
    <w:rsid w:val="00253D66"/>
    <w:rsid w:val="002541B7"/>
    <w:rsid w:val="0025440C"/>
    <w:rsid w:val="00254691"/>
    <w:rsid w:val="00254701"/>
    <w:rsid w:val="00254951"/>
    <w:rsid w:val="00255C93"/>
    <w:rsid w:val="00255DFE"/>
    <w:rsid w:val="002565F0"/>
    <w:rsid w:val="002577A1"/>
    <w:rsid w:val="00257D3F"/>
    <w:rsid w:val="00257F86"/>
    <w:rsid w:val="0026080A"/>
    <w:rsid w:val="00260BF9"/>
    <w:rsid w:val="00261A57"/>
    <w:rsid w:val="00261FEF"/>
    <w:rsid w:val="00262296"/>
    <w:rsid w:val="00262B88"/>
    <w:rsid w:val="00262C12"/>
    <w:rsid w:val="00264534"/>
    <w:rsid w:val="00266225"/>
    <w:rsid w:val="0026624D"/>
    <w:rsid w:val="002662B8"/>
    <w:rsid w:val="00266928"/>
    <w:rsid w:val="00266937"/>
    <w:rsid w:val="00266C8C"/>
    <w:rsid w:val="00267BEA"/>
    <w:rsid w:val="00267E56"/>
    <w:rsid w:val="002705FA"/>
    <w:rsid w:val="002714F6"/>
    <w:rsid w:val="00271E2E"/>
    <w:rsid w:val="002722A0"/>
    <w:rsid w:val="002724D0"/>
    <w:rsid w:val="00273A6C"/>
    <w:rsid w:val="00273F41"/>
    <w:rsid w:val="0027434F"/>
    <w:rsid w:val="0027447F"/>
    <w:rsid w:val="00274781"/>
    <w:rsid w:val="00274909"/>
    <w:rsid w:val="00274B12"/>
    <w:rsid w:val="00275282"/>
    <w:rsid w:val="00275340"/>
    <w:rsid w:val="002753C9"/>
    <w:rsid w:val="002774AC"/>
    <w:rsid w:val="0028034D"/>
    <w:rsid w:val="00280C73"/>
    <w:rsid w:val="00280EFE"/>
    <w:rsid w:val="00281DCF"/>
    <w:rsid w:val="00282044"/>
    <w:rsid w:val="002822DE"/>
    <w:rsid w:val="00282847"/>
    <w:rsid w:val="002829B8"/>
    <w:rsid w:val="00283637"/>
    <w:rsid w:val="002841A8"/>
    <w:rsid w:val="00284714"/>
    <w:rsid w:val="002849D7"/>
    <w:rsid w:val="00284A64"/>
    <w:rsid w:val="00284B08"/>
    <w:rsid w:val="00284BC9"/>
    <w:rsid w:val="002855BC"/>
    <w:rsid w:val="00285B63"/>
    <w:rsid w:val="00286522"/>
    <w:rsid w:val="00286664"/>
    <w:rsid w:val="00286B38"/>
    <w:rsid w:val="00287065"/>
    <w:rsid w:val="00287212"/>
    <w:rsid w:val="00287517"/>
    <w:rsid w:val="00287EE7"/>
    <w:rsid w:val="002901A1"/>
    <w:rsid w:val="0029045F"/>
    <w:rsid w:val="0029051A"/>
    <w:rsid w:val="0029138D"/>
    <w:rsid w:val="00292835"/>
    <w:rsid w:val="00293C29"/>
    <w:rsid w:val="002943C7"/>
    <w:rsid w:val="00294E26"/>
    <w:rsid w:val="00296C97"/>
    <w:rsid w:val="002973F9"/>
    <w:rsid w:val="00297460"/>
    <w:rsid w:val="002A0BA9"/>
    <w:rsid w:val="002A3756"/>
    <w:rsid w:val="002A3E3F"/>
    <w:rsid w:val="002A4A20"/>
    <w:rsid w:val="002A5824"/>
    <w:rsid w:val="002A5C7B"/>
    <w:rsid w:val="002A72D8"/>
    <w:rsid w:val="002A73A5"/>
    <w:rsid w:val="002A7C25"/>
    <w:rsid w:val="002A7E09"/>
    <w:rsid w:val="002B0288"/>
    <w:rsid w:val="002B0DEB"/>
    <w:rsid w:val="002B1B45"/>
    <w:rsid w:val="002B1DFB"/>
    <w:rsid w:val="002B2989"/>
    <w:rsid w:val="002B388F"/>
    <w:rsid w:val="002B3A11"/>
    <w:rsid w:val="002B50BA"/>
    <w:rsid w:val="002B518D"/>
    <w:rsid w:val="002B57B0"/>
    <w:rsid w:val="002B587F"/>
    <w:rsid w:val="002B63AA"/>
    <w:rsid w:val="002B68B7"/>
    <w:rsid w:val="002B6988"/>
    <w:rsid w:val="002B6DA8"/>
    <w:rsid w:val="002B73B3"/>
    <w:rsid w:val="002B79BE"/>
    <w:rsid w:val="002B7E49"/>
    <w:rsid w:val="002C0AC1"/>
    <w:rsid w:val="002C19E7"/>
    <w:rsid w:val="002C1B62"/>
    <w:rsid w:val="002C1C4A"/>
    <w:rsid w:val="002C25C3"/>
    <w:rsid w:val="002C2A01"/>
    <w:rsid w:val="002C3F25"/>
    <w:rsid w:val="002C5171"/>
    <w:rsid w:val="002C56DF"/>
    <w:rsid w:val="002C5CF4"/>
    <w:rsid w:val="002C61AC"/>
    <w:rsid w:val="002C64DA"/>
    <w:rsid w:val="002C6D80"/>
    <w:rsid w:val="002C7168"/>
    <w:rsid w:val="002C7853"/>
    <w:rsid w:val="002D06F7"/>
    <w:rsid w:val="002D0B95"/>
    <w:rsid w:val="002D0BB5"/>
    <w:rsid w:val="002D157D"/>
    <w:rsid w:val="002D161D"/>
    <w:rsid w:val="002D2482"/>
    <w:rsid w:val="002D3784"/>
    <w:rsid w:val="002D3E5D"/>
    <w:rsid w:val="002D3F6B"/>
    <w:rsid w:val="002D4094"/>
    <w:rsid w:val="002D4FCC"/>
    <w:rsid w:val="002D571C"/>
    <w:rsid w:val="002D5A2C"/>
    <w:rsid w:val="002D6ED4"/>
    <w:rsid w:val="002D6FBF"/>
    <w:rsid w:val="002D70CC"/>
    <w:rsid w:val="002D7152"/>
    <w:rsid w:val="002D7A6A"/>
    <w:rsid w:val="002D7D75"/>
    <w:rsid w:val="002D7F64"/>
    <w:rsid w:val="002E02AB"/>
    <w:rsid w:val="002E0CB7"/>
    <w:rsid w:val="002E194A"/>
    <w:rsid w:val="002E2494"/>
    <w:rsid w:val="002E24DE"/>
    <w:rsid w:val="002E2DFA"/>
    <w:rsid w:val="002E432C"/>
    <w:rsid w:val="002E44FF"/>
    <w:rsid w:val="002E4CF2"/>
    <w:rsid w:val="002E4EEF"/>
    <w:rsid w:val="002E5366"/>
    <w:rsid w:val="002E6B53"/>
    <w:rsid w:val="002E6BE0"/>
    <w:rsid w:val="002E6F35"/>
    <w:rsid w:val="002E7906"/>
    <w:rsid w:val="002F0AE6"/>
    <w:rsid w:val="002F23E4"/>
    <w:rsid w:val="002F25BF"/>
    <w:rsid w:val="002F25E9"/>
    <w:rsid w:val="002F2A5B"/>
    <w:rsid w:val="002F3982"/>
    <w:rsid w:val="002F42EC"/>
    <w:rsid w:val="002F47AE"/>
    <w:rsid w:val="002F483E"/>
    <w:rsid w:val="002F4A49"/>
    <w:rsid w:val="002F5CA2"/>
    <w:rsid w:val="002F5F77"/>
    <w:rsid w:val="002F6D93"/>
    <w:rsid w:val="002F6E6B"/>
    <w:rsid w:val="002F78D3"/>
    <w:rsid w:val="002F7C9E"/>
    <w:rsid w:val="003010F3"/>
    <w:rsid w:val="00301361"/>
    <w:rsid w:val="00301D99"/>
    <w:rsid w:val="00302247"/>
    <w:rsid w:val="00302263"/>
    <w:rsid w:val="00302579"/>
    <w:rsid w:val="003035D9"/>
    <w:rsid w:val="0030375F"/>
    <w:rsid w:val="0030397F"/>
    <w:rsid w:val="00303F71"/>
    <w:rsid w:val="00304CD6"/>
    <w:rsid w:val="00305D6E"/>
    <w:rsid w:val="00306541"/>
    <w:rsid w:val="003075F9"/>
    <w:rsid w:val="00307DE8"/>
    <w:rsid w:val="003107D4"/>
    <w:rsid w:val="003112A7"/>
    <w:rsid w:val="003134CC"/>
    <w:rsid w:val="0031372D"/>
    <w:rsid w:val="00313B3D"/>
    <w:rsid w:val="00313F07"/>
    <w:rsid w:val="00313F99"/>
    <w:rsid w:val="003145DD"/>
    <w:rsid w:val="003146BB"/>
    <w:rsid w:val="00314B73"/>
    <w:rsid w:val="00314BDC"/>
    <w:rsid w:val="00314E6E"/>
    <w:rsid w:val="00316D84"/>
    <w:rsid w:val="00317488"/>
    <w:rsid w:val="0032067B"/>
    <w:rsid w:val="003209F7"/>
    <w:rsid w:val="003213E1"/>
    <w:rsid w:val="00321AAC"/>
    <w:rsid w:val="00321CD2"/>
    <w:rsid w:val="003221BE"/>
    <w:rsid w:val="00322CD0"/>
    <w:rsid w:val="0032391D"/>
    <w:rsid w:val="00324236"/>
    <w:rsid w:val="003247FF"/>
    <w:rsid w:val="0032494D"/>
    <w:rsid w:val="00324B76"/>
    <w:rsid w:val="00324FFD"/>
    <w:rsid w:val="00326CBC"/>
    <w:rsid w:val="00327171"/>
    <w:rsid w:val="0032798C"/>
    <w:rsid w:val="00330288"/>
    <w:rsid w:val="00330D72"/>
    <w:rsid w:val="003316BC"/>
    <w:rsid w:val="003317D2"/>
    <w:rsid w:val="0033209D"/>
    <w:rsid w:val="00332E9A"/>
    <w:rsid w:val="003333E1"/>
    <w:rsid w:val="003335BC"/>
    <w:rsid w:val="00334089"/>
    <w:rsid w:val="0033440E"/>
    <w:rsid w:val="0033498D"/>
    <w:rsid w:val="00336525"/>
    <w:rsid w:val="00337C3B"/>
    <w:rsid w:val="00340313"/>
    <w:rsid w:val="00340655"/>
    <w:rsid w:val="00340893"/>
    <w:rsid w:val="003416D9"/>
    <w:rsid w:val="0034188D"/>
    <w:rsid w:val="00342265"/>
    <w:rsid w:val="00342E0A"/>
    <w:rsid w:val="003431AE"/>
    <w:rsid w:val="00344140"/>
    <w:rsid w:val="00344790"/>
    <w:rsid w:val="00345B79"/>
    <w:rsid w:val="00345FF8"/>
    <w:rsid w:val="0034678C"/>
    <w:rsid w:val="0034693A"/>
    <w:rsid w:val="003471C5"/>
    <w:rsid w:val="003505BB"/>
    <w:rsid w:val="003505C9"/>
    <w:rsid w:val="003514A2"/>
    <w:rsid w:val="00351872"/>
    <w:rsid w:val="003528B1"/>
    <w:rsid w:val="00352C9C"/>
    <w:rsid w:val="00352DC7"/>
    <w:rsid w:val="0035347D"/>
    <w:rsid w:val="003544C5"/>
    <w:rsid w:val="003551C0"/>
    <w:rsid w:val="003551C4"/>
    <w:rsid w:val="003559D8"/>
    <w:rsid w:val="0035727B"/>
    <w:rsid w:val="00357605"/>
    <w:rsid w:val="003577B8"/>
    <w:rsid w:val="0036058D"/>
    <w:rsid w:val="00360766"/>
    <w:rsid w:val="003641A3"/>
    <w:rsid w:val="00365726"/>
    <w:rsid w:val="003668FE"/>
    <w:rsid w:val="00367289"/>
    <w:rsid w:val="003677E2"/>
    <w:rsid w:val="003702E4"/>
    <w:rsid w:val="003714BD"/>
    <w:rsid w:val="00371C6E"/>
    <w:rsid w:val="00371CC6"/>
    <w:rsid w:val="00371D0E"/>
    <w:rsid w:val="00371D2C"/>
    <w:rsid w:val="00372EEC"/>
    <w:rsid w:val="00374AB0"/>
    <w:rsid w:val="00374E26"/>
    <w:rsid w:val="00374F7E"/>
    <w:rsid w:val="00374FD7"/>
    <w:rsid w:val="00375AC5"/>
    <w:rsid w:val="00375BC3"/>
    <w:rsid w:val="0037614C"/>
    <w:rsid w:val="003763E2"/>
    <w:rsid w:val="00376AB9"/>
    <w:rsid w:val="00377453"/>
    <w:rsid w:val="003774BF"/>
    <w:rsid w:val="00380946"/>
    <w:rsid w:val="00380C34"/>
    <w:rsid w:val="003817F6"/>
    <w:rsid w:val="00381BB4"/>
    <w:rsid w:val="00381DAC"/>
    <w:rsid w:val="003822B3"/>
    <w:rsid w:val="00384898"/>
    <w:rsid w:val="00384A35"/>
    <w:rsid w:val="0038526A"/>
    <w:rsid w:val="003857B4"/>
    <w:rsid w:val="00385ECB"/>
    <w:rsid w:val="003862A6"/>
    <w:rsid w:val="00386A17"/>
    <w:rsid w:val="00386B4D"/>
    <w:rsid w:val="00386DA1"/>
    <w:rsid w:val="00387CA1"/>
    <w:rsid w:val="00387E22"/>
    <w:rsid w:val="0039130C"/>
    <w:rsid w:val="00391B0B"/>
    <w:rsid w:val="00391B7D"/>
    <w:rsid w:val="00391FBA"/>
    <w:rsid w:val="00392087"/>
    <w:rsid w:val="00392180"/>
    <w:rsid w:val="00392587"/>
    <w:rsid w:val="00392B26"/>
    <w:rsid w:val="00392E83"/>
    <w:rsid w:val="003931EF"/>
    <w:rsid w:val="003946AB"/>
    <w:rsid w:val="00394919"/>
    <w:rsid w:val="00394DB2"/>
    <w:rsid w:val="003954B1"/>
    <w:rsid w:val="00395E29"/>
    <w:rsid w:val="00396785"/>
    <w:rsid w:val="003971A7"/>
    <w:rsid w:val="003A2F43"/>
    <w:rsid w:val="003A33DA"/>
    <w:rsid w:val="003A3BF8"/>
    <w:rsid w:val="003A4976"/>
    <w:rsid w:val="003A4BC7"/>
    <w:rsid w:val="003A4BE1"/>
    <w:rsid w:val="003A7BD2"/>
    <w:rsid w:val="003A7C54"/>
    <w:rsid w:val="003B0A46"/>
    <w:rsid w:val="003B23B0"/>
    <w:rsid w:val="003B255A"/>
    <w:rsid w:val="003B4A13"/>
    <w:rsid w:val="003B4D5D"/>
    <w:rsid w:val="003B4F39"/>
    <w:rsid w:val="003B553C"/>
    <w:rsid w:val="003B6642"/>
    <w:rsid w:val="003B7C80"/>
    <w:rsid w:val="003C0BFE"/>
    <w:rsid w:val="003C0CED"/>
    <w:rsid w:val="003C12DE"/>
    <w:rsid w:val="003C197D"/>
    <w:rsid w:val="003C29DF"/>
    <w:rsid w:val="003C2A1B"/>
    <w:rsid w:val="003C2D50"/>
    <w:rsid w:val="003C2E9D"/>
    <w:rsid w:val="003C4499"/>
    <w:rsid w:val="003C5662"/>
    <w:rsid w:val="003D0EC4"/>
    <w:rsid w:val="003D2913"/>
    <w:rsid w:val="003D320C"/>
    <w:rsid w:val="003D3399"/>
    <w:rsid w:val="003D4CB8"/>
    <w:rsid w:val="003D5AC1"/>
    <w:rsid w:val="003D5C5F"/>
    <w:rsid w:val="003D5E07"/>
    <w:rsid w:val="003D64F2"/>
    <w:rsid w:val="003D7612"/>
    <w:rsid w:val="003D77A6"/>
    <w:rsid w:val="003E0961"/>
    <w:rsid w:val="003E0A71"/>
    <w:rsid w:val="003E0B42"/>
    <w:rsid w:val="003E0E39"/>
    <w:rsid w:val="003E2E6E"/>
    <w:rsid w:val="003E45C1"/>
    <w:rsid w:val="003E4F2D"/>
    <w:rsid w:val="003E5448"/>
    <w:rsid w:val="003E56A6"/>
    <w:rsid w:val="003E5AB7"/>
    <w:rsid w:val="003E63D0"/>
    <w:rsid w:val="003E6FE0"/>
    <w:rsid w:val="003E798E"/>
    <w:rsid w:val="003E7A3B"/>
    <w:rsid w:val="003F0403"/>
    <w:rsid w:val="003F0CC1"/>
    <w:rsid w:val="003F0D04"/>
    <w:rsid w:val="003F23A8"/>
    <w:rsid w:val="003F3116"/>
    <w:rsid w:val="003F38E5"/>
    <w:rsid w:val="003F5A96"/>
    <w:rsid w:val="003F601C"/>
    <w:rsid w:val="003F6892"/>
    <w:rsid w:val="003F6A9A"/>
    <w:rsid w:val="003F6EF9"/>
    <w:rsid w:val="003F6FC8"/>
    <w:rsid w:val="003F769C"/>
    <w:rsid w:val="003F7B09"/>
    <w:rsid w:val="00400040"/>
    <w:rsid w:val="004005C9"/>
    <w:rsid w:val="00401308"/>
    <w:rsid w:val="004017F8"/>
    <w:rsid w:val="00401E07"/>
    <w:rsid w:val="00401E7C"/>
    <w:rsid w:val="00402AC9"/>
    <w:rsid w:val="00402BC9"/>
    <w:rsid w:val="00403B37"/>
    <w:rsid w:val="00404571"/>
    <w:rsid w:val="00405E57"/>
    <w:rsid w:val="00406721"/>
    <w:rsid w:val="004070C8"/>
    <w:rsid w:val="004110EB"/>
    <w:rsid w:val="00412080"/>
    <w:rsid w:val="004123FE"/>
    <w:rsid w:val="00412416"/>
    <w:rsid w:val="0041249A"/>
    <w:rsid w:val="00412539"/>
    <w:rsid w:val="004126E5"/>
    <w:rsid w:val="0041272A"/>
    <w:rsid w:val="00414CFD"/>
    <w:rsid w:val="00415E44"/>
    <w:rsid w:val="00415FA5"/>
    <w:rsid w:val="0041614A"/>
    <w:rsid w:val="004176AD"/>
    <w:rsid w:val="004205CE"/>
    <w:rsid w:val="004206AA"/>
    <w:rsid w:val="004214B0"/>
    <w:rsid w:val="0042231A"/>
    <w:rsid w:val="0042245A"/>
    <w:rsid w:val="00423796"/>
    <w:rsid w:val="00424129"/>
    <w:rsid w:val="0042414D"/>
    <w:rsid w:val="00424955"/>
    <w:rsid w:val="00425705"/>
    <w:rsid w:val="00425E61"/>
    <w:rsid w:val="00426B67"/>
    <w:rsid w:val="00430158"/>
    <w:rsid w:val="00430AFD"/>
    <w:rsid w:val="0043252B"/>
    <w:rsid w:val="00432986"/>
    <w:rsid w:val="00432EDA"/>
    <w:rsid w:val="00433222"/>
    <w:rsid w:val="00433DDC"/>
    <w:rsid w:val="00434431"/>
    <w:rsid w:val="00435353"/>
    <w:rsid w:val="00436441"/>
    <w:rsid w:val="004368DB"/>
    <w:rsid w:val="00437F15"/>
    <w:rsid w:val="00440476"/>
    <w:rsid w:val="0044138D"/>
    <w:rsid w:val="0044143F"/>
    <w:rsid w:val="00441741"/>
    <w:rsid w:val="00442A75"/>
    <w:rsid w:val="00443034"/>
    <w:rsid w:val="00445968"/>
    <w:rsid w:val="00445D2B"/>
    <w:rsid w:val="00445D7D"/>
    <w:rsid w:val="00445F7E"/>
    <w:rsid w:val="00446ADC"/>
    <w:rsid w:val="00446C87"/>
    <w:rsid w:val="00446CA8"/>
    <w:rsid w:val="00451201"/>
    <w:rsid w:val="00451636"/>
    <w:rsid w:val="00451A48"/>
    <w:rsid w:val="00452105"/>
    <w:rsid w:val="004522D3"/>
    <w:rsid w:val="004537FB"/>
    <w:rsid w:val="004539EB"/>
    <w:rsid w:val="00454605"/>
    <w:rsid w:val="00455116"/>
    <w:rsid w:val="00455522"/>
    <w:rsid w:val="00455B62"/>
    <w:rsid w:val="004567F1"/>
    <w:rsid w:val="0045732E"/>
    <w:rsid w:val="00457B34"/>
    <w:rsid w:val="00460021"/>
    <w:rsid w:val="00460A80"/>
    <w:rsid w:val="004613D3"/>
    <w:rsid w:val="004619A2"/>
    <w:rsid w:val="00462F97"/>
    <w:rsid w:val="0046303B"/>
    <w:rsid w:val="004640E6"/>
    <w:rsid w:val="00464BD7"/>
    <w:rsid w:val="00464C38"/>
    <w:rsid w:val="00464C9D"/>
    <w:rsid w:val="0046593E"/>
    <w:rsid w:val="004662E5"/>
    <w:rsid w:val="00470C2D"/>
    <w:rsid w:val="00471E12"/>
    <w:rsid w:val="00471EBE"/>
    <w:rsid w:val="004720CE"/>
    <w:rsid w:val="00472A0B"/>
    <w:rsid w:val="0047448F"/>
    <w:rsid w:val="00475E32"/>
    <w:rsid w:val="004761E0"/>
    <w:rsid w:val="00476EB0"/>
    <w:rsid w:val="0047704F"/>
    <w:rsid w:val="00477381"/>
    <w:rsid w:val="00477533"/>
    <w:rsid w:val="004805BF"/>
    <w:rsid w:val="00482103"/>
    <w:rsid w:val="004821A6"/>
    <w:rsid w:val="004821F3"/>
    <w:rsid w:val="0048221B"/>
    <w:rsid w:val="0048266B"/>
    <w:rsid w:val="004827A8"/>
    <w:rsid w:val="00483013"/>
    <w:rsid w:val="00483212"/>
    <w:rsid w:val="0048330F"/>
    <w:rsid w:val="00484E60"/>
    <w:rsid w:val="00486557"/>
    <w:rsid w:val="00486AB2"/>
    <w:rsid w:val="0048770E"/>
    <w:rsid w:val="00490878"/>
    <w:rsid w:val="00490A65"/>
    <w:rsid w:val="00490CE7"/>
    <w:rsid w:val="00490EA4"/>
    <w:rsid w:val="00490F42"/>
    <w:rsid w:val="004912BB"/>
    <w:rsid w:val="00492158"/>
    <w:rsid w:val="00492833"/>
    <w:rsid w:val="00492934"/>
    <w:rsid w:val="00492B11"/>
    <w:rsid w:val="00493149"/>
    <w:rsid w:val="00493791"/>
    <w:rsid w:val="00494378"/>
    <w:rsid w:val="004948C8"/>
    <w:rsid w:val="0049490A"/>
    <w:rsid w:val="00494EA6"/>
    <w:rsid w:val="0049616D"/>
    <w:rsid w:val="004964A0"/>
    <w:rsid w:val="00496987"/>
    <w:rsid w:val="004975DC"/>
    <w:rsid w:val="004979EC"/>
    <w:rsid w:val="00497BC5"/>
    <w:rsid w:val="00497C91"/>
    <w:rsid w:val="004A0057"/>
    <w:rsid w:val="004A0CD6"/>
    <w:rsid w:val="004A1324"/>
    <w:rsid w:val="004A18C5"/>
    <w:rsid w:val="004A236B"/>
    <w:rsid w:val="004A2C3A"/>
    <w:rsid w:val="004A37F2"/>
    <w:rsid w:val="004A3CCD"/>
    <w:rsid w:val="004A53BF"/>
    <w:rsid w:val="004A5A4C"/>
    <w:rsid w:val="004A6E13"/>
    <w:rsid w:val="004A6FAB"/>
    <w:rsid w:val="004A7234"/>
    <w:rsid w:val="004A790F"/>
    <w:rsid w:val="004B0864"/>
    <w:rsid w:val="004B2105"/>
    <w:rsid w:val="004B24DA"/>
    <w:rsid w:val="004B2641"/>
    <w:rsid w:val="004B27F2"/>
    <w:rsid w:val="004B2AAA"/>
    <w:rsid w:val="004B3165"/>
    <w:rsid w:val="004B50CB"/>
    <w:rsid w:val="004B7985"/>
    <w:rsid w:val="004C0CD3"/>
    <w:rsid w:val="004C19E3"/>
    <w:rsid w:val="004C1AA9"/>
    <w:rsid w:val="004C2658"/>
    <w:rsid w:val="004C28BB"/>
    <w:rsid w:val="004C2A5A"/>
    <w:rsid w:val="004C3E5D"/>
    <w:rsid w:val="004C415A"/>
    <w:rsid w:val="004C46CC"/>
    <w:rsid w:val="004C55F9"/>
    <w:rsid w:val="004C5F71"/>
    <w:rsid w:val="004C5F79"/>
    <w:rsid w:val="004C6317"/>
    <w:rsid w:val="004C6499"/>
    <w:rsid w:val="004C6534"/>
    <w:rsid w:val="004C6964"/>
    <w:rsid w:val="004C6D7D"/>
    <w:rsid w:val="004C7003"/>
    <w:rsid w:val="004C722F"/>
    <w:rsid w:val="004C7F4C"/>
    <w:rsid w:val="004D12EF"/>
    <w:rsid w:val="004D19EE"/>
    <w:rsid w:val="004D245B"/>
    <w:rsid w:val="004D26B0"/>
    <w:rsid w:val="004D2DD1"/>
    <w:rsid w:val="004D3231"/>
    <w:rsid w:val="004D481A"/>
    <w:rsid w:val="004D5724"/>
    <w:rsid w:val="004D757B"/>
    <w:rsid w:val="004D771E"/>
    <w:rsid w:val="004D7F1A"/>
    <w:rsid w:val="004E1710"/>
    <w:rsid w:val="004E18F1"/>
    <w:rsid w:val="004E2A1D"/>
    <w:rsid w:val="004E3F2E"/>
    <w:rsid w:val="004E3F82"/>
    <w:rsid w:val="004E4F72"/>
    <w:rsid w:val="004E5114"/>
    <w:rsid w:val="004E51F0"/>
    <w:rsid w:val="004E59BD"/>
    <w:rsid w:val="004E5D3B"/>
    <w:rsid w:val="004E6372"/>
    <w:rsid w:val="004F16CE"/>
    <w:rsid w:val="004F171A"/>
    <w:rsid w:val="004F1DF0"/>
    <w:rsid w:val="004F2336"/>
    <w:rsid w:val="004F2F51"/>
    <w:rsid w:val="004F31CA"/>
    <w:rsid w:val="004F31CD"/>
    <w:rsid w:val="004F3876"/>
    <w:rsid w:val="004F4103"/>
    <w:rsid w:val="004F52C6"/>
    <w:rsid w:val="004F6915"/>
    <w:rsid w:val="004F6A4C"/>
    <w:rsid w:val="004F7C51"/>
    <w:rsid w:val="004F7E81"/>
    <w:rsid w:val="00500E5A"/>
    <w:rsid w:val="0050174B"/>
    <w:rsid w:val="00502087"/>
    <w:rsid w:val="0050226D"/>
    <w:rsid w:val="00502BA0"/>
    <w:rsid w:val="0050449C"/>
    <w:rsid w:val="0050577C"/>
    <w:rsid w:val="00510AFF"/>
    <w:rsid w:val="00510C44"/>
    <w:rsid w:val="005114D0"/>
    <w:rsid w:val="0051210B"/>
    <w:rsid w:val="00512645"/>
    <w:rsid w:val="00512790"/>
    <w:rsid w:val="005128A7"/>
    <w:rsid w:val="005137AB"/>
    <w:rsid w:val="00513CFE"/>
    <w:rsid w:val="00513D55"/>
    <w:rsid w:val="005141FC"/>
    <w:rsid w:val="005147DE"/>
    <w:rsid w:val="00515FC1"/>
    <w:rsid w:val="00516A97"/>
    <w:rsid w:val="0051700F"/>
    <w:rsid w:val="00520384"/>
    <w:rsid w:val="0052178B"/>
    <w:rsid w:val="00521D42"/>
    <w:rsid w:val="005230DC"/>
    <w:rsid w:val="0052354E"/>
    <w:rsid w:val="00523A7D"/>
    <w:rsid w:val="00523E5C"/>
    <w:rsid w:val="0052467A"/>
    <w:rsid w:val="005247F4"/>
    <w:rsid w:val="005259AC"/>
    <w:rsid w:val="005259C0"/>
    <w:rsid w:val="00525C72"/>
    <w:rsid w:val="00526BAC"/>
    <w:rsid w:val="00526E4A"/>
    <w:rsid w:val="00527250"/>
    <w:rsid w:val="0052734C"/>
    <w:rsid w:val="00527C24"/>
    <w:rsid w:val="00530D00"/>
    <w:rsid w:val="005328C1"/>
    <w:rsid w:val="005330FB"/>
    <w:rsid w:val="00533166"/>
    <w:rsid w:val="00533345"/>
    <w:rsid w:val="005344A7"/>
    <w:rsid w:val="005356DC"/>
    <w:rsid w:val="005358F4"/>
    <w:rsid w:val="00535A5F"/>
    <w:rsid w:val="00536385"/>
    <w:rsid w:val="005364CA"/>
    <w:rsid w:val="005365A0"/>
    <w:rsid w:val="0053664F"/>
    <w:rsid w:val="00536880"/>
    <w:rsid w:val="00536BF0"/>
    <w:rsid w:val="005370F0"/>
    <w:rsid w:val="0053759D"/>
    <w:rsid w:val="0053792C"/>
    <w:rsid w:val="00540AFF"/>
    <w:rsid w:val="00540EA5"/>
    <w:rsid w:val="0054142F"/>
    <w:rsid w:val="0054195F"/>
    <w:rsid w:val="0054239F"/>
    <w:rsid w:val="00542678"/>
    <w:rsid w:val="00543312"/>
    <w:rsid w:val="00544641"/>
    <w:rsid w:val="005449E9"/>
    <w:rsid w:val="005452FE"/>
    <w:rsid w:val="00546811"/>
    <w:rsid w:val="00546BF1"/>
    <w:rsid w:val="005470FE"/>
    <w:rsid w:val="0054767F"/>
    <w:rsid w:val="005502B3"/>
    <w:rsid w:val="00550885"/>
    <w:rsid w:val="005509E7"/>
    <w:rsid w:val="005525D5"/>
    <w:rsid w:val="00552936"/>
    <w:rsid w:val="00552A6E"/>
    <w:rsid w:val="00553175"/>
    <w:rsid w:val="00553561"/>
    <w:rsid w:val="0055357E"/>
    <w:rsid w:val="00553B55"/>
    <w:rsid w:val="005542BD"/>
    <w:rsid w:val="00554622"/>
    <w:rsid w:val="0055759E"/>
    <w:rsid w:val="00557B7F"/>
    <w:rsid w:val="00557BC7"/>
    <w:rsid w:val="00557FA7"/>
    <w:rsid w:val="00561533"/>
    <w:rsid w:val="005615FD"/>
    <w:rsid w:val="00561BA6"/>
    <w:rsid w:val="00562553"/>
    <w:rsid w:val="005637D8"/>
    <w:rsid w:val="00563CFA"/>
    <w:rsid w:val="00564A02"/>
    <w:rsid w:val="00564F2E"/>
    <w:rsid w:val="005650F3"/>
    <w:rsid w:val="005653E2"/>
    <w:rsid w:val="0056681D"/>
    <w:rsid w:val="00566E99"/>
    <w:rsid w:val="00567775"/>
    <w:rsid w:val="005704AA"/>
    <w:rsid w:val="00571248"/>
    <w:rsid w:val="00571933"/>
    <w:rsid w:val="005721B5"/>
    <w:rsid w:val="00572692"/>
    <w:rsid w:val="00572C15"/>
    <w:rsid w:val="005733B7"/>
    <w:rsid w:val="00574415"/>
    <w:rsid w:val="005754C5"/>
    <w:rsid w:val="00576701"/>
    <w:rsid w:val="00576A72"/>
    <w:rsid w:val="00577238"/>
    <w:rsid w:val="00577BB7"/>
    <w:rsid w:val="00577E61"/>
    <w:rsid w:val="005812BA"/>
    <w:rsid w:val="00582566"/>
    <w:rsid w:val="00582F7A"/>
    <w:rsid w:val="0058581B"/>
    <w:rsid w:val="00585CB8"/>
    <w:rsid w:val="00586DD5"/>
    <w:rsid w:val="00586DDF"/>
    <w:rsid w:val="00587852"/>
    <w:rsid w:val="005901FC"/>
    <w:rsid w:val="00590EDF"/>
    <w:rsid w:val="00591C48"/>
    <w:rsid w:val="00592173"/>
    <w:rsid w:val="0059251A"/>
    <w:rsid w:val="00592547"/>
    <w:rsid w:val="00593FCE"/>
    <w:rsid w:val="0059444A"/>
    <w:rsid w:val="005945E1"/>
    <w:rsid w:val="00594C24"/>
    <w:rsid w:val="00594CD0"/>
    <w:rsid w:val="00595611"/>
    <w:rsid w:val="00595872"/>
    <w:rsid w:val="005959A3"/>
    <w:rsid w:val="00595A4A"/>
    <w:rsid w:val="00595CA4"/>
    <w:rsid w:val="00597F9A"/>
    <w:rsid w:val="005A101A"/>
    <w:rsid w:val="005A1587"/>
    <w:rsid w:val="005A1B4F"/>
    <w:rsid w:val="005A1CA0"/>
    <w:rsid w:val="005A240D"/>
    <w:rsid w:val="005A3047"/>
    <w:rsid w:val="005A4272"/>
    <w:rsid w:val="005A4894"/>
    <w:rsid w:val="005A5F07"/>
    <w:rsid w:val="005A6280"/>
    <w:rsid w:val="005A6284"/>
    <w:rsid w:val="005A6EC8"/>
    <w:rsid w:val="005A7434"/>
    <w:rsid w:val="005A7A2F"/>
    <w:rsid w:val="005B1216"/>
    <w:rsid w:val="005B1CE4"/>
    <w:rsid w:val="005B1DCB"/>
    <w:rsid w:val="005B21FE"/>
    <w:rsid w:val="005B22E6"/>
    <w:rsid w:val="005B26AA"/>
    <w:rsid w:val="005B291D"/>
    <w:rsid w:val="005B345C"/>
    <w:rsid w:val="005B3EE7"/>
    <w:rsid w:val="005B424D"/>
    <w:rsid w:val="005B457D"/>
    <w:rsid w:val="005B4B33"/>
    <w:rsid w:val="005B5047"/>
    <w:rsid w:val="005B54F4"/>
    <w:rsid w:val="005B5548"/>
    <w:rsid w:val="005B5A80"/>
    <w:rsid w:val="005B5E1D"/>
    <w:rsid w:val="005B60AD"/>
    <w:rsid w:val="005B6415"/>
    <w:rsid w:val="005B78EE"/>
    <w:rsid w:val="005C043D"/>
    <w:rsid w:val="005C1518"/>
    <w:rsid w:val="005C1D42"/>
    <w:rsid w:val="005C3002"/>
    <w:rsid w:val="005C3A65"/>
    <w:rsid w:val="005C4222"/>
    <w:rsid w:val="005C42F8"/>
    <w:rsid w:val="005C484E"/>
    <w:rsid w:val="005C51B0"/>
    <w:rsid w:val="005C6304"/>
    <w:rsid w:val="005C7A4C"/>
    <w:rsid w:val="005D043B"/>
    <w:rsid w:val="005D1E5B"/>
    <w:rsid w:val="005D2101"/>
    <w:rsid w:val="005D3597"/>
    <w:rsid w:val="005D4248"/>
    <w:rsid w:val="005D450D"/>
    <w:rsid w:val="005D4560"/>
    <w:rsid w:val="005D50D0"/>
    <w:rsid w:val="005D549C"/>
    <w:rsid w:val="005D557B"/>
    <w:rsid w:val="005D5A3D"/>
    <w:rsid w:val="005D5E96"/>
    <w:rsid w:val="005D6940"/>
    <w:rsid w:val="005D6A9E"/>
    <w:rsid w:val="005D7487"/>
    <w:rsid w:val="005D759B"/>
    <w:rsid w:val="005E0691"/>
    <w:rsid w:val="005E1222"/>
    <w:rsid w:val="005E1C2E"/>
    <w:rsid w:val="005E1ECD"/>
    <w:rsid w:val="005E218A"/>
    <w:rsid w:val="005E27C7"/>
    <w:rsid w:val="005E3285"/>
    <w:rsid w:val="005E41A1"/>
    <w:rsid w:val="005E42DA"/>
    <w:rsid w:val="005E4FF0"/>
    <w:rsid w:val="005E513C"/>
    <w:rsid w:val="005E55E6"/>
    <w:rsid w:val="005E5637"/>
    <w:rsid w:val="005E7379"/>
    <w:rsid w:val="005E7485"/>
    <w:rsid w:val="005F0246"/>
    <w:rsid w:val="005F03C4"/>
    <w:rsid w:val="005F0C1C"/>
    <w:rsid w:val="005F1082"/>
    <w:rsid w:val="005F10D8"/>
    <w:rsid w:val="005F15EE"/>
    <w:rsid w:val="005F1A61"/>
    <w:rsid w:val="005F20F6"/>
    <w:rsid w:val="005F2700"/>
    <w:rsid w:val="005F2B3A"/>
    <w:rsid w:val="005F2E02"/>
    <w:rsid w:val="005F310A"/>
    <w:rsid w:val="005F34B7"/>
    <w:rsid w:val="005F36D2"/>
    <w:rsid w:val="005F4EBB"/>
    <w:rsid w:val="005F54D6"/>
    <w:rsid w:val="005F6979"/>
    <w:rsid w:val="005F7302"/>
    <w:rsid w:val="00600839"/>
    <w:rsid w:val="006008E4"/>
    <w:rsid w:val="006013A2"/>
    <w:rsid w:val="0060162E"/>
    <w:rsid w:val="00601FB4"/>
    <w:rsid w:val="00602CA1"/>
    <w:rsid w:val="006038D8"/>
    <w:rsid w:val="00603B3E"/>
    <w:rsid w:val="006049E0"/>
    <w:rsid w:val="00604AF8"/>
    <w:rsid w:val="00604BC2"/>
    <w:rsid w:val="006054A1"/>
    <w:rsid w:val="006057A7"/>
    <w:rsid w:val="00605902"/>
    <w:rsid w:val="006059AB"/>
    <w:rsid w:val="006062ED"/>
    <w:rsid w:val="00606E52"/>
    <w:rsid w:val="00606F9A"/>
    <w:rsid w:val="00607984"/>
    <w:rsid w:val="006118A6"/>
    <w:rsid w:val="00611974"/>
    <w:rsid w:val="00611D06"/>
    <w:rsid w:val="0061317F"/>
    <w:rsid w:val="006140DB"/>
    <w:rsid w:val="00614A46"/>
    <w:rsid w:val="006156A3"/>
    <w:rsid w:val="006156F2"/>
    <w:rsid w:val="00615BEF"/>
    <w:rsid w:val="006164D2"/>
    <w:rsid w:val="00616798"/>
    <w:rsid w:val="00616912"/>
    <w:rsid w:val="006173F3"/>
    <w:rsid w:val="00617845"/>
    <w:rsid w:val="00620308"/>
    <w:rsid w:val="006203B0"/>
    <w:rsid w:val="00620695"/>
    <w:rsid w:val="0062115B"/>
    <w:rsid w:val="00621AE0"/>
    <w:rsid w:val="00622077"/>
    <w:rsid w:val="006228B5"/>
    <w:rsid w:val="0062418C"/>
    <w:rsid w:val="00626504"/>
    <w:rsid w:val="00626517"/>
    <w:rsid w:val="0062716A"/>
    <w:rsid w:val="00627C37"/>
    <w:rsid w:val="0063071E"/>
    <w:rsid w:val="00631185"/>
    <w:rsid w:val="006317AA"/>
    <w:rsid w:val="006323C3"/>
    <w:rsid w:val="00632628"/>
    <w:rsid w:val="00632C39"/>
    <w:rsid w:val="00632C95"/>
    <w:rsid w:val="00632F8C"/>
    <w:rsid w:val="006342F3"/>
    <w:rsid w:val="00634FD9"/>
    <w:rsid w:val="00635E53"/>
    <w:rsid w:val="00636007"/>
    <w:rsid w:val="00636B87"/>
    <w:rsid w:val="00636D7E"/>
    <w:rsid w:val="00637866"/>
    <w:rsid w:val="00637999"/>
    <w:rsid w:val="006403AF"/>
    <w:rsid w:val="006409D9"/>
    <w:rsid w:val="00641CD3"/>
    <w:rsid w:val="00641F37"/>
    <w:rsid w:val="0064250C"/>
    <w:rsid w:val="0064256B"/>
    <w:rsid w:val="0064273C"/>
    <w:rsid w:val="0064281E"/>
    <w:rsid w:val="00642AF0"/>
    <w:rsid w:val="00642CC3"/>
    <w:rsid w:val="00643E6E"/>
    <w:rsid w:val="00644E91"/>
    <w:rsid w:val="00645084"/>
    <w:rsid w:val="00645E77"/>
    <w:rsid w:val="0064651E"/>
    <w:rsid w:val="0064680E"/>
    <w:rsid w:val="00646B81"/>
    <w:rsid w:val="00650D1F"/>
    <w:rsid w:val="006515C9"/>
    <w:rsid w:val="00651A3C"/>
    <w:rsid w:val="00651DBD"/>
    <w:rsid w:val="006528C6"/>
    <w:rsid w:val="006532F3"/>
    <w:rsid w:val="00653317"/>
    <w:rsid w:val="00654771"/>
    <w:rsid w:val="00654CB5"/>
    <w:rsid w:val="00655B32"/>
    <w:rsid w:val="00657867"/>
    <w:rsid w:val="00660963"/>
    <w:rsid w:val="0066197C"/>
    <w:rsid w:val="006619D0"/>
    <w:rsid w:val="00662186"/>
    <w:rsid w:val="00662281"/>
    <w:rsid w:val="0066391E"/>
    <w:rsid w:val="0066491A"/>
    <w:rsid w:val="0066565D"/>
    <w:rsid w:val="00666054"/>
    <w:rsid w:val="00666145"/>
    <w:rsid w:val="006661AA"/>
    <w:rsid w:val="00666E70"/>
    <w:rsid w:val="00667099"/>
    <w:rsid w:val="00671CBE"/>
    <w:rsid w:val="006727E9"/>
    <w:rsid w:val="00673936"/>
    <w:rsid w:val="00673B6E"/>
    <w:rsid w:val="006741AC"/>
    <w:rsid w:val="00675AE4"/>
    <w:rsid w:val="00675E89"/>
    <w:rsid w:val="00677F1D"/>
    <w:rsid w:val="0068047D"/>
    <w:rsid w:val="0068049E"/>
    <w:rsid w:val="00680B49"/>
    <w:rsid w:val="0068194B"/>
    <w:rsid w:val="0068229A"/>
    <w:rsid w:val="006827EE"/>
    <w:rsid w:val="0068290C"/>
    <w:rsid w:val="006829C9"/>
    <w:rsid w:val="00682FEB"/>
    <w:rsid w:val="00683F06"/>
    <w:rsid w:val="00684C8B"/>
    <w:rsid w:val="00684D47"/>
    <w:rsid w:val="006856E0"/>
    <w:rsid w:val="00685C8D"/>
    <w:rsid w:val="00686B7D"/>
    <w:rsid w:val="00686CA8"/>
    <w:rsid w:val="00686F53"/>
    <w:rsid w:val="00687100"/>
    <w:rsid w:val="00687A03"/>
    <w:rsid w:val="00687AD0"/>
    <w:rsid w:val="00687C50"/>
    <w:rsid w:val="00687EBC"/>
    <w:rsid w:val="006913EC"/>
    <w:rsid w:val="00691A41"/>
    <w:rsid w:val="00692DB8"/>
    <w:rsid w:val="00693A8A"/>
    <w:rsid w:val="00693FBB"/>
    <w:rsid w:val="0069418D"/>
    <w:rsid w:val="00694B01"/>
    <w:rsid w:val="006950F9"/>
    <w:rsid w:val="00695E05"/>
    <w:rsid w:val="006963AD"/>
    <w:rsid w:val="0069691B"/>
    <w:rsid w:val="0069694D"/>
    <w:rsid w:val="00697B42"/>
    <w:rsid w:val="00697BA0"/>
    <w:rsid w:val="006A05B7"/>
    <w:rsid w:val="006A0836"/>
    <w:rsid w:val="006A105C"/>
    <w:rsid w:val="006A1171"/>
    <w:rsid w:val="006A1F01"/>
    <w:rsid w:val="006A2039"/>
    <w:rsid w:val="006A251D"/>
    <w:rsid w:val="006A3AF5"/>
    <w:rsid w:val="006A445A"/>
    <w:rsid w:val="006A6347"/>
    <w:rsid w:val="006A649C"/>
    <w:rsid w:val="006A749D"/>
    <w:rsid w:val="006B0111"/>
    <w:rsid w:val="006B0414"/>
    <w:rsid w:val="006B12A6"/>
    <w:rsid w:val="006B215C"/>
    <w:rsid w:val="006B4294"/>
    <w:rsid w:val="006B4843"/>
    <w:rsid w:val="006B5AD5"/>
    <w:rsid w:val="006B5C78"/>
    <w:rsid w:val="006B6696"/>
    <w:rsid w:val="006B67DF"/>
    <w:rsid w:val="006B77A6"/>
    <w:rsid w:val="006B79BC"/>
    <w:rsid w:val="006C0A04"/>
    <w:rsid w:val="006C0F7C"/>
    <w:rsid w:val="006C1138"/>
    <w:rsid w:val="006C1BBE"/>
    <w:rsid w:val="006C1CEE"/>
    <w:rsid w:val="006C1D90"/>
    <w:rsid w:val="006C2461"/>
    <w:rsid w:val="006C2910"/>
    <w:rsid w:val="006C342C"/>
    <w:rsid w:val="006C37AD"/>
    <w:rsid w:val="006C3FAA"/>
    <w:rsid w:val="006C5DFC"/>
    <w:rsid w:val="006C6AA7"/>
    <w:rsid w:val="006C7520"/>
    <w:rsid w:val="006D018E"/>
    <w:rsid w:val="006D1380"/>
    <w:rsid w:val="006D17B2"/>
    <w:rsid w:val="006D228F"/>
    <w:rsid w:val="006D2B8C"/>
    <w:rsid w:val="006D2D7E"/>
    <w:rsid w:val="006D34AE"/>
    <w:rsid w:val="006D4001"/>
    <w:rsid w:val="006D447F"/>
    <w:rsid w:val="006D4948"/>
    <w:rsid w:val="006D4B71"/>
    <w:rsid w:val="006D4D62"/>
    <w:rsid w:val="006D5502"/>
    <w:rsid w:val="006D5740"/>
    <w:rsid w:val="006D7459"/>
    <w:rsid w:val="006D7A25"/>
    <w:rsid w:val="006E0474"/>
    <w:rsid w:val="006E0551"/>
    <w:rsid w:val="006E0BD0"/>
    <w:rsid w:val="006E16AE"/>
    <w:rsid w:val="006E1AA5"/>
    <w:rsid w:val="006E244D"/>
    <w:rsid w:val="006E266D"/>
    <w:rsid w:val="006E2AE7"/>
    <w:rsid w:val="006E2EEA"/>
    <w:rsid w:val="006E35DA"/>
    <w:rsid w:val="006E3664"/>
    <w:rsid w:val="006E3C78"/>
    <w:rsid w:val="006E4A2C"/>
    <w:rsid w:val="006E6E9B"/>
    <w:rsid w:val="006E7CD9"/>
    <w:rsid w:val="006F0377"/>
    <w:rsid w:val="006F1B23"/>
    <w:rsid w:val="006F1D00"/>
    <w:rsid w:val="006F2297"/>
    <w:rsid w:val="006F2B66"/>
    <w:rsid w:val="006F35DA"/>
    <w:rsid w:val="006F3C91"/>
    <w:rsid w:val="006F3F6E"/>
    <w:rsid w:val="006F5491"/>
    <w:rsid w:val="006F5E45"/>
    <w:rsid w:val="006F5FDF"/>
    <w:rsid w:val="006F698F"/>
    <w:rsid w:val="006F790A"/>
    <w:rsid w:val="006F7C11"/>
    <w:rsid w:val="0070163E"/>
    <w:rsid w:val="007025C5"/>
    <w:rsid w:val="007049E1"/>
    <w:rsid w:val="00705D30"/>
    <w:rsid w:val="00706FCE"/>
    <w:rsid w:val="00707064"/>
    <w:rsid w:val="00707C56"/>
    <w:rsid w:val="007108AB"/>
    <w:rsid w:val="007115C3"/>
    <w:rsid w:val="00711F1E"/>
    <w:rsid w:val="00712783"/>
    <w:rsid w:val="00712921"/>
    <w:rsid w:val="00712B7C"/>
    <w:rsid w:val="007138D9"/>
    <w:rsid w:val="00713F7E"/>
    <w:rsid w:val="00714A87"/>
    <w:rsid w:val="00716AC1"/>
    <w:rsid w:val="00717814"/>
    <w:rsid w:val="007200FB"/>
    <w:rsid w:val="007204DF"/>
    <w:rsid w:val="007208CA"/>
    <w:rsid w:val="00720A71"/>
    <w:rsid w:val="00720B3A"/>
    <w:rsid w:val="00720C6F"/>
    <w:rsid w:val="0072127C"/>
    <w:rsid w:val="00721612"/>
    <w:rsid w:val="00721B82"/>
    <w:rsid w:val="0072341C"/>
    <w:rsid w:val="00723766"/>
    <w:rsid w:val="007246F7"/>
    <w:rsid w:val="00725081"/>
    <w:rsid w:val="0072521A"/>
    <w:rsid w:val="00725346"/>
    <w:rsid w:val="00725618"/>
    <w:rsid w:val="00726A51"/>
    <w:rsid w:val="007279FE"/>
    <w:rsid w:val="00727A92"/>
    <w:rsid w:val="0073048E"/>
    <w:rsid w:val="0073233B"/>
    <w:rsid w:val="00733456"/>
    <w:rsid w:val="0073452E"/>
    <w:rsid w:val="0073453F"/>
    <w:rsid w:val="007350A6"/>
    <w:rsid w:val="007352B5"/>
    <w:rsid w:val="00736441"/>
    <w:rsid w:val="007364D1"/>
    <w:rsid w:val="00736C41"/>
    <w:rsid w:val="00740170"/>
    <w:rsid w:val="00740899"/>
    <w:rsid w:val="0074112C"/>
    <w:rsid w:val="007414C7"/>
    <w:rsid w:val="0074367C"/>
    <w:rsid w:val="00743EF1"/>
    <w:rsid w:val="007449CE"/>
    <w:rsid w:val="0074641A"/>
    <w:rsid w:val="00747591"/>
    <w:rsid w:val="00747CE8"/>
    <w:rsid w:val="007503D1"/>
    <w:rsid w:val="00751510"/>
    <w:rsid w:val="00752268"/>
    <w:rsid w:val="00752408"/>
    <w:rsid w:val="00752930"/>
    <w:rsid w:val="0075371F"/>
    <w:rsid w:val="00753B05"/>
    <w:rsid w:val="007549D0"/>
    <w:rsid w:val="00755396"/>
    <w:rsid w:val="007559A4"/>
    <w:rsid w:val="00755BA8"/>
    <w:rsid w:val="00756120"/>
    <w:rsid w:val="00756821"/>
    <w:rsid w:val="007569CC"/>
    <w:rsid w:val="00756A3A"/>
    <w:rsid w:val="00756C6D"/>
    <w:rsid w:val="00756CC2"/>
    <w:rsid w:val="00757A12"/>
    <w:rsid w:val="00757D3A"/>
    <w:rsid w:val="00757D50"/>
    <w:rsid w:val="0076054D"/>
    <w:rsid w:val="00760933"/>
    <w:rsid w:val="0076133A"/>
    <w:rsid w:val="0076251E"/>
    <w:rsid w:val="00762818"/>
    <w:rsid w:val="00762C59"/>
    <w:rsid w:val="00763F3F"/>
    <w:rsid w:val="0076480C"/>
    <w:rsid w:val="00764916"/>
    <w:rsid w:val="00764C3F"/>
    <w:rsid w:val="00765365"/>
    <w:rsid w:val="0076585F"/>
    <w:rsid w:val="00770DF4"/>
    <w:rsid w:val="00770F3C"/>
    <w:rsid w:val="00772253"/>
    <w:rsid w:val="00772E4A"/>
    <w:rsid w:val="00775A10"/>
    <w:rsid w:val="00775CC1"/>
    <w:rsid w:val="0077611A"/>
    <w:rsid w:val="007761C3"/>
    <w:rsid w:val="007762FC"/>
    <w:rsid w:val="007768BF"/>
    <w:rsid w:val="00776E44"/>
    <w:rsid w:val="00776F9D"/>
    <w:rsid w:val="0078024F"/>
    <w:rsid w:val="00781CED"/>
    <w:rsid w:val="00781EA9"/>
    <w:rsid w:val="00783AF6"/>
    <w:rsid w:val="00783E31"/>
    <w:rsid w:val="00784106"/>
    <w:rsid w:val="0078425D"/>
    <w:rsid w:val="00784ADE"/>
    <w:rsid w:val="00785CFC"/>
    <w:rsid w:val="00786239"/>
    <w:rsid w:val="00787ADD"/>
    <w:rsid w:val="00787B37"/>
    <w:rsid w:val="00787BE2"/>
    <w:rsid w:val="00790AD1"/>
    <w:rsid w:val="00790DA3"/>
    <w:rsid w:val="0079175F"/>
    <w:rsid w:val="007918D4"/>
    <w:rsid w:val="00791D42"/>
    <w:rsid w:val="00791DCA"/>
    <w:rsid w:val="007935B8"/>
    <w:rsid w:val="00794726"/>
    <w:rsid w:val="00794BAB"/>
    <w:rsid w:val="00796333"/>
    <w:rsid w:val="00797F51"/>
    <w:rsid w:val="007A046B"/>
    <w:rsid w:val="007A1E8F"/>
    <w:rsid w:val="007A1F95"/>
    <w:rsid w:val="007A219D"/>
    <w:rsid w:val="007A353F"/>
    <w:rsid w:val="007A3925"/>
    <w:rsid w:val="007A3ABD"/>
    <w:rsid w:val="007A4A52"/>
    <w:rsid w:val="007A50D7"/>
    <w:rsid w:val="007A5955"/>
    <w:rsid w:val="007A5AAA"/>
    <w:rsid w:val="007A5B2E"/>
    <w:rsid w:val="007A5E8B"/>
    <w:rsid w:val="007A71B8"/>
    <w:rsid w:val="007A7288"/>
    <w:rsid w:val="007A7DB8"/>
    <w:rsid w:val="007A7F11"/>
    <w:rsid w:val="007B0112"/>
    <w:rsid w:val="007B07CF"/>
    <w:rsid w:val="007B0D4D"/>
    <w:rsid w:val="007B28AC"/>
    <w:rsid w:val="007B2E16"/>
    <w:rsid w:val="007B3249"/>
    <w:rsid w:val="007B3356"/>
    <w:rsid w:val="007B3F33"/>
    <w:rsid w:val="007B4434"/>
    <w:rsid w:val="007B4B6A"/>
    <w:rsid w:val="007B58E8"/>
    <w:rsid w:val="007B5E0A"/>
    <w:rsid w:val="007B5F3B"/>
    <w:rsid w:val="007B6E6E"/>
    <w:rsid w:val="007C27AA"/>
    <w:rsid w:val="007C2A06"/>
    <w:rsid w:val="007C30FC"/>
    <w:rsid w:val="007C362D"/>
    <w:rsid w:val="007C475D"/>
    <w:rsid w:val="007C4C30"/>
    <w:rsid w:val="007C57CC"/>
    <w:rsid w:val="007C5D0C"/>
    <w:rsid w:val="007C6095"/>
    <w:rsid w:val="007C61CF"/>
    <w:rsid w:val="007C64F6"/>
    <w:rsid w:val="007C665B"/>
    <w:rsid w:val="007C7A2C"/>
    <w:rsid w:val="007D0472"/>
    <w:rsid w:val="007D0B30"/>
    <w:rsid w:val="007D0D98"/>
    <w:rsid w:val="007D1900"/>
    <w:rsid w:val="007D1EB5"/>
    <w:rsid w:val="007D1FF5"/>
    <w:rsid w:val="007D241A"/>
    <w:rsid w:val="007D24E8"/>
    <w:rsid w:val="007D3053"/>
    <w:rsid w:val="007D30F2"/>
    <w:rsid w:val="007D31E0"/>
    <w:rsid w:val="007D3359"/>
    <w:rsid w:val="007D3776"/>
    <w:rsid w:val="007D3CE4"/>
    <w:rsid w:val="007D42FC"/>
    <w:rsid w:val="007D4BD2"/>
    <w:rsid w:val="007D53C7"/>
    <w:rsid w:val="007D5E68"/>
    <w:rsid w:val="007D6105"/>
    <w:rsid w:val="007D6316"/>
    <w:rsid w:val="007D6B27"/>
    <w:rsid w:val="007D6EDE"/>
    <w:rsid w:val="007D71F1"/>
    <w:rsid w:val="007D7465"/>
    <w:rsid w:val="007D779E"/>
    <w:rsid w:val="007D7E7C"/>
    <w:rsid w:val="007E028F"/>
    <w:rsid w:val="007E0557"/>
    <w:rsid w:val="007E0E19"/>
    <w:rsid w:val="007E2145"/>
    <w:rsid w:val="007E26BA"/>
    <w:rsid w:val="007E337C"/>
    <w:rsid w:val="007E33E3"/>
    <w:rsid w:val="007E3922"/>
    <w:rsid w:val="007E420D"/>
    <w:rsid w:val="007E44C2"/>
    <w:rsid w:val="007E5AA0"/>
    <w:rsid w:val="007E62B6"/>
    <w:rsid w:val="007E77F1"/>
    <w:rsid w:val="007E7E0A"/>
    <w:rsid w:val="007F01C9"/>
    <w:rsid w:val="007F15C9"/>
    <w:rsid w:val="007F16CC"/>
    <w:rsid w:val="007F1860"/>
    <w:rsid w:val="007F1887"/>
    <w:rsid w:val="007F1B9E"/>
    <w:rsid w:val="007F1BA3"/>
    <w:rsid w:val="007F2A3E"/>
    <w:rsid w:val="007F336C"/>
    <w:rsid w:val="007F38DA"/>
    <w:rsid w:val="007F3FB8"/>
    <w:rsid w:val="007F55DC"/>
    <w:rsid w:val="007F6862"/>
    <w:rsid w:val="007F6FE4"/>
    <w:rsid w:val="007F7EB0"/>
    <w:rsid w:val="008001C3"/>
    <w:rsid w:val="00800403"/>
    <w:rsid w:val="008007C4"/>
    <w:rsid w:val="0080113F"/>
    <w:rsid w:val="0080199C"/>
    <w:rsid w:val="00801DA2"/>
    <w:rsid w:val="00802BA4"/>
    <w:rsid w:val="00802F97"/>
    <w:rsid w:val="00803129"/>
    <w:rsid w:val="008033E0"/>
    <w:rsid w:val="00803497"/>
    <w:rsid w:val="00803804"/>
    <w:rsid w:val="008044E4"/>
    <w:rsid w:val="00804D94"/>
    <w:rsid w:val="00804F70"/>
    <w:rsid w:val="008077DD"/>
    <w:rsid w:val="008078AD"/>
    <w:rsid w:val="00807EE9"/>
    <w:rsid w:val="0081123F"/>
    <w:rsid w:val="00813419"/>
    <w:rsid w:val="00813C64"/>
    <w:rsid w:val="008143AC"/>
    <w:rsid w:val="00814B71"/>
    <w:rsid w:val="0081500B"/>
    <w:rsid w:val="0081503E"/>
    <w:rsid w:val="008151AB"/>
    <w:rsid w:val="00815BF9"/>
    <w:rsid w:val="00816818"/>
    <w:rsid w:val="00816A13"/>
    <w:rsid w:val="00816F5A"/>
    <w:rsid w:val="008212C1"/>
    <w:rsid w:val="00821BA6"/>
    <w:rsid w:val="00822A66"/>
    <w:rsid w:val="00822FC7"/>
    <w:rsid w:val="00823194"/>
    <w:rsid w:val="0082358A"/>
    <w:rsid w:val="00823797"/>
    <w:rsid w:val="00823BA1"/>
    <w:rsid w:val="00823C57"/>
    <w:rsid w:val="008240BD"/>
    <w:rsid w:val="008240EE"/>
    <w:rsid w:val="00824D1C"/>
    <w:rsid w:val="00825DF8"/>
    <w:rsid w:val="008260E3"/>
    <w:rsid w:val="008261E5"/>
    <w:rsid w:val="00827013"/>
    <w:rsid w:val="00830D8A"/>
    <w:rsid w:val="00831012"/>
    <w:rsid w:val="00831535"/>
    <w:rsid w:val="00831645"/>
    <w:rsid w:val="00831D7A"/>
    <w:rsid w:val="0083202D"/>
    <w:rsid w:val="00833076"/>
    <w:rsid w:val="008335F8"/>
    <w:rsid w:val="008337F3"/>
    <w:rsid w:val="00833AC7"/>
    <w:rsid w:val="008342DB"/>
    <w:rsid w:val="0083438B"/>
    <w:rsid w:val="00835C55"/>
    <w:rsid w:val="00836135"/>
    <w:rsid w:val="00836802"/>
    <w:rsid w:val="00836B5C"/>
    <w:rsid w:val="0083711E"/>
    <w:rsid w:val="00837C24"/>
    <w:rsid w:val="00837FA2"/>
    <w:rsid w:val="00840BED"/>
    <w:rsid w:val="00841005"/>
    <w:rsid w:val="00842924"/>
    <w:rsid w:val="00842CDB"/>
    <w:rsid w:val="00842D83"/>
    <w:rsid w:val="008431BF"/>
    <w:rsid w:val="00844819"/>
    <w:rsid w:val="00845B7F"/>
    <w:rsid w:val="00846C80"/>
    <w:rsid w:val="00847B65"/>
    <w:rsid w:val="00847C1D"/>
    <w:rsid w:val="00850018"/>
    <w:rsid w:val="008500AB"/>
    <w:rsid w:val="0085060C"/>
    <w:rsid w:val="008516EC"/>
    <w:rsid w:val="00851A66"/>
    <w:rsid w:val="00851BA3"/>
    <w:rsid w:val="00851C65"/>
    <w:rsid w:val="008528F4"/>
    <w:rsid w:val="00852D6F"/>
    <w:rsid w:val="0085356C"/>
    <w:rsid w:val="00854146"/>
    <w:rsid w:val="00854242"/>
    <w:rsid w:val="00854B38"/>
    <w:rsid w:val="00854BF8"/>
    <w:rsid w:val="00854F55"/>
    <w:rsid w:val="0085527B"/>
    <w:rsid w:val="00856DC1"/>
    <w:rsid w:val="00860462"/>
    <w:rsid w:val="00860839"/>
    <w:rsid w:val="00860C60"/>
    <w:rsid w:val="008611D6"/>
    <w:rsid w:val="0086164F"/>
    <w:rsid w:val="008622B6"/>
    <w:rsid w:val="00862438"/>
    <w:rsid w:val="00862BF0"/>
    <w:rsid w:val="00864085"/>
    <w:rsid w:val="00865568"/>
    <w:rsid w:val="00865B1D"/>
    <w:rsid w:val="00870EB2"/>
    <w:rsid w:val="008718F9"/>
    <w:rsid w:val="0087204F"/>
    <w:rsid w:val="00872212"/>
    <w:rsid w:val="0087273E"/>
    <w:rsid w:val="00872A37"/>
    <w:rsid w:val="00872AC6"/>
    <w:rsid w:val="00872B51"/>
    <w:rsid w:val="00872F5D"/>
    <w:rsid w:val="00874B0F"/>
    <w:rsid w:val="0087520A"/>
    <w:rsid w:val="00875DAC"/>
    <w:rsid w:val="00875F08"/>
    <w:rsid w:val="008764C3"/>
    <w:rsid w:val="0087726C"/>
    <w:rsid w:val="0088052F"/>
    <w:rsid w:val="00880BE9"/>
    <w:rsid w:val="00881530"/>
    <w:rsid w:val="00881BF1"/>
    <w:rsid w:val="00881EAB"/>
    <w:rsid w:val="008834E4"/>
    <w:rsid w:val="00883BAC"/>
    <w:rsid w:val="00883D72"/>
    <w:rsid w:val="008841D3"/>
    <w:rsid w:val="00884641"/>
    <w:rsid w:val="00885422"/>
    <w:rsid w:val="00885B0F"/>
    <w:rsid w:val="0088675C"/>
    <w:rsid w:val="008877DE"/>
    <w:rsid w:val="00887891"/>
    <w:rsid w:val="00887931"/>
    <w:rsid w:val="00887A89"/>
    <w:rsid w:val="00887ACA"/>
    <w:rsid w:val="008916E6"/>
    <w:rsid w:val="00891B58"/>
    <w:rsid w:val="00891FAB"/>
    <w:rsid w:val="00892001"/>
    <w:rsid w:val="00892455"/>
    <w:rsid w:val="0089257C"/>
    <w:rsid w:val="008927B2"/>
    <w:rsid w:val="00894663"/>
    <w:rsid w:val="00894C27"/>
    <w:rsid w:val="008953D6"/>
    <w:rsid w:val="00895760"/>
    <w:rsid w:val="00896FF4"/>
    <w:rsid w:val="008970C4"/>
    <w:rsid w:val="00897975"/>
    <w:rsid w:val="008A1291"/>
    <w:rsid w:val="008A141C"/>
    <w:rsid w:val="008A19DA"/>
    <w:rsid w:val="008A4ABE"/>
    <w:rsid w:val="008A50CF"/>
    <w:rsid w:val="008A52C5"/>
    <w:rsid w:val="008A5977"/>
    <w:rsid w:val="008A5A1C"/>
    <w:rsid w:val="008A67D6"/>
    <w:rsid w:val="008A68C8"/>
    <w:rsid w:val="008A6CAB"/>
    <w:rsid w:val="008A6D63"/>
    <w:rsid w:val="008B01A6"/>
    <w:rsid w:val="008B02A2"/>
    <w:rsid w:val="008B03EE"/>
    <w:rsid w:val="008B0A7D"/>
    <w:rsid w:val="008B0B17"/>
    <w:rsid w:val="008B0E50"/>
    <w:rsid w:val="008B1861"/>
    <w:rsid w:val="008B35E2"/>
    <w:rsid w:val="008B5286"/>
    <w:rsid w:val="008B5F2E"/>
    <w:rsid w:val="008B68AD"/>
    <w:rsid w:val="008B6996"/>
    <w:rsid w:val="008B7E87"/>
    <w:rsid w:val="008C0198"/>
    <w:rsid w:val="008C06CD"/>
    <w:rsid w:val="008C0C27"/>
    <w:rsid w:val="008C0FE1"/>
    <w:rsid w:val="008C15F6"/>
    <w:rsid w:val="008C16CE"/>
    <w:rsid w:val="008C16FF"/>
    <w:rsid w:val="008C2257"/>
    <w:rsid w:val="008C3638"/>
    <w:rsid w:val="008C386C"/>
    <w:rsid w:val="008C451D"/>
    <w:rsid w:val="008C4D3F"/>
    <w:rsid w:val="008C4E4C"/>
    <w:rsid w:val="008C5DB8"/>
    <w:rsid w:val="008C5DC1"/>
    <w:rsid w:val="008C5F76"/>
    <w:rsid w:val="008C62B6"/>
    <w:rsid w:val="008C6ACA"/>
    <w:rsid w:val="008C7021"/>
    <w:rsid w:val="008D04AF"/>
    <w:rsid w:val="008D1805"/>
    <w:rsid w:val="008D1E5F"/>
    <w:rsid w:val="008D2666"/>
    <w:rsid w:val="008D2CAD"/>
    <w:rsid w:val="008D2F9B"/>
    <w:rsid w:val="008D384E"/>
    <w:rsid w:val="008D4CDD"/>
    <w:rsid w:val="008D4EF9"/>
    <w:rsid w:val="008D62DA"/>
    <w:rsid w:val="008D6F21"/>
    <w:rsid w:val="008E0284"/>
    <w:rsid w:val="008E0B34"/>
    <w:rsid w:val="008E0E97"/>
    <w:rsid w:val="008E1644"/>
    <w:rsid w:val="008E16F9"/>
    <w:rsid w:val="008E21A9"/>
    <w:rsid w:val="008E30B6"/>
    <w:rsid w:val="008E3476"/>
    <w:rsid w:val="008E36AB"/>
    <w:rsid w:val="008E4398"/>
    <w:rsid w:val="008E4FA2"/>
    <w:rsid w:val="008E5E15"/>
    <w:rsid w:val="008E6179"/>
    <w:rsid w:val="008E6929"/>
    <w:rsid w:val="008E6CBA"/>
    <w:rsid w:val="008F098B"/>
    <w:rsid w:val="008F1064"/>
    <w:rsid w:val="008F1089"/>
    <w:rsid w:val="008F28D8"/>
    <w:rsid w:val="008F2FBB"/>
    <w:rsid w:val="008F3069"/>
    <w:rsid w:val="008F3621"/>
    <w:rsid w:val="008F364F"/>
    <w:rsid w:val="008F3978"/>
    <w:rsid w:val="008F492C"/>
    <w:rsid w:val="008F4EF5"/>
    <w:rsid w:val="008F5C3E"/>
    <w:rsid w:val="00900576"/>
    <w:rsid w:val="0090236F"/>
    <w:rsid w:val="0090444C"/>
    <w:rsid w:val="0090461B"/>
    <w:rsid w:val="00905AE7"/>
    <w:rsid w:val="00905CAC"/>
    <w:rsid w:val="00905DC8"/>
    <w:rsid w:val="009070E3"/>
    <w:rsid w:val="009108A2"/>
    <w:rsid w:val="00910E41"/>
    <w:rsid w:val="00910FD3"/>
    <w:rsid w:val="009110F2"/>
    <w:rsid w:val="009111CA"/>
    <w:rsid w:val="009119C8"/>
    <w:rsid w:val="00911AC2"/>
    <w:rsid w:val="00911B0F"/>
    <w:rsid w:val="0091213B"/>
    <w:rsid w:val="00912332"/>
    <w:rsid w:val="0091298A"/>
    <w:rsid w:val="00912AC6"/>
    <w:rsid w:val="0091312C"/>
    <w:rsid w:val="009139DD"/>
    <w:rsid w:val="00913A08"/>
    <w:rsid w:val="009142F5"/>
    <w:rsid w:val="00914BB5"/>
    <w:rsid w:val="009151A4"/>
    <w:rsid w:val="00916CC0"/>
    <w:rsid w:val="009174D0"/>
    <w:rsid w:val="00920B10"/>
    <w:rsid w:val="009211F6"/>
    <w:rsid w:val="00921565"/>
    <w:rsid w:val="00921D78"/>
    <w:rsid w:val="009220F7"/>
    <w:rsid w:val="00922B50"/>
    <w:rsid w:val="00922F66"/>
    <w:rsid w:val="00923445"/>
    <w:rsid w:val="00923EB5"/>
    <w:rsid w:val="00925D72"/>
    <w:rsid w:val="00926156"/>
    <w:rsid w:val="009264DC"/>
    <w:rsid w:val="009268ED"/>
    <w:rsid w:val="00926BB3"/>
    <w:rsid w:val="00926DCA"/>
    <w:rsid w:val="009270D3"/>
    <w:rsid w:val="009276FF"/>
    <w:rsid w:val="00930C79"/>
    <w:rsid w:val="00930CC2"/>
    <w:rsid w:val="00930D54"/>
    <w:rsid w:val="00931176"/>
    <w:rsid w:val="009312A3"/>
    <w:rsid w:val="00931A0F"/>
    <w:rsid w:val="00931D93"/>
    <w:rsid w:val="00931FA5"/>
    <w:rsid w:val="00932061"/>
    <w:rsid w:val="00932803"/>
    <w:rsid w:val="00933092"/>
    <w:rsid w:val="00933147"/>
    <w:rsid w:val="00933AE0"/>
    <w:rsid w:val="009343FC"/>
    <w:rsid w:val="0093453D"/>
    <w:rsid w:val="00934584"/>
    <w:rsid w:val="00934759"/>
    <w:rsid w:val="0093550F"/>
    <w:rsid w:val="0093556B"/>
    <w:rsid w:val="00935654"/>
    <w:rsid w:val="00935AC5"/>
    <w:rsid w:val="00937B13"/>
    <w:rsid w:val="00940C63"/>
    <w:rsid w:val="00940CD3"/>
    <w:rsid w:val="009419CF"/>
    <w:rsid w:val="00942846"/>
    <w:rsid w:val="009429AD"/>
    <w:rsid w:val="00942C51"/>
    <w:rsid w:val="009431EA"/>
    <w:rsid w:val="009436CA"/>
    <w:rsid w:val="00943A77"/>
    <w:rsid w:val="00944F04"/>
    <w:rsid w:val="00945719"/>
    <w:rsid w:val="009460C4"/>
    <w:rsid w:val="0094707A"/>
    <w:rsid w:val="0095021A"/>
    <w:rsid w:val="009502CF"/>
    <w:rsid w:val="009508CF"/>
    <w:rsid w:val="00950B8A"/>
    <w:rsid w:val="00951313"/>
    <w:rsid w:val="00952E1C"/>
    <w:rsid w:val="0095423A"/>
    <w:rsid w:val="0095493F"/>
    <w:rsid w:val="0095548C"/>
    <w:rsid w:val="009554D6"/>
    <w:rsid w:val="00956390"/>
    <w:rsid w:val="00956396"/>
    <w:rsid w:val="00956768"/>
    <w:rsid w:val="00956ABB"/>
    <w:rsid w:val="00956FBA"/>
    <w:rsid w:val="00957CEB"/>
    <w:rsid w:val="0096081F"/>
    <w:rsid w:val="00960FDA"/>
    <w:rsid w:val="00961399"/>
    <w:rsid w:val="00961E2B"/>
    <w:rsid w:val="00962029"/>
    <w:rsid w:val="009623FD"/>
    <w:rsid w:val="00962583"/>
    <w:rsid w:val="00962EBB"/>
    <w:rsid w:val="00964A5E"/>
    <w:rsid w:val="00964F91"/>
    <w:rsid w:val="00965008"/>
    <w:rsid w:val="00965235"/>
    <w:rsid w:val="00965293"/>
    <w:rsid w:val="00965725"/>
    <w:rsid w:val="0096596A"/>
    <w:rsid w:val="009660B3"/>
    <w:rsid w:val="00966C4A"/>
    <w:rsid w:val="0096709A"/>
    <w:rsid w:val="0096739F"/>
    <w:rsid w:val="00967C6F"/>
    <w:rsid w:val="00970DAC"/>
    <w:rsid w:val="00970F5A"/>
    <w:rsid w:val="00971810"/>
    <w:rsid w:val="0097195A"/>
    <w:rsid w:val="00971F87"/>
    <w:rsid w:val="0097247A"/>
    <w:rsid w:val="00972788"/>
    <w:rsid w:val="00972A1E"/>
    <w:rsid w:val="0097311D"/>
    <w:rsid w:val="00974249"/>
    <w:rsid w:val="009748F4"/>
    <w:rsid w:val="00975094"/>
    <w:rsid w:val="009760C6"/>
    <w:rsid w:val="00976F6E"/>
    <w:rsid w:val="00980415"/>
    <w:rsid w:val="00980482"/>
    <w:rsid w:val="00980FDD"/>
    <w:rsid w:val="009811A7"/>
    <w:rsid w:val="009811DF"/>
    <w:rsid w:val="009817EC"/>
    <w:rsid w:val="009817F8"/>
    <w:rsid w:val="00983F4F"/>
    <w:rsid w:val="00985962"/>
    <w:rsid w:val="00985CA5"/>
    <w:rsid w:val="00986EE5"/>
    <w:rsid w:val="00991291"/>
    <w:rsid w:val="00991BF5"/>
    <w:rsid w:val="00992260"/>
    <w:rsid w:val="009922FD"/>
    <w:rsid w:val="009924EE"/>
    <w:rsid w:val="0099321C"/>
    <w:rsid w:val="009936F8"/>
    <w:rsid w:val="00994476"/>
    <w:rsid w:val="009946B3"/>
    <w:rsid w:val="00994DB6"/>
    <w:rsid w:val="00994E6E"/>
    <w:rsid w:val="009951A1"/>
    <w:rsid w:val="00995396"/>
    <w:rsid w:val="00995B6F"/>
    <w:rsid w:val="00997910"/>
    <w:rsid w:val="009A07BB"/>
    <w:rsid w:val="009A100B"/>
    <w:rsid w:val="009A11D7"/>
    <w:rsid w:val="009A17A1"/>
    <w:rsid w:val="009A1855"/>
    <w:rsid w:val="009A1992"/>
    <w:rsid w:val="009A2195"/>
    <w:rsid w:val="009A239D"/>
    <w:rsid w:val="009A25C0"/>
    <w:rsid w:val="009A299D"/>
    <w:rsid w:val="009A3BF5"/>
    <w:rsid w:val="009A3DDE"/>
    <w:rsid w:val="009A40A3"/>
    <w:rsid w:val="009A587B"/>
    <w:rsid w:val="009A5B13"/>
    <w:rsid w:val="009A6FF5"/>
    <w:rsid w:val="009A7D9F"/>
    <w:rsid w:val="009B0618"/>
    <w:rsid w:val="009B0726"/>
    <w:rsid w:val="009B0FA7"/>
    <w:rsid w:val="009B1556"/>
    <w:rsid w:val="009B1E4F"/>
    <w:rsid w:val="009B2B52"/>
    <w:rsid w:val="009B2D03"/>
    <w:rsid w:val="009B307C"/>
    <w:rsid w:val="009B41F1"/>
    <w:rsid w:val="009B5002"/>
    <w:rsid w:val="009B545E"/>
    <w:rsid w:val="009B5656"/>
    <w:rsid w:val="009B5886"/>
    <w:rsid w:val="009B5A30"/>
    <w:rsid w:val="009B5B9C"/>
    <w:rsid w:val="009B6388"/>
    <w:rsid w:val="009B7072"/>
    <w:rsid w:val="009B7C4A"/>
    <w:rsid w:val="009C0382"/>
    <w:rsid w:val="009C0854"/>
    <w:rsid w:val="009C10E0"/>
    <w:rsid w:val="009C1BC5"/>
    <w:rsid w:val="009C1E99"/>
    <w:rsid w:val="009C49FD"/>
    <w:rsid w:val="009C4C57"/>
    <w:rsid w:val="009C4F50"/>
    <w:rsid w:val="009C5990"/>
    <w:rsid w:val="009C66B1"/>
    <w:rsid w:val="009C6BBB"/>
    <w:rsid w:val="009C7B1B"/>
    <w:rsid w:val="009C7B74"/>
    <w:rsid w:val="009C7BE1"/>
    <w:rsid w:val="009D0029"/>
    <w:rsid w:val="009D03A5"/>
    <w:rsid w:val="009D087E"/>
    <w:rsid w:val="009D0A79"/>
    <w:rsid w:val="009D27AC"/>
    <w:rsid w:val="009D284A"/>
    <w:rsid w:val="009D4A89"/>
    <w:rsid w:val="009D4A98"/>
    <w:rsid w:val="009D4C90"/>
    <w:rsid w:val="009D5042"/>
    <w:rsid w:val="009D52FC"/>
    <w:rsid w:val="009D5578"/>
    <w:rsid w:val="009D66B2"/>
    <w:rsid w:val="009D6BA9"/>
    <w:rsid w:val="009D7EF9"/>
    <w:rsid w:val="009E0032"/>
    <w:rsid w:val="009E01A5"/>
    <w:rsid w:val="009E0A15"/>
    <w:rsid w:val="009E0A70"/>
    <w:rsid w:val="009E1602"/>
    <w:rsid w:val="009E3221"/>
    <w:rsid w:val="009E335F"/>
    <w:rsid w:val="009E37CC"/>
    <w:rsid w:val="009E402C"/>
    <w:rsid w:val="009E4116"/>
    <w:rsid w:val="009E490C"/>
    <w:rsid w:val="009E53EC"/>
    <w:rsid w:val="009E62D7"/>
    <w:rsid w:val="009E74F8"/>
    <w:rsid w:val="009E7EC3"/>
    <w:rsid w:val="009F28A8"/>
    <w:rsid w:val="009F2A66"/>
    <w:rsid w:val="009F34A2"/>
    <w:rsid w:val="009F36FD"/>
    <w:rsid w:val="009F508C"/>
    <w:rsid w:val="009F5A07"/>
    <w:rsid w:val="009F5B12"/>
    <w:rsid w:val="009F5D3A"/>
    <w:rsid w:val="009F620E"/>
    <w:rsid w:val="009F64FC"/>
    <w:rsid w:val="009F6C8D"/>
    <w:rsid w:val="009F79A6"/>
    <w:rsid w:val="009F7E25"/>
    <w:rsid w:val="009F7E8D"/>
    <w:rsid w:val="00A01B4B"/>
    <w:rsid w:val="00A01C67"/>
    <w:rsid w:val="00A03620"/>
    <w:rsid w:val="00A05D79"/>
    <w:rsid w:val="00A05E2A"/>
    <w:rsid w:val="00A06766"/>
    <w:rsid w:val="00A06BBD"/>
    <w:rsid w:val="00A0769D"/>
    <w:rsid w:val="00A07F81"/>
    <w:rsid w:val="00A100F9"/>
    <w:rsid w:val="00A109D4"/>
    <w:rsid w:val="00A1114D"/>
    <w:rsid w:val="00A113D7"/>
    <w:rsid w:val="00A128D7"/>
    <w:rsid w:val="00A12A0A"/>
    <w:rsid w:val="00A1330A"/>
    <w:rsid w:val="00A136B0"/>
    <w:rsid w:val="00A138AF"/>
    <w:rsid w:val="00A138FA"/>
    <w:rsid w:val="00A1454D"/>
    <w:rsid w:val="00A147EB"/>
    <w:rsid w:val="00A15C61"/>
    <w:rsid w:val="00A15EBB"/>
    <w:rsid w:val="00A1641E"/>
    <w:rsid w:val="00A16920"/>
    <w:rsid w:val="00A1700D"/>
    <w:rsid w:val="00A176E4"/>
    <w:rsid w:val="00A176F3"/>
    <w:rsid w:val="00A20899"/>
    <w:rsid w:val="00A211C2"/>
    <w:rsid w:val="00A2124A"/>
    <w:rsid w:val="00A21268"/>
    <w:rsid w:val="00A21E96"/>
    <w:rsid w:val="00A2251D"/>
    <w:rsid w:val="00A248FC"/>
    <w:rsid w:val="00A24B10"/>
    <w:rsid w:val="00A25B06"/>
    <w:rsid w:val="00A26CD5"/>
    <w:rsid w:val="00A27179"/>
    <w:rsid w:val="00A27CAB"/>
    <w:rsid w:val="00A3099D"/>
    <w:rsid w:val="00A30C7F"/>
    <w:rsid w:val="00A30E7E"/>
    <w:rsid w:val="00A31235"/>
    <w:rsid w:val="00A32217"/>
    <w:rsid w:val="00A32C45"/>
    <w:rsid w:val="00A32F49"/>
    <w:rsid w:val="00A33321"/>
    <w:rsid w:val="00A33902"/>
    <w:rsid w:val="00A33A58"/>
    <w:rsid w:val="00A3493E"/>
    <w:rsid w:val="00A349B5"/>
    <w:rsid w:val="00A34D64"/>
    <w:rsid w:val="00A34D92"/>
    <w:rsid w:val="00A34E79"/>
    <w:rsid w:val="00A36173"/>
    <w:rsid w:val="00A36B7C"/>
    <w:rsid w:val="00A3755D"/>
    <w:rsid w:val="00A3760D"/>
    <w:rsid w:val="00A40CE2"/>
    <w:rsid w:val="00A41978"/>
    <w:rsid w:val="00A42FA8"/>
    <w:rsid w:val="00A43067"/>
    <w:rsid w:val="00A43F24"/>
    <w:rsid w:val="00A444A2"/>
    <w:rsid w:val="00A44C23"/>
    <w:rsid w:val="00A45DA5"/>
    <w:rsid w:val="00A46834"/>
    <w:rsid w:val="00A46A40"/>
    <w:rsid w:val="00A46F9C"/>
    <w:rsid w:val="00A474CC"/>
    <w:rsid w:val="00A478F5"/>
    <w:rsid w:val="00A523CF"/>
    <w:rsid w:val="00A52E0C"/>
    <w:rsid w:val="00A52F94"/>
    <w:rsid w:val="00A53212"/>
    <w:rsid w:val="00A53A91"/>
    <w:rsid w:val="00A53D32"/>
    <w:rsid w:val="00A5426B"/>
    <w:rsid w:val="00A54A3D"/>
    <w:rsid w:val="00A54F11"/>
    <w:rsid w:val="00A5594E"/>
    <w:rsid w:val="00A56779"/>
    <w:rsid w:val="00A567B0"/>
    <w:rsid w:val="00A56870"/>
    <w:rsid w:val="00A56D52"/>
    <w:rsid w:val="00A57CD7"/>
    <w:rsid w:val="00A602AD"/>
    <w:rsid w:val="00A60C43"/>
    <w:rsid w:val="00A6124F"/>
    <w:rsid w:val="00A61979"/>
    <w:rsid w:val="00A62176"/>
    <w:rsid w:val="00A62A57"/>
    <w:rsid w:val="00A62B79"/>
    <w:rsid w:val="00A63244"/>
    <w:rsid w:val="00A64087"/>
    <w:rsid w:val="00A6413E"/>
    <w:rsid w:val="00A643F2"/>
    <w:rsid w:val="00A66280"/>
    <w:rsid w:val="00A664B0"/>
    <w:rsid w:val="00A6791D"/>
    <w:rsid w:val="00A715E5"/>
    <w:rsid w:val="00A71DA0"/>
    <w:rsid w:val="00A723D1"/>
    <w:rsid w:val="00A75E39"/>
    <w:rsid w:val="00A778A7"/>
    <w:rsid w:val="00A77AA7"/>
    <w:rsid w:val="00A77C8F"/>
    <w:rsid w:val="00A802E4"/>
    <w:rsid w:val="00A8062F"/>
    <w:rsid w:val="00A816AA"/>
    <w:rsid w:val="00A81AD8"/>
    <w:rsid w:val="00A845A6"/>
    <w:rsid w:val="00A85388"/>
    <w:rsid w:val="00A8567B"/>
    <w:rsid w:val="00A85B46"/>
    <w:rsid w:val="00A85E7F"/>
    <w:rsid w:val="00A8688F"/>
    <w:rsid w:val="00A86AC2"/>
    <w:rsid w:val="00A86DD9"/>
    <w:rsid w:val="00A87EDB"/>
    <w:rsid w:val="00A9096A"/>
    <w:rsid w:val="00A90E10"/>
    <w:rsid w:val="00A9105E"/>
    <w:rsid w:val="00A91709"/>
    <w:rsid w:val="00A92381"/>
    <w:rsid w:val="00A92B6E"/>
    <w:rsid w:val="00A93FE0"/>
    <w:rsid w:val="00A944D3"/>
    <w:rsid w:val="00A9527F"/>
    <w:rsid w:val="00A95600"/>
    <w:rsid w:val="00A95A4D"/>
    <w:rsid w:val="00A961C5"/>
    <w:rsid w:val="00A96418"/>
    <w:rsid w:val="00A96686"/>
    <w:rsid w:val="00A968DF"/>
    <w:rsid w:val="00A969CD"/>
    <w:rsid w:val="00A96A6A"/>
    <w:rsid w:val="00A971A9"/>
    <w:rsid w:val="00A971B6"/>
    <w:rsid w:val="00A9762A"/>
    <w:rsid w:val="00A97691"/>
    <w:rsid w:val="00AA0099"/>
    <w:rsid w:val="00AA0984"/>
    <w:rsid w:val="00AA21F0"/>
    <w:rsid w:val="00AA41DA"/>
    <w:rsid w:val="00AA441D"/>
    <w:rsid w:val="00AA57BE"/>
    <w:rsid w:val="00AA5E3C"/>
    <w:rsid w:val="00AA73FF"/>
    <w:rsid w:val="00AA7417"/>
    <w:rsid w:val="00AA761C"/>
    <w:rsid w:val="00AA77EA"/>
    <w:rsid w:val="00AA793F"/>
    <w:rsid w:val="00AB0779"/>
    <w:rsid w:val="00AB0F53"/>
    <w:rsid w:val="00AB1144"/>
    <w:rsid w:val="00AB2510"/>
    <w:rsid w:val="00AB26A7"/>
    <w:rsid w:val="00AB2BE7"/>
    <w:rsid w:val="00AB33E8"/>
    <w:rsid w:val="00AB392C"/>
    <w:rsid w:val="00AB39D0"/>
    <w:rsid w:val="00AB3F8C"/>
    <w:rsid w:val="00AB4905"/>
    <w:rsid w:val="00AB54F3"/>
    <w:rsid w:val="00AB57CF"/>
    <w:rsid w:val="00AB5E5F"/>
    <w:rsid w:val="00AB7485"/>
    <w:rsid w:val="00AB785B"/>
    <w:rsid w:val="00AB7F81"/>
    <w:rsid w:val="00AC07DF"/>
    <w:rsid w:val="00AC29A6"/>
    <w:rsid w:val="00AC2F44"/>
    <w:rsid w:val="00AC30E2"/>
    <w:rsid w:val="00AC3264"/>
    <w:rsid w:val="00AC34A8"/>
    <w:rsid w:val="00AC5504"/>
    <w:rsid w:val="00AC5DD5"/>
    <w:rsid w:val="00AC60E0"/>
    <w:rsid w:val="00AC6604"/>
    <w:rsid w:val="00AC6C02"/>
    <w:rsid w:val="00AC6FD7"/>
    <w:rsid w:val="00AC7298"/>
    <w:rsid w:val="00AC76EF"/>
    <w:rsid w:val="00AC79BB"/>
    <w:rsid w:val="00AD0166"/>
    <w:rsid w:val="00AD127F"/>
    <w:rsid w:val="00AD3370"/>
    <w:rsid w:val="00AD4E0F"/>
    <w:rsid w:val="00AD76F9"/>
    <w:rsid w:val="00AE16EB"/>
    <w:rsid w:val="00AE26B0"/>
    <w:rsid w:val="00AE2F96"/>
    <w:rsid w:val="00AE39F2"/>
    <w:rsid w:val="00AE439A"/>
    <w:rsid w:val="00AE5B67"/>
    <w:rsid w:val="00AE6FCA"/>
    <w:rsid w:val="00AE7B99"/>
    <w:rsid w:val="00AF074E"/>
    <w:rsid w:val="00AF08EA"/>
    <w:rsid w:val="00AF0C85"/>
    <w:rsid w:val="00AF137C"/>
    <w:rsid w:val="00AF15E5"/>
    <w:rsid w:val="00AF1A6F"/>
    <w:rsid w:val="00AF1E2C"/>
    <w:rsid w:val="00AF2317"/>
    <w:rsid w:val="00AF33B5"/>
    <w:rsid w:val="00AF37F1"/>
    <w:rsid w:val="00AF3956"/>
    <w:rsid w:val="00AF442E"/>
    <w:rsid w:val="00AF4D77"/>
    <w:rsid w:val="00AF5184"/>
    <w:rsid w:val="00AF52C0"/>
    <w:rsid w:val="00AF56F2"/>
    <w:rsid w:val="00AF5944"/>
    <w:rsid w:val="00AF5F5F"/>
    <w:rsid w:val="00AF6119"/>
    <w:rsid w:val="00AF61EE"/>
    <w:rsid w:val="00AF674D"/>
    <w:rsid w:val="00B004A9"/>
    <w:rsid w:val="00B00569"/>
    <w:rsid w:val="00B00A9F"/>
    <w:rsid w:val="00B01A33"/>
    <w:rsid w:val="00B02242"/>
    <w:rsid w:val="00B0248C"/>
    <w:rsid w:val="00B028F7"/>
    <w:rsid w:val="00B045C4"/>
    <w:rsid w:val="00B04BC0"/>
    <w:rsid w:val="00B04C80"/>
    <w:rsid w:val="00B04D3F"/>
    <w:rsid w:val="00B04E62"/>
    <w:rsid w:val="00B05109"/>
    <w:rsid w:val="00B06085"/>
    <w:rsid w:val="00B075EF"/>
    <w:rsid w:val="00B07DF3"/>
    <w:rsid w:val="00B1002E"/>
    <w:rsid w:val="00B10874"/>
    <w:rsid w:val="00B109FE"/>
    <w:rsid w:val="00B1121C"/>
    <w:rsid w:val="00B11426"/>
    <w:rsid w:val="00B12C8F"/>
    <w:rsid w:val="00B12D8D"/>
    <w:rsid w:val="00B12FCC"/>
    <w:rsid w:val="00B14EB0"/>
    <w:rsid w:val="00B15F39"/>
    <w:rsid w:val="00B165FE"/>
    <w:rsid w:val="00B16CBA"/>
    <w:rsid w:val="00B16F5E"/>
    <w:rsid w:val="00B171D4"/>
    <w:rsid w:val="00B17BEE"/>
    <w:rsid w:val="00B17C9E"/>
    <w:rsid w:val="00B17EF4"/>
    <w:rsid w:val="00B17F23"/>
    <w:rsid w:val="00B2010A"/>
    <w:rsid w:val="00B20331"/>
    <w:rsid w:val="00B21296"/>
    <w:rsid w:val="00B21DF2"/>
    <w:rsid w:val="00B21FE4"/>
    <w:rsid w:val="00B224C0"/>
    <w:rsid w:val="00B226E3"/>
    <w:rsid w:val="00B23C18"/>
    <w:rsid w:val="00B24222"/>
    <w:rsid w:val="00B24823"/>
    <w:rsid w:val="00B252C3"/>
    <w:rsid w:val="00B25F24"/>
    <w:rsid w:val="00B265CD"/>
    <w:rsid w:val="00B26A29"/>
    <w:rsid w:val="00B27C62"/>
    <w:rsid w:val="00B30D6C"/>
    <w:rsid w:val="00B3157E"/>
    <w:rsid w:val="00B32C3F"/>
    <w:rsid w:val="00B335D8"/>
    <w:rsid w:val="00B34958"/>
    <w:rsid w:val="00B34B61"/>
    <w:rsid w:val="00B34CB5"/>
    <w:rsid w:val="00B34EAD"/>
    <w:rsid w:val="00B3564C"/>
    <w:rsid w:val="00B35BED"/>
    <w:rsid w:val="00B35CEB"/>
    <w:rsid w:val="00B35E07"/>
    <w:rsid w:val="00B36447"/>
    <w:rsid w:val="00B36CDB"/>
    <w:rsid w:val="00B37369"/>
    <w:rsid w:val="00B407D4"/>
    <w:rsid w:val="00B40FF5"/>
    <w:rsid w:val="00B4115C"/>
    <w:rsid w:val="00B41D0C"/>
    <w:rsid w:val="00B41F2A"/>
    <w:rsid w:val="00B426F4"/>
    <w:rsid w:val="00B427D2"/>
    <w:rsid w:val="00B42D23"/>
    <w:rsid w:val="00B43021"/>
    <w:rsid w:val="00B439AF"/>
    <w:rsid w:val="00B45232"/>
    <w:rsid w:val="00B46641"/>
    <w:rsid w:val="00B50396"/>
    <w:rsid w:val="00B51651"/>
    <w:rsid w:val="00B51AAB"/>
    <w:rsid w:val="00B51C07"/>
    <w:rsid w:val="00B52413"/>
    <w:rsid w:val="00B5288E"/>
    <w:rsid w:val="00B528A2"/>
    <w:rsid w:val="00B52A97"/>
    <w:rsid w:val="00B52C93"/>
    <w:rsid w:val="00B536E8"/>
    <w:rsid w:val="00B5382B"/>
    <w:rsid w:val="00B53DA5"/>
    <w:rsid w:val="00B54688"/>
    <w:rsid w:val="00B54CF7"/>
    <w:rsid w:val="00B5534C"/>
    <w:rsid w:val="00B564B9"/>
    <w:rsid w:val="00B574B1"/>
    <w:rsid w:val="00B57CC2"/>
    <w:rsid w:val="00B57D32"/>
    <w:rsid w:val="00B6005F"/>
    <w:rsid w:val="00B60FA6"/>
    <w:rsid w:val="00B61CD5"/>
    <w:rsid w:val="00B629DA"/>
    <w:rsid w:val="00B63CEE"/>
    <w:rsid w:val="00B6461E"/>
    <w:rsid w:val="00B646A0"/>
    <w:rsid w:val="00B64794"/>
    <w:rsid w:val="00B65F64"/>
    <w:rsid w:val="00B66117"/>
    <w:rsid w:val="00B67BB7"/>
    <w:rsid w:val="00B70B9A"/>
    <w:rsid w:val="00B70F46"/>
    <w:rsid w:val="00B7171C"/>
    <w:rsid w:val="00B718BC"/>
    <w:rsid w:val="00B71B92"/>
    <w:rsid w:val="00B71FE5"/>
    <w:rsid w:val="00B72520"/>
    <w:rsid w:val="00B72E85"/>
    <w:rsid w:val="00B72F04"/>
    <w:rsid w:val="00B734C8"/>
    <w:rsid w:val="00B7408C"/>
    <w:rsid w:val="00B745E5"/>
    <w:rsid w:val="00B74AB1"/>
    <w:rsid w:val="00B74B90"/>
    <w:rsid w:val="00B76813"/>
    <w:rsid w:val="00B7748A"/>
    <w:rsid w:val="00B77530"/>
    <w:rsid w:val="00B775F3"/>
    <w:rsid w:val="00B77A5F"/>
    <w:rsid w:val="00B77EA1"/>
    <w:rsid w:val="00B80FFE"/>
    <w:rsid w:val="00B825E5"/>
    <w:rsid w:val="00B82F24"/>
    <w:rsid w:val="00B82F38"/>
    <w:rsid w:val="00B838E2"/>
    <w:rsid w:val="00B83FEC"/>
    <w:rsid w:val="00B84A40"/>
    <w:rsid w:val="00B84E78"/>
    <w:rsid w:val="00B85D49"/>
    <w:rsid w:val="00B86ED7"/>
    <w:rsid w:val="00B8750E"/>
    <w:rsid w:val="00B877EA"/>
    <w:rsid w:val="00B87B7A"/>
    <w:rsid w:val="00B902B8"/>
    <w:rsid w:val="00B910E9"/>
    <w:rsid w:val="00B91269"/>
    <w:rsid w:val="00B91953"/>
    <w:rsid w:val="00B92740"/>
    <w:rsid w:val="00B927F0"/>
    <w:rsid w:val="00B927F5"/>
    <w:rsid w:val="00B92AA9"/>
    <w:rsid w:val="00B930FA"/>
    <w:rsid w:val="00B94402"/>
    <w:rsid w:val="00B94BD5"/>
    <w:rsid w:val="00B94C1E"/>
    <w:rsid w:val="00B95582"/>
    <w:rsid w:val="00B960FB"/>
    <w:rsid w:val="00B963C3"/>
    <w:rsid w:val="00B96546"/>
    <w:rsid w:val="00B968BE"/>
    <w:rsid w:val="00BA1868"/>
    <w:rsid w:val="00BA1A21"/>
    <w:rsid w:val="00BA397E"/>
    <w:rsid w:val="00BA3E1E"/>
    <w:rsid w:val="00BA459E"/>
    <w:rsid w:val="00BA4CC7"/>
    <w:rsid w:val="00BA58FD"/>
    <w:rsid w:val="00BA5F15"/>
    <w:rsid w:val="00BA68DE"/>
    <w:rsid w:val="00BA77FC"/>
    <w:rsid w:val="00BB0566"/>
    <w:rsid w:val="00BB121D"/>
    <w:rsid w:val="00BB1273"/>
    <w:rsid w:val="00BB16B6"/>
    <w:rsid w:val="00BB1C41"/>
    <w:rsid w:val="00BB2038"/>
    <w:rsid w:val="00BB28B5"/>
    <w:rsid w:val="00BB373E"/>
    <w:rsid w:val="00BB3A5E"/>
    <w:rsid w:val="00BB4F02"/>
    <w:rsid w:val="00BB575C"/>
    <w:rsid w:val="00BB5C31"/>
    <w:rsid w:val="00BB5E56"/>
    <w:rsid w:val="00BB638A"/>
    <w:rsid w:val="00BB6904"/>
    <w:rsid w:val="00BB6B09"/>
    <w:rsid w:val="00BC08D6"/>
    <w:rsid w:val="00BC0DBA"/>
    <w:rsid w:val="00BC1575"/>
    <w:rsid w:val="00BC17AB"/>
    <w:rsid w:val="00BC24E4"/>
    <w:rsid w:val="00BC28F4"/>
    <w:rsid w:val="00BC3085"/>
    <w:rsid w:val="00BC3650"/>
    <w:rsid w:val="00BC3D83"/>
    <w:rsid w:val="00BC3DE7"/>
    <w:rsid w:val="00BC4F26"/>
    <w:rsid w:val="00BC50EC"/>
    <w:rsid w:val="00BC54D9"/>
    <w:rsid w:val="00BC6CF1"/>
    <w:rsid w:val="00BD1728"/>
    <w:rsid w:val="00BD35D7"/>
    <w:rsid w:val="00BD39C7"/>
    <w:rsid w:val="00BD3BAA"/>
    <w:rsid w:val="00BD3E89"/>
    <w:rsid w:val="00BD4985"/>
    <w:rsid w:val="00BD6778"/>
    <w:rsid w:val="00BD6CDB"/>
    <w:rsid w:val="00BD6D84"/>
    <w:rsid w:val="00BD740B"/>
    <w:rsid w:val="00BD75AD"/>
    <w:rsid w:val="00BD780B"/>
    <w:rsid w:val="00BE02C8"/>
    <w:rsid w:val="00BE07C3"/>
    <w:rsid w:val="00BE092D"/>
    <w:rsid w:val="00BE0A8A"/>
    <w:rsid w:val="00BE0A9D"/>
    <w:rsid w:val="00BE0E16"/>
    <w:rsid w:val="00BE0F20"/>
    <w:rsid w:val="00BE0FF1"/>
    <w:rsid w:val="00BE11A3"/>
    <w:rsid w:val="00BE194D"/>
    <w:rsid w:val="00BE3C7F"/>
    <w:rsid w:val="00BE4A60"/>
    <w:rsid w:val="00BE4C31"/>
    <w:rsid w:val="00BE524F"/>
    <w:rsid w:val="00BE59D3"/>
    <w:rsid w:val="00BE662A"/>
    <w:rsid w:val="00BE7B9D"/>
    <w:rsid w:val="00BF0F4C"/>
    <w:rsid w:val="00BF0F50"/>
    <w:rsid w:val="00BF1564"/>
    <w:rsid w:val="00BF2193"/>
    <w:rsid w:val="00BF2943"/>
    <w:rsid w:val="00BF2D43"/>
    <w:rsid w:val="00BF2F88"/>
    <w:rsid w:val="00BF3E46"/>
    <w:rsid w:val="00BF3FC9"/>
    <w:rsid w:val="00BF4F3B"/>
    <w:rsid w:val="00BF566F"/>
    <w:rsid w:val="00BF5C10"/>
    <w:rsid w:val="00BF64F6"/>
    <w:rsid w:val="00BF66BC"/>
    <w:rsid w:val="00BF6EAC"/>
    <w:rsid w:val="00BF74EE"/>
    <w:rsid w:val="00BF77B3"/>
    <w:rsid w:val="00BF7C4A"/>
    <w:rsid w:val="00C001CF"/>
    <w:rsid w:val="00C006D7"/>
    <w:rsid w:val="00C009D1"/>
    <w:rsid w:val="00C00A7B"/>
    <w:rsid w:val="00C0113B"/>
    <w:rsid w:val="00C014BD"/>
    <w:rsid w:val="00C01CA3"/>
    <w:rsid w:val="00C02128"/>
    <w:rsid w:val="00C02A2B"/>
    <w:rsid w:val="00C0304C"/>
    <w:rsid w:val="00C03535"/>
    <w:rsid w:val="00C038C9"/>
    <w:rsid w:val="00C06F7F"/>
    <w:rsid w:val="00C0747F"/>
    <w:rsid w:val="00C077A8"/>
    <w:rsid w:val="00C111C4"/>
    <w:rsid w:val="00C11E1F"/>
    <w:rsid w:val="00C1266D"/>
    <w:rsid w:val="00C129DD"/>
    <w:rsid w:val="00C12AC6"/>
    <w:rsid w:val="00C12CA2"/>
    <w:rsid w:val="00C12F61"/>
    <w:rsid w:val="00C136E6"/>
    <w:rsid w:val="00C1380D"/>
    <w:rsid w:val="00C142A7"/>
    <w:rsid w:val="00C14B9B"/>
    <w:rsid w:val="00C15BF9"/>
    <w:rsid w:val="00C16059"/>
    <w:rsid w:val="00C163CD"/>
    <w:rsid w:val="00C16A4B"/>
    <w:rsid w:val="00C17A44"/>
    <w:rsid w:val="00C17B27"/>
    <w:rsid w:val="00C2004F"/>
    <w:rsid w:val="00C2064E"/>
    <w:rsid w:val="00C20668"/>
    <w:rsid w:val="00C207A3"/>
    <w:rsid w:val="00C212E6"/>
    <w:rsid w:val="00C219A7"/>
    <w:rsid w:val="00C236DA"/>
    <w:rsid w:val="00C23B54"/>
    <w:rsid w:val="00C2527B"/>
    <w:rsid w:val="00C2592B"/>
    <w:rsid w:val="00C25DE5"/>
    <w:rsid w:val="00C266E7"/>
    <w:rsid w:val="00C26A6F"/>
    <w:rsid w:val="00C275BB"/>
    <w:rsid w:val="00C277F5"/>
    <w:rsid w:val="00C279CF"/>
    <w:rsid w:val="00C27F1A"/>
    <w:rsid w:val="00C27F45"/>
    <w:rsid w:val="00C3169E"/>
    <w:rsid w:val="00C318BB"/>
    <w:rsid w:val="00C322F0"/>
    <w:rsid w:val="00C32388"/>
    <w:rsid w:val="00C33766"/>
    <w:rsid w:val="00C33DA6"/>
    <w:rsid w:val="00C34167"/>
    <w:rsid w:val="00C35443"/>
    <w:rsid w:val="00C3551C"/>
    <w:rsid w:val="00C36D45"/>
    <w:rsid w:val="00C371A0"/>
    <w:rsid w:val="00C37CD0"/>
    <w:rsid w:val="00C40BCC"/>
    <w:rsid w:val="00C40D4B"/>
    <w:rsid w:val="00C4271A"/>
    <w:rsid w:val="00C42E89"/>
    <w:rsid w:val="00C43931"/>
    <w:rsid w:val="00C43C61"/>
    <w:rsid w:val="00C44273"/>
    <w:rsid w:val="00C44504"/>
    <w:rsid w:val="00C445C4"/>
    <w:rsid w:val="00C473BB"/>
    <w:rsid w:val="00C47962"/>
    <w:rsid w:val="00C50E26"/>
    <w:rsid w:val="00C51536"/>
    <w:rsid w:val="00C528B7"/>
    <w:rsid w:val="00C52BF8"/>
    <w:rsid w:val="00C52E4F"/>
    <w:rsid w:val="00C532E1"/>
    <w:rsid w:val="00C543A9"/>
    <w:rsid w:val="00C54967"/>
    <w:rsid w:val="00C54EDA"/>
    <w:rsid w:val="00C562B6"/>
    <w:rsid w:val="00C56403"/>
    <w:rsid w:val="00C56506"/>
    <w:rsid w:val="00C57929"/>
    <w:rsid w:val="00C6001F"/>
    <w:rsid w:val="00C6103F"/>
    <w:rsid w:val="00C6144A"/>
    <w:rsid w:val="00C614C4"/>
    <w:rsid w:val="00C61C97"/>
    <w:rsid w:val="00C6213E"/>
    <w:rsid w:val="00C63AEA"/>
    <w:rsid w:val="00C63DDD"/>
    <w:rsid w:val="00C64B7E"/>
    <w:rsid w:val="00C6559A"/>
    <w:rsid w:val="00C65EFF"/>
    <w:rsid w:val="00C667DC"/>
    <w:rsid w:val="00C66A3F"/>
    <w:rsid w:val="00C670D5"/>
    <w:rsid w:val="00C67104"/>
    <w:rsid w:val="00C67763"/>
    <w:rsid w:val="00C7017C"/>
    <w:rsid w:val="00C7047F"/>
    <w:rsid w:val="00C705BE"/>
    <w:rsid w:val="00C70E05"/>
    <w:rsid w:val="00C70F6D"/>
    <w:rsid w:val="00C70FF7"/>
    <w:rsid w:val="00C710AC"/>
    <w:rsid w:val="00C71E33"/>
    <w:rsid w:val="00C72871"/>
    <w:rsid w:val="00C728B4"/>
    <w:rsid w:val="00C72BE2"/>
    <w:rsid w:val="00C72C47"/>
    <w:rsid w:val="00C736EC"/>
    <w:rsid w:val="00C738A2"/>
    <w:rsid w:val="00C7407E"/>
    <w:rsid w:val="00C74C66"/>
    <w:rsid w:val="00C75586"/>
    <w:rsid w:val="00C75FB2"/>
    <w:rsid w:val="00C765A6"/>
    <w:rsid w:val="00C76C96"/>
    <w:rsid w:val="00C77505"/>
    <w:rsid w:val="00C77AD5"/>
    <w:rsid w:val="00C77E81"/>
    <w:rsid w:val="00C77EEC"/>
    <w:rsid w:val="00C77F49"/>
    <w:rsid w:val="00C82572"/>
    <w:rsid w:val="00C82631"/>
    <w:rsid w:val="00C83AF6"/>
    <w:rsid w:val="00C843FD"/>
    <w:rsid w:val="00C84687"/>
    <w:rsid w:val="00C84B7A"/>
    <w:rsid w:val="00C85488"/>
    <w:rsid w:val="00C8577A"/>
    <w:rsid w:val="00C859A6"/>
    <w:rsid w:val="00C874DC"/>
    <w:rsid w:val="00C87617"/>
    <w:rsid w:val="00C87C0B"/>
    <w:rsid w:val="00C9038C"/>
    <w:rsid w:val="00C91185"/>
    <w:rsid w:val="00C914D6"/>
    <w:rsid w:val="00C91515"/>
    <w:rsid w:val="00C9169D"/>
    <w:rsid w:val="00C91F2A"/>
    <w:rsid w:val="00C92971"/>
    <w:rsid w:val="00C95A58"/>
    <w:rsid w:val="00C95A90"/>
    <w:rsid w:val="00C961E9"/>
    <w:rsid w:val="00C96300"/>
    <w:rsid w:val="00C96BC0"/>
    <w:rsid w:val="00C9712E"/>
    <w:rsid w:val="00CA031E"/>
    <w:rsid w:val="00CA0BD8"/>
    <w:rsid w:val="00CA2034"/>
    <w:rsid w:val="00CA2BBF"/>
    <w:rsid w:val="00CA338A"/>
    <w:rsid w:val="00CA348C"/>
    <w:rsid w:val="00CA4550"/>
    <w:rsid w:val="00CA46E1"/>
    <w:rsid w:val="00CA5260"/>
    <w:rsid w:val="00CA5606"/>
    <w:rsid w:val="00CA5976"/>
    <w:rsid w:val="00CA5B9B"/>
    <w:rsid w:val="00CA7370"/>
    <w:rsid w:val="00CA76FA"/>
    <w:rsid w:val="00CB03AB"/>
    <w:rsid w:val="00CB0F12"/>
    <w:rsid w:val="00CB10A7"/>
    <w:rsid w:val="00CB13C1"/>
    <w:rsid w:val="00CB1C4F"/>
    <w:rsid w:val="00CB2C0D"/>
    <w:rsid w:val="00CB3CED"/>
    <w:rsid w:val="00CB4185"/>
    <w:rsid w:val="00CB5D44"/>
    <w:rsid w:val="00CB68F6"/>
    <w:rsid w:val="00CB77E6"/>
    <w:rsid w:val="00CB7D12"/>
    <w:rsid w:val="00CC009B"/>
    <w:rsid w:val="00CC02E5"/>
    <w:rsid w:val="00CC164F"/>
    <w:rsid w:val="00CC1C88"/>
    <w:rsid w:val="00CC3C5F"/>
    <w:rsid w:val="00CC4A4C"/>
    <w:rsid w:val="00CC5753"/>
    <w:rsid w:val="00CC5C09"/>
    <w:rsid w:val="00CC5E26"/>
    <w:rsid w:val="00CC63E9"/>
    <w:rsid w:val="00CC6C67"/>
    <w:rsid w:val="00CC770E"/>
    <w:rsid w:val="00CC78A4"/>
    <w:rsid w:val="00CD05AA"/>
    <w:rsid w:val="00CD064A"/>
    <w:rsid w:val="00CD08BE"/>
    <w:rsid w:val="00CD16C8"/>
    <w:rsid w:val="00CD2BD0"/>
    <w:rsid w:val="00CD42A5"/>
    <w:rsid w:val="00CD5504"/>
    <w:rsid w:val="00CD576A"/>
    <w:rsid w:val="00CD588C"/>
    <w:rsid w:val="00CD5B3B"/>
    <w:rsid w:val="00CD5CA2"/>
    <w:rsid w:val="00CD6674"/>
    <w:rsid w:val="00CD6E14"/>
    <w:rsid w:val="00CD6FB9"/>
    <w:rsid w:val="00CD7D4B"/>
    <w:rsid w:val="00CE0339"/>
    <w:rsid w:val="00CE04C1"/>
    <w:rsid w:val="00CE0648"/>
    <w:rsid w:val="00CE0A60"/>
    <w:rsid w:val="00CE1E5F"/>
    <w:rsid w:val="00CE2E67"/>
    <w:rsid w:val="00CE37AE"/>
    <w:rsid w:val="00CE42E9"/>
    <w:rsid w:val="00CE47FE"/>
    <w:rsid w:val="00CE49E0"/>
    <w:rsid w:val="00CE50BD"/>
    <w:rsid w:val="00CE5661"/>
    <w:rsid w:val="00CE5B5C"/>
    <w:rsid w:val="00CE5C3E"/>
    <w:rsid w:val="00CE5C5F"/>
    <w:rsid w:val="00CE6672"/>
    <w:rsid w:val="00CE7370"/>
    <w:rsid w:val="00CE771B"/>
    <w:rsid w:val="00CF02C7"/>
    <w:rsid w:val="00CF04A2"/>
    <w:rsid w:val="00CF0AAE"/>
    <w:rsid w:val="00CF0D3E"/>
    <w:rsid w:val="00CF23B2"/>
    <w:rsid w:val="00CF242D"/>
    <w:rsid w:val="00CF2B98"/>
    <w:rsid w:val="00CF2D45"/>
    <w:rsid w:val="00CF3AFF"/>
    <w:rsid w:val="00CF47E9"/>
    <w:rsid w:val="00CF53B7"/>
    <w:rsid w:val="00CF5CAA"/>
    <w:rsid w:val="00CF684C"/>
    <w:rsid w:val="00CF7F5C"/>
    <w:rsid w:val="00D00E90"/>
    <w:rsid w:val="00D012FB"/>
    <w:rsid w:val="00D01D56"/>
    <w:rsid w:val="00D02233"/>
    <w:rsid w:val="00D0306C"/>
    <w:rsid w:val="00D06D9F"/>
    <w:rsid w:val="00D076C7"/>
    <w:rsid w:val="00D07988"/>
    <w:rsid w:val="00D10374"/>
    <w:rsid w:val="00D10605"/>
    <w:rsid w:val="00D11923"/>
    <w:rsid w:val="00D12807"/>
    <w:rsid w:val="00D133C0"/>
    <w:rsid w:val="00D136D7"/>
    <w:rsid w:val="00D14517"/>
    <w:rsid w:val="00D14C1F"/>
    <w:rsid w:val="00D16F72"/>
    <w:rsid w:val="00D17CA1"/>
    <w:rsid w:val="00D17E1C"/>
    <w:rsid w:val="00D20E37"/>
    <w:rsid w:val="00D2230A"/>
    <w:rsid w:val="00D22367"/>
    <w:rsid w:val="00D22655"/>
    <w:rsid w:val="00D226A8"/>
    <w:rsid w:val="00D22A04"/>
    <w:rsid w:val="00D22A60"/>
    <w:rsid w:val="00D230B2"/>
    <w:rsid w:val="00D236DD"/>
    <w:rsid w:val="00D23F57"/>
    <w:rsid w:val="00D242C5"/>
    <w:rsid w:val="00D243F6"/>
    <w:rsid w:val="00D2440C"/>
    <w:rsid w:val="00D24E27"/>
    <w:rsid w:val="00D25CC1"/>
    <w:rsid w:val="00D26593"/>
    <w:rsid w:val="00D268F6"/>
    <w:rsid w:val="00D26D24"/>
    <w:rsid w:val="00D2720F"/>
    <w:rsid w:val="00D275CD"/>
    <w:rsid w:val="00D27949"/>
    <w:rsid w:val="00D30798"/>
    <w:rsid w:val="00D30BB8"/>
    <w:rsid w:val="00D32577"/>
    <w:rsid w:val="00D34151"/>
    <w:rsid w:val="00D36562"/>
    <w:rsid w:val="00D36783"/>
    <w:rsid w:val="00D36854"/>
    <w:rsid w:val="00D36D81"/>
    <w:rsid w:val="00D4027A"/>
    <w:rsid w:val="00D403D3"/>
    <w:rsid w:val="00D4045F"/>
    <w:rsid w:val="00D404E4"/>
    <w:rsid w:val="00D405AD"/>
    <w:rsid w:val="00D40927"/>
    <w:rsid w:val="00D409EA"/>
    <w:rsid w:val="00D429F2"/>
    <w:rsid w:val="00D43A62"/>
    <w:rsid w:val="00D43E33"/>
    <w:rsid w:val="00D440C5"/>
    <w:rsid w:val="00D447B4"/>
    <w:rsid w:val="00D44912"/>
    <w:rsid w:val="00D44991"/>
    <w:rsid w:val="00D44F2F"/>
    <w:rsid w:val="00D45D31"/>
    <w:rsid w:val="00D45F58"/>
    <w:rsid w:val="00D4617B"/>
    <w:rsid w:val="00D462CE"/>
    <w:rsid w:val="00D46AB5"/>
    <w:rsid w:val="00D46E63"/>
    <w:rsid w:val="00D47A61"/>
    <w:rsid w:val="00D47F66"/>
    <w:rsid w:val="00D504C1"/>
    <w:rsid w:val="00D51718"/>
    <w:rsid w:val="00D51B69"/>
    <w:rsid w:val="00D51E83"/>
    <w:rsid w:val="00D52555"/>
    <w:rsid w:val="00D52DE5"/>
    <w:rsid w:val="00D52DF5"/>
    <w:rsid w:val="00D52E61"/>
    <w:rsid w:val="00D5364E"/>
    <w:rsid w:val="00D5425C"/>
    <w:rsid w:val="00D54265"/>
    <w:rsid w:val="00D546BD"/>
    <w:rsid w:val="00D5498B"/>
    <w:rsid w:val="00D54E0A"/>
    <w:rsid w:val="00D54EC6"/>
    <w:rsid w:val="00D55835"/>
    <w:rsid w:val="00D55A6D"/>
    <w:rsid w:val="00D5611D"/>
    <w:rsid w:val="00D566A4"/>
    <w:rsid w:val="00D5678C"/>
    <w:rsid w:val="00D57A34"/>
    <w:rsid w:val="00D6000F"/>
    <w:rsid w:val="00D607F8"/>
    <w:rsid w:val="00D60AB2"/>
    <w:rsid w:val="00D613B2"/>
    <w:rsid w:val="00D614BB"/>
    <w:rsid w:val="00D6154C"/>
    <w:rsid w:val="00D621FC"/>
    <w:rsid w:val="00D6263A"/>
    <w:rsid w:val="00D6371A"/>
    <w:rsid w:val="00D637B8"/>
    <w:rsid w:val="00D63825"/>
    <w:rsid w:val="00D63B08"/>
    <w:rsid w:val="00D63CCA"/>
    <w:rsid w:val="00D64215"/>
    <w:rsid w:val="00D6431A"/>
    <w:rsid w:val="00D64375"/>
    <w:rsid w:val="00D64862"/>
    <w:rsid w:val="00D64A9D"/>
    <w:rsid w:val="00D64C1F"/>
    <w:rsid w:val="00D66251"/>
    <w:rsid w:val="00D6664E"/>
    <w:rsid w:val="00D66ACE"/>
    <w:rsid w:val="00D6753B"/>
    <w:rsid w:val="00D6755B"/>
    <w:rsid w:val="00D676DA"/>
    <w:rsid w:val="00D676EA"/>
    <w:rsid w:val="00D67CD0"/>
    <w:rsid w:val="00D67CF6"/>
    <w:rsid w:val="00D67F35"/>
    <w:rsid w:val="00D703A7"/>
    <w:rsid w:val="00D710CE"/>
    <w:rsid w:val="00D71962"/>
    <w:rsid w:val="00D71ABF"/>
    <w:rsid w:val="00D72999"/>
    <w:rsid w:val="00D73512"/>
    <w:rsid w:val="00D73775"/>
    <w:rsid w:val="00D7397F"/>
    <w:rsid w:val="00D73DC6"/>
    <w:rsid w:val="00D74B67"/>
    <w:rsid w:val="00D75008"/>
    <w:rsid w:val="00D7529A"/>
    <w:rsid w:val="00D75755"/>
    <w:rsid w:val="00D759BA"/>
    <w:rsid w:val="00D76285"/>
    <w:rsid w:val="00D76385"/>
    <w:rsid w:val="00D8195C"/>
    <w:rsid w:val="00D82B51"/>
    <w:rsid w:val="00D8406F"/>
    <w:rsid w:val="00D8423A"/>
    <w:rsid w:val="00D842AF"/>
    <w:rsid w:val="00D846E5"/>
    <w:rsid w:val="00D84D59"/>
    <w:rsid w:val="00D85659"/>
    <w:rsid w:val="00D85D10"/>
    <w:rsid w:val="00D86E67"/>
    <w:rsid w:val="00D871D8"/>
    <w:rsid w:val="00D87878"/>
    <w:rsid w:val="00D878D3"/>
    <w:rsid w:val="00D87B37"/>
    <w:rsid w:val="00D90009"/>
    <w:rsid w:val="00D908C8"/>
    <w:rsid w:val="00D9269B"/>
    <w:rsid w:val="00D934FD"/>
    <w:rsid w:val="00D947EE"/>
    <w:rsid w:val="00D94ACD"/>
    <w:rsid w:val="00D94CEE"/>
    <w:rsid w:val="00D95311"/>
    <w:rsid w:val="00D9673E"/>
    <w:rsid w:val="00D96830"/>
    <w:rsid w:val="00D96BBF"/>
    <w:rsid w:val="00D97A1B"/>
    <w:rsid w:val="00DA02D8"/>
    <w:rsid w:val="00DA0F4D"/>
    <w:rsid w:val="00DA0FE7"/>
    <w:rsid w:val="00DA166D"/>
    <w:rsid w:val="00DA1824"/>
    <w:rsid w:val="00DA18C3"/>
    <w:rsid w:val="00DA1965"/>
    <w:rsid w:val="00DA1AA0"/>
    <w:rsid w:val="00DA2A6D"/>
    <w:rsid w:val="00DA2EF8"/>
    <w:rsid w:val="00DA3A6A"/>
    <w:rsid w:val="00DA3CF8"/>
    <w:rsid w:val="00DA4298"/>
    <w:rsid w:val="00DA532A"/>
    <w:rsid w:val="00DA5738"/>
    <w:rsid w:val="00DA6648"/>
    <w:rsid w:val="00DA6A5A"/>
    <w:rsid w:val="00DA7CE2"/>
    <w:rsid w:val="00DB0401"/>
    <w:rsid w:val="00DB09A5"/>
    <w:rsid w:val="00DB0F6E"/>
    <w:rsid w:val="00DB2689"/>
    <w:rsid w:val="00DB4BE5"/>
    <w:rsid w:val="00DB5126"/>
    <w:rsid w:val="00DB6630"/>
    <w:rsid w:val="00DB6B67"/>
    <w:rsid w:val="00DB73F3"/>
    <w:rsid w:val="00DC019E"/>
    <w:rsid w:val="00DC0A61"/>
    <w:rsid w:val="00DC17F9"/>
    <w:rsid w:val="00DC2765"/>
    <w:rsid w:val="00DC2F22"/>
    <w:rsid w:val="00DC3EFA"/>
    <w:rsid w:val="00DC63A4"/>
    <w:rsid w:val="00DC6498"/>
    <w:rsid w:val="00DC6C6D"/>
    <w:rsid w:val="00DC6CC5"/>
    <w:rsid w:val="00DC6F4C"/>
    <w:rsid w:val="00DC7311"/>
    <w:rsid w:val="00DC74D6"/>
    <w:rsid w:val="00DC77A4"/>
    <w:rsid w:val="00DD037F"/>
    <w:rsid w:val="00DD10B2"/>
    <w:rsid w:val="00DD2950"/>
    <w:rsid w:val="00DD2974"/>
    <w:rsid w:val="00DD2FA7"/>
    <w:rsid w:val="00DD43A1"/>
    <w:rsid w:val="00DD51D3"/>
    <w:rsid w:val="00DD51FA"/>
    <w:rsid w:val="00DD624C"/>
    <w:rsid w:val="00DD6804"/>
    <w:rsid w:val="00DD7069"/>
    <w:rsid w:val="00DD7478"/>
    <w:rsid w:val="00DD7571"/>
    <w:rsid w:val="00DD7C74"/>
    <w:rsid w:val="00DE0BB2"/>
    <w:rsid w:val="00DE0C01"/>
    <w:rsid w:val="00DE1C59"/>
    <w:rsid w:val="00DE1E95"/>
    <w:rsid w:val="00DE2533"/>
    <w:rsid w:val="00DE355A"/>
    <w:rsid w:val="00DE4017"/>
    <w:rsid w:val="00DE51BD"/>
    <w:rsid w:val="00DE5531"/>
    <w:rsid w:val="00DE5B6C"/>
    <w:rsid w:val="00DE5D2F"/>
    <w:rsid w:val="00DE622B"/>
    <w:rsid w:val="00DE76FD"/>
    <w:rsid w:val="00DE7B5E"/>
    <w:rsid w:val="00DE7FCA"/>
    <w:rsid w:val="00DF0F42"/>
    <w:rsid w:val="00DF1220"/>
    <w:rsid w:val="00DF1393"/>
    <w:rsid w:val="00DF2330"/>
    <w:rsid w:val="00DF2924"/>
    <w:rsid w:val="00DF29C0"/>
    <w:rsid w:val="00DF3356"/>
    <w:rsid w:val="00DF3804"/>
    <w:rsid w:val="00DF4560"/>
    <w:rsid w:val="00DF47A4"/>
    <w:rsid w:val="00DF495B"/>
    <w:rsid w:val="00DF5A23"/>
    <w:rsid w:val="00DF6DC1"/>
    <w:rsid w:val="00DF74CD"/>
    <w:rsid w:val="00DF7B5F"/>
    <w:rsid w:val="00DF7F1B"/>
    <w:rsid w:val="00E006A9"/>
    <w:rsid w:val="00E00A70"/>
    <w:rsid w:val="00E01FDE"/>
    <w:rsid w:val="00E01FF6"/>
    <w:rsid w:val="00E02101"/>
    <w:rsid w:val="00E026D8"/>
    <w:rsid w:val="00E0293D"/>
    <w:rsid w:val="00E030EE"/>
    <w:rsid w:val="00E04AA1"/>
    <w:rsid w:val="00E05250"/>
    <w:rsid w:val="00E05E13"/>
    <w:rsid w:val="00E05EA3"/>
    <w:rsid w:val="00E0630F"/>
    <w:rsid w:val="00E0656C"/>
    <w:rsid w:val="00E0673C"/>
    <w:rsid w:val="00E0719C"/>
    <w:rsid w:val="00E07C24"/>
    <w:rsid w:val="00E07F1C"/>
    <w:rsid w:val="00E106FA"/>
    <w:rsid w:val="00E12035"/>
    <w:rsid w:val="00E124DF"/>
    <w:rsid w:val="00E13E38"/>
    <w:rsid w:val="00E14F10"/>
    <w:rsid w:val="00E150A4"/>
    <w:rsid w:val="00E15B5C"/>
    <w:rsid w:val="00E16572"/>
    <w:rsid w:val="00E167B5"/>
    <w:rsid w:val="00E16992"/>
    <w:rsid w:val="00E16C1F"/>
    <w:rsid w:val="00E177A3"/>
    <w:rsid w:val="00E17EB2"/>
    <w:rsid w:val="00E21527"/>
    <w:rsid w:val="00E217D6"/>
    <w:rsid w:val="00E23F65"/>
    <w:rsid w:val="00E248A5"/>
    <w:rsid w:val="00E24A30"/>
    <w:rsid w:val="00E24D93"/>
    <w:rsid w:val="00E252A5"/>
    <w:rsid w:val="00E2579A"/>
    <w:rsid w:val="00E25997"/>
    <w:rsid w:val="00E25F65"/>
    <w:rsid w:val="00E26920"/>
    <w:rsid w:val="00E273FF"/>
    <w:rsid w:val="00E31912"/>
    <w:rsid w:val="00E3290E"/>
    <w:rsid w:val="00E32A68"/>
    <w:rsid w:val="00E32F3E"/>
    <w:rsid w:val="00E344F3"/>
    <w:rsid w:val="00E34614"/>
    <w:rsid w:val="00E371C5"/>
    <w:rsid w:val="00E37405"/>
    <w:rsid w:val="00E37CDF"/>
    <w:rsid w:val="00E403EA"/>
    <w:rsid w:val="00E40707"/>
    <w:rsid w:val="00E4080E"/>
    <w:rsid w:val="00E4194D"/>
    <w:rsid w:val="00E4195D"/>
    <w:rsid w:val="00E41D6B"/>
    <w:rsid w:val="00E42383"/>
    <w:rsid w:val="00E428FB"/>
    <w:rsid w:val="00E42C72"/>
    <w:rsid w:val="00E42EC4"/>
    <w:rsid w:val="00E43D95"/>
    <w:rsid w:val="00E448F6"/>
    <w:rsid w:val="00E44A9D"/>
    <w:rsid w:val="00E458F9"/>
    <w:rsid w:val="00E45F67"/>
    <w:rsid w:val="00E46BD3"/>
    <w:rsid w:val="00E46F56"/>
    <w:rsid w:val="00E472A0"/>
    <w:rsid w:val="00E47F00"/>
    <w:rsid w:val="00E51A89"/>
    <w:rsid w:val="00E53483"/>
    <w:rsid w:val="00E53888"/>
    <w:rsid w:val="00E539C9"/>
    <w:rsid w:val="00E539E8"/>
    <w:rsid w:val="00E54F11"/>
    <w:rsid w:val="00E553B1"/>
    <w:rsid w:val="00E55CF4"/>
    <w:rsid w:val="00E56560"/>
    <w:rsid w:val="00E570E0"/>
    <w:rsid w:val="00E571AB"/>
    <w:rsid w:val="00E57214"/>
    <w:rsid w:val="00E577EE"/>
    <w:rsid w:val="00E6001F"/>
    <w:rsid w:val="00E603BA"/>
    <w:rsid w:val="00E60720"/>
    <w:rsid w:val="00E6225B"/>
    <w:rsid w:val="00E62AC5"/>
    <w:rsid w:val="00E62F9B"/>
    <w:rsid w:val="00E63877"/>
    <w:rsid w:val="00E63E06"/>
    <w:rsid w:val="00E6405E"/>
    <w:rsid w:val="00E65202"/>
    <w:rsid w:val="00E65274"/>
    <w:rsid w:val="00E65BD8"/>
    <w:rsid w:val="00E65E35"/>
    <w:rsid w:val="00E65ECF"/>
    <w:rsid w:val="00E660C8"/>
    <w:rsid w:val="00E667B5"/>
    <w:rsid w:val="00E66871"/>
    <w:rsid w:val="00E671AC"/>
    <w:rsid w:val="00E67A1C"/>
    <w:rsid w:val="00E67E2F"/>
    <w:rsid w:val="00E70473"/>
    <w:rsid w:val="00E70F79"/>
    <w:rsid w:val="00E717A6"/>
    <w:rsid w:val="00E724D8"/>
    <w:rsid w:val="00E7274D"/>
    <w:rsid w:val="00E73404"/>
    <w:rsid w:val="00E73584"/>
    <w:rsid w:val="00E73637"/>
    <w:rsid w:val="00E75CD7"/>
    <w:rsid w:val="00E769F8"/>
    <w:rsid w:val="00E80061"/>
    <w:rsid w:val="00E8010D"/>
    <w:rsid w:val="00E80A7E"/>
    <w:rsid w:val="00E81663"/>
    <w:rsid w:val="00E81C16"/>
    <w:rsid w:val="00E81DAF"/>
    <w:rsid w:val="00E82423"/>
    <w:rsid w:val="00E82662"/>
    <w:rsid w:val="00E82787"/>
    <w:rsid w:val="00E82A27"/>
    <w:rsid w:val="00E83C24"/>
    <w:rsid w:val="00E8636B"/>
    <w:rsid w:val="00E86CE9"/>
    <w:rsid w:val="00E870A0"/>
    <w:rsid w:val="00E928FD"/>
    <w:rsid w:val="00E92C89"/>
    <w:rsid w:val="00E937E8"/>
    <w:rsid w:val="00E94023"/>
    <w:rsid w:val="00E94D21"/>
    <w:rsid w:val="00E96AC1"/>
    <w:rsid w:val="00E96B9F"/>
    <w:rsid w:val="00E971AC"/>
    <w:rsid w:val="00EA0705"/>
    <w:rsid w:val="00EA1077"/>
    <w:rsid w:val="00EA19AD"/>
    <w:rsid w:val="00EA19B7"/>
    <w:rsid w:val="00EA40A9"/>
    <w:rsid w:val="00EA439F"/>
    <w:rsid w:val="00EA480D"/>
    <w:rsid w:val="00EA600F"/>
    <w:rsid w:val="00EA67DE"/>
    <w:rsid w:val="00EA67FD"/>
    <w:rsid w:val="00EA697D"/>
    <w:rsid w:val="00EA7EF4"/>
    <w:rsid w:val="00EB01FC"/>
    <w:rsid w:val="00EB0B65"/>
    <w:rsid w:val="00EB0C4F"/>
    <w:rsid w:val="00EB18B6"/>
    <w:rsid w:val="00EB191B"/>
    <w:rsid w:val="00EB1A18"/>
    <w:rsid w:val="00EB29AB"/>
    <w:rsid w:val="00EB2E36"/>
    <w:rsid w:val="00EB35DD"/>
    <w:rsid w:val="00EB3CCF"/>
    <w:rsid w:val="00EB5A6C"/>
    <w:rsid w:val="00EB5A9B"/>
    <w:rsid w:val="00EB65F2"/>
    <w:rsid w:val="00EB6CB8"/>
    <w:rsid w:val="00EC02E1"/>
    <w:rsid w:val="00EC0919"/>
    <w:rsid w:val="00EC1742"/>
    <w:rsid w:val="00EC1830"/>
    <w:rsid w:val="00EC1C57"/>
    <w:rsid w:val="00EC22E2"/>
    <w:rsid w:val="00EC40CF"/>
    <w:rsid w:val="00EC5CA7"/>
    <w:rsid w:val="00EC656F"/>
    <w:rsid w:val="00EC66E2"/>
    <w:rsid w:val="00EC6701"/>
    <w:rsid w:val="00EC6DDD"/>
    <w:rsid w:val="00EC728D"/>
    <w:rsid w:val="00EC764A"/>
    <w:rsid w:val="00ED0A19"/>
    <w:rsid w:val="00ED0D0A"/>
    <w:rsid w:val="00ED1564"/>
    <w:rsid w:val="00ED18E8"/>
    <w:rsid w:val="00ED1B6C"/>
    <w:rsid w:val="00ED1FB7"/>
    <w:rsid w:val="00ED27E2"/>
    <w:rsid w:val="00ED294F"/>
    <w:rsid w:val="00ED2F51"/>
    <w:rsid w:val="00ED3BA8"/>
    <w:rsid w:val="00ED5A60"/>
    <w:rsid w:val="00ED7158"/>
    <w:rsid w:val="00ED7291"/>
    <w:rsid w:val="00ED73AD"/>
    <w:rsid w:val="00ED7FE3"/>
    <w:rsid w:val="00EE0585"/>
    <w:rsid w:val="00EE0FD0"/>
    <w:rsid w:val="00EE1181"/>
    <w:rsid w:val="00EE1397"/>
    <w:rsid w:val="00EE1A1B"/>
    <w:rsid w:val="00EE2009"/>
    <w:rsid w:val="00EE2176"/>
    <w:rsid w:val="00EE2839"/>
    <w:rsid w:val="00EE2BE6"/>
    <w:rsid w:val="00EE3D84"/>
    <w:rsid w:val="00EE3DC3"/>
    <w:rsid w:val="00EE475E"/>
    <w:rsid w:val="00EE479D"/>
    <w:rsid w:val="00EE4854"/>
    <w:rsid w:val="00EE51DB"/>
    <w:rsid w:val="00EE5620"/>
    <w:rsid w:val="00EE5C59"/>
    <w:rsid w:val="00EE5D5D"/>
    <w:rsid w:val="00EF00E2"/>
    <w:rsid w:val="00EF1AF8"/>
    <w:rsid w:val="00EF3AEF"/>
    <w:rsid w:val="00EF3AF1"/>
    <w:rsid w:val="00EF5444"/>
    <w:rsid w:val="00EF6625"/>
    <w:rsid w:val="00EF7060"/>
    <w:rsid w:val="00EF7645"/>
    <w:rsid w:val="00F00053"/>
    <w:rsid w:val="00F001B0"/>
    <w:rsid w:val="00F00E88"/>
    <w:rsid w:val="00F01073"/>
    <w:rsid w:val="00F01811"/>
    <w:rsid w:val="00F01CB7"/>
    <w:rsid w:val="00F020B4"/>
    <w:rsid w:val="00F0237C"/>
    <w:rsid w:val="00F02F55"/>
    <w:rsid w:val="00F03254"/>
    <w:rsid w:val="00F03B41"/>
    <w:rsid w:val="00F03CCA"/>
    <w:rsid w:val="00F04271"/>
    <w:rsid w:val="00F0497E"/>
    <w:rsid w:val="00F04EA8"/>
    <w:rsid w:val="00F0501C"/>
    <w:rsid w:val="00F062A6"/>
    <w:rsid w:val="00F065EA"/>
    <w:rsid w:val="00F06BB5"/>
    <w:rsid w:val="00F07F89"/>
    <w:rsid w:val="00F11D53"/>
    <w:rsid w:val="00F12270"/>
    <w:rsid w:val="00F12AAA"/>
    <w:rsid w:val="00F12AC1"/>
    <w:rsid w:val="00F12D4E"/>
    <w:rsid w:val="00F136E4"/>
    <w:rsid w:val="00F13C0C"/>
    <w:rsid w:val="00F144DB"/>
    <w:rsid w:val="00F15777"/>
    <w:rsid w:val="00F16048"/>
    <w:rsid w:val="00F16229"/>
    <w:rsid w:val="00F174DC"/>
    <w:rsid w:val="00F1758A"/>
    <w:rsid w:val="00F17D85"/>
    <w:rsid w:val="00F21345"/>
    <w:rsid w:val="00F217E7"/>
    <w:rsid w:val="00F22B72"/>
    <w:rsid w:val="00F23D51"/>
    <w:rsid w:val="00F24746"/>
    <w:rsid w:val="00F24A27"/>
    <w:rsid w:val="00F250F3"/>
    <w:rsid w:val="00F2531E"/>
    <w:rsid w:val="00F2536D"/>
    <w:rsid w:val="00F256AC"/>
    <w:rsid w:val="00F25B31"/>
    <w:rsid w:val="00F25B5F"/>
    <w:rsid w:val="00F264A7"/>
    <w:rsid w:val="00F26627"/>
    <w:rsid w:val="00F26EAD"/>
    <w:rsid w:val="00F2711E"/>
    <w:rsid w:val="00F27427"/>
    <w:rsid w:val="00F27EF0"/>
    <w:rsid w:val="00F305B6"/>
    <w:rsid w:val="00F30E26"/>
    <w:rsid w:val="00F30EAB"/>
    <w:rsid w:val="00F30EB5"/>
    <w:rsid w:val="00F31466"/>
    <w:rsid w:val="00F319D8"/>
    <w:rsid w:val="00F31B32"/>
    <w:rsid w:val="00F31EAC"/>
    <w:rsid w:val="00F3281C"/>
    <w:rsid w:val="00F32CC7"/>
    <w:rsid w:val="00F3333B"/>
    <w:rsid w:val="00F33C4F"/>
    <w:rsid w:val="00F35A6A"/>
    <w:rsid w:val="00F36AAB"/>
    <w:rsid w:val="00F36F74"/>
    <w:rsid w:val="00F37547"/>
    <w:rsid w:val="00F3797C"/>
    <w:rsid w:val="00F40529"/>
    <w:rsid w:val="00F40D8E"/>
    <w:rsid w:val="00F412B9"/>
    <w:rsid w:val="00F41E08"/>
    <w:rsid w:val="00F4258B"/>
    <w:rsid w:val="00F42604"/>
    <w:rsid w:val="00F427AA"/>
    <w:rsid w:val="00F42E3F"/>
    <w:rsid w:val="00F4326D"/>
    <w:rsid w:val="00F443FB"/>
    <w:rsid w:val="00F44C96"/>
    <w:rsid w:val="00F45190"/>
    <w:rsid w:val="00F45D52"/>
    <w:rsid w:val="00F46011"/>
    <w:rsid w:val="00F465D1"/>
    <w:rsid w:val="00F46AD7"/>
    <w:rsid w:val="00F47ADB"/>
    <w:rsid w:val="00F47C26"/>
    <w:rsid w:val="00F47E8F"/>
    <w:rsid w:val="00F50453"/>
    <w:rsid w:val="00F50F75"/>
    <w:rsid w:val="00F5182B"/>
    <w:rsid w:val="00F51ECC"/>
    <w:rsid w:val="00F54B7D"/>
    <w:rsid w:val="00F55312"/>
    <w:rsid w:val="00F555E7"/>
    <w:rsid w:val="00F56191"/>
    <w:rsid w:val="00F5670C"/>
    <w:rsid w:val="00F56D33"/>
    <w:rsid w:val="00F56EDA"/>
    <w:rsid w:val="00F5702B"/>
    <w:rsid w:val="00F60032"/>
    <w:rsid w:val="00F604BA"/>
    <w:rsid w:val="00F60EA4"/>
    <w:rsid w:val="00F618D8"/>
    <w:rsid w:val="00F61D76"/>
    <w:rsid w:val="00F62B1A"/>
    <w:rsid w:val="00F64217"/>
    <w:rsid w:val="00F64B48"/>
    <w:rsid w:val="00F662B1"/>
    <w:rsid w:val="00F66D05"/>
    <w:rsid w:val="00F67906"/>
    <w:rsid w:val="00F67DCE"/>
    <w:rsid w:val="00F708F5"/>
    <w:rsid w:val="00F70D2A"/>
    <w:rsid w:val="00F70E49"/>
    <w:rsid w:val="00F70F06"/>
    <w:rsid w:val="00F71485"/>
    <w:rsid w:val="00F73027"/>
    <w:rsid w:val="00F73207"/>
    <w:rsid w:val="00F73ADF"/>
    <w:rsid w:val="00F74602"/>
    <w:rsid w:val="00F74744"/>
    <w:rsid w:val="00F7478F"/>
    <w:rsid w:val="00F74FFA"/>
    <w:rsid w:val="00F7570B"/>
    <w:rsid w:val="00F767D2"/>
    <w:rsid w:val="00F77AC0"/>
    <w:rsid w:val="00F8099C"/>
    <w:rsid w:val="00F80A46"/>
    <w:rsid w:val="00F80FB3"/>
    <w:rsid w:val="00F810B6"/>
    <w:rsid w:val="00F81327"/>
    <w:rsid w:val="00F81E7B"/>
    <w:rsid w:val="00F8213E"/>
    <w:rsid w:val="00F836C5"/>
    <w:rsid w:val="00F840C4"/>
    <w:rsid w:val="00F84A2A"/>
    <w:rsid w:val="00F84D34"/>
    <w:rsid w:val="00F84FEF"/>
    <w:rsid w:val="00F85806"/>
    <w:rsid w:val="00F86861"/>
    <w:rsid w:val="00F86A0F"/>
    <w:rsid w:val="00F879CD"/>
    <w:rsid w:val="00F906A8"/>
    <w:rsid w:val="00F907DD"/>
    <w:rsid w:val="00F9086F"/>
    <w:rsid w:val="00F90DAF"/>
    <w:rsid w:val="00F9110C"/>
    <w:rsid w:val="00F930AD"/>
    <w:rsid w:val="00F93F8B"/>
    <w:rsid w:val="00F95105"/>
    <w:rsid w:val="00F958C5"/>
    <w:rsid w:val="00F97CBE"/>
    <w:rsid w:val="00FA1864"/>
    <w:rsid w:val="00FA24BE"/>
    <w:rsid w:val="00FA2978"/>
    <w:rsid w:val="00FA2B4E"/>
    <w:rsid w:val="00FA38AB"/>
    <w:rsid w:val="00FA3B7F"/>
    <w:rsid w:val="00FA4BA2"/>
    <w:rsid w:val="00FA5062"/>
    <w:rsid w:val="00FA556B"/>
    <w:rsid w:val="00FA589D"/>
    <w:rsid w:val="00FA5997"/>
    <w:rsid w:val="00FA6016"/>
    <w:rsid w:val="00FA799A"/>
    <w:rsid w:val="00FB05B7"/>
    <w:rsid w:val="00FB0D1E"/>
    <w:rsid w:val="00FB1E08"/>
    <w:rsid w:val="00FB1E73"/>
    <w:rsid w:val="00FB1F60"/>
    <w:rsid w:val="00FB2C19"/>
    <w:rsid w:val="00FB30AC"/>
    <w:rsid w:val="00FB36C4"/>
    <w:rsid w:val="00FB5576"/>
    <w:rsid w:val="00FB5C52"/>
    <w:rsid w:val="00FB63F2"/>
    <w:rsid w:val="00FB6500"/>
    <w:rsid w:val="00FB654C"/>
    <w:rsid w:val="00FB65BB"/>
    <w:rsid w:val="00FB763F"/>
    <w:rsid w:val="00FB7B6A"/>
    <w:rsid w:val="00FC31E0"/>
    <w:rsid w:val="00FC34D5"/>
    <w:rsid w:val="00FC360B"/>
    <w:rsid w:val="00FC597D"/>
    <w:rsid w:val="00FC75D3"/>
    <w:rsid w:val="00FC789F"/>
    <w:rsid w:val="00FC7AB0"/>
    <w:rsid w:val="00FD0DB3"/>
    <w:rsid w:val="00FD3ED2"/>
    <w:rsid w:val="00FD42DF"/>
    <w:rsid w:val="00FD467F"/>
    <w:rsid w:val="00FD4875"/>
    <w:rsid w:val="00FD4D30"/>
    <w:rsid w:val="00FD69EF"/>
    <w:rsid w:val="00FD6EC7"/>
    <w:rsid w:val="00FD7635"/>
    <w:rsid w:val="00FD7F67"/>
    <w:rsid w:val="00FE1415"/>
    <w:rsid w:val="00FE2DD7"/>
    <w:rsid w:val="00FE2E10"/>
    <w:rsid w:val="00FE444E"/>
    <w:rsid w:val="00FE54DE"/>
    <w:rsid w:val="00FE6B8C"/>
    <w:rsid w:val="00FF058C"/>
    <w:rsid w:val="00FF0670"/>
    <w:rsid w:val="00FF071E"/>
    <w:rsid w:val="00FF0A0E"/>
    <w:rsid w:val="00FF13E1"/>
    <w:rsid w:val="00FF17D0"/>
    <w:rsid w:val="00FF1EEB"/>
    <w:rsid w:val="00FF200D"/>
    <w:rsid w:val="00FF2709"/>
    <w:rsid w:val="00FF4407"/>
    <w:rsid w:val="00FF4415"/>
    <w:rsid w:val="00FF504C"/>
    <w:rsid w:val="00FF524A"/>
    <w:rsid w:val="00FF5460"/>
    <w:rsid w:val="00FF56A1"/>
    <w:rsid w:val="00FF6F4B"/>
    <w:rsid w:val="00FF71FD"/>
    <w:rsid w:val="00FF7E25"/>
    <w:rsid w:val="031465E7"/>
    <w:rsid w:val="0324F249"/>
    <w:rsid w:val="04B9420D"/>
    <w:rsid w:val="09FA9A4E"/>
    <w:rsid w:val="0B5562CF"/>
    <w:rsid w:val="0F3ABEE9"/>
    <w:rsid w:val="105D12F5"/>
    <w:rsid w:val="11644370"/>
    <w:rsid w:val="117FF2D7"/>
    <w:rsid w:val="14164F68"/>
    <w:rsid w:val="179D25BF"/>
    <w:rsid w:val="1D67C936"/>
    <w:rsid w:val="20B316BF"/>
    <w:rsid w:val="26F6E4E0"/>
    <w:rsid w:val="28026E6F"/>
    <w:rsid w:val="28DB54B5"/>
    <w:rsid w:val="2C992506"/>
    <w:rsid w:val="2DB44982"/>
    <w:rsid w:val="3AE9C3B0"/>
    <w:rsid w:val="3E1C066A"/>
    <w:rsid w:val="417BF266"/>
    <w:rsid w:val="49F31853"/>
    <w:rsid w:val="4B0FC058"/>
    <w:rsid w:val="4CD14758"/>
    <w:rsid w:val="4FDB8D3F"/>
    <w:rsid w:val="50D88805"/>
    <w:rsid w:val="54F68EA0"/>
    <w:rsid w:val="611AAD32"/>
    <w:rsid w:val="61632E8F"/>
    <w:rsid w:val="64524DF4"/>
    <w:rsid w:val="65135FCB"/>
    <w:rsid w:val="672A17E1"/>
    <w:rsid w:val="6810B46B"/>
    <w:rsid w:val="705F8E4F"/>
    <w:rsid w:val="72913EA0"/>
    <w:rsid w:val="736BEDBD"/>
    <w:rsid w:val="74C032C7"/>
    <w:rsid w:val="754B2BB0"/>
    <w:rsid w:val="75E17047"/>
    <w:rsid w:val="7826D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0D6A"/>
  <w15:chartTrackingRefBased/>
  <w15:docId w15:val="{6A5C54B4-F7CD-4555-A57A-E11362A3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BB"/>
  </w:style>
  <w:style w:type="paragraph" w:styleId="Heading1">
    <w:name w:val="heading 1"/>
    <w:basedOn w:val="Normal"/>
    <w:next w:val="Normal"/>
    <w:link w:val="Heading1Char"/>
    <w:uiPriority w:val="9"/>
    <w:qFormat/>
    <w:rsid w:val="0054142F"/>
    <w:pPr>
      <w:keepNext/>
      <w:spacing w:line="360" w:lineRule="auto"/>
      <w:jc w:val="center"/>
      <w:outlineLvl w:val="0"/>
    </w:pPr>
    <w:rPr>
      <w:rFonts w:ascii="Times New Roman" w:eastAsia="Times New Roman" w:hAnsi="Times New Roman" w:cs="Times New Roman"/>
      <w:b/>
      <w:color w:val="333333"/>
      <w:sz w:val="26"/>
      <w:szCs w:val="26"/>
    </w:rPr>
  </w:style>
  <w:style w:type="paragraph" w:styleId="Heading2">
    <w:name w:val="heading 2"/>
    <w:basedOn w:val="Normal"/>
    <w:next w:val="Normal"/>
    <w:link w:val="Heading2Char"/>
    <w:uiPriority w:val="9"/>
    <w:unhideWhenUsed/>
    <w:qFormat/>
    <w:rsid w:val="0054142F"/>
    <w:pPr>
      <w:keepNext/>
      <w:keepLines/>
      <w:tabs>
        <w:tab w:val="left" w:pos="-720"/>
      </w:tabs>
      <w:suppressAutoHyphens/>
      <w:spacing w:line="360" w:lineRule="auto"/>
      <w:outlineLvl w:val="1"/>
    </w:pPr>
    <w:rPr>
      <w:rFonts w:ascii="Times New Roman" w:hAnsi="Times New Roman" w:cs="Times New Roman"/>
      <w:b/>
      <w:sz w:val="26"/>
      <w:szCs w:val="26"/>
    </w:rPr>
  </w:style>
  <w:style w:type="paragraph" w:styleId="Heading3">
    <w:name w:val="heading 3"/>
    <w:basedOn w:val="ListParagraph"/>
    <w:next w:val="Normal"/>
    <w:link w:val="Heading3Char"/>
    <w:uiPriority w:val="9"/>
    <w:unhideWhenUsed/>
    <w:qFormat/>
    <w:rsid w:val="009922FD"/>
    <w:pPr>
      <w:numPr>
        <w:numId w:val="7"/>
      </w:numPr>
      <w:spacing w:line="360" w:lineRule="auto"/>
      <w:ind w:left="1440"/>
      <w:outlineLvl w:val="2"/>
    </w:pPr>
    <w:rPr>
      <w:rFonts w:ascii="Times New Roman" w:hAnsi="Times New Roman" w:cs="Times New Roman"/>
      <w:b/>
      <w:bCs/>
      <w:sz w:val="26"/>
      <w:szCs w:val="26"/>
    </w:rPr>
  </w:style>
  <w:style w:type="paragraph" w:styleId="Heading4">
    <w:name w:val="heading 4"/>
    <w:basedOn w:val="ListParagraph"/>
    <w:next w:val="Normal"/>
    <w:link w:val="Heading4Char"/>
    <w:uiPriority w:val="9"/>
    <w:unhideWhenUsed/>
    <w:qFormat/>
    <w:rsid w:val="00A32C45"/>
    <w:pPr>
      <w:keepNext/>
      <w:numPr>
        <w:numId w:val="12"/>
      </w:numPr>
      <w:ind w:left="2160" w:hanging="720"/>
      <w:outlineLvl w:val="3"/>
    </w:pPr>
    <w:rPr>
      <w:rFonts w:ascii="Times New Roman" w:hAnsi="Times New Roman" w:cs="Times New Roman"/>
      <w:b/>
      <w:bCs/>
      <w:sz w:val="26"/>
      <w:szCs w:val="26"/>
    </w:rPr>
  </w:style>
  <w:style w:type="paragraph" w:styleId="Heading5">
    <w:name w:val="heading 5"/>
    <w:basedOn w:val="Normal"/>
    <w:next w:val="Normal"/>
    <w:link w:val="Heading5Char"/>
    <w:uiPriority w:val="9"/>
    <w:unhideWhenUsed/>
    <w:qFormat/>
    <w:rsid w:val="00891B58"/>
    <w:pPr>
      <w:keepNext/>
      <w:keepLines/>
      <w:spacing w:line="360" w:lineRule="auto"/>
      <w:ind w:left="2880"/>
      <w:outlineLvl w:val="4"/>
    </w:pPr>
    <w:rPr>
      <w:rFonts w:ascii="Times New Roman" w:hAnsi="Times New Roman" w:cs="Times New Roman"/>
      <w:b/>
      <w:bCs/>
      <w:sz w:val="26"/>
      <w:szCs w:val="26"/>
    </w:rPr>
  </w:style>
  <w:style w:type="paragraph" w:styleId="Heading6">
    <w:name w:val="heading 6"/>
    <w:basedOn w:val="ListParagraph"/>
    <w:next w:val="Normal"/>
    <w:link w:val="Heading6Char"/>
    <w:uiPriority w:val="9"/>
    <w:unhideWhenUsed/>
    <w:qFormat/>
    <w:rsid w:val="00F97CBE"/>
    <w:pPr>
      <w:keepNext/>
      <w:numPr>
        <w:numId w:val="9"/>
      </w:numPr>
      <w:spacing w:line="360" w:lineRule="auto"/>
      <w:ind w:left="3600" w:hanging="720"/>
      <w:outlineLvl w:val="5"/>
    </w:pPr>
    <w:rPr>
      <w:rFonts w:ascii="Times New Roman" w:hAnsi="Times New Roman" w:cs="Times New Roman"/>
      <w:b/>
      <w:bCs/>
      <w:sz w:val="26"/>
      <w:szCs w:val="26"/>
    </w:rPr>
  </w:style>
  <w:style w:type="paragraph" w:styleId="Heading7">
    <w:name w:val="heading 7"/>
    <w:basedOn w:val="Normal"/>
    <w:next w:val="Normal"/>
    <w:link w:val="Heading7Char"/>
    <w:uiPriority w:val="9"/>
    <w:unhideWhenUsed/>
    <w:qFormat/>
    <w:rsid w:val="002477FF"/>
    <w:pPr>
      <w:keepNext/>
      <w:spacing w:line="360" w:lineRule="auto"/>
      <w:ind w:left="3600"/>
      <w:outlineLvl w:val="6"/>
    </w:pPr>
    <w:rPr>
      <w:rFonts w:ascii="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Car,Footnote Text Char1,Footnote Text Char Char,Footnote Text Char1 Char Char,Footnote Text Char Char Char Char,Footnote Text Char1 Char Char Char Char,Footnote Text Char Char Char Char Char Char1,ALTS FOOTNOTE,fn,Footnote Text 2,FOOTNOTE"/>
    <w:basedOn w:val="Normal"/>
    <w:link w:val="FootnoteTextChar"/>
    <w:uiPriority w:val="99"/>
    <w:unhideWhenUsed/>
    <w:qFormat/>
    <w:rsid w:val="00C322F0"/>
    <w:pPr>
      <w:widowControl w:val="0"/>
    </w:pPr>
    <w:rPr>
      <w:rFonts w:ascii="Times New Roman" w:eastAsia="Times New Roman" w:hAnsi="Times New Roman" w:cs="Times New Roman"/>
      <w:sz w:val="20"/>
      <w:szCs w:val="20"/>
    </w:rPr>
  </w:style>
  <w:style w:type="character" w:customStyle="1" w:styleId="FootnoteTextChar">
    <w:name w:val="Footnote Text Char"/>
    <w:aliases w:val="Car Char,Footnote Text Char1 Char,Footnote Text Char Char Char,Footnote Text Char1 Char Char Char,Footnote Text Char Char Char Char Char,Footnote Text Char1 Char Char Char Char Char,Footnote Text Char Char Char Char Char Char1 Char"/>
    <w:basedOn w:val="DefaultParagraphFont"/>
    <w:link w:val="FootnoteText"/>
    <w:uiPriority w:val="99"/>
    <w:qFormat/>
    <w:rsid w:val="00C322F0"/>
    <w:rPr>
      <w:rFonts w:ascii="Times New Roman" w:eastAsia="Times New Roman" w:hAnsi="Times New Roman" w:cs="Times New Roman"/>
      <w:sz w:val="20"/>
      <w:szCs w:val="20"/>
    </w:rPr>
  </w:style>
  <w:style w:type="character" w:styleId="FootnoteReference">
    <w:name w:val="footnote reference"/>
    <w:aliases w:val="o,fr,Style 6,Style 20,Appel note de bas de p,Style 8,Style 7,Style 3,Style 17,Style 19,Style 13,Style 12,Style 28,(NECG) Footnote Reference,Style 11,Style 9,Style 16,Style 15,o1,fr1,o2,fr2,o3,fr3,Style 124,FR,Footnote Reference/,."/>
    <w:basedOn w:val="DefaultParagraphFont"/>
    <w:uiPriority w:val="99"/>
    <w:unhideWhenUsed/>
    <w:qFormat/>
    <w:rsid w:val="00C322F0"/>
    <w:rPr>
      <w:vertAlign w:val="superscript"/>
    </w:rPr>
  </w:style>
  <w:style w:type="paragraph" w:styleId="Footer">
    <w:name w:val="footer"/>
    <w:basedOn w:val="Normal"/>
    <w:link w:val="FooterChar"/>
    <w:uiPriority w:val="99"/>
    <w:unhideWhenUsed/>
    <w:rsid w:val="00C322F0"/>
    <w:pPr>
      <w:widowControl w:val="0"/>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322F0"/>
    <w:rPr>
      <w:rFonts w:ascii="Times New Roman" w:eastAsia="Times New Roman" w:hAnsi="Times New Roman" w:cs="Times New Roman"/>
      <w:sz w:val="20"/>
      <w:szCs w:val="20"/>
    </w:rPr>
  </w:style>
  <w:style w:type="paragraph" w:customStyle="1" w:styleId="Default">
    <w:name w:val="Default"/>
    <w:rsid w:val="00193BFF"/>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43"/>
    <w:rPr>
      <w:rFonts w:ascii="Segoe UI" w:hAnsi="Segoe UI" w:cs="Segoe UI"/>
      <w:sz w:val="18"/>
      <w:szCs w:val="18"/>
    </w:rPr>
  </w:style>
  <w:style w:type="character" w:styleId="CommentReference">
    <w:name w:val="annotation reference"/>
    <w:basedOn w:val="DefaultParagraphFont"/>
    <w:uiPriority w:val="99"/>
    <w:semiHidden/>
    <w:unhideWhenUsed/>
    <w:rsid w:val="00DD7571"/>
    <w:rPr>
      <w:sz w:val="16"/>
      <w:szCs w:val="16"/>
    </w:rPr>
  </w:style>
  <w:style w:type="paragraph" w:styleId="CommentText">
    <w:name w:val="annotation text"/>
    <w:basedOn w:val="Normal"/>
    <w:link w:val="CommentTextChar"/>
    <w:uiPriority w:val="99"/>
    <w:unhideWhenUsed/>
    <w:rsid w:val="00DD7571"/>
    <w:rPr>
      <w:sz w:val="20"/>
      <w:szCs w:val="20"/>
    </w:rPr>
  </w:style>
  <w:style w:type="character" w:customStyle="1" w:styleId="CommentTextChar">
    <w:name w:val="Comment Text Char"/>
    <w:basedOn w:val="DefaultParagraphFont"/>
    <w:link w:val="CommentText"/>
    <w:uiPriority w:val="99"/>
    <w:rsid w:val="00DD7571"/>
    <w:rPr>
      <w:sz w:val="20"/>
      <w:szCs w:val="20"/>
    </w:rPr>
  </w:style>
  <w:style w:type="paragraph" w:styleId="CommentSubject">
    <w:name w:val="annotation subject"/>
    <w:basedOn w:val="CommentText"/>
    <w:next w:val="CommentText"/>
    <w:link w:val="CommentSubjectChar"/>
    <w:uiPriority w:val="99"/>
    <w:semiHidden/>
    <w:unhideWhenUsed/>
    <w:rsid w:val="00DD7571"/>
    <w:rPr>
      <w:b/>
      <w:bCs/>
    </w:rPr>
  </w:style>
  <w:style w:type="character" w:customStyle="1" w:styleId="CommentSubjectChar">
    <w:name w:val="Comment Subject Char"/>
    <w:basedOn w:val="CommentTextChar"/>
    <w:link w:val="CommentSubject"/>
    <w:uiPriority w:val="99"/>
    <w:semiHidden/>
    <w:rsid w:val="00DD7571"/>
    <w:rPr>
      <w:b/>
      <w:bCs/>
      <w:sz w:val="20"/>
      <w:szCs w:val="20"/>
    </w:rPr>
  </w:style>
  <w:style w:type="paragraph" w:styleId="Header">
    <w:name w:val="header"/>
    <w:basedOn w:val="Normal"/>
    <w:link w:val="HeaderChar"/>
    <w:uiPriority w:val="99"/>
    <w:unhideWhenUsed/>
    <w:rsid w:val="00C70FF7"/>
    <w:pPr>
      <w:tabs>
        <w:tab w:val="center" w:pos="4680"/>
        <w:tab w:val="right" w:pos="9360"/>
      </w:tabs>
    </w:pPr>
  </w:style>
  <w:style w:type="character" w:customStyle="1" w:styleId="HeaderChar">
    <w:name w:val="Header Char"/>
    <w:basedOn w:val="DefaultParagraphFont"/>
    <w:link w:val="Header"/>
    <w:uiPriority w:val="99"/>
    <w:rsid w:val="00C70FF7"/>
  </w:style>
  <w:style w:type="paragraph" w:styleId="ListParagraph">
    <w:name w:val="List Paragraph"/>
    <w:basedOn w:val="Normal"/>
    <w:uiPriority w:val="34"/>
    <w:qFormat/>
    <w:rsid w:val="00887ACA"/>
    <w:pPr>
      <w:ind w:left="720"/>
      <w:contextualSpacing/>
    </w:pPr>
  </w:style>
  <w:style w:type="paragraph" w:styleId="Title">
    <w:name w:val="Title"/>
    <w:basedOn w:val="Normal"/>
    <w:next w:val="Normal"/>
    <w:link w:val="TitleChar"/>
    <w:uiPriority w:val="10"/>
    <w:qFormat/>
    <w:rsid w:val="00721B82"/>
    <w:pPr>
      <w:tabs>
        <w:tab w:val="center" w:pos="4680"/>
      </w:tabs>
      <w:jc w:val="center"/>
    </w:pPr>
    <w:rPr>
      <w:rFonts w:ascii="Times New Roman" w:eastAsia="Times New Roman" w:hAnsi="Times New Roman" w:cs="Times New Roman"/>
      <w:b/>
      <w:sz w:val="26"/>
      <w:szCs w:val="26"/>
    </w:rPr>
  </w:style>
  <w:style w:type="character" w:customStyle="1" w:styleId="TitleChar">
    <w:name w:val="Title Char"/>
    <w:basedOn w:val="DefaultParagraphFont"/>
    <w:link w:val="Title"/>
    <w:uiPriority w:val="10"/>
    <w:rsid w:val="00721B82"/>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54142F"/>
    <w:rPr>
      <w:rFonts w:ascii="Times New Roman" w:eastAsia="Times New Roman" w:hAnsi="Times New Roman" w:cs="Times New Roman"/>
      <w:b/>
      <w:color w:val="333333"/>
      <w:sz w:val="26"/>
      <w:szCs w:val="26"/>
    </w:rPr>
  </w:style>
  <w:style w:type="paragraph" w:styleId="NoSpacing">
    <w:name w:val="No Spacing"/>
    <w:uiPriority w:val="1"/>
    <w:qFormat/>
    <w:rsid w:val="00C667DC"/>
    <w:rPr>
      <w:rFonts w:ascii="Calibri" w:eastAsia="Calibri" w:hAnsi="Calibri" w:cs="Times New Roman"/>
    </w:rPr>
  </w:style>
  <w:style w:type="paragraph" w:styleId="TOCHeading">
    <w:name w:val="TOC Heading"/>
    <w:basedOn w:val="Heading1"/>
    <w:next w:val="Normal"/>
    <w:uiPriority w:val="39"/>
    <w:unhideWhenUsed/>
    <w:qFormat/>
    <w:rsid w:val="00304CD6"/>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5B3EE7"/>
    <w:pPr>
      <w:tabs>
        <w:tab w:val="left" w:pos="1440"/>
        <w:tab w:val="right" w:leader="dot" w:pos="9350"/>
      </w:tabs>
      <w:spacing w:after="100" w:line="259" w:lineRule="auto"/>
      <w:ind w:left="720"/>
    </w:pPr>
    <w:rPr>
      <w:rFonts w:eastAsiaTheme="minorEastAsia" w:cs="Times New Roman"/>
    </w:rPr>
  </w:style>
  <w:style w:type="paragraph" w:styleId="TOC1">
    <w:name w:val="toc 1"/>
    <w:basedOn w:val="Normal"/>
    <w:next w:val="Normal"/>
    <w:autoRedefine/>
    <w:uiPriority w:val="39"/>
    <w:unhideWhenUsed/>
    <w:rsid w:val="005B3EE7"/>
    <w:pPr>
      <w:tabs>
        <w:tab w:val="left" w:pos="720"/>
        <w:tab w:val="right" w:leader="dot" w:pos="9350"/>
      </w:tabs>
      <w:spacing w:after="100" w:line="259" w:lineRule="auto"/>
    </w:pPr>
    <w:rPr>
      <w:rFonts w:eastAsiaTheme="minorEastAsia" w:cs="Times New Roman"/>
    </w:rPr>
  </w:style>
  <w:style w:type="paragraph" w:styleId="TOC3">
    <w:name w:val="toc 3"/>
    <w:basedOn w:val="Normal"/>
    <w:next w:val="Normal"/>
    <w:autoRedefine/>
    <w:uiPriority w:val="39"/>
    <w:unhideWhenUsed/>
    <w:rsid w:val="005B3EE7"/>
    <w:pPr>
      <w:tabs>
        <w:tab w:val="left" w:pos="2160"/>
        <w:tab w:val="right" w:leader="dot" w:pos="9350"/>
      </w:tabs>
      <w:spacing w:after="100" w:line="259" w:lineRule="auto"/>
      <w:ind w:left="1440"/>
    </w:pPr>
    <w:rPr>
      <w:rFonts w:eastAsiaTheme="minorEastAsia" w:cs="Times New Roman"/>
    </w:rPr>
  </w:style>
  <w:style w:type="character" w:styleId="Hyperlink">
    <w:name w:val="Hyperlink"/>
    <w:basedOn w:val="DefaultParagraphFont"/>
    <w:uiPriority w:val="99"/>
    <w:unhideWhenUsed/>
    <w:rsid w:val="00304CD6"/>
    <w:rPr>
      <w:color w:val="0563C1" w:themeColor="hyperlink"/>
      <w:u w:val="single"/>
    </w:rPr>
  </w:style>
  <w:style w:type="character" w:customStyle="1" w:styleId="Heading2Char">
    <w:name w:val="Heading 2 Char"/>
    <w:basedOn w:val="DefaultParagraphFont"/>
    <w:link w:val="Heading2"/>
    <w:uiPriority w:val="9"/>
    <w:rsid w:val="0054142F"/>
    <w:rPr>
      <w:rFonts w:ascii="Times New Roman" w:hAnsi="Times New Roman" w:cs="Times New Roman"/>
      <w:b/>
      <w:sz w:val="26"/>
      <w:szCs w:val="26"/>
    </w:rPr>
  </w:style>
  <w:style w:type="character" w:customStyle="1" w:styleId="Heading3Char">
    <w:name w:val="Heading 3 Char"/>
    <w:basedOn w:val="DefaultParagraphFont"/>
    <w:link w:val="Heading3"/>
    <w:uiPriority w:val="9"/>
    <w:rsid w:val="009922FD"/>
    <w:rPr>
      <w:rFonts w:ascii="Times New Roman" w:hAnsi="Times New Roman" w:cs="Times New Roman"/>
      <w:b/>
      <w:bCs/>
      <w:sz w:val="26"/>
      <w:szCs w:val="26"/>
    </w:rPr>
  </w:style>
  <w:style w:type="character" w:customStyle="1" w:styleId="Heading4Char">
    <w:name w:val="Heading 4 Char"/>
    <w:basedOn w:val="DefaultParagraphFont"/>
    <w:link w:val="Heading4"/>
    <w:uiPriority w:val="9"/>
    <w:rsid w:val="00A32C45"/>
    <w:rPr>
      <w:rFonts w:ascii="Times New Roman" w:hAnsi="Times New Roman" w:cs="Times New Roman"/>
      <w:b/>
      <w:bCs/>
      <w:sz w:val="26"/>
      <w:szCs w:val="26"/>
    </w:rPr>
  </w:style>
  <w:style w:type="character" w:customStyle="1" w:styleId="Heading5Char">
    <w:name w:val="Heading 5 Char"/>
    <w:basedOn w:val="DefaultParagraphFont"/>
    <w:link w:val="Heading5"/>
    <w:uiPriority w:val="9"/>
    <w:rsid w:val="00891B58"/>
    <w:rPr>
      <w:rFonts w:ascii="Times New Roman" w:hAnsi="Times New Roman" w:cs="Times New Roman"/>
      <w:b/>
      <w:bCs/>
      <w:sz w:val="26"/>
      <w:szCs w:val="26"/>
    </w:rPr>
  </w:style>
  <w:style w:type="paragraph" w:styleId="TOC4">
    <w:name w:val="toc 4"/>
    <w:basedOn w:val="Normal"/>
    <w:next w:val="Normal"/>
    <w:autoRedefine/>
    <w:uiPriority w:val="39"/>
    <w:unhideWhenUsed/>
    <w:rsid w:val="00787B37"/>
    <w:pPr>
      <w:tabs>
        <w:tab w:val="left" w:pos="2880"/>
        <w:tab w:val="right" w:leader="dot" w:pos="9350"/>
      </w:tabs>
      <w:spacing w:after="100"/>
      <w:ind w:left="2880" w:hanging="720"/>
    </w:pPr>
  </w:style>
  <w:style w:type="paragraph" w:styleId="TOC5">
    <w:name w:val="toc 5"/>
    <w:basedOn w:val="Normal"/>
    <w:next w:val="Normal"/>
    <w:autoRedefine/>
    <w:uiPriority w:val="39"/>
    <w:unhideWhenUsed/>
    <w:rsid w:val="00B1121C"/>
    <w:pPr>
      <w:tabs>
        <w:tab w:val="left" w:pos="3600"/>
        <w:tab w:val="right" w:leader="dot" w:pos="9350"/>
      </w:tabs>
      <w:spacing w:after="100"/>
      <w:ind w:left="2880"/>
    </w:pPr>
  </w:style>
  <w:style w:type="character" w:customStyle="1" w:styleId="Heading6Char">
    <w:name w:val="Heading 6 Char"/>
    <w:basedOn w:val="DefaultParagraphFont"/>
    <w:link w:val="Heading6"/>
    <w:uiPriority w:val="9"/>
    <w:rsid w:val="00F97CBE"/>
    <w:rPr>
      <w:rFonts w:ascii="Times New Roman" w:hAnsi="Times New Roman" w:cs="Times New Roman"/>
      <w:b/>
      <w:bCs/>
      <w:sz w:val="26"/>
      <w:szCs w:val="26"/>
    </w:rPr>
  </w:style>
  <w:style w:type="character" w:customStyle="1" w:styleId="Heading7Char">
    <w:name w:val="Heading 7 Char"/>
    <w:basedOn w:val="DefaultParagraphFont"/>
    <w:link w:val="Heading7"/>
    <w:uiPriority w:val="9"/>
    <w:rsid w:val="002477FF"/>
    <w:rPr>
      <w:rFonts w:ascii="Times New Roman" w:hAnsi="Times New Roman" w:cs="Times New Roman"/>
      <w:b/>
      <w:bCs/>
      <w:sz w:val="26"/>
      <w:szCs w:val="26"/>
    </w:rPr>
  </w:style>
  <w:style w:type="paragraph" w:styleId="TOC6">
    <w:name w:val="toc 6"/>
    <w:basedOn w:val="Normal"/>
    <w:next w:val="Normal"/>
    <w:autoRedefine/>
    <w:uiPriority w:val="39"/>
    <w:unhideWhenUsed/>
    <w:rsid w:val="00F97CBE"/>
    <w:pPr>
      <w:tabs>
        <w:tab w:val="left" w:pos="4320"/>
        <w:tab w:val="right" w:leader="dot" w:pos="9350"/>
      </w:tabs>
      <w:spacing w:after="100"/>
      <w:ind w:left="3600"/>
    </w:pPr>
  </w:style>
  <w:style w:type="paragraph" w:styleId="TOC7">
    <w:name w:val="toc 7"/>
    <w:basedOn w:val="Normal"/>
    <w:next w:val="Normal"/>
    <w:autoRedefine/>
    <w:uiPriority w:val="39"/>
    <w:unhideWhenUsed/>
    <w:rsid w:val="00484E60"/>
    <w:pPr>
      <w:tabs>
        <w:tab w:val="left" w:pos="5040"/>
        <w:tab w:val="right" w:leader="dot" w:pos="9350"/>
      </w:tabs>
      <w:spacing w:after="100"/>
      <w:ind w:left="5040" w:hanging="720"/>
    </w:pPr>
  </w:style>
  <w:style w:type="paragraph" w:customStyle="1" w:styleId="paragraph">
    <w:name w:val="paragraph"/>
    <w:basedOn w:val="Normal"/>
    <w:rsid w:val="0068710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87100"/>
  </w:style>
  <w:style w:type="character" w:customStyle="1" w:styleId="eop">
    <w:name w:val="eop"/>
    <w:basedOn w:val="DefaultParagraphFont"/>
    <w:rsid w:val="00687100"/>
  </w:style>
  <w:style w:type="character" w:customStyle="1" w:styleId="superscript">
    <w:name w:val="superscript"/>
    <w:basedOn w:val="DefaultParagraphFont"/>
    <w:rsid w:val="00687100"/>
  </w:style>
  <w:style w:type="character" w:customStyle="1" w:styleId="tabchar">
    <w:name w:val="tabchar"/>
    <w:basedOn w:val="DefaultParagraphFont"/>
    <w:rsid w:val="00687100"/>
  </w:style>
  <w:style w:type="character" w:customStyle="1" w:styleId="cosearchterm">
    <w:name w:val="co_searchterm"/>
    <w:basedOn w:val="DefaultParagraphFont"/>
    <w:rsid w:val="00E37405"/>
  </w:style>
  <w:style w:type="paragraph" w:styleId="Revision">
    <w:name w:val="Revision"/>
    <w:hidden/>
    <w:uiPriority w:val="99"/>
    <w:semiHidden/>
    <w:rsid w:val="007B4434"/>
  </w:style>
  <w:style w:type="paragraph" w:styleId="BodyText">
    <w:name w:val="Body Text"/>
    <w:basedOn w:val="Normal"/>
    <w:link w:val="BodyTextChar"/>
    <w:uiPriority w:val="99"/>
    <w:unhideWhenUsed/>
    <w:rsid w:val="00931D93"/>
    <w:pPr>
      <w:spacing w:after="120" w:line="244" w:lineRule="auto"/>
      <w:ind w:left="10" w:hanging="10"/>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uiPriority w:val="99"/>
    <w:rsid w:val="00931D93"/>
    <w:rPr>
      <w:rFonts w:ascii="Times New Roman" w:eastAsia="Times New Roman" w:hAnsi="Times New Roman" w:cs="Times New Roman"/>
      <w:color w:val="000000"/>
      <w:sz w:val="24"/>
    </w:rPr>
  </w:style>
  <w:style w:type="paragraph" w:styleId="BodyText2">
    <w:name w:val="Body Text 2"/>
    <w:basedOn w:val="Normal"/>
    <w:link w:val="BodyText2Char"/>
    <w:uiPriority w:val="99"/>
    <w:unhideWhenUsed/>
    <w:rsid w:val="00107AF2"/>
    <w:pPr>
      <w:spacing w:after="120" w:line="480" w:lineRule="auto"/>
    </w:pPr>
  </w:style>
  <w:style w:type="character" w:customStyle="1" w:styleId="BodyText2Char">
    <w:name w:val="Body Text 2 Char"/>
    <w:basedOn w:val="DefaultParagraphFont"/>
    <w:link w:val="BodyText2"/>
    <w:uiPriority w:val="99"/>
    <w:rsid w:val="0010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4381">
      <w:bodyDiv w:val="1"/>
      <w:marLeft w:val="0"/>
      <w:marRight w:val="0"/>
      <w:marTop w:val="0"/>
      <w:marBottom w:val="0"/>
      <w:divBdr>
        <w:top w:val="none" w:sz="0" w:space="0" w:color="auto"/>
        <w:left w:val="none" w:sz="0" w:space="0" w:color="auto"/>
        <w:bottom w:val="none" w:sz="0" w:space="0" w:color="auto"/>
        <w:right w:val="none" w:sz="0" w:space="0" w:color="auto"/>
      </w:divBdr>
      <w:divsChild>
        <w:div w:id="47072590">
          <w:marLeft w:val="0"/>
          <w:marRight w:val="0"/>
          <w:marTop w:val="0"/>
          <w:marBottom w:val="0"/>
          <w:divBdr>
            <w:top w:val="none" w:sz="0" w:space="0" w:color="auto"/>
            <w:left w:val="none" w:sz="0" w:space="0" w:color="auto"/>
            <w:bottom w:val="none" w:sz="0" w:space="0" w:color="auto"/>
            <w:right w:val="none" w:sz="0" w:space="0" w:color="auto"/>
          </w:divBdr>
        </w:div>
        <w:div w:id="172496631">
          <w:marLeft w:val="0"/>
          <w:marRight w:val="0"/>
          <w:marTop w:val="0"/>
          <w:marBottom w:val="0"/>
          <w:divBdr>
            <w:top w:val="none" w:sz="0" w:space="0" w:color="auto"/>
            <w:left w:val="none" w:sz="0" w:space="0" w:color="auto"/>
            <w:bottom w:val="none" w:sz="0" w:space="0" w:color="auto"/>
            <w:right w:val="none" w:sz="0" w:space="0" w:color="auto"/>
          </w:divBdr>
        </w:div>
        <w:div w:id="214783601">
          <w:marLeft w:val="0"/>
          <w:marRight w:val="0"/>
          <w:marTop w:val="0"/>
          <w:marBottom w:val="0"/>
          <w:divBdr>
            <w:top w:val="none" w:sz="0" w:space="0" w:color="auto"/>
            <w:left w:val="none" w:sz="0" w:space="0" w:color="auto"/>
            <w:bottom w:val="none" w:sz="0" w:space="0" w:color="auto"/>
            <w:right w:val="none" w:sz="0" w:space="0" w:color="auto"/>
          </w:divBdr>
        </w:div>
        <w:div w:id="291906767">
          <w:marLeft w:val="0"/>
          <w:marRight w:val="0"/>
          <w:marTop w:val="0"/>
          <w:marBottom w:val="0"/>
          <w:divBdr>
            <w:top w:val="none" w:sz="0" w:space="0" w:color="auto"/>
            <w:left w:val="none" w:sz="0" w:space="0" w:color="auto"/>
            <w:bottom w:val="none" w:sz="0" w:space="0" w:color="auto"/>
            <w:right w:val="none" w:sz="0" w:space="0" w:color="auto"/>
          </w:divBdr>
        </w:div>
        <w:div w:id="300159552">
          <w:marLeft w:val="0"/>
          <w:marRight w:val="0"/>
          <w:marTop w:val="0"/>
          <w:marBottom w:val="0"/>
          <w:divBdr>
            <w:top w:val="none" w:sz="0" w:space="0" w:color="auto"/>
            <w:left w:val="none" w:sz="0" w:space="0" w:color="auto"/>
            <w:bottom w:val="none" w:sz="0" w:space="0" w:color="auto"/>
            <w:right w:val="none" w:sz="0" w:space="0" w:color="auto"/>
          </w:divBdr>
        </w:div>
        <w:div w:id="318308884">
          <w:marLeft w:val="0"/>
          <w:marRight w:val="0"/>
          <w:marTop w:val="0"/>
          <w:marBottom w:val="0"/>
          <w:divBdr>
            <w:top w:val="none" w:sz="0" w:space="0" w:color="auto"/>
            <w:left w:val="none" w:sz="0" w:space="0" w:color="auto"/>
            <w:bottom w:val="none" w:sz="0" w:space="0" w:color="auto"/>
            <w:right w:val="none" w:sz="0" w:space="0" w:color="auto"/>
          </w:divBdr>
        </w:div>
        <w:div w:id="430660897">
          <w:marLeft w:val="0"/>
          <w:marRight w:val="0"/>
          <w:marTop w:val="0"/>
          <w:marBottom w:val="0"/>
          <w:divBdr>
            <w:top w:val="none" w:sz="0" w:space="0" w:color="auto"/>
            <w:left w:val="none" w:sz="0" w:space="0" w:color="auto"/>
            <w:bottom w:val="none" w:sz="0" w:space="0" w:color="auto"/>
            <w:right w:val="none" w:sz="0" w:space="0" w:color="auto"/>
          </w:divBdr>
        </w:div>
        <w:div w:id="503664088">
          <w:marLeft w:val="0"/>
          <w:marRight w:val="0"/>
          <w:marTop w:val="0"/>
          <w:marBottom w:val="0"/>
          <w:divBdr>
            <w:top w:val="none" w:sz="0" w:space="0" w:color="auto"/>
            <w:left w:val="none" w:sz="0" w:space="0" w:color="auto"/>
            <w:bottom w:val="none" w:sz="0" w:space="0" w:color="auto"/>
            <w:right w:val="none" w:sz="0" w:space="0" w:color="auto"/>
          </w:divBdr>
        </w:div>
        <w:div w:id="534319480">
          <w:marLeft w:val="0"/>
          <w:marRight w:val="0"/>
          <w:marTop w:val="0"/>
          <w:marBottom w:val="0"/>
          <w:divBdr>
            <w:top w:val="none" w:sz="0" w:space="0" w:color="auto"/>
            <w:left w:val="none" w:sz="0" w:space="0" w:color="auto"/>
            <w:bottom w:val="none" w:sz="0" w:space="0" w:color="auto"/>
            <w:right w:val="none" w:sz="0" w:space="0" w:color="auto"/>
          </w:divBdr>
        </w:div>
        <w:div w:id="588738287">
          <w:marLeft w:val="0"/>
          <w:marRight w:val="0"/>
          <w:marTop w:val="0"/>
          <w:marBottom w:val="0"/>
          <w:divBdr>
            <w:top w:val="none" w:sz="0" w:space="0" w:color="auto"/>
            <w:left w:val="none" w:sz="0" w:space="0" w:color="auto"/>
            <w:bottom w:val="none" w:sz="0" w:space="0" w:color="auto"/>
            <w:right w:val="none" w:sz="0" w:space="0" w:color="auto"/>
          </w:divBdr>
        </w:div>
        <w:div w:id="598413665">
          <w:marLeft w:val="0"/>
          <w:marRight w:val="0"/>
          <w:marTop w:val="0"/>
          <w:marBottom w:val="0"/>
          <w:divBdr>
            <w:top w:val="none" w:sz="0" w:space="0" w:color="auto"/>
            <w:left w:val="none" w:sz="0" w:space="0" w:color="auto"/>
            <w:bottom w:val="none" w:sz="0" w:space="0" w:color="auto"/>
            <w:right w:val="none" w:sz="0" w:space="0" w:color="auto"/>
          </w:divBdr>
        </w:div>
        <w:div w:id="650061153">
          <w:marLeft w:val="0"/>
          <w:marRight w:val="0"/>
          <w:marTop w:val="0"/>
          <w:marBottom w:val="0"/>
          <w:divBdr>
            <w:top w:val="none" w:sz="0" w:space="0" w:color="auto"/>
            <w:left w:val="none" w:sz="0" w:space="0" w:color="auto"/>
            <w:bottom w:val="none" w:sz="0" w:space="0" w:color="auto"/>
            <w:right w:val="none" w:sz="0" w:space="0" w:color="auto"/>
          </w:divBdr>
        </w:div>
        <w:div w:id="651447736">
          <w:marLeft w:val="0"/>
          <w:marRight w:val="0"/>
          <w:marTop w:val="0"/>
          <w:marBottom w:val="0"/>
          <w:divBdr>
            <w:top w:val="none" w:sz="0" w:space="0" w:color="auto"/>
            <w:left w:val="none" w:sz="0" w:space="0" w:color="auto"/>
            <w:bottom w:val="none" w:sz="0" w:space="0" w:color="auto"/>
            <w:right w:val="none" w:sz="0" w:space="0" w:color="auto"/>
          </w:divBdr>
        </w:div>
        <w:div w:id="659575584">
          <w:marLeft w:val="0"/>
          <w:marRight w:val="0"/>
          <w:marTop w:val="0"/>
          <w:marBottom w:val="0"/>
          <w:divBdr>
            <w:top w:val="none" w:sz="0" w:space="0" w:color="auto"/>
            <w:left w:val="none" w:sz="0" w:space="0" w:color="auto"/>
            <w:bottom w:val="none" w:sz="0" w:space="0" w:color="auto"/>
            <w:right w:val="none" w:sz="0" w:space="0" w:color="auto"/>
          </w:divBdr>
        </w:div>
        <w:div w:id="689989090">
          <w:marLeft w:val="0"/>
          <w:marRight w:val="0"/>
          <w:marTop w:val="0"/>
          <w:marBottom w:val="0"/>
          <w:divBdr>
            <w:top w:val="none" w:sz="0" w:space="0" w:color="auto"/>
            <w:left w:val="none" w:sz="0" w:space="0" w:color="auto"/>
            <w:bottom w:val="none" w:sz="0" w:space="0" w:color="auto"/>
            <w:right w:val="none" w:sz="0" w:space="0" w:color="auto"/>
          </w:divBdr>
        </w:div>
        <w:div w:id="698622311">
          <w:marLeft w:val="0"/>
          <w:marRight w:val="0"/>
          <w:marTop w:val="0"/>
          <w:marBottom w:val="0"/>
          <w:divBdr>
            <w:top w:val="none" w:sz="0" w:space="0" w:color="auto"/>
            <w:left w:val="none" w:sz="0" w:space="0" w:color="auto"/>
            <w:bottom w:val="none" w:sz="0" w:space="0" w:color="auto"/>
            <w:right w:val="none" w:sz="0" w:space="0" w:color="auto"/>
          </w:divBdr>
        </w:div>
        <w:div w:id="765538060">
          <w:marLeft w:val="0"/>
          <w:marRight w:val="0"/>
          <w:marTop w:val="0"/>
          <w:marBottom w:val="0"/>
          <w:divBdr>
            <w:top w:val="none" w:sz="0" w:space="0" w:color="auto"/>
            <w:left w:val="none" w:sz="0" w:space="0" w:color="auto"/>
            <w:bottom w:val="none" w:sz="0" w:space="0" w:color="auto"/>
            <w:right w:val="none" w:sz="0" w:space="0" w:color="auto"/>
          </w:divBdr>
        </w:div>
        <w:div w:id="814377903">
          <w:marLeft w:val="0"/>
          <w:marRight w:val="0"/>
          <w:marTop w:val="0"/>
          <w:marBottom w:val="0"/>
          <w:divBdr>
            <w:top w:val="none" w:sz="0" w:space="0" w:color="auto"/>
            <w:left w:val="none" w:sz="0" w:space="0" w:color="auto"/>
            <w:bottom w:val="none" w:sz="0" w:space="0" w:color="auto"/>
            <w:right w:val="none" w:sz="0" w:space="0" w:color="auto"/>
          </w:divBdr>
        </w:div>
        <w:div w:id="840119189">
          <w:marLeft w:val="0"/>
          <w:marRight w:val="0"/>
          <w:marTop w:val="0"/>
          <w:marBottom w:val="0"/>
          <w:divBdr>
            <w:top w:val="none" w:sz="0" w:space="0" w:color="auto"/>
            <w:left w:val="none" w:sz="0" w:space="0" w:color="auto"/>
            <w:bottom w:val="none" w:sz="0" w:space="0" w:color="auto"/>
            <w:right w:val="none" w:sz="0" w:space="0" w:color="auto"/>
          </w:divBdr>
        </w:div>
        <w:div w:id="846479375">
          <w:marLeft w:val="0"/>
          <w:marRight w:val="0"/>
          <w:marTop w:val="0"/>
          <w:marBottom w:val="0"/>
          <w:divBdr>
            <w:top w:val="none" w:sz="0" w:space="0" w:color="auto"/>
            <w:left w:val="none" w:sz="0" w:space="0" w:color="auto"/>
            <w:bottom w:val="none" w:sz="0" w:space="0" w:color="auto"/>
            <w:right w:val="none" w:sz="0" w:space="0" w:color="auto"/>
          </w:divBdr>
        </w:div>
        <w:div w:id="852569588">
          <w:marLeft w:val="0"/>
          <w:marRight w:val="0"/>
          <w:marTop w:val="0"/>
          <w:marBottom w:val="0"/>
          <w:divBdr>
            <w:top w:val="none" w:sz="0" w:space="0" w:color="auto"/>
            <w:left w:val="none" w:sz="0" w:space="0" w:color="auto"/>
            <w:bottom w:val="none" w:sz="0" w:space="0" w:color="auto"/>
            <w:right w:val="none" w:sz="0" w:space="0" w:color="auto"/>
          </w:divBdr>
        </w:div>
        <w:div w:id="862014255">
          <w:marLeft w:val="0"/>
          <w:marRight w:val="0"/>
          <w:marTop w:val="0"/>
          <w:marBottom w:val="0"/>
          <w:divBdr>
            <w:top w:val="none" w:sz="0" w:space="0" w:color="auto"/>
            <w:left w:val="none" w:sz="0" w:space="0" w:color="auto"/>
            <w:bottom w:val="none" w:sz="0" w:space="0" w:color="auto"/>
            <w:right w:val="none" w:sz="0" w:space="0" w:color="auto"/>
          </w:divBdr>
        </w:div>
        <w:div w:id="872154607">
          <w:marLeft w:val="0"/>
          <w:marRight w:val="0"/>
          <w:marTop w:val="0"/>
          <w:marBottom w:val="0"/>
          <w:divBdr>
            <w:top w:val="none" w:sz="0" w:space="0" w:color="auto"/>
            <w:left w:val="none" w:sz="0" w:space="0" w:color="auto"/>
            <w:bottom w:val="none" w:sz="0" w:space="0" w:color="auto"/>
            <w:right w:val="none" w:sz="0" w:space="0" w:color="auto"/>
          </w:divBdr>
        </w:div>
        <w:div w:id="917833041">
          <w:marLeft w:val="0"/>
          <w:marRight w:val="0"/>
          <w:marTop w:val="0"/>
          <w:marBottom w:val="0"/>
          <w:divBdr>
            <w:top w:val="none" w:sz="0" w:space="0" w:color="auto"/>
            <w:left w:val="none" w:sz="0" w:space="0" w:color="auto"/>
            <w:bottom w:val="none" w:sz="0" w:space="0" w:color="auto"/>
            <w:right w:val="none" w:sz="0" w:space="0" w:color="auto"/>
          </w:divBdr>
        </w:div>
        <w:div w:id="940453333">
          <w:marLeft w:val="0"/>
          <w:marRight w:val="0"/>
          <w:marTop w:val="0"/>
          <w:marBottom w:val="0"/>
          <w:divBdr>
            <w:top w:val="none" w:sz="0" w:space="0" w:color="auto"/>
            <w:left w:val="none" w:sz="0" w:space="0" w:color="auto"/>
            <w:bottom w:val="none" w:sz="0" w:space="0" w:color="auto"/>
            <w:right w:val="none" w:sz="0" w:space="0" w:color="auto"/>
          </w:divBdr>
        </w:div>
        <w:div w:id="962225740">
          <w:marLeft w:val="0"/>
          <w:marRight w:val="0"/>
          <w:marTop w:val="0"/>
          <w:marBottom w:val="0"/>
          <w:divBdr>
            <w:top w:val="none" w:sz="0" w:space="0" w:color="auto"/>
            <w:left w:val="none" w:sz="0" w:space="0" w:color="auto"/>
            <w:bottom w:val="none" w:sz="0" w:space="0" w:color="auto"/>
            <w:right w:val="none" w:sz="0" w:space="0" w:color="auto"/>
          </w:divBdr>
        </w:div>
        <w:div w:id="1060130412">
          <w:marLeft w:val="0"/>
          <w:marRight w:val="0"/>
          <w:marTop w:val="0"/>
          <w:marBottom w:val="0"/>
          <w:divBdr>
            <w:top w:val="none" w:sz="0" w:space="0" w:color="auto"/>
            <w:left w:val="none" w:sz="0" w:space="0" w:color="auto"/>
            <w:bottom w:val="none" w:sz="0" w:space="0" w:color="auto"/>
            <w:right w:val="none" w:sz="0" w:space="0" w:color="auto"/>
          </w:divBdr>
        </w:div>
        <w:div w:id="1079978906">
          <w:marLeft w:val="0"/>
          <w:marRight w:val="0"/>
          <w:marTop w:val="0"/>
          <w:marBottom w:val="0"/>
          <w:divBdr>
            <w:top w:val="none" w:sz="0" w:space="0" w:color="auto"/>
            <w:left w:val="none" w:sz="0" w:space="0" w:color="auto"/>
            <w:bottom w:val="none" w:sz="0" w:space="0" w:color="auto"/>
            <w:right w:val="none" w:sz="0" w:space="0" w:color="auto"/>
          </w:divBdr>
        </w:div>
        <w:div w:id="1141726602">
          <w:marLeft w:val="0"/>
          <w:marRight w:val="0"/>
          <w:marTop w:val="0"/>
          <w:marBottom w:val="0"/>
          <w:divBdr>
            <w:top w:val="none" w:sz="0" w:space="0" w:color="auto"/>
            <w:left w:val="none" w:sz="0" w:space="0" w:color="auto"/>
            <w:bottom w:val="none" w:sz="0" w:space="0" w:color="auto"/>
            <w:right w:val="none" w:sz="0" w:space="0" w:color="auto"/>
          </w:divBdr>
        </w:div>
        <w:div w:id="1154030708">
          <w:marLeft w:val="0"/>
          <w:marRight w:val="0"/>
          <w:marTop w:val="0"/>
          <w:marBottom w:val="0"/>
          <w:divBdr>
            <w:top w:val="none" w:sz="0" w:space="0" w:color="auto"/>
            <w:left w:val="none" w:sz="0" w:space="0" w:color="auto"/>
            <w:bottom w:val="none" w:sz="0" w:space="0" w:color="auto"/>
            <w:right w:val="none" w:sz="0" w:space="0" w:color="auto"/>
          </w:divBdr>
        </w:div>
        <w:div w:id="1174488252">
          <w:marLeft w:val="0"/>
          <w:marRight w:val="0"/>
          <w:marTop w:val="0"/>
          <w:marBottom w:val="0"/>
          <w:divBdr>
            <w:top w:val="none" w:sz="0" w:space="0" w:color="auto"/>
            <w:left w:val="none" w:sz="0" w:space="0" w:color="auto"/>
            <w:bottom w:val="none" w:sz="0" w:space="0" w:color="auto"/>
            <w:right w:val="none" w:sz="0" w:space="0" w:color="auto"/>
          </w:divBdr>
        </w:div>
        <w:div w:id="1186941150">
          <w:marLeft w:val="0"/>
          <w:marRight w:val="0"/>
          <w:marTop w:val="0"/>
          <w:marBottom w:val="0"/>
          <w:divBdr>
            <w:top w:val="none" w:sz="0" w:space="0" w:color="auto"/>
            <w:left w:val="none" w:sz="0" w:space="0" w:color="auto"/>
            <w:bottom w:val="none" w:sz="0" w:space="0" w:color="auto"/>
            <w:right w:val="none" w:sz="0" w:space="0" w:color="auto"/>
          </w:divBdr>
        </w:div>
        <w:div w:id="1286236766">
          <w:marLeft w:val="0"/>
          <w:marRight w:val="0"/>
          <w:marTop w:val="0"/>
          <w:marBottom w:val="0"/>
          <w:divBdr>
            <w:top w:val="none" w:sz="0" w:space="0" w:color="auto"/>
            <w:left w:val="none" w:sz="0" w:space="0" w:color="auto"/>
            <w:bottom w:val="none" w:sz="0" w:space="0" w:color="auto"/>
            <w:right w:val="none" w:sz="0" w:space="0" w:color="auto"/>
          </w:divBdr>
        </w:div>
        <w:div w:id="1287662694">
          <w:marLeft w:val="0"/>
          <w:marRight w:val="0"/>
          <w:marTop w:val="0"/>
          <w:marBottom w:val="0"/>
          <w:divBdr>
            <w:top w:val="none" w:sz="0" w:space="0" w:color="auto"/>
            <w:left w:val="none" w:sz="0" w:space="0" w:color="auto"/>
            <w:bottom w:val="none" w:sz="0" w:space="0" w:color="auto"/>
            <w:right w:val="none" w:sz="0" w:space="0" w:color="auto"/>
          </w:divBdr>
        </w:div>
        <w:div w:id="1366179386">
          <w:marLeft w:val="0"/>
          <w:marRight w:val="0"/>
          <w:marTop w:val="0"/>
          <w:marBottom w:val="0"/>
          <w:divBdr>
            <w:top w:val="none" w:sz="0" w:space="0" w:color="auto"/>
            <w:left w:val="none" w:sz="0" w:space="0" w:color="auto"/>
            <w:bottom w:val="none" w:sz="0" w:space="0" w:color="auto"/>
            <w:right w:val="none" w:sz="0" w:space="0" w:color="auto"/>
          </w:divBdr>
        </w:div>
        <w:div w:id="1431928354">
          <w:marLeft w:val="0"/>
          <w:marRight w:val="0"/>
          <w:marTop w:val="0"/>
          <w:marBottom w:val="0"/>
          <w:divBdr>
            <w:top w:val="none" w:sz="0" w:space="0" w:color="auto"/>
            <w:left w:val="none" w:sz="0" w:space="0" w:color="auto"/>
            <w:bottom w:val="none" w:sz="0" w:space="0" w:color="auto"/>
            <w:right w:val="none" w:sz="0" w:space="0" w:color="auto"/>
          </w:divBdr>
        </w:div>
        <w:div w:id="1467501751">
          <w:marLeft w:val="0"/>
          <w:marRight w:val="0"/>
          <w:marTop w:val="0"/>
          <w:marBottom w:val="0"/>
          <w:divBdr>
            <w:top w:val="none" w:sz="0" w:space="0" w:color="auto"/>
            <w:left w:val="none" w:sz="0" w:space="0" w:color="auto"/>
            <w:bottom w:val="none" w:sz="0" w:space="0" w:color="auto"/>
            <w:right w:val="none" w:sz="0" w:space="0" w:color="auto"/>
          </w:divBdr>
        </w:div>
        <w:div w:id="1502814927">
          <w:marLeft w:val="0"/>
          <w:marRight w:val="0"/>
          <w:marTop w:val="0"/>
          <w:marBottom w:val="0"/>
          <w:divBdr>
            <w:top w:val="none" w:sz="0" w:space="0" w:color="auto"/>
            <w:left w:val="none" w:sz="0" w:space="0" w:color="auto"/>
            <w:bottom w:val="none" w:sz="0" w:space="0" w:color="auto"/>
            <w:right w:val="none" w:sz="0" w:space="0" w:color="auto"/>
          </w:divBdr>
        </w:div>
        <w:div w:id="1538859883">
          <w:marLeft w:val="0"/>
          <w:marRight w:val="0"/>
          <w:marTop w:val="0"/>
          <w:marBottom w:val="0"/>
          <w:divBdr>
            <w:top w:val="none" w:sz="0" w:space="0" w:color="auto"/>
            <w:left w:val="none" w:sz="0" w:space="0" w:color="auto"/>
            <w:bottom w:val="none" w:sz="0" w:space="0" w:color="auto"/>
            <w:right w:val="none" w:sz="0" w:space="0" w:color="auto"/>
          </w:divBdr>
        </w:div>
        <w:div w:id="1613051976">
          <w:marLeft w:val="0"/>
          <w:marRight w:val="0"/>
          <w:marTop w:val="0"/>
          <w:marBottom w:val="0"/>
          <w:divBdr>
            <w:top w:val="none" w:sz="0" w:space="0" w:color="auto"/>
            <w:left w:val="none" w:sz="0" w:space="0" w:color="auto"/>
            <w:bottom w:val="none" w:sz="0" w:space="0" w:color="auto"/>
            <w:right w:val="none" w:sz="0" w:space="0" w:color="auto"/>
          </w:divBdr>
        </w:div>
        <w:div w:id="1625041144">
          <w:marLeft w:val="0"/>
          <w:marRight w:val="0"/>
          <w:marTop w:val="0"/>
          <w:marBottom w:val="0"/>
          <w:divBdr>
            <w:top w:val="none" w:sz="0" w:space="0" w:color="auto"/>
            <w:left w:val="none" w:sz="0" w:space="0" w:color="auto"/>
            <w:bottom w:val="none" w:sz="0" w:space="0" w:color="auto"/>
            <w:right w:val="none" w:sz="0" w:space="0" w:color="auto"/>
          </w:divBdr>
        </w:div>
        <w:div w:id="1642423046">
          <w:marLeft w:val="0"/>
          <w:marRight w:val="0"/>
          <w:marTop w:val="0"/>
          <w:marBottom w:val="0"/>
          <w:divBdr>
            <w:top w:val="none" w:sz="0" w:space="0" w:color="auto"/>
            <w:left w:val="none" w:sz="0" w:space="0" w:color="auto"/>
            <w:bottom w:val="none" w:sz="0" w:space="0" w:color="auto"/>
            <w:right w:val="none" w:sz="0" w:space="0" w:color="auto"/>
          </w:divBdr>
        </w:div>
        <w:div w:id="1678580259">
          <w:marLeft w:val="0"/>
          <w:marRight w:val="0"/>
          <w:marTop w:val="0"/>
          <w:marBottom w:val="0"/>
          <w:divBdr>
            <w:top w:val="none" w:sz="0" w:space="0" w:color="auto"/>
            <w:left w:val="none" w:sz="0" w:space="0" w:color="auto"/>
            <w:bottom w:val="none" w:sz="0" w:space="0" w:color="auto"/>
            <w:right w:val="none" w:sz="0" w:space="0" w:color="auto"/>
          </w:divBdr>
        </w:div>
        <w:div w:id="1704675585">
          <w:marLeft w:val="0"/>
          <w:marRight w:val="0"/>
          <w:marTop w:val="0"/>
          <w:marBottom w:val="0"/>
          <w:divBdr>
            <w:top w:val="none" w:sz="0" w:space="0" w:color="auto"/>
            <w:left w:val="none" w:sz="0" w:space="0" w:color="auto"/>
            <w:bottom w:val="none" w:sz="0" w:space="0" w:color="auto"/>
            <w:right w:val="none" w:sz="0" w:space="0" w:color="auto"/>
          </w:divBdr>
        </w:div>
        <w:div w:id="1712411742">
          <w:marLeft w:val="0"/>
          <w:marRight w:val="0"/>
          <w:marTop w:val="0"/>
          <w:marBottom w:val="0"/>
          <w:divBdr>
            <w:top w:val="none" w:sz="0" w:space="0" w:color="auto"/>
            <w:left w:val="none" w:sz="0" w:space="0" w:color="auto"/>
            <w:bottom w:val="none" w:sz="0" w:space="0" w:color="auto"/>
            <w:right w:val="none" w:sz="0" w:space="0" w:color="auto"/>
          </w:divBdr>
        </w:div>
        <w:div w:id="1727796365">
          <w:marLeft w:val="0"/>
          <w:marRight w:val="0"/>
          <w:marTop w:val="0"/>
          <w:marBottom w:val="0"/>
          <w:divBdr>
            <w:top w:val="none" w:sz="0" w:space="0" w:color="auto"/>
            <w:left w:val="none" w:sz="0" w:space="0" w:color="auto"/>
            <w:bottom w:val="none" w:sz="0" w:space="0" w:color="auto"/>
            <w:right w:val="none" w:sz="0" w:space="0" w:color="auto"/>
          </w:divBdr>
        </w:div>
        <w:div w:id="1780105023">
          <w:marLeft w:val="0"/>
          <w:marRight w:val="0"/>
          <w:marTop w:val="0"/>
          <w:marBottom w:val="0"/>
          <w:divBdr>
            <w:top w:val="none" w:sz="0" w:space="0" w:color="auto"/>
            <w:left w:val="none" w:sz="0" w:space="0" w:color="auto"/>
            <w:bottom w:val="none" w:sz="0" w:space="0" w:color="auto"/>
            <w:right w:val="none" w:sz="0" w:space="0" w:color="auto"/>
          </w:divBdr>
        </w:div>
        <w:div w:id="1799447542">
          <w:marLeft w:val="0"/>
          <w:marRight w:val="0"/>
          <w:marTop w:val="0"/>
          <w:marBottom w:val="0"/>
          <w:divBdr>
            <w:top w:val="none" w:sz="0" w:space="0" w:color="auto"/>
            <w:left w:val="none" w:sz="0" w:space="0" w:color="auto"/>
            <w:bottom w:val="none" w:sz="0" w:space="0" w:color="auto"/>
            <w:right w:val="none" w:sz="0" w:space="0" w:color="auto"/>
          </w:divBdr>
        </w:div>
        <w:div w:id="1831171061">
          <w:marLeft w:val="0"/>
          <w:marRight w:val="0"/>
          <w:marTop w:val="0"/>
          <w:marBottom w:val="0"/>
          <w:divBdr>
            <w:top w:val="none" w:sz="0" w:space="0" w:color="auto"/>
            <w:left w:val="none" w:sz="0" w:space="0" w:color="auto"/>
            <w:bottom w:val="none" w:sz="0" w:space="0" w:color="auto"/>
            <w:right w:val="none" w:sz="0" w:space="0" w:color="auto"/>
          </w:divBdr>
        </w:div>
        <w:div w:id="1846360368">
          <w:marLeft w:val="0"/>
          <w:marRight w:val="0"/>
          <w:marTop w:val="0"/>
          <w:marBottom w:val="0"/>
          <w:divBdr>
            <w:top w:val="none" w:sz="0" w:space="0" w:color="auto"/>
            <w:left w:val="none" w:sz="0" w:space="0" w:color="auto"/>
            <w:bottom w:val="none" w:sz="0" w:space="0" w:color="auto"/>
            <w:right w:val="none" w:sz="0" w:space="0" w:color="auto"/>
          </w:divBdr>
        </w:div>
        <w:div w:id="1884171116">
          <w:marLeft w:val="0"/>
          <w:marRight w:val="0"/>
          <w:marTop w:val="0"/>
          <w:marBottom w:val="0"/>
          <w:divBdr>
            <w:top w:val="none" w:sz="0" w:space="0" w:color="auto"/>
            <w:left w:val="none" w:sz="0" w:space="0" w:color="auto"/>
            <w:bottom w:val="none" w:sz="0" w:space="0" w:color="auto"/>
            <w:right w:val="none" w:sz="0" w:space="0" w:color="auto"/>
          </w:divBdr>
        </w:div>
        <w:div w:id="1925141002">
          <w:marLeft w:val="0"/>
          <w:marRight w:val="0"/>
          <w:marTop w:val="0"/>
          <w:marBottom w:val="0"/>
          <w:divBdr>
            <w:top w:val="none" w:sz="0" w:space="0" w:color="auto"/>
            <w:left w:val="none" w:sz="0" w:space="0" w:color="auto"/>
            <w:bottom w:val="none" w:sz="0" w:space="0" w:color="auto"/>
            <w:right w:val="none" w:sz="0" w:space="0" w:color="auto"/>
          </w:divBdr>
        </w:div>
        <w:div w:id="1951083194">
          <w:marLeft w:val="0"/>
          <w:marRight w:val="0"/>
          <w:marTop w:val="0"/>
          <w:marBottom w:val="0"/>
          <w:divBdr>
            <w:top w:val="none" w:sz="0" w:space="0" w:color="auto"/>
            <w:left w:val="none" w:sz="0" w:space="0" w:color="auto"/>
            <w:bottom w:val="none" w:sz="0" w:space="0" w:color="auto"/>
            <w:right w:val="none" w:sz="0" w:space="0" w:color="auto"/>
          </w:divBdr>
        </w:div>
        <w:div w:id="1997804364">
          <w:marLeft w:val="0"/>
          <w:marRight w:val="0"/>
          <w:marTop w:val="0"/>
          <w:marBottom w:val="0"/>
          <w:divBdr>
            <w:top w:val="none" w:sz="0" w:space="0" w:color="auto"/>
            <w:left w:val="none" w:sz="0" w:space="0" w:color="auto"/>
            <w:bottom w:val="none" w:sz="0" w:space="0" w:color="auto"/>
            <w:right w:val="none" w:sz="0" w:space="0" w:color="auto"/>
          </w:divBdr>
        </w:div>
        <w:div w:id="2023235334">
          <w:marLeft w:val="0"/>
          <w:marRight w:val="0"/>
          <w:marTop w:val="0"/>
          <w:marBottom w:val="0"/>
          <w:divBdr>
            <w:top w:val="none" w:sz="0" w:space="0" w:color="auto"/>
            <w:left w:val="none" w:sz="0" w:space="0" w:color="auto"/>
            <w:bottom w:val="none" w:sz="0" w:space="0" w:color="auto"/>
            <w:right w:val="none" w:sz="0" w:space="0" w:color="auto"/>
          </w:divBdr>
        </w:div>
        <w:div w:id="2035110147">
          <w:marLeft w:val="0"/>
          <w:marRight w:val="0"/>
          <w:marTop w:val="0"/>
          <w:marBottom w:val="0"/>
          <w:divBdr>
            <w:top w:val="none" w:sz="0" w:space="0" w:color="auto"/>
            <w:left w:val="none" w:sz="0" w:space="0" w:color="auto"/>
            <w:bottom w:val="none" w:sz="0" w:space="0" w:color="auto"/>
            <w:right w:val="none" w:sz="0" w:space="0" w:color="auto"/>
          </w:divBdr>
        </w:div>
        <w:div w:id="2046254642">
          <w:marLeft w:val="0"/>
          <w:marRight w:val="0"/>
          <w:marTop w:val="0"/>
          <w:marBottom w:val="0"/>
          <w:divBdr>
            <w:top w:val="none" w:sz="0" w:space="0" w:color="auto"/>
            <w:left w:val="none" w:sz="0" w:space="0" w:color="auto"/>
            <w:bottom w:val="none" w:sz="0" w:space="0" w:color="auto"/>
            <w:right w:val="none" w:sz="0" w:space="0" w:color="auto"/>
          </w:divBdr>
        </w:div>
        <w:div w:id="2095782455">
          <w:marLeft w:val="0"/>
          <w:marRight w:val="0"/>
          <w:marTop w:val="0"/>
          <w:marBottom w:val="0"/>
          <w:divBdr>
            <w:top w:val="none" w:sz="0" w:space="0" w:color="auto"/>
            <w:left w:val="none" w:sz="0" w:space="0" w:color="auto"/>
            <w:bottom w:val="none" w:sz="0" w:space="0" w:color="auto"/>
            <w:right w:val="none" w:sz="0" w:space="0" w:color="auto"/>
          </w:divBdr>
        </w:div>
        <w:div w:id="2125228388">
          <w:marLeft w:val="0"/>
          <w:marRight w:val="0"/>
          <w:marTop w:val="0"/>
          <w:marBottom w:val="0"/>
          <w:divBdr>
            <w:top w:val="none" w:sz="0" w:space="0" w:color="auto"/>
            <w:left w:val="none" w:sz="0" w:space="0" w:color="auto"/>
            <w:bottom w:val="none" w:sz="0" w:space="0" w:color="auto"/>
            <w:right w:val="none" w:sz="0" w:space="0" w:color="auto"/>
          </w:divBdr>
        </w:div>
      </w:divsChild>
    </w:div>
    <w:div w:id="369378648">
      <w:bodyDiv w:val="1"/>
      <w:marLeft w:val="0"/>
      <w:marRight w:val="0"/>
      <w:marTop w:val="0"/>
      <w:marBottom w:val="0"/>
      <w:divBdr>
        <w:top w:val="none" w:sz="0" w:space="0" w:color="auto"/>
        <w:left w:val="none" w:sz="0" w:space="0" w:color="auto"/>
        <w:bottom w:val="none" w:sz="0" w:space="0" w:color="auto"/>
        <w:right w:val="none" w:sz="0" w:space="0" w:color="auto"/>
      </w:divBdr>
      <w:divsChild>
        <w:div w:id="28074617">
          <w:marLeft w:val="0"/>
          <w:marRight w:val="0"/>
          <w:marTop w:val="0"/>
          <w:marBottom w:val="0"/>
          <w:divBdr>
            <w:top w:val="none" w:sz="0" w:space="0" w:color="auto"/>
            <w:left w:val="none" w:sz="0" w:space="0" w:color="auto"/>
            <w:bottom w:val="none" w:sz="0" w:space="0" w:color="auto"/>
            <w:right w:val="none" w:sz="0" w:space="0" w:color="auto"/>
          </w:divBdr>
        </w:div>
        <w:div w:id="33770001">
          <w:marLeft w:val="0"/>
          <w:marRight w:val="0"/>
          <w:marTop w:val="0"/>
          <w:marBottom w:val="0"/>
          <w:divBdr>
            <w:top w:val="none" w:sz="0" w:space="0" w:color="auto"/>
            <w:left w:val="none" w:sz="0" w:space="0" w:color="auto"/>
            <w:bottom w:val="none" w:sz="0" w:space="0" w:color="auto"/>
            <w:right w:val="none" w:sz="0" w:space="0" w:color="auto"/>
          </w:divBdr>
        </w:div>
        <w:div w:id="50081189">
          <w:marLeft w:val="0"/>
          <w:marRight w:val="0"/>
          <w:marTop w:val="0"/>
          <w:marBottom w:val="0"/>
          <w:divBdr>
            <w:top w:val="none" w:sz="0" w:space="0" w:color="auto"/>
            <w:left w:val="none" w:sz="0" w:space="0" w:color="auto"/>
            <w:bottom w:val="none" w:sz="0" w:space="0" w:color="auto"/>
            <w:right w:val="none" w:sz="0" w:space="0" w:color="auto"/>
          </w:divBdr>
        </w:div>
        <w:div w:id="62265785">
          <w:marLeft w:val="0"/>
          <w:marRight w:val="0"/>
          <w:marTop w:val="0"/>
          <w:marBottom w:val="0"/>
          <w:divBdr>
            <w:top w:val="none" w:sz="0" w:space="0" w:color="auto"/>
            <w:left w:val="none" w:sz="0" w:space="0" w:color="auto"/>
            <w:bottom w:val="none" w:sz="0" w:space="0" w:color="auto"/>
            <w:right w:val="none" w:sz="0" w:space="0" w:color="auto"/>
          </w:divBdr>
        </w:div>
        <w:div w:id="71005012">
          <w:marLeft w:val="0"/>
          <w:marRight w:val="0"/>
          <w:marTop w:val="0"/>
          <w:marBottom w:val="0"/>
          <w:divBdr>
            <w:top w:val="none" w:sz="0" w:space="0" w:color="auto"/>
            <w:left w:val="none" w:sz="0" w:space="0" w:color="auto"/>
            <w:bottom w:val="none" w:sz="0" w:space="0" w:color="auto"/>
            <w:right w:val="none" w:sz="0" w:space="0" w:color="auto"/>
          </w:divBdr>
        </w:div>
        <w:div w:id="71784698">
          <w:marLeft w:val="0"/>
          <w:marRight w:val="0"/>
          <w:marTop w:val="0"/>
          <w:marBottom w:val="0"/>
          <w:divBdr>
            <w:top w:val="none" w:sz="0" w:space="0" w:color="auto"/>
            <w:left w:val="none" w:sz="0" w:space="0" w:color="auto"/>
            <w:bottom w:val="none" w:sz="0" w:space="0" w:color="auto"/>
            <w:right w:val="none" w:sz="0" w:space="0" w:color="auto"/>
          </w:divBdr>
        </w:div>
        <w:div w:id="124081934">
          <w:marLeft w:val="0"/>
          <w:marRight w:val="0"/>
          <w:marTop w:val="0"/>
          <w:marBottom w:val="0"/>
          <w:divBdr>
            <w:top w:val="none" w:sz="0" w:space="0" w:color="auto"/>
            <w:left w:val="none" w:sz="0" w:space="0" w:color="auto"/>
            <w:bottom w:val="none" w:sz="0" w:space="0" w:color="auto"/>
            <w:right w:val="none" w:sz="0" w:space="0" w:color="auto"/>
          </w:divBdr>
        </w:div>
        <w:div w:id="133721207">
          <w:marLeft w:val="0"/>
          <w:marRight w:val="0"/>
          <w:marTop w:val="0"/>
          <w:marBottom w:val="0"/>
          <w:divBdr>
            <w:top w:val="none" w:sz="0" w:space="0" w:color="auto"/>
            <w:left w:val="none" w:sz="0" w:space="0" w:color="auto"/>
            <w:bottom w:val="none" w:sz="0" w:space="0" w:color="auto"/>
            <w:right w:val="none" w:sz="0" w:space="0" w:color="auto"/>
          </w:divBdr>
        </w:div>
        <w:div w:id="142821291">
          <w:marLeft w:val="0"/>
          <w:marRight w:val="0"/>
          <w:marTop w:val="0"/>
          <w:marBottom w:val="0"/>
          <w:divBdr>
            <w:top w:val="none" w:sz="0" w:space="0" w:color="auto"/>
            <w:left w:val="none" w:sz="0" w:space="0" w:color="auto"/>
            <w:bottom w:val="none" w:sz="0" w:space="0" w:color="auto"/>
            <w:right w:val="none" w:sz="0" w:space="0" w:color="auto"/>
          </w:divBdr>
        </w:div>
        <w:div w:id="148639711">
          <w:marLeft w:val="0"/>
          <w:marRight w:val="0"/>
          <w:marTop w:val="0"/>
          <w:marBottom w:val="0"/>
          <w:divBdr>
            <w:top w:val="none" w:sz="0" w:space="0" w:color="auto"/>
            <w:left w:val="none" w:sz="0" w:space="0" w:color="auto"/>
            <w:bottom w:val="none" w:sz="0" w:space="0" w:color="auto"/>
            <w:right w:val="none" w:sz="0" w:space="0" w:color="auto"/>
          </w:divBdr>
        </w:div>
        <w:div w:id="221600045">
          <w:marLeft w:val="0"/>
          <w:marRight w:val="0"/>
          <w:marTop w:val="0"/>
          <w:marBottom w:val="0"/>
          <w:divBdr>
            <w:top w:val="none" w:sz="0" w:space="0" w:color="auto"/>
            <w:left w:val="none" w:sz="0" w:space="0" w:color="auto"/>
            <w:bottom w:val="none" w:sz="0" w:space="0" w:color="auto"/>
            <w:right w:val="none" w:sz="0" w:space="0" w:color="auto"/>
          </w:divBdr>
        </w:div>
        <w:div w:id="336738828">
          <w:marLeft w:val="0"/>
          <w:marRight w:val="0"/>
          <w:marTop w:val="0"/>
          <w:marBottom w:val="0"/>
          <w:divBdr>
            <w:top w:val="none" w:sz="0" w:space="0" w:color="auto"/>
            <w:left w:val="none" w:sz="0" w:space="0" w:color="auto"/>
            <w:bottom w:val="none" w:sz="0" w:space="0" w:color="auto"/>
            <w:right w:val="none" w:sz="0" w:space="0" w:color="auto"/>
          </w:divBdr>
        </w:div>
        <w:div w:id="370375820">
          <w:marLeft w:val="0"/>
          <w:marRight w:val="0"/>
          <w:marTop w:val="0"/>
          <w:marBottom w:val="0"/>
          <w:divBdr>
            <w:top w:val="none" w:sz="0" w:space="0" w:color="auto"/>
            <w:left w:val="none" w:sz="0" w:space="0" w:color="auto"/>
            <w:bottom w:val="none" w:sz="0" w:space="0" w:color="auto"/>
            <w:right w:val="none" w:sz="0" w:space="0" w:color="auto"/>
          </w:divBdr>
        </w:div>
        <w:div w:id="423301778">
          <w:marLeft w:val="0"/>
          <w:marRight w:val="0"/>
          <w:marTop w:val="0"/>
          <w:marBottom w:val="0"/>
          <w:divBdr>
            <w:top w:val="none" w:sz="0" w:space="0" w:color="auto"/>
            <w:left w:val="none" w:sz="0" w:space="0" w:color="auto"/>
            <w:bottom w:val="none" w:sz="0" w:space="0" w:color="auto"/>
            <w:right w:val="none" w:sz="0" w:space="0" w:color="auto"/>
          </w:divBdr>
        </w:div>
        <w:div w:id="434980340">
          <w:marLeft w:val="0"/>
          <w:marRight w:val="0"/>
          <w:marTop w:val="0"/>
          <w:marBottom w:val="0"/>
          <w:divBdr>
            <w:top w:val="none" w:sz="0" w:space="0" w:color="auto"/>
            <w:left w:val="none" w:sz="0" w:space="0" w:color="auto"/>
            <w:bottom w:val="none" w:sz="0" w:space="0" w:color="auto"/>
            <w:right w:val="none" w:sz="0" w:space="0" w:color="auto"/>
          </w:divBdr>
        </w:div>
        <w:div w:id="453330222">
          <w:marLeft w:val="0"/>
          <w:marRight w:val="0"/>
          <w:marTop w:val="0"/>
          <w:marBottom w:val="0"/>
          <w:divBdr>
            <w:top w:val="none" w:sz="0" w:space="0" w:color="auto"/>
            <w:left w:val="none" w:sz="0" w:space="0" w:color="auto"/>
            <w:bottom w:val="none" w:sz="0" w:space="0" w:color="auto"/>
            <w:right w:val="none" w:sz="0" w:space="0" w:color="auto"/>
          </w:divBdr>
        </w:div>
        <w:div w:id="527455838">
          <w:marLeft w:val="0"/>
          <w:marRight w:val="0"/>
          <w:marTop w:val="0"/>
          <w:marBottom w:val="0"/>
          <w:divBdr>
            <w:top w:val="none" w:sz="0" w:space="0" w:color="auto"/>
            <w:left w:val="none" w:sz="0" w:space="0" w:color="auto"/>
            <w:bottom w:val="none" w:sz="0" w:space="0" w:color="auto"/>
            <w:right w:val="none" w:sz="0" w:space="0" w:color="auto"/>
          </w:divBdr>
        </w:div>
        <w:div w:id="538398296">
          <w:marLeft w:val="0"/>
          <w:marRight w:val="0"/>
          <w:marTop w:val="0"/>
          <w:marBottom w:val="0"/>
          <w:divBdr>
            <w:top w:val="none" w:sz="0" w:space="0" w:color="auto"/>
            <w:left w:val="none" w:sz="0" w:space="0" w:color="auto"/>
            <w:bottom w:val="none" w:sz="0" w:space="0" w:color="auto"/>
            <w:right w:val="none" w:sz="0" w:space="0" w:color="auto"/>
          </w:divBdr>
        </w:div>
        <w:div w:id="598759948">
          <w:marLeft w:val="0"/>
          <w:marRight w:val="0"/>
          <w:marTop w:val="0"/>
          <w:marBottom w:val="0"/>
          <w:divBdr>
            <w:top w:val="none" w:sz="0" w:space="0" w:color="auto"/>
            <w:left w:val="none" w:sz="0" w:space="0" w:color="auto"/>
            <w:bottom w:val="none" w:sz="0" w:space="0" w:color="auto"/>
            <w:right w:val="none" w:sz="0" w:space="0" w:color="auto"/>
          </w:divBdr>
        </w:div>
        <w:div w:id="617954518">
          <w:marLeft w:val="0"/>
          <w:marRight w:val="0"/>
          <w:marTop w:val="0"/>
          <w:marBottom w:val="0"/>
          <w:divBdr>
            <w:top w:val="none" w:sz="0" w:space="0" w:color="auto"/>
            <w:left w:val="none" w:sz="0" w:space="0" w:color="auto"/>
            <w:bottom w:val="none" w:sz="0" w:space="0" w:color="auto"/>
            <w:right w:val="none" w:sz="0" w:space="0" w:color="auto"/>
          </w:divBdr>
        </w:div>
        <w:div w:id="664824941">
          <w:marLeft w:val="0"/>
          <w:marRight w:val="0"/>
          <w:marTop w:val="0"/>
          <w:marBottom w:val="0"/>
          <w:divBdr>
            <w:top w:val="none" w:sz="0" w:space="0" w:color="auto"/>
            <w:left w:val="none" w:sz="0" w:space="0" w:color="auto"/>
            <w:bottom w:val="none" w:sz="0" w:space="0" w:color="auto"/>
            <w:right w:val="none" w:sz="0" w:space="0" w:color="auto"/>
          </w:divBdr>
        </w:div>
        <w:div w:id="683090737">
          <w:marLeft w:val="0"/>
          <w:marRight w:val="0"/>
          <w:marTop w:val="0"/>
          <w:marBottom w:val="0"/>
          <w:divBdr>
            <w:top w:val="none" w:sz="0" w:space="0" w:color="auto"/>
            <w:left w:val="none" w:sz="0" w:space="0" w:color="auto"/>
            <w:bottom w:val="none" w:sz="0" w:space="0" w:color="auto"/>
            <w:right w:val="none" w:sz="0" w:space="0" w:color="auto"/>
          </w:divBdr>
        </w:div>
        <w:div w:id="694237206">
          <w:marLeft w:val="0"/>
          <w:marRight w:val="0"/>
          <w:marTop w:val="0"/>
          <w:marBottom w:val="0"/>
          <w:divBdr>
            <w:top w:val="none" w:sz="0" w:space="0" w:color="auto"/>
            <w:left w:val="none" w:sz="0" w:space="0" w:color="auto"/>
            <w:bottom w:val="none" w:sz="0" w:space="0" w:color="auto"/>
            <w:right w:val="none" w:sz="0" w:space="0" w:color="auto"/>
          </w:divBdr>
        </w:div>
        <w:div w:id="710034505">
          <w:marLeft w:val="0"/>
          <w:marRight w:val="0"/>
          <w:marTop w:val="0"/>
          <w:marBottom w:val="0"/>
          <w:divBdr>
            <w:top w:val="none" w:sz="0" w:space="0" w:color="auto"/>
            <w:left w:val="none" w:sz="0" w:space="0" w:color="auto"/>
            <w:bottom w:val="none" w:sz="0" w:space="0" w:color="auto"/>
            <w:right w:val="none" w:sz="0" w:space="0" w:color="auto"/>
          </w:divBdr>
        </w:div>
        <w:div w:id="807281863">
          <w:marLeft w:val="0"/>
          <w:marRight w:val="0"/>
          <w:marTop w:val="0"/>
          <w:marBottom w:val="0"/>
          <w:divBdr>
            <w:top w:val="none" w:sz="0" w:space="0" w:color="auto"/>
            <w:left w:val="none" w:sz="0" w:space="0" w:color="auto"/>
            <w:bottom w:val="none" w:sz="0" w:space="0" w:color="auto"/>
            <w:right w:val="none" w:sz="0" w:space="0" w:color="auto"/>
          </w:divBdr>
        </w:div>
        <w:div w:id="808086745">
          <w:marLeft w:val="0"/>
          <w:marRight w:val="0"/>
          <w:marTop w:val="0"/>
          <w:marBottom w:val="0"/>
          <w:divBdr>
            <w:top w:val="none" w:sz="0" w:space="0" w:color="auto"/>
            <w:left w:val="none" w:sz="0" w:space="0" w:color="auto"/>
            <w:bottom w:val="none" w:sz="0" w:space="0" w:color="auto"/>
            <w:right w:val="none" w:sz="0" w:space="0" w:color="auto"/>
          </w:divBdr>
        </w:div>
        <w:div w:id="835878313">
          <w:marLeft w:val="0"/>
          <w:marRight w:val="0"/>
          <w:marTop w:val="0"/>
          <w:marBottom w:val="0"/>
          <w:divBdr>
            <w:top w:val="none" w:sz="0" w:space="0" w:color="auto"/>
            <w:left w:val="none" w:sz="0" w:space="0" w:color="auto"/>
            <w:bottom w:val="none" w:sz="0" w:space="0" w:color="auto"/>
            <w:right w:val="none" w:sz="0" w:space="0" w:color="auto"/>
          </w:divBdr>
        </w:div>
        <w:div w:id="842741535">
          <w:marLeft w:val="0"/>
          <w:marRight w:val="0"/>
          <w:marTop w:val="0"/>
          <w:marBottom w:val="0"/>
          <w:divBdr>
            <w:top w:val="none" w:sz="0" w:space="0" w:color="auto"/>
            <w:left w:val="none" w:sz="0" w:space="0" w:color="auto"/>
            <w:bottom w:val="none" w:sz="0" w:space="0" w:color="auto"/>
            <w:right w:val="none" w:sz="0" w:space="0" w:color="auto"/>
          </w:divBdr>
        </w:div>
        <w:div w:id="851799462">
          <w:marLeft w:val="0"/>
          <w:marRight w:val="0"/>
          <w:marTop w:val="0"/>
          <w:marBottom w:val="0"/>
          <w:divBdr>
            <w:top w:val="none" w:sz="0" w:space="0" w:color="auto"/>
            <w:left w:val="none" w:sz="0" w:space="0" w:color="auto"/>
            <w:bottom w:val="none" w:sz="0" w:space="0" w:color="auto"/>
            <w:right w:val="none" w:sz="0" w:space="0" w:color="auto"/>
          </w:divBdr>
        </w:div>
        <w:div w:id="894050773">
          <w:marLeft w:val="0"/>
          <w:marRight w:val="0"/>
          <w:marTop w:val="0"/>
          <w:marBottom w:val="0"/>
          <w:divBdr>
            <w:top w:val="none" w:sz="0" w:space="0" w:color="auto"/>
            <w:left w:val="none" w:sz="0" w:space="0" w:color="auto"/>
            <w:bottom w:val="none" w:sz="0" w:space="0" w:color="auto"/>
            <w:right w:val="none" w:sz="0" w:space="0" w:color="auto"/>
          </w:divBdr>
        </w:div>
        <w:div w:id="950625568">
          <w:marLeft w:val="0"/>
          <w:marRight w:val="0"/>
          <w:marTop w:val="0"/>
          <w:marBottom w:val="0"/>
          <w:divBdr>
            <w:top w:val="none" w:sz="0" w:space="0" w:color="auto"/>
            <w:left w:val="none" w:sz="0" w:space="0" w:color="auto"/>
            <w:bottom w:val="none" w:sz="0" w:space="0" w:color="auto"/>
            <w:right w:val="none" w:sz="0" w:space="0" w:color="auto"/>
          </w:divBdr>
        </w:div>
        <w:div w:id="966157406">
          <w:marLeft w:val="0"/>
          <w:marRight w:val="0"/>
          <w:marTop w:val="0"/>
          <w:marBottom w:val="0"/>
          <w:divBdr>
            <w:top w:val="none" w:sz="0" w:space="0" w:color="auto"/>
            <w:left w:val="none" w:sz="0" w:space="0" w:color="auto"/>
            <w:bottom w:val="none" w:sz="0" w:space="0" w:color="auto"/>
            <w:right w:val="none" w:sz="0" w:space="0" w:color="auto"/>
          </w:divBdr>
        </w:div>
        <w:div w:id="1044065439">
          <w:marLeft w:val="0"/>
          <w:marRight w:val="0"/>
          <w:marTop w:val="0"/>
          <w:marBottom w:val="0"/>
          <w:divBdr>
            <w:top w:val="none" w:sz="0" w:space="0" w:color="auto"/>
            <w:left w:val="none" w:sz="0" w:space="0" w:color="auto"/>
            <w:bottom w:val="none" w:sz="0" w:space="0" w:color="auto"/>
            <w:right w:val="none" w:sz="0" w:space="0" w:color="auto"/>
          </w:divBdr>
        </w:div>
        <w:div w:id="1103114881">
          <w:marLeft w:val="0"/>
          <w:marRight w:val="0"/>
          <w:marTop w:val="0"/>
          <w:marBottom w:val="0"/>
          <w:divBdr>
            <w:top w:val="none" w:sz="0" w:space="0" w:color="auto"/>
            <w:left w:val="none" w:sz="0" w:space="0" w:color="auto"/>
            <w:bottom w:val="none" w:sz="0" w:space="0" w:color="auto"/>
            <w:right w:val="none" w:sz="0" w:space="0" w:color="auto"/>
          </w:divBdr>
        </w:div>
        <w:div w:id="1185552605">
          <w:marLeft w:val="0"/>
          <w:marRight w:val="0"/>
          <w:marTop w:val="0"/>
          <w:marBottom w:val="0"/>
          <w:divBdr>
            <w:top w:val="none" w:sz="0" w:space="0" w:color="auto"/>
            <w:left w:val="none" w:sz="0" w:space="0" w:color="auto"/>
            <w:bottom w:val="none" w:sz="0" w:space="0" w:color="auto"/>
            <w:right w:val="none" w:sz="0" w:space="0" w:color="auto"/>
          </w:divBdr>
        </w:div>
        <w:div w:id="1193148734">
          <w:marLeft w:val="0"/>
          <w:marRight w:val="0"/>
          <w:marTop w:val="0"/>
          <w:marBottom w:val="0"/>
          <w:divBdr>
            <w:top w:val="none" w:sz="0" w:space="0" w:color="auto"/>
            <w:left w:val="none" w:sz="0" w:space="0" w:color="auto"/>
            <w:bottom w:val="none" w:sz="0" w:space="0" w:color="auto"/>
            <w:right w:val="none" w:sz="0" w:space="0" w:color="auto"/>
          </w:divBdr>
        </w:div>
        <w:div w:id="1207064858">
          <w:marLeft w:val="0"/>
          <w:marRight w:val="0"/>
          <w:marTop w:val="0"/>
          <w:marBottom w:val="0"/>
          <w:divBdr>
            <w:top w:val="none" w:sz="0" w:space="0" w:color="auto"/>
            <w:left w:val="none" w:sz="0" w:space="0" w:color="auto"/>
            <w:bottom w:val="none" w:sz="0" w:space="0" w:color="auto"/>
            <w:right w:val="none" w:sz="0" w:space="0" w:color="auto"/>
          </w:divBdr>
        </w:div>
        <w:div w:id="1215509744">
          <w:marLeft w:val="0"/>
          <w:marRight w:val="0"/>
          <w:marTop w:val="0"/>
          <w:marBottom w:val="0"/>
          <w:divBdr>
            <w:top w:val="none" w:sz="0" w:space="0" w:color="auto"/>
            <w:left w:val="none" w:sz="0" w:space="0" w:color="auto"/>
            <w:bottom w:val="none" w:sz="0" w:space="0" w:color="auto"/>
            <w:right w:val="none" w:sz="0" w:space="0" w:color="auto"/>
          </w:divBdr>
        </w:div>
        <w:div w:id="1317143550">
          <w:marLeft w:val="0"/>
          <w:marRight w:val="0"/>
          <w:marTop w:val="0"/>
          <w:marBottom w:val="0"/>
          <w:divBdr>
            <w:top w:val="none" w:sz="0" w:space="0" w:color="auto"/>
            <w:left w:val="none" w:sz="0" w:space="0" w:color="auto"/>
            <w:bottom w:val="none" w:sz="0" w:space="0" w:color="auto"/>
            <w:right w:val="none" w:sz="0" w:space="0" w:color="auto"/>
          </w:divBdr>
        </w:div>
        <w:div w:id="1323702266">
          <w:marLeft w:val="0"/>
          <w:marRight w:val="0"/>
          <w:marTop w:val="0"/>
          <w:marBottom w:val="0"/>
          <w:divBdr>
            <w:top w:val="none" w:sz="0" w:space="0" w:color="auto"/>
            <w:left w:val="none" w:sz="0" w:space="0" w:color="auto"/>
            <w:bottom w:val="none" w:sz="0" w:space="0" w:color="auto"/>
            <w:right w:val="none" w:sz="0" w:space="0" w:color="auto"/>
          </w:divBdr>
        </w:div>
        <w:div w:id="1348671890">
          <w:marLeft w:val="0"/>
          <w:marRight w:val="0"/>
          <w:marTop w:val="0"/>
          <w:marBottom w:val="0"/>
          <w:divBdr>
            <w:top w:val="none" w:sz="0" w:space="0" w:color="auto"/>
            <w:left w:val="none" w:sz="0" w:space="0" w:color="auto"/>
            <w:bottom w:val="none" w:sz="0" w:space="0" w:color="auto"/>
            <w:right w:val="none" w:sz="0" w:space="0" w:color="auto"/>
          </w:divBdr>
        </w:div>
        <w:div w:id="1385133083">
          <w:marLeft w:val="0"/>
          <w:marRight w:val="0"/>
          <w:marTop w:val="0"/>
          <w:marBottom w:val="0"/>
          <w:divBdr>
            <w:top w:val="none" w:sz="0" w:space="0" w:color="auto"/>
            <w:left w:val="none" w:sz="0" w:space="0" w:color="auto"/>
            <w:bottom w:val="none" w:sz="0" w:space="0" w:color="auto"/>
            <w:right w:val="none" w:sz="0" w:space="0" w:color="auto"/>
          </w:divBdr>
        </w:div>
        <w:div w:id="1414205013">
          <w:marLeft w:val="0"/>
          <w:marRight w:val="0"/>
          <w:marTop w:val="0"/>
          <w:marBottom w:val="0"/>
          <w:divBdr>
            <w:top w:val="none" w:sz="0" w:space="0" w:color="auto"/>
            <w:left w:val="none" w:sz="0" w:space="0" w:color="auto"/>
            <w:bottom w:val="none" w:sz="0" w:space="0" w:color="auto"/>
            <w:right w:val="none" w:sz="0" w:space="0" w:color="auto"/>
          </w:divBdr>
        </w:div>
        <w:div w:id="1466851269">
          <w:marLeft w:val="0"/>
          <w:marRight w:val="0"/>
          <w:marTop w:val="0"/>
          <w:marBottom w:val="0"/>
          <w:divBdr>
            <w:top w:val="none" w:sz="0" w:space="0" w:color="auto"/>
            <w:left w:val="none" w:sz="0" w:space="0" w:color="auto"/>
            <w:bottom w:val="none" w:sz="0" w:space="0" w:color="auto"/>
            <w:right w:val="none" w:sz="0" w:space="0" w:color="auto"/>
          </w:divBdr>
        </w:div>
        <w:div w:id="1532690901">
          <w:marLeft w:val="0"/>
          <w:marRight w:val="0"/>
          <w:marTop w:val="0"/>
          <w:marBottom w:val="0"/>
          <w:divBdr>
            <w:top w:val="none" w:sz="0" w:space="0" w:color="auto"/>
            <w:left w:val="none" w:sz="0" w:space="0" w:color="auto"/>
            <w:bottom w:val="none" w:sz="0" w:space="0" w:color="auto"/>
            <w:right w:val="none" w:sz="0" w:space="0" w:color="auto"/>
          </w:divBdr>
        </w:div>
        <w:div w:id="1582517740">
          <w:marLeft w:val="0"/>
          <w:marRight w:val="0"/>
          <w:marTop w:val="0"/>
          <w:marBottom w:val="0"/>
          <w:divBdr>
            <w:top w:val="none" w:sz="0" w:space="0" w:color="auto"/>
            <w:left w:val="none" w:sz="0" w:space="0" w:color="auto"/>
            <w:bottom w:val="none" w:sz="0" w:space="0" w:color="auto"/>
            <w:right w:val="none" w:sz="0" w:space="0" w:color="auto"/>
          </w:divBdr>
        </w:div>
        <w:div w:id="1602374667">
          <w:marLeft w:val="0"/>
          <w:marRight w:val="0"/>
          <w:marTop w:val="0"/>
          <w:marBottom w:val="0"/>
          <w:divBdr>
            <w:top w:val="none" w:sz="0" w:space="0" w:color="auto"/>
            <w:left w:val="none" w:sz="0" w:space="0" w:color="auto"/>
            <w:bottom w:val="none" w:sz="0" w:space="0" w:color="auto"/>
            <w:right w:val="none" w:sz="0" w:space="0" w:color="auto"/>
          </w:divBdr>
        </w:div>
        <w:div w:id="1624145050">
          <w:marLeft w:val="0"/>
          <w:marRight w:val="0"/>
          <w:marTop w:val="0"/>
          <w:marBottom w:val="0"/>
          <w:divBdr>
            <w:top w:val="none" w:sz="0" w:space="0" w:color="auto"/>
            <w:left w:val="none" w:sz="0" w:space="0" w:color="auto"/>
            <w:bottom w:val="none" w:sz="0" w:space="0" w:color="auto"/>
            <w:right w:val="none" w:sz="0" w:space="0" w:color="auto"/>
          </w:divBdr>
        </w:div>
        <w:div w:id="1661159590">
          <w:marLeft w:val="0"/>
          <w:marRight w:val="0"/>
          <w:marTop w:val="0"/>
          <w:marBottom w:val="0"/>
          <w:divBdr>
            <w:top w:val="none" w:sz="0" w:space="0" w:color="auto"/>
            <w:left w:val="none" w:sz="0" w:space="0" w:color="auto"/>
            <w:bottom w:val="none" w:sz="0" w:space="0" w:color="auto"/>
            <w:right w:val="none" w:sz="0" w:space="0" w:color="auto"/>
          </w:divBdr>
        </w:div>
        <w:div w:id="1770806317">
          <w:marLeft w:val="0"/>
          <w:marRight w:val="0"/>
          <w:marTop w:val="0"/>
          <w:marBottom w:val="0"/>
          <w:divBdr>
            <w:top w:val="none" w:sz="0" w:space="0" w:color="auto"/>
            <w:left w:val="none" w:sz="0" w:space="0" w:color="auto"/>
            <w:bottom w:val="none" w:sz="0" w:space="0" w:color="auto"/>
            <w:right w:val="none" w:sz="0" w:space="0" w:color="auto"/>
          </w:divBdr>
        </w:div>
        <w:div w:id="1784156288">
          <w:marLeft w:val="0"/>
          <w:marRight w:val="0"/>
          <w:marTop w:val="0"/>
          <w:marBottom w:val="0"/>
          <w:divBdr>
            <w:top w:val="none" w:sz="0" w:space="0" w:color="auto"/>
            <w:left w:val="none" w:sz="0" w:space="0" w:color="auto"/>
            <w:bottom w:val="none" w:sz="0" w:space="0" w:color="auto"/>
            <w:right w:val="none" w:sz="0" w:space="0" w:color="auto"/>
          </w:divBdr>
        </w:div>
        <w:div w:id="1818917288">
          <w:marLeft w:val="0"/>
          <w:marRight w:val="0"/>
          <w:marTop w:val="0"/>
          <w:marBottom w:val="0"/>
          <w:divBdr>
            <w:top w:val="none" w:sz="0" w:space="0" w:color="auto"/>
            <w:left w:val="none" w:sz="0" w:space="0" w:color="auto"/>
            <w:bottom w:val="none" w:sz="0" w:space="0" w:color="auto"/>
            <w:right w:val="none" w:sz="0" w:space="0" w:color="auto"/>
          </w:divBdr>
        </w:div>
        <w:div w:id="1852181910">
          <w:marLeft w:val="0"/>
          <w:marRight w:val="0"/>
          <w:marTop w:val="0"/>
          <w:marBottom w:val="0"/>
          <w:divBdr>
            <w:top w:val="none" w:sz="0" w:space="0" w:color="auto"/>
            <w:left w:val="none" w:sz="0" w:space="0" w:color="auto"/>
            <w:bottom w:val="none" w:sz="0" w:space="0" w:color="auto"/>
            <w:right w:val="none" w:sz="0" w:space="0" w:color="auto"/>
          </w:divBdr>
        </w:div>
        <w:div w:id="1900746458">
          <w:marLeft w:val="0"/>
          <w:marRight w:val="0"/>
          <w:marTop w:val="0"/>
          <w:marBottom w:val="0"/>
          <w:divBdr>
            <w:top w:val="none" w:sz="0" w:space="0" w:color="auto"/>
            <w:left w:val="none" w:sz="0" w:space="0" w:color="auto"/>
            <w:bottom w:val="none" w:sz="0" w:space="0" w:color="auto"/>
            <w:right w:val="none" w:sz="0" w:space="0" w:color="auto"/>
          </w:divBdr>
        </w:div>
        <w:div w:id="1911423365">
          <w:marLeft w:val="0"/>
          <w:marRight w:val="0"/>
          <w:marTop w:val="0"/>
          <w:marBottom w:val="0"/>
          <w:divBdr>
            <w:top w:val="none" w:sz="0" w:space="0" w:color="auto"/>
            <w:left w:val="none" w:sz="0" w:space="0" w:color="auto"/>
            <w:bottom w:val="none" w:sz="0" w:space="0" w:color="auto"/>
            <w:right w:val="none" w:sz="0" w:space="0" w:color="auto"/>
          </w:divBdr>
        </w:div>
        <w:div w:id="1969042937">
          <w:marLeft w:val="0"/>
          <w:marRight w:val="0"/>
          <w:marTop w:val="0"/>
          <w:marBottom w:val="0"/>
          <w:divBdr>
            <w:top w:val="none" w:sz="0" w:space="0" w:color="auto"/>
            <w:left w:val="none" w:sz="0" w:space="0" w:color="auto"/>
            <w:bottom w:val="none" w:sz="0" w:space="0" w:color="auto"/>
            <w:right w:val="none" w:sz="0" w:space="0" w:color="auto"/>
          </w:divBdr>
        </w:div>
        <w:div w:id="1984115303">
          <w:marLeft w:val="0"/>
          <w:marRight w:val="0"/>
          <w:marTop w:val="0"/>
          <w:marBottom w:val="0"/>
          <w:divBdr>
            <w:top w:val="none" w:sz="0" w:space="0" w:color="auto"/>
            <w:left w:val="none" w:sz="0" w:space="0" w:color="auto"/>
            <w:bottom w:val="none" w:sz="0" w:space="0" w:color="auto"/>
            <w:right w:val="none" w:sz="0" w:space="0" w:color="auto"/>
          </w:divBdr>
        </w:div>
        <w:div w:id="2054494884">
          <w:marLeft w:val="0"/>
          <w:marRight w:val="0"/>
          <w:marTop w:val="0"/>
          <w:marBottom w:val="0"/>
          <w:divBdr>
            <w:top w:val="none" w:sz="0" w:space="0" w:color="auto"/>
            <w:left w:val="none" w:sz="0" w:space="0" w:color="auto"/>
            <w:bottom w:val="none" w:sz="0" w:space="0" w:color="auto"/>
            <w:right w:val="none" w:sz="0" w:space="0" w:color="auto"/>
          </w:divBdr>
        </w:div>
        <w:div w:id="2065831565">
          <w:marLeft w:val="0"/>
          <w:marRight w:val="0"/>
          <w:marTop w:val="0"/>
          <w:marBottom w:val="0"/>
          <w:divBdr>
            <w:top w:val="none" w:sz="0" w:space="0" w:color="auto"/>
            <w:left w:val="none" w:sz="0" w:space="0" w:color="auto"/>
            <w:bottom w:val="none" w:sz="0" w:space="0" w:color="auto"/>
            <w:right w:val="none" w:sz="0" w:space="0" w:color="auto"/>
          </w:divBdr>
        </w:div>
      </w:divsChild>
    </w:div>
    <w:div w:id="414594466">
      <w:bodyDiv w:val="1"/>
      <w:marLeft w:val="0"/>
      <w:marRight w:val="0"/>
      <w:marTop w:val="0"/>
      <w:marBottom w:val="0"/>
      <w:divBdr>
        <w:top w:val="none" w:sz="0" w:space="0" w:color="auto"/>
        <w:left w:val="none" w:sz="0" w:space="0" w:color="auto"/>
        <w:bottom w:val="none" w:sz="0" w:space="0" w:color="auto"/>
        <w:right w:val="none" w:sz="0" w:space="0" w:color="auto"/>
      </w:divBdr>
    </w:div>
    <w:div w:id="600797115">
      <w:bodyDiv w:val="1"/>
      <w:marLeft w:val="0"/>
      <w:marRight w:val="0"/>
      <w:marTop w:val="0"/>
      <w:marBottom w:val="0"/>
      <w:divBdr>
        <w:top w:val="none" w:sz="0" w:space="0" w:color="auto"/>
        <w:left w:val="none" w:sz="0" w:space="0" w:color="auto"/>
        <w:bottom w:val="none" w:sz="0" w:space="0" w:color="auto"/>
        <w:right w:val="none" w:sz="0" w:space="0" w:color="auto"/>
      </w:divBdr>
    </w:div>
    <w:div w:id="7937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0" ma:contentTypeDescription="Create a new document." ma:contentTypeScope="" ma:versionID="6167dc694bef5d85c0bb9aaa269448e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315817c1ca87ef2b25f4f094d581b91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47157-4B6B-4BF2-A5A6-8772B3483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FBC3B-6A01-43AB-B998-CF3B1DBF842C}">
  <ds:schemaRefs>
    <ds:schemaRef ds:uri="http://schemas.openxmlformats.org/officeDocument/2006/bibliography"/>
  </ds:schemaRefs>
</ds:datastoreItem>
</file>

<file path=customXml/itemProps3.xml><?xml version="1.0" encoding="utf-8"?>
<ds:datastoreItem xmlns:ds="http://schemas.openxmlformats.org/officeDocument/2006/customXml" ds:itemID="{33E28ABE-D24A-4615-8A85-17F6CC9B3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085795-F4E3-4E40-89E5-0998149A6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9675</Words>
  <Characters>55152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64698</CharactersWithSpaces>
  <SharedDoc>false</SharedDoc>
  <HLinks>
    <vt:vector size="282" baseType="variant">
      <vt:variant>
        <vt:i4>7209002</vt:i4>
      </vt:variant>
      <vt:variant>
        <vt:i4>276</vt:i4>
      </vt:variant>
      <vt:variant>
        <vt:i4>0</vt:i4>
      </vt:variant>
      <vt:variant>
        <vt:i4>5</vt:i4>
      </vt:variant>
      <vt:variant>
        <vt:lpwstr>C:\research\buttonTFLink</vt:lpwstr>
      </vt:variant>
      <vt:variant>
        <vt:lpwstr/>
      </vt:variant>
      <vt:variant>
        <vt:i4>7209002</vt:i4>
      </vt:variant>
      <vt:variant>
        <vt:i4>273</vt:i4>
      </vt:variant>
      <vt:variant>
        <vt:i4>0</vt:i4>
      </vt:variant>
      <vt:variant>
        <vt:i4>5</vt:i4>
      </vt:variant>
      <vt:variant>
        <vt:lpwstr>C:\research\buttonTFLink</vt:lpwstr>
      </vt:variant>
      <vt:variant>
        <vt:lpwstr/>
      </vt:variant>
      <vt:variant>
        <vt:i4>1966128</vt:i4>
      </vt:variant>
      <vt:variant>
        <vt:i4>266</vt:i4>
      </vt:variant>
      <vt:variant>
        <vt:i4>0</vt:i4>
      </vt:variant>
      <vt:variant>
        <vt:i4>5</vt:i4>
      </vt:variant>
      <vt:variant>
        <vt:lpwstr/>
      </vt:variant>
      <vt:variant>
        <vt:lpwstr>_Toc66196412</vt:lpwstr>
      </vt:variant>
      <vt:variant>
        <vt:i4>1900592</vt:i4>
      </vt:variant>
      <vt:variant>
        <vt:i4>260</vt:i4>
      </vt:variant>
      <vt:variant>
        <vt:i4>0</vt:i4>
      </vt:variant>
      <vt:variant>
        <vt:i4>5</vt:i4>
      </vt:variant>
      <vt:variant>
        <vt:lpwstr/>
      </vt:variant>
      <vt:variant>
        <vt:lpwstr>_Toc66196411</vt:lpwstr>
      </vt:variant>
      <vt:variant>
        <vt:i4>1835056</vt:i4>
      </vt:variant>
      <vt:variant>
        <vt:i4>254</vt:i4>
      </vt:variant>
      <vt:variant>
        <vt:i4>0</vt:i4>
      </vt:variant>
      <vt:variant>
        <vt:i4>5</vt:i4>
      </vt:variant>
      <vt:variant>
        <vt:lpwstr/>
      </vt:variant>
      <vt:variant>
        <vt:lpwstr>_Toc66196410</vt:lpwstr>
      </vt:variant>
      <vt:variant>
        <vt:i4>1376305</vt:i4>
      </vt:variant>
      <vt:variant>
        <vt:i4>248</vt:i4>
      </vt:variant>
      <vt:variant>
        <vt:i4>0</vt:i4>
      </vt:variant>
      <vt:variant>
        <vt:i4>5</vt:i4>
      </vt:variant>
      <vt:variant>
        <vt:lpwstr/>
      </vt:variant>
      <vt:variant>
        <vt:lpwstr>_Toc66196409</vt:lpwstr>
      </vt:variant>
      <vt:variant>
        <vt:i4>1310769</vt:i4>
      </vt:variant>
      <vt:variant>
        <vt:i4>242</vt:i4>
      </vt:variant>
      <vt:variant>
        <vt:i4>0</vt:i4>
      </vt:variant>
      <vt:variant>
        <vt:i4>5</vt:i4>
      </vt:variant>
      <vt:variant>
        <vt:lpwstr/>
      </vt:variant>
      <vt:variant>
        <vt:lpwstr>_Toc66196408</vt:lpwstr>
      </vt:variant>
      <vt:variant>
        <vt:i4>1769521</vt:i4>
      </vt:variant>
      <vt:variant>
        <vt:i4>236</vt:i4>
      </vt:variant>
      <vt:variant>
        <vt:i4>0</vt:i4>
      </vt:variant>
      <vt:variant>
        <vt:i4>5</vt:i4>
      </vt:variant>
      <vt:variant>
        <vt:lpwstr/>
      </vt:variant>
      <vt:variant>
        <vt:lpwstr>_Toc66196407</vt:lpwstr>
      </vt:variant>
      <vt:variant>
        <vt:i4>1703985</vt:i4>
      </vt:variant>
      <vt:variant>
        <vt:i4>230</vt:i4>
      </vt:variant>
      <vt:variant>
        <vt:i4>0</vt:i4>
      </vt:variant>
      <vt:variant>
        <vt:i4>5</vt:i4>
      </vt:variant>
      <vt:variant>
        <vt:lpwstr/>
      </vt:variant>
      <vt:variant>
        <vt:lpwstr>_Toc66196406</vt:lpwstr>
      </vt:variant>
      <vt:variant>
        <vt:i4>1638449</vt:i4>
      </vt:variant>
      <vt:variant>
        <vt:i4>224</vt:i4>
      </vt:variant>
      <vt:variant>
        <vt:i4>0</vt:i4>
      </vt:variant>
      <vt:variant>
        <vt:i4>5</vt:i4>
      </vt:variant>
      <vt:variant>
        <vt:lpwstr/>
      </vt:variant>
      <vt:variant>
        <vt:lpwstr>_Toc66196405</vt:lpwstr>
      </vt:variant>
      <vt:variant>
        <vt:i4>1572913</vt:i4>
      </vt:variant>
      <vt:variant>
        <vt:i4>218</vt:i4>
      </vt:variant>
      <vt:variant>
        <vt:i4>0</vt:i4>
      </vt:variant>
      <vt:variant>
        <vt:i4>5</vt:i4>
      </vt:variant>
      <vt:variant>
        <vt:lpwstr/>
      </vt:variant>
      <vt:variant>
        <vt:lpwstr>_Toc66196404</vt:lpwstr>
      </vt:variant>
      <vt:variant>
        <vt:i4>2031665</vt:i4>
      </vt:variant>
      <vt:variant>
        <vt:i4>212</vt:i4>
      </vt:variant>
      <vt:variant>
        <vt:i4>0</vt:i4>
      </vt:variant>
      <vt:variant>
        <vt:i4>5</vt:i4>
      </vt:variant>
      <vt:variant>
        <vt:lpwstr/>
      </vt:variant>
      <vt:variant>
        <vt:lpwstr>_Toc66196403</vt:lpwstr>
      </vt:variant>
      <vt:variant>
        <vt:i4>1966129</vt:i4>
      </vt:variant>
      <vt:variant>
        <vt:i4>206</vt:i4>
      </vt:variant>
      <vt:variant>
        <vt:i4>0</vt:i4>
      </vt:variant>
      <vt:variant>
        <vt:i4>5</vt:i4>
      </vt:variant>
      <vt:variant>
        <vt:lpwstr/>
      </vt:variant>
      <vt:variant>
        <vt:lpwstr>_Toc66196402</vt:lpwstr>
      </vt:variant>
      <vt:variant>
        <vt:i4>1900593</vt:i4>
      </vt:variant>
      <vt:variant>
        <vt:i4>200</vt:i4>
      </vt:variant>
      <vt:variant>
        <vt:i4>0</vt:i4>
      </vt:variant>
      <vt:variant>
        <vt:i4>5</vt:i4>
      </vt:variant>
      <vt:variant>
        <vt:lpwstr/>
      </vt:variant>
      <vt:variant>
        <vt:lpwstr>_Toc66196401</vt:lpwstr>
      </vt:variant>
      <vt:variant>
        <vt:i4>1835057</vt:i4>
      </vt:variant>
      <vt:variant>
        <vt:i4>194</vt:i4>
      </vt:variant>
      <vt:variant>
        <vt:i4>0</vt:i4>
      </vt:variant>
      <vt:variant>
        <vt:i4>5</vt:i4>
      </vt:variant>
      <vt:variant>
        <vt:lpwstr/>
      </vt:variant>
      <vt:variant>
        <vt:lpwstr>_Toc66196400</vt:lpwstr>
      </vt:variant>
      <vt:variant>
        <vt:i4>1179704</vt:i4>
      </vt:variant>
      <vt:variant>
        <vt:i4>188</vt:i4>
      </vt:variant>
      <vt:variant>
        <vt:i4>0</vt:i4>
      </vt:variant>
      <vt:variant>
        <vt:i4>5</vt:i4>
      </vt:variant>
      <vt:variant>
        <vt:lpwstr/>
      </vt:variant>
      <vt:variant>
        <vt:lpwstr>_Toc66196399</vt:lpwstr>
      </vt:variant>
      <vt:variant>
        <vt:i4>1245240</vt:i4>
      </vt:variant>
      <vt:variant>
        <vt:i4>182</vt:i4>
      </vt:variant>
      <vt:variant>
        <vt:i4>0</vt:i4>
      </vt:variant>
      <vt:variant>
        <vt:i4>5</vt:i4>
      </vt:variant>
      <vt:variant>
        <vt:lpwstr/>
      </vt:variant>
      <vt:variant>
        <vt:lpwstr>_Toc66196398</vt:lpwstr>
      </vt:variant>
      <vt:variant>
        <vt:i4>1835064</vt:i4>
      </vt:variant>
      <vt:variant>
        <vt:i4>176</vt:i4>
      </vt:variant>
      <vt:variant>
        <vt:i4>0</vt:i4>
      </vt:variant>
      <vt:variant>
        <vt:i4>5</vt:i4>
      </vt:variant>
      <vt:variant>
        <vt:lpwstr/>
      </vt:variant>
      <vt:variant>
        <vt:lpwstr>_Toc66196397</vt:lpwstr>
      </vt:variant>
      <vt:variant>
        <vt:i4>1900600</vt:i4>
      </vt:variant>
      <vt:variant>
        <vt:i4>170</vt:i4>
      </vt:variant>
      <vt:variant>
        <vt:i4>0</vt:i4>
      </vt:variant>
      <vt:variant>
        <vt:i4>5</vt:i4>
      </vt:variant>
      <vt:variant>
        <vt:lpwstr/>
      </vt:variant>
      <vt:variant>
        <vt:lpwstr>_Toc66196396</vt:lpwstr>
      </vt:variant>
      <vt:variant>
        <vt:i4>1966136</vt:i4>
      </vt:variant>
      <vt:variant>
        <vt:i4>164</vt:i4>
      </vt:variant>
      <vt:variant>
        <vt:i4>0</vt:i4>
      </vt:variant>
      <vt:variant>
        <vt:i4>5</vt:i4>
      </vt:variant>
      <vt:variant>
        <vt:lpwstr/>
      </vt:variant>
      <vt:variant>
        <vt:lpwstr>_Toc66196395</vt:lpwstr>
      </vt:variant>
      <vt:variant>
        <vt:i4>2031672</vt:i4>
      </vt:variant>
      <vt:variant>
        <vt:i4>158</vt:i4>
      </vt:variant>
      <vt:variant>
        <vt:i4>0</vt:i4>
      </vt:variant>
      <vt:variant>
        <vt:i4>5</vt:i4>
      </vt:variant>
      <vt:variant>
        <vt:lpwstr/>
      </vt:variant>
      <vt:variant>
        <vt:lpwstr>_Toc66196394</vt:lpwstr>
      </vt:variant>
      <vt:variant>
        <vt:i4>1572920</vt:i4>
      </vt:variant>
      <vt:variant>
        <vt:i4>152</vt:i4>
      </vt:variant>
      <vt:variant>
        <vt:i4>0</vt:i4>
      </vt:variant>
      <vt:variant>
        <vt:i4>5</vt:i4>
      </vt:variant>
      <vt:variant>
        <vt:lpwstr/>
      </vt:variant>
      <vt:variant>
        <vt:lpwstr>_Toc66196393</vt:lpwstr>
      </vt:variant>
      <vt:variant>
        <vt:i4>1638456</vt:i4>
      </vt:variant>
      <vt:variant>
        <vt:i4>146</vt:i4>
      </vt:variant>
      <vt:variant>
        <vt:i4>0</vt:i4>
      </vt:variant>
      <vt:variant>
        <vt:i4>5</vt:i4>
      </vt:variant>
      <vt:variant>
        <vt:lpwstr/>
      </vt:variant>
      <vt:variant>
        <vt:lpwstr>_Toc66196392</vt:lpwstr>
      </vt:variant>
      <vt:variant>
        <vt:i4>1703992</vt:i4>
      </vt:variant>
      <vt:variant>
        <vt:i4>140</vt:i4>
      </vt:variant>
      <vt:variant>
        <vt:i4>0</vt:i4>
      </vt:variant>
      <vt:variant>
        <vt:i4>5</vt:i4>
      </vt:variant>
      <vt:variant>
        <vt:lpwstr/>
      </vt:variant>
      <vt:variant>
        <vt:lpwstr>_Toc66196391</vt:lpwstr>
      </vt:variant>
      <vt:variant>
        <vt:i4>1769528</vt:i4>
      </vt:variant>
      <vt:variant>
        <vt:i4>134</vt:i4>
      </vt:variant>
      <vt:variant>
        <vt:i4>0</vt:i4>
      </vt:variant>
      <vt:variant>
        <vt:i4>5</vt:i4>
      </vt:variant>
      <vt:variant>
        <vt:lpwstr/>
      </vt:variant>
      <vt:variant>
        <vt:lpwstr>_Toc66196390</vt:lpwstr>
      </vt:variant>
      <vt:variant>
        <vt:i4>1179705</vt:i4>
      </vt:variant>
      <vt:variant>
        <vt:i4>128</vt:i4>
      </vt:variant>
      <vt:variant>
        <vt:i4>0</vt:i4>
      </vt:variant>
      <vt:variant>
        <vt:i4>5</vt:i4>
      </vt:variant>
      <vt:variant>
        <vt:lpwstr/>
      </vt:variant>
      <vt:variant>
        <vt:lpwstr>_Toc66196389</vt:lpwstr>
      </vt:variant>
      <vt:variant>
        <vt:i4>1245241</vt:i4>
      </vt:variant>
      <vt:variant>
        <vt:i4>122</vt:i4>
      </vt:variant>
      <vt:variant>
        <vt:i4>0</vt:i4>
      </vt:variant>
      <vt:variant>
        <vt:i4>5</vt:i4>
      </vt:variant>
      <vt:variant>
        <vt:lpwstr/>
      </vt:variant>
      <vt:variant>
        <vt:lpwstr>_Toc66196388</vt:lpwstr>
      </vt:variant>
      <vt:variant>
        <vt:i4>1835065</vt:i4>
      </vt:variant>
      <vt:variant>
        <vt:i4>116</vt:i4>
      </vt:variant>
      <vt:variant>
        <vt:i4>0</vt:i4>
      </vt:variant>
      <vt:variant>
        <vt:i4>5</vt:i4>
      </vt:variant>
      <vt:variant>
        <vt:lpwstr/>
      </vt:variant>
      <vt:variant>
        <vt:lpwstr>_Toc66196387</vt:lpwstr>
      </vt:variant>
      <vt:variant>
        <vt:i4>1900601</vt:i4>
      </vt:variant>
      <vt:variant>
        <vt:i4>110</vt:i4>
      </vt:variant>
      <vt:variant>
        <vt:i4>0</vt:i4>
      </vt:variant>
      <vt:variant>
        <vt:i4>5</vt:i4>
      </vt:variant>
      <vt:variant>
        <vt:lpwstr/>
      </vt:variant>
      <vt:variant>
        <vt:lpwstr>_Toc66196386</vt:lpwstr>
      </vt:variant>
      <vt:variant>
        <vt:i4>1966137</vt:i4>
      </vt:variant>
      <vt:variant>
        <vt:i4>104</vt:i4>
      </vt:variant>
      <vt:variant>
        <vt:i4>0</vt:i4>
      </vt:variant>
      <vt:variant>
        <vt:i4>5</vt:i4>
      </vt:variant>
      <vt:variant>
        <vt:lpwstr/>
      </vt:variant>
      <vt:variant>
        <vt:lpwstr>_Toc66196385</vt:lpwstr>
      </vt:variant>
      <vt:variant>
        <vt:i4>2031673</vt:i4>
      </vt:variant>
      <vt:variant>
        <vt:i4>98</vt:i4>
      </vt:variant>
      <vt:variant>
        <vt:i4>0</vt:i4>
      </vt:variant>
      <vt:variant>
        <vt:i4>5</vt:i4>
      </vt:variant>
      <vt:variant>
        <vt:lpwstr/>
      </vt:variant>
      <vt:variant>
        <vt:lpwstr>_Toc66196384</vt:lpwstr>
      </vt:variant>
      <vt:variant>
        <vt:i4>1572921</vt:i4>
      </vt:variant>
      <vt:variant>
        <vt:i4>92</vt:i4>
      </vt:variant>
      <vt:variant>
        <vt:i4>0</vt:i4>
      </vt:variant>
      <vt:variant>
        <vt:i4>5</vt:i4>
      </vt:variant>
      <vt:variant>
        <vt:lpwstr/>
      </vt:variant>
      <vt:variant>
        <vt:lpwstr>_Toc66196383</vt:lpwstr>
      </vt:variant>
      <vt:variant>
        <vt:i4>1638457</vt:i4>
      </vt:variant>
      <vt:variant>
        <vt:i4>86</vt:i4>
      </vt:variant>
      <vt:variant>
        <vt:i4>0</vt:i4>
      </vt:variant>
      <vt:variant>
        <vt:i4>5</vt:i4>
      </vt:variant>
      <vt:variant>
        <vt:lpwstr/>
      </vt:variant>
      <vt:variant>
        <vt:lpwstr>_Toc66196382</vt:lpwstr>
      </vt:variant>
      <vt:variant>
        <vt:i4>1703993</vt:i4>
      </vt:variant>
      <vt:variant>
        <vt:i4>80</vt:i4>
      </vt:variant>
      <vt:variant>
        <vt:i4>0</vt:i4>
      </vt:variant>
      <vt:variant>
        <vt:i4>5</vt:i4>
      </vt:variant>
      <vt:variant>
        <vt:lpwstr/>
      </vt:variant>
      <vt:variant>
        <vt:lpwstr>_Toc66196381</vt:lpwstr>
      </vt:variant>
      <vt:variant>
        <vt:i4>1769529</vt:i4>
      </vt:variant>
      <vt:variant>
        <vt:i4>74</vt:i4>
      </vt:variant>
      <vt:variant>
        <vt:i4>0</vt:i4>
      </vt:variant>
      <vt:variant>
        <vt:i4>5</vt:i4>
      </vt:variant>
      <vt:variant>
        <vt:lpwstr/>
      </vt:variant>
      <vt:variant>
        <vt:lpwstr>_Toc66196380</vt:lpwstr>
      </vt:variant>
      <vt:variant>
        <vt:i4>1179702</vt:i4>
      </vt:variant>
      <vt:variant>
        <vt:i4>68</vt:i4>
      </vt:variant>
      <vt:variant>
        <vt:i4>0</vt:i4>
      </vt:variant>
      <vt:variant>
        <vt:i4>5</vt:i4>
      </vt:variant>
      <vt:variant>
        <vt:lpwstr/>
      </vt:variant>
      <vt:variant>
        <vt:lpwstr>_Toc66196379</vt:lpwstr>
      </vt:variant>
      <vt:variant>
        <vt:i4>1245238</vt:i4>
      </vt:variant>
      <vt:variant>
        <vt:i4>62</vt:i4>
      </vt:variant>
      <vt:variant>
        <vt:i4>0</vt:i4>
      </vt:variant>
      <vt:variant>
        <vt:i4>5</vt:i4>
      </vt:variant>
      <vt:variant>
        <vt:lpwstr/>
      </vt:variant>
      <vt:variant>
        <vt:lpwstr>_Toc66196378</vt:lpwstr>
      </vt:variant>
      <vt:variant>
        <vt:i4>1835062</vt:i4>
      </vt:variant>
      <vt:variant>
        <vt:i4>56</vt:i4>
      </vt:variant>
      <vt:variant>
        <vt:i4>0</vt:i4>
      </vt:variant>
      <vt:variant>
        <vt:i4>5</vt:i4>
      </vt:variant>
      <vt:variant>
        <vt:lpwstr/>
      </vt:variant>
      <vt:variant>
        <vt:lpwstr>_Toc66196377</vt:lpwstr>
      </vt:variant>
      <vt:variant>
        <vt:i4>1900598</vt:i4>
      </vt:variant>
      <vt:variant>
        <vt:i4>50</vt:i4>
      </vt:variant>
      <vt:variant>
        <vt:i4>0</vt:i4>
      </vt:variant>
      <vt:variant>
        <vt:i4>5</vt:i4>
      </vt:variant>
      <vt:variant>
        <vt:lpwstr/>
      </vt:variant>
      <vt:variant>
        <vt:lpwstr>_Toc66196376</vt:lpwstr>
      </vt:variant>
      <vt:variant>
        <vt:i4>1966134</vt:i4>
      </vt:variant>
      <vt:variant>
        <vt:i4>44</vt:i4>
      </vt:variant>
      <vt:variant>
        <vt:i4>0</vt:i4>
      </vt:variant>
      <vt:variant>
        <vt:i4>5</vt:i4>
      </vt:variant>
      <vt:variant>
        <vt:lpwstr/>
      </vt:variant>
      <vt:variant>
        <vt:lpwstr>_Toc66196375</vt:lpwstr>
      </vt:variant>
      <vt:variant>
        <vt:i4>2031670</vt:i4>
      </vt:variant>
      <vt:variant>
        <vt:i4>38</vt:i4>
      </vt:variant>
      <vt:variant>
        <vt:i4>0</vt:i4>
      </vt:variant>
      <vt:variant>
        <vt:i4>5</vt:i4>
      </vt:variant>
      <vt:variant>
        <vt:lpwstr/>
      </vt:variant>
      <vt:variant>
        <vt:lpwstr>_Toc66196374</vt:lpwstr>
      </vt:variant>
      <vt:variant>
        <vt:i4>1572918</vt:i4>
      </vt:variant>
      <vt:variant>
        <vt:i4>32</vt:i4>
      </vt:variant>
      <vt:variant>
        <vt:i4>0</vt:i4>
      </vt:variant>
      <vt:variant>
        <vt:i4>5</vt:i4>
      </vt:variant>
      <vt:variant>
        <vt:lpwstr/>
      </vt:variant>
      <vt:variant>
        <vt:lpwstr>_Toc66196373</vt:lpwstr>
      </vt:variant>
      <vt:variant>
        <vt:i4>1638454</vt:i4>
      </vt:variant>
      <vt:variant>
        <vt:i4>26</vt:i4>
      </vt:variant>
      <vt:variant>
        <vt:i4>0</vt:i4>
      </vt:variant>
      <vt:variant>
        <vt:i4>5</vt:i4>
      </vt:variant>
      <vt:variant>
        <vt:lpwstr/>
      </vt:variant>
      <vt:variant>
        <vt:lpwstr>_Toc66196372</vt:lpwstr>
      </vt:variant>
      <vt:variant>
        <vt:i4>1703990</vt:i4>
      </vt:variant>
      <vt:variant>
        <vt:i4>20</vt:i4>
      </vt:variant>
      <vt:variant>
        <vt:i4>0</vt:i4>
      </vt:variant>
      <vt:variant>
        <vt:i4>5</vt:i4>
      </vt:variant>
      <vt:variant>
        <vt:lpwstr/>
      </vt:variant>
      <vt:variant>
        <vt:lpwstr>_Toc66196371</vt:lpwstr>
      </vt:variant>
      <vt:variant>
        <vt:i4>1769526</vt:i4>
      </vt:variant>
      <vt:variant>
        <vt:i4>14</vt:i4>
      </vt:variant>
      <vt:variant>
        <vt:i4>0</vt:i4>
      </vt:variant>
      <vt:variant>
        <vt:i4>5</vt:i4>
      </vt:variant>
      <vt:variant>
        <vt:lpwstr/>
      </vt:variant>
      <vt:variant>
        <vt:lpwstr>_Toc66196370</vt:lpwstr>
      </vt:variant>
      <vt:variant>
        <vt:i4>1179703</vt:i4>
      </vt:variant>
      <vt:variant>
        <vt:i4>8</vt:i4>
      </vt:variant>
      <vt:variant>
        <vt:i4>0</vt:i4>
      </vt:variant>
      <vt:variant>
        <vt:i4>5</vt:i4>
      </vt:variant>
      <vt:variant>
        <vt:lpwstr/>
      </vt:variant>
      <vt:variant>
        <vt:lpwstr>_Toc66196369</vt:lpwstr>
      </vt:variant>
      <vt:variant>
        <vt:i4>1245239</vt:i4>
      </vt:variant>
      <vt:variant>
        <vt:i4>2</vt:i4>
      </vt:variant>
      <vt:variant>
        <vt:i4>0</vt:i4>
      </vt:variant>
      <vt:variant>
        <vt:i4>5</vt:i4>
      </vt:variant>
      <vt:variant>
        <vt:lpwstr/>
      </vt:variant>
      <vt:variant>
        <vt:lpwstr>_Toc66196368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Jarvie, Laura</cp:lastModifiedBy>
  <cp:revision>3</cp:revision>
  <cp:lastPrinted>2020-08-12T16:56:00Z</cp:lastPrinted>
  <dcterms:created xsi:type="dcterms:W3CDTF">2021-05-07T12:01:00Z</dcterms:created>
  <dcterms:modified xsi:type="dcterms:W3CDTF">2021-05-25T18:27:00Z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