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FD6AB" w14:textId="77777777" w:rsidR="00F44833" w:rsidRPr="003F7EE6" w:rsidRDefault="00F44833" w:rsidP="00F44833">
      <w:pPr>
        <w:tabs>
          <w:tab w:val="center" w:pos="4680"/>
        </w:tabs>
        <w:suppressAutoHyphens/>
        <w:spacing w:after="0" w:line="240" w:lineRule="auto"/>
        <w:jc w:val="center"/>
        <w:rPr>
          <w:rFonts w:ascii="Times New Roman" w:eastAsia="Times New Roman" w:hAnsi="Times New Roman" w:cs="Times New Roman"/>
          <w:b/>
          <w:spacing w:val="-3"/>
          <w:sz w:val="26"/>
          <w:szCs w:val="26"/>
        </w:rPr>
      </w:pPr>
      <w:r w:rsidRPr="003F7EE6">
        <w:rPr>
          <w:rFonts w:ascii="Times New Roman" w:eastAsia="Times New Roman" w:hAnsi="Times New Roman" w:cs="Times New Roman"/>
          <w:b/>
          <w:spacing w:val="-3"/>
          <w:sz w:val="26"/>
          <w:szCs w:val="26"/>
        </w:rPr>
        <w:t>PENNSYLVANIA</w:t>
      </w:r>
    </w:p>
    <w:p w14:paraId="327B5196" w14:textId="77777777" w:rsidR="00F44833" w:rsidRPr="003F7EE6" w:rsidRDefault="00F44833" w:rsidP="00F44833">
      <w:pPr>
        <w:tabs>
          <w:tab w:val="center" w:pos="4680"/>
        </w:tabs>
        <w:suppressAutoHyphens/>
        <w:spacing w:after="0" w:line="240" w:lineRule="auto"/>
        <w:jc w:val="center"/>
        <w:rPr>
          <w:rFonts w:ascii="Times New Roman" w:eastAsia="Times New Roman" w:hAnsi="Times New Roman" w:cs="Times New Roman"/>
          <w:b/>
          <w:spacing w:val="-3"/>
          <w:sz w:val="26"/>
          <w:szCs w:val="26"/>
        </w:rPr>
      </w:pPr>
      <w:r w:rsidRPr="003F7EE6">
        <w:rPr>
          <w:rFonts w:ascii="Times New Roman" w:eastAsia="Times New Roman" w:hAnsi="Times New Roman" w:cs="Times New Roman"/>
          <w:b/>
          <w:spacing w:val="-3"/>
          <w:sz w:val="26"/>
          <w:szCs w:val="26"/>
        </w:rPr>
        <w:t>PUBLIC UTILITY COMMISSION</w:t>
      </w:r>
    </w:p>
    <w:p w14:paraId="3FF5BDE3" w14:textId="207046D3" w:rsidR="00F44833" w:rsidRPr="003F7EE6" w:rsidRDefault="00F44833" w:rsidP="00F44833">
      <w:pPr>
        <w:tabs>
          <w:tab w:val="center" w:pos="4680"/>
        </w:tabs>
        <w:suppressAutoHyphens/>
        <w:spacing w:after="0" w:line="240" w:lineRule="auto"/>
        <w:jc w:val="center"/>
        <w:rPr>
          <w:rFonts w:ascii="Times New Roman" w:eastAsia="Times New Roman" w:hAnsi="Times New Roman" w:cs="Times New Roman"/>
          <w:b/>
          <w:spacing w:val="-3"/>
          <w:sz w:val="26"/>
          <w:szCs w:val="26"/>
        </w:rPr>
      </w:pPr>
      <w:r w:rsidRPr="003F7EE6">
        <w:rPr>
          <w:rFonts w:ascii="Times New Roman" w:eastAsia="Times New Roman" w:hAnsi="Times New Roman" w:cs="Times New Roman"/>
          <w:b/>
          <w:spacing w:val="-3"/>
          <w:sz w:val="26"/>
          <w:szCs w:val="26"/>
        </w:rPr>
        <w:t xml:space="preserve">Harrisburg, PA </w:t>
      </w:r>
      <w:r w:rsidR="00C21DF1">
        <w:rPr>
          <w:rFonts w:ascii="Times New Roman" w:eastAsia="Times New Roman" w:hAnsi="Times New Roman" w:cs="Times New Roman"/>
          <w:b/>
          <w:spacing w:val="-3"/>
          <w:sz w:val="26"/>
          <w:szCs w:val="26"/>
        </w:rPr>
        <w:t xml:space="preserve"> </w:t>
      </w:r>
      <w:r w:rsidR="00384E59">
        <w:rPr>
          <w:rFonts w:ascii="Times New Roman" w:eastAsia="Times New Roman" w:hAnsi="Times New Roman" w:cs="Times New Roman"/>
          <w:b/>
          <w:spacing w:val="-3"/>
          <w:sz w:val="26"/>
          <w:szCs w:val="26"/>
        </w:rPr>
        <w:t>17120</w:t>
      </w:r>
    </w:p>
    <w:p w14:paraId="51827180" w14:textId="1F52198D" w:rsidR="00F44833" w:rsidRDefault="00F44833" w:rsidP="00F44833">
      <w:pPr>
        <w:tabs>
          <w:tab w:val="left" w:pos="-720"/>
        </w:tabs>
        <w:suppressAutoHyphens/>
        <w:spacing w:after="0" w:line="240" w:lineRule="auto"/>
        <w:jc w:val="both"/>
        <w:rPr>
          <w:rFonts w:ascii="Times New Roman" w:eastAsia="Times New Roman" w:hAnsi="Times New Roman" w:cs="Times New Roman"/>
          <w:spacing w:val="-3"/>
          <w:sz w:val="26"/>
          <w:szCs w:val="26"/>
        </w:rPr>
      </w:pPr>
    </w:p>
    <w:p w14:paraId="2BAB0546" w14:textId="77777777" w:rsidR="00384E59" w:rsidRPr="003F7EE6" w:rsidRDefault="00384E59" w:rsidP="00F44833">
      <w:pPr>
        <w:tabs>
          <w:tab w:val="left" w:pos="-720"/>
        </w:tabs>
        <w:suppressAutoHyphens/>
        <w:spacing w:after="0" w:line="240" w:lineRule="auto"/>
        <w:jc w:val="both"/>
        <w:rPr>
          <w:rFonts w:ascii="Times New Roman" w:eastAsia="Times New Roman" w:hAnsi="Times New Roman" w:cs="Times New Roman"/>
          <w:spacing w:val="-3"/>
          <w:sz w:val="26"/>
          <w:szCs w:val="26"/>
        </w:rPr>
      </w:pPr>
    </w:p>
    <w:p w14:paraId="144912A5" w14:textId="45D2810C" w:rsidR="00F44833" w:rsidRPr="003F7EE6" w:rsidRDefault="00F44833" w:rsidP="00060D64">
      <w:pPr>
        <w:tabs>
          <w:tab w:val="left" w:pos="-720"/>
        </w:tabs>
        <w:suppressAutoHyphens/>
        <w:spacing w:after="0" w:line="240" w:lineRule="auto"/>
        <w:jc w:val="right"/>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 xml:space="preserve">Public Meeting held </w:t>
      </w:r>
      <w:r w:rsidR="00D814DC">
        <w:rPr>
          <w:rFonts w:ascii="Times New Roman" w:eastAsia="Times New Roman" w:hAnsi="Times New Roman" w:cs="Times New Roman"/>
          <w:sz w:val="26"/>
          <w:szCs w:val="26"/>
        </w:rPr>
        <w:t>May 20</w:t>
      </w:r>
      <w:r w:rsidR="006A0373">
        <w:rPr>
          <w:rFonts w:ascii="Times New Roman" w:eastAsia="Times New Roman" w:hAnsi="Times New Roman" w:cs="Times New Roman"/>
          <w:sz w:val="26"/>
          <w:szCs w:val="26"/>
        </w:rPr>
        <w:t xml:space="preserve">, </w:t>
      </w:r>
      <w:proofErr w:type="gramStart"/>
      <w:r w:rsidR="006A0373">
        <w:rPr>
          <w:rFonts w:ascii="Times New Roman" w:eastAsia="Times New Roman" w:hAnsi="Times New Roman" w:cs="Times New Roman"/>
          <w:sz w:val="26"/>
          <w:szCs w:val="26"/>
        </w:rPr>
        <w:t>202</w:t>
      </w:r>
      <w:r w:rsidR="00CB6C24">
        <w:rPr>
          <w:rFonts w:ascii="Times New Roman" w:eastAsia="Times New Roman" w:hAnsi="Times New Roman" w:cs="Times New Roman"/>
          <w:sz w:val="26"/>
          <w:szCs w:val="26"/>
        </w:rPr>
        <w:t>1</w:t>
      </w:r>
      <w:proofErr w:type="gramEnd"/>
    </w:p>
    <w:p w14:paraId="525D00EF" w14:textId="77777777" w:rsidR="00F44833" w:rsidRPr="003F7EE6" w:rsidRDefault="00F44833" w:rsidP="00F44833">
      <w:pPr>
        <w:tabs>
          <w:tab w:val="left" w:pos="-720"/>
        </w:tabs>
        <w:suppressAutoHyphens/>
        <w:spacing w:after="0" w:line="240" w:lineRule="auto"/>
        <w:rPr>
          <w:rFonts w:ascii="Times New Roman" w:eastAsia="Times New Roman" w:hAnsi="Times New Roman" w:cs="Times New Roman"/>
          <w:sz w:val="26"/>
          <w:szCs w:val="26"/>
        </w:rPr>
      </w:pPr>
    </w:p>
    <w:p w14:paraId="54F9A51E" w14:textId="77777777" w:rsidR="00F44833" w:rsidRPr="003F7EE6" w:rsidRDefault="00F44833" w:rsidP="00F44833">
      <w:pPr>
        <w:tabs>
          <w:tab w:val="left" w:pos="-720"/>
        </w:tabs>
        <w:suppressAutoHyphens/>
        <w:spacing w:after="0" w:line="240" w:lineRule="auto"/>
        <w:rPr>
          <w:rFonts w:ascii="Times New Roman" w:eastAsia="Times New Roman" w:hAnsi="Times New Roman" w:cs="Times New Roman"/>
          <w:sz w:val="26"/>
          <w:szCs w:val="26"/>
        </w:rPr>
      </w:pPr>
    </w:p>
    <w:p w14:paraId="08405701" w14:textId="77777777" w:rsidR="00F44833" w:rsidRPr="003F7EE6" w:rsidRDefault="00F44833" w:rsidP="00F44833">
      <w:pPr>
        <w:tabs>
          <w:tab w:val="left" w:pos="-720"/>
        </w:tabs>
        <w:suppressAutoHyphens/>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 xml:space="preserve">Commissioners Present: </w:t>
      </w:r>
    </w:p>
    <w:p w14:paraId="27567271" w14:textId="77777777" w:rsidR="00F44833" w:rsidRPr="003F7EE6" w:rsidRDefault="00F44833" w:rsidP="00F44833">
      <w:pPr>
        <w:tabs>
          <w:tab w:val="left" w:pos="-720"/>
        </w:tabs>
        <w:suppressAutoHyphens/>
        <w:spacing w:after="0" w:line="240" w:lineRule="auto"/>
        <w:rPr>
          <w:rFonts w:ascii="Times New Roman" w:eastAsia="Times New Roman" w:hAnsi="Times New Roman" w:cs="Times New Roman"/>
          <w:sz w:val="26"/>
          <w:szCs w:val="26"/>
        </w:rPr>
      </w:pPr>
    </w:p>
    <w:p w14:paraId="576DB8DD" w14:textId="77777777" w:rsidR="006A0373" w:rsidRPr="00A05F29" w:rsidRDefault="00F44833" w:rsidP="006A0373">
      <w:pPr>
        <w:tabs>
          <w:tab w:val="left" w:pos="-720"/>
        </w:tabs>
        <w:suppressAutoHyphens/>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ab/>
      </w:r>
      <w:r w:rsidR="006A0373" w:rsidRPr="00A05F29">
        <w:rPr>
          <w:rFonts w:ascii="Times New Roman" w:eastAsia="Times New Roman" w:hAnsi="Times New Roman" w:cs="Times New Roman"/>
          <w:sz w:val="26"/>
          <w:szCs w:val="26"/>
        </w:rPr>
        <w:t>Gladys Brown Dutrieuille, Chairman</w:t>
      </w:r>
    </w:p>
    <w:p w14:paraId="2759D90B" w14:textId="77777777" w:rsidR="006A0373" w:rsidRPr="00A05F29" w:rsidRDefault="006A0373" w:rsidP="006A0373">
      <w:pPr>
        <w:tabs>
          <w:tab w:val="left" w:pos="705"/>
        </w:tabs>
        <w:spacing w:after="0" w:line="240" w:lineRule="auto"/>
        <w:ind w:firstLine="720"/>
        <w:rPr>
          <w:rFonts w:ascii="Times New Roman" w:eastAsia="Times New Roman" w:hAnsi="Times New Roman" w:cs="Times New Roman"/>
          <w:sz w:val="26"/>
          <w:szCs w:val="26"/>
        </w:rPr>
      </w:pPr>
      <w:r w:rsidRPr="00A05F29">
        <w:rPr>
          <w:rFonts w:ascii="Times New Roman" w:eastAsia="Times New Roman" w:hAnsi="Times New Roman" w:cs="Times New Roman"/>
          <w:sz w:val="26"/>
          <w:szCs w:val="26"/>
        </w:rPr>
        <w:t>David W. Sweet, Vice Chairman</w:t>
      </w:r>
    </w:p>
    <w:p w14:paraId="3CE83DE8" w14:textId="77777777" w:rsidR="006A0373" w:rsidRPr="00A05F29" w:rsidRDefault="006A0373" w:rsidP="006A0373">
      <w:pPr>
        <w:tabs>
          <w:tab w:val="left" w:pos="705"/>
        </w:tabs>
        <w:spacing w:after="0" w:line="240" w:lineRule="auto"/>
        <w:ind w:firstLine="720"/>
        <w:rPr>
          <w:rFonts w:ascii="Times New Roman" w:eastAsia="Times New Roman" w:hAnsi="Times New Roman" w:cs="Times New Roman"/>
          <w:sz w:val="26"/>
          <w:szCs w:val="26"/>
        </w:rPr>
      </w:pPr>
      <w:r w:rsidRPr="00A05F29">
        <w:rPr>
          <w:rFonts w:ascii="Times New Roman" w:eastAsia="Times New Roman" w:hAnsi="Times New Roman" w:cs="Times New Roman"/>
          <w:sz w:val="26"/>
          <w:szCs w:val="26"/>
        </w:rPr>
        <w:t>John F. Coleman, Jr.</w:t>
      </w:r>
    </w:p>
    <w:p w14:paraId="349BCEFD" w14:textId="77777777" w:rsidR="006A0373" w:rsidRPr="00A05F29" w:rsidRDefault="006A0373" w:rsidP="006A0373">
      <w:pPr>
        <w:tabs>
          <w:tab w:val="left" w:pos="705"/>
        </w:tabs>
        <w:spacing w:after="0" w:line="240" w:lineRule="auto"/>
        <w:ind w:firstLine="720"/>
        <w:rPr>
          <w:rFonts w:ascii="Times New Roman" w:eastAsia="Times New Roman" w:hAnsi="Times New Roman" w:cs="Times New Roman"/>
          <w:sz w:val="26"/>
          <w:szCs w:val="26"/>
        </w:rPr>
      </w:pPr>
      <w:r w:rsidRPr="00A05F29">
        <w:rPr>
          <w:rFonts w:ascii="Times New Roman" w:eastAsia="Times New Roman" w:hAnsi="Times New Roman" w:cs="Times New Roman"/>
          <w:sz w:val="26"/>
          <w:szCs w:val="26"/>
        </w:rPr>
        <w:t>Ralph V. Yanora</w:t>
      </w:r>
    </w:p>
    <w:p w14:paraId="674E1C4C" w14:textId="53F7ADC0" w:rsidR="00D662B2" w:rsidRDefault="00D662B2" w:rsidP="00F44833">
      <w:pPr>
        <w:tabs>
          <w:tab w:val="left" w:pos="-720"/>
        </w:tabs>
        <w:suppressAutoHyphens/>
        <w:spacing w:after="0" w:line="240" w:lineRule="auto"/>
        <w:rPr>
          <w:rFonts w:ascii="Times New Roman" w:eastAsia="Times New Roman" w:hAnsi="Times New Roman" w:cs="Times New Roman"/>
          <w:sz w:val="26"/>
          <w:szCs w:val="26"/>
        </w:rPr>
      </w:pPr>
    </w:p>
    <w:p w14:paraId="3AA07E81" w14:textId="77777777" w:rsidR="000C58A3" w:rsidRPr="003F7EE6" w:rsidRDefault="000C58A3" w:rsidP="00F44833">
      <w:pPr>
        <w:tabs>
          <w:tab w:val="left" w:pos="-720"/>
        </w:tabs>
        <w:suppressAutoHyphens/>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p>
    <w:tbl>
      <w:tblPr>
        <w:tblW w:w="9828" w:type="dxa"/>
        <w:tblLayout w:type="fixed"/>
        <w:tblLook w:val="0000" w:firstRow="0" w:lastRow="0" w:firstColumn="0" w:lastColumn="0" w:noHBand="0" w:noVBand="0"/>
      </w:tblPr>
      <w:tblGrid>
        <w:gridCol w:w="5238"/>
        <w:gridCol w:w="1080"/>
        <w:gridCol w:w="3510"/>
      </w:tblGrid>
      <w:tr w:rsidR="00F44833" w:rsidRPr="003F7EE6" w14:paraId="0D66FEAB" w14:textId="77777777" w:rsidTr="00E509B9">
        <w:tc>
          <w:tcPr>
            <w:tcW w:w="5238" w:type="dxa"/>
          </w:tcPr>
          <w:p w14:paraId="3A3E2BD3" w14:textId="77777777" w:rsidR="00F44833" w:rsidRPr="003F7EE6" w:rsidRDefault="00F44833" w:rsidP="00D662B2">
            <w:pPr>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Pennsylvania Public Utility Commission,</w:t>
            </w:r>
          </w:p>
          <w:p w14:paraId="7E241145" w14:textId="77777777" w:rsidR="00F44833" w:rsidRPr="003F7EE6" w:rsidRDefault="00F44833" w:rsidP="00D662B2">
            <w:pPr>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 xml:space="preserve">Bureau of Investigation and Enforcement  </w:t>
            </w:r>
          </w:p>
          <w:p w14:paraId="48B7792E" w14:textId="77777777" w:rsidR="00F44833" w:rsidRPr="003F7EE6" w:rsidRDefault="00F44833" w:rsidP="00D662B2">
            <w:pPr>
              <w:spacing w:after="0" w:line="240" w:lineRule="auto"/>
              <w:rPr>
                <w:rFonts w:ascii="Times New Roman" w:eastAsia="Times New Roman" w:hAnsi="Times New Roman" w:cs="Times New Roman"/>
                <w:sz w:val="26"/>
                <w:szCs w:val="26"/>
              </w:rPr>
            </w:pPr>
          </w:p>
          <w:p w14:paraId="41B0AFF4" w14:textId="671154B9" w:rsidR="00F44833" w:rsidRPr="003F7EE6" w:rsidRDefault="00F44833" w:rsidP="00D662B2">
            <w:pPr>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ab/>
              <w:t>v.</w:t>
            </w:r>
          </w:p>
          <w:p w14:paraId="325B001A" w14:textId="77777777" w:rsidR="00F44833" w:rsidRPr="003F7EE6" w:rsidRDefault="00F44833" w:rsidP="00D662B2">
            <w:pPr>
              <w:spacing w:after="0" w:line="240" w:lineRule="auto"/>
              <w:rPr>
                <w:rFonts w:ascii="Times New Roman" w:eastAsia="Times New Roman" w:hAnsi="Times New Roman" w:cs="Times New Roman"/>
                <w:sz w:val="26"/>
                <w:szCs w:val="26"/>
              </w:rPr>
            </w:pPr>
          </w:p>
          <w:p w14:paraId="681FC4D4" w14:textId="3CFB59EE" w:rsidR="00F44833" w:rsidRPr="003F7EE6" w:rsidRDefault="006065A4" w:rsidP="00D662B2">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National Gas &amp; Electric, LLC</w:t>
            </w:r>
          </w:p>
          <w:p w14:paraId="25CEDBA0" w14:textId="77777777" w:rsidR="00F44833" w:rsidRPr="003F7EE6" w:rsidRDefault="00F44833" w:rsidP="00D662B2">
            <w:pPr>
              <w:spacing w:after="0" w:line="240" w:lineRule="auto"/>
              <w:rPr>
                <w:rFonts w:ascii="Times New Roman" w:eastAsia="Times New Roman" w:hAnsi="Times New Roman" w:cs="Times New Roman"/>
                <w:sz w:val="26"/>
                <w:szCs w:val="26"/>
              </w:rPr>
            </w:pPr>
          </w:p>
        </w:tc>
        <w:tc>
          <w:tcPr>
            <w:tcW w:w="1080" w:type="dxa"/>
          </w:tcPr>
          <w:p w14:paraId="0BCC3E1A" w14:textId="77777777" w:rsidR="00F44833" w:rsidRPr="003F7EE6" w:rsidRDefault="00F44833" w:rsidP="00D662B2">
            <w:pPr>
              <w:suppressAutoHyphens/>
              <w:spacing w:after="0" w:line="240" w:lineRule="auto"/>
              <w:rPr>
                <w:rFonts w:ascii="Times New Roman" w:eastAsia="Times New Roman" w:hAnsi="Times New Roman" w:cs="Times New Roman"/>
                <w:sz w:val="26"/>
                <w:szCs w:val="26"/>
              </w:rPr>
            </w:pPr>
          </w:p>
        </w:tc>
        <w:tc>
          <w:tcPr>
            <w:tcW w:w="3510" w:type="dxa"/>
          </w:tcPr>
          <w:p w14:paraId="35772F08" w14:textId="31318730" w:rsidR="00F44833" w:rsidRPr="003F7EE6" w:rsidRDefault="00F44833" w:rsidP="00D662B2">
            <w:pPr>
              <w:suppressAutoHyphens/>
              <w:spacing w:after="0" w:line="240" w:lineRule="auto"/>
              <w:ind w:right="252"/>
              <w:jc w:val="right"/>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M-20</w:t>
            </w:r>
            <w:r w:rsidR="006A0373">
              <w:rPr>
                <w:rFonts w:ascii="Times New Roman" w:eastAsia="Times New Roman" w:hAnsi="Times New Roman" w:cs="Times New Roman"/>
                <w:sz w:val="26"/>
                <w:szCs w:val="26"/>
              </w:rPr>
              <w:t>20-</w:t>
            </w:r>
            <w:r w:rsidR="006065A4">
              <w:rPr>
                <w:rFonts w:ascii="Times New Roman" w:eastAsia="Times New Roman" w:hAnsi="Times New Roman" w:cs="Times New Roman"/>
                <w:sz w:val="26"/>
                <w:szCs w:val="26"/>
              </w:rPr>
              <w:t>2637688</w:t>
            </w:r>
          </w:p>
          <w:p w14:paraId="3854199A" w14:textId="77777777" w:rsidR="00F44833" w:rsidRPr="003F7EE6" w:rsidRDefault="00F44833" w:rsidP="00D662B2">
            <w:pPr>
              <w:suppressAutoHyphens/>
              <w:spacing w:after="0" w:line="240" w:lineRule="auto"/>
              <w:rPr>
                <w:rFonts w:ascii="Times New Roman" w:eastAsia="Times New Roman" w:hAnsi="Times New Roman" w:cs="Times New Roman"/>
                <w:sz w:val="26"/>
                <w:szCs w:val="26"/>
              </w:rPr>
            </w:pPr>
          </w:p>
        </w:tc>
      </w:tr>
    </w:tbl>
    <w:p w14:paraId="434491CE" w14:textId="77777777" w:rsidR="00F44833" w:rsidRPr="003F7EE6" w:rsidRDefault="00F44833" w:rsidP="00F44833">
      <w:pPr>
        <w:keepNext/>
        <w:tabs>
          <w:tab w:val="center" w:pos="4680"/>
        </w:tabs>
        <w:suppressAutoHyphens/>
        <w:spacing w:after="0" w:line="360" w:lineRule="auto"/>
        <w:outlineLvl w:val="0"/>
        <w:rPr>
          <w:rFonts w:ascii="CG Times" w:eastAsia="Times New Roman" w:hAnsi="CG Times" w:cs="Times New Roman"/>
          <w:b/>
          <w:sz w:val="26"/>
          <w:szCs w:val="20"/>
        </w:rPr>
      </w:pPr>
    </w:p>
    <w:p w14:paraId="389A61B4" w14:textId="77777777" w:rsidR="00F44833" w:rsidRPr="003F7EE6" w:rsidRDefault="00F44833" w:rsidP="00F44833">
      <w:pPr>
        <w:keepNext/>
        <w:tabs>
          <w:tab w:val="center" w:pos="4680"/>
        </w:tabs>
        <w:suppressAutoHyphens/>
        <w:spacing w:after="0" w:line="360" w:lineRule="auto"/>
        <w:jc w:val="center"/>
        <w:outlineLvl w:val="0"/>
        <w:rPr>
          <w:rFonts w:ascii="Times New Roman" w:eastAsia="Times New Roman" w:hAnsi="Times New Roman" w:cs="Times New Roman"/>
          <w:b/>
          <w:caps/>
          <w:sz w:val="26"/>
          <w:szCs w:val="20"/>
        </w:rPr>
      </w:pPr>
      <w:r w:rsidRPr="003F7EE6">
        <w:rPr>
          <w:rFonts w:ascii="Times New Roman" w:eastAsia="Times New Roman" w:hAnsi="Times New Roman" w:cs="Times New Roman"/>
          <w:b/>
          <w:caps/>
          <w:sz w:val="26"/>
          <w:szCs w:val="20"/>
        </w:rPr>
        <w:t>Opinion and Order</w:t>
      </w:r>
    </w:p>
    <w:p w14:paraId="15A31660" w14:textId="77777777" w:rsidR="00F44833" w:rsidRPr="003F7EE6" w:rsidRDefault="00F44833" w:rsidP="00F44833">
      <w:pPr>
        <w:tabs>
          <w:tab w:val="left" w:pos="-720"/>
        </w:tabs>
        <w:suppressAutoHyphens/>
        <w:spacing w:after="0" w:line="360" w:lineRule="auto"/>
        <w:rPr>
          <w:rFonts w:ascii="Times New Roman" w:eastAsia="Times New Roman" w:hAnsi="Times New Roman" w:cs="Times New Roman"/>
          <w:b/>
          <w:sz w:val="26"/>
          <w:szCs w:val="26"/>
        </w:rPr>
      </w:pPr>
    </w:p>
    <w:p w14:paraId="2C9E2E81" w14:textId="77777777" w:rsidR="00F44833" w:rsidRPr="003F7EE6" w:rsidRDefault="00F44833" w:rsidP="00F44833">
      <w:pPr>
        <w:tabs>
          <w:tab w:val="left" w:pos="-720"/>
        </w:tabs>
        <w:suppressAutoHyphens/>
        <w:spacing w:after="0" w:line="360" w:lineRule="auto"/>
        <w:rPr>
          <w:rFonts w:ascii="Times New Roman" w:eastAsia="Times New Roman" w:hAnsi="Times New Roman" w:cs="Times New Roman"/>
          <w:sz w:val="26"/>
          <w:szCs w:val="26"/>
        </w:rPr>
      </w:pPr>
      <w:r w:rsidRPr="003F7EE6">
        <w:rPr>
          <w:rFonts w:ascii="Times New Roman" w:eastAsia="Times New Roman" w:hAnsi="Times New Roman" w:cs="Times New Roman"/>
          <w:b/>
          <w:sz w:val="26"/>
          <w:szCs w:val="26"/>
        </w:rPr>
        <w:t>BY THE COMMISSION:</w:t>
      </w:r>
    </w:p>
    <w:p w14:paraId="4B6AC53B" w14:textId="77777777" w:rsidR="00F44833" w:rsidRPr="003F7EE6" w:rsidRDefault="00F44833" w:rsidP="001602ED">
      <w:pPr>
        <w:tabs>
          <w:tab w:val="left" w:pos="-720"/>
        </w:tabs>
        <w:suppressAutoHyphens/>
        <w:spacing w:after="0" w:line="240" w:lineRule="auto"/>
        <w:rPr>
          <w:rFonts w:ascii="Times New Roman" w:eastAsia="Times New Roman" w:hAnsi="Times New Roman" w:cs="Times New Roman"/>
          <w:sz w:val="26"/>
          <w:szCs w:val="26"/>
        </w:rPr>
      </w:pPr>
    </w:p>
    <w:p w14:paraId="5A1D5561" w14:textId="5646CE8B" w:rsidR="00F44833" w:rsidRDefault="00F44833" w:rsidP="00564AAB">
      <w:pPr>
        <w:tabs>
          <w:tab w:val="left" w:pos="-720"/>
        </w:tabs>
        <w:suppressAutoHyphens/>
        <w:spacing w:after="0" w:line="36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t xml:space="preserve">Before the Pennsylvania Public Utility Commission (Commission) for consideration and disposition is a proposed </w:t>
      </w:r>
      <w:r w:rsidR="006065A4">
        <w:rPr>
          <w:rFonts w:ascii="Times New Roman" w:eastAsia="Times New Roman" w:hAnsi="Times New Roman" w:cs="Times New Roman"/>
          <w:sz w:val="26"/>
          <w:szCs w:val="26"/>
        </w:rPr>
        <w:t>Joint Petition for Approval of Settlement</w:t>
      </w:r>
      <w:r w:rsidR="00C70D07">
        <w:rPr>
          <w:rFonts w:ascii="Times New Roman" w:eastAsia="Times New Roman" w:hAnsi="Times New Roman" w:cs="Times New Roman"/>
          <w:sz w:val="26"/>
          <w:szCs w:val="26"/>
        </w:rPr>
        <w:t xml:space="preserve"> </w:t>
      </w:r>
      <w:r w:rsidR="001B2B83" w:rsidRPr="003F7EE6">
        <w:rPr>
          <w:rFonts w:ascii="Times New Roman" w:eastAsia="Times New Roman" w:hAnsi="Times New Roman" w:cs="Times New Roman"/>
          <w:sz w:val="26"/>
          <w:szCs w:val="26"/>
        </w:rPr>
        <w:t>(</w:t>
      </w:r>
      <w:r w:rsidR="001B2B83">
        <w:rPr>
          <w:rFonts w:ascii="Times New Roman" w:eastAsia="Times New Roman" w:hAnsi="Times New Roman" w:cs="Times New Roman"/>
          <w:sz w:val="26"/>
          <w:szCs w:val="26"/>
        </w:rPr>
        <w:t>Settlement</w:t>
      </w:r>
      <w:r w:rsidR="006065A4">
        <w:rPr>
          <w:rFonts w:ascii="Times New Roman" w:eastAsia="Times New Roman" w:hAnsi="Times New Roman" w:cs="Times New Roman"/>
          <w:sz w:val="26"/>
          <w:szCs w:val="26"/>
        </w:rPr>
        <w:t>, Settlement Agreement, or Petition</w:t>
      </w:r>
      <w:r w:rsidR="001B2B83" w:rsidRPr="003F7EE6">
        <w:rPr>
          <w:rFonts w:ascii="Times New Roman" w:eastAsia="Times New Roman" w:hAnsi="Times New Roman" w:cs="Times New Roman"/>
          <w:sz w:val="26"/>
          <w:szCs w:val="26"/>
        </w:rPr>
        <w:t xml:space="preserve">) </w:t>
      </w:r>
      <w:r w:rsidRPr="003F7EE6">
        <w:rPr>
          <w:rFonts w:ascii="Times New Roman" w:eastAsia="Times New Roman" w:hAnsi="Times New Roman" w:cs="Times New Roman"/>
          <w:sz w:val="26"/>
          <w:szCs w:val="26"/>
        </w:rPr>
        <w:t xml:space="preserve">filed on </w:t>
      </w:r>
      <w:r w:rsidR="006065A4">
        <w:rPr>
          <w:rFonts w:ascii="Times New Roman" w:eastAsia="Times New Roman" w:hAnsi="Times New Roman" w:cs="Times New Roman"/>
          <w:sz w:val="26"/>
          <w:szCs w:val="26"/>
        </w:rPr>
        <w:t>November 19</w:t>
      </w:r>
      <w:r w:rsidR="006A0373">
        <w:rPr>
          <w:rFonts w:ascii="Times New Roman" w:eastAsia="Times New Roman" w:hAnsi="Times New Roman" w:cs="Times New Roman"/>
          <w:sz w:val="26"/>
          <w:szCs w:val="26"/>
        </w:rPr>
        <w:t>, 2020</w:t>
      </w:r>
      <w:r w:rsidRPr="003F7EE6">
        <w:rPr>
          <w:rFonts w:ascii="Times New Roman" w:eastAsia="Times New Roman" w:hAnsi="Times New Roman" w:cs="Times New Roman"/>
          <w:sz w:val="26"/>
          <w:szCs w:val="26"/>
        </w:rPr>
        <w:t xml:space="preserve">, by the Commission’s Bureau of Investigation and Enforcement (I&amp;E) and </w:t>
      </w:r>
      <w:r w:rsidR="006065A4">
        <w:rPr>
          <w:rFonts w:ascii="Times New Roman" w:eastAsia="Times New Roman" w:hAnsi="Times New Roman" w:cs="Times New Roman"/>
          <w:sz w:val="26"/>
          <w:szCs w:val="26"/>
        </w:rPr>
        <w:t>National Gas &amp; Electric</w:t>
      </w:r>
      <w:r w:rsidR="00D331FF">
        <w:rPr>
          <w:rFonts w:ascii="Times New Roman" w:eastAsia="Times New Roman" w:hAnsi="Times New Roman" w:cs="Times New Roman"/>
          <w:sz w:val="26"/>
          <w:szCs w:val="26"/>
        </w:rPr>
        <w:t>, LLC (</w:t>
      </w:r>
      <w:r w:rsidR="006065A4">
        <w:rPr>
          <w:rFonts w:ascii="Times New Roman" w:eastAsia="Times New Roman" w:hAnsi="Times New Roman" w:cs="Times New Roman"/>
          <w:sz w:val="26"/>
          <w:szCs w:val="26"/>
        </w:rPr>
        <w:t>NG&amp;E</w:t>
      </w:r>
      <w:r w:rsidR="00FC0802">
        <w:rPr>
          <w:rFonts w:ascii="Times New Roman" w:eastAsia="Times New Roman" w:hAnsi="Times New Roman" w:cs="Times New Roman"/>
          <w:sz w:val="26"/>
          <w:szCs w:val="26"/>
        </w:rPr>
        <w:t xml:space="preserve"> </w:t>
      </w:r>
      <w:r w:rsidRPr="003F7EE6">
        <w:rPr>
          <w:rFonts w:ascii="Times New Roman" w:eastAsia="Times New Roman" w:hAnsi="Times New Roman" w:cs="Times New Roman"/>
          <w:sz w:val="26"/>
          <w:szCs w:val="26"/>
        </w:rPr>
        <w:t xml:space="preserve">or Company) (collectively, </w:t>
      </w:r>
      <w:r w:rsidR="00DD62AF">
        <w:rPr>
          <w:rFonts w:ascii="Times New Roman" w:eastAsia="Times New Roman" w:hAnsi="Times New Roman" w:cs="Times New Roman"/>
          <w:sz w:val="26"/>
          <w:szCs w:val="26"/>
        </w:rPr>
        <w:t>the Parties), with respect to</w:t>
      </w:r>
      <w:r w:rsidRPr="003F7EE6">
        <w:rPr>
          <w:rFonts w:ascii="Times New Roman" w:eastAsia="Times New Roman" w:hAnsi="Times New Roman" w:cs="Times New Roman"/>
          <w:sz w:val="26"/>
          <w:szCs w:val="26"/>
        </w:rPr>
        <w:t xml:space="preserve"> </w:t>
      </w:r>
      <w:r w:rsidR="0002071A">
        <w:rPr>
          <w:rFonts w:ascii="Times New Roman" w:eastAsia="Times New Roman" w:hAnsi="Times New Roman" w:cs="Times New Roman"/>
          <w:sz w:val="26"/>
          <w:szCs w:val="26"/>
        </w:rPr>
        <w:t xml:space="preserve">an </w:t>
      </w:r>
      <w:r w:rsidR="003919F5">
        <w:rPr>
          <w:rFonts w:ascii="Times New Roman" w:eastAsia="Times New Roman" w:hAnsi="Times New Roman" w:cs="Times New Roman"/>
          <w:sz w:val="26"/>
          <w:szCs w:val="26"/>
        </w:rPr>
        <w:t>i</w:t>
      </w:r>
      <w:r w:rsidRPr="003F7EE6">
        <w:rPr>
          <w:rFonts w:ascii="Times New Roman" w:eastAsia="Times New Roman" w:hAnsi="Times New Roman" w:cs="Times New Roman"/>
          <w:sz w:val="26"/>
          <w:szCs w:val="26"/>
        </w:rPr>
        <w:t xml:space="preserve">nformal </w:t>
      </w:r>
      <w:r w:rsidR="007A7797">
        <w:rPr>
          <w:rFonts w:ascii="Times New Roman" w:eastAsia="Times New Roman" w:hAnsi="Times New Roman" w:cs="Times New Roman"/>
          <w:sz w:val="26"/>
          <w:szCs w:val="26"/>
        </w:rPr>
        <w:t>i</w:t>
      </w:r>
      <w:r w:rsidRPr="003F7EE6">
        <w:rPr>
          <w:rFonts w:ascii="Times New Roman" w:eastAsia="Times New Roman" w:hAnsi="Times New Roman" w:cs="Times New Roman"/>
          <w:sz w:val="26"/>
          <w:szCs w:val="26"/>
        </w:rPr>
        <w:t xml:space="preserve">nvestigation conducted by I&amp;E.  </w:t>
      </w:r>
      <w:r w:rsidR="006A328C">
        <w:rPr>
          <w:rFonts w:ascii="Times New Roman" w:eastAsia="Times New Roman" w:hAnsi="Times New Roman" w:cs="Times New Roman"/>
          <w:sz w:val="26"/>
          <w:szCs w:val="26"/>
        </w:rPr>
        <w:t xml:space="preserve">Both Parties submitted Statements in Support of the Settlement.  </w:t>
      </w:r>
      <w:r w:rsidR="00D662B2">
        <w:rPr>
          <w:rFonts w:ascii="Times New Roman" w:eastAsia="Times New Roman" w:hAnsi="Times New Roman" w:cs="Times New Roman"/>
          <w:sz w:val="26"/>
          <w:szCs w:val="26"/>
        </w:rPr>
        <w:t>The Parties</w:t>
      </w:r>
      <w:r w:rsidRPr="003F7EE6">
        <w:rPr>
          <w:rFonts w:ascii="Times New Roman" w:eastAsia="Times New Roman" w:hAnsi="Times New Roman" w:cs="Times New Roman"/>
          <w:sz w:val="26"/>
          <w:szCs w:val="26"/>
        </w:rPr>
        <w:t xml:space="preserve"> submit that the proposed Settlement is in the public interest and is consistent with the Commission’s Policy Statement at 52 Pa. Code §</w:t>
      </w:r>
      <w:r w:rsidR="00060D64">
        <w:rPr>
          <w:rFonts w:ascii="Times New Roman" w:eastAsia="Times New Roman" w:hAnsi="Times New Roman" w:cs="Times New Roman"/>
          <w:sz w:val="26"/>
          <w:szCs w:val="26"/>
        </w:rPr>
        <w:t> </w:t>
      </w:r>
      <w:r w:rsidRPr="003F7EE6">
        <w:rPr>
          <w:rFonts w:ascii="Times New Roman" w:eastAsia="Times New Roman" w:hAnsi="Times New Roman" w:cs="Times New Roman"/>
          <w:sz w:val="26"/>
          <w:szCs w:val="26"/>
        </w:rPr>
        <w:t xml:space="preserve">69.1201, </w:t>
      </w:r>
      <w:r w:rsidRPr="003F7EE6">
        <w:rPr>
          <w:rFonts w:ascii="Times New Roman" w:eastAsia="Times New Roman" w:hAnsi="Times New Roman" w:cs="Times New Roman"/>
          <w:i/>
          <w:sz w:val="26"/>
          <w:szCs w:val="26"/>
        </w:rPr>
        <w:t xml:space="preserve">Factors and standards for evaluating litigated and settled proceedings </w:t>
      </w:r>
      <w:r w:rsidRPr="003F7EE6">
        <w:rPr>
          <w:rFonts w:ascii="Times New Roman" w:eastAsia="Times New Roman" w:hAnsi="Times New Roman" w:cs="Times New Roman"/>
          <w:i/>
          <w:sz w:val="26"/>
          <w:szCs w:val="26"/>
        </w:rPr>
        <w:lastRenderedPageBreak/>
        <w:t>involving violations of the Public Utility Code and Commission regulations—statement of policy</w:t>
      </w:r>
      <w:r w:rsidR="00DD62AF">
        <w:rPr>
          <w:rFonts w:ascii="Times New Roman" w:eastAsia="Times New Roman" w:hAnsi="Times New Roman" w:cs="Times New Roman"/>
          <w:sz w:val="26"/>
          <w:szCs w:val="26"/>
        </w:rPr>
        <w:t xml:space="preserve">.  </w:t>
      </w:r>
      <w:r w:rsidR="00A53B32">
        <w:rPr>
          <w:rFonts w:ascii="Times New Roman" w:eastAsia="Times New Roman" w:hAnsi="Times New Roman" w:cs="Times New Roman"/>
          <w:sz w:val="26"/>
          <w:szCs w:val="26"/>
        </w:rPr>
        <w:t>Settlement</w:t>
      </w:r>
      <w:r w:rsidR="00DD62AF">
        <w:rPr>
          <w:rFonts w:ascii="Times New Roman" w:eastAsia="Times New Roman" w:hAnsi="Times New Roman" w:cs="Times New Roman"/>
          <w:sz w:val="26"/>
          <w:szCs w:val="26"/>
        </w:rPr>
        <w:t xml:space="preserve"> at </w:t>
      </w:r>
      <w:r w:rsidR="00CE43B0">
        <w:rPr>
          <w:rFonts w:ascii="Times New Roman" w:eastAsia="Times New Roman" w:hAnsi="Times New Roman" w:cs="Times New Roman"/>
          <w:sz w:val="26"/>
          <w:szCs w:val="26"/>
        </w:rPr>
        <w:t>4</w:t>
      </w:r>
      <w:r w:rsidRPr="003F7EE6">
        <w:rPr>
          <w:rFonts w:ascii="Times New Roman" w:eastAsia="Times New Roman" w:hAnsi="Times New Roman" w:cs="Times New Roman"/>
          <w:sz w:val="26"/>
          <w:szCs w:val="26"/>
        </w:rPr>
        <w:t>.  We will issue the Settlement for comment.</w:t>
      </w:r>
    </w:p>
    <w:p w14:paraId="32614820" w14:textId="77777777" w:rsidR="00A53B32" w:rsidRPr="003F7EE6" w:rsidRDefault="00A53B32" w:rsidP="00564AAB">
      <w:pPr>
        <w:tabs>
          <w:tab w:val="left" w:pos="-720"/>
        </w:tabs>
        <w:suppressAutoHyphens/>
        <w:spacing w:after="0" w:line="360" w:lineRule="auto"/>
        <w:rPr>
          <w:rFonts w:ascii="Times New Roman" w:eastAsia="Times New Roman" w:hAnsi="Times New Roman" w:cs="Times New Roman"/>
          <w:sz w:val="26"/>
          <w:szCs w:val="26"/>
        </w:rPr>
      </w:pPr>
    </w:p>
    <w:p w14:paraId="5918BDF4" w14:textId="77777777" w:rsidR="00F44833" w:rsidRPr="003F7EE6" w:rsidRDefault="00A30ECF" w:rsidP="00564AAB">
      <w:pPr>
        <w:tabs>
          <w:tab w:val="left" w:pos="-720"/>
        </w:tabs>
        <w:suppressAutoHyphens/>
        <w:spacing w:after="0" w:line="360" w:lineRule="auto"/>
        <w:ind w:left="1440" w:hanging="1440"/>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History of the </w:t>
      </w:r>
      <w:r w:rsidR="0076203D">
        <w:rPr>
          <w:rFonts w:ascii="Times New Roman" w:eastAsia="Times New Roman" w:hAnsi="Times New Roman" w:cs="Times New Roman"/>
          <w:b/>
          <w:sz w:val="26"/>
          <w:szCs w:val="26"/>
        </w:rPr>
        <w:t>Proceeding</w:t>
      </w:r>
    </w:p>
    <w:p w14:paraId="253C1AAD" w14:textId="77777777" w:rsidR="00F44833" w:rsidRPr="003F7EE6" w:rsidRDefault="00F44833" w:rsidP="00564AAB">
      <w:pPr>
        <w:tabs>
          <w:tab w:val="center" w:pos="0"/>
        </w:tabs>
        <w:suppressAutoHyphens/>
        <w:spacing w:after="0" w:line="360" w:lineRule="auto"/>
        <w:rPr>
          <w:rFonts w:ascii="Times New Roman" w:eastAsia="Times New Roman" w:hAnsi="Times New Roman" w:cs="Times New Roman"/>
          <w:sz w:val="26"/>
          <w:szCs w:val="26"/>
        </w:rPr>
      </w:pPr>
    </w:p>
    <w:p w14:paraId="0041E85E" w14:textId="34E47AFB" w:rsidR="00E86E9D" w:rsidRDefault="00FC773F" w:rsidP="006D71EF">
      <w:pPr>
        <w:tabs>
          <w:tab w:val="center" w:pos="0"/>
        </w:tabs>
        <w:suppressAutoHyphens/>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6D71EF">
        <w:rPr>
          <w:rFonts w:ascii="Times New Roman" w:eastAsia="Times New Roman" w:hAnsi="Times New Roman" w:cs="Times New Roman"/>
          <w:sz w:val="26"/>
          <w:szCs w:val="26"/>
        </w:rPr>
        <w:t xml:space="preserve">This matter </w:t>
      </w:r>
      <w:r w:rsidR="00E86E9D">
        <w:rPr>
          <w:rFonts w:ascii="Times New Roman" w:eastAsia="Times New Roman" w:hAnsi="Times New Roman" w:cs="Times New Roman"/>
          <w:sz w:val="26"/>
          <w:szCs w:val="26"/>
        </w:rPr>
        <w:t>stems from I&amp;E’s concerns regarding a promotional postcard that NG&amp;E mailed to prospective customers in November 2017.  The postcard in question, promoting NG&amp;E’s fixed price electricity supply offer, allegedly may have disclosed confidential</w:t>
      </w:r>
      <w:r w:rsidR="00EE147F">
        <w:rPr>
          <w:rFonts w:ascii="Times New Roman" w:eastAsia="Times New Roman" w:hAnsi="Times New Roman" w:cs="Times New Roman"/>
          <w:sz w:val="26"/>
          <w:szCs w:val="26"/>
        </w:rPr>
        <w:t xml:space="preserve"> information of a PPL Electric Utilities, Inc. (PPL)</w:t>
      </w:r>
      <w:r w:rsidR="00E86E9D">
        <w:rPr>
          <w:rFonts w:ascii="Times New Roman" w:eastAsia="Times New Roman" w:hAnsi="Times New Roman" w:cs="Times New Roman"/>
          <w:sz w:val="26"/>
          <w:szCs w:val="26"/>
        </w:rPr>
        <w:t xml:space="preserve"> customer, misrepresented savings </w:t>
      </w:r>
      <w:r w:rsidR="00B80312">
        <w:rPr>
          <w:rFonts w:ascii="Times New Roman" w:eastAsia="Times New Roman" w:hAnsi="Times New Roman" w:cs="Times New Roman"/>
          <w:sz w:val="26"/>
          <w:szCs w:val="26"/>
        </w:rPr>
        <w:t>with NG&amp;E</w:t>
      </w:r>
      <w:r w:rsidR="00E86E9D">
        <w:rPr>
          <w:rFonts w:ascii="Times New Roman" w:eastAsia="Times New Roman" w:hAnsi="Times New Roman" w:cs="Times New Roman"/>
          <w:sz w:val="26"/>
          <w:szCs w:val="26"/>
        </w:rPr>
        <w:t xml:space="preserve">, and provided inaccurate and untimely information about </w:t>
      </w:r>
      <w:r w:rsidR="00B80312">
        <w:rPr>
          <w:rFonts w:ascii="Times New Roman" w:eastAsia="Times New Roman" w:hAnsi="Times New Roman" w:cs="Times New Roman"/>
          <w:sz w:val="26"/>
          <w:szCs w:val="26"/>
        </w:rPr>
        <w:t>PPL’s rate</w:t>
      </w:r>
      <w:r w:rsidR="00E86E9D">
        <w:rPr>
          <w:rFonts w:ascii="Times New Roman" w:eastAsia="Times New Roman" w:hAnsi="Times New Roman" w:cs="Times New Roman"/>
          <w:sz w:val="26"/>
          <w:szCs w:val="26"/>
        </w:rPr>
        <w:t xml:space="preserve">; therefore, violating the Public Utility Code (Code) and the Commission’s Regulations.  Petition at 4, </w:t>
      </w:r>
      <w:r w:rsidR="00D97755">
        <w:rPr>
          <w:rFonts w:ascii="Times New Roman" w:eastAsia="Times New Roman" w:hAnsi="Times New Roman" w:cs="Times New Roman"/>
          <w:sz w:val="26"/>
          <w:szCs w:val="26"/>
        </w:rPr>
        <w:t xml:space="preserve">7.  </w:t>
      </w:r>
    </w:p>
    <w:p w14:paraId="57142E09" w14:textId="1A9B4A5E" w:rsidR="006D71EF" w:rsidRDefault="006D71EF" w:rsidP="006D71EF">
      <w:pPr>
        <w:tabs>
          <w:tab w:val="center" w:pos="0"/>
        </w:tabs>
        <w:suppressAutoHyphens/>
        <w:spacing w:after="0" w:line="360" w:lineRule="auto"/>
        <w:rPr>
          <w:rFonts w:ascii="Times New Roman" w:eastAsia="Times New Roman" w:hAnsi="Times New Roman" w:cs="Times New Roman"/>
          <w:sz w:val="26"/>
          <w:szCs w:val="26"/>
        </w:rPr>
      </w:pPr>
    </w:p>
    <w:p w14:paraId="77557872" w14:textId="3E436643" w:rsidR="00D97755" w:rsidRDefault="00321AF5" w:rsidP="00D97755">
      <w:pPr>
        <w:tabs>
          <w:tab w:val="center" w:pos="0"/>
        </w:tabs>
        <w:suppressAutoHyphens/>
        <w:spacing w:after="0" w:line="360" w:lineRule="auto"/>
        <w:ind w:firstLine="144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Upon determining that the allegations warranted a further investigation to examine whether the actions of NG&amp;E violated Commission Regulations, </w:t>
      </w:r>
      <w:r w:rsidR="00D97755">
        <w:rPr>
          <w:rFonts w:ascii="Times New Roman" w:eastAsia="Times New Roman" w:hAnsi="Times New Roman" w:cs="Times New Roman"/>
          <w:sz w:val="26"/>
          <w:szCs w:val="26"/>
        </w:rPr>
        <w:t>I&amp;E instituted an informal investigation of NG&amp;E based on information referred to I&amp;E by the Commission’s Office of Competitive Market Oversight (OCMO).</w:t>
      </w:r>
      <w:r>
        <w:rPr>
          <w:rFonts w:ascii="Times New Roman" w:eastAsia="Times New Roman" w:hAnsi="Times New Roman" w:cs="Times New Roman"/>
          <w:sz w:val="26"/>
          <w:szCs w:val="26"/>
        </w:rPr>
        <w:t xml:space="preserve">  Petition at 4.  </w:t>
      </w:r>
    </w:p>
    <w:p w14:paraId="3CF519FA" w14:textId="77777777" w:rsidR="00D97755" w:rsidRDefault="00D97755" w:rsidP="006D71EF">
      <w:pPr>
        <w:tabs>
          <w:tab w:val="center" w:pos="0"/>
        </w:tabs>
        <w:suppressAutoHyphens/>
        <w:spacing w:after="0" w:line="360" w:lineRule="auto"/>
        <w:rPr>
          <w:rFonts w:ascii="Times New Roman" w:eastAsia="Times New Roman" w:hAnsi="Times New Roman" w:cs="Times New Roman"/>
          <w:sz w:val="26"/>
          <w:szCs w:val="26"/>
        </w:rPr>
      </w:pPr>
    </w:p>
    <w:p w14:paraId="49A0A503" w14:textId="14F30E53" w:rsidR="006D71EF" w:rsidRDefault="006D71EF" w:rsidP="00321AF5">
      <w:pPr>
        <w:tabs>
          <w:tab w:val="center" w:pos="0"/>
        </w:tabs>
        <w:suppressAutoHyphens/>
        <w:spacing w:after="0" w:line="360" w:lineRule="auto"/>
        <w:ind w:firstLine="144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Thereafter, the Parties </w:t>
      </w:r>
      <w:proofErr w:type="gramStart"/>
      <w:r>
        <w:rPr>
          <w:rFonts w:ascii="Times New Roman" w:eastAsia="Times New Roman" w:hAnsi="Times New Roman" w:cs="Times New Roman"/>
          <w:sz w:val="26"/>
          <w:szCs w:val="26"/>
        </w:rPr>
        <w:t>entered into</w:t>
      </w:r>
      <w:proofErr w:type="gramEnd"/>
      <w:r>
        <w:rPr>
          <w:rFonts w:ascii="Times New Roman" w:eastAsia="Times New Roman" w:hAnsi="Times New Roman" w:cs="Times New Roman"/>
          <w:sz w:val="26"/>
          <w:szCs w:val="26"/>
        </w:rPr>
        <w:t xml:space="preserve"> negotiations and agreed to resolve the matter in accordance with the Commission’s policy to promote settlements at 52</w:t>
      </w:r>
      <w:r w:rsidR="00E6280A">
        <w:rPr>
          <w:rFonts w:ascii="Times New Roman" w:eastAsia="Times New Roman" w:hAnsi="Times New Roman" w:cs="Times New Roman"/>
          <w:sz w:val="26"/>
          <w:szCs w:val="26"/>
        </w:rPr>
        <w:t> </w:t>
      </w:r>
      <w:r>
        <w:rPr>
          <w:rFonts w:ascii="Times New Roman" w:eastAsia="Times New Roman" w:hAnsi="Times New Roman" w:cs="Times New Roman"/>
          <w:sz w:val="26"/>
          <w:szCs w:val="26"/>
        </w:rPr>
        <w:t>Pa.</w:t>
      </w:r>
      <w:r w:rsidR="00E6280A">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Code § 5.231.  </w:t>
      </w:r>
      <w:r w:rsidR="00DC5124">
        <w:rPr>
          <w:rFonts w:ascii="Times New Roman" w:eastAsia="Times New Roman" w:hAnsi="Times New Roman" w:cs="Times New Roman"/>
          <w:sz w:val="26"/>
          <w:szCs w:val="26"/>
        </w:rPr>
        <w:t>Petition</w:t>
      </w:r>
      <w:r>
        <w:rPr>
          <w:rFonts w:ascii="Times New Roman" w:eastAsia="Times New Roman" w:hAnsi="Times New Roman" w:cs="Times New Roman"/>
          <w:sz w:val="26"/>
          <w:szCs w:val="26"/>
        </w:rPr>
        <w:t xml:space="preserve"> at 4.  The Parties filed the instant Settlement on </w:t>
      </w:r>
      <w:r w:rsidR="00DC5124">
        <w:rPr>
          <w:rFonts w:ascii="Times New Roman" w:eastAsia="Times New Roman" w:hAnsi="Times New Roman" w:cs="Times New Roman"/>
          <w:sz w:val="26"/>
          <w:szCs w:val="26"/>
        </w:rPr>
        <w:t>November</w:t>
      </w:r>
      <w:r w:rsidR="00EF15D3">
        <w:rPr>
          <w:rFonts w:ascii="Times New Roman" w:eastAsia="Times New Roman" w:hAnsi="Times New Roman" w:cs="Times New Roman"/>
          <w:sz w:val="26"/>
          <w:szCs w:val="26"/>
        </w:rPr>
        <w:t> </w:t>
      </w:r>
      <w:r w:rsidR="00DC5124">
        <w:rPr>
          <w:rFonts w:ascii="Times New Roman" w:eastAsia="Times New Roman" w:hAnsi="Times New Roman" w:cs="Times New Roman"/>
          <w:sz w:val="26"/>
          <w:szCs w:val="26"/>
        </w:rPr>
        <w:t>19</w:t>
      </w:r>
      <w:r>
        <w:rPr>
          <w:rFonts w:ascii="Times New Roman" w:eastAsia="Times New Roman" w:hAnsi="Times New Roman" w:cs="Times New Roman"/>
          <w:sz w:val="26"/>
          <w:szCs w:val="26"/>
        </w:rPr>
        <w:t>, 2020.</w:t>
      </w:r>
      <w:r w:rsidR="00321AF5">
        <w:rPr>
          <w:rFonts w:ascii="Times New Roman" w:eastAsia="Times New Roman" w:hAnsi="Times New Roman" w:cs="Times New Roman"/>
          <w:sz w:val="26"/>
          <w:szCs w:val="26"/>
        </w:rPr>
        <w:t xml:space="preserve"> </w:t>
      </w:r>
      <w:r w:rsidR="00EA0E41">
        <w:rPr>
          <w:rFonts w:ascii="Times New Roman" w:eastAsia="Times New Roman" w:hAnsi="Times New Roman" w:cs="Times New Roman"/>
          <w:sz w:val="26"/>
          <w:szCs w:val="26"/>
        </w:rPr>
        <w:t xml:space="preserve"> </w:t>
      </w:r>
      <w:r w:rsidR="00321AF5" w:rsidRPr="00321AF5">
        <w:rPr>
          <w:rFonts w:ascii="Times New Roman" w:eastAsia="Times New Roman" w:hAnsi="Times New Roman" w:cs="Times New Roman"/>
          <w:i/>
          <w:iCs/>
          <w:sz w:val="26"/>
          <w:szCs w:val="26"/>
        </w:rPr>
        <w:t>Id</w:t>
      </w:r>
      <w:r w:rsidR="00321AF5">
        <w:rPr>
          <w:rFonts w:ascii="Times New Roman" w:eastAsia="Times New Roman" w:hAnsi="Times New Roman" w:cs="Times New Roman"/>
          <w:sz w:val="26"/>
          <w:szCs w:val="26"/>
        </w:rPr>
        <w:t>.</w:t>
      </w:r>
    </w:p>
    <w:p w14:paraId="32E73D7B" w14:textId="77777777" w:rsidR="006D71EF" w:rsidRDefault="006D71EF" w:rsidP="006D71EF">
      <w:pPr>
        <w:tabs>
          <w:tab w:val="center" w:pos="0"/>
        </w:tabs>
        <w:suppressAutoHyphens/>
        <w:spacing w:after="0" w:line="360" w:lineRule="auto"/>
        <w:rPr>
          <w:rFonts w:ascii="Times New Roman" w:eastAsia="Times New Roman" w:hAnsi="Times New Roman" w:cs="Times New Roman"/>
          <w:sz w:val="26"/>
          <w:szCs w:val="26"/>
        </w:rPr>
      </w:pPr>
    </w:p>
    <w:p w14:paraId="6C2E65E8" w14:textId="77777777" w:rsidR="006D71EF" w:rsidRPr="00026DFB" w:rsidRDefault="006D71EF" w:rsidP="006D71EF">
      <w:pPr>
        <w:keepNext/>
        <w:tabs>
          <w:tab w:val="center" w:pos="0"/>
        </w:tabs>
        <w:suppressAutoHyphens/>
        <w:spacing w:after="0"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Background</w:t>
      </w:r>
    </w:p>
    <w:p w14:paraId="4B086766" w14:textId="77777777" w:rsidR="006D71EF" w:rsidRDefault="006D71EF" w:rsidP="006D71EF">
      <w:pPr>
        <w:keepNext/>
        <w:tabs>
          <w:tab w:val="center" w:pos="0"/>
        </w:tabs>
        <w:suppressAutoHyphens/>
        <w:spacing w:after="0" w:line="360" w:lineRule="auto"/>
        <w:rPr>
          <w:rFonts w:ascii="Times New Roman" w:eastAsia="Times New Roman" w:hAnsi="Times New Roman" w:cs="Times New Roman"/>
          <w:sz w:val="26"/>
          <w:szCs w:val="26"/>
        </w:rPr>
      </w:pPr>
    </w:p>
    <w:p w14:paraId="6B6F869F" w14:textId="7475F9A4" w:rsidR="006932D1" w:rsidRDefault="006D71EF" w:rsidP="006D71EF">
      <w:pPr>
        <w:tabs>
          <w:tab w:val="center" w:pos="0"/>
        </w:tabs>
        <w:suppressAutoHyphens/>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9C3084">
        <w:rPr>
          <w:rFonts w:ascii="Times New Roman" w:eastAsia="Times New Roman" w:hAnsi="Times New Roman" w:cs="Times New Roman"/>
          <w:sz w:val="26"/>
          <w:szCs w:val="26"/>
        </w:rPr>
        <w:t xml:space="preserve">On December 1, 2017, via mail, Daniel Mumford, Director of OCMO, received </w:t>
      </w:r>
      <w:bookmarkStart w:id="0" w:name="_Hlk70416968"/>
      <w:r w:rsidR="006932D1">
        <w:rPr>
          <w:rFonts w:ascii="Times New Roman" w:eastAsia="Times New Roman" w:hAnsi="Times New Roman" w:cs="Times New Roman"/>
          <w:sz w:val="26"/>
          <w:szCs w:val="26"/>
        </w:rPr>
        <w:t>NG&amp;E’s marketing material</w:t>
      </w:r>
      <w:bookmarkEnd w:id="0"/>
      <w:r w:rsidR="006932D1">
        <w:rPr>
          <w:rFonts w:ascii="Times New Roman" w:eastAsia="Times New Roman" w:hAnsi="Times New Roman" w:cs="Times New Roman"/>
          <w:sz w:val="26"/>
          <w:szCs w:val="26"/>
        </w:rPr>
        <w:t>, a postcard, that was headlined “</w:t>
      </w:r>
      <w:r w:rsidR="006932D1" w:rsidRPr="006932D1">
        <w:rPr>
          <w:rFonts w:ascii="Times New Roman" w:eastAsia="Times New Roman" w:hAnsi="Times New Roman" w:cs="Times New Roman"/>
          <w:b/>
          <w:bCs/>
          <w:sz w:val="26"/>
          <w:szCs w:val="26"/>
        </w:rPr>
        <w:t>NOTICE OF PPL ELECTRIC RATE INCREASE</w:t>
      </w:r>
      <w:r w:rsidR="006932D1">
        <w:rPr>
          <w:rFonts w:ascii="Times New Roman" w:eastAsia="Times New Roman" w:hAnsi="Times New Roman" w:cs="Times New Roman"/>
          <w:sz w:val="26"/>
          <w:szCs w:val="26"/>
        </w:rPr>
        <w:t>.”  Petition, Exhibit 1</w:t>
      </w:r>
      <w:r w:rsidR="0065281D">
        <w:rPr>
          <w:rFonts w:ascii="Times New Roman" w:eastAsia="Times New Roman" w:hAnsi="Times New Roman" w:cs="Times New Roman"/>
          <w:sz w:val="26"/>
          <w:szCs w:val="26"/>
        </w:rPr>
        <w:t xml:space="preserve"> (emphasis in original)</w:t>
      </w:r>
      <w:r w:rsidR="006932D1">
        <w:rPr>
          <w:rFonts w:ascii="Times New Roman" w:eastAsia="Times New Roman" w:hAnsi="Times New Roman" w:cs="Times New Roman"/>
          <w:sz w:val="26"/>
          <w:szCs w:val="26"/>
        </w:rPr>
        <w:t xml:space="preserve">.  The postcard stated that “PPL’s residential default electric rate </w:t>
      </w:r>
      <w:r w:rsidR="006932D1" w:rsidRPr="006932D1">
        <w:rPr>
          <w:rFonts w:ascii="Times New Roman" w:eastAsia="Times New Roman" w:hAnsi="Times New Roman" w:cs="Times New Roman"/>
          <w:b/>
          <w:bCs/>
          <w:sz w:val="26"/>
          <w:szCs w:val="26"/>
        </w:rPr>
        <w:t>increased 14%</w:t>
      </w:r>
      <w:r w:rsidR="006932D1">
        <w:rPr>
          <w:rFonts w:ascii="Times New Roman" w:eastAsia="Times New Roman" w:hAnsi="Times New Roman" w:cs="Times New Roman"/>
          <w:sz w:val="26"/>
          <w:szCs w:val="26"/>
        </w:rPr>
        <w:t xml:space="preserve"> effective </w:t>
      </w:r>
      <w:r w:rsidR="006932D1">
        <w:rPr>
          <w:rFonts w:ascii="Times New Roman" w:eastAsia="Times New Roman" w:hAnsi="Times New Roman" w:cs="Times New Roman"/>
          <w:sz w:val="26"/>
          <w:szCs w:val="26"/>
        </w:rPr>
        <w:lastRenderedPageBreak/>
        <w:t>June</w:t>
      </w:r>
      <w:r w:rsidR="00EF15D3">
        <w:rPr>
          <w:rFonts w:ascii="Times New Roman" w:eastAsia="Times New Roman" w:hAnsi="Times New Roman" w:cs="Times New Roman"/>
          <w:sz w:val="26"/>
          <w:szCs w:val="26"/>
        </w:rPr>
        <w:t> </w:t>
      </w:r>
      <w:r w:rsidR="006932D1">
        <w:rPr>
          <w:rFonts w:ascii="Times New Roman" w:eastAsia="Times New Roman" w:hAnsi="Times New Roman" w:cs="Times New Roman"/>
          <w:sz w:val="26"/>
          <w:szCs w:val="26"/>
        </w:rPr>
        <w:t>1</w:t>
      </w:r>
      <w:r w:rsidR="006932D1" w:rsidRPr="006932D1">
        <w:rPr>
          <w:rFonts w:ascii="Times New Roman" w:eastAsia="Times New Roman" w:hAnsi="Times New Roman" w:cs="Times New Roman"/>
          <w:sz w:val="26"/>
          <w:szCs w:val="26"/>
          <w:vertAlign w:val="superscript"/>
        </w:rPr>
        <w:t>st</w:t>
      </w:r>
      <w:proofErr w:type="gramStart"/>
      <w:r w:rsidR="006932D1">
        <w:rPr>
          <w:rFonts w:ascii="Times New Roman" w:eastAsia="Times New Roman" w:hAnsi="Times New Roman" w:cs="Times New Roman"/>
          <w:sz w:val="26"/>
          <w:szCs w:val="26"/>
        </w:rPr>
        <w:t xml:space="preserve"> 2017</w:t>
      </w:r>
      <w:proofErr w:type="gramEnd"/>
      <w:r w:rsidR="006932D1">
        <w:rPr>
          <w:rFonts w:ascii="Times New Roman" w:eastAsia="Times New Roman" w:hAnsi="Times New Roman" w:cs="Times New Roman"/>
          <w:sz w:val="26"/>
          <w:szCs w:val="26"/>
        </w:rPr>
        <w:t>”</w:t>
      </w:r>
      <w:r w:rsidR="00E268EF">
        <w:rPr>
          <w:rStyle w:val="FootnoteReference"/>
          <w:rFonts w:ascii="Times New Roman" w:eastAsia="Times New Roman" w:hAnsi="Times New Roman" w:cs="Times New Roman"/>
          <w:sz w:val="26"/>
          <w:szCs w:val="26"/>
        </w:rPr>
        <w:footnoteReference w:id="1"/>
      </w:r>
      <w:r w:rsidR="006932D1">
        <w:rPr>
          <w:rFonts w:ascii="Times New Roman" w:eastAsia="Times New Roman" w:hAnsi="Times New Roman" w:cs="Times New Roman"/>
          <w:sz w:val="26"/>
          <w:szCs w:val="26"/>
        </w:rPr>
        <w:t xml:space="preserve"> and that customers could “</w:t>
      </w:r>
      <w:r w:rsidR="006932D1" w:rsidRPr="006932D1">
        <w:rPr>
          <w:rFonts w:ascii="Times New Roman" w:eastAsia="Times New Roman" w:hAnsi="Times New Roman" w:cs="Times New Roman"/>
          <w:b/>
          <w:bCs/>
          <w:sz w:val="26"/>
          <w:szCs w:val="26"/>
        </w:rPr>
        <w:t>Save 25%</w:t>
      </w:r>
      <w:r w:rsidR="006932D1">
        <w:rPr>
          <w:rFonts w:ascii="Times New Roman" w:eastAsia="Times New Roman" w:hAnsi="Times New Roman" w:cs="Times New Roman"/>
          <w:sz w:val="26"/>
          <w:szCs w:val="26"/>
        </w:rPr>
        <w:t xml:space="preserve"> compared to PPL’s higher June</w:t>
      </w:r>
      <w:r w:rsidR="00EF15D3">
        <w:rPr>
          <w:rFonts w:ascii="Times New Roman" w:eastAsia="Times New Roman" w:hAnsi="Times New Roman" w:cs="Times New Roman"/>
          <w:sz w:val="26"/>
          <w:szCs w:val="26"/>
        </w:rPr>
        <w:noBreakHyphen/>
      </w:r>
      <w:r w:rsidR="006932D1">
        <w:rPr>
          <w:rFonts w:ascii="Times New Roman" w:eastAsia="Times New Roman" w:hAnsi="Times New Roman" w:cs="Times New Roman"/>
          <w:sz w:val="26"/>
          <w:szCs w:val="26"/>
        </w:rPr>
        <w:t xml:space="preserve">November 2017 rate.”  </w:t>
      </w:r>
      <w:r w:rsidR="006932D1" w:rsidRPr="006932D1">
        <w:rPr>
          <w:rFonts w:ascii="Times New Roman" w:eastAsia="Times New Roman" w:hAnsi="Times New Roman" w:cs="Times New Roman"/>
          <w:i/>
          <w:iCs/>
          <w:sz w:val="26"/>
          <w:szCs w:val="26"/>
        </w:rPr>
        <w:t>Id.</w:t>
      </w:r>
      <w:r w:rsidR="0065281D">
        <w:rPr>
          <w:rFonts w:ascii="Times New Roman" w:eastAsia="Times New Roman" w:hAnsi="Times New Roman" w:cs="Times New Roman"/>
          <w:sz w:val="26"/>
          <w:szCs w:val="26"/>
        </w:rPr>
        <w:t xml:space="preserve"> (emphasis in original).</w:t>
      </w:r>
      <w:r w:rsidR="00CB2131">
        <w:rPr>
          <w:rFonts w:ascii="Times New Roman" w:eastAsia="Times New Roman" w:hAnsi="Times New Roman" w:cs="Times New Roman"/>
          <w:sz w:val="26"/>
          <w:szCs w:val="26"/>
        </w:rPr>
        <w:t xml:space="preserve">  The postcard also referenced a PPL customer’s name and the last four digits of the customer’s PPL account number.</w:t>
      </w:r>
      <w:r w:rsidR="00322836">
        <w:rPr>
          <w:rFonts w:ascii="Times New Roman" w:eastAsia="Times New Roman" w:hAnsi="Times New Roman" w:cs="Times New Roman"/>
          <w:sz w:val="26"/>
          <w:szCs w:val="26"/>
        </w:rPr>
        <w:t xml:space="preserve">  </w:t>
      </w:r>
      <w:r w:rsidR="00322836" w:rsidRPr="00322836">
        <w:rPr>
          <w:rFonts w:ascii="Times New Roman" w:eastAsia="Times New Roman" w:hAnsi="Times New Roman" w:cs="Times New Roman"/>
          <w:i/>
          <w:iCs/>
          <w:sz w:val="26"/>
          <w:szCs w:val="26"/>
        </w:rPr>
        <w:t>Id</w:t>
      </w:r>
      <w:r w:rsidR="00322836">
        <w:rPr>
          <w:rFonts w:ascii="Times New Roman" w:eastAsia="Times New Roman" w:hAnsi="Times New Roman" w:cs="Times New Roman"/>
          <w:sz w:val="26"/>
          <w:szCs w:val="26"/>
        </w:rPr>
        <w:t>.</w:t>
      </w:r>
      <w:r w:rsidR="0095438D">
        <w:rPr>
          <w:rFonts w:ascii="Times New Roman" w:eastAsia="Times New Roman" w:hAnsi="Times New Roman" w:cs="Times New Roman"/>
          <w:sz w:val="26"/>
          <w:szCs w:val="26"/>
        </w:rPr>
        <w:t xml:space="preserve">  </w:t>
      </w:r>
    </w:p>
    <w:p w14:paraId="18D2F8F2" w14:textId="55C49A8E" w:rsidR="006932D1" w:rsidRDefault="006932D1" w:rsidP="006D71EF">
      <w:pPr>
        <w:tabs>
          <w:tab w:val="center" w:pos="0"/>
        </w:tabs>
        <w:suppressAutoHyphens/>
        <w:spacing w:after="0" w:line="360" w:lineRule="auto"/>
        <w:rPr>
          <w:rFonts w:ascii="Times New Roman" w:eastAsia="Times New Roman" w:hAnsi="Times New Roman" w:cs="Times New Roman"/>
          <w:sz w:val="26"/>
          <w:szCs w:val="26"/>
        </w:rPr>
      </w:pPr>
    </w:p>
    <w:p w14:paraId="726A29FA" w14:textId="7474B984" w:rsidR="00125A3B" w:rsidRDefault="00103864" w:rsidP="009C5A4E">
      <w:pPr>
        <w:tabs>
          <w:tab w:val="center" w:pos="0"/>
        </w:tabs>
        <w:suppressAutoHyphens/>
        <w:spacing w:after="0" w:line="360" w:lineRule="auto"/>
        <w:ind w:firstLine="1440"/>
        <w:rPr>
          <w:rFonts w:ascii="Times New Roman" w:eastAsia="Times New Roman" w:hAnsi="Times New Roman" w:cs="Times New Roman"/>
          <w:sz w:val="26"/>
          <w:szCs w:val="26"/>
        </w:rPr>
      </w:pPr>
      <w:r w:rsidRPr="00103864">
        <w:rPr>
          <w:rFonts w:ascii="Times New Roman" w:eastAsia="Times New Roman" w:hAnsi="Times New Roman" w:cs="Times New Roman"/>
          <w:sz w:val="26"/>
          <w:szCs w:val="26"/>
        </w:rPr>
        <w:t>On December 5, 2017, OCMO contacted NG&amp;E regarding the postcards in</w:t>
      </w:r>
      <w:r w:rsidR="00C21DF1">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question and advised NG&amp;E to cease sending the postcards and to review all enrollments</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resulting from the inaccurate and outdated information on the postcards to ensure that its</w:t>
      </w:r>
      <w:r w:rsidR="00C21DF1">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customers clearly understood the pricing of the NG&amp;E offer and its comparative</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relationship to the June-November 2017 PPL default rate as well as to the new December</w:t>
      </w:r>
      <w:r w:rsidR="00E457BA">
        <w:rPr>
          <w:rFonts w:ascii="Times New Roman" w:eastAsia="Times New Roman" w:hAnsi="Times New Roman" w:cs="Times New Roman"/>
          <w:sz w:val="26"/>
          <w:szCs w:val="26"/>
        </w:rPr>
        <w:t> </w:t>
      </w:r>
      <w:r w:rsidRPr="00103864">
        <w:rPr>
          <w:rFonts w:ascii="Times New Roman" w:eastAsia="Times New Roman" w:hAnsi="Times New Roman" w:cs="Times New Roman"/>
          <w:sz w:val="26"/>
          <w:szCs w:val="26"/>
        </w:rPr>
        <w:t>2017 default rate.</w:t>
      </w:r>
    </w:p>
    <w:p w14:paraId="276AB763" w14:textId="440A27F5" w:rsidR="00103864" w:rsidRDefault="00103864" w:rsidP="00103864">
      <w:pPr>
        <w:tabs>
          <w:tab w:val="center" w:pos="0"/>
        </w:tabs>
        <w:suppressAutoHyphens/>
        <w:spacing w:after="0" w:line="360" w:lineRule="auto"/>
        <w:rPr>
          <w:rFonts w:ascii="Times New Roman" w:eastAsia="Times New Roman" w:hAnsi="Times New Roman" w:cs="Times New Roman"/>
          <w:sz w:val="26"/>
          <w:szCs w:val="26"/>
        </w:rPr>
      </w:pPr>
    </w:p>
    <w:p w14:paraId="54ABB76C" w14:textId="47F55C3B" w:rsidR="00103864" w:rsidRDefault="00103864" w:rsidP="00103864">
      <w:pPr>
        <w:tabs>
          <w:tab w:val="center" w:pos="0"/>
        </w:tabs>
        <w:suppressAutoHyphens/>
        <w:spacing w:after="0" w:line="360" w:lineRule="auto"/>
        <w:ind w:firstLine="1440"/>
        <w:rPr>
          <w:rFonts w:ascii="Times New Roman" w:eastAsia="Times New Roman" w:hAnsi="Times New Roman" w:cs="Times New Roman"/>
          <w:sz w:val="26"/>
          <w:szCs w:val="26"/>
        </w:rPr>
      </w:pPr>
      <w:r w:rsidRPr="00103864">
        <w:rPr>
          <w:rFonts w:ascii="Times New Roman" w:eastAsia="Times New Roman" w:hAnsi="Times New Roman" w:cs="Times New Roman"/>
          <w:sz w:val="26"/>
          <w:szCs w:val="26"/>
        </w:rPr>
        <w:t>In response, NG&amp;E informed OCMO that NG&amp;E had already ceased</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mailing the postcards in question and that it had instructed its agents to point out to</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customers the date range on the postcard, June-November 2017, and to inform customers</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of PPL’s new December 2017 default rate of 7.463 cents</w:t>
      </w:r>
      <w:r>
        <w:rPr>
          <w:rFonts w:ascii="Times New Roman" w:eastAsia="Times New Roman" w:hAnsi="Times New Roman" w:cs="Times New Roman"/>
          <w:sz w:val="26"/>
          <w:szCs w:val="26"/>
        </w:rPr>
        <w:t xml:space="preserve"> per kWh</w:t>
      </w:r>
      <w:r w:rsidRPr="00103864">
        <w:rPr>
          <w:rFonts w:ascii="Times New Roman" w:eastAsia="Times New Roman" w:hAnsi="Times New Roman" w:cs="Times New Roman"/>
          <w:sz w:val="26"/>
          <w:szCs w:val="26"/>
        </w:rPr>
        <w:t xml:space="preserve"> and the accurate percentage of</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savings to NG&amp;E’s lowest offer, which became 17% savings instead of the 25% savings</w:t>
      </w:r>
      <w:r>
        <w:rPr>
          <w:rFonts w:ascii="Times New Roman" w:eastAsia="Times New Roman" w:hAnsi="Times New Roman" w:cs="Times New Roman"/>
          <w:sz w:val="26"/>
          <w:szCs w:val="26"/>
        </w:rPr>
        <w:t xml:space="preserve"> </w:t>
      </w:r>
      <w:r w:rsidRPr="00103864">
        <w:rPr>
          <w:rFonts w:ascii="Times New Roman" w:eastAsia="Times New Roman" w:hAnsi="Times New Roman" w:cs="Times New Roman"/>
          <w:sz w:val="26"/>
          <w:szCs w:val="26"/>
        </w:rPr>
        <w:t>based upon the quoted June-November 2017 PPL default rate.</w:t>
      </w:r>
      <w:r w:rsidR="00937E62">
        <w:rPr>
          <w:rFonts w:ascii="Times New Roman" w:eastAsia="Times New Roman" w:hAnsi="Times New Roman" w:cs="Times New Roman"/>
          <w:sz w:val="26"/>
          <w:szCs w:val="26"/>
        </w:rPr>
        <w:t xml:space="preserve">  Petition at 5. </w:t>
      </w:r>
    </w:p>
    <w:p w14:paraId="4C458984" w14:textId="77777777" w:rsidR="00125A3B" w:rsidRDefault="00125A3B" w:rsidP="006D71EF">
      <w:pPr>
        <w:tabs>
          <w:tab w:val="center" w:pos="0"/>
        </w:tabs>
        <w:suppressAutoHyphens/>
        <w:spacing w:after="0" w:line="360" w:lineRule="auto"/>
        <w:rPr>
          <w:rFonts w:ascii="Times New Roman" w:eastAsia="Times New Roman" w:hAnsi="Times New Roman" w:cs="Times New Roman"/>
          <w:sz w:val="26"/>
          <w:szCs w:val="26"/>
        </w:rPr>
      </w:pPr>
    </w:p>
    <w:p w14:paraId="451EDFCD" w14:textId="4722E85B" w:rsidR="009C3084" w:rsidRDefault="00F957D5" w:rsidP="00F957D5">
      <w:pPr>
        <w:tabs>
          <w:tab w:val="center" w:pos="0"/>
        </w:tabs>
        <w:suppressAutoHyphens/>
        <w:spacing w:after="0" w:line="360" w:lineRule="auto"/>
        <w:ind w:firstLine="144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Subsequently, </w:t>
      </w:r>
      <w:r w:rsidR="009C3084">
        <w:rPr>
          <w:rFonts w:ascii="Times New Roman" w:eastAsia="Times New Roman" w:hAnsi="Times New Roman" w:cs="Times New Roman"/>
          <w:sz w:val="26"/>
          <w:szCs w:val="26"/>
        </w:rPr>
        <w:t>OCMO initiated a referral to I&amp;E regarding NG&amp;E’s marketing material</w:t>
      </w:r>
      <w:r w:rsidR="0026457A">
        <w:rPr>
          <w:rFonts w:ascii="Times New Roman" w:eastAsia="Times New Roman" w:hAnsi="Times New Roman" w:cs="Times New Roman"/>
          <w:sz w:val="26"/>
          <w:szCs w:val="26"/>
        </w:rPr>
        <w:t xml:space="preserve"> in question.</w:t>
      </w:r>
    </w:p>
    <w:p w14:paraId="162EE4CA" w14:textId="200BE06B" w:rsidR="00F957D5" w:rsidRDefault="00F957D5" w:rsidP="00F957D5">
      <w:pPr>
        <w:tabs>
          <w:tab w:val="center" w:pos="0"/>
        </w:tabs>
        <w:suppressAutoHyphens/>
        <w:spacing w:after="0" w:line="360" w:lineRule="auto"/>
        <w:ind w:firstLine="1440"/>
        <w:rPr>
          <w:rFonts w:ascii="Times New Roman" w:eastAsia="Times New Roman" w:hAnsi="Times New Roman" w:cs="Times New Roman"/>
          <w:sz w:val="26"/>
          <w:szCs w:val="26"/>
        </w:rPr>
      </w:pPr>
    </w:p>
    <w:p w14:paraId="160673A9" w14:textId="1DAFCB11" w:rsidR="006D71EF" w:rsidRDefault="00566785" w:rsidP="008739F0">
      <w:pPr>
        <w:tabs>
          <w:tab w:val="center" w:pos="0"/>
        </w:tabs>
        <w:suppressAutoHyphens/>
        <w:spacing w:after="0" w:line="360" w:lineRule="auto"/>
        <w:ind w:firstLine="1440"/>
        <w:rPr>
          <w:rFonts w:ascii="Times New Roman" w:eastAsia="Times New Roman" w:hAnsi="Times New Roman" w:cs="Times New Roman"/>
          <w:sz w:val="26"/>
          <w:szCs w:val="26"/>
        </w:rPr>
      </w:pPr>
      <w:r w:rsidRPr="00566785">
        <w:rPr>
          <w:rFonts w:ascii="Times New Roman" w:eastAsia="Times New Roman" w:hAnsi="Times New Roman" w:cs="Times New Roman"/>
          <w:sz w:val="26"/>
          <w:szCs w:val="26"/>
        </w:rPr>
        <w:t>I&amp;E’s informal investigation concluded that sufficient data had been gathered to</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 xml:space="preserve">substantiate alleged violations of the Commission’s </w:t>
      </w:r>
      <w:r>
        <w:rPr>
          <w:rFonts w:ascii="Times New Roman" w:eastAsia="Times New Roman" w:hAnsi="Times New Roman" w:cs="Times New Roman"/>
          <w:sz w:val="26"/>
          <w:szCs w:val="26"/>
        </w:rPr>
        <w:t>R</w:t>
      </w:r>
      <w:r w:rsidRPr="00566785">
        <w:rPr>
          <w:rFonts w:ascii="Times New Roman" w:eastAsia="Times New Roman" w:hAnsi="Times New Roman" w:cs="Times New Roman"/>
          <w:sz w:val="26"/>
          <w:szCs w:val="26"/>
        </w:rPr>
        <w:t>egulations in connection with the</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marketing material</w:t>
      </w:r>
      <w:r>
        <w:rPr>
          <w:rFonts w:ascii="Times New Roman" w:eastAsia="Times New Roman" w:hAnsi="Times New Roman" w:cs="Times New Roman"/>
          <w:sz w:val="26"/>
          <w:szCs w:val="26"/>
        </w:rPr>
        <w:t xml:space="preserve">.  Upon investigation, I&amp;E determined that NG&amp;E mailed a total of </w:t>
      </w:r>
      <w:r w:rsidRPr="00566785">
        <w:rPr>
          <w:rFonts w:ascii="Times New Roman" w:eastAsia="Times New Roman" w:hAnsi="Times New Roman" w:cs="Times New Roman"/>
          <w:sz w:val="26"/>
          <w:szCs w:val="26"/>
        </w:rPr>
        <w:t xml:space="preserve">155,252 postcards to prospective customers on November 22, 2017 and </w:t>
      </w:r>
      <w:r w:rsidRPr="00566785">
        <w:rPr>
          <w:rFonts w:ascii="Times New Roman" w:eastAsia="Times New Roman" w:hAnsi="Times New Roman" w:cs="Times New Roman"/>
          <w:sz w:val="26"/>
          <w:szCs w:val="26"/>
        </w:rPr>
        <w:lastRenderedPageBreak/>
        <w:t>that</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approximately 90,634 of NG&amp;E’s prospective customers received a postcard that</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improperly contained the confidential and personal information of a PPL customer,</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including the customer’s name and the last four digits of the customer’s PPL account</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number.</w:t>
      </w:r>
      <w:r>
        <w:rPr>
          <w:rFonts w:ascii="Times New Roman" w:eastAsia="Times New Roman" w:hAnsi="Times New Roman" w:cs="Times New Roman"/>
          <w:sz w:val="26"/>
          <w:szCs w:val="26"/>
        </w:rPr>
        <w:t xml:space="preserve"> </w:t>
      </w:r>
      <w:r w:rsidRPr="00566785">
        <w:rPr>
          <w:rFonts w:ascii="TimesNewRomanPSMT" w:hAnsi="TimesNewRomanPSMT" w:cs="TimesNewRomanPSMT"/>
          <w:sz w:val="26"/>
          <w:szCs w:val="26"/>
        </w:rPr>
        <w:t xml:space="preserve"> </w:t>
      </w:r>
      <w:r w:rsidRPr="00566785">
        <w:rPr>
          <w:rFonts w:ascii="Times New Roman" w:eastAsia="Times New Roman" w:hAnsi="Times New Roman" w:cs="Times New Roman"/>
          <w:sz w:val="26"/>
          <w:szCs w:val="26"/>
        </w:rPr>
        <w:t>I&amp;E also determined that because PPL’s default rate for December 2017 through</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May 2018 had decreased to 7.463 cents</w:t>
      </w:r>
      <w:r w:rsidR="00CA0164">
        <w:rPr>
          <w:rFonts w:ascii="Times New Roman" w:eastAsia="Times New Roman" w:hAnsi="Times New Roman" w:cs="Times New Roman"/>
          <w:sz w:val="26"/>
          <w:szCs w:val="26"/>
        </w:rPr>
        <w:t xml:space="preserve"> per kWh</w:t>
      </w:r>
      <w:r w:rsidRPr="00566785">
        <w:rPr>
          <w:rFonts w:ascii="Times New Roman" w:eastAsia="Times New Roman" w:hAnsi="Times New Roman" w:cs="Times New Roman"/>
          <w:sz w:val="26"/>
          <w:szCs w:val="26"/>
        </w:rPr>
        <w:t xml:space="preserve"> on December 1, 2017, the postcard</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misrepresented savings with NG&amp;E and contained inaccurate and outdated information</w:t>
      </w:r>
      <w:r>
        <w:rPr>
          <w:rFonts w:ascii="Times New Roman" w:eastAsia="Times New Roman" w:hAnsi="Times New Roman" w:cs="Times New Roman"/>
          <w:sz w:val="26"/>
          <w:szCs w:val="26"/>
        </w:rPr>
        <w:t xml:space="preserve"> </w:t>
      </w:r>
      <w:r w:rsidRPr="00566785">
        <w:rPr>
          <w:rFonts w:ascii="Times New Roman" w:eastAsia="Times New Roman" w:hAnsi="Times New Roman" w:cs="Times New Roman"/>
          <w:sz w:val="26"/>
          <w:szCs w:val="26"/>
        </w:rPr>
        <w:t>about PPL’s default rate by the time the prospective customers received the postcards.</w:t>
      </w:r>
      <w:r w:rsidR="008739F0" w:rsidRPr="008739F0">
        <w:rPr>
          <w:rFonts w:ascii="TimesNewRomanPSMT" w:hAnsi="TimesNewRomanPSMT" w:cs="TimesNewRomanPSMT"/>
          <w:sz w:val="26"/>
          <w:szCs w:val="26"/>
        </w:rPr>
        <w:t xml:space="preserve"> </w:t>
      </w:r>
      <w:r w:rsidR="008739F0">
        <w:rPr>
          <w:rFonts w:ascii="TimesNewRomanPSMT" w:hAnsi="TimesNewRomanPSMT" w:cs="TimesNewRomanPSMT"/>
          <w:sz w:val="26"/>
          <w:szCs w:val="26"/>
        </w:rPr>
        <w:t xml:space="preserve"> </w:t>
      </w:r>
      <w:r w:rsidR="008739F0" w:rsidRPr="008739F0">
        <w:rPr>
          <w:rFonts w:ascii="Times New Roman" w:eastAsia="Times New Roman" w:hAnsi="Times New Roman" w:cs="Times New Roman"/>
          <w:sz w:val="26"/>
          <w:szCs w:val="26"/>
        </w:rPr>
        <w:t>Approximately 2,500 of the prospective customers may have received the postcard in</w:t>
      </w:r>
      <w:r w:rsidR="008739F0">
        <w:rPr>
          <w:rFonts w:ascii="Times New Roman" w:eastAsia="Times New Roman" w:hAnsi="Times New Roman" w:cs="Times New Roman"/>
          <w:sz w:val="26"/>
          <w:szCs w:val="26"/>
        </w:rPr>
        <w:t xml:space="preserve"> </w:t>
      </w:r>
      <w:r w:rsidR="008739F0" w:rsidRPr="008739F0">
        <w:rPr>
          <w:rFonts w:ascii="Times New Roman" w:eastAsia="Times New Roman" w:hAnsi="Times New Roman" w:cs="Times New Roman"/>
          <w:sz w:val="26"/>
          <w:szCs w:val="26"/>
        </w:rPr>
        <w:t xml:space="preserve">question after PPL’s December 1, 2017 rate decrease. </w:t>
      </w:r>
      <w:r w:rsidR="008739F0">
        <w:rPr>
          <w:rFonts w:ascii="Times New Roman" w:eastAsia="Times New Roman" w:hAnsi="Times New Roman" w:cs="Times New Roman"/>
          <w:sz w:val="26"/>
          <w:szCs w:val="26"/>
        </w:rPr>
        <w:t xml:space="preserve"> </w:t>
      </w:r>
      <w:r w:rsidR="008739F0" w:rsidRPr="008739F0">
        <w:rPr>
          <w:rFonts w:ascii="Times New Roman" w:eastAsia="Times New Roman" w:hAnsi="Times New Roman" w:cs="Times New Roman"/>
          <w:sz w:val="26"/>
          <w:szCs w:val="26"/>
        </w:rPr>
        <w:t>In response to the postcards,</w:t>
      </w:r>
      <w:r w:rsidR="008739F0">
        <w:rPr>
          <w:rFonts w:ascii="Times New Roman" w:eastAsia="Times New Roman" w:hAnsi="Times New Roman" w:cs="Times New Roman"/>
          <w:sz w:val="26"/>
          <w:szCs w:val="26"/>
        </w:rPr>
        <w:t xml:space="preserve"> </w:t>
      </w:r>
      <w:r w:rsidR="008739F0" w:rsidRPr="008739F0">
        <w:rPr>
          <w:rFonts w:ascii="Times New Roman" w:eastAsia="Times New Roman" w:hAnsi="Times New Roman" w:cs="Times New Roman"/>
          <w:sz w:val="26"/>
          <w:szCs w:val="26"/>
        </w:rPr>
        <w:t>seventy</w:t>
      </w:r>
      <w:r w:rsidR="008739F0">
        <w:rPr>
          <w:rFonts w:ascii="Times New Roman" w:eastAsia="Times New Roman" w:hAnsi="Times New Roman" w:cs="Times New Roman"/>
          <w:sz w:val="26"/>
          <w:szCs w:val="26"/>
        </w:rPr>
        <w:t xml:space="preserve"> </w:t>
      </w:r>
      <w:r w:rsidR="008739F0" w:rsidRPr="008739F0">
        <w:rPr>
          <w:rFonts w:ascii="Times New Roman" w:eastAsia="Times New Roman" w:hAnsi="Times New Roman" w:cs="Times New Roman"/>
          <w:sz w:val="26"/>
          <w:szCs w:val="26"/>
        </w:rPr>
        <w:t>customers enrolled with NG&amp;E.</w:t>
      </w:r>
      <w:r w:rsidR="006A75ED">
        <w:rPr>
          <w:rFonts w:ascii="Times New Roman" w:eastAsia="Times New Roman" w:hAnsi="Times New Roman" w:cs="Times New Roman"/>
          <w:sz w:val="26"/>
          <w:szCs w:val="26"/>
        </w:rPr>
        <w:t xml:space="preserve">  Petition at 6-7.</w:t>
      </w:r>
    </w:p>
    <w:p w14:paraId="3495E0D3" w14:textId="66B886B5" w:rsidR="00F957D5" w:rsidRDefault="00F957D5" w:rsidP="006D71EF">
      <w:pPr>
        <w:tabs>
          <w:tab w:val="center" w:pos="0"/>
        </w:tabs>
        <w:suppressAutoHyphens/>
        <w:spacing w:after="0" w:line="360" w:lineRule="auto"/>
        <w:rPr>
          <w:rFonts w:ascii="Times New Roman" w:eastAsia="Times New Roman" w:hAnsi="Times New Roman" w:cs="Times New Roman"/>
          <w:sz w:val="26"/>
          <w:szCs w:val="26"/>
        </w:rPr>
      </w:pPr>
    </w:p>
    <w:p w14:paraId="5014BF92" w14:textId="21DE48BD" w:rsidR="006A75ED" w:rsidRDefault="006A75ED" w:rsidP="006A75ED">
      <w:pPr>
        <w:tabs>
          <w:tab w:val="center" w:pos="0"/>
        </w:tabs>
        <w:suppressAutoHyphens/>
        <w:spacing w:after="0" w:line="360" w:lineRule="auto"/>
        <w:ind w:firstLine="1440"/>
        <w:rPr>
          <w:rFonts w:ascii="Times New Roman" w:eastAsia="Times New Roman" w:hAnsi="Times New Roman" w:cs="Times New Roman"/>
          <w:sz w:val="26"/>
          <w:szCs w:val="26"/>
        </w:rPr>
      </w:pPr>
      <w:r w:rsidRPr="006A75ED">
        <w:rPr>
          <w:rFonts w:ascii="Times New Roman" w:eastAsia="Times New Roman" w:hAnsi="Times New Roman" w:cs="Times New Roman"/>
          <w:sz w:val="26"/>
          <w:szCs w:val="26"/>
        </w:rPr>
        <w:t>NG&amp;E advised that the printing of the confidential information on the postcards</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was due to a mail merge error on the part of the vendor that NG&amp;E used for printing and</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 xml:space="preserve">mailing services. </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NG&amp;E also alleged that the postcards accurately represented the</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savings compared to the quoted PPL price to compare from June-November 2017, but</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mis-stated savings with NG&amp;E compared to the new PPL price to compare effective</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December 1, 2017, and that the postcards contained outdated information about PPL’s</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price to compare because the delivery schedule for the postcards was inadvertently</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delayed by the same vendor.</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 xml:space="preserve"> According to the Company, the delay is what caused some</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prospective customers to receive the postcards after PPL’s December</w:t>
      </w:r>
      <w:r w:rsidR="00546DE7">
        <w:rPr>
          <w:rFonts w:ascii="Times New Roman" w:eastAsia="Times New Roman" w:hAnsi="Times New Roman" w:cs="Times New Roman"/>
          <w:sz w:val="26"/>
          <w:szCs w:val="26"/>
        </w:rPr>
        <w:t> </w:t>
      </w:r>
      <w:r w:rsidRPr="006A75ED">
        <w:rPr>
          <w:rFonts w:ascii="Times New Roman" w:eastAsia="Times New Roman" w:hAnsi="Times New Roman" w:cs="Times New Roman"/>
          <w:sz w:val="26"/>
          <w:szCs w:val="26"/>
        </w:rPr>
        <w:t>1, 2017 price to</w:t>
      </w:r>
      <w:r>
        <w:rPr>
          <w:rFonts w:ascii="Times New Roman" w:eastAsia="Times New Roman" w:hAnsi="Times New Roman" w:cs="Times New Roman"/>
          <w:sz w:val="26"/>
          <w:szCs w:val="26"/>
        </w:rPr>
        <w:t xml:space="preserve"> </w:t>
      </w:r>
      <w:r w:rsidRPr="006A75ED">
        <w:rPr>
          <w:rFonts w:ascii="Times New Roman" w:eastAsia="Times New Roman" w:hAnsi="Times New Roman" w:cs="Times New Roman"/>
          <w:sz w:val="26"/>
          <w:szCs w:val="26"/>
        </w:rPr>
        <w:t>compare decrease.</w:t>
      </w:r>
      <w:r>
        <w:rPr>
          <w:rFonts w:ascii="Times New Roman" w:eastAsia="Times New Roman" w:hAnsi="Times New Roman" w:cs="Times New Roman"/>
          <w:sz w:val="26"/>
          <w:szCs w:val="26"/>
        </w:rPr>
        <w:t xml:space="preserve">  Petition at 6.</w:t>
      </w:r>
    </w:p>
    <w:p w14:paraId="1FF6DB8F" w14:textId="77777777" w:rsidR="00F957D5" w:rsidRDefault="00F957D5" w:rsidP="006D71EF">
      <w:pPr>
        <w:tabs>
          <w:tab w:val="center" w:pos="0"/>
        </w:tabs>
        <w:suppressAutoHyphens/>
        <w:spacing w:after="0" w:line="360" w:lineRule="auto"/>
        <w:rPr>
          <w:rFonts w:ascii="Times New Roman" w:eastAsia="Times New Roman" w:hAnsi="Times New Roman" w:cs="Times New Roman"/>
          <w:sz w:val="26"/>
          <w:szCs w:val="26"/>
        </w:rPr>
      </w:pPr>
    </w:p>
    <w:p w14:paraId="4C949B76" w14:textId="6D691287" w:rsidR="00FA17E6" w:rsidRDefault="006D71EF" w:rsidP="00FA17E6">
      <w:pPr>
        <w:tabs>
          <w:tab w:val="center" w:pos="0"/>
        </w:tabs>
        <w:suppressAutoHyphens/>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EC7880">
        <w:rPr>
          <w:rFonts w:ascii="Times New Roman" w:eastAsia="Times New Roman" w:hAnsi="Times New Roman" w:cs="Times New Roman"/>
          <w:sz w:val="26"/>
          <w:szCs w:val="26"/>
        </w:rPr>
        <w:t xml:space="preserve"> </w:t>
      </w:r>
      <w:r w:rsidR="00FA17E6" w:rsidRPr="00FA17E6">
        <w:rPr>
          <w:rFonts w:ascii="Times New Roman" w:eastAsia="Times New Roman" w:hAnsi="Times New Roman" w:cs="Times New Roman"/>
          <w:sz w:val="26"/>
          <w:szCs w:val="26"/>
        </w:rPr>
        <w:t xml:space="preserve">Upon review of NG&amp;E’s marketing material and NG&amp;E’s responses to I&amp;E’s data requests, </w:t>
      </w:r>
      <w:r w:rsidR="00FA17E6" w:rsidRPr="00ED37E4">
        <w:rPr>
          <w:rFonts w:ascii="Times New Roman" w:eastAsia="Times New Roman" w:hAnsi="Times New Roman" w:cs="Times New Roman"/>
          <w:sz w:val="26"/>
          <w:szCs w:val="26"/>
        </w:rPr>
        <w:t>I&amp;E identified four types of potential violations.</w:t>
      </w:r>
      <w:r w:rsidR="00FA17E6" w:rsidRPr="00FA17E6">
        <w:rPr>
          <w:rFonts w:ascii="Times New Roman" w:eastAsia="Times New Roman" w:hAnsi="Times New Roman" w:cs="Times New Roman"/>
          <w:sz w:val="26"/>
          <w:szCs w:val="26"/>
        </w:rPr>
        <w:t xml:space="preserve">  </w:t>
      </w:r>
      <w:r w:rsidR="00FA17E6" w:rsidRPr="00ED37E4">
        <w:rPr>
          <w:rFonts w:ascii="Times New Roman" w:eastAsia="Times New Roman" w:hAnsi="Times New Roman" w:cs="Times New Roman"/>
          <w:sz w:val="26"/>
          <w:szCs w:val="26"/>
        </w:rPr>
        <w:t>Specifically,</w:t>
      </w:r>
      <w:r w:rsidR="00FA17E6" w:rsidRPr="00FA17E6">
        <w:rPr>
          <w:rFonts w:ascii="Times New Roman" w:eastAsia="Times New Roman" w:hAnsi="Times New Roman" w:cs="Times New Roman"/>
          <w:sz w:val="26"/>
          <w:szCs w:val="26"/>
        </w:rPr>
        <w:t xml:space="preserve"> I&amp;E alleged that NG&amp;E:</w:t>
      </w:r>
      <w:r w:rsidR="002E4C1F">
        <w:rPr>
          <w:rFonts w:ascii="Times New Roman" w:eastAsia="Times New Roman" w:hAnsi="Times New Roman" w:cs="Times New Roman"/>
          <w:sz w:val="26"/>
          <w:szCs w:val="26"/>
        </w:rPr>
        <w:t xml:space="preserve"> </w:t>
      </w:r>
      <w:r w:rsidR="00FA17E6" w:rsidRPr="00FA17E6">
        <w:rPr>
          <w:rFonts w:ascii="Times New Roman" w:eastAsia="Times New Roman" w:hAnsi="Times New Roman" w:cs="Times New Roman"/>
          <w:sz w:val="26"/>
          <w:szCs w:val="26"/>
        </w:rPr>
        <w:t xml:space="preserve"> (1) failed to maintain the confidentiality of a consumer’s personal </w:t>
      </w:r>
      <w:r w:rsidR="00FA17E6" w:rsidRPr="00FA17E6">
        <w:rPr>
          <w:rFonts w:ascii="Times New Roman" w:eastAsia="Times New Roman" w:hAnsi="Times New Roman" w:cs="Times New Roman"/>
          <w:sz w:val="26"/>
          <w:szCs w:val="26"/>
        </w:rPr>
        <w:lastRenderedPageBreak/>
        <w:t>information in violation of 52 Pa. Code § 54.43(d),</w:t>
      </w:r>
      <w:r w:rsidR="00914EC9">
        <w:rPr>
          <w:rStyle w:val="FootnoteReference"/>
          <w:rFonts w:ascii="Times New Roman" w:eastAsia="Times New Roman" w:hAnsi="Times New Roman" w:cs="Times New Roman"/>
          <w:sz w:val="26"/>
          <w:szCs w:val="26"/>
        </w:rPr>
        <w:footnoteReference w:id="2"/>
      </w:r>
      <w:r w:rsidR="00FA17E6" w:rsidRPr="00FA17E6">
        <w:rPr>
          <w:rFonts w:ascii="Times New Roman" w:eastAsia="Times New Roman" w:hAnsi="Times New Roman" w:cs="Times New Roman"/>
          <w:sz w:val="26"/>
          <w:szCs w:val="26"/>
        </w:rPr>
        <w:t xml:space="preserve"> with regard to 90,634 of the 155,252 postcards that were mailed to prospective customers on November 22, 2017; and with regard to the approximately 2,500 postcards that may have been received after December</w:t>
      </w:r>
      <w:r w:rsidR="00546DE7">
        <w:rPr>
          <w:rFonts w:ascii="Times New Roman" w:eastAsia="Times New Roman" w:hAnsi="Times New Roman" w:cs="Times New Roman"/>
          <w:sz w:val="26"/>
          <w:szCs w:val="26"/>
        </w:rPr>
        <w:t> </w:t>
      </w:r>
      <w:r w:rsidR="00FA17E6" w:rsidRPr="00FA17E6">
        <w:rPr>
          <w:rFonts w:ascii="Times New Roman" w:eastAsia="Times New Roman" w:hAnsi="Times New Roman" w:cs="Times New Roman"/>
          <w:sz w:val="26"/>
          <w:szCs w:val="26"/>
        </w:rPr>
        <w:t>1, 2017</w:t>
      </w:r>
      <w:r w:rsidR="002E4C1F">
        <w:rPr>
          <w:rFonts w:ascii="Times New Roman" w:eastAsia="Times New Roman" w:hAnsi="Times New Roman" w:cs="Times New Roman"/>
          <w:sz w:val="26"/>
          <w:szCs w:val="26"/>
        </w:rPr>
        <w:t>;</w:t>
      </w:r>
      <w:r w:rsidR="00FA17E6" w:rsidRPr="00FA17E6">
        <w:rPr>
          <w:rFonts w:ascii="Times New Roman" w:eastAsia="Times New Roman" w:hAnsi="Times New Roman" w:cs="Times New Roman"/>
          <w:sz w:val="26"/>
          <w:szCs w:val="26"/>
        </w:rPr>
        <w:t xml:space="preserve"> (2) misrepresented savings offered by </w:t>
      </w:r>
      <w:r w:rsidR="00FA17E6" w:rsidRPr="00ED37E4">
        <w:rPr>
          <w:rFonts w:ascii="Times New Roman" w:eastAsia="Times New Roman" w:hAnsi="Times New Roman" w:cs="Times New Roman"/>
          <w:sz w:val="26"/>
          <w:szCs w:val="26"/>
        </w:rPr>
        <w:t>NG&amp;E in violation of 52</w:t>
      </w:r>
      <w:r w:rsidR="00546DE7">
        <w:rPr>
          <w:rFonts w:ascii="Times New Roman" w:eastAsia="Times New Roman" w:hAnsi="Times New Roman" w:cs="Times New Roman"/>
          <w:sz w:val="26"/>
          <w:szCs w:val="26"/>
        </w:rPr>
        <w:t> </w:t>
      </w:r>
      <w:r w:rsidR="00FA17E6" w:rsidRPr="00ED37E4">
        <w:rPr>
          <w:rFonts w:ascii="Times New Roman" w:eastAsia="Times New Roman" w:hAnsi="Times New Roman" w:cs="Times New Roman"/>
          <w:sz w:val="26"/>
          <w:szCs w:val="26"/>
        </w:rPr>
        <w:t>Pa.</w:t>
      </w:r>
      <w:r w:rsidR="00546DE7">
        <w:rPr>
          <w:rFonts w:ascii="Times New Roman" w:eastAsia="Times New Roman" w:hAnsi="Times New Roman" w:cs="Times New Roman"/>
          <w:sz w:val="26"/>
          <w:szCs w:val="26"/>
        </w:rPr>
        <w:t> </w:t>
      </w:r>
      <w:r w:rsidR="00FA17E6" w:rsidRPr="00ED37E4">
        <w:rPr>
          <w:rFonts w:ascii="Times New Roman" w:eastAsia="Times New Roman" w:hAnsi="Times New Roman" w:cs="Times New Roman"/>
          <w:sz w:val="26"/>
          <w:szCs w:val="26"/>
        </w:rPr>
        <w:t>Code § 111.12(d)(2)</w:t>
      </w:r>
      <w:r w:rsidR="00FA17E6" w:rsidRPr="00FA17E6">
        <w:rPr>
          <w:rFonts w:ascii="Times New Roman" w:eastAsia="Times New Roman" w:hAnsi="Times New Roman" w:cs="Times New Roman"/>
          <w:sz w:val="26"/>
          <w:szCs w:val="26"/>
        </w:rPr>
        <w:t>;</w:t>
      </w:r>
      <w:r w:rsidR="00914EC9">
        <w:rPr>
          <w:rStyle w:val="FootnoteReference"/>
          <w:rFonts w:ascii="Times New Roman" w:eastAsia="Times New Roman" w:hAnsi="Times New Roman" w:cs="Times New Roman"/>
          <w:sz w:val="26"/>
          <w:szCs w:val="26"/>
        </w:rPr>
        <w:footnoteReference w:id="3"/>
      </w:r>
      <w:r w:rsidR="00FA17E6" w:rsidRPr="00FA17E6">
        <w:rPr>
          <w:rFonts w:ascii="Times New Roman" w:eastAsia="Times New Roman" w:hAnsi="Times New Roman" w:cs="Times New Roman"/>
          <w:sz w:val="26"/>
          <w:szCs w:val="26"/>
        </w:rPr>
        <w:t xml:space="preserve"> (3)</w:t>
      </w:r>
      <w:r w:rsidR="00FA17E6" w:rsidRPr="00ED37E4">
        <w:rPr>
          <w:rFonts w:ascii="Times New Roman" w:eastAsia="Times New Roman" w:hAnsi="Times New Roman" w:cs="Times New Roman"/>
          <w:sz w:val="26"/>
          <w:szCs w:val="26"/>
        </w:rPr>
        <w:t xml:space="preserve"> provided inaccurate and untimely</w:t>
      </w:r>
      <w:r w:rsidR="00FA17E6" w:rsidRPr="00FA17E6">
        <w:rPr>
          <w:rFonts w:ascii="Times New Roman" w:eastAsia="Times New Roman" w:hAnsi="Times New Roman" w:cs="Times New Roman"/>
          <w:sz w:val="26"/>
          <w:szCs w:val="26"/>
        </w:rPr>
        <w:t xml:space="preserve"> </w:t>
      </w:r>
      <w:r w:rsidR="00FA17E6" w:rsidRPr="00ED37E4">
        <w:rPr>
          <w:rFonts w:ascii="Times New Roman" w:eastAsia="Times New Roman" w:hAnsi="Times New Roman" w:cs="Times New Roman"/>
          <w:sz w:val="26"/>
          <w:szCs w:val="26"/>
        </w:rPr>
        <w:t>information about PPL’s rates being offered in violation of 52 Pa. Code § 111.12(d)(4)</w:t>
      </w:r>
      <w:r w:rsidR="00FA17E6" w:rsidRPr="00FA17E6">
        <w:rPr>
          <w:rFonts w:ascii="Times New Roman" w:eastAsia="Times New Roman" w:hAnsi="Times New Roman" w:cs="Times New Roman"/>
          <w:sz w:val="26"/>
          <w:szCs w:val="26"/>
        </w:rPr>
        <w:t>;</w:t>
      </w:r>
      <w:r w:rsidR="00914EC9">
        <w:rPr>
          <w:rStyle w:val="FootnoteReference"/>
          <w:rFonts w:ascii="Times New Roman" w:eastAsia="Times New Roman" w:hAnsi="Times New Roman" w:cs="Times New Roman"/>
          <w:sz w:val="26"/>
          <w:szCs w:val="26"/>
        </w:rPr>
        <w:footnoteReference w:id="4"/>
      </w:r>
      <w:r w:rsidR="00FA17E6" w:rsidRPr="00FA17E6">
        <w:rPr>
          <w:rFonts w:ascii="Times New Roman" w:eastAsia="Times New Roman" w:hAnsi="Times New Roman" w:cs="Times New Roman"/>
          <w:sz w:val="26"/>
          <w:szCs w:val="26"/>
        </w:rPr>
        <w:t xml:space="preserve"> and (4) </w:t>
      </w:r>
      <w:r w:rsidR="00FA17E6" w:rsidRPr="00ED37E4">
        <w:rPr>
          <w:rFonts w:ascii="Times New Roman" w:eastAsia="Times New Roman" w:hAnsi="Times New Roman" w:cs="Times New Roman"/>
          <w:sz w:val="26"/>
          <w:szCs w:val="26"/>
        </w:rPr>
        <w:t>as a result of the postcards that misrepresented savings with NG&amp;E and provided</w:t>
      </w:r>
      <w:r w:rsidR="00FA17E6" w:rsidRPr="00FA17E6">
        <w:rPr>
          <w:rFonts w:ascii="Times New Roman" w:eastAsia="Times New Roman" w:hAnsi="Times New Roman" w:cs="Times New Roman"/>
          <w:sz w:val="26"/>
          <w:szCs w:val="26"/>
        </w:rPr>
        <w:t xml:space="preserve"> </w:t>
      </w:r>
      <w:r w:rsidR="00FA17E6" w:rsidRPr="00ED37E4">
        <w:rPr>
          <w:rFonts w:ascii="Times New Roman" w:eastAsia="Times New Roman" w:hAnsi="Times New Roman" w:cs="Times New Roman"/>
          <w:sz w:val="26"/>
          <w:szCs w:val="26"/>
        </w:rPr>
        <w:t>inaccurate and untimely information about PPL’s rates, customers were enrolled with</w:t>
      </w:r>
      <w:r w:rsidR="00FA17E6" w:rsidRPr="00FA17E6">
        <w:rPr>
          <w:rFonts w:ascii="Times New Roman" w:eastAsia="Times New Roman" w:hAnsi="Times New Roman" w:cs="Times New Roman"/>
          <w:sz w:val="26"/>
          <w:szCs w:val="26"/>
        </w:rPr>
        <w:t xml:space="preserve"> NG&amp;E in violation of 52 Pa. Code § 111.12(d)(1).</w:t>
      </w:r>
      <w:r w:rsidR="00914EC9">
        <w:rPr>
          <w:rStyle w:val="FootnoteReference"/>
          <w:rFonts w:ascii="Times New Roman" w:eastAsia="Times New Roman" w:hAnsi="Times New Roman" w:cs="Times New Roman"/>
          <w:sz w:val="26"/>
          <w:szCs w:val="26"/>
        </w:rPr>
        <w:footnoteReference w:id="5"/>
      </w:r>
      <w:r w:rsidR="00FA17E6" w:rsidRPr="00FA17E6">
        <w:rPr>
          <w:rFonts w:ascii="Times New Roman" w:eastAsia="Times New Roman" w:hAnsi="Times New Roman" w:cs="Times New Roman"/>
          <w:sz w:val="26"/>
          <w:szCs w:val="26"/>
        </w:rPr>
        <w:t xml:space="preserve">  Petition at 7-9.  </w:t>
      </w:r>
    </w:p>
    <w:p w14:paraId="478E60AB" w14:textId="3C1F6CC5" w:rsidR="00D85C44" w:rsidRDefault="00D85C44" w:rsidP="00FA17E6">
      <w:pPr>
        <w:tabs>
          <w:tab w:val="center" w:pos="0"/>
        </w:tabs>
        <w:suppressAutoHyphens/>
        <w:spacing w:after="0" w:line="360" w:lineRule="auto"/>
        <w:rPr>
          <w:rFonts w:ascii="Times New Roman" w:eastAsia="Times New Roman" w:hAnsi="Times New Roman" w:cs="Times New Roman"/>
          <w:sz w:val="26"/>
          <w:szCs w:val="26"/>
        </w:rPr>
      </w:pPr>
    </w:p>
    <w:p w14:paraId="1C9C8395" w14:textId="790AD092" w:rsidR="00D85C44" w:rsidRPr="00FA17E6" w:rsidRDefault="00D85C44" w:rsidP="00D85C44">
      <w:pPr>
        <w:tabs>
          <w:tab w:val="center" w:pos="0"/>
        </w:tabs>
        <w:suppressAutoHyphens/>
        <w:spacing w:after="0" w:line="360" w:lineRule="auto"/>
        <w:ind w:firstLine="1440"/>
        <w:rPr>
          <w:rFonts w:ascii="Times New Roman" w:eastAsia="Times New Roman" w:hAnsi="Times New Roman" w:cs="Times New Roman"/>
          <w:sz w:val="26"/>
          <w:szCs w:val="26"/>
        </w:rPr>
      </w:pPr>
      <w:r>
        <w:rPr>
          <w:rFonts w:ascii="Times New Roman" w:eastAsia="Times New Roman" w:hAnsi="Times New Roman" w:cs="Times New Roman"/>
          <w:sz w:val="26"/>
          <w:szCs w:val="26"/>
        </w:rPr>
        <w:t>Weighing</w:t>
      </w:r>
      <w:r w:rsidRPr="00D85C44">
        <w:rPr>
          <w:rFonts w:ascii="Times New Roman" w:eastAsia="Times New Roman" w:hAnsi="Times New Roman" w:cs="Times New Roman"/>
          <w:sz w:val="26"/>
          <w:szCs w:val="26"/>
        </w:rPr>
        <w:t xml:space="preserve"> the seriousness of the disclosure of confidential customer information,</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misrepresentation of savings with NG&amp;E, inaccurate and untimely information related to</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PPL’s rates, and the customer enrollments against various mitigating circumstances that</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are present here</w:t>
      </w:r>
      <w:r>
        <w:rPr>
          <w:rFonts w:ascii="Times New Roman" w:eastAsia="Times New Roman" w:hAnsi="Times New Roman" w:cs="Times New Roman"/>
          <w:sz w:val="26"/>
          <w:szCs w:val="26"/>
        </w:rPr>
        <w:t xml:space="preserve">, I&amp;E determined that the Settlement was appropriate.  I&amp;E noted </w:t>
      </w:r>
      <w:r w:rsidRPr="00D85C44">
        <w:rPr>
          <w:rFonts w:ascii="Times New Roman" w:eastAsia="Times New Roman" w:hAnsi="Times New Roman" w:cs="Times New Roman"/>
          <w:sz w:val="26"/>
          <w:szCs w:val="26"/>
        </w:rPr>
        <w:t>NG&amp;E’s efforts to remediate the situation by</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addressing the misrepresented savings percentage and inaccurate and untimely</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information regarding PPL’s rates with customers who received the postcards, as</w:t>
      </w:r>
      <w:r>
        <w:rPr>
          <w:rFonts w:ascii="Times New Roman" w:eastAsia="Times New Roman" w:hAnsi="Times New Roman" w:cs="Times New Roman"/>
          <w:sz w:val="26"/>
          <w:szCs w:val="26"/>
        </w:rPr>
        <w:t xml:space="preserve"> </w:t>
      </w:r>
      <w:r w:rsidRPr="00D85C44">
        <w:rPr>
          <w:rFonts w:ascii="Times New Roman" w:eastAsia="Times New Roman" w:hAnsi="Times New Roman" w:cs="Times New Roman"/>
          <w:sz w:val="26"/>
          <w:szCs w:val="26"/>
        </w:rPr>
        <w:t>explained above.</w:t>
      </w:r>
      <w:r>
        <w:rPr>
          <w:rFonts w:ascii="Times New Roman" w:eastAsia="Times New Roman" w:hAnsi="Times New Roman" w:cs="Times New Roman"/>
          <w:sz w:val="26"/>
          <w:szCs w:val="26"/>
        </w:rPr>
        <w:t xml:space="preserve">  Additionally, I&amp;E acknowledged that the Company has been cooperative with I&amp;E’s </w:t>
      </w:r>
      <w:r>
        <w:rPr>
          <w:rFonts w:ascii="Times New Roman" w:eastAsia="Times New Roman" w:hAnsi="Times New Roman" w:cs="Times New Roman"/>
          <w:sz w:val="26"/>
          <w:szCs w:val="26"/>
        </w:rPr>
        <w:lastRenderedPageBreak/>
        <w:t xml:space="preserve">investigation, as exemplified by the Company’s responsiveness to data requests and by identifying policies and procedures that can be further improved to assist NG&amp;E in enhancing consumer protection and its marketing materials and to satisfy the commitments that I&amp;E has required in the settlement process.  I&amp;E Statement in Support at 4-5.  </w:t>
      </w:r>
    </w:p>
    <w:p w14:paraId="66218BA9" w14:textId="456D36CE" w:rsidR="00F44833" w:rsidRPr="003F7EE6" w:rsidRDefault="00F44833" w:rsidP="00E843A7">
      <w:pPr>
        <w:tabs>
          <w:tab w:val="center" w:pos="0"/>
        </w:tabs>
        <w:suppressAutoHyphens/>
        <w:spacing w:after="0" w:line="360" w:lineRule="auto"/>
        <w:rPr>
          <w:rFonts w:ascii="Times New Roman" w:eastAsia="Times New Roman" w:hAnsi="Times New Roman" w:cs="Times New Roman"/>
          <w:sz w:val="26"/>
          <w:szCs w:val="26"/>
        </w:rPr>
      </w:pPr>
    </w:p>
    <w:p w14:paraId="2FF7B1C8" w14:textId="12FE75A5" w:rsidR="00F44833" w:rsidRPr="003F7EE6" w:rsidRDefault="00F44833" w:rsidP="00F44833">
      <w:pPr>
        <w:keepNext/>
        <w:tabs>
          <w:tab w:val="center" w:pos="0"/>
        </w:tabs>
        <w:suppressAutoHyphens/>
        <w:spacing w:after="0" w:line="360" w:lineRule="auto"/>
        <w:jc w:val="center"/>
        <w:rPr>
          <w:rFonts w:ascii="Times New Roman" w:eastAsia="Times New Roman" w:hAnsi="Times New Roman" w:cs="Times New Roman"/>
          <w:sz w:val="26"/>
          <w:szCs w:val="26"/>
        </w:rPr>
      </w:pPr>
      <w:r w:rsidRPr="003F7EE6">
        <w:rPr>
          <w:rFonts w:ascii="Times New Roman" w:eastAsia="Times New Roman" w:hAnsi="Times New Roman" w:cs="Times New Roman"/>
          <w:b/>
          <w:sz w:val="26"/>
          <w:szCs w:val="26"/>
        </w:rPr>
        <w:t>Terms</w:t>
      </w:r>
      <w:r w:rsidR="00E23CF4">
        <w:rPr>
          <w:rFonts w:ascii="Times New Roman" w:eastAsia="Times New Roman" w:hAnsi="Times New Roman" w:cs="Times New Roman"/>
          <w:b/>
          <w:sz w:val="26"/>
          <w:szCs w:val="26"/>
        </w:rPr>
        <w:t xml:space="preserve"> and Conditions</w:t>
      </w:r>
      <w:r w:rsidRPr="003F7EE6">
        <w:rPr>
          <w:rFonts w:ascii="Times New Roman" w:eastAsia="Times New Roman" w:hAnsi="Times New Roman" w:cs="Times New Roman"/>
          <w:b/>
          <w:sz w:val="26"/>
          <w:szCs w:val="26"/>
        </w:rPr>
        <w:t xml:space="preserve"> of the Settlement</w:t>
      </w:r>
    </w:p>
    <w:p w14:paraId="4C6C01E6" w14:textId="72971F3F" w:rsidR="00F44833" w:rsidRDefault="00F44833" w:rsidP="00F44833">
      <w:pPr>
        <w:keepNext/>
        <w:tabs>
          <w:tab w:val="center" w:pos="0"/>
        </w:tabs>
        <w:suppressAutoHyphens/>
        <w:spacing w:after="0" w:line="360" w:lineRule="auto"/>
        <w:jc w:val="center"/>
        <w:rPr>
          <w:rFonts w:ascii="Times New Roman" w:eastAsia="Times New Roman" w:hAnsi="Times New Roman" w:cs="Times New Roman"/>
          <w:sz w:val="26"/>
          <w:szCs w:val="26"/>
        </w:rPr>
      </w:pPr>
    </w:p>
    <w:p w14:paraId="2A96B1A8" w14:textId="4FA85A9C" w:rsidR="00991DEB" w:rsidRDefault="006B6EBD" w:rsidP="00991DEB">
      <w:pPr>
        <w:keepNext/>
        <w:tabs>
          <w:tab w:val="center" w:pos="0"/>
        </w:tabs>
        <w:suppressAutoHyphens/>
        <w:spacing w:after="0" w:line="360" w:lineRule="auto"/>
        <w:ind w:firstLine="144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Parties indicate that the Settlement, which is attached to </w:t>
      </w:r>
      <w:r w:rsidR="006746CA">
        <w:rPr>
          <w:rFonts w:ascii="Times New Roman" w:eastAsia="Times New Roman" w:hAnsi="Times New Roman" w:cs="Times New Roman"/>
          <w:sz w:val="26"/>
          <w:szCs w:val="26"/>
        </w:rPr>
        <w:t>t</w:t>
      </w:r>
      <w:r>
        <w:rPr>
          <w:rFonts w:ascii="Times New Roman" w:eastAsia="Times New Roman" w:hAnsi="Times New Roman" w:cs="Times New Roman"/>
          <w:sz w:val="26"/>
          <w:szCs w:val="26"/>
        </w:rPr>
        <w:t xml:space="preserve">his Opinion and Order, has been filed by the Parties to resolve all issues related to I&amp;E’s informal investigation and represents a compromise by both I&amp;E and NG&amp;E of their respective competing positions in this proceeding.  Additionally, the Parties submit that the Settlement </w:t>
      </w:r>
      <w:r w:rsidRPr="006B6EBD">
        <w:rPr>
          <w:rFonts w:ascii="Times New Roman" w:eastAsia="Times New Roman" w:hAnsi="Times New Roman" w:cs="Times New Roman"/>
          <w:sz w:val="26"/>
          <w:szCs w:val="26"/>
        </w:rPr>
        <w:t xml:space="preserve">is in the public interest and is consistent with the Commission’s Policy Statement at 52 Pa. Code § 69.1201, </w:t>
      </w:r>
      <w:r w:rsidRPr="006B6EBD">
        <w:rPr>
          <w:rFonts w:ascii="Times New Roman" w:eastAsia="Times New Roman" w:hAnsi="Times New Roman" w:cs="Times New Roman"/>
          <w:i/>
          <w:sz w:val="26"/>
          <w:szCs w:val="26"/>
        </w:rPr>
        <w:t>Factors and standards for evaluating litigated and settled proceedings involving violations of the Public Utility Code and Commission regulations—statement of policy</w:t>
      </w:r>
      <w:r w:rsidRPr="006B6EBD">
        <w:rPr>
          <w:rFonts w:ascii="Times New Roman" w:eastAsia="Times New Roman" w:hAnsi="Times New Roman" w:cs="Times New Roman"/>
          <w:sz w:val="26"/>
          <w:szCs w:val="26"/>
        </w:rPr>
        <w:t>.</w:t>
      </w:r>
      <w:r w:rsidR="006746CA">
        <w:rPr>
          <w:rFonts w:ascii="Times New Roman" w:eastAsia="Times New Roman" w:hAnsi="Times New Roman" w:cs="Times New Roman"/>
          <w:sz w:val="26"/>
          <w:szCs w:val="26"/>
        </w:rPr>
        <w:t xml:space="preserve">  </w:t>
      </w:r>
      <w:r w:rsidRPr="006B6EBD">
        <w:rPr>
          <w:rFonts w:ascii="Times New Roman" w:eastAsia="Times New Roman" w:hAnsi="Times New Roman" w:cs="Times New Roman"/>
          <w:sz w:val="26"/>
          <w:szCs w:val="26"/>
        </w:rPr>
        <w:t xml:space="preserve">The Parties further state that the Settlement constitutes a carefully crafted package representing reasonably negotiated compromises on the issues addressed herein.  </w:t>
      </w:r>
      <w:r w:rsidR="004224F9">
        <w:rPr>
          <w:rFonts w:ascii="Times New Roman" w:eastAsia="Times New Roman" w:hAnsi="Times New Roman" w:cs="Times New Roman"/>
          <w:sz w:val="26"/>
          <w:szCs w:val="26"/>
        </w:rPr>
        <w:t>Petition</w:t>
      </w:r>
      <w:r w:rsidRPr="006B6EBD">
        <w:rPr>
          <w:rFonts w:ascii="Times New Roman" w:eastAsia="Times New Roman" w:hAnsi="Times New Roman" w:cs="Times New Roman"/>
          <w:sz w:val="26"/>
          <w:szCs w:val="26"/>
        </w:rPr>
        <w:t xml:space="preserve"> at ¶</w:t>
      </w:r>
      <w:r>
        <w:rPr>
          <w:rFonts w:ascii="Times New Roman" w:eastAsia="Times New Roman" w:hAnsi="Times New Roman" w:cs="Times New Roman"/>
          <w:sz w:val="26"/>
          <w:szCs w:val="26"/>
        </w:rPr>
        <w:t>¶</w:t>
      </w:r>
      <w:r w:rsidRPr="006B6EB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41, 43</w:t>
      </w:r>
      <w:r w:rsidRPr="006B6EBD">
        <w:rPr>
          <w:rFonts w:ascii="Times New Roman" w:eastAsia="Times New Roman" w:hAnsi="Times New Roman" w:cs="Times New Roman"/>
          <w:sz w:val="26"/>
          <w:szCs w:val="26"/>
        </w:rPr>
        <w:t>.</w:t>
      </w:r>
      <w:r w:rsidR="009333A2">
        <w:rPr>
          <w:rFonts w:ascii="Times New Roman" w:eastAsia="Times New Roman" w:hAnsi="Times New Roman" w:cs="Times New Roman"/>
          <w:sz w:val="26"/>
          <w:szCs w:val="26"/>
        </w:rPr>
        <w:t xml:space="preserve">  The Parties </w:t>
      </w:r>
      <w:r w:rsidR="009333A2" w:rsidRPr="003F7EE6">
        <w:rPr>
          <w:rFonts w:ascii="Times New Roman" w:eastAsia="Times New Roman" w:hAnsi="Times New Roman" w:cs="Times New Roman"/>
          <w:sz w:val="26"/>
          <w:szCs w:val="26"/>
        </w:rPr>
        <w:t>urge the Commission to approve the Settlement as being in the p</w:t>
      </w:r>
      <w:r w:rsidR="009333A2">
        <w:rPr>
          <w:rFonts w:ascii="Times New Roman" w:eastAsia="Times New Roman" w:hAnsi="Times New Roman" w:cs="Times New Roman"/>
          <w:sz w:val="26"/>
          <w:szCs w:val="26"/>
        </w:rPr>
        <w:t xml:space="preserve">ublic interest.  </w:t>
      </w:r>
      <w:r w:rsidR="004224F9">
        <w:rPr>
          <w:rFonts w:ascii="Times New Roman" w:eastAsia="Times New Roman" w:hAnsi="Times New Roman" w:cs="Times New Roman"/>
          <w:sz w:val="26"/>
          <w:szCs w:val="26"/>
        </w:rPr>
        <w:t>Petition</w:t>
      </w:r>
      <w:r w:rsidR="009333A2">
        <w:rPr>
          <w:rFonts w:ascii="Times New Roman" w:eastAsia="Times New Roman" w:hAnsi="Times New Roman" w:cs="Times New Roman"/>
          <w:sz w:val="26"/>
          <w:szCs w:val="26"/>
        </w:rPr>
        <w:t xml:space="preserve"> at 1</w:t>
      </w:r>
      <w:r w:rsidR="00E843A7">
        <w:rPr>
          <w:rFonts w:ascii="Times New Roman" w:eastAsia="Times New Roman" w:hAnsi="Times New Roman" w:cs="Times New Roman"/>
          <w:sz w:val="26"/>
          <w:szCs w:val="26"/>
        </w:rPr>
        <w:t>5</w:t>
      </w:r>
      <w:r w:rsidR="009333A2" w:rsidRPr="003F7EE6">
        <w:rPr>
          <w:rFonts w:ascii="Times New Roman" w:eastAsia="Times New Roman" w:hAnsi="Times New Roman" w:cs="Times New Roman"/>
          <w:sz w:val="26"/>
          <w:szCs w:val="26"/>
        </w:rPr>
        <w:t>.</w:t>
      </w:r>
    </w:p>
    <w:p w14:paraId="78CFC8A0" w14:textId="5650A9E5" w:rsidR="005A7CD1" w:rsidRDefault="005A7CD1" w:rsidP="00991DEB">
      <w:pPr>
        <w:keepNext/>
        <w:tabs>
          <w:tab w:val="center" w:pos="0"/>
        </w:tabs>
        <w:suppressAutoHyphens/>
        <w:spacing w:after="0" w:line="360" w:lineRule="auto"/>
        <w:ind w:firstLine="1440"/>
        <w:rPr>
          <w:rFonts w:ascii="Times New Roman" w:eastAsia="Times New Roman" w:hAnsi="Times New Roman" w:cs="Times New Roman"/>
          <w:sz w:val="26"/>
          <w:szCs w:val="26"/>
        </w:rPr>
      </w:pPr>
    </w:p>
    <w:p w14:paraId="3FA8F438" w14:textId="29F3FB0F" w:rsidR="005A7CD1" w:rsidRPr="005A7CD1" w:rsidRDefault="005A7CD1" w:rsidP="005A7CD1">
      <w:pPr>
        <w:keepNext/>
        <w:tabs>
          <w:tab w:val="center" w:pos="0"/>
        </w:tabs>
        <w:suppressAutoHyphens/>
        <w:spacing w:after="0" w:line="360" w:lineRule="auto"/>
        <w:ind w:firstLine="1440"/>
        <w:rPr>
          <w:rFonts w:ascii="Times New Roman" w:eastAsia="Times New Roman" w:hAnsi="Times New Roman" w:cs="Times New Roman"/>
          <w:sz w:val="26"/>
          <w:szCs w:val="26"/>
        </w:rPr>
      </w:pPr>
      <w:r w:rsidRPr="005A7CD1">
        <w:rPr>
          <w:rFonts w:ascii="Times New Roman" w:eastAsia="Times New Roman" w:hAnsi="Times New Roman" w:cs="Times New Roman"/>
          <w:sz w:val="26"/>
          <w:szCs w:val="26"/>
        </w:rPr>
        <w:t>The S</w:t>
      </w:r>
      <w:r>
        <w:rPr>
          <w:rFonts w:ascii="Times New Roman" w:eastAsia="Times New Roman" w:hAnsi="Times New Roman" w:cs="Times New Roman"/>
          <w:sz w:val="26"/>
          <w:szCs w:val="26"/>
        </w:rPr>
        <w:t>ettlement</w:t>
      </w:r>
      <w:r w:rsidRPr="005A7CD1">
        <w:rPr>
          <w:rFonts w:ascii="Times New Roman" w:eastAsia="Times New Roman" w:hAnsi="Times New Roman" w:cs="Times New Roman"/>
          <w:sz w:val="26"/>
          <w:szCs w:val="26"/>
        </w:rPr>
        <w:t xml:space="preserve"> consists of the Joint Petition for Approval of Settlement containing the terms and conditions of the Settlement</w:t>
      </w:r>
      <w:r>
        <w:rPr>
          <w:rFonts w:ascii="Times New Roman" w:eastAsia="Times New Roman" w:hAnsi="Times New Roman" w:cs="Times New Roman"/>
          <w:sz w:val="26"/>
          <w:szCs w:val="26"/>
        </w:rPr>
        <w:t>, an exhibit, and</w:t>
      </w:r>
      <w:r w:rsidRPr="005A7CD1">
        <w:rPr>
          <w:rFonts w:ascii="Times New Roman" w:eastAsia="Times New Roman" w:hAnsi="Times New Roman" w:cs="Times New Roman"/>
          <w:sz w:val="26"/>
          <w:szCs w:val="26"/>
        </w:rPr>
        <w:t xml:space="preserve"> t</w:t>
      </w:r>
      <w:r>
        <w:rPr>
          <w:rFonts w:ascii="Times New Roman" w:eastAsia="Times New Roman" w:hAnsi="Times New Roman" w:cs="Times New Roman"/>
          <w:sz w:val="26"/>
          <w:szCs w:val="26"/>
        </w:rPr>
        <w:t>hree</w:t>
      </w:r>
      <w:r w:rsidRPr="005A7CD1">
        <w:rPr>
          <w:rFonts w:ascii="Times New Roman" w:eastAsia="Times New Roman" w:hAnsi="Times New Roman" w:cs="Times New Roman"/>
          <w:sz w:val="26"/>
          <w:szCs w:val="26"/>
        </w:rPr>
        <w:t xml:space="preserve"> appendices.  </w:t>
      </w:r>
      <w:r>
        <w:rPr>
          <w:rFonts w:ascii="Times New Roman" w:eastAsia="Times New Roman" w:hAnsi="Times New Roman" w:cs="Times New Roman"/>
          <w:sz w:val="26"/>
          <w:szCs w:val="26"/>
        </w:rPr>
        <w:t xml:space="preserve">Exhibit 1 contains the postcard received by the Director of OCMO on December 1, 2017.  </w:t>
      </w:r>
      <w:r w:rsidRPr="005A7CD1">
        <w:rPr>
          <w:rFonts w:ascii="Times New Roman" w:eastAsia="Times New Roman" w:hAnsi="Times New Roman" w:cs="Times New Roman"/>
          <w:sz w:val="26"/>
          <w:szCs w:val="26"/>
        </w:rPr>
        <w:t xml:space="preserve">Appendix A contains Proposed Ordering Paragraphs, while Appendices B and C to the </w:t>
      </w:r>
      <w:r w:rsidRPr="005A7CD1">
        <w:rPr>
          <w:rFonts w:ascii="Times New Roman" w:eastAsia="Times New Roman" w:hAnsi="Times New Roman" w:cs="Times New Roman"/>
          <w:sz w:val="26"/>
          <w:szCs w:val="26"/>
        </w:rPr>
        <w:lastRenderedPageBreak/>
        <w:t xml:space="preserve">Settlement are the Statements in Support of the Settlement submitted by I&amp;E and </w:t>
      </w:r>
      <w:r w:rsidR="000E209B">
        <w:rPr>
          <w:rFonts w:ascii="Times New Roman" w:eastAsia="Times New Roman" w:hAnsi="Times New Roman" w:cs="Times New Roman"/>
          <w:sz w:val="26"/>
          <w:szCs w:val="26"/>
        </w:rPr>
        <w:t>NG&amp;E</w:t>
      </w:r>
      <w:r w:rsidRPr="005A7CD1">
        <w:rPr>
          <w:rFonts w:ascii="Times New Roman" w:eastAsia="Times New Roman" w:hAnsi="Times New Roman" w:cs="Times New Roman"/>
          <w:sz w:val="26"/>
          <w:szCs w:val="26"/>
        </w:rPr>
        <w:t>, respectively.</w:t>
      </w:r>
    </w:p>
    <w:p w14:paraId="6F92951F" w14:textId="656FCBC8" w:rsidR="005A7CD1" w:rsidRDefault="005A7CD1" w:rsidP="00991DEB">
      <w:pPr>
        <w:keepNext/>
        <w:tabs>
          <w:tab w:val="center" w:pos="0"/>
        </w:tabs>
        <w:suppressAutoHyphens/>
        <w:spacing w:after="0" w:line="360" w:lineRule="auto"/>
        <w:ind w:firstLine="1440"/>
        <w:rPr>
          <w:rFonts w:ascii="Times New Roman" w:eastAsia="Times New Roman" w:hAnsi="Times New Roman" w:cs="Times New Roman"/>
          <w:sz w:val="26"/>
          <w:szCs w:val="26"/>
        </w:rPr>
      </w:pPr>
    </w:p>
    <w:p w14:paraId="4A738FAD" w14:textId="067655D9" w:rsidR="00FA6AD2" w:rsidRPr="00FA6AD2" w:rsidRDefault="00FA6AD2" w:rsidP="00FA6AD2">
      <w:pPr>
        <w:autoSpaceDE w:val="0"/>
        <w:autoSpaceDN w:val="0"/>
        <w:spacing w:after="0" w:line="360" w:lineRule="auto"/>
        <w:ind w:firstLine="1440"/>
        <w:contextualSpacing/>
        <w:rPr>
          <w:rFonts w:ascii="Times New Roman" w:eastAsia="Calibri" w:hAnsi="Times New Roman" w:cs="Times New Roman"/>
          <w:spacing w:val="-3"/>
          <w:sz w:val="26"/>
          <w:szCs w:val="26"/>
        </w:rPr>
      </w:pPr>
      <w:r w:rsidRPr="00FA6AD2">
        <w:rPr>
          <w:rFonts w:ascii="Times New Roman" w:eastAsia="Calibri" w:hAnsi="Times New Roman" w:cs="Times New Roman"/>
          <w:spacing w:val="-3"/>
          <w:sz w:val="26"/>
          <w:szCs w:val="26"/>
        </w:rPr>
        <w:t xml:space="preserve">The essential terms of the Settlement are set forth in </w:t>
      </w:r>
      <w:r w:rsidR="00840265">
        <w:rPr>
          <w:rFonts w:ascii="Times New Roman" w:eastAsia="Calibri" w:hAnsi="Times New Roman" w:cs="Times New Roman"/>
          <w:spacing w:val="-3"/>
          <w:sz w:val="26"/>
          <w:szCs w:val="26"/>
        </w:rPr>
        <w:t>Paragraph 34</w:t>
      </w:r>
      <w:r w:rsidRPr="00FA6AD2">
        <w:rPr>
          <w:rFonts w:ascii="Times New Roman" w:eastAsia="Calibri" w:hAnsi="Times New Roman" w:cs="Times New Roman"/>
          <w:spacing w:val="-3"/>
          <w:sz w:val="26"/>
          <w:szCs w:val="26"/>
        </w:rPr>
        <w:t xml:space="preserve">.  Settlement at </w:t>
      </w:r>
      <w:r w:rsidR="00840265">
        <w:rPr>
          <w:rFonts w:ascii="Times New Roman" w:eastAsia="Calibri" w:hAnsi="Times New Roman" w:cs="Times New Roman"/>
          <w:spacing w:val="-3"/>
          <w:sz w:val="26"/>
          <w:szCs w:val="26"/>
        </w:rPr>
        <w:t>10-12</w:t>
      </w:r>
      <w:r w:rsidRPr="00FA6AD2">
        <w:rPr>
          <w:rFonts w:ascii="Times New Roman" w:eastAsia="Calibri" w:hAnsi="Times New Roman" w:cs="Times New Roman"/>
          <w:spacing w:val="-3"/>
          <w:sz w:val="26"/>
          <w:szCs w:val="26"/>
        </w:rPr>
        <w:t xml:space="preserve">.  The Parties agreed to the following terms and conditions, </w:t>
      </w:r>
      <w:r w:rsidR="00840265" w:rsidRPr="00840265">
        <w:rPr>
          <w:rFonts w:ascii="Times New Roman" w:hAnsi="Times New Roman" w:cs="Times New Roman"/>
          <w:color w:val="000000"/>
          <w:sz w:val="26"/>
          <w:szCs w:val="26"/>
        </w:rPr>
        <w:t>excerpted in relevant part</w:t>
      </w:r>
      <w:r w:rsidR="00840265">
        <w:rPr>
          <w:rFonts w:ascii="Times New Roman" w:hAnsi="Times New Roman" w:cs="Times New Roman"/>
          <w:color w:val="000000"/>
          <w:sz w:val="26"/>
          <w:szCs w:val="26"/>
        </w:rPr>
        <w:t>,</w:t>
      </w:r>
      <w:r w:rsidR="00840265" w:rsidRPr="00840265">
        <w:rPr>
          <w:rFonts w:ascii="Times New Roman" w:eastAsia="Calibri" w:hAnsi="Times New Roman" w:cs="Times New Roman"/>
          <w:spacing w:val="-3"/>
          <w:sz w:val="26"/>
          <w:szCs w:val="26"/>
        </w:rPr>
        <w:t xml:space="preserve"> </w:t>
      </w:r>
      <w:r w:rsidRPr="00FA6AD2">
        <w:rPr>
          <w:rFonts w:ascii="Times New Roman" w:eastAsia="Calibri" w:hAnsi="Times New Roman" w:cs="Times New Roman"/>
          <w:spacing w:val="-3"/>
          <w:sz w:val="26"/>
          <w:szCs w:val="26"/>
        </w:rPr>
        <w:t>as follows:</w:t>
      </w:r>
    </w:p>
    <w:p w14:paraId="4E5BABD3" w14:textId="23B59FB3" w:rsidR="00FA6AD2" w:rsidRDefault="00FA6AD2" w:rsidP="00FA6AD2">
      <w:pPr>
        <w:autoSpaceDE w:val="0"/>
        <w:autoSpaceDN w:val="0"/>
        <w:spacing w:after="0" w:line="360" w:lineRule="auto"/>
        <w:ind w:firstLine="1440"/>
        <w:contextualSpacing/>
        <w:rPr>
          <w:rFonts w:ascii="Times New Roman" w:eastAsia="Calibri" w:hAnsi="Times New Roman" w:cs="Times New Roman"/>
          <w:spacing w:val="-3"/>
          <w:sz w:val="26"/>
          <w:szCs w:val="26"/>
        </w:rPr>
      </w:pPr>
    </w:p>
    <w:p w14:paraId="7D3F3482" w14:textId="3D54593D" w:rsidR="00840265" w:rsidRDefault="002A1DA9" w:rsidP="002A1DA9">
      <w:pPr>
        <w:keepNext/>
        <w:keepLines/>
        <w:widowControl w:val="0"/>
        <w:numPr>
          <w:ilvl w:val="0"/>
          <w:numId w:val="15"/>
        </w:numPr>
        <w:spacing w:after="0" w:line="240" w:lineRule="auto"/>
        <w:ind w:left="1440" w:right="1440"/>
        <w:contextualSpacing/>
        <w:rPr>
          <w:rFonts w:ascii="Times New Roman" w:hAnsi="Times New Roman" w:cs="Times New Roman"/>
          <w:sz w:val="26"/>
          <w:szCs w:val="26"/>
        </w:rPr>
      </w:pPr>
      <w:r w:rsidRPr="002A1DA9">
        <w:rPr>
          <w:rFonts w:ascii="Times New Roman" w:hAnsi="Times New Roman" w:cs="Times New Roman"/>
          <w:sz w:val="26"/>
          <w:szCs w:val="26"/>
        </w:rPr>
        <w:t>A.</w:t>
      </w:r>
      <w:r w:rsidR="00840265" w:rsidRPr="00840265">
        <w:rPr>
          <w:rFonts w:ascii="Times New Roman" w:hAnsi="Times New Roman" w:cs="Times New Roman"/>
          <w:sz w:val="26"/>
          <w:szCs w:val="26"/>
        </w:rPr>
        <w:t xml:space="preserve"> </w:t>
      </w:r>
      <w:r w:rsidR="00840265" w:rsidRPr="00840265">
        <w:rPr>
          <w:rFonts w:ascii="Times New Roman" w:hAnsi="Times New Roman" w:cs="Times New Roman"/>
          <w:sz w:val="26"/>
          <w:szCs w:val="26"/>
        </w:rPr>
        <w:tab/>
        <w:t xml:space="preserve"> </w:t>
      </w:r>
      <w:r>
        <w:rPr>
          <w:rFonts w:ascii="Times New Roman" w:hAnsi="Times New Roman" w:cs="Times New Roman"/>
          <w:sz w:val="26"/>
          <w:szCs w:val="26"/>
        </w:rPr>
        <w:t>NG&amp;E will pay a civil penalty in the amount of One Hundred and Twenty Thousand Dollars ($120,000</w:t>
      </w:r>
      <w:r w:rsidR="00064B21">
        <w:rPr>
          <w:rFonts w:ascii="Times New Roman" w:hAnsi="Times New Roman" w:cs="Times New Roman"/>
          <w:sz w:val="26"/>
          <w:szCs w:val="26"/>
        </w:rPr>
        <w:t>.00</w:t>
      </w:r>
      <w:r>
        <w:rPr>
          <w:rFonts w:ascii="Times New Roman" w:hAnsi="Times New Roman" w:cs="Times New Roman"/>
          <w:sz w:val="26"/>
          <w:szCs w:val="26"/>
        </w:rPr>
        <w:t>).  Said payment shall be made within thirty (30) days of the entry date of the Commission’s Final Order approving the Settlement Agreement and shall be made by certified check or money order payable to the “Commonwealth of Pennsylvania</w:t>
      </w:r>
      <w:r w:rsidR="00840265" w:rsidRPr="00840265">
        <w:rPr>
          <w:rFonts w:ascii="Times New Roman" w:hAnsi="Times New Roman" w:cs="Times New Roman"/>
          <w:sz w:val="26"/>
          <w:szCs w:val="26"/>
        </w:rPr>
        <w:t>.</w:t>
      </w:r>
      <w:r>
        <w:rPr>
          <w:rFonts w:ascii="Times New Roman" w:hAnsi="Times New Roman" w:cs="Times New Roman"/>
          <w:sz w:val="26"/>
          <w:szCs w:val="26"/>
        </w:rPr>
        <w:t>”  The docket number of this proceeding shall be indicated with the certified check or money order and the payment shall be sent to:</w:t>
      </w:r>
      <w:r w:rsidR="00840265" w:rsidRPr="00840265">
        <w:rPr>
          <w:rFonts w:ascii="Times New Roman" w:hAnsi="Times New Roman" w:cs="Times New Roman"/>
          <w:sz w:val="26"/>
          <w:szCs w:val="26"/>
        </w:rPr>
        <w:t xml:space="preserve"> </w:t>
      </w:r>
    </w:p>
    <w:p w14:paraId="1B0B24CD" w14:textId="158F881E" w:rsidR="002A1DA9" w:rsidRDefault="002A1DA9" w:rsidP="002A1DA9">
      <w:pPr>
        <w:keepNext/>
        <w:keepLines/>
        <w:widowControl w:val="0"/>
        <w:spacing w:after="0" w:line="240" w:lineRule="auto"/>
        <w:ind w:right="1440"/>
        <w:contextualSpacing/>
        <w:rPr>
          <w:rFonts w:ascii="Times New Roman" w:hAnsi="Times New Roman" w:cs="Times New Roman"/>
          <w:sz w:val="26"/>
          <w:szCs w:val="26"/>
        </w:rPr>
      </w:pPr>
    </w:p>
    <w:p w14:paraId="658C238D" w14:textId="77777777" w:rsidR="002A1DA9" w:rsidRPr="002A1DA9" w:rsidRDefault="002A1DA9" w:rsidP="002A1DA9">
      <w:pPr>
        <w:spacing w:after="0" w:line="240" w:lineRule="auto"/>
        <w:ind w:left="2160" w:right="1440" w:firstLine="720"/>
        <w:contextualSpacing/>
        <w:rPr>
          <w:rFonts w:ascii="Times New Roman" w:hAnsi="Times New Roman" w:cs="Times New Roman"/>
          <w:sz w:val="26"/>
          <w:szCs w:val="26"/>
        </w:rPr>
      </w:pPr>
      <w:r w:rsidRPr="002A1DA9">
        <w:rPr>
          <w:rFonts w:ascii="Times New Roman" w:hAnsi="Times New Roman" w:cs="Times New Roman"/>
          <w:sz w:val="26"/>
          <w:szCs w:val="26"/>
        </w:rPr>
        <w:t>Rosemary Chiavetta, Secretary</w:t>
      </w:r>
    </w:p>
    <w:p w14:paraId="4C3CD5F4" w14:textId="77777777" w:rsidR="002A1DA9" w:rsidRPr="002A1DA9" w:rsidRDefault="002A1DA9" w:rsidP="002A1DA9">
      <w:pPr>
        <w:spacing w:after="240" w:line="240" w:lineRule="auto"/>
        <w:ind w:left="1440" w:right="1440"/>
        <w:contextualSpacing/>
        <w:rPr>
          <w:rFonts w:ascii="Times New Roman" w:hAnsi="Times New Roman" w:cs="Times New Roman"/>
          <w:sz w:val="26"/>
          <w:szCs w:val="26"/>
        </w:rPr>
      </w:pPr>
      <w:r w:rsidRPr="002A1DA9">
        <w:rPr>
          <w:rFonts w:ascii="Times New Roman" w:hAnsi="Times New Roman" w:cs="Times New Roman"/>
          <w:sz w:val="26"/>
          <w:szCs w:val="26"/>
        </w:rPr>
        <w:tab/>
      </w:r>
      <w:r w:rsidRPr="002A1DA9">
        <w:rPr>
          <w:rFonts w:ascii="Times New Roman" w:hAnsi="Times New Roman" w:cs="Times New Roman"/>
          <w:sz w:val="26"/>
          <w:szCs w:val="26"/>
        </w:rPr>
        <w:tab/>
        <w:t>Pennsylvania Public Utility Commission</w:t>
      </w:r>
    </w:p>
    <w:p w14:paraId="54E8C389" w14:textId="77777777" w:rsidR="002A1DA9" w:rsidRPr="002A1DA9" w:rsidRDefault="002A1DA9" w:rsidP="002A1DA9">
      <w:pPr>
        <w:spacing w:after="240" w:line="240" w:lineRule="auto"/>
        <w:ind w:left="1440" w:right="1440"/>
        <w:contextualSpacing/>
        <w:rPr>
          <w:rFonts w:ascii="Times New Roman" w:hAnsi="Times New Roman" w:cs="Times New Roman"/>
          <w:sz w:val="26"/>
          <w:szCs w:val="26"/>
        </w:rPr>
      </w:pPr>
      <w:r w:rsidRPr="002A1DA9">
        <w:rPr>
          <w:rFonts w:ascii="Times New Roman" w:hAnsi="Times New Roman" w:cs="Times New Roman"/>
          <w:sz w:val="26"/>
          <w:szCs w:val="26"/>
        </w:rPr>
        <w:tab/>
      </w:r>
      <w:r w:rsidRPr="002A1DA9">
        <w:rPr>
          <w:rFonts w:ascii="Times New Roman" w:hAnsi="Times New Roman" w:cs="Times New Roman"/>
          <w:sz w:val="26"/>
          <w:szCs w:val="26"/>
        </w:rPr>
        <w:tab/>
        <w:t>Commonwealth Keystone Building</w:t>
      </w:r>
    </w:p>
    <w:p w14:paraId="00A24D11" w14:textId="77777777" w:rsidR="002A1DA9" w:rsidRPr="002A1DA9" w:rsidRDefault="002A1DA9" w:rsidP="002A1DA9">
      <w:pPr>
        <w:spacing w:after="0" w:line="240" w:lineRule="auto"/>
        <w:ind w:left="2160" w:right="1440" w:firstLine="720"/>
        <w:contextualSpacing/>
        <w:rPr>
          <w:rFonts w:ascii="Times New Roman" w:hAnsi="Times New Roman" w:cs="Times New Roman"/>
          <w:sz w:val="26"/>
          <w:szCs w:val="26"/>
        </w:rPr>
      </w:pPr>
      <w:r w:rsidRPr="002A1DA9">
        <w:rPr>
          <w:rFonts w:ascii="Times New Roman" w:hAnsi="Times New Roman" w:cs="Times New Roman"/>
          <w:sz w:val="26"/>
          <w:szCs w:val="26"/>
        </w:rPr>
        <w:t>400 North Street</w:t>
      </w:r>
    </w:p>
    <w:p w14:paraId="6D734709" w14:textId="77777777" w:rsidR="002A1DA9" w:rsidRPr="002A1DA9" w:rsidRDefault="002A1DA9" w:rsidP="002A1DA9">
      <w:pPr>
        <w:spacing w:after="0" w:line="240" w:lineRule="auto"/>
        <w:ind w:left="2160" w:right="1440" w:firstLine="720"/>
        <w:contextualSpacing/>
        <w:rPr>
          <w:rFonts w:ascii="Times New Roman" w:hAnsi="Times New Roman" w:cs="Times New Roman"/>
          <w:sz w:val="26"/>
          <w:szCs w:val="26"/>
        </w:rPr>
      </w:pPr>
      <w:r w:rsidRPr="002A1DA9">
        <w:rPr>
          <w:rFonts w:ascii="Times New Roman" w:hAnsi="Times New Roman" w:cs="Times New Roman"/>
          <w:sz w:val="26"/>
          <w:szCs w:val="26"/>
        </w:rPr>
        <w:t>Harrisburg, PA 17120</w:t>
      </w:r>
    </w:p>
    <w:p w14:paraId="3E65B0DA" w14:textId="77777777" w:rsidR="002A1DA9" w:rsidRPr="00840265" w:rsidRDefault="002A1DA9" w:rsidP="002A1DA9">
      <w:pPr>
        <w:keepNext/>
        <w:keepLines/>
        <w:widowControl w:val="0"/>
        <w:spacing w:after="0" w:line="240" w:lineRule="auto"/>
        <w:ind w:right="1440"/>
        <w:contextualSpacing/>
        <w:rPr>
          <w:rFonts w:ascii="Times New Roman" w:hAnsi="Times New Roman" w:cs="Times New Roman"/>
          <w:sz w:val="26"/>
          <w:szCs w:val="26"/>
        </w:rPr>
      </w:pPr>
    </w:p>
    <w:p w14:paraId="2F2DA37A" w14:textId="40935E0F" w:rsidR="002A1DA9" w:rsidRDefault="002A1DA9" w:rsidP="002A1DA9">
      <w:pPr>
        <w:spacing w:after="0" w:line="240" w:lineRule="auto"/>
        <w:ind w:left="1440" w:right="1440"/>
        <w:contextualSpacing/>
        <w:rPr>
          <w:rFonts w:ascii="Times New Roman" w:hAnsi="Times New Roman" w:cs="Times New Roman"/>
          <w:sz w:val="26"/>
          <w:szCs w:val="26"/>
        </w:rPr>
      </w:pPr>
      <w:r w:rsidRPr="002A1DA9">
        <w:rPr>
          <w:rFonts w:ascii="Times New Roman" w:hAnsi="Times New Roman" w:cs="Times New Roman"/>
          <w:sz w:val="26"/>
          <w:szCs w:val="26"/>
        </w:rPr>
        <w:t>The civil penalty shall not be tax deductible pursuant to Section 162(f) of the Internal Revenue Code, 26 U.S.C.S. § 162(f)</w:t>
      </w:r>
      <w:r>
        <w:rPr>
          <w:rFonts w:ascii="Times New Roman" w:hAnsi="Times New Roman" w:cs="Times New Roman"/>
          <w:sz w:val="26"/>
          <w:szCs w:val="26"/>
        </w:rPr>
        <w:t xml:space="preserve"> and shall not be passed through as an additional charge to NG&amp;E’s customers in Pennsylvania.</w:t>
      </w:r>
    </w:p>
    <w:p w14:paraId="708C4D99" w14:textId="5189D2DA" w:rsidR="002A1DA9" w:rsidRDefault="002A1DA9" w:rsidP="002A1DA9">
      <w:pPr>
        <w:spacing w:after="0" w:line="240" w:lineRule="auto"/>
        <w:ind w:left="1440" w:right="1440"/>
        <w:contextualSpacing/>
        <w:rPr>
          <w:rFonts w:ascii="Times New Roman" w:hAnsi="Times New Roman" w:cs="Times New Roman"/>
          <w:sz w:val="26"/>
          <w:szCs w:val="26"/>
        </w:rPr>
      </w:pPr>
    </w:p>
    <w:p w14:paraId="2F6AE12B" w14:textId="2F6DC0B3" w:rsidR="002A1DA9" w:rsidRDefault="00C53161" w:rsidP="00064B21">
      <w:pPr>
        <w:spacing w:after="0" w:line="240" w:lineRule="auto"/>
        <w:ind w:left="1440" w:right="1440"/>
        <w:contextualSpacing/>
        <w:rPr>
          <w:rFonts w:ascii="Times New Roman" w:hAnsi="Times New Roman" w:cs="Times New Roman"/>
          <w:sz w:val="26"/>
          <w:szCs w:val="26"/>
        </w:rPr>
      </w:pPr>
      <w:r>
        <w:rPr>
          <w:rFonts w:ascii="Times New Roman" w:hAnsi="Times New Roman" w:cs="Times New Roman"/>
          <w:sz w:val="26"/>
          <w:szCs w:val="26"/>
        </w:rPr>
        <w:t>B.</w:t>
      </w:r>
      <w:r>
        <w:rPr>
          <w:rFonts w:ascii="Times New Roman" w:hAnsi="Times New Roman" w:cs="Times New Roman"/>
          <w:sz w:val="26"/>
          <w:szCs w:val="26"/>
        </w:rPr>
        <w:tab/>
      </w:r>
      <w:r w:rsidR="00064B21" w:rsidRPr="00064B21">
        <w:rPr>
          <w:rFonts w:ascii="Times New Roman" w:hAnsi="Times New Roman" w:cs="Times New Roman"/>
          <w:sz w:val="26"/>
          <w:szCs w:val="26"/>
        </w:rPr>
        <w:t>In addition to the civil penalty above, NG&amp;E will contribute the</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 xml:space="preserve">amount of Thirty Thousand Dollars ($30,000.00) into PPL’s hardship fund. </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Said</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contribution shall be made within thirty (30) days of the entry date of the</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Commission’s Final Order approving the Settlement</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 xml:space="preserve">Agreement. </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NG&amp;E shall file</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a verification with the Commission showing its compliance with this settlement</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term</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within sixty (60) days of the date of entry of the Final Order in this</w:t>
      </w:r>
      <w:r w:rsidR="00064B21">
        <w:rPr>
          <w:rFonts w:ascii="Times New Roman" w:hAnsi="Times New Roman" w:cs="Times New Roman"/>
          <w:sz w:val="26"/>
          <w:szCs w:val="26"/>
        </w:rPr>
        <w:t xml:space="preserve"> </w:t>
      </w:r>
      <w:r w:rsidR="00064B21" w:rsidRPr="00064B21">
        <w:rPr>
          <w:rFonts w:ascii="Times New Roman" w:hAnsi="Times New Roman" w:cs="Times New Roman"/>
          <w:sz w:val="26"/>
          <w:szCs w:val="26"/>
        </w:rPr>
        <w:t>proceeding.</w:t>
      </w:r>
    </w:p>
    <w:p w14:paraId="20865EB5" w14:textId="5DEC0AC3" w:rsidR="00646648" w:rsidRDefault="00646648" w:rsidP="00064B21">
      <w:pPr>
        <w:spacing w:after="0" w:line="240" w:lineRule="auto"/>
        <w:ind w:left="1440" w:right="1440"/>
        <w:contextualSpacing/>
        <w:rPr>
          <w:rFonts w:ascii="Times New Roman" w:hAnsi="Times New Roman" w:cs="Times New Roman"/>
          <w:sz w:val="26"/>
          <w:szCs w:val="26"/>
        </w:rPr>
      </w:pPr>
    </w:p>
    <w:p w14:paraId="4365BFD8" w14:textId="1B46E19E" w:rsidR="00646648" w:rsidRDefault="00646648" w:rsidP="00646648">
      <w:pPr>
        <w:spacing w:after="0" w:line="240" w:lineRule="auto"/>
        <w:ind w:left="1440" w:right="1440"/>
        <w:contextualSpacing/>
        <w:rPr>
          <w:rFonts w:ascii="Times New Roman" w:hAnsi="Times New Roman" w:cs="Times New Roman"/>
          <w:sz w:val="26"/>
          <w:szCs w:val="26"/>
        </w:rPr>
      </w:pPr>
      <w:r>
        <w:rPr>
          <w:rFonts w:ascii="Times New Roman" w:hAnsi="Times New Roman" w:cs="Times New Roman"/>
          <w:sz w:val="26"/>
          <w:szCs w:val="26"/>
        </w:rPr>
        <w:lastRenderedPageBreak/>
        <w:t>C.</w:t>
      </w:r>
      <w:r>
        <w:rPr>
          <w:rFonts w:ascii="Times New Roman" w:hAnsi="Times New Roman" w:cs="Times New Roman"/>
          <w:sz w:val="26"/>
          <w:szCs w:val="26"/>
        </w:rPr>
        <w:tab/>
      </w:r>
      <w:r w:rsidRPr="00646648">
        <w:rPr>
          <w:rFonts w:ascii="Times New Roman" w:hAnsi="Times New Roman" w:cs="Times New Roman"/>
          <w:sz w:val="26"/>
          <w:szCs w:val="26"/>
        </w:rPr>
        <w:t>NG&amp;E will take or has taken corrective action and implemented</w:t>
      </w:r>
      <w:r>
        <w:rPr>
          <w:rFonts w:ascii="Times New Roman" w:hAnsi="Times New Roman" w:cs="Times New Roman"/>
          <w:sz w:val="26"/>
          <w:szCs w:val="26"/>
        </w:rPr>
        <w:t xml:space="preserve"> </w:t>
      </w:r>
      <w:r w:rsidRPr="00646648">
        <w:rPr>
          <w:rFonts w:ascii="Times New Roman" w:hAnsi="Times New Roman" w:cs="Times New Roman"/>
          <w:sz w:val="26"/>
          <w:szCs w:val="26"/>
        </w:rPr>
        <w:t>revisions to its operating procedures which will act as safeguards against future</w:t>
      </w:r>
      <w:r>
        <w:rPr>
          <w:rFonts w:ascii="Times New Roman" w:hAnsi="Times New Roman" w:cs="Times New Roman"/>
          <w:sz w:val="26"/>
          <w:szCs w:val="26"/>
        </w:rPr>
        <w:t xml:space="preserve"> </w:t>
      </w:r>
      <w:r w:rsidRPr="00646648">
        <w:rPr>
          <w:rFonts w:ascii="Times New Roman" w:hAnsi="Times New Roman" w:cs="Times New Roman"/>
          <w:sz w:val="26"/>
          <w:szCs w:val="26"/>
        </w:rPr>
        <w:t>distribution of marketing materials that disclose confidential customer</w:t>
      </w:r>
      <w:r>
        <w:rPr>
          <w:rFonts w:ascii="Times New Roman" w:hAnsi="Times New Roman" w:cs="Times New Roman"/>
          <w:sz w:val="26"/>
          <w:szCs w:val="26"/>
        </w:rPr>
        <w:t xml:space="preserve"> </w:t>
      </w:r>
      <w:r w:rsidRPr="00646648">
        <w:rPr>
          <w:rFonts w:ascii="Times New Roman" w:hAnsi="Times New Roman" w:cs="Times New Roman"/>
          <w:sz w:val="26"/>
          <w:szCs w:val="26"/>
        </w:rPr>
        <w:t>information, misrepresent savings, and provide inaccurate and untimely</w:t>
      </w:r>
      <w:r>
        <w:rPr>
          <w:rFonts w:ascii="Times New Roman" w:hAnsi="Times New Roman" w:cs="Times New Roman"/>
          <w:sz w:val="26"/>
          <w:szCs w:val="26"/>
        </w:rPr>
        <w:t xml:space="preserve"> </w:t>
      </w:r>
      <w:r w:rsidRPr="00646648">
        <w:rPr>
          <w:rFonts w:ascii="Times New Roman" w:hAnsi="Times New Roman" w:cs="Times New Roman"/>
          <w:sz w:val="26"/>
          <w:szCs w:val="26"/>
        </w:rPr>
        <w:t xml:space="preserve">information about rates being offered. </w:t>
      </w:r>
      <w:r>
        <w:rPr>
          <w:rFonts w:ascii="Times New Roman" w:hAnsi="Times New Roman" w:cs="Times New Roman"/>
          <w:sz w:val="26"/>
          <w:szCs w:val="26"/>
        </w:rPr>
        <w:t xml:space="preserve"> </w:t>
      </w:r>
      <w:r w:rsidRPr="00646648">
        <w:rPr>
          <w:rFonts w:ascii="Times New Roman" w:hAnsi="Times New Roman" w:cs="Times New Roman"/>
          <w:sz w:val="26"/>
          <w:szCs w:val="26"/>
        </w:rPr>
        <w:t>The pertinent portions of NG&amp;E’s</w:t>
      </w:r>
      <w:r>
        <w:rPr>
          <w:rFonts w:ascii="Times New Roman" w:hAnsi="Times New Roman" w:cs="Times New Roman"/>
          <w:sz w:val="26"/>
          <w:szCs w:val="26"/>
        </w:rPr>
        <w:t xml:space="preserve"> </w:t>
      </w:r>
      <w:r w:rsidRPr="00646648">
        <w:rPr>
          <w:rFonts w:ascii="Times New Roman" w:hAnsi="Times New Roman" w:cs="Times New Roman"/>
          <w:sz w:val="26"/>
          <w:szCs w:val="26"/>
        </w:rPr>
        <w:t>modified procedures are briefly described as follows:</w:t>
      </w:r>
    </w:p>
    <w:p w14:paraId="094A1A95" w14:textId="7AEA71BC" w:rsidR="00646648" w:rsidRDefault="00646648" w:rsidP="00646648">
      <w:pPr>
        <w:spacing w:after="0" w:line="240" w:lineRule="auto"/>
        <w:ind w:left="1440" w:right="1440"/>
        <w:contextualSpacing/>
        <w:rPr>
          <w:rFonts w:ascii="Times New Roman" w:hAnsi="Times New Roman" w:cs="Times New Roman"/>
          <w:sz w:val="26"/>
          <w:szCs w:val="26"/>
        </w:rPr>
      </w:pPr>
    </w:p>
    <w:p w14:paraId="0F1A2E90" w14:textId="5DF439DB" w:rsidR="00646648" w:rsidRDefault="00646648" w:rsidP="00646648">
      <w:pPr>
        <w:pStyle w:val="ListParagraph"/>
        <w:numPr>
          <w:ilvl w:val="0"/>
          <w:numId w:val="17"/>
        </w:numPr>
        <w:ind w:left="2160" w:right="1440" w:firstLine="0"/>
        <w:rPr>
          <w:sz w:val="26"/>
          <w:szCs w:val="26"/>
        </w:rPr>
      </w:pPr>
      <w:r>
        <w:rPr>
          <w:sz w:val="26"/>
          <w:szCs w:val="26"/>
        </w:rPr>
        <w:t>NG&amp;E shall continue</w:t>
      </w:r>
      <w:r w:rsidRPr="00646648">
        <w:rPr>
          <w:sz w:val="26"/>
          <w:szCs w:val="26"/>
        </w:rPr>
        <w:t xml:space="preserve"> its quality and control measures that</w:t>
      </w:r>
      <w:r>
        <w:rPr>
          <w:sz w:val="26"/>
          <w:szCs w:val="26"/>
        </w:rPr>
        <w:t xml:space="preserve"> </w:t>
      </w:r>
      <w:r w:rsidRPr="00646648">
        <w:rPr>
          <w:sz w:val="26"/>
          <w:szCs w:val="26"/>
        </w:rPr>
        <w:t>require NG&amp;E to review and authorize a proof of all marketing materials</w:t>
      </w:r>
      <w:r>
        <w:rPr>
          <w:sz w:val="26"/>
          <w:szCs w:val="26"/>
        </w:rPr>
        <w:t xml:space="preserve"> </w:t>
      </w:r>
      <w:r w:rsidRPr="00646648">
        <w:rPr>
          <w:sz w:val="26"/>
          <w:szCs w:val="26"/>
        </w:rPr>
        <w:t xml:space="preserve">that are to be printed by a third-party vendor before the mailing </w:t>
      </w:r>
      <w:proofErr w:type="gramStart"/>
      <w:r w:rsidRPr="00646648">
        <w:rPr>
          <w:sz w:val="26"/>
          <w:szCs w:val="26"/>
        </w:rPr>
        <w:t>occurs;</w:t>
      </w:r>
      <w:proofErr w:type="gramEnd"/>
    </w:p>
    <w:p w14:paraId="7D5C7706" w14:textId="77777777" w:rsidR="00646648" w:rsidRDefault="00646648" w:rsidP="00646648">
      <w:pPr>
        <w:pStyle w:val="ListParagraph"/>
        <w:ind w:left="2160" w:right="1440"/>
        <w:rPr>
          <w:sz w:val="26"/>
          <w:szCs w:val="26"/>
        </w:rPr>
      </w:pPr>
    </w:p>
    <w:p w14:paraId="312837F4" w14:textId="71E65A6A" w:rsidR="00646648" w:rsidRDefault="00646648" w:rsidP="00646648">
      <w:pPr>
        <w:pStyle w:val="ListParagraph"/>
        <w:numPr>
          <w:ilvl w:val="0"/>
          <w:numId w:val="17"/>
        </w:numPr>
        <w:ind w:left="2160" w:right="1440" w:firstLine="0"/>
        <w:rPr>
          <w:sz w:val="26"/>
          <w:szCs w:val="26"/>
        </w:rPr>
      </w:pPr>
      <w:r w:rsidRPr="00646648">
        <w:rPr>
          <w:sz w:val="26"/>
          <w:szCs w:val="26"/>
        </w:rPr>
        <w:t>NG&amp;E shall be required to mail out any time-sensitive</w:t>
      </w:r>
      <w:r>
        <w:rPr>
          <w:sz w:val="26"/>
          <w:szCs w:val="26"/>
        </w:rPr>
        <w:t xml:space="preserve"> marketing materials at least two (2) months before an EDC’s price to compare goes into effect to ensure that prospective customers receive information that is accurate and </w:t>
      </w:r>
      <w:proofErr w:type="gramStart"/>
      <w:r>
        <w:rPr>
          <w:sz w:val="26"/>
          <w:szCs w:val="26"/>
        </w:rPr>
        <w:t>timely;</w:t>
      </w:r>
      <w:proofErr w:type="gramEnd"/>
    </w:p>
    <w:p w14:paraId="634FD28D" w14:textId="77777777" w:rsidR="00646648" w:rsidRPr="00646648" w:rsidRDefault="00646648" w:rsidP="00646648">
      <w:pPr>
        <w:pStyle w:val="ListParagraph"/>
        <w:rPr>
          <w:sz w:val="26"/>
          <w:szCs w:val="26"/>
        </w:rPr>
      </w:pPr>
    </w:p>
    <w:p w14:paraId="2D279A1B" w14:textId="08A8FEA6" w:rsidR="00646648" w:rsidRDefault="00646648" w:rsidP="00646648">
      <w:pPr>
        <w:pStyle w:val="ListParagraph"/>
        <w:numPr>
          <w:ilvl w:val="0"/>
          <w:numId w:val="17"/>
        </w:numPr>
        <w:ind w:left="2160" w:right="1440" w:firstLine="0"/>
        <w:rPr>
          <w:sz w:val="26"/>
          <w:szCs w:val="26"/>
        </w:rPr>
      </w:pPr>
      <w:r>
        <w:rPr>
          <w:sz w:val="26"/>
          <w:szCs w:val="26"/>
        </w:rPr>
        <w:t xml:space="preserve">For the next three (3) years, NG&amp;E will provide any future mailing material intended for Pennsylvania customers to I&amp;E for review at least fifteen (15) days prior to </w:t>
      </w:r>
      <w:proofErr w:type="gramStart"/>
      <w:r>
        <w:rPr>
          <w:sz w:val="26"/>
          <w:szCs w:val="26"/>
        </w:rPr>
        <w:t>printing;</w:t>
      </w:r>
      <w:proofErr w:type="gramEnd"/>
    </w:p>
    <w:p w14:paraId="4D105C52" w14:textId="77777777" w:rsidR="00646648" w:rsidRPr="00646648" w:rsidRDefault="00646648" w:rsidP="00646648">
      <w:pPr>
        <w:pStyle w:val="ListParagraph"/>
        <w:rPr>
          <w:sz w:val="26"/>
          <w:szCs w:val="26"/>
        </w:rPr>
      </w:pPr>
    </w:p>
    <w:p w14:paraId="0714475F" w14:textId="1C96539D" w:rsidR="00646648" w:rsidRDefault="00646648" w:rsidP="00646648">
      <w:pPr>
        <w:pStyle w:val="ListParagraph"/>
        <w:numPr>
          <w:ilvl w:val="0"/>
          <w:numId w:val="17"/>
        </w:numPr>
        <w:ind w:left="2160" w:right="1440" w:firstLine="0"/>
        <w:rPr>
          <w:sz w:val="26"/>
          <w:szCs w:val="26"/>
        </w:rPr>
      </w:pPr>
      <w:r>
        <w:rPr>
          <w:sz w:val="26"/>
          <w:szCs w:val="26"/>
        </w:rPr>
        <w:t>NG&amp;E will continue to</w:t>
      </w:r>
      <w:r w:rsidRPr="00646648">
        <w:rPr>
          <w:sz w:val="26"/>
          <w:szCs w:val="26"/>
        </w:rPr>
        <w:t xml:space="preserve"> utilize tracking methods to determine</w:t>
      </w:r>
      <w:r>
        <w:rPr>
          <w:sz w:val="26"/>
          <w:szCs w:val="26"/>
        </w:rPr>
        <w:t xml:space="preserve"> how many customers enrolled in response to each unique mailer, so the scope and impact of any future problems can be quickly identified; and</w:t>
      </w:r>
    </w:p>
    <w:p w14:paraId="36809EBB" w14:textId="77777777" w:rsidR="00646648" w:rsidRPr="00646648" w:rsidRDefault="00646648" w:rsidP="00646648">
      <w:pPr>
        <w:pStyle w:val="ListParagraph"/>
        <w:rPr>
          <w:sz w:val="26"/>
          <w:szCs w:val="26"/>
        </w:rPr>
      </w:pPr>
    </w:p>
    <w:p w14:paraId="062FFFD2" w14:textId="70D23516" w:rsidR="00840265" w:rsidRDefault="000A57C0" w:rsidP="00F273CE">
      <w:pPr>
        <w:pStyle w:val="ListParagraph"/>
        <w:numPr>
          <w:ilvl w:val="0"/>
          <w:numId w:val="17"/>
        </w:numPr>
        <w:spacing w:after="0"/>
        <w:ind w:left="2160" w:right="1440" w:firstLine="0"/>
        <w:rPr>
          <w:sz w:val="26"/>
          <w:szCs w:val="26"/>
        </w:rPr>
      </w:pPr>
      <w:r>
        <w:rPr>
          <w:sz w:val="26"/>
          <w:szCs w:val="26"/>
        </w:rPr>
        <w:t>NG&amp;E’s customer service and sales scripts related to the utility price to compare shall continue to specifically state the end date of the current utility price to compare.</w:t>
      </w:r>
    </w:p>
    <w:p w14:paraId="3C41A60A" w14:textId="77777777" w:rsidR="00325086" w:rsidRDefault="00325086" w:rsidP="00F273CE">
      <w:pPr>
        <w:spacing w:after="0" w:line="360" w:lineRule="auto"/>
        <w:rPr>
          <w:rFonts w:ascii="Times New Roman" w:hAnsi="Times New Roman" w:cs="Times New Roman"/>
          <w:sz w:val="26"/>
          <w:szCs w:val="26"/>
        </w:rPr>
      </w:pPr>
    </w:p>
    <w:p w14:paraId="73743DA3" w14:textId="228B1D13" w:rsidR="00317D03" w:rsidRDefault="000A57C0" w:rsidP="00F273CE">
      <w:pPr>
        <w:spacing w:after="0" w:line="360" w:lineRule="auto"/>
        <w:rPr>
          <w:rFonts w:ascii="Times New Roman" w:hAnsi="Times New Roman" w:cs="Times New Roman"/>
          <w:sz w:val="26"/>
          <w:szCs w:val="26"/>
        </w:rPr>
      </w:pPr>
      <w:r w:rsidRPr="000A57C0">
        <w:rPr>
          <w:rFonts w:ascii="Times New Roman" w:hAnsi="Times New Roman" w:cs="Times New Roman"/>
          <w:sz w:val="26"/>
          <w:szCs w:val="26"/>
        </w:rPr>
        <w:t>Settlement at 10-12.</w:t>
      </w:r>
    </w:p>
    <w:p w14:paraId="4DE72DA8" w14:textId="77777777" w:rsidR="00F273CE" w:rsidRDefault="00F273CE" w:rsidP="00F273CE">
      <w:pPr>
        <w:spacing w:after="0" w:line="360" w:lineRule="auto"/>
        <w:rPr>
          <w:rFonts w:ascii="Times New Roman" w:hAnsi="Times New Roman" w:cs="Times New Roman"/>
          <w:sz w:val="26"/>
          <w:szCs w:val="26"/>
        </w:rPr>
      </w:pPr>
    </w:p>
    <w:p w14:paraId="4523737A" w14:textId="1CB8AA91" w:rsidR="00F44833" w:rsidRPr="00317D03" w:rsidRDefault="00F44833" w:rsidP="00317D03">
      <w:pPr>
        <w:spacing w:after="0" w:line="360" w:lineRule="auto"/>
        <w:ind w:firstLine="1440"/>
        <w:rPr>
          <w:rFonts w:ascii="Times New Roman" w:hAnsi="Times New Roman" w:cs="Times New Roman"/>
          <w:sz w:val="26"/>
          <w:szCs w:val="26"/>
        </w:rPr>
      </w:pPr>
      <w:r w:rsidRPr="003F7EE6">
        <w:rPr>
          <w:rFonts w:ascii="Times New Roman" w:eastAsia="Times New Roman" w:hAnsi="Times New Roman" w:cs="Times New Roman"/>
          <w:sz w:val="26"/>
          <w:szCs w:val="26"/>
        </w:rPr>
        <w:lastRenderedPageBreak/>
        <w:t>In response, I&amp;E agrees to for</w:t>
      </w:r>
      <w:r w:rsidR="009B273A">
        <w:rPr>
          <w:rFonts w:ascii="Times New Roman" w:eastAsia="Times New Roman" w:hAnsi="Times New Roman" w:cs="Times New Roman"/>
          <w:sz w:val="26"/>
          <w:szCs w:val="26"/>
        </w:rPr>
        <w:t>go the inst</w:t>
      </w:r>
      <w:r w:rsidR="0066740B">
        <w:rPr>
          <w:rFonts w:ascii="Times New Roman" w:eastAsia="Times New Roman" w:hAnsi="Times New Roman" w:cs="Times New Roman"/>
          <w:sz w:val="26"/>
          <w:szCs w:val="26"/>
        </w:rPr>
        <w:t xml:space="preserve">itution of any formal complaint against </w:t>
      </w:r>
      <w:r w:rsidR="00317D03">
        <w:rPr>
          <w:rFonts w:ascii="Times New Roman" w:eastAsia="Times New Roman" w:hAnsi="Times New Roman" w:cs="Times New Roman"/>
          <w:sz w:val="26"/>
          <w:szCs w:val="26"/>
        </w:rPr>
        <w:t>NG&amp;E</w:t>
      </w:r>
      <w:r w:rsidR="00432DEB">
        <w:rPr>
          <w:rFonts w:ascii="Times New Roman" w:eastAsia="Times New Roman" w:hAnsi="Times New Roman" w:cs="Times New Roman"/>
          <w:sz w:val="26"/>
          <w:szCs w:val="26"/>
        </w:rPr>
        <w:t xml:space="preserve"> </w:t>
      </w:r>
      <w:r w:rsidR="0066740B">
        <w:rPr>
          <w:rFonts w:ascii="Times New Roman" w:eastAsia="Times New Roman" w:hAnsi="Times New Roman" w:cs="Times New Roman"/>
          <w:sz w:val="26"/>
          <w:szCs w:val="26"/>
        </w:rPr>
        <w:t xml:space="preserve">with respect to allegations </w:t>
      </w:r>
      <w:r w:rsidR="00317D03">
        <w:rPr>
          <w:rFonts w:ascii="Times New Roman" w:eastAsia="Times New Roman" w:hAnsi="Times New Roman" w:cs="Times New Roman"/>
          <w:sz w:val="26"/>
          <w:szCs w:val="26"/>
        </w:rPr>
        <w:t>which were subject of I&amp;E’s instant investigation</w:t>
      </w:r>
      <w:r w:rsidR="00CF5021">
        <w:rPr>
          <w:rFonts w:ascii="Times New Roman" w:eastAsia="Times New Roman" w:hAnsi="Times New Roman" w:cs="Times New Roman"/>
          <w:sz w:val="26"/>
          <w:szCs w:val="26"/>
        </w:rPr>
        <w:t xml:space="preserve">.  </w:t>
      </w:r>
      <w:r w:rsidR="00317D03">
        <w:rPr>
          <w:rFonts w:ascii="Times New Roman" w:eastAsia="Times New Roman" w:hAnsi="Times New Roman" w:cs="Times New Roman"/>
          <w:sz w:val="26"/>
          <w:szCs w:val="26"/>
        </w:rPr>
        <w:t>Petition</w:t>
      </w:r>
      <w:r w:rsidR="0066740B">
        <w:rPr>
          <w:rFonts w:ascii="Times New Roman" w:eastAsia="Times New Roman" w:hAnsi="Times New Roman" w:cs="Times New Roman"/>
          <w:sz w:val="26"/>
          <w:szCs w:val="26"/>
        </w:rPr>
        <w:t xml:space="preserve"> at </w:t>
      </w:r>
      <w:r w:rsidR="00317D03">
        <w:rPr>
          <w:rFonts w:ascii="Times New Roman" w:eastAsia="Times New Roman" w:hAnsi="Times New Roman" w:cs="Times New Roman"/>
          <w:sz w:val="26"/>
          <w:szCs w:val="26"/>
        </w:rPr>
        <w:t>12-13</w:t>
      </w:r>
      <w:r w:rsidR="0066740B">
        <w:rPr>
          <w:rFonts w:ascii="Times New Roman" w:eastAsia="Times New Roman" w:hAnsi="Times New Roman" w:cs="Times New Roman"/>
          <w:sz w:val="26"/>
          <w:szCs w:val="26"/>
        </w:rPr>
        <w:t xml:space="preserve">.  </w:t>
      </w:r>
    </w:p>
    <w:p w14:paraId="3491718F" w14:textId="77777777" w:rsidR="005801A6" w:rsidRPr="0076372B" w:rsidRDefault="005801A6" w:rsidP="00317D03">
      <w:pPr>
        <w:tabs>
          <w:tab w:val="center" w:pos="0"/>
        </w:tabs>
        <w:suppressAutoHyphens/>
        <w:spacing w:after="0" w:line="360" w:lineRule="auto"/>
        <w:rPr>
          <w:rFonts w:ascii="Times New Roman" w:eastAsia="Times New Roman" w:hAnsi="Times New Roman" w:cs="Times New Roman"/>
          <w:sz w:val="26"/>
          <w:szCs w:val="26"/>
        </w:rPr>
      </w:pPr>
    </w:p>
    <w:p w14:paraId="54DA4AB2" w14:textId="3E75B7F0" w:rsidR="00F44833" w:rsidRPr="0076372B" w:rsidRDefault="00F44833" w:rsidP="00317D03">
      <w:pPr>
        <w:tabs>
          <w:tab w:val="center" w:pos="720"/>
        </w:tabs>
        <w:suppressAutoHyphens/>
        <w:spacing w:after="0" w:line="360" w:lineRule="auto"/>
        <w:rPr>
          <w:rFonts w:ascii="Times New Roman" w:eastAsia="Times New Roman" w:hAnsi="Times New Roman" w:cs="Times New Roman"/>
          <w:iCs/>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t xml:space="preserve">The proposed Settlement is conditioned on the Commission’s approval without modification of any of its terms or conditions.  If the Commission does not approve the proposed Settlement or makes any change or modification to the proposed Settlement, either Party may elect to withdraw from the Settlement.  </w:t>
      </w:r>
      <w:r w:rsidR="001D21A5" w:rsidRPr="001D21A5">
        <w:rPr>
          <w:rFonts w:ascii="Times New Roman" w:eastAsia="Times New Roman" w:hAnsi="Times New Roman" w:cs="Times New Roman"/>
          <w:i/>
          <w:iCs/>
          <w:sz w:val="26"/>
          <w:szCs w:val="26"/>
        </w:rPr>
        <w:t>Id.</w:t>
      </w:r>
      <w:r w:rsidR="001D21A5">
        <w:rPr>
          <w:rFonts w:ascii="Times New Roman" w:eastAsia="Times New Roman" w:hAnsi="Times New Roman" w:cs="Times New Roman"/>
          <w:sz w:val="26"/>
          <w:szCs w:val="26"/>
        </w:rPr>
        <w:t xml:space="preserve"> </w:t>
      </w:r>
      <w:r w:rsidR="008B0C79">
        <w:rPr>
          <w:rFonts w:ascii="Times New Roman" w:eastAsia="Times New Roman" w:hAnsi="Times New Roman" w:cs="Times New Roman"/>
          <w:sz w:val="26"/>
          <w:szCs w:val="26"/>
        </w:rPr>
        <w:t xml:space="preserve">at </w:t>
      </w:r>
      <w:r w:rsidR="00F81F74">
        <w:rPr>
          <w:rFonts w:ascii="Times New Roman" w:eastAsia="Times New Roman" w:hAnsi="Times New Roman" w:cs="Times New Roman"/>
          <w:sz w:val="26"/>
          <w:szCs w:val="26"/>
        </w:rPr>
        <w:t>1</w:t>
      </w:r>
      <w:r w:rsidR="00317D03">
        <w:rPr>
          <w:rFonts w:ascii="Times New Roman" w:eastAsia="Times New Roman" w:hAnsi="Times New Roman" w:cs="Times New Roman"/>
          <w:sz w:val="26"/>
          <w:szCs w:val="26"/>
        </w:rPr>
        <w:t>3</w:t>
      </w:r>
      <w:r w:rsidR="0057449C">
        <w:rPr>
          <w:rFonts w:ascii="Times New Roman" w:eastAsia="Times New Roman" w:hAnsi="Times New Roman" w:cs="Times New Roman"/>
          <w:sz w:val="26"/>
          <w:szCs w:val="26"/>
        </w:rPr>
        <w:t>-1</w:t>
      </w:r>
      <w:r w:rsidR="00CF6545">
        <w:rPr>
          <w:rFonts w:ascii="Times New Roman" w:eastAsia="Times New Roman" w:hAnsi="Times New Roman" w:cs="Times New Roman"/>
          <w:sz w:val="26"/>
          <w:szCs w:val="26"/>
        </w:rPr>
        <w:t>4</w:t>
      </w:r>
      <w:r w:rsidR="00F81F74">
        <w:rPr>
          <w:rFonts w:ascii="Times New Roman" w:eastAsia="Times New Roman" w:hAnsi="Times New Roman" w:cs="Times New Roman"/>
          <w:sz w:val="26"/>
          <w:szCs w:val="26"/>
        </w:rPr>
        <w:t>.</w:t>
      </w:r>
    </w:p>
    <w:p w14:paraId="55707DEE" w14:textId="77777777" w:rsidR="00F44833" w:rsidRPr="003F7EE6" w:rsidRDefault="00F44833" w:rsidP="00F44833">
      <w:pPr>
        <w:tabs>
          <w:tab w:val="center" w:pos="720"/>
        </w:tabs>
        <w:suppressAutoHyphens/>
        <w:spacing w:after="0" w:line="360" w:lineRule="auto"/>
        <w:rPr>
          <w:rFonts w:ascii="Times New Roman" w:eastAsia="Times New Roman" w:hAnsi="Times New Roman" w:cs="Times New Roman"/>
          <w:sz w:val="26"/>
          <w:szCs w:val="26"/>
        </w:rPr>
      </w:pPr>
    </w:p>
    <w:p w14:paraId="579C098C" w14:textId="77777777" w:rsidR="00F44833" w:rsidRPr="003F7EE6" w:rsidRDefault="00F44833" w:rsidP="00F44833">
      <w:pPr>
        <w:keepNext/>
        <w:tabs>
          <w:tab w:val="center" w:pos="720"/>
        </w:tabs>
        <w:suppressAutoHyphens/>
        <w:spacing w:after="0" w:line="360" w:lineRule="auto"/>
        <w:jc w:val="center"/>
        <w:rPr>
          <w:rFonts w:ascii="Times New Roman" w:eastAsia="Times New Roman" w:hAnsi="Times New Roman" w:cs="Times New Roman"/>
          <w:b/>
          <w:sz w:val="26"/>
          <w:szCs w:val="26"/>
        </w:rPr>
      </w:pPr>
      <w:r w:rsidRPr="003F7EE6">
        <w:rPr>
          <w:rFonts w:ascii="Times New Roman" w:eastAsia="Times New Roman" w:hAnsi="Times New Roman" w:cs="Times New Roman"/>
          <w:b/>
          <w:sz w:val="26"/>
          <w:szCs w:val="26"/>
        </w:rPr>
        <w:t>Discussion</w:t>
      </w:r>
    </w:p>
    <w:p w14:paraId="182723E4" w14:textId="77777777" w:rsidR="00F44833" w:rsidRPr="003F7EE6" w:rsidRDefault="00F44833" w:rsidP="00F44833">
      <w:pPr>
        <w:keepNext/>
        <w:tabs>
          <w:tab w:val="center" w:pos="720"/>
        </w:tabs>
        <w:suppressAutoHyphens/>
        <w:spacing w:after="0" w:line="360" w:lineRule="auto"/>
        <w:rPr>
          <w:rFonts w:ascii="Times New Roman" w:eastAsia="Times New Roman" w:hAnsi="Times New Roman" w:cs="Times New Roman"/>
          <w:sz w:val="26"/>
          <w:szCs w:val="26"/>
        </w:rPr>
      </w:pPr>
    </w:p>
    <w:p w14:paraId="3098A81D" w14:textId="77777777" w:rsidR="00F44833" w:rsidRPr="003F7EE6" w:rsidRDefault="00F44833" w:rsidP="00F44833">
      <w:pPr>
        <w:tabs>
          <w:tab w:val="center" w:pos="720"/>
        </w:tabs>
        <w:suppressAutoHyphens/>
        <w:spacing w:after="0" w:line="36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t xml:space="preserve">Pursuant to our Regulations at 52 Pa. Code § 5.231, it is the Commission’s policy to promote settlements.  The Commission must, however, review proposed settlements to determine whether the terms are in the public interest.  </w:t>
      </w:r>
      <w:r w:rsidRPr="003F7EE6">
        <w:rPr>
          <w:rFonts w:ascii="Times New Roman" w:eastAsia="Times New Roman" w:hAnsi="Times New Roman" w:cs="Times New Roman"/>
          <w:i/>
          <w:sz w:val="26"/>
          <w:szCs w:val="26"/>
        </w:rPr>
        <w:t>Pa. PUC v. Philadelphia Gas Works</w:t>
      </w:r>
      <w:r w:rsidRPr="003F7EE6">
        <w:rPr>
          <w:rFonts w:ascii="Times New Roman" w:eastAsia="Times New Roman" w:hAnsi="Times New Roman" w:cs="Times New Roman"/>
          <w:sz w:val="26"/>
          <w:szCs w:val="26"/>
        </w:rPr>
        <w:t xml:space="preserve">, Docket No. M-00031768 (Order entered January 7, 2004). </w:t>
      </w:r>
    </w:p>
    <w:p w14:paraId="6B76228B" w14:textId="77777777" w:rsidR="00F44833" w:rsidRPr="003F7EE6" w:rsidRDefault="00F44833" w:rsidP="005578A1">
      <w:pPr>
        <w:spacing w:after="0" w:line="360" w:lineRule="auto"/>
        <w:rPr>
          <w:rFonts w:ascii="Times New Roman" w:eastAsia="Times New Roman" w:hAnsi="Times New Roman" w:cs="Times New Roman"/>
          <w:sz w:val="26"/>
          <w:szCs w:val="26"/>
        </w:rPr>
      </w:pPr>
    </w:p>
    <w:p w14:paraId="2E182FAD" w14:textId="77777777" w:rsidR="00F44833" w:rsidRPr="003F7EE6" w:rsidRDefault="00F44833" w:rsidP="005578A1">
      <w:pPr>
        <w:spacing w:after="0" w:line="360" w:lineRule="auto"/>
        <w:ind w:left="720" w:hanging="720"/>
        <w:jc w:val="center"/>
        <w:rPr>
          <w:rFonts w:ascii="Times New Roman" w:eastAsia="Times New Roman" w:hAnsi="Times New Roman" w:cs="Times New Roman"/>
          <w:b/>
          <w:sz w:val="26"/>
          <w:szCs w:val="26"/>
        </w:rPr>
      </w:pPr>
      <w:r w:rsidRPr="003F7EE6">
        <w:rPr>
          <w:rFonts w:ascii="Times New Roman" w:eastAsia="Times New Roman" w:hAnsi="Times New Roman" w:cs="Times New Roman"/>
          <w:b/>
          <w:sz w:val="26"/>
          <w:szCs w:val="26"/>
        </w:rPr>
        <w:t>Conclusion</w:t>
      </w:r>
    </w:p>
    <w:p w14:paraId="70E9B904" w14:textId="77777777" w:rsidR="00F44833" w:rsidRPr="003F7EE6" w:rsidRDefault="00F44833" w:rsidP="005578A1">
      <w:pPr>
        <w:spacing w:after="0" w:line="360" w:lineRule="auto"/>
        <w:rPr>
          <w:rFonts w:ascii="Times New Roman" w:eastAsia="Times New Roman" w:hAnsi="Times New Roman" w:cs="Times New Roman"/>
          <w:sz w:val="26"/>
          <w:szCs w:val="26"/>
        </w:rPr>
      </w:pPr>
    </w:p>
    <w:p w14:paraId="2D8B0FE2" w14:textId="7C4A6FDF" w:rsidR="00F44833" w:rsidRDefault="00F44833" w:rsidP="005578A1">
      <w:pPr>
        <w:spacing w:after="0" w:line="360" w:lineRule="auto"/>
        <w:ind w:firstLine="1440"/>
        <w:rPr>
          <w:rFonts w:ascii="Times New Roman" w:eastAsia="Times New Roman" w:hAnsi="Times New Roman" w:cs="Times New Roman"/>
          <w:b/>
          <w:sz w:val="26"/>
          <w:szCs w:val="26"/>
        </w:rPr>
      </w:pPr>
      <w:r w:rsidRPr="003F7EE6">
        <w:rPr>
          <w:rFonts w:ascii="Times New Roman" w:eastAsia="Times New Roman" w:hAnsi="Times New Roman" w:cs="Times New Roman"/>
          <w:sz w:val="26"/>
          <w:szCs w:val="26"/>
        </w:rPr>
        <w:t xml:space="preserve">Before issuing a decision on the merits of the proposed Settlement, and consistent with the requirement of 52 Pa. Code § 3.113(b)(3), we are providing an opportunity for interested parties to file comments regarding the proposed Settlement; </w:t>
      </w:r>
      <w:r w:rsidRPr="003F7EE6">
        <w:rPr>
          <w:rFonts w:ascii="Times New Roman" w:eastAsia="Times New Roman" w:hAnsi="Times New Roman" w:cs="Times New Roman"/>
          <w:b/>
          <w:sz w:val="26"/>
          <w:szCs w:val="26"/>
        </w:rPr>
        <w:t>THEREFORE</w:t>
      </w:r>
      <w:r w:rsidR="005578A1">
        <w:rPr>
          <w:rFonts w:ascii="Times New Roman" w:eastAsia="Times New Roman" w:hAnsi="Times New Roman" w:cs="Times New Roman"/>
          <w:b/>
          <w:sz w:val="26"/>
          <w:szCs w:val="26"/>
        </w:rPr>
        <w:t>,</w:t>
      </w:r>
    </w:p>
    <w:p w14:paraId="4EB2A8A2" w14:textId="77777777" w:rsidR="005578A1" w:rsidRPr="003F7EE6" w:rsidRDefault="005578A1" w:rsidP="005578A1">
      <w:pPr>
        <w:spacing w:after="0" w:line="360" w:lineRule="auto"/>
        <w:ind w:firstLine="1440"/>
        <w:rPr>
          <w:rFonts w:ascii="Times New Roman" w:eastAsia="Times New Roman" w:hAnsi="Times New Roman" w:cs="Times New Roman"/>
          <w:sz w:val="26"/>
          <w:szCs w:val="26"/>
        </w:rPr>
      </w:pPr>
    </w:p>
    <w:p w14:paraId="4AED235F" w14:textId="77777777" w:rsidR="00F44833" w:rsidRPr="003F7EE6" w:rsidRDefault="00F44833" w:rsidP="005578A1">
      <w:pPr>
        <w:spacing w:after="0" w:line="360" w:lineRule="auto"/>
        <w:rPr>
          <w:rFonts w:ascii="Times New Roman" w:eastAsia="Times New Roman" w:hAnsi="Times New Roman" w:cs="Times New Roman"/>
          <w:b/>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b/>
          <w:sz w:val="26"/>
          <w:szCs w:val="26"/>
        </w:rPr>
        <w:t>IT IS ORDERED:</w:t>
      </w:r>
    </w:p>
    <w:p w14:paraId="0672DE4A" w14:textId="77777777" w:rsidR="00F44833" w:rsidRPr="003F7EE6" w:rsidRDefault="00F44833" w:rsidP="005578A1">
      <w:pPr>
        <w:spacing w:after="0" w:line="360" w:lineRule="auto"/>
        <w:rPr>
          <w:rFonts w:ascii="Times New Roman" w:eastAsia="Times New Roman" w:hAnsi="Times New Roman" w:cs="Times New Roman"/>
          <w:sz w:val="26"/>
          <w:szCs w:val="26"/>
        </w:rPr>
      </w:pPr>
    </w:p>
    <w:p w14:paraId="7FC66A23" w14:textId="77777777" w:rsidR="00F44833" w:rsidRPr="003F7EE6" w:rsidRDefault="00F44833" w:rsidP="005578A1">
      <w:pPr>
        <w:spacing w:after="0" w:line="36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t>1.</w:t>
      </w:r>
      <w:r w:rsidRPr="003F7EE6">
        <w:rPr>
          <w:rFonts w:ascii="Times New Roman" w:eastAsia="Times New Roman" w:hAnsi="Times New Roman" w:cs="Times New Roman"/>
          <w:sz w:val="26"/>
          <w:szCs w:val="26"/>
        </w:rPr>
        <w:tab/>
        <w:t xml:space="preserve">That this Opinion and Order, together with the attached </w:t>
      </w:r>
      <w:r w:rsidR="003A0187" w:rsidRPr="003F7EE6">
        <w:rPr>
          <w:rFonts w:ascii="Times New Roman" w:eastAsia="Times New Roman" w:hAnsi="Times New Roman" w:cs="Times New Roman"/>
          <w:sz w:val="26"/>
          <w:szCs w:val="26"/>
        </w:rPr>
        <w:t xml:space="preserve">Settlement </w:t>
      </w:r>
      <w:r w:rsidR="00C1588F">
        <w:rPr>
          <w:rFonts w:ascii="Times New Roman" w:eastAsia="Times New Roman" w:hAnsi="Times New Roman" w:cs="Times New Roman"/>
          <w:sz w:val="26"/>
          <w:szCs w:val="26"/>
        </w:rPr>
        <w:t>Agreement</w:t>
      </w:r>
      <w:r w:rsidR="003A0187">
        <w:rPr>
          <w:rFonts w:ascii="Times New Roman" w:eastAsia="Times New Roman" w:hAnsi="Times New Roman" w:cs="Times New Roman"/>
          <w:sz w:val="26"/>
          <w:szCs w:val="26"/>
        </w:rPr>
        <w:t xml:space="preserve"> and Statements in Support</w:t>
      </w:r>
      <w:r w:rsidRPr="003F7EE6">
        <w:rPr>
          <w:rFonts w:ascii="Times New Roman" w:eastAsia="Times New Roman" w:hAnsi="Times New Roman" w:cs="Times New Roman"/>
          <w:sz w:val="26"/>
          <w:szCs w:val="26"/>
        </w:rPr>
        <w:t>, shall be issued for comments by any interested party.</w:t>
      </w:r>
    </w:p>
    <w:p w14:paraId="09665C43" w14:textId="65DCCD47" w:rsidR="00F44833" w:rsidRDefault="00F44833" w:rsidP="005578A1">
      <w:pPr>
        <w:spacing w:after="0" w:line="36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lastRenderedPageBreak/>
        <w:tab/>
      </w:r>
      <w:r w:rsidRPr="003F7EE6">
        <w:rPr>
          <w:rFonts w:ascii="Times New Roman" w:eastAsia="Times New Roman" w:hAnsi="Times New Roman" w:cs="Times New Roman"/>
          <w:sz w:val="26"/>
          <w:szCs w:val="26"/>
        </w:rPr>
        <w:tab/>
        <w:t>2.</w:t>
      </w:r>
      <w:r w:rsidRPr="003F7EE6">
        <w:rPr>
          <w:rFonts w:ascii="Times New Roman" w:eastAsia="Times New Roman" w:hAnsi="Times New Roman" w:cs="Times New Roman"/>
          <w:sz w:val="26"/>
          <w:szCs w:val="26"/>
        </w:rPr>
        <w:tab/>
        <w:t xml:space="preserve">That a copy of this Opinion and Order, together with the attached </w:t>
      </w:r>
      <w:r w:rsidR="00C1588F">
        <w:rPr>
          <w:rFonts w:ascii="Times New Roman" w:eastAsia="Times New Roman" w:hAnsi="Times New Roman" w:cs="Times New Roman"/>
          <w:sz w:val="26"/>
          <w:szCs w:val="26"/>
        </w:rPr>
        <w:t>Settlement Agreement</w:t>
      </w:r>
      <w:r w:rsidR="003A0187">
        <w:rPr>
          <w:rFonts w:ascii="Times New Roman" w:eastAsia="Times New Roman" w:hAnsi="Times New Roman" w:cs="Times New Roman"/>
          <w:sz w:val="26"/>
          <w:szCs w:val="26"/>
        </w:rPr>
        <w:t xml:space="preserve"> </w:t>
      </w:r>
      <w:r w:rsidRPr="003F7EE6">
        <w:rPr>
          <w:rFonts w:ascii="Times New Roman" w:eastAsia="Times New Roman" w:hAnsi="Times New Roman" w:cs="Times New Roman"/>
          <w:sz w:val="26"/>
          <w:szCs w:val="26"/>
        </w:rPr>
        <w:t>and the Statements in Support thereof, shall be served on the Office of Consumer Advocate and the Office of Small Business Advocate.</w:t>
      </w:r>
    </w:p>
    <w:p w14:paraId="62BBFF52" w14:textId="77777777" w:rsidR="00166A7D" w:rsidRPr="003F7EE6" w:rsidRDefault="00166A7D" w:rsidP="005578A1">
      <w:pPr>
        <w:spacing w:after="0" w:line="360" w:lineRule="auto"/>
        <w:rPr>
          <w:rFonts w:ascii="Times New Roman" w:eastAsia="Times New Roman" w:hAnsi="Times New Roman" w:cs="Times New Roman"/>
          <w:sz w:val="26"/>
          <w:szCs w:val="26"/>
        </w:rPr>
      </w:pPr>
    </w:p>
    <w:p w14:paraId="6B6BC92C" w14:textId="0496E137" w:rsidR="00DD6D5B" w:rsidRDefault="00F44833" w:rsidP="005578A1">
      <w:pPr>
        <w:spacing w:after="0" w:line="360" w:lineRule="auto"/>
        <w:textAlignment w:val="baseline"/>
        <w:rPr>
          <w:rFonts w:ascii="Times New Roman" w:hAnsi="Times New Roman" w:cs="Times New Roman"/>
          <w:color w:val="000000"/>
          <w:sz w:val="26"/>
          <w:szCs w:val="26"/>
        </w:rPr>
      </w:pPr>
      <w:r w:rsidRPr="003F7EE6">
        <w:rPr>
          <w:rFonts w:ascii="Times New Roman" w:eastAsia="Times New Roman" w:hAnsi="Times New Roman" w:cs="Times New Roman"/>
          <w:sz w:val="26"/>
          <w:szCs w:val="26"/>
        </w:rPr>
        <w:tab/>
      </w:r>
      <w:r w:rsidRPr="003F7EE6">
        <w:rPr>
          <w:rFonts w:ascii="Times New Roman" w:eastAsia="Times New Roman" w:hAnsi="Times New Roman" w:cs="Times New Roman"/>
          <w:sz w:val="26"/>
          <w:szCs w:val="26"/>
        </w:rPr>
        <w:tab/>
      </w:r>
      <w:r w:rsidR="00ED657C" w:rsidRPr="00ED657C">
        <w:rPr>
          <w:rFonts w:ascii="Times New Roman" w:hAnsi="Times New Roman" w:cs="Times New Roman"/>
          <w:sz w:val="26"/>
          <w:szCs w:val="26"/>
        </w:rPr>
        <w:t>3.</w:t>
      </w:r>
      <w:r w:rsidR="00093521">
        <w:rPr>
          <w:rFonts w:ascii="Times New Roman" w:hAnsi="Times New Roman" w:cs="Times New Roman"/>
          <w:sz w:val="26"/>
          <w:szCs w:val="26"/>
        </w:rPr>
        <w:tab/>
      </w:r>
      <w:r w:rsidR="00ED657C" w:rsidRPr="00ED657C">
        <w:rPr>
          <w:rFonts w:ascii="Times New Roman" w:hAnsi="Times New Roman" w:cs="Times New Roman"/>
          <w:sz w:val="26"/>
          <w:szCs w:val="26"/>
        </w:rPr>
        <w:t>That within twenty (20) days from the date of entry of this Opinion and Order, interested parties may file comments concerning the proposed Settlement Agreement.</w:t>
      </w:r>
      <w:r w:rsidR="006746CA">
        <w:rPr>
          <w:rFonts w:ascii="Times New Roman" w:hAnsi="Times New Roman" w:cs="Times New Roman"/>
          <w:sz w:val="26"/>
          <w:szCs w:val="26"/>
        </w:rPr>
        <w:t xml:space="preserve">  </w:t>
      </w:r>
      <w:r w:rsidR="00DD6D5B" w:rsidRPr="00ED657C">
        <w:rPr>
          <w:rFonts w:ascii="Times New Roman" w:hAnsi="Times New Roman" w:cs="Times New Roman"/>
          <w:sz w:val="26"/>
          <w:szCs w:val="26"/>
        </w:rPr>
        <w:t xml:space="preserve">Comments to the proposed Settlement Agreement </w:t>
      </w:r>
      <w:r w:rsidR="00DD6D5B">
        <w:rPr>
          <w:rFonts w:ascii="Times New Roman" w:hAnsi="Times New Roman" w:cs="Times New Roman"/>
          <w:sz w:val="26"/>
          <w:szCs w:val="26"/>
        </w:rPr>
        <w:t>shall</w:t>
      </w:r>
      <w:r w:rsidR="00DD6D5B" w:rsidRPr="00ED657C">
        <w:rPr>
          <w:rFonts w:ascii="Times New Roman" w:hAnsi="Times New Roman" w:cs="Times New Roman"/>
          <w:sz w:val="26"/>
          <w:szCs w:val="26"/>
        </w:rPr>
        <w:t xml:space="preserve"> be filed through e</w:t>
      </w:r>
      <w:r w:rsidR="00DD6D5B">
        <w:rPr>
          <w:rFonts w:ascii="Times New Roman" w:hAnsi="Times New Roman" w:cs="Times New Roman"/>
          <w:sz w:val="26"/>
          <w:szCs w:val="26"/>
        </w:rPr>
        <w:t>f</w:t>
      </w:r>
      <w:r w:rsidR="00DD6D5B" w:rsidRPr="00ED657C">
        <w:rPr>
          <w:rFonts w:ascii="Times New Roman" w:hAnsi="Times New Roman" w:cs="Times New Roman"/>
          <w:sz w:val="26"/>
          <w:szCs w:val="26"/>
        </w:rPr>
        <w:t>iling</w:t>
      </w:r>
      <w:r w:rsidR="00DD6D5B">
        <w:rPr>
          <w:rFonts w:ascii="Times New Roman" w:hAnsi="Times New Roman" w:cs="Times New Roman"/>
          <w:sz w:val="26"/>
          <w:szCs w:val="26"/>
        </w:rPr>
        <w:t>.</w:t>
      </w:r>
      <w:r w:rsidR="006746CA">
        <w:rPr>
          <w:rFonts w:ascii="Times New Roman" w:hAnsi="Times New Roman" w:cs="Times New Roman"/>
          <w:sz w:val="26"/>
          <w:szCs w:val="26"/>
        </w:rPr>
        <w:t xml:space="preserve">  </w:t>
      </w:r>
      <w:r w:rsidR="00DD6D5B">
        <w:rPr>
          <w:rFonts w:ascii="Times New Roman" w:hAnsi="Times New Roman" w:cs="Times New Roman"/>
          <w:color w:val="000000"/>
          <w:sz w:val="26"/>
          <w:szCs w:val="26"/>
        </w:rPr>
        <w:t>Please know that at this time ALL parties wanting to file with the Commission and participate in proceedings before the Commission, must open an efiling account free of charge through our website and accept eservice.</w:t>
      </w:r>
      <w:r w:rsidR="006746CA">
        <w:rPr>
          <w:rFonts w:ascii="Times New Roman" w:hAnsi="Times New Roman" w:cs="Times New Roman"/>
          <w:color w:val="000000"/>
          <w:sz w:val="26"/>
          <w:szCs w:val="26"/>
        </w:rPr>
        <w:t xml:space="preserve">  </w:t>
      </w:r>
      <w:r w:rsidR="00DD6D5B">
        <w:rPr>
          <w:rFonts w:ascii="Times New Roman" w:hAnsi="Times New Roman" w:cs="Times New Roman"/>
          <w:color w:val="000000"/>
          <w:sz w:val="26"/>
          <w:szCs w:val="26"/>
        </w:rPr>
        <w:t xml:space="preserve">This is in accordance with the Commission’s Emergency Order at </w:t>
      </w:r>
      <w:r w:rsidR="003F1077">
        <w:rPr>
          <w:rFonts w:ascii="Times New Roman" w:hAnsi="Times New Roman" w:cs="Times New Roman"/>
          <w:color w:val="000000"/>
          <w:sz w:val="26"/>
          <w:szCs w:val="26"/>
        </w:rPr>
        <w:t xml:space="preserve">Docket No. </w:t>
      </w:r>
      <w:r w:rsidR="00DD6D5B">
        <w:rPr>
          <w:rFonts w:ascii="Times New Roman" w:hAnsi="Times New Roman" w:cs="Times New Roman"/>
          <w:color w:val="000000"/>
          <w:sz w:val="26"/>
          <w:szCs w:val="26"/>
        </w:rPr>
        <w:t xml:space="preserve">M-2020-3019262.  An efiling account may be opened at our website, </w:t>
      </w:r>
      <w:hyperlink r:id="rId11" w:history="1">
        <w:r w:rsidR="00DD6D5B">
          <w:rPr>
            <w:rStyle w:val="Hyperlink"/>
            <w:rFonts w:ascii="Times New Roman" w:hAnsi="Times New Roman" w:cs="Times New Roman"/>
            <w:sz w:val="26"/>
            <w:szCs w:val="26"/>
          </w:rPr>
          <w:t>https://www.puc.pa.gov/efiling/default.aspx</w:t>
        </w:r>
      </w:hyperlink>
      <w:r w:rsidR="00DD6D5B">
        <w:rPr>
          <w:rFonts w:ascii="Times New Roman" w:hAnsi="Times New Roman" w:cs="Times New Roman"/>
          <w:color w:val="000000"/>
          <w:sz w:val="26"/>
          <w:szCs w:val="26"/>
        </w:rPr>
        <w:t>.</w:t>
      </w:r>
    </w:p>
    <w:p w14:paraId="4A1B2B86" w14:textId="77777777" w:rsidR="00ED657C" w:rsidRDefault="00ED657C" w:rsidP="005578A1">
      <w:pPr>
        <w:spacing w:after="0" w:line="360" w:lineRule="auto"/>
        <w:rPr>
          <w:rFonts w:ascii="Times New Roman" w:eastAsia="Times New Roman" w:hAnsi="Times New Roman" w:cs="Times New Roman"/>
          <w:sz w:val="26"/>
          <w:szCs w:val="26"/>
        </w:rPr>
      </w:pPr>
    </w:p>
    <w:p w14:paraId="0F618D5F" w14:textId="7FD71F64" w:rsidR="00F44833" w:rsidRPr="003F7EE6" w:rsidRDefault="00F44833" w:rsidP="005578A1">
      <w:pPr>
        <w:spacing w:after="0" w:line="360" w:lineRule="auto"/>
        <w:ind w:firstLine="1440"/>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4.</w:t>
      </w:r>
      <w:r w:rsidRPr="003F7EE6">
        <w:rPr>
          <w:rFonts w:ascii="Times New Roman" w:eastAsia="Times New Roman" w:hAnsi="Times New Roman" w:cs="Times New Roman"/>
          <w:sz w:val="26"/>
          <w:szCs w:val="26"/>
        </w:rPr>
        <w:tab/>
        <w:t xml:space="preserve">That, </w:t>
      </w:r>
      <w:proofErr w:type="gramStart"/>
      <w:r w:rsidRPr="003F7EE6">
        <w:rPr>
          <w:rFonts w:ascii="Times New Roman" w:eastAsia="Times New Roman" w:hAnsi="Times New Roman" w:cs="Times New Roman"/>
          <w:sz w:val="26"/>
          <w:szCs w:val="26"/>
        </w:rPr>
        <w:t>subsequent to</w:t>
      </w:r>
      <w:proofErr w:type="gramEnd"/>
      <w:r w:rsidRPr="003F7EE6">
        <w:rPr>
          <w:rFonts w:ascii="Times New Roman" w:eastAsia="Times New Roman" w:hAnsi="Times New Roman" w:cs="Times New Roman"/>
          <w:sz w:val="26"/>
          <w:szCs w:val="26"/>
        </w:rPr>
        <w:t xml:space="preserve"> the Commission’s review of </w:t>
      </w:r>
      <w:r w:rsidR="003F1077">
        <w:rPr>
          <w:rFonts w:ascii="Times New Roman" w:eastAsia="Times New Roman" w:hAnsi="Times New Roman" w:cs="Times New Roman"/>
          <w:sz w:val="26"/>
          <w:szCs w:val="26"/>
        </w:rPr>
        <w:t xml:space="preserve">any </w:t>
      </w:r>
      <w:r w:rsidRPr="003F7EE6">
        <w:rPr>
          <w:rFonts w:ascii="Times New Roman" w:eastAsia="Times New Roman" w:hAnsi="Times New Roman" w:cs="Times New Roman"/>
          <w:sz w:val="26"/>
          <w:szCs w:val="26"/>
        </w:rPr>
        <w:t>comments filed in this proceeding, an Opinion and Order will be issued.</w:t>
      </w:r>
    </w:p>
    <w:p w14:paraId="2C793940" w14:textId="77777777" w:rsidR="00F44833" w:rsidRPr="003F7EE6" w:rsidRDefault="00F44833" w:rsidP="005D6902">
      <w:pPr>
        <w:spacing w:after="0" w:line="240" w:lineRule="auto"/>
        <w:rPr>
          <w:rFonts w:ascii="Times New Roman" w:eastAsia="Times New Roman" w:hAnsi="Times New Roman" w:cs="Times New Roman"/>
          <w:sz w:val="26"/>
          <w:szCs w:val="26"/>
        </w:rPr>
      </w:pPr>
    </w:p>
    <w:p w14:paraId="41960785" w14:textId="6E8DCFB6" w:rsidR="00F44833" w:rsidRPr="003F7EE6" w:rsidRDefault="00F44833" w:rsidP="005D6902">
      <w:pPr>
        <w:spacing w:after="0" w:line="240" w:lineRule="auto"/>
        <w:ind w:left="5040"/>
        <w:rPr>
          <w:rFonts w:ascii="Times New Roman" w:eastAsia="Times New Roman" w:hAnsi="Times New Roman" w:cs="Times New Roman"/>
          <w:b/>
          <w:sz w:val="26"/>
          <w:szCs w:val="26"/>
        </w:rPr>
      </w:pPr>
      <w:r w:rsidRPr="003F7EE6">
        <w:rPr>
          <w:rFonts w:ascii="Times New Roman" w:eastAsia="Times New Roman" w:hAnsi="Times New Roman" w:cs="Times New Roman"/>
          <w:b/>
          <w:sz w:val="26"/>
          <w:szCs w:val="26"/>
        </w:rPr>
        <w:t>BY THE COMMISSION,</w:t>
      </w:r>
    </w:p>
    <w:p w14:paraId="33AB46CB" w14:textId="6528A667" w:rsidR="00F44833" w:rsidRDefault="00A71AB3" w:rsidP="00A71AB3">
      <w:pPr>
        <w:tabs>
          <w:tab w:val="left" w:pos="6210"/>
        </w:tabs>
        <w:spacing w:after="0" w:line="240" w:lineRule="auto"/>
        <w:ind w:left="5040"/>
        <w:rPr>
          <w:rFonts w:ascii="Times New Roman" w:eastAsia="Times New Roman" w:hAnsi="Times New Roman" w:cs="Times New Roman"/>
          <w:sz w:val="26"/>
          <w:szCs w:val="26"/>
        </w:rPr>
      </w:pPr>
      <w:r w:rsidRPr="009F01BA">
        <w:rPr>
          <w:b/>
          <w:noProof/>
          <w:sz w:val="20"/>
          <w:szCs w:val="20"/>
        </w:rPr>
        <w:drawing>
          <wp:anchor distT="0" distB="0" distL="114300" distR="114300" simplePos="0" relativeHeight="251659264" behindDoc="1" locked="0" layoutInCell="1" allowOverlap="1" wp14:anchorId="30A8BB50" wp14:editId="571CF92D">
            <wp:simplePos x="0" y="0"/>
            <wp:positionH relativeFrom="column">
              <wp:posOffset>3057525</wp:posOffset>
            </wp:positionH>
            <wp:positionV relativeFrom="paragraph">
              <wp:posOffset>7620</wp:posOffset>
            </wp:positionV>
            <wp:extent cx="2200275" cy="8382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0275" cy="8382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6"/>
          <w:szCs w:val="26"/>
        </w:rPr>
        <w:tab/>
      </w:r>
    </w:p>
    <w:p w14:paraId="0D56F4A3" w14:textId="263D2179" w:rsidR="005A530B" w:rsidRPr="003F7EE6" w:rsidRDefault="005A530B" w:rsidP="005D6902">
      <w:pPr>
        <w:spacing w:after="0" w:line="240" w:lineRule="auto"/>
        <w:ind w:left="5040"/>
        <w:rPr>
          <w:rFonts w:ascii="Times New Roman" w:eastAsia="Times New Roman" w:hAnsi="Times New Roman" w:cs="Times New Roman"/>
          <w:sz w:val="26"/>
          <w:szCs w:val="26"/>
        </w:rPr>
      </w:pPr>
    </w:p>
    <w:p w14:paraId="4CC7AC8B" w14:textId="27077BE4" w:rsidR="00F44833" w:rsidRPr="003F7EE6" w:rsidRDefault="00F44833" w:rsidP="00A71AB3">
      <w:pPr>
        <w:spacing w:after="0" w:line="240" w:lineRule="auto"/>
        <w:ind w:left="5040"/>
        <w:jc w:val="center"/>
        <w:rPr>
          <w:rFonts w:ascii="Times New Roman" w:eastAsia="Times New Roman" w:hAnsi="Times New Roman" w:cs="Times New Roman"/>
          <w:sz w:val="26"/>
          <w:szCs w:val="26"/>
        </w:rPr>
      </w:pPr>
    </w:p>
    <w:p w14:paraId="23331F53" w14:textId="77777777" w:rsidR="00F44833" w:rsidRPr="003F7EE6" w:rsidRDefault="00F44833" w:rsidP="005D6902">
      <w:pPr>
        <w:spacing w:after="0" w:line="240" w:lineRule="auto"/>
        <w:ind w:left="5040"/>
        <w:rPr>
          <w:rFonts w:ascii="Times New Roman" w:eastAsia="Times New Roman" w:hAnsi="Times New Roman" w:cs="Times New Roman"/>
          <w:sz w:val="26"/>
          <w:szCs w:val="26"/>
        </w:rPr>
      </w:pPr>
    </w:p>
    <w:p w14:paraId="7B4569EC" w14:textId="487EE1F6" w:rsidR="00F44833" w:rsidRPr="003F7EE6" w:rsidRDefault="00F44833" w:rsidP="005D6902">
      <w:pPr>
        <w:keepNext/>
        <w:keepLines/>
        <w:spacing w:after="0" w:line="240" w:lineRule="auto"/>
        <w:ind w:left="5040"/>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Rosemary Chiavetta</w:t>
      </w:r>
    </w:p>
    <w:p w14:paraId="30FD7A79" w14:textId="46AF6F90" w:rsidR="00F44833" w:rsidRPr="003F7EE6" w:rsidRDefault="00F44833" w:rsidP="005D6902">
      <w:pPr>
        <w:keepNext/>
        <w:keepLines/>
        <w:spacing w:after="0" w:line="240" w:lineRule="auto"/>
        <w:ind w:left="5040"/>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Secretary</w:t>
      </w:r>
    </w:p>
    <w:p w14:paraId="2A8C8D69" w14:textId="77777777" w:rsidR="009B7DAA" w:rsidRDefault="009B7DAA" w:rsidP="005D6902">
      <w:pPr>
        <w:keepNext/>
        <w:keepLines/>
        <w:tabs>
          <w:tab w:val="left" w:pos="-720"/>
        </w:tabs>
        <w:suppressAutoHyphens/>
        <w:spacing w:after="0" w:line="240" w:lineRule="auto"/>
        <w:rPr>
          <w:rFonts w:ascii="Times New Roman" w:eastAsia="Times New Roman" w:hAnsi="Times New Roman" w:cs="Times New Roman"/>
          <w:sz w:val="26"/>
          <w:szCs w:val="26"/>
        </w:rPr>
      </w:pPr>
    </w:p>
    <w:p w14:paraId="6D19B727" w14:textId="77777777" w:rsidR="00F44833" w:rsidRPr="003F7EE6" w:rsidRDefault="00F44833" w:rsidP="005D6902">
      <w:pPr>
        <w:keepNext/>
        <w:keepLines/>
        <w:tabs>
          <w:tab w:val="left" w:pos="-720"/>
        </w:tabs>
        <w:suppressAutoHyphens/>
        <w:spacing w:after="0" w:line="240" w:lineRule="auto"/>
        <w:rPr>
          <w:rFonts w:ascii="Times New Roman" w:eastAsia="Times New Roman" w:hAnsi="Times New Roman" w:cs="Times New Roman"/>
          <w:sz w:val="26"/>
          <w:szCs w:val="26"/>
        </w:rPr>
      </w:pPr>
      <w:r w:rsidRPr="003F7EE6">
        <w:rPr>
          <w:rFonts w:ascii="Times New Roman" w:eastAsia="Times New Roman" w:hAnsi="Times New Roman" w:cs="Times New Roman"/>
          <w:sz w:val="26"/>
          <w:szCs w:val="26"/>
        </w:rPr>
        <w:t>(SEAL)</w:t>
      </w:r>
    </w:p>
    <w:p w14:paraId="0E945459" w14:textId="77777777" w:rsidR="00F44833" w:rsidRPr="003F7EE6" w:rsidRDefault="00F44833" w:rsidP="005D6902">
      <w:pPr>
        <w:keepNext/>
        <w:keepLines/>
        <w:tabs>
          <w:tab w:val="left" w:pos="-720"/>
        </w:tabs>
        <w:suppressAutoHyphens/>
        <w:spacing w:after="0" w:line="240" w:lineRule="auto"/>
        <w:rPr>
          <w:rFonts w:ascii="Times New Roman" w:eastAsia="Times New Roman" w:hAnsi="Times New Roman" w:cs="Times New Roman"/>
          <w:sz w:val="26"/>
          <w:szCs w:val="26"/>
        </w:rPr>
      </w:pPr>
    </w:p>
    <w:p w14:paraId="6B749380" w14:textId="75752F18" w:rsidR="00F44833" w:rsidRPr="003F7EE6" w:rsidRDefault="0092538B" w:rsidP="005D6902">
      <w:pPr>
        <w:keepNext/>
        <w:keepLines/>
        <w:tabs>
          <w:tab w:val="left" w:pos="-720"/>
        </w:tabs>
        <w:suppressAutoHyphens/>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ORDER ADOPTED:  </w:t>
      </w:r>
      <w:r w:rsidR="00D814DC">
        <w:rPr>
          <w:rFonts w:ascii="Times New Roman" w:eastAsia="Times New Roman" w:hAnsi="Times New Roman" w:cs="Times New Roman"/>
          <w:sz w:val="26"/>
          <w:szCs w:val="26"/>
        </w:rPr>
        <w:t>May 20</w:t>
      </w:r>
      <w:r w:rsidR="00CB6C24">
        <w:rPr>
          <w:rFonts w:ascii="Times New Roman" w:eastAsia="Times New Roman" w:hAnsi="Times New Roman" w:cs="Times New Roman"/>
          <w:sz w:val="26"/>
          <w:szCs w:val="26"/>
        </w:rPr>
        <w:t>, 2021</w:t>
      </w:r>
    </w:p>
    <w:p w14:paraId="724B860A" w14:textId="77777777" w:rsidR="00984785" w:rsidRDefault="00984785" w:rsidP="005D6902">
      <w:pPr>
        <w:keepNext/>
        <w:keepLines/>
        <w:spacing w:after="0" w:line="240" w:lineRule="auto"/>
        <w:rPr>
          <w:rFonts w:ascii="Times New Roman" w:eastAsia="Times New Roman" w:hAnsi="Times New Roman" w:cs="Times New Roman"/>
          <w:sz w:val="26"/>
          <w:szCs w:val="20"/>
        </w:rPr>
      </w:pPr>
    </w:p>
    <w:p w14:paraId="5662273E" w14:textId="7B4AEFB5" w:rsidR="00870462" w:rsidRDefault="00F44833" w:rsidP="005D6902">
      <w:pPr>
        <w:keepNext/>
        <w:keepLines/>
        <w:spacing w:after="0" w:line="240" w:lineRule="auto"/>
        <w:rPr>
          <w:rFonts w:ascii="Times New Roman" w:eastAsia="Times New Roman" w:hAnsi="Times New Roman" w:cs="Times New Roman"/>
          <w:sz w:val="26"/>
          <w:szCs w:val="20"/>
        </w:rPr>
        <w:sectPr w:rsidR="00870462" w:rsidSect="00F83F8E">
          <w:footerReference w:type="default" r:id="rId13"/>
          <w:pgSz w:w="12240" w:h="15840"/>
          <w:pgMar w:top="1440" w:right="1440" w:bottom="1440" w:left="1440" w:header="720" w:footer="720" w:gutter="0"/>
          <w:cols w:space="720"/>
          <w:titlePg/>
          <w:docGrid w:linePitch="360"/>
        </w:sectPr>
      </w:pPr>
      <w:r w:rsidRPr="003F7EE6">
        <w:rPr>
          <w:rFonts w:ascii="Times New Roman" w:eastAsia="Times New Roman" w:hAnsi="Times New Roman" w:cs="Times New Roman"/>
          <w:sz w:val="26"/>
          <w:szCs w:val="20"/>
        </w:rPr>
        <w:t>ORDER ENTERED:</w:t>
      </w:r>
      <w:r w:rsidR="0092538B">
        <w:rPr>
          <w:rFonts w:ascii="Times New Roman" w:eastAsia="Times New Roman" w:hAnsi="Times New Roman" w:cs="Times New Roman"/>
          <w:sz w:val="26"/>
          <w:szCs w:val="20"/>
        </w:rPr>
        <w:t xml:space="preserve">  </w:t>
      </w:r>
      <w:r w:rsidR="00BE620D">
        <w:rPr>
          <w:rFonts w:ascii="Times New Roman" w:eastAsia="Times New Roman" w:hAnsi="Times New Roman" w:cs="Times New Roman"/>
          <w:sz w:val="26"/>
          <w:szCs w:val="20"/>
        </w:rPr>
        <w:t xml:space="preserve"> </w:t>
      </w:r>
      <w:r w:rsidR="00A71AB3">
        <w:rPr>
          <w:rFonts w:ascii="Times New Roman" w:eastAsia="Times New Roman" w:hAnsi="Times New Roman" w:cs="Times New Roman"/>
          <w:sz w:val="26"/>
          <w:szCs w:val="20"/>
        </w:rPr>
        <w:t>May 20, 2021</w:t>
      </w:r>
    </w:p>
    <w:p w14:paraId="6ADC048F" w14:textId="77777777" w:rsidR="00093521" w:rsidRDefault="00093521" w:rsidP="00093521">
      <w:pPr>
        <w:spacing w:after="0" w:line="360" w:lineRule="auto"/>
        <w:jc w:val="center"/>
        <w:rPr>
          <w:rFonts w:ascii="Times New Roman" w:eastAsia="Times New Roman" w:hAnsi="Times New Roman" w:cs="Times New Roman"/>
          <w:b/>
          <w:sz w:val="36"/>
          <w:szCs w:val="36"/>
        </w:rPr>
      </w:pPr>
    </w:p>
    <w:p w14:paraId="617CA7DE" w14:textId="77777777" w:rsidR="00093521" w:rsidRDefault="00093521" w:rsidP="00093521">
      <w:pPr>
        <w:spacing w:after="0" w:line="360" w:lineRule="auto"/>
        <w:jc w:val="center"/>
        <w:rPr>
          <w:rFonts w:ascii="Times New Roman" w:eastAsia="Times New Roman" w:hAnsi="Times New Roman" w:cs="Times New Roman"/>
          <w:b/>
          <w:sz w:val="36"/>
          <w:szCs w:val="36"/>
        </w:rPr>
      </w:pPr>
    </w:p>
    <w:p w14:paraId="7EAF6FE1" w14:textId="77777777" w:rsidR="00093521" w:rsidRDefault="00093521" w:rsidP="00093521">
      <w:pPr>
        <w:spacing w:after="0" w:line="360" w:lineRule="auto"/>
        <w:jc w:val="center"/>
        <w:rPr>
          <w:rFonts w:ascii="Times New Roman" w:eastAsia="Times New Roman" w:hAnsi="Times New Roman" w:cs="Times New Roman"/>
          <w:b/>
          <w:sz w:val="36"/>
          <w:szCs w:val="36"/>
        </w:rPr>
      </w:pPr>
    </w:p>
    <w:p w14:paraId="38F326A4" w14:textId="77777777" w:rsidR="00093521" w:rsidRDefault="00093521" w:rsidP="00093521">
      <w:pPr>
        <w:spacing w:after="0" w:line="360" w:lineRule="auto"/>
        <w:jc w:val="center"/>
        <w:rPr>
          <w:rFonts w:ascii="Times New Roman" w:eastAsia="Times New Roman" w:hAnsi="Times New Roman" w:cs="Times New Roman"/>
          <w:b/>
          <w:sz w:val="36"/>
          <w:szCs w:val="36"/>
        </w:rPr>
      </w:pPr>
    </w:p>
    <w:p w14:paraId="169B8EEC" w14:textId="77777777" w:rsidR="00093521" w:rsidRDefault="00093521" w:rsidP="00093521">
      <w:pPr>
        <w:spacing w:after="0" w:line="360" w:lineRule="auto"/>
        <w:jc w:val="center"/>
        <w:rPr>
          <w:rFonts w:ascii="Times New Roman" w:eastAsia="Times New Roman" w:hAnsi="Times New Roman" w:cs="Times New Roman"/>
          <w:b/>
          <w:sz w:val="36"/>
          <w:szCs w:val="36"/>
        </w:rPr>
      </w:pPr>
    </w:p>
    <w:p w14:paraId="32A2CCA3" w14:textId="77777777" w:rsidR="00C57B23" w:rsidRDefault="00870462" w:rsidP="00443C12">
      <w:pPr>
        <w:spacing w:after="0" w:line="360" w:lineRule="auto"/>
        <w:jc w:val="center"/>
        <w:rPr>
          <w:rFonts w:ascii="Times New Roman" w:eastAsia="Times New Roman" w:hAnsi="Times New Roman" w:cs="Times New Roman"/>
          <w:b/>
          <w:sz w:val="36"/>
          <w:szCs w:val="36"/>
        </w:rPr>
        <w:sectPr w:rsidR="00C57B23" w:rsidSect="001F78B8">
          <w:footerReference w:type="default" r:id="rId14"/>
          <w:headerReference w:type="first" r:id="rId15"/>
          <w:footerReference w:type="first" r:id="rId16"/>
          <w:pgSz w:w="12240" w:h="15840"/>
          <w:pgMar w:top="1440" w:right="1440" w:bottom="1008" w:left="1440" w:header="720" w:footer="720" w:gutter="0"/>
          <w:cols w:space="720"/>
          <w:docGrid w:linePitch="360"/>
        </w:sectPr>
      </w:pPr>
      <w:r w:rsidRPr="00093521">
        <w:rPr>
          <w:rFonts w:ascii="Times New Roman" w:eastAsia="Times New Roman" w:hAnsi="Times New Roman" w:cs="Times New Roman"/>
          <w:b/>
          <w:sz w:val="36"/>
          <w:szCs w:val="36"/>
        </w:rPr>
        <w:t>ATTACHMENT</w:t>
      </w:r>
    </w:p>
    <w:p w14:paraId="180EBCDC" w14:textId="2DEF0C80" w:rsidR="00C20716" w:rsidRDefault="00C20716" w:rsidP="00443C12">
      <w:pPr>
        <w:spacing w:after="0" w:line="360" w:lineRule="auto"/>
        <w:jc w:val="center"/>
        <w:rPr>
          <w:rFonts w:ascii="Times New Roman" w:eastAsia="Calibri" w:hAnsi="Times New Roman" w:cs="Times New Roman"/>
          <w:sz w:val="24"/>
          <w:szCs w:val="24"/>
        </w:rPr>
      </w:pPr>
    </w:p>
    <w:p w14:paraId="3A8E89FA" w14:textId="534F70D5" w:rsidR="00C20716" w:rsidRDefault="003974A2">
      <w:pPr>
        <w:rPr>
          <w:rFonts w:ascii="Times New Roman" w:eastAsia="Calibri" w:hAnsi="Times New Roman" w:cs="Times New Roman"/>
          <w:sz w:val="24"/>
          <w:szCs w:val="24"/>
        </w:rPr>
        <w:sectPr w:rsidR="00C20716" w:rsidSect="001F78B8">
          <w:pgSz w:w="12240" w:h="15840"/>
          <w:pgMar w:top="1440" w:right="1440" w:bottom="1008" w:left="1440" w:header="720" w:footer="720" w:gutter="0"/>
          <w:cols w:space="720"/>
          <w:docGrid w:linePitch="360"/>
        </w:sectPr>
      </w:pPr>
      <w:r>
        <w:rPr>
          <w:noProof/>
        </w:rPr>
        <w:drawing>
          <wp:inline distT="0" distB="0" distL="0" distR="0" wp14:anchorId="29A8730C" wp14:editId="476DC137">
            <wp:extent cx="6290310" cy="7983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02361" cy="7999151"/>
                    </a:xfrm>
                    <a:prstGeom prst="rect">
                      <a:avLst/>
                    </a:prstGeom>
                  </pic:spPr>
                </pic:pic>
              </a:graphicData>
            </a:graphic>
          </wp:inline>
        </w:drawing>
      </w:r>
    </w:p>
    <w:p w14:paraId="3B454E4A" w14:textId="0CCDB312" w:rsidR="00B21F7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5F8B08F" wp14:editId="50B6B86B">
            <wp:extent cx="5943600" cy="78257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825740"/>
                    </a:xfrm>
                    <a:prstGeom prst="rect">
                      <a:avLst/>
                    </a:prstGeom>
                  </pic:spPr>
                </pic:pic>
              </a:graphicData>
            </a:graphic>
          </wp:inline>
        </w:drawing>
      </w:r>
    </w:p>
    <w:p w14:paraId="4A5B76FB" w14:textId="31F052ED" w:rsidR="003974A2" w:rsidRDefault="003974A2" w:rsidP="003974A2">
      <w:pPr>
        <w:spacing w:after="0" w:line="360" w:lineRule="auto"/>
        <w:jc w:val="center"/>
        <w:rPr>
          <w:rFonts w:ascii="Times New Roman" w:eastAsia="Calibri" w:hAnsi="Times New Roman" w:cs="Times New Roman"/>
          <w:sz w:val="24"/>
          <w:szCs w:val="24"/>
        </w:rPr>
      </w:pPr>
    </w:p>
    <w:p w14:paraId="6BAA1C78" w14:textId="781327A5" w:rsidR="003974A2" w:rsidRDefault="003974A2" w:rsidP="003974A2">
      <w:pPr>
        <w:spacing w:after="0" w:line="360" w:lineRule="auto"/>
        <w:jc w:val="center"/>
        <w:rPr>
          <w:rFonts w:ascii="Times New Roman" w:eastAsia="Calibri" w:hAnsi="Times New Roman" w:cs="Times New Roman"/>
          <w:sz w:val="24"/>
          <w:szCs w:val="24"/>
        </w:rPr>
      </w:pPr>
    </w:p>
    <w:p w14:paraId="6E7D1D00" w14:textId="17E77D93"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1C5F56FB" wp14:editId="038FDD25">
            <wp:extent cx="5943600" cy="824420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8244205"/>
                    </a:xfrm>
                    <a:prstGeom prst="rect">
                      <a:avLst/>
                    </a:prstGeom>
                  </pic:spPr>
                </pic:pic>
              </a:graphicData>
            </a:graphic>
          </wp:inline>
        </w:drawing>
      </w:r>
    </w:p>
    <w:p w14:paraId="1CA67655" w14:textId="26C93723"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71D1A50" wp14:editId="162A3FBF">
            <wp:extent cx="5943600" cy="82588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8258810"/>
                    </a:xfrm>
                    <a:prstGeom prst="rect">
                      <a:avLst/>
                    </a:prstGeom>
                  </pic:spPr>
                </pic:pic>
              </a:graphicData>
            </a:graphic>
          </wp:inline>
        </w:drawing>
      </w:r>
    </w:p>
    <w:p w14:paraId="1054FF2D" w14:textId="06E8551C"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247E20C" wp14:editId="46961675">
            <wp:extent cx="5943600" cy="839470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8394700"/>
                    </a:xfrm>
                    <a:prstGeom prst="rect">
                      <a:avLst/>
                    </a:prstGeom>
                  </pic:spPr>
                </pic:pic>
              </a:graphicData>
            </a:graphic>
          </wp:inline>
        </w:drawing>
      </w:r>
    </w:p>
    <w:p w14:paraId="1A15CC0C" w14:textId="7A872E32"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19DDB064" wp14:editId="143619C4">
            <wp:extent cx="5943600" cy="8428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8428355"/>
                    </a:xfrm>
                    <a:prstGeom prst="rect">
                      <a:avLst/>
                    </a:prstGeom>
                  </pic:spPr>
                </pic:pic>
              </a:graphicData>
            </a:graphic>
          </wp:inline>
        </w:drawing>
      </w:r>
    </w:p>
    <w:p w14:paraId="2F0424A2" w14:textId="6BD6D0BA"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CA99E15" wp14:editId="7F4DEF00">
            <wp:extent cx="5943600" cy="84213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8421370"/>
                    </a:xfrm>
                    <a:prstGeom prst="rect">
                      <a:avLst/>
                    </a:prstGeom>
                  </pic:spPr>
                </pic:pic>
              </a:graphicData>
            </a:graphic>
          </wp:inline>
        </w:drawing>
      </w:r>
    </w:p>
    <w:p w14:paraId="2B1267FB" w14:textId="052DDD44" w:rsidR="003974A2" w:rsidRDefault="003974A2"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FD5A7BC" wp14:editId="56A7F9FA">
            <wp:extent cx="5943600" cy="83839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8383905"/>
                    </a:xfrm>
                    <a:prstGeom prst="rect">
                      <a:avLst/>
                    </a:prstGeom>
                  </pic:spPr>
                </pic:pic>
              </a:graphicData>
            </a:graphic>
          </wp:inline>
        </w:drawing>
      </w:r>
    </w:p>
    <w:p w14:paraId="4B8E2D54" w14:textId="20919BB5" w:rsidR="003974A2"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C52053E" wp14:editId="319FDCB6">
            <wp:extent cx="5895975" cy="850392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95975" cy="8503920"/>
                    </a:xfrm>
                    <a:prstGeom prst="rect">
                      <a:avLst/>
                    </a:prstGeom>
                  </pic:spPr>
                </pic:pic>
              </a:graphicData>
            </a:graphic>
          </wp:inline>
        </w:drawing>
      </w:r>
    </w:p>
    <w:p w14:paraId="0D0F423A" w14:textId="09F9B380"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23C227D" wp14:editId="67C19EE5">
            <wp:extent cx="5943600" cy="82708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8270875"/>
                    </a:xfrm>
                    <a:prstGeom prst="rect">
                      <a:avLst/>
                    </a:prstGeom>
                  </pic:spPr>
                </pic:pic>
              </a:graphicData>
            </a:graphic>
          </wp:inline>
        </w:drawing>
      </w:r>
    </w:p>
    <w:p w14:paraId="4B67F616" w14:textId="25DD307D"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E0D221B" wp14:editId="4FCDD124">
            <wp:extent cx="5943600" cy="82664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8266430"/>
                    </a:xfrm>
                    <a:prstGeom prst="rect">
                      <a:avLst/>
                    </a:prstGeom>
                  </pic:spPr>
                </pic:pic>
              </a:graphicData>
            </a:graphic>
          </wp:inline>
        </w:drawing>
      </w:r>
    </w:p>
    <w:p w14:paraId="319A0028" w14:textId="36FCD9DD"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2C65FC3" wp14:editId="0F546401">
            <wp:extent cx="5583555" cy="85039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83555" cy="8503920"/>
                    </a:xfrm>
                    <a:prstGeom prst="rect">
                      <a:avLst/>
                    </a:prstGeom>
                  </pic:spPr>
                </pic:pic>
              </a:graphicData>
            </a:graphic>
          </wp:inline>
        </w:drawing>
      </w:r>
    </w:p>
    <w:p w14:paraId="1D3EBA8B" w14:textId="51D57457"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8691149" wp14:editId="24F47912">
            <wp:extent cx="5943600" cy="839597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8395970"/>
                    </a:xfrm>
                    <a:prstGeom prst="rect">
                      <a:avLst/>
                    </a:prstGeom>
                  </pic:spPr>
                </pic:pic>
              </a:graphicData>
            </a:graphic>
          </wp:inline>
        </w:drawing>
      </w:r>
    </w:p>
    <w:p w14:paraId="04DD0E6B" w14:textId="188EFE2E"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CF6AE0A" wp14:editId="615BC485">
            <wp:extent cx="5943600" cy="8316595"/>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8316595"/>
                    </a:xfrm>
                    <a:prstGeom prst="rect">
                      <a:avLst/>
                    </a:prstGeom>
                  </pic:spPr>
                </pic:pic>
              </a:graphicData>
            </a:graphic>
          </wp:inline>
        </w:drawing>
      </w:r>
    </w:p>
    <w:p w14:paraId="40B9F8B6" w14:textId="38994225"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EFA540A" wp14:editId="538536EF">
            <wp:extent cx="5943600" cy="83896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8389620"/>
                    </a:xfrm>
                    <a:prstGeom prst="rect">
                      <a:avLst/>
                    </a:prstGeom>
                  </pic:spPr>
                </pic:pic>
              </a:graphicData>
            </a:graphic>
          </wp:inline>
        </w:drawing>
      </w:r>
    </w:p>
    <w:p w14:paraId="6A8B5EAE" w14:textId="4AEBF585"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269C548" wp14:editId="54BBFD29">
            <wp:extent cx="5943600" cy="8057515"/>
            <wp:effectExtent l="0" t="0" r="0"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8057515"/>
                    </a:xfrm>
                    <a:prstGeom prst="rect">
                      <a:avLst/>
                    </a:prstGeom>
                  </pic:spPr>
                </pic:pic>
              </a:graphicData>
            </a:graphic>
          </wp:inline>
        </w:drawing>
      </w:r>
    </w:p>
    <w:p w14:paraId="5936D12C" w14:textId="3F37A4D6" w:rsidR="00525425" w:rsidRDefault="00525425" w:rsidP="003974A2">
      <w:pPr>
        <w:spacing w:after="0" w:line="360" w:lineRule="auto"/>
        <w:jc w:val="center"/>
        <w:rPr>
          <w:rFonts w:ascii="Times New Roman" w:eastAsia="Calibri" w:hAnsi="Times New Roman" w:cs="Times New Roman"/>
          <w:sz w:val="24"/>
          <w:szCs w:val="24"/>
        </w:rPr>
      </w:pPr>
    </w:p>
    <w:p w14:paraId="54BB862D" w14:textId="15E8C93A"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6B0C187" wp14:editId="526C0AD7">
            <wp:extent cx="5943600" cy="8089265"/>
            <wp:effectExtent l="0" t="0" r="0"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8089265"/>
                    </a:xfrm>
                    <a:prstGeom prst="rect">
                      <a:avLst/>
                    </a:prstGeom>
                  </pic:spPr>
                </pic:pic>
              </a:graphicData>
            </a:graphic>
          </wp:inline>
        </w:drawing>
      </w:r>
    </w:p>
    <w:p w14:paraId="1E7C77DC" w14:textId="1BDE7D7A" w:rsidR="00525425" w:rsidRDefault="00525425" w:rsidP="003974A2">
      <w:pPr>
        <w:spacing w:after="0" w:line="360" w:lineRule="auto"/>
        <w:jc w:val="center"/>
        <w:rPr>
          <w:rFonts w:ascii="Times New Roman" w:eastAsia="Calibri" w:hAnsi="Times New Roman" w:cs="Times New Roman"/>
          <w:sz w:val="24"/>
          <w:szCs w:val="24"/>
        </w:rPr>
      </w:pPr>
    </w:p>
    <w:p w14:paraId="418066BF" w14:textId="0BDB5188"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73A73B5" wp14:editId="7CBD7917">
            <wp:extent cx="5943600" cy="75857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7585710"/>
                    </a:xfrm>
                    <a:prstGeom prst="rect">
                      <a:avLst/>
                    </a:prstGeom>
                  </pic:spPr>
                </pic:pic>
              </a:graphicData>
            </a:graphic>
          </wp:inline>
        </w:drawing>
      </w:r>
    </w:p>
    <w:p w14:paraId="77D390B7" w14:textId="0AE9D945" w:rsidR="00525425" w:rsidRDefault="00525425" w:rsidP="003974A2">
      <w:pPr>
        <w:spacing w:after="0" w:line="360" w:lineRule="auto"/>
        <w:jc w:val="center"/>
        <w:rPr>
          <w:rFonts w:ascii="Times New Roman" w:eastAsia="Calibri" w:hAnsi="Times New Roman" w:cs="Times New Roman"/>
          <w:sz w:val="24"/>
          <w:szCs w:val="24"/>
        </w:rPr>
      </w:pPr>
    </w:p>
    <w:p w14:paraId="4840EAB5" w14:textId="7D78F5E5" w:rsidR="00525425" w:rsidRDefault="00525425" w:rsidP="003974A2">
      <w:pPr>
        <w:spacing w:after="0" w:line="360" w:lineRule="auto"/>
        <w:jc w:val="center"/>
        <w:rPr>
          <w:rFonts w:ascii="Times New Roman" w:eastAsia="Calibri" w:hAnsi="Times New Roman" w:cs="Times New Roman"/>
          <w:sz w:val="24"/>
          <w:szCs w:val="24"/>
        </w:rPr>
      </w:pPr>
    </w:p>
    <w:p w14:paraId="247E51B9" w14:textId="1D11DFAE" w:rsidR="00525425" w:rsidRDefault="00525425" w:rsidP="003974A2">
      <w:pPr>
        <w:spacing w:after="0" w:line="360" w:lineRule="auto"/>
        <w:jc w:val="center"/>
        <w:rPr>
          <w:rFonts w:ascii="Times New Roman" w:eastAsia="Calibri" w:hAnsi="Times New Roman" w:cs="Times New Roman"/>
          <w:sz w:val="24"/>
          <w:szCs w:val="24"/>
        </w:rPr>
      </w:pPr>
    </w:p>
    <w:p w14:paraId="51BED5E6" w14:textId="73051B53"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EA1CC5A" wp14:editId="26A069BC">
            <wp:extent cx="5943600" cy="79851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7985125"/>
                    </a:xfrm>
                    <a:prstGeom prst="rect">
                      <a:avLst/>
                    </a:prstGeom>
                  </pic:spPr>
                </pic:pic>
              </a:graphicData>
            </a:graphic>
          </wp:inline>
        </w:drawing>
      </w:r>
    </w:p>
    <w:p w14:paraId="25F62AAD" w14:textId="30A58318" w:rsidR="00525425" w:rsidRDefault="00525425" w:rsidP="003974A2">
      <w:pPr>
        <w:spacing w:after="0" w:line="360" w:lineRule="auto"/>
        <w:jc w:val="center"/>
        <w:rPr>
          <w:rFonts w:ascii="Times New Roman" w:eastAsia="Calibri" w:hAnsi="Times New Roman" w:cs="Times New Roman"/>
          <w:sz w:val="24"/>
          <w:szCs w:val="24"/>
        </w:rPr>
      </w:pPr>
    </w:p>
    <w:p w14:paraId="58A2F939" w14:textId="2EB11B3D"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0B48804" wp14:editId="48D2D513">
            <wp:extent cx="5716270" cy="850392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16270" cy="8503920"/>
                    </a:xfrm>
                    <a:prstGeom prst="rect">
                      <a:avLst/>
                    </a:prstGeom>
                  </pic:spPr>
                </pic:pic>
              </a:graphicData>
            </a:graphic>
          </wp:inline>
        </w:drawing>
      </w:r>
    </w:p>
    <w:p w14:paraId="5B6EB04D" w14:textId="14DD4463"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ABCE546" wp14:editId="11FC3DD8">
            <wp:extent cx="5943600" cy="84804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8480425"/>
                    </a:xfrm>
                    <a:prstGeom prst="rect">
                      <a:avLst/>
                    </a:prstGeom>
                  </pic:spPr>
                </pic:pic>
              </a:graphicData>
            </a:graphic>
          </wp:inline>
        </w:drawing>
      </w:r>
    </w:p>
    <w:p w14:paraId="0795574B" w14:textId="76FE835F"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8A24A1B" wp14:editId="4501BC55">
            <wp:extent cx="5759450" cy="850392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59450" cy="8503920"/>
                    </a:xfrm>
                    <a:prstGeom prst="rect">
                      <a:avLst/>
                    </a:prstGeom>
                  </pic:spPr>
                </pic:pic>
              </a:graphicData>
            </a:graphic>
          </wp:inline>
        </w:drawing>
      </w:r>
    </w:p>
    <w:p w14:paraId="1D02CE52" w14:textId="5EDC27AF"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1FAC7AA" wp14:editId="6CCAA2CA">
            <wp:extent cx="5696585" cy="85039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96585" cy="8503920"/>
                    </a:xfrm>
                    <a:prstGeom prst="rect">
                      <a:avLst/>
                    </a:prstGeom>
                  </pic:spPr>
                </pic:pic>
              </a:graphicData>
            </a:graphic>
          </wp:inline>
        </w:drawing>
      </w:r>
    </w:p>
    <w:p w14:paraId="3EEB490E" w14:textId="1AD22182"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01C530F" wp14:editId="59AB27A3">
            <wp:extent cx="5696585" cy="85039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96585" cy="8503920"/>
                    </a:xfrm>
                    <a:prstGeom prst="rect">
                      <a:avLst/>
                    </a:prstGeom>
                  </pic:spPr>
                </pic:pic>
              </a:graphicData>
            </a:graphic>
          </wp:inline>
        </w:drawing>
      </w:r>
    </w:p>
    <w:p w14:paraId="0A5C33B9" w14:textId="2D65B5DE"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CE9CED0" wp14:editId="70AFD900">
            <wp:extent cx="5810885" cy="85039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10885" cy="8503920"/>
                    </a:xfrm>
                    <a:prstGeom prst="rect">
                      <a:avLst/>
                    </a:prstGeom>
                  </pic:spPr>
                </pic:pic>
              </a:graphicData>
            </a:graphic>
          </wp:inline>
        </w:drawing>
      </w:r>
    </w:p>
    <w:p w14:paraId="31FEC6C3" w14:textId="07540960"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2A251E70" wp14:editId="6D0D6F20">
            <wp:extent cx="5779135" cy="850392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79135" cy="8503920"/>
                    </a:xfrm>
                    <a:prstGeom prst="rect">
                      <a:avLst/>
                    </a:prstGeom>
                  </pic:spPr>
                </pic:pic>
              </a:graphicData>
            </a:graphic>
          </wp:inline>
        </w:drawing>
      </w:r>
    </w:p>
    <w:p w14:paraId="3DF84DDD" w14:textId="4C040901"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1C6CEED" wp14:editId="72FD599F">
            <wp:extent cx="5688965" cy="8503920"/>
            <wp:effectExtent l="0" t="0" r="698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688965" cy="8503920"/>
                    </a:xfrm>
                    <a:prstGeom prst="rect">
                      <a:avLst/>
                    </a:prstGeom>
                  </pic:spPr>
                </pic:pic>
              </a:graphicData>
            </a:graphic>
          </wp:inline>
        </w:drawing>
      </w:r>
    </w:p>
    <w:p w14:paraId="51DA5A68" w14:textId="08D38998"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590B46A" wp14:editId="4B662A16">
            <wp:extent cx="5669280" cy="8503920"/>
            <wp:effectExtent l="0" t="0" r="762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669280" cy="8503920"/>
                    </a:xfrm>
                    <a:prstGeom prst="rect">
                      <a:avLst/>
                    </a:prstGeom>
                  </pic:spPr>
                </pic:pic>
              </a:graphicData>
            </a:graphic>
          </wp:inline>
        </w:drawing>
      </w:r>
    </w:p>
    <w:p w14:paraId="36523488" w14:textId="7FF0436A"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284F1DB" wp14:editId="413F0B24">
            <wp:extent cx="5735955" cy="85039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5955" cy="8503920"/>
                    </a:xfrm>
                    <a:prstGeom prst="rect">
                      <a:avLst/>
                    </a:prstGeom>
                  </pic:spPr>
                </pic:pic>
              </a:graphicData>
            </a:graphic>
          </wp:inline>
        </w:drawing>
      </w:r>
    </w:p>
    <w:p w14:paraId="3F573D88" w14:textId="3BD767ED"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5CA4BF4" wp14:editId="1CD0BD0A">
            <wp:extent cx="5669280" cy="8503920"/>
            <wp:effectExtent l="0" t="0" r="762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69280" cy="8503920"/>
                    </a:xfrm>
                    <a:prstGeom prst="rect">
                      <a:avLst/>
                    </a:prstGeom>
                  </pic:spPr>
                </pic:pic>
              </a:graphicData>
            </a:graphic>
          </wp:inline>
        </w:drawing>
      </w:r>
    </w:p>
    <w:p w14:paraId="51BABC6C" w14:textId="34FE1B1A"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B09F34E" wp14:editId="27C7E017">
            <wp:extent cx="5673090" cy="850392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73090" cy="8503920"/>
                    </a:xfrm>
                    <a:prstGeom prst="rect">
                      <a:avLst/>
                    </a:prstGeom>
                  </pic:spPr>
                </pic:pic>
              </a:graphicData>
            </a:graphic>
          </wp:inline>
        </w:drawing>
      </w:r>
    </w:p>
    <w:p w14:paraId="136288E4" w14:textId="7C2C20B4"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0539E26" wp14:editId="32E6F95D">
            <wp:extent cx="5696585" cy="85039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696585" cy="8503920"/>
                    </a:xfrm>
                    <a:prstGeom prst="rect">
                      <a:avLst/>
                    </a:prstGeom>
                  </pic:spPr>
                </pic:pic>
              </a:graphicData>
            </a:graphic>
          </wp:inline>
        </w:drawing>
      </w:r>
    </w:p>
    <w:p w14:paraId="43EFA069" w14:textId="28CEA70C"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C2633C8" wp14:editId="109D7E70">
            <wp:extent cx="5633720" cy="8503920"/>
            <wp:effectExtent l="0" t="0" r="508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33720" cy="8503920"/>
                    </a:xfrm>
                    <a:prstGeom prst="rect">
                      <a:avLst/>
                    </a:prstGeom>
                  </pic:spPr>
                </pic:pic>
              </a:graphicData>
            </a:graphic>
          </wp:inline>
        </w:drawing>
      </w:r>
    </w:p>
    <w:p w14:paraId="1AEB394D" w14:textId="0BAB27A3"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570C3B18" wp14:editId="0B43FDBC">
            <wp:extent cx="5692775" cy="8503920"/>
            <wp:effectExtent l="0" t="0" r="317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692775" cy="8503920"/>
                    </a:xfrm>
                    <a:prstGeom prst="rect">
                      <a:avLst/>
                    </a:prstGeom>
                  </pic:spPr>
                </pic:pic>
              </a:graphicData>
            </a:graphic>
          </wp:inline>
        </w:drawing>
      </w:r>
    </w:p>
    <w:p w14:paraId="401C5030" w14:textId="378969C6"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36A73588" wp14:editId="47BD8576">
            <wp:extent cx="5589270" cy="850392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589270" cy="8503920"/>
                    </a:xfrm>
                    <a:prstGeom prst="rect">
                      <a:avLst/>
                    </a:prstGeom>
                  </pic:spPr>
                </pic:pic>
              </a:graphicData>
            </a:graphic>
          </wp:inline>
        </w:drawing>
      </w:r>
    </w:p>
    <w:p w14:paraId="2DAB9198" w14:textId="0E236E8E"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B2FD8AF" wp14:editId="279805CE">
            <wp:extent cx="5943600" cy="8202930"/>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8202930"/>
                    </a:xfrm>
                    <a:prstGeom prst="rect">
                      <a:avLst/>
                    </a:prstGeom>
                  </pic:spPr>
                </pic:pic>
              </a:graphicData>
            </a:graphic>
          </wp:inline>
        </w:drawing>
      </w:r>
    </w:p>
    <w:p w14:paraId="0054F257" w14:textId="2F80C134" w:rsidR="00525425" w:rsidRDefault="00525425" w:rsidP="003974A2">
      <w:pPr>
        <w:spacing w:after="0" w:line="360" w:lineRule="auto"/>
        <w:jc w:val="center"/>
        <w:rPr>
          <w:rFonts w:ascii="Times New Roman" w:eastAsia="Calibri" w:hAnsi="Times New Roman" w:cs="Times New Roman"/>
          <w:sz w:val="24"/>
          <w:szCs w:val="24"/>
        </w:rPr>
      </w:pPr>
    </w:p>
    <w:p w14:paraId="7980BD3B" w14:textId="0F465C13"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77673AB" wp14:editId="1BA7CBE9">
            <wp:extent cx="5943600" cy="8375015"/>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8375015"/>
                    </a:xfrm>
                    <a:prstGeom prst="rect">
                      <a:avLst/>
                    </a:prstGeom>
                  </pic:spPr>
                </pic:pic>
              </a:graphicData>
            </a:graphic>
          </wp:inline>
        </w:drawing>
      </w:r>
    </w:p>
    <w:p w14:paraId="194701BF" w14:textId="07F78FDF"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30FF05A" wp14:editId="2D8CA736">
            <wp:extent cx="5943600" cy="84677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8467725"/>
                    </a:xfrm>
                    <a:prstGeom prst="rect">
                      <a:avLst/>
                    </a:prstGeom>
                  </pic:spPr>
                </pic:pic>
              </a:graphicData>
            </a:graphic>
          </wp:inline>
        </w:drawing>
      </w:r>
    </w:p>
    <w:p w14:paraId="3F571BE7" w14:textId="4DF7867A" w:rsidR="00525425" w:rsidRDefault="00525425"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455DEB40" wp14:editId="728AB2BA">
            <wp:extent cx="5943600" cy="819848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8198485"/>
                    </a:xfrm>
                    <a:prstGeom prst="rect">
                      <a:avLst/>
                    </a:prstGeom>
                  </pic:spPr>
                </pic:pic>
              </a:graphicData>
            </a:graphic>
          </wp:inline>
        </w:drawing>
      </w:r>
    </w:p>
    <w:p w14:paraId="2BEEC85E" w14:textId="545557DF" w:rsidR="00525425" w:rsidRDefault="00525425" w:rsidP="003974A2">
      <w:pPr>
        <w:spacing w:after="0" w:line="360" w:lineRule="auto"/>
        <w:jc w:val="center"/>
        <w:rPr>
          <w:rFonts w:ascii="Times New Roman" w:eastAsia="Calibri" w:hAnsi="Times New Roman" w:cs="Times New Roman"/>
          <w:sz w:val="24"/>
          <w:szCs w:val="24"/>
        </w:rPr>
      </w:pPr>
    </w:p>
    <w:p w14:paraId="6918F0EF" w14:textId="7A40D945" w:rsidR="00525425" w:rsidRDefault="007E4247"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45B4E3C" wp14:editId="15B2750B">
            <wp:extent cx="5943600" cy="8414385"/>
            <wp:effectExtent l="0" t="0" r="0" b="571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8414385"/>
                    </a:xfrm>
                    <a:prstGeom prst="rect">
                      <a:avLst/>
                    </a:prstGeom>
                  </pic:spPr>
                </pic:pic>
              </a:graphicData>
            </a:graphic>
          </wp:inline>
        </w:drawing>
      </w:r>
    </w:p>
    <w:p w14:paraId="24DC27B3" w14:textId="148BC9A6" w:rsidR="007E4247" w:rsidRDefault="007E4247"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4D603FDE" wp14:editId="63DC468F">
            <wp:extent cx="5943600" cy="827214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8272145"/>
                    </a:xfrm>
                    <a:prstGeom prst="rect">
                      <a:avLst/>
                    </a:prstGeom>
                  </pic:spPr>
                </pic:pic>
              </a:graphicData>
            </a:graphic>
          </wp:inline>
        </w:drawing>
      </w:r>
    </w:p>
    <w:p w14:paraId="51C395C8" w14:textId="6FA50346" w:rsidR="007E4247" w:rsidRDefault="007E4247"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6426116A" wp14:editId="40B80BAF">
            <wp:extent cx="5943600" cy="838327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8383270"/>
                    </a:xfrm>
                    <a:prstGeom prst="rect">
                      <a:avLst/>
                    </a:prstGeom>
                  </pic:spPr>
                </pic:pic>
              </a:graphicData>
            </a:graphic>
          </wp:inline>
        </w:drawing>
      </w:r>
    </w:p>
    <w:p w14:paraId="287B984E" w14:textId="52E6BB2A" w:rsidR="007E4247" w:rsidRDefault="007E4247"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030195E2" wp14:editId="6FB376F0">
            <wp:extent cx="5943600" cy="7975600"/>
            <wp:effectExtent l="0" t="0" r="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7975600"/>
                    </a:xfrm>
                    <a:prstGeom prst="rect">
                      <a:avLst/>
                    </a:prstGeom>
                  </pic:spPr>
                </pic:pic>
              </a:graphicData>
            </a:graphic>
          </wp:inline>
        </w:drawing>
      </w:r>
    </w:p>
    <w:p w14:paraId="78A71C56" w14:textId="1A8E50B3" w:rsidR="007E4247" w:rsidRDefault="007E4247" w:rsidP="003974A2">
      <w:pPr>
        <w:spacing w:after="0" w:line="360" w:lineRule="auto"/>
        <w:jc w:val="center"/>
        <w:rPr>
          <w:rFonts w:ascii="Times New Roman" w:eastAsia="Calibri" w:hAnsi="Times New Roman" w:cs="Times New Roman"/>
          <w:sz w:val="24"/>
          <w:szCs w:val="24"/>
        </w:rPr>
      </w:pPr>
    </w:p>
    <w:p w14:paraId="60BAABDB" w14:textId="25BD8D78" w:rsidR="007E4247" w:rsidRDefault="007E4247" w:rsidP="003974A2">
      <w:pPr>
        <w:spacing w:after="0" w:line="360" w:lineRule="auto"/>
        <w:jc w:val="center"/>
        <w:rPr>
          <w:rFonts w:ascii="Times New Roman" w:eastAsia="Calibri" w:hAnsi="Times New Roman" w:cs="Times New Roman"/>
          <w:sz w:val="24"/>
          <w:szCs w:val="24"/>
        </w:rPr>
      </w:pPr>
      <w:r>
        <w:rPr>
          <w:noProof/>
        </w:rPr>
        <w:lastRenderedPageBreak/>
        <w:drawing>
          <wp:inline distT="0" distB="0" distL="0" distR="0" wp14:anchorId="73E8E957" wp14:editId="494CAA03">
            <wp:extent cx="5370830" cy="8503920"/>
            <wp:effectExtent l="0" t="0" r="127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70830" cy="8503920"/>
                    </a:xfrm>
                    <a:prstGeom prst="rect">
                      <a:avLst/>
                    </a:prstGeom>
                  </pic:spPr>
                </pic:pic>
              </a:graphicData>
            </a:graphic>
          </wp:inline>
        </w:drawing>
      </w:r>
    </w:p>
    <w:sectPr w:rsidR="007E4247" w:rsidSect="001F78B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A8C9E" w14:textId="77777777" w:rsidR="00500CE1" w:rsidRDefault="00500CE1" w:rsidP="00F44833">
      <w:pPr>
        <w:spacing w:after="0" w:line="240" w:lineRule="auto"/>
      </w:pPr>
      <w:r>
        <w:separator/>
      </w:r>
    </w:p>
  </w:endnote>
  <w:endnote w:type="continuationSeparator" w:id="0">
    <w:p w14:paraId="6FCAF94D" w14:textId="77777777" w:rsidR="00500CE1" w:rsidRDefault="00500CE1" w:rsidP="00F44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364195"/>
      <w:docPartObj>
        <w:docPartGallery w:val="Page Numbers (Bottom of Page)"/>
        <w:docPartUnique/>
      </w:docPartObj>
    </w:sdtPr>
    <w:sdtEndPr>
      <w:rPr>
        <w:rFonts w:ascii="Times New Roman" w:hAnsi="Times New Roman" w:cs="Times New Roman"/>
        <w:noProof/>
        <w:sz w:val="26"/>
        <w:szCs w:val="26"/>
      </w:rPr>
    </w:sdtEndPr>
    <w:sdtContent>
      <w:p w14:paraId="3B585858" w14:textId="6728E292" w:rsidR="00D403B0" w:rsidRPr="00384E59" w:rsidRDefault="00D403B0" w:rsidP="00384E59">
        <w:pPr>
          <w:pStyle w:val="Footer"/>
          <w:jc w:val="center"/>
          <w:rPr>
            <w:rFonts w:ascii="Times New Roman" w:hAnsi="Times New Roman" w:cs="Times New Roman"/>
            <w:sz w:val="26"/>
            <w:szCs w:val="26"/>
          </w:rPr>
        </w:pPr>
        <w:r w:rsidRPr="00F57DC4">
          <w:rPr>
            <w:rFonts w:ascii="Times New Roman" w:hAnsi="Times New Roman" w:cs="Times New Roman"/>
            <w:sz w:val="26"/>
            <w:szCs w:val="26"/>
          </w:rPr>
          <w:fldChar w:fldCharType="begin"/>
        </w:r>
        <w:r w:rsidRPr="00F57DC4">
          <w:rPr>
            <w:rFonts w:ascii="Times New Roman" w:hAnsi="Times New Roman" w:cs="Times New Roman"/>
            <w:sz w:val="26"/>
            <w:szCs w:val="26"/>
          </w:rPr>
          <w:instrText xml:space="preserve"> PAGE   \* MERGEFORMAT </w:instrText>
        </w:r>
        <w:r w:rsidRPr="00F57DC4">
          <w:rPr>
            <w:rFonts w:ascii="Times New Roman" w:hAnsi="Times New Roman" w:cs="Times New Roman"/>
            <w:sz w:val="26"/>
            <w:szCs w:val="26"/>
          </w:rPr>
          <w:fldChar w:fldCharType="separate"/>
        </w:r>
        <w:r>
          <w:rPr>
            <w:rFonts w:ascii="Times New Roman" w:hAnsi="Times New Roman" w:cs="Times New Roman"/>
            <w:noProof/>
            <w:sz w:val="26"/>
            <w:szCs w:val="26"/>
          </w:rPr>
          <w:t>6</w:t>
        </w:r>
        <w:r w:rsidRPr="00F57DC4">
          <w:rPr>
            <w:rFonts w:ascii="Times New Roman" w:hAnsi="Times New Roman" w:cs="Times New Roman"/>
            <w:noProof/>
            <w:sz w:val="26"/>
            <w:szCs w:val="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0990" w14:textId="0991B7E7" w:rsidR="00E643E4" w:rsidRPr="00384E59" w:rsidRDefault="00E643E4" w:rsidP="00384E59">
    <w:pPr>
      <w:pStyle w:val="Footer"/>
      <w:jc w:val="center"/>
      <w:rPr>
        <w:rFonts w:ascii="Times New Roman" w:hAnsi="Times New Roman" w:cs="Times New Roman"/>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F58B" w14:textId="77777777" w:rsidR="00D403B0" w:rsidRPr="00F60EC1" w:rsidRDefault="00D403B0" w:rsidP="00564AAB">
    <w:pPr>
      <w:pStyle w:val="CommentText"/>
      <w:tabs>
        <w:tab w:val="center" w:pos="4680"/>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46243" w14:textId="77777777" w:rsidR="00500CE1" w:rsidRDefault="00500CE1" w:rsidP="00F44833">
      <w:pPr>
        <w:spacing w:after="0" w:line="240" w:lineRule="auto"/>
      </w:pPr>
      <w:r>
        <w:separator/>
      </w:r>
    </w:p>
  </w:footnote>
  <w:footnote w:type="continuationSeparator" w:id="0">
    <w:p w14:paraId="55A42022" w14:textId="77777777" w:rsidR="00500CE1" w:rsidRDefault="00500CE1" w:rsidP="00F44833">
      <w:pPr>
        <w:spacing w:after="0" w:line="240" w:lineRule="auto"/>
      </w:pPr>
      <w:r>
        <w:continuationSeparator/>
      </w:r>
    </w:p>
  </w:footnote>
  <w:footnote w:id="1">
    <w:p w14:paraId="0E8F54A1" w14:textId="208291D1" w:rsidR="00E268EF" w:rsidRPr="00E268EF" w:rsidRDefault="00E268EF" w:rsidP="00546DE7">
      <w:pPr>
        <w:pStyle w:val="FootnoteText"/>
        <w:keepNext/>
        <w:keepLines/>
        <w:ind w:firstLine="720"/>
        <w:rPr>
          <w:rFonts w:ascii="Times New Roman" w:hAnsi="Times New Roman" w:cs="Times New Roman"/>
          <w:sz w:val="26"/>
          <w:szCs w:val="26"/>
        </w:rPr>
      </w:pPr>
      <w:r w:rsidRPr="00E268EF">
        <w:rPr>
          <w:rStyle w:val="FootnoteReference"/>
          <w:rFonts w:ascii="Times New Roman" w:hAnsi="Times New Roman" w:cs="Times New Roman"/>
          <w:sz w:val="26"/>
          <w:szCs w:val="26"/>
        </w:rPr>
        <w:footnoteRef/>
      </w:r>
      <w:r w:rsidRPr="00E268EF">
        <w:rPr>
          <w:rFonts w:ascii="Times New Roman" w:hAnsi="Times New Roman" w:cs="Times New Roman"/>
          <w:sz w:val="26"/>
          <w:szCs w:val="26"/>
        </w:rPr>
        <w:t xml:space="preserve"> </w:t>
      </w:r>
      <w:r w:rsidRPr="00E268EF">
        <w:rPr>
          <w:rFonts w:ascii="Times New Roman" w:hAnsi="Times New Roman" w:cs="Times New Roman"/>
          <w:sz w:val="26"/>
          <w:szCs w:val="26"/>
        </w:rPr>
        <w:tab/>
        <w:t xml:space="preserve">On June 1, </w:t>
      </w:r>
      <w:r>
        <w:rPr>
          <w:rFonts w:ascii="Times New Roman" w:hAnsi="Times New Roman" w:cs="Times New Roman"/>
          <w:sz w:val="26"/>
          <w:szCs w:val="26"/>
        </w:rPr>
        <w:t>2017, PPL’s default rate for June through November 2017 increased to 8.493 cents per kilowatt-hour (kWh).  However, on December 1, 2017, PPL’s default rate for December 2017 through May 2018 decreased to 7.463 cents per kWh.  Petition at 5.</w:t>
      </w:r>
    </w:p>
  </w:footnote>
  <w:footnote w:id="2">
    <w:p w14:paraId="31DDE43B" w14:textId="5622CE6C" w:rsidR="00914EC9" w:rsidRPr="00914EC9" w:rsidRDefault="00914EC9" w:rsidP="00914EC9">
      <w:pPr>
        <w:pStyle w:val="FootnoteText"/>
        <w:keepNext/>
        <w:keepLines/>
        <w:spacing w:after="120"/>
        <w:ind w:firstLine="720"/>
        <w:rPr>
          <w:rFonts w:ascii="Times New Roman" w:hAnsi="Times New Roman" w:cs="Times New Roman"/>
          <w:sz w:val="26"/>
          <w:szCs w:val="26"/>
        </w:rPr>
      </w:pPr>
      <w:r w:rsidRPr="00914EC9">
        <w:rPr>
          <w:rStyle w:val="FootnoteReference"/>
          <w:rFonts w:ascii="Times New Roman" w:hAnsi="Times New Roman" w:cs="Times New Roman"/>
          <w:sz w:val="26"/>
          <w:szCs w:val="26"/>
        </w:rPr>
        <w:footnoteRef/>
      </w:r>
      <w:r w:rsidRPr="00914EC9">
        <w:rPr>
          <w:rFonts w:ascii="Times New Roman" w:hAnsi="Times New Roman" w:cs="Times New Roman"/>
          <w:sz w:val="26"/>
          <w:szCs w:val="26"/>
        </w:rPr>
        <w:t xml:space="preserve"> </w:t>
      </w:r>
      <w:r>
        <w:rPr>
          <w:rFonts w:ascii="Times New Roman" w:hAnsi="Times New Roman" w:cs="Times New Roman"/>
          <w:sz w:val="26"/>
          <w:szCs w:val="26"/>
        </w:rPr>
        <w:tab/>
      </w:r>
      <w:r w:rsidRPr="00914EC9">
        <w:rPr>
          <w:rFonts w:ascii="Times New Roman" w:hAnsi="Times New Roman" w:cs="Times New Roman"/>
          <w:sz w:val="26"/>
          <w:szCs w:val="26"/>
        </w:rPr>
        <w:t>“A licensee shall maintain the confidentiality of a consumer's personal information including the name, address and telephone number, and historic payment information, and provide the right of access by the consumer to his own load and billing information.”  52 Pa. Code § 54.43(d).</w:t>
      </w:r>
    </w:p>
  </w:footnote>
  <w:footnote w:id="3">
    <w:p w14:paraId="022E90EB" w14:textId="2255E159" w:rsidR="00914EC9" w:rsidRPr="00914EC9" w:rsidRDefault="00914EC9" w:rsidP="00914EC9">
      <w:pPr>
        <w:pStyle w:val="FootnoteText"/>
        <w:keepNext/>
        <w:keepLines/>
        <w:spacing w:after="120"/>
        <w:ind w:firstLine="720"/>
        <w:rPr>
          <w:rFonts w:ascii="Times New Roman" w:hAnsi="Times New Roman" w:cs="Times New Roman"/>
          <w:sz w:val="26"/>
          <w:szCs w:val="26"/>
        </w:rPr>
      </w:pPr>
      <w:r w:rsidRPr="00914EC9">
        <w:rPr>
          <w:rStyle w:val="FootnoteReference"/>
          <w:rFonts w:ascii="Times New Roman" w:hAnsi="Times New Roman" w:cs="Times New Roman"/>
          <w:sz w:val="26"/>
          <w:szCs w:val="26"/>
        </w:rPr>
        <w:footnoteRef/>
      </w:r>
      <w:r w:rsidRPr="00914EC9">
        <w:rPr>
          <w:rFonts w:ascii="Times New Roman" w:hAnsi="Times New Roman" w:cs="Times New Roman"/>
          <w:sz w:val="26"/>
          <w:szCs w:val="26"/>
        </w:rPr>
        <w:t xml:space="preserve"> </w:t>
      </w:r>
      <w:r w:rsidRPr="00914EC9">
        <w:rPr>
          <w:rFonts w:ascii="Times New Roman" w:hAnsi="Times New Roman" w:cs="Times New Roman"/>
          <w:sz w:val="26"/>
          <w:szCs w:val="26"/>
        </w:rPr>
        <w:tab/>
        <w:t>“A supplier may not make false or misleading representations including misrepresenting rates or savings offered by the supplier.”  52 Pa. Code § 111.12(d)(2).</w:t>
      </w:r>
    </w:p>
  </w:footnote>
  <w:footnote w:id="4">
    <w:p w14:paraId="706D4B05" w14:textId="039A0495" w:rsidR="00914EC9" w:rsidRPr="00914EC9" w:rsidRDefault="00914EC9" w:rsidP="00914EC9">
      <w:pPr>
        <w:pStyle w:val="FootnoteText"/>
        <w:keepNext/>
        <w:keepLines/>
        <w:spacing w:after="120"/>
        <w:ind w:firstLine="720"/>
        <w:rPr>
          <w:rFonts w:ascii="Times New Roman" w:hAnsi="Times New Roman" w:cs="Times New Roman"/>
          <w:sz w:val="26"/>
          <w:szCs w:val="26"/>
        </w:rPr>
      </w:pPr>
      <w:r w:rsidRPr="00914EC9">
        <w:rPr>
          <w:rStyle w:val="FootnoteReference"/>
          <w:rFonts w:ascii="Times New Roman" w:hAnsi="Times New Roman" w:cs="Times New Roman"/>
          <w:sz w:val="26"/>
          <w:szCs w:val="26"/>
        </w:rPr>
        <w:footnoteRef/>
      </w:r>
      <w:r w:rsidRPr="00914EC9">
        <w:rPr>
          <w:rFonts w:ascii="Times New Roman" w:hAnsi="Times New Roman" w:cs="Times New Roman"/>
          <w:sz w:val="26"/>
          <w:szCs w:val="26"/>
        </w:rPr>
        <w:t xml:space="preserve"> </w:t>
      </w:r>
      <w:r w:rsidRPr="00914EC9">
        <w:rPr>
          <w:rFonts w:ascii="Times New Roman" w:hAnsi="Times New Roman" w:cs="Times New Roman"/>
          <w:sz w:val="26"/>
          <w:szCs w:val="26"/>
        </w:rPr>
        <w:tab/>
        <w:t>“A supplier shall provide accurate and timely information about services and products being offered. Information includes rates being offered, contract terms, early termination fees and right of cancellation and rescission.”  52 Pa. Code §</w:t>
      </w:r>
      <w:r w:rsidR="006746CA">
        <w:rPr>
          <w:rFonts w:ascii="Times New Roman" w:hAnsi="Times New Roman" w:cs="Times New Roman"/>
          <w:sz w:val="26"/>
          <w:szCs w:val="26"/>
        </w:rPr>
        <w:t> </w:t>
      </w:r>
      <w:r w:rsidRPr="00914EC9">
        <w:rPr>
          <w:rFonts w:ascii="Times New Roman" w:hAnsi="Times New Roman" w:cs="Times New Roman"/>
          <w:sz w:val="26"/>
          <w:szCs w:val="26"/>
        </w:rPr>
        <w:t>111.12(d)(4).</w:t>
      </w:r>
    </w:p>
  </w:footnote>
  <w:footnote w:id="5">
    <w:p w14:paraId="3EC7B7DF" w14:textId="2DEE44D0" w:rsidR="00914EC9" w:rsidRDefault="00914EC9" w:rsidP="00951986">
      <w:pPr>
        <w:pStyle w:val="FootnoteText"/>
        <w:keepNext/>
        <w:keepLines/>
        <w:ind w:firstLine="720"/>
      </w:pPr>
      <w:r w:rsidRPr="00914EC9">
        <w:rPr>
          <w:rStyle w:val="FootnoteReference"/>
          <w:rFonts w:ascii="Times New Roman" w:hAnsi="Times New Roman" w:cs="Times New Roman"/>
          <w:sz w:val="26"/>
          <w:szCs w:val="26"/>
        </w:rPr>
        <w:footnoteRef/>
      </w:r>
      <w:r w:rsidRPr="00914EC9">
        <w:rPr>
          <w:rFonts w:ascii="Times New Roman" w:hAnsi="Times New Roman" w:cs="Times New Roman"/>
          <w:sz w:val="26"/>
          <w:szCs w:val="26"/>
        </w:rPr>
        <w:t xml:space="preserve"> </w:t>
      </w:r>
      <w:r w:rsidRPr="00914EC9">
        <w:rPr>
          <w:rFonts w:ascii="Times New Roman" w:hAnsi="Times New Roman" w:cs="Times New Roman"/>
          <w:sz w:val="26"/>
          <w:szCs w:val="26"/>
        </w:rPr>
        <w:tab/>
        <w:t>“A supplier may not engage in misleading or deceptive conduct as defined by State or Federal law, or by Commission rule, regulation or order.”  52 Pa. Code §</w:t>
      </w:r>
      <w:r w:rsidR="006746CA">
        <w:rPr>
          <w:rFonts w:ascii="Times New Roman" w:hAnsi="Times New Roman" w:cs="Times New Roman"/>
          <w:sz w:val="26"/>
          <w:szCs w:val="26"/>
        </w:rPr>
        <w:t> </w:t>
      </w:r>
      <w:r w:rsidRPr="00914EC9">
        <w:rPr>
          <w:rFonts w:ascii="Times New Roman" w:hAnsi="Times New Roman" w:cs="Times New Roman"/>
          <w:sz w:val="26"/>
          <w:szCs w:val="26"/>
        </w:rPr>
        <w:t>111.12(d)(1).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199D" w14:textId="77777777" w:rsidR="00D403B0" w:rsidRDefault="00D403B0" w:rsidP="00393726">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BEFORE THE</w:t>
    </w:r>
  </w:p>
  <w:p w14:paraId="3B9A1C07" w14:textId="0A4DD37F" w:rsidR="00D403B0" w:rsidRDefault="00D403B0" w:rsidP="00393726">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PENNSYLVANIA PUBLIC UTILITY COMMISSION</w:t>
    </w:r>
  </w:p>
  <w:p w14:paraId="66B75D84" w14:textId="77777777" w:rsidR="00D403B0" w:rsidRPr="00FE5FC0" w:rsidRDefault="00D403B0" w:rsidP="00393726">
    <w:pPr>
      <w:spacing w:after="0" w:line="240" w:lineRule="auto"/>
      <w:jc w:val="center"/>
      <w:rPr>
        <w:rFonts w:ascii="Times New Roman" w:hAnsi="Times New Roman" w:cs="Times New Roman"/>
        <w:b/>
        <w:bCs/>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117"/>
    <w:multiLevelType w:val="hybridMultilevel"/>
    <w:tmpl w:val="042C57D2"/>
    <w:lvl w:ilvl="0" w:tplc="757A4E3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6762B"/>
    <w:multiLevelType w:val="hybridMultilevel"/>
    <w:tmpl w:val="697C390A"/>
    <w:lvl w:ilvl="0" w:tplc="A5AA077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D0AAC"/>
    <w:multiLevelType w:val="hybridMultilevel"/>
    <w:tmpl w:val="E4A0845E"/>
    <w:lvl w:ilvl="0" w:tplc="F82EBA5E">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FAD247F"/>
    <w:multiLevelType w:val="multilevel"/>
    <w:tmpl w:val="0D025166"/>
    <w:lvl w:ilvl="0">
      <w:start w:val="2"/>
      <w:numFmt w:val="upperRoman"/>
      <w:lvlText w:val="%1."/>
      <w:lvlJc w:val="left"/>
      <w:pPr>
        <w:ind w:left="720" w:hanging="720"/>
      </w:pPr>
      <w:rPr>
        <w:rFonts w:ascii="Times New Roman Bold" w:hAnsi="Times New Roman Bold" w:hint="default"/>
        <w:b/>
        <w:i w:val="0"/>
        <w:sz w:val="26"/>
      </w:rPr>
    </w:lvl>
    <w:lvl w:ilvl="1">
      <w:start w:val="16"/>
      <w:numFmt w:val="decimal"/>
      <w:lvlText w:val="%2."/>
      <w:lvlJc w:val="left"/>
      <w:pPr>
        <w:ind w:left="1080" w:hanging="360"/>
      </w:pPr>
      <w:rPr>
        <w:rFonts w:hint="default"/>
        <w:b w:val="0"/>
        <w:i w:val="0"/>
        <w:sz w:val="26"/>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25380FFF"/>
    <w:multiLevelType w:val="hybridMultilevel"/>
    <w:tmpl w:val="968C241E"/>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B71A6"/>
    <w:multiLevelType w:val="hybridMultilevel"/>
    <w:tmpl w:val="66E6F824"/>
    <w:lvl w:ilvl="0" w:tplc="1C36A96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9863496"/>
    <w:multiLevelType w:val="hybridMultilevel"/>
    <w:tmpl w:val="1E9A44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CD7156"/>
    <w:multiLevelType w:val="hybridMultilevel"/>
    <w:tmpl w:val="525882BA"/>
    <w:lvl w:ilvl="0" w:tplc="86A287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FD35254"/>
    <w:multiLevelType w:val="hybridMultilevel"/>
    <w:tmpl w:val="3A44B5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1A067FF"/>
    <w:multiLevelType w:val="hybridMultilevel"/>
    <w:tmpl w:val="CBF071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35F3EE3"/>
    <w:multiLevelType w:val="hybridMultilevel"/>
    <w:tmpl w:val="D583617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B5E674F"/>
    <w:multiLevelType w:val="hybridMultilevel"/>
    <w:tmpl w:val="AEAEC89C"/>
    <w:lvl w:ilvl="0" w:tplc="CD7208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BB27543"/>
    <w:multiLevelType w:val="hybridMultilevel"/>
    <w:tmpl w:val="2FDC96AC"/>
    <w:lvl w:ilvl="0" w:tplc="0D362C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D5FED1F"/>
    <w:multiLevelType w:val="hybridMultilevel"/>
    <w:tmpl w:val="91A15BE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59F5B73"/>
    <w:multiLevelType w:val="hybridMultilevel"/>
    <w:tmpl w:val="66E6F824"/>
    <w:lvl w:ilvl="0" w:tplc="1C36A96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6B7817EE"/>
    <w:multiLevelType w:val="hybridMultilevel"/>
    <w:tmpl w:val="EC425E7A"/>
    <w:lvl w:ilvl="0" w:tplc="EBA6FB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1A05D91"/>
    <w:multiLevelType w:val="hybridMultilevel"/>
    <w:tmpl w:val="66E6F824"/>
    <w:lvl w:ilvl="0" w:tplc="1C36A96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71E1A4E"/>
    <w:multiLevelType w:val="multilevel"/>
    <w:tmpl w:val="64A8E10E"/>
    <w:lvl w:ilvl="0">
      <w:start w:val="1"/>
      <w:numFmt w:val="upperRoman"/>
      <w:lvlText w:val="%1."/>
      <w:lvlJc w:val="left"/>
      <w:pPr>
        <w:ind w:left="720" w:hanging="720"/>
      </w:pPr>
      <w:rPr>
        <w:rFonts w:ascii="Times New Roman Bold" w:hAnsi="Times New Roman Bold" w:hint="default"/>
        <w:b/>
        <w:i w:val="0"/>
        <w:sz w:val="26"/>
      </w:rPr>
    </w:lvl>
    <w:lvl w:ilvl="1">
      <w:start w:val="41"/>
      <w:numFmt w:val="decimal"/>
      <w:lvlText w:val="%2."/>
      <w:lvlJc w:val="left"/>
      <w:pPr>
        <w:ind w:left="720" w:hanging="360"/>
      </w:pPr>
      <w:rPr>
        <w:rFonts w:hint="default"/>
        <w:b w:val="0"/>
        <w:i w:val="0"/>
        <w:sz w:val="26"/>
      </w:rPr>
    </w:lvl>
    <w:lvl w:ilvl="2">
      <w:start w:val="1"/>
      <w:numFmt w:val="lowerLetter"/>
      <w:lvlText w:val="%3."/>
      <w:lvlJc w:val="left"/>
      <w:pPr>
        <w:ind w:left="1800" w:hanging="360"/>
      </w:pPr>
      <w:rPr>
        <w:rFonts w:hint="default"/>
        <w:b w:val="0"/>
        <w:bCs/>
        <w:i w:val="0"/>
        <w:sz w:val="26"/>
      </w:rPr>
    </w:lvl>
    <w:lvl w:ilvl="3">
      <w:start w:val="1"/>
      <w:numFmt w:val="lowerLetter"/>
      <w:lvlText w:val="%4."/>
      <w:lvlJc w:val="left"/>
      <w:pPr>
        <w:ind w:left="2160" w:hanging="720"/>
      </w:pPr>
      <w:rPr>
        <w:rFonts w:ascii="Times New Roman" w:hAnsi="Times New Roman" w:hint="default"/>
        <w:b w:val="0"/>
        <w:i w:val="0"/>
        <w:sz w:val="26"/>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7CF22E85"/>
    <w:multiLevelType w:val="hybridMultilevel"/>
    <w:tmpl w:val="9EEE9AB4"/>
    <w:lvl w:ilvl="0" w:tplc="18E0ADC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7"/>
  </w:num>
  <w:num w:numId="4">
    <w:abstractNumId w:val="4"/>
  </w:num>
  <w:num w:numId="5">
    <w:abstractNumId w:val="11"/>
  </w:num>
  <w:num w:numId="6">
    <w:abstractNumId w:val="15"/>
  </w:num>
  <w:num w:numId="7">
    <w:abstractNumId w:val="12"/>
  </w:num>
  <w:num w:numId="8">
    <w:abstractNumId w:val="1"/>
  </w:num>
  <w:num w:numId="9">
    <w:abstractNumId w:val="9"/>
  </w:num>
  <w:num w:numId="10">
    <w:abstractNumId w:val="8"/>
  </w:num>
  <w:num w:numId="11">
    <w:abstractNumId w:val="6"/>
  </w:num>
  <w:num w:numId="12">
    <w:abstractNumId w:val="3"/>
  </w:num>
  <w:num w:numId="13">
    <w:abstractNumId w:val="17"/>
  </w:num>
  <w:num w:numId="14">
    <w:abstractNumId w:val="2"/>
  </w:num>
  <w:num w:numId="15">
    <w:abstractNumId w:val="13"/>
  </w:num>
  <w:num w:numId="16">
    <w:abstractNumId w:val="10"/>
  </w:num>
  <w:num w:numId="17">
    <w:abstractNumId w:val="16"/>
  </w:num>
  <w:num w:numId="18">
    <w:abstractNumId w:val="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833"/>
    <w:rsid w:val="00003FF9"/>
    <w:rsid w:val="00004D0E"/>
    <w:rsid w:val="00010129"/>
    <w:rsid w:val="0001016D"/>
    <w:rsid w:val="000162A3"/>
    <w:rsid w:val="0002071A"/>
    <w:rsid w:val="0002170C"/>
    <w:rsid w:val="00021B13"/>
    <w:rsid w:val="00026C60"/>
    <w:rsid w:val="00026DFB"/>
    <w:rsid w:val="0003493F"/>
    <w:rsid w:val="00036DF0"/>
    <w:rsid w:val="000460AD"/>
    <w:rsid w:val="00047710"/>
    <w:rsid w:val="00050C2B"/>
    <w:rsid w:val="000518DA"/>
    <w:rsid w:val="000529AD"/>
    <w:rsid w:val="00053ABC"/>
    <w:rsid w:val="0005441E"/>
    <w:rsid w:val="0005787B"/>
    <w:rsid w:val="00060D64"/>
    <w:rsid w:val="000618DE"/>
    <w:rsid w:val="00064B21"/>
    <w:rsid w:val="00066E0A"/>
    <w:rsid w:val="00070942"/>
    <w:rsid w:val="00072EB3"/>
    <w:rsid w:val="000747C7"/>
    <w:rsid w:val="00083168"/>
    <w:rsid w:val="00085649"/>
    <w:rsid w:val="00093521"/>
    <w:rsid w:val="00095552"/>
    <w:rsid w:val="00097E1B"/>
    <w:rsid w:val="00097F92"/>
    <w:rsid w:val="000A1056"/>
    <w:rsid w:val="000A192C"/>
    <w:rsid w:val="000A1ABD"/>
    <w:rsid w:val="000A38C4"/>
    <w:rsid w:val="000A57C0"/>
    <w:rsid w:val="000B12CD"/>
    <w:rsid w:val="000B12D6"/>
    <w:rsid w:val="000B6FB1"/>
    <w:rsid w:val="000C58A3"/>
    <w:rsid w:val="000D36D3"/>
    <w:rsid w:val="000D3751"/>
    <w:rsid w:val="000D4552"/>
    <w:rsid w:val="000E06BE"/>
    <w:rsid w:val="000E0704"/>
    <w:rsid w:val="000E1629"/>
    <w:rsid w:val="000E209B"/>
    <w:rsid w:val="000E7DCB"/>
    <w:rsid w:val="000F4CEE"/>
    <w:rsid w:val="000F57C3"/>
    <w:rsid w:val="000F5CB7"/>
    <w:rsid w:val="000F5FD3"/>
    <w:rsid w:val="00100BB0"/>
    <w:rsid w:val="00103864"/>
    <w:rsid w:val="00104E49"/>
    <w:rsid w:val="00111918"/>
    <w:rsid w:val="001135AF"/>
    <w:rsid w:val="00114759"/>
    <w:rsid w:val="00117DE8"/>
    <w:rsid w:val="001211E1"/>
    <w:rsid w:val="00123F36"/>
    <w:rsid w:val="00124B21"/>
    <w:rsid w:val="00125A3B"/>
    <w:rsid w:val="00132D49"/>
    <w:rsid w:val="00136B19"/>
    <w:rsid w:val="00136D30"/>
    <w:rsid w:val="00150F2C"/>
    <w:rsid w:val="001602ED"/>
    <w:rsid w:val="0016261E"/>
    <w:rsid w:val="00164743"/>
    <w:rsid w:val="00166A7D"/>
    <w:rsid w:val="0017126E"/>
    <w:rsid w:val="0017188E"/>
    <w:rsid w:val="00176BC5"/>
    <w:rsid w:val="00177AAF"/>
    <w:rsid w:val="00183096"/>
    <w:rsid w:val="001A2DB5"/>
    <w:rsid w:val="001B1AFA"/>
    <w:rsid w:val="001B1C39"/>
    <w:rsid w:val="001B2B83"/>
    <w:rsid w:val="001B2F2B"/>
    <w:rsid w:val="001B516C"/>
    <w:rsid w:val="001B7F9A"/>
    <w:rsid w:val="001C1DE2"/>
    <w:rsid w:val="001C2670"/>
    <w:rsid w:val="001C2E2F"/>
    <w:rsid w:val="001D10E4"/>
    <w:rsid w:val="001D21A5"/>
    <w:rsid w:val="001D41E8"/>
    <w:rsid w:val="001D4687"/>
    <w:rsid w:val="001D59AA"/>
    <w:rsid w:val="001E3DAA"/>
    <w:rsid w:val="001F370C"/>
    <w:rsid w:val="001F78B8"/>
    <w:rsid w:val="0021289D"/>
    <w:rsid w:val="00213B86"/>
    <w:rsid w:val="00217F32"/>
    <w:rsid w:val="00220BEC"/>
    <w:rsid w:val="00221006"/>
    <w:rsid w:val="00223B31"/>
    <w:rsid w:val="00225A89"/>
    <w:rsid w:val="002325D2"/>
    <w:rsid w:val="00234989"/>
    <w:rsid w:val="00237B07"/>
    <w:rsid w:val="002414BC"/>
    <w:rsid w:val="00250DF7"/>
    <w:rsid w:val="002556F8"/>
    <w:rsid w:val="002571C4"/>
    <w:rsid w:val="00257C69"/>
    <w:rsid w:val="00263A3B"/>
    <w:rsid w:val="00263AE5"/>
    <w:rsid w:val="0026457A"/>
    <w:rsid w:val="00274EFD"/>
    <w:rsid w:val="0027699B"/>
    <w:rsid w:val="00280341"/>
    <w:rsid w:val="00282116"/>
    <w:rsid w:val="00293480"/>
    <w:rsid w:val="002A1DA9"/>
    <w:rsid w:val="002A70C8"/>
    <w:rsid w:val="002B5ADA"/>
    <w:rsid w:val="002B76FD"/>
    <w:rsid w:val="002C02C9"/>
    <w:rsid w:val="002C091F"/>
    <w:rsid w:val="002C0EE4"/>
    <w:rsid w:val="002C66A7"/>
    <w:rsid w:val="002D0A6C"/>
    <w:rsid w:val="002D15AB"/>
    <w:rsid w:val="002E1DB5"/>
    <w:rsid w:val="002E3FD9"/>
    <w:rsid w:val="002E4C1F"/>
    <w:rsid w:val="002E68A7"/>
    <w:rsid w:val="002E7157"/>
    <w:rsid w:val="002F164C"/>
    <w:rsid w:val="00300007"/>
    <w:rsid w:val="00300236"/>
    <w:rsid w:val="00305B3C"/>
    <w:rsid w:val="00305E22"/>
    <w:rsid w:val="0030728F"/>
    <w:rsid w:val="00317D03"/>
    <w:rsid w:val="0032127D"/>
    <w:rsid w:val="00321AF5"/>
    <w:rsid w:val="00322836"/>
    <w:rsid w:val="003240C5"/>
    <w:rsid w:val="00325086"/>
    <w:rsid w:val="003275FD"/>
    <w:rsid w:val="00335F40"/>
    <w:rsid w:val="00337AE9"/>
    <w:rsid w:val="003410E6"/>
    <w:rsid w:val="00343F8A"/>
    <w:rsid w:val="00350B95"/>
    <w:rsid w:val="00351CB9"/>
    <w:rsid w:val="0035603E"/>
    <w:rsid w:val="00363E57"/>
    <w:rsid w:val="003649C2"/>
    <w:rsid w:val="003712B4"/>
    <w:rsid w:val="00382C0B"/>
    <w:rsid w:val="00384C8C"/>
    <w:rsid w:val="00384CB1"/>
    <w:rsid w:val="00384E59"/>
    <w:rsid w:val="00391093"/>
    <w:rsid w:val="003919F5"/>
    <w:rsid w:val="00393726"/>
    <w:rsid w:val="00395EF4"/>
    <w:rsid w:val="003974A2"/>
    <w:rsid w:val="003A0187"/>
    <w:rsid w:val="003A033D"/>
    <w:rsid w:val="003B1203"/>
    <w:rsid w:val="003B1A2C"/>
    <w:rsid w:val="003B5039"/>
    <w:rsid w:val="003B5FBA"/>
    <w:rsid w:val="003B7A7D"/>
    <w:rsid w:val="003C68C2"/>
    <w:rsid w:val="003D7918"/>
    <w:rsid w:val="003E442D"/>
    <w:rsid w:val="003F1077"/>
    <w:rsid w:val="003F762E"/>
    <w:rsid w:val="0040004F"/>
    <w:rsid w:val="00400586"/>
    <w:rsid w:val="004103BA"/>
    <w:rsid w:val="00414D40"/>
    <w:rsid w:val="00421D3D"/>
    <w:rsid w:val="004224F9"/>
    <w:rsid w:val="00423B5B"/>
    <w:rsid w:val="00424FBA"/>
    <w:rsid w:val="00431C5E"/>
    <w:rsid w:val="00431E4E"/>
    <w:rsid w:val="00432DEB"/>
    <w:rsid w:val="00432F9F"/>
    <w:rsid w:val="004334B2"/>
    <w:rsid w:val="00433793"/>
    <w:rsid w:val="004337E6"/>
    <w:rsid w:val="0043552E"/>
    <w:rsid w:val="00442940"/>
    <w:rsid w:val="00443C12"/>
    <w:rsid w:val="00447337"/>
    <w:rsid w:val="0046153E"/>
    <w:rsid w:val="0046580D"/>
    <w:rsid w:val="004676AB"/>
    <w:rsid w:val="004740D1"/>
    <w:rsid w:val="00481559"/>
    <w:rsid w:val="004817BA"/>
    <w:rsid w:val="004911F1"/>
    <w:rsid w:val="004928D5"/>
    <w:rsid w:val="00493BFF"/>
    <w:rsid w:val="00494814"/>
    <w:rsid w:val="004A53D2"/>
    <w:rsid w:val="004B075B"/>
    <w:rsid w:val="004B568F"/>
    <w:rsid w:val="004C02E6"/>
    <w:rsid w:val="004C04B5"/>
    <w:rsid w:val="004C2755"/>
    <w:rsid w:val="004C4C09"/>
    <w:rsid w:val="004C694B"/>
    <w:rsid w:val="004D5491"/>
    <w:rsid w:val="004E488E"/>
    <w:rsid w:val="004E6E4A"/>
    <w:rsid w:val="004F36C1"/>
    <w:rsid w:val="004F4E97"/>
    <w:rsid w:val="004F6476"/>
    <w:rsid w:val="00500CE1"/>
    <w:rsid w:val="005011D3"/>
    <w:rsid w:val="00513E19"/>
    <w:rsid w:val="00513E4C"/>
    <w:rsid w:val="00525425"/>
    <w:rsid w:val="005268A9"/>
    <w:rsid w:val="005303B8"/>
    <w:rsid w:val="00530610"/>
    <w:rsid w:val="005315BE"/>
    <w:rsid w:val="005325EE"/>
    <w:rsid w:val="00533C13"/>
    <w:rsid w:val="0053699E"/>
    <w:rsid w:val="005433F7"/>
    <w:rsid w:val="005439DE"/>
    <w:rsid w:val="005453B6"/>
    <w:rsid w:val="00546DE7"/>
    <w:rsid w:val="0054780C"/>
    <w:rsid w:val="005500AC"/>
    <w:rsid w:val="005501A8"/>
    <w:rsid w:val="00553556"/>
    <w:rsid w:val="005569AE"/>
    <w:rsid w:val="00556CA2"/>
    <w:rsid w:val="005578A1"/>
    <w:rsid w:val="00562FEA"/>
    <w:rsid w:val="00564AAB"/>
    <w:rsid w:val="00566785"/>
    <w:rsid w:val="00570550"/>
    <w:rsid w:val="00570B5D"/>
    <w:rsid w:val="0057449C"/>
    <w:rsid w:val="00576BA0"/>
    <w:rsid w:val="005770E0"/>
    <w:rsid w:val="005801A6"/>
    <w:rsid w:val="00580550"/>
    <w:rsid w:val="00581592"/>
    <w:rsid w:val="005835D9"/>
    <w:rsid w:val="00584774"/>
    <w:rsid w:val="00585C47"/>
    <w:rsid w:val="0059278B"/>
    <w:rsid w:val="005944CF"/>
    <w:rsid w:val="0059789A"/>
    <w:rsid w:val="005A0C39"/>
    <w:rsid w:val="005A2DCD"/>
    <w:rsid w:val="005A31E2"/>
    <w:rsid w:val="005A530B"/>
    <w:rsid w:val="005A7CD1"/>
    <w:rsid w:val="005C0FF7"/>
    <w:rsid w:val="005C7660"/>
    <w:rsid w:val="005D0F2B"/>
    <w:rsid w:val="005D406F"/>
    <w:rsid w:val="005D6902"/>
    <w:rsid w:val="005D69EB"/>
    <w:rsid w:val="005E00EA"/>
    <w:rsid w:val="005E4CBE"/>
    <w:rsid w:val="005F3AE6"/>
    <w:rsid w:val="0060384A"/>
    <w:rsid w:val="006065A4"/>
    <w:rsid w:val="00612F19"/>
    <w:rsid w:val="00615966"/>
    <w:rsid w:val="006227AB"/>
    <w:rsid w:val="00637421"/>
    <w:rsid w:val="00640538"/>
    <w:rsid w:val="00640D13"/>
    <w:rsid w:val="00640E8D"/>
    <w:rsid w:val="00641793"/>
    <w:rsid w:val="00641D9F"/>
    <w:rsid w:val="00646648"/>
    <w:rsid w:val="0064676A"/>
    <w:rsid w:val="0065281D"/>
    <w:rsid w:val="0065459D"/>
    <w:rsid w:val="0065749E"/>
    <w:rsid w:val="0066740B"/>
    <w:rsid w:val="006746CA"/>
    <w:rsid w:val="00674BB9"/>
    <w:rsid w:val="00677E39"/>
    <w:rsid w:val="006804F3"/>
    <w:rsid w:val="00682A5A"/>
    <w:rsid w:val="00684EF1"/>
    <w:rsid w:val="006932D1"/>
    <w:rsid w:val="00697E31"/>
    <w:rsid w:val="006A029E"/>
    <w:rsid w:val="006A0373"/>
    <w:rsid w:val="006A0452"/>
    <w:rsid w:val="006A328C"/>
    <w:rsid w:val="006A4528"/>
    <w:rsid w:val="006A75ED"/>
    <w:rsid w:val="006B27C5"/>
    <w:rsid w:val="006B537D"/>
    <w:rsid w:val="006B5462"/>
    <w:rsid w:val="006B6011"/>
    <w:rsid w:val="006B6EBD"/>
    <w:rsid w:val="006C0634"/>
    <w:rsid w:val="006D6253"/>
    <w:rsid w:val="006D70F0"/>
    <w:rsid w:val="006D71EF"/>
    <w:rsid w:val="006D733D"/>
    <w:rsid w:val="006E07A3"/>
    <w:rsid w:val="006E3317"/>
    <w:rsid w:val="006E55CC"/>
    <w:rsid w:val="006E6176"/>
    <w:rsid w:val="006F13AD"/>
    <w:rsid w:val="006F5E0A"/>
    <w:rsid w:val="006F7205"/>
    <w:rsid w:val="00702670"/>
    <w:rsid w:val="00705064"/>
    <w:rsid w:val="0070558C"/>
    <w:rsid w:val="00720E9D"/>
    <w:rsid w:val="00721F70"/>
    <w:rsid w:val="007225E8"/>
    <w:rsid w:val="0072636A"/>
    <w:rsid w:val="00734F80"/>
    <w:rsid w:val="0073537F"/>
    <w:rsid w:val="007371B3"/>
    <w:rsid w:val="007411D2"/>
    <w:rsid w:val="007427FA"/>
    <w:rsid w:val="00752ACF"/>
    <w:rsid w:val="007570FC"/>
    <w:rsid w:val="0076203D"/>
    <w:rsid w:val="00762BDE"/>
    <w:rsid w:val="0076372B"/>
    <w:rsid w:val="00764B6A"/>
    <w:rsid w:val="007837C8"/>
    <w:rsid w:val="00787E35"/>
    <w:rsid w:val="00790329"/>
    <w:rsid w:val="007A1753"/>
    <w:rsid w:val="007A1E2A"/>
    <w:rsid w:val="007A3DFA"/>
    <w:rsid w:val="007A747D"/>
    <w:rsid w:val="007A7797"/>
    <w:rsid w:val="007B1EDF"/>
    <w:rsid w:val="007B5074"/>
    <w:rsid w:val="007B5831"/>
    <w:rsid w:val="007C1050"/>
    <w:rsid w:val="007C126F"/>
    <w:rsid w:val="007C7AE6"/>
    <w:rsid w:val="007D0D75"/>
    <w:rsid w:val="007D1788"/>
    <w:rsid w:val="007D7245"/>
    <w:rsid w:val="007E3E00"/>
    <w:rsid w:val="007E4101"/>
    <w:rsid w:val="007E4247"/>
    <w:rsid w:val="007E42DC"/>
    <w:rsid w:val="007E5F1C"/>
    <w:rsid w:val="007F0F77"/>
    <w:rsid w:val="007F1479"/>
    <w:rsid w:val="007F17BC"/>
    <w:rsid w:val="007F2C07"/>
    <w:rsid w:val="007F5A48"/>
    <w:rsid w:val="007F7F24"/>
    <w:rsid w:val="00814A67"/>
    <w:rsid w:val="00815A8C"/>
    <w:rsid w:val="00821C4A"/>
    <w:rsid w:val="00831EB3"/>
    <w:rsid w:val="00832871"/>
    <w:rsid w:val="00840265"/>
    <w:rsid w:val="00842B18"/>
    <w:rsid w:val="00851BF8"/>
    <w:rsid w:val="00854C0C"/>
    <w:rsid w:val="0085509A"/>
    <w:rsid w:val="00860A43"/>
    <w:rsid w:val="00860F3C"/>
    <w:rsid w:val="00861585"/>
    <w:rsid w:val="00863031"/>
    <w:rsid w:val="00863323"/>
    <w:rsid w:val="00863B03"/>
    <w:rsid w:val="00866103"/>
    <w:rsid w:val="00870462"/>
    <w:rsid w:val="008739F0"/>
    <w:rsid w:val="00874F9D"/>
    <w:rsid w:val="008767AB"/>
    <w:rsid w:val="00880A09"/>
    <w:rsid w:val="0089334B"/>
    <w:rsid w:val="00895BF7"/>
    <w:rsid w:val="008A2700"/>
    <w:rsid w:val="008B0C79"/>
    <w:rsid w:val="008B20DC"/>
    <w:rsid w:val="008C2B2E"/>
    <w:rsid w:val="008C3120"/>
    <w:rsid w:val="008D08B4"/>
    <w:rsid w:val="008D0EEF"/>
    <w:rsid w:val="008D4C27"/>
    <w:rsid w:val="008D7AB8"/>
    <w:rsid w:val="008E1F3A"/>
    <w:rsid w:val="008E3215"/>
    <w:rsid w:val="008F2C2A"/>
    <w:rsid w:val="0090176F"/>
    <w:rsid w:val="00904B50"/>
    <w:rsid w:val="009068D9"/>
    <w:rsid w:val="00910EA4"/>
    <w:rsid w:val="009135A1"/>
    <w:rsid w:val="0091374D"/>
    <w:rsid w:val="00914EC9"/>
    <w:rsid w:val="00915325"/>
    <w:rsid w:val="00916E40"/>
    <w:rsid w:val="00917171"/>
    <w:rsid w:val="0092538B"/>
    <w:rsid w:val="009265D6"/>
    <w:rsid w:val="009333A2"/>
    <w:rsid w:val="00936061"/>
    <w:rsid w:val="00936209"/>
    <w:rsid w:val="00937E62"/>
    <w:rsid w:val="009417DE"/>
    <w:rsid w:val="00941A06"/>
    <w:rsid w:val="00947277"/>
    <w:rsid w:val="00947476"/>
    <w:rsid w:val="00951986"/>
    <w:rsid w:val="00953514"/>
    <w:rsid w:val="0095438D"/>
    <w:rsid w:val="00955DEA"/>
    <w:rsid w:val="009676B8"/>
    <w:rsid w:val="00970A0C"/>
    <w:rsid w:val="00971344"/>
    <w:rsid w:val="00974910"/>
    <w:rsid w:val="00975062"/>
    <w:rsid w:val="00981DE6"/>
    <w:rsid w:val="00984785"/>
    <w:rsid w:val="00986504"/>
    <w:rsid w:val="00991DEB"/>
    <w:rsid w:val="00992B42"/>
    <w:rsid w:val="00994537"/>
    <w:rsid w:val="00996E96"/>
    <w:rsid w:val="009A0884"/>
    <w:rsid w:val="009A4BF0"/>
    <w:rsid w:val="009B0C49"/>
    <w:rsid w:val="009B195F"/>
    <w:rsid w:val="009B273A"/>
    <w:rsid w:val="009B54E6"/>
    <w:rsid w:val="009B7DAA"/>
    <w:rsid w:val="009B7E11"/>
    <w:rsid w:val="009C12EF"/>
    <w:rsid w:val="009C3084"/>
    <w:rsid w:val="009C428B"/>
    <w:rsid w:val="009C4B40"/>
    <w:rsid w:val="009C5A4E"/>
    <w:rsid w:val="009C64F0"/>
    <w:rsid w:val="009D4BB5"/>
    <w:rsid w:val="009E0D34"/>
    <w:rsid w:val="009E2B12"/>
    <w:rsid w:val="009E6332"/>
    <w:rsid w:val="009E7AC0"/>
    <w:rsid w:val="009E7E4F"/>
    <w:rsid w:val="00A036F0"/>
    <w:rsid w:val="00A0413C"/>
    <w:rsid w:val="00A05CF0"/>
    <w:rsid w:val="00A112FE"/>
    <w:rsid w:val="00A22521"/>
    <w:rsid w:val="00A245AE"/>
    <w:rsid w:val="00A2476F"/>
    <w:rsid w:val="00A30ECF"/>
    <w:rsid w:val="00A3251D"/>
    <w:rsid w:val="00A44803"/>
    <w:rsid w:val="00A53B32"/>
    <w:rsid w:val="00A60F33"/>
    <w:rsid w:val="00A61E56"/>
    <w:rsid w:val="00A6328D"/>
    <w:rsid w:val="00A64154"/>
    <w:rsid w:val="00A6729D"/>
    <w:rsid w:val="00A67973"/>
    <w:rsid w:val="00A70E96"/>
    <w:rsid w:val="00A71AB3"/>
    <w:rsid w:val="00A830B1"/>
    <w:rsid w:val="00A83FF8"/>
    <w:rsid w:val="00A8625A"/>
    <w:rsid w:val="00A86A92"/>
    <w:rsid w:val="00A91A7B"/>
    <w:rsid w:val="00AA623F"/>
    <w:rsid w:val="00AA717A"/>
    <w:rsid w:val="00AB14E4"/>
    <w:rsid w:val="00AB3E5B"/>
    <w:rsid w:val="00AC4357"/>
    <w:rsid w:val="00AD1AA1"/>
    <w:rsid w:val="00AD3B62"/>
    <w:rsid w:val="00AD4F9A"/>
    <w:rsid w:val="00AD71A7"/>
    <w:rsid w:val="00AE1215"/>
    <w:rsid w:val="00AE2509"/>
    <w:rsid w:val="00AE4A88"/>
    <w:rsid w:val="00AE7048"/>
    <w:rsid w:val="00AF087E"/>
    <w:rsid w:val="00AF0B18"/>
    <w:rsid w:val="00AF3939"/>
    <w:rsid w:val="00AF445C"/>
    <w:rsid w:val="00AF6242"/>
    <w:rsid w:val="00B02BF3"/>
    <w:rsid w:val="00B05425"/>
    <w:rsid w:val="00B07F7F"/>
    <w:rsid w:val="00B21F72"/>
    <w:rsid w:val="00B23E17"/>
    <w:rsid w:val="00B243A1"/>
    <w:rsid w:val="00B25360"/>
    <w:rsid w:val="00B40E0E"/>
    <w:rsid w:val="00B51F27"/>
    <w:rsid w:val="00B53BD3"/>
    <w:rsid w:val="00B53FBB"/>
    <w:rsid w:val="00B6456A"/>
    <w:rsid w:val="00B663D8"/>
    <w:rsid w:val="00B70441"/>
    <w:rsid w:val="00B708FD"/>
    <w:rsid w:val="00B713E3"/>
    <w:rsid w:val="00B71B38"/>
    <w:rsid w:val="00B73DA8"/>
    <w:rsid w:val="00B80312"/>
    <w:rsid w:val="00B815F4"/>
    <w:rsid w:val="00B81D21"/>
    <w:rsid w:val="00B8214E"/>
    <w:rsid w:val="00B84690"/>
    <w:rsid w:val="00B849C3"/>
    <w:rsid w:val="00B85CE0"/>
    <w:rsid w:val="00B9753F"/>
    <w:rsid w:val="00BA1547"/>
    <w:rsid w:val="00BA553A"/>
    <w:rsid w:val="00BB1AB9"/>
    <w:rsid w:val="00BB453C"/>
    <w:rsid w:val="00BB508E"/>
    <w:rsid w:val="00BC2211"/>
    <w:rsid w:val="00BC2C9D"/>
    <w:rsid w:val="00BD0148"/>
    <w:rsid w:val="00BD0621"/>
    <w:rsid w:val="00BD0634"/>
    <w:rsid w:val="00BD2331"/>
    <w:rsid w:val="00BD63D4"/>
    <w:rsid w:val="00BD66E3"/>
    <w:rsid w:val="00BD6B39"/>
    <w:rsid w:val="00BD779B"/>
    <w:rsid w:val="00BE620D"/>
    <w:rsid w:val="00BE76DB"/>
    <w:rsid w:val="00BF60BA"/>
    <w:rsid w:val="00C030C4"/>
    <w:rsid w:val="00C046C5"/>
    <w:rsid w:val="00C1588F"/>
    <w:rsid w:val="00C15C41"/>
    <w:rsid w:val="00C200F0"/>
    <w:rsid w:val="00C20716"/>
    <w:rsid w:val="00C214FC"/>
    <w:rsid w:val="00C21DF1"/>
    <w:rsid w:val="00C220F1"/>
    <w:rsid w:val="00C26158"/>
    <w:rsid w:val="00C30FD3"/>
    <w:rsid w:val="00C31D2B"/>
    <w:rsid w:val="00C32CC8"/>
    <w:rsid w:val="00C40237"/>
    <w:rsid w:val="00C45F3B"/>
    <w:rsid w:val="00C53161"/>
    <w:rsid w:val="00C558D8"/>
    <w:rsid w:val="00C57B23"/>
    <w:rsid w:val="00C61760"/>
    <w:rsid w:val="00C626F0"/>
    <w:rsid w:val="00C6740F"/>
    <w:rsid w:val="00C70D07"/>
    <w:rsid w:val="00C77EE0"/>
    <w:rsid w:val="00C808EC"/>
    <w:rsid w:val="00C8159D"/>
    <w:rsid w:val="00C872A9"/>
    <w:rsid w:val="00C91C1A"/>
    <w:rsid w:val="00C962D8"/>
    <w:rsid w:val="00CA0164"/>
    <w:rsid w:val="00CA09AC"/>
    <w:rsid w:val="00CA1BC1"/>
    <w:rsid w:val="00CA7E79"/>
    <w:rsid w:val="00CB0BD7"/>
    <w:rsid w:val="00CB2131"/>
    <w:rsid w:val="00CB2DBF"/>
    <w:rsid w:val="00CB6C24"/>
    <w:rsid w:val="00CC3F15"/>
    <w:rsid w:val="00CD2320"/>
    <w:rsid w:val="00CD2970"/>
    <w:rsid w:val="00CD4672"/>
    <w:rsid w:val="00CE06F4"/>
    <w:rsid w:val="00CE43B0"/>
    <w:rsid w:val="00CE59B1"/>
    <w:rsid w:val="00CF1965"/>
    <w:rsid w:val="00CF5021"/>
    <w:rsid w:val="00CF6545"/>
    <w:rsid w:val="00D06A31"/>
    <w:rsid w:val="00D11D66"/>
    <w:rsid w:val="00D120CF"/>
    <w:rsid w:val="00D22DD3"/>
    <w:rsid w:val="00D24B2A"/>
    <w:rsid w:val="00D26E87"/>
    <w:rsid w:val="00D31505"/>
    <w:rsid w:val="00D31E0C"/>
    <w:rsid w:val="00D331FF"/>
    <w:rsid w:val="00D36807"/>
    <w:rsid w:val="00D36857"/>
    <w:rsid w:val="00D403B0"/>
    <w:rsid w:val="00D53853"/>
    <w:rsid w:val="00D54C0C"/>
    <w:rsid w:val="00D559F9"/>
    <w:rsid w:val="00D574CE"/>
    <w:rsid w:val="00D662B2"/>
    <w:rsid w:val="00D706FB"/>
    <w:rsid w:val="00D71559"/>
    <w:rsid w:val="00D728F4"/>
    <w:rsid w:val="00D73F19"/>
    <w:rsid w:val="00D766ED"/>
    <w:rsid w:val="00D80B94"/>
    <w:rsid w:val="00D80FE5"/>
    <w:rsid w:val="00D814DC"/>
    <w:rsid w:val="00D834AF"/>
    <w:rsid w:val="00D83C57"/>
    <w:rsid w:val="00D85C44"/>
    <w:rsid w:val="00D86FA4"/>
    <w:rsid w:val="00D924B5"/>
    <w:rsid w:val="00D969EF"/>
    <w:rsid w:val="00D97755"/>
    <w:rsid w:val="00DA1AC1"/>
    <w:rsid w:val="00DA1F51"/>
    <w:rsid w:val="00DA4D7D"/>
    <w:rsid w:val="00DA7BC9"/>
    <w:rsid w:val="00DB31CE"/>
    <w:rsid w:val="00DB324E"/>
    <w:rsid w:val="00DB6E08"/>
    <w:rsid w:val="00DC0DDF"/>
    <w:rsid w:val="00DC1007"/>
    <w:rsid w:val="00DC42F7"/>
    <w:rsid w:val="00DC5124"/>
    <w:rsid w:val="00DC665E"/>
    <w:rsid w:val="00DD4331"/>
    <w:rsid w:val="00DD4C6A"/>
    <w:rsid w:val="00DD62AF"/>
    <w:rsid w:val="00DD6D5B"/>
    <w:rsid w:val="00DE004C"/>
    <w:rsid w:val="00DE33EE"/>
    <w:rsid w:val="00DE56F7"/>
    <w:rsid w:val="00DE677B"/>
    <w:rsid w:val="00DF48D9"/>
    <w:rsid w:val="00E00D9F"/>
    <w:rsid w:val="00E10DD1"/>
    <w:rsid w:val="00E17771"/>
    <w:rsid w:val="00E1786B"/>
    <w:rsid w:val="00E201ED"/>
    <w:rsid w:val="00E21236"/>
    <w:rsid w:val="00E23721"/>
    <w:rsid w:val="00E23CF4"/>
    <w:rsid w:val="00E268EF"/>
    <w:rsid w:val="00E26E53"/>
    <w:rsid w:val="00E2771E"/>
    <w:rsid w:val="00E27B4B"/>
    <w:rsid w:val="00E3026F"/>
    <w:rsid w:val="00E37CF7"/>
    <w:rsid w:val="00E4395E"/>
    <w:rsid w:val="00E457BA"/>
    <w:rsid w:val="00E509B9"/>
    <w:rsid w:val="00E521F2"/>
    <w:rsid w:val="00E52B1F"/>
    <w:rsid w:val="00E52E86"/>
    <w:rsid w:val="00E5452B"/>
    <w:rsid w:val="00E561D0"/>
    <w:rsid w:val="00E62727"/>
    <w:rsid w:val="00E6280A"/>
    <w:rsid w:val="00E643E4"/>
    <w:rsid w:val="00E67DDE"/>
    <w:rsid w:val="00E730EB"/>
    <w:rsid w:val="00E7435B"/>
    <w:rsid w:val="00E812CC"/>
    <w:rsid w:val="00E843A7"/>
    <w:rsid w:val="00E86E9D"/>
    <w:rsid w:val="00E933E8"/>
    <w:rsid w:val="00E94BAE"/>
    <w:rsid w:val="00E95552"/>
    <w:rsid w:val="00E965AE"/>
    <w:rsid w:val="00EA0E41"/>
    <w:rsid w:val="00EA110B"/>
    <w:rsid w:val="00EA1A2B"/>
    <w:rsid w:val="00EB27F0"/>
    <w:rsid w:val="00EB5AC8"/>
    <w:rsid w:val="00EB74D3"/>
    <w:rsid w:val="00EB7817"/>
    <w:rsid w:val="00EC2547"/>
    <w:rsid w:val="00EC2F19"/>
    <w:rsid w:val="00EC4098"/>
    <w:rsid w:val="00EC5063"/>
    <w:rsid w:val="00EC7880"/>
    <w:rsid w:val="00ED1318"/>
    <w:rsid w:val="00ED1CE6"/>
    <w:rsid w:val="00ED2472"/>
    <w:rsid w:val="00ED37E4"/>
    <w:rsid w:val="00ED657C"/>
    <w:rsid w:val="00EE0AEC"/>
    <w:rsid w:val="00EE147F"/>
    <w:rsid w:val="00EF0825"/>
    <w:rsid w:val="00EF085C"/>
    <w:rsid w:val="00EF15D3"/>
    <w:rsid w:val="00EF2D48"/>
    <w:rsid w:val="00EF4651"/>
    <w:rsid w:val="00EF4E8F"/>
    <w:rsid w:val="00F019AE"/>
    <w:rsid w:val="00F01F68"/>
    <w:rsid w:val="00F11EE5"/>
    <w:rsid w:val="00F1278B"/>
    <w:rsid w:val="00F132A5"/>
    <w:rsid w:val="00F17584"/>
    <w:rsid w:val="00F17A9A"/>
    <w:rsid w:val="00F20DB9"/>
    <w:rsid w:val="00F2342F"/>
    <w:rsid w:val="00F25260"/>
    <w:rsid w:val="00F26699"/>
    <w:rsid w:val="00F273CE"/>
    <w:rsid w:val="00F3491B"/>
    <w:rsid w:val="00F35907"/>
    <w:rsid w:val="00F40C64"/>
    <w:rsid w:val="00F44833"/>
    <w:rsid w:val="00F4744A"/>
    <w:rsid w:val="00F51D04"/>
    <w:rsid w:val="00F5569E"/>
    <w:rsid w:val="00F57DC4"/>
    <w:rsid w:val="00F65119"/>
    <w:rsid w:val="00F7018B"/>
    <w:rsid w:val="00F7498C"/>
    <w:rsid w:val="00F7548B"/>
    <w:rsid w:val="00F755FE"/>
    <w:rsid w:val="00F765E5"/>
    <w:rsid w:val="00F77210"/>
    <w:rsid w:val="00F80CA7"/>
    <w:rsid w:val="00F81F74"/>
    <w:rsid w:val="00F82325"/>
    <w:rsid w:val="00F83F8E"/>
    <w:rsid w:val="00F8641C"/>
    <w:rsid w:val="00F87AAF"/>
    <w:rsid w:val="00F906C6"/>
    <w:rsid w:val="00F957D5"/>
    <w:rsid w:val="00FA17E6"/>
    <w:rsid w:val="00FA6AD2"/>
    <w:rsid w:val="00FB3D91"/>
    <w:rsid w:val="00FC0802"/>
    <w:rsid w:val="00FC143A"/>
    <w:rsid w:val="00FC3B9A"/>
    <w:rsid w:val="00FC5270"/>
    <w:rsid w:val="00FC6396"/>
    <w:rsid w:val="00FC67A1"/>
    <w:rsid w:val="00FC773F"/>
    <w:rsid w:val="00FD2835"/>
    <w:rsid w:val="00FD28E5"/>
    <w:rsid w:val="00FD7B2F"/>
    <w:rsid w:val="00FE0358"/>
    <w:rsid w:val="00FE0A2D"/>
    <w:rsid w:val="00FE33BD"/>
    <w:rsid w:val="00FE425D"/>
    <w:rsid w:val="00FE515C"/>
    <w:rsid w:val="00FE73E1"/>
    <w:rsid w:val="00FF0DEF"/>
    <w:rsid w:val="00FF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4BF04"/>
  <w15:docId w15:val="{F9BD79E1-B7ED-4820-B17A-10513728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48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833"/>
    <w:rPr>
      <w:sz w:val="20"/>
      <w:szCs w:val="20"/>
    </w:rPr>
  </w:style>
  <w:style w:type="character" w:styleId="FootnoteReference">
    <w:name w:val="footnote reference"/>
    <w:aliases w:val="o,fr"/>
    <w:uiPriority w:val="99"/>
    <w:rsid w:val="00F44833"/>
    <w:rPr>
      <w:vertAlign w:val="superscript"/>
    </w:rPr>
  </w:style>
  <w:style w:type="paragraph" w:styleId="Header">
    <w:name w:val="header"/>
    <w:basedOn w:val="Normal"/>
    <w:link w:val="HeaderChar"/>
    <w:uiPriority w:val="99"/>
    <w:unhideWhenUsed/>
    <w:rsid w:val="009C4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8B"/>
  </w:style>
  <w:style w:type="paragraph" w:styleId="Footer">
    <w:name w:val="footer"/>
    <w:basedOn w:val="Normal"/>
    <w:link w:val="FooterChar"/>
    <w:uiPriority w:val="99"/>
    <w:unhideWhenUsed/>
    <w:rsid w:val="009C4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28B"/>
  </w:style>
  <w:style w:type="paragraph" w:styleId="BalloonText">
    <w:name w:val="Balloon Text"/>
    <w:basedOn w:val="Normal"/>
    <w:link w:val="BalloonTextChar"/>
    <w:uiPriority w:val="99"/>
    <w:semiHidden/>
    <w:unhideWhenUsed/>
    <w:rsid w:val="00F77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210"/>
    <w:rPr>
      <w:rFonts w:ascii="Tahoma" w:hAnsi="Tahoma" w:cs="Tahoma"/>
      <w:sz w:val="16"/>
      <w:szCs w:val="16"/>
    </w:rPr>
  </w:style>
  <w:style w:type="character" w:styleId="CommentReference">
    <w:name w:val="annotation reference"/>
    <w:basedOn w:val="DefaultParagraphFont"/>
    <w:uiPriority w:val="99"/>
    <w:semiHidden/>
    <w:unhideWhenUsed/>
    <w:rsid w:val="0002071A"/>
    <w:rPr>
      <w:sz w:val="16"/>
      <w:szCs w:val="16"/>
    </w:rPr>
  </w:style>
  <w:style w:type="paragraph" w:styleId="CommentText">
    <w:name w:val="annotation text"/>
    <w:basedOn w:val="Normal"/>
    <w:link w:val="CommentTextChar"/>
    <w:uiPriority w:val="99"/>
    <w:semiHidden/>
    <w:unhideWhenUsed/>
    <w:rsid w:val="0002071A"/>
    <w:pPr>
      <w:spacing w:line="240" w:lineRule="auto"/>
    </w:pPr>
    <w:rPr>
      <w:sz w:val="20"/>
      <w:szCs w:val="20"/>
    </w:rPr>
  </w:style>
  <w:style w:type="character" w:customStyle="1" w:styleId="CommentTextChar">
    <w:name w:val="Comment Text Char"/>
    <w:basedOn w:val="DefaultParagraphFont"/>
    <w:link w:val="CommentText"/>
    <w:uiPriority w:val="99"/>
    <w:semiHidden/>
    <w:rsid w:val="0002071A"/>
    <w:rPr>
      <w:sz w:val="20"/>
      <w:szCs w:val="20"/>
    </w:rPr>
  </w:style>
  <w:style w:type="paragraph" w:styleId="CommentSubject">
    <w:name w:val="annotation subject"/>
    <w:basedOn w:val="CommentText"/>
    <w:next w:val="CommentText"/>
    <w:link w:val="CommentSubjectChar"/>
    <w:uiPriority w:val="99"/>
    <w:semiHidden/>
    <w:unhideWhenUsed/>
    <w:rsid w:val="0002071A"/>
    <w:rPr>
      <w:b/>
      <w:bCs/>
    </w:rPr>
  </w:style>
  <w:style w:type="character" w:customStyle="1" w:styleId="CommentSubjectChar">
    <w:name w:val="Comment Subject Char"/>
    <w:basedOn w:val="CommentTextChar"/>
    <w:link w:val="CommentSubject"/>
    <w:uiPriority w:val="99"/>
    <w:semiHidden/>
    <w:rsid w:val="0002071A"/>
    <w:rPr>
      <w:b/>
      <w:bCs/>
      <w:sz w:val="20"/>
      <w:szCs w:val="20"/>
    </w:rPr>
  </w:style>
  <w:style w:type="character" w:styleId="Hyperlink">
    <w:name w:val="Hyperlink"/>
    <w:basedOn w:val="DefaultParagraphFont"/>
    <w:uiPriority w:val="99"/>
    <w:semiHidden/>
    <w:unhideWhenUsed/>
    <w:rsid w:val="00DD6D5B"/>
    <w:rPr>
      <w:color w:val="0563C1"/>
      <w:u w:val="single"/>
    </w:rPr>
  </w:style>
  <w:style w:type="table" w:customStyle="1" w:styleId="TableGrid1">
    <w:name w:val="Table Grid1"/>
    <w:basedOn w:val="TableNormal"/>
    <w:next w:val="TableGrid"/>
    <w:uiPriority w:val="39"/>
    <w:rsid w:val="00564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4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64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64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1D59A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5">
    <w:name w:val="Grid Table 1 Light Accent 5"/>
    <w:basedOn w:val="TableNormal"/>
    <w:uiPriority w:val="46"/>
    <w:rsid w:val="001D59AA"/>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720E9D"/>
    <w:pPr>
      <w:spacing w:after="160" w:line="259" w:lineRule="auto"/>
      <w:ind w:left="720"/>
      <w:contextualSpacing/>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uc.pa.gov/efiling/default.aspx"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A1231344B9EE4B8B22DC6840AEA7B1" ma:contentTypeVersion="5" ma:contentTypeDescription="Create a new document." ma:contentTypeScope="" ma:versionID="e889a9776ed4eb619ba3fff6094f631c">
  <xsd:schema xmlns:xsd="http://www.w3.org/2001/XMLSchema" xmlns:xs="http://www.w3.org/2001/XMLSchema" xmlns:p="http://schemas.microsoft.com/office/2006/metadata/properties" xmlns:ns3="d05a8398-04f0-4137-a38f-3b39b52e6d40" xmlns:ns4="d5f46cfd-17ef-4676-98d9-262db6702185" targetNamespace="http://schemas.microsoft.com/office/2006/metadata/properties" ma:root="true" ma:fieldsID="32fafd800a833a663de9f44d9b550dfa" ns3:_="" ns4:_="">
    <xsd:import namespace="d05a8398-04f0-4137-a38f-3b39b52e6d40"/>
    <xsd:import namespace="d5f46cfd-17ef-4676-98d9-262db670218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a8398-04f0-4137-a38f-3b39b52e6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f46cfd-17ef-4676-98d9-262db67021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7760A-ABEB-4024-96E6-357C0B8D9D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2E346B-BE32-461C-8E11-59160FE933B3}">
  <ds:schemaRefs>
    <ds:schemaRef ds:uri="http://schemas.microsoft.com/sharepoint/v3/contenttype/forms"/>
  </ds:schemaRefs>
</ds:datastoreItem>
</file>

<file path=customXml/itemProps3.xml><?xml version="1.0" encoding="utf-8"?>
<ds:datastoreItem xmlns:ds="http://schemas.openxmlformats.org/officeDocument/2006/customXml" ds:itemID="{E81FFB2D-EE56-4C92-B2C0-A18E10555E8F}">
  <ds:schemaRefs>
    <ds:schemaRef ds:uri="http://schemas.openxmlformats.org/officeDocument/2006/bibliography"/>
  </ds:schemaRefs>
</ds:datastoreItem>
</file>

<file path=customXml/itemProps4.xml><?xml version="1.0" encoding="utf-8"?>
<ds:datastoreItem xmlns:ds="http://schemas.openxmlformats.org/officeDocument/2006/customXml" ds:itemID="{AAE0765E-6446-48E5-841B-4A92E0F5E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a8398-04f0-4137-a38f-3b39b52e6d40"/>
    <ds:schemaRef ds:uri="d5f46cfd-17ef-4676-98d9-262db6702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55</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Pa Public Utility Commission</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Capper, Thomas</dc:creator>
  <cp:lastModifiedBy>Sheffer, Ryan</cp:lastModifiedBy>
  <cp:revision>12</cp:revision>
  <cp:lastPrinted>2018-03-01T14:44:00Z</cp:lastPrinted>
  <dcterms:created xsi:type="dcterms:W3CDTF">2021-05-03T12:05:00Z</dcterms:created>
  <dcterms:modified xsi:type="dcterms:W3CDTF">2021-05-20T15:01:00Z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0x0101000FA1231344B9EE4B8B22DC6840AEA7B1</vt:lpwstr>
  </property>
</Properties>
</file>