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B73D7" w14:textId="77777777" w:rsidR="001602E3" w:rsidRPr="003176BE" w:rsidRDefault="001602E3" w:rsidP="001602E3">
      <w:pPr>
        <w:jc w:val="center"/>
        <w:rPr>
          <w:rFonts w:ascii="Times New Roman" w:hAnsi="Times New Roman" w:cs="Times New Roman"/>
          <w:b/>
        </w:rPr>
      </w:pPr>
      <w:r w:rsidRPr="003176BE">
        <w:rPr>
          <w:rFonts w:ascii="Times New Roman" w:hAnsi="Times New Roman" w:cs="Times New Roman"/>
          <w:b/>
        </w:rPr>
        <w:t>BEFORE THE</w:t>
      </w:r>
    </w:p>
    <w:p w14:paraId="7747C53C" w14:textId="77777777" w:rsidR="001602E3" w:rsidRPr="003176BE" w:rsidRDefault="001602E3" w:rsidP="001602E3">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17668F9A" w14:textId="77777777" w:rsidR="001602E3" w:rsidRDefault="001602E3" w:rsidP="001602E3">
      <w:pPr>
        <w:tabs>
          <w:tab w:val="left" w:pos="-720"/>
        </w:tabs>
        <w:suppressAutoHyphens/>
        <w:rPr>
          <w:rFonts w:ascii="Times New Roman" w:hAnsi="Times New Roman" w:cs="Times New Roman"/>
          <w:spacing w:val="-3"/>
        </w:rPr>
      </w:pPr>
    </w:p>
    <w:p w14:paraId="549FC3B6" w14:textId="77777777" w:rsidR="001602E3" w:rsidRDefault="001602E3" w:rsidP="001602E3">
      <w:pPr>
        <w:tabs>
          <w:tab w:val="left" w:pos="-720"/>
        </w:tabs>
        <w:suppressAutoHyphens/>
        <w:rPr>
          <w:rFonts w:ascii="Times New Roman" w:hAnsi="Times New Roman" w:cs="Times New Roman"/>
          <w:spacing w:val="-3"/>
        </w:rPr>
      </w:pPr>
    </w:p>
    <w:p w14:paraId="102402E0" w14:textId="77777777" w:rsidR="001602E3" w:rsidRPr="003176BE" w:rsidRDefault="001602E3" w:rsidP="001602E3">
      <w:pPr>
        <w:tabs>
          <w:tab w:val="left" w:pos="-720"/>
        </w:tabs>
        <w:suppressAutoHyphens/>
        <w:rPr>
          <w:rFonts w:ascii="Times New Roman" w:hAnsi="Times New Roman" w:cs="Times New Roman"/>
          <w:spacing w:val="-3"/>
        </w:rPr>
      </w:pPr>
    </w:p>
    <w:p w14:paraId="508EF21D" w14:textId="77777777" w:rsidR="001602E3" w:rsidRPr="001D7EAB" w:rsidRDefault="001602E3" w:rsidP="001602E3">
      <w:pPr>
        <w:tabs>
          <w:tab w:val="left" w:pos="-720"/>
        </w:tabs>
        <w:suppressAutoHyphens/>
        <w:autoSpaceDE/>
        <w:autoSpaceDN/>
        <w:jc w:val="both"/>
        <w:rPr>
          <w:rFonts w:eastAsia="Calibri"/>
          <w:spacing w:val="-3"/>
        </w:rPr>
      </w:pPr>
      <w:r w:rsidRPr="001D7EAB">
        <w:rPr>
          <w:rFonts w:eastAsia="Calibri"/>
          <w:spacing w:val="-3"/>
        </w:rPr>
        <w:t>Glen Riddle Station, L.P.</w:t>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fldChar w:fldCharType="begin"/>
      </w:r>
      <w:r w:rsidRPr="001D7EAB">
        <w:rPr>
          <w:rFonts w:eastAsia="Calibri"/>
          <w:spacing w:val="-3"/>
        </w:rPr>
        <w:instrText>fillin "Complainant's name" \d ""</w:instrText>
      </w:r>
      <w:r w:rsidRPr="001D7EAB">
        <w:rPr>
          <w:rFonts w:eastAsia="Calibri"/>
          <w:spacing w:val="-3"/>
        </w:rPr>
        <w:fldChar w:fldCharType="end"/>
      </w:r>
      <w:r w:rsidRPr="001D7EAB">
        <w:rPr>
          <w:rFonts w:eastAsia="Calibri"/>
          <w:spacing w:val="-3"/>
        </w:rPr>
        <w:t>:</w:t>
      </w:r>
    </w:p>
    <w:p w14:paraId="16EB18DB" w14:textId="77777777" w:rsidR="001602E3" w:rsidRPr="001D7EAB" w:rsidRDefault="001602E3" w:rsidP="001602E3">
      <w:pPr>
        <w:tabs>
          <w:tab w:val="left" w:pos="-720"/>
        </w:tabs>
        <w:suppressAutoHyphens/>
        <w:autoSpaceDE/>
        <w:autoSpaceDN/>
        <w:jc w:val="both"/>
        <w:rPr>
          <w:rFonts w:eastAsia="Calibri"/>
          <w:spacing w:val="-3"/>
        </w:rPr>
      </w:pP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t>:</w:t>
      </w:r>
    </w:p>
    <w:p w14:paraId="542546A0" w14:textId="77777777" w:rsidR="001602E3" w:rsidRPr="001D7EAB" w:rsidRDefault="001602E3" w:rsidP="001602E3">
      <w:pPr>
        <w:tabs>
          <w:tab w:val="left" w:pos="-720"/>
        </w:tabs>
        <w:suppressAutoHyphens/>
        <w:autoSpaceDE/>
        <w:autoSpaceDN/>
        <w:jc w:val="both"/>
        <w:rPr>
          <w:rFonts w:eastAsia="Calibri"/>
          <w:spacing w:val="-3"/>
        </w:rPr>
      </w:pPr>
      <w:r w:rsidRPr="001D7EAB">
        <w:rPr>
          <w:rFonts w:eastAsia="Calibri"/>
          <w:spacing w:val="-3"/>
        </w:rPr>
        <w:tab/>
        <w:t>v.</w:t>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t>:</w:t>
      </w:r>
      <w:r w:rsidRPr="001D7EAB">
        <w:rPr>
          <w:rFonts w:eastAsia="Calibri"/>
          <w:spacing w:val="-3"/>
        </w:rPr>
        <w:tab/>
      </w:r>
      <w:r w:rsidRPr="001D7EAB">
        <w:rPr>
          <w:rFonts w:eastAsia="Calibri"/>
          <w:spacing w:val="-3"/>
        </w:rPr>
        <w:tab/>
        <w:t>C-2020-3023129</w:t>
      </w:r>
    </w:p>
    <w:p w14:paraId="35134363" w14:textId="77777777" w:rsidR="001602E3" w:rsidRPr="001D7EAB" w:rsidRDefault="001602E3" w:rsidP="001602E3">
      <w:pPr>
        <w:tabs>
          <w:tab w:val="left" w:pos="-720"/>
        </w:tabs>
        <w:suppressAutoHyphens/>
        <w:autoSpaceDE/>
        <w:autoSpaceDN/>
        <w:jc w:val="both"/>
        <w:rPr>
          <w:rFonts w:eastAsia="Calibri"/>
          <w:spacing w:val="-3"/>
        </w:rPr>
      </w:pP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t>:</w:t>
      </w:r>
    </w:p>
    <w:p w14:paraId="3F0D0FF2" w14:textId="77777777" w:rsidR="001602E3" w:rsidRPr="001D7EAB" w:rsidRDefault="001602E3" w:rsidP="001602E3">
      <w:r w:rsidRPr="001D7EAB">
        <w:rPr>
          <w:rFonts w:eastAsia="Calibri"/>
          <w:spacing w:val="-3"/>
        </w:rPr>
        <w:t>Sunoco Pipeline, L.P.</w:t>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t>:</w:t>
      </w:r>
    </w:p>
    <w:p w14:paraId="73298EBA" w14:textId="77777777" w:rsidR="001602E3" w:rsidRDefault="001602E3" w:rsidP="001602E3">
      <w:pPr>
        <w:tabs>
          <w:tab w:val="left" w:pos="-720"/>
          <w:tab w:val="left" w:pos="5040"/>
        </w:tabs>
        <w:suppressAutoHyphens/>
        <w:rPr>
          <w:rFonts w:ascii="Times New Roman" w:hAnsi="Times New Roman" w:cs="Times New Roman"/>
          <w:spacing w:val="-3"/>
        </w:rPr>
      </w:pPr>
    </w:p>
    <w:p w14:paraId="1C557148" w14:textId="6CC65D5D" w:rsidR="001602E3" w:rsidRDefault="001602E3" w:rsidP="001602E3">
      <w:pPr>
        <w:tabs>
          <w:tab w:val="left" w:pos="-720"/>
          <w:tab w:val="left" w:pos="5040"/>
        </w:tabs>
        <w:suppressAutoHyphens/>
        <w:rPr>
          <w:rFonts w:ascii="Times New Roman" w:hAnsi="Times New Roman" w:cs="Times New Roman"/>
          <w:spacing w:val="-3"/>
        </w:rPr>
      </w:pPr>
    </w:p>
    <w:p w14:paraId="10F8983F" w14:textId="77777777" w:rsidR="007F5545" w:rsidRPr="003176BE" w:rsidRDefault="007F5545" w:rsidP="001602E3">
      <w:pPr>
        <w:tabs>
          <w:tab w:val="left" w:pos="-720"/>
          <w:tab w:val="left" w:pos="5040"/>
        </w:tabs>
        <w:suppressAutoHyphens/>
        <w:rPr>
          <w:rFonts w:ascii="Times New Roman" w:hAnsi="Times New Roman" w:cs="Times New Roman"/>
          <w:spacing w:val="-3"/>
        </w:rPr>
      </w:pPr>
    </w:p>
    <w:p w14:paraId="14E78670" w14:textId="77777777" w:rsidR="001602E3" w:rsidRDefault="001602E3" w:rsidP="001602E3">
      <w:pPr>
        <w:suppressAutoHyphens/>
        <w:jc w:val="center"/>
        <w:rPr>
          <w:rFonts w:ascii="Times New Roman" w:hAnsi="Times New Roman" w:cs="Times New Roman"/>
          <w:b/>
          <w:bCs/>
          <w:spacing w:val="-3"/>
          <w:u w:val="single"/>
        </w:rPr>
      </w:pPr>
      <w:r w:rsidRPr="003176BE">
        <w:rPr>
          <w:rFonts w:ascii="Times New Roman" w:hAnsi="Times New Roman" w:cs="Times New Roman"/>
          <w:b/>
          <w:bCs/>
          <w:spacing w:val="-3"/>
          <w:u w:val="single"/>
        </w:rPr>
        <w:t>ORDER</w:t>
      </w:r>
    </w:p>
    <w:p w14:paraId="3C348E4B" w14:textId="651A4514" w:rsidR="001602E3" w:rsidRPr="00B769EA" w:rsidRDefault="001602E3" w:rsidP="001602E3">
      <w:pPr>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GRANTING FURTHER CONTINUANCE</w:t>
      </w:r>
    </w:p>
    <w:p w14:paraId="4743A238" w14:textId="77777777" w:rsidR="001602E3" w:rsidRDefault="001602E3" w:rsidP="001602E3">
      <w:pPr>
        <w:pStyle w:val="ParaTab1"/>
        <w:ind w:firstLine="0"/>
        <w:rPr>
          <w:rFonts w:ascii="Times New Roman" w:hAnsi="Times New Roman"/>
          <w:b/>
          <w:bCs/>
          <w:u w:val="single"/>
        </w:rPr>
      </w:pPr>
    </w:p>
    <w:p w14:paraId="08B3296C" w14:textId="77777777" w:rsidR="001602E3" w:rsidRDefault="001602E3" w:rsidP="001602E3">
      <w:pPr>
        <w:pStyle w:val="ParaTab1"/>
        <w:ind w:firstLine="0"/>
        <w:rPr>
          <w:rFonts w:ascii="Times New Roman" w:hAnsi="Times New Roman"/>
        </w:rPr>
      </w:pPr>
    </w:p>
    <w:p w14:paraId="5C48B700" w14:textId="77777777" w:rsidR="001602E3" w:rsidRPr="00573050" w:rsidRDefault="001602E3" w:rsidP="001602E3">
      <w:pPr>
        <w:pStyle w:val="ParaTab1"/>
        <w:tabs>
          <w:tab w:val="left" w:pos="2070"/>
        </w:tabs>
        <w:spacing w:line="360" w:lineRule="auto"/>
        <w:rPr>
          <w:rFonts w:ascii="Times New Roman" w:eastAsia="Calibri" w:hAnsi="Times New Roman" w:cs="Times New Roman"/>
          <w:spacing w:val="-3"/>
        </w:rPr>
      </w:pPr>
      <w:r w:rsidRPr="00882A37">
        <w:rPr>
          <w:rFonts w:ascii="Times New Roman" w:hAnsi="Times New Roman" w:cs="Times New Roman"/>
        </w:rPr>
        <w:t xml:space="preserve">On </w:t>
      </w:r>
      <w:r w:rsidRPr="002D6018">
        <w:rPr>
          <w:rFonts w:ascii="Times New Roman" w:hAnsi="Times New Roman" w:cs="Times New Roman"/>
        </w:rPr>
        <w:t>December 2, 2020, Glen Riddle Station, L.P. (Glen Riddle) filed a formal complaint with the Pennsylvania Public Utility Commission (Commission) against Sunoco Pipeline, L.P. (Sunoco), docket number C-2020-</w:t>
      </w:r>
      <w:r w:rsidRPr="00573050">
        <w:rPr>
          <w:rFonts w:ascii="Times New Roman" w:eastAsia="Calibri" w:hAnsi="Times New Roman" w:cs="Times New Roman"/>
          <w:spacing w:val="-3"/>
        </w:rPr>
        <w:t xml:space="preserve">3023129.  In its complaint, Glen Riddle averred that on or about May 13, 2020, Sunoco filed a Declaration of Taking in the Court of Common Pleas of Delaware County that concerned various portions of the Glen Riddle property that contains 124 residential dwelling units.  Glen Riddle further averred that, in the </w:t>
      </w:r>
      <w:proofErr w:type="gramStart"/>
      <w:r w:rsidRPr="00573050">
        <w:rPr>
          <w:rFonts w:ascii="Times New Roman" w:eastAsia="Calibri" w:hAnsi="Times New Roman" w:cs="Times New Roman"/>
          <w:spacing w:val="-3"/>
        </w:rPr>
        <w:t>taking action</w:t>
      </w:r>
      <w:proofErr w:type="gramEnd"/>
      <w:r w:rsidRPr="00573050">
        <w:rPr>
          <w:rFonts w:ascii="Times New Roman" w:eastAsia="Calibri" w:hAnsi="Times New Roman" w:cs="Times New Roman"/>
          <w:spacing w:val="-3"/>
        </w:rPr>
        <w:t xml:space="preserve">, Sunoco condemned temporary workspace easements and a temporary access road easement over their property for purposes of completing a pipeline project.  Glen Riddle further averred that Sunoco is not complying with previous requirements of the Commission regarding a public awareness plan and standard operating procedures.  Glen Riddle also identified several other alleged failures of Sunoco </w:t>
      </w:r>
      <w:proofErr w:type="gramStart"/>
      <w:r w:rsidRPr="00573050">
        <w:rPr>
          <w:rFonts w:ascii="Times New Roman" w:eastAsia="Calibri" w:hAnsi="Times New Roman" w:cs="Times New Roman"/>
          <w:spacing w:val="-3"/>
        </w:rPr>
        <w:t>with regard to</w:t>
      </w:r>
      <w:proofErr w:type="gramEnd"/>
      <w:r w:rsidRPr="00573050">
        <w:rPr>
          <w:rFonts w:ascii="Times New Roman" w:eastAsia="Calibri" w:hAnsi="Times New Roman" w:cs="Times New Roman"/>
          <w:spacing w:val="-3"/>
        </w:rPr>
        <w:t xml:space="preserve"> the property, including, parking and traffic safety concerns, unsafe work site, failure to follow government-mandated pandemic safety protocols, failure to communicate regarding a potentially hazardous leak, and structural and storm drainage concerns, among other things.  Glen Riddle averred that Sunoco’s actions violated several provisions of the Public Utility Code and requested that the Commission enter an order enjoining or restraining Sunoco from engaging in further work at the property until the safety concerns are addressed.  Glen Riddle attached multiple documents to its complaint in support of its position.</w:t>
      </w:r>
    </w:p>
    <w:p w14:paraId="6CA15FA0" w14:textId="77777777" w:rsidR="001602E3" w:rsidRPr="00573050" w:rsidRDefault="001602E3" w:rsidP="001602E3">
      <w:pPr>
        <w:pStyle w:val="ParaTab1"/>
        <w:tabs>
          <w:tab w:val="left" w:pos="2070"/>
        </w:tabs>
        <w:spacing w:line="360" w:lineRule="auto"/>
        <w:rPr>
          <w:rFonts w:ascii="Times New Roman" w:eastAsia="Calibri" w:hAnsi="Times New Roman" w:cs="Times New Roman"/>
          <w:spacing w:val="-3"/>
        </w:rPr>
      </w:pPr>
    </w:p>
    <w:p w14:paraId="05DE7B29" w14:textId="77777777" w:rsidR="001602E3" w:rsidRPr="002D6018" w:rsidRDefault="001602E3" w:rsidP="001602E3">
      <w:pPr>
        <w:pStyle w:val="ParaTab1"/>
        <w:tabs>
          <w:tab w:val="left" w:pos="2070"/>
        </w:tabs>
        <w:spacing w:line="360" w:lineRule="auto"/>
        <w:rPr>
          <w:rFonts w:ascii="Times New Roman" w:hAnsi="Times New Roman" w:cs="Times New Roman"/>
        </w:rPr>
      </w:pPr>
      <w:r w:rsidRPr="00573050">
        <w:rPr>
          <w:rFonts w:ascii="Times New Roman" w:eastAsia="Calibri" w:hAnsi="Times New Roman" w:cs="Times New Roman"/>
          <w:spacing w:val="-3"/>
        </w:rPr>
        <w:t xml:space="preserve">On December 23, 2020, Sunoco filed an answer and new matter in response to the complaint.  In its answer, Sunoco admitted or denied the various averments Glen Riddle made in its complaint.  </w:t>
      </w:r>
      <w:proofErr w:type="gramStart"/>
      <w:r w:rsidRPr="00573050">
        <w:rPr>
          <w:rFonts w:ascii="Times New Roman" w:eastAsia="Calibri" w:hAnsi="Times New Roman" w:cs="Times New Roman"/>
          <w:spacing w:val="-3"/>
        </w:rPr>
        <w:t>In particular, Sunoco</w:t>
      </w:r>
      <w:proofErr w:type="gramEnd"/>
      <w:r w:rsidRPr="00573050">
        <w:rPr>
          <w:rFonts w:ascii="Times New Roman" w:eastAsia="Calibri" w:hAnsi="Times New Roman" w:cs="Times New Roman"/>
          <w:spacing w:val="-3"/>
        </w:rPr>
        <w:t xml:space="preserve"> denied that it has not complied with the public awareness plan or standard operating procedures it is required to comply with.  Sunoco also admitted or denied the </w:t>
      </w:r>
      <w:r w:rsidRPr="00573050">
        <w:rPr>
          <w:rFonts w:ascii="Times New Roman" w:eastAsia="Calibri" w:hAnsi="Times New Roman" w:cs="Times New Roman"/>
          <w:spacing w:val="-3"/>
        </w:rPr>
        <w:lastRenderedPageBreak/>
        <w:t xml:space="preserve">various averments made by Glen Riddle </w:t>
      </w:r>
      <w:proofErr w:type="gramStart"/>
      <w:r w:rsidRPr="00573050">
        <w:rPr>
          <w:rFonts w:ascii="Times New Roman" w:eastAsia="Calibri" w:hAnsi="Times New Roman" w:cs="Times New Roman"/>
          <w:spacing w:val="-3"/>
        </w:rPr>
        <w:t>with regard to</w:t>
      </w:r>
      <w:proofErr w:type="gramEnd"/>
      <w:r w:rsidRPr="00573050">
        <w:rPr>
          <w:rFonts w:ascii="Times New Roman" w:eastAsia="Calibri" w:hAnsi="Times New Roman" w:cs="Times New Roman"/>
          <w:spacing w:val="-3"/>
        </w:rPr>
        <w:t xml:space="preserve"> the other alleged failures of Sunoco with regard to the property</w:t>
      </w:r>
      <w:r w:rsidRPr="002D6018">
        <w:rPr>
          <w:rFonts w:ascii="Times New Roman" w:hAnsi="Times New Roman" w:cs="Times New Roman"/>
        </w:rPr>
        <w:t xml:space="preserve"> that were averred in the complaint.  Sunoco provided significant detail in response to the averments made in the complaint and concluded by requesting that the complaint be dismissed with prejudice.  Sunoco also attached multiple documents to its answer in support of its position.</w:t>
      </w:r>
    </w:p>
    <w:p w14:paraId="43277517" w14:textId="77777777" w:rsidR="001602E3" w:rsidRPr="002D6018" w:rsidRDefault="001602E3" w:rsidP="001602E3">
      <w:pPr>
        <w:pStyle w:val="ParaTab1"/>
        <w:tabs>
          <w:tab w:val="left" w:pos="2070"/>
        </w:tabs>
        <w:spacing w:line="360" w:lineRule="auto"/>
        <w:rPr>
          <w:rFonts w:ascii="Times New Roman" w:hAnsi="Times New Roman" w:cs="Times New Roman"/>
        </w:rPr>
      </w:pPr>
    </w:p>
    <w:p w14:paraId="5BC3B8BD" w14:textId="77777777" w:rsidR="001602E3" w:rsidRDefault="001602E3" w:rsidP="001602E3">
      <w:pPr>
        <w:pStyle w:val="ParaTab1"/>
        <w:tabs>
          <w:tab w:val="left" w:pos="2070"/>
        </w:tabs>
        <w:spacing w:line="360" w:lineRule="auto"/>
        <w:rPr>
          <w:rFonts w:ascii="Times New Roman" w:hAnsi="Times New Roman" w:cs="Times New Roman"/>
        </w:rPr>
      </w:pPr>
      <w:r w:rsidRPr="002D6018">
        <w:rPr>
          <w:rFonts w:ascii="Times New Roman" w:hAnsi="Times New Roman" w:cs="Times New Roman"/>
        </w:rPr>
        <w:t>In its new matter, which was accompanied by a notice to plead, Sunoco argued that the Commission lacks jurisdiction over Glen Riddle’s allegations regarding environmental law issues and permitting obligations, the validity and scope of easements</w:t>
      </w:r>
      <w:r>
        <w:rPr>
          <w:rFonts w:ascii="Times New Roman" w:hAnsi="Times New Roman" w:cs="Times New Roman"/>
        </w:rPr>
        <w:t xml:space="preserve"> and </w:t>
      </w:r>
      <w:r w:rsidRPr="002D6018">
        <w:rPr>
          <w:rFonts w:ascii="Times New Roman" w:hAnsi="Times New Roman" w:cs="Times New Roman"/>
        </w:rPr>
        <w:t>compliance with municipal ordinances and the Governor’s orders and regulations regarding Covid-19.  Sunoco also argued that Glen Riddle has failed to state a claim upon which the Commission can grant relief.  In part, Sunoco argued that Glen Riddle’s allegations regarding construction means and methods and relief seeking a work plan and schedule reflecting Glen Riddle’s preferences fail as a matter of law to state a claim upon which relief can be granted and should be dismissed.</w:t>
      </w:r>
    </w:p>
    <w:p w14:paraId="7E930C23" w14:textId="77777777" w:rsidR="001602E3" w:rsidRDefault="001602E3" w:rsidP="001602E3">
      <w:pPr>
        <w:pStyle w:val="ParaTab1"/>
        <w:tabs>
          <w:tab w:val="left" w:pos="2070"/>
        </w:tabs>
        <w:spacing w:line="360" w:lineRule="auto"/>
        <w:rPr>
          <w:rFonts w:ascii="Times New Roman" w:hAnsi="Times New Roman" w:cs="Times New Roman"/>
        </w:rPr>
      </w:pPr>
    </w:p>
    <w:p w14:paraId="6A45A6FA" w14:textId="6B76DC2B" w:rsidR="001602E3" w:rsidRDefault="001602E3" w:rsidP="001602E3">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Subsequently, multiple pleadings were </w:t>
      </w:r>
      <w:proofErr w:type="gramStart"/>
      <w:r>
        <w:rPr>
          <w:rFonts w:ascii="Times New Roman" w:hAnsi="Times New Roman" w:cs="Times New Roman"/>
        </w:rPr>
        <w:t>filed</w:t>
      </w:r>
      <w:proofErr w:type="gramEnd"/>
      <w:r>
        <w:rPr>
          <w:rFonts w:ascii="Times New Roman" w:hAnsi="Times New Roman" w:cs="Times New Roman"/>
        </w:rPr>
        <w:t xml:space="preserve"> and procedural matters occurred.  This includes the filing of preliminary objections, establishment of an initial telephonic hearing, a motion for a prehearing conference and procedural schedule, the filing of a petition for interim emergency relief, the withdraw of the petition for interim emergency relief, a prehearing conference, the rescheduling of the prehearing conference, the filing of a motion to compel by each party, the filing of a motion for a protective order that was contested</w:t>
      </w:r>
      <w:r w:rsidR="00B97FED">
        <w:rPr>
          <w:rFonts w:ascii="Times New Roman" w:hAnsi="Times New Roman" w:cs="Times New Roman"/>
        </w:rPr>
        <w:t xml:space="preserve">, </w:t>
      </w:r>
      <w:r>
        <w:rPr>
          <w:rFonts w:ascii="Times New Roman" w:hAnsi="Times New Roman" w:cs="Times New Roman"/>
        </w:rPr>
        <w:t xml:space="preserve">a motion in </w:t>
      </w:r>
      <w:proofErr w:type="spellStart"/>
      <w:r>
        <w:rPr>
          <w:rFonts w:ascii="Times New Roman" w:hAnsi="Times New Roman" w:cs="Times New Roman"/>
        </w:rPr>
        <w:t>limine</w:t>
      </w:r>
      <w:proofErr w:type="spellEnd"/>
      <w:r w:rsidR="00B97FED">
        <w:rPr>
          <w:rFonts w:ascii="Times New Roman" w:hAnsi="Times New Roman" w:cs="Times New Roman"/>
        </w:rPr>
        <w:t xml:space="preserve"> and a motion to enforce the order granting in part and denying in part the preliminary objections and striking Glen Riddle testimony</w:t>
      </w:r>
      <w:r>
        <w:rPr>
          <w:rFonts w:ascii="Times New Roman" w:hAnsi="Times New Roman" w:cs="Times New Roman"/>
        </w:rPr>
        <w:t>.  Each of these procedural matters was responded to with the necessary order or hearing notice as appropriate.</w:t>
      </w:r>
    </w:p>
    <w:p w14:paraId="0D23C63A" w14:textId="77777777" w:rsidR="001602E3" w:rsidRDefault="001602E3" w:rsidP="001602E3">
      <w:pPr>
        <w:pStyle w:val="ParaTab1"/>
        <w:tabs>
          <w:tab w:val="left" w:pos="2070"/>
        </w:tabs>
        <w:spacing w:line="360" w:lineRule="auto"/>
        <w:rPr>
          <w:rFonts w:ascii="Times New Roman" w:hAnsi="Times New Roman" w:cs="Times New Roman"/>
        </w:rPr>
      </w:pPr>
    </w:p>
    <w:p w14:paraId="04B84F85" w14:textId="7B81810C" w:rsidR="002208E5" w:rsidRDefault="001602E3" w:rsidP="001602E3">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9A5099">
        <w:rPr>
          <w:rFonts w:ascii="Times New Roman" w:hAnsi="Times New Roman" w:cs="Times New Roman"/>
        </w:rPr>
        <w:t xml:space="preserve">May 14, 2021, Glen Riddle filed a motion for continuance.  In its motion, Glen Riddle </w:t>
      </w:r>
      <w:r w:rsidR="00D55D66">
        <w:rPr>
          <w:rFonts w:ascii="Times New Roman" w:hAnsi="Times New Roman" w:cs="Times New Roman"/>
        </w:rPr>
        <w:t xml:space="preserve">requested </w:t>
      </w:r>
      <w:r w:rsidR="00585BD4">
        <w:rPr>
          <w:rFonts w:ascii="Times New Roman" w:hAnsi="Times New Roman" w:cs="Times New Roman"/>
        </w:rPr>
        <w:t>a four</w:t>
      </w:r>
      <w:r w:rsidR="0035014C">
        <w:rPr>
          <w:rFonts w:ascii="Times New Roman" w:hAnsi="Times New Roman" w:cs="Times New Roman"/>
        </w:rPr>
        <w:t>-</w:t>
      </w:r>
      <w:r w:rsidR="00585BD4">
        <w:rPr>
          <w:rFonts w:ascii="Times New Roman" w:hAnsi="Times New Roman" w:cs="Times New Roman"/>
        </w:rPr>
        <w:t xml:space="preserve">week continuance of the hearing scheduled </w:t>
      </w:r>
      <w:r w:rsidR="007B1395">
        <w:rPr>
          <w:rFonts w:ascii="Times New Roman" w:hAnsi="Times New Roman" w:cs="Times New Roman"/>
        </w:rPr>
        <w:t xml:space="preserve">for May 24, 2021 and May 27, 2021 and all remaining deadlines.  Glen Riddle noted that it seeks the extension because </w:t>
      </w:r>
      <w:r w:rsidR="006D178B">
        <w:rPr>
          <w:rFonts w:ascii="Times New Roman" w:hAnsi="Times New Roman" w:cs="Times New Roman"/>
        </w:rPr>
        <w:t xml:space="preserve">it has one week to provide surrebuttal testimony in response to </w:t>
      </w:r>
      <w:r w:rsidR="00AB54D1">
        <w:rPr>
          <w:rFonts w:ascii="Times New Roman" w:hAnsi="Times New Roman" w:cs="Times New Roman"/>
        </w:rPr>
        <w:t>eight</w:t>
      </w:r>
      <w:r w:rsidR="006D178B">
        <w:rPr>
          <w:rFonts w:ascii="Times New Roman" w:hAnsi="Times New Roman" w:cs="Times New Roman"/>
        </w:rPr>
        <w:t xml:space="preserve"> pieces of rebuttal testimony filed by Sunoco.  </w:t>
      </w:r>
      <w:r w:rsidR="007951C9">
        <w:rPr>
          <w:rFonts w:ascii="Times New Roman" w:hAnsi="Times New Roman" w:cs="Times New Roman"/>
        </w:rPr>
        <w:t xml:space="preserve">Glen Riddle argued that “the current scheduling order deadlines, which provides Glen Riddle with one week to submit its surrebuttal testimony, is insufficient given the sheer </w:t>
      </w:r>
      <w:r w:rsidR="00B125C8">
        <w:rPr>
          <w:rFonts w:ascii="Times New Roman" w:hAnsi="Times New Roman" w:cs="Times New Roman"/>
        </w:rPr>
        <w:t xml:space="preserve">volume of testimony requiring rebuttal.”  </w:t>
      </w:r>
      <w:r w:rsidR="00FB2165">
        <w:rPr>
          <w:rFonts w:ascii="Times New Roman" w:hAnsi="Times New Roman" w:cs="Times New Roman"/>
        </w:rPr>
        <w:t xml:space="preserve">Glen Riddle also noted that the litigation schedule agreed to in this </w:t>
      </w:r>
      <w:r w:rsidR="00FB2165">
        <w:rPr>
          <w:rFonts w:ascii="Times New Roman" w:hAnsi="Times New Roman" w:cs="Times New Roman"/>
        </w:rPr>
        <w:lastRenderedPageBreak/>
        <w:t xml:space="preserve">case was suspended after Glen Riddle </w:t>
      </w:r>
      <w:r w:rsidR="002208E5">
        <w:rPr>
          <w:rFonts w:ascii="Times New Roman" w:hAnsi="Times New Roman" w:cs="Times New Roman"/>
        </w:rPr>
        <w:t>submitted its testimony so that the parties could pursue mediation and that this suspension allowed Sunoco more time to prepare its rebuttal testimony.</w:t>
      </w:r>
    </w:p>
    <w:p w14:paraId="080E493D" w14:textId="77777777" w:rsidR="002208E5" w:rsidRDefault="002208E5" w:rsidP="001602E3">
      <w:pPr>
        <w:pStyle w:val="ParaTab1"/>
        <w:tabs>
          <w:tab w:val="left" w:pos="2070"/>
        </w:tabs>
        <w:spacing w:line="360" w:lineRule="auto"/>
        <w:rPr>
          <w:rFonts w:ascii="Times New Roman" w:hAnsi="Times New Roman" w:cs="Times New Roman"/>
        </w:rPr>
      </w:pPr>
    </w:p>
    <w:p w14:paraId="1A4D1DC3" w14:textId="3609BA39" w:rsidR="00522A68" w:rsidRDefault="00CA174C" w:rsidP="00C452AC">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May 17, 2021, Sunoco filed an answer opposing Glen Riddle’s motion for a continuance.  In its answer, Sunoco argued that </w:t>
      </w:r>
      <w:r w:rsidR="00E94829">
        <w:rPr>
          <w:rFonts w:ascii="Times New Roman" w:hAnsi="Times New Roman" w:cs="Times New Roman"/>
        </w:rPr>
        <w:t xml:space="preserve">Glen </w:t>
      </w:r>
      <w:r w:rsidR="00C452AC">
        <w:rPr>
          <w:rFonts w:ascii="Times New Roman" w:hAnsi="Times New Roman" w:cs="Times New Roman"/>
        </w:rPr>
        <w:t xml:space="preserve">Riddle’s </w:t>
      </w:r>
      <w:r w:rsidR="00866A51">
        <w:rPr>
          <w:rFonts w:ascii="Times New Roman" w:hAnsi="Times New Roman" w:cs="Times New Roman"/>
        </w:rPr>
        <w:t>portrayal of the parties</w:t>
      </w:r>
      <w:r w:rsidR="007D1E63">
        <w:rPr>
          <w:rFonts w:ascii="Times New Roman" w:hAnsi="Times New Roman" w:cs="Times New Roman"/>
        </w:rPr>
        <w:t>’</w:t>
      </w:r>
      <w:r w:rsidR="00866A51">
        <w:rPr>
          <w:rFonts w:ascii="Times New Roman" w:hAnsi="Times New Roman" w:cs="Times New Roman"/>
        </w:rPr>
        <w:t xml:space="preserve"> agreement to the current schedule is misleading.  Sunoco argued that </w:t>
      </w:r>
      <w:r w:rsidR="00A95836">
        <w:rPr>
          <w:rFonts w:ascii="Times New Roman" w:hAnsi="Times New Roman" w:cs="Times New Roman"/>
        </w:rPr>
        <w:t xml:space="preserve">the expedited schedule is “purely self-inflicted by Glen Riddle.”  </w:t>
      </w:r>
      <w:r w:rsidR="00BE12B4">
        <w:rPr>
          <w:rFonts w:ascii="Times New Roman" w:hAnsi="Times New Roman" w:cs="Times New Roman"/>
        </w:rPr>
        <w:t xml:space="preserve">Sunoco also </w:t>
      </w:r>
      <w:r w:rsidR="0064384D">
        <w:rPr>
          <w:rFonts w:ascii="Times New Roman" w:hAnsi="Times New Roman" w:cs="Times New Roman"/>
        </w:rPr>
        <w:t>argued that there is no “fairness” concern with the current agreed upon schedule</w:t>
      </w:r>
      <w:r w:rsidR="00CF57D8">
        <w:rPr>
          <w:rFonts w:ascii="Times New Roman" w:hAnsi="Times New Roman" w:cs="Times New Roman"/>
        </w:rPr>
        <w:t xml:space="preserve"> and that Glen Riddle cannot expand its direct case in its surrebuttal testimony</w:t>
      </w:r>
      <w:r w:rsidR="00463089">
        <w:rPr>
          <w:rFonts w:ascii="Times New Roman" w:hAnsi="Times New Roman" w:cs="Times New Roman"/>
        </w:rPr>
        <w:t xml:space="preserve">, noting the Commission regulation prohibiting the introduction of evidence in the rebuttal phase which </w:t>
      </w:r>
      <w:r w:rsidR="009466F9">
        <w:rPr>
          <w:rFonts w:ascii="Times New Roman" w:hAnsi="Times New Roman" w:cs="Times New Roman"/>
        </w:rPr>
        <w:t xml:space="preserve">should have been included in the party’s case-in-chief.  </w:t>
      </w:r>
      <w:r w:rsidR="00ED03FA">
        <w:rPr>
          <w:rFonts w:ascii="Times New Roman" w:hAnsi="Times New Roman" w:cs="Times New Roman"/>
        </w:rPr>
        <w:t>Sunoco added that it did not use the stay in the schedule created by the mediation efforts to increase its rebuttal testimony</w:t>
      </w:r>
      <w:r w:rsidR="00CF57D8">
        <w:rPr>
          <w:rFonts w:ascii="Times New Roman" w:hAnsi="Times New Roman" w:cs="Times New Roman"/>
        </w:rPr>
        <w:t>.</w:t>
      </w:r>
      <w:r w:rsidR="00ED03FA">
        <w:rPr>
          <w:rFonts w:ascii="Times New Roman" w:hAnsi="Times New Roman" w:cs="Times New Roman"/>
        </w:rPr>
        <w:t xml:space="preserve">  </w:t>
      </w:r>
      <w:r w:rsidR="00522A68">
        <w:rPr>
          <w:rFonts w:ascii="Times New Roman" w:hAnsi="Times New Roman" w:cs="Times New Roman"/>
        </w:rPr>
        <w:t>Sunoco concluded that Glen Riddle’s motion should be denied.</w:t>
      </w:r>
    </w:p>
    <w:p w14:paraId="6D4FF391" w14:textId="77777777" w:rsidR="00522A68" w:rsidRDefault="00522A68" w:rsidP="00C452AC">
      <w:pPr>
        <w:pStyle w:val="ParaTab1"/>
        <w:tabs>
          <w:tab w:val="left" w:pos="2070"/>
        </w:tabs>
        <w:spacing w:line="360" w:lineRule="auto"/>
        <w:rPr>
          <w:rFonts w:ascii="Times New Roman" w:hAnsi="Times New Roman" w:cs="Times New Roman"/>
        </w:rPr>
      </w:pPr>
    </w:p>
    <w:p w14:paraId="17E81E47" w14:textId="77777777" w:rsidR="009C6961" w:rsidRDefault="00874447" w:rsidP="00C452AC">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Finally, on May 18, 2021, Glen Riddle filed </w:t>
      </w:r>
      <w:r w:rsidR="009C6961">
        <w:rPr>
          <w:rFonts w:ascii="Times New Roman" w:hAnsi="Times New Roman" w:cs="Times New Roman"/>
        </w:rPr>
        <w:t>a reply in further support of its motion for a continuance.  As this pleading is generally a reply to Sunoco’s answer, and the Commission’s regulations do not allow for replies to answers, this pleading will not be considered.</w:t>
      </w:r>
    </w:p>
    <w:p w14:paraId="721D2C7D" w14:textId="77777777" w:rsidR="009C6961" w:rsidRDefault="009C6961" w:rsidP="00C452AC">
      <w:pPr>
        <w:pStyle w:val="ParaTab1"/>
        <w:tabs>
          <w:tab w:val="left" w:pos="2070"/>
        </w:tabs>
        <w:spacing w:line="360" w:lineRule="auto"/>
        <w:rPr>
          <w:rFonts w:ascii="Times New Roman" w:hAnsi="Times New Roman" w:cs="Times New Roman"/>
        </w:rPr>
      </w:pPr>
    </w:p>
    <w:p w14:paraId="48D05DC1" w14:textId="6F21D931" w:rsidR="00E24607" w:rsidRDefault="00377813" w:rsidP="00C452AC">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Given that </w:t>
      </w:r>
      <w:r w:rsidR="00C667E9">
        <w:rPr>
          <w:rFonts w:ascii="Times New Roman" w:hAnsi="Times New Roman" w:cs="Times New Roman"/>
        </w:rPr>
        <w:t xml:space="preserve">Glen Riddle’s surrebuttal testimony was originally scheduled to be served on </w:t>
      </w:r>
      <w:r w:rsidR="00995F04">
        <w:rPr>
          <w:rFonts w:ascii="Times New Roman" w:hAnsi="Times New Roman" w:cs="Times New Roman"/>
        </w:rPr>
        <w:t xml:space="preserve">May 19, 2021, </w:t>
      </w:r>
      <w:r w:rsidR="00E24607">
        <w:rPr>
          <w:rFonts w:ascii="Times New Roman" w:hAnsi="Times New Roman" w:cs="Times New Roman"/>
        </w:rPr>
        <w:t xml:space="preserve">an initial one-day extension until May 20, 2021 was </w:t>
      </w:r>
      <w:proofErr w:type="spellStart"/>
      <w:r w:rsidR="00F10233">
        <w:rPr>
          <w:rFonts w:ascii="Times New Roman" w:hAnsi="Times New Roman" w:cs="Times New Roman"/>
          <w:i/>
          <w:iCs/>
        </w:rPr>
        <w:t>sua</w:t>
      </w:r>
      <w:proofErr w:type="spellEnd"/>
      <w:r w:rsidR="00F10233">
        <w:rPr>
          <w:rFonts w:ascii="Times New Roman" w:hAnsi="Times New Roman" w:cs="Times New Roman"/>
          <w:i/>
          <w:iCs/>
        </w:rPr>
        <w:t xml:space="preserve"> sponte</w:t>
      </w:r>
      <w:r w:rsidR="00F10233">
        <w:rPr>
          <w:rFonts w:ascii="Times New Roman" w:hAnsi="Times New Roman" w:cs="Times New Roman"/>
        </w:rPr>
        <w:t xml:space="preserve"> </w:t>
      </w:r>
      <w:r w:rsidR="00E24607">
        <w:rPr>
          <w:rFonts w:ascii="Times New Roman" w:hAnsi="Times New Roman" w:cs="Times New Roman"/>
        </w:rPr>
        <w:t>given for Glen Riddle to submit its surrebuttal testimony while Glen Riddle’s motion was pending.  A conference call was convened on May 19, 2021 amongst counsel for Glen Riddle, counsel for Sunoco and the presiding officer for a discussion an</w:t>
      </w:r>
      <w:r w:rsidR="008216BF">
        <w:rPr>
          <w:rFonts w:ascii="Times New Roman" w:hAnsi="Times New Roman" w:cs="Times New Roman"/>
        </w:rPr>
        <w:t>d</w:t>
      </w:r>
      <w:r w:rsidR="00E24607">
        <w:rPr>
          <w:rFonts w:ascii="Times New Roman" w:hAnsi="Times New Roman" w:cs="Times New Roman"/>
        </w:rPr>
        <w:t xml:space="preserve"> informal resolution of </w:t>
      </w:r>
      <w:r w:rsidR="00F54AB6">
        <w:rPr>
          <w:rFonts w:ascii="Times New Roman" w:hAnsi="Times New Roman" w:cs="Times New Roman"/>
        </w:rPr>
        <w:t xml:space="preserve">Glen Riddle’s motion.  During that call, it was determined that Glen Riddle’s motion would be granted, although the parties were left to </w:t>
      </w:r>
      <w:r w:rsidR="00F46785">
        <w:rPr>
          <w:rFonts w:ascii="Times New Roman" w:hAnsi="Times New Roman" w:cs="Times New Roman"/>
        </w:rPr>
        <w:t xml:space="preserve">determine the </w:t>
      </w:r>
      <w:r w:rsidR="008A695A">
        <w:rPr>
          <w:rFonts w:ascii="Times New Roman" w:hAnsi="Times New Roman" w:cs="Times New Roman"/>
        </w:rPr>
        <w:t xml:space="preserve">details of the </w:t>
      </w:r>
      <w:r w:rsidR="00F46785">
        <w:rPr>
          <w:rFonts w:ascii="Times New Roman" w:hAnsi="Times New Roman" w:cs="Times New Roman"/>
        </w:rPr>
        <w:t>remaining procedural schedule within certain parameters</w:t>
      </w:r>
      <w:r w:rsidR="008A695A">
        <w:rPr>
          <w:rFonts w:ascii="Times New Roman" w:hAnsi="Times New Roman" w:cs="Times New Roman"/>
        </w:rPr>
        <w:t xml:space="preserve"> that were provided during the call</w:t>
      </w:r>
      <w:r w:rsidR="00E667E3">
        <w:rPr>
          <w:rFonts w:ascii="Times New Roman" w:hAnsi="Times New Roman" w:cs="Times New Roman"/>
        </w:rPr>
        <w:t>.</w:t>
      </w:r>
    </w:p>
    <w:p w14:paraId="6E679EC0" w14:textId="1842261C" w:rsidR="00E667E3" w:rsidRDefault="00E667E3" w:rsidP="00C452AC">
      <w:pPr>
        <w:pStyle w:val="ParaTab1"/>
        <w:tabs>
          <w:tab w:val="left" w:pos="2070"/>
        </w:tabs>
        <w:spacing w:line="360" w:lineRule="auto"/>
        <w:rPr>
          <w:rFonts w:ascii="Times New Roman" w:hAnsi="Times New Roman" w:cs="Times New Roman"/>
        </w:rPr>
      </w:pPr>
    </w:p>
    <w:p w14:paraId="1D9C188F" w14:textId="4E432CF8" w:rsidR="009B1572" w:rsidRDefault="00E667E3" w:rsidP="00C452AC">
      <w:pPr>
        <w:pStyle w:val="ParaTab1"/>
        <w:tabs>
          <w:tab w:val="left" w:pos="2070"/>
        </w:tabs>
        <w:spacing w:line="360" w:lineRule="auto"/>
        <w:rPr>
          <w:rFonts w:ascii="Times New Roman" w:hAnsi="Times New Roman" w:cs="Times New Roman"/>
        </w:rPr>
      </w:pPr>
      <w:r>
        <w:rPr>
          <w:rFonts w:ascii="Times New Roman" w:hAnsi="Times New Roman" w:cs="Times New Roman"/>
        </w:rPr>
        <w:t>On May 2</w:t>
      </w:r>
      <w:r w:rsidR="008448CC">
        <w:rPr>
          <w:rFonts w:ascii="Times New Roman" w:hAnsi="Times New Roman" w:cs="Times New Roman"/>
        </w:rPr>
        <w:t>1</w:t>
      </w:r>
      <w:r>
        <w:rPr>
          <w:rFonts w:ascii="Times New Roman" w:hAnsi="Times New Roman" w:cs="Times New Roman"/>
        </w:rPr>
        <w:t xml:space="preserve">, 2021, the parties </w:t>
      </w:r>
      <w:r w:rsidR="003D473C">
        <w:rPr>
          <w:rFonts w:ascii="Times New Roman" w:hAnsi="Times New Roman" w:cs="Times New Roman"/>
        </w:rPr>
        <w:t>indicated</w:t>
      </w:r>
      <w:r w:rsidR="008448CC">
        <w:rPr>
          <w:rFonts w:ascii="Times New Roman" w:hAnsi="Times New Roman" w:cs="Times New Roman"/>
        </w:rPr>
        <w:t xml:space="preserve"> that a revised procedural schedule has been agreed upon, along with modifications to the Commission’s discovery regulations.  </w:t>
      </w:r>
      <w:r w:rsidR="000B150F">
        <w:rPr>
          <w:rFonts w:ascii="Times New Roman" w:hAnsi="Times New Roman" w:cs="Times New Roman"/>
        </w:rPr>
        <w:t>The parties agreed that Glen Riddle’s surrebuttal testimony would be due on Monday, June 14, 2021</w:t>
      </w:r>
      <w:r w:rsidR="00DF26F6">
        <w:rPr>
          <w:rFonts w:ascii="Times New Roman" w:hAnsi="Times New Roman" w:cs="Times New Roman"/>
        </w:rPr>
        <w:t xml:space="preserve"> and that hearings would be held on July 12, 2021 and July 13, 2021, with a special hearing on July 7, 2021 for one Sunoco witness who is not available on July 12</w:t>
      </w:r>
      <w:r w:rsidR="00DF26F6" w:rsidRPr="00DF26F6">
        <w:rPr>
          <w:rFonts w:ascii="Times New Roman" w:hAnsi="Times New Roman" w:cs="Times New Roman"/>
          <w:vertAlign w:val="superscript"/>
        </w:rPr>
        <w:t>th</w:t>
      </w:r>
      <w:r w:rsidR="00DF26F6">
        <w:rPr>
          <w:rFonts w:ascii="Times New Roman" w:hAnsi="Times New Roman" w:cs="Times New Roman"/>
        </w:rPr>
        <w:t xml:space="preserve"> or July 13</w:t>
      </w:r>
      <w:r w:rsidR="00DF26F6" w:rsidRPr="00DF26F6">
        <w:rPr>
          <w:rFonts w:ascii="Times New Roman" w:hAnsi="Times New Roman" w:cs="Times New Roman"/>
          <w:vertAlign w:val="superscript"/>
        </w:rPr>
        <w:t>th</w:t>
      </w:r>
      <w:r w:rsidR="00DF26F6">
        <w:rPr>
          <w:rFonts w:ascii="Times New Roman" w:hAnsi="Times New Roman" w:cs="Times New Roman"/>
        </w:rPr>
        <w:t xml:space="preserve">.  </w:t>
      </w:r>
      <w:r w:rsidR="009B1572">
        <w:rPr>
          <w:rFonts w:ascii="Times New Roman" w:hAnsi="Times New Roman" w:cs="Times New Roman"/>
        </w:rPr>
        <w:t>The parties also agreed to the following modifications to the Commission’s discovery regulations:</w:t>
      </w:r>
    </w:p>
    <w:p w14:paraId="6F6A7CD7" w14:textId="77777777" w:rsidR="009B1572" w:rsidRDefault="009B1572" w:rsidP="00C452AC">
      <w:pPr>
        <w:pStyle w:val="ParaTab1"/>
        <w:tabs>
          <w:tab w:val="left" w:pos="2070"/>
        </w:tabs>
        <w:spacing w:line="360" w:lineRule="auto"/>
        <w:rPr>
          <w:rFonts w:ascii="Times New Roman" w:hAnsi="Times New Roman" w:cs="Times New Roman"/>
        </w:rPr>
      </w:pPr>
    </w:p>
    <w:p w14:paraId="245241DD" w14:textId="3C1AC513" w:rsidR="009B1572" w:rsidRDefault="009B1572" w:rsidP="004F3B80">
      <w:pPr>
        <w:pStyle w:val="ParaTab1"/>
        <w:numPr>
          <w:ilvl w:val="0"/>
          <w:numId w:val="2"/>
        </w:numPr>
        <w:tabs>
          <w:tab w:val="left" w:pos="2070"/>
        </w:tabs>
        <w:ind w:right="1440"/>
        <w:rPr>
          <w:rFonts w:ascii="Times New Roman" w:hAnsi="Times New Roman" w:cs="Times New Roman"/>
        </w:rPr>
      </w:pPr>
      <w:r>
        <w:rPr>
          <w:rFonts w:ascii="Times New Roman" w:hAnsi="Times New Roman" w:cs="Times New Roman"/>
        </w:rPr>
        <w:t xml:space="preserve">After service of the surrebuttal testimony, answers to written interrogatories shall be served in-hand within five (5) calendar days of </w:t>
      </w:r>
      <w:proofErr w:type="gramStart"/>
      <w:r>
        <w:rPr>
          <w:rFonts w:ascii="Times New Roman" w:hAnsi="Times New Roman" w:cs="Times New Roman"/>
        </w:rPr>
        <w:t>service</w:t>
      </w:r>
      <w:r w:rsidR="00031A2A">
        <w:rPr>
          <w:rFonts w:ascii="Times New Roman" w:hAnsi="Times New Roman" w:cs="Times New Roman"/>
        </w:rPr>
        <w:t>;</w:t>
      </w:r>
      <w:proofErr w:type="gramEnd"/>
    </w:p>
    <w:p w14:paraId="6A0748C2" w14:textId="77777777" w:rsidR="004F3B80" w:rsidRDefault="004F3B80" w:rsidP="004F3B80">
      <w:pPr>
        <w:pStyle w:val="ParaTab1"/>
        <w:tabs>
          <w:tab w:val="left" w:pos="2070"/>
        </w:tabs>
        <w:ind w:left="1800" w:right="1440" w:firstLine="0"/>
        <w:rPr>
          <w:rFonts w:ascii="Times New Roman" w:hAnsi="Times New Roman" w:cs="Times New Roman"/>
        </w:rPr>
      </w:pPr>
    </w:p>
    <w:p w14:paraId="3C57EB7A" w14:textId="77777777" w:rsidR="00751EA1" w:rsidRDefault="00031A2A" w:rsidP="004F3B80">
      <w:pPr>
        <w:pStyle w:val="ParaTab1"/>
        <w:numPr>
          <w:ilvl w:val="0"/>
          <w:numId w:val="2"/>
        </w:numPr>
        <w:tabs>
          <w:tab w:val="left" w:pos="2070"/>
        </w:tabs>
        <w:ind w:right="1440"/>
        <w:rPr>
          <w:rFonts w:ascii="Times New Roman" w:hAnsi="Times New Roman" w:cs="Times New Roman"/>
        </w:rPr>
      </w:pPr>
      <w:r>
        <w:rPr>
          <w:rFonts w:ascii="Times New Roman" w:hAnsi="Times New Roman" w:cs="Times New Roman"/>
        </w:rPr>
        <w:t xml:space="preserve">Objections to interrogatories shall be communicated orally within two (2) </w:t>
      </w:r>
      <w:r w:rsidR="00751EA1">
        <w:rPr>
          <w:rFonts w:ascii="Times New Roman" w:hAnsi="Times New Roman" w:cs="Times New Roman"/>
        </w:rPr>
        <w:t xml:space="preserve">calendar days of service of the interrogatories, unresolved objections shall be served to the ALJ in writing within three (3) days of service of the </w:t>
      </w:r>
      <w:proofErr w:type="gramStart"/>
      <w:r w:rsidR="00751EA1">
        <w:rPr>
          <w:rFonts w:ascii="Times New Roman" w:hAnsi="Times New Roman" w:cs="Times New Roman"/>
        </w:rPr>
        <w:t>interrogatories;</w:t>
      </w:r>
      <w:proofErr w:type="gramEnd"/>
      <w:r w:rsidR="00751EA1">
        <w:rPr>
          <w:rFonts w:ascii="Times New Roman" w:hAnsi="Times New Roman" w:cs="Times New Roman"/>
        </w:rPr>
        <w:t xml:space="preserve"> </w:t>
      </w:r>
    </w:p>
    <w:p w14:paraId="7F5C6C89" w14:textId="77777777" w:rsidR="004F3B80" w:rsidRDefault="004F3B80" w:rsidP="004F3B80">
      <w:pPr>
        <w:pStyle w:val="ParaTab1"/>
        <w:tabs>
          <w:tab w:val="left" w:pos="2070"/>
        </w:tabs>
        <w:ind w:left="1800" w:right="1440" w:firstLine="0"/>
        <w:rPr>
          <w:rFonts w:ascii="Times New Roman" w:hAnsi="Times New Roman" w:cs="Times New Roman"/>
        </w:rPr>
      </w:pPr>
    </w:p>
    <w:p w14:paraId="5967E959" w14:textId="2FD0FBE6" w:rsidR="00751EA1" w:rsidRDefault="00751EA1" w:rsidP="004F3B80">
      <w:pPr>
        <w:pStyle w:val="ParaTab1"/>
        <w:numPr>
          <w:ilvl w:val="0"/>
          <w:numId w:val="2"/>
        </w:numPr>
        <w:tabs>
          <w:tab w:val="left" w:pos="2070"/>
        </w:tabs>
        <w:ind w:right="1440"/>
        <w:rPr>
          <w:rFonts w:ascii="Times New Roman" w:hAnsi="Times New Roman" w:cs="Times New Roman"/>
        </w:rPr>
      </w:pPr>
      <w:r>
        <w:rPr>
          <w:rFonts w:ascii="Times New Roman" w:hAnsi="Times New Roman" w:cs="Times New Roman"/>
        </w:rPr>
        <w:t xml:space="preserve">Motions to compel the answering of interrogatories shall be filed within two (2) calendar days of service of the written </w:t>
      </w:r>
      <w:proofErr w:type="gramStart"/>
      <w:r>
        <w:rPr>
          <w:rFonts w:ascii="Times New Roman" w:hAnsi="Times New Roman" w:cs="Times New Roman"/>
        </w:rPr>
        <w:t>objections;</w:t>
      </w:r>
      <w:proofErr w:type="gramEnd"/>
    </w:p>
    <w:p w14:paraId="3DB75039" w14:textId="77777777" w:rsidR="004F3B80" w:rsidRDefault="004F3B80" w:rsidP="004F3B80">
      <w:pPr>
        <w:pStyle w:val="ParaTab1"/>
        <w:tabs>
          <w:tab w:val="left" w:pos="2070"/>
        </w:tabs>
        <w:ind w:left="1800" w:right="1440" w:firstLine="0"/>
        <w:rPr>
          <w:rFonts w:ascii="Times New Roman" w:hAnsi="Times New Roman" w:cs="Times New Roman"/>
        </w:rPr>
      </w:pPr>
    </w:p>
    <w:p w14:paraId="7CA602A0" w14:textId="17BCB6A3" w:rsidR="00751EA1" w:rsidRDefault="00751EA1" w:rsidP="004F3B80">
      <w:pPr>
        <w:pStyle w:val="ParaTab1"/>
        <w:numPr>
          <w:ilvl w:val="0"/>
          <w:numId w:val="2"/>
        </w:numPr>
        <w:tabs>
          <w:tab w:val="left" w:pos="2070"/>
        </w:tabs>
        <w:ind w:right="1440"/>
        <w:rPr>
          <w:rFonts w:ascii="Times New Roman" w:hAnsi="Times New Roman" w:cs="Times New Roman"/>
        </w:rPr>
      </w:pPr>
      <w:r>
        <w:rPr>
          <w:rFonts w:ascii="Times New Roman" w:hAnsi="Times New Roman" w:cs="Times New Roman"/>
        </w:rPr>
        <w:t xml:space="preserve">Answers to motions to compel shall be filed within two (2) calendar days of service of such motions; and </w:t>
      </w:r>
    </w:p>
    <w:p w14:paraId="1B693D44" w14:textId="77777777" w:rsidR="004F3B80" w:rsidRDefault="004F3B80" w:rsidP="004F3B80">
      <w:pPr>
        <w:pStyle w:val="ParaTab1"/>
        <w:tabs>
          <w:tab w:val="left" w:pos="2070"/>
        </w:tabs>
        <w:ind w:left="1800" w:right="1440" w:firstLine="0"/>
        <w:rPr>
          <w:rFonts w:ascii="Times New Roman" w:hAnsi="Times New Roman" w:cs="Times New Roman"/>
        </w:rPr>
      </w:pPr>
    </w:p>
    <w:p w14:paraId="4F9DB073" w14:textId="3C8D7FB6" w:rsidR="00751EA1" w:rsidRDefault="00751EA1" w:rsidP="004F3B80">
      <w:pPr>
        <w:pStyle w:val="ParaTab1"/>
        <w:numPr>
          <w:ilvl w:val="0"/>
          <w:numId w:val="2"/>
        </w:numPr>
        <w:tabs>
          <w:tab w:val="left" w:pos="2070"/>
        </w:tabs>
        <w:ind w:right="1440"/>
        <w:rPr>
          <w:rFonts w:ascii="Times New Roman" w:hAnsi="Times New Roman" w:cs="Times New Roman"/>
        </w:rPr>
      </w:pPr>
      <w:r>
        <w:rPr>
          <w:rFonts w:ascii="Times New Roman" w:hAnsi="Times New Roman" w:cs="Times New Roman"/>
        </w:rPr>
        <w:t>Ruling over such motions shall be issued, if possible, within three (3) calendar days of the filing of the motion.</w:t>
      </w:r>
    </w:p>
    <w:p w14:paraId="6B38AD53" w14:textId="785E2B61" w:rsidR="00E667E3" w:rsidRDefault="00E667E3" w:rsidP="00C452AC">
      <w:pPr>
        <w:pStyle w:val="ParaTab1"/>
        <w:tabs>
          <w:tab w:val="left" w:pos="2070"/>
        </w:tabs>
        <w:spacing w:line="360" w:lineRule="auto"/>
        <w:rPr>
          <w:rFonts w:ascii="Times New Roman" w:hAnsi="Times New Roman" w:cs="Times New Roman"/>
        </w:rPr>
      </w:pPr>
    </w:p>
    <w:p w14:paraId="4FB32D89" w14:textId="39F3220F" w:rsidR="00E667E3" w:rsidRDefault="00E667E3" w:rsidP="00C7418F">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The purpose of this order is to formally grant the motion for continuance filed by Glen Riddle and to </w:t>
      </w:r>
      <w:r w:rsidR="0016378B">
        <w:rPr>
          <w:rFonts w:ascii="Times New Roman" w:hAnsi="Times New Roman" w:cs="Times New Roman"/>
        </w:rPr>
        <w:t>memorialize the agreed upon remaining schedule for this proceeding.</w:t>
      </w:r>
    </w:p>
    <w:p w14:paraId="03EFFD5C" w14:textId="77777777" w:rsidR="0016378B" w:rsidRDefault="0016378B" w:rsidP="00C452AC">
      <w:pPr>
        <w:pStyle w:val="ParaTab1"/>
        <w:tabs>
          <w:tab w:val="left" w:pos="2070"/>
        </w:tabs>
        <w:spacing w:line="360" w:lineRule="auto"/>
        <w:rPr>
          <w:rFonts w:ascii="Times New Roman" w:hAnsi="Times New Roman" w:cs="Times New Roman"/>
        </w:rPr>
      </w:pPr>
    </w:p>
    <w:p w14:paraId="3EBEA7DC" w14:textId="7137ABB8" w:rsidR="002D5541" w:rsidRDefault="002D5541" w:rsidP="002D5541">
      <w:pPr>
        <w:pStyle w:val="Style"/>
        <w:spacing w:line="360" w:lineRule="auto"/>
        <w:ind w:firstLine="1440"/>
      </w:pPr>
      <w:r w:rsidRPr="00AC53AF">
        <w:t xml:space="preserve">Section 5.483 of the Commission’s regulations provides presiding officers with the authority to regulate the course of proceedings.  52 </w:t>
      </w:r>
      <w:proofErr w:type="spellStart"/>
      <w:r w:rsidRPr="00AC53AF">
        <w:t>Pa.Code</w:t>
      </w:r>
      <w:proofErr w:type="spellEnd"/>
      <w:r w:rsidRPr="00AC53AF">
        <w:t xml:space="preserve"> § 5.483(a).  Presiding officers are required to conduct fair and impartial hearings and maintain order.  52 </w:t>
      </w:r>
      <w:proofErr w:type="spellStart"/>
      <w:r w:rsidRPr="00AC53AF">
        <w:t>Pa.Code</w:t>
      </w:r>
      <w:proofErr w:type="spellEnd"/>
      <w:r w:rsidRPr="00AC53AF">
        <w:t xml:space="preserve"> § 5.485(a).  Furthermore, the Commission’s regulations are to be liberally construed to secure the just, </w:t>
      </w:r>
      <w:proofErr w:type="gramStart"/>
      <w:r w:rsidRPr="00AC53AF">
        <w:t>speedy</w:t>
      </w:r>
      <w:proofErr w:type="gramEnd"/>
      <w:r w:rsidRPr="00AC53AF">
        <w:t xml:space="preserve"> and inexpensive determination of every action or proceeding and the presiding officer may, at any stage, disregard an error or defect of procedure which does not affect the substantive rights of parties.  52 </w:t>
      </w:r>
      <w:proofErr w:type="spellStart"/>
      <w:r w:rsidRPr="00AC53AF">
        <w:t>Pa.Code</w:t>
      </w:r>
      <w:proofErr w:type="spellEnd"/>
      <w:r w:rsidRPr="00AC53AF">
        <w:t xml:space="preserve"> § 1.2(a).  Except as otherwise provided by statute, requests for continuance of hearings or for extension of time in which to perform an act required or allowed to be done at or within a specified time by this title or by order of the Commission or presiding officer, shall be by motion in writing, timely filed with the Commission, stating the facts on which the application rests.  52 </w:t>
      </w:r>
      <w:proofErr w:type="spellStart"/>
      <w:r w:rsidRPr="00AC53AF">
        <w:t>Pa.Code</w:t>
      </w:r>
      <w:proofErr w:type="spellEnd"/>
      <w:r w:rsidRPr="00AC53AF">
        <w:t xml:space="preserve"> § 1.15(b).  Only for good cause shown will requests for continuance be considered.  </w:t>
      </w:r>
      <w:r w:rsidRPr="00AC53AF">
        <w:rPr>
          <w:u w:val="single"/>
        </w:rPr>
        <w:t>Id.</w:t>
      </w:r>
    </w:p>
    <w:p w14:paraId="7FC3A874" w14:textId="102258AA" w:rsidR="00D131A2" w:rsidRDefault="00D131A2" w:rsidP="002D5541">
      <w:pPr>
        <w:pStyle w:val="Style"/>
        <w:spacing w:line="360" w:lineRule="auto"/>
        <w:ind w:firstLine="1440"/>
      </w:pPr>
    </w:p>
    <w:p w14:paraId="513083E9" w14:textId="77777777" w:rsidR="00990E56" w:rsidRDefault="00D131A2" w:rsidP="00D131A2">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In this case, good cause exists to grant a continuance.  </w:t>
      </w:r>
      <w:r w:rsidR="007E3A9A">
        <w:rPr>
          <w:rFonts w:ascii="Times New Roman" w:hAnsi="Times New Roman" w:cs="Times New Roman"/>
        </w:rPr>
        <w:t>Glen Riddle noted tha</w:t>
      </w:r>
      <w:r w:rsidR="001D0587">
        <w:rPr>
          <w:rFonts w:ascii="Times New Roman" w:hAnsi="Times New Roman" w:cs="Times New Roman"/>
        </w:rPr>
        <w:t>t, under the prior procedural schedule, it only had one week to respond to eight pieces of rebuttal testimony provided by Sunoco</w:t>
      </w:r>
      <w:r w:rsidR="009C08F8">
        <w:rPr>
          <w:rFonts w:ascii="Times New Roman" w:hAnsi="Times New Roman" w:cs="Times New Roman"/>
        </w:rPr>
        <w:t>.  Glen Riddle also noted its attempts to resolve this matter via mediation during the time it served its di</w:t>
      </w:r>
      <w:r w:rsidR="00E0684D">
        <w:rPr>
          <w:rFonts w:ascii="Times New Roman" w:hAnsi="Times New Roman" w:cs="Times New Roman"/>
        </w:rPr>
        <w:t xml:space="preserve">rect testimony and Sunoco’s rebuttal testimony was served.  Certainly, Glen </w:t>
      </w:r>
      <w:r w:rsidR="00E0684D">
        <w:rPr>
          <w:rFonts w:ascii="Times New Roman" w:hAnsi="Times New Roman" w:cs="Times New Roman"/>
        </w:rPr>
        <w:lastRenderedPageBreak/>
        <w:t xml:space="preserve">Riddle’s efforts to </w:t>
      </w:r>
      <w:r w:rsidR="00526638">
        <w:rPr>
          <w:rFonts w:ascii="Times New Roman" w:hAnsi="Times New Roman" w:cs="Times New Roman"/>
        </w:rPr>
        <w:t xml:space="preserve">resolve this matter without further litigation are commendable and constitute good cause for it to have additional time to respond to the rebuttal testimony submitted by Sunoco.  The Commission strongly encourages </w:t>
      </w:r>
      <w:proofErr w:type="gramStart"/>
      <w:r w:rsidR="00526638">
        <w:rPr>
          <w:rFonts w:ascii="Times New Roman" w:hAnsi="Times New Roman" w:cs="Times New Roman"/>
        </w:rPr>
        <w:t>settlement</w:t>
      </w:r>
      <w:proofErr w:type="gramEnd"/>
      <w:r w:rsidR="00526638">
        <w:rPr>
          <w:rFonts w:ascii="Times New Roman" w:hAnsi="Times New Roman" w:cs="Times New Roman"/>
        </w:rPr>
        <w:t xml:space="preserve"> and it can be difficult at times to litigate a case</w:t>
      </w:r>
      <w:r w:rsidR="002C2332">
        <w:rPr>
          <w:rFonts w:ascii="Times New Roman" w:hAnsi="Times New Roman" w:cs="Times New Roman"/>
        </w:rPr>
        <w:t xml:space="preserve"> and engage in settlement efforts at the same time. </w:t>
      </w:r>
      <w:r w:rsidR="000C5CBA">
        <w:rPr>
          <w:rFonts w:ascii="Times New Roman" w:hAnsi="Times New Roman" w:cs="Times New Roman"/>
        </w:rPr>
        <w:t xml:space="preserve"> Furthermore, although there are </w:t>
      </w:r>
      <w:r w:rsidR="00D23E76">
        <w:rPr>
          <w:rFonts w:ascii="Times New Roman" w:hAnsi="Times New Roman" w:cs="Times New Roman"/>
        </w:rPr>
        <w:t xml:space="preserve">allegations of safety concerns present in this case, this is Glen Riddle’s complaint to prosecute and it should be given every opportunity it can to </w:t>
      </w:r>
      <w:r w:rsidR="003B4308">
        <w:rPr>
          <w:rFonts w:ascii="Times New Roman" w:hAnsi="Times New Roman" w:cs="Times New Roman"/>
        </w:rPr>
        <w:t xml:space="preserve">pursue its complaint, while still maintaining Sunoco’s due process rights.  The agreed upon schedule </w:t>
      </w:r>
      <w:r w:rsidR="003F2EBD">
        <w:rPr>
          <w:rFonts w:ascii="Times New Roman" w:hAnsi="Times New Roman" w:cs="Times New Roman"/>
        </w:rPr>
        <w:t xml:space="preserve">submitted by the </w:t>
      </w:r>
      <w:proofErr w:type="gramStart"/>
      <w:r w:rsidR="003F2EBD">
        <w:rPr>
          <w:rFonts w:ascii="Times New Roman" w:hAnsi="Times New Roman" w:cs="Times New Roman"/>
        </w:rPr>
        <w:t>parties</w:t>
      </w:r>
      <w:proofErr w:type="gramEnd"/>
      <w:r w:rsidR="003F2EBD">
        <w:rPr>
          <w:rFonts w:ascii="Times New Roman" w:hAnsi="Times New Roman" w:cs="Times New Roman"/>
        </w:rPr>
        <w:t xml:space="preserve"> balances Glen Riddle’s opportunity to pursue its complaint while protecting Sunoco’s due process rights.</w:t>
      </w:r>
      <w:r w:rsidR="002873E4">
        <w:rPr>
          <w:rFonts w:ascii="Times New Roman" w:hAnsi="Times New Roman" w:cs="Times New Roman"/>
        </w:rPr>
        <w:t xml:space="preserve">  </w:t>
      </w:r>
    </w:p>
    <w:p w14:paraId="5E9EDE62" w14:textId="77777777" w:rsidR="00990E56" w:rsidRDefault="00990E56" w:rsidP="00D131A2">
      <w:pPr>
        <w:pStyle w:val="ParaTab1"/>
        <w:tabs>
          <w:tab w:val="left" w:pos="2070"/>
        </w:tabs>
        <w:spacing w:line="360" w:lineRule="auto"/>
        <w:rPr>
          <w:rFonts w:ascii="Times New Roman" w:hAnsi="Times New Roman" w:cs="Times New Roman"/>
        </w:rPr>
      </w:pPr>
    </w:p>
    <w:p w14:paraId="4A2B9269" w14:textId="1BDD217A" w:rsidR="00E979DC" w:rsidRDefault="002873E4" w:rsidP="00990E56">
      <w:pPr>
        <w:pStyle w:val="ParaTab1"/>
        <w:tabs>
          <w:tab w:val="left" w:pos="2070"/>
        </w:tabs>
        <w:spacing w:line="360" w:lineRule="auto"/>
        <w:rPr>
          <w:rFonts w:ascii="Times New Roman" w:hAnsi="Times New Roman" w:cs="Times New Roman"/>
        </w:rPr>
      </w:pPr>
      <w:r>
        <w:rPr>
          <w:rFonts w:ascii="Times New Roman" w:hAnsi="Times New Roman" w:cs="Times New Roman"/>
        </w:rPr>
        <w:t>Regardless of Glen Riddle’s opportunity to pursue its complaint,</w:t>
      </w:r>
      <w:r w:rsidR="00A232A8">
        <w:rPr>
          <w:rFonts w:ascii="Times New Roman" w:hAnsi="Times New Roman" w:cs="Times New Roman"/>
        </w:rPr>
        <w:t xml:space="preserve"> however,</w:t>
      </w:r>
      <w:r>
        <w:rPr>
          <w:rFonts w:ascii="Times New Roman" w:hAnsi="Times New Roman" w:cs="Times New Roman"/>
        </w:rPr>
        <w:t xml:space="preserve"> the Commission’s resources to adjudicate this matter are not boundless.  Therefore, no further continuance of this matter will be granted absent exigent circumstances.</w:t>
      </w:r>
      <w:r w:rsidR="00990E56">
        <w:rPr>
          <w:rFonts w:ascii="Times New Roman" w:hAnsi="Times New Roman" w:cs="Times New Roman"/>
        </w:rPr>
        <w:t xml:space="preserve">  Furthermore, </w:t>
      </w:r>
      <w:r w:rsidR="003F2EBD">
        <w:rPr>
          <w:rFonts w:ascii="Times New Roman" w:hAnsi="Times New Roman" w:cs="Times New Roman"/>
        </w:rPr>
        <w:t xml:space="preserve">Glen Riddle is reminded, as it was during the conference call held on May 19, 2021, that its surrebuttal must be responsive to Sunoco’s rebuttal testimony.  The additional time provided for Glen Riddle to provide surrebuttal testimony does not also give Glen Riddle an opportunity to expand </w:t>
      </w:r>
      <w:r w:rsidR="00E4318F">
        <w:rPr>
          <w:rFonts w:ascii="Times New Roman" w:hAnsi="Times New Roman" w:cs="Times New Roman"/>
        </w:rPr>
        <w:t xml:space="preserve">the scope of its arguments beyond its direct testimony.  </w:t>
      </w:r>
      <w:r w:rsidR="00F0264F">
        <w:rPr>
          <w:rFonts w:ascii="Times New Roman" w:hAnsi="Times New Roman" w:cs="Times New Roman"/>
        </w:rPr>
        <w:t xml:space="preserve">Glen Riddle is not being given “a second bite of the apple” </w:t>
      </w:r>
      <w:r w:rsidR="00346311">
        <w:rPr>
          <w:rFonts w:ascii="Times New Roman" w:hAnsi="Times New Roman" w:cs="Times New Roman"/>
        </w:rPr>
        <w:t xml:space="preserve">through this further continuance.  </w:t>
      </w:r>
      <w:r w:rsidR="00E4318F">
        <w:rPr>
          <w:rFonts w:ascii="Times New Roman" w:hAnsi="Times New Roman" w:cs="Times New Roman"/>
        </w:rPr>
        <w:t xml:space="preserve">Furthermore, </w:t>
      </w:r>
      <w:r w:rsidR="00F0264F">
        <w:rPr>
          <w:rFonts w:ascii="Times New Roman" w:hAnsi="Times New Roman" w:cs="Times New Roman"/>
        </w:rPr>
        <w:t xml:space="preserve">the additional time provided for the parties to litigate </w:t>
      </w:r>
      <w:r w:rsidR="00346311">
        <w:rPr>
          <w:rFonts w:ascii="Times New Roman" w:hAnsi="Times New Roman" w:cs="Times New Roman"/>
        </w:rPr>
        <w:t xml:space="preserve">does not encourage the parties to file additional prehearing motions.  Although the parties have the right to file such motions, as was also pointed out during the May 19, 2021 conference call and elsewhere throughout this proceeding, </w:t>
      </w:r>
      <w:r w:rsidR="00483BE5">
        <w:rPr>
          <w:rFonts w:ascii="Times New Roman" w:hAnsi="Times New Roman" w:cs="Times New Roman"/>
        </w:rPr>
        <w:t>the parties have submitted an inordinate amount of prehearing motions in this case.  The parties are encouraged again to work cooperatively to minimize the further need for such motions</w:t>
      </w:r>
      <w:r w:rsidR="00E979DC">
        <w:rPr>
          <w:rFonts w:ascii="Times New Roman" w:hAnsi="Times New Roman" w:cs="Times New Roman"/>
        </w:rPr>
        <w:t>.</w:t>
      </w:r>
      <w:r w:rsidR="006D7EB5">
        <w:rPr>
          <w:rFonts w:ascii="Times New Roman" w:hAnsi="Times New Roman" w:cs="Times New Roman"/>
        </w:rPr>
        <w:t xml:space="preserve"> </w:t>
      </w:r>
    </w:p>
    <w:p w14:paraId="081413D3" w14:textId="77777777" w:rsidR="00E979DC" w:rsidRDefault="00E979DC" w:rsidP="00D131A2">
      <w:pPr>
        <w:pStyle w:val="ParaTab1"/>
        <w:tabs>
          <w:tab w:val="left" w:pos="2070"/>
        </w:tabs>
        <w:spacing w:line="360" w:lineRule="auto"/>
        <w:rPr>
          <w:rFonts w:ascii="Times New Roman" w:hAnsi="Times New Roman" w:cs="Times New Roman"/>
        </w:rPr>
      </w:pPr>
    </w:p>
    <w:p w14:paraId="707E15FE" w14:textId="0794710D" w:rsidR="001602E3" w:rsidRPr="00D55D66" w:rsidRDefault="006D7EB5" w:rsidP="004B74DB">
      <w:pPr>
        <w:pStyle w:val="ParaTab1"/>
        <w:tabs>
          <w:tab w:val="left" w:pos="2070"/>
        </w:tabs>
        <w:spacing w:line="360" w:lineRule="auto"/>
        <w:rPr>
          <w:rFonts w:ascii="Times New Roman" w:hAnsi="Times New Roman"/>
          <w:strike/>
        </w:rPr>
      </w:pPr>
      <w:r>
        <w:rPr>
          <w:rFonts w:ascii="Times New Roman" w:hAnsi="Times New Roman" w:cs="Times New Roman"/>
        </w:rPr>
        <w:t>In conclusion, Glen Riddle’s motion for a continuance</w:t>
      </w:r>
      <w:r w:rsidR="002873E4">
        <w:rPr>
          <w:rFonts w:ascii="Times New Roman" w:hAnsi="Times New Roman" w:cs="Times New Roman"/>
        </w:rPr>
        <w:t xml:space="preserve"> will be granted.  The parties are commended for agreeing to a reasonable remaining litigation schedule for this matter, and modifications to the Commission’s discovery regulations, that protects both parties’ due process rights while </w:t>
      </w:r>
      <w:r w:rsidR="001D1619">
        <w:rPr>
          <w:rFonts w:ascii="Times New Roman" w:hAnsi="Times New Roman" w:cs="Times New Roman"/>
        </w:rPr>
        <w:t>recognizing that the Commission’s resources to adjudicate this complaint are not boundless.  The proposed modifications to the litigation schedule</w:t>
      </w:r>
      <w:r w:rsidR="004B74DB">
        <w:rPr>
          <w:rFonts w:ascii="Times New Roman" w:hAnsi="Times New Roman" w:cs="Times New Roman"/>
        </w:rPr>
        <w:t>, and accompanying modifications to the Commission’s discovery regulations,</w:t>
      </w:r>
      <w:r w:rsidR="001D1619">
        <w:rPr>
          <w:rFonts w:ascii="Times New Roman" w:hAnsi="Times New Roman" w:cs="Times New Roman"/>
        </w:rPr>
        <w:t xml:space="preserve"> will be </w:t>
      </w:r>
      <w:r w:rsidR="004B74DB">
        <w:rPr>
          <w:rFonts w:ascii="Times New Roman" w:hAnsi="Times New Roman" w:cs="Times New Roman"/>
        </w:rPr>
        <w:t>approved</w:t>
      </w:r>
      <w:r w:rsidR="00B5581E">
        <w:rPr>
          <w:rFonts w:ascii="Times New Roman" w:hAnsi="Times New Roman" w:cs="Times New Roman"/>
        </w:rPr>
        <w:t>.</w:t>
      </w:r>
    </w:p>
    <w:p w14:paraId="333CA5EA" w14:textId="77777777" w:rsidR="00D01B12" w:rsidRDefault="00D01B12" w:rsidP="001602E3">
      <w:pPr>
        <w:tabs>
          <w:tab w:val="left" w:pos="900"/>
        </w:tabs>
        <w:spacing w:line="360" w:lineRule="auto"/>
        <w:jc w:val="center"/>
        <w:rPr>
          <w:u w:val="single"/>
        </w:rPr>
      </w:pPr>
    </w:p>
    <w:p w14:paraId="32475672" w14:textId="77777777" w:rsidR="00D01B12" w:rsidRDefault="00D01B12" w:rsidP="001602E3">
      <w:pPr>
        <w:tabs>
          <w:tab w:val="left" w:pos="900"/>
        </w:tabs>
        <w:spacing w:line="360" w:lineRule="auto"/>
        <w:jc w:val="center"/>
        <w:rPr>
          <w:u w:val="single"/>
        </w:rPr>
      </w:pPr>
    </w:p>
    <w:p w14:paraId="354A0447" w14:textId="77777777" w:rsidR="00D01B12" w:rsidRDefault="00D01B12" w:rsidP="001602E3">
      <w:pPr>
        <w:tabs>
          <w:tab w:val="left" w:pos="900"/>
        </w:tabs>
        <w:spacing w:line="360" w:lineRule="auto"/>
        <w:jc w:val="center"/>
        <w:rPr>
          <w:u w:val="single"/>
        </w:rPr>
      </w:pPr>
    </w:p>
    <w:p w14:paraId="23D64F24" w14:textId="75CC2F93" w:rsidR="001602E3" w:rsidRPr="00DC0826" w:rsidRDefault="001602E3" w:rsidP="001602E3">
      <w:pPr>
        <w:tabs>
          <w:tab w:val="left" w:pos="900"/>
        </w:tabs>
        <w:spacing w:line="360" w:lineRule="auto"/>
        <w:jc w:val="center"/>
        <w:rPr>
          <w:u w:val="single"/>
        </w:rPr>
      </w:pPr>
      <w:r w:rsidRPr="00DC0826">
        <w:rPr>
          <w:u w:val="single"/>
        </w:rPr>
        <w:lastRenderedPageBreak/>
        <w:t>ORDER</w:t>
      </w:r>
    </w:p>
    <w:p w14:paraId="6FA6E88C" w14:textId="4277EA7B" w:rsidR="001602E3" w:rsidRDefault="001602E3" w:rsidP="001602E3">
      <w:pPr>
        <w:tabs>
          <w:tab w:val="left" w:pos="900"/>
        </w:tabs>
        <w:spacing w:line="360" w:lineRule="auto"/>
        <w:ind w:firstLine="1440"/>
      </w:pPr>
    </w:p>
    <w:p w14:paraId="0D6B571D" w14:textId="77777777" w:rsidR="00DB7F59" w:rsidRPr="00DC0826" w:rsidRDefault="00DB7F59" w:rsidP="001602E3">
      <w:pPr>
        <w:tabs>
          <w:tab w:val="left" w:pos="900"/>
        </w:tabs>
        <w:spacing w:line="360" w:lineRule="auto"/>
        <w:ind w:firstLine="1440"/>
      </w:pPr>
    </w:p>
    <w:p w14:paraId="71344635" w14:textId="77777777" w:rsidR="001602E3" w:rsidRPr="00DC0826" w:rsidRDefault="001602E3" w:rsidP="001602E3">
      <w:pPr>
        <w:tabs>
          <w:tab w:val="left" w:pos="900"/>
        </w:tabs>
        <w:spacing w:line="360" w:lineRule="auto"/>
        <w:ind w:firstLine="1440"/>
        <w:rPr>
          <w:bCs/>
        </w:rPr>
      </w:pPr>
      <w:r w:rsidRPr="00DC0826">
        <w:rPr>
          <w:bCs/>
        </w:rPr>
        <w:t>THEREFORE,</w:t>
      </w:r>
    </w:p>
    <w:p w14:paraId="7D764920" w14:textId="77777777" w:rsidR="001602E3" w:rsidRPr="00DC0826" w:rsidRDefault="001602E3" w:rsidP="001602E3">
      <w:pPr>
        <w:tabs>
          <w:tab w:val="left" w:pos="900"/>
        </w:tabs>
        <w:spacing w:line="360" w:lineRule="auto"/>
        <w:ind w:firstLine="1440"/>
      </w:pPr>
    </w:p>
    <w:p w14:paraId="3DE043CA" w14:textId="77777777" w:rsidR="001602E3" w:rsidRPr="00DC0826" w:rsidRDefault="001602E3" w:rsidP="001602E3">
      <w:pPr>
        <w:tabs>
          <w:tab w:val="left" w:pos="900"/>
        </w:tabs>
        <w:autoSpaceDE/>
        <w:autoSpaceDN/>
        <w:spacing w:line="360" w:lineRule="auto"/>
        <w:ind w:firstLine="1440"/>
      </w:pPr>
      <w:r w:rsidRPr="00DC0826">
        <w:t>IT IS ORDERED:</w:t>
      </w:r>
    </w:p>
    <w:p w14:paraId="5F957D43" w14:textId="77777777" w:rsidR="001602E3" w:rsidRPr="00DC0826" w:rsidRDefault="001602E3" w:rsidP="001602E3">
      <w:pPr>
        <w:tabs>
          <w:tab w:val="left" w:pos="900"/>
        </w:tabs>
        <w:autoSpaceDE/>
        <w:autoSpaceDN/>
        <w:spacing w:line="360" w:lineRule="auto"/>
        <w:ind w:firstLine="1440"/>
      </w:pPr>
    </w:p>
    <w:p w14:paraId="5BD1DEBC" w14:textId="26B3DFCD" w:rsidR="00DC0826" w:rsidRDefault="001602E3" w:rsidP="001602E3">
      <w:pPr>
        <w:numPr>
          <w:ilvl w:val="0"/>
          <w:numId w:val="1"/>
        </w:numPr>
        <w:tabs>
          <w:tab w:val="left" w:pos="900"/>
        </w:tabs>
        <w:autoSpaceDE/>
        <w:autoSpaceDN/>
        <w:spacing w:line="360" w:lineRule="auto"/>
        <w:ind w:left="0" w:firstLine="1440"/>
        <w:rPr>
          <w:rFonts w:cs="Times New Roman"/>
        </w:rPr>
      </w:pPr>
      <w:r w:rsidRPr="00DC0826">
        <w:rPr>
          <w:rFonts w:cs="Times New Roman"/>
        </w:rPr>
        <w:t xml:space="preserve">That </w:t>
      </w:r>
      <w:r w:rsidR="009F5FF8">
        <w:rPr>
          <w:rFonts w:cs="Times New Roman"/>
        </w:rPr>
        <w:t>the motion for a continuance filed by Glen Riddle Station L.P. on May 14, 2021 at docket number C-2020-3023129 is hereby granted.</w:t>
      </w:r>
    </w:p>
    <w:p w14:paraId="5D9D7D8F" w14:textId="77777777" w:rsidR="00E558C8" w:rsidRDefault="00E558C8" w:rsidP="00E558C8">
      <w:pPr>
        <w:tabs>
          <w:tab w:val="left" w:pos="900"/>
        </w:tabs>
        <w:autoSpaceDE/>
        <w:autoSpaceDN/>
        <w:spacing w:line="360" w:lineRule="auto"/>
        <w:ind w:left="1440"/>
        <w:rPr>
          <w:rFonts w:cs="Times New Roman"/>
        </w:rPr>
      </w:pPr>
    </w:p>
    <w:p w14:paraId="6B3ED181" w14:textId="67166D02" w:rsidR="00E558C8" w:rsidRDefault="00E558C8" w:rsidP="001602E3">
      <w:pPr>
        <w:numPr>
          <w:ilvl w:val="0"/>
          <w:numId w:val="1"/>
        </w:numPr>
        <w:tabs>
          <w:tab w:val="left" w:pos="900"/>
        </w:tabs>
        <w:autoSpaceDE/>
        <w:autoSpaceDN/>
        <w:spacing w:line="360" w:lineRule="auto"/>
        <w:ind w:left="0" w:firstLine="1440"/>
        <w:rPr>
          <w:rFonts w:cs="Times New Roman"/>
        </w:rPr>
      </w:pPr>
      <w:r>
        <w:rPr>
          <w:rFonts w:cs="Times New Roman"/>
        </w:rPr>
        <w:t>That the remaining schedule for litigating this matter will be modified to:</w:t>
      </w:r>
    </w:p>
    <w:p w14:paraId="39285B3B" w14:textId="77777777" w:rsidR="00E558C8" w:rsidRPr="00CB6214" w:rsidRDefault="00E558C8" w:rsidP="00E558C8">
      <w:pPr>
        <w:pStyle w:val="ListParagraph"/>
        <w:rPr>
          <w:rFonts w:cs="Times New Roman"/>
        </w:rPr>
      </w:pPr>
    </w:p>
    <w:tbl>
      <w:tblPr>
        <w:tblStyle w:val="TableGrid"/>
        <w:tblW w:w="0" w:type="auto"/>
        <w:tblInd w:w="805" w:type="dxa"/>
        <w:tblLook w:val="04A0" w:firstRow="1" w:lastRow="0" w:firstColumn="1" w:lastColumn="0" w:noHBand="0" w:noVBand="1"/>
      </w:tblPr>
      <w:tblGrid>
        <w:gridCol w:w="3870"/>
        <w:gridCol w:w="3690"/>
      </w:tblGrid>
      <w:tr w:rsidR="000548F7" w:rsidRPr="00CB6214" w14:paraId="0B9D4AC7" w14:textId="77777777" w:rsidTr="002946D6">
        <w:tc>
          <w:tcPr>
            <w:tcW w:w="3870" w:type="dxa"/>
          </w:tcPr>
          <w:p w14:paraId="2A3007DB" w14:textId="069B49E9" w:rsidR="000548F7" w:rsidRPr="00CB6214" w:rsidRDefault="000548F7" w:rsidP="00E558C8">
            <w:pPr>
              <w:tabs>
                <w:tab w:val="left" w:pos="900"/>
              </w:tabs>
              <w:autoSpaceDE/>
              <w:autoSpaceDN/>
              <w:spacing w:line="360" w:lineRule="auto"/>
              <w:rPr>
                <w:rFonts w:cs="Times New Roman"/>
              </w:rPr>
            </w:pPr>
            <w:r w:rsidRPr="00CB6214">
              <w:rPr>
                <w:rFonts w:cs="Times New Roman"/>
              </w:rPr>
              <w:t>Glen Riddle Surrebuttal Testimony</w:t>
            </w:r>
          </w:p>
        </w:tc>
        <w:tc>
          <w:tcPr>
            <w:tcW w:w="3690" w:type="dxa"/>
          </w:tcPr>
          <w:p w14:paraId="0FAA1967" w14:textId="2487F902" w:rsidR="000548F7" w:rsidRPr="00CB6214" w:rsidRDefault="000548F7" w:rsidP="00E558C8">
            <w:pPr>
              <w:tabs>
                <w:tab w:val="left" w:pos="900"/>
              </w:tabs>
              <w:autoSpaceDE/>
              <w:autoSpaceDN/>
              <w:spacing w:line="360" w:lineRule="auto"/>
              <w:rPr>
                <w:rFonts w:cs="Times New Roman"/>
              </w:rPr>
            </w:pPr>
            <w:r w:rsidRPr="00CB6214">
              <w:rPr>
                <w:rFonts w:cs="Times New Roman"/>
              </w:rPr>
              <w:t>June 9, 2021</w:t>
            </w:r>
          </w:p>
        </w:tc>
      </w:tr>
      <w:tr w:rsidR="000548F7" w:rsidRPr="00CB6214" w14:paraId="70C82E2B" w14:textId="77777777" w:rsidTr="002946D6">
        <w:tc>
          <w:tcPr>
            <w:tcW w:w="3870" w:type="dxa"/>
          </w:tcPr>
          <w:p w14:paraId="2C4A7D46" w14:textId="749C2017" w:rsidR="000548F7" w:rsidRPr="00CB6214" w:rsidRDefault="000548F7" w:rsidP="00E558C8">
            <w:pPr>
              <w:tabs>
                <w:tab w:val="left" w:pos="900"/>
              </w:tabs>
              <w:autoSpaceDE/>
              <w:autoSpaceDN/>
              <w:spacing w:line="360" w:lineRule="auto"/>
              <w:rPr>
                <w:rFonts w:cs="Times New Roman"/>
              </w:rPr>
            </w:pPr>
            <w:r w:rsidRPr="00CB6214">
              <w:rPr>
                <w:rFonts w:cs="Times New Roman"/>
              </w:rPr>
              <w:t>Hearings</w:t>
            </w:r>
          </w:p>
        </w:tc>
        <w:tc>
          <w:tcPr>
            <w:tcW w:w="3690" w:type="dxa"/>
          </w:tcPr>
          <w:p w14:paraId="40B4BD1F" w14:textId="38EC910D" w:rsidR="000548F7" w:rsidRPr="00CB6214" w:rsidRDefault="000548F7" w:rsidP="00E558C8">
            <w:pPr>
              <w:tabs>
                <w:tab w:val="left" w:pos="900"/>
              </w:tabs>
              <w:autoSpaceDE/>
              <w:autoSpaceDN/>
              <w:spacing w:line="360" w:lineRule="auto"/>
              <w:rPr>
                <w:rFonts w:cs="Times New Roman"/>
              </w:rPr>
            </w:pPr>
            <w:r w:rsidRPr="00CB6214">
              <w:rPr>
                <w:rFonts w:cs="Times New Roman"/>
              </w:rPr>
              <w:t xml:space="preserve">July 7, </w:t>
            </w:r>
            <w:r w:rsidR="00CB6214" w:rsidRPr="00CB6214">
              <w:rPr>
                <w:rFonts w:cs="Times New Roman"/>
              </w:rPr>
              <w:t>12 and 13, 2021</w:t>
            </w:r>
          </w:p>
        </w:tc>
      </w:tr>
    </w:tbl>
    <w:p w14:paraId="3C05FB51" w14:textId="77777777" w:rsidR="00DC0826" w:rsidRPr="00CB6214" w:rsidRDefault="00DC0826" w:rsidP="00054684">
      <w:pPr>
        <w:tabs>
          <w:tab w:val="left" w:pos="900"/>
        </w:tabs>
        <w:autoSpaceDE/>
        <w:autoSpaceDN/>
        <w:spacing w:line="360" w:lineRule="auto"/>
        <w:rPr>
          <w:rFonts w:cs="Times New Roman"/>
        </w:rPr>
      </w:pPr>
    </w:p>
    <w:p w14:paraId="61073E07" w14:textId="77A8BB7D" w:rsidR="00CB6214" w:rsidRDefault="00CB6214" w:rsidP="001602E3">
      <w:pPr>
        <w:numPr>
          <w:ilvl w:val="0"/>
          <w:numId w:val="1"/>
        </w:numPr>
        <w:tabs>
          <w:tab w:val="left" w:pos="900"/>
        </w:tabs>
        <w:autoSpaceDE/>
        <w:autoSpaceDN/>
        <w:spacing w:line="360" w:lineRule="auto"/>
        <w:ind w:left="0" w:firstLine="1440"/>
        <w:rPr>
          <w:rFonts w:cs="Times New Roman"/>
        </w:rPr>
      </w:pPr>
      <w:r w:rsidRPr="00CB6214">
        <w:rPr>
          <w:rFonts w:cs="Times New Roman"/>
        </w:rPr>
        <w:t>That the Commission’s discovery regulations are modified consistent with the discussion above.</w:t>
      </w:r>
    </w:p>
    <w:p w14:paraId="1F2DB0C2" w14:textId="77777777" w:rsidR="0079680D" w:rsidRPr="00CB6214" w:rsidRDefault="0079680D" w:rsidP="0079680D">
      <w:pPr>
        <w:tabs>
          <w:tab w:val="left" w:pos="900"/>
        </w:tabs>
        <w:autoSpaceDE/>
        <w:autoSpaceDN/>
        <w:spacing w:line="360" w:lineRule="auto"/>
        <w:ind w:left="1440"/>
        <w:rPr>
          <w:rFonts w:cs="Times New Roman"/>
        </w:rPr>
      </w:pPr>
    </w:p>
    <w:p w14:paraId="44EC2F36" w14:textId="77777777" w:rsidR="00CB6214" w:rsidRPr="00CB6214" w:rsidRDefault="00CB6214" w:rsidP="001602E3">
      <w:pPr>
        <w:numPr>
          <w:ilvl w:val="0"/>
          <w:numId w:val="1"/>
        </w:numPr>
        <w:tabs>
          <w:tab w:val="left" w:pos="900"/>
        </w:tabs>
        <w:autoSpaceDE/>
        <w:autoSpaceDN/>
        <w:spacing w:line="360" w:lineRule="auto"/>
        <w:ind w:left="0" w:firstLine="1440"/>
        <w:rPr>
          <w:rFonts w:cs="Times New Roman"/>
        </w:rPr>
      </w:pPr>
      <w:r w:rsidRPr="00CB6214">
        <w:rPr>
          <w:rFonts w:cs="Times New Roman"/>
        </w:rPr>
        <w:t>That the parties are encouraged to continue their efforts toward settlement.</w:t>
      </w:r>
    </w:p>
    <w:p w14:paraId="4B7585C6" w14:textId="77777777" w:rsidR="001602E3" w:rsidRDefault="001602E3" w:rsidP="001602E3">
      <w:pPr>
        <w:rPr>
          <w:rFonts w:cs="Times New Roman"/>
        </w:rPr>
      </w:pPr>
    </w:p>
    <w:p w14:paraId="7699D6EA" w14:textId="50901BA5" w:rsidR="001602E3" w:rsidRPr="001837DB" w:rsidRDefault="001602E3" w:rsidP="001602E3">
      <w:pPr>
        <w:rPr>
          <w:rFonts w:cs="Times New Roman"/>
        </w:rPr>
      </w:pPr>
      <w:r w:rsidRPr="00012682">
        <w:rPr>
          <w:rFonts w:cs="Times New Roman"/>
        </w:rPr>
        <w:t xml:space="preserve">Dated:  </w:t>
      </w:r>
      <w:r>
        <w:rPr>
          <w:rFonts w:cs="Times New Roman"/>
          <w:u w:val="single"/>
        </w:rPr>
        <w:t xml:space="preserve">May </w:t>
      </w:r>
      <w:r w:rsidR="00D55D66">
        <w:rPr>
          <w:rFonts w:cs="Times New Roman"/>
          <w:u w:val="single"/>
        </w:rPr>
        <w:t>2</w:t>
      </w:r>
      <w:r w:rsidR="00DC0826">
        <w:rPr>
          <w:rFonts w:cs="Times New Roman"/>
          <w:u w:val="single"/>
        </w:rPr>
        <w:t>4</w:t>
      </w:r>
      <w:r w:rsidRPr="00012682">
        <w:rPr>
          <w:rFonts w:cs="Times New Roman"/>
          <w:u w:val="single"/>
        </w:rPr>
        <w:t>, 2021</w:t>
      </w:r>
      <w:r w:rsidRPr="00012682">
        <w:rPr>
          <w:rFonts w:cs="Times New Roman"/>
        </w:rPr>
        <w:tab/>
      </w:r>
      <w:r w:rsidRPr="00012682">
        <w:rPr>
          <w:rFonts w:cs="Times New Roman"/>
        </w:rPr>
        <w:tab/>
      </w:r>
      <w:r>
        <w:rPr>
          <w:rFonts w:cs="Times New Roman"/>
        </w:rPr>
        <w:tab/>
      </w:r>
      <w:r>
        <w:rPr>
          <w:rFonts w:cs="Times New Roman"/>
        </w:rPr>
        <w:tab/>
      </w:r>
      <w:r w:rsidRPr="001837DB">
        <w:rPr>
          <w:rFonts w:cs="Times New Roman"/>
        </w:rPr>
        <w:tab/>
      </w:r>
      <w:r w:rsidRPr="000C42F2">
        <w:rPr>
          <w:rFonts w:cs="Times New Roman"/>
          <w:u w:val="single"/>
        </w:rPr>
        <w:t>______________/s/________________</w:t>
      </w:r>
    </w:p>
    <w:p w14:paraId="06D6D4FC" w14:textId="77777777" w:rsidR="001602E3" w:rsidRDefault="001602E3" w:rsidP="001602E3">
      <w:pPr>
        <w:ind w:left="5040"/>
        <w:rPr>
          <w:rFonts w:cs="Times New Roman"/>
        </w:rPr>
      </w:pPr>
      <w:r>
        <w:rPr>
          <w:rFonts w:cs="Times New Roman"/>
        </w:rPr>
        <w:t xml:space="preserve">Joel H. Cheskis </w:t>
      </w:r>
    </w:p>
    <w:p w14:paraId="7AB57254" w14:textId="77777777" w:rsidR="001602E3" w:rsidRPr="008A63C8" w:rsidRDefault="001602E3" w:rsidP="001602E3">
      <w:pPr>
        <w:ind w:left="5040"/>
        <w:rPr>
          <w:rFonts w:cs="Times New Roman"/>
        </w:rPr>
      </w:pPr>
      <w:r w:rsidRPr="001837DB">
        <w:rPr>
          <w:rFonts w:cs="Times New Roman"/>
        </w:rPr>
        <w:t>Deputy Chief Administrative Law Judge</w:t>
      </w:r>
    </w:p>
    <w:p w14:paraId="65587C06" w14:textId="77777777" w:rsidR="00D01B12" w:rsidRDefault="00D01B12">
      <w:pPr>
        <w:sectPr w:rsidR="00D01B12" w:rsidSect="00D01B12">
          <w:footerReference w:type="default" r:id="rId7"/>
          <w:pgSz w:w="12240" w:h="15840" w:code="1"/>
          <w:pgMar w:top="1296" w:right="1296" w:bottom="1296" w:left="1296" w:header="720" w:footer="720" w:gutter="0"/>
          <w:pgNumType w:start="1"/>
          <w:cols w:space="720"/>
          <w:formProt w:val="0"/>
          <w:titlePg/>
          <w:docGrid w:linePitch="360"/>
        </w:sectPr>
      </w:pPr>
    </w:p>
    <w:p w14:paraId="4B842945" w14:textId="77777777" w:rsidR="00D01B12" w:rsidRPr="00D01B12" w:rsidRDefault="00D01B12" w:rsidP="00D01B12">
      <w:pPr>
        <w:autoSpaceDE/>
        <w:autoSpaceDN/>
        <w:rPr>
          <w:rFonts w:ascii="Microsoft Sans Serif" w:eastAsia="Microsoft Sans Serif" w:hAnsi="Microsoft Sans Serif" w:cs="Microsoft Sans Serif"/>
          <w:b/>
          <w:szCs w:val="20"/>
          <w:u w:val="single"/>
        </w:rPr>
      </w:pPr>
      <w:r w:rsidRPr="00D01B12">
        <w:rPr>
          <w:rFonts w:ascii="Microsoft Sans Serif" w:eastAsia="Microsoft Sans Serif" w:hAnsi="Microsoft Sans Serif" w:cs="Microsoft Sans Serif"/>
          <w:b/>
          <w:szCs w:val="20"/>
          <w:u w:val="single"/>
        </w:rPr>
        <w:lastRenderedPageBreak/>
        <w:t>C-2020-3023129 - GLEN RIDDLE STATION, L.P. v. SUNOCO PIPELINE L.P.</w:t>
      </w:r>
    </w:p>
    <w:p w14:paraId="283021AC" w14:textId="77777777" w:rsidR="00D01B12" w:rsidRPr="00D01B12" w:rsidRDefault="00D01B12" w:rsidP="00D01B12">
      <w:pPr>
        <w:autoSpaceDE/>
        <w:autoSpaceDN/>
        <w:rPr>
          <w:rFonts w:ascii="Microsoft Sans Serif" w:eastAsia="Microsoft Sans Serif" w:hAnsi="Microsoft Sans Serif" w:cs="Microsoft Sans Serif"/>
          <w:b/>
          <w:szCs w:val="20"/>
          <w:u w:val="single"/>
        </w:rPr>
      </w:pPr>
    </w:p>
    <w:p w14:paraId="038F5554" w14:textId="77777777" w:rsidR="00D01B12" w:rsidRDefault="00D01B12" w:rsidP="00D01B12">
      <w:pPr>
        <w:autoSpaceDE/>
        <w:autoSpaceDN/>
        <w:rPr>
          <w:rFonts w:ascii="Microsoft Sans Serif" w:eastAsia="Microsoft Sans Serif" w:hAnsi="Microsoft Sans Serif" w:cs="Microsoft Sans Serif"/>
          <w:bCs/>
          <w:szCs w:val="20"/>
          <w:u w:val="single"/>
        </w:rPr>
      </w:pPr>
      <w:r w:rsidRPr="00D01B12">
        <w:rPr>
          <w:rFonts w:ascii="Microsoft Sans Serif" w:eastAsia="Microsoft Sans Serif" w:hAnsi="Microsoft Sans Serif" w:cs="Microsoft Sans Serif"/>
          <w:bCs/>
          <w:i/>
          <w:iCs/>
          <w:szCs w:val="20"/>
        </w:rPr>
        <w:t>Revised 4/20/21</w:t>
      </w:r>
      <w:r w:rsidRPr="00D01B12">
        <w:rPr>
          <w:rFonts w:ascii="Microsoft Sans Serif" w:eastAsia="Microsoft Sans Serif" w:hAnsi="Microsoft Sans Serif" w:cs="Microsoft Sans Serif"/>
          <w:bCs/>
          <w:szCs w:val="20"/>
          <w:u w:val="single"/>
        </w:rPr>
        <w:cr/>
      </w:r>
    </w:p>
    <w:p w14:paraId="598882A6" w14:textId="30212B85" w:rsidR="00D01B12" w:rsidRPr="00D01B12" w:rsidRDefault="00D01B12" w:rsidP="00D01B12">
      <w:pPr>
        <w:autoSpaceDE/>
        <w:autoSpaceDN/>
        <w:rPr>
          <w:rFonts w:ascii="Microsoft Sans Serif" w:eastAsia="Microsoft Sans Serif" w:hAnsi="Microsoft Sans Serif" w:cs="Microsoft Sans Serif"/>
          <w:szCs w:val="20"/>
          <w:u w:val="single"/>
        </w:rPr>
      </w:pPr>
      <w:r w:rsidRPr="00D01B12">
        <w:rPr>
          <w:rFonts w:ascii="Microsoft Sans Serif" w:eastAsia="Microsoft Sans Serif" w:hAnsi="Microsoft Sans Serif" w:cs="Microsoft Sans Serif"/>
          <w:b/>
          <w:szCs w:val="20"/>
          <w:u w:val="single"/>
        </w:rPr>
        <w:cr/>
      </w:r>
      <w:r w:rsidRPr="00D01B12">
        <w:rPr>
          <w:rFonts w:ascii="Microsoft Sans Serif" w:eastAsia="Microsoft Sans Serif" w:hAnsi="Microsoft Sans Serif" w:cs="Microsoft Sans Serif"/>
          <w:szCs w:val="20"/>
        </w:rPr>
        <w:t>SAMUEL W. CORTES ESQUIRE</w:t>
      </w:r>
      <w:r w:rsidRPr="00D01B12">
        <w:rPr>
          <w:rFonts w:ascii="Microsoft Sans Serif" w:eastAsia="Microsoft Sans Serif" w:hAnsi="Microsoft Sans Serif" w:cs="Microsoft Sans Serif"/>
          <w:szCs w:val="20"/>
        </w:rPr>
        <w:br/>
        <w:t>ASHLEY BEACH ESQUIRE</w:t>
      </w:r>
      <w:r w:rsidRPr="00D01B12">
        <w:rPr>
          <w:rFonts w:ascii="Microsoft Sans Serif" w:eastAsia="Microsoft Sans Serif" w:hAnsi="Microsoft Sans Serif" w:cs="Microsoft Sans Serif"/>
          <w:szCs w:val="20"/>
        </w:rPr>
        <w:cr/>
        <w:t>FOX ROTHSCHILD, LLP</w:t>
      </w:r>
      <w:r w:rsidRPr="00D01B12">
        <w:rPr>
          <w:rFonts w:ascii="Microsoft Sans Serif" w:eastAsia="Microsoft Sans Serif" w:hAnsi="Microsoft Sans Serif" w:cs="Microsoft Sans Serif"/>
          <w:szCs w:val="20"/>
        </w:rPr>
        <w:cr/>
        <w:t>747 CONSTITUTION DRIVE</w:t>
      </w:r>
      <w:r w:rsidRPr="00D01B12">
        <w:rPr>
          <w:rFonts w:ascii="Microsoft Sans Serif" w:eastAsia="Microsoft Sans Serif" w:hAnsi="Microsoft Sans Serif" w:cs="Microsoft Sans Serif"/>
          <w:szCs w:val="20"/>
        </w:rPr>
        <w:cr/>
        <w:t>SUITE 100</w:t>
      </w:r>
      <w:r w:rsidRPr="00D01B12">
        <w:rPr>
          <w:rFonts w:ascii="Microsoft Sans Serif" w:eastAsia="Microsoft Sans Serif" w:hAnsi="Microsoft Sans Serif" w:cs="Microsoft Sans Serif"/>
          <w:szCs w:val="20"/>
        </w:rPr>
        <w:cr/>
        <w:t>EXTON PA  19341</w:t>
      </w:r>
      <w:r w:rsidRPr="00D01B12">
        <w:rPr>
          <w:rFonts w:ascii="Microsoft Sans Serif" w:eastAsia="Microsoft Sans Serif" w:hAnsi="Microsoft Sans Serif" w:cs="Microsoft Sans Serif"/>
          <w:szCs w:val="20"/>
        </w:rPr>
        <w:cr/>
      </w:r>
      <w:r w:rsidRPr="00D01B12">
        <w:rPr>
          <w:rFonts w:ascii="Microsoft Sans Serif" w:eastAsia="Microsoft Sans Serif" w:hAnsi="Microsoft Sans Serif" w:cs="Microsoft Sans Serif"/>
          <w:b/>
          <w:bCs/>
          <w:szCs w:val="20"/>
        </w:rPr>
        <w:t>610.458.4966</w:t>
      </w:r>
      <w:r w:rsidRPr="00D01B12">
        <w:rPr>
          <w:rFonts w:ascii="Microsoft Sans Serif" w:eastAsia="Microsoft Sans Serif" w:hAnsi="Microsoft Sans Serif" w:cs="Microsoft Sans Serif"/>
          <w:b/>
          <w:bCs/>
          <w:szCs w:val="20"/>
        </w:rPr>
        <w:cr/>
        <w:t>610.458.7500</w:t>
      </w:r>
      <w:r w:rsidRPr="00D01B12">
        <w:rPr>
          <w:rFonts w:ascii="Microsoft Sans Serif" w:eastAsia="Microsoft Sans Serif" w:hAnsi="Microsoft Sans Serif" w:cs="Microsoft Sans Serif"/>
          <w:szCs w:val="20"/>
        </w:rPr>
        <w:cr/>
      </w:r>
      <w:hyperlink r:id="rId8" w:history="1">
        <w:r w:rsidRPr="00D01B12">
          <w:rPr>
            <w:rFonts w:ascii="Microsoft Sans Serif" w:eastAsia="Microsoft Sans Serif" w:hAnsi="Microsoft Sans Serif" w:cs="Microsoft Sans Serif"/>
            <w:color w:val="0000FF"/>
            <w:szCs w:val="20"/>
            <w:u w:val="single"/>
          </w:rPr>
          <w:t>scortes@foxrothschild.com</w:t>
        </w:r>
      </w:hyperlink>
    </w:p>
    <w:p w14:paraId="6508F8DD" w14:textId="77777777" w:rsidR="00D01B12" w:rsidRPr="00D01B12" w:rsidRDefault="00D01B12" w:rsidP="00D01B12">
      <w:pPr>
        <w:autoSpaceDE/>
        <w:autoSpaceDN/>
        <w:rPr>
          <w:rFonts w:ascii="Microsoft Sans Serif" w:eastAsia="Microsoft Sans Serif" w:hAnsi="Microsoft Sans Serif" w:cs="Microsoft Sans Serif"/>
          <w:szCs w:val="20"/>
          <w:u w:val="single"/>
        </w:rPr>
      </w:pPr>
      <w:hyperlink r:id="rId9" w:history="1">
        <w:r w:rsidRPr="00D01B12">
          <w:rPr>
            <w:rFonts w:ascii="Microsoft Sans Serif" w:eastAsia="Microsoft Sans Serif" w:hAnsi="Microsoft Sans Serif" w:cs="Microsoft Sans Serif"/>
            <w:color w:val="0000FF"/>
            <w:szCs w:val="20"/>
            <w:u w:val="single"/>
          </w:rPr>
          <w:t>abeach@foxrothschild.com</w:t>
        </w:r>
      </w:hyperlink>
    </w:p>
    <w:p w14:paraId="244018F8" w14:textId="77777777" w:rsidR="00D01B12" w:rsidRPr="00D01B12" w:rsidRDefault="00D01B12" w:rsidP="00D01B12">
      <w:pPr>
        <w:autoSpaceDE/>
        <w:autoSpaceDN/>
        <w:rPr>
          <w:rFonts w:ascii="Microsoft Sans Serif" w:eastAsia="Microsoft Sans Serif" w:hAnsi="Microsoft Sans Serif" w:cs="Microsoft Sans Serif"/>
          <w:szCs w:val="20"/>
        </w:rPr>
      </w:pPr>
      <w:r w:rsidRPr="00D01B12">
        <w:rPr>
          <w:rFonts w:ascii="Microsoft Sans Serif" w:eastAsia="Microsoft Sans Serif" w:hAnsi="Microsoft Sans Serif" w:cs="Microsoft Sans Serif"/>
          <w:szCs w:val="20"/>
        </w:rPr>
        <w:t>Accepts eService</w:t>
      </w:r>
      <w:r w:rsidRPr="00D01B12">
        <w:rPr>
          <w:rFonts w:ascii="Microsoft Sans Serif" w:eastAsia="Microsoft Sans Serif" w:hAnsi="Microsoft Sans Serif" w:cs="Microsoft Sans Serif"/>
          <w:szCs w:val="20"/>
        </w:rPr>
        <w:cr/>
      </w:r>
    </w:p>
    <w:p w14:paraId="4A0A9E09" w14:textId="77777777" w:rsidR="00D01B12" w:rsidRPr="00D01B12" w:rsidRDefault="00D01B12" w:rsidP="00D01B12">
      <w:pPr>
        <w:autoSpaceDE/>
        <w:autoSpaceDN/>
        <w:rPr>
          <w:rFonts w:ascii="Microsoft Sans Serif" w:eastAsia="Microsoft Sans Serif" w:hAnsi="Microsoft Sans Serif" w:cs="Microsoft Sans Serif"/>
          <w:szCs w:val="20"/>
        </w:rPr>
      </w:pPr>
    </w:p>
    <w:p w14:paraId="145DA51A" w14:textId="77777777" w:rsidR="00D01B12" w:rsidRPr="00D01B12" w:rsidRDefault="00D01B12" w:rsidP="00D01B12">
      <w:pPr>
        <w:autoSpaceDE/>
        <w:autoSpaceDN/>
        <w:rPr>
          <w:rFonts w:ascii="Microsoft Sans Serif" w:eastAsia="Microsoft Sans Serif" w:hAnsi="Microsoft Sans Serif" w:cs="Microsoft Sans Serif"/>
          <w:szCs w:val="20"/>
          <w:u w:val="single"/>
        </w:rPr>
      </w:pPr>
      <w:r w:rsidRPr="00D01B12">
        <w:rPr>
          <w:rFonts w:ascii="Microsoft Sans Serif" w:eastAsia="Microsoft Sans Serif" w:hAnsi="Microsoft Sans Serif" w:cs="Microsoft Sans Serif"/>
          <w:szCs w:val="20"/>
        </w:rPr>
        <w:t>WHITNEY E. SNYDER ESQUIRE</w:t>
      </w:r>
      <w:r w:rsidRPr="00D01B12">
        <w:rPr>
          <w:rFonts w:ascii="Microsoft Sans Serif" w:eastAsia="Microsoft Sans Serif" w:hAnsi="Microsoft Sans Serif" w:cs="Microsoft Sans Serif"/>
          <w:szCs w:val="20"/>
        </w:rPr>
        <w:cr/>
        <w:t xml:space="preserve">THOMAS J. SNISCAK ESQUIRE </w:t>
      </w:r>
      <w:r w:rsidRPr="00D01B12">
        <w:rPr>
          <w:rFonts w:ascii="Microsoft Sans Serif" w:eastAsia="Microsoft Sans Serif" w:hAnsi="Microsoft Sans Serif" w:cs="Microsoft Sans Serif"/>
          <w:szCs w:val="20"/>
        </w:rPr>
        <w:br/>
        <w:t xml:space="preserve">BRYCE R. BEARD ESQUIRE </w:t>
      </w:r>
      <w:r w:rsidRPr="00D01B12">
        <w:rPr>
          <w:rFonts w:ascii="Microsoft Sans Serif" w:eastAsia="Microsoft Sans Serif" w:hAnsi="Microsoft Sans Serif" w:cs="Microsoft Sans Serif"/>
          <w:szCs w:val="20"/>
        </w:rPr>
        <w:br/>
        <w:t>KEVIN J. MCKEON ESQUIRE</w:t>
      </w:r>
      <w:r w:rsidRPr="00D01B12">
        <w:rPr>
          <w:rFonts w:ascii="Microsoft Sans Serif" w:eastAsia="Microsoft Sans Serif" w:hAnsi="Microsoft Sans Serif" w:cs="Microsoft Sans Serif"/>
          <w:szCs w:val="20"/>
        </w:rPr>
        <w:cr/>
        <w:t>HAWKE MCKEON AND SNISCAK, LLP</w:t>
      </w:r>
      <w:r w:rsidRPr="00D01B12">
        <w:rPr>
          <w:rFonts w:ascii="Microsoft Sans Serif" w:eastAsia="Microsoft Sans Serif" w:hAnsi="Microsoft Sans Serif" w:cs="Microsoft Sans Serif"/>
          <w:szCs w:val="20"/>
        </w:rPr>
        <w:cr/>
        <w:t>100 N 10TH STREET</w:t>
      </w:r>
      <w:r w:rsidRPr="00D01B12">
        <w:rPr>
          <w:rFonts w:ascii="Microsoft Sans Serif" w:eastAsia="Microsoft Sans Serif" w:hAnsi="Microsoft Sans Serif" w:cs="Microsoft Sans Serif"/>
          <w:szCs w:val="20"/>
        </w:rPr>
        <w:cr/>
        <w:t>HARRISBURG PA  17101</w:t>
      </w:r>
      <w:r w:rsidRPr="00D01B12">
        <w:rPr>
          <w:rFonts w:ascii="Microsoft Sans Serif" w:eastAsia="Microsoft Sans Serif" w:hAnsi="Microsoft Sans Serif" w:cs="Microsoft Sans Serif"/>
          <w:szCs w:val="20"/>
        </w:rPr>
        <w:cr/>
      </w:r>
      <w:r w:rsidRPr="00D01B12">
        <w:rPr>
          <w:rFonts w:ascii="Microsoft Sans Serif" w:eastAsia="Microsoft Sans Serif" w:hAnsi="Microsoft Sans Serif" w:cs="Microsoft Sans Serif"/>
          <w:b/>
          <w:bCs/>
          <w:szCs w:val="20"/>
        </w:rPr>
        <w:t>717.236.1300</w:t>
      </w:r>
      <w:r w:rsidRPr="00D01B12">
        <w:rPr>
          <w:rFonts w:ascii="Microsoft Sans Serif" w:eastAsia="Microsoft Sans Serif" w:hAnsi="Microsoft Sans Serif" w:cs="Microsoft Sans Serif"/>
          <w:b/>
          <w:bCs/>
          <w:szCs w:val="20"/>
        </w:rPr>
        <w:cr/>
      </w:r>
      <w:hyperlink r:id="rId10" w:history="1">
        <w:r w:rsidRPr="00D01B12">
          <w:rPr>
            <w:rFonts w:ascii="Microsoft Sans Serif" w:eastAsia="Microsoft Sans Serif" w:hAnsi="Microsoft Sans Serif" w:cs="Microsoft Sans Serif"/>
            <w:color w:val="0000FF"/>
            <w:szCs w:val="20"/>
            <w:u w:val="single"/>
          </w:rPr>
          <w:t>wesnyder@hmslegal.com</w:t>
        </w:r>
      </w:hyperlink>
    </w:p>
    <w:p w14:paraId="67938426" w14:textId="77777777" w:rsidR="00D01B12" w:rsidRPr="00D01B12" w:rsidRDefault="00D01B12" w:rsidP="00D01B12">
      <w:pPr>
        <w:autoSpaceDE/>
        <w:autoSpaceDN/>
        <w:rPr>
          <w:rFonts w:ascii="Microsoft Sans Serif" w:eastAsia="Microsoft Sans Serif" w:hAnsi="Microsoft Sans Serif" w:cs="Microsoft Sans Serif"/>
          <w:szCs w:val="20"/>
          <w:u w:val="single"/>
        </w:rPr>
      </w:pPr>
      <w:hyperlink r:id="rId11" w:history="1">
        <w:r w:rsidRPr="00D01B12">
          <w:rPr>
            <w:rFonts w:ascii="Microsoft Sans Serif" w:eastAsia="Microsoft Sans Serif" w:hAnsi="Microsoft Sans Serif" w:cs="Microsoft Sans Serif"/>
            <w:color w:val="0000FF"/>
            <w:szCs w:val="20"/>
            <w:u w:val="single"/>
          </w:rPr>
          <w:t>tjsniscak@hmslegal.com</w:t>
        </w:r>
      </w:hyperlink>
    </w:p>
    <w:p w14:paraId="21419E5E" w14:textId="77777777" w:rsidR="00D01B12" w:rsidRPr="00D01B12" w:rsidRDefault="00D01B12" w:rsidP="00D01B12">
      <w:pPr>
        <w:autoSpaceDE/>
        <w:autoSpaceDN/>
        <w:rPr>
          <w:rFonts w:ascii="Microsoft Sans Serif" w:eastAsia="Microsoft Sans Serif" w:hAnsi="Microsoft Sans Serif" w:cs="Microsoft Sans Serif"/>
          <w:szCs w:val="20"/>
          <w:u w:val="single"/>
        </w:rPr>
      </w:pPr>
      <w:hyperlink r:id="rId12" w:history="1">
        <w:r w:rsidRPr="00D01B12">
          <w:rPr>
            <w:rFonts w:ascii="Microsoft Sans Serif" w:eastAsia="Microsoft Sans Serif" w:hAnsi="Microsoft Sans Serif" w:cs="Microsoft Sans Serif"/>
            <w:color w:val="0000FF"/>
            <w:szCs w:val="20"/>
            <w:u w:val="single"/>
          </w:rPr>
          <w:t>brbeard@hmslegal.com</w:t>
        </w:r>
      </w:hyperlink>
    </w:p>
    <w:p w14:paraId="6D653996" w14:textId="77777777" w:rsidR="00D01B12" w:rsidRPr="00D01B12" w:rsidRDefault="00D01B12" w:rsidP="00D01B12">
      <w:pPr>
        <w:autoSpaceDE/>
        <w:autoSpaceDN/>
        <w:rPr>
          <w:rFonts w:ascii="Microsoft Sans Serif" w:eastAsia="Microsoft Sans Serif" w:hAnsi="Microsoft Sans Serif" w:cs="Microsoft Sans Serif"/>
          <w:szCs w:val="20"/>
        </w:rPr>
      </w:pPr>
      <w:hyperlink r:id="rId13" w:history="1">
        <w:r w:rsidRPr="00D01B12">
          <w:rPr>
            <w:rFonts w:ascii="Microsoft Sans Serif" w:eastAsia="Microsoft Sans Serif" w:hAnsi="Microsoft Sans Serif" w:cs="Microsoft Sans Serif"/>
            <w:color w:val="0000FF"/>
            <w:szCs w:val="20"/>
            <w:u w:val="single"/>
          </w:rPr>
          <w:t>kjmckeon@hmslegal.com</w:t>
        </w:r>
      </w:hyperlink>
    </w:p>
    <w:p w14:paraId="5F5F2D98" w14:textId="77777777" w:rsidR="00D01B12" w:rsidRPr="00D01B12" w:rsidRDefault="00D01B12" w:rsidP="00D01B12">
      <w:pPr>
        <w:autoSpaceDE/>
        <w:autoSpaceDN/>
        <w:rPr>
          <w:rFonts w:ascii="Microsoft Sans Serif" w:eastAsia="Microsoft Sans Serif" w:hAnsi="Microsoft Sans Serif" w:cs="Microsoft Sans Serif"/>
          <w:szCs w:val="20"/>
        </w:rPr>
        <w:sectPr w:rsidR="00D01B12" w:rsidRPr="00D01B12" w:rsidSect="00C92BBD">
          <w:pgSz w:w="12240" w:h="15840"/>
          <w:pgMar w:top="1584" w:right="1440" w:bottom="1440" w:left="1440" w:header="720" w:footer="720" w:gutter="0"/>
          <w:cols w:space="720"/>
        </w:sectPr>
      </w:pPr>
      <w:r w:rsidRPr="00D01B12">
        <w:rPr>
          <w:rFonts w:ascii="Microsoft Sans Serif" w:eastAsia="Microsoft Sans Serif" w:hAnsi="Microsoft Sans Serif" w:cs="Microsoft Sans Serif"/>
          <w:szCs w:val="20"/>
        </w:rPr>
        <w:t xml:space="preserve"> Accepts eService </w:t>
      </w:r>
      <w:r w:rsidRPr="00D01B12">
        <w:rPr>
          <w:rFonts w:ascii="Microsoft Sans Serif" w:eastAsia="Microsoft Sans Serif" w:hAnsi="Microsoft Sans Serif" w:cs="Microsoft Sans Serif"/>
          <w:szCs w:val="20"/>
        </w:rPr>
        <w:cr/>
      </w:r>
    </w:p>
    <w:p w14:paraId="61651508" w14:textId="77777777" w:rsidR="00D01B12" w:rsidRPr="00D01B12" w:rsidRDefault="00D01B12" w:rsidP="00D01B12">
      <w:pPr>
        <w:autoSpaceDE/>
        <w:autoSpaceDN/>
        <w:rPr>
          <w:rFonts w:ascii="Times New Roman" w:hAnsi="Times New Roman" w:cs="Times New Roman"/>
          <w:sz w:val="20"/>
          <w:szCs w:val="20"/>
        </w:rPr>
      </w:pPr>
      <w:r w:rsidRPr="00D01B12">
        <w:rPr>
          <w:rFonts w:ascii="Microsoft Sans Serif" w:eastAsia="Microsoft Sans Serif" w:hAnsi="Microsoft Sans Serif" w:cs="Microsoft Sans Serif"/>
          <w:szCs w:val="20"/>
        </w:rPr>
        <w:cr/>
      </w:r>
    </w:p>
    <w:p w14:paraId="7DE4B48F" w14:textId="77777777" w:rsidR="00D01B12" w:rsidRPr="00D01B12" w:rsidRDefault="00D01B12" w:rsidP="00D01B12">
      <w:pPr>
        <w:autoSpaceDE/>
        <w:autoSpaceDN/>
        <w:rPr>
          <w:rFonts w:ascii="Microsoft Sans Serif" w:eastAsia="Microsoft Sans Serif" w:hAnsi="Microsoft Sans Serif" w:cs="Microsoft Sans Serif"/>
          <w:szCs w:val="20"/>
        </w:rPr>
      </w:pPr>
      <w:r w:rsidRPr="00D01B12">
        <w:rPr>
          <w:rFonts w:ascii="Microsoft Sans Serif" w:eastAsia="Microsoft Sans Serif" w:hAnsi="Microsoft Sans Serif" w:cs="Microsoft Sans Serif"/>
          <w:szCs w:val="20"/>
        </w:rPr>
        <w:t>DIANA A SILVA ESQUIRE</w:t>
      </w:r>
      <w:r w:rsidRPr="00D01B12">
        <w:rPr>
          <w:rFonts w:ascii="Microsoft Sans Serif" w:eastAsia="Microsoft Sans Serif" w:hAnsi="Microsoft Sans Serif" w:cs="Microsoft Sans Serif"/>
          <w:szCs w:val="20"/>
        </w:rPr>
        <w:br/>
        <w:t>MANKO GOLD KATCHER &amp; FOX, LLP</w:t>
      </w:r>
      <w:r w:rsidRPr="00D01B12">
        <w:rPr>
          <w:rFonts w:ascii="Microsoft Sans Serif" w:eastAsia="Microsoft Sans Serif" w:hAnsi="Microsoft Sans Serif" w:cs="Microsoft Sans Serif"/>
          <w:szCs w:val="20"/>
        </w:rPr>
        <w:cr/>
        <w:t>401 CITY AVE</w:t>
      </w:r>
      <w:r w:rsidRPr="00D01B12">
        <w:rPr>
          <w:rFonts w:ascii="Microsoft Sans Serif" w:eastAsia="Microsoft Sans Serif" w:hAnsi="Microsoft Sans Serif" w:cs="Microsoft Sans Serif"/>
          <w:szCs w:val="20"/>
        </w:rPr>
        <w:cr/>
        <w:t>SUITE 901</w:t>
      </w:r>
      <w:r w:rsidRPr="00D01B12">
        <w:rPr>
          <w:rFonts w:ascii="Microsoft Sans Serif" w:eastAsia="Microsoft Sans Serif" w:hAnsi="Microsoft Sans Serif" w:cs="Microsoft Sans Serif"/>
          <w:szCs w:val="20"/>
        </w:rPr>
        <w:cr/>
        <w:t>BALA CYNWYD PA  19004</w:t>
      </w:r>
      <w:r w:rsidRPr="00D01B12">
        <w:rPr>
          <w:rFonts w:ascii="Microsoft Sans Serif" w:eastAsia="Microsoft Sans Serif" w:hAnsi="Microsoft Sans Serif" w:cs="Microsoft Sans Serif"/>
          <w:szCs w:val="20"/>
        </w:rPr>
        <w:cr/>
      </w:r>
      <w:r w:rsidRPr="00D01B12">
        <w:rPr>
          <w:rFonts w:ascii="Microsoft Sans Serif" w:eastAsia="Microsoft Sans Serif" w:hAnsi="Microsoft Sans Serif" w:cs="Microsoft Sans Serif"/>
          <w:b/>
          <w:bCs/>
          <w:szCs w:val="20"/>
        </w:rPr>
        <w:t>484.430.2347</w:t>
      </w:r>
      <w:r w:rsidRPr="00D01B12">
        <w:rPr>
          <w:rFonts w:ascii="Microsoft Sans Serif" w:eastAsia="Microsoft Sans Serif" w:hAnsi="Microsoft Sans Serif" w:cs="Microsoft Sans Serif"/>
          <w:szCs w:val="20"/>
        </w:rPr>
        <w:cr/>
      </w:r>
      <w:hyperlink r:id="rId14" w:history="1">
        <w:r w:rsidRPr="00D01B12">
          <w:rPr>
            <w:rFonts w:ascii="Microsoft Sans Serif" w:eastAsia="Microsoft Sans Serif" w:hAnsi="Microsoft Sans Serif" w:cs="Microsoft Sans Serif"/>
            <w:color w:val="0000FF"/>
            <w:szCs w:val="20"/>
            <w:u w:val="single"/>
          </w:rPr>
          <w:t>dsilva@mankogold.com</w:t>
        </w:r>
      </w:hyperlink>
    </w:p>
    <w:p w14:paraId="49EFDE4A" w14:textId="77777777" w:rsidR="00D01B12" w:rsidRPr="00D01B12" w:rsidRDefault="00D01B12" w:rsidP="00D01B12">
      <w:pPr>
        <w:autoSpaceDE/>
        <w:autoSpaceDN/>
        <w:rPr>
          <w:rFonts w:ascii="Microsoft Sans Serif" w:hAnsi="Microsoft Sans Serif" w:cs="Microsoft Sans Serif"/>
        </w:rPr>
      </w:pPr>
      <w:r w:rsidRPr="00D01B12">
        <w:rPr>
          <w:rFonts w:ascii="Microsoft Sans Serif" w:eastAsia="Microsoft Sans Serif" w:hAnsi="Microsoft Sans Serif" w:cs="Microsoft Sans Serif"/>
          <w:szCs w:val="20"/>
        </w:rPr>
        <w:t>Accepts eService</w:t>
      </w:r>
    </w:p>
    <w:p w14:paraId="122F9EF8" w14:textId="77777777" w:rsidR="00D01B12" w:rsidRPr="00D01B12" w:rsidRDefault="00D01B12" w:rsidP="00D01B12">
      <w:pPr>
        <w:autoSpaceDE/>
        <w:autoSpaceDN/>
        <w:rPr>
          <w:rFonts w:ascii="Times New Roman" w:hAnsi="Times New Roman" w:cs="Times New Roman"/>
          <w:sz w:val="20"/>
          <w:szCs w:val="20"/>
        </w:rPr>
      </w:pPr>
    </w:p>
    <w:p w14:paraId="620F1ED9" w14:textId="7392E497" w:rsidR="000058F5" w:rsidRDefault="00D01B12"/>
    <w:sectPr w:rsidR="000058F5" w:rsidSect="00B2061E">
      <w:type w:val="continuous"/>
      <w:pgSz w:w="12240" w:h="15840"/>
      <w:pgMar w:top="1584" w:right="1440" w:bottom="1440" w:left="144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7E957" w14:textId="77777777" w:rsidR="00A028BA" w:rsidRDefault="00A028BA" w:rsidP="001602E3">
      <w:r>
        <w:separator/>
      </w:r>
    </w:p>
  </w:endnote>
  <w:endnote w:type="continuationSeparator" w:id="0">
    <w:p w14:paraId="713BC83F" w14:textId="77777777" w:rsidR="00A028BA" w:rsidRDefault="00A028BA" w:rsidP="00160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8BAF0" w14:textId="77777777" w:rsidR="00A76645" w:rsidRPr="00C9263E" w:rsidRDefault="0016378B">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6E3A2" w14:textId="77777777" w:rsidR="00A028BA" w:rsidRDefault="00A028BA" w:rsidP="001602E3">
      <w:r>
        <w:separator/>
      </w:r>
    </w:p>
  </w:footnote>
  <w:footnote w:type="continuationSeparator" w:id="0">
    <w:p w14:paraId="2872E21B" w14:textId="77777777" w:rsidR="00A028BA" w:rsidRDefault="00A028BA" w:rsidP="00160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87E830A"/>
    <w:lvl w:ilvl="0">
      <w:start w:val="1"/>
      <w:numFmt w:val="decimal"/>
      <w:pStyle w:val="ListNumber"/>
      <w:lvlText w:val="%1."/>
      <w:lvlJc w:val="left"/>
      <w:pPr>
        <w:tabs>
          <w:tab w:val="num" w:pos="1440"/>
        </w:tabs>
        <w:ind w:left="1440" w:hanging="720"/>
      </w:pPr>
      <w:rPr>
        <w:rFonts w:hint="default"/>
      </w:rPr>
    </w:lvl>
  </w:abstractNum>
  <w:abstractNum w:abstractNumId="1" w15:restartNumberingAfterBreak="0">
    <w:nsid w:val="5A6634D9"/>
    <w:multiLevelType w:val="hybridMultilevel"/>
    <w:tmpl w:val="59FEBF18"/>
    <w:lvl w:ilvl="0" w:tplc="2302515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2E3"/>
    <w:rsid w:val="00031A2A"/>
    <w:rsid w:val="00054684"/>
    <w:rsid w:val="000548F7"/>
    <w:rsid w:val="000A1C23"/>
    <w:rsid w:val="000B150F"/>
    <w:rsid w:val="000C5CBA"/>
    <w:rsid w:val="001602E3"/>
    <w:rsid w:val="0016378B"/>
    <w:rsid w:val="001D0587"/>
    <w:rsid w:val="001D1619"/>
    <w:rsid w:val="002208E5"/>
    <w:rsid w:val="002873E4"/>
    <w:rsid w:val="002946D6"/>
    <w:rsid w:val="002C2332"/>
    <w:rsid w:val="002D5541"/>
    <w:rsid w:val="00305C63"/>
    <w:rsid w:val="00346311"/>
    <w:rsid w:val="0035014C"/>
    <w:rsid w:val="00377813"/>
    <w:rsid w:val="003B4308"/>
    <w:rsid w:val="003D0B2E"/>
    <w:rsid w:val="003D473C"/>
    <w:rsid w:val="003F2EBD"/>
    <w:rsid w:val="00463089"/>
    <w:rsid w:val="00483BE5"/>
    <w:rsid w:val="004B74DB"/>
    <w:rsid w:val="004F3B80"/>
    <w:rsid w:val="00522A68"/>
    <w:rsid w:val="00526638"/>
    <w:rsid w:val="00585BD4"/>
    <w:rsid w:val="005B1731"/>
    <w:rsid w:val="0064384D"/>
    <w:rsid w:val="006D178B"/>
    <w:rsid w:val="006D7EB5"/>
    <w:rsid w:val="00751EA1"/>
    <w:rsid w:val="007951C9"/>
    <w:rsid w:val="0079680D"/>
    <w:rsid w:val="007B1395"/>
    <w:rsid w:val="007D1E63"/>
    <w:rsid w:val="007E3A9A"/>
    <w:rsid w:val="007F5545"/>
    <w:rsid w:val="00805150"/>
    <w:rsid w:val="008216BF"/>
    <w:rsid w:val="008448CC"/>
    <w:rsid w:val="00866A51"/>
    <w:rsid w:val="00874447"/>
    <w:rsid w:val="008A695A"/>
    <w:rsid w:val="009466F9"/>
    <w:rsid w:val="00990E56"/>
    <w:rsid w:val="00995F04"/>
    <w:rsid w:val="009A5099"/>
    <w:rsid w:val="009B1572"/>
    <w:rsid w:val="009C08F8"/>
    <w:rsid w:val="009C6961"/>
    <w:rsid w:val="009F5FF8"/>
    <w:rsid w:val="00A028BA"/>
    <w:rsid w:val="00A232A8"/>
    <w:rsid w:val="00A95836"/>
    <w:rsid w:val="00AB54D1"/>
    <w:rsid w:val="00AF46A9"/>
    <w:rsid w:val="00B00369"/>
    <w:rsid w:val="00B125C8"/>
    <w:rsid w:val="00B35F90"/>
    <w:rsid w:val="00B5581E"/>
    <w:rsid w:val="00B97FED"/>
    <w:rsid w:val="00BB52D3"/>
    <w:rsid w:val="00BE12B4"/>
    <w:rsid w:val="00C452AC"/>
    <w:rsid w:val="00C667E9"/>
    <w:rsid w:val="00C7418F"/>
    <w:rsid w:val="00CA174C"/>
    <w:rsid w:val="00CB6214"/>
    <w:rsid w:val="00CF2291"/>
    <w:rsid w:val="00CF57D8"/>
    <w:rsid w:val="00D01B12"/>
    <w:rsid w:val="00D131A2"/>
    <w:rsid w:val="00D13494"/>
    <w:rsid w:val="00D23E76"/>
    <w:rsid w:val="00D55D66"/>
    <w:rsid w:val="00DB7F59"/>
    <w:rsid w:val="00DC0826"/>
    <w:rsid w:val="00DF26F6"/>
    <w:rsid w:val="00E0684D"/>
    <w:rsid w:val="00E24607"/>
    <w:rsid w:val="00E4318F"/>
    <w:rsid w:val="00E558C8"/>
    <w:rsid w:val="00E667E3"/>
    <w:rsid w:val="00E94829"/>
    <w:rsid w:val="00E979DC"/>
    <w:rsid w:val="00ED03FA"/>
    <w:rsid w:val="00EE0E88"/>
    <w:rsid w:val="00F0264F"/>
    <w:rsid w:val="00F10233"/>
    <w:rsid w:val="00F46785"/>
    <w:rsid w:val="00F54AB6"/>
    <w:rsid w:val="00F56D56"/>
    <w:rsid w:val="00FB2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7878A"/>
  <w15:chartTrackingRefBased/>
  <w15:docId w15:val="{E32771F5-F50E-4A57-BC46-609FA4CD7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2E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1602E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1602E3"/>
    <w:pPr>
      <w:tabs>
        <w:tab w:val="center" w:pos="4320"/>
        <w:tab w:val="right" w:pos="8640"/>
      </w:tabs>
    </w:pPr>
  </w:style>
  <w:style w:type="character" w:customStyle="1" w:styleId="FooterChar">
    <w:name w:val="Footer Char"/>
    <w:basedOn w:val="DefaultParagraphFont"/>
    <w:link w:val="Footer"/>
    <w:uiPriority w:val="99"/>
    <w:rsid w:val="001602E3"/>
    <w:rPr>
      <w:rFonts w:ascii="CG Times" w:eastAsia="Times New Roman" w:hAnsi="CG Times" w:cs="CG Times"/>
      <w:sz w:val="24"/>
      <w:szCs w:val="24"/>
    </w:rPr>
  </w:style>
  <w:style w:type="paragraph" w:styleId="ListNumber">
    <w:name w:val="List Number"/>
    <w:basedOn w:val="Normal"/>
    <w:qFormat/>
    <w:rsid w:val="001602E3"/>
    <w:pPr>
      <w:numPr>
        <w:numId w:val="1"/>
      </w:numPr>
      <w:tabs>
        <w:tab w:val="clear" w:pos="1440"/>
        <w:tab w:val="num" w:pos="360"/>
      </w:tabs>
      <w:autoSpaceDE/>
      <w:autoSpaceDN/>
      <w:spacing w:after="240"/>
      <w:ind w:left="0" w:firstLine="0"/>
      <w:jc w:val="both"/>
    </w:pPr>
    <w:rPr>
      <w:rFonts w:ascii="Times New Roman" w:hAnsi="Times New Roman" w:cs="Times New Roman"/>
    </w:rPr>
  </w:style>
  <w:style w:type="paragraph" w:styleId="FootnoteText">
    <w:name w:val="footnote text"/>
    <w:basedOn w:val="Normal"/>
    <w:link w:val="FootnoteTextChar"/>
    <w:uiPriority w:val="99"/>
    <w:semiHidden/>
    <w:unhideWhenUsed/>
    <w:rsid w:val="001602E3"/>
    <w:rPr>
      <w:sz w:val="20"/>
      <w:szCs w:val="20"/>
    </w:rPr>
  </w:style>
  <w:style w:type="character" w:customStyle="1" w:styleId="FootnoteTextChar">
    <w:name w:val="Footnote Text Char"/>
    <w:basedOn w:val="DefaultParagraphFont"/>
    <w:link w:val="FootnoteText"/>
    <w:uiPriority w:val="99"/>
    <w:semiHidden/>
    <w:rsid w:val="001602E3"/>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1602E3"/>
    <w:rPr>
      <w:vertAlign w:val="superscript"/>
    </w:rPr>
  </w:style>
  <w:style w:type="paragraph" w:styleId="BodyText">
    <w:name w:val="Body Text"/>
    <w:basedOn w:val="Normal"/>
    <w:link w:val="BodyTextChar"/>
    <w:uiPriority w:val="1"/>
    <w:qFormat/>
    <w:rsid w:val="001602E3"/>
    <w:pPr>
      <w:widowControl w:val="0"/>
    </w:pPr>
    <w:rPr>
      <w:rFonts w:ascii="Times New Roman" w:hAnsi="Times New Roman" w:cs="Times New Roman"/>
      <w:sz w:val="23"/>
      <w:szCs w:val="23"/>
    </w:rPr>
  </w:style>
  <w:style w:type="character" w:customStyle="1" w:styleId="BodyTextChar">
    <w:name w:val="Body Text Char"/>
    <w:basedOn w:val="DefaultParagraphFont"/>
    <w:link w:val="BodyText"/>
    <w:uiPriority w:val="1"/>
    <w:rsid w:val="001602E3"/>
    <w:rPr>
      <w:rFonts w:ascii="Times New Roman" w:eastAsia="Times New Roman" w:hAnsi="Times New Roman" w:cs="Times New Roman"/>
      <w:sz w:val="23"/>
      <w:szCs w:val="23"/>
    </w:rPr>
  </w:style>
  <w:style w:type="paragraph" w:customStyle="1" w:styleId="Style">
    <w:name w:val="Style"/>
    <w:rsid w:val="002D554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558C8"/>
    <w:pPr>
      <w:ind w:left="720"/>
      <w:contextualSpacing/>
    </w:pPr>
  </w:style>
  <w:style w:type="table" w:styleId="TableGrid">
    <w:name w:val="Table Grid"/>
    <w:basedOn w:val="TableNormal"/>
    <w:uiPriority w:val="39"/>
    <w:rsid w:val="00054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rtes@foxrothschild.com" TargetMode="External"/><Relationship Id="rId13" Type="http://schemas.openxmlformats.org/officeDocument/2006/relationships/hyperlink" Target="mailto:kjmckeon@hmslegal.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brbeard@hmslega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jsniscak@hmslega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wesnyder@hmslegal.com" TargetMode="External"/><Relationship Id="rId4" Type="http://schemas.openxmlformats.org/officeDocument/2006/relationships/webSettings" Target="webSettings.xml"/><Relationship Id="rId9" Type="http://schemas.openxmlformats.org/officeDocument/2006/relationships/hyperlink" Target="mailto:abeach@foxrothschild.com" TargetMode="External"/><Relationship Id="rId14" Type="http://schemas.openxmlformats.org/officeDocument/2006/relationships/hyperlink" Target="mailto:dsilva@mankogol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2067</Words>
  <Characters>11784</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2021-05-24T16:39:00Z</dcterms:created>
  <dcterms:modified xsi:type="dcterms:W3CDTF">2021-05-24T16:39:00Z</dcterms:modified>
</cp:coreProperties>
</file>