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65D" w14:textId="77777777" w:rsidR="001F365D" w:rsidRPr="007F2F7C" w:rsidRDefault="001F365D" w:rsidP="007F2F7C">
      <w:pPr>
        <w:spacing w:line="240" w:lineRule="auto"/>
        <w:rPr>
          <w:i/>
          <w:iCs/>
          <w:szCs w:val="24"/>
        </w:rPr>
      </w:pPr>
      <w:r w:rsidRPr="007F2F7C">
        <w:rPr>
          <w:i/>
          <w:iCs/>
          <w:szCs w:val="24"/>
        </w:rPr>
        <w:t>Via electronic service only due to Emergency Order at M-2020-3019262</w:t>
      </w:r>
    </w:p>
    <w:p w14:paraId="395E6A85" w14:textId="77777777" w:rsidR="001F365D" w:rsidRPr="007F2F7C" w:rsidRDefault="001F365D" w:rsidP="007F2F7C">
      <w:pPr>
        <w:tabs>
          <w:tab w:val="center" w:pos="4680"/>
        </w:tabs>
        <w:spacing w:line="240" w:lineRule="auto"/>
        <w:jc w:val="center"/>
        <w:rPr>
          <w:b/>
          <w:szCs w:val="24"/>
        </w:rPr>
      </w:pPr>
    </w:p>
    <w:p w14:paraId="762934A6" w14:textId="77777777" w:rsidR="001F365D" w:rsidRPr="007F2F7C" w:rsidRDefault="001F365D" w:rsidP="007F2F7C">
      <w:pPr>
        <w:tabs>
          <w:tab w:val="center" w:pos="4680"/>
        </w:tabs>
        <w:spacing w:line="240" w:lineRule="auto"/>
        <w:jc w:val="center"/>
        <w:rPr>
          <w:b/>
          <w:szCs w:val="24"/>
        </w:rPr>
      </w:pPr>
      <w:r w:rsidRPr="007F2F7C">
        <w:rPr>
          <w:b/>
          <w:szCs w:val="24"/>
        </w:rPr>
        <w:t>BEFORE THE</w:t>
      </w:r>
    </w:p>
    <w:p w14:paraId="25D5B752" w14:textId="77777777" w:rsidR="001F365D" w:rsidRPr="007F2F7C" w:rsidRDefault="001F365D" w:rsidP="007F2F7C">
      <w:pPr>
        <w:tabs>
          <w:tab w:val="center" w:pos="4680"/>
        </w:tabs>
        <w:spacing w:line="240" w:lineRule="auto"/>
        <w:jc w:val="center"/>
        <w:rPr>
          <w:szCs w:val="24"/>
        </w:rPr>
      </w:pPr>
      <w:r w:rsidRPr="007F2F7C">
        <w:rPr>
          <w:b/>
          <w:szCs w:val="24"/>
        </w:rPr>
        <w:t>PENNSYLVANIA PUBLIC UTILITY COMMISSION</w:t>
      </w:r>
    </w:p>
    <w:p w14:paraId="3357E40F" w14:textId="2CFF0039" w:rsidR="001F365D" w:rsidRPr="007F2F7C" w:rsidRDefault="001F365D" w:rsidP="007F2F7C">
      <w:pPr>
        <w:spacing w:line="240" w:lineRule="auto"/>
        <w:jc w:val="both"/>
        <w:rPr>
          <w:szCs w:val="24"/>
        </w:rPr>
      </w:pPr>
    </w:p>
    <w:p w14:paraId="4DB849B9" w14:textId="77777777" w:rsidR="007F2F7C" w:rsidRPr="007F2F7C" w:rsidRDefault="007F2F7C" w:rsidP="007F2F7C">
      <w:pPr>
        <w:spacing w:line="240" w:lineRule="auto"/>
        <w:jc w:val="both"/>
        <w:rPr>
          <w:szCs w:val="24"/>
        </w:rPr>
      </w:pPr>
    </w:p>
    <w:p w14:paraId="4DD4E858" w14:textId="77777777" w:rsidR="001F365D" w:rsidRPr="007F2F7C" w:rsidRDefault="001F365D" w:rsidP="007F2F7C">
      <w:pPr>
        <w:spacing w:line="240" w:lineRule="auto"/>
        <w:jc w:val="both"/>
        <w:rPr>
          <w:szCs w:val="24"/>
        </w:rPr>
      </w:pPr>
    </w:p>
    <w:p w14:paraId="748016E7" w14:textId="77777777" w:rsidR="007F2F7C" w:rsidRPr="007F2F7C" w:rsidRDefault="007F2F7C" w:rsidP="007F2F7C">
      <w:pPr>
        <w:spacing w:line="240" w:lineRule="auto"/>
        <w:ind w:right="270"/>
        <w:jc w:val="both"/>
        <w:rPr>
          <w:rFonts w:eastAsia="Calibri"/>
          <w:szCs w:val="24"/>
        </w:rPr>
      </w:pPr>
      <w:r w:rsidRPr="007F2F7C">
        <w:rPr>
          <w:rFonts w:eastAsia="Calibri"/>
          <w:szCs w:val="24"/>
        </w:rPr>
        <w:t xml:space="preserve">Application of Pennsylvania-American Water </w:t>
      </w:r>
      <w:r w:rsidRPr="007F2F7C">
        <w:rPr>
          <w:rFonts w:eastAsia="Calibri"/>
          <w:szCs w:val="24"/>
        </w:rPr>
        <w:tab/>
      </w:r>
      <w:r w:rsidRPr="007F2F7C">
        <w:rPr>
          <w:rFonts w:eastAsia="Calibri"/>
          <w:szCs w:val="24"/>
        </w:rPr>
        <w:tab/>
        <w:t>:</w:t>
      </w:r>
      <w:r w:rsidRPr="007F2F7C">
        <w:rPr>
          <w:rFonts w:eastAsia="Calibri"/>
          <w:szCs w:val="24"/>
        </w:rPr>
        <w:tab/>
        <w:t>A 2020 3021460</w:t>
      </w:r>
    </w:p>
    <w:p w14:paraId="70FB8CC2" w14:textId="3CDE9EB4" w:rsidR="007F2F7C" w:rsidRPr="007F2F7C" w:rsidRDefault="007F2F7C" w:rsidP="007F2F7C">
      <w:pPr>
        <w:spacing w:line="240" w:lineRule="auto"/>
        <w:ind w:right="270"/>
        <w:jc w:val="both"/>
        <w:rPr>
          <w:rFonts w:eastAsia="Calibri"/>
          <w:szCs w:val="24"/>
        </w:rPr>
      </w:pPr>
      <w:r w:rsidRPr="007F2F7C">
        <w:rPr>
          <w:rFonts w:eastAsia="Calibri"/>
          <w:szCs w:val="24"/>
        </w:rPr>
        <w:t xml:space="preserve">Company – Wastewater Division (PAWC-WD), </w:t>
      </w:r>
      <w:r w:rsidRPr="007F2F7C">
        <w:rPr>
          <w:rFonts w:eastAsia="Calibri"/>
          <w:szCs w:val="24"/>
        </w:rPr>
        <w:tab/>
      </w:r>
      <w:r w:rsidR="00221FDF">
        <w:rPr>
          <w:rFonts w:eastAsia="Calibri"/>
          <w:szCs w:val="24"/>
        </w:rPr>
        <w:tab/>
      </w:r>
      <w:r w:rsidRPr="007F2F7C">
        <w:rPr>
          <w:rFonts w:eastAsia="Calibri"/>
          <w:szCs w:val="24"/>
        </w:rPr>
        <w:t>:</w:t>
      </w:r>
      <w:r w:rsidRPr="007F2F7C">
        <w:rPr>
          <w:rFonts w:eastAsia="Calibri"/>
          <w:szCs w:val="24"/>
        </w:rPr>
        <w:tab/>
      </w:r>
    </w:p>
    <w:p w14:paraId="7D53DD98" w14:textId="437B235A" w:rsidR="007F2F7C" w:rsidRPr="007F2F7C" w:rsidRDefault="007F2F7C" w:rsidP="007F2F7C">
      <w:pPr>
        <w:spacing w:line="240" w:lineRule="auto"/>
        <w:ind w:right="270"/>
        <w:jc w:val="both"/>
        <w:rPr>
          <w:rFonts w:eastAsia="Calibri"/>
          <w:szCs w:val="24"/>
        </w:rPr>
      </w:pPr>
      <w:r w:rsidRPr="007F2F7C">
        <w:rPr>
          <w:rFonts w:eastAsia="Calibri"/>
          <w:szCs w:val="24"/>
        </w:rPr>
        <w:t xml:space="preserve">under Sections 1102 and 1329 of the Pennsylvania </w:t>
      </w:r>
      <w:r w:rsidRPr="007F2F7C">
        <w:rPr>
          <w:rFonts w:eastAsia="Calibri"/>
          <w:szCs w:val="24"/>
        </w:rPr>
        <w:tab/>
      </w:r>
      <w:r w:rsidR="00221FDF">
        <w:rPr>
          <w:rFonts w:eastAsia="Calibri"/>
          <w:szCs w:val="24"/>
        </w:rPr>
        <w:tab/>
      </w:r>
      <w:r w:rsidRPr="007F2F7C">
        <w:rPr>
          <w:rFonts w:eastAsia="Calibri"/>
          <w:szCs w:val="24"/>
        </w:rPr>
        <w:t>:</w:t>
      </w:r>
    </w:p>
    <w:p w14:paraId="1568F872" w14:textId="660803DE" w:rsidR="007F2F7C" w:rsidRPr="007F2F7C" w:rsidRDefault="007F2F7C" w:rsidP="007F2F7C">
      <w:pPr>
        <w:spacing w:line="240" w:lineRule="auto"/>
        <w:ind w:right="270"/>
        <w:jc w:val="both"/>
        <w:rPr>
          <w:rFonts w:eastAsia="Calibri"/>
          <w:szCs w:val="24"/>
        </w:rPr>
      </w:pPr>
      <w:r w:rsidRPr="007F2F7C">
        <w:rPr>
          <w:rFonts w:eastAsia="Calibri"/>
          <w:szCs w:val="24"/>
        </w:rPr>
        <w:t xml:space="preserve">Public Utility Code, 66 Pa C.S. §§ 1102(a) and </w:t>
      </w:r>
      <w:r w:rsidRPr="007F2F7C">
        <w:rPr>
          <w:rFonts w:eastAsia="Calibri"/>
          <w:szCs w:val="24"/>
        </w:rPr>
        <w:tab/>
      </w:r>
      <w:r w:rsidR="00221FDF">
        <w:rPr>
          <w:rFonts w:eastAsia="Calibri"/>
          <w:szCs w:val="24"/>
        </w:rPr>
        <w:tab/>
      </w:r>
      <w:r w:rsidRPr="007F2F7C">
        <w:rPr>
          <w:rFonts w:eastAsia="Calibri"/>
          <w:szCs w:val="24"/>
        </w:rPr>
        <w:t>:</w:t>
      </w:r>
    </w:p>
    <w:p w14:paraId="770FFA5D" w14:textId="5C89431F" w:rsidR="007F2F7C" w:rsidRPr="007F2F7C" w:rsidRDefault="007F2F7C" w:rsidP="007F2F7C">
      <w:pPr>
        <w:spacing w:line="240" w:lineRule="auto"/>
        <w:ind w:right="270"/>
        <w:jc w:val="both"/>
        <w:rPr>
          <w:rFonts w:eastAsia="Calibri"/>
          <w:szCs w:val="24"/>
        </w:rPr>
      </w:pPr>
      <w:r w:rsidRPr="007F2F7C">
        <w:rPr>
          <w:rFonts w:eastAsia="Calibri"/>
          <w:szCs w:val="24"/>
        </w:rPr>
        <w:t xml:space="preserve">1329 (relating to enumeration of acts requiring </w:t>
      </w:r>
      <w:r w:rsidRPr="007F2F7C">
        <w:rPr>
          <w:rFonts w:eastAsia="Calibri"/>
          <w:szCs w:val="24"/>
        </w:rPr>
        <w:tab/>
      </w:r>
      <w:r w:rsidR="00221FDF">
        <w:rPr>
          <w:rFonts w:eastAsia="Calibri"/>
          <w:szCs w:val="24"/>
        </w:rPr>
        <w:tab/>
      </w:r>
      <w:r w:rsidRPr="007F2F7C">
        <w:rPr>
          <w:rFonts w:eastAsia="Calibri"/>
          <w:szCs w:val="24"/>
        </w:rPr>
        <w:t>:</w:t>
      </w:r>
    </w:p>
    <w:p w14:paraId="3B04B088" w14:textId="18E0F68C" w:rsidR="007F2F7C" w:rsidRPr="007F2F7C" w:rsidRDefault="007F2F7C" w:rsidP="007F2F7C">
      <w:pPr>
        <w:spacing w:line="240" w:lineRule="auto"/>
        <w:ind w:right="270"/>
        <w:jc w:val="both"/>
        <w:rPr>
          <w:rFonts w:eastAsia="Calibri"/>
          <w:szCs w:val="24"/>
        </w:rPr>
      </w:pPr>
      <w:r w:rsidRPr="007F2F7C">
        <w:rPr>
          <w:rFonts w:eastAsia="Calibri"/>
          <w:szCs w:val="24"/>
        </w:rPr>
        <w:t xml:space="preserve">certificate and valuation of acquired water and </w:t>
      </w:r>
      <w:r w:rsidRPr="007F2F7C">
        <w:rPr>
          <w:rFonts w:eastAsia="Calibri"/>
          <w:szCs w:val="24"/>
        </w:rPr>
        <w:tab/>
      </w:r>
      <w:r w:rsidR="00221FDF">
        <w:rPr>
          <w:rFonts w:eastAsia="Calibri"/>
          <w:szCs w:val="24"/>
        </w:rPr>
        <w:tab/>
      </w:r>
      <w:r w:rsidRPr="007F2F7C">
        <w:rPr>
          <w:rFonts w:eastAsia="Calibri"/>
          <w:szCs w:val="24"/>
        </w:rPr>
        <w:t>:</w:t>
      </w:r>
      <w:r w:rsidRPr="007F2F7C">
        <w:rPr>
          <w:rFonts w:eastAsia="Calibri"/>
          <w:szCs w:val="24"/>
        </w:rPr>
        <w:tab/>
      </w:r>
    </w:p>
    <w:p w14:paraId="3DF516DD" w14:textId="77777777" w:rsidR="007F2F7C" w:rsidRPr="007F2F7C" w:rsidRDefault="007F2F7C" w:rsidP="007F2F7C">
      <w:pPr>
        <w:spacing w:line="240" w:lineRule="auto"/>
        <w:ind w:right="270"/>
        <w:jc w:val="both"/>
        <w:rPr>
          <w:rFonts w:eastAsia="Calibri"/>
          <w:szCs w:val="24"/>
        </w:rPr>
      </w:pPr>
      <w:r w:rsidRPr="007F2F7C">
        <w:rPr>
          <w:rFonts w:eastAsia="Calibri"/>
          <w:szCs w:val="24"/>
        </w:rPr>
        <w:t>wastewater systems), for approval of: (1) the transfer,</w:t>
      </w:r>
      <w:r w:rsidRPr="007F2F7C">
        <w:rPr>
          <w:rFonts w:eastAsia="Calibri"/>
          <w:szCs w:val="24"/>
        </w:rPr>
        <w:tab/>
        <w:t>:</w:t>
      </w:r>
    </w:p>
    <w:p w14:paraId="7E7B04BB" w14:textId="77777777" w:rsidR="007F2F7C" w:rsidRPr="007F2F7C" w:rsidRDefault="007F2F7C" w:rsidP="00221FDF">
      <w:pPr>
        <w:spacing w:line="240" w:lineRule="auto"/>
        <w:jc w:val="both"/>
        <w:rPr>
          <w:rFonts w:eastAsia="Calibri"/>
          <w:szCs w:val="24"/>
        </w:rPr>
      </w:pPr>
      <w:r w:rsidRPr="007F2F7C">
        <w:rPr>
          <w:rFonts w:eastAsia="Calibri"/>
          <w:szCs w:val="24"/>
        </w:rPr>
        <w:t xml:space="preserve"> by sale, of substantially all of the wastewater </w:t>
      </w:r>
      <w:r w:rsidRPr="007F2F7C">
        <w:rPr>
          <w:rFonts w:eastAsia="Calibri"/>
          <w:szCs w:val="24"/>
        </w:rPr>
        <w:tab/>
      </w:r>
      <w:r w:rsidRPr="007F2F7C">
        <w:rPr>
          <w:rFonts w:eastAsia="Calibri"/>
          <w:szCs w:val="24"/>
        </w:rPr>
        <w:tab/>
        <w:t>:</w:t>
      </w:r>
    </w:p>
    <w:p w14:paraId="50718214" w14:textId="77777777" w:rsidR="007F2F7C" w:rsidRPr="007F2F7C" w:rsidRDefault="007F2F7C" w:rsidP="007F2F7C">
      <w:pPr>
        <w:spacing w:line="240" w:lineRule="auto"/>
        <w:ind w:right="270"/>
        <w:jc w:val="both"/>
        <w:rPr>
          <w:rFonts w:eastAsia="Calibri"/>
          <w:szCs w:val="24"/>
        </w:rPr>
      </w:pPr>
      <w:r w:rsidRPr="007F2F7C">
        <w:rPr>
          <w:rFonts w:eastAsia="Calibri"/>
          <w:szCs w:val="24"/>
        </w:rPr>
        <w:t xml:space="preserve">system assets, properties and rights of Upper </w:t>
      </w:r>
      <w:r w:rsidRPr="007F2F7C">
        <w:rPr>
          <w:rFonts w:eastAsia="Calibri"/>
          <w:szCs w:val="24"/>
        </w:rPr>
        <w:tab/>
      </w:r>
      <w:r w:rsidRPr="007F2F7C">
        <w:rPr>
          <w:rFonts w:eastAsia="Calibri"/>
          <w:szCs w:val="24"/>
        </w:rPr>
        <w:tab/>
        <w:t>:</w:t>
      </w:r>
    </w:p>
    <w:p w14:paraId="2D9814C1" w14:textId="77777777" w:rsidR="007F2F7C" w:rsidRPr="007F2F7C" w:rsidRDefault="007F2F7C" w:rsidP="007F2F7C">
      <w:pPr>
        <w:spacing w:line="240" w:lineRule="auto"/>
        <w:ind w:right="270"/>
        <w:jc w:val="both"/>
        <w:rPr>
          <w:rFonts w:eastAsia="Calibri"/>
          <w:szCs w:val="24"/>
        </w:rPr>
      </w:pPr>
      <w:r w:rsidRPr="007F2F7C">
        <w:rPr>
          <w:rFonts w:eastAsia="Calibri"/>
          <w:szCs w:val="24"/>
        </w:rPr>
        <w:t xml:space="preserve">Pottsgrove Township related to its wastewater </w:t>
      </w:r>
      <w:r w:rsidRPr="007F2F7C">
        <w:rPr>
          <w:rFonts w:eastAsia="Calibri"/>
          <w:szCs w:val="24"/>
        </w:rPr>
        <w:tab/>
      </w:r>
      <w:r w:rsidRPr="007F2F7C">
        <w:rPr>
          <w:rFonts w:eastAsia="Calibri"/>
          <w:szCs w:val="24"/>
        </w:rPr>
        <w:tab/>
        <w:t>:</w:t>
      </w:r>
    </w:p>
    <w:p w14:paraId="3E6101A3" w14:textId="095F1D1F" w:rsidR="007F2F7C" w:rsidRPr="007F2F7C" w:rsidRDefault="007F2F7C" w:rsidP="007F2F7C">
      <w:pPr>
        <w:spacing w:line="240" w:lineRule="auto"/>
        <w:ind w:right="270"/>
        <w:jc w:val="both"/>
        <w:rPr>
          <w:rFonts w:eastAsia="Calibri"/>
          <w:szCs w:val="24"/>
        </w:rPr>
      </w:pPr>
      <w:r w:rsidRPr="007F2F7C">
        <w:rPr>
          <w:rFonts w:eastAsia="Calibri"/>
          <w:szCs w:val="24"/>
        </w:rPr>
        <w:t xml:space="preserve">collection and conveyance system; (2) the right </w:t>
      </w:r>
      <w:r w:rsidRPr="007F2F7C">
        <w:rPr>
          <w:rFonts w:eastAsia="Calibri"/>
          <w:szCs w:val="24"/>
        </w:rPr>
        <w:tab/>
      </w:r>
      <w:r w:rsidR="00221FDF">
        <w:rPr>
          <w:rFonts w:eastAsia="Calibri"/>
          <w:szCs w:val="24"/>
        </w:rPr>
        <w:tab/>
      </w:r>
      <w:r w:rsidRPr="007F2F7C">
        <w:rPr>
          <w:rFonts w:eastAsia="Calibri"/>
          <w:szCs w:val="24"/>
        </w:rPr>
        <w:t>:</w:t>
      </w:r>
      <w:r w:rsidRPr="007F2F7C">
        <w:rPr>
          <w:rFonts w:eastAsia="Calibri"/>
          <w:szCs w:val="24"/>
        </w:rPr>
        <w:tab/>
      </w:r>
    </w:p>
    <w:p w14:paraId="2A8895AB" w14:textId="77777777" w:rsidR="007F2F7C" w:rsidRPr="007F2F7C" w:rsidRDefault="007F2F7C" w:rsidP="007F2F7C">
      <w:pPr>
        <w:spacing w:line="240" w:lineRule="auto"/>
        <w:ind w:right="270"/>
        <w:jc w:val="both"/>
        <w:rPr>
          <w:rFonts w:eastAsia="Calibri"/>
          <w:szCs w:val="24"/>
        </w:rPr>
      </w:pPr>
      <w:r w:rsidRPr="007F2F7C">
        <w:rPr>
          <w:rFonts w:eastAsia="Calibri"/>
          <w:szCs w:val="24"/>
        </w:rPr>
        <w:t>of PAWC-WD to begin to offer or furnish wastewater</w:t>
      </w:r>
      <w:r w:rsidRPr="007F2F7C">
        <w:rPr>
          <w:rFonts w:eastAsia="Calibri"/>
          <w:szCs w:val="24"/>
        </w:rPr>
        <w:tab/>
        <w:t>:</w:t>
      </w:r>
    </w:p>
    <w:p w14:paraId="54E29796" w14:textId="20ECF3F2" w:rsidR="007F2F7C" w:rsidRPr="007F2F7C" w:rsidRDefault="007F2F7C" w:rsidP="007F2F7C">
      <w:pPr>
        <w:spacing w:line="240" w:lineRule="auto"/>
        <w:ind w:right="270"/>
        <w:jc w:val="both"/>
        <w:rPr>
          <w:rFonts w:eastAsia="Calibri"/>
          <w:szCs w:val="24"/>
        </w:rPr>
      </w:pPr>
      <w:r w:rsidRPr="007F2F7C">
        <w:rPr>
          <w:rFonts w:eastAsia="Calibri"/>
          <w:szCs w:val="24"/>
        </w:rPr>
        <w:t xml:space="preserve"> service to the public in Upper Providence </w:t>
      </w:r>
      <w:r w:rsidRPr="007F2F7C">
        <w:rPr>
          <w:rFonts w:eastAsia="Calibri"/>
          <w:szCs w:val="24"/>
        </w:rPr>
        <w:tab/>
      </w:r>
      <w:r w:rsidRPr="007F2F7C">
        <w:rPr>
          <w:rFonts w:eastAsia="Calibri"/>
          <w:szCs w:val="24"/>
        </w:rPr>
        <w:tab/>
      </w:r>
      <w:r w:rsidR="00221FDF">
        <w:rPr>
          <w:rFonts w:eastAsia="Calibri"/>
          <w:szCs w:val="24"/>
        </w:rPr>
        <w:tab/>
      </w:r>
      <w:r w:rsidRPr="007F2F7C">
        <w:rPr>
          <w:rFonts w:eastAsia="Calibri"/>
          <w:szCs w:val="24"/>
        </w:rPr>
        <w:t>:</w:t>
      </w:r>
    </w:p>
    <w:p w14:paraId="13DE46DD" w14:textId="3D5761E8" w:rsidR="007F2F7C" w:rsidRPr="007F2F7C" w:rsidRDefault="007F2F7C" w:rsidP="007F2F7C">
      <w:pPr>
        <w:spacing w:line="240" w:lineRule="auto"/>
        <w:ind w:right="270"/>
        <w:jc w:val="both"/>
        <w:rPr>
          <w:rFonts w:eastAsia="Calibri"/>
          <w:szCs w:val="24"/>
        </w:rPr>
      </w:pPr>
      <w:r w:rsidRPr="007F2F7C">
        <w:rPr>
          <w:rFonts w:eastAsia="Calibri"/>
          <w:szCs w:val="24"/>
        </w:rPr>
        <w:t xml:space="preserve">Township, Montgomery County, and a portion of </w:t>
      </w:r>
      <w:r w:rsidRPr="007F2F7C">
        <w:rPr>
          <w:rFonts w:eastAsia="Calibri"/>
          <w:szCs w:val="24"/>
        </w:rPr>
        <w:tab/>
      </w:r>
      <w:r w:rsidR="00221FDF">
        <w:rPr>
          <w:rFonts w:eastAsia="Calibri"/>
          <w:szCs w:val="24"/>
        </w:rPr>
        <w:tab/>
      </w:r>
      <w:r w:rsidRPr="007F2F7C">
        <w:rPr>
          <w:rFonts w:eastAsia="Calibri"/>
          <w:szCs w:val="24"/>
        </w:rPr>
        <w:t>:</w:t>
      </w:r>
    </w:p>
    <w:p w14:paraId="515138F1" w14:textId="5C53D6B3" w:rsidR="007F2F7C" w:rsidRPr="007F2F7C" w:rsidRDefault="007F2F7C" w:rsidP="007F2F7C">
      <w:pPr>
        <w:spacing w:line="240" w:lineRule="auto"/>
        <w:ind w:right="270"/>
        <w:jc w:val="both"/>
        <w:rPr>
          <w:rFonts w:eastAsia="Calibri"/>
          <w:szCs w:val="24"/>
        </w:rPr>
      </w:pPr>
      <w:r w:rsidRPr="007F2F7C">
        <w:rPr>
          <w:rFonts w:eastAsia="Calibri"/>
          <w:szCs w:val="24"/>
        </w:rPr>
        <w:t xml:space="preserve">Douglass Township, Berks County, Pennsylvania; </w:t>
      </w:r>
      <w:r w:rsidRPr="007F2F7C">
        <w:rPr>
          <w:rFonts w:eastAsia="Calibri"/>
          <w:szCs w:val="24"/>
        </w:rPr>
        <w:tab/>
      </w:r>
      <w:r w:rsidR="00221FDF">
        <w:rPr>
          <w:rFonts w:eastAsia="Calibri"/>
          <w:szCs w:val="24"/>
        </w:rPr>
        <w:tab/>
      </w:r>
      <w:r w:rsidRPr="007F2F7C">
        <w:rPr>
          <w:rFonts w:eastAsia="Calibri"/>
          <w:szCs w:val="24"/>
        </w:rPr>
        <w:t>:</w:t>
      </w:r>
    </w:p>
    <w:p w14:paraId="34025948" w14:textId="17606D91" w:rsidR="007F2F7C" w:rsidRPr="007F2F7C" w:rsidRDefault="007F2F7C" w:rsidP="007F2F7C">
      <w:pPr>
        <w:spacing w:line="240" w:lineRule="auto"/>
        <w:ind w:right="270"/>
        <w:jc w:val="both"/>
        <w:rPr>
          <w:rFonts w:eastAsia="Calibri"/>
          <w:szCs w:val="24"/>
        </w:rPr>
      </w:pPr>
      <w:r w:rsidRPr="007F2F7C">
        <w:rPr>
          <w:rFonts w:eastAsia="Calibri"/>
          <w:szCs w:val="24"/>
        </w:rPr>
        <w:t>and (3) the use for ratemaking purposes of the lesser</w:t>
      </w:r>
      <w:r w:rsidRPr="007F2F7C">
        <w:rPr>
          <w:rFonts w:eastAsia="Calibri"/>
          <w:szCs w:val="24"/>
        </w:rPr>
        <w:tab/>
      </w:r>
      <w:r w:rsidR="00221FDF">
        <w:rPr>
          <w:rFonts w:eastAsia="Calibri"/>
          <w:szCs w:val="24"/>
        </w:rPr>
        <w:tab/>
      </w:r>
      <w:r w:rsidRPr="007F2F7C">
        <w:rPr>
          <w:rFonts w:eastAsia="Calibri"/>
          <w:szCs w:val="24"/>
        </w:rPr>
        <w:t>:</w:t>
      </w:r>
    </w:p>
    <w:p w14:paraId="5927EFEE" w14:textId="77777777" w:rsidR="007F2F7C" w:rsidRPr="007F2F7C" w:rsidRDefault="007F2F7C" w:rsidP="007F2F7C">
      <w:pPr>
        <w:spacing w:line="240" w:lineRule="auto"/>
        <w:ind w:right="270"/>
        <w:jc w:val="both"/>
        <w:rPr>
          <w:rFonts w:eastAsia="Calibri"/>
          <w:szCs w:val="24"/>
        </w:rPr>
      </w:pPr>
      <w:r w:rsidRPr="007F2F7C">
        <w:rPr>
          <w:rFonts w:eastAsia="Calibri"/>
          <w:szCs w:val="24"/>
        </w:rPr>
        <w:t xml:space="preserve"> fair market value or the negotiated purchase price of </w:t>
      </w:r>
      <w:r w:rsidRPr="007F2F7C">
        <w:rPr>
          <w:rFonts w:eastAsia="Calibri"/>
          <w:szCs w:val="24"/>
        </w:rPr>
        <w:tab/>
        <w:t>:</w:t>
      </w:r>
    </w:p>
    <w:p w14:paraId="6C2C4FF4" w14:textId="695813AA" w:rsidR="007F2F7C" w:rsidRPr="007F2F7C" w:rsidRDefault="007F2F7C" w:rsidP="007F2F7C">
      <w:pPr>
        <w:spacing w:line="240" w:lineRule="auto"/>
        <w:ind w:right="270"/>
        <w:jc w:val="both"/>
        <w:rPr>
          <w:rFonts w:eastAsia="Calibri"/>
          <w:szCs w:val="24"/>
        </w:rPr>
      </w:pPr>
      <w:r w:rsidRPr="007F2F7C">
        <w:rPr>
          <w:rFonts w:eastAsia="Calibri"/>
          <w:szCs w:val="24"/>
        </w:rPr>
        <w:t xml:space="preserve">the Upper Pottsgrove Township assets related to its </w:t>
      </w:r>
      <w:r w:rsidRPr="007F2F7C">
        <w:rPr>
          <w:rFonts w:eastAsia="Calibri"/>
          <w:szCs w:val="24"/>
        </w:rPr>
        <w:tab/>
      </w:r>
      <w:r w:rsidR="00221FDF">
        <w:rPr>
          <w:rFonts w:eastAsia="Calibri"/>
          <w:szCs w:val="24"/>
        </w:rPr>
        <w:tab/>
      </w:r>
      <w:r w:rsidRPr="007F2F7C">
        <w:rPr>
          <w:rFonts w:eastAsia="Calibri"/>
          <w:szCs w:val="24"/>
        </w:rPr>
        <w:t>:</w:t>
      </w:r>
    </w:p>
    <w:p w14:paraId="7B044351" w14:textId="72F73F3D" w:rsidR="007F2F7C" w:rsidRPr="007F2F7C" w:rsidRDefault="007F2F7C" w:rsidP="007F2F7C">
      <w:pPr>
        <w:spacing w:line="240" w:lineRule="auto"/>
        <w:ind w:right="270"/>
        <w:jc w:val="both"/>
        <w:rPr>
          <w:rFonts w:eastAsia="Calibri"/>
          <w:szCs w:val="24"/>
        </w:rPr>
      </w:pPr>
      <w:r w:rsidRPr="007F2F7C">
        <w:rPr>
          <w:rFonts w:eastAsia="Calibri"/>
          <w:szCs w:val="24"/>
        </w:rPr>
        <w:t xml:space="preserve">wastewater collection and treatment system. </w:t>
      </w:r>
      <w:r w:rsidRPr="007F2F7C">
        <w:rPr>
          <w:rFonts w:eastAsia="Calibri"/>
          <w:szCs w:val="24"/>
        </w:rPr>
        <w:tab/>
      </w:r>
      <w:r w:rsidRPr="007F2F7C">
        <w:rPr>
          <w:rFonts w:eastAsia="Calibri"/>
          <w:szCs w:val="24"/>
        </w:rPr>
        <w:tab/>
      </w:r>
      <w:r w:rsidR="00221FDF">
        <w:rPr>
          <w:rFonts w:eastAsia="Calibri"/>
          <w:szCs w:val="24"/>
        </w:rPr>
        <w:tab/>
      </w:r>
      <w:r w:rsidRPr="007F2F7C">
        <w:rPr>
          <w:rFonts w:eastAsia="Calibri"/>
          <w:szCs w:val="24"/>
        </w:rPr>
        <w:t>:</w:t>
      </w:r>
    </w:p>
    <w:p w14:paraId="6D97680B" w14:textId="77777777" w:rsidR="007F2F7C" w:rsidRPr="007F2F7C" w:rsidRDefault="007F2F7C" w:rsidP="007F2F7C">
      <w:pPr>
        <w:tabs>
          <w:tab w:val="left" w:pos="-720"/>
        </w:tabs>
        <w:suppressAutoHyphens/>
        <w:spacing w:line="240" w:lineRule="auto"/>
        <w:rPr>
          <w:spacing w:val="-3"/>
          <w:szCs w:val="24"/>
        </w:rPr>
      </w:pPr>
    </w:p>
    <w:p w14:paraId="5FF896C7" w14:textId="77777777" w:rsidR="001F365D" w:rsidRPr="007F2F7C" w:rsidRDefault="001F365D" w:rsidP="007F2F7C">
      <w:pPr>
        <w:spacing w:line="240" w:lineRule="auto"/>
        <w:rPr>
          <w:rFonts w:eastAsia="Calibri"/>
          <w:szCs w:val="24"/>
        </w:rPr>
      </w:pPr>
    </w:p>
    <w:p w14:paraId="5074200E" w14:textId="77777777" w:rsidR="002F739E" w:rsidRPr="007F2F7C" w:rsidRDefault="002F739E" w:rsidP="007F2F7C">
      <w:pPr>
        <w:tabs>
          <w:tab w:val="left" w:pos="0"/>
        </w:tabs>
        <w:spacing w:line="240" w:lineRule="auto"/>
        <w:jc w:val="both"/>
        <w:rPr>
          <w:b/>
          <w:szCs w:val="24"/>
        </w:rPr>
      </w:pPr>
    </w:p>
    <w:p w14:paraId="11FE93C1" w14:textId="77777777" w:rsidR="002F739E" w:rsidRPr="007F2F7C" w:rsidRDefault="002F739E" w:rsidP="007F2F7C">
      <w:pPr>
        <w:tabs>
          <w:tab w:val="left" w:pos="0"/>
        </w:tabs>
        <w:spacing w:line="240" w:lineRule="auto"/>
        <w:jc w:val="center"/>
        <w:rPr>
          <w:b/>
          <w:szCs w:val="24"/>
        </w:rPr>
      </w:pPr>
      <w:r w:rsidRPr="007F2F7C">
        <w:rPr>
          <w:b/>
          <w:szCs w:val="24"/>
        </w:rPr>
        <w:t>INTERIM ORDER</w:t>
      </w:r>
    </w:p>
    <w:p w14:paraId="6E76FE58" w14:textId="77777777" w:rsidR="002F739E" w:rsidRPr="007F2F7C" w:rsidRDefault="002F739E" w:rsidP="007F2F7C">
      <w:pPr>
        <w:tabs>
          <w:tab w:val="left" w:pos="0"/>
        </w:tabs>
        <w:spacing w:line="240" w:lineRule="auto"/>
        <w:jc w:val="center"/>
        <w:rPr>
          <w:b/>
          <w:szCs w:val="24"/>
        </w:rPr>
      </w:pPr>
      <w:r w:rsidRPr="007F2F7C">
        <w:rPr>
          <w:b/>
          <w:szCs w:val="24"/>
        </w:rPr>
        <w:t>GRANTING IN PART AND DENYING IN PART</w:t>
      </w:r>
    </w:p>
    <w:p w14:paraId="66086EC0" w14:textId="588FD8B7" w:rsidR="002F739E" w:rsidRPr="007F2F7C" w:rsidRDefault="002F739E" w:rsidP="007F2F7C">
      <w:pPr>
        <w:tabs>
          <w:tab w:val="left" w:pos="0"/>
        </w:tabs>
        <w:spacing w:line="240" w:lineRule="auto"/>
        <w:jc w:val="center"/>
        <w:rPr>
          <w:b/>
          <w:szCs w:val="24"/>
          <w:u w:val="single"/>
        </w:rPr>
      </w:pPr>
      <w:r w:rsidRPr="005666AD">
        <w:rPr>
          <w:b/>
          <w:szCs w:val="24"/>
        </w:rPr>
        <w:t xml:space="preserve">PRELIMINARY OBJECTIONS OF </w:t>
      </w:r>
      <w:r w:rsidR="004828D5" w:rsidRPr="005666AD">
        <w:rPr>
          <w:b/>
          <w:szCs w:val="24"/>
        </w:rPr>
        <w:t xml:space="preserve">PENNSYLVANIA-AMERICAN WATER </w:t>
      </w:r>
      <w:r w:rsidR="00674234" w:rsidRPr="005666AD">
        <w:rPr>
          <w:b/>
          <w:szCs w:val="24"/>
        </w:rPr>
        <w:t>COMPANY AND UPPER POTTSGROVE TOWNSHIP</w:t>
      </w:r>
      <w:r w:rsidR="00EA7783" w:rsidRPr="005666AD">
        <w:rPr>
          <w:b/>
          <w:szCs w:val="24"/>
        </w:rPr>
        <w:t xml:space="preserve"> </w:t>
      </w:r>
      <w:r w:rsidR="001F3836" w:rsidRPr="005666AD">
        <w:rPr>
          <w:b/>
          <w:szCs w:val="24"/>
        </w:rPr>
        <w:t xml:space="preserve">TO THE JOINT PROTEST </w:t>
      </w:r>
      <w:r w:rsidR="00006353" w:rsidRPr="005666AD">
        <w:rPr>
          <w:b/>
          <w:szCs w:val="24"/>
        </w:rPr>
        <w:t>OF</w:t>
      </w:r>
      <w:r w:rsidR="00006353" w:rsidRPr="007F2F7C">
        <w:rPr>
          <w:b/>
          <w:szCs w:val="24"/>
          <w:u w:val="single"/>
        </w:rPr>
        <w:t xml:space="preserve"> POTTSTOWN </w:t>
      </w:r>
      <w:r w:rsidR="00FB5E16" w:rsidRPr="007F2F7C">
        <w:rPr>
          <w:b/>
          <w:szCs w:val="24"/>
          <w:u w:val="single"/>
        </w:rPr>
        <w:t xml:space="preserve">BOROUGH AUTHORITY AND THE BOROUGH OF </w:t>
      </w:r>
      <w:r w:rsidR="00DE6DFC" w:rsidRPr="007F2F7C">
        <w:rPr>
          <w:b/>
          <w:szCs w:val="24"/>
          <w:u w:val="single"/>
        </w:rPr>
        <w:t>POTTSTOWN</w:t>
      </w:r>
      <w:r w:rsidR="00674234" w:rsidRPr="007F2F7C">
        <w:rPr>
          <w:b/>
          <w:szCs w:val="24"/>
          <w:u w:val="single"/>
        </w:rPr>
        <w:t xml:space="preserve"> </w:t>
      </w:r>
    </w:p>
    <w:p w14:paraId="4E08294B" w14:textId="77777777" w:rsidR="006659AC" w:rsidRPr="007F2F7C" w:rsidRDefault="002F739E" w:rsidP="007F2F7C">
      <w:pPr>
        <w:rPr>
          <w:szCs w:val="24"/>
        </w:rPr>
      </w:pPr>
      <w:r w:rsidRPr="007F2F7C">
        <w:rPr>
          <w:szCs w:val="24"/>
        </w:rPr>
        <w:tab/>
      </w:r>
      <w:r w:rsidRPr="007F2F7C">
        <w:rPr>
          <w:szCs w:val="24"/>
        </w:rPr>
        <w:tab/>
      </w:r>
    </w:p>
    <w:p w14:paraId="6B65A171" w14:textId="32618479" w:rsidR="006659AC" w:rsidRPr="007F2F7C" w:rsidRDefault="00594224" w:rsidP="007F2F7C">
      <w:pPr>
        <w:rPr>
          <w:szCs w:val="24"/>
          <w:u w:val="single"/>
        </w:rPr>
      </w:pPr>
      <w:r w:rsidRPr="007F2F7C">
        <w:rPr>
          <w:szCs w:val="24"/>
          <w:u w:val="single"/>
        </w:rPr>
        <w:t>Background</w:t>
      </w:r>
    </w:p>
    <w:p w14:paraId="6223D605" w14:textId="13D66346" w:rsidR="00594224" w:rsidRPr="007F2F7C" w:rsidRDefault="00594224" w:rsidP="007F2F7C">
      <w:pPr>
        <w:rPr>
          <w:szCs w:val="24"/>
          <w:u w:val="single"/>
        </w:rPr>
      </w:pPr>
    </w:p>
    <w:p w14:paraId="1AD084D6" w14:textId="31F10ED5" w:rsidR="00594224" w:rsidRPr="007F2F7C" w:rsidRDefault="00594224" w:rsidP="007F2F7C">
      <w:pPr>
        <w:tabs>
          <w:tab w:val="left" w:pos="-720"/>
        </w:tabs>
        <w:suppressAutoHyphens/>
        <w:autoSpaceDE w:val="0"/>
        <w:autoSpaceDN w:val="0"/>
        <w:ind w:firstLine="1440"/>
        <w:rPr>
          <w:szCs w:val="24"/>
        </w:rPr>
      </w:pPr>
      <w:r w:rsidRPr="007F2F7C">
        <w:rPr>
          <w:szCs w:val="24"/>
        </w:rPr>
        <w:t>On April 14, 2021, the Commission accepted</w:t>
      </w:r>
      <w:r w:rsidR="00DE6DFC" w:rsidRPr="007F2F7C">
        <w:rPr>
          <w:szCs w:val="24"/>
        </w:rPr>
        <w:t xml:space="preserve"> the filing of </w:t>
      </w:r>
      <w:r w:rsidRPr="007F2F7C">
        <w:rPr>
          <w:szCs w:val="24"/>
        </w:rPr>
        <w:t xml:space="preserve">an Application of Pennsylvania-American Water Company – Wastewater Division (PAWC-WD), under Sections 1102 and 1329 of the Pennsylvania Public Utility Code, 66 Pa C.S. §§ 1102(a) and 1329 (relating to enumeration of acts requiring certificate and valuation of acquired water and wastewater systems), for approval of: (1) the transfer, by sale, of substantially all of the </w:t>
      </w:r>
      <w:r w:rsidRPr="007F2F7C">
        <w:rPr>
          <w:szCs w:val="24"/>
        </w:rPr>
        <w:lastRenderedPageBreak/>
        <w:t xml:space="preserve">wastewater system assets, properties and rights of Upper Pottsgrove Township related to its wastewater collection and conveyance system; (2) the right of PAWC-WD to begin to offer or furnish wastewater service to the public in Upper Providence Township, Montgomery County, and a portion of Douglass Township, Berks County, Pennsylvania; and (3) the use for ratemaking purposes of the lesser fair market value or the negotiated purchase price of the Upper Pottsgrove Township assets related to its wastewater collection and treatment system. </w:t>
      </w:r>
      <w:r w:rsidR="007F2F7C" w:rsidRPr="007F2F7C">
        <w:rPr>
          <w:szCs w:val="24"/>
        </w:rPr>
        <w:t xml:space="preserve"> </w:t>
      </w:r>
      <w:r w:rsidRPr="007F2F7C">
        <w:rPr>
          <w:szCs w:val="24"/>
        </w:rPr>
        <w:t>The Application was filed at Docket Number:  A</w:t>
      </w:r>
      <w:r w:rsidRPr="007F2F7C">
        <w:rPr>
          <w:szCs w:val="24"/>
        </w:rPr>
        <w:noBreakHyphen/>
        <w:t>2020</w:t>
      </w:r>
      <w:r w:rsidRPr="007F2F7C">
        <w:rPr>
          <w:szCs w:val="24"/>
        </w:rPr>
        <w:noBreakHyphen/>
        <w:t>3021460.</w:t>
      </w:r>
    </w:p>
    <w:p w14:paraId="1BF8DD0D" w14:textId="77777777" w:rsidR="00594224" w:rsidRPr="007F2F7C" w:rsidRDefault="00594224" w:rsidP="007F2F7C">
      <w:pPr>
        <w:tabs>
          <w:tab w:val="left" w:pos="-720"/>
        </w:tabs>
        <w:suppressAutoHyphens/>
        <w:autoSpaceDE w:val="0"/>
        <w:autoSpaceDN w:val="0"/>
        <w:ind w:firstLine="1440"/>
        <w:rPr>
          <w:szCs w:val="24"/>
        </w:rPr>
      </w:pPr>
    </w:p>
    <w:p w14:paraId="3544FE09" w14:textId="77777777" w:rsidR="00594224" w:rsidRPr="007F2F7C" w:rsidRDefault="00594224" w:rsidP="007F2F7C">
      <w:pPr>
        <w:tabs>
          <w:tab w:val="left" w:pos="-720"/>
        </w:tabs>
        <w:suppressAutoHyphens/>
        <w:autoSpaceDE w:val="0"/>
        <w:autoSpaceDN w:val="0"/>
        <w:ind w:firstLine="1440"/>
        <w:rPr>
          <w:szCs w:val="24"/>
        </w:rPr>
      </w:pPr>
      <w:r w:rsidRPr="007F2F7C">
        <w:rPr>
          <w:szCs w:val="24"/>
        </w:rPr>
        <w:t>On April 14, 2021, a Secretarial Letter was issued requiring the publishing of Notice in the Pennsylvania Bulletin on May 1, 2021 and setting a deadline to file Protests by May 17, 2021.</w:t>
      </w:r>
    </w:p>
    <w:p w14:paraId="32D26F98" w14:textId="77777777" w:rsidR="00594224" w:rsidRPr="007F2F7C" w:rsidRDefault="00594224" w:rsidP="007F2F7C">
      <w:pPr>
        <w:tabs>
          <w:tab w:val="left" w:pos="-720"/>
        </w:tabs>
        <w:suppressAutoHyphens/>
        <w:autoSpaceDE w:val="0"/>
        <w:autoSpaceDN w:val="0"/>
        <w:ind w:firstLine="1440"/>
        <w:rPr>
          <w:szCs w:val="24"/>
        </w:rPr>
      </w:pPr>
    </w:p>
    <w:p w14:paraId="4E0FE944" w14:textId="77777777" w:rsidR="00594224" w:rsidRPr="007F2F7C" w:rsidRDefault="00594224" w:rsidP="007F2F7C">
      <w:pPr>
        <w:tabs>
          <w:tab w:val="left" w:pos="-720"/>
        </w:tabs>
        <w:suppressAutoHyphens/>
        <w:autoSpaceDE w:val="0"/>
        <w:autoSpaceDN w:val="0"/>
        <w:ind w:firstLine="1440"/>
        <w:rPr>
          <w:szCs w:val="24"/>
        </w:rPr>
      </w:pPr>
      <w:r w:rsidRPr="007F2F7C">
        <w:rPr>
          <w:szCs w:val="24"/>
        </w:rPr>
        <w:t>On April 15, 2021, the Commission issued a Telephonic Prehearing Conference Notice scheduling a prehearing conference for 10:00 a.m. on May 19, 2021.</w:t>
      </w:r>
    </w:p>
    <w:p w14:paraId="5374C7BE" w14:textId="77777777" w:rsidR="00594224" w:rsidRPr="007F2F7C" w:rsidRDefault="00594224" w:rsidP="007F2F7C">
      <w:pPr>
        <w:tabs>
          <w:tab w:val="left" w:pos="-720"/>
        </w:tabs>
        <w:suppressAutoHyphens/>
        <w:autoSpaceDE w:val="0"/>
        <w:autoSpaceDN w:val="0"/>
        <w:ind w:firstLine="1440"/>
        <w:rPr>
          <w:szCs w:val="24"/>
        </w:rPr>
      </w:pPr>
    </w:p>
    <w:p w14:paraId="421FAF65" w14:textId="77777777" w:rsidR="00594224" w:rsidRPr="007F2F7C" w:rsidRDefault="00594224" w:rsidP="007F2F7C">
      <w:pPr>
        <w:tabs>
          <w:tab w:val="left" w:pos="-720"/>
        </w:tabs>
        <w:suppressAutoHyphens/>
        <w:autoSpaceDE w:val="0"/>
        <w:autoSpaceDN w:val="0"/>
        <w:ind w:firstLine="1440"/>
        <w:rPr>
          <w:szCs w:val="24"/>
        </w:rPr>
      </w:pPr>
      <w:r w:rsidRPr="007F2F7C">
        <w:rPr>
          <w:szCs w:val="24"/>
        </w:rPr>
        <w:t>On April 15, 2021, a Prehearing Conference Order was issued scheduling a Prehearing Conference for May 19, 2021 at 10 a.m.</w:t>
      </w:r>
    </w:p>
    <w:p w14:paraId="54989AB2" w14:textId="77777777" w:rsidR="00594224" w:rsidRPr="007F2F7C" w:rsidRDefault="00594224" w:rsidP="007F2F7C">
      <w:pPr>
        <w:tabs>
          <w:tab w:val="left" w:pos="-720"/>
        </w:tabs>
        <w:suppressAutoHyphens/>
        <w:autoSpaceDE w:val="0"/>
        <w:autoSpaceDN w:val="0"/>
        <w:ind w:firstLine="1440"/>
        <w:rPr>
          <w:szCs w:val="24"/>
        </w:rPr>
      </w:pPr>
    </w:p>
    <w:p w14:paraId="7D7372CE" w14:textId="77777777" w:rsidR="00594224" w:rsidRPr="007F2F7C" w:rsidRDefault="00594224" w:rsidP="007F2F7C">
      <w:pPr>
        <w:tabs>
          <w:tab w:val="left" w:pos="-720"/>
        </w:tabs>
        <w:suppressAutoHyphens/>
        <w:autoSpaceDE w:val="0"/>
        <w:autoSpaceDN w:val="0"/>
        <w:ind w:firstLine="1440"/>
        <w:rPr>
          <w:szCs w:val="24"/>
        </w:rPr>
      </w:pPr>
      <w:r w:rsidRPr="007F2F7C">
        <w:rPr>
          <w:szCs w:val="24"/>
        </w:rPr>
        <w:t>On April 26, 2021, a Petition to Intervene was filed by Upper Pottsgrove Township.  No objections were filed to this Petition to Intervene.</w:t>
      </w:r>
    </w:p>
    <w:p w14:paraId="5108485D" w14:textId="77777777" w:rsidR="00594224" w:rsidRPr="007F2F7C" w:rsidRDefault="00594224" w:rsidP="007F2F7C">
      <w:pPr>
        <w:tabs>
          <w:tab w:val="left" w:pos="-720"/>
        </w:tabs>
        <w:suppressAutoHyphens/>
        <w:autoSpaceDE w:val="0"/>
        <w:autoSpaceDN w:val="0"/>
        <w:ind w:firstLine="1440"/>
        <w:rPr>
          <w:szCs w:val="24"/>
        </w:rPr>
      </w:pPr>
    </w:p>
    <w:p w14:paraId="45CCF79E" w14:textId="07D2C5F1" w:rsidR="00594224" w:rsidRPr="007F2F7C" w:rsidRDefault="00594224" w:rsidP="007F2F7C">
      <w:pPr>
        <w:tabs>
          <w:tab w:val="left" w:pos="-720"/>
        </w:tabs>
        <w:suppressAutoHyphens/>
        <w:autoSpaceDE w:val="0"/>
        <w:autoSpaceDN w:val="0"/>
        <w:ind w:firstLine="1440"/>
        <w:rPr>
          <w:spacing w:val="-3"/>
          <w:szCs w:val="24"/>
        </w:rPr>
      </w:pPr>
      <w:r w:rsidRPr="007F2F7C">
        <w:rPr>
          <w:spacing w:val="-3"/>
          <w:szCs w:val="24"/>
        </w:rPr>
        <w:t>On May 14, 2021, Shadeland Development Corporation filed a Petition to Intervene in the proceeding.  Joint Preliminary Objections were filed by Pennsylvania – American Water Company (PAWC or Company) and Upper Pottsgrove Township (</w:t>
      </w:r>
      <w:r w:rsidR="009167C6" w:rsidRPr="007F2F7C">
        <w:rPr>
          <w:spacing w:val="-3"/>
          <w:szCs w:val="24"/>
        </w:rPr>
        <w:t xml:space="preserve">UP </w:t>
      </w:r>
      <w:r w:rsidR="00F10356" w:rsidRPr="007F2F7C">
        <w:rPr>
          <w:spacing w:val="-3"/>
          <w:szCs w:val="24"/>
        </w:rPr>
        <w:t xml:space="preserve">or </w:t>
      </w:r>
      <w:r w:rsidRPr="007F2F7C">
        <w:rPr>
          <w:spacing w:val="-3"/>
          <w:szCs w:val="24"/>
        </w:rPr>
        <w:t>Township) on May 18, 2021.</w:t>
      </w:r>
    </w:p>
    <w:p w14:paraId="4E827AC0" w14:textId="36799C28" w:rsidR="00594224" w:rsidRPr="007F2F7C" w:rsidRDefault="00594224" w:rsidP="007F2F7C">
      <w:pPr>
        <w:tabs>
          <w:tab w:val="left" w:pos="-720"/>
        </w:tabs>
        <w:suppressAutoHyphens/>
        <w:autoSpaceDE w:val="0"/>
        <w:autoSpaceDN w:val="0"/>
        <w:ind w:firstLine="1440"/>
        <w:rPr>
          <w:spacing w:val="-3"/>
          <w:szCs w:val="24"/>
        </w:rPr>
      </w:pPr>
      <w:r w:rsidRPr="007F2F7C">
        <w:rPr>
          <w:spacing w:val="-3"/>
          <w:szCs w:val="24"/>
        </w:rPr>
        <w:t>On May 14, 2021, Pottstown Borough Authority (Authority) and the Borough of Pottstown (Borough) filed Protests in the proceeding.  Joint Preliminary Objections were filed by Pennsylvania – American Water Company</w:t>
      </w:r>
      <w:r w:rsidR="00F10356" w:rsidRPr="007F2F7C">
        <w:rPr>
          <w:spacing w:val="-3"/>
          <w:szCs w:val="24"/>
        </w:rPr>
        <w:t xml:space="preserve"> </w:t>
      </w:r>
      <w:r w:rsidRPr="007F2F7C">
        <w:rPr>
          <w:spacing w:val="-3"/>
          <w:szCs w:val="24"/>
        </w:rPr>
        <w:t>and Upper Pottsgrove Township on May 18, 2021.</w:t>
      </w:r>
    </w:p>
    <w:p w14:paraId="28203FD8" w14:textId="77777777" w:rsidR="00594224" w:rsidRPr="007F2F7C" w:rsidRDefault="00594224" w:rsidP="007F2F7C">
      <w:pPr>
        <w:tabs>
          <w:tab w:val="left" w:pos="-720"/>
        </w:tabs>
        <w:suppressAutoHyphens/>
        <w:autoSpaceDE w:val="0"/>
        <w:autoSpaceDN w:val="0"/>
        <w:ind w:firstLine="1440"/>
        <w:rPr>
          <w:spacing w:val="-3"/>
          <w:szCs w:val="24"/>
        </w:rPr>
      </w:pPr>
    </w:p>
    <w:p w14:paraId="783E0EB7" w14:textId="3D26CDEC" w:rsidR="00594224" w:rsidRDefault="00594224" w:rsidP="007F2F7C">
      <w:pPr>
        <w:ind w:firstLine="720"/>
        <w:rPr>
          <w:szCs w:val="24"/>
        </w:rPr>
      </w:pPr>
      <w:r w:rsidRPr="007F2F7C">
        <w:rPr>
          <w:szCs w:val="24"/>
        </w:rPr>
        <w:lastRenderedPageBreak/>
        <w:tab/>
        <w:t xml:space="preserve">A prehearing conference was held on May 19,  2021 as scheduled.  PAWC, the Township, and the Authority and Borough, I &amp; E, OCA, OSBA, and Shadeland Development Corporation were represented by counsel.      </w:t>
      </w:r>
    </w:p>
    <w:p w14:paraId="14B69D3F" w14:textId="77777777" w:rsidR="007D400C" w:rsidRPr="007F2F7C" w:rsidRDefault="007D400C" w:rsidP="007F2F7C">
      <w:pPr>
        <w:ind w:firstLine="720"/>
        <w:rPr>
          <w:szCs w:val="24"/>
        </w:rPr>
      </w:pPr>
    </w:p>
    <w:p w14:paraId="257CD36C" w14:textId="20229E21" w:rsidR="00594224" w:rsidRPr="007F2F7C" w:rsidRDefault="00594224" w:rsidP="007F2F7C">
      <w:pPr>
        <w:tabs>
          <w:tab w:val="left" w:pos="-720"/>
        </w:tabs>
        <w:suppressAutoHyphens/>
        <w:autoSpaceDE w:val="0"/>
        <w:autoSpaceDN w:val="0"/>
        <w:ind w:firstLine="1440"/>
        <w:rPr>
          <w:spacing w:val="-3"/>
          <w:szCs w:val="24"/>
        </w:rPr>
      </w:pPr>
      <w:r w:rsidRPr="007F2F7C">
        <w:rPr>
          <w:szCs w:val="24"/>
        </w:rPr>
        <w:t xml:space="preserve">With regard to the Petition to Intervene filed on </w:t>
      </w:r>
      <w:r w:rsidRPr="007F2F7C">
        <w:rPr>
          <w:spacing w:val="-3"/>
          <w:szCs w:val="24"/>
        </w:rPr>
        <w:t>May 14, 2021, by Shadeland Development Corporation</w:t>
      </w:r>
      <w:r w:rsidR="00E80B8B" w:rsidRPr="007F2F7C">
        <w:rPr>
          <w:spacing w:val="-3"/>
          <w:szCs w:val="24"/>
        </w:rPr>
        <w:t xml:space="preserve"> (Shadeland or Shadeland Development)</w:t>
      </w:r>
      <w:r w:rsidRPr="007F2F7C">
        <w:rPr>
          <w:spacing w:val="-3"/>
          <w:szCs w:val="24"/>
        </w:rPr>
        <w:t xml:space="preserve"> and the Protests filed by </w:t>
      </w:r>
      <w:r w:rsidR="00426EFE" w:rsidRPr="007F2F7C">
        <w:rPr>
          <w:spacing w:val="-3"/>
          <w:szCs w:val="24"/>
        </w:rPr>
        <w:t xml:space="preserve">the </w:t>
      </w:r>
      <w:r w:rsidRPr="007F2F7C">
        <w:rPr>
          <w:spacing w:val="-3"/>
          <w:szCs w:val="24"/>
        </w:rPr>
        <w:t>Authority and the Borough</w:t>
      </w:r>
      <w:r w:rsidR="005D412F" w:rsidRPr="007F2F7C">
        <w:rPr>
          <w:spacing w:val="-3"/>
          <w:szCs w:val="24"/>
        </w:rPr>
        <w:t xml:space="preserve">, </w:t>
      </w:r>
      <w:r w:rsidRPr="007F2F7C">
        <w:rPr>
          <w:spacing w:val="-3"/>
          <w:szCs w:val="24"/>
        </w:rPr>
        <w:t xml:space="preserve"> the Borough</w:t>
      </w:r>
      <w:r w:rsidR="00AF236C" w:rsidRPr="007F2F7C">
        <w:rPr>
          <w:spacing w:val="-3"/>
          <w:szCs w:val="24"/>
        </w:rPr>
        <w:t xml:space="preserve">, </w:t>
      </w:r>
      <w:r w:rsidRPr="007F2F7C">
        <w:rPr>
          <w:spacing w:val="-3"/>
          <w:szCs w:val="24"/>
        </w:rPr>
        <w:t xml:space="preserve"> Authority and </w:t>
      </w:r>
      <w:r w:rsidR="00AF236C" w:rsidRPr="007F2F7C">
        <w:rPr>
          <w:spacing w:val="-3"/>
          <w:szCs w:val="24"/>
        </w:rPr>
        <w:t xml:space="preserve">Shadeland </w:t>
      </w:r>
      <w:r w:rsidRPr="007F2F7C">
        <w:rPr>
          <w:spacing w:val="-3"/>
          <w:szCs w:val="24"/>
        </w:rPr>
        <w:t xml:space="preserve">were </w:t>
      </w:r>
      <w:r w:rsidR="00D44E65">
        <w:rPr>
          <w:spacing w:val="-3"/>
          <w:szCs w:val="24"/>
        </w:rPr>
        <w:t xml:space="preserve">advised  that they were </w:t>
      </w:r>
      <w:r w:rsidR="009B32A4" w:rsidRPr="007F2F7C">
        <w:rPr>
          <w:spacing w:val="-3"/>
          <w:szCs w:val="24"/>
        </w:rPr>
        <w:t>permitted t</w:t>
      </w:r>
      <w:r w:rsidRPr="007F2F7C">
        <w:rPr>
          <w:spacing w:val="-3"/>
          <w:szCs w:val="24"/>
        </w:rPr>
        <w:t xml:space="preserve">o file responsive pleadings to the Preliminary Objections filed by PAWC and the Township by the close of business on Friday, May 21, 2021.  </w:t>
      </w:r>
      <w:r w:rsidR="009B32A4" w:rsidRPr="007F2F7C">
        <w:rPr>
          <w:spacing w:val="-3"/>
          <w:szCs w:val="24"/>
        </w:rPr>
        <w:t xml:space="preserve">PAWC and the </w:t>
      </w:r>
      <w:r w:rsidRPr="007F2F7C">
        <w:rPr>
          <w:spacing w:val="-3"/>
          <w:szCs w:val="24"/>
        </w:rPr>
        <w:t xml:space="preserve">Township </w:t>
      </w:r>
      <w:r w:rsidR="0029010F" w:rsidRPr="007F2F7C">
        <w:rPr>
          <w:spacing w:val="-3"/>
          <w:szCs w:val="24"/>
        </w:rPr>
        <w:t xml:space="preserve">were </w:t>
      </w:r>
      <w:r w:rsidRPr="007F2F7C">
        <w:rPr>
          <w:spacing w:val="-3"/>
          <w:szCs w:val="24"/>
        </w:rPr>
        <w:t>permitted to file a response not later than Monday, May 24, 2021 at noon.  A Prehearing Order was entered on May 20, 2021 confirming these deadlines.</w:t>
      </w:r>
    </w:p>
    <w:p w14:paraId="2E6DCFAC" w14:textId="77777777" w:rsidR="0029010F" w:rsidRPr="007F2F7C" w:rsidRDefault="0029010F" w:rsidP="007F2F7C">
      <w:pPr>
        <w:tabs>
          <w:tab w:val="left" w:pos="-720"/>
        </w:tabs>
        <w:suppressAutoHyphens/>
        <w:autoSpaceDE w:val="0"/>
        <w:autoSpaceDN w:val="0"/>
        <w:rPr>
          <w:spacing w:val="-3"/>
          <w:szCs w:val="24"/>
          <w:u w:val="single"/>
        </w:rPr>
      </w:pPr>
    </w:p>
    <w:p w14:paraId="40C799E5" w14:textId="37CF7FFD" w:rsidR="00594224" w:rsidRPr="007F2F7C" w:rsidRDefault="00064D3C" w:rsidP="007F2F7C">
      <w:pPr>
        <w:tabs>
          <w:tab w:val="left" w:pos="-720"/>
        </w:tabs>
        <w:suppressAutoHyphens/>
        <w:autoSpaceDE w:val="0"/>
        <w:autoSpaceDN w:val="0"/>
        <w:rPr>
          <w:spacing w:val="-3"/>
          <w:szCs w:val="24"/>
          <w:u w:val="single"/>
        </w:rPr>
      </w:pPr>
      <w:r w:rsidRPr="007F2F7C">
        <w:rPr>
          <w:spacing w:val="-3"/>
          <w:szCs w:val="24"/>
          <w:u w:val="single"/>
        </w:rPr>
        <w:t xml:space="preserve">Pottstown Borough Authority and Borough of Pottstown </w:t>
      </w:r>
      <w:r w:rsidR="00866B53" w:rsidRPr="007F2F7C">
        <w:rPr>
          <w:spacing w:val="-3"/>
          <w:szCs w:val="24"/>
          <w:u w:val="single"/>
        </w:rPr>
        <w:t xml:space="preserve">Joint </w:t>
      </w:r>
      <w:r w:rsidRPr="007F2F7C">
        <w:rPr>
          <w:spacing w:val="-3"/>
          <w:szCs w:val="24"/>
          <w:u w:val="single"/>
        </w:rPr>
        <w:t>Protests</w:t>
      </w:r>
    </w:p>
    <w:p w14:paraId="044CAD90" w14:textId="77777777" w:rsidR="00064D3C" w:rsidRPr="007F2F7C" w:rsidRDefault="00064D3C" w:rsidP="007F2F7C">
      <w:pPr>
        <w:tabs>
          <w:tab w:val="left" w:pos="-720"/>
        </w:tabs>
        <w:suppressAutoHyphens/>
        <w:autoSpaceDE w:val="0"/>
        <w:autoSpaceDN w:val="0"/>
        <w:ind w:firstLine="1440"/>
        <w:rPr>
          <w:spacing w:val="-3"/>
          <w:szCs w:val="24"/>
          <w:u w:val="single"/>
        </w:rPr>
      </w:pPr>
    </w:p>
    <w:p w14:paraId="6B8FDCA3" w14:textId="2390DAA4" w:rsidR="00647BE3" w:rsidRPr="007F2F7C" w:rsidRDefault="00594224" w:rsidP="007F2F7C">
      <w:pPr>
        <w:tabs>
          <w:tab w:val="left" w:pos="-720"/>
        </w:tabs>
        <w:suppressAutoHyphens/>
        <w:autoSpaceDE w:val="0"/>
        <w:autoSpaceDN w:val="0"/>
        <w:ind w:firstLine="1440"/>
        <w:rPr>
          <w:color w:val="000000"/>
          <w:spacing w:val="-3"/>
          <w:szCs w:val="24"/>
        </w:rPr>
      </w:pPr>
      <w:r w:rsidRPr="007F2F7C">
        <w:rPr>
          <w:spacing w:val="-3"/>
          <w:szCs w:val="24"/>
        </w:rPr>
        <w:t xml:space="preserve">On May 14, 2021, </w:t>
      </w:r>
      <w:r w:rsidR="008A0760" w:rsidRPr="007F2F7C">
        <w:rPr>
          <w:spacing w:val="-3"/>
          <w:szCs w:val="24"/>
        </w:rPr>
        <w:t xml:space="preserve">the </w:t>
      </w:r>
      <w:r w:rsidRPr="007F2F7C">
        <w:rPr>
          <w:spacing w:val="-3"/>
          <w:szCs w:val="24"/>
        </w:rPr>
        <w:t xml:space="preserve">Authority and the Borough </w:t>
      </w:r>
      <w:r w:rsidR="004E57F3" w:rsidRPr="007F2F7C">
        <w:rPr>
          <w:spacing w:val="-3"/>
          <w:szCs w:val="24"/>
        </w:rPr>
        <w:t>(collectively Joint Protestants</w:t>
      </w:r>
      <w:r w:rsidR="00B860DA" w:rsidRPr="007F2F7C">
        <w:rPr>
          <w:spacing w:val="-3"/>
          <w:szCs w:val="24"/>
        </w:rPr>
        <w:t xml:space="preserve">) </w:t>
      </w:r>
      <w:r w:rsidRPr="007F2F7C">
        <w:rPr>
          <w:spacing w:val="-3"/>
          <w:szCs w:val="24"/>
        </w:rPr>
        <w:t>filed Protests in the proceeding.  The Authority and Borough averred</w:t>
      </w:r>
      <w:r w:rsidR="00640994" w:rsidRPr="007F2F7C">
        <w:rPr>
          <w:spacing w:val="-3"/>
          <w:szCs w:val="24"/>
        </w:rPr>
        <w:t xml:space="preserve"> that</w:t>
      </w:r>
      <w:r w:rsidR="00790C4B" w:rsidRPr="007F2F7C">
        <w:rPr>
          <w:spacing w:val="-3"/>
          <w:szCs w:val="24"/>
        </w:rPr>
        <w:t xml:space="preserve"> t</w:t>
      </w:r>
      <w:r w:rsidRPr="007F2F7C">
        <w:rPr>
          <w:color w:val="000000"/>
          <w:szCs w:val="24"/>
        </w:rPr>
        <w:t>he existing wastewater system subject to PAWC-WD’s Application flows to an interceptor for treatment at the Authority’s sewage treatment plant (STP) in which Upper Pottsgrove Township has purchased 670,100 gpd of bulk wastewater treatment capacity pursuant to a Sewage Treatment Service Agreement dated September 13, 2004</w:t>
      </w:r>
      <w:r w:rsidR="00790C4B" w:rsidRPr="007F2F7C">
        <w:rPr>
          <w:color w:val="000000"/>
          <w:szCs w:val="24"/>
        </w:rPr>
        <w:t>,</w:t>
      </w:r>
      <w:r w:rsidRPr="007F2F7C">
        <w:rPr>
          <w:color w:val="000000"/>
          <w:szCs w:val="24"/>
        </w:rPr>
        <w:t xml:space="preserve"> between Upper Pottsgrove Township, the Authority and the Borough (STSA).</w:t>
      </w:r>
      <w:r w:rsidR="00790C4B" w:rsidRPr="007F2F7C">
        <w:rPr>
          <w:rStyle w:val="FootnoteReference"/>
          <w:color w:val="000000"/>
          <w:szCs w:val="24"/>
        </w:rPr>
        <w:footnoteReference w:id="1"/>
      </w:r>
      <w:r w:rsidRPr="007F2F7C">
        <w:rPr>
          <w:color w:val="000000"/>
          <w:szCs w:val="24"/>
        </w:rPr>
        <w:t xml:space="preserve">  </w:t>
      </w:r>
      <w:r w:rsidR="005157DA" w:rsidRPr="007F2F7C">
        <w:rPr>
          <w:color w:val="000000"/>
          <w:szCs w:val="24"/>
        </w:rPr>
        <w:t xml:space="preserve">The Joint Protestants aver that the </w:t>
      </w:r>
      <w:r w:rsidRPr="007F2F7C">
        <w:rPr>
          <w:color w:val="000000"/>
          <w:szCs w:val="24"/>
        </w:rPr>
        <w:t>Application proposes that Upper Pottsgrove will assign the STSA to PAWC-WD upon closing</w:t>
      </w:r>
      <w:r w:rsidR="003B4024" w:rsidRPr="007F2F7C">
        <w:rPr>
          <w:color w:val="000000"/>
          <w:szCs w:val="24"/>
        </w:rPr>
        <w:t xml:space="preserve"> and that </w:t>
      </w:r>
      <w:r w:rsidRPr="007F2F7C">
        <w:rPr>
          <w:color w:val="000000"/>
          <w:spacing w:val="-3"/>
          <w:szCs w:val="24"/>
        </w:rPr>
        <w:t>Section 10.10 of the STSA prohibits the assignment of the STSA to PAWC-WB without the consent of the Authority and the Borough, thus leaving PAWC-WB without an agreement to treat its collected wastewater absent the consent of the Authority and the Borough.</w:t>
      </w:r>
      <w:r w:rsidR="003B4024" w:rsidRPr="007F2F7C">
        <w:rPr>
          <w:rStyle w:val="FootnoteReference"/>
          <w:color w:val="000000"/>
          <w:spacing w:val="-3"/>
          <w:szCs w:val="24"/>
        </w:rPr>
        <w:footnoteReference w:id="2"/>
      </w:r>
      <w:r w:rsidRPr="007F2F7C">
        <w:rPr>
          <w:color w:val="000000"/>
          <w:spacing w:val="-3"/>
          <w:szCs w:val="24"/>
        </w:rPr>
        <w:t xml:space="preserve">  </w:t>
      </w:r>
    </w:p>
    <w:p w14:paraId="51AB01FB" w14:textId="77777777" w:rsidR="00647BE3" w:rsidRPr="007F2F7C" w:rsidRDefault="00647BE3" w:rsidP="007F2F7C">
      <w:pPr>
        <w:tabs>
          <w:tab w:val="left" w:pos="-720"/>
        </w:tabs>
        <w:suppressAutoHyphens/>
        <w:autoSpaceDE w:val="0"/>
        <w:autoSpaceDN w:val="0"/>
        <w:ind w:firstLine="1440"/>
        <w:rPr>
          <w:color w:val="000000"/>
          <w:spacing w:val="-3"/>
          <w:szCs w:val="24"/>
        </w:rPr>
      </w:pPr>
    </w:p>
    <w:p w14:paraId="592F94C0" w14:textId="4F6F5281" w:rsidR="00594224" w:rsidRPr="007F2F7C" w:rsidRDefault="00647BE3" w:rsidP="007F2F7C">
      <w:pPr>
        <w:tabs>
          <w:tab w:val="left" w:pos="-720"/>
        </w:tabs>
        <w:suppressAutoHyphens/>
        <w:autoSpaceDE w:val="0"/>
        <w:autoSpaceDN w:val="0"/>
        <w:ind w:firstLine="1440"/>
        <w:rPr>
          <w:color w:val="000000"/>
          <w:spacing w:val="-2"/>
          <w:szCs w:val="24"/>
        </w:rPr>
      </w:pPr>
      <w:r w:rsidRPr="007F2F7C">
        <w:rPr>
          <w:color w:val="000000"/>
          <w:spacing w:val="-3"/>
          <w:szCs w:val="24"/>
        </w:rPr>
        <w:t xml:space="preserve">The Joint Protestants aver that </w:t>
      </w:r>
      <w:r w:rsidR="00594224" w:rsidRPr="007F2F7C">
        <w:rPr>
          <w:color w:val="000000"/>
          <w:szCs w:val="24"/>
        </w:rPr>
        <w:t xml:space="preserve">the Authority undertook a project for sewer conveyance upgrades within the Borough </w:t>
      </w:r>
      <w:r w:rsidR="00615983" w:rsidRPr="007F2F7C">
        <w:rPr>
          <w:color w:val="000000"/>
          <w:szCs w:val="24"/>
        </w:rPr>
        <w:t xml:space="preserve">in 2013 </w:t>
      </w:r>
      <w:r w:rsidR="00594224" w:rsidRPr="007F2F7C">
        <w:rPr>
          <w:color w:val="000000"/>
          <w:szCs w:val="24"/>
        </w:rPr>
        <w:t xml:space="preserve">to replace existing pipe and install new siphon </w:t>
      </w:r>
      <w:r w:rsidR="00594224" w:rsidRPr="007F2F7C">
        <w:rPr>
          <w:color w:val="000000"/>
          <w:szCs w:val="24"/>
        </w:rPr>
        <w:lastRenderedPageBreak/>
        <w:t>boxes and pipe (Project)</w:t>
      </w:r>
      <w:r w:rsidR="00E07A93" w:rsidRPr="007F2F7C">
        <w:rPr>
          <w:color w:val="000000"/>
          <w:szCs w:val="24"/>
        </w:rPr>
        <w:t xml:space="preserve">, which was </w:t>
      </w:r>
      <w:r w:rsidR="00594224" w:rsidRPr="007F2F7C">
        <w:rPr>
          <w:color w:val="000000"/>
          <w:szCs w:val="24"/>
        </w:rPr>
        <w:t xml:space="preserve">necessary to increase the conveyancing capacity of the Upper Pottsgrove wastewater system to the STP for a residential development located within Upper Pottsgrove known as Coddington View and to meet other future customer demands for wastewater treatment services within </w:t>
      </w:r>
      <w:r w:rsidR="008C644F" w:rsidRPr="007F2F7C">
        <w:rPr>
          <w:color w:val="000000"/>
          <w:szCs w:val="24"/>
        </w:rPr>
        <w:t>the Township</w:t>
      </w:r>
      <w:r w:rsidR="00594224" w:rsidRPr="007F2F7C">
        <w:rPr>
          <w:color w:val="000000"/>
          <w:szCs w:val="24"/>
        </w:rPr>
        <w:t>.</w:t>
      </w:r>
      <w:r w:rsidR="006373FE" w:rsidRPr="007F2F7C">
        <w:rPr>
          <w:rStyle w:val="FootnoteReference"/>
          <w:color w:val="000000"/>
          <w:szCs w:val="24"/>
        </w:rPr>
        <w:footnoteReference w:id="3"/>
      </w:r>
      <w:r w:rsidR="00594224" w:rsidRPr="007F2F7C">
        <w:rPr>
          <w:color w:val="000000"/>
          <w:szCs w:val="24"/>
        </w:rPr>
        <w:t xml:space="preserve"> </w:t>
      </w:r>
      <w:r w:rsidR="006D74AD" w:rsidRPr="007F2F7C">
        <w:rPr>
          <w:color w:val="000000"/>
          <w:szCs w:val="24"/>
        </w:rPr>
        <w:t xml:space="preserve"> The </w:t>
      </w:r>
      <w:r w:rsidR="00846171" w:rsidRPr="007F2F7C">
        <w:rPr>
          <w:color w:val="000000"/>
          <w:szCs w:val="24"/>
        </w:rPr>
        <w:t xml:space="preserve">Joint Protestants further allege that the Township, </w:t>
      </w:r>
      <w:r w:rsidR="00594224" w:rsidRPr="007F2F7C">
        <w:rPr>
          <w:color w:val="000000"/>
          <w:szCs w:val="24"/>
        </w:rPr>
        <w:t>Authority and the Borough entered into a Settlement Agreement &amp; Release dated July 2, 2013 (Settlement Agreement), in which</w:t>
      </w:r>
      <w:r w:rsidR="008C644F" w:rsidRPr="007F2F7C">
        <w:rPr>
          <w:color w:val="000000"/>
          <w:szCs w:val="24"/>
        </w:rPr>
        <w:t xml:space="preserve"> the Township </w:t>
      </w:r>
      <w:r w:rsidR="00594224" w:rsidRPr="007F2F7C">
        <w:rPr>
          <w:color w:val="000000"/>
          <w:szCs w:val="24"/>
        </w:rPr>
        <w:t xml:space="preserve">agreed to make a $259,000.00 payment to the Authority, which would be ultimately expended for the Project.  </w:t>
      </w:r>
      <w:r w:rsidR="009318B2" w:rsidRPr="007F2F7C">
        <w:rPr>
          <w:color w:val="000000"/>
          <w:szCs w:val="24"/>
        </w:rPr>
        <w:t xml:space="preserve">The </w:t>
      </w:r>
      <w:r w:rsidR="00594224" w:rsidRPr="007F2F7C">
        <w:rPr>
          <w:color w:val="000000"/>
          <w:szCs w:val="24"/>
        </w:rPr>
        <w:t>Borough</w:t>
      </w:r>
      <w:r w:rsidR="009318B2" w:rsidRPr="007F2F7C">
        <w:rPr>
          <w:color w:val="000000"/>
          <w:szCs w:val="24"/>
        </w:rPr>
        <w:t xml:space="preserve"> and </w:t>
      </w:r>
      <w:r w:rsidR="00594224" w:rsidRPr="007F2F7C">
        <w:rPr>
          <w:color w:val="000000"/>
          <w:szCs w:val="24"/>
        </w:rPr>
        <w:t>Authority</w:t>
      </w:r>
      <w:r w:rsidR="0092520B" w:rsidRPr="007F2F7C">
        <w:rPr>
          <w:color w:val="000000"/>
          <w:szCs w:val="24"/>
        </w:rPr>
        <w:t xml:space="preserve"> aver that </w:t>
      </w:r>
      <w:r w:rsidR="00594224" w:rsidRPr="007F2F7C">
        <w:rPr>
          <w:color w:val="000000"/>
          <w:szCs w:val="24"/>
        </w:rPr>
        <w:t xml:space="preserve"> the</w:t>
      </w:r>
      <w:r w:rsidR="0092520B" w:rsidRPr="007F2F7C">
        <w:rPr>
          <w:color w:val="000000"/>
          <w:szCs w:val="24"/>
        </w:rPr>
        <w:t xml:space="preserve"> Settlement Agreement </w:t>
      </w:r>
      <w:r w:rsidR="008C1E47" w:rsidRPr="007F2F7C">
        <w:rPr>
          <w:color w:val="000000"/>
          <w:szCs w:val="24"/>
        </w:rPr>
        <w:t xml:space="preserve">provides that the </w:t>
      </w:r>
      <w:r w:rsidR="00594224" w:rsidRPr="007F2F7C">
        <w:rPr>
          <w:color w:val="000000"/>
          <w:szCs w:val="24"/>
        </w:rPr>
        <w:t>Authority “shall not be required to contribute any additional funds to and/or for the Project”</w:t>
      </w:r>
      <w:r w:rsidR="00665E1F" w:rsidRPr="007F2F7C">
        <w:rPr>
          <w:color w:val="000000"/>
          <w:szCs w:val="24"/>
        </w:rPr>
        <w:t xml:space="preserve">; </w:t>
      </w:r>
      <w:r w:rsidR="00594224" w:rsidRPr="007F2F7C">
        <w:rPr>
          <w:color w:val="000000"/>
          <w:szCs w:val="24"/>
        </w:rPr>
        <w:t>that</w:t>
      </w:r>
      <w:r w:rsidR="00665E1F" w:rsidRPr="007F2F7C">
        <w:rPr>
          <w:color w:val="000000"/>
          <w:szCs w:val="24"/>
        </w:rPr>
        <w:t xml:space="preserve"> the Authority would </w:t>
      </w:r>
      <w:r w:rsidR="00594224" w:rsidRPr="007F2F7C">
        <w:rPr>
          <w:color w:val="000000"/>
          <w:szCs w:val="24"/>
        </w:rPr>
        <w:t>be entitled to reimbursement, as permitted by the Authority’s Act, for any funds expended by the Authority to construct the Project for which the parties contemplate the execution of a mutually acceptable reimbursement agreement</w:t>
      </w:r>
      <w:r w:rsidR="00AD25F1" w:rsidRPr="007F2F7C">
        <w:rPr>
          <w:color w:val="000000"/>
          <w:szCs w:val="24"/>
        </w:rPr>
        <w:t>,</w:t>
      </w:r>
      <w:r w:rsidR="00594224" w:rsidRPr="007F2F7C">
        <w:rPr>
          <w:color w:val="000000"/>
          <w:szCs w:val="24"/>
        </w:rPr>
        <w:t>”</w:t>
      </w:r>
      <w:r w:rsidR="00AD25F1" w:rsidRPr="007F2F7C">
        <w:rPr>
          <w:color w:val="000000"/>
          <w:szCs w:val="24"/>
        </w:rPr>
        <w:t xml:space="preserve"> </w:t>
      </w:r>
      <w:r w:rsidR="00AA6751" w:rsidRPr="007F2F7C">
        <w:rPr>
          <w:color w:val="000000"/>
          <w:szCs w:val="24"/>
        </w:rPr>
        <w:t xml:space="preserve">and that, as </w:t>
      </w:r>
      <w:r w:rsidR="00594224" w:rsidRPr="007F2F7C">
        <w:rPr>
          <w:color w:val="000000"/>
          <w:spacing w:val="-2"/>
          <w:szCs w:val="24"/>
        </w:rPr>
        <w:t>a result of cost overruns, the Authority</w:t>
      </w:r>
      <w:r w:rsidR="00CE458F" w:rsidRPr="007F2F7C">
        <w:rPr>
          <w:color w:val="000000"/>
          <w:spacing w:val="-2"/>
          <w:szCs w:val="24"/>
        </w:rPr>
        <w:t xml:space="preserve"> was caused </w:t>
      </w:r>
      <w:r w:rsidR="00594224" w:rsidRPr="007F2F7C">
        <w:rPr>
          <w:color w:val="000000"/>
          <w:spacing w:val="-2"/>
          <w:szCs w:val="24"/>
        </w:rPr>
        <w:t xml:space="preserve">to advance $473,539.00 in additional Authority funds on the Project beyond the funds contributed for the Project by Upper Pottsgrove and by the developer. </w:t>
      </w:r>
      <w:r w:rsidR="00AA6751" w:rsidRPr="007F2F7C">
        <w:rPr>
          <w:rStyle w:val="FootnoteReference"/>
          <w:color w:val="000000"/>
          <w:spacing w:val="-2"/>
          <w:szCs w:val="24"/>
        </w:rPr>
        <w:footnoteReference w:id="4"/>
      </w:r>
    </w:p>
    <w:p w14:paraId="423DE29F" w14:textId="77777777" w:rsidR="007F2F7C" w:rsidRPr="007F2F7C" w:rsidRDefault="007F2F7C" w:rsidP="007F2F7C">
      <w:pPr>
        <w:tabs>
          <w:tab w:val="left" w:pos="-720"/>
        </w:tabs>
        <w:suppressAutoHyphens/>
        <w:autoSpaceDE w:val="0"/>
        <w:autoSpaceDN w:val="0"/>
        <w:ind w:firstLine="1440"/>
        <w:rPr>
          <w:color w:val="000000"/>
          <w:szCs w:val="24"/>
        </w:rPr>
      </w:pPr>
    </w:p>
    <w:p w14:paraId="41E79D33" w14:textId="055C48ED" w:rsidR="00962460" w:rsidRDefault="001712FB" w:rsidP="007F2F7C">
      <w:pPr>
        <w:tabs>
          <w:tab w:val="left" w:pos="1440"/>
        </w:tabs>
        <w:textAlignment w:val="baseline"/>
        <w:rPr>
          <w:color w:val="000000"/>
          <w:spacing w:val="-3"/>
          <w:szCs w:val="24"/>
        </w:rPr>
      </w:pPr>
      <w:r w:rsidRPr="007F2F7C">
        <w:rPr>
          <w:color w:val="000000"/>
          <w:spacing w:val="-3"/>
          <w:szCs w:val="24"/>
        </w:rPr>
        <w:tab/>
      </w:r>
      <w:r w:rsidR="00BB2B52" w:rsidRPr="007F2F7C">
        <w:rPr>
          <w:color w:val="000000"/>
          <w:spacing w:val="-3"/>
          <w:szCs w:val="24"/>
        </w:rPr>
        <w:t xml:space="preserve">The Joint </w:t>
      </w:r>
      <w:r w:rsidRPr="007F2F7C">
        <w:rPr>
          <w:color w:val="000000"/>
          <w:spacing w:val="-3"/>
          <w:szCs w:val="24"/>
        </w:rPr>
        <w:t>Protestants a</w:t>
      </w:r>
      <w:r w:rsidR="00BB2B52" w:rsidRPr="007F2F7C">
        <w:rPr>
          <w:color w:val="000000"/>
          <w:spacing w:val="-3"/>
          <w:szCs w:val="24"/>
        </w:rPr>
        <w:t xml:space="preserve">ver </w:t>
      </w:r>
      <w:r w:rsidRPr="007F2F7C">
        <w:rPr>
          <w:color w:val="000000"/>
          <w:spacing w:val="-3"/>
          <w:szCs w:val="24"/>
        </w:rPr>
        <w:t>that, c</w:t>
      </w:r>
      <w:r w:rsidR="00594224" w:rsidRPr="007F2F7C">
        <w:rPr>
          <w:color w:val="000000"/>
          <w:spacing w:val="-3"/>
          <w:szCs w:val="24"/>
        </w:rPr>
        <w:t xml:space="preserve">onsistent with the Settlement Agreement, on February 17, 2015, </w:t>
      </w:r>
      <w:r w:rsidR="00511881" w:rsidRPr="007F2F7C">
        <w:rPr>
          <w:color w:val="000000"/>
          <w:spacing w:val="-3"/>
          <w:szCs w:val="24"/>
        </w:rPr>
        <w:t xml:space="preserve">the Township </w:t>
      </w:r>
      <w:r w:rsidR="00594224" w:rsidRPr="007F2F7C">
        <w:rPr>
          <w:color w:val="000000"/>
          <w:spacing w:val="-3"/>
          <w:szCs w:val="24"/>
        </w:rPr>
        <w:t>adopted Resolution No. 656 amending its sewer tapping fees by imposing a tapping fee</w:t>
      </w:r>
      <w:r w:rsidR="003C3679" w:rsidRPr="007F2F7C">
        <w:rPr>
          <w:color w:val="000000"/>
          <w:spacing w:val="-3"/>
          <w:szCs w:val="24"/>
        </w:rPr>
        <w:t xml:space="preserve"> r</w:t>
      </w:r>
      <w:r w:rsidR="00594224" w:rsidRPr="007F2F7C">
        <w:rPr>
          <w:color w:val="000000"/>
          <w:spacing w:val="-3"/>
          <w:szCs w:val="24"/>
        </w:rPr>
        <w:t>eimbursement part/component of $292.98 per EDU on future connections to its sewer system in order to reimburse the Authority and the developer for their respective contributions to the Project.</w:t>
      </w:r>
      <w:r w:rsidR="002A51E1" w:rsidRPr="007F2F7C">
        <w:rPr>
          <w:rStyle w:val="FootnoteReference"/>
          <w:color w:val="000000"/>
          <w:spacing w:val="-3"/>
          <w:szCs w:val="24"/>
        </w:rPr>
        <w:footnoteReference w:id="5"/>
      </w:r>
      <w:r w:rsidR="00594224" w:rsidRPr="007F2F7C">
        <w:rPr>
          <w:color w:val="000000"/>
          <w:spacing w:val="-3"/>
          <w:szCs w:val="24"/>
        </w:rPr>
        <w:t xml:space="preserve">  </w:t>
      </w:r>
    </w:p>
    <w:p w14:paraId="406664BE" w14:textId="77777777" w:rsidR="007F2F7C" w:rsidRPr="007F2F7C" w:rsidRDefault="007F2F7C" w:rsidP="007F2F7C">
      <w:pPr>
        <w:tabs>
          <w:tab w:val="left" w:pos="1440"/>
        </w:tabs>
        <w:textAlignment w:val="baseline"/>
        <w:rPr>
          <w:color w:val="000000"/>
          <w:spacing w:val="-3"/>
          <w:szCs w:val="24"/>
        </w:rPr>
      </w:pPr>
    </w:p>
    <w:p w14:paraId="002B193A" w14:textId="3333B327" w:rsidR="00594224" w:rsidRDefault="0025772D" w:rsidP="007F2F7C">
      <w:pPr>
        <w:tabs>
          <w:tab w:val="left" w:pos="1440"/>
        </w:tabs>
        <w:textAlignment w:val="baseline"/>
        <w:rPr>
          <w:color w:val="000000"/>
          <w:szCs w:val="24"/>
        </w:rPr>
      </w:pPr>
      <w:r w:rsidRPr="007F2F7C">
        <w:rPr>
          <w:color w:val="000000"/>
          <w:szCs w:val="24"/>
        </w:rPr>
        <w:tab/>
        <w:t xml:space="preserve">The Joint Protestants aver </w:t>
      </w:r>
      <w:r w:rsidR="00A86D34" w:rsidRPr="007F2F7C">
        <w:rPr>
          <w:color w:val="000000"/>
          <w:szCs w:val="24"/>
        </w:rPr>
        <w:t xml:space="preserve">that the Township </w:t>
      </w:r>
      <w:r w:rsidR="00594224" w:rsidRPr="007F2F7C">
        <w:rPr>
          <w:color w:val="000000"/>
          <w:szCs w:val="24"/>
        </w:rPr>
        <w:t xml:space="preserve">based the reimbursement part/component of its tapping fee on a total Project cost of $1,073,537.00, and contributions of $259,000.00 from </w:t>
      </w:r>
      <w:r w:rsidR="00962460" w:rsidRPr="007F2F7C">
        <w:rPr>
          <w:color w:val="000000"/>
          <w:szCs w:val="24"/>
        </w:rPr>
        <w:t>the Township</w:t>
      </w:r>
      <w:r w:rsidR="00594224" w:rsidRPr="007F2F7C">
        <w:rPr>
          <w:color w:val="000000"/>
          <w:szCs w:val="24"/>
        </w:rPr>
        <w:t xml:space="preserve">, $345,000.00 from the developer, and $473,539.00 from the Authority. </w:t>
      </w:r>
      <w:r w:rsidR="00A86D34" w:rsidRPr="007F2F7C">
        <w:rPr>
          <w:rStyle w:val="FootnoteReference"/>
          <w:color w:val="000000"/>
          <w:szCs w:val="24"/>
        </w:rPr>
        <w:footnoteReference w:id="6"/>
      </w:r>
      <w:r w:rsidR="00594224" w:rsidRPr="007F2F7C">
        <w:rPr>
          <w:color w:val="000000"/>
          <w:szCs w:val="24"/>
        </w:rPr>
        <w:t xml:space="preserve"> </w:t>
      </w:r>
    </w:p>
    <w:p w14:paraId="616CA8BF" w14:textId="77777777" w:rsidR="007F2F7C" w:rsidRPr="007F2F7C" w:rsidRDefault="007F2F7C" w:rsidP="007F2F7C">
      <w:pPr>
        <w:tabs>
          <w:tab w:val="left" w:pos="1440"/>
        </w:tabs>
        <w:textAlignment w:val="baseline"/>
        <w:rPr>
          <w:color w:val="000000"/>
          <w:szCs w:val="24"/>
        </w:rPr>
      </w:pPr>
    </w:p>
    <w:p w14:paraId="10738457" w14:textId="49F91C5E" w:rsidR="00594224" w:rsidRDefault="00A86D34" w:rsidP="007F2F7C">
      <w:pPr>
        <w:tabs>
          <w:tab w:val="left" w:pos="1440"/>
        </w:tabs>
        <w:textAlignment w:val="baseline"/>
        <w:rPr>
          <w:color w:val="000000"/>
          <w:szCs w:val="24"/>
        </w:rPr>
      </w:pPr>
      <w:r w:rsidRPr="007F2F7C">
        <w:rPr>
          <w:color w:val="000000"/>
          <w:szCs w:val="24"/>
        </w:rPr>
        <w:lastRenderedPageBreak/>
        <w:tab/>
        <w:t>The Authority and Borough further aver that</w:t>
      </w:r>
      <w:r w:rsidR="00D437DD" w:rsidRPr="007F2F7C">
        <w:rPr>
          <w:color w:val="000000"/>
          <w:szCs w:val="24"/>
        </w:rPr>
        <w:t xml:space="preserve"> they</w:t>
      </w:r>
      <w:r w:rsidR="00594224" w:rsidRPr="007F2F7C">
        <w:rPr>
          <w:color w:val="000000"/>
          <w:szCs w:val="24"/>
        </w:rPr>
        <w:t xml:space="preserve"> billed </w:t>
      </w:r>
      <w:r w:rsidR="00A67EB5" w:rsidRPr="007F2F7C">
        <w:rPr>
          <w:color w:val="000000"/>
          <w:szCs w:val="24"/>
        </w:rPr>
        <w:t xml:space="preserve">the Township </w:t>
      </w:r>
      <w:r w:rsidR="00594224" w:rsidRPr="007F2F7C">
        <w:rPr>
          <w:color w:val="000000"/>
          <w:szCs w:val="24"/>
        </w:rPr>
        <w:t>$473,407.00 for the Siphon Project</w:t>
      </w:r>
      <w:r w:rsidR="00EB3C0E" w:rsidRPr="007F2F7C">
        <w:rPr>
          <w:color w:val="000000"/>
          <w:szCs w:val="24"/>
        </w:rPr>
        <w:t xml:space="preserve"> </w:t>
      </w:r>
      <w:r w:rsidR="00D437DD" w:rsidRPr="007F2F7C">
        <w:rPr>
          <w:color w:val="000000"/>
          <w:szCs w:val="24"/>
        </w:rPr>
        <w:t>in 2015</w:t>
      </w:r>
      <w:r w:rsidR="00EB3C0E" w:rsidRPr="007F2F7C">
        <w:rPr>
          <w:color w:val="000000"/>
          <w:szCs w:val="24"/>
        </w:rPr>
        <w:t xml:space="preserve">, and on </w:t>
      </w:r>
      <w:r w:rsidR="00594224" w:rsidRPr="007F2F7C">
        <w:rPr>
          <w:color w:val="000000"/>
          <w:szCs w:val="24"/>
        </w:rPr>
        <w:t xml:space="preserve">or about September 22, 2017, the Borough received $3,222.78 to apply to the Siphon Project balance, leaving a present principal balance of $470,184.22. </w:t>
      </w:r>
      <w:r w:rsidR="00BE57A9">
        <w:rPr>
          <w:color w:val="000000"/>
          <w:szCs w:val="24"/>
        </w:rPr>
        <w:t xml:space="preserve"> </w:t>
      </w:r>
      <w:r w:rsidR="00594224" w:rsidRPr="007F2F7C">
        <w:rPr>
          <w:color w:val="000000"/>
          <w:szCs w:val="24"/>
        </w:rPr>
        <w:t xml:space="preserve">On or about November 20, 2020, </w:t>
      </w:r>
      <w:r w:rsidR="00966FD8" w:rsidRPr="007F2F7C">
        <w:rPr>
          <w:color w:val="000000"/>
          <w:szCs w:val="24"/>
        </w:rPr>
        <w:t xml:space="preserve">the Township </w:t>
      </w:r>
      <w:r w:rsidR="00594224" w:rsidRPr="007F2F7C">
        <w:rPr>
          <w:color w:val="000000"/>
          <w:szCs w:val="24"/>
        </w:rPr>
        <w:t>tendered to the Borough by check the amount of $25,350.05 towards the balance along with a letter from the Township solicitor stating its position that once the system is sold to PAWC the payments would cease; however, the Borough has not yet cashed the check since, after inquiry, the Township would not agree that such action would be without prejudice to Protestants’ position that the sale would not relieve the Township of its obligation.</w:t>
      </w:r>
      <w:r w:rsidR="00460183" w:rsidRPr="007F2F7C">
        <w:rPr>
          <w:rStyle w:val="FootnoteReference"/>
          <w:color w:val="000000"/>
          <w:szCs w:val="24"/>
        </w:rPr>
        <w:footnoteReference w:id="7"/>
      </w:r>
      <w:r w:rsidR="00594224" w:rsidRPr="007F2F7C">
        <w:rPr>
          <w:color w:val="000000"/>
          <w:szCs w:val="24"/>
        </w:rPr>
        <w:t xml:space="preserve">  </w:t>
      </w:r>
    </w:p>
    <w:p w14:paraId="673B97AA" w14:textId="77777777" w:rsidR="007F2F7C" w:rsidRPr="007F2F7C" w:rsidRDefault="007F2F7C" w:rsidP="007F2F7C">
      <w:pPr>
        <w:tabs>
          <w:tab w:val="left" w:pos="1440"/>
        </w:tabs>
        <w:textAlignment w:val="baseline"/>
        <w:rPr>
          <w:color w:val="000000"/>
          <w:szCs w:val="24"/>
        </w:rPr>
      </w:pPr>
    </w:p>
    <w:p w14:paraId="299352F4" w14:textId="74363809" w:rsidR="00A13BDA" w:rsidRDefault="000B6D5F" w:rsidP="007F2F7C">
      <w:pPr>
        <w:tabs>
          <w:tab w:val="left" w:pos="1440"/>
        </w:tabs>
        <w:textAlignment w:val="baseline"/>
        <w:rPr>
          <w:color w:val="000000"/>
          <w:szCs w:val="24"/>
        </w:rPr>
      </w:pPr>
      <w:r w:rsidRPr="007F2F7C">
        <w:rPr>
          <w:color w:val="000000"/>
          <w:spacing w:val="-3"/>
          <w:szCs w:val="24"/>
        </w:rPr>
        <w:tab/>
        <w:t xml:space="preserve">The Joint Protestants aver that on </w:t>
      </w:r>
      <w:r w:rsidR="00594224" w:rsidRPr="007F2F7C">
        <w:rPr>
          <w:color w:val="000000"/>
          <w:spacing w:val="-3"/>
          <w:szCs w:val="24"/>
        </w:rPr>
        <w:t xml:space="preserve">April 20, 2020, </w:t>
      </w:r>
      <w:r w:rsidRPr="007F2F7C">
        <w:rPr>
          <w:color w:val="000000"/>
          <w:spacing w:val="-3"/>
          <w:szCs w:val="24"/>
        </w:rPr>
        <w:t xml:space="preserve">the Township </w:t>
      </w:r>
      <w:r w:rsidR="00594224" w:rsidRPr="007F2F7C">
        <w:rPr>
          <w:color w:val="000000"/>
          <w:spacing w:val="-3"/>
          <w:szCs w:val="24"/>
        </w:rPr>
        <w:t xml:space="preserve">enacted Ordinance No. 508 which authorizes and approves the execution, delivery and performance of the Asset Purchase Agreement with PAWC and the assignment of the STSA to PAWC, among other actions. </w:t>
      </w:r>
      <w:r w:rsidR="00CA65E6" w:rsidRPr="007F2F7C">
        <w:rPr>
          <w:rStyle w:val="FootnoteReference"/>
          <w:color w:val="000000"/>
          <w:spacing w:val="-3"/>
          <w:szCs w:val="24"/>
        </w:rPr>
        <w:footnoteReference w:id="8"/>
      </w:r>
      <w:r w:rsidR="00CA65E6" w:rsidRPr="007F2F7C">
        <w:rPr>
          <w:color w:val="000000"/>
          <w:spacing w:val="-3"/>
          <w:szCs w:val="24"/>
        </w:rPr>
        <w:t xml:space="preserve">  The Joint Protestants further aver</w:t>
      </w:r>
      <w:r w:rsidR="00715C4B" w:rsidRPr="007F2F7C">
        <w:rPr>
          <w:color w:val="000000"/>
          <w:spacing w:val="-3"/>
          <w:szCs w:val="24"/>
        </w:rPr>
        <w:t>, f</w:t>
      </w:r>
      <w:r w:rsidR="00594224" w:rsidRPr="007F2F7C">
        <w:rPr>
          <w:color w:val="000000"/>
          <w:szCs w:val="24"/>
        </w:rPr>
        <w:t xml:space="preserve">ollowing the enactment of Ordinance No. 508, </w:t>
      </w:r>
      <w:r w:rsidR="00AD2598" w:rsidRPr="007F2F7C">
        <w:rPr>
          <w:color w:val="000000"/>
          <w:szCs w:val="24"/>
        </w:rPr>
        <w:t xml:space="preserve">the Township </w:t>
      </w:r>
      <w:r w:rsidR="00594224" w:rsidRPr="007F2F7C">
        <w:rPr>
          <w:color w:val="000000"/>
          <w:szCs w:val="24"/>
        </w:rPr>
        <w:t xml:space="preserve">advised the </w:t>
      </w:r>
      <w:r w:rsidR="00715C4B" w:rsidRPr="007F2F7C">
        <w:rPr>
          <w:color w:val="000000"/>
          <w:szCs w:val="24"/>
        </w:rPr>
        <w:t xml:space="preserve">Joint </w:t>
      </w:r>
      <w:r w:rsidR="00594224" w:rsidRPr="007F2F7C">
        <w:rPr>
          <w:color w:val="000000"/>
          <w:szCs w:val="24"/>
        </w:rPr>
        <w:t xml:space="preserve">Protestants that after the closing of the sale of its wastewater system assets to PAWC, </w:t>
      </w:r>
      <w:r w:rsidR="00AD2598" w:rsidRPr="007F2F7C">
        <w:rPr>
          <w:color w:val="000000"/>
          <w:szCs w:val="24"/>
        </w:rPr>
        <w:t xml:space="preserve">the Township </w:t>
      </w:r>
      <w:r w:rsidR="00594224" w:rsidRPr="007F2F7C">
        <w:rPr>
          <w:color w:val="000000"/>
          <w:szCs w:val="24"/>
        </w:rPr>
        <w:t>will no longer honor its obligation to reimburse the additional Authority funds advanced on the Project since it will no longer have the legal authority to charge any sewer tapping fees.</w:t>
      </w:r>
      <w:r w:rsidR="00715C4B" w:rsidRPr="007F2F7C">
        <w:rPr>
          <w:rStyle w:val="FootnoteReference"/>
          <w:color w:val="000000"/>
          <w:szCs w:val="24"/>
        </w:rPr>
        <w:footnoteReference w:id="9"/>
      </w:r>
      <w:r w:rsidR="00594224" w:rsidRPr="007F2F7C">
        <w:rPr>
          <w:color w:val="000000"/>
          <w:szCs w:val="24"/>
        </w:rPr>
        <w:t xml:space="preserve">  </w:t>
      </w:r>
      <w:r w:rsidR="008657A9" w:rsidRPr="007F2F7C">
        <w:rPr>
          <w:szCs w:val="24"/>
        </w:rPr>
        <w:t>Joint Protestants allege t</w:t>
      </w:r>
      <w:r w:rsidR="00594224" w:rsidRPr="007F2F7C">
        <w:rPr>
          <w:color w:val="000000"/>
          <w:szCs w:val="24"/>
        </w:rPr>
        <w:t>his obligation established by the Settlement Agreement cannot be unilaterally obliterated by the Township adopting Ordinance No. 508 approving the sale of the sewer system, and then implementing the Ordinance by proceeding to closing, as to do so would breach the Settlement Agreement, and would also violate Article I, § 10 of the United States Constitution and Article I, § 17 of the Pennsylvania Constitution by impairing its contractual obligations with the Protestants.</w:t>
      </w:r>
      <w:r w:rsidR="0046471D" w:rsidRPr="007F2F7C">
        <w:rPr>
          <w:rStyle w:val="FootnoteReference"/>
          <w:color w:val="000000"/>
          <w:szCs w:val="24"/>
        </w:rPr>
        <w:footnoteReference w:id="10"/>
      </w:r>
      <w:r w:rsidR="00594224" w:rsidRPr="007F2F7C">
        <w:rPr>
          <w:color w:val="000000"/>
          <w:szCs w:val="24"/>
        </w:rPr>
        <w:t xml:space="preserve">  </w:t>
      </w:r>
    </w:p>
    <w:p w14:paraId="5F10A4F5" w14:textId="77777777" w:rsidR="007F2F7C" w:rsidRPr="007F2F7C" w:rsidRDefault="007F2F7C" w:rsidP="007F2F7C">
      <w:pPr>
        <w:tabs>
          <w:tab w:val="left" w:pos="1440"/>
        </w:tabs>
        <w:textAlignment w:val="baseline"/>
        <w:rPr>
          <w:color w:val="000000"/>
          <w:szCs w:val="24"/>
        </w:rPr>
      </w:pPr>
    </w:p>
    <w:p w14:paraId="4A693317" w14:textId="6F2F79AC" w:rsidR="00594224" w:rsidRDefault="00A13BDA" w:rsidP="007F2F7C">
      <w:pPr>
        <w:rPr>
          <w:color w:val="000000"/>
          <w:szCs w:val="24"/>
        </w:rPr>
      </w:pPr>
      <w:r w:rsidRPr="007F2F7C">
        <w:rPr>
          <w:color w:val="000000"/>
          <w:szCs w:val="24"/>
        </w:rPr>
        <w:tab/>
      </w:r>
      <w:r w:rsidR="007F2F7C">
        <w:rPr>
          <w:color w:val="000000"/>
          <w:szCs w:val="24"/>
        </w:rPr>
        <w:tab/>
      </w:r>
      <w:r w:rsidRPr="007F2F7C">
        <w:rPr>
          <w:color w:val="000000"/>
          <w:szCs w:val="24"/>
        </w:rPr>
        <w:t xml:space="preserve">The Joint Protestants aver that </w:t>
      </w:r>
      <w:r w:rsidR="004A7DD7" w:rsidRPr="007F2F7C">
        <w:rPr>
          <w:color w:val="000000"/>
          <w:szCs w:val="24"/>
        </w:rPr>
        <w:t xml:space="preserve">only </w:t>
      </w:r>
      <w:r w:rsidR="00594224" w:rsidRPr="007F2F7C">
        <w:rPr>
          <w:color w:val="000000"/>
          <w:szCs w:val="24"/>
        </w:rPr>
        <w:t xml:space="preserve">as a direct result of the Project, and the consent of the Authority and the Borough to the assignment of the STSA to PAWC, can PAWC </w:t>
      </w:r>
      <w:r w:rsidR="00594224" w:rsidRPr="007F2F7C">
        <w:rPr>
          <w:color w:val="000000"/>
          <w:szCs w:val="24"/>
        </w:rPr>
        <w:lastRenderedPageBreak/>
        <w:t xml:space="preserve">demonstrate its ability to provide adequate wastewater collection, treatment or disposal capacity to meet present and future customer demands. </w:t>
      </w:r>
      <w:r w:rsidR="00DD5450" w:rsidRPr="007F2F7C">
        <w:rPr>
          <w:rStyle w:val="FootnoteReference"/>
          <w:color w:val="000000"/>
          <w:szCs w:val="24"/>
        </w:rPr>
        <w:footnoteReference w:id="11"/>
      </w:r>
      <w:r w:rsidR="00594224" w:rsidRPr="007F2F7C">
        <w:rPr>
          <w:color w:val="000000"/>
          <w:szCs w:val="24"/>
        </w:rPr>
        <w:t xml:space="preserve"> </w:t>
      </w:r>
      <w:r w:rsidR="00322348" w:rsidRPr="007F2F7C">
        <w:rPr>
          <w:color w:val="000000"/>
          <w:szCs w:val="24"/>
        </w:rPr>
        <w:t xml:space="preserve"> </w:t>
      </w:r>
      <w:r w:rsidR="00DD5450" w:rsidRPr="007F2F7C">
        <w:rPr>
          <w:color w:val="000000"/>
          <w:szCs w:val="24"/>
        </w:rPr>
        <w:t xml:space="preserve">The Joint Protestants </w:t>
      </w:r>
      <w:r w:rsidR="00322348" w:rsidRPr="007F2F7C">
        <w:rPr>
          <w:color w:val="000000"/>
          <w:szCs w:val="24"/>
        </w:rPr>
        <w:t xml:space="preserve">further </w:t>
      </w:r>
      <w:r w:rsidR="00DD5450" w:rsidRPr="007F2F7C">
        <w:rPr>
          <w:color w:val="000000"/>
          <w:szCs w:val="24"/>
        </w:rPr>
        <w:t>aver t</w:t>
      </w:r>
      <w:r w:rsidR="00594224" w:rsidRPr="007F2F7C">
        <w:rPr>
          <w:color w:val="000000"/>
          <w:szCs w:val="24"/>
        </w:rPr>
        <w:t>he present and future ratepayers of the Upper Pottsgrove wastewater system should assume the unreimbursed Authority costs of the Project</w:t>
      </w:r>
      <w:r w:rsidR="00C31AC3" w:rsidRPr="007F2F7C">
        <w:rPr>
          <w:color w:val="000000"/>
          <w:szCs w:val="24"/>
        </w:rPr>
        <w:t>, and t</w:t>
      </w:r>
      <w:r w:rsidR="00594224" w:rsidRPr="007F2F7C">
        <w:rPr>
          <w:color w:val="000000"/>
          <w:szCs w:val="24"/>
        </w:rPr>
        <w:t xml:space="preserve">he ratepayers of the Borough and the Authority should not be left to assume the unreimbursed Authority costs of the Project. </w:t>
      </w:r>
      <w:r w:rsidR="00C31AC3" w:rsidRPr="007F2F7C">
        <w:rPr>
          <w:rStyle w:val="FootnoteReference"/>
          <w:color w:val="000000"/>
          <w:szCs w:val="24"/>
        </w:rPr>
        <w:footnoteReference w:id="12"/>
      </w:r>
      <w:r w:rsidR="00594224" w:rsidRPr="007F2F7C">
        <w:rPr>
          <w:color w:val="000000"/>
          <w:szCs w:val="24"/>
        </w:rPr>
        <w:t xml:space="preserve"> </w:t>
      </w:r>
    </w:p>
    <w:p w14:paraId="0B5BBFBD" w14:textId="77777777" w:rsidR="007F2F7C" w:rsidRPr="007F2F7C" w:rsidRDefault="007F2F7C" w:rsidP="007F2F7C">
      <w:pPr>
        <w:rPr>
          <w:color w:val="000000"/>
          <w:szCs w:val="24"/>
        </w:rPr>
      </w:pPr>
    </w:p>
    <w:p w14:paraId="40D9DF68" w14:textId="59D759B3" w:rsidR="00594224" w:rsidRDefault="007B0B2F" w:rsidP="007F2F7C">
      <w:pPr>
        <w:tabs>
          <w:tab w:val="left" w:pos="1440"/>
        </w:tabs>
        <w:jc w:val="both"/>
        <w:textAlignment w:val="baseline"/>
        <w:rPr>
          <w:color w:val="000000"/>
          <w:spacing w:val="-3"/>
          <w:szCs w:val="24"/>
        </w:rPr>
      </w:pPr>
      <w:r w:rsidRPr="007F2F7C">
        <w:rPr>
          <w:color w:val="000000"/>
          <w:spacing w:val="-3"/>
          <w:szCs w:val="24"/>
        </w:rPr>
        <w:tab/>
      </w:r>
      <w:r w:rsidR="00594224" w:rsidRPr="007F2F7C">
        <w:rPr>
          <w:color w:val="000000"/>
          <w:spacing w:val="-3"/>
          <w:szCs w:val="24"/>
        </w:rPr>
        <w:t xml:space="preserve">Protestants </w:t>
      </w:r>
      <w:r w:rsidRPr="007F2F7C">
        <w:rPr>
          <w:color w:val="000000"/>
          <w:spacing w:val="-3"/>
          <w:szCs w:val="24"/>
        </w:rPr>
        <w:t xml:space="preserve">argue that they </w:t>
      </w:r>
      <w:r w:rsidR="00594224" w:rsidRPr="007F2F7C">
        <w:rPr>
          <w:color w:val="000000"/>
          <w:spacing w:val="-3"/>
          <w:szCs w:val="24"/>
        </w:rPr>
        <w:t xml:space="preserve">have an interest in the Application in order to assure that their ratepayers do not assume the unreimbursed Authority costs of the Project, and instead that the present and future ratepayers of the Upper Pottsgrove wastewater system assume the unreimbursed Authority costs of the Project.  </w:t>
      </w:r>
      <w:r w:rsidRPr="007F2F7C">
        <w:rPr>
          <w:rStyle w:val="FootnoteReference"/>
          <w:color w:val="000000"/>
          <w:spacing w:val="-3"/>
          <w:szCs w:val="24"/>
        </w:rPr>
        <w:footnoteReference w:id="13"/>
      </w:r>
    </w:p>
    <w:p w14:paraId="35991007" w14:textId="77777777" w:rsidR="007F2F7C" w:rsidRPr="007F2F7C" w:rsidRDefault="007F2F7C" w:rsidP="007F2F7C">
      <w:pPr>
        <w:tabs>
          <w:tab w:val="left" w:pos="1440"/>
        </w:tabs>
        <w:jc w:val="both"/>
        <w:textAlignment w:val="baseline"/>
        <w:rPr>
          <w:color w:val="000000"/>
          <w:szCs w:val="24"/>
        </w:rPr>
      </w:pPr>
    </w:p>
    <w:p w14:paraId="623BE420" w14:textId="05F61785" w:rsidR="00594224" w:rsidRPr="007F2F7C" w:rsidRDefault="003D32F9" w:rsidP="007F2F7C">
      <w:pPr>
        <w:rPr>
          <w:color w:val="000000"/>
          <w:szCs w:val="24"/>
        </w:rPr>
      </w:pPr>
      <w:r w:rsidRPr="007F2F7C">
        <w:rPr>
          <w:szCs w:val="24"/>
        </w:rPr>
        <w:t xml:space="preserve">  </w:t>
      </w:r>
      <w:r w:rsidR="007F2F7C">
        <w:rPr>
          <w:szCs w:val="24"/>
        </w:rPr>
        <w:tab/>
      </w:r>
      <w:r w:rsidR="007F2F7C">
        <w:rPr>
          <w:szCs w:val="24"/>
        </w:rPr>
        <w:tab/>
      </w:r>
      <w:r w:rsidR="0051280B" w:rsidRPr="007F2F7C">
        <w:rPr>
          <w:color w:val="000000"/>
          <w:szCs w:val="24"/>
        </w:rPr>
        <w:t>The B</w:t>
      </w:r>
      <w:r w:rsidR="00594224" w:rsidRPr="007F2F7C">
        <w:rPr>
          <w:color w:val="000000"/>
          <w:szCs w:val="24"/>
        </w:rPr>
        <w:t>orough and Authority Protestants requested that the Commission accept their Protest for filing, permit Pottstown Borough Authority and the Borough of Pottstown to become parties to this proceeding, and condition any approval of the Application on the full reimbursement of the $470,184.22 in Authority costs advanced towards the Siphon Project, plus interest and costs.</w:t>
      </w:r>
    </w:p>
    <w:p w14:paraId="6402D3BB" w14:textId="77777777" w:rsidR="003D32F9" w:rsidRPr="007F2F7C" w:rsidRDefault="003D32F9" w:rsidP="007F2F7C">
      <w:pPr>
        <w:rPr>
          <w:szCs w:val="24"/>
          <w:u w:val="single"/>
        </w:rPr>
      </w:pPr>
    </w:p>
    <w:p w14:paraId="64E29FC8" w14:textId="442F41F9" w:rsidR="002F739E" w:rsidRPr="007F2F7C" w:rsidRDefault="002F739E" w:rsidP="007F2F7C">
      <w:pPr>
        <w:rPr>
          <w:szCs w:val="24"/>
          <w:u w:val="single"/>
        </w:rPr>
      </w:pPr>
      <w:r w:rsidRPr="007F2F7C">
        <w:rPr>
          <w:szCs w:val="24"/>
          <w:u w:val="single"/>
        </w:rPr>
        <w:t>Preliminary Objections</w:t>
      </w:r>
    </w:p>
    <w:p w14:paraId="6518A3A8" w14:textId="77777777" w:rsidR="002F739E" w:rsidRPr="007F2F7C" w:rsidRDefault="002F739E" w:rsidP="007F2F7C">
      <w:pPr>
        <w:rPr>
          <w:szCs w:val="24"/>
          <w:u w:val="single"/>
        </w:rPr>
      </w:pPr>
    </w:p>
    <w:p w14:paraId="22EAE040" w14:textId="3BA83D82" w:rsidR="004A2DBE" w:rsidRPr="007F2F7C" w:rsidRDefault="004A2DBE" w:rsidP="007F2F7C">
      <w:pPr>
        <w:tabs>
          <w:tab w:val="left" w:pos="-720"/>
        </w:tabs>
        <w:suppressAutoHyphens/>
        <w:autoSpaceDE w:val="0"/>
        <w:autoSpaceDN w:val="0"/>
        <w:ind w:firstLine="1440"/>
        <w:rPr>
          <w:color w:val="000000"/>
          <w:szCs w:val="24"/>
        </w:rPr>
      </w:pPr>
      <w:r w:rsidRPr="007F2F7C">
        <w:rPr>
          <w:spacing w:val="-3"/>
          <w:szCs w:val="24"/>
        </w:rPr>
        <w:t xml:space="preserve">On May 18, 2021, PAWC </w:t>
      </w:r>
      <w:r w:rsidR="00395C26" w:rsidRPr="007F2F7C">
        <w:rPr>
          <w:spacing w:val="-3"/>
          <w:szCs w:val="24"/>
        </w:rPr>
        <w:t>and the</w:t>
      </w:r>
      <w:r w:rsidRPr="007F2F7C">
        <w:rPr>
          <w:spacing w:val="-3"/>
          <w:szCs w:val="24"/>
        </w:rPr>
        <w:t xml:space="preserve"> Township</w:t>
      </w:r>
      <w:r w:rsidR="00395C26" w:rsidRPr="007F2F7C">
        <w:rPr>
          <w:spacing w:val="-3"/>
          <w:szCs w:val="24"/>
        </w:rPr>
        <w:t xml:space="preserve"> </w:t>
      </w:r>
      <w:r w:rsidRPr="007F2F7C">
        <w:rPr>
          <w:spacing w:val="-3"/>
          <w:szCs w:val="24"/>
        </w:rPr>
        <w:t>filed Joint Preliminary Objections</w:t>
      </w:r>
      <w:r w:rsidR="008371F8" w:rsidRPr="007F2F7C">
        <w:rPr>
          <w:spacing w:val="-3"/>
          <w:szCs w:val="24"/>
        </w:rPr>
        <w:t xml:space="preserve"> to the Protest </w:t>
      </w:r>
      <w:r w:rsidR="00DC6DB1" w:rsidRPr="007F2F7C">
        <w:rPr>
          <w:spacing w:val="-3"/>
          <w:szCs w:val="24"/>
        </w:rPr>
        <w:t>of the Authority and Borough</w:t>
      </w:r>
      <w:r w:rsidRPr="007F2F7C">
        <w:rPr>
          <w:spacing w:val="-3"/>
          <w:szCs w:val="24"/>
        </w:rPr>
        <w:t xml:space="preserve">.  PAWC and the Township requested dismissal of </w:t>
      </w:r>
      <w:r w:rsidRPr="007F2F7C">
        <w:rPr>
          <w:color w:val="000000"/>
          <w:spacing w:val="-2"/>
          <w:szCs w:val="24"/>
        </w:rPr>
        <w:t xml:space="preserve">the Protests averring the Commission lacks jurisdiction to interpret or enforce the Settlement Agreement and Release dated July 2, 2013 (Settlement Agreement) between the Authority, Borough and Township.  Second, assuming for purposes of the preliminary objections that PAWC’s acquisition of the wastewater collection and conveyance system of the Township (Acquisition) is not in the public interest without assignment of the Sewage Treatment Service Agreement between Township, Borough and Authority dated as of September 13, 2004 (STSA) to </w:t>
      </w:r>
      <w:r w:rsidRPr="007F2F7C">
        <w:rPr>
          <w:color w:val="000000"/>
          <w:spacing w:val="-2"/>
          <w:szCs w:val="24"/>
        </w:rPr>
        <w:lastRenderedPageBreak/>
        <w:t xml:space="preserve">PAWC, the Protest’s argument is legally insufficient because the Asset Purchase Agreement By and Among the Township, as Seller, and PAWC, as Buyer, dated as of April 28, 2020 (APA) already clearly </w:t>
      </w:r>
      <w:r w:rsidRPr="007F2F7C">
        <w:rPr>
          <w:color w:val="000000"/>
          <w:szCs w:val="24"/>
        </w:rPr>
        <w:t xml:space="preserve">states that such assignment is a condition precedent of closing of the Acquisition (Closing). </w:t>
      </w:r>
    </w:p>
    <w:p w14:paraId="27A9C254" w14:textId="77777777" w:rsidR="004A2DBE" w:rsidRPr="007F2F7C" w:rsidRDefault="004A2DBE" w:rsidP="007F2F7C">
      <w:pPr>
        <w:tabs>
          <w:tab w:val="left" w:pos="-720"/>
        </w:tabs>
        <w:suppressAutoHyphens/>
        <w:autoSpaceDE w:val="0"/>
        <w:autoSpaceDN w:val="0"/>
        <w:ind w:firstLine="1440"/>
        <w:rPr>
          <w:b/>
          <w:bCs/>
          <w:color w:val="000000"/>
          <w:szCs w:val="24"/>
        </w:rPr>
      </w:pPr>
    </w:p>
    <w:p w14:paraId="3690EA81" w14:textId="77777777" w:rsidR="004A2DBE" w:rsidRPr="007F2F7C" w:rsidRDefault="004A2DBE" w:rsidP="007F2F7C">
      <w:pPr>
        <w:tabs>
          <w:tab w:val="left" w:pos="-720"/>
        </w:tabs>
        <w:suppressAutoHyphens/>
        <w:autoSpaceDE w:val="0"/>
        <w:autoSpaceDN w:val="0"/>
        <w:ind w:firstLine="1440"/>
        <w:rPr>
          <w:color w:val="000000"/>
          <w:szCs w:val="24"/>
        </w:rPr>
      </w:pPr>
      <w:r w:rsidRPr="007F2F7C">
        <w:rPr>
          <w:color w:val="000000"/>
          <w:szCs w:val="24"/>
        </w:rPr>
        <w:t>PAWC and the Township assert that the issues raised by the Authority and Borough is already addressed by the structure of the Acquisition and APA for which PAWC seeks Commission approval.  PAWC and the Township assert that any monetary dispute is properly resolved before the Court of Common Pleas of Montgomery County, Pennsylvania.</w:t>
      </w:r>
    </w:p>
    <w:p w14:paraId="70813678" w14:textId="77777777" w:rsidR="004A2DBE" w:rsidRPr="007F2F7C" w:rsidRDefault="004A2DBE" w:rsidP="007F2F7C">
      <w:pPr>
        <w:tabs>
          <w:tab w:val="left" w:pos="720"/>
        </w:tabs>
        <w:textAlignment w:val="baseline"/>
        <w:rPr>
          <w:b/>
          <w:color w:val="000000"/>
          <w:szCs w:val="24"/>
        </w:rPr>
      </w:pPr>
    </w:p>
    <w:p w14:paraId="2813911B" w14:textId="10E45A42" w:rsidR="004A2DBE" w:rsidRDefault="004A2DBE" w:rsidP="005832F7">
      <w:pPr>
        <w:tabs>
          <w:tab w:val="left" w:pos="1440"/>
        </w:tabs>
        <w:textAlignment w:val="baseline"/>
        <w:rPr>
          <w:color w:val="000000"/>
          <w:szCs w:val="24"/>
        </w:rPr>
      </w:pPr>
      <w:r w:rsidRPr="007F2F7C">
        <w:rPr>
          <w:color w:val="000000"/>
          <w:szCs w:val="24"/>
        </w:rPr>
        <w:tab/>
        <w:t xml:space="preserve">PAWC and the Township </w:t>
      </w:r>
      <w:r w:rsidR="00573080" w:rsidRPr="007F2F7C">
        <w:rPr>
          <w:color w:val="000000"/>
          <w:szCs w:val="24"/>
        </w:rPr>
        <w:t xml:space="preserve">note </w:t>
      </w:r>
      <w:r w:rsidRPr="007F2F7C">
        <w:rPr>
          <w:color w:val="000000"/>
          <w:szCs w:val="24"/>
        </w:rPr>
        <w:t>that the Township’s wastewater system transports the wastewater for treatment to the Authority’s wastewater treatment plant.  The Application also requests that the Commission issue a Certificate of Filing or otherwise approve, pursuant to 66</w:t>
      </w:r>
      <w:r w:rsidR="005832F7">
        <w:rPr>
          <w:color w:val="000000"/>
          <w:szCs w:val="24"/>
        </w:rPr>
        <w:t> </w:t>
      </w:r>
      <w:r w:rsidRPr="007F2F7C">
        <w:rPr>
          <w:color w:val="000000"/>
          <w:szCs w:val="24"/>
        </w:rPr>
        <w:t xml:space="preserve">Pa.C.S. § 507, the APA, and the STSA. </w:t>
      </w:r>
      <w:r w:rsidR="00455BD3" w:rsidRPr="007F2F7C">
        <w:rPr>
          <w:color w:val="000000"/>
          <w:szCs w:val="24"/>
        </w:rPr>
        <w:t xml:space="preserve"> </w:t>
      </w:r>
      <w:r w:rsidRPr="007F2F7C">
        <w:rPr>
          <w:color w:val="000000"/>
          <w:szCs w:val="24"/>
        </w:rPr>
        <w:t>PAWC and the Township aver that the STSA must be assigned to and assumed by PAWC in order for the acquisition to close. Application ¶¶ 3, 18 and 45; Application Appendix A-24-a § 12.01(a) (Consents and Approvals).</w:t>
      </w:r>
    </w:p>
    <w:p w14:paraId="7BAC0954" w14:textId="77777777" w:rsidR="005832F7" w:rsidRPr="007F2F7C" w:rsidRDefault="005832F7" w:rsidP="005832F7">
      <w:pPr>
        <w:tabs>
          <w:tab w:val="left" w:pos="1440"/>
        </w:tabs>
        <w:textAlignment w:val="baseline"/>
        <w:rPr>
          <w:color w:val="000000"/>
          <w:szCs w:val="24"/>
        </w:rPr>
      </w:pPr>
    </w:p>
    <w:p w14:paraId="318CAEF5" w14:textId="4367E1B1" w:rsidR="004A2DBE" w:rsidRDefault="004A2DBE" w:rsidP="005832F7">
      <w:pPr>
        <w:tabs>
          <w:tab w:val="left" w:pos="1440"/>
        </w:tabs>
        <w:textAlignment w:val="baseline"/>
        <w:rPr>
          <w:color w:val="000000"/>
          <w:szCs w:val="24"/>
        </w:rPr>
      </w:pPr>
      <w:r w:rsidRPr="007F2F7C">
        <w:rPr>
          <w:color w:val="000000"/>
          <w:szCs w:val="24"/>
        </w:rPr>
        <w:tab/>
        <w:t>PAWC and the Township aver that the Borough and Authority alleg</w:t>
      </w:r>
      <w:r w:rsidR="006B2337" w:rsidRPr="007F2F7C">
        <w:rPr>
          <w:color w:val="000000"/>
          <w:szCs w:val="24"/>
        </w:rPr>
        <w:t xml:space="preserve">ations </w:t>
      </w:r>
      <w:r w:rsidRPr="007F2F7C">
        <w:rPr>
          <w:color w:val="000000"/>
          <w:szCs w:val="24"/>
        </w:rPr>
        <w:t xml:space="preserve">that the Township owes them money pursuant to the Settlement Agreement, which is a purely contractual claim, and which is contested by the Township.  The Authority and Borough request that the Commission “condition any approval of the Application on the full reimbursement of the $470,184.22 in Authority costs advanced towards the Siphon Project, plus interest and costs.” </w:t>
      </w:r>
      <w:r w:rsidR="007B00E7" w:rsidRPr="007F2F7C">
        <w:rPr>
          <w:color w:val="000000"/>
          <w:szCs w:val="24"/>
        </w:rPr>
        <w:t xml:space="preserve"> </w:t>
      </w:r>
      <w:r w:rsidRPr="007F2F7C">
        <w:rPr>
          <w:color w:val="000000"/>
          <w:szCs w:val="24"/>
        </w:rPr>
        <w:t xml:space="preserve">PAWC and the Township argue that the Borough and Authority are using their Protest in an attempt to pressure the Township into making the disputed payments in order for the STSA to be assigned and for Closing to be allowed to occur. </w:t>
      </w:r>
    </w:p>
    <w:p w14:paraId="249D58E4" w14:textId="77777777" w:rsidR="005832F7" w:rsidRPr="007F2F7C" w:rsidRDefault="005832F7" w:rsidP="005832F7">
      <w:pPr>
        <w:tabs>
          <w:tab w:val="left" w:pos="1440"/>
        </w:tabs>
        <w:textAlignment w:val="baseline"/>
        <w:rPr>
          <w:color w:val="000000"/>
          <w:szCs w:val="24"/>
        </w:rPr>
      </w:pPr>
    </w:p>
    <w:p w14:paraId="6965AD15" w14:textId="46E40AF7" w:rsidR="004A2DBE" w:rsidRDefault="004A2DBE" w:rsidP="005832F7">
      <w:pPr>
        <w:ind w:firstLine="1440"/>
        <w:textAlignment w:val="baseline"/>
        <w:rPr>
          <w:color w:val="000000"/>
          <w:szCs w:val="24"/>
        </w:rPr>
      </w:pPr>
      <w:r w:rsidRPr="007F2F7C">
        <w:rPr>
          <w:color w:val="000000"/>
          <w:szCs w:val="24"/>
        </w:rPr>
        <w:t xml:space="preserve">In a footnote to their Preliminary objections, PAWC and the Township </w:t>
      </w:r>
      <w:r w:rsidR="005545E5" w:rsidRPr="007F2F7C">
        <w:rPr>
          <w:color w:val="000000"/>
          <w:szCs w:val="24"/>
        </w:rPr>
        <w:t xml:space="preserve">note </w:t>
      </w:r>
      <w:r w:rsidRPr="007F2F7C">
        <w:rPr>
          <w:color w:val="000000"/>
          <w:szCs w:val="24"/>
        </w:rPr>
        <w:t>that</w:t>
      </w:r>
      <w:r w:rsidR="00622774" w:rsidRPr="007F2F7C">
        <w:rPr>
          <w:color w:val="000000"/>
          <w:szCs w:val="24"/>
        </w:rPr>
        <w:t xml:space="preserve"> the Township</w:t>
      </w:r>
      <w:r w:rsidR="00036834" w:rsidRPr="007F2F7C">
        <w:rPr>
          <w:color w:val="000000"/>
          <w:szCs w:val="24"/>
        </w:rPr>
        <w:t xml:space="preserve"> </w:t>
      </w:r>
      <w:r w:rsidRPr="007F2F7C">
        <w:rPr>
          <w:color w:val="000000"/>
          <w:szCs w:val="24"/>
        </w:rPr>
        <w:t xml:space="preserve">filed a Complaint in Equity for Final Injunction against </w:t>
      </w:r>
      <w:r w:rsidR="00036834" w:rsidRPr="007F2F7C">
        <w:rPr>
          <w:color w:val="000000"/>
          <w:szCs w:val="24"/>
        </w:rPr>
        <w:t xml:space="preserve">the Authority and Borough, </w:t>
      </w:r>
      <w:r w:rsidR="009A56A5" w:rsidRPr="007F2F7C">
        <w:rPr>
          <w:color w:val="000000"/>
          <w:szCs w:val="24"/>
        </w:rPr>
        <w:t xml:space="preserve">on May 18, 2021, </w:t>
      </w:r>
      <w:r w:rsidRPr="007F2F7C">
        <w:rPr>
          <w:color w:val="000000"/>
          <w:szCs w:val="24"/>
        </w:rPr>
        <w:t>in the Court of Common Pleas for Montgomery County (Civil Complaint)</w:t>
      </w:r>
      <w:r w:rsidR="00341844" w:rsidRPr="007F2F7C">
        <w:rPr>
          <w:color w:val="000000"/>
          <w:szCs w:val="24"/>
        </w:rPr>
        <w:t xml:space="preserve">.  The Civil Complaint </w:t>
      </w:r>
      <w:r w:rsidRPr="007F2F7C">
        <w:rPr>
          <w:color w:val="000000"/>
          <w:szCs w:val="24"/>
        </w:rPr>
        <w:t>ask</w:t>
      </w:r>
      <w:r w:rsidR="00341844" w:rsidRPr="007F2F7C">
        <w:rPr>
          <w:color w:val="000000"/>
          <w:szCs w:val="24"/>
        </w:rPr>
        <w:t xml:space="preserve">s </w:t>
      </w:r>
      <w:r w:rsidRPr="007F2F7C">
        <w:rPr>
          <w:color w:val="000000"/>
          <w:szCs w:val="24"/>
        </w:rPr>
        <w:t xml:space="preserve">the Court to order </w:t>
      </w:r>
      <w:r w:rsidR="00DD24C1" w:rsidRPr="007F2F7C">
        <w:rPr>
          <w:color w:val="000000"/>
          <w:szCs w:val="24"/>
        </w:rPr>
        <w:t xml:space="preserve">the Authority </w:t>
      </w:r>
      <w:r w:rsidRPr="007F2F7C">
        <w:rPr>
          <w:color w:val="000000"/>
          <w:szCs w:val="24"/>
        </w:rPr>
        <w:t>and B</w:t>
      </w:r>
      <w:r w:rsidR="00DD24C1" w:rsidRPr="007F2F7C">
        <w:rPr>
          <w:color w:val="000000"/>
          <w:szCs w:val="24"/>
        </w:rPr>
        <w:t xml:space="preserve">orough </w:t>
      </w:r>
      <w:r w:rsidRPr="007F2F7C">
        <w:rPr>
          <w:color w:val="000000"/>
          <w:szCs w:val="24"/>
        </w:rPr>
        <w:t xml:space="preserve">to consent to the assignment and assumption of the STSA prior to Closing. </w:t>
      </w:r>
      <w:r w:rsidR="00C0475C" w:rsidRPr="007F2F7C">
        <w:rPr>
          <w:color w:val="000000"/>
          <w:szCs w:val="24"/>
        </w:rPr>
        <w:t xml:space="preserve"> </w:t>
      </w:r>
      <w:r w:rsidR="0044559E" w:rsidRPr="007F2F7C">
        <w:rPr>
          <w:color w:val="000000"/>
          <w:szCs w:val="24"/>
        </w:rPr>
        <w:t xml:space="preserve">PAWC and the Township aver </w:t>
      </w:r>
      <w:r w:rsidR="0044559E" w:rsidRPr="007F2F7C">
        <w:rPr>
          <w:color w:val="000000"/>
          <w:szCs w:val="24"/>
        </w:rPr>
        <w:lastRenderedPageBreak/>
        <w:t xml:space="preserve">that the </w:t>
      </w:r>
      <w:r w:rsidRPr="007F2F7C">
        <w:rPr>
          <w:color w:val="000000"/>
          <w:szCs w:val="24"/>
        </w:rPr>
        <w:t xml:space="preserve">contractual dispute between </w:t>
      </w:r>
      <w:r w:rsidR="00197965" w:rsidRPr="007F2F7C">
        <w:rPr>
          <w:color w:val="000000"/>
          <w:szCs w:val="24"/>
        </w:rPr>
        <w:t xml:space="preserve">the Township, Authority and Borough </w:t>
      </w:r>
      <w:r w:rsidRPr="007F2F7C">
        <w:rPr>
          <w:color w:val="000000"/>
          <w:szCs w:val="24"/>
        </w:rPr>
        <w:t>is a matter for the Court of Common Pleas for Montgomery County, Pennsylvania</w:t>
      </w:r>
      <w:r w:rsidR="00883E16" w:rsidRPr="007F2F7C">
        <w:rPr>
          <w:color w:val="000000"/>
          <w:szCs w:val="24"/>
        </w:rPr>
        <w:t xml:space="preserve"> and that the Commission</w:t>
      </w:r>
      <w:r w:rsidRPr="007F2F7C">
        <w:rPr>
          <w:color w:val="000000"/>
          <w:szCs w:val="24"/>
        </w:rPr>
        <w:t xml:space="preserve"> should not get involved</w:t>
      </w:r>
      <w:r w:rsidR="00E54066" w:rsidRPr="007F2F7C">
        <w:rPr>
          <w:color w:val="000000"/>
          <w:szCs w:val="24"/>
        </w:rPr>
        <w:t xml:space="preserve">, arguing the </w:t>
      </w:r>
      <w:r w:rsidRPr="007F2F7C">
        <w:rPr>
          <w:color w:val="000000"/>
          <w:szCs w:val="24"/>
        </w:rPr>
        <w:t xml:space="preserve">Commission lacks jurisdiction over contractual matters and Commission involvement could potentially result in inconsistent determinations”. </w:t>
      </w:r>
      <w:r w:rsidR="00E54066" w:rsidRPr="007F2F7C">
        <w:rPr>
          <w:rStyle w:val="FootnoteReference"/>
          <w:color w:val="000000"/>
          <w:szCs w:val="24"/>
        </w:rPr>
        <w:footnoteReference w:id="14"/>
      </w:r>
      <w:r w:rsidRPr="007F2F7C">
        <w:rPr>
          <w:color w:val="000000"/>
          <w:szCs w:val="24"/>
        </w:rPr>
        <w:t xml:space="preserve"> </w:t>
      </w:r>
    </w:p>
    <w:p w14:paraId="35857861" w14:textId="77777777" w:rsidR="005832F7" w:rsidRPr="007F2F7C" w:rsidRDefault="005832F7" w:rsidP="005832F7">
      <w:pPr>
        <w:ind w:firstLine="1440"/>
        <w:textAlignment w:val="baseline"/>
        <w:rPr>
          <w:color w:val="000000"/>
          <w:szCs w:val="24"/>
          <w:vertAlign w:val="superscript"/>
        </w:rPr>
      </w:pPr>
    </w:p>
    <w:p w14:paraId="27228C16" w14:textId="74C2147E" w:rsidR="001D1257" w:rsidRDefault="004A2DBE" w:rsidP="005832F7">
      <w:pPr>
        <w:tabs>
          <w:tab w:val="left" w:pos="1440"/>
        </w:tabs>
        <w:textAlignment w:val="baseline"/>
        <w:rPr>
          <w:color w:val="000000"/>
          <w:spacing w:val="-3"/>
          <w:szCs w:val="24"/>
        </w:rPr>
      </w:pPr>
      <w:r w:rsidRPr="007F2F7C">
        <w:rPr>
          <w:color w:val="000000"/>
          <w:szCs w:val="24"/>
        </w:rPr>
        <w:tab/>
        <w:t>PAWC and the Township a</w:t>
      </w:r>
      <w:r w:rsidR="0061483A" w:rsidRPr="007F2F7C">
        <w:rPr>
          <w:color w:val="000000"/>
          <w:szCs w:val="24"/>
        </w:rPr>
        <w:t xml:space="preserve">ssert </w:t>
      </w:r>
      <w:r w:rsidRPr="007F2F7C">
        <w:rPr>
          <w:color w:val="000000"/>
          <w:szCs w:val="24"/>
        </w:rPr>
        <w:t xml:space="preserve">the </w:t>
      </w:r>
      <w:r w:rsidR="0061483A" w:rsidRPr="007F2F7C">
        <w:rPr>
          <w:color w:val="000000"/>
          <w:szCs w:val="24"/>
        </w:rPr>
        <w:t xml:space="preserve">Joint </w:t>
      </w:r>
      <w:r w:rsidRPr="007F2F7C">
        <w:rPr>
          <w:color w:val="000000"/>
          <w:szCs w:val="24"/>
        </w:rPr>
        <w:t>Protest</w:t>
      </w:r>
      <w:r w:rsidR="00B948DF" w:rsidRPr="007F2F7C">
        <w:rPr>
          <w:color w:val="000000"/>
          <w:szCs w:val="24"/>
        </w:rPr>
        <w:t>ant</w:t>
      </w:r>
      <w:r w:rsidRPr="007F2F7C">
        <w:rPr>
          <w:color w:val="000000"/>
          <w:szCs w:val="24"/>
        </w:rPr>
        <w:t xml:space="preserve">’s averments concerning the Settlement Agreement ask this Commission to interpret or enforce that contract, rather than the provisions of the Pennsylvania Public Utility Code (Code), 66 Pa.C.S. § 101 </w:t>
      </w:r>
      <w:r w:rsidRPr="007F2F7C">
        <w:rPr>
          <w:i/>
          <w:color w:val="000000"/>
          <w:szCs w:val="24"/>
        </w:rPr>
        <w:t>et seq</w:t>
      </w:r>
      <w:r w:rsidRPr="007F2F7C">
        <w:rPr>
          <w:color w:val="000000"/>
          <w:szCs w:val="24"/>
        </w:rPr>
        <w:t>., a Commission regulation or order, or a utility tariff</w:t>
      </w:r>
      <w:r w:rsidR="008829E1" w:rsidRPr="007F2F7C">
        <w:rPr>
          <w:color w:val="000000"/>
          <w:szCs w:val="24"/>
        </w:rPr>
        <w:t xml:space="preserve">, and that </w:t>
      </w:r>
      <w:r w:rsidRPr="007F2F7C">
        <w:rPr>
          <w:color w:val="000000"/>
          <w:spacing w:val="-1"/>
          <w:szCs w:val="24"/>
        </w:rPr>
        <w:t xml:space="preserve">the </w:t>
      </w:r>
      <w:r w:rsidRPr="007F2F7C">
        <w:rPr>
          <w:color w:val="000000"/>
          <w:szCs w:val="24"/>
        </w:rPr>
        <w:t xml:space="preserve">Settlement Agreement is a contract entirely between and among municipal corporations as that term is defined in the Code. </w:t>
      </w:r>
      <w:r w:rsidR="00627EDF">
        <w:rPr>
          <w:color w:val="000000"/>
          <w:szCs w:val="24"/>
        </w:rPr>
        <w:t xml:space="preserve"> </w:t>
      </w:r>
      <w:r w:rsidRPr="007F2F7C">
        <w:rPr>
          <w:color w:val="000000"/>
          <w:szCs w:val="24"/>
        </w:rPr>
        <w:t>66 Pa.C.S. § 102</w:t>
      </w:r>
      <w:r w:rsidR="00360CEC" w:rsidRPr="007F2F7C">
        <w:rPr>
          <w:color w:val="000000"/>
          <w:szCs w:val="24"/>
        </w:rPr>
        <w:t>;</w:t>
      </w:r>
      <w:r w:rsidR="00456565" w:rsidRPr="007F2F7C">
        <w:rPr>
          <w:color w:val="000000"/>
          <w:szCs w:val="24"/>
        </w:rPr>
        <w:t xml:space="preserve"> that </w:t>
      </w:r>
      <w:r w:rsidR="004233AD" w:rsidRPr="007F2F7C">
        <w:rPr>
          <w:color w:val="000000"/>
          <w:szCs w:val="24"/>
        </w:rPr>
        <w:t xml:space="preserve"> </w:t>
      </w:r>
      <w:r w:rsidRPr="007F2F7C">
        <w:rPr>
          <w:color w:val="000000"/>
          <w:szCs w:val="24"/>
        </w:rPr>
        <w:t>PAWC is not a party to it and the Settlement Agreement will not be assigned to PAWC as part of the transaction contemplated by the Application</w:t>
      </w:r>
      <w:r w:rsidR="00FF1231" w:rsidRPr="007F2F7C">
        <w:rPr>
          <w:color w:val="000000"/>
          <w:szCs w:val="24"/>
        </w:rPr>
        <w:t xml:space="preserve">; </w:t>
      </w:r>
      <w:r w:rsidR="00F36217" w:rsidRPr="007F2F7C">
        <w:rPr>
          <w:color w:val="000000"/>
          <w:szCs w:val="24"/>
        </w:rPr>
        <w:t xml:space="preserve">and that the </w:t>
      </w:r>
      <w:r w:rsidRPr="007F2F7C">
        <w:rPr>
          <w:color w:val="000000"/>
          <w:spacing w:val="-3"/>
          <w:szCs w:val="24"/>
        </w:rPr>
        <w:t>Commission lacks jurisdiction to regulate municipal corporations or to enforce their contracts, and argue, to the extent the Protest concerns the Settlement Agreement, the Commission lacks jurisdiction to adjudicate the claims raised in the Protest.</w:t>
      </w:r>
      <w:r w:rsidR="001D1257" w:rsidRPr="007F2F7C">
        <w:rPr>
          <w:color w:val="000000"/>
          <w:spacing w:val="-3"/>
          <w:szCs w:val="24"/>
        </w:rPr>
        <w:t xml:space="preserve">  </w:t>
      </w:r>
    </w:p>
    <w:p w14:paraId="6E2AB5FC" w14:textId="77777777" w:rsidR="005832F7" w:rsidRPr="007F2F7C" w:rsidRDefault="005832F7" w:rsidP="005832F7">
      <w:pPr>
        <w:tabs>
          <w:tab w:val="left" w:pos="1440"/>
        </w:tabs>
        <w:textAlignment w:val="baseline"/>
        <w:rPr>
          <w:color w:val="000000"/>
          <w:spacing w:val="-3"/>
          <w:szCs w:val="24"/>
        </w:rPr>
      </w:pPr>
    </w:p>
    <w:p w14:paraId="5A22824E" w14:textId="671046ED" w:rsidR="004A63E2" w:rsidRDefault="003D4D70" w:rsidP="005832F7">
      <w:pPr>
        <w:tabs>
          <w:tab w:val="left" w:pos="1440"/>
        </w:tabs>
        <w:ind w:firstLine="1440"/>
        <w:textAlignment w:val="baseline"/>
        <w:rPr>
          <w:bCs/>
          <w:color w:val="000000"/>
          <w:szCs w:val="24"/>
        </w:rPr>
      </w:pPr>
      <w:r w:rsidRPr="007F2F7C">
        <w:rPr>
          <w:bCs/>
          <w:color w:val="000000"/>
          <w:szCs w:val="24"/>
        </w:rPr>
        <w:t>P</w:t>
      </w:r>
      <w:r w:rsidR="00E74179" w:rsidRPr="007F2F7C">
        <w:rPr>
          <w:bCs/>
          <w:color w:val="000000"/>
          <w:szCs w:val="24"/>
        </w:rPr>
        <w:t xml:space="preserve">AWC and the Township also assert </w:t>
      </w:r>
      <w:r w:rsidR="006D2B94" w:rsidRPr="007F2F7C">
        <w:rPr>
          <w:bCs/>
          <w:color w:val="000000"/>
          <w:szCs w:val="24"/>
        </w:rPr>
        <w:t xml:space="preserve">that the claim that the acquisition would not be in the public interest </w:t>
      </w:r>
      <w:r w:rsidR="00067F96" w:rsidRPr="007F2F7C">
        <w:rPr>
          <w:bCs/>
          <w:color w:val="000000"/>
          <w:szCs w:val="24"/>
        </w:rPr>
        <w:t xml:space="preserve">if the STSA is not assigned to PAWC is legally insufficient </w:t>
      </w:r>
      <w:r w:rsidR="00970D8D" w:rsidRPr="007F2F7C">
        <w:rPr>
          <w:bCs/>
          <w:color w:val="000000"/>
          <w:szCs w:val="24"/>
        </w:rPr>
        <w:t xml:space="preserve">because the closing is conditioned </w:t>
      </w:r>
      <w:r w:rsidR="00F524CD" w:rsidRPr="007F2F7C">
        <w:rPr>
          <w:bCs/>
          <w:color w:val="000000"/>
          <w:szCs w:val="24"/>
        </w:rPr>
        <w:t xml:space="preserve">on the assignment of the </w:t>
      </w:r>
      <w:r w:rsidR="004A63E2" w:rsidRPr="007F2F7C">
        <w:rPr>
          <w:bCs/>
          <w:color w:val="000000"/>
          <w:szCs w:val="24"/>
        </w:rPr>
        <w:t>STSA to PAWC</w:t>
      </w:r>
      <w:r w:rsidR="00F524CD" w:rsidRPr="007F2F7C">
        <w:rPr>
          <w:bCs/>
          <w:color w:val="000000"/>
          <w:szCs w:val="24"/>
        </w:rPr>
        <w:t>.</w:t>
      </w:r>
    </w:p>
    <w:p w14:paraId="1485303A" w14:textId="77777777" w:rsidR="005832F7" w:rsidRPr="007F2F7C" w:rsidRDefault="005832F7" w:rsidP="007F2F7C">
      <w:pPr>
        <w:tabs>
          <w:tab w:val="left" w:pos="1440"/>
        </w:tabs>
        <w:jc w:val="both"/>
        <w:textAlignment w:val="baseline"/>
        <w:rPr>
          <w:bCs/>
          <w:color w:val="000000"/>
          <w:szCs w:val="24"/>
        </w:rPr>
      </w:pPr>
    </w:p>
    <w:p w14:paraId="1842327B" w14:textId="77777777" w:rsidR="005832F7" w:rsidRDefault="005832F7" w:rsidP="005832F7">
      <w:pPr>
        <w:textAlignment w:val="baseline"/>
        <w:rPr>
          <w:color w:val="000000"/>
          <w:szCs w:val="24"/>
        </w:rPr>
      </w:pPr>
      <w:r>
        <w:rPr>
          <w:color w:val="000000"/>
          <w:szCs w:val="24"/>
        </w:rPr>
        <w:tab/>
      </w:r>
      <w:r>
        <w:rPr>
          <w:color w:val="000000"/>
          <w:szCs w:val="24"/>
        </w:rPr>
        <w:tab/>
      </w:r>
      <w:r w:rsidR="00CB4164" w:rsidRPr="007F2F7C">
        <w:rPr>
          <w:color w:val="000000"/>
          <w:szCs w:val="24"/>
        </w:rPr>
        <w:t xml:space="preserve">According to PAWC and the Township, the </w:t>
      </w:r>
      <w:r w:rsidR="004A63E2" w:rsidRPr="007F2F7C">
        <w:rPr>
          <w:color w:val="000000"/>
          <w:szCs w:val="24"/>
        </w:rPr>
        <w:t xml:space="preserve">Application, ¶¶ 3 and 45, asks the Commission to approve the APA as submitted, which states that assignment of the STSA is a condition precedent to Closing. </w:t>
      </w:r>
      <w:r w:rsidR="002C7B39" w:rsidRPr="007F2F7C">
        <w:rPr>
          <w:color w:val="000000"/>
          <w:szCs w:val="24"/>
        </w:rPr>
        <w:t xml:space="preserve">See </w:t>
      </w:r>
      <w:r w:rsidR="004A63E2" w:rsidRPr="007F2F7C">
        <w:rPr>
          <w:color w:val="000000"/>
          <w:szCs w:val="24"/>
        </w:rPr>
        <w:t>APA § 12.01</w:t>
      </w:r>
      <w:r w:rsidR="00C7346E" w:rsidRPr="007F2F7C">
        <w:rPr>
          <w:color w:val="000000"/>
          <w:szCs w:val="24"/>
        </w:rPr>
        <w:t xml:space="preserve">.  </w:t>
      </w:r>
      <w:r w:rsidR="00461A88" w:rsidRPr="007F2F7C">
        <w:rPr>
          <w:color w:val="000000"/>
          <w:szCs w:val="24"/>
        </w:rPr>
        <w:t xml:space="preserve">They further note that </w:t>
      </w:r>
      <w:r w:rsidR="004A63E2" w:rsidRPr="007F2F7C">
        <w:rPr>
          <w:color w:val="000000"/>
          <w:szCs w:val="24"/>
        </w:rPr>
        <w:t>PAWC has not requested that the Commission modify the STSA or otherwise approve the Acquisition without assignment of the STSA</w:t>
      </w:r>
      <w:r w:rsidR="00DF2E41" w:rsidRPr="007F2F7C">
        <w:rPr>
          <w:color w:val="000000"/>
          <w:szCs w:val="24"/>
        </w:rPr>
        <w:t xml:space="preserve">, and that, if </w:t>
      </w:r>
      <w:r w:rsidR="004A63E2" w:rsidRPr="007F2F7C">
        <w:rPr>
          <w:color w:val="000000"/>
          <w:szCs w:val="24"/>
        </w:rPr>
        <w:t>necessary, the Commission’s approval of the Application could explicitly acknowledge this condition or the Commission could condition its approval on the assignment of the STSA prior to Closing.</w:t>
      </w:r>
    </w:p>
    <w:p w14:paraId="6C7FE54A" w14:textId="33D1F21E" w:rsidR="00B1076B" w:rsidRPr="007F2F7C" w:rsidRDefault="00A13EA5" w:rsidP="005832F7">
      <w:pPr>
        <w:textAlignment w:val="baseline"/>
        <w:rPr>
          <w:spacing w:val="-3"/>
          <w:szCs w:val="24"/>
        </w:rPr>
      </w:pPr>
      <w:r w:rsidRPr="007F2F7C">
        <w:rPr>
          <w:color w:val="000000"/>
          <w:szCs w:val="24"/>
        </w:rPr>
        <w:tab/>
      </w:r>
    </w:p>
    <w:p w14:paraId="573471BD" w14:textId="229C5BD5" w:rsidR="00A72D27" w:rsidRPr="007F2F7C" w:rsidRDefault="00154A6A" w:rsidP="005666AD">
      <w:pPr>
        <w:ind w:firstLine="1440"/>
        <w:rPr>
          <w:szCs w:val="24"/>
        </w:rPr>
      </w:pPr>
      <w:r w:rsidRPr="007F2F7C">
        <w:rPr>
          <w:bCs/>
          <w:szCs w:val="24"/>
        </w:rPr>
        <w:lastRenderedPageBreak/>
        <w:t xml:space="preserve">On May 21, 2021, the Authority and Borough filed </w:t>
      </w:r>
      <w:r w:rsidR="008F1D2E" w:rsidRPr="007F2F7C">
        <w:rPr>
          <w:bCs/>
          <w:szCs w:val="24"/>
        </w:rPr>
        <w:t>a</w:t>
      </w:r>
      <w:r w:rsidR="00D44E65">
        <w:rPr>
          <w:bCs/>
          <w:szCs w:val="24"/>
        </w:rPr>
        <w:t xml:space="preserve"> Response to the </w:t>
      </w:r>
      <w:r w:rsidRPr="007F2F7C">
        <w:rPr>
          <w:szCs w:val="24"/>
        </w:rPr>
        <w:t>Answer to the Joint Preliminary Objections of Pennsylvania-American Water Company and Upper Pottsgrove Township</w:t>
      </w:r>
      <w:r w:rsidR="00F56724" w:rsidRPr="007F2F7C">
        <w:rPr>
          <w:szCs w:val="24"/>
        </w:rPr>
        <w:t xml:space="preserve">.  In the </w:t>
      </w:r>
      <w:r w:rsidR="00D44E65">
        <w:rPr>
          <w:szCs w:val="24"/>
        </w:rPr>
        <w:t>Response</w:t>
      </w:r>
      <w:r w:rsidR="00F56724" w:rsidRPr="007F2F7C">
        <w:rPr>
          <w:szCs w:val="24"/>
        </w:rPr>
        <w:t>, the B</w:t>
      </w:r>
      <w:r w:rsidR="00BC2D75" w:rsidRPr="007F2F7C">
        <w:rPr>
          <w:szCs w:val="24"/>
        </w:rPr>
        <w:t>o</w:t>
      </w:r>
      <w:r w:rsidR="00F56724" w:rsidRPr="007F2F7C">
        <w:rPr>
          <w:szCs w:val="24"/>
        </w:rPr>
        <w:t xml:space="preserve">rough and Authority </w:t>
      </w:r>
      <w:r w:rsidR="00D44E65">
        <w:rPr>
          <w:szCs w:val="24"/>
        </w:rPr>
        <w:t xml:space="preserve">do not dispute </w:t>
      </w:r>
      <w:r w:rsidR="00F56724" w:rsidRPr="007F2F7C">
        <w:rPr>
          <w:szCs w:val="24"/>
        </w:rPr>
        <w:t xml:space="preserve"> </w:t>
      </w:r>
      <w:r w:rsidRPr="007F2F7C">
        <w:rPr>
          <w:szCs w:val="24"/>
        </w:rPr>
        <w:t xml:space="preserve">that the Sewage Treatment Service Agreement dated September 13, 2004 between </w:t>
      </w:r>
      <w:r w:rsidR="000125A9" w:rsidRPr="007F2F7C">
        <w:rPr>
          <w:szCs w:val="24"/>
        </w:rPr>
        <w:t xml:space="preserve">the </w:t>
      </w:r>
      <w:r w:rsidRPr="007F2F7C">
        <w:rPr>
          <w:szCs w:val="24"/>
        </w:rPr>
        <w:t>Township</w:t>
      </w:r>
      <w:r w:rsidR="000125A9" w:rsidRPr="007F2F7C">
        <w:rPr>
          <w:szCs w:val="24"/>
        </w:rPr>
        <w:t xml:space="preserve"> </w:t>
      </w:r>
      <w:r w:rsidRPr="007F2F7C">
        <w:rPr>
          <w:szCs w:val="24"/>
        </w:rPr>
        <w:t xml:space="preserve">and the Protestants must be assigned to and assumed by Pennsylvania-American Water Company in order for the acquisition of Upper Pottsgrove’s sewer system to close. </w:t>
      </w:r>
    </w:p>
    <w:p w14:paraId="40C1B5C2" w14:textId="77777777" w:rsidR="00204517" w:rsidRPr="007F2F7C" w:rsidRDefault="00204517" w:rsidP="007F2F7C">
      <w:pPr>
        <w:jc w:val="both"/>
        <w:rPr>
          <w:bCs/>
          <w:szCs w:val="24"/>
        </w:rPr>
      </w:pPr>
      <w:bookmarkStart w:id="0" w:name="_Hlk72402548"/>
    </w:p>
    <w:p w14:paraId="60F1764C" w14:textId="04173D2B" w:rsidR="00154A6A" w:rsidRPr="007F2F7C" w:rsidRDefault="005D737F" w:rsidP="005832F7">
      <w:pPr>
        <w:ind w:firstLine="1440"/>
        <w:rPr>
          <w:szCs w:val="24"/>
        </w:rPr>
      </w:pPr>
      <w:r w:rsidRPr="007F2F7C">
        <w:rPr>
          <w:bCs/>
          <w:szCs w:val="24"/>
        </w:rPr>
        <w:t>Protestants aver that a</w:t>
      </w:r>
      <w:bookmarkEnd w:id="0"/>
      <w:r w:rsidR="00154A6A" w:rsidRPr="007F2F7C">
        <w:rPr>
          <w:szCs w:val="24"/>
        </w:rPr>
        <w:t xml:space="preserve">lthough the dispute between Protestants and </w:t>
      </w:r>
      <w:r w:rsidR="00AC54DB" w:rsidRPr="007F2F7C">
        <w:rPr>
          <w:szCs w:val="24"/>
        </w:rPr>
        <w:t xml:space="preserve">the Township </w:t>
      </w:r>
      <w:r w:rsidR="00154A6A" w:rsidRPr="007F2F7C">
        <w:rPr>
          <w:szCs w:val="24"/>
        </w:rPr>
        <w:t>involves a contractual claim, the likely failure of Upper Pottsgrove to ever obtain the necessary consent to assign the STSA to PAWC in order to complete the transaction ought to be allowed to be brought before the Commission</w:t>
      </w:r>
      <w:r w:rsidR="00354660" w:rsidRPr="007F2F7C">
        <w:rPr>
          <w:szCs w:val="24"/>
        </w:rPr>
        <w:t xml:space="preserve">.  </w:t>
      </w:r>
      <w:r w:rsidR="00CC6381" w:rsidRPr="007F2F7C">
        <w:rPr>
          <w:szCs w:val="24"/>
        </w:rPr>
        <w:t xml:space="preserve">Protestants further aver </w:t>
      </w:r>
      <w:r w:rsidR="00904A0A" w:rsidRPr="007F2F7C">
        <w:rPr>
          <w:szCs w:val="24"/>
        </w:rPr>
        <w:t xml:space="preserve">that </w:t>
      </w:r>
      <w:r w:rsidR="00154A6A" w:rsidRPr="007F2F7C">
        <w:rPr>
          <w:szCs w:val="24"/>
        </w:rPr>
        <w:t xml:space="preserve">the Protest is necessary to inform the Commission of </w:t>
      </w:r>
      <w:r w:rsidR="00D00547" w:rsidRPr="007F2F7C">
        <w:rPr>
          <w:szCs w:val="24"/>
        </w:rPr>
        <w:t>the Township</w:t>
      </w:r>
      <w:r w:rsidR="00154A6A" w:rsidRPr="007F2F7C">
        <w:rPr>
          <w:szCs w:val="24"/>
        </w:rPr>
        <w:t>'s failure to satisfy its obligations under the July 2, 2013 Settlement Agreement</w:t>
      </w:r>
      <w:r w:rsidR="00555700" w:rsidRPr="007F2F7C">
        <w:rPr>
          <w:szCs w:val="24"/>
        </w:rPr>
        <w:t xml:space="preserve"> </w:t>
      </w:r>
      <w:r w:rsidR="00154A6A" w:rsidRPr="007F2F7C">
        <w:rPr>
          <w:szCs w:val="24"/>
        </w:rPr>
        <w:t>to reimburse the costs of the Siphon Project, and that such failure is a good faith basis for the Protestants to withhold consent to the assignment of the STSA to PAWC.</w:t>
      </w:r>
    </w:p>
    <w:p w14:paraId="047B783D" w14:textId="77777777" w:rsidR="00CB61ED" w:rsidRPr="007F2F7C" w:rsidRDefault="00CB61ED" w:rsidP="007F2F7C">
      <w:pPr>
        <w:jc w:val="both"/>
        <w:rPr>
          <w:szCs w:val="24"/>
        </w:rPr>
      </w:pPr>
    </w:p>
    <w:p w14:paraId="2A5433CD" w14:textId="61059AE2" w:rsidR="00154A6A" w:rsidRPr="007F2F7C" w:rsidRDefault="00622488" w:rsidP="005832F7">
      <w:pPr>
        <w:ind w:firstLine="1440"/>
        <w:rPr>
          <w:szCs w:val="24"/>
        </w:rPr>
      </w:pPr>
      <w:r w:rsidRPr="007F2F7C">
        <w:rPr>
          <w:szCs w:val="24"/>
        </w:rPr>
        <w:t>Protestan</w:t>
      </w:r>
      <w:r w:rsidR="00B655BB" w:rsidRPr="007F2F7C">
        <w:rPr>
          <w:szCs w:val="24"/>
        </w:rPr>
        <w:t>t</w:t>
      </w:r>
      <w:r w:rsidRPr="007F2F7C">
        <w:rPr>
          <w:szCs w:val="24"/>
        </w:rPr>
        <w:t xml:space="preserve">s </w:t>
      </w:r>
      <w:r w:rsidR="00B655BB" w:rsidRPr="007F2F7C">
        <w:rPr>
          <w:szCs w:val="24"/>
        </w:rPr>
        <w:t xml:space="preserve">also assert that they </w:t>
      </w:r>
      <w:r w:rsidR="00154A6A" w:rsidRPr="007F2F7C">
        <w:rPr>
          <w:szCs w:val="24"/>
        </w:rPr>
        <w:t xml:space="preserve">filed a Protest to inform the Commission that the transaction cannot close until Upper Pottsgrove fulfills its obligations under the Settlement Agreement and to further urge the Commission to condition any approval on full and complete satisfaction of Upper Pottsgrove’s outstanding obligations. Moreover, </w:t>
      </w:r>
      <w:r w:rsidR="0021417D" w:rsidRPr="007F2F7C">
        <w:rPr>
          <w:szCs w:val="24"/>
        </w:rPr>
        <w:t xml:space="preserve">Protestants aver that </w:t>
      </w:r>
      <w:r w:rsidR="005950B0" w:rsidRPr="007F2F7C">
        <w:rPr>
          <w:szCs w:val="24"/>
        </w:rPr>
        <w:t>the Township</w:t>
      </w:r>
      <w:r w:rsidR="00154A6A" w:rsidRPr="007F2F7C">
        <w:rPr>
          <w:szCs w:val="24"/>
        </w:rPr>
        <w:t xml:space="preserve">’s failure to make the payments as required by the Settlement Agreement has a direct and substantially detrimental effect on residents and ratepayers of the Protestants in that residents and ratepayers will bear the costs of the Siphon Project when they do not benefit from the Siphon Project. Absent the Protest, the Protestants </w:t>
      </w:r>
      <w:r w:rsidR="005950B0" w:rsidRPr="007F2F7C">
        <w:rPr>
          <w:szCs w:val="24"/>
        </w:rPr>
        <w:t xml:space="preserve">argue that </w:t>
      </w:r>
      <w:r w:rsidR="001641E9" w:rsidRPr="007F2F7C">
        <w:rPr>
          <w:szCs w:val="24"/>
        </w:rPr>
        <w:t xml:space="preserve">they </w:t>
      </w:r>
      <w:r w:rsidR="00154A6A" w:rsidRPr="007F2F7C">
        <w:rPr>
          <w:szCs w:val="24"/>
        </w:rPr>
        <w:t xml:space="preserve">will lose their rights to raise this concern to the Commission, and the Commission will be unable to weigh such detrimental effects in rendering its decision as to whether the Application is in the public interest. </w:t>
      </w:r>
    </w:p>
    <w:p w14:paraId="63536FA1" w14:textId="375CCB3A" w:rsidR="00154A6A" w:rsidRPr="007F2F7C" w:rsidRDefault="00154A6A" w:rsidP="007F2F7C">
      <w:pPr>
        <w:pStyle w:val="ListParagraph"/>
        <w:autoSpaceDE/>
        <w:autoSpaceDN/>
        <w:spacing w:line="360" w:lineRule="auto"/>
        <w:jc w:val="both"/>
        <w:rPr>
          <w:rFonts w:ascii="Times New Roman" w:hAnsi="Times New Roman" w:cs="Times New Roman"/>
        </w:rPr>
      </w:pPr>
    </w:p>
    <w:p w14:paraId="6021273F" w14:textId="1875158D" w:rsidR="00154A6A" w:rsidRPr="007F2F7C" w:rsidRDefault="00154A6A" w:rsidP="005832F7">
      <w:pPr>
        <w:ind w:firstLine="1440"/>
        <w:rPr>
          <w:szCs w:val="24"/>
        </w:rPr>
      </w:pPr>
      <w:r w:rsidRPr="007F2F7C">
        <w:rPr>
          <w:szCs w:val="24"/>
        </w:rPr>
        <w:t>Protestant</w:t>
      </w:r>
      <w:r w:rsidR="000145C5" w:rsidRPr="007F2F7C">
        <w:rPr>
          <w:szCs w:val="24"/>
        </w:rPr>
        <w:t xml:space="preserve">s explain that they </w:t>
      </w:r>
      <w:r w:rsidRPr="007F2F7C">
        <w:rPr>
          <w:szCs w:val="24"/>
        </w:rPr>
        <w:t xml:space="preserve">are asserting that Protestants have a good faith basis for withholding their consent to any assignment of the STSA to PAWC given </w:t>
      </w:r>
      <w:r w:rsidR="00E25515" w:rsidRPr="007F2F7C">
        <w:rPr>
          <w:szCs w:val="24"/>
        </w:rPr>
        <w:t>the Township</w:t>
      </w:r>
      <w:r w:rsidRPr="007F2F7C">
        <w:rPr>
          <w:szCs w:val="24"/>
        </w:rPr>
        <w:t xml:space="preserve">’s </w:t>
      </w:r>
      <w:r w:rsidR="00D44E65">
        <w:rPr>
          <w:szCs w:val="24"/>
        </w:rPr>
        <w:t xml:space="preserve">alleged </w:t>
      </w:r>
      <w:r w:rsidRPr="007F2F7C">
        <w:rPr>
          <w:szCs w:val="24"/>
        </w:rPr>
        <w:t xml:space="preserve">anticipated breach of the Settlement Agreement. </w:t>
      </w:r>
    </w:p>
    <w:p w14:paraId="5306B914" w14:textId="524B69AA" w:rsidR="00154A6A" w:rsidRPr="007F2F7C" w:rsidRDefault="00154A6A" w:rsidP="007F2F7C">
      <w:pPr>
        <w:pStyle w:val="ListParagraph"/>
        <w:autoSpaceDE/>
        <w:autoSpaceDN/>
        <w:spacing w:line="360" w:lineRule="auto"/>
        <w:jc w:val="both"/>
        <w:rPr>
          <w:rFonts w:ascii="Times New Roman" w:hAnsi="Times New Roman" w:cs="Times New Roman"/>
        </w:rPr>
      </w:pPr>
      <w:bookmarkStart w:id="1" w:name="_Hlk72405680"/>
    </w:p>
    <w:p w14:paraId="3221821D" w14:textId="77777777" w:rsidR="00AC13E3" w:rsidRPr="007F2F7C" w:rsidRDefault="00AC13E3" w:rsidP="007F2F7C">
      <w:pPr>
        <w:pStyle w:val="ListParagraph"/>
        <w:autoSpaceDE/>
        <w:autoSpaceDN/>
        <w:spacing w:line="360" w:lineRule="auto"/>
        <w:jc w:val="both"/>
        <w:rPr>
          <w:rFonts w:ascii="Times New Roman" w:hAnsi="Times New Roman" w:cs="Times New Roman"/>
        </w:rPr>
      </w:pPr>
    </w:p>
    <w:bookmarkEnd w:id="1"/>
    <w:p w14:paraId="6AC80EEB" w14:textId="0FFCF3BA" w:rsidR="00154A6A" w:rsidRPr="007F2F7C" w:rsidRDefault="0043480F" w:rsidP="005832F7">
      <w:pPr>
        <w:ind w:firstLine="1440"/>
        <w:rPr>
          <w:szCs w:val="24"/>
        </w:rPr>
      </w:pPr>
      <w:r w:rsidRPr="007F2F7C">
        <w:rPr>
          <w:szCs w:val="24"/>
        </w:rPr>
        <w:lastRenderedPageBreak/>
        <w:t xml:space="preserve">Protestants </w:t>
      </w:r>
      <w:r w:rsidR="00D61ADE" w:rsidRPr="007F2F7C">
        <w:rPr>
          <w:szCs w:val="24"/>
        </w:rPr>
        <w:t xml:space="preserve">further </w:t>
      </w:r>
      <w:r w:rsidRPr="007F2F7C">
        <w:rPr>
          <w:szCs w:val="24"/>
        </w:rPr>
        <w:t>aver that</w:t>
      </w:r>
      <w:r w:rsidR="00154A6A" w:rsidRPr="007F2F7C">
        <w:rPr>
          <w:szCs w:val="24"/>
        </w:rPr>
        <w:t xml:space="preserve"> the transaction cannot close, and PAWC cannot serve its potential customers, without the assignment of the STSA to PAWC. Accordingly, PAWC cannot demonstrate to the Commission that it has the ability to provide adequate wastewater collection, treatment or disposal capacity to meet present and future customer demands. </w:t>
      </w:r>
      <w:r w:rsidR="00E02491" w:rsidRPr="007F2F7C">
        <w:rPr>
          <w:szCs w:val="24"/>
        </w:rPr>
        <w:t>Protestants argue that t</w:t>
      </w:r>
      <w:r w:rsidR="00154A6A" w:rsidRPr="007F2F7C">
        <w:rPr>
          <w:szCs w:val="24"/>
        </w:rPr>
        <w:t>he Commission should be aware that Protestants will not agree to an assignment of the STSA unless and until Upper Pottsgrove satisfies its obligations under the Settlement Agreement.  Protestants request that the Commission expressly condition any approval of the transaction on a completed assignment of the STSA prior to closing, and further request that Protestants be permitted to participate as parties to this proceeding.</w:t>
      </w:r>
    </w:p>
    <w:p w14:paraId="13731F41" w14:textId="77777777" w:rsidR="000E4997" w:rsidRPr="007F2F7C" w:rsidRDefault="000E4997" w:rsidP="007F2F7C">
      <w:pPr>
        <w:ind w:firstLine="720"/>
        <w:jc w:val="both"/>
        <w:rPr>
          <w:szCs w:val="24"/>
        </w:rPr>
      </w:pPr>
    </w:p>
    <w:p w14:paraId="17F14B8E" w14:textId="6F0FAED8" w:rsidR="00154A6A" w:rsidRPr="007F2F7C" w:rsidRDefault="00154A6A" w:rsidP="005832F7">
      <w:pPr>
        <w:ind w:firstLine="1440"/>
        <w:rPr>
          <w:szCs w:val="24"/>
        </w:rPr>
      </w:pPr>
      <w:r w:rsidRPr="007F2F7C">
        <w:rPr>
          <w:szCs w:val="24"/>
        </w:rPr>
        <w:t>Protestants</w:t>
      </w:r>
      <w:r w:rsidR="00464B56" w:rsidRPr="007F2F7C">
        <w:rPr>
          <w:szCs w:val="24"/>
        </w:rPr>
        <w:t xml:space="preserve"> further assert that they</w:t>
      </w:r>
      <w:r w:rsidRPr="007F2F7C">
        <w:rPr>
          <w:szCs w:val="24"/>
        </w:rPr>
        <w:t xml:space="preserve"> seek to participate as parties in these proceedings to protect the interests of Borough residents and Authority ratepayers</w:t>
      </w:r>
      <w:r w:rsidR="00464B56" w:rsidRPr="007F2F7C">
        <w:rPr>
          <w:szCs w:val="24"/>
        </w:rPr>
        <w:t xml:space="preserve"> and that t</w:t>
      </w:r>
      <w:r w:rsidRPr="007F2F7C">
        <w:rPr>
          <w:szCs w:val="24"/>
        </w:rPr>
        <w:t xml:space="preserve">he Commission should not approve the requested transaction until PAWC has demonstrated its ability to service Upper Pottsgrove’s customers, which ability, in turn, depends upon the assignment of the STSA and Protestants’ consent thereto. </w:t>
      </w:r>
    </w:p>
    <w:p w14:paraId="75F5359D" w14:textId="77777777" w:rsidR="00B533DE" w:rsidRPr="007F2F7C" w:rsidRDefault="00B533DE" w:rsidP="005666AD">
      <w:pPr>
        <w:ind w:firstLine="1440"/>
        <w:rPr>
          <w:szCs w:val="24"/>
        </w:rPr>
      </w:pPr>
    </w:p>
    <w:p w14:paraId="0DDC5248" w14:textId="0DB0539B" w:rsidR="00CD2D63" w:rsidRPr="007F2F7C" w:rsidRDefault="00B533DE" w:rsidP="005666AD">
      <w:pPr>
        <w:ind w:firstLine="1440"/>
        <w:rPr>
          <w:szCs w:val="24"/>
        </w:rPr>
      </w:pPr>
      <w:r w:rsidRPr="007F2F7C">
        <w:rPr>
          <w:szCs w:val="24"/>
        </w:rPr>
        <w:t xml:space="preserve">On May 24, 2021, </w:t>
      </w:r>
      <w:r w:rsidR="00A564F5" w:rsidRPr="007F2F7C">
        <w:rPr>
          <w:szCs w:val="24"/>
        </w:rPr>
        <w:t xml:space="preserve">PAWC and the Township filed an Answer to the Responsive Pleading filed by the Authority and Borough.  </w:t>
      </w:r>
    </w:p>
    <w:p w14:paraId="1F50F6B3" w14:textId="77777777" w:rsidR="008425B3" w:rsidRPr="007F2F7C" w:rsidRDefault="008425B3" w:rsidP="007F2F7C">
      <w:pPr>
        <w:ind w:firstLine="720"/>
        <w:jc w:val="both"/>
        <w:rPr>
          <w:szCs w:val="24"/>
        </w:rPr>
      </w:pPr>
    </w:p>
    <w:p w14:paraId="7B458BBF" w14:textId="1D3FF417" w:rsidR="00A564F5" w:rsidRPr="007F2F7C" w:rsidRDefault="00A564F5" w:rsidP="000C2B60">
      <w:pPr>
        <w:ind w:firstLine="1440"/>
        <w:rPr>
          <w:szCs w:val="24"/>
        </w:rPr>
      </w:pPr>
      <w:r w:rsidRPr="007F2F7C">
        <w:rPr>
          <w:szCs w:val="24"/>
        </w:rPr>
        <w:t xml:space="preserve">PAWC and </w:t>
      </w:r>
      <w:r w:rsidR="00F44AAA" w:rsidRPr="007F2F7C">
        <w:rPr>
          <w:szCs w:val="24"/>
        </w:rPr>
        <w:t xml:space="preserve">the Township </w:t>
      </w:r>
      <w:r w:rsidR="00A70B2C" w:rsidRPr="007F2F7C">
        <w:rPr>
          <w:szCs w:val="24"/>
        </w:rPr>
        <w:t xml:space="preserve">note that the </w:t>
      </w:r>
      <w:r w:rsidRPr="007F2F7C">
        <w:rPr>
          <w:szCs w:val="24"/>
        </w:rPr>
        <w:t xml:space="preserve">Application, ¶¶ 3 and 45, asks the Commission to approve the APA as submitted, which states that assignment of the STSA is a condition precedent to Closing.  </w:t>
      </w:r>
      <w:r w:rsidR="0099131A" w:rsidRPr="007F2F7C">
        <w:rPr>
          <w:szCs w:val="24"/>
        </w:rPr>
        <w:t xml:space="preserve">See </w:t>
      </w:r>
      <w:r w:rsidRPr="007F2F7C">
        <w:rPr>
          <w:szCs w:val="24"/>
        </w:rPr>
        <w:t>APA § 12.01</w:t>
      </w:r>
      <w:r w:rsidR="00581032" w:rsidRPr="007F2F7C">
        <w:rPr>
          <w:szCs w:val="24"/>
        </w:rPr>
        <w:t xml:space="preserve">.  </w:t>
      </w:r>
      <w:r w:rsidRPr="007F2F7C">
        <w:rPr>
          <w:szCs w:val="24"/>
        </w:rPr>
        <w:t xml:space="preserve">PAWC and </w:t>
      </w:r>
      <w:r w:rsidR="00252A5C" w:rsidRPr="007F2F7C">
        <w:rPr>
          <w:szCs w:val="24"/>
        </w:rPr>
        <w:t xml:space="preserve">the Township note they </w:t>
      </w:r>
      <w:r w:rsidRPr="007F2F7C">
        <w:rPr>
          <w:szCs w:val="24"/>
        </w:rPr>
        <w:t xml:space="preserve">have not requested that the Commission modify the STSA or otherwise approve the Acquisition without assignment of the STSA.  </w:t>
      </w:r>
      <w:r w:rsidR="00D7289E" w:rsidRPr="007F2F7C">
        <w:rPr>
          <w:szCs w:val="24"/>
        </w:rPr>
        <w:t>PAWC and the Township allege that th</w:t>
      </w:r>
      <w:r w:rsidRPr="007F2F7C">
        <w:rPr>
          <w:szCs w:val="24"/>
        </w:rPr>
        <w:t>e Commission can approve the Application as submitted because the Acquisition is already conditioned on the assignment of the STSA under the APA</w:t>
      </w:r>
      <w:r w:rsidR="000526AC" w:rsidRPr="007F2F7C">
        <w:rPr>
          <w:szCs w:val="24"/>
        </w:rPr>
        <w:t xml:space="preserve"> and </w:t>
      </w:r>
      <w:r w:rsidR="00D646F2" w:rsidRPr="007F2F7C">
        <w:rPr>
          <w:szCs w:val="24"/>
        </w:rPr>
        <w:t xml:space="preserve">that </w:t>
      </w:r>
      <w:r w:rsidRPr="007F2F7C">
        <w:rPr>
          <w:szCs w:val="24"/>
        </w:rPr>
        <w:t>the Protest</w:t>
      </w:r>
      <w:r w:rsidR="00D646F2" w:rsidRPr="007F2F7C">
        <w:rPr>
          <w:szCs w:val="24"/>
        </w:rPr>
        <w:t xml:space="preserve"> of the Authority and Borough is </w:t>
      </w:r>
      <w:r w:rsidRPr="007F2F7C">
        <w:rPr>
          <w:szCs w:val="24"/>
        </w:rPr>
        <w:t xml:space="preserve">legally insufficient because it does not oppose the Commission’s approval of the sale of the </w:t>
      </w:r>
      <w:r w:rsidR="00127B07" w:rsidRPr="007F2F7C">
        <w:rPr>
          <w:szCs w:val="24"/>
        </w:rPr>
        <w:t xml:space="preserve">Townships </w:t>
      </w:r>
      <w:r w:rsidRPr="007F2F7C">
        <w:rPr>
          <w:szCs w:val="24"/>
        </w:rPr>
        <w:t xml:space="preserve">wastewater system to PAWC, but only asks that it be conditioned on the assignment of the STSA, which the Application already contemplates.  Thus, </w:t>
      </w:r>
      <w:r w:rsidR="00127B07" w:rsidRPr="007F2F7C">
        <w:rPr>
          <w:szCs w:val="24"/>
        </w:rPr>
        <w:t xml:space="preserve">PAWC and the Township assert </w:t>
      </w:r>
      <w:r w:rsidR="007B76EC" w:rsidRPr="007F2F7C">
        <w:rPr>
          <w:szCs w:val="24"/>
        </w:rPr>
        <w:t xml:space="preserve">that the Authority and Borough </w:t>
      </w:r>
      <w:r w:rsidRPr="007F2F7C">
        <w:rPr>
          <w:szCs w:val="24"/>
        </w:rPr>
        <w:t>seek no relief different from what approval of the Application necessarily entails.</w:t>
      </w:r>
    </w:p>
    <w:p w14:paraId="47E626D6" w14:textId="0014FE95" w:rsidR="00154A6A" w:rsidRPr="007F2F7C" w:rsidRDefault="00154A6A" w:rsidP="007F2F7C">
      <w:pPr>
        <w:rPr>
          <w:noProof/>
          <w:szCs w:val="24"/>
        </w:rPr>
      </w:pPr>
    </w:p>
    <w:p w14:paraId="514BAC66" w14:textId="538D49EA" w:rsidR="00331F7E" w:rsidRDefault="00466785" w:rsidP="007F2F7C">
      <w:pPr>
        <w:tabs>
          <w:tab w:val="left" w:pos="720"/>
        </w:tabs>
        <w:textAlignment w:val="baseline"/>
        <w:rPr>
          <w:bCs/>
          <w:color w:val="000000"/>
          <w:szCs w:val="24"/>
          <w:u w:val="single"/>
        </w:rPr>
      </w:pPr>
      <w:r w:rsidRPr="007F2F7C">
        <w:rPr>
          <w:bCs/>
          <w:color w:val="000000"/>
          <w:szCs w:val="24"/>
          <w:u w:val="single"/>
        </w:rPr>
        <w:lastRenderedPageBreak/>
        <w:t>Discussion</w:t>
      </w:r>
    </w:p>
    <w:p w14:paraId="6E596BF3" w14:textId="77777777" w:rsidR="005832F7" w:rsidRPr="007F2F7C" w:rsidRDefault="005832F7" w:rsidP="007F2F7C">
      <w:pPr>
        <w:tabs>
          <w:tab w:val="left" w:pos="720"/>
        </w:tabs>
        <w:textAlignment w:val="baseline"/>
        <w:rPr>
          <w:bCs/>
          <w:color w:val="000000"/>
          <w:szCs w:val="24"/>
          <w:u w:val="single"/>
        </w:rPr>
      </w:pPr>
    </w:p>
    <w:p w14:paraId="5F21B3B9" w14:textId="778F303A" w:rsidR="00331F7E" w:rsidRDefault="004824F8" w:rsidP="005832F7">
      <w:pPr>
        <w:tabs>
          <w:tab w:val="left" w:pos="1440"/>
        </w:tabs>
        <w:textAlignment w:val="baseline"/>
        <w:rPr>
          <w:color w:val="000000"/>
          <w:szCs w:val="24"/>
        </w:rPr>
      </w:pPr>
      <w:r w:rsidRPr="007F2F7C">
        <w:rPr>
          <w:color w:val="000000"/>
          <w:szCs w:val="24"/>
        </w:rPr>
        <w:tab/>
      </w:r>
      <w:r w:rsidR="00331F7E" w:rsidRPr="007F2F7C">
        <w:rPr>
          <w:color w:val="000000"/>
          <w:szCs w:val="24"/>
        </w:rPr>
        <w:t>The Commission’s regulations permit a party to file preliminary objections in response to a pleading for certain enumerated reasons, including but not limited to lack of Commission jurisdiction and legal insufficiency of a pleading. 52 Pa. Code § 5.101(a)(1), (4).</w:t>
      </w:r>
    </w:p>
    <w:p w14:paraId="4B3A1116" w14:textId="77777777" w:rsidR="005832F7" w:rsidRPr="007F2F7C" w:rsidRDefault="005832F7" w:rsidP="007F2F7C">
      <w:pPr>
        <w:tabs>
          <w:tab w:val="left" w:pos="1440"/>
        </w:tabs>
        <w:jc w:val="both"/>
        <w:textAlignment w:val="baseline"/>
        <w:rPr>
          <w:color w:val="000000"/>
          <w:szCs w:val="24"/>
        </w:rPr>
      </w:pPr>
    </w:p>
    <w:p w14:paraId="63DEE2FF" w14:textId="76DCE252" w:rsidR="00331F7E" w:rsidRPr="007F2F7C" w:rsidRDefault="001F604D" w:rsidP="005832F7">
      <w:pPr>
        <w:tabs>
          <w:tab w:val="left" w:pos="1440"/>
        </w:tabs>
        <w:textAlignment w:val="baseline"/>
        <w:rPr>
          <w:color w:val="000000"/>
          <w:szCs w:val="24"/>
        </w:rPr>
      </w:pPr>
      <w:r w:rsidRPr="007F2F7C">
        <w:rPr>
          <w:color w:val="000000"/>
          <w:spacing w:val="-1"/>
          <w:szCs w:val="24"/>
        </w:rPr>
        <w:tab/>
      </w:r>
      <w:r w:rsidR="00331F7E" w:rsidRPr="007F2F7C">
        <w:rPr>
          <w:color w:val="000000"/>
          <w:spacing w:val="-1"/>
          <w:szCs w:val="24"/>
        </w:rPr>
        <w:t xml:space="preserve">When ruling on preliminary objections, the Presiding Officer must accept as true all well-pleaded allegations of material facts as well as all inferences reasonably deducible therefrom. </w:t>
      </w:r>
      <w:r w:rsidR="00331F7E" w:rsidRPr="007F2F7C">
        <w:rPr>
          <w:i/>
          <w:color w:val="000000"/>
          <w:spacing w:val="-1"/>
          <w:szCs w:val="24"/>
        </w:rPr>
        <w:t xml:space="preserve">Stilp v. Cmwlth., </w:t>
      </w:r>
      <w:r w:rsidR="00331F7E" w:rsidRPr="007F2F7C">
        <w:rPr>
          <w:color w:val="000000"/>
          <w:spacing w:val="-1"/>
          <w:szCs w:val="24"/>
        </w:rPr>
        <w:t xml:space="preserve">910 A.2d 775, 781 (Pa. Cmwlth. 2006) (citing </w:t>
      </w:r>
      <w:r w:rsidR="00331F7E" w:rsidRPr="007F2F7C">
        <w:rPr>
          <w:i/>
          <w:color w:val="000000"/>
          <w:spacing w:val="-1"/>
          <w:szCs w:val="24"/>
        </w:rPr>
        <w:t>Dep’t of General Serv. v. Bd. of Claims</w:t>
      </w:r>
      <w:r w:rsidR="00331F7E" w:rsidRPr="007F2F7C">
        <w:rPr>
          <w:color w:val="000000"/>
          <w:spacing w:val="-1"/>
          <w:szCs w:val="24"/>
        </w:rPr>
        <w:t>, 881 A.2d</w:t>
      </w:r>
      <w:r w:rsidR="005832F7">
        <w:rPr>
          <w:color w:val="000000"/>
          <w:spacing w:val="-1"/>
          <w:szCs w:val="24"/>
        </w:rPr>
        <w:t xml:space="preserve"> </w:t>
      </w:r>
      <w:r w:rsidR="00331F7E" w:rsidRPr="007F2F7C">
        <w:rPr>
          <w:color w:val="000000"/>
          <w:szCs w:val="24"/>
        </w:rPr>
        <w:t>14 (Pa. Cmwlth. 2005))</w:t>
      </w:r>
      <w:r w:rsidR="00331F7E" w:rsidRPr="007F2F7C">
        <w:rPr>
          <w:i/>
          <w:color w:val="000000"/>
          <w:szCs w:val="24"/>
        </w:rPr>
        <w:t xml:space="preserve">. </w:t>
      </w:r>
      <w:r w:rsidR="006846B4" w:rsidRPr="007F2F7C">
        <w:rPr>
          <w:i/>
          <w:color w:val="000000"/>
          <w:szCs w:val="24"/>
        </w:rPr>
        <w:t xml:space="preserve"> </w:t>
      </w:r>
      <w:r w:rsidR="00331F7E" w:rsidRPr="007F2F7C">
        <w:rPr>
          <w:color w:val="000000"/>
          <w:szCs w:val="24"/>
        </w:rPr>
        <w:t xml:space="preserve">In order to sustain preliminary objections, it must appear with certainty that the law will permit no recovery, and any doubt must be resolved in favor of the non-moving party. </w:t>
      </w:r>
      <w:r w:rsidR="00331F7E" w:rsidRPr="007F2F7C">
        <w:rPr>
          <w:i/>
          <w:color w:val="000000"/>
          <w:szCs w:val="24"/>
        </w:rPr>
        <w:t>Stilp</w:t>
      </w:r>
      <w:r w:rsidR="00331F7E" w:rsidRPr="007F2F7C">
        <w:rPr>
          <w:color w:val="000000"/>
          <w:szCs w:val="24"/>
        </w:rPr>
        <w:t xml:space="preserve">, 910 A.2d at 781. However, the Presiding Officer does not need to accept as true conclusions of law, unwarranted inferences from facts, argumentative allegations, or expressions of opinion. </w:t>
      </w:r>
      <w:r w:rsidR="00331F7E" w:rsidRPr="007F2F7C">
        <w:rPr>
          <w:i/>
          <w:color w:val="000000"/>
          <w:szCs w:val="24"/>
        </w:rPr>
        <w:t xml:space="preserve">Stanton-Negley Drug Co. v. Dep’t of Public Welfare, </w:t>
      </w:r>
      <w:r w:rsidR="00331F7E" w:rsidRPr="007F2F7C">
        <w:rPr>
          <w:color w:val="000000"/>
          <w:szCs w:val="24"/>
        </w:rPr>
        <w:t>927 A.2d 671, 673 (Pa. Cmwlth. 2007).</w:t>
      </w:r>
    </w:p>
    <w:p w14:paraId="14303FD6" w14:textId="390EF933" w:rsidR="00D80C4B" w:rsidRPr="007F2F7C" w:rsidRDefault="00D80C4B" w:rsidP="007F2F7C">
      <w:pPr>
        <w:ind w:left="72"/>
        <w:jc w:val="both"/>
        <w:textAlignment w:val="baseline"/>
        <w:rPr>
          <w:color w:val="000000"/>
          <w:szCs w:val="24"/>
        </w:rPr>
      </w:pPr>
    </w:p>
    <w:p w14:paraId="74F1EA05" w14:textId="12E35010" w:rsidR="00D85313" w:rsidRDefault="00466785" w:rsidP="005832F7">
      <w:pPr>
        <w:tabs>
          <w:tab w:val="left" w:pos="1440"/>
        </w:tabs>
        <w:textAlignment w:val="baseline"/>
        <w:rPr>
          <w:szCs w:val="24"/>
        </w:rPr>
      </w:pPr>
      <w:r w:rsidRPr="007F2F7C">
        <w:rPr>
          <w:szCs w:val="24"/>
        </w:rPr>
        <w:tab/>
        <w:t>The Protests, in pa</w:t>
      </w:r>
      <w:r w:rsidR="000522A6" w:rsidRPr="007F2F7C">
        <w:rPr>
          <w:szCs w:val="24"/>
        </w:rPr>
        <w:t xml:space="preserve">rt, request that the Commission condition any approval of </w:t>
      </w:r>
      <w:r w:rsidR="0067130C" w:rsidRPr="007F2F7C">
        <w:rPr>
          <w:szCs w:val="24"/>
        </w:rPr>
        <w:t xml:space="preserve">the Application on the full reimbursement of </w:t>
      </w:r>
      <w:r w:rsidR="00AA6516" w:rsidRPr="007F2F7C">
        <w:rPr>
          <w:szCs w:val="24"/>
        </w:rPr>
        <w:t>$470,184.22</w:t>
      </w:r>
      <w:r w:rsidR="000A09F9" w:rsidRPr="007F2F7C">
        <w:rPr>
          <w:szCs w:val="24"/>
        </w:rPr>
        <w:t xml:space="preserve"> in Authority costs advanced towards the </w:t>
      </w:r>
      <w:r w:rsidR="00B87802" w:rsidRPr="007F2F7C">
        <w:rPr>
          <w:szCs w:val="24"/>
        </w:rPr>
        <w:t>Siphon Project, plus interest and costs</w:t>
      </w:r>
      <w:r w:rsidR="004865BD" w:rsidRPr="007F2F7C">
        <w:rPr>
          <w:szCs w:val="24"/>
        </w:rPr>
        <w:t>.</w:t>
      </w:r>
      <w:r w:rsidR="003F1166" w:rsidRPr="007F2F7C">
        <w:rPr>
          <w:szCs w:val="24"/>
        </w:rPr>
        <w:t xml:space="preserve">  </w:t>
      </w:r>
      <w:r w:rsidR="00D85313" w:rsidRPr="007F2F7C">
        <w:rPr>
          <w:szCs w:val="24"/>
        </w:rPr>
        <w:t>In general, the Commission lacks the jurisdiction to award money damages.  This point has been well-settled in numerous decisions.</w:t>
      </w:r>
      <w:r w:rsidR="00D85313" w:rsidRPr="007F2F7C">
        <w:rPr>
          <w:rStyle w:val="FootnoteReference"/>
          <w:szCs w:val="24"/>
        </w:rPr>
        <w:footnoteReference w:id="15"/>
      </w:r>
      <w:r w:rsidR="00D85313" w:rsidRPr="007F2F7C">
        <w:rPr>
          <w:szCs w:val="24"/>
        </w:rPr>
        <w:t xml:space="preserve">  However, the Commission retains the jurisdiction to rule on any service and safety issues and may order other relief as appropriate.</w:t>
      </w:r>
      <w:r w:rsidR="00D85313" w:rsidRPr="007F2F7C">
        <w:rPr>
          <w:rStyle w:val="FootnoteReference"/>
          <w:szCs w:val="24"/>
        </w:rPr>
        <w:footnoteReference w:id="16"/>
      </w:r>
      <w:r w:rsidR="00D85313" w:rsidRPr="007F2F7C">
        <w:rPr>
          <w:szCs w:val="24"/>
        </w:rPr>
        <w:t xml:space="preserve">  The Commission has broad powers to supervise and regulate all public utilities doing business within the Commonwealth and is empowered to determine whether a </w:t>
      </w:r>
      <w:r w:rsidR="00D85313" w:rsidRPr="007F2F7C">
        <w:rPr>
          <w:szCs w:val="24"/>
        </w:rPr>
        <w:lastRenderedPageBreak/>
        <w:t>public utility is providing safe, adequate and reasonable service.</w:t>
      </w:r>
      <w:r w:rsidR="00D85313" w:rsidRPr="007F2F7C">
        <w:rPr>
          <w:rStyle w:val="FootnoteReference"/>
          <w:szCs w:val="24"/>
        </w:rPr>
        <w:footnoteReference w:id="17"/>
      </w:r>
      <w:r w:rsidR="00D85313" w:rsidRPr="007F2F7C">
        <w:rPr>
          <w:szCs w:val="24"/>
        </w:rPr>
        <w:t xml:space="preserve">   Utility service is not limited to the provision of service and includes “any and all acts” related to that function.</w:t>
      </w:r>
      <w:r w:rsidR="00D85313" w:rsidRPr="007F2F7C">
        <w:rPr>
          <w:rStyle w:val="FootnoteReference"/>
          <w:szCs w:val="24"/>
        </w:rPr>
        <w:footnoteReference w:id="18"/>
      </w:r>
      <w:r w:rsidR="00D85313" w:rsidRPr="007F2F7C">
        <w:rPr>
          <w:szCs w:val="24"/>
        </w:rPr>
        <w:t xml:space="preserve">    </w:t>
      </w:r>
    </w:p>
    <w:p w14:paraId="35833B6C" w14:textId="77777777" w:rsidR="005832F7" w:rsidRPr="007F2F7C" w:rsidRDefault="005832F7" w:rsidP="005832F7">
      <w:pPr>
        <w:tabs>
          <w:tab w:val="left" w:pos="1440"/>
        </w:tabs>
        <w:textAlignment w:val="baseline"/>
        <w:rPr>
          <w:szCs w:val="24"/>
        </w:rPr>
      </w:pPr>
    </w:p>
    <w:p w14:paraId="6545FD7B" w14:textId="4E8BCB86" w:rsidR="004455DE" w:rsidRPr="007F2F7C" w:rsidRDefault="00020773" w:rsidP="005832F7">
      <w:pPr>
        <w:tabs>
          <w:tab w:val="left" w:pos="1440"/>
        </w:tabs>
        <w:ind w:firstLine="1440"/>
        <w:textAlignment w:val="baseline"/>
        <w:rPr>
          <w:color w:val="000000"/>
          <w:spacing w:val="-1"/>
          <w:szCs w:val="24"/>
        </w:rPr>
      </w:pPr>
      <w:r w:rsidRPr="007F2F7C">
        <w:rPr>
          <w:color w:val="000000"/>
          <w:spacing w:val="-1"/>
          <w:szCs w:val="24"/>
        </w:rPr>
        <w:t>Furthermore, i</w:t>
      </w:r>
      <w:r w:rsidR="002B4C7F" w:rsidRPr="007F2F7C">
        <w:rPr>
          <w:color w:val="000000"/>
          <w:spacing w:val="-1"/>
          <w:szCs w:val="24"/>
        </w:rPr>
        <w:t xml:space="preserve">t is well-settled that the Commission lacks jurisdiction to construe and enforce contracts. </w:t>
      </w:r>
      <w:r w:rsidR="002B4C7F" w:rsidRPr="007F2F7C">
        <w:rPr>
          <w:i/>
          <w:color w:val="000000"/>
          <w:spacing w:val="-1"/>
          <w:szCs w:val="24"/>
        </w:rPr>
        <w:t xml:space="preserve">See, e.g., Allport Water Auth. v. Winburne Water Co., </w:t>
      </w:r>
      <w:r w:rsidR="002B4C7F" w:rsidRPr="007F2F7C">
        <w:rPr>
          <w:color w:val="000000"/>
          <w:spacing w:val="-1"/>
          <w:szCs w:val="24"/>
        </w:rPr>
        <w:t xml:space="preserve">258 Pa. Super. 555, 393 A.2d 673 (Pa. Super. 1978); </w:t>
      </w:r>
      <w:r w:rsidR="002B4C7F" w:rsidRPr="007F2F7C">
        <w:rPr>
          <w:i/>
          <w:color w:val="000000"/>
          <w:spacing w:val="-1"/>
          <w:szCs w:val="24"/>
        </w:rPr>
        <w:t>Adams et al. v. Pa. Pub. Util. Comm’n</w:t>
      </w:r>
      <w:r w:rsidR="002B4C7F" w:rsidRPr="007F2F7C">
        <w:rPr>
          <w:color w:val="000000"/>
          <w:spacing w:val="-1"/>
          <w:szCs w:val="24"/>
        </w:rPr>
        <w:t xml:space="preserve">, 819 A.2d 631 (Pa. Cmwlth. 2003); </w:t>
      </w:r>
      <w:r w:rsidR="002B4C7F" w:rsidRPr="007F2F7C">
        <w:rPr>
          <w:i/>
          <w:color w:val="000000"/>
          <w:spacing w:val="-1"/>
          <w:szCs w:val="24"/>
        </w:rPr>
        <w:t xml:space="preserve">Application of Pennsylvania-American Water Company under Sections 507, 1102, and 1329 of the Public Utility Code for Approval of its Acquisition of Wastewater System Assets of Exeter Township, </w:t>
      </w:r>
      <w:r w:rsidR="002B4C7F" w:rsidRPr="007F2F7C">
        <w:rPr>
          <w:color w:val="000000"/>
          <w:spacing w:val="-1"/>
          <w:szCs w:val="24"/>
        </w:rPr>
        <w:t>Docket No. A-2018-3004933 (Opinion and Order entered October 3, 2019);</w:t>
      </w:r>
      <w:r w:rsidR="002B4C7F" w:rsidRPr="007F2F7C">
        <w:rPr>
          <w:color w:val="000000"/>
          <w:spacing w:val="-1"/>
          <w:szCs w:val="24"/>
          <w:vertAlign w:val="superscript"/>
        </w:rPr>
        <w:t>2</w:t>
      </w:r>
      <w:r w:rsidR="002B4C7F" w:rsidRPr="007F2F7C">
        <w:rPr>
          <w:i/>
          <w:color w:val="000000"/>
          <w:spacing w:val="-1"/>
          <w:szCs w:val="24"/>
        </w:rPr>
        <w:t xml:space="preserve"> Evans v. FirstEnergy Solutions Corp.</w:t>
      </w:r>
      <w:r w:rsidR="002B4C7F" w:rsidRPr="007F2F7C">
        <w:rPr>
          <w:color w:val="000000"/>
          <w:spacing w:val="-1"/>
          <w:szCs w:val="24"/>
        </w:rPr>
        <w:t xml:space="preserve">, Docket No. P-2014-2421556 (Opinion and Order entered Jan. 26, 2015). </w:t>
      </w:r>
    </w:p>
    <w:p w14:paraId="43AF0863" w14:textId="77777777" w:rsidR="008425B3" w:rsidRPr="007F2F7C" w:rsidRDefault="008425B3" w:rsidP="007F2F7C">
      <w:pPr>
        <w:ind w:firstLine="720"/>
        <w:rPr>
          <w:szCs w:val="24"/>
        </w:rPr>
      </w:pPr>
    </w:p>
    <w:p w14:paraId="4C06B553" w14:textId="0FA3CDCC" w:rsidR="008D1E56" w:rsidRPr="007F2F7C" w:rsidRDefault="00FA7EB5" w:rsidP="005832F7">
      <w:pPr>
        <w:ind w:right="792" w:firstLine="1440"/>
        <w:textAlignment w:val="baseline"/>
        <w:rPr>
          <w:i/>
          <w:color w:val="000000"/>
          <w:szCs w:val="24"/>
        </w:rPr>
      </w:pPr>
      <w:r w:rsidRPr="007F2F7C">
        <w:rPr>
          <w:szCs w:val="24"/>
        </w:rPr>
        <w:t xml:space="preserve">The </w:t>
      </w:r>
      <w:r w:rsidR="008425B3" w:rsidRPr="007F2F7C">
        <w:rPr>
          <w:szCs w:val="24"/>
        </w:rPr>
        <w:t>averments</w:t>
      </w:r>
      <w:r w:rsidRPr="007F2F7C">
        <w:rPr>
          <w:szCs w:val="24"/>
        </w:rPr>
        <w:t xml:space="preserve"> set forth in the Protests </w:t>
      </w:r>
      <w:r w:rsidR="008425B3" w:rsidRPr="007F2F7C">
        <w:rPr>
          <w:szCs w:val="24"/>
        </w:rPr>
        <w:t>can be viewed</w:t>
      </w:r>
      <w:r w:rsidR="004F061A" w:rsidRPr="007F2F7C">
        <w:rPr>
          <w:szCs w:val="24"/>
        </w:rPr>
        <w:t xml:space="preserve">, in part, </w:t>
      </w:r>
      <w:r w:rsidR="008425B3" w:rsidRPr="007F2F7C">
        <w:rPr>
          <w:szCs w:val="24"/>
        </w:rPr>
        <w:t xml:space="preserve">as a claim for payment for monetary damages for alleged </w:t>
      </w:r>
      <w:r w:rsidR="00F55C5B" w:rsidRPr="007F2F7C">
        <w:rPr>
          <w:szCs w:val="24"/>
        </w:rPr>
        <w:t xml:space="preserve">breach of a Settlement Agreement by the Township.  </w:t>
      </w:r>
      <w:r w:rsidR="008425B3" w:rsidRPr="007F2F7C">
        <w:rPr>
          <w:szCs w:val="24"/>
        </w:rPr>
        <w:t xml:space="preserve">Under the circumstances, no claim for money damages will be considered.  Accordingly, the request to dismiss </w:t>
      </w:r>
      <w:r w:rsidR="00157338" w:rsidRPr="007F2F7C">
        <w:rPr>
          <w:szCs w:val="24"/>
        </w:rPr>
        <w:t xml:space="preserve">the Protest, concerning the </w:t>
      </w:r>
      <w:r w:rsidR="008425B3" w:rsidRPr="007F2F7C">
        <w:rPr>
          <w:szCs w:val="24"/>
        </w:rPr>
        <w:t>claim for the award of money damages</w:t>
      </w:r>
      <w:r w:rsidR="00FD4931" w:rsidRPr="007F2F7C">
        <w:rPr>
          <w:szCs w:val="24"/>
        </w:rPr>
        <w:t xml:space="preserve"> from the Township in the amount of $4</w:t>
      </w:r>
      <w:r w:rsidR="002873EF" w:rsidRPr="007F2F7C">
        <w:rPr>
          <w:szCs w:val="24"/>
        </w:rPr>
        <w:t>70, 184.22</w:t>
      </w:r>
      <w:r w:rsidR="00C105C2" w:rsidRPr="007F2F7C">
        <w:rPr>
          <w:szCs w:val="24"/>
        </w:rPr>
        <w:t xml:space="preserve">, will be </w:t>
      </w:r>
      <w:r w:rsidR="008425B3" w:rsidRPr="007F2F7C">
        <w:rPr>
          <w:szCs w:val="24"/>
        </w:rPr>
        <w:t>granted</w:t>
      </w:r>
      <w:r w:rsidR="002873EF" w:rsidRPr="007F2F7C">
        <w:rPr>
          <w:szCs w:val="24"/>
        </w:rPr>
        <w:t>.</w:t>
      </w:r>
      <w:r w:rsidR="000E0D32" w:rsidRPr="007F2F7C">
        <w:rPr>
          <w:szCs w:val="24"/>
        </w:rPr>
        <w:t xml:space="preserve">  Claims for </w:t>
      </w:r>
      <w:r w:rsidR="00107FAC" w:rsidRPr="007F2F7C">
        <w:rPr>
          <w:szCs w:val="24"/>
        </w:rPr>
        <w:t xml:space="preserve">money damages should be brought </w:t>
      </w:r>
      <w:r w:rsidR="00A57801" w:rsidRPr="007F2F7C">
        <w:rPr>
          <w:szCs w:val="24"/>
        </w:rPr>
        <w:t xml:space="preserve">in </w:t>
      </w:r>
      <w:r w:rsidR="008D1E56" w:rsidRPr="007F2F7C">
        <w:rPr>
          <w:color w:val="000000"/>
          <w:szCs w:val="24"/>
        </w:rPr>
        <w:t>court of general legal jurisdiction such as the Common Pleas Court. Such claims are not properly before the Commission, as they are outside of the Commission’s legal jurisdiction.</w:t>
      </w:r>
      <w:r w:rsidR="00D165BD" w:rsidRPr="007F2F7C">
        <w:rPr>
          <w:rStyle w:val="FootnoteReference"/>
          <w:color w:val="000000"/>
          <w:szCs w:val="24"/>
        </w:rPr>
        <w:footnoteReference w:id="19"/>
      </w:r>
      <w:r w:rsidR="005832F7">
        <w:rPr>
          <w:color w:val="000000"/>
          <w:szCs w:val="24"/>
        </w:rPr>
        <w:t xml:space="preserve">  </w:t>
      </w:r>
      <w:r w:rsidR="008D1E56" w:rsidRPr="007F2F7C">
        <w:rPr>
          <w:i/>
          <w:color w:val="000000"/>
          <w:szCs w:val="24"/>
        </w:rPr>
        <w:t xml:space="preserve">Application of Pennsylvania-American Water Company under Sections 507, 1102, and 1329 of the Public Utility Code for Approval of its Acquisition of Wastewater System Assets of Exeter Township, </w:t>
      </w:r>
      <w:r w:rsidR="008D1E56" w:rsidRPr="007F2F7C">
        <w:rPr>
          <w:color w:val="000000"/>
          <w:szCs w:val="24"/>
        </w:rPr>
        <w:t>Docket No. A-2018-3004933 (Recommended Decision issued August 9, 2019) p. 59.</w:t>
      </w:r>
    </w:p>
    <w:p w14:paraId="3F3660DD" w14:textId="242EC5D8" w:rsidR="00312600" w:rsidRPr="007F2F7C" w:rsidRDefault="00312600" w:rsidP="007F2F7C">
      <w:pPr>
        <w:ind w:firstLine="720"/>
        <w:rPr>
          <w:szCs w:val="24"/>
        </w:rPr>
      </w:pPr>
    </w:p>
    <w:p w14:paraId="0070A9E2" w14:textId="343C2688" w:rsidR="00312600" w:rsidRPr="007F2F7C" w:rsidRDefault="001D59E0" w:rsidP="005832F7">
      <w:pPr>
        <w:ind w:firstLine="1440"/>
        <w:rPr>
          <w:szCs w:val="24"/>
        </w:rPr>
      </w:pPr>
      <w:r w:rsidRPr="007F2F7C">
        <w:rPr>
          <w:szCs w:val="24"/>
        </w:rPr>
        <w:lastRenderedPageBreak/>
        <w:t xml:space="preserve">There appears to be no </w:t>
      </w:r>
      <w:r w:rsidR="009A2A46" w:rsidRPr="007F2F7C">
        <w:rPr>
          <w:szCs w:val="24"/>
        </w:rPr>
        <w:t xml:space="preserve">dispute that </w:t>
      </w:r>
      <w:r w:rsidR="00312600" w:rsidRPr="007F2F7C">
        <w:rPr>
          <w:szCs w:val="24"/>
        </w:rPr>
        <w:t xml:space="preserve">the Township’s wastewater system sends wastewater to the Authority’s wastewater treatment plant for treatment pursuant to the STSA and that the Application proposes that the Township assign the STSA to PAWC at Closing.  PAWC and the Township </w:t>
      </w:r>
      <w:r w:rsidR="004271A1" w:rsidRPr="007F2F7C">
        <w:rPr>
          <w:szCs w:val="24"/>
        </w:rPr>
        <w:t xml:space="preserve">note </w:t>
      </w:r>
      <w:r w:rsidR="00312600" w:rsidRPr="007F2F7C">
        <w:rPr>
          <w:szCs w:val="24"/>
        </w:rPr>
        <w:t>that the Authority and Borough contend that the Commission has jurisdiction over their claims because PAWC must demonstrate its ability to serve the Township’s current customers, which depends on the assignment of the STSA</w:t>
      </w:r>
      <w:r w:rsidR="00393D72" w:rsidRPr="007F2F7C">
        <w:rPr>
          <w:szCs w:val="24"/>
        </w:rPr>
        <w:t>.</w:t>
      </w:r>
      <w:r w:rsidR="00312600" w:rsidRPr="007F2F7C">
        <w:rPr>
          <w:szCs w:val="24"/>
        </w:rPr>
        <w:t xml:space="preserve"> </w:t>
      </w:r>
      <w:r w:rsidR="007B62C9" w:rsidRPr="007F2F7C">
        <w:rPr>
          <w:rStyle w:val="FootnoteReference"/>
          <w:szCs w:val="24"/>
        </w:rPr>
        <w:footnoteReference w:id="20"/>
      </w:r>
      <w:r w:rsidR="00312600" w:rsidRPr="007F2F7C">
        <w:rPr>
          <w:szCs w:val="24"/>
        </w:rPr>
        <w:t xml:space="preserve"> </w:t>
      </w:r>
      <w:r w:rsidR="00393D72" w:rsidRPr="007F2F7C">
        <w:rPr>
          <w:szCs w:val="24"/>
        </w:rPr>
        <w:t xml:space="preserve"> The Joint Protestants </w:t>
      </w:r>
      <w:r w:rsidR="002A5822">
        <w:rPr>
          <w:szCs w:val="24"/>
        </w:rPr>
        <w:t xml:space="preserve">, in part, </w:t>
      </w:r>
      <w:r w:rsidR="002A5822" w:rsidRPr="007F2F7C">
        <w:rPr>
          <w:szCs w:val="24"/>
        </w:rPr>
        <w:t xml:space="preserve"> </w:t>
      </w:r>
      <w:r w:rsidR="00312600" w:rsidRPr="007F2F7C">
        <w:rPr>
          <w:szCs w:val="24"/>
        </w:rPr>
        <w:t xml:space="preserve">that their Protest is legally sufficient because the transaction cannot close, and PAWC cannot serve its potential customers, without the assignment of the STSA to PAWC.  </w:t>
      </w:r>
      <w:r w:rsidR="002A5822">
        <w:rPr>
          <w:szCs w:val="24"/>
        </w:rPr>
        <w:t>For all of reasons set forth above, u</w:t>
      </w:r>
      <w:r w:rsidR="00F24138" w:rsidRPr="007F2F7C">
        <w:rPr>
          <w:szCs w:val="24"/>
        </w:rPr>
        <w:t xml:space="preserve">nder the circumstances, the Preliminary objection </w:t>
      </w:r>
      <w:r w:rsidR="00D81E25" w:rsidRPr="007F2F7C">
        <w:rPr>
          <w:szCs w:val="24"/>
        </w:rPr>
        <w:t>asserting that the Protests are legally insufficient will be denied</w:t>
      </w:r>
      <w:r w:rsidR="0022334E" w:rsidRPr="007F2F7C">
        <w:rPr>
          <w:szCs w:val="24"/>
        </w:rPr>
        <w:t xml:space="preserve"> at this stage of the proceeding</w:t>
      </w:r>
      <w:r w:rsidR="00D81E25" w:rsidRPr="007F2F7C">
        <w:rPr>
          <w:szCs w:val="24"/>
        </w:rPr>
        <w:t xml:space="preserve">.   </w:t>
      </w:r>
    </w:p>
    <w:p w14:paraId="219402C1" w14:textId="77777777" w:rsidR="00312600" w:rsidRPr="007F2F7C" w:rsidRDefault="00312600" w:rsidP="007D400C">
      <w:pPr>
        <w:rPr>
          <w:szCs w:val="24"/>
        </w:rPr>
      </w:pPr>
    </w:p>
    <w:p w14:paraId="7E0E6DF6" w14:textId="77777777" w:rsidR="008425B3" w:rsidRPr="007F2F7C" w:rsidRDefault="008425B3" w:rsidP="007F2F7C">
      <w:pPr>
        <w:ind w:firstLine="720"/>
        <w:rPr>
          <w:szCs w:val="24"/>
        </w:rPr>
      </w:pPr>
      <w:r w:rsidRPr="007F2F7C">
        <w:rPr>
          <w:szCs w:val="24"/>
        </w:rPr>
        <w:tab/>
        <w:t>THEREFORE,</w:t>
      </w:r>
    </w:p>
    <w:p w14:paraId="568CC8C4" w14:textId="77777777" w:rsidR="008425B3" w:rsidRPr="007F2F7C" w:rsidRDefault="008425B3" w:rsidP="007F2F7C">
      <w:pPr>
        <w:ind w:firstLine="720"/>
        <w:rPr>
          <w:szCs w:val="24"/>
        </w:rPr>
      </w:pPr>
    </w:p>
    <w:p w14:paraId="71FEF499" w14:textId="77777777" w:rsidR="008425B3" w:rsidRPr="007F2F7C" w:rsidRDefault="008425B3" w:rsidP="007F2F7C">
      <w:pPr>
        <w:ind w:firstLine="720"/>
        <w:rPr>
          <w:szCs w:val="24"/>
        </w:rPr>
      </w:pPr>
      <w:r w:rsidRPr="007F2F7C">
        <w:rPr>
          <w:szCs w:val="24"/>
        </w:rPr>
        <w:tab/>
        <w:t>IT IS ORDERED:</w:t>
      </w:r>
    </w:p>
    <w:p w14:paraId="0F17530D" w14:textId="77777777" w:rsidR="008425B3" w:rsidRPr="007F2F7C" w:rsidRDefault="008425B3" w:rsidP="007F2F7C">
      <w:pPr>
        <w:ind w:firstLine="720"/>
        <w:rPr>
          <w:szCs w:val="24"/>
        </w:rPr>
      </w:pPr>
    </w:p>
    <w:p w14:paraId="0CD9DD9C" w14:textId="2735E9F6" w:rsidR="008425B3" w:rsidRPr="007F2F7C" w:rsidRDefault="008425B3" w:rsidP="007F2F7C">
      <w:pPr>
        <w:pStyle w:val="ListParagraph"/>
        <w:numPr>
          <w:ilvl w:val="0"/>
          <w:numId w:val="16"/>
        </w:numPr>
        <w:autoSpaceDE/>
        <w:autoSpaceDN/>
        <w:spacing w:line="360" w:lineRule="auto"/>
        <w:ind w:left="90" w:firstLine="1350"/>
        <w:rPr>
          <w:rFonts w:ascii="Times New Roman" w:hAnsi="Times New Roman" w:cs="Times New Roman"/>
        </w:rPr>
      </w:pPr>
      <w:r w:rsidRPr="007F2F7C">
        <w:rPr>
          <w:rFonts w:ascii="Times New Roman" w:hAnsi="Times New Roman" w:cs="Times New Roman"/>
        </w:rPr>
        <w:t xml:space="preserve">That the </w:t>
      </w:r>
      <w:r w:rsidR="00022B8B" w:rsidRPr="007F2F7C">
        <w:rPr>
          <w:rFonts w:ascii="Times New Roman" w:hAnsi="Times New Roman" w:cs="Times New Roman"/>
        </w:rPr>
        <w:t xml:space="preserve">joint </w:t>
      </w:r>
      <w:r w:rsidRPr="007F2F7C">
        <w:rPr>
          <w:rFonts w:ascii="Times New Roman" w:hAnsi="Times New Roman" w:cs="Times New Roman"/>
        </w:rPr>
        <w:t xml:space="preserve">preliminary objections of </w:t>
      </w:r>
      <w:r w:rsidR="00C400C9" w:rsidRPr="007F2F7C">
        <w:rPr>
          <w:rFonts w:ascii="Times New Roman" w:hAnsi="Times New Roman" w:cs="Times New Roman"/>
        </w:rPr>
        <w:t xml:space="preserve">Pennsylvania-American Water Company and </w:t>
      </w:r>
      <w:r w:rsidR="00F24C85" w:rsidRPr="007F2F7C">
        <w:rPr>
          <w:rFonts w:ascii="Times New Roman" w:hAnsi="Times New Roman" w:cs="Times New Roman"/>
        </w:rPr>
        <w:t>Upper Pottsgrove Township</w:t>
      </w:r>
      <w:r w:rsidR="00022B8B" w:rsidRPr="007F2F7C">
        <w:rPr>
          <w:rFonts w:ascii="Times New Roman" w:hAnsi="Times New Roman" w:cs="Times New Roman"/>
        </w:rPr>
        <w:t xml:space="preserve"> </w:t>
      </w:r>
      <w:r w:rsidRPr="007F2F7C">
        <w:rPr>
          <w:rFonts w:ascii="Times New Roman" w:hAnsi="Times New Roman" w:cs="Times New Roman"/>
        </w:rPr>
        <w:t xml:space="preserve">are granted in part and denied in part.  </w:t>
      </w:r>
      <w:r w:rsidR="002B0697" w:rsidRPr="007F2F7C">
        <w:rPr>
          <w:rFonts w:ascii="Times New Roman" w:hAnsi="Times New Roman" w:cs="Times New Roman"/>
        </w:rPr>
        <w:t xml:space="preserve">The request to dismiss the </w:t>
      </w:r>
      <w:r w:rsidR="008B6C62" w:rsidRPr="007F2F7C">
        <w:rPr>
          <w:rFonts w:ascii="Times New Roman" w:hAnsi="Times New Roman" w:cs="Times New Roman"/>
        </w:rPr>
        <w:t xml:space="preserve">claim for </w:t>
      </w:r>
      <w:r w:rsidRPr="007F2F7C">
        <w:rPr>
          <w:rFonts w:ascii="Times New Roman" w:hAnsi="Times New Roman" w:cs="Times New Roman"/>
        </w:rPr>
        <w:t>money damages</w:t>
      </w:r>
      <w:r w:rsidR="00111A43" w:rsidRPr="007F2F7C">
        <w:rPr>
          <w:rFonts w:ascii="Times New Roman" w:hAnsi="Times New Roman" w:cs="Times New Roman"/>
        </w:rPr>
        <w:t xml:space="preserve"> set forth in the </w:t>
      </w:r>
      <w:r w:rsidR="002A5822">
        <w:rPr>
          <w:rFonts w:ascii="Times New Roman" w:hAnsi="Times New Roman" w:cs="Times New Roman"/>
        </w:rPr>
        <w:t>J</w:t>
      </w:r>
      <w:r w:rsidR="00111A43" w:rsidRPr="007F2F7C">
        <w:rPr>
          <w:rFonts w:ascii="Times New Roman" w:hAnsi="Times New Roman" w:cs="Times New Roman"/>
        </w:rPr>
        <w:t xml:space="preserve">oint </w:t>
      </w:r>
      <w:r w:rsidR="002A5822">
        <w:rPr>
          <w:rFonts w:ascii="Times New Roman" w:hAnsi="Times New Roman" w:cs="Times New Roman"/>
        </w:rPr>
        <w:t>P</w:t>
      </w:r>
      <w:r w:rsidR="00111A43" w:rsidRPr="007F2F7C">
        <w:rPr>
          <w:rFonts w:ascii="Times New Roman" w:hAnsi="Times New Roman" w:cs="Times New Roman"/>
        </w:rPr>
        <w:t xml:space="preserve">rotest of </w:t>
      </w:r>
      <w:r w:rsidR="0043458C" w:rsidRPr="007F2F7C">
        <w:rPr>
          <w:rFonts w:ascii="Times New Roman" w:hAnsi="Times New Roman" w:cs="Times New Roman"/>
        </w:rPr>
        <w:t xml:space="preserve">Pottstown Borough Authority and </w:t>
      </w:r>
      <w:r w:rsidR="00E9732C" w:rsidRPr="007F2F7C">
        <w:rPr>
          <w:rFonts w:ascii="Times New Roman" w:hAnsi="Times New Roman" w:cs="Times New Roman"/>
        </w:rPr>
        <w:t>the Borough of Pottstown</w:t>
      </w:r>
      <w:r w:rsidRPr="007F2F7C">
        <w:rPr>
          <w:rFonts w:ascii="Times New Roman" w:hAnsi="Times New Roman" w:cs="Times New Roman"/>
        </w:rPr>
        <w:t xml:space="preserve"> is granted</w:t>
      </w:r>
      <w:r w:rsidR="00FD0AB9" w:rsidRPr="007F2F7C">
        <w:rPr>
          <w:rFonts w:ascii="Times New Roman" w:hAnsi="Times New Roman" w:cs="Times New Roman"/>
        </w:rPr>
        <w:t xml:space="preserve">, as the Commission lacks the authority to </w:t>
      </w:r>
      <w:r w:rsidR="00833D38" w:rsidRPr="007F2F7C">
        <w:rPr>
          <w:rFonts w:ascii="Times New Roman" w:hAnsi="Times New Roman" w:cs="Times New Roman"/>
        </w:rPr>
        <w:t>award money damages in this proceeding</w:t>
      </w:r>
      <w:r w:rsidRPr="007F2F7C">
        <w:rPr>
          <w:rFonts w:ascii="Times New Roman" w:hAnsi="Times New Roman" w:cs="Times New Roman"/>
        </w:rPr>
        <w:t>.</w:t>
      </w:r>
    </w:p>
    <w:p w14:paraId="279EE6F9" w14:textId="77777777" w:rsidR="008425B3" w:rsidRPr="007F2F7C" w:rsidRDefault="008425B3" w:rsidP="007F2F7C">
      <w:pPr>
        <w:pStyle w:val="ListParagraph"/>
        <w:spacing w:line="360" w:lineRule="auto"/>
        <w:ind w:left="1440"/>
        <w:rPr>
          <w:rFonts w:ascii="Times New Roman" w:hAnsi="Times New Roman" w:cs="Times New Roman"/>
        </w:rPr>
      </w:pPr>
    </w:p>
    <w:p w14:paraId="160FB201" w14:textId="1095E447" w:rsidR="008425B3" w:rsidRPr="007F2F7C" w:rsidRDefault="008425B3" w:rsidP="007F2F7C">
      <w:pPr>
        <w:pStyle w:val="ListParagraph"/>
        <w:numPr>
          <w:ilvl w:val="0"/>
          <w:numId w:val="16"/>
        </w:numPr>
        <w:autoSpaceDE/>
        <w:autoSpaceDN/>
        <w:spacing w:line="360" w:lineRule="auto"/>
        <w:ind w:left="0" w:firstLine="1440"/>
        <w:rPr>
          <w:rFonts w:ascii="Times New Roman" w:hAnsi="Times New Roman" w:cs="Times New Roman"/>
        </w:rPr>
      </w:pPr>
      <w:r w:rsidRPr="007F2F7C">
        <w:rPr>
          <w:rFonts w:ascii="Times New Roman" w:hAnsi="Times New Roman" w:cs="Times New Roman"/>
        </w:rPr>
        <w:t>That the</w:t>
      </w:r>
      <w:r w:rsidR="001970F3" w:rsidRPr="007F2F7C">
        <w:rPr>
          <w:rFonts w:ascii="Times New Roman" w:hAnsi="Times New Roman" w:cs="Times New Roman"/>
        </w:rPr>
        <w:t xml:space="preserve"> preliminary object</w:t>
      </w:r>
      <w:r w:rsidR="002A5822">
        <w:rPr>
          <w:rFonts w:ascii="Times New Roman" w:hAnsi="Times New Roman" w:cs="Times New Roman"/>
        </w:rPr>
        <w:t xml:space="preserve">ions </w:t>
      </w:r>
      <w:r w:rsidR="001970F3" w:rsidRPr="007F2F7C">
        <w:rPr>
          <w:rFonts w:ascii="Times New Roman" w:hAnsi="Times New Roman" w:cs="Times New Roman"/>
        </w:rPr>
        <w:t xml:space="preserve"> requesting dismissal of the </w:t>
      </w:r>
      <w:r w:rsidR="002A5822">
        <w:rPr>
          <w:rFonts w:ascii="Times New Roman" w:hAnsi="Times New Roman" w:cs="Times New Roman"/>
        </w:rPr>
        <w:t>J</w:t>
      </w:r>
      <w:r w:rsidR="001970F3" w:rsidRPr="007F2F7C">
        <w:rPr>
          <w:rFonts w:ascii="Times New Roman" w:hAnsi="Times New Roman" w:cs="Times New Roman"/>
        </w:rPr>
        <w:t xml:space="preserve">oint </w:t>
      </w:r>
      <w:r w:rsidR="002A5822">
        <w:rPr>
          <w:rFonts w:ascii="Times New Roman" w:hAnsi="Times New Roman" w:cs="Times New Roman"/>
        </w:rPr>
        <w:t>P</w:t>
      </w:r>
      <w:r w:rsidR="001970F3" w:rsidRPr="007F2F7C">
        <w:rPr>
          <w:rFonts w:ascii="Times New Roman" w:hAnsi="Times New Roman" w:cs="Times New Roman"/>
        </w:rPr>
        <w:t xml:space="preserve">rotest </w:t>
      </w:r>
      <w:r w:rsidR="002A5822">
        <w:rPr>
          <w:rFonts w:ascii="Times New Roman" w:hAnsi="Times New Roman" w:cs="Times New Roman"/>
        </w:rPr>
        <w:t xml:space="preserve">of Pottstown Borough Authority and the Borough of Pottstown </w:t>
      </w:r>
      <w:r w:rsidR="001970F3" w:rsidRPr="007F2F7C">
        <w:rPr>
          <w:rFonts w:ascii="Times New Roman" w:hAnsi="Times New Roman" w:cs="Times New Roman"/>
        </w:rPr>
        <w:t xml:space="preserve">as legally insufficient, </w:t>
      </w:r>
      <w:r w:rsidR="00F96472" w:rsidRPr="007F2F7C">
        <w:rPr>
          <w:rFonts w:ascii="Times New Roman" w:hAnsi="Times New Roman" w:cs="Times New Roman"/>
        </w:rPr>
        <w:t xml:space="preserve">and the remaining </w:t>
      </w:r>
      <w:r w:rsidRPr="007F2F7C">
        <w:rPr>
          <w:rFonts w:ascii="Times New Roman" w:hAnsi="Times New Roman" w:cs="Times New Roman"/>
        </w:rPr>
        <w:t>preliminary objection</w:t>
      </w:r>
      <w:r w:rsidR="00F96472" w:rsidRPr="007F2F7C">
        <w:rPr>
          <w:rFonts w:ascii="Times New Roman" w:hAnsi="Times New Roman" w:cs="Times New Roman"/>
        </w:rPr>
        <w:t xml:space="preserve">s </w:t>
      </w:r>
      <w:r w:rsidRPr="007F2F7C">
        <w:rPr>
          <w:rFonts w:ascii="Times New Roman" w:hAnsi="Times New Roman" w:cs="Times New Roman"/>
        </w:rPr>
        <w:t xml:space="preserve"> of </w:t>
      </w:r>
      <w:r w:rsidR="00F96472" w:rsidRPr="007F2F7C">
        <w:rPr>
          <w:rFonts w:ascii="Times New Roman" w:hAnsi="Times New Roman" w:cs="Times New Roman"/>
        </w:rPr>
        <w:t>Pennsylvania-American Water Company and Upper Pottsgrove Township</w:t>
      </w:r>
      <w:r w:rsidR="00EE2021" w:rsidRPr="007F2F7C">
        <w:rPr>
          <w:rFonts w:ascii="Times New Roman" w:hAnsi="Times New Roman" w:cs="Times New Roman"/>
        </w:rPr>
        <w:t>, are</w:t>
      </w:r>
      <w:r w:rsidRPr="007F2F7C">
        <w:rPr>
          <w:rFonts w:ascii="Times New Roman" w:hAnsi="Times New Roman" w:cs="Times New Roman"/>
        </w:rPr>
        <w:t xml:space="preserve"> denied</w:t>
      </w:r>
      <w:r w:rsidR="00EE2021" w:rsidRPr="007F2F7C">
        <w:rPr>
          <w:rFonts w:ascii="Times New Roman" w:hAnsi="Times New Roman" w:cs="Times New Roman"/>
        </w:rPr>
        <w:t xml:space="preserve"> for the reasons set forth above</w:t>
      </w:r>
      <w:r w:rsidRPr="007F2F7C">
        <w:rPr>
          <w:rFonts w:ascii="Times New Roman" w:hAnsi="Times New Roman" w:cs="Times New Roman"/>
        </w:rPr>
        <w:t>.</w:t>
      </w:r>
    </w:p>
    <w:p w14:paraId="732C9824" w14:textId="77777777" w:rsidR="008425B3" w:rsidRPr="007F2F7C" w:rsidRDefault="008425B3" w:rsidP="007F2F7C">
      <w:pPr>
        <w:rPr>
          <w:szCs w:val="24"/>
        </w:rPr>
      </w:pPr>
    </w:p>
    <w:p w14:paraId="4FA727AB" w14:textId="77777777" w:rsidR="008425B3" w:rsidRPr="007F2F7C" w:rsidRDefault="008425B3" w:rsidP="007F2F7C">
      <w:pPr>
        <w:tabs>
          <w:tab w:val="left" w:pos="0"/>
        </w:tabs>
        <w:ind w:left="1440"/>
        <w:jc w:val="both"/>
        <w:rPr>
          <w:szCs w:val="24"/>
        </w:rPr>
      </w:pPr>
    </w:p>
    <w:p w14:paraId="5AA9985F" w14:textId="5BF83575" w:rsidR="008425B3" w:rsidRPr="007F2F7C" w:rsidRDefault="008425B3" w:rsidP="005832F7">
      <w:pPr>
        <w:tabs>
          <w:tab w:val="left" w:pos="0"/>
        </w:tabs>
        <w:spacing w:line="240" w:lineRule="auto"/>
        <w:jc w:val="both"/>
        <w:rPr>
          <w:szCs w:val="24"/>
        </w:rPr>
      </w:pPr>
      <w:r w:rsidRPr="007F2F7C">
        <w:rPr>
          <w:szCs w:val="24"/>
        </w:rPr>
        <w:t xml:space="preserve">Date:  </w:t>
      </w:r>
      <w:r w:rsidR="00C43BAD" w:rsidRPr="005832F7">
        <w:rPr>
          <w:szCs w:val="24"/>
          <w:u w:val="single"/>
        </w:rPr>
        <w:t>May 2</w:t>
      </w:r>
      <w:r w:rsidR="007D400C">
        <w:rPr>
          <w:szCs w:val="24"/>
          <w:u w:val="single"/>
        </w:rPr>
        <w:t>7</w:t>
      </w:r>
      <w:r w:rsidR="00C43BAD" w:rsidRPr="005832F7">
        <w:rPr>
          <w:szCs w:val="24"/>
          <w:u w:val="single"/>
        </w:rPr>
        <w:t>, 2021</w:t>
      </w:r>
      <w:r w:rsidRPr="007F2F7C">
        <w:rPr>
          <w:szCs w:val="24"/>
        </w:rPr>
        <w:t xml:space="preserve">                 </w:t>
      </w:r>
      <w:r w:rsidRPr="007F2F7C">
        <w:rPr>
          <w:szCs w:val="24"/>
        </w:rPr>
        <w:tab/>
      </w:r>
      <w:r w:rsidRPr="007F2F7C">
        <w:rPr>
          <w:szCs w:val="24"/>
        </w:rPr>
        <w:tab/>
      </w:r>
      <w:r w:rsidRPr="007F2F7C">
        <w:rPr>
          <w:szCs w:val="24"/>
        </w:rPr>
        <w:tab/>
      </w:r>
      <w:r w:rsidRPr="007F2F7C">
        <w:rPr>
          <w:szCs w:val="24"/>
        </w:rPr>
        <w:tab/>
      </w:r>
      <w:r w:rsidRPr="007D400C">
        <w:rPr>
          <w:szCs w:val="24"/>
          <w:u w:val="single"/>
        </w:rPr>
        <w:t>_________</w:t>
      </w:r>
      <w:r w:rsidR="007D400C" w:rsidRPr="007D400C">
        <w:rPr>
          <w:szCs w:val="24"/>
          <w:u w:val="single"/>
        </w:rPr>
        <w:t>/s/</w:t>
      </w:r>
      <w:r w:rsidRPr="007D400C">
        <w:rPr>
          <w:szCs w:val="24"/>
          <w:u w:val="single"/>
        </w:rPr>
        <w:t>___________________</w:t>
      </w:r>
    </w:p>
    <w:p w14:paraId="374758C4" w14:textId="77777777" w:rsidR="008425B3" w:rsidRPr="007F2F7C" w:rsidRDefault="008425B3" w:rsidP="005832F7">
      <w:pPr>
        <w:tabs>
          <w:tab w:val="left" w:pos="0"/>
        </w:tabs>
        <w:spacing w:line="240" w:lineRule="auto"/>
        <w:jc w:val="both"/>
        <w:rPr>
          <w:szCs w:val="24"/>
        </w:rPr>
      </w:pPr>
      <w:r w:rsidRPr="007F2F7C">
        <w:rPr>
          <w:szCs w:val="24"/>
        </w:rPr>
        <w:tab/>
      </w:r>
      <w:r w:rsidRPr="007F2F7C">
        <w:rPr>
          <w:szCs w:val="24"/>
        </w:rPr>
        <w:tab/>
      </w:r>
      <w:r w:rsidRPr="007F2F7C">
        <w:rPr>
          <w:szCs w:val="24"/>
        </w:rPr>
        <w:tab/>
      </w:r>
      <w:r w:rsidRPr="007F2F7C">
        <w:rPr>
          <w:szCs w:val="24"/>
        </w:rPr>
        <w:tab/>
      </w:r>
      <w:r w:rsidRPr="007F2F7C">
        <w:rPr>
          <w:szCs w:val="24"/>
        </w:rPr>
        <w:tab/>
      </w:r>
      <w:r w:rsidRPr="007F2F7C">
        <w:rPr>
          <w:szCs w:val="24"/>
        </w:rPr>
        <w:tab/>
      </w:r>
      <w:r w:rsidRPr="007F2F7C">
        <w:rPr>
          <w:szCs w:val="24"/>
        </w:rPr>
        <w:tab/>
      </w:r>
      <w:r w:rsidRPr="007F2F7C">
        <w:rPr>
          <w:szCs w:val="24"/>
        </w:rPr>
        <w:tab/>
        <w:t>Jeffrey A. Watson</w:t>
      </w:r>
    </w:p>
    <w:p w14:paraId="297668D7" w14:textId="77777777" w:rsidR="0082682D" w:rsidRDefault="008425B3" w:rsidP="005832F7">
      <w:pPr>
        <w:tabs>
          <w:tab w:val="left" w:pos="0"/>
        </w:tabs>
        <w:spacing w:line="240" w:lineRule="auto"/>
        <w:jc w:val="both"/>
        <w:rPr>
          <w:szCs w:val="24"/>
        </w:rPr>
        <w:sectPr w:rsidR="0082682D" w:rsidSect="007F2F7C">
          <w:footerReference w:type="default" r:id="rId11"/>
          <w:pgSz w:w="12240" w:h="15840"/>
          <w:pgMar w:top="1440" w:right="1440" w:bottom="1440" w:left="1440" w:header="720" w:footer="720" w:gutter="0"/>
          <w:cols w:space="720"/>
          <w:titlePg/>
          <w:docGrid w:linePitch="360"/>
        </w:sectPr>
      </w:pPr>
      <w:r w:rsidRPr="007F2F7C">
        <w:rPr>
          <w:szCs w:val="24"/>
        </w:rPr>
        <w:tab/>
      </w:r>
      <w:r w:rsidRPr="007F2F7C">
        <w:rPr>
          <w:szCs w:val="24"/>
        </w:rPr>
        <w:tab/>
      </w:r>
      <w:r w:rsidRPr="007F2F7C">
        <w:rPr>
          <w:szCs w:val="24"/>
        </w:rPr>
        <w:tab/>
      </w:r>
      <w:r w:rsidRPr="007F2F7C">
        <w:rPr>
          <w:szCs w:val="24"/>
        </w:rPr>
        <w:tab/>
      </w:r>
      <w:r w:rsidRPr="007F2F7C">
        <w:rPr>
          <w:szCs w:val="24"/>
        </w:rPr>
        <w:tab/>
      </w:r>
      <w:r w:rsidRPr="007F2F7C">
        <w:rPr>
          <w:szCs w:val="24"/>
        </w:rPr>
        <w:tab/>
      </w:r>
      <w:r w:rsidRPr="007F2F7C">
        <w:rPr>
          <w:szCs w:val="24"/>
        </w:rPr>
        <w:tab/>
      </w:r>
      <w:r w:rsidRPr="007F2F7C">
        <w:rPr>
          <w:szCs w:val="24"/>
        </w:rPr>
        <w:tab/>
        <w:t>Administrative Law Judge</w:t>
      </w:r>
    </w:p>
    <w:p w14:paraId="47B0A59B" w14:textId="77777777" w:rsidR="0082682D" w:rsidRPr="0082682D" w:rsidRDefault="0082682D" w:rsidP="0082682D">
      <w:pPr>
        <w:spacing w:line="240" w:lineRule="auto"/>
        <w:rPr>
          <w:rFonts w:ascii="Microsoft Sans Serif" w:eastAsia="Microsoft Sans Serif" w:hAnsi="Microsoft Sans Serif" w:cs="Microsoft Sans Serif"/>
          <w:b/>
          <w:szCs w:val="22"/>
          <w:u w:val="single"/>
        </w:rPr>
      </w:pPr>
      <w:r w:rsidRPr="0082682D">
        <w:rPr>
          <w:rFonts w:ascii="Microsoft Sans Serif" w:eastAsia="Microsoft Sans Serif" w:hAnsi="Microsoft Sans Serif" w:cs="Microsoft Sans Serif"/>
          <w:b/>
          <w:szCs w:val="22"/>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82682D">
        <w:rPr>
          <w:rFonts w:ascii="Microsoft Sans Serif" w:eastAsia="Microsoft Sans Serif" w:hAnsi="Microsoft Sans Serif" w:cs="Microsoft Sans Serif"/>
          <w:b/>
          <w:szCs w:val="22"/>
          <w:u w:val="single"/>
        </w:rPr>
        <w:cr/>
      </w:r>
    </w:p>
    <w:p w14:paraId="5ECE169B" w14:textId="77777777" w:rsidR="0082682D" w:rsidRPr="0082682D" w:rsidRDefault="0082682D" w:rsidP="0082682D">
      <w:pPr>
        <w:spacing w:line="240" w:lineRule="auto"/>
        <w:rPr>
          <w:rFonts w:ascii="Microsoft Sans Serif" w:eastAsia="Microsoft Sans Serif" w:hAnsi="Microsoft Sans Serif" w:cs="Microsoft Sans Serif"/>
          <w:bCs/>
          <w:szCs w:val="22"/>
        </w:rPr>
      </w:pPr>
      <w:r w:rsidRPr="0082682D">
        <w:rPr>
          <w:rFonts w:ascii="Microsoft Sans Serif" w:eastAsia="Microsoft Sans Serif" w:hAnsi="Microsoft Sans Serif" w:cs="Microsoft Sans Serif"/>
          <w:bCs/>
          <w:szCs w:val="22"/>
        </w:rPr>
        <w:t>Updated 5/18/21</w:t>
      </w:r>
    </w:p>
    <w:p w14:paraId="2952EF91" w14:textId="77777777" w:rsidR="0082682D" w:rsidRDefault="0082682D" w:rsidP="0082682D">
      <w:pPr>
        <w:spacing w:line="240" w:lineRule="auto"/>
        <w:rPr>
          <w:rFonts w:ascii="Microsoft Sans Serif" w:eastAsia="Microsoft Sans Serif" w:hAnsi="Microsoft Sans Serif" w:cs="Microsoft Sans Serif"/>
          <w:szCs w:val="22"/>
        </w:rPr>
        <w:sectPr w:rsidR="0082682D" w:rsidSect="007F2F7C">
          <w:pgSz w:w="12240" w:h="15840"/>
          <w:pgMar w:top="1440" w:right="1440" w:bottom="1440" w:left="1440" w:header="720" w:footer="720" w:gutter="0"/>
          <w:cols w:space="720"/>
          <w:titlePg/>
          <w:docGrid w:linePitch="360"/>
        </w:sectPr>
      </w:pPr>
    </w:p>
    <w:p w14:paraId="34F9011D" w14:textId="4FAC8ABA" w:rsidR="0082682D" w:rsidRDefault="0082682D" w:rsidP="0082682D">
      <w:pPr>
        <w:spacing w:line="240" w:lineRule="auto"/>
        <w:rPr>
          <w:rFonts w:ascii="Microsoft Sans Serif" w:eastAsia="Microsoft Sans Serif" w:hAnsi="Microsoft Sans Serif" w:cs="Microsoft Sans Serif"/>
          <w:szCs w:val="22"/>
        </w:rPr>
      </w:pPr>
    </w:p>
    <w:p w14:paraId="2B000497" w14:textId="58223FDE"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DAVID P ZAMBITO ESQUIRE</w:t>
      </w:r>
      <w:r w:rsidRPr="0082682D">
        <w:rPr>
          <w:rFonts w:ascii="Microsoft Sans Serif" w:eastAsia="Microsoft Sans Serif" w:hAnsi="Microsoft Sans Serif" w:cs="Microsoft Sans Serif"/>
          <w:szCs w:val="22"/>
        </w:rPr>
        <w:cr/>
        <w:t>JONATHAN NASE ESQUIRE</w:t>
      </w:r>
    </w:p>
    <w:p w14:paraId="3ABCD1B3" w14:textId="77777777" w:rsidR="0082682D" w:rsidRPr="0082682D" w:rsidRDefault="0082682D" w:rsidP="0082682D">
      <w:pPr>
        <w:spacing w:line="240" w:lineRule="auto"/>
        <w:rPr>
          <w:rFonts w:ascii="Microsoft Sans Serif" w:eastAsia="Microsoft Sans Serif" w:hAnsi="Microsoft Sans Serif" w:cs="Microsoft Sans Serif"/>
          <w:b/>
          <w:bCs/>
          <w:szCs w:val="22"/>
        </w:rPr>
      </w:pPr>
      <w:r w:rsidRPr="0082682D">
        <w:rPr>
          <w:rFonts w:ascii="Microsoft Sans Serif" w:eastAsia="Microsoft Sans Serif" w:hAnsi="Microsoft Sans Serif" w:cs="Microsoft Sans Serif"/>
          <w:szCs w:val="22"/>
        </w:rPr>
        <w:t>COZEN O'CONNOR</w:t>
      </w:r>
      <w:r w:rsidRPr="0082682D">
        <w:rPr>
          <w:rFonts w:ascii="Microsoft Sans Serif" w:eastAsia="Microsoft Sans Serif" w:hAnsi="Microsoft Sans Serif" w:cs="Microsoft Sans Serif"/>
          <w:szCs w:val="22"/>
        </w:rPr>
        <w:cr/>
        <w:t>17 NORTH SECOND ST SUITE 1410</w:t>
      </w:r>
      <w:r w:rsidRPr="0082682D">
        <w:rPr>
          <w:rFonts w:ascii="Microsoft Sans Serif" w:eastAsia="Microsoft Sans Serif" w:hAnsi="Microsoft Sans Serif" w:cs="Microsoft Sans Serif"/>
          <w:szCs w:val="22"/>
        </w:rPr>
        <w:cr/>
        <w:t>HARRISBURG PA  17101</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b/>
          <w:bCs/>
          <w:szCs w:val="22"/>
        </w:rPr>
        <w:t>717-703-5892</w:t>
      </w:r>
      <w:r w:rsidRPr="0082682D">
        <w:rPr>
          <w:rFonts w:ascii="Microsoft Sans Serif" w:eastAsia="Microsoft Sans Serif" w:hAnsi="Microsoft Sans Serif" w:cs="Microsoft Sans Serif"/>
          <w:b/>
          <w:bCs/>
          <w:szCs w:val="22"/>
        </w:rPr>
        <w:cr/>
        <w:t>717-773-4191</w:t>
      </w:r>
    </w:p>
    <w:p w14:paraId="78C58662"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dzambito@cozen.com</w:t>
      </w:r>
      <w:r w:rsidRPr="0082682D">
        <w:rPr>
          <w:rFonts w:ascii="Microsoft Sans Serif" w:eastAsia="Microsoft Sans Serif" w:hAnsi="Microsoft Sans Serif" w:cs="Microsoft Sans Serif"/>
          <w:szCs w:val="22"/>
        </w:rPr>
        <w:cr/>
        <w:t>jnase@cozen.com</w:t>
      </w:r>
    </w:p>
    <w:p w14:paraId="4CC14CF2"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Accepts EService</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i/>
          <w:iCs/>
          <w:szCs w:val="22"/>
        </w:rPr>
        <w:t>Representing Pennsylvania American Water Company</w:t>
      </w:r>
      <w:r w:rsidRPr="0082682D">
        <w:rPr>
          <w:rFonts w:ascii="Microsoft Sans Serif" w:eastAsia="Microsoft Sans Serif" w:hAnsi="Microsoft Sans Serif" w:cs="Microsoft Sans Serif"/>
          <w:i/>
          <w:iCs/>
          <w:szCs w:val="22"/>
        </w:rPr>
        <w:cr/>
      </w:r>
    </w:p>
    <w:p w14:paraId="2EB1B6C2"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ELIZABETH ROSE TRISCARI ESQUIRE</w:t>
      </w:r>
      <w:r w:rsidRPr="0082682D">
        <w:rPr>
          <w:rFonts w:ascii="Microsoft Sans Serif" w:eastAsia="Microsoft Sans Serif" w:hAnsi="Microsoft Sans Serif" w:cs="Microsoft Sans Serif"/>
          <w:szCs w:val="22"/>
        </w:rPr>
        <w:cr/>
        <w:t>PENNSYLVANIA AMERICAN WATER COMPANY</w:t>
      </w:r>
      <w:r w:rsidRPr="0082682D">
        <w:rPr>
          <w:rFonts w:ascii="Microsoft Sans Serif" w:eastAsia="Microsoft Sans Serif" w:hAnsi="Microsoft Sans Serif" w:cs="Microsoft Sans Serif"/>
          <w:szCs w:val="22"/>
        </w:rPr>
        <w:cr/>
        <w:t>852 WESLEY DRIVE</w:t>
      </w:r>
      <w:r w:rsidRPr="0082682D">
        <w:rPr>
          <w:rFonts w:ascii="Microsoft Sans Serif" w:eastAsia="Microsoft Sans Serif" w:hAnsi="Microsoft Sans Serif" w:cs="Microsoft Sans Serif"/>
          <w:szCs w:val="22"/>
        </w:rPr>
        <w:cr/>
        <w:t>MECHANICSBURG PA  17055</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b/>
          <w:bCs/>
          <w:szCs w:val="22"/>
        </w:rPr>
        <w:t>717-550-1574</w:t>
      </w:r>
      <w:r w:rsidRPr="0082682D">
        <w:rPr>
          <w:rFonts w:ascii="Microsoft Sans Serif" w:eastAsia="Microsoft Sans Serif" w:hAnsi="Microsoft Sans Serif" w:cs="Microsoft Sans Serif"/>
          <w:szCs w:val="22"/>
        </w:rPr>
        <w:cr/>
        <w:t>Elizabeth.Triscari@amwater.com</w:t>
      </w:r>
      <w:r w:rsidRPr="0082682D">
        <w:rPr>
          <w:rFonts w:ascii="Microsoft Sans Serif" w:eastAsia="Microsoft Sans Serif" w:hAnsi="Microsoft Sans Serif" w:cs="Microsoft Sans Serif"/>
          <w:szCs w:val="22"/>
        </w:rPr>
        <w:cr/>
        <w:t>Accepts EService</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szCs w:val="22"/>
        </w:rPr>
        <w:cr/>
        <w:t>GINA MILLER ESQUIRE</w:t>
      </w:r>
      <w:r w:rsidRPr="0082682D">
        <w:rPr>
          <w:rFonts w:ascii="Microsoft Sans Serif" w:eastAsia="Microsoft Sans Serif" w:hAnsi="Microsoft Sans Serif" w:cs="Microsoft Sans Serif"/>
          <w:szCs w:val="22"/>
        </w:rPr>
        <w:cr/>
        <w:t>PA PUC BUREAU OF INVESTIGATION AND ENFORCEMENT</w:t>
      </w:r>
      <w:r w:rsidRPr="0082682D">
        <w:rPr>
          <w:rFonts w:ascii="Microsoft Sans Serif" w:eastAsia="Microsoft Sans Serif" w:hAnsi="Microsoft Sans Serif" w:cs="Microsoft Sans Serif"/>
          <w:szCs w:val="22"/>
        </w:rPr>
        <w:cr/>
        <w:t>400 North Street</w:t>
      </w:r>
      <w:r w:rsidRPr="0082682D">
        <w:rPr>
          <w:rFonts w:ascii="Microsoft Sans Serif" w:eastAsia="Microsoft Sans Serif" w:hAnsi="Microsoft Sans Serif" w:cs="Microsoft Sans Serif"/>
          <w:szCs w:val="22"/>
        </w:rPr>
        <w:cr/>
        <w:t>HARRISBURG PA  17120</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b/>
          <w:bCs/>
          <w:szCs w:val="22"/>
        </w:rPr>
        <w:t>717-783-8754</w:t>
      </w:r>
      <w:r w:rsidRPr="0082682D">
        <w:rPr>
          <w:rFonts w:ascii="Microsoft Sans Serif" w:eastAsia="Microsoft Sans Serif" w:hAnsi="Microsoft Sans Serif" w:cs="Microsoft Sans Serif"/>
          <w:szCs w:val="22"/>
        </w:rPr>
        <w:cr/>
        <w:t>ginmiller@pa.gov</w:t>
      </w:r>
      <w:r w:rsidRPr="0082682D">
        <w:rPr>
          <w:rFonts w:ascii="Microsoft Sans Serif" w:eastAsia="Microsoft Sans Serif" w:hAnsi="Microsoft Sans Serif" w:cs="Microsoft Sans Serif"/>
          <w:szCs w:val="22"/>
        </w:rPr>
        <w:cr/>
        <w:t>Accepts EService</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szCs w:val="22"/>
        </w:rPr>
        <w:cr/>
        <w:t>ERIN FURE</w:t>
      </w:r>
      <w:r w:rsidRPr="0082682D">
        <w:rPr>
          <w:rFonts w:ascii="Microsoft Sans Serif" w:eastAsia="Microsoft Sans Serif" w:hAnsi="Microsoft Sans Serif" w:cs="Microsoft Sans Serif"/>
          <w:szCs w:val="22"/>
        </w:rPr>
        <w:cr/>
        <w:t>OFFICE OF SMALL BUSINESS ADVOCATE</w:t>
      </w:r>
      <w:r w:rsidRPr="0082682D">
        <w:rPr>
          <w:rFonts w:ascii="Microsoft Sans Serif" w:eastAsia="Microsoft Sans Serif" w:hAnsi="Microsoft Sans Serif" w:cs="Microsoft Sans Serif"/>
          <w:szCs w:val="22"/>
        </w:rPr>
        <w:cr/>
        <w:t>FORUM PLACE</w:t>
      </w:r>
      <w:r w:rsidRPr="0082682D">
        <w:rPr>
          <w:rFonts w:ascii="Microsoft Sans Serif" w:eastAsia="Microsoft Sans Serif" w:hAnsi="Microsoft Sans Serif" w:cs="Microsoft Sans Serif"/>
          <w:szCs w:val="22"/>
        </w:rPr>
        <w:cr/>
        <w:t>555 WALNUT STREET 1ST FLOOR</w:t>
      </w:r>
      <w:r w:rsidRPr="0082682D">
        <w:rPr>
          <w:rFonts w:ascii="Microsoft Sans Serif" w:eastAsia="Microsoft Sans Serif" w:hAnsi="Microsoft Sans Serif" w:cs="Microsoft Sans Serif"/>
          <w:szCs w:val="22"/>
        </w:rPr>
        <w:cr/>
        <w:t>HARRISBURG PA  17101</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b/>
          <w:bCs/>
          <w:szCs w:val="22"/>
        </w:rPr>
        <w:t>717-783-2525</w:t>
      </w:r>
      <w:r w:rsidRPr="0082682D">
        <w:rPr>
          <w:rFonts w:ascii="Microsoft Sans Serif" w:eastAsia="Microsoft Sans Serif" w:hAnsi="Microsoft Sans Serif" w:cs="Microsoft Sans Serif"/>
          <w:szCs w:val="22"/>
        </w:rPr>
        <w:cr/>
        <w:t xml:space="preserve">efure@pa.gov </w:t>
      </w:r>
    </w:p>
    <w:p w14:paraId="72BCF7F5" w14:textId="77777777" w:rsidR="0082682D" w:rsidRPr="0082682D" w:rsidRDefault="0082682D" w:rsidP="0082682D">
      <w:pPr>
        <w:spacing w:line="240" w:lineRule="auto"/>
        <w:rPr>
          <w:rFonts w:ascii="Microsoft Sans Serif" w:eastAsia="Microsoft Sans Serif" w:hAnsi="Microsoft Sans Serif" w:cs="Microsoft Sans Serif"/>
          <w:szCs w:val="22"/>
        </w:rPr>
      </w:pPr>
    </w:p>
    <w:p w14:paraId="14339BE8" w14:textId="77777777" w:rsidR="0082682D" w:rsidRDefault="0082682D" w:rsidP="0082682D">
      <w:pPr>
        <w:spacing w:line="240" w:lineRule="auto"/>
        <w:rPr>
          <w:rFonts w:ascii="Microsoft Sans Serif" w:eastAsia="Microsoft Sans Serif" w:hAnsi="Microsoft Sans Serif" w:cs="Microsoft Sans Serif"/>
          <w:szCs w:val="22"/>
        </w:rPr>
      </w:pPr>
    </w:p>
    <w:p w14:paraId="568156C8" w14:textId="6DBD5A06"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 xml:space="preserve">ERIN L GANNON </w:t>
      </w:r>
      <w:bookmarkStart w:id="2" w:name="_Hlk68514948"/>
      <w:r w:rsidRPr="0082682D">
        <w:rPr>
          <w:rFonts w:ascii="Microsoft Sans Serif" w:eastAsia="Microsoft Sans Serif" w:hAnsi="Microsoft Sans Serif" w:cs="Microsoft Sans Serif"/>
          <w:szCs w:val="22"/>
        </w:rPr>
        <w:t>ESQUIRE</w:t>
      </w:r>
      <w:bookmarkEnd w:id="2"/>
    </w:p>
    <w:p w14:paraId="3AEB1C56"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CHRISTINE M HOOVER ESQUIRE</w:t>
      </w:r>
    </w:p>
    <w:p w14:paraId="68AAD55F"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HARRISON W BREITMAN ESQUIRE</w:t>
      </w:r>
      <w:r w:rsidRPr="0082682D">
        <w:rPr>
          <w:rFonts w:ascii="Microsoft Sans Serif" w:eastAsia="Microsoft Sans Serif" w:hAnsi="Microsoft Sans Serif" w:cs="Microsoft Sans Serif"/>
          <w:szCs w:val="22"/>
        </w:rPr>
        <w:cr/>
        <w:t>OFFICE OF CONSUMER ADVOCATE</w:t>
      </w:r>
      <w:r w:rsidRPr="0082682D">
        <w:rPr>
          <w:rFonts w:ascii="Microsoft Sans Serif" w:eastAsia="Microsoft Sans Serif" w:hAnsi="Microsoft Sans Serif" w:cs="Microsoft Sans Serif"/>
          <w:szCs w:val="22"/>
        </w:rPr>
        <w:cr/>
        <w:t>555 WALNUT STREET 5TH FLOOR</w:t>
      </w:r>
      <w:r w:rsidRPr="0082682D">
        <w:rPr>
          <w:rFonts w:ascii="Microsoft Sans Serif" w:eastAsia="Microsoft Sans Serif" w:hAnsi="Microsoft Sans Serif" w:cs="Microsoft Sans Serif"/>
          <w:szCs w:val="22"/>
        </w:rPr>
        <w:cr/>
        <w:t>FORUM PLACE</w:t>
      </w:r>
      <w:r w:rsidRPr="0082682D">
        <w:rPr>
          <w:rFonts w:ascii="Microsoft Sans Serif" w:eastAsia="Microsoft Sans Serif" w:hAnsi="Microsoft Sans Serif" w:cs="Microsoft Sans Serif"/>
          <w:szCs w:val="22"/>
        </w:rPr>
        <w:cr/>
        <w:t>HARRISBURG PA  17101</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b/>
          <w:bCs/>
          <w:szCs w:val="22"/>
        </w:rPr>
        <w:t>717-783-5048</w:t>
      </w:r>
      <w:r w:rsidRPr="0082682D">
        <w:rPr>
          <w:rFonts w:ascii="Microsoft Sans Serif" w:eastAsia="Microsoft Sans Serif" w:hAnsi="Microsoft Sans Serif" w:cs="Microsoft Sans Serif"/>
          <w:szCs w:val="22"/>
        </w:rPr>
        <w:cr/>
        <w:t>egannon@paoca.org</w:t>
      </w:r>
    </w:p>
    <w:p w14:paraId="7CC89E4F"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choover@paoca.org</w:t>
      </w:r>
    </w:p>
    <w:p w14:paraId="376E461E"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hbreitman@paoca.org</w:t>
      </w:r>
      <w:r w:rsidRPr="0082682D">
        <w:rPr>
          <w:rFonts w:ascii="Microsoft Sans Serif" w:eastAsia="Microsoft Sans Serif" w:hAnsi="Microsoft Sans Serif" w:cs="Microsoft Sans Serif"/>
          <w:szCs w:val="22"/>
        </w:rPr>
        <w:cr/>
        <w:t>Accepts EService</w:t>
      </w: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szCs w:val="22"/>
        </w:rPr>
        <w:cr/>
        <w:t>VINCENT M POMPO, ESQUIRE</w:t>
      </w:r>
    </w:p>
    <w:p w14:paraId="1C84CBD6"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24 E MARKET STREET</w:t>
      </w:r>
    </w:p>
    <w:p w14:paraId="2D8C898A"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PO BOX 565</w:t>
      </w:r>
    </w:p>
    <w:p w14:paraId="038540D6"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WEST CHESTER PA 19381</w:t>
      </w:r>
    </w:p>
    <w:p w14:paraId="2A151315"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Accepts eService</w:t>
      </w:r>
    </w:p>
    <w:p w14:paraId="0589CF18"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cr/>
      </w:r>
      <w:r w:rsidRPr="0082682D">
        <w:rPr>
          <w:rFonts w:ascii="Microsoft Sans Serif" w:eastAsia="Microsoft Sans Serif" w:hAnsi="Microsoft Sans Serif" w:cs="Microsoft Sans Serif"/>
          <w:szCs w:val="22"/>
        </w:rPr>
        <w:cr/>
        <w:t>GREG I ADELMAN, ESQUIRE</w:t>
      </w:r>
    </w:p>
    <w:p w14:paraId="12DA839E"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910 HARVEST DR</w:t>
      </w:r>
    </w:p>
    <w:p w14:paraId="63F80B34"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PO BOX 3037</w:t>
      </w:r>
    </w:p>
    <w:p w14:paraId="3DD2BCAE"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BLUE BELL, PA 19422</w:t>
      </w:r>
    </w:p>
    <w:p w14:paraId="589D438A" w14:textId="77777777" w:rsidR="0082682D" w:rsidRPr="0082682D" w:rsidRDefault="0082682D" w:rsidP="0082682D">
      <w:pPr>
        <w:spacing w:line="240" w:lineRule="auto"/>
        <w:rPr>
          <w:rFonts w:ascii="Microsoft Sans Serif" w:eastAsia="Microsoft Sans Serif" w:hAnsi="Microsoft Sans Serif" w:cs="Microsoft Sans Serif"/>
          <w:b/>
          <w:bCs/>
          <w:szCs w:val="22"/>
        </w:rPr>
      </w:pPr>
      <w:r w:rsidRPr="0082682D">
        <w:rPr>
          <w:rFonts w:ascii="Microsoft Sans Serif" w:eastAsia="Microsoft Sans Serif" w:hAnsi="Microsoft Sans Serif" w:cs="Microsoft Sans Serif"/>
          <w:b/>
          <w:bCs/>
          <w:szCs w:val="22"/>
        </w:rPr>
        <w:t>610-941-2552</w:t>
      </w:r>
    </w:p>
    <w:p w14:paraId="2434E74A"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Accepts eService</w:t>
      </w:r>
    </w:p>
    <w:p w14:paraId="1C99D9C7"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 xml:space="preserve"> </w:t>
      </w:r>
      <w:r w:rsidRPr="0082682D">
        <w:rPr>
          <w:rFonts w:ascii="Microsoft Sans Serif" w:eastAsia="Microsoft Sans Serif" w:hAnsi="Microsoft Sans Serif" w:cs="Microsoft Sans Serif"/>
          <w:szCs w:val="22"/>
        </w:rPr>
        <w:cr/>
        <w:t>JAMES J RODGERS, ESQUIRE</w:t>
      </w:r>
    </w:p>
    <w:p w14:paraId="55445D3E"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 xml:space="preserve">1500 MARKET STREET </w:t>
      </w:r>
    </w:p>
    <w:p w14:paraId="3AB9E4F9"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PHILADELPHIA PA 19102</w:t>
      </w:r>
    </w:p>
    <w:p w14:paraId="0891E8F2" w14:textId="77777777" w:rsidR="0082682D" w:rsidRPr="0082682D" w:rsidRDefault="0082682D" w:rsidP="0082682D">
      <w:pPr>
        <w:spacing w:line="240" w:lineRule="auto"/>
        <w:rPr>
          <w:rFonts w:ascii="Microsoft Sans Serif" w:eastAsia="Microsoft Sans Serif" w:hAnsi="Microsoft Sans Serif" w:cs="Microsoft Sans Serif"/>
          <w:b/>
          <w:bCs/>
          <w:szCs w:val="22"/>
        </w:rPr>
      </w:pPr>
      <w:r w:rsidRPr="0082682D">
        <w:rPr>
          <w:rFonts w:ascii="Microsoft Sans Serif" w:eastAsia="Microsoft Sans Serif" w:hAnsi="Microsoft Sans Serif" w:cs="Microsoft Sans Serif"/>
          <w:b/>
          <w:bCs/>
          <w:szCs w:val="22"/>
        </w:rPr>
        <w:t>215-575-7143</w:t>
      </w:r>
    </w:p>
    <w:p w14:paraId="60A24023"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t>Accepts eService</w:t>
      </w:r>
    </w:p>
    <w:p w14:paraId="4B836FB5" w14:textId="77777777" w:rsidR="0082682D" w:rsidRPr="0082682D" w:rsidRDefault="0082682D" w:rsidP="0082682D">
      <w:pPr>
        <w:spacing w:line="240" w:lineRule="auto"/>
        <w:rPr>
          <w:rFonts w:ascii="Calibri" w:hAnsi="Calibri"/>
          <w:sz w:val="22"/>
          <w:szCs w:val="22"/>
        </w:rPr>
      </w:pPr>
    </w:p>
    <w:p w14:paraId="0C61494D" w14:textId="77777777" w:rsidR="0082682D" w:rsidRPr="0082682D" w:rsidRDefault="0082682D" w:rsidP="0082682D">
      <w:pPr>
        <w:spacing w:line="240" w:lineRule="auto"/>
        <w:rPr>
          <w:rFonts w:ascii="Microsoft Sans Serif" w:eastAsia="Microsoft Sans Serif" w:hAnsi="Microsoft Sans Serif" w:cs="Microsoft Sans Serif"/>
          <w:szCs w:val="22"/>
        </w:rPr>
      </w:pPr>
      <w:r w:rsidRPr="0082682D">
        <w:rPr>
          <w:rFonts w:ascii="Microsoft Sans Serif" w:eastAsia="Microsoft Sans Serif" w:hAnsi="Microsoft Sans Serif" w:cs="Microsoft Sans Serif"/>
          <w:szCs w:val="22"/>
        </w:rPr>
        <w:cr/>
      </w:r>
    </w:p>
    <w:p w14:paraId="4DCE98B4" w14:textId="09C5120D" w:rsidR="006846B4" w:rsidRPr="007F2F7C" w:rsidRDefault="006846B4" w:rsidP="00331F7E">
      <w:pPr>
        <w:spacing w:before="18" w:line="505" w:lineRule="exact"/>
        <w:ind w:left="72"/>
        <w:jc w:val="both"/>
        <w:textAlignment w:val="baseline"/>
        <w:rPr>
          <w:color w:val="000000"/>
          <w:szCs w:val="24"/>
        </w:rPr>
      </w:pPr>
    </w:p>
    <w:p w14:paraId="68523C56" w14:textId="35E19140" w:rsidR="006846B4" w:rsidRPr="007F2F7C" w:rsidRDefault="006846B4" w:rsidP="00331F7E">
      <w:pPr>
        <w:spacing w:before="18" w:line="505" w:lineRule="exact"/>
        <w:ind w:left="72"/>
        <w:jc w:val="both"/>
        <w:textAlignment w:val="baseline"/>
        <w:rPr>
          <w:color w:val="000000"/>
          <w:szCs w:val="24"/>
        </w:rPr>
      </w:pPr>
    </w:p>
    <w:sectPr w:rsidR="006846B4" w:rsidRPr="007F2F7C" w:rsidSect="0082682D">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A925" w14:textId="77777777" w:rsidR="001F365D" w:rsidRDefault="001F365D" w:rsidP="001F365D">
      <w:pPr>
        <w:spacing w:line="240" w:lineRule="auto"/>
      </w:pPr>
      <w:r>
        <w:separator/>
      </w:r>
    </w:p>
  </w:endnote>
  <w:endnote w:type="continuationSeparator" w:id="0">
    <w:p w14:paraId="56EAEE05" w14:textId="77777777" w:rsidR="001F365D" w:rsidRDefault="001F365D" w:rsidP="001F3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670846"/>
      <w:docPartObj>
        <w:docPartGallery w:val="Page Numbers (Bottom of Page)"/>
        <w:docPartUnique/>
      </w:docPartObj>
    </w:sdtPr>
    <w:sdtEndPr>
      <w:rPr>
        <w:noProof/>
        <w:sz w:val="20"/>
      </w:rPr>
    </w:sdtEndPr>
    <w:sdtContent>
      <w:p w14:paraId="1B62A670" w14:textId="03D1C355" w:rsidR="007F2F7C" w:rsidRDefault="007F2F7C">
        <w:pPr>
          <w:pStyle w:val="Footer"/>
          <w:jc w:val="center"/>
        </w:pPr>
        <w:r w:rsidRPr="007F2F7C">
          <w:rPr>
            <w:sz w:val="20"/>
          </w:rPr>
          <w:fldChar w:fldCharType="begin"/>
        </w:r>
        <w:r w:rsidRPr="007F2F7C">
          <w:rPr>
            <w:sz w:val="20"/>
          </w:rPr>
          <w:instrText xml:space="preserve"> PAGE   \* MERGEFORMAT </w:instrText>
        </w:r>
        <w:r w:rsidRPr="007F2F7C">
          <w:rPr>
            <w:sz w:val="20"/>
          </w:rPr>
          <w:fldChar w:fldCharType="separate"/>
        </w:r>
        <w:r w:rsidRPr="007F2F7C">
          <w:rPr>
            <w:noProof/>
            <w:sz w:val="20"/>
          </w:rPr>
          <w:t>2</w:t>
        </w:r>
        <w:r w:rsidRPr="007F2F7C">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F9C3" w14:textId="77777777" w:rsidR="001F365D" w:rsidRDefault="001F365D" w:rsidP="001F365D">
      <w:pPr>
        <w:spacing w:line="240" w:lineRule="auto"/>
      </w:pPr>
      <w:r>
        <w:separator/>
      </w:r>
    </w:p>
  </w:footnote>
  <w:footnote w:type="continuationSeparator" w:id="0">
    <w:p w14:paraId="22F039BE" w14:textId="77777777" w:rsidR="001F365D" w:rsidRDefault="001F365D" w:rsidP="001F365D">
      <w:pPr>
        <w:spacing w:line="240" w:lineRule="auto"/>
      </w:pPr>
      <w:r>
        <w:continuationSeparator/>
      </w:r>
    </w:p>
  </w:footnote>
  <w:footnote w:id="1">
    <w:p w14:paraId="137C595B" w14:textId="1EBFE854" w:rsidR="00790C4B" w:rsidRPr="007D400C" w:rsidRDefault="00790C4B"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006E7FC9" w:rsidRPr="007D400C">
        <w:rPr>
          <w:sz w:val="20"/>
        </w:rPr>
        <w:tab/>
      </w:r>
      <w:r w:rsidR="006E7FC9" w:rsidRPr="007D400C">
        <w:rPr>
          <w:color w:val="000000"/>
          <w:sz w:val="20"/>
        </w:rPr>
        <w:t>Borough/Authority Protest ¶ 4.</w:t>
      </w:r>
    </w:p>
    <w:p w14:paraId="4340AB18" w14:textId="77777777" w:rsidR="007F2F7C" w:rsidRPr="007D400C" w:rsidRDefault="007F2F7C" w:rsidP="007D400C">
      <w:pPr>
        <w:pStyle w:val="FootnoteText"/>
        <w:spacing w:line="240" w:lineRule="auto"/>
        <w:ind w:firstLine="720"/>
        <w:rPr>
          <w:sz w:val="20"/>
        </w:rPr>
      </w:pPr>
    </w:p>
  </w:footnote>
  <w:footnote w:id="2">
    <w:p w14:paraId="2220CBB9" w14:textId="3C0069BF" w:rsidR="003B4024" w:rsidRPr="007D400C" w:rsidRDefault="003B4024"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 xml:space="preserve">Borough/Authority Protest ¶ </w:t>
      </w:r>
      <w:r w:rsidR="00647BE3" w:rsidRPr="007D400C">
        <w:rPr>
          <w:color w:val="000000"/>
          <w:sz w:val="20"/>
        </w:rPr>
        <w:t>5-6</w:t>
      </w:r>
      <w:r w:rsidRPr="007D400C">
        <w:rPr>
          <w:color w:val="000000"/>
          <w:sz w:val="20"/>
        </w:rPr>
        <w:t>.</w:t>
      </w:r>
    </w:p>
    <w:p w14:paraId="76E58AE4" w14:textId="77777777" w:rsidR="007F2F7C" w:rsidRPr="007D400C" w:rsidRDefault="007F2F7C" w:rsidP="007D400C">
      <w:pPr>
        <w:pStyle w:val="FootnoteText"/>
        <w:spacing w:line="240" w:lineRule="auto"/>
        <w:ind w:firstLine="720"/>
        <w:rPr>
          <w:sz w:val="20"/>
        </w:rPr>
      </w:pPr>
    </w:p>
  </w:footnote>
  <w:footnote w:id="3">
    <w:p w14:paraId="052E46FA" w14:textId="1B600910" w:rsidR="006373FE" w:rsidRDefault="006373FE"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7-8.</w:t>
      </w:r>
    </w:p>
    <w:p w14:paraId="4E4861BC" w14:textId="77777777" w:rsidR="007D400C" w:rsidRPr="007D400C" w:rsidRDefault="007D400C" w:rsidP="007D400C">
      <w:pPr>
        <w:pStyle w:val="FootnoteText"/>
        <w:spacing w:line="240" w:lineRule="auto"/>
        <w:ind w:firstLine="720"/>
        <w:rPr>
          <w:sz w:val="20"/>
        </w:rPr>
      </w:pPr>
    </w:p>
  </w:footnote>
  <w:footnote w:id="4">
    <w:p w14:paraId="03303911" w14:textId="49DA489B" w:rsidR="00AA6751" w:rsidRDefault="00AA6751"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 xml:space="preserve">Borough/Authority Protest ¶ </w:t>
      </w:r>
      <w:r w:rsidR="001712FB" w:rsidRPr="007D400C">
        <w:rPr>
          <w:color w:val="000000"/>
          <w:sz w:val="20"/>
        </w:rPr>
        <w:t>9-11, 13</w:t>
      </w:r>
      <w:r w:rsidRPr="007D400C">
        <w:rPr>
          <w:color w:val="000000"/>
          <w:sz w:val="20"/>
        </w:rPr>
        <w:t>.</w:t>
      </w:r>
    </w:p>
    <w:p w14:paraId="56203DF2" w14:textId="77777777" w:rsidR="007D400C" w:rsidRPr="007D400C" w:rsidRDefault="007D400C" w:rsidP="007D400C">
      <w:pPr>
        <w:pStyle w:val="FootnoteText"/>
        <w:spacing w:line="240" w:lineRule="auto"/>
        <w:ind w:firstLine="720"/>
        <w:rPr>
          <w:sz w:val="20"/>
        </w:rPr>
      </w:pPr>
    </w:p>
  </w:footnote>
  <w:footnote w:id="5">
    <w:p w14:paraId="1C477F03" w14:textId="2DF54C60" w:rsidR="002A51E1" w:rsidRDefault="002A51E1"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14.</w:t>
      </w:r>
    </w:p>
    <w:p w14:paraId="367FC216" w14:textId="77777777" w:rsidR="007D400C" w:rsidRPr="007D400C" w:rsidRDefault="007D400C" w:rsidP="007D400C">
      <w:pPr>
        <w:pStyle w:val="FootnoteText"/>
        <w:spacing w:line="240" w:lineRule="auto"/>
        <w:ind w:firstLine="720"/>
        <w:rPr>
          <w:sz w:val="20"/>
        </w:rPr>
      </w:pPr>
    </w:p>
  </w:footnote>
  <w:footnote w:id="6">
    <w:p w14:paraId="53306C59" w14:textId="27D89B28" w:rsidR="00A86D34" w:rsidRPr="007D400C" w:rsidRDefault="00A86D34" w:rsidP="007D400C">
      <w:pPr>
        <w:pStyle w:val="FootnoteText"/>
        <w:spacing w:line="240" w:lineRule="auto"/>
        <w:ind w:firstLine="720"/>
        <w:rPr>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15.</w:t>
      </w:r>
    </w:p>
  </w:footnote>
  <w:footnote w:id="7">
    <w:p w14:paraId="5356B112" w14:textId="7F4AE070" w:rsidR="00460183" w:rsidRPr="007D400C" w:rsidRDefault="00460183"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16.</w:t>
      </w:r>
    </w:p>
    <w:p w14:paraId="769118DA" w14:textId="77777777" w:rsidR="007F2F7C" w:rsidRPr="007D400C" w:rsidRDefault="007F2F7C" w:rsidP="007D400C">
      <w:pPr>
        <w:pStyle w:val="FootnoteText"/>
        <w:spacing w:line="240" w:lineRule="auto"/>
        <w:ind w:firstLine="720"/>
        <w:rPr>
          <w:sz w:val="20"/>
        </w:rPr>
      </w:pPr>
    </w:p>
  </w:footnote>
  <w:footnote w:id="8">
    <w:p w14:paraId="65F4BC22" w14:textId="37736040" w:rsidR="00CA65E6" w:rsidRPr="007D400C" w:rsidRDefault="00CA65E6"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17.</w:t>
      </w:r>
    </w:p>
    <w:p w14:paraId="6040573B" w14:textId="77777777" w:rsidR="007F2F7C" w:rsidRPr="007D400C" w:rsidRDefault="007F2F7C" w:rsidP="007D400C">
      <w:pPr>
        <w:pStyle w:val="FootnoteText"/>
        <w:spacing w:line="240" w:lineRule="auto"/>
        <w:ind w:firstLine="720"/>
        <w:rPr>
          <w:sz w:val="20"/>
        </w:rPr>
      </w:pPr>
    </w:p>
  </w:footnote>
  <w:footnote w:id="9">
    <w:p w14:paraId="0312CC54" w14:textId="1F5F666D" w:rsidR="00715C4B" w:rsidRPr="007D400C" w:rsidRDefault="00715C4B"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 xml:space="preserve">Borough/Authority Protest ¶ </w:t>
      </w:r>
      <w:r w:rsidR="008657A9" w:rsidRPr="007D400C">
        <w:rPr>
          <w:color w:val="000000"/>
          <w:sz w:val="20"/>
        </w:rPr>
        <w:t>18</w:t>
      </w:r>
      <w:r w:rsidRPr="007D400C">
        <w:rPr>
          <w:color w:val="000000"/>
          <w:sz w:val="20"/>
        </w:rPr>
        <w:t>.</w:t>
      </w:r>
    </w:p>
    <w:p w14:paraId="29E91DF8" w14:textId="77777777" w:rsidR="007F2F7C" w:rsidRPr="007D400C" w:rsidRDefault="007F2F7C" w:rsidP="007D400C">
      <w:pPr>
        <w:pStyle w:val="FootnoteText"/>
        <w:spacing w:line="240" w:lineRule="auto"/>
        <w:ind w:firstLine="720"/>
        <w:rPr>
          <w:sz w:val="20"/>
        </w:rPr>
      </w:pPr>
    </w:p>
  </w:footnote>
  <w:footnote w:id="10">
    <w:p w14:paraId="6C4A998A" w14:textId="79F5B684" w:rsidR="0046471D" w:rsidRPr="007D400C" w:rsidRDefault="0046471D" w:rsidP="007D400C">
      <w:pPr>
        <w:pStyle w:val="FootnoteText"/>
        <w:spacing w:line="240" w:lineRule="auto"/>
        <w:ind w:firstLine="720"/>
        <w:rPr>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19.</w:t>
      </w:r>
    </w:p>
  </w:footnote>
  <w:footnote w:id="11">
    <w:p w14:paraId="7232AA23" w14:textId="5EA3813B" w:rsidR="00DD5450" w:rsidRPr="007D400C" w:rsidRDefault="00DD5450"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20.</w:t>
      </w:r>
    </w:p>
    <w:p w14:paraId="41A1A8A6" w14:textId="77777777" w:rsidR="007F2F7C" w:rsidRPr="007D400C" w:rsidRDefault="007F2F7C" w:rsidP="007D400C">
      <w:pPr>
        <w:pStyle w:val="FootnoteText"/>
        <w:spacing w:line="240" w:lineRule="auto"/>
        <w:ind w:firstLine="720"/>
        <w:rPr>
          <w:sz w:val="20"/>
        </w:rPr>
      </w:pPr>
    </w:p>
  </w:footnote>
  <w:footnote w:id="12">
    <w:p w14:paraId="53FE5031" w14:textId="71CFB793" w:rsidR="00C31AC3" w:rsidRPr="007D400C" w:rsidRDefault="00C31AC3" w:rsidP="007D400C">
      <w:pPr>
        <w:pStyle w:val="FootnoteText"/>
        <w:spacing w:line="240" w:lineRule="auto"/>
        <w:ind w:firstLine="720"/>
        <w:rPr>
          <w:color w:val="000000"/>
          <w:sz w:val="20"/>
        </w:rPr>
      </w:pPr>
      <w:r w:rsidRPr="007D400C">
        <w:rPr>
          <w:rStyle w:val="FootnoteReference"/>
          <w:sz w:val="20"/>
        </w:rPr>
        <w:footnoteRef/>
      </w:r>
      <w:r w:rsidRPr="007D400C">
        <w:rPr>
          <w:sz w:val="20"/>
        </w:rPr>
        <w:t xml:space="preserve"> </w:t>
      </w:r>
      <w:r w:rsidRPr="007D400C">
        <w:rPr>
          <w:sz w:val="20"/>
        </w:rPr>
        <w:tab/>
      </w:r>
      <w:r w:rsidRPr="007D400C">
        <w:rPr>
          <w:color w:val="000000"/>
          <w:sz w:val="20"/>
        </w:rPr>
        <w:t>Borough/Authority Protest ¶ 21-22.</w:t>
      </w:r>
    </w:p>
    <w:p w14:paraId="48C28959" w14:textId="77777777" w:rsidR="007F2F7C" w:rsidRPr="007D400C" w:rsidRDefault="007F2F7C" w:rsidP="007D400C">
      <w:pPr>
        <w:pStyle w:val="FootnoteText"/>
        <w:spacing w:line="240" w:lineRule="auto"/>
        <w:ind w:firstLine="720"/>
        <w:rPr>
          <w:sz w:val="20"/>
        </w:rPr>
      </w:pPr>
    </w:p>
  </w:footnote>
  <w:footnote w:id="13">
    <w:p w14:paraId="5AF94A67" w14:textId="43D3D54A" w:rsidR="007B0B2F" w:rsidRPr="007D400C" w:rsidRDefault="007B0B2F" w:rsidP="007D400C">
      <w:pPr>
        <w:pStyle w:val="FootnoteText"/>
        <w:spacing w:line="240" w:lineRule="auto"/>
        <w:ind w:firstLine="720"/>
        <w:rPr>
          <w:sz w:val="20"/>
        </w:rPr>
      </w:pPr>
      <w:r w:rsidRPr="007D400C">
        <w:rPr>
          <w:rStyle w:val="FootnoteReference"/>
          <w:sz w:val="20"/>
        </w:rPr>
        <w:footnoteRef/>
      </w:r>
      <w:r w:rsidRPr="007D400C">
        <w:rPr>
          <w:sz w:val="20"/>
        </w:rPr>
        <w:t xml:space="preserve"> </w:t>
      </w:r>
      <w:r w:rsidR="005501DF" w:rsidRPr="007D400C">
        <w:rPr>
          <w:sz w:val="20"/>
        </w:rPr>
        <w:tab/>
      </w:r>
      <w:r w:rsidR="005501DF" w:rsidRPr="007D400C">
        <w:rPr>
          <w:color w:val="000000"/>
          <w:sz w:val="20"/>
        </w:rPr>
        <w:t>Borough/Authority Protest ¶ 23.</w:t>
      </w:r>
    </w:p>
  </w:footnote>
  <w:footnote w:id="14">
    <w:p w14:paraId="6F42CF4E" w14:textId="77777777" w:rsidR="00E54066" w:rsidRPr="007D400C" w:rsidRDefault="00E54066" w:rsidP="007D400C">
      <w:pPr>
        <w:spacing w:line="240" w:lineRule="auto"/>
        <w:ind w:firstLine="720"/>
        <w:textAlignment w:val="baseline"/>
        <w:rPr>
          <w:color w:val="000000"/>
          <w:sz w:val="20"/>
          <w:vertAlign w:val="superscript"/>
        </w:rPr>
      </w:pPr>
      <w:r w:rsidRPr="007D400C">
        <w:rPr>
          <w:rStyle w:val="FootnoteReference"/>
          <w:sz w:val="20"/>
        </w:rPr>
        <w:footnoteRef/>
      </w:r>
      <w:r w:rsidRPr="007D400C">
        <w:rPr>
          <w:sz w:val="20"/>
        </w:rPr>
        <w:t xml:space="preserve"> </w:t>
      </w:r>
      <w:r w:rsidRPr="007D400C">
        <w:rPr>
          <w:sz w:val="20"/>
        </w:rPr>
        <w:tab/>
      </w:r>
      <w:r w:rsidRPr="007D400C">
        <w:rPr>
          <w:color w:val="000000"/>
          <w:sz w:val="20"/>
        </w:rPr>
        <w:t xml:space="preserve">PAWC/Township Preliminary Objections, Footnote 1, p. 3. </w:t>
      </w:r>
    </w:p>
    <w:p w14:paraId="0667C36B" w14:textId="7117C5CA" w:rsidR="00E54066" w:rsidRPr="007D400C" w:rsidRDefault="00E54066" w:rsidP="007D400C">
      <w:pPr>
        <w:pStyle w:val="FootnoteText"/>
        <w:spacing w:line="240" w:lineRule="auto"/>
        <w:rPr>
          <w:sz w:val="20"/>
        </w:rPr>
      </w:pPr>
    </w:p>
  </w:footnote>
  <w:footnote w:id="15">
    <w:p w14:paraId="78F785BD" w14:textId="77777777" w:rsidR="00D85313" w:rsidRPr="007D400C" w:rsidRDefault="00D85313" w:rsidP="007D400C">
      <w:pPr>
        <w:pStyle w:val="FootnoteText"/>
        <w:spacing w:line="240" w:lineRule="auto"/>
        <w:ind w:firstLine="720"/>
        <w:rPr>
          <w:sz w:val="20"/>
        </w:rPr>
      </w:pPr>
      <w:r w:rsidRPr="007D400C">
        <w:rPr>
          <w:rStyle w:val="FootnoteReference"/>
          <w:sz w:val="20"/>
        </w:rPr>
        <w:footnoteRef/>
      </w:r>
      <w:r w:rsidRPr="007D400C">
        <w:rPr>
          <w:sz w:val="20"/>
        </w:rPr>
        <w:t xml:space="preserve"> </w:t>
      </w:r>
      <w:r w:rsidRPr="007D400C">
        <w:rPr>
          <w:sz w:val="20"/>
        </w:rPr>
        <w:tab/>
      </w:r>
      <w:r w:rsidRPr="007D400C">
        <w:rPr>
          <w:i/>
          <w:sz w:val="20"/>
        </w:rPr>
        <w:t xml:space="preserve"> Elkin v. Bell Telephone Company of Pennsylvania</w:t>
      </w:r>
      <w:r w:rsidRPr="007D400C">
        <w:rPr>
          <w:sz w:val="20"/>
        </w:rPr>
        <w:t xml:space="preserve">, 491 Pa. 123, 420 A.2d 371 (1980); </w:t>
      </w:r>
      <w:r w:rsidRPr="007D400C">
        <w:rPr>
          <w:i/>
          <w:sz w:val="20"/>
        </w:rPr>
        <w:t>Feingold v. Bell of Pennsylvania</w:t>
      </w:r>
      <w:r w:rsidRPr="007D400C">
        <w:rPr>
          <w:sz w:val="20"/>
        </w:rPr>
        <w:t xml:space="preserve">, 477 Pa. 1, 383 A.2d 791 (1977); </w:t>
      </w:r>
      <w:r w:rsidRPr="007D400C">
        <w:rPr>
          <w:i/>
          <w:sz w:val="20"/>
        </w:rPr>
        <w:t>Poorbaugh v. Pa. Pub. Util. Comm’n</w:t>
      </w:r>
      <w:r w:rsidRPr="007D400C">
        <w:rPr>
          <w:sz w:val="20"/>
        </w:rPr>
        <w:t>, 666 A.2d 744 (Pa.Cmwlth. 1995).</w:t>
      </w:r>
    </w:p>
    <w:p w14:paraId="4AD29C12" w14:textId="77777777" w:rsidR="00D85313" w:rsidRPr="007D400C" w:rsidRDefault="00D85313" w:rsidP="007D400C">
      <w:pPr>
        <w:pStyle w:val="FootnoteText"/>
        <w:spacing w:line="240" w:lineRule="auto"/>
        <w:ind w:firstLine="720"/>
        <w:rPr>
          <w:sz w:val="20"/>
        </w:rPr>
      </w:pPr>
    </w:p>
  </w:footnote>
  <w:footnote w:id="16">
    <w:p w14:paraId="0CBA347C" w14:textId="77777777" w:rsidR="00D85313" w:rsidRPr="007D400C" w:rsidRDefault="00D85313" w:rsidP="007D400C">
      <w:pPr>
        <w:pStyle w:val="FootnoteText"/>
        <w:spacing w:line="240" w:lineRule="auto"/>
        <w:ind w:firstLine="720"/>
        <w:rPr>
          <w:sz w:val="20"/>
        </w:rPr>
      </w:pPr>
      <w:r w:rsidRPr="007D400C">
        <w:rPr>
          <w:rStyle w:val="FootnoteReference"/>
          <w:sz w:val="20"/>
        </w:rPr>
        <w:footnoteRef/>
      </w:r>
      <w:r w:rsidRPr="007D400C">
        <w:rPr>
          <w:sz w:val="20"/>
        </w:rPr>
        <w:t xml:space="preserve">  </w:t>
      </w:r>
      <w:r w:rsidRPr="007D400C">
        <w:rPr>
          <w:sz w:val="20"/>
        </w:rPr>
        <w:tab/>
        <w:t>66 Pa.C.S. § 1501.</w:t>
      </w:r>
    </w:p>
    <w:p w14:paraId="5E7C39A2" w14:textId="77777777" w:rsidR="00D85313" w:rsidRPr="007D400C" w:rsidRDefault="00D85313" w:rsidP="007D400C">
      <w:pPr>
        <w:pStyle w:val="FootnoteText"/>
        <w:spacing w:line="240" w:lineRule="auto"/>
        <w:ind w:firstLine="720"/>
        <w:rPr>
          <w:sz w:val="20"/>
        </w:rPr>
      </w:pPr>
    </w:p>
  </w:footnote>
  <w:footnote w:id="17">
    <w:p w14:paraId="5EBBEBB8" w14:textId="77777777" w:rsidR="00D85313" w:rsidRPr="007D400C" w:rsidRDefault="00D85313" w:rsidP="007D400C">
      <w:pPr>
        <w:pStyle w:val="FootnoteText"/>
        <w:spacing w:line="240" w:lineRule="auto"/>
        <w:ind w:firstLine="720"/>
        <w:rPr>
          <w:sz w:val="20"/>
        </w:rPr>
      </w:pPr>
      <w:r w:rsidRPr="007D400C">
        <w:rPr>
          <w:rStyle w:val="FootnoteReference"/>
          <w:sz w:val="20"/>
        </w:rPr>
        <w:footnoteRef/>
      </w:r>
      <w:r w:rsidRPr="007D400C">
        <w:rPr>
          <w:sz w:val="20"/>
        </w:rPr>
        <w:t xml:space="preserve"> </w:t>
      </w:r>
      <w:r w:rsidRPr="007D400C">
        <w:rPr>
          <w:sz w:val="20"/>
        </w:rPr>
        <w:tab/>
        <w:t>66 Pa.C.S. §§ 501, 1501.</w:t>
      </w:r>
    </w:p>
    <w:p w14:paraId="6A4ED2F3" w14:textId="77777777" w:rsidR="00D85313" w:rsidRPr="007D400C" w:rsidRDefault="00D85313" w:rsidP="007D400C">
      <w:pPr>
        <w:pStyle w:val="FootnoteText"/>
        <w:spacing w:line="240" w:lineRule="auto"/>
        <w:ind w:firstLine="720"/>
        <w:rPr>
          <w:sz w:val="20"/>
        </w:rPr>
      </w:pPr>
    </w:p>
  </w:footnote>
  <w:footnote w:id="18">
    <w:p w14:paraId="6CFF9DB3" w14:textId="31A8A0B6" w:rsidR="00D85313" w:rsidRDefault="00D85313" w:rsidP="007D400C">
      <w:pPr>
        <w:pStyle w:val="FootnoteText"/>
        <w:spacing w:line="240" w:lineRule="auto"/>
        <w:ind w:firstLine="720"/>
        <w:rPr>
          <w:sz w:val="20"/>
        </w:rPr>
      </w:pPr>
      <w:r w:rsidRPr="007D400C">
        <w:rPr>
          <w:rStyle w:val="FootnoteReference"/>
          <w:sz w:val="20"/>
        </w:rPr>
        <w:footnoteRef/>
      </w:r>
      <w:r w:rsidRPr="007D400C">
        <w:rPr>
          <w:sz w:val="20"/>
        </w:rPr>
        <w:tab/>
        <w:t xml:space="preserve">66 Pa.C.S. § 102 (defining “service”); </w:t>
      </w:r>
      <w:r w:rsidRPr="007D400C">
        <w:rPr>
          <w:i/>
          <w:sz w:val="20"/>
        </w:rPr>
        <w:t>West Penn Power Co. v. Pa. Pub. Util. Comm’n,</w:t>
      </w:r>
      <w:r w:rsidRPr="007D400C">
        <w:rPr>
          <w:sz w:val="20"/>
        </w:rPr>
        <w:t xml:space="preserve"> 578 A.2d 75 (Pa.Cmwlth. 1990); </w:t>
      </w:r>
      <w:r w:rsidRPr="007D400C">
        <w:rPr>
          <w:i/>
          <w:sz w:val="20"/>
        </w:rPr>
        <w:t>McCall v. Pennsylvania Electric Company</w:t>
      </w:r>
      <w:r w:rsidRPr="007D400C">
        <w:rPr>
          <w:sz w:val="20"/>
        </w:rPr>
        <w:t>, PUC Docket No. C-2009-2105240 (Initial Decision issued February 25, 2010).</w:t>
      </w:r>
    </w:p>
    <w:p w14:paraId="2D2A30AC" w14:textId="77777777" w:rsidR="005666AD" w:rsidRPr="007D400C" w:rsidRDefault="005666AD" w:rsidP="007D400C">
      <w:pPr>
        <w:pStyle w:val="FootnoteText"/>
        <w:spacing w:line="240" w:lineRule="auto"/>
        <w:ind w:firstLine="720"/>
        <w:rPr>
          <w:i/>
          <w:sz w:val="20"/>
        </w:rPr>
      </w:pPr>
    </w:p>
  </w:footnote>
  <w:footnote w:id="19">
    <w:p w14:paraId="767551E9" w14:textId="77777777" w:rsidR="00D165BD" w:rsidRPr="007D400C" w:rsidRDefault="00D165BD" w:rsidP="007D400C">
      <w:pPr>
        <w:spacing w:line="240" w:lineRule="auto"/>
        <w:ind w:right="72" w:firstLine="720"/>
        <w:textAlignment w:val="baseline"/>
        <w:rPr>
          <w:i/>
          <w:color w:val="000000"/>
          <w:sz w:val="20"/>
        </w:rPr>
      </w:pPr>
      <w:r w:rsidRPr="007D400C">
        <w:rPr>
          <w:rStyle w:val="FootnoteReference"/>
          <w:sz w:val="20"/>
        </w:rPr>
        <w:footnoteRef/>
      </w:r>
      <w:r w:rsidRPr="007D400C">
        <w:rPr>
          <w:sz w:val="20"/>
        </w:rPr>
        <w:t xml:space="preserve"> </w:t>
      </w:r>
      <w:r w:rsidRPr="007D400C">
        <w:rPr>
          <w:sz w:val="20"/>
        </w:rPr>
        <w:tab/>
        <w:t xml:space="preserve">See </w:t>
      </w:r>
      <w:r w:rsidRPr="007D400C">
        <w:rPr>
          <w:i/>
          <w:color w:val="000000"/>
          <w:sz w:val="20"/>
        </w:rPr>
        <w:t xml:space="preserve">Application of Pennsylvania-American Water Company under Sections 507, 1102, and 1329 of the Public Utility Code for Approval of its Acquisition of Wastewater System Assets of Exeter Township, </w:t>
      </w:r>
      <w:r w:rsidRPr="007D400C">
        <w:rPr>
          <w:color w:val="000000"/>
          <w:sz w:val="20"/>
        </w:rPr>
        <w:t>Docket No. A-2018-3004933 (Recommended Decision issued August 9, 2019) p. 59.</w:t>
      </w:r>
    </w:p>
    <w:p w14:paraId="0923A793" w14:textId="0DD4536E" w:rsidR="00D165BD" w:rsidRPr="007D400C" w:rsidRDefault="00D165BD" w:rsidP="007D400C">
      <w:pPr>
        <w:pStyle w:val="FootnoteText"/>
        <w:spacing w:line="240" w:lineRule="auto"/>
        <w:ind w:firstLine="720"/>
        <w:jc w:val="left"/>
        <w:rPr>
          <w:sz w:val="20"/>
        </w:rPr>
      </w:pPr>
    </w:p>
  </w:footnote>
  <w:footnote w:id="20">
    <w:p w14:paraId="6C56AB2F" w14:textId="67849902" w:rsidR="007B62C9" w:rsidRPr="000D6EA3" w:rsidRDefault="007B62C9" w:rsidP="007D400C">
      <w:pPr>
        <w:pStyle w:val="FootnoteText"/>
        <w:spacing w:line="240" w:lineRule="auto"/>
        <w:ind w:firstLine="720"/>
        <w:jc w:val="left"/>
        <w:rPr>
          <w:sz w:val="20"/>
        </w:rPr>
      </w:pPr>
      <w:r w:rsidRPr="007D400C">
        <w:rPr>
          <w:rStyle w:val="FootnoteReference"/>
          <w:sz w:val="20"/>
        </w:rPr>
        <w:footnoteRef/>
      </w:r>
      <w:r w:rsidRPr="007D400C">
        <w:rPr>
          <w:sz w:val="20"/>
        </w:rPr>
        <w:t xml:space="preserve"> </w:t>
      </w:r>
      <w:r w:rsidRPr="007D400C">
        <w:rPr>
          <w:sz w:val="20"/>
        </w:rPr>
        <w:tab/>
        <w:t>PAWC</w:t>
      </w:r>
      <w:r w:rsidR="00FC4A7E" w:rsidRPr="007D400C">
        <w:rPr>
          <w:sz w:val="20"/>
        </w:rPr>
        <w:t>/</w:t>
      </w:r>
      <w:r w:rsidRPr="007D400C">
        <w:rPr>
          <w:sz w:val="20"/>
        </w:rPr>
        <w:t>Town</w:t>
      </w:r>
      <w:r w:rsidR="00FC4A7E" w:rsidRPr="007D400C">
        <w:rPr>
          <w:sz w:val="20"/>
        </w:rPr>
        <w:t>ship Answer  ¶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A56598"/>
    <w:multiLevelType w:val="multilevel"/>
    <w:tmpl w:val="6C18418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406A5"/>
    <w:multiLevelType w:val="multilevel"/>
    <w:tmpl w:val="964092A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245D1"/>
    <w:multiLevelType w:val="multilevel"/>
    <w:tmpl w:val="4386E14C"/>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52E29"/>
    <w:multiLevelType w:val="multilevel"/>
    <w:tmpl w:val="3EC217D8"/>
    <w:lvl w:ilvl="0">
      <w:start w:val="1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F3C71"/>
    <w:multiLevelType w:val="multilevel"/>
    <w:tmpl w:val="09765230"/>
    <w:lvl w:ilvl="0">
      <w:start w:val="8"/>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F04A4D"/>
    <w:multiLevelType w:val="hybridMultilevel"/>
    <w:tmpl w:val="8274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E00DA"/>
    <w:multiLevelType w:val="hybridMultilevel"/>
    <w:tmpl w:val="3EC69AF2"/>
    <w:lvl w:ilvl="0" w:tplc="E4FC3D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F4ED1"/>
    <w:multiLevelType w:val="multilevel"/>
    <w:tmpl w:val="F1FA993C"/>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D11A1B"/>
    <w:multiLevelType w:val="multilevel"/>
    <w:tmpl w:val="8BB4F680"/>
    <w:lvl w:ilvl="0">
      <w:start w:val="13"/>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774C3F"/>
    <w:multiLevelType w:val="multilevel"/>
    <w:tmpl w:val="AA54CEB2"/>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6A21BB"/>
    <w:multiLevelType w:val="multilevel"/>
    <w:tmpl w:val="964092A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103BE5"/>
    <w:multiLevelType w:val="multilevel"/>
    <w:tmpl w:val="964092A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607BA5"/>
    <w:multiLevelType w:val="multilevel"/>
    <w:tmpl w:val="752ED6CA"/>
    <w:lvl w:ilvl="0">
      <w:start w:val="10"/>
      <w:numFmt w:val="decimal"/>
      <w:lvlText w:val="%1."/>
      <w:lvlJc w:val="left"/>
      <w:pPr>
        <w:tabs>
          <w:tab w:val="left" w:pos="720"/>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12"/>
  </w:num>
  <w:num w:numId="4">
    <w:abstractNumId w:val="5"/>
  </w:num>
  <w:num w:numId="5">
    <w:abstractNumId w:val="9"/>
  </w:num>
  <w:num w:numId="6">
    <w:abstractNumId w:val="4"/>
  </w:num>
  <w:num w:numId="7">
    <w:abstractNumId w:val="2"/>
  </w:num>
  <w:num w:numId="8">
    <w:abstractNumId w:val="13"/>
  </w:num>
  <w:num w:numId="9">
    <w:abstractNumId w:val="11"/>
  </w:num>
  <w:num w:numId="10">
    <w:abstractNumId w:val="3"/>
  </w:num>
  <w:num w:numId="11">
    <w:abstractNumId w:val="14"/>
  </w:num>
  <w:num w:numId="12">
    <w:abstractNumId w:val="10"/>
  </w:num>
  <w:num w:numId="13">
    <w:abstractNumId w:val="1"/>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5D"/>
    <w:rsid w:val="00006353"/>
    <w:rsid w:val="000125A9"/>
    <w:rsid w:val="000145C5"/>
    <w:rsid w:val="000202E3"/>
    <w:rsid w:val="00020773"/>
    <w:rsid w:val="00022B8B"/>
    <w:rsid w:val="00036834"/>
    <w:rsid w:val="000401B2"/>
    <w:rsid w:val="00041D7F"/>
    <w:rsid w:val="00051E19"/>
    <w:rsid w:val="000522A6"/>
    <w:rsid w:val="000526AC"/>
    <w:rsid w:val="00054390"/>
    <w:rsid w:val="00055CA8"/>
    <w:rsid w:val="00064D3C"/>
    <w:rsid w:val="00067F96"/>
    <w:rsid w:val="000A09F9"/>
    <w:rsid w:val="000B6D5F"/>
    <w:rsid w:val="000C0957"/>
    <w:rsid w:val="000C2B60"/>
    <w:rsid w:val="000D6EA3"/>
    <w:rsid w:val="000D7BBA"/>
    <w:rsid w:val="000E0D32"/>
    <w:rsid w:val="000E22D1"/>
    <w:rsid w:val="000E253B"/>
    <w:rsid w:val="000E4997"/>
    <w:rsid w:val="000E61B8"/>
    <w:rsid w:val="000E64EA"/>
    <w:rsid w:val="00107B1C"/>
    <w:rsid w:val="00107FAC"/>
    <w:rsid w:val="00111A43"/>
    <w:rsid w:val="00123583"/>
    <w:rsid w:val="00127B07"/>
    <w:rsid w:val="00154A6A"/>
    <w:rsid w:val="00157338"/>
    <w:rsid w:val="00162882"/>
    <w:rsid w:val="001641E9"/>
    <w:rsid w:val="001712FB"/>
    <w:rsid w:val="00175B56"/>
    <w:rsid w:val="001970F3"/>
    <w:rsid w:val="00197965"/>
    <w:rsid w:val="001D1257"/>
    <w:rsid w:val="001D59E0"/>
    <w:rsid w:val="001F365D"/>
    <w:rsid w:val="001F3836"/>
    <w:rsid w:val="001F604D"/>
    <w:rsid w:val="00204517"/>
    <w:rsid w:val="0021417D"/>
    <w:rsid w:val="002176FD"/>
    <w:rsid w:val="00221FDF"/>
    <w:rsid w:val="0022334E"/>
    <w:rsid w:val="00227556"/>
    <w:rsid w:val="00252A5C"/>
    <w:rsid w:val="00253C2F"/>
    <w:rsid w:val="00254679"/>
    <w:rsid w:val="0025772D"/>
    <w:rsid w:val="00273E1C"/>
    <w:rsid w:val="002873EF"/>
    <w:rsid w:val="0029010F"/>
    <w:rsid w:val="00295445"/>
    <w:rsid w:val="002A51E1"/>
    <w:rsid w:val="002A5822"/>
    <w:rsid w:val="002B0697"/>
    <w:rsid w:val="002B4C7F"/>
    <w:rsid w:val="002C7B39"/>
    <w:rsid w:val="002D0BFA"/>
    <w:rsid w:val="002D4EF1"/>
    <w:rsid w:val="002E3097"/>
    <w:rsid w:val="002F4762"/>
    <w:rsid w:val="002F739E"/>
    <w:rsid w:val="0030672B"/>
    <w:rsid w:val="00312600"/>
    <w:rsid w:val="00322348"/>
    <w:rsid w:val="00326A33"/>
    <w:rsid w:val="00331F7E"/>
    <w:rsid w:val="00331FA8"/>
    <w:rsid w:val="00333C73"/>
    <w:rsid w:val="003343BD"/>
    <w:rsid w:val="00341844"/>
    <w:rsid w:val="00342171"/>
    <w:rsid w:val="00354660"/>
    <w:rsid w:val="00360CEC"/>
    <w:rsid w:val="00361FAB"/>
    <w:rsid w:val="0036229C"/>
    <w:rsid w:val="0038646E"/>
    <w:rsid w:val="0039210E"/>
    <w:rsid w:val="00393D72"/>
    <w:rsid w:val="00395C26"/>
    <w:rsid w:val="00395E93"/>
    <w:rsid w:val="003A3DFD"/>
    <w:rsid w:val="003B4024"/>
    <w:rsid w:val="003C3679"/>
    <w:rsid w:val="003D32F9"/>
    <w:rsid w:val="003D4D70"/>
    <w:rsid w:val="003E5D0E"/>
    <w:rsid w:val="003E6440"/>
    <w:rsid w:val="003F1166"/>
    <w:rsid w:val="00401400"/>
    <w:rsid w:val="00411953"/>
    <w:rsid w:val="004171F2"/>
    <w:rsid w:val="00420801"/>
    <w:rsid w:val="004233AD"/>
    <w:rsid w:val="00426EFE"/>
    <w:rsid w:val="004271A1"/>
    <w:rsid w:val="0043458C"/>
    <w:rsid w:val="0043480F"/>
    <w:rsid w:val="0044559E"/>
    <w:rsid w:val="004455DE"/>
    <w:rsid w:val="00455BD3"/>
    <w:rsid w:val="00456565"/>
    <w:rsid w:val="00460183"/>
    <w:rsid w:val="0046066C"/>
    <w:rsid w:val="00461A88"/>
    <w:rsid w:val="0046471D"/>
    <w:rsid w:val="00464A44"/>
    <w:rsid w:val="00464B56"/>
    <w:rsid w:val="00466785"/>
    <w:rsid w:val="004824F8"/>
    <w:rsid w:val="004828D5"/>
    <w:rsid w:val="004865BD"/>
    <w:rsid w:val="004A2DBE"/>
    <w:rsid w:val="004A63E2"/>
    <w:rsid w:val="004A7DD7"/>
    <w:rsid w:val="004E57F3"/>
    <w:rsid w:val="004F061A"/>
    <w:rsid w:val="005053AB"/>
    <w:rsid w:val="00510492"/>
    <w:rsid w:val="00511881"/>
    <w:rsid w:val="0051280B"/>
    <w:rsid w:val="005157DA"/>
    <w:rsid w:val="00522701"/>
    <w:rsid w:val="00537E08"/>
    <w:rsid w:val="005501DF"/>
    <w:rsid w:val="005545E5"/>
    <w:rsid w:val="00555700"/>
    <w:rsid w:val="00564024"/>
    <w:rsid w:val="005666AD"/>
    <w:rsid w:val="00573080"/>
    <w:rsid w:val="00581032"/>
    <w:rsid w:val="005832F7"/>
    <w:rsid w:val="00594224"/>
    <w:rsid w:val="005950B0"/>
    <w:rsid w:val="005D412F"/>
    <w:rsid w:val="005D56B9"/>
    <w:rsid w:val="005D737F"/>
    <w:rsid w:val="005E0752"/>
    <w:rsid w:val="005E0B80"/>
    <w:rsid w:val="00601E82"/>
    <w:rsid w:val="0060779B"/>
    <w:rsid w:val="0061483A"/>
    <w:rsid w:val="00615983"/>
    <w:rsid w:val="00621ED6"/>
    <w:rsid w:val="00622488"/>
    <w:rsid w:val="00622774"/>
    <w:rsid w:val="00623C73"/>
    <w:rsid w:val="00627EDF"/>
    <w:rsid w:val="006373FE"/>
    <w:rsid w:val="00640994"/>
    <w:rsid w:val="00647BE3"/>
    <w:rsid w:val="0066441C"/>
    <w:rsid w:val="006659AC"/>
    <w:rsid w:val="00665E1F"/>
    <w:rsid w:val="0067130C"/>
    <w:rsid w:val="00674234"/>
    <w:rsid w:val="006772ED"/>
    <w:rsid w:val="006846B4"/>
    <w:rsid w:val="00686494"/>
    <w:rsid w:val="006A6D96"/>
    <w:rsid w:val="006B158A"/>
    <w:rsid w:val="006B2337"/>
    <w:rsid w:val="006C1F0A"/>
    <w:rsid w:val="006D2B94"/>
    <w:rsid w:val="006D74AD"/>
    <w:rsid w:val="006E7FC9"/>
    <w:rsid w:val="006F4C8F"/>
    <w:rsid w:val="00715C4B"/>
    <w:rsid w:val="00722D54"/>
    <w:rsid w:val="00731250"/>
    <w:rsid w:val="0073638E"/>
    <w:rsid w:val="00740924"/>
    <w:rsid w:val="00745ECF"/>
    <w:rsid w:val="00750CFF"/>
    <w:rsid w:val="00761A2E"/>
    <w:rsid w:val="00773E69"/>
    <w:rsid w:val="007811A0"/>
    <w:rsid w:val="007826BD"/>
    <w:rsid w:val="00790C4B"/>
    <w:rsid w:val="007967FC"/>
    <w:rsid w:val="007B00E7"/>
    <w:rsid w:val="007B0B2F"/>
    <w:rsid w:val="007B5C79"/>
    <w:rsid w:val="007B62C9"/>
    <w:rsid w:val="007B76EC"/>
    <w:rsid w:val="007D400C"/>
    <w:rsid w:val="007E510E"/>
    <w:rsid w:val="007F0B90"/>
    <w:rsid w:val="007F2F7C"/>
    <w:rsid w:val="00803068"/>
    <w:rsid w:val="0082349C"/>
    <w:rsid w:val="0082682D"/>
    <w:rsid w:val="00833D38"/>
    <w:rsid w:val="00835EF1"/>
    <w:rsid w:val="008371F8"/>
    <w:rsid w:val="008425B3"/>
    <w:rsid w:val="00846171"/>
    <w:rsid w:val="008568E6"/>
    <w:rsid w:val="008657A9"/>
    <w:rsid w:val="00866B53"/>
    <w:rsid w:val="00877DEA"/>
    <w:rsid w:val="008829E1"/>
    <w:rsid w:val="00883E16"/>
    <w:rsid w:val="008948B4"/>
    <w:rsid w:val="008A0760"/>
    <w:rsid w:val="008B3BBC"/>
    <w:rsid w:val="008B6C62"/>
    <w:rsid w:val="008C1E47"/>
    <w:rsid w:val="008C644F"/>
    <w:rsid w:val="008D1E56"/>
    <w:rsid w:val="008F1D2E"/>
    <w:rsid w:val="00904A0A"/>
    <w:rsid w:val="009058FC"/>
    <w:rsid w:val="00914358"/>
    <w:rsid w:val="009167C6"/>
    <w:rsid w:val="0092287C"/>
    <w:rsid w:val="0092520B"/>
    <w:rsid w:val="009318B2"/>
    <w:rsid w:val="00935395"/>
    <w:rsid w:val="009408DB"/>
    <w:rsid w:val="00945115"/>
    <w:rsid w:val="00961837"/>
    <w:rsid w:val="00962460"/>
    <w:rsid w:val="00966FD8"/>
    <w:rsid w:val="00970D8D"/>
    <w:rsid w:val="00974C6E"/>
    <w:rsid w:val="0099131A"/>
    <w:rsid w:val="00997839"/>
    <w:rsid w:val="009A2A46"/>
    <w:rsid w:val="009A56A5"/>
    <w:rsid w:val="009B01C3"/>
    <w:rsid w:val="009B32A4"/>
    <w:rsid w:val="009C0328"/>
    <w:rsid w:val="009C09A2"/>
    <w:rsid w:val="009D4721"/>
    <w:rsid w:val="009E4B00"/>
    <w:rsid w:val="00A13BDA"/>
    <w:rsid w:val="00A13EA5"/>
    <w:rsid w:val="00A15370"/>
    <w:rsid w:val="00A15645"/>
    <w:rsid w:val="00A1587F"/>
    <w:rsid w:val="00A5312F"/>
    <w:rsid w:val="00A54A1D"/>
    <w:rsid w:val="00A564F5"/>
    <w:rsid w:val="00A57266"/>
    <w:rsid w:val="00A57801"/>
    <w:rsid w:val="00A60008"/>
    <w:rsid w:val="00A67EB5"/>
    <w:rsid w:val="00A70B2C"/>
    <w:rsid w:val="00A72D27"/>
    <w:rsid w:val="00A86D34"/>
    <w:rsid w:val="00A91DB8"/>
    <w:rsid w:val="00A962F5"/>
    <w:rsid w:val="00A97C9F"/>
    <w:rsid w:val="00AA6516"/>
    <w:rsid w:val="00AA6751"/>
    <w:rsid w:val="00AC13E3"/>
    <w:rsid w:val="00AC54DB"/>
    <w:rsid w:val="00AC76C7"/>
    <w:rsid w:val="00AD0FB0"/>
    <w:rsid w:val="00AD2598"/>
    <w:rsid w:val="00AD25F1"/>
    <w:rsid w:val="00AD7E9F"/>
    <w:rsid w:val="00AE03FB"/>
    <w:rsid w:val="00AF236C"/>
    <w:rsid w:val="00AF2EE9"/>
    <w:rsid w:val="00B0087A"/>
    <w:rsid w:val="00B1076B"/>
    <w:rsid w:val="00B12F57"/>
    <w:rsid w:val="00B13148"/>
    <w:rsid w:val="00B533DE"/>
    <w:rsid w:val="00B5646A"/>
    <w:rsid w:val="00B655BB"/>
    <w:rsid w:val="00B860DA"/>
    <w:rsid w:val="00B87802"/>
    <w:rsid w:val="00B948DF"/>
    <w:rsid w:val="00BB18F0"/>
    <w:rsid w:val="00BB2B52"/>
    <w:rsid w:val="00BC1F71"/>
    <w:rsid w:val="00BC2D75"/>
    <w:rsid w:val="00BC4FBE"/>
    <w:rsid w:val="00BD0AD0"/>
    <w:rsid w:val="00BE1B4E"/>
    <w:rsid w:val="00BE57A9"/>
    <w:rsid w:val="00BF558A"/>
    <w:rsid w:val="00C02755"/>
    <w:rsid w:val="00C0475C"/>
    <w:rsid w:val="00C07AA6"/>
    <w:rsid w:val="00C105C2"/>
    <w:rsid w:val="00C31AC3"/>
    <w:rsid w:val="00C323AB"/>
    <w:rsid w:val="00C400C9"/>
    <w:rsid w:val="00C43BAD"/>
    <w:rsid w:val="00C7346E"/>
    <w:rsid w:val="00C95787"/>
    <w:rsid w:val="00CA65E6"/>
    <w:rsid w:val="00CB15F0"/>
    <w:rsid w:val="00CB2251"/>
    <w:rsid w:val="00CB4164"/>
    <w:rsid w:val="00CB61ED"/>
    <w:rsid w:val="00CC6381"/>
    <w:rsid w:val="00CD2D63"/>
    <w:rsid w:val="00CD3C42"/>
    <w:rsid w:val="00CD5C1B"/>
    <w:rsid w:val="00CD79C9"/>
    <w:rsid w:val="00CE458F"/>
    <w:rsid w:val="00D00547"/>
    <w:rsid w:val="00D165BD"/>
    <w:rsid w:val="00D259D9"/>
    <w:rsid w:val="00D42BBF"/>
    <w:rsid w:val="00D437DD"/>
    <w:rsid w:val="00D44E65"/>
    <w:rsid w:val="00D45722"/>
    <w:rsid w:val="00D61ADE"/>
    <w:rsid w:val="00D646F2"/>
    <w:rsid w:val="00D675A6"/>
    <w:rsid w:val="00D7289E"/>
    <w:rsid w:val="00D75D10"/>
    <w:rsid w:val="00D80C4B"/>
    <w:rsid w:val="00D81E25"/>
    <w:rsid w:val="00D85313"/>
    <w:rsid w:val="00DA0A2E"/>
    <w:rsid w:val="00DA21D1"/>
    <w:rsid w:val="00DB22B9"/>
    <w:rsid w:val="00DC6B41"/>
    <w:rsid w:val="00DC6DB1"/>
    <w:rsid w:val="00DD24C1"/>
    <w:rsid w:val="00DD5450"/>
    <w:rsid w:val="00DE6DFC"/>
    <w:rsid w:val="00DF2E41"/>
    <w:rsid w:val="00E02491"/>
    <w:rsid w:val="00E07A93"/>
    <w:rsid w:val="00E25515"/>
    <w:rsid w:val="00E516C6"/>
    <w:rsid w:val="00E54066"/>
    <w:rsid w:val="00E74179"/>
    <w:rsid w:val="00E80B8B"/>
    <w:rsid w:val="00E9732C"/>
    <w:rsid w:val="00EA7783"/>
    <w:rsid w:val="00EB3C0E"/>
    <w:rsid w:val="00EC3986"/>
    <w:rsid w:val="00ED7D9E"/>
    <w:rsid w:val="00EE2021"/>
    <w:rsid w:val="00EE579A"/>
    <w:rsid w:val="00F10356"/>
    <w:rsid w:val="00F20954"/>
    <w:rsid w:val="00F24138"/>
    <w:rsid w:val="00F24C85"/>
    <w:rsid w:val="00F30C40"/>
    <w:rsid w:val="00F36217"/>
    <w:rsid w:val="00F44AAA"/>
    <w:rsid w:val="00F524CD"/>
    <w:rsid w:val="00F55C5B"/>
    <w:rsid w:val="00F56724"/>
    <w:rsid w:val="00F56CF8"/>
    <w:rsid w:val="00F737BD"/>
    <w:rsid w:val="00F758D2"/>
    <w:rsid w:val="00F82E31"/>
    <w:rsid w:val="00F86877"/>
    <w:rsid w:val="00F96472"/>
    <w:rsid w:val="00FA7EB5"/>
    <w:rsid w:val="00FB5E16"/>
    <w:rsid w:val="00FC4A7E"/>
    <w:rsid w:val="00FD0AB9"/>
    <w:rsid w:val="00FD4931"/>
    <w:rsid w:val="00FF1231"/>
    <w:rsid w:val="00FF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804D"/>
  <w15:chartTrackingRefBased/>
  <w15:docId w15:val="{B2687584-405D-4D06-A345-C08F4D3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5D"/>
    <w:pPr>
      <w:spacing w:after="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365D"/>
    <w:rPr>
      <w:color w:val="0000FF"/>
      <w:u w:val="single"/>
    </w:rPr>
  </w:style>
  <w:style w:type="paragraph" w:styleId="Footer">
    <w:name w:val="footer"/>
    <w:basedOn w:val="Normal"/>
    <w:link w:val="FooterChar"/>
    <w:uiPriority w:val="99"/>
    <w:rsid w:val="001F365D"/>
    <w:pPr>
      <w:tabs>
        <w:tab w:val="center" w:pos="4320"/>
        <w:tab w:val="right" w:pos="8640"/>
      </w:tabs>
    </w:pPr>
  </w:style>
  <w:style w:type="character" w:customStyle="1" w:styleId="FooterChar">
    <w:name w:val="Footer Char"/>
    <w:basedOn w:val="DefaultParagraphFont"/>
    <w:link w:val="Footer"/>
    <w:uiPriority w:val="99"/>
    <w:rsid w:val="001F365D"/>
    <w:rPr>
      <w:rFonts w:ascii="Times New Roman" w:eastAsia="Times New Roman" w:hAnsi="Times New Roman" w:cs="Times New Roman"/>
      <w:sz w:val="24"/>
      <w:szCs w:val="20"/>
    </w:rPr>
  </w:style>
  <w:style w:type="paragraph" w:styleId="FootnoteText">
    <w:name w:val="footnote text"/>
    <w:aliases w:val="Car"/>
    <w:basedOn w:val="Normal"/>
    <w:link w:val="FootnoteTextChar"/>
    <w:uiPriority w:val="99"/>
    <w:qFormat/>
    <w:rsid w:val="001F365D"/>
    <w:pPr>
      <w:jc w:val="both"/>
    </w:pPr>
    <w:rPr>
      <w:sz w:val="26"/>
    </w:rPr>
  </w:style>
  <w:style w:type="character" w:customStyle="1" w:styleId="FootnoteTextChar">
    <w:name w:val="Footnote Text Char"/>
    <w:aliases w:val="Car Char"/>
    <w:basedOn w:val="DefaultParagraphFont"/>
    <w:link w:val="FootnoteText"/>
    <w:uiPriority w:val="99"/>
    <w:rsid w:val="001F365D"/>
    <w:rPr>
      <w:rFonts w:ascii="Times New Roman" w:eastAsia="Times New Roman" w:hAnsi="Times New Roman" w:cs="Times New Roman"/>
      <w:sz w:val="26"/>
      <w:szCs w:val="20"/>
    </w:rPr>
  </w:style>
  <w:style w:type="character" w:styleId="FootnoteReference">
    <w:name w:val="footnote reference"/>
    <w:uiPriority w:val="99"/>
    <w:rsid w:val="001F365D"/>
    <w:rPr>
      <w:vertAlign w:val="superscript"/>
    </w:rPr>
  </w:style>
  <w:style w:type="paragraph" w:styleId="NoSpacing">
    <w:name w:val="No Spacing"/>
    <w:uiPriority w:val="1"/>
    <w:qFormat/>
    <w:rsid w:val="001F365D"/>
    <w:pPr>
      <w:spacing w:after="0" w:line="240" w:lineRule="auto"/>
    </w:pPr>
  </w:style>
  <w:style w:type="paragraph" w:styleId="BodyText">
    <w:name w:val="Body Text"/>
    <w:basedOn w:val="Normal"/>
    <w:link w:val="BodyTextChar"/>
    <w:rsid w:val="001F365D"/>
    <w:pPr>
      <w:spacing w:after="240" w:line="240" w:lineRule="auto"/>
    </w:pPr>
    <w:rPr>
      <w:szCs w:val="24"/>
    </w:rPr>
  </w:style>
  <w:style w:type="character" w:customStyle="1" w:styleId="BodyTextChar">
    <w:name w:val="Body Text Char"/>
    <w:basedOn w:val="DefaultParagraphFont"/>
    <w:link w:val="BodyText"/>
    <w:rsid w:val="001F365D"/>
    <w:rPr>
      <w:rFonts w:ascii="Times New Roman" w:eastAsia="Times New Roman" w:hAnsi="Times New Roman" w:cs="Times New Roman"/>
      <w:sz w:val="24"/>
      <w:szCs w:val="24"/>
    </w:rPr>
  </w:style>
  <w:style w:type="table" w:styleId="TableGrid">
    <w:name w:val="Table Grid"/>
    <w:basedOn w:val="TableNormal"/>
    <w:uiPriority w:val="59"/>
    <w:rsid w:val="001F365D"/>
    <w:pPr>
      <w:spacing w:after="0" w:line="240" w:lineRule="auto"/>
      <w:jc w:val="center"/>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65D"/>
    <w:pPr>
      <w:autoSpaceDE w:val="0"/>
      <w:autoSpaceDN w:val="0"/>
      <w:spacing w:line="240" w:lineRule="auto"/>
      <w:ind w:left="720"/>
      <w:contextualSpacing/>
    </w:pPr>
    <w:rPr>
      <w:rFonts w:ascii="CG Times" w:hAnsi="CG Times" w:cs="CG Times"/>
      <w:szCs w:val="24"/>
    </w:rPr>
  </w:style>
  <w:style w:type="paragraph" w:customStyle="1" w:styleId="ParaTab1">
    <w:name w:val="ParaTab 1"/>
    <w:rsid w:val="001F365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Indent">
    <w:name w:val="Body Text Indent"/>
    <w:basedOn w:val="Normal"/>
    <w:link w:val="BodyTextIndentChar"/>
    <w:uiPriority w:val="99"/>
    <w:semiHidden/>
    <w:unhideWhenUsed/>
    <w:rsid w:val="00154A6A"/>
    <w:pPr>
      <w:spacing w:after="120"/>
      <w:ind w:left="360"/>
    </w:pPr>
  </w:style>
  <w:style w:type="character" w:customStyle="1" w:styleId="BodyTextIndentChar">
    <w:name w:val="Body Text Indent Char"/>
    <w:basedOn w:val="DefaultParagraphFont"/>
    <w:link w:val="BodyTextIndent"/>
    <w:uiPriority w:val="99"/>
    <w:semiHidden/>
    <w:rsid w:val="00154A6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2F7C"/>
    <w:pPr>
      <w:tabs>
        <w:tab w:val="center" w:pos="4680"/>
        <w:tab w:val="right" w:pos="9360"/>
      </w:tabs>
      <w:spacing w:line="240" w:lineRule="auto"/>
    </w:pPr>
  </w:style>
  <w:style w:type="character" w:customStyle="1" w:styleId="HeaderChar">
    <w:name w:val="Header Char"/>
    <w:basedOn w:val="DefaultParagraphFont"/>
    <w:link w:val="Header"/>
    <w:uiPriority w:val="99"/>
    <w:rsid w:val="007F2F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7" ma:contentTypeDescription="Create a new document." ma:contentTypeScope="" ma:versionID="4b97a169d649f9f5ea6fa09b46b44132">
  <xsd:schema xmlns:xsd="http://www.w3.org/2001/XMLSchema" xmlns:xs="http://www.w3.org/2001/XMLSchema" xmlns:p="http://schemas.microsoft.com/office/2006/metadata/properties" xmlns:ns3="daf41223-03e5-467a-a34a-a9fc3a24148b" targetNamespace="http://schemas.microsoft.com/office/2006/metadata/properties" ma:root="true" ma:fieldsID="2ffa510d6f01d430cb61a02fbbefbaff" ns3:_="">
    <xsd:import namespace="daf41223-03e5-467a-a34a-a9fc3a2414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617EF-C3D9-4A84-8B88-DB3B9C999594}">
  <ds:schemaRefs>
    <ds:schemaRef ds:uri="http://schemas.microsoft.com/sharepoint/v3/contenttype/forms"/>
  </ds:schemaRefs>
</ds:datastoreItem>
</file>

<file path=customXml/itemProps2.xml><?xml version="1.0" encoding="utf-8"?>
<ds:datastoreItem xmlns:ds="http://schemas.openxmlformats.org/officeDocument/2006/customXml" ds:itemID="{C0D88E37-5532-4860-ABE4-547D15D2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31C20-EBA8-439D-A374-09209940844D}">
  <ds:schemaRefs>
    <ds:schemaRef ds:uri="http://schemas.openxmlformats.org/officeDocument/2006/bibliography"/>
  </ds:schemaRefs>
</ds:datastoreItem>
</file>

<file path=customXml/itemProps4.xml><?xml version="1.0" encoding="utf-8"?>
<ds:datastoreItem xmlns:ds="http://schemas.openxmlformats.org/officeDocument/2006/customXml" ds:itemID="{9A25F43F-622C-474A-91EF-A9DAF22C98E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4057</Words>
  <Characters>23126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Nicholas Miskanic</cp:lastModifiedBy>
  <cp:revision>5</cp:revision>
  <dcterms:created xsi:type="dcterms:W3CDTF">2021-05-27T15:09:00Z</dcterms:created>
  <dcterms:modified xsi:type="dcterms:W3CDTF">2021-05-27T15:20:00Z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0x010100E0D738001B025040AC6C5AD75689F07A</vt:lpwstr>
  </property>
</Properties>
</file>