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DEC9B" w14:textId="77777777" w:rsidR="00DD49EC" w:rsidRPr="003176BE" w:rsidRDefault="00DD49EC" w:rsidP="00DD49EC">
      <w:pPr>
        <w:jc w:val="center"/>
        <w:rPr>
          <w:rFonts w:ascii="Times New Roman" w:hAnsi="Times New Roman" w:cs="Times New Roman"/>
          <w:b/>
        </w:rPr>
      </w:pPr>
      <w:r w:rsidRPr="003176BE">
        <w:rPr>
          <w:rFonts w:ascii="Times New Roman" w:hAnsi="Times New Roman" w:cs="Times New Roman"/>
          <w:b/>
        </w:rPr>
        <w:t>BEFORE THE</w:t>
      </w:r>
    </w:p>
    <w:p w14:paraId="475AD4CB" w14:textId="77777777" w:rsidR="00DD49EC" w:rsidRPr="003176BE" w:rsidRDefault="00DD49EC" w:rsidP="00DD49EC">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14:paraId="02A24B76" w14:textId="77777777" w:rsidR="00DD49EC" w:rsidRDefault="00DD49EC" w:rsidP="00DD49EC">
      <w:pPr>
        <w:tabs>
          <w:tab w:val="left" w:pos="-720"/>
        </w:tabs>
        <w:suppressAutoHyphens/>
        <w:rPr>
          <w:rFonts w:ascii="Times New Roman" w:hAnsi="Times New Roman" w:cs="Times New Roman"/>
          <w:spacing w:val="-3"/>
        </w:rPr>
      </w:pPr>
    </w:p>
    <w:p w14:paraId="2735ADEF" w14:textId="77777777" w:rsidR="00DD49EC" w:rsidRDefault="00DD49EC" w:rsidP="00DD49EC">
      <w:pPr>
        <w:tabs>
          <w:tab w:val="left" w:pos="-720"/>
        </w:tabs>
        <w:suppressAutoHyphens/>
        <w:rPr>
          <w:rFonts w:ascii="Times New Roman" w:hAnsi="Times New Roman" w:cs="Times New Roman"/>
          <w:spacing w:val="-3"/>
        </w:rPr>
      </w:pPr>
    </w:p>
    <w:p w14:paraId="515E68EA" w14:textId="77777777" w:rsidR="00DD49EC" w:rsidRPr="003176BE" w:rsidRDefault="00DD49EC" w:rsidP="00DD49EC">
      <w:pPr>
        <w:tabs>
          <w:tab w:val="left" w:pos="-720"/>
        </w:tabs>
        <w:suppressAutoHyphens/>
        <w:rPr>
          <w:rFonts w:ascii="Times New Roman" w:hAnsi="Times New Roman" w:cs="Times New Roman"/>
          <w:spacing w:val="-3"/>
        </w:rPr>
      </w:pPr>
    </w:p>
    <w:p w14:paraId="2DEBC79A" w14:textId="77777777" w:rsidR="00DD49EC" w:rsidRPr="001D7EAB" w:rsidRDefault="00DD49EC" w:rsidP="00DD49EC">
      <w:pPr>
        <w:tabs>
          <w:tab w:val="left" w:pos="-720"/>
        </w:tabs>
        <w:suppressAutoHyphens/>
        <w:autoSpaceDE/>
        <w:autoSpaceDN/>
        <w:jc w:val="both"/>
        <w:rPr>
          <w:rFonts w:eastAsia="Calibri"/>
          <w:spacing w:val="-3"/>
        </w:rPr>
      </w:pPr>
      <w:r w:rsidRPr="001D7EAB">
        <w:rPr>
          <w:rFonts w:eastAsia="Calibri"/>
          <w:spacing w:val="-3"/>
        </w:rPr>
        <w:t>Glen Riddle Station, L.P.</w:t>
      </w: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fldChar w:fldCharType="begin"/>
      </w:r>
      <w:r w:rsidRPr="001D7EAB">
        <w:rPr>
          <w:rFonts w:eastAsia="Calibri"/>
          <w:spacing w:val="-3"/>
        </w:rPr>
        <w:instrText>fillin "Complainant's name" \d ""</w:instrText>
      </w:r>
      <w:r w:rsidRPr="001D7EAB">
        <w:rPr>
          <w:rFonts w:eastAsia="Calibri"/>
          <w:spacing w:val="-3"/>
        </w:rPr>
        <w:fldChar w:fldCharType="end"/>
      </w:r>
      <w:r w:rsidRPr="001D7EAB">
        <w:rPr>
          <w:rFonts w:eastAsia="Calibri"/>
          <w:spacing w:val="-3"/>
        </w:rPr>
        <w:t>:</w:t>
      </w:r>
    </w:p>
    <w:p w14:paraId="49553CAE" w14:textId="77777777" w:rsidR="00DD49EC" w:rsidRPr="001D7EAB" w:rsidRDefault="00DD49EC" w:rsidP="00DD49EC">
      <w:pPr>
        <w:tabs>
          <w:tab w:val="left" w:pos="-720"/>
        </w:tabs>
        <w:suppressAutoHyphens/>
        <w:autoSpaceDE/>
        <w:autoSpaceDN/>
        <w:jc w:val="both"/>
        <w:rPr>
          <w:rFonts w:eastAsia="Calibri"/>
          <w:spacing w:val="-3"/>
        </w:rPr>
      </w:pP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tab/>
        <w:t>:</w:t>
      </w:r>
    </w:p>
    <w:p w14:paraId="6605C1F7" w14:textId="77777777" w:rsidR="00DD49EC" w:rsidRPr="001D7EAB" w:rsidRDefault="00DD49EC" w:rsidP="00DD49EC">
      <w:pPr>
        <w:tabs>
          <w:tab w:val="left" w:pos="-720"/>
        </w:tabs>
        <w:suppressAutoHyphens/>
        <w:autoSpaceDE/>
        <w:autoSpaceDN/>
        <w:jc w:val="both"/>
        <w:rPr>
          <w:rFonts w:eastAsia="Calibri"/>
          <w:spacing w:val="-3"/>
        </w:rPr>
      </w:pPr>
      <w:r w:rsidRPr="001D7EAB">
        <w:rPr>
          <w:rFonts w:eastAsia="Calibri"/>
          <w:spacing w:val="-3"/>
        </w:rPr>
        <w:tab/>
        <w:t>v.</w:t>
      </w: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tab/>
        <w:t>:</w:t>
      </w:r>
      <w:r w:rsidRPr="001D7EAB">
        <w:rPr>
          <w:rFonts w:eastAsia="Calibri"/>
          <w:spacing w:val="-3"/>
        </w:rPr>
        <w:tab/>
      </w:r>
      <w:r w:rsidRPr="001D7EAB">
        <w:rPr>
          <w:rFonts w:eastAsia="Calibri"/>
          <w:spacing w:val="-3"/>
        </w:rPr>
        <w:tab/>
        <w:t>C-2020-3023129</w:t>
      </w:r>
    </w:p>
    <w:p w14:paraId="05EF0A02" w14:textId="77777777" w:rsidR="00DD49EC" w:rsidRPr="001D7EAB" w:rsidRDefault="00DD49EC" w:rsidP="00DD49EC">
      <w:pPr>
        <w:tabs>
          <w:tab w:val="left" w:pos="-720"/>
        </w:tabs>
        <w:suppressAutoHyphens/>
        <w:autoSpaceDE/>
        <w:autoSpaceDN/>
        <w:jc w:val="both"/>
        <w:rPr>
          <w:rFonts w:eastAsia="Calibri"/>
          <w:spacing w:val="-3"/>
        </w:rPr>
      </w:pP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tab/>
        <w:t>:</w:t>
      </w:r>
    </w:p>
    <w:p w14:paraId="3E5FAA12" w14:textId="77777777" w:rsidR="00DD49EC" w:rsidRPr="001D7EAB" w:rsidRDefault="00DD49EC" w:rsidP="00DD49EC">
      <w:r w:rsidRPr="001D7EAB">
        <w:rPr>
          <w:rFonts w:eastAsia="Calibri"/>
          <w:spacing w:val="-3"/>
        </w:rPr>
        <w:t>Sunoco Pipeline, L.P.</w:t>
      </w: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tab/>
        <w:t>:</w:t>
      </w:r>
    </w:p>
    <w:p w14:paraId="770C48FB" w14:textId="77777777" w:rsidR="00DD49EC" w:rsidRDefault="00DD49EC" w:rsidP="00DD49EC">
      <w:pPr>
        <w:tabs>
          <w:tab w:val="left" w:pos="-720"/>
          <w:tab w:val="left" w:pos="5040"/>
        </w:tabs>
        <w:suppressAutoHyphens/>
        <w:rPr>
          <w:rFonts w:ascii="Times New Roman" w:hAnsi="Times New Roman" w:cs="Times New Roman"/>
          <w:spacing w:val="-3"/>
        </w:rPr>
      </w:pPr>
    </w:p>
    <w:p w14:paraId="2D58BA39" w14:textId="1B7FF2FE" w:rsidR="00DD49EC" w:rsidRDefault="00DD49EC" w:rsidP="00DD49EC">
      <w:pPr>
        <w:tabs>
          <w:tab w:val="left" w:pos="-720"/>
          <w:tab w:val="left" w:pos="5040"/>
        </w:tabs>
        <w:suppressAutoHyphens/>
        <w:rPr>
          <w:rFonts w:ascii="Times New Roman" w:hAnsi="Times New Roman" w:cs="Times New Roman"/>
          <w:spacing w:val="-3"/>
        </w:rPr>
      </w:pPr>
    </w:p>
    <w:p w14:paraId="1699C820" w14:textId="77777777" w:rsidR="00AA72F0" w:rsidRPr="003176BE" w:rsidRDefault="00AA72F0" w:rsidP="00DD49EC">
      <w:pPr>
        <w:tabs>
          <w:tab w:val="left" w:pos="-720"/>
          <w:tab w:val="left" w:pos="5040"/>
        </w:tabs>
        <w:suppressAutoHyphens/>
        <w:rPr>
          <w:rFonts w:ascii="Times New Roman" w:hAnsi="Times New Roman" w:cs="Times New Roman"/>
          <w:spacing w:val="-3"/>
        </w:rPr>
      </w:pPr>
    </w:p>
    <w:p w14:paraId="3FECEC0E" w14:textId="77777777" w:rsidR="00DD49EC" w:rsidRDefault="00DD49EC" w:rsidP="00DD49EC">
      <w:pPr>
        <w:suppressAutoHyphens/>
        <w:jc w:val="center"/>
        <w:rPr>
          <w:rFonts w:ascii="Times New Roman" w:hAnsi="Times New Roman" w:cs="Times New Roman"/>
          <w:b/>
          <w:bCs/>
          <w:spacing w:val="-3"/>
          <w:u w:val="single"/>
        </w:rPr>
      </w:pPr>
      <w:r w:rsidRPr="003176BE">
        <w:rPr>
          <w:rFonts w:ascii="Times New Roman" w:hAnsi="Times New Roman" w:cs="Times New Roman"/>
          <w:b/>
          <w:bCs/>
          <w:spacing w:val="-3"/>
          <w:u w:val="single"/>
        </w:rPr>
        <w:t>ORDER</w:t>
      </w:r>
    </w:p>
    <w:p w14:paraId="7F28BCA2" w14:textId="49622892" w:rsidR="00DD49EC" w:rsidRDefault="00DD49EC" w:rsidP="00DD49EC">
      <w:pPr>
        <w:suppressAutoHyphens/>
        <w:jc w:val="center"/>
        <w:rPr>
          <w:rFonts w:ascii="Times New Roman" w:hAnsi="Times New Roman" w:cs="Times New Roman"/>
          <w:b/>
          <w:bCs/>
          <w:spacing w:val="-3"/>
          <w:u w:val="single"/>
        </w:rPr>
      </w:pPr>
      <w:r w:rsidRPr="00A633F0">
        <w:rPr>
          <w:rFonts w:ascii="Times New Roman" w:hAnsi="Times New Roman" w:cs="Times New Roman"/>
          <w:b/>
          <w:bCs/>
          <w:spacing w:val="-3"/>
          <w:u w:val="single"/>
        </w:rPr>
        <w:t>GRANTING</w:t>
      </w:r>
      <w:r>
        <w:rPr>
          <w:rFonts w:ascii="Times New Roman" w:hAnsi="Times New Roman" w:cs="Times New Roman"/>
          <w:b/>
          <w:bCs/>
          <w:spacing w:val="-3"/>
          <w:u w:val="single"/>
        </w:rPr>
        <w:t xml:space="preserve"> MOTION TO COMPEL</w:t>
      </w:r>
    </w:p>
    <w:p w14:paraId="58CE63FE" w14:textId="242961EB" w:rsidR="00DD49EC" w:rsidRPr="00B769EA" w:rsidRDefault="00DD49EC" w:rsidP="00DD49EC">
      <w:pPr>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FILED BY SUNOCO PIPELINE, L.P. – SET II</w:t>
      </w:r>
    </w:p>
    <w:p w14:paraId="58D9941A" w14:textId="77777777" w:rsidR="00DD49EC" w:rsidRDefault="00DD49EC" w:rsidP="00DD49EC">
      <w:pPr>
        <w:pStyle w:val="ParaTab1"/>
        <w:ind w:firstLine="0"/>
        <w:rPr>
          <w:rFonts w:ascii="Times New Roman" w:hAnsi="Times New Roman"/>
          <w:b/>
          <w:bCs/>
          <w:u w:val="single"/>
        </w:rPr>
      </w:pPr>
    </w:p>
    <w:p w14:paraId="2E139006" w14:textId="77777777" w:rsidR="00DD49EC" w:rsidRDefault="00DD49EC" w:rsidP="00DD49EC">
      <w:pPr>
        <w:pStyle w:val="ParaTab1"/>
        <w:ind w:firstLine="0"/>
        <w:rPr>
          <w:rFonts w:ascii="Times New Roman" w:hAnsi="Times New Roman"/>
        </w:rPr>
      </w:pPr>
    </w:p>
    <w:p w14:paraId="3F890335" w14:textId="77777777" w:rsidR="00DD49EC" w:rsidRPr="00573050" w:rsidRDefault="00DD49EC" w:rsidP="00DD49EC">
      <w:pPr>
        <w:pStyle w:val="ParaTab1"/>
        <w:tabs>
          <w:tab w:val="left" w:pos="2070"/>
        </w:tabs>
        <w:spacing w:line="360" w:lineRule="auto"/>
        <w:rPr>
          <w:rFonts w:ascii="Times New Roman" w:eastAsia="Calibri" w:hAnsi="Times New Roman" w:cs="Times New Roman"/>
          <w:spacing w:val="-3"/>
        </w:rPr>
      </w:pPr>
      <w:r w:rsidRPr="00882A37">
        <w:rPr>
          <w:rFonts w:ascii="Times New Roman" w:hAnsi="Times New Roman" w:cs="Times New Roman"/>
        </w:rPr>
        <w:t xml:space="preserve">On </w:t>
      </w:r>
      <w:r w:rsidRPr="002D6018">
        <w:rPr>
          <w:rFonts w:ascii="Times New Roman" w:hAnsi="Times New Roman" w:cs="Times New Roman"/>
        </w:rPr>
        <w:t>December 2, 2020, Glen Riddle Station, L.P. (Glen Riddle) filed a formal complaint with the Pennsylvania Public Utility Commission (Commission) against Sunoco Pipeline, L.P. (Sunoco), docket number C-2020-</w:t>
      </w:r>
      <w:r w:rsidRPr="00573050">
        <w:rPr>
          <w:rFonts w:ascii="Times New Roman" w:eastAsia="Calibri" w:hAnsi="Times New Roman" w:cs="Times New Roman"/>
          <w:spacing w:val="-3"/>
        </w:rPr>
        <w:t xml:space="preserve">3023129.  In its complaint, Glen Riddle averred that on or about May 13, 2020, Sunoco filed a Declaration of Taking in the Court of Common Pleas of Delaware County that concerned various portions of the Glen Riddle property that contains 124 residential dwelling units.  Glen Riddle further averred that, in the </w:t>
      </w:r>
      <w:proofErr w:type="gramStart"/>
      <w:r w:rsidRPr="00573050">
        <w:rPr>
          <w:rFonts w:ascii="Times New Roman" w:eastAsia="Calibri" w:hAnsi="Times New Roman" w:cs="Times New Roman"/>
          <w:spacing w:val="-3"/>
        </w:rPr>
        <w:t>taking action</w:t>
      </w:r>
      <w:proofErr w:type="gramEnd"/>
      <w:r w:rsidRPr="00573050">
        <w:rPr>
          <w:rFonts w:ascii="Times New Roman" w:eastAsia="Calibri" w:hAnsi="Times New Roman" w:cs="Times New Roman"/>
          <w:spacing w:val="-3"/>
        </w:rPr>
        <w:t xml:space="preserve">, Sunoco condemned temporary workspace easements and a temporary access road easement over their property for purposes of completing a pipeline project.  Glen Riddle further averred that Sunoco is not complying with previous requirements of the Commission regarding a public awareness plan and standard operating procedures.  Glen Riddle also identified several other alleged failures of Sunoco </w:t>
      </w:r>
      <w:proofErr w:type="gramStart"/>
      <w:r w:rsidRPr="00573050">
        <w:rPr>
          <w:rFonts w:ascii="Times New Roman" w:eastAsia="Calibri" w:hAnsi="Times New Roman" w:cs="Times New Roman"/>
          <w:spacing w:val="-3"/>
        </w:rPr>
        <w:t>with regard to</w:t>
      </w:r>
      <w:proofErr w:type="gramEnd"/>
      <w:r w:rsidRPr="00573050">
        <w:rPr>
          <w:rFonts w:ascii="Times New Roman" w:eastAsia="Calibri" w:hAnsi="Times New Roman" w:cs="Times New Roman"/>
          <w:spacing w:val="-3"/>
        </w:rPr>
        <w:t xml:space="preserve"> the property, including, parking and traffic safety concerns, unsafe work site, failure to follow government-mandated pandemic safety protocols, failure to communicate regarding a potentially hazardous leak, and structural and storm drainage concerns, among other things.  Glen Riddle averred that Sunoco’s actions violated several provisions of the Public Utility Code and requested that the Commission enter an order enjoining or restraining Sunoco from engaging in further work at the property until the safety concerns are addressed.  Glen Riddle attached multiple documents to its complaint in support of its position.</w:t>
      </w:r>
    </w:p>
    <w:p w14:paraId="064CD79B" w14:textId="77777777" w:rsidR="00DD49EC" w:rsidRPr="00573050" w:rsidRDefault="00DD49EC" w:rsidP="00DD49EC">
      <w:pPr>
        <w:pStyle w:val="ParaTab1"/>
        <w:tabs>
          <w:tab w:val="left" w:pos="2070"/>
        </w:tabs>
        <w:spacing w:line="360" w:lineRule="auto"/>
        <w:rPr>
          <w:rFonts w:ascii="Times New Roman" w:eastAsia="Calibri" w:hAnsi="Times New Roman" w:cs="Times New Roman"/>
          <w:spacing w:val="-3"/>
        </w:rPr>
      </w:pPr>
    </w:p>
    <w:p w14:paraId="4CF8167F" w14:textId="77777777" w:rsidR="00DD49EC" w:rsidRPr="002D6018" w:rsidRDefault="00DD49EC" w:rsidP="00DD49EC">
      <w:pPr>
        <w:pStyle w:val="ParaTab1"/>
        <w:tabs>
          <w:tab w:val="left" w:pos="2070"/>
        </w:tabs>
        <w:spacing w:line="360" w:lineRule="auto"/>
        <w:rPr>
          <w:rFonts w:ascii="Times New Roman" w:hAnsi="Times New Roman" w:cs="Times New Roman"/>
        </w:rPr>
      </w:pPr>
      <w:r w:rsidRPr="00573050">
        <w:rPr>
          <w:rFonts w:ascii="Times New Roman" w:eastAsia="Calibri" w:hAnsi="Times New Roman" w:cs="Times New Roman"/>
          <w:spacing w:val="-3"/>
        </w:rPr>
        <w:lastRenderedPageBreak/>
        <w:t xml:space="preserve">On December 23, 2020, Sunoco filed an answer and new matter in response to the complaint.  In its answer, Sunoco admitted or denied the various averments Glen Riddle made in its complaint.  </w:t>
      </w:r>
      <w:proofErr w:type="gramStart"/>
      <w:r w:rsidRPr="00573050">
        <w:rPr>
          <w:rFonts w:ascii="Times New Roman" w:eastAsia="Calibri" w:hAnsi="Times New Roman" w:cs="Times New Roman"/>
          <w:spacing w:val="-3"/>
        </w:rPr>
        <w:t>In particular, Sunoco</w:t>
      </w:r>
      <w:proofErr w:type="gramEnd"/>
      <w:r w:rsidRPr="00573050">
        <w:rPr>
          <w:rFonts w:ascii="Times New Roman" w:eastAsia="Calibri" w:hAnsi="Times New Roman" w:cs="Times New Roman"/>
          <w:spacing w:val="-3"/>
        </w:rPr>
        <w:t xml:space="preserve"> denied that it has not complied with the public awareness plan or standard operating procedures it is required to comply with.  Sunoco also admitted or denied the various averments made by Glen Riddle </w:t>
      </w:r>
      <w:proofErr w:type="gramStart"/>
      <w:r w:rsidRPr="00573050">
        <w:rPr>
          <w:rFonts w:ascii="Times New Roman" w:eastAsia="Calibri" w:hAnsi="Times New Roman" w:cs="Times New Roman"/>
          <w:spacing w:val="-3"/>
        </w:rPr>
        <w:t>with regard to</w:t>
      </w:r>
      <w:proofErr w:type="gramEnd"/>
      <w:r w:rsidRPr="00573050">
        <w:rPr>
          <w:rFonts w:ascii="Times New Roman" w:eastAsia="Calibri" w:hAnsi="Times New Roman" w:cs="Times New Roman"/>
          <w:spacing w:val="-3"/>
        </w:rPr>
        <w:t xml:space="preserve"> the other alleged failures of Sunoco with regard to the property</w:t>
      </w:r>
      <w:r w:rsidRPr="002D6018">
        <w:rPr>
          <w:rFonts w:ascii="Times New Roman" w:hAnsi="Times New Roman" w:cs="Times New Roman"/>
        </w:rPr>
        <w:t xml:space="preserve"> that were averred in the complaint.  Sunoco provided significant detail in response to the averments made in the complaint and concluded by requesting that the complaint be dismissed with prejudice.  Sunoco also attached multiple documents to its answer in support of its position.</w:t>
      </w:r>
    </w:p>
    <w:p w14:paraId="6483E106" w14:textId="77777777" w:rsidR="00DD49EC" w:rsidRPr="002D6018" w:rsidRDefault="00DD49EC" w:rsidP="00DD49EC">
      <w:pPr>
        <w:pStyle w:val="ParaTab1"/>
        <w:tabs>
          <w:tab w:val="left" w:pos="2070"/>
        </w:tabs>
        <w:spacing w:line="360" w:lineRule="auto"/>
        <w:rPr>
          <w:rFonts w:ascii="Times New Roman" w:hAnsi="Times New Roman" w:cs="Times New Roman"/>
        </w:rPr>
      </w:pPr>
    </w:p>
    <w:p w14:paraId="325C89AF" w14:textId="77777777" w:rsidR="00DD49EC" w:rsidRDefault="00DD49EC" w:rsidP="00DD49EC">
      <w:pPr>
        <w:pStyle w:val="ParaTab1"/>
        <w:tabs>
          <w:tab w:val="left" w:pos="2070"/>
        </w:tabs>
        <w:spacing w:line="360" w:lineRule="auto"/>
        <w:rPr>
          <w:rFonts w:ascii="Times New Roman" w:hAnsi="Times New Roman" w:cs="Times New Roman"/>
        </w:rPr>
      </w:pPr>
      <w:r w:rsidRPr="002D6018">
        <w:rPr>
          <w:rFonts w:ascii="Times New Roman" w:hAnsi="Times New Roman" w:cs="Times New Roman"/>
        </w:rPr>
        <w:t>In its new matter, which was accompanied by a notice to plead, Sunoco argued that the Commission lacks jurisdiction over Glen Riddle’s allegations regarding environmental law issues and permitting obligations, the validity and scope of easements</w:t>
      </w:r>
      <w:r>
        <w:rPr>
          <w:rFonts w:ascii="Times New Roman" w:hAnsi="Times New Roman" w:cs="Times New Roman"/>
        </w:rPr>
        <w:t xml:space="preserve"> and </w:t>
      </w:r>
      <w:r w:rsidRPr="002D6018">
        <w:rPr>
          <w:rFonts w:ascii="Times New Roman" w:hAnsi="Times New Roman" w:cs="Times New Roman"/>
        </w:rPr>
        <w:t>compliance with municipal ordinances and the Governor’s orders and regulations regarding Covid-19.  Sunoco also argued that Glen Riddle has failed to state a claim upon which the Commission can grant relief.  In part, Sunoco argued that Glen Riddle’s allegations regarding construction means and methods and relief seeking a work plan and schedule reflecting Glen Riddle’s preferences fail as a matter of law to state a claim upon which relief can be granted and should be dismissed.</w:t>
      </w:r>
    </w:p>
    <w:p w14:paraId="231AC4A2" w14:textId="77777777" w:rsidR="00DD49EC" w:rsidRDefault="00DD49EC" w:rsidP="00DD49EC">
      <w:pPr>
        <w:pStyle w:val="ParaTab1"/>
        <w:tabs>
          <w:tab w:val="left" w:pos="2070"/>
        </w:tabs>
        <w:spacing w:line="360" w:lineRule="auto"/>
        <w:rPr>
          <w:rFonts w:ascii="Times New Roman" w:hAnsi="Times New Roman" w:cs="Times New Roman"/>
        </w:rPr>
      </w:pPr>
    </w:p>
    <w:p w14:paraId="54F64E52" w14:textId="661A5AA5" w:rsidR="00DD49EC" w:rsidRDefault="00DD49EC" w:rsidP="00DD49EC">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Subsequently, multiple pleadings were </w:t>
      </w:r>
      <w:proofErr w:type="gramStart"/>
      <w:r>
        <w:rPr>
          <w:rFonts w:ascii="Times New Roman" w:hAnsi="Times New Roman" w:cs="Times New Roman"/>
        </w:rPr>
        <w:t>filed</w:t>
      </w:r>
      <w:proofErr w:type="gramEnd"/>
      <w:r>
        <w:rPr>
          <w:rFonts w:ascii="Times New Roman" w:hAnsi="Times New Roman" w:cs="Times New Roman"/>
        </w:rPr>
        <w:t xml:space="preserve"> and procedural matters occurred.  This includes the filing of preliminary objections, establishment of an initial telephonic hearing, a motion for a prehearing conference and procedural schedule, the filing of a petition for interim emergency relief, the withdraw of the petition for interim emergency relief, a prehearing conference, the rescheduling of the prehearing conference, the filing of a motion to compel by each party, the filing of a motion for a protective order that was contested, a motion in </w:t>
      </w:r>
      <w:proofErr w:type="spellStart"/>
      <w:r>
        <w:rPr>
          <w:rFonts w:ascii="Times New Roman" w:hAnsi="Times New Roman" w:cs="Times New Roman"/>
        </w:rPr>
        <w:t>limine</w:t>
      </w:r>
      <w:proofErr w:type="spellEnd"/>
      <w:r w:rsidR="00166DAF">
        <w:rPr>
          <w:rFonts w:ascii="Times New Roman" w:hAnsi="Times New Roman" w:cs="Times New Roman"/>
        </w:rPr>
        <w:t xml:space="preserve">, </w:t>
      </w:r>
      <w:r>
        <w:rPr>
          <w:rFonts w:ascii="Times New Roman" w:hAnsi="Times New Roman" w:cs="Times New Roman"/>
        </w:rPr>
        <w:t>a motion to enforce the order granting in part and denying in part the preliminary objections and striking Glen Riddle testimony</w:t>
      </w:r>
      <w:r w:rsidR="00166DAF">
        <w:rPr>
          <w:rFonts w:ascii="Times New Roman" w:hAnsi="Times New Roman" w:cs="Times New Roman"/>
        </w:rPr>
        <w:t xml:space="preserve"> and </w:t>
      </w:r>
      <w:r w:rsidR="003D3838">
        <w:rPr>
          <w:rFonts w:ascii="Times New Roman" w:hAnsi="Times New Roman" w:cs="Times New Roman"/>
        </w:rPr>
        <w:t>a motion for a final continuance</w:t>
      </w:r>
      <w:r>
        <w:rPr>
          <w:rFonts w:ascii="Times New Roman" w:hAnsi="Times New Roman" w:cs="Times New Roman"/>
        </w:rPr>
        <w:t>.  Each of these procedural matters was responded to with the necessary order or hearing notice as appropriate.</w:t>
      </w:r>
    </w:p>
    <w:p w14:paraId="082786F8" w14:textId="77777777" w:rsidR="00DD49EC" w:rsidRDefault="00DD49EC" w:rsidP="00DD49EC">
      <w:pPr>
        <w:pStyle w:val="ParaTab1"/>
        <w:tabs>
          <w:tab w:val="left" w:pos="2070"/>
        </w:tabs>
        <w:spacing w:line="360" w:lineRule="auto"/>
        <w:rPr>
          <w:rFonts w:ascii="Times New Roman" w:hAnsi="Times New Roman" w:cs="Times New Roman"/>
        </w:rPr>
      </w:pPr>
    </w:p>
    <w:p w14:paraId="5E28A32E" w14:textId="58D3604A" w:rsidR="00F92B9C" w:rsidRDefault="00DD49EC" w:rsidP="00DD49EC">
      <w:pPr>
        <w:pStyle w:val="ParaTab1"/>
        <w:tabs>
          <w:tab w:val="left" w:pos="2070"/>
        </w:tabs>
        <w:spacing w:line="360" w:lineRule="auto"/>
        <w:rPr>
          <w:rFonts w:ascii="Times New Roman" w:hAnsi="Times New Roman" w:cs="Times New Roman"/>
        </w:rPr>
      </w:pPr>
      <w:r>
        <w:rPr>
          <w:rFonts w:ascii="Times New Roman" w:hAnsi="Times New Roman" w:cs="Times New Roman"/>
        </w:rPr>
        <w:t>On</w:t>
      </w:r>
      <w:r w:rsidR="00841906">
        <w:rPr>
          <w:rFonts w:ascii="Times New Roman" w:hAnsi="Times New Roman" w:cs="Times New Roman"/>
        </w:rPr>
        <w:t xml:space="preserve"> March 26, 2021, Sunoco filed a motion to compel responses to Set II discovery.  In its motion, Sunoco argued </w:t>
      </w:r>
      <w:r w:rsidR="00D51962">
        <w:rPr>
          <w:rFonts w:ascii="Times New Roman" w:hAnsi="Times New Roman" w:cs="Times New Roman"/>
        </w:rPr>
        <w:t xml:space="preserve">that it sought discoverable and relevant information </w:t>
      </w:r>
      <w:r w:rsidR="00D51962">
        <w:rPr>
          <w:rFonts w:ascii="Times New Roman" w:hAnsi="Times New Roman" w:cs="Times New Roman"/>
        </w:rPr>
        <w:lastRenderedPageBreak/>
        <w:t>regarding Glen Riddle’s direct testimony that is not burdensome and falls within the scope of the Commission’s discovery regulations.  Sunoco added that without meaningful response to these questions, Sunoco lacks the necessary information required for it to prepare a suitable defense in its rebuttal testimony and cross-examination</w:t>
      </w:r>
      <w:r w:rsidR="000957F4">
        <w:rPr>
          <w:rFonts w:ascii="Times New Roman" w:hAnsi="Times New Roman" w:cs="Times New Roman"/>
        </w:rPr>
        <w:t xml:space="preserve">.  </w:t>
      </w:r>
      <w:r w:rsidR="00D17078">
        <w:rPr>
          <w:rFonts w:ascii="Times New Roman" w:hAnsi="Times New Roman" w:cs="Times New Roman"/>
        </w:rPr>
        <w:t xml:space="preserve">More specifically, Sunoco noted that interrogatory II-3 </w:t>
      </w:r>
      <w:r w:rsidR="00A311AB">
        <w:rPr>
          <w:rFonts w:ascii="Times New Roman" w:hAnsi="Times New Roman" w:cs="Times New Roman"/>
        </w:rPr>
        <w:t xml:space="preserve">requests an explanation of </w:t>
      </w:r>
      <w:r w:rsidR="0070718D">
        <w:rPr>
          <w:rFonts w:ascii="Times New Roman" w:hAnsi="Times New Roman" w:cs="Times New Roman"/>
        </w:rPr>
        <w:t xml:space="preserve">Glen Riddle witness </w:t>
      </w:r>
      <w:r w:rsidR="00A311AB">
        <w:rPr>
          <w:rFonts w:ascii="Times New Roman" w:hAnsi="Times New Roman" w:cs="Times New Roman"/>
        </w:rPr>
        <w:t xml:space="preserve">Stephen Iacobucci’s statement in his direct testimony that Sunoco’s communications are not in compliance with the Public Utility Code.  </w:t>
      </w:r>
      <w:r w:rsidR="00D70D77">
        <w:rPr>
          <w:rFonts w:ascii="Times New Roman" w:hAnsi="Times New Roman" w:cs="Times New Roman"/>
        </w:rPr>
        <w:t>Sunoco also noted that interrogatories II-10 t</w:t>
      </w:r>
      <w:r w:rsidR="000679EC">
        <w:rPr>
          <w:rFonts w:ascii="Times New Roman" w:hAnsi="Times New Roman" w:cs="Times New Roman"/>
        </w:rPr>
        <w:t>hru II-</w:t>
      </w:r>
      <w:r w:rsidR="00D70D77">
        <w:rPr>
          <w:rFonts w:ascii="Times New Roman" w:hAnsi="Times New Roman" w:cs="Times New Roman"/>
        </w:rPr>
        <w:t xml:space="preserve">20 seek information regarding the testimony of </w:t>
      </w:r>
      <w:r w:rsidR="0070718D">
        <w:rPr>
          <w:rFonts w:ascii="Times New Roman" w:hAnsi="Times New Roman" w:cs="Times New Roman"/>
        </w:rPr>
        <w:t xml:space="preserve">Glen Riddle witness Jason Culp including the basis for his numerous opinions and his expertise to offer such </w:t>
      </w:r>
      <w:r w:rsidR="00A44B04">
        <w:rPr>
          <w:rFonts w:ascii="Times New Roman" w:hAnsi="Times New Roman" w:cs="Times New Roman"/>
        </w:rPr>
        <w:t xml:space="preserve">opinions.  </w:t>
      </w:r>
    </w:p>
    <w:p w14:paraId="6C0E64E4" w14:textId="77777777" w:rsidR="00F92B9C" w:rsidRDefault="00F92B9C" w:rsidP="00DD49EC">
      <w:pPr>
        <w:pStyle w:val="ParaTab1"/>
        <w:tabs>
          <w:tab w:val="left" w:pos="2070"/>
        </w:tabs>
        <w:spacing w:line="360" w:lineRule="auto"/>
        <w:rPr>
          <w:rFonts w:ascii="Times New Roman" w:hAnsi="Times New Roman" w:cs="Times New Roman"/>
        </w:rPr>
      </w:pPr>
    </w:p>
    <w:p w14:paraId="130609FE" w14:textId="7E65D79E" w:rsidR="00841906" w:rsidRDefault="00F92B9C" w:rsidP="005E00E9">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March </w:t>
      </w:r>
      <w:r w:rsidR="009A307C">
        <w:rPr>
          <w:rFonts w:ascii="Times New Roman" w:hAnsi="Times New Roman" w:cs="Times New Roman"/>
        </w:rPr>
        <w:t xml:space="preserve">29, 2021, Glen Riddle filed an answer to Sunoco’s motion.  In its answer, </w:t>
      </w:r>
      <w:r w:rsidR="006B6942">
        <w:rPr>
          <w:rFonts w:ascii="Times New Roman" w:hAnsi="Times New Roman" w:cs="Times New Roman"/>
        </w:rPr>
        <w:t xml:space="preserve">Glen Riddle admitted or denied the </w:t>
      </w:r>
      <w:proofErr w:type="gramStart"/>
      <w:r w:rsidR="006B6942">
        <w:rPr>
          <w:rFonts w:ascii="Times New Roman" w:hAnsi="Times New Roman" w:cs="Times New Roman"/>
        </w:rPr>
        <w:t>particular averments</w:t>
      </w:r>
      <w:proofErr w:type="gramEnd"/>
      <w:r w:rsidR="006B6942">
        <w:rPr>
          <w:rFonts w:ascii="Times New Roman" w:hAnsi="Times New Roman" w:cs="Times New Roman"/>
        </w:rPr>
        <w:t xml:space="preserve"> made by Sunoco in its motion.  </w:t>
      </w:r>
      <w:proofErr w:type="gramStart"/>
      <w:r w:rsidR="006B6942">
        <w:rPr>
          <w:rFonts w:ascii="Times New Roman" w:hAnsi="Times New Roman" w:cs="Times New Roman"/>
        </w:rPr>
        <w:t>In particular, Glen</w:t>
      </w:r>
      <w:proofErr w:type="gramEnd"/>
      <w:r w:rsidR="006B6942">
        <w:rPr>
          <w:rFonts w:ascii="Times New Roman" w:hAnsi="Times New Roman" w:cs="Times New Roman"/>
        </w:rPr>
        <w:t xml:space="preserve"> Riddle denied that </w:t>
      </w:r>
      <w:r w:rsidR="007118AE">
        <w:rPr>
          <w:rFonts w:ascii="Times New Roman" w:hAnsi="Times New Roman" w:cs="Times New Roman"/>
        </w:rPr>
        <w:t xml:space="preserve">Mr. Iacobucci failed to describe Sunoco’s conduct that violates the Commission’s regulations.  </w:t>
      </w:r>
      <w:r w:rsidR="00384677">
        <w:rPr>
          <w:rFonts w:ascii="Times New Roman" w:hAnsi="Times New Roman" w:cs="Times New Roman"/>
        </w:rPr>
        <w:t>Glen Riddle also argued that Mr. Iacobucci is not under any obligation to provide a legal analysis of Sunoco’s obligations</w:t>
      </w:r>
      <w:r w:rsidR="000F7F71">
        <w:rPr>
          <w:rFonts w:ascii="Times New Roman" w:hAnsi="Times New Roman" w:cs="Times New Roman"/>
        </w:rPr>
        <w:t xml:space="preserve"> and that interrogatory II-3 calls for </w:t>
      </w:r>
      <w:r w:rsidR="00590C42">
        <w:rPr>
          <w:rFonts w:ascii="Times New Roman" w:hAnsi="Times New Roman" w:cs="Times New Roman"/>
        </w:rPr>
        <w:t xml:space="preserve">a legal analysis.  Glen Riddle also argued that </w:t>
      </w:r>
      <w:r w:rsidR="00DC7C87">
        <w:rPr>
          <w:rFonts w:ascii="Times New Roman" w:hAnsi="Times New Roman" w:cs="Times New Roman"/>
        </w:rPr>
        <w:t>Mr. Culp has already provided his curriculum vitae</w:t>
      </w:r>
      <w:r w:rsidR="0040403E">
        <w:rPr>
          <w:rFonts w:ascii="Times New Roman" w:hAnsi="Times New Roman" w:cs="Times New Roman"/>
        </w:rPr>
        <w:t xml:space="preserve"> and that Sunoco will have the opportunity to file rebuttal</w:t>
      </w:r>
      <w:r w:rsidR="00743F89">
        <w:rPr>
          <w:rFonts w:ascii="Times New Roman" w:hAnsi="Times New Roman" w:cs="Times New Roman"/>
        </w:rPr>
        <w:t xml:space="preserve"> testimony</w:t>
      </w:r>
      <w:r w:rsidR="0040403E">
        <w:rPr>
          <w:rFonts w:ascii="Times New Roman" w:hAnsi="Times New Roman" w:cs="Times New Roman"/>
        </w:rPr>
        <w:t xml:space="preserve"> and engage in cross-examination during the hearing.</w:t>
      </w:r>
    </w:p>
    <w:p w14:paraId="4B51A06E" w14:textId="1584823E" w:rsidR="00C1279F" w:rsidRDefault="00C1279F" w:rsidP="005E00E9">
      <w:pPr>
        <w:pStyle w:val="ParaTab1"/>
        <w:tabs>
          <w:tab w:val="left" w:pos="2070"/>
        </w:tabs>
        <w:spacing w:line="360" w:lineRule="auto"/>
        <w:rPr>
          <w:rFonts w:ascii="Times New Roman" w:hAnsi="Times New Roman" w:cs="Times New Roman"/>
        </w:rPr>
      </w:pPr>
    </w:p>
    <w:p w14:paraId="72453A7C" w14:textId="77777777" w:rsidR="00CB586B" w:rsidRDefault="00C1279F" w:rsidP="00485C0E">
      <w:pPr>
        <w:tabs>
          <w:tab w:val="left" w:pos="-720"/>
          <w:tab w:val="left" w:pos="2070"/>
        </w:tabs>
        <w:suppressAutoHyphens/>
        <w:spacing w:line="360" w:lineRule="auto"/>
        <w:ind w:firstLine="1440"/>
        <w:rPr>
          <w:rFonts w:ascii="Times New Roman" w:hAnsi="Times New Roman" w:cs="Times New Roman"/>
        </w:rPr>
      </w:pPr>
      <w:r w:rsidRPr="000C530E">
        <w:rPr>
          <w:rFonts w:ascii="Times New Roman" w:hAnsi="Times New Roman" w:cs="Times New Roman"/>
        </w:rPr>
        <w:t>O</w:t>
      </w:r>
      <w:r>
        <w:rPr>
          <w:rFonts w:ascii="Times New Roman" w:hAnsi="Times New Roman" w:cs="Times New Roman"/>
        </w:rPr>
        <w:t>f note, however, o</w:t>
      </w:r>
      <w:r w:rsidRPr="000C530E">
        <w:rPr>
          <w:rFonts w:ascii="Times New Roman" w:hAnsi="Times New Roman" w:cs="Times New Roman"/>
        </w:rPr>
        <w:t>n April 9, 2021, counsel for Glen Riddle indicate</w:t>
      </w:r>
      <w:r w:rsidR="00CE54F9">
        <w:rPr>
          <w:rFonts w:ascii="Times New Roman" w:hAnsi="Times New Roman" w:cs="Times New Roman"/>
        </w:rPr>
        <w:t>d</w:t>
      </w:r>
      <w:r w:rsidRPr="000C530E">
        <w:rPr>
          <w:rFonts w:ascii="Times New Roman" w:hAnsi="Times New Roman" w:cs="Times New Roman"/>
        </w:rPr>
        <w:t xml:space="preserve"> that the parties had agreed to a prompt mediation </w:t>
      </w:r>
      <w:proofErr w:type="gramStart"/>
      <w:r w:rsidRPr="000C530E">
        <w:rPr>
          <w:rFonts w:ascii="Times New Roman" w:hAnsi="Times New Roman" w:cs="Times New Roman"/>
        </w:rPr>
        <w:t>in an effort to</w:t>
      </w:r>
      <w:proofErr w:type="gramEnd"/>
      <w:r w:rsidRPr="000C530E">
        <w:rPr>
          <w:rFonts w:ascii="Times New Roman" w:hAnsi="Times New Roman" w:cs="Times New Roman"/>
        </w:rPr>
        <w:t xml:space="preserve"> resolve the issues in this matter without having to pursue the hearing.  </w:t>
      </w:r>
      <w:r w:rsidR="00CE54F9">
        <w:rPr>
          <w:rFonts w:ascii="Times New Roman" w:hAnsi="Times New Roman" w:cs="Times New Roman"/>
        </w:rPr>
        <w:t>O</w:t>
      </w:r>
      <w:r w:rsidRPr="007E11E4">
        <w:rPr>
          <w:rFonts w:ascii="Times New Roman" w:hAnsi="Times New Roman" w:cs="Times New Roman"/>
        </w:rPr>
        <w:t>n April 14, 2021, the parties again emailed regarding a definitive extension of the litigation schedule so that the parties can pursue mediation.</w:t>
      </w:r>
      <w:r>
        <w:rPr>
          <w:rFonts w:ascii="Times New Roman" w:hAnsi="Times New Roman" w:cs="Times New Roman"/>
        </w:rPr>
        <w:t xml:space="preserve">  That litigation scheduled was approved by second scheduling order dated April 16, 2021.</w:t>
      </w:r>
      <w:r w:rsidR="00485C0E">
        <w:rPr>
          <w:rFonts w:ascii="Times New Roman" w:hAnsi="Times New Roman" w:cs="Times New Roman"/>
        </w:rPr>
        <w:t xml:space="preserve">  </w:t>
      </w:r>
    </w:p>
    <w:p w14:paraId="3C537C9B" w14:textId="77777777" w:rsidR="00CB586B" w:rsidRDefault="00CB586B" w:rsidP="00485C0E">
      <w:pPr>
        <w:tabs>
          <w:tab w:val="left" w:pos="-720"/>
          <w:tab w:val="left" w:pos="2070"/>
        </w:tabs>
        <w:suppressAutoHyphens/>
        <w:spacing w:line="360" w:lineRule="auto"/>
        <w:ind w:firstLine="1440"/>
        <w:rPr>
          <w:rFonts w:ascii="Times New Roman" w:hAnsi="Times New Roman" w:cs="Times New Roman"/>
        </w:rPr>
      </w:pPr>
    </w:p>
    <w:p w14:paraId="178535AE" w14:textId="64E18FB8" w:rsidR="00C1279F" w:rsidRDefault="00C1279F" w:rsidP="00485C0E">
      <w:pPr>
        <w:tabs>
          <w:tab w:val="left" w:pos="-720"/>
          <w:tab w:val="left" w:pos="2070"/>
        </w:tabs>
        <w:suppressAutoHyphens/>
        <w:spacing w:line="360" w:lineRule="auto"/>
        <w:ind w:firstLine="1440"/>
        <w:rPr>
          <w:rFonts w:ascii="Times New Roman" w:hAnsi="Times New Roman" w:cs="Times New Roman"/>
        </w:rPr>
      </w:pPr>
      <w:r>
        <w:rPr>
          <w:rFonts w:ascii="Times New Roman" w:hAnsi="Times New Roman" w:cs="Times New Roman"/>
        </w:rPr>
        <w:t xml:space="preserve">On May 12, 2021, the parties indicated that the mediation </w:t>
      </w:r>
      <w:r w:rsidRPr="00D5790E">
        <w:rPr>
          <w:rFonts w:ascii="Times New Roman" w:hAnsi="Times New Roman" w:cs="Times New Roman"/>
        </w:rPr>
        <w:t>was not</w:t>
      </w:r>
      <w:r>
        <w:rPr>
          <w:rFonts w:ascii="Times New Roman" w:hAnsi="Times New Roman" w:cs="Times New Roman"/>
        </w:rPr>
        <w:t xml:space="preserve"> yet </w:t>
      </w:r>
      <w:proofErr w:type="gramStart"/>
      <w:r>
        <w:rPr>
          <w:rFonts w:ascii="Times New Roman" w:hAnsi="Times New Roman" w:cs="Times New Roman"/>
        </w:rPr>
        <w:t>successful</w:t>
      </w:r>
      <w:proofErr w:type="gramEnd"/>
      <w:r>
        <w:rPr>
          <w:rFonts w:ascii="Times New Roman" w:hAnsi="Times New Roman" w:cs="Times New Roman"/>
        </w:rPr>
        <w:t xml:space="preserve"> and the parties have returned to litigating the complaint.</w:t>
      </w:r>
      <w:r w:rsidRPr="007E11E4">
        <w:rPr>
          <w:rFonts w:ascii="Times New Roman" w:hAnsi="Times New Roman" w:cs="Times New Roman"/>
        </w:rPr>
        <w:t xml:space="preserve">  </w:t>
      </w:r>
      <w:r>
        <w:rPr>
          <w:rFonts w:ascii="Times New Roman" w:hAnsi="Times New Roman"/>
        </w:rPr>
        <w:t xml:space="preserve">As a result, it is necessary to formally dispose of Sunoco’s motion to </w:t>
      </w:r>
      <w:r w:rsidR="00A2297F">
        <w:rPr>
          <w:rFonts w:ascii="Times New Roman" w:hAnsi="Times New Roman"/>
        </w:rPr>
        <w:t>compel</w:t>
      </w:r>
      <w:r>
        <w:rPr>
          <w:rFonts w:ascii="Times New Roman" w:hAnsi="Times New Roman"/>
        </w:rPr>
        <w:t xml:space="preserve">.  </w:t>
      </w:r>
      <w:r w:rsidRPr="006A1A32">
        <w:rPr>
          <w:rFonts w:ascii="Times New Roman" w:hAnsi="Times New Roman"/>
        </w:rPr>
        <w:t xml:space="preserve">For the reasons discussed below, the motion will be </w:t>
      </w:r>
      <w:r w:rsidR="00A2297F">
        <w:rPr>
          <w:rFonts w:ascii="Times New Roman" w:hAnsi="Times New Roman"/>
        </w:rPr>
        <w:t xml:space="preserve">granted </w:t>
      </w:r>
      <w:r w:rsidRPr="006A1A32">
        <w:rPr>
          <w:rFonts w:ascii="Times New Roman" w:hAnsi="Times New Roman"/>
        </w:rPr>
        <w:t>in its entirety.</w:t>
      </w:r>
    </w:p>
    <w:p w14:paraId="0E6D115D" w14:textId="77777777" w:rsidR="00DD49EC" w:rsidRDefault="00DD49EC" w:rsidP="00DD49EC">
      <w:pPr>
        <w:pStyle w:val="ParaTab1"/>
        <w:tabs>
          <w:tab w:val="left" w:pos="2070"/>
        </w:tabs>
        <w:spacing w:line="360" w:lineRule="auto"/>
        <w:rPr>
          <w:rFonts w:ascii="Times New Roman" w:hAnsi="Times New Roman" w:cs="Times New Roman"/>
        </w:rPr>
      </w:pPr>
    </w:p>
    <w:p w14:paraId="2190CDE5" w14:textId="77777777" w:rsidR="004F6D7C" w:rsidRDefault="004F6D7C" w:rsidP="00F91C47">
      <w:pPr>
        <w:pStyle w:val="ParaTab1"/>
        <w:tabs>
          <w:tab w:val="left" w:pos="2070"/>
        </w:tabs>
        <w:spacing w:line="360" w:lineRule="auto"/>
        <w:ind w:firstLine="0"/>
        <w:rPr>
          <w:rFonts w:ascii="Times New Roman" w:hAnsi="Times New Roman"/>
          <w:b/>
          <w:bCs/>
          <w:u w:val="single"/>
        </w:rPr>
      </w:pPr>
    </w:p>
    <w:p w14:paraId="52F6173E" w14:textId="44445FD4" w:rsidR="00F91C47" w:rsidRDefault="00F91C47" w:rsidP="00F91C47">
      <w:pPr>
        <w:pStyle w:val="ParaTab1"/>
        <w:tabs>
          <w:tab w:val="left" w:pos="2070"/>
        </w:tabs>
        <w:spacing w:line="360" w:lineRule="auto"/>
        <w:ind w:firstLine="0"/>
        <w:rPr>
          <w:rFonts w:ascii="Times New Roman" w:hAnsi="Times New Roman"/>
        </w:rPr>
      </w:pPr>
      <w:r>
        <w:rPr>
          <w:rFonts w:ascii="Times New Roman" w:hAnsi="Times New Roman"/>
          <w:b/>
          <w:bCs/>
          <w:u w:val="single"/>
        </w:rPr>
        <w:lastRenderedPageBreak/>
        <w:t>Legal standard</w:t>
      </w:r>
    </w:p>
    <w:p w14:paraId="45E69520" w14:textId="77777777" w:rsidR="00F91C47" w:rsidRPr="00055315" w:rsidRDefault="00F91C47" w:rsidP="00F91C47">
      <w:pPr>
        <w:pStyle w:val="ParaTab1"/>
        <w:tabs>
          <w:tab w:val="left" w:pos="2070"/>
        </w:tabs>
        <w:spacing w:line="360" w:lineRule="auto"/>
        <w:ind w:firstLine="0"/>
        <w:rPr>
          <w:rFonts w:ascii="Times New Roman" w:hAnsi="Times New Roman"/>
        </w:rPr>
      </w:pPr>
    </w:p>
    <w:p w14:paraId="39F3D7EC" w14:textId="77777777" w:rsidR="00F91C47" w:rsidRDefault="00F91C47" w:rsidP="00F91C47">
      <w:pPr>
        <w:tabs>
          <w:tab w:val="left" w:pos="-720"/>
          <w:tab w:val="left" w:pos="2070"/>
        </w:tabs>
        <w:suppressAutoHyphens/>
        <w:spacing w:line="360" w:lineRule="auto"/>
        <w:ind w:firstLine="1440"/>
      </w:pPr>
      <w:r>
        <w:t>T</w:t>
      </w:r>
      <w:r w:rsidRPr="004613FD">
        <w:t xml:space="preserve">he Commission’s regulations allow parties the opportunity to conduct discovery regarding any matter, not privileged, which is relevant to the subject matter involved in the pending action, whether it relates to the claim or defense of the party seeking discovery or to the claim or defense of another party.  52 </w:t>
      </w:r>
      <w:proofErr w:type="spellStart"/>
      <w:r w:rsidRPr="004613FD">
        <w:t>Pa.Code</w:t>
      </w:r>
      <w:proofErr w:type="spellEnd"/>
      <w:r w:rsidRPr="004613FD">
        <w:t xml:space="preserve"> § 5.321(c).  </w:t>
      </w:r>
      <w:r>
        <w:t xml:space="preserve">It is not grounds for objection that the information sought will be inadmissible at hearing if the information sought appears to be </w:t>
      </w:r>
      <w:r w:rsidRPr="000830E8">
        <w:t>reasonably calculated to lead to the discovery of admissible evidence</w:t>
      </w:r>
      <w:r>
        <w:t xml:space="preserve">.  </w:t>
      </w:r>
      <w:r>
        <w:rPr>
          <w:u w:val="single"/>
        </w:rPr>
        <w:t>Id.</w:t>
      </w:r>
      <w:r>
        <w:t xml:space="preserve">  </w:t>
      </w:r>
      <w:r w:rsidRPr="004613FD">
        <w:t xml:space="preserve">Discovery is not permitted, however, if it is sought in bad faith; would cause unreasonable annoyance, embarrassment, oppression, </w:t>
      </w:r>
      <w:proofErr w:type="gramStart"/>
      <w:r w:rsidRPr="004613FD">
        <w:t>burden</w:t>
      </w:r>
      <w:proofErr w:type="gramEnd"/>
      <w:r w:rsidRPr="004613FD">
        <w:t xml:space="preserve"> or expense; relates to a matter which is privileged; or would require the making of an unreasonable investigation by the deponent, a party or witness.  52 </w:t>
      </w:r>
      <w:proofErr w:type="spellStart"/>
      <w:r w:rsidRPr="004613FD">
        <w:t>Pa.Code</w:t>
      </w:r>
      <w:proofErr w:type="spellEnd"/>
      <w:r w:rsidRPr="004613FD">
        <w:t xml:space="preserve"> § 5.361(a)</w:t>
      </w:r>
      <w:r>
        <w:t xml:space="preserve">; </w:t>
      </w:r>
      <w:r>
        <w:rPr>
          <w:i/>
        </w:rPr>
        <w:t>see also</w:t>
      </w:r>
      <w:r>
        <w:t xml:space="preserve">, </w:t>
      </w:r>
      <w:r>
        <w:rPr>
          <w:u w:val="single"/>
        </w:rPr>
        <w:t xml:space="preserve">City of Pittsburgh v. </w:t>
      </w:r>
      <w:proofErr w:type="spellStart"/>
      <w:r>
        <w:rPr>
          <w:u w:val="single"/>
        </w:rPr>
        <w:t>Pa.P.U.C</w:t>
      </w:r>
      <w:proofErr w:type="spellEnd"/>
      <w:r>
        <w:rPr>
          <w:u w:val="single"/>
        </w:rPr>
        <w:t>.</w:t>
      </w:r>
      <w:r>
        <w:t>, 526 A.2d 1243 (</w:t>
      </w:r>
      <w:proofErr w:type="spellStart"/>
      <w:r>
        <w:t>Pa.Cmwlth</w:t>
      </w:r>
      <w:proofErr w:type="spellEnd"/>
      <w:r>
        <w:t xml:space="preserve"> 1987), </w:t>
      </w:r>
      <w:proofErr w:type="spellStart"/>
      <w:r>
        <w:rPr>
          <w:i/>
        </w:rPr>
        <w:t>alloc</w:t>
      </w:r>
      <w:proofErr w:type="spellEnd"/>
      <w:r>
        <w:rPr>
          <w:i/>
        </w:rPr>
        <w:t>. denied</w:t>
      </w:r>
      <w:r>
        <w:t>, 538 A.2d 880 (Pa. 1988).</w:t>
      </w:r>
    </w:p>
    <w:p w14:paraId="5AAF56C5" w14:textId="77777777" w:rsidR="00F91C47" w:rsidRDefault="00F91C47" w:rsidP="00F91C47">
      <w:pPr>
        <w:tabs>
          <w:tab w:val="left" w:pos="-720"/>
          <w:tab w:val="left" w:pos="2070"/>
        </w:tabs>
        <w:suppressAutoHyphens/>
        <w:spacing w:line="360" w:lineRule="auto"/>
        <w:ind w:firstLine="1440"/>
      </w:pPr>
    </w:p>
    <w:p w14:paraId="13A09BD6" w14:textId="77777777" w:rsidR="00F91C47" w:rsidRPr="00CC2B71" w:rsidRDefault="00F91C47" w:rsidP="00F91C47">
      <w:pPr>
        <w:tabs>
          <w:tab w:val="left" w:pos="-720"/>
          <w:tab w:val="left" w:pos="2070"/>
        </w:tabs>
        <w:suppressAutoHyphens/>
        <w:spacing w:line="360" w:lineRule="auto"/>
        <w:ind w:firstLine="1440"/>
      </w:pPr>
      <w:r>
        <w:t>Furthermore, information is relevant if it</w:t>
      </w:r>
      <w:bookmarkStart w:id="0" w:name="_Hlk41552512"/>
      <w:r>
        <w:t xml:space="preserve"> tends to establish a material fact, tends to make a fact at issue </w:t>
      </w:r>
      <w:proofErr w:type="gramStart"/>
      <w:r>
        <w:t>more or less probable</w:t>
      </w:r>
      <w:proofErr w:type="gramEnd"/>
      <w:r>
        <w:t xml:space="preserve"> or supports a reasonable inference or presumption regarding a material fact</w:t>
      </w:r>
      <w:bookmarkEnd w:id="0"/>
      <w:r>
        <w:t xml:space="preserve">.  </w:t>
      </w:r>
      <w:r>
        <w:rPr>
          <w:i/>
        </w:rPr>
        <w:t>See</w:t>
      </w:r>
      <w:r>
        <w:t xml:space="preserve">, </w:t>
      </w:r>
      <w:r>
        <w:rPr>
          <w:u w:val="single"/>
        </w:rPr>
        <w:t>Petition of the Borough of Cornwall for a Declaratory Order that the Provision of Water Service to Isolated Customers Adjoining its Boundaries Does Not Constitute Provision of Public Utility Service Under § 102</w:t>
      </w:r>
      <w:r>
        <w:t xml:space="preserve">, Docket Number P-2015-2476211 (Order dated September 11, 2015) at 9-10, </w:t>
      </w:r>
      <w:r>
        <w:rPr>
          <w:i/>
        </w:rPr>
        <w:t>citing</w:t>
      </w:r>
      <w:r>
        <w:t xml:space="preserve">, </w:t>
      </w:r>
      <w:r>
        <w:rPr>
          <w:u w:val="single"/>
        </w:rPr>
        <w:t>Smith v. Morrison</w:t>
      </w:r>
      <w:r>
        <w:t>, 47 A.3d 1311 (</w:t>
      </w:r>
      <w:proofErr w:type="spellStart"/>
      <w:r>
        <w:t>Pa.Super</w:t>
      </w:r>
      <w:proofErr w:type="spellEnd"/>
      <w:r>
        <w:t xml:space="preserve"> 2012), </w:t>
      </w:r>
      <w:proofErr w:type="spellStart"/>
      <w:r>
        <w:rPr>
          <w:i/>
        </w:rPr>
        <w:t>alloc</w:t>
      </w:r>
      <w:proofErr w:type="spellEnd"/>
      <w:r>
        <w:rPr>
          <w:i/>
        </w:rPr>
        <w:t>. denied</w:t>
      </w:r>
      <w:r>
        <w:t xml:space="preserve">, 57 A.3d 71 (Pa. 2012).  Relevancy in discovery is broader than the standard used for admission of evidence at a hearing.  </w:t>
      </w:r>
      <w:r>
        <w:rPr>
          <w:u w:val="single"/>
        </w:rPr>
        <w:t>Id.</w:t>
      </w:r>
      <w:r>
        <w:t xml:space="preserve"> at 10, </w:t>
      </w:r>
      <w:r>
        <w:rPr>
          <w:i/>
        </w:rPr>
        <w:t>citing</w:t>
      </w:r>
      <w:r>
        <w:t xml:space="preserve">, </w:t>
      </w:r>
      <w:r>
        <w:rPr>
          <w:u w:val="single"/>
        </w:rPr>
        <w:t>Com. v. TAP Pharmaceutical Products, Inc.</w:t>
      </w:r>
      <w:r>
        <w:t>, 904 A.2d 986 (</w:t>
      </w:r>
      <w:proofErr w:type="spellStart"/>
      <w:r>
        <w:t>Pa.Cmwlth</w:t>
      </w:r>
      <w:proofErr w:type="spellEnd"/>
      <w:r>
        <w:t xml:space="preserve"> 2006).  The party objecting to discovery has the burden to establish that the requested information is not relevant or discoverable with any doubts regarding relevancy being resolved in favor of discovery.  </w:t>
      </w:r>
      <w:r>
        <w:rPr>
          <w:u w:val="single"/>
        </w:rPr>
        <w:t>Id.</w:t>
      </w:r>
    </w:p>
    <w:p w14:paraId="1387132C" w14:textId="77777777" w:rsidR="00F91C47" w:rsidRDefault="00F91C47" w:rsidP="00F91C47">
      <w:pPr>
        <w:pStyle w:val="ParaTab1"/>
        <w:tabs>
          <w:tab w:val="left" w:pos="2070"/>
        </w:tabs>
        <w:spacing w:line="360" w:lineRule="auto"/>
        <w:ind w:firstLine="0"/>
        <w:rPr>
          <w:rFonts w:ascii="Times New Roman" w:hAnsi="Times New Roman"/>
        </w:rPr>
      </w:pPr>
    </w:p>
    <w:p w14:paraId="730B0AA5" w14:textId="44E08904" w:rsidR="00DD49EC" w:rsidRDefault="00FB53F3" w:rsidP="00FB53F3">
      <w:pPr>
        <w:pStyle w:val="Style"/>
        <w:spacing w:line="360" w:lineRule="auto"/>
      </w:pPr>
      <w:r>
        <w:rPr>
          <w:b/>
          <w:bCs/>
          <w:u w:val="single"/>
        </w:rPr>
        <w:t>Interrogatory Set II-3</w:t>
      </w:r>
    </w:p>
    <w:p w14:paraId="74F52721" w14:textId="417CD78A" w:rsidR="00FB53F3" w:rsidRDefault="00FB53F3" w:rsidP="00362454">
      <w:pPr>
        <w:pStyle w:val="Style"/>
        <w:spacing w:line="360" w:lineRule="auto"/>
        <w:ind w:firstLine="1440"/>
      </w:pPr>
    </w:p>
    <w:p w14:paraId="66AD74AC" w14:textId="77777777" w:rsidR="001447F9" w:rsidRDefault="008B7876" w:rsidP="00362454">
      <w:pPr>
        <w:pStyle w:val="Style"/>
        <w:spacing w:line="360" w:lineRule="auto"/>
        <w:ind w:firstLine="1440"/>
      </w:pPr>
      <w:r>
        <w:t xml:space="preserve">As stated in </w:t>
      </w:r>
      <w:r w:rsidR="001447F9">
        <w:t xml:space="preserve">Sunoco’s motion, </w:t>
      </w:r>
      <w:r w:rsidR="009516A5">
        <w:t>interrogatory Set II-3</w:t>
      </w:r>
      <w:r w:rsidR="001447F9">
        <w:t xml:space="preserve"> </w:t>
      </w:r>
      <w:r w:rsidR="009516A5">
        <w:t>asks</w:t>
      </w:r>
    </w:p>
    <w:p w14:paraId="642318EB" w14:textId="77777777" w:rsidR="007C4E3F" w:rsidRDefault="007C4E3F" w:rsidP="007C4E3F">
      <w:pPr>
        <w:pStyle w:val="BodyText"/>
        <w:widowControl/>
        <w:ind w:left="1440" w:right="1440"/>
        <w:jc w:val="both"/>
        <w:rPr>
          <w:sz w:val="24"/>
          <w:szCs w:val="24"/>
        </w:rPr>
      </w:pPr>
    </w:p>
    <w:p w14:paraId="10AE69A5" w14:textId="7F11ACE7" w:rsidR="007C4E3F" w:rsidRDefault="007C4E3F" w:rsidP="007C4E3F">
      <w:pPr>
        <w:pStyle w:val="BodyText"/>
        <w:widowControl/>
        <w:ind w:left="1440" w:right="1440"/>
        <w:jc w:val="both"/>
        <w:rPr>
          <w:sz w:val="24"/>
          <w:szCs w:val="24"/>
        </w:rPr>
      </w:pPr>
      <w:r>
        <w:rPr>
          <w:sz w:val="24"/>
          <w:szCs w:val="24"/>
        </w:rPr>
        <w:t xml:space="preserve">3. </w:t>
      </w:r>
      <w:r w:rsidRPr="004025C8">
        <w:rPr>
          <w:sz w:val="24"/>
          <w:szCs w:val="24"/>
        </w:rPr>
        <w:t>Reference GRS Statement No. 2 at 5: 18-20. You state that: Sunoco does not appreciate</w:t>
      </w:r>
      <w:r>
        <w:rPr>
          <w:sz w:val="24"/>
          <w:szCs w:val="24"/>
        </w:rPr>
        <w:t xml:space="preserve"> </w:t>
      </w:r>
      <w:r w:rsidRPr="004025C8">
        <w:rPr>
          <w:sz w:val="24"/>
          <w:szCs w:val="24"/>
        </w:rPr>
        <w:t xml:space="preserve">“the communication requirements </w:t>
      </w:r>
      <w:r w:rsidRPr="004025C8">
        <w:rPr>
          <w:sz w:val="24"/>
          <w:szCs w:val="24"/>
        </w:rPr>
        <w:lastRenderedPageBreak/>
        <w:t>imposed upon it by the Pennsylvania Public Utility</w:t>
      </w:r>
      <w:r>
        <w:rPr>
          <w:sz w:val="24"/>
          <w:szCs w:val="24"/>
        </w:rPr>
        <w:t xml:space="preserve"> </w:t>
      </w:r>
      <w:r w:rsidRPr="004025C8">
        <w:rPr>
          <w:sz w:val="24"/>
          <w:szCs w:val="24"/>
        </w:rPr>
        <w:t>Code, particularly those as to communications with persons impacted by its work at the</w:t>
      </w:r>
      <w:r>
        <w:rPr>
          <w:sz w:val="24"/>
          <w:szCs w:val="24"/>
        </w:rPr>
        <w:t xml:space="preserve"> </w:t>
      </w:r>
      <w:r w:rsidRPr="004025C8">
        <w:rPr>
          <w:sz w:val="24"/>
          <w:szCs w:val="24"/>
        </w:rPr>
        <w:t>Property.” Please state specifically the sections of the Public Utility Code or regulations</w:t>
      </w:r>
      <w:r>
        <w:rPr>
          <w:sz w:val="24"/>
          <w:szCs w:val="24"/>
        </w:rPr>
        <w:t xml:space="preserve"> </w:t>
      </w:r>
      <w:r w:rsidRPr="004025C8">
        <w:rPr>
          <w:sz w:val="24"/>
          <w:szCs w:val="24"/>
        </w:rPr>
        <w:t xml:space="preserve">thereunder you </w:t>
      </w:r>
      <w:proofErr w:type="gramStart"/>
      <w:r w:rsidRPr="004025C8">
        <w:rPr>
          <w:sz w:val="24"/>
          <w:szCs w:val="24"/>
        </w:rPr>
        <w:t>reference, and</w:t>
      </w:r>
      <w:proofErr w:type="gramEnd"/>
      <w:r w:rsidRPr="004025C8">
        <w:rPr>
          <w:sz w:val="24"/>
          <w:szCs w:val="24"/>
        </w:rPr>
        <w:t xml:space="preserve"> identify and explain how they impose the specific</w:t>
      </w:r>
      <w:r>
        <w:rPr>
          <w:sz w:val="24"/>
          <w:szCs w:val="24"/>
        </w:rPr>
        <w:t xml:space="preserve"> </w:t>
      </w:r>
      <w:r w:rsidRPr="004025C8">
        <w:rPr>
          <w:sz w:val="24"/>
          <w:szCs w:val="24"/>
        </w:rPr>
        <w:t>requirements and facts you refer to or rely upon in reaching your conclusion.</w:t>
      </w:r>
    </w:p>
    <w:p w14:paraId="0E179677" w14:textId="77777777" w:rsidR="007C4E3F" w:rsidRPr="007C4E3F" w:rsidRDefault="007C4E3F" w:rsidP="007C4E3F">
      <w:pPr>
        <w:pStyle w:val="BodyText"/>
        <w:widowControl/>
        <w:ind w:left="1440" w:right="1440"/>
        <w:jc w:val="both"/>
        <w:rPr>
          <w:sz w:val="24"/>
          <w:szCs w:val="24"/>
        </w:rPr>
      </w:pPr>
    </w:p>
    <w:p w14:paraId="136A33D6" w14:textId="4DFFFB82" w:rsidR="007C4E3F" w:rsidRPr="007C4E3F" w:rsidRDefault="007C4E3F" w:rsidP="007C4E3F">
      <w:pPr>
        <w:pStyle w:val="Style"/>
        <w:spacing w:line="360" w:lineRule="auto"/>
      </w:pPr>
      <w:r w:rsidRPr="007C4E3F">
        <w:t>to which Glen Riddle provided the following objection:</w:t>
      </w:r>
    </w:p>
    <w:p w14:paraId="551DF54E" w14:textId="77777777" w:rsidR="007C4E3F" w:rsidRPr="007C4E3F" w:rsidRDefault="007C4E3F" w:rsidP="007C4E3F">
      <w:pPr>
        <w:pStyle w:val="Style"/>
        <w:spacing w:line="360" w:lineRule="auto"/>
      </w:pPr>
    </w:p>
    <w:p w14:paraId="6F6D1686" w14:textId="6C535CDA" w:rsidR="001447F9" w:rsidRPr="007C4E3F" w:rsidRDefault="007C4E3F" w:rsidP="007C4E3F">
      <w:pPr>
        <w:pStyle w:val="Style"/>
        <w:ind w:left="1440" w:right="1440"/>
      </w:pPr>
      <w:r w:rsidRPr="007C4E3F">
        <w:t>OBJECTION: GRS objects to this interrogatory because it is not reasonably calculated to lead to the discovery of admissible evidence relevant to the issues raised in the instant proceeding. The interrogatory is not likely to lead to evidence relevant to the Safety Issues (as defined in paragraph 118 of the Complaint). The interrogatory calls for a legal analysis of Sunoco’s obligations under the Pennsylvania Utility Code, calling on GRS to explain how the relevant regulations impose certain requirements on Sunoco. Although GRS acknowledges that pursuant to 52 Pa. Code. § 5.342(c)(5), an objection will not be valid “if based solely on the claim that an answer will involve an opinion or contention that is related to a fact or the application of law to fact,” this interrogatory does not call for the application of law to fact. Sunoco requests “facts” referred to in reaching the conclusion – but the conclusion sought is purely a legal analysis. By way of further response, GRS’s position on Sunoco’s communication obligations is set forth in its Complaint, response to Sunoco’s Preliminary Objections, and direct testimony.</w:t>
      </w:r>
    </w:p>
    <w:p w14:paraId="1E3ED4C0" w14:textId="6B748C22" w:rsidR="00033011" w:rsidRDefault="00033011" w:rsidP="000C21F1">
      <w:pPr>
        <w:pStyle w:val="Style"/>
        <w:spacing w:line="360" w:lineRule="auto"/>
      </w:pPr>
    </w:p>
    <w:p w14:paraId="541890D9" w14:textId="2EFD6F6D" w:rsidR="00A44498" w:rsidRDefault="00033011" w:rsidP="00362454">
      <w:pPr>
        <w:pStyle w:val="Style"/>
        <w:spacing w:line="360" w:lineRule="auto"/>
        <w:ind w:firstLine="1440"/>
      </w:pPr>
      <w:r>
        <w:t xml:space="preserve">In its motion to compel, Sunoco argued </w:t>
      </w:r>
      <w:r w:rsidR="00535856">
        <w:t xml:space="preserve">that Glen Riddle’s argument that </w:t>
      </w:r>
      <w:r w:rsidR="00DA2C1E">
        <w:t xml:space="preserve">this interrogatory is not likely to lead to admissible relevant evidence should be rejected because </w:t>
      </w:r>
      <w:r w:rsidR="00C361ED">
        <w:t>the interrogatory relates directly to a statement in Glen Riddle’s testimony</w:t>
      </w:r>
      <w:r w:rsidR="004D3226">
        <w:t>.  Sunoco argued that Glen Riddle cannot “have it both ways” and that if the statement in the testimony is relevant</w:t>
      </w:r>
      <w:r w:rsidR="00EE49D8">
        <w:t>, the interrogatory is as well.  Sunoco also noted the broad scope of discoverable information</w:t>
      </w:r>
      <w:r w:rsidR="00792F65">
        <w:t xml:space="preserve">.  Sunoco argued in response to Glen Riddle’s objection regarding legal analysis by </w:t>
      </w:r>
      <w:r w:rsidR="007B4F62">
        <w:t>arguing that the interrogatory does not call for the application of law to fact</w:t>
      </w:r>
      <w:r w:rsidR="006A3AE8">
        <w:t xml:space="preserve">.  Sunoco seeks to know the specific laws under the Public Utility Code that the Glen Riddle witness believes </w:t>
      </w:r>
      <w:r w:rsidR="001446C4">
        <w:t xml:space="preserve">it is not in compliance with.  </w:t>
      </w:r>
      <w:r w:rsidR="00884A3A">
        <w:t>Sunoco added that interrogatory II-3 is not a far</w:t>
      </w:r>
      <w:r w:rsidR="00B81E39">
        <w:t>-</w:t>
      </w:r>
      <w:r w:rsidR="00884A3A">
        <w:t>reaching request for legal analysis but that it is</w:t>
      </w:r>
      <w:r w:rsidR="00A56AB5">
        <w:t xml:space="preserve"> </w:t>
      </w:r>
      <w:r w:rsidR="00884A3A">
        <w:t>entitled to know the basis for the statement in the testimony.</w:t>
      </w:r>
      <w:r w:rsidR="008211D2">
        <w:t xml:space="preserve">  Sunoco also argued that Glen Riddle’s reliance on its complaint </w:t>
      </w:r>
      <w:r w:rsidR="00A44498">
        <w:t>is without merit since complaints are not evidence.</w:t>
      </w:r>
    </w:p>
    <w:p w14:paraId="4F1DBA71" w14:textId="77777777" w:rsidR="00A44498" w:rsidRDefault="00A44498" w:rsidP="00362454">
      <w:pPr>
        <w:pStyle w:val="Style"/>
        <w:spacing w:line="360" w:lineRule="auto"/>
        <w:ind w:firstLine="1440"/>
      </w:pPr>
    </w:p>
    <w:p w14:paraId="0811C7E9" w14:textId="13479B75" w:rsidR="00033011" w:rsidRDefault="00033011" w:rsidP="00362454">
      <w:pPr>
        <w:pStyle w:val="Style"/>
        <w:spacing w:line="360" w:lineRule="auto"/>
        <w:ind w:firstLine="1440"/>
      </w:pPr>
      <w:r>
        <w:t xml:space="preserve">In its answer to Sunoco’s motion to compel, Glen Riddle </w:t>
      </w:r>
      <w:r w:rsidR="00101C56">
        <w:t xml:space="preserve">denied that it failed to describe Sunoco’s conduct that violates the Commission </w:t>
      </w:r>
      <w:r w:rsidR="00CF26BD">
        <w:t xml:space="preserve">and referenced its complaint and its answers to Sunoco’s preliminary objections.  Glen Riddle further argued that </w:t>
      </w:r>
      <w:r w:rsidR="008708A2">
        <w:t>the interrogatory calls for a legal analysis of Sunoco’s obligations</w:t>
      </w:r>
      <w:r w:rsidR="00EB4757">
        <w:t xml:space="preserve">, noting that the interrogatory </w:t>
      </w:r>
      <w:r w:rsidR="00DA5878">
        <w:t>asks for an explanation how the sections of the Public Utility Code or regulations impose specific requirements and the facts relied on for that conclusion</w:t>
      </w:r>
      <w:r w:rsidR="00A56AB5">
        <w:t>.  Glen Riddle added that Mr. Iacobucci’s statement is supported by the factual allegations set forth in his direct testimony.</w:t>
      </w:r>
    </w:p>
    <w:p w14:paraId="717A3C1C" w14:textId="79610437" w:rsidR="00033011" w:rsidRDefault="00033011" w:rsidP="00362454">
      <w:pPr>
        <w:pStyle w:val="Style"/>
        <w:spacing w:line="360" w:lineRule="auto"/>
        <w:ind w:firstLine="1440"/>
      </w:pPr>
    </w:p>
    <w:p w14:paraId="3D585D53" w14:textId="77777777" w:rsidR="00EE2C5E" w:rsidRDefault="00033011" w:rsidP="00362454">
      <w:pPr>
        <w:pStyle w:val="Style"/>
        <w:spacing w:line="360" w:lineRule="auto"/>
        <w:ind w:firstLine="1440"/>
      </w:pPr>
      <w:r>
        <w:t xml:space="preserve">Sunoco’s motion to compel answers to Set II-3 will be </w:t>
      </w:r>
      <w:r w:rsidR="00EC4964">
        <w:t xml:space="preserve">granted.  </w:t>
      </w:r>
      <w:r w:rsidR="00CF48C8">
        <w:t xml:space="preserve">Interrogatory II-3 specifically related to </w:t>
      </w:r>
      <w:r w:rsidR="00F96DC2">
        <w:t xml:space="preserve">page 5 of Glen Riddle Statement 2.  Sunoco is correct that Glen Riddle cannot provide such testimony and then not expect to answer questions regarding that testimony.  Glen Riddle cannot have it both ways, as Sunoco argued.  </w:t>
      </w:r>
      <w:r w:rsidR="00242007">
        <w:t xml:space="preserve">To the extent that Glen Riddle does not want to answer questions regarding a portion of its testimony, that portion of the testimony should be stricken from the record.  </w:t>
      </w:r>
      <w:r w:rsidR="00642896">
        <w:t>In addition, there is no concern that interrogatory II-3 is improperly asking for a legal analysis</w:t>
      </w:r>
      <w:r w:rsidR="00C92F9C">
        <w:t xml:space="preserve">.  Mr. Iacobucci does not put himself out as an attorney or a legal expert.  His opinion is as a non-legal witness.  </w:t>
      </w:r>
      <w:r w:rsidR="00B81E39">
        <w:t xml:space="preserve">Specifying </w:t>
      </w:r>
      <w:r w:rsidR="002F62DB">
        <w:t xml:space="preserve">legal codes or regulations and how they might </w:t>
      </w:r>
      <w:r w:rsidR="00335221">
        <w:t xml:space="preserve">impose specific obligations on Sunoco does not require legal analysis when asked to a non-legal witness.  Sunoco simply asks </w:t>
      </w:r>
      <w:r w:rsidR="00C35532">
        <w:t>Mr. Iacobucci for further explanation regarding his testimony</w:t>
      </w:r>
      <w:r w:rsidR="00886A56">
        <w:t xml:space="preserve"> and his answer will be considered </w:t>
      </w:r>
      <w:proofErr w:type="gramStart"/>
      <w:r w:rsidR="00886A56">
        <w:t>in light of the fact that</w:t>
      </w:r>
      <w:proofErr w:type="gramEnd"/>
      <w:r w:rsidR="00886A56">
        <w:t xml:space="preserve"> he is a non-legal witness</w:t>
      </w:r>
      <w:r w:rsidR="00C35532">
        <w:t xml:space="preserve">.  </w:t>
      </w:r>
    </w:p>
    <w:p w14:paraId="7BE3E73B" w14:textId="77777777" w:rsidR="00EE2C5E" w:rsidRDefault="00EE2C5E" w:rsidP="00362454">
      <w:pPr>
        <w:pStyle w:val="Style"/>
        <w:spacing w:line="360" w:lineRule="auto"/>
        <w:ind w:firstLine="1440"/>
      </w:pPr>
    </w:p>
    <w:p w14:paraId="59072E30" w14:textId="712AB560" w:rsidR="001E7709" w:rsidRDefault="001E7709" w:rsidP="00362454">
      <w:pPr>
        <w:pStyle w:val="Style"/>
        <w:spacing w:line="360" w:lineRule="auto"/>
        <w:ind w:firstLine="1440"/>
      </w:pPr>
      <w:r>
        <w:t xml:space="preserve">Finally, </w:t>
      </w:r>
      <w:r w:rsidR="00334A62">
        <w:t>Glen Riddle’s objection that its position on Sunoco’s communication obligation is set forth in its complaint, its answer to the preliminary objection and its direct testimony is also without mer</w:t>
      </w:r>
      <w:r w:rsidR="00ED313D">
        <w:t>it.  The complaint and the answer to the preliminary objection are not evidence.  Furthermore, to the extent that its position is set forth in the direct testimony, Glen Riddle can reference those portions of the direct testimony that it believes are responsive to Interrogatory II-3</w:t>
      </w:r>
      <w:r w:rsidR="00455326">
        <w:t>, not file an objection.</w:t>
      </w:r>
    </w:p>
    <w:p w14:paraId="7346B3AF" w14:textId="77777777" w:rsidR="001E7709" w:rsidRDefault="001E7709" w:rsidP="00362454">
      <w:pPr>
        <w:pStyle w:val="Style"/>
        <w:spacing w:line="360" w:lineRule="auto"/>
        <w:ind w:firstLine="1440"/>
      </w:pPr>
    </w:p>
    <w:p w14:paraId="19EBB089" w14:textId="55D107CC" w:rsidR="00033011" w:rsidRDefault="00A21DE0" w:rsidP="00362454">
      <w:pPr>
        <w:pStyle w:val="Style"/>
        <w:spacing w:line="360" w:lineRule="auto"/>
        <w:ind w:firstLine="1440"/>
      </w:pPr>
      <w:r>
        <w:t xml:space="preserve">Interrogatory II-3 is not </w:t>
      </w:r>
      <w:r w:rsidRPr="004613FD">
        <w:t xml:space="preserve">sought in bad faith; </w:t>
      </w:r>
      <w:r w:rsidR="00251820">
        <w:t xml:space="preserve">nor </w:t>
      </w:r>
      <w:r w:rsidRPr="004613FD">
        <w:t xml:space="preserve">would </w:t>
      </w:r>
      <w:r w:rsidR="00EE2C5E">
        <w:t xml:space="preserve">it </w:t>
      </w:r>
      <w:r w:rsidRPr="004613FD">
        <w:t xml:space="preserve">cause unreasonable annoyance, embarrassment, oppression, </w:t>
      </w:r>
      <w:proofErr w:type="gramStart"/>
      <w:r w:rsidRPr="004613FD">
        <w:t>burden</w:t>
      </w:r>
      <w:proofErr w:type="gramEnd"/>
      <w:r w:rsidRPr="004613FD">
        <w:t xml:space="preserve"> or expense</w:t>
      </w:r>
      <w:r w:rsidR="00251820">
        <w:t xml:space="preserve">, </w:t>
      </w:r>
      <w:r w:rsidRPr="004613FD">
        <w:t xml:space="preserve">relate to a matter which is privileged </w:t>
      </w:r>
      <w:r w:rsidRPr="004613FD">
        <w:lastRenderedPageBreak/>
        <w:t>or would require the making of an unreasonable investigation by the deponent, a party or witness</w:t>
      </w:r>
      <w:r w:rsidR="00251820">
        <w:t xml:space="preserve">.  Rather, </w:t>
      </w:r>
      <w:r w:rsidR="00EE2C5E">
        <w:t xml:space="preserve">the </w:t>
      </w:r>
      <w:r w:rsidR="00E85168">
        <w:t xml:space="preserve">information </w:t>
      </w:r>
      <w:r w:rsidR="00EE2C5E">
        <w:t xml:space="preserve">sought in interrogatory II-3 </w:t>
      </w:r>
      <w:r w:rsidR="00E85168">
        <w:t xml:space="preserve">is relevant </w:t>
      </w:r>
      <w:r w:rsidR="004F3FA4">
        <w:t xml:space="preserve">because </w:t>
      </w:r>
      <w:r w:rsidR="00E85168">
        <w:t xml:space="preserve">it tends to establish a material fact, tends to make a fact at issue </w:t>
      </w:r>
      <w:proofErr w:type="gramStart"/>
      <w:r w:rsidR="00E85168">
        <w:t>more or less probable</w:t>
      </w:r>
      <w:proofErr w:type="gramEnd"/>
      <w:r w:rsidR="00E85168">
        <w:t xml:space="preserve"> or supports a reasonable inference or presumption regarding a material fact.  Therefore, the information sought in interrogatory II-3 is discoverable.</w:t>
      </w:r>
    </w:p>
    <w:p w14:paraId="5045D569" w14:textId="2218F497" w:rsidR="00E85168" w:rsidRDefault="00E85168" w:rsidP="00362454">
      <w:pPr>
        <w:pStyle w:val="Style"/>
        <w:spacing w:line="360" w:lineRule="auto"/>
        <w:ind w:firstLine="1440"/>
      </w:pPr>
    </w:p>
    <w:p w14:paraId="326BF75C" w14:textId="57774548" w:rsidR="00E85168" w:rsidRDefault="00E85168" w:rsidP="00362454">
      <w:pPr>
        <w:pStyle w:val="Style"/>
        <w:spacing w:line="360" w:lineRule="auto"/>
        <w:ind w:firstLine="1440"/>
      </w:pPr>
      <w:r>
        <w:t xml:space="preserve">Sunoco’s motion to compel </w:t>
      </w:r>
      <w:proofErr w:type="gramStart"/>
      <w:r>
        <w:t>with regard to</w:t>
      </w:r>
      <w:proofErr w:type="gramEnd"/>
      <w:r>
        <w:t xml:space="preserve"> interrogatory Set II-3 is granted.</w:t>
      </w:r>
    </w:p>
    <w:p w14:paraId="06E565E1" w14:textId="29820E94" w:rsidR="00FB53F3" w:rsidRDefault="00FB53F3" w:rsidP="00FB53F3">
      <w:pPr>
        <w:pStyle w:val="Style"/>
        <w:spacing w:line="360" w:lineRule="auto"/>
      </w:pPr>
    </w:p>
    <w:p w14:paraId="7D761330" w14:textId="0491285B" w:rsidR="00FB53F3" w:rsidRDefault="00FB53F3" w:rsidP="00FB53F3">
      <w:pPr>
        <w:pStyle w:val="Style"/>
        <w:spacing w:line="360" w:lineRule="auto"/>
      </w:pPr>
      <w:r>
        <w:rPr>
          <w:b/>
          <w:bCs/>
          <w:u w:val="single"/>
        </w:rPr>
        <w:t>Interrogator</w:t>
      </w:r>
      <w:r w:rsidR="004F3FA4">
        <w:rPr>
          <w:b/>
          <w:bCs/>
          <w:u w:val="single"/>
        </w:rPr>
        <w:t>ies</w:t>
      </w:r>
      <w:r>
        <w:rPr>
          <w:b/>
          <w:bCs/>
          <w:u w:val="single"/>
        </w:rPr>
        <w:t xml:space="preserve"> Set II-10 thru </w:t>
      </w:r>
      <w:r w:rsidR="00663228">
        <w:rPr>
          <w:b/>
          <w:bCs/>
          <w:u w:val="single"/>
        </w:rPr>
        <w:t>II-</w:t>
      </w:r>
      <w:r>
        <w:rPr>
          <w:b/>
          <w:bCs/>
          <w:u w:val="single"/>
        </w:rPr>
        <w:t>20</w:t>
      </w:r>
    </w:p>
    <w:p w14:paraId="11910EB5" w14:textId="77777777" w:rsidR="00F54866" w:rsidRDefault="00F54866" w:rsidP="00F54866">
      <w:pPr>
        <w:pStyle w:val="Style"/>
        <w:spacing w:line="360" w:lineRule="auto"/>
      </w:pPr>
    </w:p>
    <w:p w14:paraId="04EDFF30" w14:textId="6AD89C32" w:rsidR="00F54866" w:rsidRDefault="00F54866" w:rsidP="00F54866">
      <w:pPr>
        <w:pStyle w:val="Style"/>
        <w:spacing w:line="360" w:lineRule="auto"/>
        <w:ind w:firstLine="1440"/>
      </w:pPr>
      <w:r>
        <w:t>In interrogatory Set II-</w:t>
      </w:r>
      <w:r w:rsidR="006639DF">
        <w:t>10 thru II-20</w:t>
      </w:r>
      <w:r>
        <w:t>, Sunoco asks</w:t>
      </w:r>
      <w:r w:rsidR="00E9308B">
        <w:t xml:space="preserve"> </w:t>
      </w:r>
      <w:r w:rsidR="00686E35">
        <w:t>several questions “regarding the basis for Mr. Culp’s numerous opinion</w:t>
      </w:r>
      <w:r w:rsidR="00C96798">
        <w:t xml:space="preserve">s </w:t>
      </w:r>
      <w:r w:rsidR="00D87E17">
        <w:t>and his expertise to offer such opinions on such wide-ranging matters.”  Sunoco added that it is entitled to inquire into the basis for those opinions and that “the testimony includes few details substantiating the allegations, and Sunoco is in the process of preparing a suitable defense and rebuttal testimony to Mr. Culp’s accusations.</w:t>
      </w:r>
      <w:r w:rsidR="004E288D">
        <w:t xml:space="preserve">”  The text of the individual interrogatories II-10 thru </w:t>
      </w:r>
      <w:r w:rsidR="00C96798">
        <w:t>II-</w:t>
      </w:r>
      <w:r w:rsidR="004E288D">
        <w:t xml:space="preserve">20 is provided in the appendix to Sunoco’s motion and will </w:t>
      </w:r>
      <w:r w:rsidR="00C96798">
        <w:t>n</w:t>
      </w:r>
      <w:r w:rsidR="004E288D">
        <w:t xml:space="preserve">ot </w:t>
      </w:r>
      <w:r w:rsidR="00C96798">
        <w:t xml:space="preserve">be </w:t>
      </w:r>
      <w:r w:rsidR="004E288D">
        <w:t>reiterated in their entirety here.</w:t>
      </w:r>
    </w:p>
    <w:p w14:paraId="39638837" w14:textId="77777777" w:rsidR="00F54866" w:rsidRDefault="00F54866" w:rsidP="00F54866">
      <w:pPr>
        <w:pStyle w:val="Style"/>
        <w:spacing w:line="360" w:lineRule="auto"/>
        <w:ind w:firstLine="1440"/>
      </w:pPr>
    </w:p>
    <w:p w14:paraId="1DC15FC3" w14:textId="77777777" w:rsidR="00905FB3" w:rsidRDefault="00F54866" w:rsidP="00F54866">
      <w:pPr>
        <w:pStyle w:val="Style"/>
        <w:spacing w:line="360" w:lineRule="auto"/>
        <w:ind w:firstLine="1440"/>
      </w:pPr>
      <w:r>
        <w:t xml:space="preserve">In its objection, Glen Riddle </w:t>
      </w:r>
      <w:r w:rsidR="00905FB3">
        <w:t>stated:</w:t>
      </w:r>
    </w:p>
    <w:p w14:paraId="367CE3A1" w14:textId="77777777" w:rsidR="00905FB3" w:rsidRDefault="00905FB3" w:rsidP="00F54866">
      <w:pPr>
        <w:pStyle w:val="Style"/>
        <w:spacing w:line="360" w:lineRule="auto"/>
        <w:ind w:firstLine="1440"/>
      </w:pPr>
    </w:p>
    <w:p w14:paraId="63390508" w14:textId="77777777" w:rsidR="00905FB3" w:rsidRPr="00256748" w:rsidRDefault="00905FB3" w:rsidP="00905FB3">
      <w:pPr>
        <w:adjustRightInd w:val="0"/>
        <w:ind w:left="1440" w:right="1440"/>
        <w:jc w:val="both"/>
        <w:rPr>
          <w:rFonts w:eastAsiaTheme="minorHAnsi"/>
        </w:rPr>
      </w:pPr>
      <w:r w:rsidRPr="00256748">
        <w:rPr>
          <w:rFonts w:eastAsiaTheme="minorHAnsi"/>
        </w:rPr>
        <w:t xml:space="preserve">OBJECTION: GRS objects to this interrogatory because it would cause unreasonable annoyance, oppression, burden, and expense and would require an unreasonable investigation to respond. GRS also objects to this interrogatory on the grounds that it improperly seeks additional expert discovery beyond the Written Testimony, without leave of the presiding officer, in violation of 52 Pa. Code. § 5.324. § 5.324(a)(1)(ii) limits expert interrogatories to the following, “state the substance of the facts and opinions to which the expert is expected to testify and a summary of the grounds for each opinion.” GRS has already provided this information via Direct Testimony, as permitted by § 5.324(a)(2). § 5.324(a)(3) provides that “upon cause shown, the presiding officer may order further discovery by other means, subject to restrictions as to scope and provisions concerning fees and expenses as he may deem appropriate.” No such order has been issued nor has cause has been shown here, where GRS provided Mr. Culp’s curriculum vitae, Sunoco will have the </w:t>
      </w:r>
      <w:r w:rsidRPr="00256748">
        <w:rPr>
          <w:rFonts w:eastAsiaTheme="minorHAnsi"/>
        </w:rPr>
        <w:lastRenderedPageBreak/>
        <w:t xml:space="preserve">opportunity to file rebuttal testimony, and Sunoco will have the opportunity to engage in cross-examination and </w:t>
      </w:r>
      <w:proofErr w:type="spellStart"/>
      <w:r w:rsidRPr="00256748">
        <w:rPr>
          <w:rFonts w:eastAsiaTheme="minorHAnsi"/>
        </w:rPr>
        <w:t>voire</w:t>
      </w:r>
      <w:proofErr w:type="spellEnd"/>
      <w:r w:rsidRPr="00256748">
        <w:rPr>
          <w:rFonts w:eastAsiaTheme="minorHAnsi"/>
        </w:rPr>
        <w:t xml:space="preserve"> dire at the time of the hearing.</w:t>
      </w:r>
    </w:p>
    <w:p w14:paraId="1301AD2B" w14:textId="77777777" w:rsidR="00F54866" w:rsidRDefault="00F54866" w:rsidP="00F54866">
      <w:pPr>
        <w:pStyle w:val="Style"/>
        <w:spacing w:line="360" w:lineRule="auto"/>
        <w:ind w:firstLine="1440"/>
      </w:pPr>
    </w:p>
    <w:p w14:paraId="73B7E515" w14:textId="6CDA40F2" w:rsidR="00201198" w:rsidRDefault="00201198" w:rsidP="00201198">
      <w:pPr>
        <w:pStyle w:val="Style"/>
        <w:spacing w:line="360" w:lineRule="auto"/>
      </w:pPr>
      <w:r>
        <w:t>Glen Riddle generally incorporated this objection in response to all of Sunoco’s interrogatories II-10 thru II-20.</w:t>
      </w:r>
    </w:p>
    <w:p w14:paraId="0BFA8252" w14:textId="77777777" w:rsidR="00201198" w:rsidRDefault="00201198" w:rsidP="00201198">
      <w:pPr>
        <w:pStyle w:val="Style"/>
        <w:spacing w:line="360" w:lineRule="auto"/>
      </w:pPr>
    </w:p>
    <w:p w14:paraId="0FC6EB86" w14:textId="1BBB18EC" w:rsidR="00DB1B02" w:rsidRDefault="00F54866" w:rsidP="00E85168">
      <w:pPr>
        <w:pStyle w:val="Style"/>
        <w:spacing w:line="360" w:lineRule="auto"/>
        <w:ind w:firstLine="1440"/>
      </w:pPr>
      <w:r>
        <w:t xml:space="preserve">In its motion to compel, Sunoco argued </w:t>
      </w:r>
      <w:r w:rsidR="007A7A68">
        <w:t xml:space="preserve">that it seeks the basis for Mr. Culp’s numerous opinions and his expertise to offer such opinions.  </w:t>
      </w:r>
      <w:r w:rsidR="00D41FE4">
        <w:t>Sunoco argued that it is entitled to inquire into the basis for Mr. Culp’s opinions that Sunoco’s operations at the site are unsafe</w:t>
      </w:r>
      <w:r w:rsidR="000800C6">
        <w:t xml:space="preserve">, arguing that the testimony includes few details about the allegations.  </w:t>
      </w:r>
      <w:r w:rsidR="00A47BFE">
        <w:t xml:space="preserve">Sunoco refuted Glen Riddle’s argument that the interrogatories are </w:t>
      </w:r>
      <w:r w:rsidR="00ED7A7C">
        <w:t xml:space="preserve">unreasonably annoying, oppressive, </w:t>
      </w:r>
      <w:proofErr w:type="gramStart"/>
      <w:r w:rsidR="00ED7A7C">
        <w:t>burdensome</w:t>
      </w:r>
      <w:proofErr w:type="gramEnd"/>
      <w:r w:rsidR="00ED7A7C">
        <w:t xml:space="preserve"> or expensive or would require an unreasonable investigation by noting that </w:t>
      </w:r>
      <w:r w:rsidR="00C82433">
        <w:t>the interrogatories seek elaboration on Mr. Culp’s testimony separated into 11 narrow topic questions</w:t>
      </w:r>
      <w:r w:rsidR="00C7451A">
        <w:t xml:space="preserve"> and that each of these answers are within Mr. Culp’s possession.  </w:t>
      </w:r>
      <w:r w:rsidR="0004510D">
        <w:t xml:space="preserve">Sunoco argued that Glen Riddle did provide Mr. Culp’s curriculum vitae but that it provides limited details.  </w:t>
      </w:r>
      <w:r w:rsidR="00596633">
        <w:t>Sunoco added that each of the interrogatories fall with</w:t>
      </w:r>
      <w:r w:rsidR="003E78CE">
        <w:t xml:space="preserve">in the scope of allowable discovery as defined by the Commission.  </w:t>
      </w:r>
    </w:p>
    <w:p w14:paraId="66C661CC" w14:textId="77777777" w:rsidR="00DB1B02" w:rsidRDefault="00DB1B02" w:rsidP="00E85168">
      <w:pPr>
        <w:pStyle w:val="Style"/>
        <w:spacing w:line="360" w:lineRule="auto"/>
        <w:ind w:firstLine="1440"/>
      </w:pPr>
    </w:p>
    <w:p w14:paraId="425CF3FB" w14:textId="38225FA0" w:rsidR="00F54866" w:rsidRDefault="00C7451A" w:rsidP="00E85168">
      <w:pPr>
        <w:pStyle w:val="Style"/>
        <w:spacing w:line="360" w:lineRule="auto"/>
        <w:ind w:firstLine="1440"/>
      </w:pPr>
      <w:r>
        <w:t xml:space="preserve">Sunoco </w:t>
      </w:r>
      <w:r w:rsidR="00DB1B02">
        <w:t xml:space="preserve">also </w:t>
      </w:r>
      <w:r>
        <w:t xml:space="preserve">responded to Glen Riddle’s objection </w:t>
      </w:r>
      <w:r w:rsidR="00DB1B02">
        <w:t>regarding</w:t>
      </w:r>
      <w:r>
        <w:t xml:space="preserve"> </w:t>
      </w:r>
      <w:r w:rsidR="00DB1B02">
        <w:t xml:space="preserve">Section 5.324 by arguing that </w:t>
      </w:r>
      <w:r w:rsidR="00A3782F">
        <w:t>this section does not apply to proceedings that involve pre-served written testimony</w:t>
      </w:r>
      <w:r w:rsidR="00F35AC3">
        <w:t xml:space="preserve">.  Sunoco added that Mr. Culp’s testimony does not sufficiently set out the basis for his </w:t>
      </w:r>
      <w:proofErr w:type="gramStart"/>
      <w:r w:rsidR="00F35AC3">
        <w:t>opinions</w:t>
      </w:r>
      <w:proofErr w:type="gramEnd"/>
      <w:r w:rsidR="002200A9">
        <w:t xml:space="preserve"> so his testimony does not substitute as an answer to discovery.  </w:t>
      </w:r>
      <w:r w:rsidR="00F61556">
        <w:t xml:space="preserve">Sunoco further argues that inquiry </w:t>
      </w:r>
      <w:r w:rsidR="000D366A">
        <w:t>behind the statements made in written testimony served in advance of a hearing occurs in nearly every complaint proceeding where written testimony is involved</w:t>
      </w:r>
      <w:r w:rsidR="0050447B">
        <w:t xml:space="preserve"> and that opposing parties are free to inquire about the details of written expert testimony.  </w:t>
      </w:r>
    </w:p>
    <w:p w14:paraId="0308C838" w14:textId="77777777" w:rsidR="00F54866" w:rsidRDefault="00F54866" w:rsidP="00F54866">
      <w:pPr>
        <w:pStyle w:val="Style"/>
        <w:spacing w:line="360" w:lineRule="auto"/>
        <w:ind w:firstLine="1440"/>
      </w:pPr>
    </w:p>
    <w:p w14:paraId="02F5AC44" w14:textId="04458271" w:rsidR="00F54866" w:rsidRDefault="00F54866" w:rsidP="00F54866">
      <w:pPr>
        <w:pStyle w:val="Style"/>
        <w:spacing w:line="360" w:lineRule="auto"/>
        <w:ind w:firstLine="1440"/>
      </w:pPr>
      <w:r>
        <w:t xml:space="preserve">In its answer to Sunoco’s motion to compel, Glen Riddle </w:t>
      </w:r>
      <w:r w:rsidR="00A16E0E">
        <w:t xml:space="preserve">denied that the information sought in the interrogatories is discoverable and </w:t>
      </w:r>
      <w:r w:rsidR="00086583">
        <w:t xml:space="preserve">noted that Section 5.324 limits interrogatories to experts to “stating the substance of the facts and opinions to which the expert is expected to testimony and a summary of the grounds for each opinion.”  Glen Riddle added that it has already provided the information through direct </w:t>
      </w:r>
      <w:r w:rsidR="00923500">
        <w:t xml:space="preserve">testimony and that it has already provided Mr. Culp’s curriculum vitae.  </w:t>
      </w:r>
      <w:r w:rsidR="00EE07F5">
        <w:t xml:space="preserve">Glen Riddle argued that the interrogatories are </w:t>
      </w:r>
      <w:r w:rsidR="00842C8A">
        <w:t xml:space="preserve">overly broad and </w:t>
      </w:r>
      <w:r w:rsidR="00842C8A">
        <w:lastRenderedPageBreak/>
        <w:t xml:space="preserve">seek voluminous information beyond the scope of written testimony.  </w:t>
      </w:r>
      <w:r w:rsidR="00841F15">
        <w:t xml:space="preserve">Glen Riddle added that no order has been issued by the presiding officer </w:t>
      </w:r>
      <w:r w:rsidR="00470508">
        <w:t xml:space="preserve">directing that the interrogatories be issued.  </w:t>
      </w:r>
      <w:r w:rsidR="00982E7E">
        <w:t>Glen Riddle also argued that Sunoco will have the opportunity to file rebuttal testimony and engage</w:t>
      </w:r>
      <w:r w:rsidR="005064DC">
        <w:t xml:space="preserve"> </w:t>
      </w:r>
      <w:r w:rsidR="00982E7E">
        <w:t xml:space="preserve">in cross-examination at the time of the hearing. </w:t>
      </w:r>
      <w:r w:rsidR="005064DC">
        <w:t xml:space="preserve"> Glen Riddle added that Sunoco has not shown cause warranting issuance of an order permitting discovery outside the scope of what it has already provided to Sunoco.</w:t>
      </w:r>
    </w:p>
    <w:p w14:paraId="25DE6EB8" w14:textId="77777777" w:rsidR="00F54866" w:rsidRDefault="00F54866" w:rsidP="00F54866">
      <w:pPr>
        <w:pStyle w:val="Style"/>
        <w:spacing w:line="360" w:lineRule="auto"/>
        <w:ind w:firstLine="1440"/>
      </w:pPr>
    </w:p>
    <w:p w14:paraId="614A544A" w14:textId="14A14F31" w:rsidR="00F54866" w:rsidRDefault="00F54866" w:rsidP="00F54866">
      <w:pPr>
        <w:pStyle w:val="Style"/>
        <w:spacing w:line="360" w:lineRule="auto"/>
        <w:ind w:firstLine="1440"/>
      </w:pPr>
      <w:r>
        <w:t>Sunoco’s motion to compel answers to Set II-</w:t>
      </w:r>
      <w:r w:rsidR="002A2EA5">
        <w:t>10 thru II-20</w:t>
      </w:r>
      <w:r>
        <w:t xml:space="preserve"> will be </w:t>
      </w:r>
      <w:r w:rsidR="001D1B5F">
        <w:t>granted and Glen Riddle will be directed to provide response</w:t>
      </w:r>
      <w:r w:rsidR="002A2EA5">
        <w:t>s.</w:t>
      </w:r>
    </w:p>
    <w:p w14:paraId="0B67BEA8" w14:textId="2609DAD2" w:rsidR="00BB6195" w:rsidRDefault="00BB6195" w:rsidP="00F54866">
      <w:pPr>
        <w:pStyle w:val="Style"/>
        <w:spacing w:line="360" w:lineRule="auto"/>
        <w:ind w:firstLine="1440"/>
      </w:pPr>
    </w:p>
    <w:p w14:paraId="12E79B50" w14:textId="7944A40F" w:rsidR="00063821" w:rsidRDefault="00BB6195" w:rsidP="00767C49">
      <w:pPr>
        <w:pStyle w:val="Style"/>
        <w:spacing w:line="360" w:lineRule="auto"/>
        <w:ind w:firstLine="1440"/>
      </w:pPr>
      <w:r>
        <w:t>To begin, Section 5.324 of the Commission’s regulations provides</w:t>
      </w:r>
      <w:r w:rsidR="00063821">
        <w:t>:</w:t>
      </w:r>
    </w:p>
    <w:p w14:paraId="253C61E8" w14:textId="77777777" w:rsidR="00063821" w:rsidRPr="00FE2EA9" w:rsidRDefault="00063821" w:rsidP="00183000">
      <w:pPr>
        <w:spacing w:before="150" w:after="150"/>
        <w:ind w:left="1440" w:right="1440"/>
        <w:outlineLvl w:val="4"/>
        <w:rPr>
          <w:rFonts w:ascii="Times New Roman" w:hAnsi="Times New Roman" w:cs="Times New Roman"/>
          <w:b/>
          <w:bCs/>
        </w:rPr>
      </w:pPr>
      <w:r w:rsidRPr="00FE2EA9">
        <w:rPr>
          <w:rFonts w:ascii="Times New Roman" w:hAnsi="Times New Roman" w:cs="Times New Roman"/>
          <w:b/>
          <w:bCs/>
        </w:rPr>
        <w:t>§ 5.324. Discovery of expert testimony.</w:t>
      </w:r>
    </w:p>
    <w:p w14:paraId="1884C6D1" w14:textId="77777777" w:rsidR="00063821" w:rsidRPr="00FE2EA9" w:rsidRDefault="00063821" w:rsidP="00183000">
      <w:pPr>
        <w:spacing w:after="150"/>
        <w:ind w:left="1440" w:right="1440"/>
        <w:rPr>
          <w:rFonts w:ascii="Times New Roman" w:hAnsi="Times New Roman" w:cs="Times New Roman"/>
        </w:rPr>
      </w:pPr>
      <w:r w:rsidRPr="00FE2EA9">
        <w:rPr>
          <w:rFonts w:ascii="Times New Roman" w:hAnsi="Times New Roman" w:cs="Times New Roman"/>
        </w:rPr>
        <w:t xml:space="preserve"> (a)  Consistent with </w:t>
      </w:r>
      <w:proofErr w:type="spellStart"/>
      <w:r w:rsidRPr="00FE2EA9">
        <w:rPr>
          <w:rFonts w:ascii="Times New Roman" w:hAnsi="Times New Roman" w:cs="Times New Roman"/>
        </w:rPr>
        <w:t>Pa.R.C.P</w:t>
      </w:r>
      <w:proofErr w:type="spellEnd"/>
      <w:r w:rsidRPr="00FE2EA9">
        <w:rPr>
          <w:rFonts w:ascii="Times New Roman" w:hAnsi="Times New Roman" w:cs="Times New Roman"/>
        </w:rPr>
        <w:t xml:space="preserve">. 4003.5 (relating to discovery of expert testimony trial preparation material), discovery of facts known and opinions held by an expert, otherwise discoverable under </w:t>
      </w:r>
      <w:proofErr w:type="gramStart"/>
      <w:r w:rsidRPr="00FE2EA9">
        <w:rPr>
          <w:rFonts w:ascii="Times New Roman" w:hAnsi="Times New Roman" w:cs="Times New Roman"/>
        </w:rPr>
        <w:t>§  5.321</w:t>
      </w:r>
      <w:proofErr w:type="gramEnd"/>
      <w:r w:rsidRPr="00FE2EA9">
        <w:rPr>
          <w:rFonts w:ascii="Times New Roman" w:hAnsi="Times New Roman" w:cs="Times New Roman"/>
        </w:rPr>
        <w:t xml:space="preserve"> (relating to scope), including that acquired or developed in anticipation of litigation or for hearing, may be obtained as follows: </w:t>
      </w:r>
    </w:p>
    <w:p w14:paraId="38CC08FB" w14:textId="77777777" w:rsidR="00063821" w:rsidRPr="00FE2EA9" w:rsidRDefault="00063821" w:rsidP="00183000">
      <w:pPr>
        <w:spacing w:after="150"/>
        <w:ind w:left="1440" w:right="1440"/>
        <w:rPr>
          <w:rFonts w:ascii="Times New Roman" w:hAnsi="Times New Roman" w:cs="Times New Roman"/>
        </w:rPr>
      </w:pPr>
      <w:r w:rsidRPr="00FE2EA9">
        <w:rPr>
          <w:rFonts w:ascii="Times New Roman" w:hAnsi="Times New Roman" w:cs="Times New Roman"/>
        </w:rPr>
        <w:t xml:space="preserve">   (1)  A party may through interrogatories require both of the following: </w:t>
      </w:r>
    </w:p>
    <w:p w14:paraId="068162D9" w14:textId="77777777" w:rsidR="00063821" w:rsidRPr="00FE2EA9" w:rsidRDefault="00063821" w:rsidP="00183000">
      <w:pPr>
        <w:spacing w:after="150"/>
        <w:ind w:left="1440" w:right="1440"/>
        <w:rPr>
          <w:rFonts w:ascii="Times New Roman" w:hAnsi="Times New Roman" w:cs="Times New Roman"/>
        </w:rPr>
      </w:pPr>
      <w:r w:rsidRPr="00FE2EA9">
        <w:rPr>
          <w:rFonts w:ascii="Times New Roman" w:hAnsi="Times New Roman" w:cs="Times New Roman"/>
        </w:rPr>
        <w:t>     (</w:t>
      </w:r>
      <w:proofErr w:type="spellStart"/>
      <w:r w:rsidRPr="00FE2EA9">
        <w:rPr>
          <w:rFonts w:ascii="Times New Roman" w:hAnsi="Times New Roman" w:cs="Times New Roman"/>
        </w:rPr>
        <w:t>i</w:t>
      </w:r>
      <w:proofErr w:type="spellEnd"/>
      <w:r w:rsidRPr="00FE2EA9">
        <w:rPr>
          <w:rFonts w:ascii="Times New Roman" w:hAnsi="Times New Roman" w:cs="Times New Roman"/>
        </w:rPr>
        <w:t xml:space="preserve">)   That the other party identify each person whom the party expects to call as an expert witness at hearing and to state the subject matter on which the expert is expected to testify. </w:t>
      </w:r>
    </w:p>
    <w:p w14:paraId="2CB9D442" w14:textId="77777777" w:rsidR="00063821" w:rsidRPr="00FE2EA9" w:rsidRDefault="00063821" w:rsidP="00183000">
      <w:pPr>
        <w:spacing w:after="150"/>
        <w:ind w:left="1440" w:right="1440"/>
        <w:rPr>
          <w:rFonts w:ascii="Times New Roman" w:hAnsi="Times New Roman" w:cs="Times New Roman"/>
        </w:rPr>
      </w:pPr>
      <w:r w:rsidRPr="00FE2EA9">
        <w:rPr>
          <w:rFonts w:ascii="Times New Roman" w:hAnsi="Times New Roman" w:cs="Times New Roman"/>
        </w:rPr>
        <w:t xml:space="preserve">     (ii)   That the other party have each expert so identified state the substance of the facts and opinions to which the expert is expected to testify and a summary of the grounds for each opinion. The party answering the interrogatories may file as the answer a report of the expert, have the interrogatories answered by the expert or provide written direct testimony of the expert. The answer, separate report or testimony shall be signed by the expert and shall be deemed to be provided under oath in accordance with section 333(d) of the act (relating to prehearing procedures). </w:t>
      </w:r>
    </w:p>
    <w:p w14:paraId="7010AF02" w14:textId="77777777" w:rsidR="00063821" w:rsidRPr="00FE2EA9" w:rsidRDefault="00063821" w:rsidP="00183000">
      <w:pPr>
        <w:spacing w:after="150"/>
        <w:ind w:left="1440" w:right="1440"/>
        <w:rPr>
          <w:rFonts w:ascii="Times New Roman" w:hAnsi="Times New Roman" w:cs="Times New Roman"/>
        </w:rPr>
      </w:pPr>
      <w:r w:rsidRPr="00FE2EA9">
        <w:rPr>
          <w:rFonts w:ascii="Times New Roman" w:hAnsi="Times New Roman" w:cs="Times New Roman"/>
        </w:rPr>
        <w:t xml:space="preserve">   (2)  If the party against whom discovery is sought, under paragraph (1)(ii), responds by the filing of written direct testimony, the response shall be considered timely, regardless of §  5.342 (relating to answers or objections to written interrogatories by a party), if the written direct testimony is served on all parties at least 20 days prior to the date on which the expert is scheduled to </w:t>
      </w:r>
      <w:r w:rsidRPr="00FE2EA9">
        <w:rPr>
          <w:rFonts w:ascii="Times New Roman" w:hAnsi="Times New Roman" w:cs="Times New Roman"/>
        </w:rPr>
        <w:lastRenderedPageBreak/>
        <w:t>testify or in accordance with the schedule for the submission of written testimony established by the presiding officer. However, the party shall still comply with paragraph (1)(</w:t>
      </w:r>
      <w:proofErr w:type="spellStart"/>
      <w:r w:rsidRPr="00FE2EA9">
        <w:rPr>
          <w:rFonts w:ascii="Times New Roman" w:hAnsi="Times New Roman" w:cs="Times New Roman"/>
        </w:rPr>
        <w:t>i</w:t>
      </w:r>
      <w:proofErr w:type="spellEnd"/>
      <w:r w:rsidRPr="00FE2EA9">
        <w:rPr>
          <w:rFonts w:ascii="Times New Roman" w:hAnsi="Times New Roman" w:cs="Times New Roman"/>
        </w:rPr>
        <w:t xml:space="preserve">) within the time otherwise applicable. </w:t>
      </w:r>
    </w:p>
    <w:p w14:paraId="4B16C10F" w14:textId="77777777" w:rsidR="00063821" w:rsidRPr="00FE2EA9" w:rsidRDefault="00063821" w:rsidP="00183000">
      <w:pPr>
        <w:spacing w:after="150"/>
        <w:ind w:left="1440" w:right="1440"/>
        <w:rPr>
          <w:rFonts w:ascii="Times New Roman" w:hAnsi="Times New Roman" w:cs="Times New Roman"/>
        </w:rPr>
      </w:pPr>
      <w:r w:rsidRPr="00FE2EA9">
        <w:rPr>
          <w:rFonts w:ascii="Times New Roman" w:hAnsi="Times New Roman" w:cs="Times New Roman"/>
        </w:rPr>
        <w:t xml:space="preserve">   (3)  Upon cause shown, the presiding officer may order further discovery by other means, subject to restrictions as to scope and provisions concerning fees and expenses as he may deem appropriate. </w:t>
      </w:r>
    </w:p>
    <w:p w14:paraId="42F9347D" w14:textId="77777777" w:rsidR="00063821" w:rsidRPr="00FE2EA9" w:rsidRDefault="00063821" w:rsidP="00183000">
      <w:pPr>
        <w:spacing w:after="150"/>
        <w:ind w:left="1440" w:right="1440"/>
        <w:rPr>
          <w:rFonts w:ascii="Times New Roman" w:hAnsi="Times New Roman" w:cs="Times New Roman"/>
        </w:rPr>
      </w:pPr>
      <w:r w:rsidRPr="00FE2EA9">
        <w:rPr>
          <w:rFonts w:ascii="Times New Roman" w:hAnsi="Times New Roman" w:cs="Times New Roman"/>
        </w:rPr>
        <w:t xml:space="preserve"> (b)  An expert </w:t>
      </w:r>
      <w:proofErr w:type="gramStart"/>
      <w:r w:rsidRPr="00FE2EA9">
        <w:rPr>
          <w:rFonts w:ascii="Times New Roman" w:hAnsi="Times New Roman" w:cs="Times New Roman"/>
        </w:rPr>
        <w:t>witness</w:t>
      </w:r>
      <w:proofErr w:type="gramEnd"/>
      <w:r w:rsidRPr="00FE2EA9">
        <w:rPr>
          <w:rFonts w:ascii="Times New Roman" w:hAnsi="Times New Roman" w:cs="Times New Roman"/>
        </w:rPr>
        <w:t xml:space="preserve"> whose identity is not disclosed in compliance with subsection (a)(1) will not be permitted to testify on behalf of the defaulting party at hearing. If the failure to disclose the identity of the witness is the result of extenuating circumstances beyond the control of the defaulting party, the presiding officer may grant a continuance or other appropriate relief. </w:t>
      </w:r>
    </w:p>
    <w:p w14:paraId="6D5F89A8" w14:textId="77777777" w:rsidR="00063821" w:rsidRPr="00FE2EA9" w:rsidRDefault="00063821" w:rsidP="00183000">
      <w:pPr>
        <w:spacing w:after="150"/>
        <w:ind w:left="1440" w:right="1440"/>
        <w:rPr>
          <w:rFonts w:ascii="Times New Roman" w:hAnsi="Times New Roman" w:cs="Times New Roman"/>
        </w:rPr>
      </w:pPr>
      <w:r w:rsidRPr="00FE2EA9">
        <w:rPr>
          <w:rFonts w:ascii="Times New Roman" w:hAnsi="Times New Roman" w:cs="Times New Roman"/>
        </w:rPr>
        <w:t xml:space="preserve"> (c)  To the extent that the facts </w:t>
      </w:r>
      <w:proofErr w:type="gramStart"/>
      <w:r w:rsidRPr="00FE2EA9">
        <w:rPr>
          <w:rFonts w:ascii="Times New Roman" w:hAnsi="Times New Roman" w:cs="Times New Roman"/>
        </w:rPr>
        <w:t>known</w:t>
      </w:r>
      <w:proofErr w:type="gramEnd"/>
      <w:r w:rsidRPr="00FE2EA9">
        <w:rPr>
          <w:rFonts w:ascii="Times New Roman" w:hAnsi="Times New Roman" w:cs="Times New Roman"/>
        </w:rPr>
        <w:t xml:space="preserve"> or opinions held by an expert have been developed in discovery proceedings under subsection (a), the expert’s direct testimony at hearing may not be inconsistent with or go beyond the fair scope of his testimony in the discovery proceedings as set forth in his deposition, answer to an interrogatory, separate report, written direct testimony or supplement thereto. The expert will not be prevented from testifying as to facts or opinions on matters on which he has not been interrogated in the discovery proceedings. </w:t>
      </w:r>
    </w:p>
    <w:p w14:paraId="0530E19A" w14:textId="77777777" w:rsidR="00063821" w:rsidRPr="00FE2EA9" w:rsidRDefault="00063821" w:rsidP="00183000">
      <w:pPr>
        <w:ind w:left="1440" w:right="1440"/>
        <w:rPr>
          <w:rFonts w:ascii="Times New Roman" w:hAnsi="Times New Roman" w:cs="Times New Roman"/>
        </w:rPr>
      </w:pPr>
      <w:r w:rsidRPr="00FE2EA9">
        <w:rPr>
          <w:rFonts w:ascii="Times New Roman" w:hAnsi="Times New Roman" w:cs="Times New Roman"/>
        </w:rPr>
        <w:t xml:space="preserve"> (d)  The answering party may supplement answers only to the extent that facts, or opinions based on those facts, can reasonably be shown to have changed after preparation of the answer or when additional facts or information have become known to the answering party or when the interest of justice otherwise requires. </w:t>
      </w:r>
    </w:p>
    <w:p w14:paraId="215A6E0B" w14:textId="23EDD48D" w:rsidR="00063821" w:rsidRDefault="00063821" w:rsidP="00063821">
      <w:pPr>
        <w:pStyle w:val="Style"/>
        <w:spacing w:line="360" w:lineRule="auto"/>
      </w:pPr>
    </w:p>
    <w:p w14:paraId="16F54FD8" w14:textId="0A06BF4A" w:rsidR="00063821" w:rsidRDefault="00183000" w:rsidP="00183000">
      <w:pPr>
        <w:pStyle w:val="Style"/>
        <w:spacing w:line="360" w:lineRule="auto"/>
      </w:pPr>
      <w:r>
        <w:t>52 Pa. Code § 5.324.</w:t>
      </w:r>
      <w:r w:rsidR="00AC737F">
        <w:t xml:space="preserve">  Glen Riddle’s </w:t>
      </w:r>
      <w:r w:rsidR="000624F1">
        <w:t>interpretation of Section 5.324</w:t>
      </w:r>
      <w:r w:rsidR="002179F9">
        <w:t xml:space="preserve">, however, </w:t>
      </w:r>
      <w:r w:rsidR="000624F1">
        <w:t>is too narrow and, as applied in this case, unreasonable.</w:t>
      </w:r>
    </w:p>
    <w:p w14:paraId="6AFBFA43" w14:textId="5FBCD9B1" w:rsidR="000624F1" w:rsidRDefault="000624F1" w:rsidP="00183000">
      <w:pPr>
        <w:pStyle w:val="Style"/>
        <w:spacing w:line="360" w:lineRule="auto"/>
      </w:pPr>
    </w:p>
    <w:p w14:paraId="6AF85728" w14:textId="7D7291C1" w:rsidR="000624F1" w:rsidRDefault="000624F1" w:rsidP="00183000">
      <w:pPr>
        <w:pStyle w:val="Style"/>
        <w:spacing w:line="360" w:lineRule="auto"/>
      </w:pPr>
      <w:r>
        <w:tab/>
      </w:r>
      <w:r>
        <w:tab/>
        <w:t xml:space="preserve">Section 5.324 of the Commission’s regulations should be read as a supplement to the Commission’s other discovery regulations, not a substitute for the Commission’s other discovery regulations.  That is, </w:t>
      </w:r>
      <w:r w:rsidR="00780D35">
        <w:t xml:space="preserve">parties cannot simply provide testimony or a curriculum vitae </w:t>
      </w:r>
      <w:r w:rsidR="00780D35" w:rsidRPr="00780D35">
        <w:rPr>
          <w:b/>
          <w:bCs/>
          <w:i/>
          <w:iCs/>
        </w:rPr>
        <w:t>in lieu of</w:t>
      </w:r>
      <w:r w:rsidR="00780D35">
        <w:t xml:space="preserve"> answering interrogatories – they can provide the testimony or a curriculum vitae </w:t>
      </w:r>
      <w:r w:rsidR="00780D35" w:rsidRPr="00780D35">
        <w:rPr>
          <w:b/>
          <w:bCs/>
          <w:i/>
          <w:iCs/>
        </w:rPr>
        <w:t>in addition to</w:t>
      </w:r>
      <w:r w:rsidR="00780D35">
        <w:t xml:space="preserve"> answering interrogatories.  To hold otherwise would thwart the purpose of discovery.  Parties are encouraged to exchange information </w:t>
      </w:r>
      <w:r w:rsidR="00184EF3">
        <w:t xml:space="preserve">in discovery </w:t>
      </w:r>
      <w:r w:rsidR="00780D35">
        <w:t xml:space="preserve">prior to a hearing </w:t>
      </w:r>
      <w:proofErr w:type="gramStart"/>
      <w:r w:rsidR="00780D35">
        <w:t>in an effort to</w:t>
      </w:r>
      <w:proofErr w:type="gramEnd"/>
      <w:r w:rsidR="00184EF3">
        <w:t xml:space="preserve">, </w:t>
      </w:r>
      <w:r w:rsidR="00184EF3">
        <w:lastRenderedPageBreak/>
        <w:t>among other things,</w:t>
      </w:r>
      <w:r w:rsidR="00780D35">
        <w:t xml:space="preserve"> simplify the issues that need to be heard during the </w:t>
      </w:r>
      <w:r w:rsidR="009411D1">
        <w:t xml:space="preserve">hearing and to (hopefully) move the parties closer to settlement prior to the hearing.  The Commission’s </w:t>
      </w:r>
      <w:r w:rsidR="00CE4B5B">
        <w:t>regulations</w:t>
      </w:r>
      <w:r w:rsidR="009411D1">
        <w:t xml:space="preserve"> should not be used as a shield to prevent the exchange of information between the parties that is otherwise discoverable.</w:t>
      </w:r>
    </w:p>
    <w:p w14:paraId="044483ED" w14:textId="5385DC22" w:rsidR="009411D1" w:rsidRDefault="009411D1" w:rsidP="00183000">
      <w:pPr>
        <w:pStyle w:val="Style"/>
        <w:spacing w:line="360" w:lineRule="auto"/>
      </w:pPr>
    </w:p>
    <w:p w14:paraId="3DAB2D98" w14:textId="08089DF6" w:rsidR="00063821" w:rsidRDefault="009411D1" w:rsidP="007D01B8">
      <w:pPr>
        <w:pStyle w:val="Style"/>
        <w:spacing w:line="360" w:lineRule="auto"/>
      </w:pPr>
      <w:r>
        <w:tab/>
      </w:r>
      <w:r>
        <w:tab/>
        <w:t xml:space="preserve">In this case, Sunoco has asked interrogatories that satisfy the Commission’s requirements </w:t>
      </w:r>
      <w:r w:rsidR="0029010E">
        <w:t xml:space="preserve">for discovery.  </w:t>
      </w:r>
      <w:r w:rsidR="0087760B">
        <w:t>Each of t</w:t>
      </w:r>
      <w:r w:rsidR="0029010E">
        <w:t xml:space="preserve">he interrogatories are </w:t>
      </w:r>
      <w:r w:rsidR="0087760B" w:rsidRPr="004613FD">
        <w:t>relevant to the subject matter involved in the pending action, whether it relates to the claim or defense of the party seeking discovery or to the claim or defense of another party</w:t>
      </w:r>
      <w:r w:rsidR="0087760B">
        <w:t xml:space="preserve"> as they each relate to specific portions of the testimony provided by Mr. Culp.  Furthermore, each of the interrogatories are </w:t>
      </w:r>
      <w:r w:rsidR="004C52E4">
        <w:t xml:space="preserve">relevant because they tend to establish a material fact, tend to make a fact at issue </w:t>
      </w:r>
      <w:proofErr w:type="gramStart"/>
      <w:r w:rsidR="004C52E4">
        <w:t>more or less probable</w:t>
      </w:r>
      <w:proofErr w:type="gramEnd"/>
      <w:r w:rsidR="004C52E4">
        <w:t xml:space="preserve"> or supports a reasonable inference or presumption regarding a material fact</w:t>
      </w:r>
      <w:r w:rsidR="00EB7A33">
        <w:t xml:space="preserve">.  None of the interrogatories are </w:t>
      </w:r>
      <w:r w:rsidR="007D1F94" w:rsidRPr="004613FD">
        <w:t xml:space="preserve">sought in bad faith; would cause unreasonable annoyance, embarrassment, oppression, </w:t>
      </w:r>
      <w:proofErr w:type="gramStart"/>
      <w:r w:rsidR="007D1F94" w:rsidRPr="004613FD">
        <w:t>burden</w:t>
      </w:r>
      <w:proofErr w:type="gramEnd"/>
      <w:r w:rsidR="007D1F94" w:rsidRPr="004613FD">
        <w:t xml:space="preserve"> or expense; relates to a matter which is privileged; or would require the making of an unreasonable investigation</w:t>
      </w:r>
      <w:r w:rsidR="00844FF7">
        <w:t xml:space="preserve">.  Certainly, Sunoco has asked extensive and thorough questions of Mr. Culp’s testimony.  </w:t>
      </w:r>
      <w:r w:rsidR="00B93833">
        <w:t>Answering these questions will require some level of effort but not an unreasonable level of effort such that they are not permissible.</w:t>
      </w:r>
      <w:r w:rsidR="002A2F7A">
        <w:t xml:space="preserve">  Responding to these types of interrogatories that are specifically related to the testimony provided is part of the obligation and responsibility of pursuing a complaint.</w:t>
      </w:r>
    </w:p>
    <w:p w14:paraId="347CC5C1" w14:textId="31BB4412" w:rsidR="002A2F7A" w:rsidRDefault="002A2F7A" w:rsidP="007D01B8">
      <w:pPr>
        <w:pStyle w:val="Style"/>
        <w:spacing w:line="360" w:lineRule="auto"/>
      </w:pPr>
    </w:p>
    <w:p w14:paraId="782F40E6" w14:textId="1A160BCB" w:rsidR="002A2F7A" w:rsidRDefault="002A2F7A" w:rsidP="00AA72F0">
      <w:pPr>
        <w:pStyle w:val="Style"/>
        <w:widowControl/>
        <w:spacing w:line="360" w:lineRule="auto"/>
      </w:pPr>
      <w:r>
        <w:tab/>
      </w:r>
      <w:r>
        <w:tab/>
        <w:t xml:space="preserve">Finally, </w:t>
      </w:r>
      <w:r w:rsidR="009E2EA6">
        <w:t>Glen Riddle has provided no other reasonable argument that would warrant denying Sunoco’s motion.  I</w:t>
      </w:r>
      <w:r>
        <w:t xml:space="preserve">t is not reasonable to suggest that </w:t>
      </w:r>
      <w:r w:rsidR="009E2EA6">
        <w:t xml:space="preserve">Sunoco refer to the testimony or the curriculum vitae </w:t>
      </w:r>
      <w:r w:rsidR="00B3344E">
        <w:t xml:space="preserve">for answers to the interrogatories because those documents are where the interrogatories emanate.  </w:t>
      </w:r>
      <w:r w:rsidR="006B08F7">
        <w:t>It is also not reasonable to expect that Sunoco would address the matters raised in the interrogatories in its rebuttal testimony or during cross-examination of Mr. Culp.</w:t>
      </w:r>
      <w:r w:rsidR="00764EB5">
        <w:t xml:space="preserve">  Again, the purpose of discovery is to facilitate an exchange of information prior to a hearing that will minimize contested issues, make the record clearer, reduce the amount of hearing time needed</w:t>
      </w:r>
      <w:r w:rsidR="001A20CA">
        <w:t>, or bring the parties closer to a settlement, among other things.  Glen Riddle’s objections do not accomplish these purposes.</w:t>
      </w:r>
      <w:r w:rsidR="006524FE">
        <w:t xml:space="preserve">  Rather, Glen Riddle should provide reasonable answers in response to Sunoco’s discovery.</w:t>
      </w:r>
      <w:r w:rsidR="00C467D4">
        <w:t xml:space="preserve">  To the extent that Glen Riddle seeks an </w:t>
      </w:r>
      <w:r w:rsidR="00C467D4">
        <w:lastRenderedPageBreak/>
        <w:t xml:space="preserve">order from the presiding officer directing that the </w:t>
      </w:r>
      <w:r w:rsidR="00166DF6">
        <w:t xml:space="preserve">Sunoco’s interrogatories II-10 thru II-20 be answered, this order </w:t>
      </w:r>
      <w:r w:rsidR="00205897">
        <w:t>will serve that purpose</w:t>
      </w:r>
      <w:r w:rsidR="00166DF6">
        <w:t>.</w:t>
      </w:r>
    </w:p>
    <w:p w14:paraId="623175D2" w14:textId="6065B487" w:rsidR="002A2EA5" w:rsidRDefault="002A2EA5" w:rsidP="00F54866">
      <w:pPr>
        <w:pStyle w:val="Style"/>
        <w:spacing w:line="360" w:lineRule="auto"/>
        <w:ind w:firstLine="1440"/>
      </w:pPr>
    </w:p>
    <w:p w14:paraId="38CB8F10" w14:textId="2B486D99" w:rsidR="002A2EA5" w:rsidRDefault="002A2EA5" w:rsidP="00BB6195">
      <w:pPr>
        <w:pStyle w:val="Style"/>
        <w:spacing w:line="360" w:lineRule="auto"/>
        <w:ind w:firstLine="1440"/>
      </w:pPr>
      <w:r>
        <w:t xml:space="preserve">As such, Sunoco’s motion to compel </w:t>
      </w:r>
      <w:proofErr w:type="gramStart"/>
      <w:r>
        <w:t>with regard to</w:t>
      </w:r>
      <w:proofErr w:type="gramEnd"/>
      <w:r>
        <w:t xml:space="preserve"> interrogatory Set II-</w:t>
      </w:r>
      <w:r w:rsidR="00BB6195">
        <w:t>10 thru II-20</w:t>
      </w:r>
      <w:r>
        <w:t xml:space="preserve"> is granted.</w:t>
      </w:r>
    </w:p>
    <w:p w14:paraId="32EDC116" w14:textId="77777777" w:rsidR="00DD49EC" w:rsidRPr="00DC0826" w:rsidRDefault="00DD49EC" w:rsidP="00DD49EC">
      <w:pPr>
        <w:pStyle w:val="ParaTab1"/>
        <w:tabs>
          <w:tab w:val="left" w:pos="900"/>
          <w:tab w:val="left" w:pos="2070"/>
        </w:tabs>
        <w:spacing w:line="360" w:lineRule="auto"/>
        <w:ind w:firstLine="0"/>
        <w:rPr>
          <w:rFonts w:ascii="Times New Roman" w:hAnsi="Times New Roman"/>
        </w:rPr>
      </w:pPr>
    </w:p>
    <w:p w14:paraId="66152B9A" w14:textId="77777777" w:rsidR="00DD49EC" w:rsidRPr="00DC0826" w:rsidRDefault="00DD49EC" w:rsidP="00DD49EC">
      <w:pPr>
        <w:tabs>
          <w:tab w:val="left" w:pos="900"/>
        </w:tabs>
        <w:spacing w:line="360" w:lineRule="auto"/>
        <w:jc w:val="center"/>
        <w:rPr>
          <w:u w:val="single"/>
        </w:rPr>
      </w:pPr>
      <w:r w:rsidRPr="00DC0826">
        <w:rPr>
          <w:u w:val="single"/>
        </w:rPr>
        <w:t>ORDER</w:t>
      </w:r>
    </w:p>
    <w:p w14:paraId="55369F24" w14:textId="249F42E7" w:rsidR="00DD49EC" w:rsidRDefault="00DD49EC" w:rsidP="00DD49EC">
      <w:pPr>
        <w:tabs>
          <w:tab w:val="left" w:pos="900"/>
        </w:tabs>
        <w:spacing w:line="360" w:lineRule="auto"/>
        <w:ind w:firstLine="1440"/>
      </w:pPr>
    </w:p>
    <w:p w14:paraId="0CD65224" w14:textId="77777777" w:rsidR="00AA72F0" w:rsidRPr="00DC0826" w:rsidRDefault="00AA72F0" w:rsidP="00DD49EC">
      <w:pPr>
        <w:tabs>
          <w:tab w:val="left" w:pos="900"/>
        </w:tabs>
        <w:spacing w:line="360" w:lineRule="auto"/>
        <w:ind w:firstLine="1440"/>
      </w:pPr>
    </w:p>
    <w:p w14:paraId="2B840D02" w14:textId="77777777" w:rsidR="00DD49EC" w:rsidRPr="00DC0826" w:rsidRDefault="00DD49EC" w:rsidP="00DD49EC">
      <w:pPr>
        <w:tabs>
          <w:tab w:val="left" w:pos="900"/>
        </w:tabs>
        <w:spacing w:line="360" w:lineRule="auto"/>
        <w:ind w:firstLine="1440"/>
        <w:rPr>
          <w:bCs/>
        </w:rPr>
      </w:pPr>
      <w:r w:rsidRPr="00DC0826">
        <w:rPr>
          <w:bCs/>
        </w:rPr>
        <w:t>THEREFORE,</w:t>
      </w:r>
    </w:p>
    <w:p w14:paraId="03F3D2E8" w14:textId="77777777" w:rsidR="00DD49EC" w:rsidRPr="00DC0826" w:rsidRDefault="00DD49EC" w:rsidP="00DD49EC">
      <w:pPr>
        <w:tabs>
          <w:tab w:val="left" w:pos="900"/>
        </w:tabs>
        <w:spacing w:line="360" w:lineRule="auto"/>
        <w:ind w:firstLine="1440"/>
      </w:pPr>
    </w:p>
    <w:p w14:paraId="3BEEC534" w14:textId="2FF38701" w:rsidR="00DD49EC" w:rsidRPr="00DC0826" w:rsidRDefault="00DD49EC" w:rsidP="00DD49EC">
      <w:pPr>
        <w:tabs>
          <w:tab w:val="left" w:pos="900"/>
        </w:tabs>
        <w:autoSpaceDE/>
        <w:autoSpaceDN/>
        <w:spacing w:line="360" w:lineRule="auto"/>
        <w:ind w:firstLine="1440"/>
      </w:pPr>
      <w:r w:rsidRPr="00DC0826">
        <w:t>IT IS ORDERED:</w:t>
      </w:r>
    </w:p>
    <w:p w14:paraId="52103B33" w14:textId="77777777" w:rsidR="00DD49EC" w:rsidRPr="00DC0826" w:rsidRDefault="00DD49EC" w:rsidP="00DD49EC">
      <w:pPr>
        <w:tabs>
          <w:tab w:val="left" w:pos="900"/>
        </w:tabs>
        <w:autoSpaceDE/>
        <w:autoSpaceDN/>
        <w:spacing w:line="360" w:lineRule="auto"/>
        <w:ind w:firstLine="1440"/>
      </w:pPr>
    </w:p>
    <w:p w14:paraId="3619903B" w14:textId="1ADDC1D5" w:rsidR="00357AE9" w:rsidRDefault="00DD49EC" w:rsidP="00DD49EC">
      <w:pPr>
        <w:numPr>
          <w:ilvl w:val="0"/>
          <w:numId w:val="1"/>
        </w:numPr>
        <w:tabs>
          <w:tab w:val="left" w:pos="900"/>
        </w:tabs>
        <w:autoSpaceDE/>
        <w:autoSpaceDN/>
        <w:spacing w:line="360" w:lineRule="auto"/>
        <w:ind w:left="0" w:firstLine="1440"/>
        <w:rPr>
          <w:rFonts w:cs="Times New Roman"/>
        </w:rPr>
      </w:pPr>
      <w:r w:rsidRPr="00DC0826">
        <w:rPr>
          <w:rFonts w:cs="Times New Roman"/>
        </w:rPr>
        <w:t xml:space="preserve">That </w:t>
      </w:r>
      <w:r>
        <w:rPr>
          <w:rFonts w:cs="Times New Roman"/>
        </w:rPr>
        <w:t xml:space="preserve">the motion </w:t>
      </w:r>
      <w:r w:rsidR="00F020AB">
        <w:rPr>
          <w:rFonts w:cs="Times New Roman"/>
        </w:rPr>
        <w:t>to compel answers to interrogatories and requests for production of documents Set II, filed by Sunoco Pipeline, L.P. on March 26, 2021, at docket number C-2020-</w:t>
      </w:r>
      <w:r w:rsidR="00357AE9">
        <w:rPr>
          <w:rFonts w:cs="Times New Roman"/>
        </w:rPr>
        <w:t xml:space="preserve">3023129 will be </w:t>
      </w:r>
      <w:r w:rsidR="00125149">
        <w:rPr>
          <w:rFonts w:cs="Times New Roman"/>
        </w:rPr>
        <w:t>granted.</w:t>
      </w:r>
    </w:p>
    <w:p w14:paraId="5E08593C" w14:textId="77777777" w:rsidR="00DD49EC" w:rsidRPr="00357AE9" w:rsidRDefault="00DD49EC" w:rsidP="00357AE9">
      <w:pPr>
        <w:tabs>
          <w:tab w:val="left" w:pos="900"/>
        </w:tabs>
        <w:autoSpaceDE/>
        <w:autoSpaceDN/>
        <w:spacing w:line="360" w:lineRule="auto"/>
        <w:ind w:left="1440"/>
        <w:rPr>
          <w:rFonts w:cs="Times New Roman"/>
        </w:rPr>
      </w:pPr>
    </w:p>
    <w:p w14:paraId="27FB0C5A" w14:textId="77777777" w:rsidR="005C1FD3" w:rsidRDefault="00DD49EC" w:rsidP="00DD49EC">
      <w:pPr>
        <w:numPr>
          <w:ilvl w:val="0"/>
          <w:numId w:val="1"/>
        </w:numPr>
        <w:tabs>
          <w:tab w:val="left" w:pos="900"/>
        </w:tabs>
        <w:autoSpaceDE/>
        <w:autoSpaceDN/>
        <w:spacing w:line="360" w:lineRule="auto"/>
        <w:ind w:left="0" w:firstLine="1440"/>
        <w:rPr>
          <w:rFonts w:cs="Times New Roman"/>
        </w:rPr>
      </w:pPr>
      <w:r w:rsidRPr="00CB6214">
        <w:rPr>
          <w:rFonts w:cs="Times New Roman"/>
        </w:rPr>
        <w:t xml:space="preserve">That </w:t>
      </w:r>
      <w:r w:rsidR="00125149">
        <w:rPr>
          <w:rFonts w:cs="Times New Roman"/>
        </w:rPr>
        <w:t>Glen Riddle Station, L.P. is directed to provide answers to interrogatories II-3 and II-10 thru II-20 propounded by Sunoco Pipeline L.P.</w:t>
      </w:r>
    </w:p>
    <w:p w14:paraId="6515A366" w14:textId="77777777" w:rsidR="005C1FD3" w:rsidRDefault="005C1FD3" w:rsidP="005C1FD3">
      <w:pPr>
        <w:pStyle w:val="ListParagraph"/>
        <w:rPr>
          <w:rFonts w:cs="Times New Roman"/>
        </w:rPr>
      </w:pPr>
    </w:p>
    <w:p w14:paraId="01542DD7" w14:textId="62FC0EBC" w:rsidR="00DD49EC" w:rsidRPr="00CB6214" w:rsidRDefault="005C1FD3" w:rsidP="00DD49EC">
      <w:pPr>
        <w:numPr>
          <w:ilvl w:val="0"/>
          <w:numId w:val="1"/>
        </w:numPr>
        <w:tabs>
          <w:tab w:val="left" w:pos="900"/>
        </w:tabs>
        <w:autoSpaceDE/>
        <w:autoSpaceDN/>
        <w:spacing w:line="360" w:lineRule="auto"/>
        <w:ind w:left="0" w:firstLine="1440"/>
        <w:rPr>
          <w:rFonts w:cs="Times New Roman"/>
        </w:rPr>
      </w:pPr>
      <w:r>
        <w:rPr>
          <w:rFonts w:cs="Times New Roman"/>
        </w:rPr>
        <w:t xml:space="preserve">That </w:t>
      </w:r>
      <w:r w:rsidR="00DD49EC" w:rsidRPr="00CB6214">
        <w:rPr>
          <w:rFonts w:cs="Times New Roman"/>
        </w:rPr>
        <w:t>the parties are encouraged to continue their efforts toward settlement.</w:t>
      </w:r>
    </w:p>
    <w:p w14:paraId="156F38D2" w14:textId="3EF568AA" w:rsidR="00DD49EC" w:rsidRDefault="00DD49EC" w:rsidP="00DD49EC">
      <w:pPr>
        <w:rPr>
          <w:rFonts w:cs="Times New Roman"/>
        </w:rPr>
      </w:pPr>
    </w:p>
    <w:p w14:paraId="67BD1DC5" w14:textId="77777777" w:rsidR="003705EB" w:rsidRDefault="003705EB" w:rsidP="00DD49EC">
      <w:pPr>
        <w:rPr>
          <w:rFonts w:cs="Times New Roman"/>
        </w:rPr>
      </w:pPr>
    </w:p>
    <w:p w14:paraId="69118AFC" w14:textId="77777777" w:rsidR="00125149" w:rsidRDefault="00125149" w:rsidP="00DD49EC">
      <w:pPr>
        <w:rPr>
          <w:rFonts w:cs="Times New Roman"/>
        </w:rPr>
      </w:pPr>
    </w:p>
    <w:p w14:paraId="66E38E1B" w14:textId="58EAA383" w:rsidR="00DD49EC" w:rsidRPr="001837DB" w:rsidRDefault="00DD49EC" w:rsidP="00DD49EC">
      <w:pPr>
        <w:rPr>
          <w:rFonts w:cs="Times New Roman"/>
        </w:rPr>
      </w:pPr>
      <w:r w:rsidRPr="00012682">
        <w:rPr>
          <w:rFonts w:cs="Times New Roman"/>
        </w:rPr>
        <w:t xml:space="preserve">Dated:  </w:t>
      </w:r>
      <w:r>
        <w:rPr>
          <w:rFonts w:cs="Times New Roman"/>
          <w:u w:val="single"/>
        </w:rPr>
        <w:t>May 2</w:t>
      </w:r>
      <w:r w:rsidR="00357AE9">
        <w:rPr>
          <w:rFonts w:cs="Times New Roman"/>
          <w:u w:val="single"/>
        </w:rPr>
        <w:t>8</w:t>
      </w:r>
      <w:r w:rsidRPr="00012682">
        <w:rPr>
          <w:rFonts w:cs="Times New Roman"/>
          <w:u w:val="single"/>
        </w:rPr>
        <w:t>, 2021</w:t>
      </w:r>
      <w:r w:rsidRPr="00012682">
        <w:rPr>
          <w:rFonts w:cs="Times New Roman"/>
        </w:rPr>
        <w:tab/>
      </w:r>
      <w:r w:rsidRPr="00012682">
        <w:rPr>
          <w:rFonts w:cs="Times New Roman"/>
        </w:rPr>
        <w:tab/>
      </w:r>
      <w:r>
        <w:rPr>
          <w:rFonts w:cs="Times New Roman"/>
        </w:rPr>
        <w:tab/>
      </w:r>
      <w:r>
        <w:rPr>
          <w:rFonts w:cs="Times New Roman"/>
        </w:rPr>
        <w:tab/>
      </w:r>
      <w:r w:rsidRPr="001837DB">
        <w:rPr>
          <w:rFonts w:cs="Times New Roman"/>
        </w:rPr>
        <w:tab/>
      </w:r>
      <w:r w:rsidRPr="000C42F2">
        <w:rPr>
          <w:rFonts w:cs="Times New Roman"/>
          <w:u w:val="single"/>
        </w:rPr>
        <w:t>______________/s/________________</w:t>
      </w:r>
    </w:p>
    <w:p w14:paraId="42CF8188" w14:textId="77777777" w:rsidR="00DD49EC" w:rsidRDefault="00DD49EC" w:rsidP="00DD49EC">
      <w:pPr>
        <w:ind w:left="5040"/>
        <w:rPr>
          <w:rFonts w:cs="Times New Roman"/>
        </w:rPr>
      </w:pPr>
      <w:r>
        <w:rPr>
          <w:rFonts w:cs="Times New Roman"/>
        </w:rPr>
        <w:t xml:space="preserve">Joel H. Cheskis </w:t>
      </w:r>
    </w:p>
    <w:p w14:paraId="2DA906CA" w14:textId="77777777" w:rsidR="00DD49EC" w:rsidRPr="008A63C8" w:rsidRDefault="00DD49EC" w:rsidP="00DD49EC">
      <w:pPr>
        <w:ind w:left="5040"/>
        <w:rPr>
          <w:rFonts w:cs="Times New Roman"/>
        </w:rPr>
      </w:pPr>
      <w:r w:rsidRPr="001837DB">
        <w:rPr>
          <w:rFonts w:cs="Times New Roman"/>
        </w:rPr>
        <w:t>Deputy Chief Administrative Law Judge</w:t>
      </w:r>
    </w:p>
    <w:p w14:paraId="487638B1" w14:textId="77777777" w:rsidR="00DD49EC" w:rsidRDefault="00DD49EC" w:rsidP="00DD49EC"/>
    <w:p w14:paraId="37622626" w14:textId="77777777" w:rsidR="00AA72F0" w:rsidRDefault="00AA72F0">
      <w:pPr>
        <w:sectPr w:rsidR="00AA72F0" w:rsidSect="004B667C">
          <w:footerReference w:type="default" r:id="rId7"/>
          <w:pgSz w:w="12240" w:h="15840" w:code="1"/>
          <w:pgMar w:top="1440" w:right="1440" w:bottom="1440" w:left="1440" w:header="720" w:footer="720" w:gutter="0"/>
          <w:pgNumType w:start="1"/>
          <w:cols w:space="720"/>
          <w:formProt w:val="0"/>
          <w:titlePg/>
          <w:docGrid w:linePitch="360"/>
        </w:sectPr>
      </w:pPr>
    </w:p>
    <w:p w14:paraId="0F48E75E" w14:textId="77777777" w:rsidR="00AA72F0" w:rsidRPr="00AA72F0" w:rsidRDefault="00AA72F0" w:rsidP="00AA72F0">
      <w:pPr>
        <w:autoSpaceDE/>
        <w:autoSpaceDN/>
        <w:rPr>
          <w:rFonts w:ascii="Microsoft Sans Serif" w:eastAsia="Microsoft Sans Serif" w:hAnsi="Microsoft Sans Serif" w:cs="Microsoft Sans Serif"/>
          <w:b/>
          <w:szCs w:val="20"/>
          <w:u w:val="single"/>
        </w:rPr>
      </w:pPr>
      <w:r w:rsidRPr="00AA72F0">
        <w:rPr>
          <w:rFonts w:ascii="Microsoft Sans Serif" w:eastAsia="Microsoft Sans Serif" w:hAnsi="Microsoft Sans Serif" w:cs="Microsoft Sans Serif"/>
          <w:b/>
          <w:szCs w:val="20"/>
          <w:u w:val="single"/>
        </w:rPr>
        <w:lastRenderedPageBreak/>
        <w:t>C-2020-3023129 - GLEN RIDDLE STATION, LP v. SUNOCO PIPELINE, LP</w:t>
      </w:r>
    </w:p>
    <w:p w14:paraId="7AE0B30D" w14:textId="77777777" w:rsidR="00AA72F0" w:rsidRPr="00AA72F0" w:rsidRDefault="00AA72F0" w:rsidP="00AA72F0">
      <w:pPr>
        <w:autoSpaceDE/>
        <w:autoSpaceDN/>
        <w:rPr>
          <w:rFonts w:ascii="Microsoft Sans Serif" w:eastAsia="Microsoft Sans Serif" w:hAnsi="Microsoft Sans Serif" w:cs="Microsoft Sans Serif"/>
          <w:b/>
          <w:szCs w:val="20"/>
          <w:u w:val="single"/>
        </w:rPr>
      </w:pPr>
    </w:p>
    <w:p w14:paraId="1941E0E2" w14:textId="77777777" w:rsidR="00AA72F0" w:rsidRPr="00AA72F0" w:rsidRDefault="00AA72F0" w:rsidP="00AA72F0">
      <w:pPr>
        <w:autoSpaceDE/>
        <w:autoSpaceDN/>
        <w:rPr>
          <w:rFonts w:ascii="Microsoft Sans Serif" w:eastAsia="Microsoft Sans Serif" w:hAnsi="Microsoft Sans Serif" w:cs="Microsoft Sans Serif"/>
          <w:b/>
          <w:szCs w:val="20"/>
          <w:u w:val="single"/>
        </w:rPr>
        <w:sectPr w:rsidR="00AA72F0" w:rsidRPr="00AA72F0" w:rsidSect="00C92BBD">
          <w:footerReference w:type="default" r:id="rId8"/>
          <w:pgSz w:w="12240" w:h="15840"/>
          <w:pgMar w:top="1584" w:right="1440" w:bottom="1440" w:left="1440" w:header="720" w:footer="720" w:gutter="0"/>
          <w:cols w:space="720"/>
        </w:sectPr>
      </w:pPr>
    </w:p>
    <w:p w14:paraId="0F5CFE05" w14:textId="77777777" w:rsidR="00AA72F0" w:rsidRPr="00AA72F0" w:rsidRDefault="00AA72F0" w:rsidP="00AA72F0">
      <w:pPr>
        <w:autoSpaceDE/>
        <w:autoSpaceDN/>
        <w:rPr>
          <w:rFonts w:ascii="Microsoft Sans Serif" w:eastAsia="Microsoft Sans Serif" w:hAnsi="Microsoft Sans Serif" w:cs="Microsoft Sans Serif"/>
          <w:sz w:val="22"/>
          <w:szCs w:val="22"/>
          <w:u w:val="single"/>
        </w:rPr>
      </w:pPr>
      <w:r w:rsidRPr="00AA72F0">
        <w:rPr>
          <w:rFonts w:ascii="Microsoft Sans Serif" w:eastAsia="Microsoft Sans Serif" w:hAnsi="Microsoft Sans Serif" w:cs="Microsoft Sans Serif"/>
          <w:bCs/>
          <w:i/>
          <w:iCs/>
          <w:szCs w:val="20"/>
        </w:rPr>
        <w:t>Revised: 5/25/21</w:t>
      </w:r>
      <w:r w:rsidRPr="00AA72F0">
        <w:rPr>
          <w:rFonts w:ascii="Microsoft Sans Serif" w:eastAsia="Microsoft Sans Serif" w:hAnsi="Microsoft Sans Serif" w:cs="Microsoft Sans Serif"/>
          <w:bCs/>
          <w:szCs w:val="20"/>
          <w:u w:val="single"/>
        </w:rPr>
        <w:cr/>
      </w:r>
      <w:r w:rsidRPr="00AA72F0">
        <w:rPr>
          <w:rFonts w:ascii="Microsoft Sans Serif" w:eastAsia="Microsoft Sans Serif" w:hAnsi="Microsoft Sans Serif" w:cs="Microsoft Sans Serif"/>
          <w:b/>
          <w:szCs w:val="20"/>
          <w:u w:val="single"/>
        </w:rPr>
        <w:cr/>
      </w:r>
      <w:r w:rsidRPr="00AA72F0">
        <w:rPr>
          <w:rFonts w:ascii="Microsoft Sans Serif" w:eastAsia="Microsoft Sans Serif" w:hAnsi="Microsoft Sans Serif" w:cs="Microsoft Sans Serif"/>
          <w:sz w:val="22"/>
          <w:szCs w:val="22"/>
        </w:rPr>
        <w:t>SAMUEL W. CORTES ESQUIRE</w:t>
      </w:r>
      <w:r w:rsidRPr="00AA72F0">
        <w:rPr>
          <w:rFonts w:ascii="Microsoft Sans Serif" w:eastAsia="Microsoft Sans Serif" w:hAnsi="Microsoft Sans Serif" w:cs="Microsoft Sans Serif"/>
          <w:sz w:val="22"/>
          <w:szCs w:val="22"/>
        </w:rPr>
        <w:br/>
        <w:t>ASHLEY BEACH ESQUIRE</w:t>
      </w:r>
      <w:r w:rsidRPr="00AA72F0">
        <w:rPr>
          <w:rFonts w:ascii="Microsoft Sans Serif" w:eastAsia="Microsoft Sans Serif" w:hAnsi="Microsoft Sans Serif" w:cs="Microsoft Sans Serif"/>
          <w:sz w:val="22"/>
          <w:szCs w:val="22"/>
        </w:rPr>
        <w:cr/>
        <w:t>FOX ROTHSCHILD, LLP</w:t>
      </w:r>
      <w:r w:rsidRPr="00AA72F0">
        <w:rPr>
          <w:rFonts w:ascii="Microsoft Sans Serif" w:eastAsia="Microsoft Sans Serif" w:hAnsi="Microsoft Sans Serif" w:cs="Microsoft Sans Serif"/>
          <w:sz w:val="22"/>
          <w:szCs w:val="22"/>
        </w:rPr>
        <w:cr/>
        <w:t>747 CONSTITUTION DRIVE</w:t>
      </w:r>
      <w:r w:rsidRPr="00AA72F0">
        <w:rPr>
          <w:rFonts w:ascii="Microsoft Sans Serif" w:eastAsia="Microsoft Sans Serif" w:hAnsi="Microsoft Sans Serif" w:cs="Microsoft Sans Serif"/>
          <w:sz w:val="22"/>
          <w:szCs w:val="22"/>
        </w:rPr>
        <w:cr/>
        <w:t>SUITE 100</w:t>
      </w:r>
      <w:r w:rsidRPr="00AA72F0">
        <w:rPr>
          <w:rFonts w:ascii="Microsoft Sans Serif" w:eastAsia="Microsoft Sans Serif" w:hAnsi="Microsoft Sans Serif" w:cs="Microsoft Sans Serif"/>
          <w:sz w:val="22"/>
          <w:szCs w:val="22"/>
        </w:rPr>
        <w:cr/>
        <w:t>EXTON PA  19341</w:t>
      </w:r>
      <w:r w:rsidRPr="00AA72F0">
        <w:rPr>
          <w:rFonts w:ascii="Microsoft Sans Serif" w:eastAsia="Microsoft Sans Serif" w:hAnsi="Microsoft Sans Serif" w:cs="Microsoft Sans Serif"/>
          <w:sz w:val="22"/>
          <w:szCs w:val="22"/>
        </w:rPr>
        <w:cr/>
      </w:r>
      <w:r w:rsidRPr="00AA72F0">
        <w:rPr>
          <w:rFonts w:ascii="Microsoft Sans Serif" w:eastAsia="Microsoft Sans Serif" w:hAnsi="Microsoft Sans Serif" w:cs="Microsoft Sans Serif"/>
          <w:b/>
          <w:bCs/>
          <w:sz w:val="22"/>
          <w:szCs w:val="22"/>
        </w:rPr>
        <w:t>610.458.4966</w:t>
      </w:r>
      <w:r w:rsidRPr="00AA72F0">
        <w:rPr>
          <w:rFonts w:ascii="Microsoft Sans Serif" w:eastAsia="Microsoft Sans Serif" w:hAnsi="Microsoft Sans Serif" w:cs="Microsoft Sans Serif"/>
          <w:b/>
          <w:bCs/>
          <w:sz w:val="22"/>
          <w:szCs w:val="22"/>
        </w:rPr>
        <w:cr/>
        <w:t>610.458.7500</w:t>
      </w:r>
      <w:r w:rsidRPr="00AA72F0">
        <w:rPr>
          <w:rFonts w:ascii="Microsoft Sans Serif" w:eastAsia="Microsoft Sans Serif" w:hAnsi="Microsoft Sans Serif" w:cs="Microsoft Sans Serif"/>
          <w:sz w:val="22"/>
          <w:szCs w:val="22"/>
        </w:rPr>
        <w:cr/>
      </w:r>
      <w:hyperlink r:id="rId9" w:history="1">
        <w:r w:rsidRPr="00AA72F0">
          <w:rPr>
            <w:rFonts w:ascii="Microsoft Sans Serif" w:eastAsia="Microsoft Sans Serif" w:hAnsi="Microsoft Sans Serif" w:cs="Microsoft Sans Serif"/>
            <w:color w:val="0000FF"/>
            <w:sz w:val="22"/>
            <w:szCs w:val="22"/>
            <w:u w:val="single"/>
          </w:rPr>
          <w:t>scortes@foxrothschild.com</w:t>
        </w:r>
      </w:hyperlink>
    </w:p>
    <w:p w14:paraId="7D89B6F7" w14:textId="77777777" w:rsidR="00AA72F0" w:rsidRPr="00AA72F0" w:rsidRDefault="00AA72F0" w:rsidP="00AA72F0">
      <w:pPr>
        <w:autoSpaceDE/>
        <w:autoSpaceDN/>
        <w:rPr>
          <w:rFonts w:ascii="Microsoft Sans Serif" w:eastAsia="Microsoft Sans Serif" w:hAnsi="Microsoft Sans Serif" w:cs="Microsoft Sans Serif"/>
          <w:sz w:val="22"/>
          <w:szCs w:val="22"/>
          <w:u w:val="single"/>
        </w:rPr>
      </w:pPr>
      <w:hyperlink r:id="rId10" w:history="1">
        <w:r w:rsidRPr="00AA72F0">
          <w:rPr>
            <w:rFonts w:ascii="Microsoft Sans Serif" w:eastAsia="Microsoft Sans Serif" w:hAnsi="Microsoft Sans Serif" w:cs="Microsoft Sans Serif"/>
            <w:color w:val="0000FF"/>
            <w:sz w:val="22"/>
            <w:szCs w:val="22"/>
            <w:u w:val="single"/>
          </w:rPr>
          <w:t>abeach@foxrothschild.com</w:t>
        </w:r>
      </w:hyperlink>
    </w:p>
    <w:p w14:paraId="273D27EE" w14:textId="77777777" w:rsidR="00AA72F0" w:rsidRPr="00AA72F0" w:rsidRDefault="00AA72F0" w:rsidP="00AA72F0">
      <w:pPr>
        <w:autoSpaceDE/>
        <w:autoSpaceDN/>
        <w:rPr>
          <w:rFonts w:ascii="Microsoft Sans Serif" w:eastAsia="Microsoft Sans Serif" w:hAnsi="Microsoft Sans Serif" w:cs="Microsoft Sans Serif"/>
          <w:sz w:val="22"/>
          <w:szCs w:val="22"/>
        </w:rPr>
      </w:pPr>
      <w:r w:rsidRPr="00AA72F0">
        <w:rPr>
          <w:rFonts w:ascii="Microsoft Sans Serif" w:eastAsia="Microsoft Sans Serif" w:hAnsi="Microsoft Sans Serif" w:cs="Microsoft Sans Serif"/>
          <w:sz w:val="22"/>
          <w:szCs w:val="22"/>
        </w:rPr>
        <w:t>Accepts eService</w:t>
      </w:r>
      <w:r w:rsidRPr="00AA72F0">
        <w:rPr>
          <w:rFonts w:ascii="Microsoft Sans Serif" w:eastAsia="Microsoft Sans Serif" w:hAnsi="Microsoft Sans Serif" w:cs="Microsoft Sans Serif"/>
          <w:sz w:val="22"/>
          <w:szCs w:val="22"/>
        </w:rPr>
        <w:cr/>
      </w:r>
    </w:p>
    <w:p w14:paraId="70319539" w14:textId="77777777" w:rsidR="00AA72F0" w:rsidRPr="00AA72F0" w:rsidRDefault="00AA72F0" w:rsidP="00AA72F0">
      <w:pPr>
        <w:autoSpaceDE/>
        <w:autoSpaceDN/>
        <w:rPr>
          <w:rFonts w:ascii="Microsoft Sans Serif" w:eastAsia="Microsoft Sans Serif" w:hAnsi="Microsoft Sans Serif" w:cs="Microsoft Sans Serif"/>
          <w:sz w:val="22"/>
          <w:szCs w:val="22"/>
        </w:rPr>
      </w:pPr>
    </w:p>
    <w:p w14:paraId="39369BA7" w14:textId="77777777" w:rsidR="00AA72F0" w:rsidRPr="00AA72F0" w:rsidRDefault="00AA72F0" w:rsidP="00AA72F0">
      <w:pPr>
        <w:autoSpaceDE/>
        <w:autoSpaceDN/>
        <w:rPr>
          <w:rFonts w:ascii="Microsoft Sans Serif" w:eastAsia="Microsoft Sans Serif" w:hAnsi="Microsoft Sans Serif" w:cs="Microsoft Sans Serif"/>
          <w:sz w:val="22"/>
          <w:szCs w:val="22"/>
        </w:rPr>
      </w:pPr>
    </w:p>
    <w:p w14:paraId="7EFE1787" w14:textId="77777777" w:rsidR="00AA72F0" w:rsidRPr="00AA72F0" w:rsidRDefault="00AA72F0" w:rsidP="00AA72F0">
      <w:pPr>
        <w:autoSpaceDE/>
        <w:autoSpaceDN/>
        <w:rPr>
          <w:rFonts w:ascii="Microsoft Sans Serif" w:eastAsia="Microsoft Sans Serif" w:hAnsi="Microsoft Sans Serif" w:cs="Microsoft Sans Serif"/>
          <w:sz w:val="22"/>
          <w:szCs w:val="22"/>
          <w:u w:val="single"/>
        </w:rPr>
      </w:pPr>
      <w:r w:rsidRPr="00AA72F0">
        <w:rPr>
          <w:rFonts w:ascii="Microsoft Sans Serif" w:eastAsia="Microsoft Sans Serif" w:hAnsi="Microsoft Sans Serif" w:cs="Microsoft Sans Serif"/>
          <w:sz w:val="22"/>
          <w:szCs w:val="22"/>
        </w:rPr>
        <w:t>WHITNEY E. SNYDER ESQUIRE</w:t>
      </w:r>
      <w:r w:rsidRPr="00AA72F0">
        <w:rPr>
          <w:rFonts w:ascii="Microsoft Sans Serif" w:eastAsia="Microsoft Sans Serif" w:hAnsi="Microsoft Sans Serif" w:cs="Microsoft Sans Serif"/>
          <w:sz w:val="22"/>
          <w:szCs w:val="22"/>
        </w:rPr>
        <w:cr/>
        <w:t xml:space="preserve">THOMAS J. SNISCAK ESQUIRE </w:t>
      </w:r>
      <w:r w:rsidRPr="00AA72F0">
        <w:rPr>
          <w:rFonts w:ascii="Microsoft Sans Serif" w:eastAsia="Microsoft Sans Serif" w:hAnsi="Microsoft Sans Serif" w:cs="Microsoft Sans Serif"/>
          <w:sz w:val="22"/>
          <w:szCs w:val="22"/>
        </w:rPr>
        <w:br/>
        <w:t xml:space="preserve">BRYCE R. BEARD ESQUIRE </w:t>
      </w:r>
      <w:r w:rsidRPr="00AA72F0">
        <w:rPr>
          <w:rFonts w:ascii="Microsoft Sans Serif" w:eastAsia="Microsoft Sans Serif" w:hAnsi="Microsoft Sans Serif" w:cs="Microsoft Sans Serif"/>
          <w:sz w:val="22"/>
          <w:szCs w:val="22"/>
        </w:rPr>
        <w:br/>
        <w:t>KEVIN J. MCKEON ESQUIRE</w:t>
      </w:r>
      <w:r w:rsidRPr="00AA72F0">
        <w:rPr>
          <w:rFonts w:ascii="Microsoft Sans Serif" w:eastAsia="Microsoft Sans Serif" w:hAnsi="Microsoft Sans Serif" w:cs="Microsoft Sans Serif"/>
          <w:sz w:val="22"/>
          <w:szCs w:val="22"/>
        </w:rPr>
        <w:cr/>
        <w:t>HAWKE, MCKEON AND SNISCAK, LLP</w:t>
      </w:r>
      <w:r w:rsidRPr="00AA72F0">
        <w:rPr>
          <w:rFonts w:ascii="Microsoft Sans Serif" w:eastAsia="Microsoft Sans Serif" w:hAnsi="Microsoft Sans Serif" w:cs="Microsoft Sans Serif"/>
          <w:sz w:val="22"/>
          <w:szCs w:val="22"/>
        </w:rPr>
        <w:cr/>
        <w:t>100 N 10TH STREET</w:t>
      </w:r>
      <w:r w:rsidRPr="00AA72F0">
        <w:rPr>
          <w:rFonts w:ascii="Microsoft Sans Serif" w:eastAsia="Microsoft Sans Serif" w:hAnsi="Microsoft Sans Serif" w:cs="Microsoft Sans Serif"/>
          <w:sz w:val="22"/>
          <w:szCs w:val="22"/>
        </w:rPr>
        <w:cr/>
        <w:t>HARRISBURG PA  17101</w:t>
      </w:r>
      <w:r w:rsidRPr="00AA72F0">
        <w:rPr>
          <w:rFonts w:ascii="Microsoft Sans Serif" w:eastAsia="Microsoft Sans Serif" w:hAnsi="Microsoft Sans Serif" w:cs="Microsoft Sans Serif"/>
          <w:sz w:val="22"/>
          <w:szCs w:val="22"/>
        </w:rPr>
        <w:cr/>
      </w:r>
      <w:r w:rsidRPr="00AA72F0">
        <w:rPr>
          <w:rFonts w:ascii="Microsoft Sans Serif" w:eastAsia="Microsoft Sans Serif" w:hAnsi="Microsoft Sans Serif" w:cs="Microsoft Sans Serif"/>
          <w:b/>
          <w:bCs/>
          <w:sz w:val="22"/>
          <w:szCs w:val="22"/>
        </w:rPr>
        <w:t>717.236.1300</w:t>
      </w:r>
      <w:r w:rsidRPr="00AA72F0">
        <w:rPr>
          <w:rFonts w:ascii="Microsoft Sans Serif" w:eastAsia="Microsoft Sans Serif" w:hAnsi="Microsoft Sans Serif" w:cs="Microsoft Sans Serif"/>
          <w:b/>
          <w:bCs/>
          <w:sz w:val="22"/>
          <w:szCs w:val="22"/>
        </w:rPr>
        <w:cr/>
      </w:r>
      <w:hyperlink r:id="rId11" w:history="1">
        <w:r w:rsidRPr="00AA72F0">
          <w:rPr>
            <w:rFonts w:ascii="Microsoft Sans Serif" w:eastAsia="Microsoft Sans Serif" w:hAnsi="Microsoft Sans Serif" w:cs="Microsoft Sans Serif"/>
            <w:color w:val="0000FF"/>
            <w:sz w:val="22"/>
            <w:szCs w:val="22"/>
            <w:u w:val="single"/>
          </w:rPr>
          <w:t>wesnyder@hmslegal.com</w:t>
        </w:r>
      </w:hyperlink>
    </w:p>
    <w:p w14:paraId="74D98948" w14:textId="77777777" w:rsidR="00AA72F0" w:rsidRPr="00AA72F0" w:rsidRDefault="00AA72F0" w:rsidP="00AA72F0">
      <w:pPr>
        <w:autoSpaceDE/>
        <w:autoSpaceDN/>
        <w:rPr>
          <w:rFonts w:ascii="Microsoft Sans Serif" w:eastAsia="Microsoft Sans Serif" w:hAnsi="Microsoft Sans Serif" w:cs="Microsoft Sans Serif"/>
          <w:sz w:val="22"/>
          <w:szCs w:val="22"/>
          <w:u w:val="single"/>
        </w:rPr>
      </w:pPr>
      <w:hyperlink r:id="rId12" w:history="1">
        <w:r w:rsidRPr="00AA72F0">
          <w:rPr>
            <w:rFonts w:ascii="Microsoft Sans Serif" w:eastAsia="Microsoft Sans Serif" w:hAnsi="Microsoft Sans Serif" w:cs="Microsoft Sans Serif"/>
            <w:color w:val="0000FF"/>
            <w:sz w:val="22"/>
            <w:szCs w:val="22"/>
            <w:u w:val="single"/>
          </w:rPr>
          <w:t>tjsniscak@hmslegal.com</w:t>
        </w:r>
      </w:hyperlink>
    </w:p>
    <w:p w14:paraId="58747715" w14:textId="77777777" w:rsidR="00AA72F0" w:rsidRPr="00AA72F0" w:rsidRDefault="00AA72F0" w:rsidP="00AA72F0">
      <w:pPr>
        <w:autoSpaceDE/>
        <w:autoSpaceDN/>
        <w:rPr>
          <w:rFonts w:ascii="Microsoft Sans Serif" w:eastAsia="Microsoft Sans Serif" w:hAnsi="Microsoft Sans Serif" w:cs="Microsoft Sans Serif"/>
          <w:sz w:val="22"/>
          <w:szCs w:val="22"/>
          <w:u w:val="single"/>
        </w:rPr>
      </w:pPr>
      <w:hyperlink r:id="rId13" w:history="1">
        <w:r w:rsidRPr="00AA72F0">
          <w:rPr>
            <w:rFonts w:ascii="Microsoft Sans Serif" w:eastAsia="Microsoft Sans Serif" w:hAnsi="Microsoft Sans Serif" w:cs="Microsoft Sans Serif"/>
            <w:color w:val="0000FF"/>
            <w:sz w:val="22"/>
            <w:szCs w:val="22"/>
            <w:u w:val="single"/>
          </w:rPr>
          <w:t>brbeard@hmslegal.com</w:t>
        </w:r>
      </w:hyperlink>
    </w:p>
    <w:p w14:paraId="07093813" w14:textId="77777777" w:rsidR="00AA72F0" w:rsidRPr="00AA72F0" w:rsidRDefault="00AA72F0" w:rsidP="00AA72F0">
      <w:pPr>
        <w:autoSpaceDE/>
        <w:autoSpaceDN/>
        <w:rPr>
          <w:rFonts w:ascii="Microsoft Sans Serif" w:eastAsia="Microsoft Sans Serif" w:hAnsi="Microsoft Sans Serif" w:cs="Microsoft Sans Serif"/>
          <w:sz w:val="22"/>
          <w:szCs w:val="22"/>
        </w:rPr>
      </w:pPr>
      <w:hyperlink r:id="rId14" w:history="1">
        <w:r w:rsidRPr="00AA72F0">
          <w:rPr>
            <w:rFonts w:ascii="Microsoft Sans Serif" w:eastAsia="Microsoft Sans Serif" w:hAnsi="Microsoft Sans Serif" w:cs="Microsoft Sans Serif"/>
            <w:color w:val="0000FF"/>
            <w:sz w:val="22"/>
            <w:szCs w:val="22"/>
            <w:u w:val="single"/>
          </w:rPr>
          <w:t>kjmckeon@hmslegal.com</w:t>
        </w:r>
      </w:hyperlink>
    </w:p>
    <w:p w14:paraId="07B8E368" w14:textId="77777777" w:rsidR="00AA72F0" w:rsidRPr="00AA72F0" w:rsidRDefault="00AA72F0" w:rsidP="00AA72F0">
      <w:pPr>
        <w:autoSpaceDE/>
        <w:autoSpaceDN/>
        <w:rPr>
          <w:rFonts w:ascii="Microsoft Sans Serif" w:eastAsia="Microsoft Sans Serif" w:hAnsi="Microsoft Sans Serif" w:cs="Microsoft Sans Serif"/>
          <w:sz w:val="22"/>
          <w:szCs w:val="22"/>
        </w:rPr>
        <w:sectPr w:rsidR="00AA72F0" w:rsidRPr="00AA72F0" w:rsidSect="000C299C">
          <w:type w:val="continuous"/>
          <w:pgSz w:w="12240" w:h="15840"/>
          <w:pgMar w:top="1584" w:right="1440" w:bottom="1440" w:left="1440" w:header="720" w:footer="720" w:gutter="0"/>
          <w:cols w:num="2" w:space="720"/>
        </w:sectPr>
      </w:pPr>
      <w:r w:rsidRPr="00AA72F0">
        <w:rPr>
          <w:rFonts w:ascii="Microsoft Sans Serif" w:eastAsia="Microsoft Sans Serif" w:hAnsi="Microsoft Sans Serif" w:cs="Microsoft Sans Serif"/>
          <w:sz w:val="22"/>
          <w:szCs w:val="22"/>
        </w:rPr>
        <w:t xml:space="preserve"> Accepts eService </w:t>
      </w:r>
      <w:r w:rsidRPr="00AA72F0">
        <w:rPr>
          <w:rFonts w:ascii="Microsoft Sans Serif" w:eastAsia="Microsoft Sans Serif" w:hAnsi="Microsoft Sans Serif" w:cs="Microsoft Sans Serif"/>
          <w:sz w:val="22"/>
          <w:szCs w:val="22"/>
        </w:rPr>
        <w:cr/>
      </w:r>
    </w:p>
    <w:p w14:paraId="5AF8D097" w14:textId="77777777" w:rsidR="00AA72F0" w:rsidRPr="00AA72F0" w:rsidRDefault="00AA72F0" w:rsidP="00AA72F0">
      <w:pPr>
        <w:autoSpaceDE/>
        <w:autoSpaceDN/>
        <w:rPr>
          <w:rFonts w:ascii="Microsoft Sans Serif" w:eastAsia="Microsoft Sans Serif" w:hAnsi="Microsoft Sans Serif" w:cs="Microsoft Sans Serif"/>
          <w:sz w:val="22"/>
          <w:szCs w:val="22"/>
        </w:rPr>
      </w:pPr>
      <w:r w:rsidRPr="00AA72F0">
        <w:rPr>
          <w:rFonts w:ascii="Microsoft Sans Serif" w:eastAsia="Microsoft Sans Serif" w:hAnsi="Microsoft Sans Serif" w:cs="Microsoft Sans Serif"/>
          <w:sz w:val="22"/>
          <w:szCs w:val="22"/>
        </w:rPr>
        <w:t>DIANA A. SILVA ESQUIRE</w:t>
      </w:r>
      <w:r w:rsidRPr="00AA72F0">
        <w:rPr>
          <w:rFonts w:ascii="Microsoft Sans Serif" w:eastAsia="Microsoft Sans Serif" w:hAnsi="Microsoft Sans Serif" w:cs="Microsoft Sans Serif"/>
          <w:sz w:val="22"/>
          <w:szCs w:val="22"/>
        </w:rPr>
        <w:br/>
        <w:t>MANKO, GOLD, KATCHER &amp; FOX, LLP</w:t>
      </w:r>
      <w:r w:rsidRPr="00AA72F0">
        <w:rPr>
          <w:rFonts w:ascii="Microsoft Sans Serif" w:eastAsia="Microsoft Sans Serif" w:hAnsi="Microsoft Sans Serif" w:cs="Microsoft Sans Serif"/>
          <w:sz w:val="22"/>
          <w:szCs w:val="22"/>
        </w:rPr>
        <w:cr/>
        <w:t>401 CITY AVE</w:t>
      </w:r>
      <w:r w:rsidRPr="00AA72F0">
        <w:rPr>
          <w:rFonts w:ascii="Microsoft Sans Serif" w:eastAsia="Microsoft Sans Serif" w:hAnsi="Microsoft Sans Serif" w:cs="Microsoft Sans Serif"/>
          <w:sz w:val="22"/>
          <w:szCs w:val="22"/>
        </w:rPr>
        <w:cr/>
        <w:t>SUITE 901</w:t>
      </w:r>
      <w:r w:rsidRPr="00AA72F0">
        <w:rPr>
          <w:rFonts w:ascii="Microsoft Sans Serif" w:eastAsia="Microsoft Sans Serif" w:hAnsi="Microsoft Sans Serif" w:cs="Microsoft Sans Serif"/>
          <w:sz w:val="22"/>
          <w:szCs w:val="22"/>
        </w:rPr>
        <w:cr/>
        <w:t>BALA CYNWYD PA  19004</w:t>
      </w:r>
      <w:r w:rsidRPr="00AA72F0">
        <w:rPr>
          <w:rFonts w:ascii="Microsoft Sans Serif" w:eastAsia="Microsoft Sans Serif" w:hAnsi="Microsoft Sans Serif" w:cs="Microsoft Sans Serif"/>
          <w:sz w:val="22"/>
          <w:szCs w:val="22"/>
        </w:rPr>
        <w:cr/>
      </w:r>
      <w:r w:rsidRPr="00AA72F0">
        <w:rPr>
          <w:rFonts w:ascii="Microsoft Sans Serif" w:eastAsia="Microsoft Sans Serif" w:hAnsi="Microsoft Sans Serif" w:cs="Microsoft Sans Serif"/>
          <w:b/>
          <w:bCs/>
          <w:sz w:val="22"/>
          <w:szCs w:val="22"/>
        </w:rPr>
        <w:t>484.430.2347</w:t>
      </w:r>
      <w:r w:rsidRPr="00AA72F0">
        <w:rPr>
          <w:rFonts w:ascii="Microsoft Sans Serif" w:eastAsia="Microsoft Sans Serif" w:hAnsi="Microsoft Sans Serif" w:cs="Microsoft Sans Serif"/>
          <w:sz w:val="22"/>
          <w:szCs w:val="22"/>
        </w:rPr>
        <w:cr/>
      </w:r>
      <w:hyperlink r:id="rId15" w:history="1">
        <w:r w:rsidRPr="00AA72F0">
          <w:rPr>
            <w:rFonts w:ascii="Microsoft Sans Serif" w:eastAsia="Microsoft Sans Serif" w:hAnsi="Microsoft Sans Serif" w:cs="Microsoft Sans Serif"/>
            <w:color w:val="0000FF"/>
            <w:sz w:val="22"/>
            <w:szCs w:val="22"/>
            <w:u w:val="single"/>
          </w:rPr>
          <w:t>dsilva@mankogold.com</w:t>
        </w:r>
      </w:hyperlink>
    </w:p>
    <w:p w14:paraId="16671975" w14:textId="77777777" w:rsidR="00AA72F0" w:rsidRPr="00AA72F0" w:rsidRDefault="00AA72F0" w:rsidP="00AA72F0">
      <w:pPr>
        <w:autoSpaceDE/>
        <w:autoSpaceDN/>
        <w:rPr>
          <w:rFonts w:ascii="Microsoft Sans Serif" w:hAnsi="Microsoft Sans Serif" w:cs="Microsoft Sans Serif"/>
          <w:sz w:val="22"/>
          <w:szCs w:val="22"/>
        </w:rPr>
      </w:pPr>
      <w:r w:rsidRPr="00AA72F0">
        <w:rPr>
          <w:rFonts w:ascii="Microsoft Sans Serif" w:eastAsia="Microsoft Sans Serif" w:hAnsi="Microsoft Sans Serif" w:cs="Microsoft Sans Serif"/>
          <w:sz w:val="22"/>
          <w:szCs w:val="22"/>
        </w:rPr>
        <w:t>Accepts eService</w:t>
      </w:r>
    </w:p>
    <w:p w14:paraId="0C4866DD" w14:textId="77777777" w:rsidR="00AA72F0" w:rsidRPr="00AA72F0" w:rsidRDefault="00AA72F0" w:rsidP="00AA72F0">
      <w:pPr>
        <w:autoSpaceDE/>
        <w:autoSpaceDN/>
        <w:rPr>
          <w:rFonts w:ascii="Microsoft Sans Serif" w:eastAsia="Microsoft Sans Serif" w:hAnsi="Microsoft Sans Serif" w:cs="Microsoft Sans Serif"/>
          <w:szCs w:val="20"/>
        </w:rPr>
      </w:pPr>
    </w:p>
    <w:p w14:paraId="509ED917" w14:textId="77777777" w:rsidR="00AA72F0" w:rsidRPr="00AA72F0" w:rsidRDefault="00AA72F0" w:rsidP="00AA72F0">
      <w:pPr>
        <w:autoSpaceDE/>
        <w:autoSpaceDN/>
        <w:rPr>
          <w:rFonts w:ascii="Microsoft Sans Serif" w:eastAsia="Microsoft Sans Serif" w:hAnsi="Microsoft Sans Serif" w:cs="Microsoft Sans Serif"/>
          <w:szCs w:val="20"/>
        </w:rPr>
      </w:pPr>
    </w:p>
    <w:p w14:paraId="78FB3905" w14:textId="77777777" w:rsidR="00AA72F0" w:rsidRPr="00AA72F0" w:rsidRDefault="00AA72F0" w:rsidP="00AA72F0">
      <w:pPr>
        <w:autoSpaceDE/>
        <w:autoSpaceDN/>
        <w:rPr>
          <w:rFonts w:ascii="Microsoft Sans Serif" w:eastAsia="Microsoft Sans Serif" w:hAnsi="Microsoft Sans Serif" w:cs="Microsoft Sans Serif"/>
          <w:sz w:val="22"/>
          <w:szCs w:val="22"/>
        </w:rPr>
      </w:pPr>
      <w:r w:rsidRPr="00AA72F0">
        <w:rPr>
          <w:rFonts w:ascii="Microsoft Sans Serif" w:eastAsia="Microsoft Sans Serif" w:hAnsi="Microsoft Sans Serif" w:cs="Microsoft Sans Serif"/>
          <w:sz w:val="22"/>
          <w:szCs w:val="22"/>
        </w:rPr>
        <w:t>ASHLEY L. BEACH</w:t>
      </w:r>
      <w:r w:rsidRPr="00AA72F0">
        <w:rPr>
          <w:rFonts w:ascii="Microsoft Sans Serif" w:eastAsia="Microsoft Sans Serif" w:hAnsi="Microsoft Sans Serif" w:cs="Microsoft Sans Serif"/>
          <w:sz w:val="22"/>
          <w:szCs w:val="22"/>
        </w:rPr>
        <w:cr/>
        <w:t>FOX ROTHSCHILD, LLP</w:t>
      </w:r>
      <w:r w:rsidRPr="00AA72F0">
        <w:rPr>
          <w:rFonts w:ascii="Microsoft Sans Serif" w:eastAsia="Microsoft Sans Serif" w:hAnsi="Microsoft Sans Serif" w:cs="Microsoft Sans Serif"/>
          <w:sz w:val="22"/>
          <w:szCs w:val="22"/>
        </w:rPr>
        <w:cr/>
        <w:t>747 CONSTITUTION DRIVE, SUITE 100</w:t>
      </w:r>
      <w:r w:rsidRPr="00AA72F0">
        <w:rPr>
          <w:rFonts w:ascii="Microsoft Sans Serif" w:eastAsia="Microsoft Sans Serif" w:hAnsi="Microsoft Sans Serif" w:cs="Microsoft Sans Serif"/>
          <w:sz w:val="22"/>
          <w:szCs w:val="22"/>
        </w:rPr>
        <w:cr/>
        <w:t>EXTON PA  19341</w:t>
      </w:r>
      <w:r w:rsidRPr="00AA72F0">
        <w:rPr>
          <w:rFonts w:ascii="Microsoft Sans Serif" w:eastAsia="Microsoft Sans Serif" w:hAnsi="Microsoft Sans Serif" w:cs="Microsoft Sans Serif"/>
          <w:sz w:val="22"/>
          <w:szCs w:val="22"/>
        </w:rPr>
        <w:cr/>
      </w:r>
      <w:r w:rsidRPr="00AA72F0">
        <w:rPr>
          <w:rFonts w:ascii="Microsoft Sans Serif" w:eastAsia="Microsoft Sans Serif" w:hAnsi="Microsoft Sans Serif" w:cs="Microsoft Sans Serif"/>
          <w:b/>
          <w:bCs/>
          <w:sz w:val="22"/>
          <w:szCs w:val="22"/>
        </w:rPr>
        <w:t>610.458.7500</w:t>
      </w:r>
      <w:r w:rsidRPr="00AA72F0">
        <w:rPr>
          <w:rFonts w:ascii="Microsoft Sans Serif" w:eastAsia="Microsoft Sans Serif" w:hAnsi="Microsoft Sans Serif" w:cs="Microsoft Sans Serif"/>
          <w:sz w:val="22"/>
          <w:szCs w:val="22"/>
        </w:rPr>
        <w:cr/>
      </w:r>
      <w:hyperlink r:id="rId16" w:history="1">
        <w:r w:rsidRPr="00AA72F0">
          <w:rPr>
            <w:rFonts w:ascii="Microsoft Sans Serif" w:eastAsia="Microsoft Sans Serif" w:hAnsi="Microsoft Sans Serif" w:cs="Microsoft Sans Serif"/>
            <w:color w:val="0000FF"/>
            <w:sz w:val="22"/>
            <w:szCs w:val="22"/>
            <w:u w:val="single"/>
          </w:rPr>
          <w:t>abeach@foxrothschild.com</w:t>
        </w:r>
      </w:hyperlink>
    </w:p>
    <w:p w14:paraId="58C763B6" w14:textId="77777777" w:rsidR="00AA72F0" w:rsidRPr="00AA72F0" w:rsidRDefault="00AA72F0" w:rsidP="00AA72F0">
      <w:pPr>
        <w:autoSpaceDE/>
        <w:autoSpaceDN/>
        <w:rPr>
          <w:rFonts w:ascii="Times New Roman" w:hAnsi="Times New Roman" w:cs="Times New Roman"/>
          <w:sz w:val="22"/>
          <w:szCs w:val="22"/>
        </w:rPr>
      </w:pPr>
      <w:r w:rsidRPr="00AA72F0">
        <w:rPr>
          <w:rFonts w:ascii="Microsoft Sans Serif" w:eastAsia="Microsoft Sans Serif" w:hAnsi="Microsoft Sans Serif" w:cs="Microsoft Sans Serif"/>
          <w:sz w:val="22"/>
          <w:szCs w:val="22"/>
        </w:rPr>
        <w:t>Accepts eService</w:t>
      </w:r>
      <w:r w:rsidRPr="00AA72F0">
        <w:rPr>
          <w:rFonts w:ascii="Microsoft Sans Serif" w:eastAsia="Microsoft Sans Serif" w:hAnsi="Microsoft Sans Serif" w:cs="Microsoft Sans Serif"/>
          <w:sz w:val="22"/>
          <w:szCs w:val="22"/>
        </w:rPr>
        <w:cr/>
      </w:r>
    </w:p>
    <w:p w14:paraId="7449105C" w14:textId="77777777" w:rsidR="00AA72F0" w:rsidRPr="00AA72F0" w:rsidRDefault="00AA72F0" w:rsidP="00AA72F0">
      <w:pPr>
        <w:autoSpaceDE/>
        <w:autoSpaceDN/>
        <w:rPr>
          <w:rFonts w:ascii="Times New Roman" w:hAnsi="Times New Roman" w:cs="Times New Roman"/>
          <w:sz w:val="22"/>
          <w:szCs w:val="22"/>
        </w:rPr>
      </w:pPr>
    </w:p>
    <w:p w14:paraId="245F6CFC" w14:textId="3AB11AE9" w:rsidR="000058F5" w:rsidRDefault="00AA72F0"/>
    <w:sectPr w:rsidR="000058F5" w:rsidSect="000C299C">
      <w:type w:val="continuous"/>
      <w:pgSz w:w="12240" w:h="15840"/>
      <w:pgMar w:top="1584" w:right="1440" w:bottom="1440" w:left="1440"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A2309" w14:textId="77777777" w:rsidR="005F5CFF" w:rsidRDefault="005F5CFF">
      <w:r>
        <w:separator/>
      </w:r>
    </w:p>
  </w:endnote>
  <w:endnote w:type="continuationSeparator" w:id="0">
    <w:p w14:paraId="1C7540EF" w14:textId="77777777" w:rsidR="005F5CFF" w:rsidRDefault="005F5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9B8D0" w14:textId="77777777" w:rsidR="00A76645" w:rsidRPr="00C9263E" w:rsidRDefault="002310D1">
    <w:pPr>
      <w:pStyle w:val="Footer"/>
      <w:jc w:val="center"/>
      <w:rPr>
        <w:rFonts w:ascii="Times New Roman" w:hAnsi="Times New Roman" w:cs="Times New Roman"/>
        <w:sz w:val="20"/>
        <w:szCs w:val="20"/>
      </w:rPr>
    </w:pPr>
    <w:r w:rsidRPr="00C9263E">
      <w:rPr>
        <w:rFonts w:ascii="Times New Roman" w:hAnsi="Times New Roman" w:cs="Times New Roman"/>
        <w:sz w:val="20"/>
        <w:szCs w:val="20"/>
      </w:rPr>
      <w:fldChar w:fldCharType="begin"/>
    </w:r>
    <w:r w:rsidRPr="00C9263E">
      <w:rPr>
        <w:rFonts w:ascii="Times New Roman" w:hAnsi="Times New Roman" w:cs="Times New Roman"/>
        <w:sz w:val="20"/>
        <w:szCs w:val="20"/>
      </w:rPr>
      <w:instrText xml:space="preserve"> PAGE   \* MERGEFORMAT </w:instrText>
    </w:r>
    <w:r w:rsidRPr="00C9263E">
      <w:rPr>
        <w:rFonts w:ascii="Times New Roman" w:hAnsi="Times New Roman" w:cs="Times New Roman"/>
        <w:sz w:val="20"/>
        <w:szCs w:val="20"/>
      </w:rPr>
      <w:fldChar w:fldCharType="separate"/>
    </w:r>
    <w:r>
      <w:rPr>
        <w:rFonts w:ascii="Times New Roman" w:hAnsi="Times New Roman" w:cs="Times New Roman"/>
        <w:noProof/>
        <w:sz w:val="20"/>
        <w:szCs w:val="20"/>
      </w:rPr>
      <w:t>4</w:t>
    </w:r>
    <w:r w:rsidRPr="00C9263E">
      <w:rPr>
        <w:rFonts w:ascii="Times New Roman" w:hAnsi="Times New Roman" w:cs="Times New Roman"/>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C941B" w14:textId="595A85D5" w:rsidR="00AA72F0" w:rsidRPr="00AA72F0" w:rsidRDefault="00AA72F0" w:rsidP="00AA72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C3EDC" w14:textId="77777777" w:rsidR="005F5CFF" w:rsidRDefault="005F5CFF">
      <w:r>
        <w:separator/>
      </w:r>
    </w:p>
  </w:footnote>
  <w:footnote w:type="continuationSeparator" w:id="0">
    <w:p w14:paraId="51696B84" w14:textId="77777777" w:rsidR="005F5CFF" w:rsidRDefault="005F5C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87E830A"/>
    <w:lvl w:ilvl="0">
      <w:start w:val="1"/>
      <w:numFmt w:val="decimal"/>
      <w:pStyle w:val="ListNumber"/>
      <w:lvlText w:val="%1."/>
      <w:lvlJc w:val="left"/>
      <w:pPr>
        <w:tabs>
          <w:tab w:val="num" w:pos="1440"/>
        </w:tabs>
        <w:ind w:left="1440" w:hanging="720"/>
      </w:pPr>
      <w:rPr>
        <w:rFonts w:hint="default"/>
      </w:rPr>
    </w:lvl>
  </w:abstractNum>
  <w:abstractNum w:abstractNumId="1" w15:restartNumberingAfterBreak="0">
    <w:nsid w:val="5A6634D9"/>
    <w:multiLevelType w:val="hybridMultilevel"/>
    <w:tmpl w:val="59FEBF18"/>
    <w:lvl w:ilvl="0" w:tplc="23025154">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lvlOverride w:ilvl="0">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9EC"/>
    <w:rsid w:val="00033011"/>
    <w:rsid w:val="0004510D"/>
    <w:rsid w:val="000624F1"/>
    <w:rsid w:val="00063821"/>
    <w:rsid w:val="000679EC"/>
    <w:rsid w:val="000800C6"/>
    <w:rsid w:val="00086583"/>
    <w:rsid w:val="000957F4"/>
    <w:rsid w:val="000A1C23"/>
    <w:rsid w:val="000C21F1"/>
    <w:rsid w:val="000D366A"/>
    <w:rsid w:val="000F7F71"/>
    <w:rsid w:val="00101C56"/>
    <w:rsid w:val="00125149"/>
    <w:rsid w:val="001446C4"/>
    <w:rsid w:val="001447F9"/>
    <w:rsid w:val="00166DAF"/>
    <w:rsid w:val="00166DF6"/>
    <w:rsid w:val="00183000"/>
    <w:rsid w:val="00184EF3"/>
    <w:rsid w:val="001A20CA"/>
    <w:rsid w:val="001A6A9A"/>
    <w:rsid w:val="001D1B5F"/>
    <w:rsid w:val="001E7709"/>
    <w:rsid w:val="00201198"/>
    <w:rsid w:val="00205897"/>
    <w:rsid w:val="002179F9"/>
    <w:rsid w:val="002200A9"/>
    <w:rsid w:val="002310D1"/>
    <w:rsid w:val="00242007"/>
    <w:rsid w:val="00251820"/>
    <w:rsid w:val="00256748"/>
    <w:rsid w:val="0029010E"/>
    <w:rsid w:val="002A2EA5"/>
    <w:rsid w:val="002A2F7A"/>
    <w:rsid w:val="002A3B9D"/>
    <w:rsid w:val="002D3FAA"/>
    <w:rsid w:val="002F62DB"/>
    <w:rsid w:val="00334A62"/>
    <w:rsid w:val="00335221"/>
    <w:rsid w:val="00357AE9"/>
    <w:rsid w:val="00362454"/>
    <w:rsid w:val="003705EB"/>
    <w:rsid w:val="00384677"/>
    <w:rsid w:val="003D3838"/>
    <w:rsid w:val="003E78CE"/>
    <w:rsid w:val="0040403E"/>
    <w:rsid w:val="00455326"/>
    <w:rsid w:val="00470508"/>
    <w:rsid w:val="00476E89"/>
    <w:rsid w:val="00485C0E"/>
    <w:rsid w:val="004B4073"/>
    <w:rsid w:val="004C52E4"/>
    <w:rsid w:val="004D3226"/>
    <w:rsid w:val="004E288D"/>
    <w:rsid w:val="004F3369"/>
    <w:rsid w:val="004F3FA4"/>
    <w:rsid w:val="004F6D7C"/>
    <w:rsid w:val="0050447B"/>
    <w:rsid w:val="005064DC"/>
    <w:rsid w:val="00535856"/>
    <w:rsid w:val="00590C42"/>
    <w:rsid w:val="00596633"/>
    <w:rsid w:val="005C1FD3"/>
    <w:rsid w:val="005E00E9"/>
    <w:rsid w:val="005F5CFF"/>
    <w:rsid w:val="00642896"/>
    <w:rsid w:val="006524FE"/>
    <w:rsid w:val="00663228"/>
    <w:rsid w:val="006639DF"/>
    <w:rsid w:val="00686E35"/>
    <w:rsid w:val="006A3AE8"/>
    <w:rsid w:val="006B08F7"/>
    <w:rsid w:val="006B6942"/>
    <w:rsid w:val="0070718D"/>
    <w:rsid w:val="007118AE"/>
    <w:rsid w:val="00743F89"/>
    <w:rsid w:val="00764EB5"/>
    <w:rsid w:val="00767C49"/>
    <w:rsid w:val="00772F1B"/>
    <w:rsid w:val="00780D35"/>
    <w:rsid w:val="00792F65"/>
    <w:rsid w:val="007A7A68"/>
    <w:rsid w:val="007B4F62"/>
    <w:rsid w:val="007C4E3F"/>
    <w:rsid w:val="007D01B8"/>
    <w:rsid w:val="007D1F94"/>
    <w:rsid w:val="008211D2"/>
    <w:rsid w:val="008265C6"/>
    <w:rsid w:val="00841906"/>
    <w:rsid w:val="00841F15"/>
    <w:rsid w:val="00842C8A"/>
    <w:rsid w:val="00844FF7"/>
    <w:rsid w:val="008708A2"/>
    <w:rsid w:val="0087760B"/>
    <w:rsid w:val="00884A3A"/>
    <w:rsid w:val="00886A56"/>
    <w:rsid w:val="008B7876"/>
    <w:rsid w:val="00905FB3"/>
    <w:rsid w:val="00923500"/>
    <w:rsid w:val="009411D1"/>
    <w:rsid w:val="009516A5"/>
    <w:rsid w:val="00982E7E"/>
    <w:rsid w:val="009A307C"/>
    <w:rsid w:val="009E2EA6"/>
    <w:rsid w:val="00A16E0E"/>
    <w:rsid w:val="00A21DE0"/>
    <w:rsid w:val="00A2297F"/>
    <w:rsid w:val="00A311AB"/>
    <w:rsid w:val="00A3782F"/>
    <w:rsid w:val="00A44498"/>
    <w:rsid w:val="00A44B04"/>
    <w:rsid w:val="00A47BFE"/>
    <w:rsid w:val="00A56AB5"/>
    <w:rsid w:val="00A633F0"/>
    <w:rsid w:val="00A70704"/>
    <w:rsid w:val="00AA72F0"/>
    <w:rsid w:val="00AC737F"/>
    <w:rsid w:val="00B3344E"/>
    <w:rsid w:val="00B4330A"/>
    <w:rsid w:val="00B81E39"/>
    <w:rsid w:val="00B93833"/>
    <w:rsid w:val="00BA3EC3"/>
    <w:rsid w:val="00BB52D3"/>
    <w:rsid w:val="00BB6195"/>
    <w:rsid w:val="00BD6C02"/>
    <w:rsid w:val="00C1279F"/>
    <w:rsid w:val="00C35532"/>
    <w:rsid w:val="00C361ED"/>
    <w:rsid w:val="00C467D4"/>
    <w:rsid w:val="00C7451A"/>
    <w:rsid w:val="00C82433"/>
    <w:rsid w:val="00C92F9C"/>
    <w:rsid w:val="00C96798"/>
    <w:rsid w:val="00CB586B"/>
    <w:rsid w:val="00CE4B5B"/>
    <w:rsid w:val="00CE54F9"/>
    <w:rsid w:val="00CF26BD"/>
    <w:rsid w:val="00CF48C8"/>
    <w:rsid w:val="00D17078"/>
    <w:rsid w:val="00D41FE4"/>
    <w:rsid w:val="00D51962"/>
    <w:rsid w:val="00D70D77"/>
    <w:rsid w:val="00D87E17"/>
    <w:rsid w:val="00DA2C1E"/>
    <w:rsid w:val="00DA5878"/>
    <w:rsid w:val="00DB1B02"/>
    <w:rsid w:val="00DC7C87"/>
    <w:rsid w:val="00DD49EC"/>
    <w:rsid w:val="00E85168"/>
    <w:rsid w:val="00E9308B"/>
    <w:rsid w:val="00EB4757"/>
    <w:rsid w:val="00EB7A33"/>
    <w:rsid w:val="00EC4964"/>
    <w:rsid w:val="00ED313D"/>
    <w:rsid w:val="00ED7A7C"/>
    <w:rsid w:val="00EE07F5"/>
    <w:rsid w:val="00EE2C5E"/>
    <w:rsid w:val="00EE49D8"/>
    <w:rsid w:val="00F020AB"/>
    <w:rsid w:val="00F35AC3"/>
    <w:rsid w:val="00F54866"/>
    <w:rsid w:val="00F61556"/>
    <w:rsid w:val="00F91C47"/>
    <w:rsid w:val="00F92B9C"/>
    <w:rsid w:val="00F96DC2"/>
    <w:rsid w:val="00FB5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B563F"/>
  <w15:chartTrackingRefBased/>
  <w15:docId w15:val="{DF4AC0D7-34AF-4014-A6CF-CAB0CFBAB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9EC"/>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DD49EC"/>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DD49EC"/>
    <w:pPr>
      <w:tabs>
        <w:tab w:val="center" w:pos="4320"/>
        <w:tab w:val="right" w:pos="8640"/>
      </w:tabs>
    </w:pPr>
  </w:style>
  <w:style w:type="character" w:customStyle="1" w:styleId="FooterChar">
    <w:name w:val="Footer Char"/>
    <w:basedOn w:val="DefaultParagraphFont"/>
    <w:link w:val="Footer"/>
    <w:uiPriority w:val="99"/>
    <w:rsid w:val="00DD49EC"/>
    <w:rPr>
      <w:rFonts w:ascii="CG Times" w:eastAsia="Times New Roman" w:hAnsi="CG Times" w:cs="CG Times"/>
      <w:sz w:val="24"/>
      <w:szCs w:val="24"/>
    </w:rPr>
  </w:style>
  <w:style w:type="paragraph" w:styleId="ListNumber">
    <w:name w:val="List Number"/>
    <w:basedOn w:val="Normal"/>
    <w:qFormat/>
    <w:rsid w:val="00DD49EC"/>
    <w:pPr>
      <w:numPr>
        <w:numId w:val="1"/>
      </w:numPr>
      <w:tabs>
        <w:tab w:val="clear" w:pos="1440"/>
        <w:tab w:val="num" w:pos="360"/>
      </w:tabs>
      <w:autoSpaceDE/>
      <w:autoSpaceDN/>
      <w:spacing w:after="240"/>
      <w:ind w:left="0" w:firstLine="0"/>
      <w:jc w:val="both"/>
    </w:pPr>
    <w:rPr>
      <w:rFonts w:ascii="Times New Roman" w:hAnsi="Times New Roman" w:cs="Times New Roman"/>
    </w:rPr>
  </w:style>
  <w:style w:type="paragraph" w:customStyle="1" w:styleId="Style">
    <w:name w:val="Style"/>
    <w:rsid w:val="00DD49E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D49EC"/>
    <w:pPr>
      <w:ind w:left="720"/>
      <w:contextualSpacing/>
    </w:pPr>
  </w:style>
  <w:style w:type="table" w:styleId="TableGrid">
    <w:name w:val="Table Grid"/>
    <w:basedOn w:val="TableNormal"/>
    <w:uiPriority w:val="39"/>
    <w:rsid w:val="00DD49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7C4E3F"/>
    <w:pPr>
      <w:widowControl w:val="0"/>
    </w:pPr>
    <w:rPr>
      <w:rFonts w:ascii="Times New Roman" w:hAnsi="Times New Roman" w:cs="Times New Roman"/>
      <w:sz w:val="23"/>
      <w:szCs w:val="23"/>
    </w:rPr>
  </w:style>
  <w:style w:type="character" w:customStyle="1" w:styleId="BodyTextChar">
    <w:name w:val="Body Text Char"/>
    <w:basedOn w:val="DefaultParagraphFont"/>
    <w:link w:val="BodyText"/>
    <w:uiPriority w:val="1"/>
    <w:rsid w:val="007C4E3F"/>
    <w:rPr>
      <w:rFonts w:ascii="Times New Roman" w:eastAsia="Times New Roman" w:hAnsi="Times New Roman" w:cs="Times New Roman"/>
      <w:sz w:val="23"/>
      <w:szCs w:val="23"/>
    </w:rPr>
  </w:style>
  <w:style w:type="paragraph" w:styleId="Header">
    <w:name w:val="header"/>
    <w:basedOn w:val="Normal"/>
    <w:link w:val="HeaderChar"/>
    <w:uiPriority w:val="99"/>
    <w:unhideWhenUsed/>
    <w:rsid w:val="007C4E3F"/>
    <w:pPr>
      <w:widowControl w:val="0"/>
      <w:tabs>
        <w:tab w:val="center" w:pos="4680"/>
        <w:tab w:val="right" w:pos="9360"/>
      </w:tabs>
    </w:pPr>
    <w:rPr>
      <w:rFonts w:ascii="Times New Roman" w:hAnsi="Times New Roman" w:cs="Times New Roman"/>
      <w:sz w:val="22"/>
      <w:szCs w:val="22"/>
    </w:rPr>
  </w:style>
  <w:style w:type="character" w:customStyle="1" w:styleId="HeaderChar">
    <w:name w:val="Header Char"/>
    <w:basedOn w:val="DefaultParagraphFont"/>
    <w:link w:val="Header"/>
    <w:uiPriority w:val="99"/>
    <w:rsid w:val="007C4E3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mailto:brbeard@hmslegal.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tjsniscak@hmslegal.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abeach@foxrothschild.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esnyder@hmslegal.com" TargetMode="External"/><Relationship Id="rId5" Type="http://schemas.openxmlformats.org/officeDocument/2006/relationships/footnotes" Target="footnotes.xml"/><Relationship Id="rId15" Type="http://schemas.openxmlformats.org/officeDocument/2006/relationships/hyperlink" Target="mailto:dsilva@mankogold.com" TargetMode="External"/><Relationship Id="rId10" Type="http://schemas.openxmlformats.org/officeDocument/2006/relationships/hyperlink" Target="mailto:abeach@foxrothschild.com" TargetMode="External"/><Relationship Id="rId4" Type="http://schemas.openxmlformats.org/officeDocument/2006/relationships/webSettings" Target="webSettings.xml"/><Relationship Id="rId9" Type="http://schemas.openxmlformats.org/officeDocument/2006/relationships/hyperlink" Target="mailto:scortes@foxrothschild.com" TargetMode="External"/><Relationship Id="rId14" Type="http://schemas.openxmlformats.org/officeDocument/2006/relationships/hyperlink" Target="mailto:kjmckeon@hmsleg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4131</Words>
  <Characters>23553</Characters>
  <Application>Microsoft Office Word</Application>
  <DocSecurity>4</DocSecurity>
  <Lines>196</Lines>
  <Paragraphs>55</Paragraphs>
  <ScaleCrop>false</ScaleCrop>
  <Company/>
  <LinksUpToDate>false</LinksUpToDate>
  <CharactersWithSpaces>27629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Cheskis, Joel</dc:creator>
  <cp:keywords/>
  <dc:description/>
  <cp:lastModifiedBy>Williams, Bobbie Jo</cp:lastModifiedBy>
  <cp:revision>2</cp:revision>
  <dcterms:created xsi:type="dcterms:W3CDTF">2021-05-28T17:00:00Z</dcterms:created>
  <dcterms:modified xsi:type="dcterms:W3CDTF">2021-05-28T17:00:00Z</dcterms:modified>
</cp:coreProperties>
</file>