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017C" w14:textId="77777777" w:rsidR="00E33E23" w:rsidRPr="00AF2A5C" w:rsidRDefault="00E33E23" w:rsidP="00E33E23">
      <w:pPr>
        <w:widowControl/>
        <w:tabs>
          <w:tab w:val="center" w:pos="4680"/>
        </w:tabs>
        <w:suppressAutoHyphens/>
        <w:jc w:val="center"/>
        <w:rPr>
          <w:b/>
          <w:sz w:val="26"/>
          <w:szCs w:val="26"/>
        </w:rPr>
      </w:pPr>
      <w:bookmarkStart w:id="0" w:name="_Hlk70322942"/>
      <w:r w:rsidRPr="00AF2A5C">
        <w:rPr>
          <w:b/>
          <w:sz w:val="26"/>
          <w:szCs w:val="26"/>
        </w:rPr>
        <w:t>PENNSYLVANIA</w:t>
      </w:r>
    </w:p>
    <w:p w14:paraId="67A0BB66" w14:textId="77777777" w:rsidR="00E33E23" w:rsidRPr="00AF2A5C" w:rsidRDefault="00E33E23" w:rsidP="00E33E23">
      <w:pPr>
        <w:widowControl/>
        <w:tabs>
          <w:tab w:val="center" w:pos="4680"/>
        </w:tabs>
        <w:suppressAutoHyphens/>
        <w:jc w:val="center"/>
        <w:rPr>
          <w:sz w:val="26"/>
          <w:szCs w:val="26"/>
        </w:rPr>
      </w:pPr>
      <w:r w:rsidRPr="00AF2A5C">
        <w:rPr>
          <w:b/>
          <w:sz w:val="26"/>
          <w:szCs w:val="26"/>
        </w:rPr>
        <w:t>PUBLIC UTILITY COMMISSION</w:t>
      </w:r>
    </w:p>
    <w:p w14:paraId="1C423197" w14:textId="77777777" w:rsidR="00E33E23" w:rsidRPr="00AF2A5C" w:rsidRDefault="00E33E23" w:rsidP="00E33E23">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32753929" w14:textId="77777777" w:rsidR="00E33E23" w:rsidRDefault="00E33E23" w:rsidP="00E33E23">
      <w:pPr>
        <w:widowControl/>
        <w:tabs>
          <w:tab w:val="left" w:pos="-720"/>
        </w:tabs>
        <w:suppressAutoHyphens/>
        <w:rPr>
          <w:sz w:val="26"/>
          <w:szCs w:val="26"/>
        </w:rPr>
      </w:pPr>
    </w:p>
    <w:p w14:paraId="561EA26D" w14:textId="77777777" w:rsidR="00E33E23" w:rsidRPr="00AF2A5C" w:rsidRDefault="00E33E23" w:rsidP="00E33E23">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E33E23" w:rsidRPr="00AF2A5C" w14:paraId="7B493F94" w14:textId="77777777" w:rsidTr="00120BD5">
        <w:tc>
          <w:tcPr>
            <w:tcW w:w="4819" w:type="dxa"/>
          </w:tcPr>
          <w:p w14:paraId="704A02D7" w14:textId="77777777" w:rsidR="00E33E23" w:rsidRPr="00933E11" w:rsidRDefault="00E33E23" w:rsidP="00120BD5">
            <w:pPr>
              <w:widowControl/>
              <w:rPr>
                <w:rFonts w:ascii="Times New Roman" w:hAnsi="Times New Roman" w:cs="Times New Roman"/>
                <w:sz w:val="26"/>
                <w:szCs w:val="26"/>
              </w:rPr>
            </w:pPr>
          </w:p>
        </w:tc>
        <w:tc>
          <w:tcPr>
            <w:tcW w:w="4541" w:type="dxa"/>
            <w:hideMark/>
          </w:tcPr>
          <w:p w14:paraId="625BEABD" w14:textId="694F8257" w:rsidR="00E33E23" w:rsidRPr="00BA522F" w:rsidRDefault="00E33E23" w:rsidP="00120BD5">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May</w:t>
            </w:r>
            <w:r w:rsidRPr="00BA522F">
              <w:rPr>
                <w:rFonts w:ascii="Times New Roman" w:hAnsi="Times New Roman" w:cs="Times New Roman"/>
                <w:sz w:val="26"/>
                <w:szCs w:val="26"/>
              </w:rPr>
              <w:t xml:space="preserve"> </w:t>
            </w:r>
            <w:r w:rsidR="008508DF">
              <w:rPr>
                <w:rFonts w:ascii="Times New Roman" w:hAnsi="Times New Roman" w:cs="Times New Roman"/>
                <w:sz w:val="26"/>
                <w:szCs w:val="26"/>
              </w:rPr>
              <w:t>20</w:t>
            </w:r>
            <w:r w:rsidRPr="00BA522F">
              <w:rPr>
                <w:rFonts w:ascii="Times New Roman" w:hAnsi="Times New Roman" w:cs="Times New Roman"/>
                <w:sz w:val="26"/>
                <w:szCs w:val="26"/>
              </w:rPr>
              <w:t>, 2021</w:t>
            </w:r>
          </w:p>
        </w:tc>
      </w:tr>
      <w:tr w:rsidR="00E33E23" w:rsidRPr="00AF2A5C" w14:paraId="778B079F" w14:textId="77777777" w:rsidTr="00120BD5">
        <w:tc>
          <w:tcPr>
            <w:tcW w:w="4819" w:type="dxa"/>
          </w:tcPr>
          <w:p w14:paraId="441918B0" w14:textId="77777777" w:rsidR="00E33E23" w:rsidRPr="00BA522F" w:rsidRDefault="00E33E23" w:rsidP="00120BD5">
            <w:pPr>
              <w:widowControl/>
              <w:rPr>
                <w:rFonts w:ascii="Times New Roman" w:hAnsi="Times New Roman" w:cs="Times New Roman"/>
                <w:sz w:val="26"/>
                <w:szCs w:val="26"/>
              </w:rPr>
            </w:pPr>
          </w:p>
          <w:p w14:paraId="11D4DE99" w14:textId="77777777" w:rsidR="00E33E23" w:rsidRDefault="00E33E23" w:rsidP="00120BD5">
            <w:pPr>
              <w:widowControl/>
              <w:rPr>
                <w:rFonts w:ascii="Times New Roman" w:hAnsi="Times New Roman" w:cs="Times New Roman"/>
                <w:sz w:val="26"/>
                <w:szCs w:val="26"/>
              </w:rPr>
            </w:pPr>
          </w:p>
          <w:p w14:paraId="2E6C5213" w14:textId="77777777" w:rsidR="00E33E23" w:rsidRPr="00BA522F" w:rsidRDefault="00E33E23" w:rsidP="00120BD5">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0C95691D" w14:textId="77777777" w:rsidR="00E33E23" w:rsidRPr="00BA522F" w:rsidRDefault="00E33E23" w:rsidP="00120BD5">
            <w:pPr>
              <w:widowControl/>
              <w:rPr>
                <w:rFonts w:ascii="Times New Roman" w:hAnsi="Times New Roman" w:cs="Times New Roman"/>
                <w:sz w:val="26"/>
                <w:szCs w:val="26"/>
              </w:rPr>
            </w:pPr>
          </w:p>
          <w:p w14:paraId="5AEE3894" w14:textId="77777777" w:rsidR="00E33E23" w:rsidRPr="00BA522F" w:rsidRDefault="00E33E23" w:rsidP="00120BD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Gladys Brown </w:t>
            </w:r>
            <w:proofErr w:type="spellStart"/>
            <w:r w:rsidRPr="00BA522F">
              <w:rPr>
                <w:rFonts w:ascii="Times New Roman" w:hAnsi="Times New Roman" w:cs="Times New Roman"/>
                <w:sz w:val="26"/>
                <w:szCs w:val="26"/>
              </w:rPr>
              <w:t>Dutrieuille</w:t>
            </w:r>
            <w:proofErr w:type="spellEnd"/>
            <w:r w:rsidRPr="00BA522F">
              <w:rPr>
                <w:rFonts w:ascii="Times New Roman" w:hAnsi="Times New Roman" w:cs="Times New Roman"/>
                <w:sz w:val="26"/>
                <w:szCs w:val="26"/>
              </w:rPr>
              <w:t>, Chairman</w:t>
            </w:r>
          </w:p>
          <w:p w14:paraId="7FFD64B2" w14:textId="77777777" w:rsidR="00E33E23" w:rsidRPr="00BA522F" w:rsidRDefault="00E33E23" w:rsidP="00120BD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David W. Sweet, Vice Chairman</w:t>
            </w:r>
          </w:p>
          <w:p w14:paraId="370D0630" w14:textId="77777777" w:rsidR="00E33E23" w:rsidRPr="00BA522F" w:rsidRDefault="00E33E23" w:rsidP="00120BD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John F. Coleman, Jr. </w:t>
            </w:r>
          </w:p>
          <w:p w14:paraId="09B32D4B" w14:textId="77777777" w:rsidR="00E33E23" w:rsidRPr="00BA522F" w:rsidRDefault="00E33E23" w:rsidP="00120BD5">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Ralph V. </w:t>
            </w:r>
            <w:proofErr w:type="spellStart"/>
            <w:r w:rsidRPr="00BA522F">
              <w:rPr>
                <w:rFonts w:ascii="Times New Roman" w:hAnsi="Times New Roman" w:cs="Times New Roman"/>
                <w:sz w:val="26"/>
                <w:szCs w:val="26"/>
              </w:rPr>
              <w:t>Yanora</w:t>
            </w:r>
            <w:proofErr w:type="spellEnd"/>
          </w:p>
          <w:p w14:paraId="39DD3F28" w14:textId="77777777" w:rsidR="00E33E23" w:rsidRPr="00BA522F" w:rsidRDefault="00E33E23" w:rsidP="00120BD5">
            <w:pPr>
              <w:widowControl/>
              <w:rPr>
                <w:rFonts w:ascii="Times New Roman" w:hAnsi="Times New Roman" w:cs="Times New Roman"/>
                <w:sz w:val="26"/>
                <w:szCs w:val="26"/>
              </w:rPr>
            </w:pPr>
          </w:p>
        </w:tc>
        <w:tc>
          <w:tcPr>
            <w:tcW w:w="4541" w:type="dxa"/>
          </w:tcPr>
          <w:p w14:paraId="77CCC21C" w14:textId="77777777" w:rsidR="00E33E23" w:rsidRPr="00BA522F" w:rsidRDefault="00E33E23" w:rsidP="00120BD5">
            <w:pPr>
              <w:widowControl/>
              <w:jc w:val="right"/>
              <w:rPr>
                <w:rFonts w:ascii="Times New Roman" w:hAnsi="Times New Roman" w:cs="Times New Roman"/>
                <w:sz w:val="26"/>
                <w:szCs w:val="26"/>
              </w:rPr>
            </w:pPr>
          </w:p>
          <w:p w14:paraId="053FB18C" w14:textId="77777777" w:rsidR="00E33E23" w:rsidRPr="00BA522F" w:rsidRDefault="00E33E23" w:rsidP="00120BD5">
            <w:pPr>
              <w:widowControl/>
              <w:jc w:val="right"/>
              <w:rPr>
                <w:rFonts w:ascii="Times New Roman" w:hAnsi="Times New Roman" w:cs="Times New Roman"/>
                <w:sz w:val="26"/>
                <w:szCs w:val="26"/>
              </w:rPr>
            </w:pPr>
          </w:p>
        </w:tc>
      </w:tr>
      <w:tr w:rsidR="00E33E23" w:rsidRPr="00AF2A5C" w14:paraId="44FFEBC3" w14:textId="77777777" w:rsidTr="00120BD5">
        <w:tc>
          <w:tcPr>
            <w:tcW w:w="4819" w:type="dxa"/>
          </w:tcPr>
          <w:p w14:paraId="2BB04EB5" w14:textId="77777777" w:rsidR="00E33E23" w:rsidRPr="00BA522F" w:rsidRDefault="00E33E23" w:rsidP="00120BD5">
            <w:pPr>
              <w:widowControl/>
              <w:rPr>
                <w:rFonts w:ascii="Times New Roman" w:hAnsi="Times New Roman" w:cs="Times New Roman"/>
                <w:sz w:val="26"/>
                <w:szCs w:val="26"/>
              </w:rPr>
            </w:pPr>
          </w:p>
          <w:p w14:paraId="25C8379E" w14:textId="6A7330F8" w:rsidR="00E33E23" w:rsidRPr="00BA522F" w:rsidRDefault="00E33E23" w:rsidP="00120BD5">
            <w:pPr>
              <w:widowControl/>
              <w:rPr>
                <w:rFonts w:ascii="Times New Roman" w:hAnsi="Times New Roman" w:cs="Times New Roman"/>
                <w:kern w:val="1"/>
                <w:sz w:val="26"/>
                <w:szCs w:val="26"/>
              </w:rPr>
            </w:pPr>
            <w:r>
              <w:rPr>
                <w:rFonts w:ascii="Times New Roman" w:hAnsi="Times New Roman" w:cs="Times New Roman"/>
                <w:kern w:val="1"/>
                <w:sz w:val="26"/>
                <w:szCs w:val="26"/>
              </w:rPr>
              <w:t>Nancy Leininger</w:t>
            </w:r>
          </w:p>
          <w:p w14:paraId="6541E634" w14:textId="77777777" w:rsidR="00E33E23" w:rsidRPr="00BA522F" w:rsidRDefault="00E33E23" w:rsidP="00120BD5">
            <w:pPr>
              <w:widowControl/>
              <w:rPr>
                <w:rFonts w:ascii="Times New Roman" w:hAnsi="Times New Roman" w:cs="Times New Roman"/>
                <w:kern w:val="1"/>
                <w:sz w:val="26"/>
                <w:szCs w:val="26"/>
              </w:rPr>
            </w:pPr>
          </w:p>
          <w:p w14:paraId="2C2948AF" w14:textId="77777777" w:rsidR="00E33E23" w:rsidRPr="00BA522F" w:rsidRDefault="00E33E23" w:rsidP="00120BD5">
            <w:pPr>
              <w:widowControl/>
              <w:rPr>
                <w:rFonts w:ascii="Times New Roman" w:hAnsi="Times New Roman" w:cs="Times New Roman"/>
                <w:kern w:val="1"/>
                <w:sz w:val="26"/>
                <w:szCs w:val="26"/>
              </w:rPr>
            </w:pPr>
            <w:r>
              <w:rPr>
                <w:rFonts w:ascii="Times New Roman" w:hAnsi="Times New Roman" w:cs="Times New Roman"/>
                <w:kern w:val="1"/>
                <w:sz w:val="26"/>
                <w:szCs w:val="26"/>
              </w:rPr>
              <w:tab/>
            </w:r>
            <w:r w:rsidRPr="00BA522F">
              <w:rPr>
                <w:rFonts w:ascii="Times New Roman" w:hAnsi="Times New Roman" w:cs="Times New Roman"/>
                <w:kern w:val="1"/>
                <w:sz w:val="26"/>
                <w:szCs w:val="26"/>
              </w:rPr>
              <w:t>v.</w:t>
            </w:r>
          </w:p>
          <w:p w14:paraId="46D63BB6" w14:textId="77777777" w:rsidR="00E33E23" w:rsidRPr="00BA522F" w:rsidRDefault="00E33E23" w:rsidP="00120BD5">
            <w:pPr>
              <w:widowControl/>
              <w:rPr>
                <w:rFonts w:ascii="Times New Roman" w:hAnsi="Times New Roman" w:cs="Times New Roman"/>
                <w:kern w:val="1"/>
                <w:sz w:val="26"/>
                <w:szCs w:val="26"/>
              </w:rPr>
            </w:pPr>
          </w:p>
          <w:p w14:paraId="3D161CAA" w14:textId="5A410AB1" w:rsidR="00E33E23" w:rsidRPr="00BA522F" w:rsidRDefault="00E33E23" w:rsidP="00120BD5">
            <w:pPr>
              <w:widowControl/>
              <w:rPr>
                <w:rFonts w:ascii="Times New Roman" w:hAnsi="Times New Roman" w:cs="Times New Roman"/>
                <w:kern w:val="1"/>
                <w:sz w:val="26"/>
                <w:szCs w:val="26"/>
              </w:rPr>
            </w:pPr>
            <w:r>
              <w:rPr>
                <w:rFonts w:ascii="Times New Roman" w:hAnsi="Times New Roman" w:cs="Times New Roman"/>
                <w:kern w:val="1"/>
                <w:sz w:val="26"/>
                <w:szCs w:val="26"/>
              </w:rPr>
              <w:t>Duquesne Light Company</w:t>
            </w:r>
            <w:r w:rsidRPr="00BA522F">
              <w:rPr>
                <w:rFonts w:ascii="Times New Roman" w:hAnsi="Times New Roman" w:cs="Times New Roman"/>
                <w:kern w:val="1"/>
                <w:sz w:val="26"/>
                <w:szCs w:val="26"/>
              </w:rPr>
              <w:t xml:space="preserve"> </w:t>
            </w:r>
          </w:p>
          <w:p w14:paraId="53E5D3B6" w14:textId="77777777" w:rsidR="00E33E23" w:rsidRPr="00BA522F" w:rsidRDefault="00E33E23" w:rsidP="00120BD5">
            <w:pPr>
              <w:widowControl/>
              <w:rPr>
                <w:rFonts w:ascii="Times New Roman" w:hAnsi="Times New Roman" w:cs="Times New Roman"/>
                <w:sz w:val="26"/>
                <w:szCs w:val="26"/>
              </w:rPr>
            </w:pPr>
          </w:p>
        </w:tc>
        <w:tc>
          <w:tcPr>
            <w:tcW w:w="4541" w:type="dxa"/>
            <w:hideMark/>
          </w:tcPr>
          <w:p w14:paraId="32F7D9C4" w14:textId="77777777" w:rsidR="00E33E23" w:rsidRPr="00BA522F" w:rsidRDefault="00E33E23" w:rsidP="00120BD5">
            <w:pPr>
              <w:widowControl/>
              <w:jc w:val="right"/>
              <w:rPr>
                <w:rFonts w:ascii="Times New Roman" w:hAnsi="Times New Roman" w:cs="Times New Roman"/>
                <w:sz w:val="26"/>
                <w:szCs w:val="26"/>
              </w:rPr>
            </w:pPr>
          </w:p>
          <w:p w14:paraId="6969F636" w14:textId="5F135EBC" w:rsidR="00E33E23" w:rsidRPr="00BA522F" w:rsidRDefault="00E33E23" w:rsidP="00120BD5">
            <w:pPr>
              <w:widowControl/>
              <w:jc w:val="right"/>
              <w:rPr>
                <w:rFonts w:ascii="Times New Roman" w:hAnsi="Times New Roman" w:cs="Times New Roman"/>
                <w:sz w:val="26"/>
                <w:szCs w:val="26"/>
              </w:rPr>
            </w:pPr>
            <w:bookmarkStart w:id="1" w:name="_Hlk67560304"/>
            <w:r>
              <w:rPr>
                <w:rFonts w:ascii="Times New Roman" w:hAnsi="Times New Roman" w:cs="Times New Roman"/>
                <w:sz w:val="26"/>
                <w:szCs w:val="26"/>
              </w:rPr>
              <w:t>C</w:t>
            </w:r>
            <w:r w:rsidRPr="00BA522F">
              <w:rPr>
                <w:rFonts w:ascii="Times New Roman" w:hAnsi="Times New Roman" w:cs="Times New Roman"/>
                <w:sz w:val="26"/>
                <w:szCs w:val="26"/>
              </w:rPr>
              <w:t>-2020-30</w:t>
            </w:r>
            <w:bookmarkEnd w:id="1"/>
            <w:r>
              <w:rPr>
                <w:rFonts w:ascii="Times New Roman" w:hAnsi="Times New Roman" w:cs="Times New Roman"/>
                <w:sz w:val="26"/>
                <w:szCs w:val="26"/>
              </w:rPr>
              <w:t>21150</w:t>
            </w:r>
          </w:p>
          <w:p w14:paraId="6EA4AB56" w14:textId="77777777" w:rsidR="00E33E23" w:rsidRPr="00BA522F" w:rsidRDefault="00E33E23" w:rsidP="00120BD5">
            <w:pPr>
              <w:widowControl/>
              <w:jc w:val="right"/>
              <w:rPr>
                <w:rFonts w:ascii="Times New Roman" w:hAnsi="Times New Roman" w:cs="Times New Roman"/>
                <w:sz w:val="26"/>
                <w:szCs w:val="26"/>
              </w:rPr>
            </w:pPr>
          </w:p>
          <w:p w14:paraId="3E4DECF1" w14:textId="77777777" w:rsidR="00E33E23" w:rsidRPr="00BA522F" w:rsidRDefault="00E33E23" w:rsidP="00120BD5">
            <w:pPr>
              <w:widowControl/>
              <w:jc w:val="right"/>
              <w:rPr>
                <w:rFonts w:ascii="Times New Roman" w:hAnsi="Times New Roman" w:cs="Times New Roman"/>
                <w:sz w:val="26"/>
                <w:szCs w:val="26"/>
              </w:rPr>
            </w:pPr>
          </w:p>
          <w:p w14:paraId="4E87A634" w14:textId="77777777" w:rsidR="00E33E23" w:rsidRPr="00BA522F" w:rsidRDefault="00E33E23" w:rsidP="00120BD5">
            <w:pPr>
              <w:widowControl/>
              <w:jc w:val="right"/>
              <w:rPr>
                <w:rFonts w:ascii="Times New Roman" w:hAnsi="Times New Roman" w:cs="Times New Roman"/>
                <w:sz w:val="26"/>
                <w:szCs w:val="26"/>
              </w:rPr>
            </w:pPr>
          </w:p>
        </w:tc>
      </w:tr>
    </w:tbl>
    <w:p w14:paraId="13227373" w14:textId="2BB3B8A7" w:rsidR="00A3092E" w:rsidRDefault="00A3092E" w:rsidP="00E33E23">
      <w:pPr>
        <w:widowControl/>
        <w:jc w:val="center"/>
        <w:rPr>
          <w:b/>
          <w:sz w:val="26"/>
          <w:szCs w:val="26"/>
        </w:rPr>
      </w:pPr>
    </w:p>
    <w:p w14:paraId="442F995C" w14:textId="77777777" w:rsidR="00A3092E" w:rsidRDefault="00A3092E" w:rsidP="00E33E23">
      <w:pPr>
        <w:widowControl/>
        <w:jc w:val="center"/>
        <w:rPr>
          <w:b/>
          <w:sz w:val="26"/>
          <w:szCs w:val="26"/>
        </w:rPr>
      </w:pPr>
    </w:p>
    <w:p w14:paraId="29046DA2" w14:textId="5BC8DF69" w:rsidR="00E33E23" w:rsidRPr="00A9787D" w:rsidRDefault="00E33E23" w:rsidP="00E33E23">
      <w:pPr>
        <w:widowControl/>
        <w:jc w:val="center"/>
        <w:rPr>
          <w:b/>
          <w:sz w:val="26"/>
          <w:szCs w:val="26"/>
        </w:rPr>
      </w:pPr>
      <w:r w:rsidRPr="00A9787D">
        <w:rPr>
          <w:b/>
          <w:sz w:val="26"/>
          <w:szCs w:val="26"/>
        </w:rPr>
        <w:t>OPINION AND ORDER</w:t>
      </w:r>
    </w:p>
    <w:p w14:paraId="29EEB8DE" w14:textId="77777777" w:rsidR="00E33E23" w:rsidRDefault="00E33E23" w:rsidP="00E33E23">
      <w:pPr>
        <w:widowControl/>
        <w:rPr>
          <w:b/>
          <w:sz w:val="26"/>
          <w:szCs w:val="26"/>
        </w:rPr>
      </w:pPr>
    </w:p>
    <w:p w14:paraId="4636EE65" w14:textId="77777777" w:rsidR="00E33E23" w:rsidRPr="00A9787D" w:rsidRDefault="00E33E23" w:rsidP="00E33E23">
      <w:pPr>
        <w:widowControl/>
        <w:rPr>
          <w:b/>
          <w:sz w:val="26"/>
          <w:szCs w:val="26"/>
        </w:rPr>
      </w:pPr>
    </w:p>
    <w:p w14:paraId="4464790D" w14:textId="556C464C" w:rsidR="00E33E23" w:rsidRDefault="00E33E23" w:rsidP="00CD500F">
      <w:pPr>
        <w:widowControl/>
        <w:rPr>
          <w:b/>
          <w:sz w:val="26"/>
          <w:szCs w:val="26"/>
        </w:rPr>
      </w:pPr>
      <w:r w:rsidRPr="00A9787D">
        <w:rPr>
          <w:b/>
          <w:sz w:val="26"/>
          <w:szCs w:val="26"/>
        </w:rPr>
        <w:t>BY THE COMMISSION:</w:t>
      </w:r>
    </w:p>
    <w:p w14:paraId="35D1AA40" w14:textId="77777777" w:rsidR="00CD500F" w:rsidRDefault="00CD500F" w:rsidP="00CD500F">
      <w:pPr>
        <w:widowControl/>
        <w:spacing w:line="360" w:lineRule="auto"/>
        <w:rPr>
          <w:b/>
          <w:sz w:val="26"/>
          <w:szCs w:val="26"/>
        </w:rPr>
      </w:pPr>
    </w:p>
    <w:p w14:paraId="004302C3" w14:textId="554B0E45" w:rsidR="00A3092E" w:rsidRDefault="00E33E23" w:rsidP="00062813">
      <w:pPr>
        <w:widowControl/>
        <w:spacing w:line="360" w:lineRule="auto"/>
        <w:ind w:firstLine="1440"/>
        <w:rPr>
          <w:bCs/>
          <w:sz w:val="26"/>
          <w:szCs w:val="26"/>
        </w:rPr>
      </w:pPr>
      <w:r>
        <w:rPr>
          <w:bCs/>
          <w:sz w:val="26"/>
          <w:szCs w:val="26"/>
        </w:rPr>
        <w:t>Before the Pennsylvania Public Utility Commission (Commission) for consideration and disposition are the Exceptions of Nancy Leininger (Complainant</w:t>
      </w:r>
      <w:r w:rsidR="0058563E">
        <w:rPr>
          <w:bCs/>
          <w:sz w:val="26"/>
          <w:szCs w:val="26"/>
        </w:rPr>
        <w:t xml:space="preserve"> or Ms. Leininger</w:t>
      </w:r>
      <w:r>
        <w:rPr>
          <w:bCs/>
          <w:sz w:val="26"/>
          <w:szCs w:val="26"/>
        </w:rPr>
        <w:t>) that were filed on January 2</w:t>
      </w:r>
      <w:r w:rsidR="00894C19">
        <w:rPr>
          <w:bCs/>
          <w:sz w:val="26"/>
          <w:szCs w:val="26"/>
        </w:rPr>
        <w:t>6</w:t>
      </w:r>
      <w:r>
        <w:rPr>
          <w:bCs/>
          <w:sz w:val="26"/>
          <w:szCs w:val="26"/>
        </w:rPr>
        <w:t>, 2021, to the Initial Decision</w:t>
      </w:r>
      <w:r w:rsidR="006729F5">
        <w:rPr>
          <w:bCs/>
          <w:sz w:val="26"/>
          <w:szCs w:val="26"/>
        </w:rPr>
        <w:t xml:space="preserve"> (I.D.)</w:t>
      </w:r>
      <w:r>
        <w:rPr>
          <w:bCs/>
          <w:sz w:val="26"/>
          <w:szCs w:val="26"/>
        </w:rPr>
        <w:t xml:space="preserve"> </w:t>
      </w:r>
      <w:r w:rsidR="007D79E5">
        <w:rPr>
          <w:bCs/>
          <w:sz w:val="26"/>
          <w:szCs w:val="26"/>
        </w:rPr>
        <w:t xml:space="preserve">of Deputy Chief Administrative Law Judge (ALJ) Mark </w:t>
      </w:r>
      <w:r w:rsidR="00CF7936">
        <w:rPr>
          <w:bCs/>
          <w:sz w:val="26"/>
          <w:szCs w:val="26"/>
        </w:rPr>
        <w:t>A</w:t>
      </w:r>
      <w:r w:rsidR="00CD500F">
        <w:rPr>
          <w:bCs/>
          <w:sz w:val="26"/>
          <w:szCs w:val="26"/>
        </w:rPr>
        <w:t>.</w:t>
      </w:r>
      <w:r w:rsidR="00CF7936">
        <w:rPr>
          <w:bCs/>
          <w:sz w:val="26"/>
          <w:szCs w:val="26"/>
        </w:rPr>
        <w:t xml:space="preserve"> </w:t>
      </w:r>
      <w:r w:rsidR="007D79E5">
        <w:rPr>
          <w:bCs/>
          <w:sz w:val="26"/>
          <w:szCs w:val="26"/>
        </w:rPr>
        <w:t xml:space="preserve">Hoyer issued on </w:t>
      </w:r>
      <w:r w:rsidR="001757D9">
        <w:rPr>
          <w:bCs/>
          <w:sz w:val="26"/>
          <w:szCs w:val="26"/>
        </w:rPr>
        <w:t>January</w:t>
      </w:r>
      <w:r w:rsidR="00CD500F">
        <w:rPr>
          <w:bCs/>
          <w:sz w:val="26"/>
          <w:szCs w:val="26"/>
        </w:rPr>
        <w:t> </w:t>
      </w:r>
      <w:r w:rsidR="001757D9">
        <w:rPr>
          <w:bCs/>
          <w:sz w:val="26"/>
          <w:szCs w:val="26"/>
        </w:rPr>
        <w:t>6,</w:t>
      </w:r>
      <w:r w:rsidR="00CD500F">
        <w:rPr>
          <w:bCs/>
          <w:sz w:val="26"/>
          <w:szCs w:val="26"/>
        </w:rPr>
        <w:t> </w:t>
      </w:r>
      <w:r w:rsidR="001757D9">
        <w:rPr>
          <w:bCs/>
          <w:sz w:val="26"/>
          <w:szCs w:val="26"/>
        </w:rPr>
        <w:t>2021</w:t>
      </w:r>
      <w:r w:rsidR="007D79E5">
        <w:rPr>
          <w:bCs/>
          <w:sz w:val="26"/>
          <w:szCs w:val="26"/>
        </w:rPr>
        <w:t>, g</w:t>
      </w:r>
      <w:r>
        <w:rPr>
          <w:bCs/>
          <w:sz w:val="26"/>
          <w:szCs w:val="26"/>
        </w:rPr>
        <w:t xml:space="preserve">ranting the Motion for Judgment on the </w:t>
      </w:r>
      <w:proofErr w:type="gramStart"/>
      <w:r>
        <w:rPr>
          <w:bCs/>
          <w:sz w:val="26"/>
          <w:szCs w:val="26"/>
        </w:rPr>
        <w:t>Pleadings</w:t>
      </w:r>
      <w:proofErr w:type="gramEnd"/>
      <w:r w:rsidR="00D77EB5">
        <w:rPr>
          <w:bCs/>
          <w:sz w:val="26"/>
          <w:szCs w:val="26"/>
        </w:rPr>
        <w:t xml:space="preserve"> </w:t>
      </w:r>
      <w:r w:rsidR="007D79E5">
        <w:rPr>
          <w:bCs/>
          <w:sz w:val="26"/>
          <w:szCs w:val="26"/>
        </w:rPr>
        <w:t xml:space="preserve">and </w:t>
      </w:r>
      <w:r w:rsidR="00D77EB5">
        <w:rPr>
          <w:bCs/>
          <w:sz w:val="26"/>
          <w:szCs w:val="26"/>
        </w:rPr>
        <w:t xml:space="preserve">dismissing the Formal Complaint </w:t>
      </w:r>
      <w:r w:rsidR="00B84C6B">
        <w:rPr>
          <w:bCs/>
          <w:sz w:val="26"/>
          <w:szCs w:val="26"/>
        </w:rPr>
        <w:t>(Complaint)</w:t>
      </w:r>
      <w:r w:rsidR="00912423">
        <w:rPr>
          <w:rStyle w:val="FootnoteReference"/>
          <w:bCs/>
          <w:sz w:val="26"/>
          <w:szCs w:val="26"/>
        </w:rPr>
        <w:footnoteReference w:id="1"/>
      </w:r>
      <w:r w:rsidR="00B84C6B">
        <w:rPr>
          <w:bCs/>
          <w:sz w:val="26"/>
          <w:szCs w:val="26"/>
        </w:rPr>
        <w:t xml:space="preserve"> </w:t>
      </w:r>
      <w:r w:rsidR="00D77EB5">
        <w:rPr>
          <w:bCs/>
          <w:sz w:val="26"/>
          <w:szCs w:val="26"/>
        </w:rPr>
        <w:t xml:space="preserve">filed by </w:t>
      </w:r>
      <w:r w:rsidR="00845A28">
        <w:rPr>
          <w:bCs/>
          <w:sz w:val="26"/>
          <w:szCs w:val="26"/>
        </w:rPr>
        <w:t xml:space="preserve">the </w:t>
      </w:r>
      <w:r w:rsidR="00D77EB5">
        <w:rPr>
          <w:bCs/>
          <w:sz w:val="26"/>
          <w:szCs w:val="26"/>
        </w:rPr>
        <w:t xml:space="preserve">Complainant in the above-captioned </w:t>
      </w:r>
      <w:r w:rsidR="00D77EB5">
        <w:rPr>
          <w:bCs/>
          <w:sz w:val="26"/>
          <w:szCs w:val="26"/>
        </w:rPr>
        <w:lastRenderedPageBreak/>
        <w:t xml:space="preserve">proceeding.  </w:t>
      </w:r>
      <w:r w:rsidR="00A90079">
        <w:rPr>
          <w:bCs/>
          <w:sz w:val="26"/>
          <w:szCs w:val="26"/>
        </w:rPr>
        <w:t xml:space="preserve">Duquesne Light Company (DLC) filed Replies to the Exceptions on February 4, 2021.  </w:t>
      </w:r>
      <w:r w:rsidR="00B84C6B">
        <w:rPr>
          <w:bCs/>
          <w:sz w:val="26"/>
          <w:szCs w:val="26"/>
        </w:rPr>
        <w:t xml:space="preserve">On consideration of </w:t>
      </w:r>
      <w:r w:rsidR="00845A28">
        <w:rPr>
          <w:bCs/>
          <w:sz w:val="26"/>
          <w:szCs w:val="26"/>
        </w:rPr>
        <w:t xml:space="preserve">the </w:t>
      </w:r>
      <w:r w:rsidR="00B84C6B">
        <w:rPr>
          <w:bCs/>
          <w:sz w:val="26"/>
          <w:szCs w:val="26"/>
        </w:rPr>
        <w:t xml:space="preserve">Complainant’s Exceptions and the Replies thereto, we </w:t>
      </w:r>
      <w:r w:rsidR="00A3092E">
        <w:rPr>
          <w:bCs/>
          <w:sz w:val="26"/>
          <w:szCs w:val="26"/>
        </w:rPr>
        <w:t>will</w:t>
      </w:r>
      <w:r w:rsidR="00D76131">
        <w:rPr>
          <w:bCs/>
          <w:sz w:val="26"/>
          <w:szCs w:val="26"/>
        </w:rPr>
        <w:t xml:space="preserve"> </w:t>
      </w:r>
      <w:r w:rsidR="00CD381A">
        <w:rPr>
          <w:bCs/>
          <w:sz w:val="26"/>
          <w:szCs w:val="26"/>
        </w:rPr>
        <w:t xml:space="preserve">vacate the Initial Decision of the ALJ granting DLC’s Motion for Judgment on the Pleadings and remand the matter to the Office of Administrative Law Judge (OALJ) for </w:t>
      </w:r>
      <w:r w:rsidR="0058563E">
        <w:rPr>
          <w:bCs/>
          <w:sz w:val="26"/>
          <w:szCs w:val="26"/>
        </w:rPr>
        <w:t xml:space="preserve">further </w:t>
      </w:r>
      <w:r w:rsidR="00CD381A">
        <w:rPr>
          <w:bCs/>
          <w:sz w:val="26"/>
          <w:szCs w:val="26"/>
        </w:rPr>
        <w:t>proceedings consistent with this Opinion and Order</w:t>
      </w:r>
      <w:r w:rsidR="001B15FA">
        <w:rPr>
          <w:bCs/>
          <w:sz w:val="26"/>
          <w:szCs w:val="26"/>
        </w:rPr>
        <w:t>.</w:t>
      </w:r>
    </w:p>
    <w:p w14:paraId="5AD1A15C" w14:textId="77777777" w:rsidR="00A3092E" w:rsidRDefault="00A3092E" w:rsidP="00E33E23">
      <w:pPr>
        <w:widowControl/>
        <w:spacing w:line="360" w:lineRule="auto"/>
        <w:ind w:firstLine="1440"/>
        <w:rPr>
          <w:bCs/>
          <w:sz w:val="26"/>
          <w:szCs w:val="26"/>
        </w:rPr>
      </w:pPr>
    </w:p>
    <w:p w14:paraId="5152015B" w14:textId="3DF6999B" w:rsidR="00E33E23" w:rsidRDefault="006F76DA" w:rsidP="00A3092E">
      <w:pPr>
        <w:pStyle w:val="ListParagraph"/>
        <w:widowControl/>
        <w:spacing w:line="360" w:lineRule="auto"/>
        <w:ind w:left="0"/>
        <w:jc w:val="center"/>
        <w:rPr>
          <w:b/>
          <w:sz w:val="26"/>
          <w:szCs w:val="26"/>
        </w:rPr>
      </w:pPr>
      <w:r>
        <w:rPr>
          <w:b/>
          <w:sz w:val="26"/>
          <w:szCs w:val="26"/>
        </w:rPr>
        <w:t xml:space="preserve">Background </w:t>
      </w:r>
    </w:p>
    <w:p w14:paraId="1048A0CD" w14:textId="4D4D97A3" w:rsidR="00A3092E" w:rsidRDefault="00A3092E" w:rsidP="00A3092E">
      <w:pPr>
        <w:pStyle w:val="ListParagraph"/>
        <w:widowControl/>
        <w:spacing w:line="360" w:lineRule="auto"/>
        <w:ind w:left="0"/>
        <w:jc w:val="center"/>
        <w:rPr>
          <w:b/>
          <w:sz w:val="26"/>
          <w:szCs w:val="26"/>
        </w:rPr>
      </w:pPr>
    </w:p>
    <w:bookmarkEnd w:id="0"/>
    <w:p w14:paraId="0D1F759D" w14:textId="2C5AA994" w:rsidR="00D36461" w:rsidRDefault="00C12CC9" w:rsidP="00A3092E">
      <w:pPr>
        <w:pStyle w:val="ListParagraph"/>
        <w:widowControl/>
        <w:spacing w:line="360" w:lineRule="auto"/>
        <w:ind w:left="0" w:firstLine="1440"/>
        <w:rPr>
          <w:bCs/>
          <w:sz w:val="26"/>
          <w:szCs w:val="26"/>
        </w:rPr>
      </w:pPr>
      <w:r>
        <w:rPr>
          <w:bCs/>
          <w:sz w:val="26"/>
          <w:szCs w:val="26"/>
        </w:rPr>
        <w:t xml:space="preserve">This proceeding involves a Complaint in which the Complainant alleged that DLC is billing her for incorrect charges on her electric bill leading to overbilling and that her smart meter is defective.  </w:t>
      </w:r>
      <w:r w:rsidR="00A3092E">
        <w:rPr>
          <w:bCs/>
          <w:sz w:val="26"/>
          <w:szCs w:val="26"/>
        </w:rPr>
        <w:t xml:space="preserve">By way of background, </w:t>
      </w:r>
      <w:r w:rsidR="00845A28">
        <w:rPr>
          <w:bCs/>
          <w:sz w:val="26"/>
          <w:szCs w:val="26"/>
        </w:rPr>
        <w:t xml:space="preserve">the </w:t>
      </w:r>
      <w:r w:rsidR="00A3092E">
        <w:rPr>
          <w:bCs/>
          <w:sz w:val="26"/>
          <w:szCs w:val="26"/>
        </w:rPr>
        <w:t xml:space="preserve">Complainant had previously filed another Formal Complaint </w:t>
      </w:r>
      <w:r w:rsidR="00473E55">
        <w:rPr>
          <w:bCs/>
          <w:sz w:val="26"/>
          <w:szCs w:val="26"/>
        </w:rPr>
        <w:t xml:space="preserve">(First Complaint) </w:t>
      </w:r>
      <w:r w:rsidR="00A3092E">
        <w:rPr>
          <w:bCs/>
          <w:sz w:val="26"/>
          <w:szCs w:val="26"/>
        </w:rPr>
        <w:t xml:space="preserve">against DLC </w:t>
      </w:r>
      <w:r w:rsidR="00CD710E">
        <w:rPr>
          <w:bCs/>
          <w:sz w:val="26"/>
          <w:szCs w:val="26"/>
        </w:rPr>
        <w:t xml:space="preserve">at Docket No. F-2018-3003226 </w:t>
      </w:r>
      <w:r w:rsidR="00A3092E">
        <w:rPr>
          <w:bCs/>
          <w:sz w:val="26"/>
          <w:szCs w:val="26"/>
        </w:rPr>
        <w:t xml:space="preserve">on June 25, 2018, alleging that her electric bills were high </w:t>
      </w:r>
      <w:r w:rsidR="00D36461">
        <w:rPr>
          <w:bCs/>
          <w:sz w:val="26"/>
          <w:szCs w:val="26"/>
        </w:rPr>
        <w:t xml:space="preserve">based on past usage </w:t>
      </w:r>
      <w:r w:rsidR="00A3092E">
        <w:rPr>
          <w:bCs/>
          <w:sz w:val="26"/>
          <w:szCs w:val="26"/>
        </w:rPr>
        <w:t xml:space="preserve">and disputing the accuracy of her smart meter.  As relief, </w:t>
      </w:r>
      <w:r w:rsidR="00845A28">
        <w:rPr>
          <w:bCs/>
          <w:sz w:val="26"/>
          <w:szCs w:val="26"/>
        </w:rPr>
        <w:t xml:space="preserve">the </w:t>
      </w:r>
      <w:r w:rsidR="00A3092E">
        <w:rPr>
          <w:bCs/>
          <w:sz w:val="26"/>
          <w:szCs w:val="26"/>
        </w:rPr>
        <w:t xml:space="preserve">Complainant requested that her electric bills </w:t>
      </w:r>
      <w:r w:rsidR="00473E55">
        <w:rPr>
          <w:bCs/>
          <w:sz w:val="26"/>
          <w:szCs w:val="26"/>
        </w:rPr>
        <w:t xml:space="preserve">be adjusted downward.  DLC filed its </w:t>
      </w:r>
      <w:r w:rsidR="00BC4B98">
        <w:rPr>
          <w:bCs/>
          <w:sz w:val="26"/>
          <w:szCs w:val="26"/>
        </w:rPr>
        <w:t>A</w:t>
      </w:r>
      <w:r w:rsidR="00473E55">
        <w:rPr>
          <w:bCs/>
          <w:sz w:val="26"/>
          <w:szCs w:val="26"/>
        </w:rPr>
        <w:t xml:space="preserve">nswer, denying the material averments in the First Complaint and requested that it be dismissed with prejudice.  The case was assigned to </w:t>
      </w:r>
      <w:r w:rsidR="00CD710E">
        <w:rPr>
          <w:bCs/>
          <w:sz w:val="26"/>
          <w:szCs w:val="26"/>
        </w:rPr>
        <w:t>ALJ Hoyer</w:t>
      </w:r>
      <w:r w:rsidR="00473E55">
        <w:rPr>
          <w:bCs/>
          <w:sz w:val="26"/>
          <w:szCs w:val="26"/>
        </w:rPr>
        <w:t xml:space="preserve"> who ordered that a home energy audit be performed at the service location with a follow-up report generated.  Additionally, each party had an opportunity to offer additional evidence related to the home energy audit as well as offering any testimony and exhibits in support of their respective cases; and, in fact, </w:t>
      </w:r>
      <w:r w:rsidR="00845A28">
        <w:rPr>
          <w:bCs/>
          <w:sz w:val="26"/>
          <w:szCs w:val="26"/>
        </w:rPr>
        <w:t xml:space="preserve">the </w:t>
      </w:r>
      <w:r w:rsidR="00473E55">
        <w:rPr>
          <w:bCs/>
          <w:sz w:val="26"/>
          <w:szCs w:val="26"/>
        </w:rPr>
        <w:t xml:space="preserve">Complainant testified on her own behalf </w:t>
      </w:r>
      <w:proofErr w:type="gramStart"/>
      <w:r w:rsidR="00473E55">
        <w:rPr>
          <w:bCs/>
          <w:sz w:val="26"/>
          <w:szCs w:val="26"/>
        </w:rPr>
        <w:t>and also</w:t>
      </w:r>
      <w:proofErr w:type="gramEnd"/>
      <w:r w:rsidR="00473E55">
        <w:rPr>
          <w:bCs/>
          <w:sz w:val="26"/>
          <w:szCs w:val="26"/>
        </w:rPr>
        <w:t xml:space="preserve"> offered the testimony </w:t>
      </w:r>
      <w:r w:rsidR="00D36461">
        <w:rPr>
          <w:bCs/>
          <w:sz w:val="26"/>
          <w:szCs w:val="26"/>
        </w:rPr>
        <w:t>of another witness, and DLC presented one witness and several exhibits</w:t>
      </w:r>
      <w:r w:rsidR="00473E55">
        <w:rPr>
          <w:bCs/>
          <w:sz w:val="26"/>
          <w:szCs w:val="26"/>
        </w:rPr>
        <w:t>.</w:t>
      </w:r>
      <w:r w:rsidR="00D36461">
        <w:rPr>
          <w:bCs/>
          <w:sz w:val="26"/>
          <w:szCs w:val="26"/>
        </w:rPr>
        <w:t xml:space="preserve"> </w:t>
      </w:r>
    </w:p>
    <w:p w14:paraId="2AE7F787" w14:textId="77777777" w:rsidR="00D36461" w:rsidRDefault="00D36461" w:rsidP="00A3092E">
      <w:pPr>
        <w:pStyle w:val="ListParagraph"/>
        <w:widowControl/>
        <w:spacing w:line="360" w:lineRule="auto"/>
        <w:ind w:left="0" w:firstLine="1440"/>
        <w:rPr>
          <w:bCs/>
          <w:sz w:val="26"/>
          <w:szCs w:val="26"/>
        </w:rPr>
      </w:pPr>
    </w:p>
    <w:p w14:paraId="34BF26C6" w14:textId="0FB791A3" w:rsidR="00A3092E" w:rsidRDefault="00D36461" w:rsidP="00A3092E">
      <w:pPr>
        <w:pStyle w:val="ListParagraph"/>
        <w:widowControl/>
        <w:spacing w:line="360" w:lineRule="auto"/>
        <w:ind w:left="0" w:firstLine="1440"/>
        <w:rPr>
          <w:bCs/>
          <w:sz w:val="26"/>
          <w:szCs w:val="26"/>
        </w:rPr>
      </w:pPr>
      <w:r>
        <w:rPr>
          <w:bCs/>
          <w:sz w:val="26"/>
          <w:szCs w:val="26"/>
        </w:rPr>
        <w:t xml:space="preserve">The ALJ in his </w:t>
      </w:r>
      <w:r w:rsidR="0064109D">
        <w:rPr>
          <w:bCs/>
          <w:sz w:val="26"/>
          <w:szCs w:val="26"/>
        </w:rPr>
        <w:t>I</w:t>
      </w:r>
      <w:r>
        <w:rPr>
          <w:bCs/>
          <w:sz w:val="26"/>
          <w:szCs w:val="26"/>
        </w:rPr>
        <w:t xml:space="preserve">nitial </w:t>
      </w:r>
      <w:r w:rsidR="0064109D">
        <w:rPr>
          <w:bCs/>
          <w:sz w:val="26"/>
          <w:szCs w:val="26"/>
        </w:rPr>
        <w:t>D</w:t>
      </w:r>
      <w:r>
        <w:rPr>
          <w:bCs/>
          <w:sz w:val="26"/>
          <w:szCs w:val="26"/>
        </w:rPr>
        <w:t xml:space="preserve">ecision issued October </w:t>
      </w:r>
      <w:r w:rsidR="00550A55">
        <w:rPr>
          <w:bCs/>
          <w:sz w:val="26"/>
          <w:szCs w:val="26"/>
        </w:rPr>
        <w:t>22</w:t>
      </w:r>
      <w:r>
        <w:rPr>
          <w:bCs/>
          <w:sz w:val="26"/>
          <w:szCs w:val="26"/>
        </w:rPr>
        <w:t xml:space="preserve">, 2019, determined that </w:t>
      </w:r>
      <w:r w:rsidR="00845A28">
        <w:rPr>
          <w:bCs/>
          <w:sz w:val="26"/>
          <w:szCs w:val="26"/>
        </w:rPr>
        <w:t xml:space="preserve">the </w:t>
      </w:r>
      <w:r>
        <w:rPr>
          <w:bCs/>
          <w:sz w:val="26"/>
          <w:szCs w:val="26"/>
        </w:rPr>
        <w:t>Complainant had failed to pro</w:t>
      </w:r>
      <w:r w:rsidR="00CD710E">
        <w:rPr>
          <w:bCs/>
          <w:sz w:val="26"/>
          <w:szCs w:val="26"/>
        </w:rPr>
        <w:t>ve</w:t>
      </w:r>
      <w:r>
        <w:rPr>
          <w:bCs/>
          <w:sz w:val="26"/>
          <w:szCs w:val="26"/>
        </w:rPr>
        <w:t xml:space="preserve"> a </w:t>
      </w:r>
      <w:r>
        <w:rPr>
          <w:bCs/>
          <w:i/>
          <w:iCs/>
          <w:sz w:val="26"/>
          <w:szCs w:val="26"/>
        </w:rPr>
        <w:t xml:space="preserve">prima facie </w:t>
      </w:r>
      <w:r>
        <w:rPr>
          <w:bCs/>
          <w:sz w:val="26"/>
          <w:szCs w:val="26"/>
        </w:rPr>
        <w:t xml:space="preserve">case that her electric bills were abnormally high or that her smart meter was defective.  </w:t>
      </w:r>
      <w:r w:rsidR="00CD710E">
        <w:rPr>
          <w:bCs/>
          <w:sz w:val="26"/>
          <w:szCs w:val="26"/>
        </w:rPr>
        <w:t>In dismissing the First Complaint, t</w:t>
      </w:r>
      <w:r>
        <w:rPr>
          <w:bCs/>
          <w:sz w:val="26"/>
          <w:szCs w:val="26"/>
        </w:rPr>
        <w:t>he ALJ concluded that the bills were based upon actual meter readings, and the evidence presented</w:t>
      </w:r>
      <w:r w:rsidR="0064109D">
        <w:rPr>
          <w:bCs/>
          <w:sz w:val="26"/>
          <w:szCs w:val="26"/>
        </w:rPr>
        <w:t xml:space="preserve">, including the fact that the smart meter in question was tested </w:t>
      </w:r>
      <w:r w:rsidR="0064109D">
        <w:rPr>
          <w:bCs/>
          <w:sz w:val="26"/>
          <w:szCs w:val="26"/>
        </w:rPr>
        <w:lastRenderedPageBreak/>
        <w:t>twice for accuracy on August 27, 2015, and May 4, 2018, and found to be accurate both times,</w:t>
      </w:r>
      <w:r>
        <w:rPr>
          <w:bCs/>
          <w:sz w:val="26"/>
          <w:szCs w:val="26"/>
        </w:rPr>
        <w:t xml:space="preserve"> supported a finding that the consumption recorded at residence was accurate.</w:t>
      </w:r>
    </w:p>
    <w:p w14:paraId="791B0A6E" w14:textId="77777777" w:rsidR="00F8090B" w:rsidRPr="00A3092E" w:rsidRDefault="00F8090B" w:rsidP="00A3092E">
      <w:pPr>
        <w:pStyle w:val="ListParagraph"/>
        <w:widowControl/>
        <w:spacing w:line="360" w:lineRule="auto"/>
        <w:ind w:left="0" w:firstLine="1440"/>
        <w:rPr>
          <w:bCs/>
          <w:sz w:val="26"/>
          <w:szCs w:val="26"/>
        </w:rPr>
      </w:pPr>
    </w:p>
    <w:p w14:paraId="570DAF83" w14:textId="6061592F" w:rsidR="00E33E23" w:rsidRDefault="00260BF9" w:rsidP="00E71982">
      <w:pPr>
        <w:widowControl/>
        <w:spacing w:line="360" w:lineRule="auto"/>
        <w:ind w:firstLine="1440"/>
        <w:rPr>
          <w:bCs/>
          <w:sz w:val="26"/>
          <w:szCs w:val="26"/>
        </w:rPr>
      </w:pPr>
      <w:r>
        <w:rPr>
          <w:bCs/>
          <w:sz w:val="26"/>
          <w:szCs w:val="26"/>
        </w:rPr>
        <w:t>No exceptions being filed, t</w:t>
      </w:r>
      <w:r w:rsidR="00CD710E">
        <w:rPr>
          <w:bCs/>
          <w:sz w:val="26"/>
          <w:szCs w:val="26"/>
        </w:rPr>
        <w:t xml:space="preserve">he ALJ’s </w:t>
      </w:r>
      <w:r w:rsidR="0064109D">
        <w:rPr>
          <w:bCs/>
          <w:sz w:val="26"/>
          <w:szCs w:val="26"/>
        </w:rPr>
        <w:t>I</w:t>
      </w:r>
      <w:r w:rsidR="00CD710E">
        <w:rPr>
          <w:bCs/>
          <w:sz w:val="26"/>
          <w:szCs w:val="26"/>
        </w:rPr>
        <w:t xml:space="preserve">nitial </w:t>
      </w:r>
      <w:r w:rsidR="0064109D">
        <w:rPr>
          <w:bCs/>
          <w:sz w:val="26"/>
          <w:szCs w:val="26"/>
        </w:rPr>
        <w:t>D</w:t>
      </w:r>
      <w:r w:rsidR="00CD710E">
        <w:rPr>
          <w:bCs/>
          <w:sz w:val="26"/>
          <w:szCs w:val="26"/>
        </w:rPr>
        <w:t>ecision in the First Complaint became final without further Commission action by Final Order entered December</w:t>
      </w:r>
      <w:r w:rsidR="003A68C0">
        <w:rPr>
          <w:bCs/>
          <w:sz w:val="26"/>
          <w:szCs w:val="26"/>
        </w:rPr>
        <w:t> </w:t>
      </w:r>
      <w:r w:rsidR="00CD710E">
        <w:rPr>
          <w:bCs/>
          <w:sz w:val="26"/>
          <w:szCs w:val="26"/>
        </w:rPr>
        <w:t>12,</w:t>
      </w:r>
      <w:r w:rsidR="003A68C0">
        <w:rPr>
          <w:bCs/>
          <w:sz w:val="26"/>
          <w:szCs w:val="26"/>
        </w:rPr>
        <w:t> </w:t>
      </w:r>
      <w:r w:rsidR="00CD710E">
        <w:rPr>
          <w:bCs/>
          <w:sz w:val="26"/>
          <w:szCs w:val="26"/>
        </w:rPr>
        <w:t>2019</w:t>
      </w:r>
      <w:r w:rsidR="009C0560">
        <w:rPr>
          <w:bCs/>
          <w:sz w:val="26"/>
          <w:szCs w:val="26"/>
        </w:rPr>
        <w:t xml:space="preserve"> (</w:t>
      </w:r>
      <w:r w:rsidR="009C0560">
        <w:rPr>
          <w:bCs/>
          <w:i/>
          <w:iCs/>
          <w:sz w:val="26"/>
          <w:szCs w:val="26"/>
        </w:rPr>
        <w:t>December 12, 2019 Final Order</w:t>
      </w:r>
      <w:r w:rsidR="009C0560">
        <w:rPr>
          <w:bCs/>
          <w:sz w:val="26"/>
          <w:szCs w:val="26"/>
        </w:rPr>
        <w:t>)</w:t>
      </w:r>
      <w:r w:rsidR="00CD710E">
        <w:rPr>
          <w:bCs/>
          <w:sz w:val="26"/>
          <w:szCs w:val="26"/>
        </w:rPr>
        <w:t>, by Commission Secretary Rosemary Chiavetta</w:t>
      </w:r>
      <w:r>
        <w:rPr>
          <w:bCs/>
          <w:sz w:val="26"/>
          <w:szCs w:val="26"/>
        </w:rPr>
        <w:t xml:space="preserve"> pursuant to the provisions of Section 332(h) of the Public Utility Code</w:t>
      </w:r>
      <w:r w:rsidR="00845A28">
        <w:rPr>
          <w:bCs/>
          <w:sz w:val="26"/>
          <w:szCs w:val="26"/>
        </w:rPr>
        <w:t xml:space="preserve"> (Code)</w:t>
      </w:r>
      <w:r>
        <w:rPr>
          <w:bCs/>
          <w:sz w:val="26"/>
          <w:szCs w:val="26"/>
        </w:rPr>
        <w:t xml:space="preserve">, 66 Pa. C.S. </w:t>
      </w:r>
      <w:r w:rsidRPr="00260BF9">
        <w:rPr>
          <w:sz w:val="26"/>
          <w:szCs w:val="26"/>
        </w:rPr>
        <w:t>§</w:t>
      </w:r>
      <w:r>
        <w:rPr>
          <w:bCs/>
          <w:sz w:val="26"/>
          <w:szCs w:val="26"/>
        </w:rPr>
        <w:t xml:space="preserve"> 332(h)</w:t>
      </w:r>
      <w:r w:rsidR="00CD710E">
        <w:rPr>
          <w:bCs/>
          <w:sz w:val="26"/>
          <w:szCs w:val="26"/>
        </w:rPr>
        <w:t>.</w:t>
      </w:r>
    </w:p>
    <w:p w14:paraId="0CD24BC4" w14:textId="77777777" w:rsidR="006F76DA" w:rsidRDefault="006F76DA" w:rsidP="00E71982">
      <w:pPr>
        <w:widowControl/>
        <w:spacing w:line="360" w:lineRule="auto"/>
        <w:ind w:firstLine="1440"/>
        <w:rPr>
          <w:bCs/>
          <w:sz w:val="26"/>
          <w:szCs w:val="26"/>
        </w:rPr>
      </w:pPr>
    </w:p>
    <w:p w14:paraId="3FE2BE7F" w14:textId="72BD9837" w:rsidR="00260BF9" w:rsidRDefault="006F76DA" w:rsidP="00CD381A">
      <w:pPr>
        <w:widowControl/>
        <w:spacing w:line="360" w:lineRule="auto"/>
        <w:ind w:hanging="90"/>
        <w:jc w:val="center"/>
        <w:rPr>
          <w:bCs/>
          <w:sz w:val="26"/>
          <w:szCs w:val="26"/>
        </w:rPr>
      </w:pPr>
      <w:r>
        <w:rPr>
          <w:b/>
          <w:sz w:val="26"/>
          <w:szCs w:val="26"/>
        </w:rPr>
        <w:t>History of the Proceeding</w:t>
      </w:r>
    </w:p>
    <w:p w14:paraId="3084D3C9" w14:textId="77777777" w:rsidR="006F76DA" w:rsidRDefault="006F76DA" w:rsidP="00585465">
      <w:pPr>
        <w:widowControl/>
        <w:spacing w:line="360" w:lineRule="auto"/>
        <w:rPr>
          <w:bCs/>
          <w:sz w:val="26"/>
          <w:szCs w:val="26"/>
        </w:rPr>
      </w:pPr>
    </w:p>
    <w:p w14:paraId="049C5AED" w14:textId="41CA29C8" w:rsidR="00260BF9" w:rsidRDefault="00260BF9" w:rsidP="00CD710E">
      <w:pPr>
        <w:widowControl/>
        <w:spacing w:line="360" w:lineRule="auto"/>
        <w:ind w:firstLine="1440"/>
        <w:rPr>
          <w:bCs/>
          <w:sz w:val="26"/>
          <w:szCs w:val="26"/>
        </w:rPr>
      </w:pPr>
      <w:r>
        <w:rPr>
          <w:bCs/>
          <w:sz w:val="26"/>
          <w:szCs w:val="26"/>
        </w:rPr>
        <w:t>On July 16, 2020,</w:t>
      </w:r>
      <w:r w:rsidR="00E71982">
        <w:rPr>
          <w:bCs/>
          <w:sz w:val="26"/>
          <w:szCs w:val="26"/>
        </w:rPr>
        <w:t xml:space="preserve"> the</w:t>
      </w:r>
      <w:r>
        <w:rPr>
          <w:bCs/>
          <w:sz w:val="26"/>
          <w:szCs w:val="26"/>
        </w:rPr>
        <w:t xml:space="preserve"> Complainant filed this Complaint with the Commission against DLC alleging that her DLC electric bill</w:t>
      </w:r>
      <w:r w:rsidR="00A61CB6">
        <w:rPr>
          <w:bCs/>
          <w:sz w:val="26"/>
          <w:szCs w:val="26"/>
        </w:rPr>
        <w:t xml:space="preserve"> for the month of February</w:t>
      </w:r>
      <w:r w:rsidR="00B30147">
        <w:rPr>
          <w:bCs/>
          <w:sz w:val="26"/>
          <w:szCs w:val="26"/>
        </w:rPr>
        <w:t> </w:t>
      </w:r>
      <w:r w:rsidR="00A61CB6">
        <w:rPr>
          <w:bCs/>
          <w:sz w:val="26"/>
          <w:szCs w:val="26"/>
        </w:rPr>
        <w:t>2020</w:t>
      </w:r>
      <w:r>
        <w:rPr>
          <w:bCs/>
          <w:sz w:val="26"/>
          <w:szCs w:val="26"/>
        </w:rPr>
        <w:t xml:space="preserve"> include</w:t>
      </w:r>
      <w:r w:rsidR="00A61CB6">
        <w:rPr>
          <w:bCs/>
          <w:sz w:val="26"/>
          <w:szCs w:val="26"/>
        </w:rPr>
        <w:t>s</w:t>
      </w:r>
      <w:r>
        <w:rPr>
          <w:bCs/>
          <w:sz w:val="26"/>
          <w:szCs w:val="26"/>
        </w:rPr>
        <w:t xml:space="preserve"> incorrect high charges and that her “account balance and smart energy meter is defective.”  As relief, </w:t>
      </w:r>
      <w:r w:rsidR="00E71982">
        <w:rPr>
          <w:bCs/>
          <w:sz w:val="26"/>
          <w:szCs w:val="26"/>
        </w:rPr>
        <w:t xml:space="preserve">the </w:t>
      </w:r>
      <w:r w:rsidR="00A61CB6">
        <w:rPr>
          <w:bCs/>
          <w:sz w:val="26"/>
          <w:szCs w:val="26"/>
        </w:rPr>
        <w:t>Complainant request</w:t>
      </w:r>
      <w:r w:rsidR="00E71982">
        <w:rPr>
          <w:bCs/>
          <w:sz w:val="26"/>
          <w:szCs w:val="26"/>
        </w:rPr>
        <w:t>ed</w:t>
      </w:r>
      <w:r w:rsidR="00A61CB6">
        <w:rPr>
          <w:bCs/>
          <w:sz w:val="26"/>
          <w:szCs w:val="26"/>
        </w:rPr>
        <w:t xml:space="preserve"> that the bill </w:t>
      </w:r>
      <w:r w:rsidR="0049532B">
        <w:rPr>
          <w:bCs/>
          <w:sz w:val="26"/>
          <w:szCs w:val="26"/>
        </w:rPr>
        <w:t>be “expunged” and that all billings cease until this matter is resolved.</w:t>
      </w:r>
      <w:r w:rsidR="00737221">
        <w:rPr>
          <w:bCs/>
          <w:sz w:val="26"/>
          <w:szCs w:val="26"/>
        </w:rPr>
        <w:t xml:space="preserve">  Complaint at 2-3. </w:t>
      </w:r>
    </w:p>
    <w:p w14:paraId="08EADBD4" w14:textId="350001F3" w:rsidR="0049532B" w:rsidRDefault="0049532B" w:rsidP="00CD710E">
      <w:pPr>
        <w:widowControl/>
        <w:spacing w:line="360" w:lineRule="auto"/>
        <w:ind w:firstLine="1440"/>
        <w:rPr>
          <w:bCs/>
          <w:sz w:val="26"/>
          <w:szCs w:val="26"/>
        </w:rPr>
      </w:pPr>
    </w:p>
    <w:p w14:paraId="1E775A06" w14:textId="26B51925" w:rsidR="0064109D" w:rsidRDefault="0049532B" w:rsidP="00CD710E">
      <w:pPr>
        <w:widowControl/>
        <w:spacing w:line="360" w:lineRule="auto"/>
        <w:ind w:firstLine="1440"/>
        <w:rPr>
          <w:bCs/>
          <w:sz w:val="26"/>
          <w:szCs w:val="26"/>
        </w:rPr>
      </w:pPr>
      <w:r>
        <w:rPr>
          <w:bCs/>
          <w:sz w:val="26"/>
          <w:szCs w:val="26"/>
        </w:rPr>
        <w:t>On August 25, 2020, DLC filed an Answer and New Matter to the Complaint</w:t>
      </w:r>
      <w:r w:rsidR="003D17EC">
        <w:rPr>
          <w:bCs/>
          <w:sz w:val="26"/>
          <w:szCs w:val="26"/>
        </w:rPr>
        <w:t xml:space="preserve"> (Answer and New Matter)</w:t>
      </w:r>
      <w:r>
        <w:rPr>
          <w:bCs/>
          <w:sz w:val="26"/>
          <w:szCs w:val="26"/>
        </w:rPr>
        <w:t xml:space="preserve">.  In its Answer, DLC avers </w:t>
      </w:r>
      <w:r w:rsidR="00E71982">
        <w:rPr>
          <w:bCs/>
          <w:sz w:val="26"/>
          <w:szCs w:val="26"/>
        </w:rPr>
        <w:t xml:space="preserve">the </w:t>
      </w:r>
      <w:r>
        <w:rPr>
          <w:bCs/>
          <w:sz w:val="26"/>
          <w:szCs w:val="26"/>
        </w:rPr>
        <w:t>Complainant seeks to relitigate issues already decided in the previous case noted above at Docket No. F</w:t>
      </w:r>
      <w:r w:rsidR="003A68C0">
        <w:rPr>
          <w:bCs/>
          <w:sz w:val="26"/>
          <w:szCs w:val="26"/>
        </w:rPr>
        <w:noBreakHyphen/>
      </w:r>
      <w:r>
        <w:rPr>
          <w:bCs/>
          <w:sz w:val="26"/>
          <w:szCs w:val="26"/>
        </w:rPr>
        <w:t xml:space="preserve">2018-3003226.  While the two complaints involved bills from different time periods, DLC avers that </w:t>
      </w:r>
      <w:r w:rsidR="00E71982">
        <w:rPr>
          <w:bCs/>
          <w:sz w:val="26"/>
          <w:szCs w:val="26"/>
        </w:rPr>
        <w:t xml:space="preserve">the </w:t>
      </w:r>
      <w:r>
        <w:rPr>
          <w:bCs/>
          <w:sz w:val="26"/>
          <w:szCs w:val="26"/>
        </w:rPr>
        <w:t xml:space="preserve">Complainant’s allegations concerning the accuracy of her bill and of her smart meter have already been fully litigated in the first case and subject to a final order dismissing the First Complaint.  </w:t>
      </w:r>
      <w:r w:rsidR="00484CB3">
        <w:rPr>
          <w:bCs/>
          <w:sz w:val="26"/>
          <w:szCs w:val="26"/>
        </w:rPr>
        <w:t xml:space="preserve">Answer </w:t>
      </w:r>
      <w:r w:rsidR="00FC36D3">
        <w:rPr>
          <w:bCs/>
          <w:sz w:val="26"/>
          <w:szCs w:val="26"/>
        </w:rPr>
        <w:t xml:space="preserve">and New Matter </w:t>
      </w:r>
      <w:r w:rsidR="00484CB3">
        <w:rPr>
          <w:bCs/>
          <w:sz w:val="26"/>
          <w:szCs w:val="26"/>
        </w:rPr>
        <w:t xml:space="preserve">at 2-4.  </w:t>
      </w:r>
      <w:r>
        <w:rPr>
          <w:bCs/>
          <w:sz w:val="26"/>
          <w:szCs w:val="26"/>
        </w:rPr>
        <w:t>Incorporating the paragraphs of its Answer into New Matter, DLC request</w:t>
      </w:r>
      <w:r w:rsidR="0026626E">
        <w:rPr>
          <w:bCs/>
          <w:sz w:val="26"/>
          <w:szCs w:val="26"/>
        </w:rPr>
        <w:t>ed</w:t>
      </w:r>
      <w:r>
        <w:rPr>
          <w:bCs/>
          <w:sz w:val="26"/>
          <w:szCs w:val="26"/>
        </w:rPr>
        <w:t xml:space="preserve"> that the Commission dismiss the Complaint in the instant proceeding with prejudice pursuant to the doctrine of collateral estoppel. </w:t>
      </w:r>
      <w:r w:rsidR="007F3A97">
        <w:rPr>
          <w:bCs/>
          <w:sz w:val="26"/>
          <w:szCs w:val="26"/>
        </w:rPr>
        <w:t xml:space="preserve"> </w:t>
      </w:r>
      <w:r w:rsidR="001159F4">
        <w:rPr>
          <w:bCs/>
          <w:sz w:val="26"/>
          <w:szCs w:val="26"/>
        </w:rPr>
        <w:t>Specifically, DLC</w:t>
      </w:r>
      <w:r w:rsidR="000B08D6">
        <w:rPr>
          <w:bCs/>
          <w:sz w:val="26"/>
          <w:szCs w:val="26"/>
        </w:rPr>
        <w:t xml:space="preserve"> raise</w:t>
      </w:r>
      <w:r w:rsidR="00781854">
        <w:rPr>
          <w:bCs/>
          <w:sz w:val="26"/>
          <w:szCs w:val="26"/>
        </w:rPr>
        <w:t>d</w:t>
      </w:r>
      <w:r w:rsidR="00B06ED0">
        <w:rPr>
          <w:bCs/>
          <w:sz w:val="26"/>
          <w:szCs w:val="26"/>
        </w:rPr>
        <w:t xml:space="preserve">, </w:t>
      </w:r>
      <w:r w:rsidR="00B06ED0" w:rsidRPr="0052312D">
        <w:rPr>
          <w:bCs/>
          <w:i/>
          <w:iCs/>
          <w:sz w:val="26"/>
          <w:szCs w:val="26"/>
        </w:rPr>
        <w:t>inter alia</w:t>
      </w:r>
      <w:r w:rsidR="00B06ED0">
        <w:rPr>
          <w:bCs/>
          <w:sz w:val="26"/>
          <w:szCs w:val="26"/>
        </w:rPr>
        <w:t xml:space="preserve">, </w:t>
      </w:r>
      <w:r w:rsidR="00781854">
        <w:rPr>
          <w:bCs/>
          <w:sz w:val="26"/>
          <w:szCs w:val="26"/>
        </w:rPr>
        <w:t xml:space="preserve">that the current and </w:t>
      </w:r>
      <w:r w:rsidR="0026626E">
        <w:rPr>
          <w:bCs/>
          <w:sz w:val="26"/>
          <w:szCs w:val="26"/>
        </w:rPr>
        <w:t>the</w:t>
      </w:r>
      <w:r w:rsidR="00781854">
        <w:rPr>
          <w:bCs/>
          <w:sz w:val="26"/>
          <w:szCs w:val="26"/>
        </w:rPr>
        <w:t xml:space="preserve"> </w:t>
      </w:r>
      <w:r w:rsidR="0026626E">
        <w:rPr>
          <w:bCs/>
          <w:sz w:val="26"/>
          <w:szCs w:val="26"/>
        </w:rPr>
        <w:t>First C</w:t>
      </w:r>
      <w:r w:rsidR="00781854">
        <w:rPr>
          <w:bCs/>
          <w:sz w:val="26"/>
          <w:szCs w:val="26"/>
        </w:rPr>
        <w:t xml:space="preserve">omplaint filed by the Complainant against </w:t>
      </w:r>
      <w:r w:rsidR="00292071">
        <w:rPr>
          <w:bCs/>
          <w:sz w:val="26"/>
          <w:szCs w:val="26"/>
        </w:rPr>
        <w:t>DLC</w:t>
      </w:r>
      <w:r w:rsidR="00781854">
        <w:rPr>
          <w:bCs/>
          <w:sz w:val="26"/>
          <w:szCs w:val="26"/>
        </w:rPr>
        <w:t xml:space="preserve"> raised the same issue, that all four elements of collateral estoppel </w:t>
      </w:r>
      <w:r w:rsidR="00054FB6">
        <w:rPr>
          <w:bCs/>
          <w:sz w:val="26"/>
          <w:szCs w:val="26"/>
        </w:rPr>
        <w:t xml:space="preserve">were met and that the allegation that there are incorrect </w:t>
      </w:r>
      <w:r w:rsidR="00054FB6">
        <w:rPr>
          <w:bCs/>
          <w:sz w:val="26"/>
          <w:szCs w:val="26"/>
        </w:rPr>
        <w:lastRenderedPageBreak/>
        <w:t>charges on the Complainant’s bills must be dismissed because all four element</w:t>
      </w:r>
      <w:r w:rsidR="006B6671">
        <w:rPr>
          <w:bCs/>
          <w:sz w:val="26"/>
          <w:szCs w:val="26"/>
        </w:rPr>
        <w:t>s</w:t>
      </w:r>
      <w:r w:rsidR="00054FB6">
        <w:rPr>
          <w:bCs/>
          <w:sz w:val="26"/>
          <w:szCs w:val="26"/>
        </w:rPr>
        <w:t xml:space="preserve"> of the </w:t>
      </w:r>
      <w:r w:rsidR="00B3252A">
        <w:rPr>
          <w:bCs/>
          <w:sz w:val="26"/>
          <w:szCs w:val="26"/>
        </w:rPr>
        <w:t>collateral estoppel doctrine are satisfied</w:t>
      </w:r>
      <w:r w:rsidR="004742CD">
        <w:rPr>
          <w:bCs/>
          <w:sz w:val="26"/>
          <w:szCs w:val="26"/>
        </w:rPr>
        <w:t xml:space="preserve"> </w:t>
      </w:r>
      <w:r w:rsidR="00B06ED0">
        <w:rPr>
          <w:bCs/>
          <w:sz w:val="26"/>
          <w:szCs w:val="26"/>
        </w:rPr>
        <w:t>i</w:t>
      </w:r>
      <w:r w:rsidR="00B61567">
        <w:rPr>
          <w:bCs/>
          <w:sz w:val="26"/>
          <w:szCs w:val="26"/>
        </w:rPr>
        <w:t xml:space="preserve">n </w:t>
      </w:r>
      <w:r w:rsidR="00B3252A">
        <w:rPr>
          <w:bCs/>
          <w:sz w:val="26"/>
          <w:szCs w:val="26"/>
        </w:rPr>
        <w:t xml:space="preserve">the </w:t>
      </w:r>
      <w:r w:rsidR="00B61567">
        <w:rPr>
          <w:bCs/>
          <w:sz w:val="26"/>
          <w:szCs w:val="26"/>
        </w:rPr>
        <w:t>New Matter</w:t>
      </w:r>
      <w:r w:rsidR="00B3252A">
        <w:rPr>
          <w:bCs/>
          <w:sz w:val="26"/>
          <w:szCs w:val="26"/>
        </w:rPr>
        <w:t xml:space="preserve">. </w:t>
      </w:r>
      <w:r w:rsidR="00B61567">
        <w:rPr>
          <w:bCs/>
          <w:sz w:val="26"/>
          <w:szCs w:val="26"/>
        </w:rPr>
        <w:t xml:space="preserve"> </w:t>
      </w:r>
      <w:r w:rsidR="00467DD1">
        <w:rPr>
          <w:bCs/>
          <w:sz w:val="26"/>
          <w:szCs w:val="26"/>
        </w:rPr>
        <w:t>The Complainant did not file a reply to</w:t>
      </w:r>
      <w:r w:rsidR="004742CD">
        <w:rPr>
          <w:bCs/>
          <w:sz w:val="26"/>
          <w:szCs w:val="26"/>
        </w:rPr>
        <w:t xml:space="preserve"> </w:t>
      </w:r>
      <w:r w:rsidR="00AA0577">
        <w:rPr>
          <w:bCs/>
          <w:sz w:val="26"/>
          <w:szCs w:val="26"/>
        </w:rPr>
        <w:t>New Matter</w:t>
      </w:r>
      <w:r w:rsidR="00467DD1">
        <w:rPr>
          <w:bCs/>
          <w:sz w:val="26"/>
          <w:szCs w:val="26"/>
        </w:rPr>
        <w:t>.</w:t>
      </w:r>
      <w:r w:rsidR="004B5FBA">
        <w:rPr>
          <w:rStyle w:val="FootnoteReference"/>
          <w:bCs/>
          <w:sz w:val="26"/>
          <w:szCs w:val="26"/>
        </w:rPr>
        <w:footnoteReference w:id="2"/>
      </w:r>
      <w:r w:rsidR="00AA0577">
        <w:rPr>
          <w:bCs/>
          <w:sz w:val="26"/>
          <w:szCs w:val="26"/>
        </w:rPr>
        <w:t xml:space="preserve"> </w:t>
      </w:r>
    </w:p>
    <w:p w14:paraId="228142E1" w14:textId="77777777" w:rsidR="0064109D" w:rsidRDefault="0064109D" w:rsidP="00CD710E">
      <w:pPr>
        <w:widowControl/>
        <w:spacing w:line="360" w:lineRule="auto"/>
        <w:ind w:firstLine="1440"/>
        <w:rPr>
          <w:bCs/>
          <w:sz w:val="26"/>
          <w:szCs w:val="26"/>
        </w:rPr>
      </w:pPr>
    </w:p>
    <w:p w14:paraId="784F932E" w14:textId="3B0D44DA" w:rsidR="0064109D" w:rsidRDefault="0064109D" w:rsidP="006A4F59">
      <w:pPr>
        <w:widowControl/>
        <w:spacing w:line="360" w:lineRule="auto"/>
        <w:ind w:firstLine="1440"/>
        <w:rPr>
          <w:bCs/>
          <w:sz w:val="26"/>
          <w:szCs w:val="26"/>
        </w:rPr>
      </w:pPr>
      <w:r>
        <w:rPr>
          <w:bCs/>
          <w:sz w:val="26"/>
          <w:szCs w:val="26"/>
        </w:rPr>
        <w:t xml:space="preserve">On September 21, 2020, DLC filed a Motion for Judgment on the Pleadings </w:t>
      </w:r>
      <w:r w:rsidR="00E45682">
        <w:rPr>
          <w:bCs/>
          <w:sz w:val="26"/>
          <w:szCs w:val="26"/>
        </w:rPr>
        <w:t xml:space="preserve">(Motion) </w:t>
      </w:r>
      <w:r>
        <w:rPr>
          <w:bCs/>
          <w:sz w:val="26"/>
          <w:szCs w:val="26"/>
        </w:rPr>
        <w:t xml:space="preserve">averring that the </w:t>
      </w:r>
      <w:r w:rsidR="00AF5A13">
        <w:rPr>
          <w:bCs/>
          <w:sz w:val="26"/>
          <w:szCs w:val="26"/>
        </w:rPr>
        <w:t xml:space="preserve">matter has already been litigated and that Ms. Leininger is not entitled </w:t>
      </w:r>
      <w:r>
        <w:rPr>
          <w:bCs/>
          <w:sz w:val="26"/>
          <w:szCs w:val="26"/>
        </w:rPr>
        <w:t xml:space="preserve">to relitigate the </w:t>
      </w:r>
      <w:r w:rsidR="00997E24">
        <w:rPr>
          <w:bCs/>
          <w:sz w:val="26"/>
          <w:szCs w:val="26"/>
        </w:rPr>
        <w:t xml:space="preserve">issues. </w:t>
      </w:r>
      <w:r w:rsidR="005D0DBF">
        <w:rPr>
          <w:bCs/>
          <w:sz w:val="26"/>
          <w:szCs w:val="26"/>
        </w:rPr>
        <w:t xml:space="preserve"> </w:t>
      </w:r>
      <w:r w:rsidR="001B772E">
        <w:rPr>
          <w:bCs/>
          <w:sz w:val="26"/>
          <w:szCs w:val="26"/>
        </w:rPr>
        <w:t xml:space="preserve">Motion at 2-6. </w:t>
      </w:r>
    </w:p>
    <w:p w14:paraId="48BBDC53" w14:textId="77777777" w:rsidR="0064109D" w:rsidRDefault="0064109D" w:rsidP="0064109D">
      <w:pPr>
        <w:widowControl/>
        <w:spacing w:line="360" w:lineRule="auto"/>
        <w:rPr>
          <w:bCs/>
          <w:sz w:val="26"/>
          <w:szCs w:val="26"/>
        </w:rPr>
      </w:pPr>
    </w:p>
    <w:p w14:paraId="5D1A4C4B" w14:textId="1B1B3920" w:rsidR="005E75B2" w:rsidRDefault="007D79E5" w:rsidP="0064109D">
      <w:pPr>
        <w:widowControl/>
        <w:spacing w:line="360" w:lineRule="auto"/>
        <w:ind w:firstLine="1440"/>
        <w:rPr>
          <w:bCs/>
          <w:sz w:val="26"/>
          <w:szCs w:val="26"/>
        </w:rPr>
      </w:pPr>
      <w:r>
        <w:rPr>
          <w:bCs/>
          <w:sz w:val="26"/>
          <w:szCs w:val="26"/>
        </w:rPr>
        <w:t xml:space="preserve">On October 7, 2020, </w:t>
      </w:r>
      <w:r w:rsidR="00E71982">
        <w:rPr>
          <w:bCs/>
          <w:sz w:val="26"/>
          <w:szCs w:val="26"/>
        </w:rPr>
        <w:t xml:space="preserve">the </w:t>
      </w:r>
      <w:r>
        <w:rPr>
          <w:bCs/>
          <w:sz w:val="26"/>
          <w:szCs w:val="26"/>
        </w:rPr>
        <w:t xml:space="preserve">Complainant filed a response to the Motion for Judgment on the Pleadings </w:t>
      </w:r>
      <w:r w:rsidR="00997E24">
        <w:rPr>
          <w:bCs/>
          <w:sz w:val="26"/>
          <w:szCs w:val="26"/>
        </w:rPr>
        <w:t>in which she claimed that the meter is no</w:t>
      </w:r>
      <w:r w:rsidR="00BE43FF">
        <w:rPr>
          <w:bCs/>
          <w:sz w:val="26"/>
          <w:szCs w:val="26"/>
        </w:rPr>
        <w:t>t at</w:t>
      </w:r>
      <w:r w:rsidR="00997E24">
        <w:rPr>
          <w:bCs/>
          <w:sz w:val="26"/>
          <w:szCs w:val="26"/>
        </w:rPr>
        <w:t xml:space="preserve"> issue</w:t>
      </w:r>
      <w:r w:rsidR="00BE43FF">
        <w:rPr>
          <w:bCs/>
          <w:sz w:val="26"/>
          <w:szCs w:val="26"/>
        </w:rPr>
        <w:t xml:space="preserve"> but that the transformer is the real cause of the high bill.</w:t>
      </w:r>
      <w:r>
        <w:rPr>
          <w:bCs/>
          <w:sz w:val="26"/>
          <w:szCs w:val="26"/>
        </w:rPr>
        <w:t xml:space="preserve">  Response in Opposition to Motion for Judgment on the Pleadings at 2.  </w:t>
      </w:r>
    </w:p>
    <w:p w14:paraId="3D7ACA7C" w14:textId="77777777" w:rsidR="005E75B2" w:rsidRDefault="005E75B2" w:rsidP="0064109D">
      <w:pPr>
        <w:widowControl/>
        <w:spacing w:line="360" w:lineRule="auto"/>
        <w:ind w:firstLine="1440"/>
        <w:rPr>
          <w:bCs/>
          <w:sz w:val="26"/>
          <w:szCs w:val="26"/>
        </w:rPr>
      </w:pPr>
    </w:p>
    <w:p w14:paraId="7A962EA6" w14:textId="474374A0" w:rsidR="00FE570C" w:rsidRDefault="007D79E5" w:rsidP="0064109D">
      <w:pPr>
        <w:widowControl/>
        <w:spacing w:line="360" w:lineRule="auto"/>
        <w:ind w:firstLine="1440"/>
        <w:rPr>
          <w:bCs/>
          <w:sz w:val="26"/>
          <w:szCs w:val="26"/>
        </w:rPr>
      </w:pPr>
      <w:r>
        <w:rPr>
          <w:bCs/>
          <w:sz w:val="26"/>
          <w:szCs w:val="26"/>
        </w:rPr>
        <w:t xml:space="preserve">On </w:t>
      </w:r>
      <w:r w:rsidR="00A061C7">
        <w:rPr>
          <w:bCs/>
          <w:sz w:val="26"/>
          <w:szCs w:val="26"/>
        </w:rPr>
        <w:t>January 6</w:t>
      </w:r>
      <w:r>
        <w:rPr>
          <w:bCs/>
          <w:sz w:val="26"/>
          <w:szCs w:val="26"/>
        </w:rPr>
        <w:t>, 202</w:t>
      </w:r>
      <w:r w:rsidR="00A061C7">
        <w:rPr>
          <w:bCs/>
          <w:sz w:val="26"/>
          <w:szCs w:val="26"/>
        </w:rPr>
        <w:t>1</w:t>
      </w:r>
      <w:r>
        <w:rPr>
          <w:bCs/>
          <w:sz w:val="26"/>
          <w:szCs w:val="26"/>
        </w:rPr>
        <w:t>, the ALJ issued his Initial Decision granting the Motion for Judgment on the Pleadings</w:t>
      </w:r>
      <w:r w:rsidR="0016716D">
        <w:rPr>
          <w:bCs/>
          <w:sz w:val="26"/>
          <w:szCs w:val="26"/>
        </w:rPr>
        <w:t xml:space="preserve"> and</w:t>
      </w:r>
      <w:r>
        <w:rPr>
          <w:bCs/>
          <w:sz w:val="26"/>
          <w:szCs w:val="26"/>
        </w:rPr>
        <w:t xml:space="preserve"> dismissing the Complaint.</w:t>
      </w:r>
      <w:r w:rsidR="0016716D">
        <w:rPr>
          <w:bCs/>
          <w:sz w:val="26"/>
          <w:szCs w:val="26"/>
        </w:rPr>
        <w:t xml:space="preserve">  In so concluding, the ALJ found that </w:t>
      </w:r>
      <w:r w:rsidR="00237309">
        <w:rPr>
          <w:bCs/>
          <w:sz w:val="26"/>
          <w:szCs w:val="26"/>
        </w:rPr>
        <w:t>r</w:t>
      </w:r>
      <w:r w:rsidR="00671D61">
        <w:rPr>
          <w:bCs/>
          <w:sz w:val="26"/>
          <w:szCs w:val="26"/>
        </w:rPr>
        <w:t>e-litigation of the issues was barred</w:t>
      </w:r>
      <w:r w:rsidR="0016716D">
        <w:rPr>
          <w:bCs/>
          <w:sz w:val="26"/>
          <w:szCs w:val="26"/>
        </w:rPr>
        <w:t xml:space="preserve"> by both the doctrines of </w:t>
      </w:r>
      <w:r w:rsidR="0016716D">
        <w:rPr>
          <w:bCs/>
          <w:i/>
          <w:iCs/>
          <w:sz w:val="26"/>
          <w:szCs w:val="26"/>
        </w:rPr>
        <w:t>res judicata</w:t>
      </w:r>
      <w:r w:rsidR="0016716D">
        <w:rPr>
          <w:bCs/>
          <w:sz w:val="26"/>
          <w:szCs w:val="26"/>
        </w:rPr>
        <w:t xml:space="preserve"> and collateral estoppel</w:t>
      </w:r>
      <w:r w:rsidR="0015216F">
        <w:rPr>
          <w:bCs/>
          <w:sz w:val="26"/>
          <w:szCs w:val="26"/>
        </w:rPr>
        <w:t xml:space="preserve"> and by Section 316 of the Code, </w:t>
      </w:r>
      <w:r w:rsidR="00BB427A">
        <w:rPr>
          <w:bCs/>
          <w:sz w:val="26"/>
          <w:szCs w:val="26"/>
        </w:rPr>
        <w:t>6</w:t>
      </w:r>
      <w:r w:rsidR="0015216F">
        <w:rPr>
          <w:bCs/>
          <w:sz w:val="26"/>
          <w:szCs w:val="26"/>
        </w:rPr>
        <w:t xml:space="preserve">6 Pa. C.S. </w:t>
      </w:r>
      <w:r w:rsidR="0015216F" w:rsidRPr="00260BF9">
        <w:rPr>
          <w:sz w:val="26"/>
          <w:szCs w:val="26"/>
        </w:rPr>
        <w:t>§</w:t>
      </w:r>
      <w:r w:rsidR="0015216F">
        <w:rPr>
          <w:sz w:val="26"/>
          <w:szCs w:val="26"/>
        </w:rPr>
        <w:t xml:space="preserve"> 316</w:t>
      </w:r>
      <w:r w:rsidR="0016716D">
        <w:rPr>
          <w:bCs/>
          <w:sz w:val="26"/>
          <w:szCs w:val="26"/>
        </w:rPr>
        <w:t>.</w:t>
      </w:r>
      <w:r w:rsidR="00F94922">
        <w:rPr>
          <w:bCs/>
          <w:sz w:val="26"/>
          <w:szCs w:val="26"/>
        </w:rPr>
        <w:t xml:space="preserve">  The ALJ also </w:t>
      </w:r>
      <w:r w:rsidR="0015216F">
        <w:rPr>
          <w:bCs/>
          <w:sz w:val="26"/>
          <w:szCs w:val="26"/>
        </w:rPr>
        <w:t>determined</w:t>
      </w:r>
      <w:r w:rsidR="00F94922">
        <w:rPr>
          <w:bCs/>
          <w:sz w:val="26"/>
          <w:szCs w:val="26"/>
        </w:rPr>
        <w:t xml:space="preserve"> that </w:t>
      </w:r>
      <w:r w:rsidR="00E71982">
        <w:rPr>
          <w:bCs/>
          <w:sz w:val="26"/>
          <w:szCs w:val="26"/>
        </w:rPr>
        <w:t xml:space="preserve">the </w:t>
      </w:r>
      <w:r w:rsidR="00F94922">
        <w:rPr>
          <w:bCs/>
          <w:sz w:val="26"/>
          <w:szCs w:val="26"/>
        </w:rPr>
        <w:t xml:space="preserve">Complainant’s new assertion about a defective transformer </w:t>
      </w:r>
      <w:r w:rsidR="002A7D89">
        <w:rPr>
          <w:bCs/>
          <w:sz w:val="26"/>
          <w:szCs w:val="26"/>
        </w:rPr>
        <w:t xml:space="preserve">was not raised in the </w:t>
      </w:r>
      <w:r w:rsidR="009D0A07">
        <w:rPr>
          <w:bCs/>
          <w:sz w:val="26"/>
          <w:szCs w:val="26"/>
        </w:rPr>
        <w:t xml:space="preserve">instant </w:t>
      </w:r>
      <w:r w:rsidR="002A7D89">
        <w:rPr>
          <w:bCs/>
          <w:sz w:val="26"/>
          <w:szCs w:val="26"/>
        </w:rPr>
        <w:t>Complaint</w:t>
      </w:r>
      <w:r w:rsidR="00DD3771">
        <w:rPr>
          <w:bCs/>
          <w:sz w:val="26"/>
          <w:szCs w:val="26"/>
        </w:rPr>
        <w:t xml:space="preserve"> but was only raised in her Answer to the Motion</w:t>
      </w:r>
      <w:r w:rsidR="00095339">
        <w:rPr>
          <w:bCs/>
          <w:sz w:val="26"/>
          <w:szCs w:val="26"/>
        </w:rPr>
        <w:t xml:space="preserve"> since</w:t>
      </w:r>
      <w:r w:rsidR="005E75B2">
        <w:rPr>
          <w:bCs/>
          <w:sz w:val="26"/>
          <w:szCs w:val="26"/>
        </w:rPr>
        <w:t xml:space="preserve"> there were no allegations made that the power supply to the service address was inadequate, that a surge occurred, or that any appliances were damaged </w:t>
      </w:r>
      <w:proofErr w:type="gramStart"/>
      <w:r w:rsidR="005E75B2">
        <w:rPr>
          <w:bCs/>
          <w:sz w:val="26"/>
          <w:szCs w:val="26"/>
        </w:rPr>
        <w:t>as a result of</w:t>
      </w:r>
      <w:proofErr w:type="gramEnd"/>
      <w:r w:rsidR="005E75B2">
        <w:rPr>
          <w:bCs/>
          <w:sz w:val="26"/>
          <w:szCs w:val="26"/>
        </w:rPr>
        <w:t xml:space="preserve"> the electricity entering the house through the smart meter</w:t>
      </w:r>
      <w:r w:rsidR="00F94922">
        <w:rPr>
          <w:bCs/>
          <w:sz w:val="26"/>
          <w:szCs w:val="26"/>
        </w:rPr>
        <w:t>.</w:t>
      </w:r>
      <w:r w:rsidR="00AB4D30">
        <w:rPr>
          <w:sz w:val="26"/>
          <w:szCs w:val="26"/>
        </w:rPr>
        <w:t xml:space="preserve">  I.D. at 4-6.</w:t>
      </w:r>
    </w:p>
    <w:p w14:paraId="0AA0B85B" w14:textId="77777777" w:rsidR="00FE570C" w:rsidRDefault="00FE570C" w:rsidP="009A3788">
      <w:pPr>
        <w:widowControl/>
        <w:spacing w:line="360" w:lineRule="auto"/>
        <w:rPr>
          <w:bCs/>
          <w:sz w:val="26"/>
          <w:szCs w:val="26"/>
        </w:rPr>
      </w:pPr>
    </w:p>
    <w:p w14:paraId="38F25BF7" w14:textId="7A13B0A1" w:rsidR="003B64C5" w:rsidRDefault="00D31A09" w:rsidP="003B64C5">
      <w:pPr>
        <w:widowControl/>
        <w:spacing w:line="360" w:lineRule="auto"/>
        <w:ind w:firstLine="1440"/>
        <w:rPr>
          <w:sz w:val="26"/>
          <w:szCs w:val="26"/>
        </w:rPr>
      </w:pPr>
      <w:r>
        <w:rPr>
          <w:bCs/>
          <w:sz w:val="26"/>
          <w:szCs w:val="26"/>
        </w:rPr>
        <w:lastRenderedPageBreak/>
        <w:t xml:space="preserve">On January 26, 2021, Ms. Leininger filed her </w:t>
      </w:r>
      <w:r w:rsidR="00557136">
        <w:rPr>
          <w:bCs/>
          <w:sz w:val="26"/>
          <w:szCs w:val="26"/>
        </w:rPr>
        <w:t>Exceptions</w:t>
      </w:r>
      <w:r w:rsidR="0016716D" w:rsidRPr="003B64C5">
        <w:rPr>
          <w:bCs/>
          <w:sz w:val="26"/>
          <w:szCs w:val="26"/>
        </w:rPr>
        <w:t xml:space="preserve"> </w:t>
      </w:r>
      <w:r>
        <w:rPr>
          <w:bCs/>
          <w:sz w:val="26"/>
          <w:szCs w:val="26"/>
        </w:rPr>
        <w:t xml:space="preserve">in which </w:t>
      </w:r>
      <w:r w:rsidR="00C30C53">
        <w:rPr>
          <w:bCs/>
          <w:sz w:val="26"/>
          <w:szCs w:val="26"/>
        </w:rPr>
        <w:t xml:space="preserve">she, </w:t>
      </w:r>
      <w:r w:rsidR="00C30C53" w:rsidRPr="00690C55">
        <w:rPr>
          <w:bCs/>
          <w:i/>
          <w:iCs/>
          <w:sz w:val="26"/>
          <w:szCs w:val="26"/>
        </w:rPr>
        <w:t>inter alia</w:t>
      </w:r>
      <w:r w:rsidR="00C30C53">
        <w:rPr>
          <w:bCs/>
          <w:sz w:val="26"/>
          <w:szCs w:val="26"/>
        </w:rPr>
        <w:t xml:space="preserve">, reiterates her claim that the transformer is now the cause of her high bill.  </w:t>
      </w:r>
      <w:r w:rsidR="006943B1">
        <w:rPr>
          <w:sz w:val="26"/>
          <w:szCs w:val="26"/>
        </w:rPr>
        <w:t>Exc.</w:t>
      </w:r>
      <w:r w:rsidR="007105E5">
        <w:rPr>
          <w:sz w:val="26"/>
          <w:szCs w:val="26"/>
        </w:rPr>
        <w:t> </w:t>
      </w:r>
      <w:r w:rsidR="006943B1">
        <w:rPr>
          <w:sz w:val="26"/>
          <w:szCs w:val="26"/>
        </w:rPr>
        <w:t xml:space="preserve">at 1-2. </w:t>
      </w:r>
    </w:p>
    <w:p w14:paraId="28BD9DBE" w14:textId="77777777" w:rsidR="003B64C5" w:rsidRPr="003B64C5" w:rsidRDefault="003B64C5" w:rsidP="003B64C5">
      <w:pPr>
        <w:widowControl/>
        <w:spacing w:line="360" w:lineRule="auto"/>
        <w:ind w:firstLine="1440"/>
        <w:rPr>
          <w:bCs/>
          <w:sz w:val="26"/>
          <w:szCs w:val="26"/>
        </w:rPr>
      </w:pPr>
    </w:p>
    <w:p w14:paraId="7A7C6B61" w14:textId="6E4BC511" w:rsidR="004A6148" w:rsidRDefault="003B64C5" w:rsidP="009A2F5D">
      <w:pPr>
        <w:widowControl/>
        <w:spacing w:line="360" w:lineRule="auto"/>
        <w:ind w:firstLine="1440"/>
        <w:rPr>
          <w:sz w:val="26"/>
          <w:szCs w:val="26"/>
        </w:rPr>
      </w:pPr>
      <w:r>
        <w:rPr>
          <w:bCs/>
          <w:sz w:val="26"/>
          <w:szCs w:val="26"/>
        </w:rPr>
        <w:t xml:space="preserve">In </w:t>
      </w:r>
      <w:r w:rsidR="0016716D">
        <w:rPr>
          <w:bCs/>
          <w:sz w:val="26"/>
          <w:szCs w:val="26"/>
        </w:rPr>
        <w:t>DLC’s Replies filed on February 4, 2021</w:t>
      </w:r>
      <w:r>
        <w:rPr>
          <w:bCs/>
          <w:sz w:val="26"/>
          <w:szCs w:val="26"/>
        </w:rPr>
        <w:t xml:space="preserve">, DLC argues that the ALJ </w:t>
      </w:r>
      <w:r w:rsidR="009A2F5D">
        <w:rPr>
          <w:bCs/>
          <w:sz w:val="26"/>
          <w:szCs w:val="26"/>
        </w:rPr>
        <w:t xml:space="preserve">properly granted DLC’s Motion for Judgment on the Pleadings and </w:t>
      </w:r>
      <w:r>
        <w:rPr>
          <w:bCs/>
          <w:sz w:val="26"/>
          <w:szCs w:val="26"/>
        </w:rPr>
        <w:t>correctly dismissed the Complaint</w:t>
      </w:r>
      <w:r w:rsidR="00340620">
        <w:rPr>
          <w:bCs/>
          <w:sz w:val="26"/>
          <w:szCs w:val="26"/>
        </w:rPr>
        <w:t xml:space="preserve">.  DLC states that </w:t>
      </w:r>
      <w:r w:rsidR="00DD2934">
        <w:rPr>
          <w:bCs/>
          <w:sz w:val="26"/>
          <w:szCs w:val="26"/>
        </w:rPr>
        <w:t>t</w:t>
      </w:r>
      <w:r w:rsidR="00340620">
        <w:rPr>
          <w:bCs/>
          <w:sz w:val="26"/>
          <w:szCs w:val="26"/>
        </w:rPr>
        <w:t xml:space="preserve">he attempt to relitigate the prior billing dispute is barred by the doctrines of </w:t>
      </w:r>
      <w:r w:rsidR="00340620" w:rsidRPr="00690C55">
        <w:rPr>
          <w:bCs/>
          <w:i/>
          <w:iCs/>
          <w:sz w:val="26"/>
          <w:szCs w:val="26"/>
        </w:rPr>
        <w:t>res judicata</w:t>
      </w:r>
      <w:r w:rsidR="00340620">
        <w:rPr>
          <w:bCs/>
          <w:sz w:val="26"/>
          <w:szCs w:val="26"/>
        </w:rPr>
        <w:t xml:space="preserve"> and collater</w:t>
      </w:r>
      <w:r w:rsidR="00DD2934">
        <w:rPr>
          <w:bCs/>
          <w:sz w:val="26"/>
          <w:szCs w:val="26"/>
        </w:rPr>
        <w:t xml:space="preserve">al </w:t>
      </w:r>
      <w:r w:rsidR="00340620">
        <w:rPr>
          <w:bCs/>
          <w:sz w:val="26"/>
          <w:szCs w:val="26"/>
        </w:rPr>
        <w:t xml:space="preserve">estoppel.  </w:t>
      </w:r>
      <w:r w:rsidR="00DD2934">
        <w:rPr>
          <w:bCs/>
          <w:sz w:val="26"/>
          <w:szCs w:val="26"/>
        </w:rPr>
        <w:t>DLC further states that claim preclusion applies as the issue of defective equipment was either already litigated or could have been litigated in the prior complaint docket</w:t>
      </w:r>
      <w:r w:rsidR="0026626E">
        <w:rPr>
          <w:bCs/>
          <w:sz w:val="26"/>
          <w:szCs w:val="26"/>
        </w:rPr>
        <w:t>.</w:t>
      </w:r>
      <w:r w:rsidRPr="00F94922">
        <w:rPr>
          <w:sz w:val="26"/>
          <w:szCs w:val="26"/>
        </w:rPr>
        <w:t xml:space="preserve"> </w:t>
      </w:r>
      <w:r w:rsidRPr="003B64C5">
        <w:rPr>
          <w:sz w:val="26"/>
          <w:szCs w:val="26"/>
        </w:rPr>
        <w:t xml:space="preserve"> </w:t>
      </w:r>
      <w:r w:rsidR="00BA35F3">
        <w:rPr>
          <w:sz w:val="26"/>
          <w:szCs w:val="26"/>
        </w:rPr>
        <w:t>R. Exc. at 4-6.</w:t>
      </w:r>
    </w:p>
    <w:p w14:paraId="3489D3E1" w14:textId="77777777" w:rsidR="0015216F" w:rsidRDefault="0015216F" w:rsidP="009A2F5D">
      <w:pPr>
        <w:widowControl/>
        <w:spacing w:line="360" w:lineRule="auto"/>
        <w:ind w:firstLine="1440"/>
        <w:rPr>
          <w:sz w:val="26"/>
          <w:szCs w:val="26"/>
        </w:rPr>
      </w:pPr>
    </w:p>
    <w:p w14:paraId="1931B44F" w14:textId="167B294A" w:rsidR="00350D19" w:rsidRDefault="00350D19" w:rsidP="00350D19">
      <w:pPr>
        <w:widowControl/>
        <w:spacing w:line="360" w:lineRule="auto"/>
        <w:jc w:val="center"/>
        <w:rPr>
          <w:b/>
          <w:bCs/>
          <w:sz w:val="26"/>
          <w:szCs w:val="26"/>
        </w:rPr>
      </w:pPr>
      <w:r>
        <w:rPr>
          <w:b/>
          <w:bCs/>
          <w:sz w:val="26"/>
          <w:szCs w:val="26"/>
        </w:rPr>
        <w:t>Discussion</w:t>
      </w:r>
    </w:p>
    <w:p w14:paraId="0DEBB701" w14:textId="26D860E8" w:rsidR="00350D19" w:rsidRDefault="00350D19" w:rsidP="007105E5">
      <w:pPr>
        <w:widowControl/>
        <w:spacing w:line="360" w:lineRule="auto"/>
        <w:rPr>
          <w:b/>
          <w:bCs/>
          <w:sz w:val="26"/>
          <w:szCs w:val="26"/>
        </w:rPr>
      </w:pPr>
    </w:p>
    <w:p w14:paraId="560A58F4" w14:textId="33FD8CB7" w:rsidR="00350D19" w:rsidRDefault="00350D19" w:rsidP="00350D19">
      <w:pPr>
        <w:widowControl/>
        <w:spacing w:line="360" w:lineRule="auto"/>
        <w:rPr>
          <w:b/>
          <w:bCs/>
          <w:sz w:val="26"/>
          <w:szCs w:val="26"/>
        </w:rPr>
      </w:pPr>
      <w:r>
        <w:rPr>
          <w:b/>
          <w:bCs/>
          <w:sz w:val="26"/>
          <w:szCs w:val="26"/>
        </w:rPr>
        <w:t>Legal Standards</w:t>
      </w:r>
    </w:p>
    <w:p w14:paraId="210C1C41" w14:textId="68A49FEF" w:rsidR="00350D19" w:rsidRDefault="00350D19" w:rsidP="00350D19">
      <w:pPr>
        <w:widowControl/>
        <w:spacing w:line="360" w:lineRule="auto"/>
        <w:rPr>
          <w:b/>
          <w:bCs/>
          <w:sz w:val="26"/>
          <w:szCs w:val="26"/>
        </w:rPr>
      </w:pPr>
    </w:p>
    <w:p w14:paraId="0E98881E" w14:textId="3C6FAE8B" w:rsidR="00350D19" w:rsidRDefault="00350D19" w:rsidP="00350D19">
      <w:pPr>
        <w:widowControl/>
        <w:spacing w:line="360" w:lineRule="auto"/>
        <w:ind w:firstLine="1440"/>
        <w:rPr>
          <w:sz w:val="26"/>
          <w:szCs w:val="26"/>
        </w:rPr>
      </w:pPr>
      <w:r>
        <w:rPr>
          <w:spacing w:val="-3"/>
          <w:sz w:val="26"/>
        </w:rPr>
        <w:t xml:space="preserve">At the outset, </w:t>
      </w:r>
      <w:r>
        <w:rPr>
          <w:sz w:val="26"/>
          <w:szCs w:val="26"/>
        </w:rPr>
        <w:t>we note that the Commission is</w:t>
      </w:r>
      <w:r w:rsidRPr="002A6750">
        <w:rPr>
          <w:sz w:val="26"/>
          <w:szCs w:val="26"/>
        </w:rPr>
        <w:t xml:space="preserve"> not required to consider expressly or at length each contention or argument raised </w:t>
      </w:r>
      <w:r>
        <w:rPr>
          <w:sz w:val="26"/>
          <w:szCs w:val="26"/>
        </w:rPr>
        <w:t>by the Parties</w:t>
      </w:r>
      <w:r w:rsidRPr="002A6750">
        <w:rPr>
          <w:sz w:val="26"/>
          <w:szCs w:val="26"/>
        </w:rPr>
        <w:t xml:space="preserve">.  </w:t>
      </w:r>
      <w:r w:rsidRPr="002A6750">
        <w:rPr>
          <w:rStyle w:val="Emphasis"/>
          <w:color w:val="000000"/>
          <w:sz w:val="26"/>
          <w:szCs w:val="26"/>
        </w:rPr>
        <w:t>Consolidated Rail Corp. v. Pa. PUC</w:t>
      </w:r>
      <w:r w:rsidRPr="003A68C0">
        <w:rPr>
          <w:rStyle w:val="Emphasis"/>
          <w:i w:val="0"/>
          <w:iCs w:val="0"/>
          <w:color w:val="000000"/>
          <w:sz w:val="26"/>
          <w:szCs w:val="26"/>
        </w:rPr>
        <w:t>,</w:t>
      </w:r>
      <w:r w:rsidRPr="002A6750">
        <w:rPr>
          <w:rStyle w:val="Emphasis"/>
          <w:color w:val="000000"/>
          <w:sz w:val="26"/>
          <w:szCs w:val="26"/>
        </w:rPr>
        <w:t xml:space="preserve"> </w:t>
      </w:r>
      <w:r w:rsidRPr="00EC5ACE">
        <w:rPr>
          <w:sz w:val="26"/>
          <w:szCs w:val="26"/>
        </w:rPr>
        <w:t>625</w:t>
      </w:r>
      <w:r>
        <w:rPr>
          <w:sz w:val="26"/>
          <w:szCs w:val="26"/>
        </w:rPr>
        <w:t> </w:t>
      </w:r>
      <w:r w:rsidRPr="00EC5ACE">
        <w:rPr>
          <w:sz w:val="26"/>
          <w:szCs w:val="26"/>
        </w:rPr>
        <w:t xml:space="preserve">A.2d 741 (Pa. </w:t>
      </w:r>
      <w:proofErr w:type="spellStart"/>
      <w:r w:rsidRPr="00EC5ACE">
        <w:rPr>
          <w:sz w:val="26"/>
          <w:szCs w:val="26"/>
        </w:rPr>
        <w:t>Cmwlth</w:t>
      </w:r>
      <w:proofErr w:type="spellEnd"/>
      <w:r w:rsidRPr="00EC5ACE">
        <w:rPr>
          <w:sz w:val="26"/>
          <w:szCs w:val="26"/>
        </w:rPr>
        <w:t>. 1993);</w:t>
      </w:r>
      <w:r w:rsidRPr="002A6750">
        <w:rPr>
          <w:color w:val="000000"/>
          <w:sz w:val="26"/>
          <w:szCs w:val="26"/>
        </w:rPr>
        <w:t xml:space="preserve"> </w:t>
      </w:r>
      <w:r>
        <w:rPr>
          <w:i/>
          <w:iCs/>
          <w:color w:val="000000"/>
          <w:sz w:val="26"/>
          <w:szCs w:val="26"/>
        </w:rPr>
        <w:t xml:space="preserve">see </w:t>
      </w:r>
      <w:r w:rsidRPr="002A6750">
        <w:rPr>
          <w:i/>
          <w:color w:val="000000"/>
          <w:sz w:val="26"/>
          <w:szCs w:val="26"/>
        </w:rPr>
        <w:t>also</w:t>
      </w:r>
      <w:r w:rsidRPr="002A6750">
        <w:rPr>
          <w:rStyle w:val="Emphasis"/>
          <w:color w:val="000000"/>
          <w:sz w:val="26"/>
          <w:szCs w:val="26"/>
        </w:rPr>
        <w:t xml:space="preserve"> University of Pennsylvania v. Pa. PUC</w:t>
      </w:r>
      <w:r w:rsidRPr="00EC5ACE">
        <w:rPr>
          <w:sz w:val="26"/>
          <w:szCs w:val="26"/>
        </w:rPr>
        <w:t>, 485</w:t>
      </w:r>
      <w:r>
        <w:rPr>
          <w:sz w:val="26"/>
          <w:szCs w:val="26"/>
        </w:rPr>
        <w:t> </w:t>
      </w:r>
      <w:r w:rsidRPr="00EC5ACE">
        <w:rPr>
          <w:sz w:val="26"/>
          <w:szCs w:val="26"/>
        </w:rPr>
        <w:t xml:space="preserve">A.2d 1217 (Pa. </w:t>
      </w:r>
      <w:proofErr w:type="spellStart"/>
      <w:r w:rsidRPr="00EC5ACE">
        <w:rPr>
          <w:sz w:val="26"/>
          <w:szCs w:val="26"/>
        </w:rPr>
        <w:t>Cmwlth</w:t>
      </w:r>
      <w:proofErr w:type="spellEnd"/>
      <w:r w:rsidRPr="00EC5ACE">
        <w:rPr>
          <w:sz w:val="26"/>
          <w:szCs w:val="26"/>
        </w:rPr>
        <w:t>. 1984).</w:t>
      </w:r>
      <w:r w:rsidRPr="00350D19">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we do</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this decision </w:t>
      </w:r>
      <w:r w:rsidRPr="002A6750">
        <w:rPr>
          <w:sz w:val="26"/>
          <w:szCs w:val="26"/>
        </w:rPr>
        <w:t>shall be deemed to have been duly considered and denied without further discussion.</w:t>
      </w:r>
    </w:p>
    <w:p w14:paraId="2387EB75" w14:textId="30609CA1" w:rsidR="00F218D4" w:rsidRDefault="00F218D4" w:rsidP="00350D19">
      <w:pPr>
        <w:widowControl/>
        <w:spacing w:line="360" w:lineRule="auto"/>
        <w:ind w:firstLine="1440"/>
        <w:rPr>
          <w:sz w:val="26"/>
          <w:szCs w:val="26"/>
        </w:rPr>
      </w:pPr>
    </w:p>
    <w:p w14:paraId="05659E04" w14:textId="741A6AC3" w:rsidR="00F218D4" w:rsidRDefault="003F62FE" w:rsidP="00350D19">
      <w:pPr>
        <w:widowControl/>
        <w:spacing w:line="360" w:lineRule="auto"/>
        <w:ind w:firstLine="1440"/>
        <w:rPr>
          <w:sz w:val="26"/>
          <w:szCs w:val="26"/>
        </w:rPr>
      </w:pPr>
      <w:r>
        <w:rPr>
          <w:sz w:val="26"/>
          <w:szCs w:val="26"/>
        </w:rPr>
        <w:t xml:space="preserve">Judgment on the pleadings is available when the pleadings show that there is no genuine issue of material fact and the moving party is entitled to judgment as a matter of law.  </w:t>
      </w:r>
      <w:r w:rsidR="00EA4248">
        <w:rPr>
          <w:sz w:val="26"/>
          <w:szCs w:val="26"/>
        </w:rPr>
        <w:t xml:space="preserve">52 Pa. Code </w:t>
      </w:r>
      <w:r w:rsidR="00EA4248" w:rsidRPr="00260BF9">
        <w:rPr>
          <w:sz w:val="26"/>
          <w:szCs w:val="26"/>
        </w:rPr>
        <w:t>§</w:t>
      </w:r>
      <w:r w:rsidR="00EA4248">
        <w:rPr>
          <w:sz w:val="26"/>
          <w:szCs w:val="26"/>
        </w:rPr>
        <w:t xml:space="preserve"> 5.102</w:t>
      </w:r>
      <w:r w:rsidR="00FE570C">
        <w:rPr>
          <w:sz w:val="26"/>
          <w:szCs w:val="26"/>
        </w:rPr>
        <w:t>(d)(1)</w:t>
      </w:r>
      <w:r w:rsidR="00EA4248">
        <w:rPr>
          <w:sz w:val="26"/>
          <w:szCs w:val="26"/>
        </w:rPr>
        <w:t xml:space="preserve">.  </w:t>
      </w:r>
      <w:r>
        <w:rPr>
          <w:sz w:val="26"/>
          <w:szCs w:val="26"/>
        </w:rPr>
        <w:t>Judgment on the pleadings should only be granted when the right to relief is clear and free from doubt.</w:t>
      </w:r>
      <w:r w:rsidR="00EA4248">
        <w:rPr>
          <w:sz w:val="26"/>
          <w:szCs w:val="26"/>
        </w:rPr>
        <w:t xml:space="preserve">  </w:t>
      </w:r>
      <w:r w:rsidR="00EA4248">
        <w:rPr>
          <w:i/>
          <w:iCs/>
          <w:sz w:val="26"/>
          <w:szCs w:val="26"/>
        </w:rPr>
        <w:t>Reuben v. O’Brien</w:t>
      </w:r>
      <w:r w:rsidR="00EA4248">
        <w:rPr>
          <w:sz w:val="26"/>
          <w:szCs w:val="26"/>
        </w:rPr>
        <w:t>, 496</w:t>
      </w:r>
      <w:r w:rsidR="003A68C0">
        <w:rPr>
          <w:sz w:val="26"/>
          <w:szCs w:val="26"/>
        </w:rPr>
        <w:t> </w:t>
      </w:r>
      <w:r w:rsidR="00EA4248">
        <w:rPr>
          <w:sz w:val="26"/>
          <w:szCs w:val="26"/>
        </w:rPr>
        <w:t>A.2d 913 (Pa. Super. 1985).</w:t>
      </w:r>
      <w:r>
        <w:rPr>
          <w:sz w:val="26"/>
          <w:szCs w:val="26"/>
        </w:rPr>
        <w:t xml:space="preserve">  In determining the absence of a genuine issue of material fact, the Commission must </w:t>
      </w:r>
      <w:r w:rsidR="0098217B">
        <w:rPr>
          <w:sz w:val="26"/>
          <w:szCs w:val="26"/>
        </w:rPr>
        <w:t xml:space="preserve">view the record in the light most favorable to </w:t>
      </w:r>
      <w:r>
        <w:rPr>
          <w:sz w:val="26"/>
          <w:szCs w:val="26"/>
        </w:rPr>
        <w:t>the nonmoving party</w:t>
      </w:r>
      <w:r w:rsidR="0098217B">
        <w:rPr>
          <w:sz w:val="26"/>
          <w:szCs w:val="26"/>
        </w:rPr>
        <w:t xml:space="preserve">, giving that party the benefit of all reasonable inferences.  </w:t>
      </w:r>
      <w:r w:rsidR="0098217B">
        <w:rPr>
          <w:i/>
          <w:iCs/>
          <w:sz w:val="26"/>
          <w:szCs w:val="26"/>
        </w:rPr>
        <w:t xml:space="preserve">First </w:t>
      </w:r>
      <w:r w:rsidR="0098217B">
        <w:rPr>
          <w:i/>
          <w:iCs/>
          <w:sz w:val="26"/>
          <w:szCs w:val="26"/>
        </w:rPr>
        <w:lastRenderedPageBreak/>
        <w:t>Mortgage Co. v. McCall</w:t>
      </w:r>
      <w:r w:rsidR="0098217B">
        <w:rPr>
          <w:sz w:val="26"/>
          <w:szCs w:val="26"/>
        </w:rPr>
        <w:t xml:space="preserve">, 459 A.2d 406 (Pa. Super. 1983); </w:t>
      </w:r>
      <w:r w:rsidR="0098217B">
        <w:rPr>
          <w:i/>
          <w:iCs/>
          <w:sz w:val="26"/>
          <w:szCs w:val="26"/>
        </w:rPr>
        <w:t>Mertz v. Lakatos</w:t>
      </w:r>
      <w:r w:rsidR="0098217B">
        <w:rPr>
          <w:sz w:val="26"/>
          <w:szCs w:val="26"/>
        </w:rPr>
        <w:t>, 381</w:t>
      </w:r>
      <w:r w:rsidR="003A68C0">
        <w:rPr>
          <w:sz w:val="26"/>
          <w:szCs w:val="26"/>
        </w:rPr>
        <w:t> </w:t>
      </w:r>
      <w:r w:rsidR="0098217B">
        <w:rPr>
          <w:sz w:val="26"/>
          <w:szCs w:val="26"/>
        </w:rPr>
        <w:t>A.2d</w:t>
      </w:r>
      <w:r w:rsidR="003A68C0">
        <w:rPr>
          <w:sz w:val="26"/>
          <w:szCs w:val="26"/>
        </w:rPr>
        <w:t> </w:t>
      </w:r>
      <w:r w:rsidR="0098217B">
        <w:rPr>
          <w:sz w:val="26"/>
          <w:szCs w:val="26"/>
        </w:rPr>
        <w:t xml:space="preserve">497 (Pa. </w:t>
      </w:r>
      <w:proofErr w:type="spellStart"/>
      <w:r w:rsidR="0098217B">
        <w:rPr>
          <w:sz w:val="26"/>
          <w:szCs w:val="26"/>
        </w:rPr>
        <w:t>Cmwlth</w:t>
      </w:r>
      <w:proofErr w:type="spellEnd"/>
      <w:r w:rsidR="0098217B">
        <w:rPr>
          <w:sz w:val="26"/>
          <w:szCs w:val="26"/>
        </w:rPr>
        <w:t>. 1978).  All doubts as to the existence of a genuine issue of material fact must be</w:t>
      </w:r>
      <w:r>
        <w:rPr>
          <w:sz w:val="26"/>
          <w:szCs w:val="26"/>
        </w:rPr>
        <w:t xml:space="preserve"> resolve</w:t>
      </w:r>
      <w:r w:rsidR="0098217B">
        <w:rPr>
          <w:sz w:val="26"/>
          <w:szCs w:val="26"/>
        </w:rPr>
        <w:t>d</w:t>
      </w:r>
      <w:r>
        <w:rPr>
          <w:sz w:val="26"/>
          <w:szCs w:val="26"/>
        </w:rPr>
        <w:t xml:space="preserve"> against the entry of the judgment.  </w:t>
      </w:r>
      <w:r w:rsidR="00EA4248">
        <w:rPr>
          <w:i/>
          <w:iCs/>
          <w:sz w:val="26"/>
          <w:szCs w:val="26"/>
        </w:rPr>
        <w:t>Thomson Coal Co. v. Pike Coal Co.</w:t>
      </w:r>
      <w:r w:rsidR="00EA4248">
        <w:rPr>
          <w:sz w:val="26"/>
          <w:szCs w:val="26"/>
        </w:rPr>
        <w:t xml:space="preserve">, 412 A.2d 466 (Pa. 1979); </w:t>
      </w:r>
      <w:r>
        <w:rPr>
          <w:i/>
          <w:iCs/>
          <w:sz w:val="26"/>
          <w:szCs w:val="26"/>
        </w:rPr>
        <w:t xml:space="preserve">Day v. </w:t>
      </w:r>
      <w:proofErr w:type="spellStart"/>
      <w:r>
        <w:rPr>
          <w:i/>
          <w:iCs/>
          <w:sz w:val="26"/>
          <w:szCs w:val="26"/>
        </w:rPr>
        <w:t>Volkswagonwerk</w:t>
      </w:r>
      <w:proofErr w:type="spellEnd"/>
      <w:r>
        <w:rPr>
          <w:i/>
          <w:iCs/>
          <w:sz w:val="26"/>
          <w:szCs w:val="26"/>
        </w:rPr>
        <w:t xml:space="preserve"> </w:t>
      </w:r>
      <w:proofErr w:type="spellStart"/>
      <w:r>
        <w:rPr>
          <w:i/>
          <w:iCs/>
          <w:sz w:val="26"/>
          <w:szCs w:val="26"/>
        </w:rPr>
        <w:t>Aktiengesellschaft</w:t>
      </w:r>
      <w:proofErr w:type="spellEnd"/>
      <w:r w:rsidRPr="0098217B">
        <w:rPr>
          <w:sz w:val="26"/>
          <w:szCs w:val="26"/>
        </w:rPr>
        <w:t>,</w:t>
      </w:r>
      <w:r>
        <w:rPr>
          <w:sz w:val="26"/>
          <w:szCs w:val="26"/>
        </w:rPr>
        <w:t xml:space="preserve"> 464</w:t>
      </w:r>
      <w:r w:rsidR="003A68C0">
        <w:rPr>
          <w:sz w:val="26"/>
          <w:szCs w:val="26"/>
        </w:rPr>
        <w:t> </w:t>
      </w:r>
      <w:r>
        <w:rPr>
          <w:sz w:val="26"/>
          <w:szCs w:val="26"/>
        </w:rPr>
        <w:t>A.2d 1313, 1316 (Pa. Super. 1983 (</w:t>
      </w:r>
      <w:r>
        <w:rPr>
          <w:i/>
          <w:iCs/>
          <w:sz w:val="26"/>
          <w:szCs w:val="26"/>
        </w:rPr>
        <w:t>Day</w:t>
      </w:r>
      <w:r w:rsidR="00FE570C">
        <w:rPr>
          <w:sz w:val="26"/>
          <w:szCs w:val="26"/>
        </w:rPr>
        <w:t>)</w:t>
      </w:r>
      <w:r w:rsidR="003A68C0">
        <w:rPr>
          <w:sz w:val="26"/>
          <w:szCs w:val="26"/>
        </w:rPr>
        <w:t>)</w:t>
      </w:r>
      <w:r w:rsidR="00FE570C">
        <w:rPr>
          <w:sz w:val="26"/>
          <w:szCs w:val="26"/>
        </w:rPr>
        <w:t>.</w:t>
      </w:r>
    </w:p>
    <w:p w14:paraId="32A27EF3" w14:textId="1EED0AB8" w:rsidR="00FE570C" w:rsidRDefault="00FE570C" w:rsidP="00350D19">
      <w:pPr>
        <w:widowControl/>
        <w:spacing w:line="360" w:lineRule="auto"/>
        <w:ind w:firstLine="1440"/>
        <w:rPr>
          <w:sz w:val="26"/>
          <w:szCs w:val="26"/>
        </w:rPr>
      </w:pPr>
    </w:p>
    <w:p w14:paraId="06C0F18A" w14:textId="428752C0" w:rsidR="00FE570C" w:rsidRPr="00E031AD" w:rsidRDefault="00E031AD" w:rsidP="00FE570C">
      <w:pPr>
        <w:widowControl/>
        <w:spacing w:line="360" w:lineRule="auto"/>
        <w:rPr>
          <w:sz w:val="26"/>
          <w:szCs w:val="26"/>
        </w:rPr>
      </w:pPr>
      <w:r>
        <w:rPr>
          <w:b/>
          <w:bCs/>
          <w:sz w:val="26"/>
          <w:szCs w:val="26"/>
        </w:rPr>
        <w:t xml:space="preserve">Doctrines of </w:t>
      </w:r>
      <w:r>
        <w:rPr>
          <w:b/>
          <w:bCs/>
          <w:i/>
          <w:iCs/>
          <w:sz w:val="26"/>
          <w:szCs w:val="26"/>
        </w:rPr>
        <w:t xml:space="preserve">Res Judicata </w:t>
      </w:r>
      <w:r>
        <w:rPr>
          <w:b/>
          <w:bCs/>
          <w:sz w:val="26"/>
          <w:szCs w:val="26"/>
        </w:rPr>
        <w:t>and Collateral Estoppel</w:t>
      </w:r>
    </w:p>
    <w:p w14:paraId="1E2A4E15" w14:textId="58023B64" w:rsidR="00FE570C" w:rsidRDefault="00FE570C" w:rsidP="00FE570C">
      <w:pPr>
        <w:widowControl/>
        <w:spacing w:line="360" w:lineRule="auto"/>
        <w:rPr>
          <w:sz w:val="26"/>
          <w:szCs w:val="26"/>
        </w:rPr>
      </w:pPr>
    </w:p>
    <w:p w14:paraId="56A71E39" w14:textId="48D4B1D8" w:rsidR="00D54D6F" w:rsidRDefault="00E031AD" w:rsidP="00FE570C">
      <w:pPr>
        <w:widowControl/>
        <w:spacing w:line="360" w:lineRule="auto"/>
        <w:ind w:firstLine="1440"/>
        <w:rPr>
          <w:sz w:val="26"/>
          <w:szCs w:val="26"/>
        </w:rPr>
      </w:pPr>
      <w:r>
        <w:rPr>
          <w:sz w:val="26"/>
          <w:szCs w:val="26"/>
        </w:rPr>
        <w:t>It is well settled that a party is precluded from relitigating</w:t>
      </w:r>
      <w:r w:rsidR="00F70F5F">
        <w:rPr>
          <w:sz w:val="26"/>
          <w:szCs w:val="26"/>
        </w:rPr>
        <w:t xml:space="preserve"> that</w:t>
      </w:r>
      <w:r>
        <w:rPr>
          <w:sz w:val="26"/>
          <w:szCs w:val="26"/>
        </w:rPr>
        <w:t xml:space="preserve"> </w:t>
      </w:r>
      <w:r w:rsidR="00376114">
        <w:rPr>
          <w:sz w:val="26"/>
          <w:szCs w:val="26"/>
        </w:rPr>
        <w:t xml:space="preserve">which </w:t>
      </w:r>
      <w:r w:rsidR="004B06FF">
        <w:rPr>
          <w:sz w:val="26"/>
          <w:szCs w:val="26"/>
        </w:rPr>
        <w:t xml:space="preserve">has been litigated and </w:t>
      </w:r>
      <w:r w:rsidR="00F70F5F">
        <w:rPr>
          <w:sz w:val="26"/>
          <w:szCs w:val="26"/>
        </w:rPr>
        <w:t xml:space="preserve">for which </w:t>
      </w:r>
      <w:r>
        <w:rPr>
          <w:sz w:val="26"/>
          <w:szCs w:val="26"/>
        </w:rPr>
        <w:t>a final order of the Commission</w:t>
      </w:r>
      <w:r w:rsidR="004B06FF">
        <w:rPr>
          <w:sz w:val="26"/>
          <w:szCs w:val="26"/>
        </w:rPr>
        <w:t xml:space="preserve"> has been issued</w:t>
      </w:r>
      <w:r>
        <w:rPr>
          <w:sz w:val="26"/>
          <w:szCs w:val="26"/>
        </w:rPr>
        <w:t>.  Section</w:t>
      </w:r>
      <w:r w:rsidR="00D957B8">
        <w:rPr>
          <w:sz w:val="26"/>
          <w:szCs w:val="26"/>
        </w:rPr>
        <w:t> </w:t>
      </w:r>
      <w:r>
        <w:rPr>
          <w:sz w:val="26"/>
          <w:szCs w:val="26"/>
        </w:rPr>
        <w:t xml:space="preserve">316 of the Code, </w:t>
      </w:r>
      <w:r w:rsidR="009B4A92">
        <w:rPr>
          <w:bCs/>
          <w:sz w:val="26"/>
          <w:szCs w:val="26"/>
        </w:rPr>
        <w:t>66</w:t>
      </w:r>
      <w:r>
        <w:rPr>
          <w:bCs/>
          <w:sz w:val="26"/>
          <w:szCs w:val="26"/>
        </w:rPr>
        <w:t xml:space="preserve"> Pa. C.S. </w:t>
      </w:r>
      <w:r w:rsidRPr="00260BF9">
        <w:rPr>
          <w:sz w:val="26"/>
          <w:szCs w:val="26"/>
        </w:rPr>
        <w:t>§</w:t>
      </w:r>
      <w:r>
        <w:rPr>
          <w:sz w:val="26"/>
          <w:szCs w:val="26"/>
        </w:rPr>
        <w:t xml:space="preserve"> 316, expressly establishes the finality of Commission action.  Additionally, the doctrines of </w:t>
      </w:r>
      <w:r>
        <w:rPr>
          <w:i/>
          <w:iCs/>
          <w:sz w:val="26"/>
          <w:szCs w:val="26"/>
        </w:rPr>
        <w:t>res judicata</w:t>
      </w:r>
      <w:r>
        <w:rPr>
          <w:sz w:val="26"/>
          <w:szCs w:val="26"/>
        </w:rPr>
        <w:t xml:space="preserve"> and collateral estoppel apply to preclude collateral attack of final orders rendered in proceedings brought before the Commission.  </w:t>
      </w:r>
      <w:r w:rsidR="00D54D6F">
        <w:rPr>
          <w:i/>
          <w:iCs/>
          <w:sz w:val="26"/>
          <w:szCs w:val="26"/>
        </w:rPr>
        <w:t>O’Toole v. Bell Telephone Co.</w:t>
      </w:r>
      <w:r w:rsidR="00D54D6F">
        <w:rPr>
          <w:sz w:val="26"/>
          <w:szCs w:val="26"/>
        </w:rPr>
        <w:t>, 77 Pa. P</w:t>
      </w:r>
      <w:r w:rsidR="003A68C0">
        <w:rPr>
          <w:sz w:val="26"/>
          <w:szCs w:val="26"/>
        </w:rPr>
        <w:t>.</w:t>
      </w:r>
      <w:r w:rsidR="00D54D6F">
        <w:rPr>
          <w:sz w:val="26"/>
          <w:szCs w:val="26"/>
        </w:rPr>
        <w:t>U</w:t>
      </w:r>
      <w:r w:rsidR="003A68C0">
        <w:rPr>
          <w:sz w:val="26"/>
          <w:szCs w:val="26"/>
        </w:rPr>
        <w:t>.</w:t>
      </w:r>
      <w:r w:rsidR="00D54D6F">
        <w:rPr>
          <w:sz w:val="26"/>
          <w:szCs w:val="26"/>
        </w:rPr>
        <w:t>C</w:t>
      </w:r>
      <w:r w:rsidR="003A68C0">
        <w:rPr>
          <w:sz w:val="26"/>
          <w:szCs w:val="26"/>
        </w:rPr>
        <w:t>.</w:t>
      </w:r>
      <w:r w:rsidR="00D54D6F">
        <w:rPr>
          <w:sz w:val="26"/>
          <w:szCs w:val="26"/>
        </w:rPr>
        <w:t xml:space="preserve"> 98 (1992)</w:t>
      </w:r>
      <w:r w:rsidR="00F924CA">
        <w:rPr>
          <w:sz w:val="26"/>
          <w:szCs w:val="26"/>
        </w:rPr>
        <w:t xml:space="preserve"> (</w:t>
      </w:r>
      <w:r w:rsidR="00F924CA">
        <w:rPr>
          <w:i/>
          <w:iCs/>
          <w:sz w:val="26"/>
          <w:szCs w:val="26"/>
        </w:rPr>
        <w:t>O’Toole</w:t>
      </w:r>
      <w:r w:rsidR="00F924CA">
        <w:rPr>
          <w:sz w:val="26"/>
          <w:szCs w:val="26"/>
        </w:rPr>
        <w:t>)</w:t>
      </w:r>
      <w:r w:rsidR="00D54D6F">
        <w:rPr>
          <w:sz w:val="26"/>
          <w:szCs w:val="26"/>
        </w:rPr>
        <w:t xml:space="preserve">.  </w:t>
      </w:r>
    </w:p>
    <w:p w14:paraId="011F5EEE" w14:textId="77777777" w:rsidR="000929A8" w:rsidRDefault="000929A8" w:rsidP="00FE570C">
      <w:pPr>
        <w:widowControl/>
        <w:spacing w:line="360" w:lineRule="auto"/>
        <w:ind w:firstLine="1440"/>
        <w:rPr>
          <w:sz w:val="26"/>
          <w:szCs w:val="26"/>
        </w:rPr>
      </w:pPr>
    </w:p>
    <w:p w14:paraId="6BEA0ED3" w14:textId="77777777" w:rsidR="00D54D6F" w:rsidRDefault="00D54D6F" w:rsidP="00FE570C">
      <w:pPr>
        <w:widowControl/>
        <w:spacing w:line="360" w:lineRule="auto"/>
        <w:ind w:firstLine="1440"/>
        <w:rPr>
          <w:sz w:val="26"/>
          <w:szCs w:val="26"/>
        </w:rPr>
      </w:pPr>
      <w:r>
        <w:rPr>
          <w:sz w:val="26"/>
          <w:szCs w:val="26"/>
        </w:rPr>
        <w:t>Section 316 of the Code bars later challenges to the final action of the Commission.  Section 316 states in relevant part:</w:t>
      </w:r>
    </w:p>
    <w:p w14:paraId="0E771AD6" w14:textId="77777777" w:rsidR="00D54D6F" w:rsidRDefault="00D54D6F" w:rsidP="003A68C0">
      <w:pPr>
        <w:widowControl/>
        <w:ind w:firstLine="1440"/>
        <w:rPr>
          <w:sz w:val="26"/>
          <w:szCs w:val="26"/>
        </w:rPr>
      </w:pPr>
    </w:p>
    <w:p w14:paraId="7A4C29FC" w14:textId="57BBDAE1" w:rsidR="00D54D6F" w:rsidRDefault="00D54D6F" w:rsidP="003A68C0">
      <w:pPr>
        <w:widowControl/>
        <w:spacing w:after="120"/>
        <w:ind w:left="1440" w:firstLine="720"/>
        <w:rPr>
          <w:sz w:val="26"/>
          <w:szCs w:val="26"/>
        </w:rPr>
      </w:pPr>
      <w:r>
        <w:rPr>
          <w:sz w:val="26"/>
          <w:szCs w:val="26"/>
        </w:rPr>
        <w:t xml:space="preserve">Whenever the commission shall make any rule, regulation, finding, </w:t>
      </w:r>
      <w:proofErr w:type="gramStart"/>
      <w:r>
        <w:rPr>
          <w:sz w:val="26"/>
          <w:szCs w:val="26"/>
        </w:rPr>
        <w:t>determination</w:t>
      </w:r>
      <w:proofErr w:type="gramEnd"/>
      <w:r>
        <w:rPr>
          <w:sz w:val="26"/>
          <w:szCs w:val="26"/>
        </w:rPr>
        <w:t xml:space="preserve"> or order, the same shall be prima facie evidence</w:t>
      </w:r>
      <w:r w:rsidR="003A68C0">
        <w:rPr>
          <w:sz w:val="26"/>
          <w:szCs w:val="26"/>
        </w:rPr>
        <w:t xml:space="preserve"> </w:t>
      </w:r>
      <w:r>
        <w:rPr>
          <w:sz w:val="26"/>
          <w:szCs w:val="26"/>
        </w:rPr>
        <w:t>of the facts found and shall remain conclusive upon all parties affected</w:t>
      </w:r>
      <w:r w:rsidR="003A68C0">
        <w:rPr>
          <w:sz w:val="26"/>
          <w:szCs w:val="26"/>
        </w:rPr>
        <w:t xml:space="preserve"> </w:t>
      </w:r>
      <w:r>
        <w:rPr>
          <w:sz w:val="26"/>
          <w:szCs w:val="26"/>
        </w:rPr>
        <w:t>thereby unless set aside, annulled or modified on judicial review.</w:t>
      </w:r>
    </w:p>
    <w:p w14:paraId="68AD5B45" w14:textId="07A862F3" w:rsidR="00FE570C" w:rsidRDefault="002960BF" w:rsidP="003A68C0">
      <w:pPr>
        <w:widowControl/>
        <w:spacing w:before="360" w:line="360" w:lineRule="auto"/>
        <w:rPr>
          <w:sz w:val="26"/>
          <w:szCs w:val="26"/>
        </w:rPr>
      </w:pPr>
      <w:r>
        <w:rPr>
          <w:bCs/>
          <w:sz w:val="26"/>
          <w:szCs w:val="26"/>
        </w:rPr>
        <w:t>6</w:t>
      </w:r>
      <w:r w:rsidR="00D54D6F">
        <w:rPr>
          <w:bCs/>
          <w:sz w:val="26"/>
          <w:szCs w:val="26"/>
        </w:rPr>
        <w:t xml:space="preserve">6 Pa. C.S. </w:t>
      </w:r>
      <w:r w:rsidR="00D54D6F" w:rsidRPr="00260BF9">
        <w:rPr>
          <w:sz w:val="26"/>
          <w:szCs w:val="26"/>
        </w:rPr>
        <w:t>§</w:t>
      </w:r>
      <w:r w:rsidR="00D54D6F">
        <w:rPr>
          <w:sz w:val="26"/>
          <w:szCs w:val="26"/>
        </w:rPr>
        <w:t xml:space="preserve"> 316.</w:t>
      </w:r>
      <w:r w:rsidR="00E031AD">
        <w:rPr>
          <w:sz w:val="26"/>
          <w:szCs w:val="26"/>
        </w:rPr>
        <w:t xml:space="preserve">  </w:t>
      </w:r>
    </w:p>
    <w:p w14:paraId="40886A73" w14:textId="77777777" w:rsidR="00237309" w:rsidRDefault="00237309" w:rsidP="00CC5C4D">
      <w:pPr>
        <w:widowControl/>
        <w:spacing w:line="360" w:lineRule="auto"/>
        <w:ind w:firstLine="1440"/>
        <w:rPr>
          <w:sz w:val="26"/>
          <w:szCs w:val="26"/>
        </w:rPr>
      </w:pPr>
    </w:p>
    <w:p w14:paraId="00143180" w14:textId="191B32EB" w:rsidR="00CC5C4D" w:rsidRPr="00CC5C4D" w:rsidRDefault="00CC5C4D" w:rsidP="00CC5C4D">
      <w:pPr>
        <w:widowControl/>
        <w:spacing w:line="360" w:lineRule="auto"/>
        <w:ind w:firstLine="1440"/>
        <w:rPr>
          <w:sz w:val="26"/>
          <w:szCs w:val="26"/>
        </w:rPr>
      </w:pPr>
      <w:r>
        <w:rPr>
          <w:sz w:val="26"/>
          <w:szCs w:val="26"/>
        </w:rPr>
        <w:t xml:space="preserve">The doctrine of </w:t>
      </w:r>
      <w:r>
        <w:rPr>
          <w:i/>
          <w:iCs/>
          <w:sz w:val="26"/>
          <w:szCs w:val="26"/>
        </w:rPr>
        <w:t>res judicata</w:t>
      </w:r>
      <w:r>
        <w:rPr>
          <w:sz w:val="26"/>
          <w:szCs w:val="26"/>
        </w:rPr>
        <w:t xml:space="preserve">, also known as claim preclusion, reflects the refusal of the law to allow the re-litigation of a claim in a subsequent cause of action arising between the same parties on the same claim after a </w:t>
      </w:r>
      <w:r w:rsidRPr="00CC5C4D">
        <w:rPr>
          <w:sz w:val="26"/>
          <w:szCs w:val="26"/>
        </w:rPr>
        <w:t>court of competent jurisdiction</w:t>
      </w:r>
      <w:r>
        <w:rPr>
          <w:sz w:val="26"/>
          <w:szCs w:val="26"/>
        </w:rPr>
        <w:t xml:space="preserve"> has rendered a final judgment on the merits</w:t>
      </w:r>
      <w:r w:rsidR="00F924CA">
        <w:rPr>
          <w:sz w:val="26"/>
          <w:szCs w:val="26"/>
        </w:rPr>
        <w:t xml:space="preserve"> in a previous case</w:t>
      </w:r>
      <w:r w:rsidRPr="00CC5C4D">
        <w:rPr>
          <w:sz w:val="26"/>
          <w:szCs w:val="26"/>
        </w:rPr>
        <w:t>.</w:t>
      </w:r>
      <w:r>
        <w:rPr>
          <w:sz w:val="26"/>
          <w:szCs w:val="26"/>
        </w:rPr>
        <w:t xml:space="preserve">  </w:t>
      </w:r>
      <w:r>
        <w:rPr>
          <w:i/>
          <w:iCs/>
          <w:sz w:val="26"/>
          <w:szCs w:val="26"/>
        </w:rPr>
        <w:t>Hopewell Estates, Inc. v. Kent</w:t>
      </w:r>
      <w:r>
        <w:rPr>
          <w:sz w:val="26"/>
          <w:szCs w:val="26"/>
        </w:rPr>
        <w:t xml:space="preserve">, </w:t>
      </w:r>
      <w:r w:rsidR="00F924CA">
        <w:rPr>
          <w:sz w:val="26"/>
          <w:szCs w:val="26"/>
        </w:rPr>
        <w:t>646 A.2d 1192 (Pa. Super.</w:t>
      </w:r>
      <w:r w:rsidR="001F46AF">
        <w:rPr>
          <w:sz w:val="26"/>
          <w:szCs w:val="26"/>
        </w:rPr>
        <w:t xml:space="preserve"> 1994</w:t>
      </w:r>
      <w:r w:rsidR="00F924CA">
        <w:rPr>
          <w:sz w:val="26"/>
          <w:szCs w:val="26"/>
        </w:rPr>
        <w:t xml:space="preserve">).  </w:t>
      </w:r>
      <w:r w:rsidRPr="00CC5C4D">
        <w:rPr>
          <w:sz w:val="26"/>
          <w:szCs w:val="26"/>
        </w:rPr>
        <w:t xml:space="preserve">For the doctrine to </w:t>
      </w:r>
      <w:r w:rsidR="00F924CA">
        <w:rPr>
          <w:sz w:val="26"/>
          <w:szCs w:val="26"/>
        </w:rPr>
        <w:t>apply</w:t>
      </w:r>
      <w:r w:rsidRPr="00CC5C4D">
        <w:rPr>
          <w:sz w:val="26"/>
          <w:szCs w:val="26"/>
        </w:rPr>
        <w:t>, four conditions must be met</w:t>
      </w:r>
      <w:proofErr w:type="gramStart"/>
      <w:r w:rsidRPr="00CC5C4D">
        <w:rPr>
          <w:sz w:val="26"/>
          <w:szCs w:val="26"/>
        </w:rPr>
        <w:t xml:space="preserve">: </w:t>
      </w:r>
      <w:r w:rsidR="00636587">
        <w:rPr>
          <w:sz w:val="26"/>
          <w:szCs w:val="26"/>
        </w:rPr>
        <w:t xml:space="preserve"> </w:t>
      </w:r>
      <w:r w:rsidRPr="00CC5C4D">
        <w:rPr>
          <w:sz w:val="26"/>
          <w:szCs w:val="26"/>
        </w:rPr>
        <w:t>(</w:t>
      </w:r>
      <w:proofErr w:type="gramEnd"/>
      <w:r w:rsidRPr="00CC5C4D">
        <w:rPr>
          <w:sz w:val="26"/>
          <w:szCs w:val="26"/>
        </w:rPr>
        <w:t>1) identity of issues</w:t>
      </w:r>
      <w:r w:rsidR="007424E9">
        <w:rPr>
          <w:sz w:val="26"/>
          <w:szCs w:val="26"/>
        </w:rPr>
        <w:t>;</w:t>
      </w:r>
      <w:r w:rsidRPr="00CC5C4D">
        <w:rPr>
          <w:sz w:val="26"/>
          <w:szCs w:val="26"/>
        </w:rPr>
        <w:t xml:space="preserve"> (2) identity of causes of action</w:t>
      </w:r>
      <w:r w:rsidR="007424E9">
        <w:rPr>
          <w:sz w:val="26"/>
          <w:szCs w:val="26"/>
        </w:rPr>
        <w:t>;</w:t>
      </w:r>
      <w:r w:rsidRPr="00CC5C4D">
        <w:rPr>
          <w:sz w:val="26"/>
          <w:szCs w:val="26"/>
        </w:rPr>
        <w:t xml:space="preserve"> (3) identity of persons and parties to the action</w:t>
      </w:r>
      <w:r w:rsidR="007424E9">
        <w:rPr>
          <w:sz w:val="26"/>
          <w:szCs w:val="26"/>
        </w:rPr>
        <w:t>;</w:t>
      </w:r>
      <w:r w:rsidRPr="00CC5C4D">
        <w:rPr>
          <w:sz w:val="26"/>
          <w:szCs w:val="26"/>
        </w:rPr>
        <w:t xml:space="preserve"> and (4) identity of the quality and capacity of the parties suing or sued.  </w:t>
      </w:r>
      <w:r w:rsidRPr="00CC5C4D">
        <w:rPr>
          <w:i/>
          <w:sz w:val="26"/>
          <w:szCs w:val="26"/>
        </w:rPr>
        <w:t>Day</w:t>
      </w:r>
      <w:r w:rsidRPr="00CC5C4D">
        <w:rPr>
          <w:sz w:val="26"/>
          <w:szCs w:val="26"/>
        </w:rPr>
        <w:t>,</w:t>
      </w:r>
      <w:r w:rsidR="00035C1B">
        <w:rPr>
          <w:sz w:val="26"/>
          <w:szCs w:val="26"/>
        </w:rPr>
        <w:t> </w:t>
      </w:r>
      <w:r w:rsidRPr="00CC5C4D">
        <w:rPr>
          <w:sz w:val="26"/>
          <w:szCs w:val="26"/>
        </w:rPr>
        <w:t xml:space="preserve">464 A.2d 1313, 1316 (Pa. Super. 1983); </w:t>
      </w:r>
      <w:r w:rsidRPr="00CC5C4D">
        <w:rPr>
          <w:i/>
          <w:sz w:val="26"/>
          <w:szCs w:val="26"/>
        </w:rPr>
        <w:t>O’Toole</w:t>
      </w:r>
      <w:r w:rsidRPr="00CC5C4D">
        <w:rPr>
          <w:sz w:val="26"/>
          <w:szCs w:val="26"/>
        </w:rPr>
        <w:t>, 77 Pa. P</w:t>
      </w:r>
      <w:r w:rsidR="003A68C0">
        <w:rPr>
          <w:sz w:val="26"/>
          <w:szCs w:val="26"/>
        </w:rPr>
        <w:t>.</w:t>
      </w:r>
      <w:r w:rsidRPr="00CC5C4D">
        <w:rPr>
          <w:sz w:val="26"/>
          <w:szCs w:val="26"/>
        </w:rPr>
        <w:t>U</w:t>
      </w:r>
      <w:r w:rsidR="003A68C0">
        <w:rPr>
          <w:sz w:val="26"/>
          <w:szCs w:val="26"/>
        </w:rPr>
        <w:t>.</w:t>
      </w:r>
      <w:r w:rsidRPr="00CC5C4D">
        <w:rPr>
          <w:sz w:val="26"/>
          <w:szCs w:val="26"/>
        </w:rPr>
        <w:t>C</w:t>
      </w:r>
      <w:r w:rsidR="003A68C0">
        <w:rPr>
          <w:sz w:val="26"/>
          <w:szCs w:val="26"/>
        </w:rPr>
        <w:t>.</w:t>
      </w:r>
      <w:r w:rsidRPr="00CC5C4D">
        <w:rPr>
          <w:sz w:val="26"/>
          <w:szCs w:val="26"/>
        </w:rPr>
        <w:t xml:space="preserve"> 98 (1992). </w:t>
      </w:r>
    </w:p>
    <w:p w14:paraId="21BBA563" w14:textId="77777777" w:rsidR="00CC5C4D" w:rsidRPr="00CC5C4D" w:rsidRDefault="00CC5C4D" w:rsidP="00CC5C4D">
      <w:pPr>
        <w:spacing w:after="142" w:line="259" w:lineRule="auto"/>
        <w:rPr>
          <w:sz w:val="26"/>
          <w:szCs w:val="26"/>
        </w:rPr>
      </w:pPr>
      <w:r w:rsidRPr="00CC5C4D">
        <w:rPr>
          <w:sz w:val="26"/>
          <w:szCs w:val="26"/>
        </w:rPr>
        <w:t xml:space="preserve"> </w:t>
      </w:r>
    </w:p>
    <w:p w14:paraId="077D4EA0" w14:textId="30572537" w:rsidR="00CC5C4D" w:rsidRDefault="006A169D" w:rsidP="00CC5C4D">
      <w:pPr>
        <w:widowControl/>
        <w:spacing w:line="360" w:lineRule="auto"/>
        <w:ind w:firstLine="1440"/>
        <w:rPr>
          <w:sz w:val="26"/>
          <w:szCs w:val="26"/>
        </w:rPr>
      </w:pPr>
      <w:r>
        <w:rPr>
          <w:sz w:val="26"/>
          <w:szCs w:val="26"/>
        </w:rPr>
        <w:t>T</w:t>
      </w:r>
      <w:r w:rsidR="00CC5C4D" w:rsidRPr="00CC5C4D">
        <w:rPr>
          <w:sz w:val="26"/>
          <w:szCs w:val="26"/>
        </w:rPr>
        <w:t>he doctrine of collateral estoppel</w:t>
      </w:r>
      <w:r>
        <w:rPr>
          <w:sz w:val="26"/>
          <w:szCs w:val="26"/>
        </w:rPr>
        <w:t>, also known as issue preclusion,</w:t>
      </w:r>
      <w:r w:rsidR="00CC5C4D" w:rsidRPr="00CC5C4D">
        <w:rPr>
          <w:sz w:val="26"/>
          <w:szCs w:val="26"/>
        </w:rPr>
        <w:t xml:space="preserve"> prevents a question of law or an issue of fact that has been once litigated and adjudicated finally in a court of competent jurisdiction from being relitigated in a subsequent suit.  The four </w:t>
      </w:r>
      <w:r>
        <w:rPr>
          <w:sz w:val="26"/>
          <w:szCs w:val="26"/>
        </w:rPr>
        <w:t>conditions that must be met for this doctrine to apply</w:t>
      </w:r>
      <w:r w:rsidR="00CC5C4D" w:rsidRPr="00CC5C4D">
        <w:rPr>
          <w:sz w:val="26"/>
          <w:szCs w:val="26"/>
        </w:rPr>
        <w:t xml:space="preserve"> are: </w:t>
      </w:r>
      <w:r w:rsidR="00636587">
        <w:rPr>
          <w:sz w:val="26"/>
          <w:szCs w:val="26"/>
        </w:rPr>
        <w:t xml:space="preserve"> </w:t>
      </w:r>
      <w:r w:rsidR="00CC5C4D" w:rsidRPr="00CC5C4D">
        <w:rPr>
          <w:sz w:val="26"/>
          <w:szCs w:val="26"/>
        </w:rPr>
        <w:t xml:space="preserve">(1) the issue decided in the prior adjudication is identical with the one presented in the later action; (2) there was a final judgment on the merits; (3) the party against whom the plea is asserted was a party or in privity with the party to the prior adjudication; and (4) the party against whom the plea is asserted has had a full and fair opportunity to litigate the issues in question in the prior action.  </w:t>
      </w:r>
      <w:r w:rsidR="00CC5C4D" w:rsidRPr="00CC5C4D">
        <w:rPr>
          <w:i/>
          <w:sz w:val="26"/>
          <w:szCs w:val="26"/>
        </w:rPr>
        <w:t>Day</w:t>
      </w:r>
      <w:r w:rsidR="00CC5C4D" w:rsidRPr="00CC5C4D">
        <w:rPr>
          <w:sz w:val="26"/>
          <w:szCs w:val="26"/>
        </w:rPr>
        <w:t xml:space="preserve">, 464 A.2d at 1319.  </w:t>
      </w:r>
      <w:r>
        <w:rPr>
          <w:sz w:val="26"/>
          <w:szCs w:val="26"/>
        </w:rPr>
        <w:t xml:space="preserve">As a </w:t>
      </w:r>
      <w:r w:rsidR="00CC5C4D" w:rsidRPr="00CC5C4D">
        <w:rPr>
          <w:sz w:val="26"/>
          <w:szCs w:val="26"/>
        </w:rPr>
        <w:t>doctrine of issue preclusion</w:t>
      </w:r>
      <w:r>
        <w:rPr>
          <w:sz w:val="26"/>
          <w:szCs w:val="26"/>
        </w:rPr>
        <w:t xml:space="preserve">, collateral estoppel </w:t>
      </w:r>
      <w:r w:rsidR="00CC5C4D" w:rsidRPr="00CC5C4D">
        <w:rPr>
          <w:sz w:val="26"/>
          <w:szCs w:val="26"/>
        </w:rPr>
        <w:t xml:space="preserve">seeks to prevent the re-litigation of a finally litigated issue in a subsequent proceeding between the same parties.  </w:t>
      </w:r>
      <w:r w:rsidR="00CC5C4D" w:rsidRPr="00CC5C4D">
        <w:rPr>
          <w:i/>
          <w:sz w:val="26"/>
          <w:szCs w:val="26"/>
        </w:rPr>
        <w:t>Baker v. Pa. Human Relations Comm’n</w:t>
      </w:r>
      <w:r w:rsidR="00CC5C4D" w:rsidRPr="00CC5C4D">
        <w:rPr>
          <w:sz w:val="26"/>
          <w:szCs w:val="26"/>
        </w:rPr>
        <w:t>, 462</w:t>
      </w:r>
      <w:r w:rsidR="003A68C0">
        <w:rPr>
          <w:sz w:val="26"/>
          <w:szCs w:val="26"/>
        </w:rPr>
        <w:t> </w:t>
      </w:r>
      <w:r w:rsidR="00CC5C4D" w:rsidRPr="00CC5C4D">
        <w:rPr>
          <w:sz w:val="26"/>
          <w:szCs w:val="26"/>
        </w:rPr>
        <w:t>A.2d</w:t>
      </w:r>
      <w:r w:rsidR="003A68C0">
        <w:rPr>
          <w:sz w:val="26"/>
          <w:szCs w:val="26"/>
        </w:rPr>
        <w:t> </w:t>
      </w:r>
      <w:r w:rsidR="00CC5C4D" w:rsidRPr="00CC5C4D">
        <w:rPr>
          <w:sz w:val="26"/>
          <w:szCs w:val="26"/>
        </w:rPr>
        <w:t xml:space="preserve">881 (Pa. </w:t>
      </w:r>
      <w:proofErr w:type="spellStart"/>
      <w:r w:rsidR="00CC5C4D" w:rsidRPr="00CC5C4D">
        <w:rPr>
          <w:sz w:val="26"/>
          <w:szCs w:val="26"/>
        </w:rPr>
        <w:t>Cmwlth</w:t>
      </w:r>
      <w:proofErr w:type="spellEnd"/>
      <w:r w:rsidR="00CC5C4D" w:rsidRPr="00CC5C4D">
        <w:rPr>
          <w:sz w:val="26"/>
          <w:szCs w:val="26"/>
        </w:rPr>
        <w:t>. 1983).</w:t>
      </w:r>
    </w:p>
    <w:p w14:paraId="078C37C3" w14:textId="2943F601" w:rsidR="004804C8" w:rsidRDefault="004804C8" w:rsidP="00CC5C4D">
      <w:pPr>
        <w:widowControl/>
        <w:spacing w:line="360" w:lineRule="auto"/>
        <w:ind w:firstLine="1440"/>
        <w:rPr>
          <w:sz w:val="26"/>
          <w:szCs w:val="26"/>
        </w:rPr>
      </w:pPr>
    </w:p>
    <w:p w14:paraId="2F4146C0" w14:textId="567DB2D2" w:rsidR="004804C8" w:rsidRDefault="004804C8" w:rsidP="005063D7">
      <w:pPr>
        <w:widowControl/>
        <w:spacing w:line="360" w:lineRule="auto"/>
        <w:rPr>
          <w:b/>
          <w:bCs/>
          <w:sz w:val="26"/>
          <w:szCs w:val="26"/>
        </w:rPr>
      </w:pPr>
      <w:r>
        <w:rPr>
          <w:b/>
          <w:bCs/>
          <w:sz w:val="26"/>
          <w:szCs w:val="26"/>
        </w:rPr>
        <w:t>Disposition</w:t>
      </w:r>
    </w:p>
    <w:p w14:paraId="2F420379" w14:textId="77777777" w:rsidR="00BC3405" w:rsidRDefault="00BC3405" w:rsidP="005063D7">
      <w:pPr>
        <w:widowControl/>
        <w:spacing w:line="360" w:lineRule="auto"/>
        <w:rPr>
          <w:b/>
          <w:bCs/>
          <w:sz w:val="26"/>
          <w:szCs w:val="26"/>
        </w:rPr>
      </w:pPr>
    </w:p>
    <w:p w14:paraId="53BE2DC4" w14:textId="443B5B31" w:rsidR="004C3E87" w:rsidRDefault="00D76131" w:rsidP="001D491F">
      <w:pPr>
        <w:widowControl/>
        <w:spacing w:line="360" w:lineRule="auto"/>
        <w:ind w:firstLine="1440"/>
        <w:rPr>
          <w:sz w:val="26"/>
          <w:szCs w:val="26"/>
        </w:rPr>
      </w:pPr>
      <w:r>
        <w:rPr>
          <w:sz w:val="26"/>
          <w:szCs w:val="26"/>
        </w:rPr>
        <w:t xml:space="preserve">Based on our review of the record, </w:t>
      </w:r>
      <w:r w:rsidR="002960BF">
        <w:rPr>
          <w:sz w:val="26"/>
          <w:szCs w:val="26"/>
        </w:rPr>
        <w:t xml:space="preserve">including </w:t>
      </w:r>
      <w:r>
        <w:rPr>
          <w:sz w:val="26"/>
          <w:szCs w:val="26"/>
        </w:rPr>
        <w:t xml:space="preserve">the Exceptions and Replies thereto, </w:t>
      </w:r>
      <w:r w:rsidR="002960BF">
        <w:rPr>
          <w:sz w:val="26"/>
          <w:szCs w:val="26"/>
        </w:rPr>
        <w:t xml:space="preserve">as discussed in further detail below, we </w:t>
      </w:r>
      <w:r w:rsidR="004D4C03">
        <w:rPr>
          <w:sz w:val="26"/>
          <w:szCs w:val="26"/>
        </w:rPr>
        <w:t>will</w:t>
      </w:r>
      <w:r w:rsidR="002960BF">
        <w:rPr>
          <w:sz w:val="26"/>
          <w:szCs w:val="26"/>
        </w:rPr>
        <w:t xml:space="preserve"> </w:t>
      </w:r>
      <w:r w:rsidR="00CD381A">
        <w:rPr>
          <w:sz w:val="26"/>
          <w:szCs w:val="26"/>
        </w:rPr>
        <w:t>grant</w:t>
      </w:r>
      <w:r w:rsidR="002960BF">
        <w:rPr>
          <w:sz w:val="26"/>
          <w:szCs w:val="26"/>
        </w:rPr>
        <w:t xml:space="preserve"> the Complainant’s Exceptions</w:t>
      </w:r>
      <w:r w:rsidR="00CD381A">
        <w:rPr>
          <w:sz w:val="26"/>
          <w:szCs w:val="26"/>
        </w:rPr>
        <w:t xml:space="preserve"> and </w:t>
      </w:r>
      <w:r w:rsidR="00CD381A">
        <w:rPr>
          <w:bCs/>
          <w:sz w:val="26"/>
          <w:szCs w:val="26"/>
        </w:rPr>
        <w:t>vacate the Initial Decision of the ALJ granting DLC’s Motion for Judgment on the Pleadings.  Further, we will</w:t>
      </w:r>
      <w:r w:rsidR="001E25ED">
        <w:rPr>
          <w:bCs/>
          <w:sz w:val="26"/>
          <w:szCs w:val="26"/>
        </w:rPr>
        <w:t xml:space="preserve"> </w:t>
      </w:r>
      <w:r w:rsidR="00CD381A">
        <w:rPr>
          <w:bCs/>
          <w:sz w:val="26"/>
          <w:szCs w:val="26"/>
        </w:rPr>
        <w:t xml:space="preserve">remand the matter to </w:t>
      </w:r>
      <w:r w:rsidR="001E25ED">
        <w:rPr>
          <w:bCs/>
          <w:sz w:val="26"/>
          <w:szCs w:val="26"/>
        </w:rPr>
        <w:t>OALJ</w:t>
      </w:r>
      <w:r w:rsidR="00CD381A">
        <w:rPr>
          <w:bCs/>
          <w:sz w:val="26"/>
          <w:szCs w:val="26"/>
        </w:rPr>
        <w:t xml:space="preserve"> for </w:t>
      </w:r>
      <w:r w:rsidR="000840C2">
        <w:rPr>
          <w:bCs/>
          <w:sz w:val="26"/>
          <w:szCs w:val="26"/>
        </w:rPr>
        <w:t xml:space="preserve">further </w:t>
      </w:r>
      <w:r w:rsidR="00CD381A">
        <w:rPr>
          <w:bCs/>
          <w:sz w:val="26"/>
          <w:szCs w:val="26"/>
        </w:rPr>
        <w:t>proceedings consistent with this Opinion and Order</w:t>
      </w:r>
      <w:r w:rsidR="002960BF">
        <w:rPr>
          <w:sz w:val="26"/>
          <w:szCs w:val="26"/>
        </w:rPr>
        <w:t>.</w:t>
      </w:r>
      <w:r w:rsidR="000840C2">
        <w:rPr>
          <w:bCs/>
          <w:sz w:val="26"/>
          <w:szCs w:val="26"/>
        </w:rPr>
        <w:t xml:space="preserve">  </w:t>
      </w:r>
      <w:r w:rsidR="009C0560">
        <w:rPr>
          <w:sz w:val="26"/>
          <w:szCs w:val="26"/>
        </w:rPr>
        <w:t xml:space="preserve">In determining whether to affirm the ALJ’s Initial Decision below, we must examine the question of whether the ALJ properly applied the doctrines of </w:t>
      </w:r>
      <w:r w:rsidR="009C0560">
        <w:rPr>
          <w:i/>
          <w:iCs/>
          <w:sz w:val="26"/>
          <w:szCs w:val="26"/>
        </w:rPr>
        <w:t>res judicata</w:t>
      </w:r>
      <w:r w:rsidR="009C0560">
        <w:rPr>
          <w:sz w:val="26"/>
          <w:szCs w:val="26"/>
        </w:rPr>
        <w:t xml:space="preserve"> and collateral estoppel and Section 316 of the Code</w:t>
      </w:r>
      <w:r w:rsidR="004D4C03">
        <w:rPr>
          <w:sz w:val="26"/>
          <w:szCs w:val="26"/>
        </w:rPr>
        <w:t xml:space="preserve">, </w:t>
      </w:r>
      <w:r w:rsidR="004D4C03">
        <w:rPr>
          <w:bCs/>
          <w:sz w:val="26"/>
          <w:szCs w:val="26"/>
        </w:rPr>
        <w:t xml:space="preserve">66 Pa. C.S. </w:t>
      </w:r>
      <w:r w:rsidR="004D4C03" w:rsidRPr="00260BF9">
        <w:rPr>
          <w:sz w:val="26"/>
          <w:szCs w:val="26"/>
        </w:rPr>
        <w:t>§</w:t>
      </w:r>
      <w:r w:rsidR="004D4C03">
        <w:rPr>
          <w:sz w:val="26"/>
          <w:szCs w:val="26"/>
        </w:rPr>
        <w:t xml:space="preserve"> 316,</w:t>
      </w:r>
      <w:r w:rsidR="009C0560">
        <w:rPr>
          <w:sz w:val="26"/>
          <w:szCs w:val="26"/>
        </w:rPr>
        <w:t xml:space="preserve"> to bar the Complainant’s present billing dispute as a subsequent attack on the </w:t>
      </w:r>
      <w:r w:rsidR="009C0560" w:rsidRPr="004C3E87">
        <w:rPr>
          <w:i/>
          <w:iCs/>
          <w:sz w:val="26"/>
          <w:szCs w:val="26"/>
        </w:rPr>
        <w:t>December 12, 2019 Final Order</w:t>
      </w:r>
      <w:r w:rsidR="009C0560">
        <w:rPr>
          <w:sz w:val="26"/>
          <w:szCs w:val="26"/>
        </w:rPr>
        <w:t xml:space="preserve">.  </w:t>
      </w:r>
      <w:r w:rsidR="004C3E87">
        <w:rPr>
          <w:sz w:val="26"/>
          <w:szCs w:val="26"/>
        </w:rPr>
        <w:t xml:space="preserve">The ALJ’s analysis applied the separate four-prong tests in </w:t>
      </w:r>
      <w:r w:rsidR="004C3E87">
        <w:rPr>
          <w:i/>
          <w:iCs/>
          <w:sz w:val="26"/>
          <w:szCs w:val="26"/>
        </w:rPr>
        <w:t>Day</w:t>
      </w:r>
      <w:r w:rsidR="004C3E87">
        <w:rPr>
          <w:sz w:val="26"/>
          <w:szCs w:val="26"/>
        </w:rPr>
        <w:t xml:space="preserve"> for both doctrines and concluded that all four elements were satisfied under both doctrines.  Specifically, the ALJ found that</w:t>
      </w:r>
      <w:r w:rsidR="00D11381">
        <w:rPr>
          <w:sz w:val="26"/>
          <w:szCs w:val="26"/>
        </w:rPr>
        <w:t xml:space="preserve"> in </w:t>
      </w:r>
      <w:r w:rsidR="004C3E87">
        <w:rPr>
          <w:sz w:val="26"/>
          <w:szCs w:val="26"/>
        </w:rPr>
        <w:t xml:space="preserve">both </w:t>
      </w:r>
      <w:r w:rsidR="001B3718">
        <w:rPr>
          <w:sz w:val="26"/>
          <w:szCs w:val="26"/>
        </w:rPr>
        <w:t>actions</w:t>
      </w:r>
      <w:r w:rsidR="00D11381">
        <w:rPr>
          <w:sz w:val="26"/>
          <w:szCs w:val="26"/>
        </w:rPr>
        <w:t xml:space="preserve"> filed by the Complainant</w:t>
      </w:r>
      <w:r w:rsidR="001B3718">
        <w:rPr>
          <w:sz w:val="26"/>
          <w:szCs w:val="26"/>
        </w:rPr>
        <w:t>,</w:t>
      </w:r>
      <w:r w:rsidR="00D11381">
        <w:rPr>
          <w:sz w:val="26"/>
          <w:szCs w:val="26"/>
        </w:rPr>
        <w:t xml:space="preserve"> </w:t>
      </w:r>
      <w:r w:rsidR="004C3E87">
        <w:rPr>
          <w:sz w:val="26"/>
          <w:szCs w:val="26"/>
        </w:rPr>
        <w:t>t</w:t>
      </w:r>
      <w:r w:rsidR="004C3E87" w:rsidRPr="004C3E87">
        <w:rPr>
          <w:sz w:val="26"/>
          <w:szCs w:val="26"/>
        </w:rPr>
        <w:t>he same issues, causes of action, parties, and capacities of parties existed</w:t>
      </w:r>
      <w:r w:rsidR="004C3E87">
        <w:rPr>
          <w:sz w:val="26"/>
          <w:szCs w:val="26"/>
        </w:rPr>
        <w:t xml:space="preserve"> under the doctrine of </w:t>
      </w:r>
      <w:r w:rsidR="004C3E87">
        <w:rPr>
          <w:i/>
          <w:iCs/>
          <w:sz w:val="26"/>
          <w:szCs w:val="26"/>
        </w:rPr>
        <w:t>res</w:t>
      </w:r>
      <w:r w:rsidR="003A68C0">
        <w:rPr>
          <w:i/>
          <w:iCs/>
          <w:sz w:val="26"/>
          <w:szCs w:val="26"/>
        </w:rPr>
        <w:t> </w:t>
      </w:r>
      <w:r w:rsidR="004C3E87">
        <w:rPr>
          <w:i/>
          <w:iCs/>
          <w:sz w:val="26"/>
          <w:szCs w:val="26"/>
        </w:rPr>
        <w:t>judicata</w:t>
      </w:r>
      <w:r w:rsidR="004C3E87" w:rsidRPr="004C3E87">
        <w:rPr>
          <w:sz w:val="26"/>
          <w:szCs w:val="26"/>
        </w:rPr>
        <w:t>.</w:t>
      </w:r>
      <w:r w:rsidR="004C3E87">
        <w:rPr>
          <w:sz w:val="26"/>
          <w:szCs w:val="26"/>
        </w:rPr>
        <w:t xml:space="preserve">  I</w:t>
      </w:r>
      <w:r w:rsidR="001E1899">
        <w:rPr>
          <w:sz w:val="26"/>
          <w:szCs w:val="26"/>
        </w:rPr>
        <w:t>.D.</w:t>
      </w:r>
      <w:r w:rsidR="004C3E87">
        <w:rPr>
          <w:sz w:val="26"/>
          <w:szCs w:val="26"/>
        </w:rPr>
        <w:t xml:space="preserve"> at 5</w:t>
      </w:r>
      <w:r w:rsidR="00D977AB">
        <w:rPr>
          <w:sz w:val="26"/>
          <w:szCs w:val="26"/>
        </w:rPr>
        <w:t>.</w:t>
      </w:r>
      <w:r w:rsidR="000B6C31">
        <w:rPr>
          <w:sz w:val="26"/>
          <w:szCs w:val="26"/>
        </w:rPr>
        <w:t xml:space="preserve">  Similarly</w:t>
      </w:r>
      <w:r w:rsidR="004C3E87" w:rsidRPr="004C3E87">
        <w:rPr>
          <w:sz w:val="26"/>
          <w:szCs w:val="26"/>
        </w:rPr>
        <w:t>,</w:t>
      </w:r>
      <w:r w:rsidR="008474B3">
        <w:rPr>
          <w:sz w:val="26"/>
          <w:szCs w:val="26"/>
        </w:rPr>
        <w:t xml:space="preserve"> </w:t>
      </w:r>
      <w:r w:rsidR="0088274B">
        <w:rPr>
          <w:sz w:val="26"/>
          <w:szCs w:val="26"/>
        </w:rPr>
        <w:t>under</w:t>
      </w:r>
      <w:r w:rsidR="008474B3">
        <w:rPr>
          <w:sz w:val="26"/>
          <w:szCs w:val="26"/>
        </w:rPr>
        <w:t xml:space="preserve"> collateral estoppel, the AL</w:t>
      </w:r>
      <w:r w:rsidR="001B3718">
        <w:rPr>
          <w:sz w:val="26"/>
          <w:szCs w:val="26"/>
        </w:rPr>
        <w:t>J</w:t>
      </w:r>
      <w:r w:rsidR="008474B3">
        <w:rPr>
          <w:sz w:val="26"/>
          <w:szCs w:val="26"/>
        </w:rPr>
        <w:t xml:space="preserve"> found that</w:t>
      </w:r>
      <w:r w:rsidR="0088274B">
        <w:rPr>
          <w:sz w:val="26"/>
          <w:szCs w:val="26"/>
        </w:rPr>
        <w:t xml:space="preserve"> in both cases</w:t>
      </w:r>
      <w:r w:rsidR="004D4C03">
        <w:rPr>
          <w:sz w:val="26"/>
          <w:szCs w:val="26"/>
        </w:rPr>
        <w:t>,</w:t>
      </w:r>
      <w:r w:rsidR="008474B3">
        <w:rPr>
          <w:sz w:val="26"/>
          <w:szCs w:val="26"/>
        </w:rPr>
        <w:t xml:space="preserve"> </w:t>
      </w:r>
      <w:r w:rsidR="004C3E87" w:rsidRPr="004C3E87">
        <w:rPr>
          <w:sz w:val="26"/>
          <w:szCs w:val="26"/>
        </w:rPr>
        <w:t>the issues are the same</w:t>
      </w:r>
      <w:r w:rsidR="008474B3">
        <w:rPr>
          <w:sz w:val="26"/>
          <w:szCs w:val="26"/>
        </w:rPr>
        <w:t>, a</w:t>
      </w:r>
      <w:r w:rsidR="004C3E87" w:rsidRPr="004C3E87">
        <w:rPr>
          <w:sz w:val="26"/>
          <w:szCs w:val="26"/>
        </w:rPr>
        <w:t xml:space="preserve"> final judgment on the merits in the previous complaint case was entered</w:t>
      </w:r>
      <w:r w:rsidR="008474B3">
        <w:rPr>
          <w:sz w:val="26"/>
          <w:szCs w:val="26"/>
        </w:rPr>
        <w:t>, the</w:t>
      </w:r>
      <w:r w:rsidR="004C3E87" w:rsidRPr="004C3E87">
        <w:rPr>
          <w:sz w:val="26"/>
          <w:szCs w:val="26"/>
        </w:rPr>
        <w:t xml:space="preserve"> Complainant was the same person identified in the previous case, and she had a full and fair opportunity to litigate the issues in question in the prior action. </w:t>
      </w:r>
      <w:r w:rsidR="008474B3">
        <w:rPr>
          <w:sz w:val="26"/>
          <w:szCs w:val="26"/>
        </w:rPr>
        <w:t xml:space="preserve"> </w:t>
      </w:r>
      <w:r w:rsidR="008474B3">
        <w:rPr>
          <w:i/>
          <w:iCs/>
          <w:sz w:val="26"/>
          <w:szCs w:val="26"/>
        </w:rPr>
        <w:t>Id</w:t>
      </w:r>
      <w:r w:rsidR="008474B3">
        <w:rPr>
          <w:sz w:val="26"/>
          <w:szCs w:val="26"/>
        </w:rPr>
        <w:t>.</w:t>
      </w:r>
      <w:r w:rsidR="004C3E87" w:rsidRPr="004C3E87">
        <w:rPr>
          <w:sz w:val="26"/>
          <w:szCs w:val="26"/>
        </w:rPr>
        <w:t xml:space="preserve"> </w:t>
      </w:r>
      <w:r w:rsidR="00D11381">
        <w:rPr>
          <w:sz w:val="26"/>
          <w:szCs w:val="26"/>
        </w:rPr>
        <w:t xml:space="preserve"> </w:t>
      </w:r>
    </w:p>
    <w:p w14:paraId="63203110" w14:textId="77777777" w:rsidR="00B94425" w:rsidRDefault="00B94425" w:rsidP="001D491F">
      <w:pPr>
        <w:widowControl/>
        <w:spacing w:line="360" w:lineRule="auto"/>
        <w:ind w:firstLine="1440"/>
        <w:rPr>
          <w:sz w:val="26"/>
          <w:szCs w:val="26"/>
        </w:rPr>
      </w:pPr>
    </w:p>
    <w:p w14:paraId="24BAA9F6" w14:textId="53FC7F58" w:rsidR="00B94425" w:rsidRPr="00B94425" w:rsidRDefault="00B94425" w:rsidP="00B94425">
      <w:pPr>
        <w:tabs>
          <w:tab w:val="center" w:pos="720"/>
          <w:tab w:val="center" w:pos="5030"/>
        </w:tabs>
        <w:spacing w:line="360" w:lineRule="auto"/>
        <w:ind w:firstLine="1440"/>
        <w:rPr>
          <w:bCs/>
          <w:sz w:val="26"/>
          <w:szCs w:val="26"/>
        </w:rPr>
      </w:pPr>
      <w:r w:rsidRPr="00B94425">
        <w:rPr>
          <w:bCs/>
          <w:sz w:val="26"/>
          <w:szCs w:val="26"/>
        </w:rPr>
        <w:t xml:space="preserve">It is well settled that a commission order is </w:t>
      </w:r>
      <w:r w:rsidRPr="00690C55">
        <w:rPr>
          <w:bCs/>
          <w:i/>
          <w:iCs/>
          <w:sz w:val="26"/>
          <w:szCs w:val="26"/>
        </w:rPr>
        <w:t>prima facie</w:t>
      </w:r>
      <w:r w:rsidRPr="00B94425">
        <w:rPr>
          <w:bCs/>
          <w:sz w:val="26"/>
          <w:szCs w:val="26"/>
        </w:rPr>
        <w:t xml:space="preserve"> evidence of the facts found and shall remain conclusive upon all parties affected unless set aside, annulled, or modified on judicial review.</w:t>
      </w:r>
      <w:r w:rsidR="002B1CD7">
        <w:rPr>
          <w:rStyle w:val="FootnoteReference"/>
          <w:bCs/>
          <w:sz w:val="26"/>
          <w:szCs w:val="26"/>
        </w:rPr>
        <w:footnoteReference w:id="3"/>
      </w:r>
      <w:r w:rsidRPr="00B94425">
        <w:rPr>
          <w:bCs/>
          <w:sz w:val="26"/>
          <w:szCs w:val="26"/>
        </w:rPr>
        <w:t xml:space="preserve"> </w:t>
      </w:r>
      <w:r w:rsidR="006410FD">
        <w:rPr>
          <w:bCs/>
          <w:sz w:val="26"/>
          <w:szCs w:val="26"/>
        </w:rPr>
        <w:t xml:space="preserve"> </w:t>
      </w:r>
      <w:r w:rsidRPr="00B94425">
        <w:rPr>
          <w:bCs/>
          <w:sz w:val="26"/>
          <w:szCs w:val="26"/>
        </w:rPr>
        <w:t xml:space="preserve">In addition, </w:t>
      </w:r>
      <w:r w:rsidRPr="00690C55">
        <w:rPr>
          <w:bCs/>
          <w:i/>
          <w:iCs/>
          <w:sz w:val="26"/>
          <w:szCs w:val="26"/>
        </w:rPr>
        <w:t>res judicata</w:t>
      </w:r>
      <w:r w:rsidRPr="00B94425">
        <w:rPr>
          <w:bCs/>
          <w:sz w:val="26"/>
          <w:szCs w:val="26"/>
        </w:rPr>
        <w:t xml:space="preserve"> and collateral estoppel both have four-pronged tests that must be met in order to act as a bar to a subsequent claim.</w:t>
      </w:r>
      <w:r w:rsidR="0026371C">
        <w:rPr>
          <w:rStyle w:val="FootnoteReference"/>
          <w:bCs/>
          <w:sz w:val="26"/>
          <w:szCs w:val="26"/>
        </w:rPr>
        <w:footnoteReference w:id="4"/>
      </w:r>
      <w:r w:rsidRPr="00B94425">
        <w:rPr>
          <w:bCs/>
          <w:sz w:val="26"/>
          <w:szCs w:val="26"/>
        </w:rPr>
        <w:t xml:space="preserve"> </w:t>
      </w:r>
      <w:r w:rsidR="006410FD">
        <w:rPr>
          <w:bCs/>
          <w:sz w:val="26"/>
          <w:szCs w:val="26"/>
        </w:rPr>
        <w:t xml:space="preserve"> </w:t>
      </w:r>
      <w:r w:rsidRPr="00B94425">
        <w:rPr>
          <w:bCs/>
          <w:sz w:val="26"/>
          <w:szCs w:val="26"/>
        </w:rPr>
        <w:t>Both of these doctrines have the same goal: to prevent the re-litigation of a finally litigated issue in a subsequent proceeding between the same parties.</w:t>
      </w:r>
    </w:p>
    <w:p w14:paraId="2817062E" w14:textId="77777777" w:rsidR="00B94425" w:rsidRPr="00B94425" w:rsidRDefault="00B94425" w:rsidP="00B94425">
      <w:pPr>
        <w:tabs>
          <w:tab w:val="center" w:pos="720"/>
          <w:tab w:val="center" w:pos="5030"/>
        </w:tabs>
        <w:spacing w:line="360" w:lineRule="auto"/>
        <w:ind w:firstLine="1440"/>
        <w:rPr>
          <w:bCs/>
          <w:sz w:val="26"/>
          <w:szCs w:val="26"/>
        </w:rPr>
      </w:pPr>
    </w:p>
    <w:p w14:paraId="1654D4F3" w14:textId="650728AC" w:rsidR="00B94425" w:rsidRDefault="00B94425" w:rsidP="00B94425">
      <w:pPr>
        <w:tabs>
          <w:tab w:val="center" w:pos="720"/>
          <w:tab w:val="center" w:pos="5030"/>
        </w:tabs>
        <w:spacing w:line="360" w:lineRule="auto"/>
        <w:ind w:firstLine="1440"/>
        <w:rPr>
          <w:bCs/>
          <w:sz w:val="26"/>
          <w:szCs w:val="26"/>
        </w:rPr>
      </w:pPr>
      <w:r w:rsidRPr="00B94425">
        <w:rPr>
          <w:bCs/>
          <w:sz w:val="26"/>
          <w:szCs w:val="26"/>
        </w:rPr>
        <w:t xml:space="preserve">We agree that Ms. Leininger cannot change the cause of action </w:t>
      </w:r>
      <w:proofErr w:type="gramStart"/>
      <w:r w:rsidRPr="00B94425">
        <w:rPr>
          <w:bCs/>
          <w:sz w:val="26"/>
          <w:szCs w:val="26"/>
        </w:rPr>
        <w:t>in an attempt to</w:t>
      </w:r>
      <w:proofErr w:type="gramEnd"/>
      <w:r w:rsidRPr="00B94425">
        <w:rPr>
          <w:bCs/>
          <w:sz w:val="26"/>
          <w:szCs w:val="26"/>
        </w:rPr>
        <w:t xml:space="preserve"> circumvent the final order of the Commission.  However, we do not agree that </w:t>
      </w:r>
      <w:r w:rsidRPr="00690C55">
        <w:rPr>
          <w:bCs/>
          <w:i/>
          <w:iCs/>
          <w:sz w:val="26"/>
          <w:szCs w:val="26"/>
        </w:rPr>
        <w:t>res judicata</w:t>
      </w:r>
      <w:r w:rsidRPr="00B94425">
        <w:rPr>
          <w:bCs/>
          <w:sz w:val="26"/>
          <w:szCs w:val="26"/>
        </w:rPr>
        <w:t xml:space="preserve"> and issue preclusion can be applied when the actual bills in question are different.  It is possible that a complainant may experience a high billing issue for a legitimate reason even after she has failed to sustain her burden of proving that prior bills were high two years earlier.  </w:t>
      </w:r>
      <w:proofErr w:type="gramStart"/>
      <w:r w:rsidRPr="00B94425">
        <w:rPr>
          <w:bCs/>
          <w:sz w:val="26"/>
          <w:szCs w:val="26"/>
        </w:rPr>
        <w:t>And,</w:t>
      </w:r>
      <w:proofErr w:type="gramEnd"/>
      <w:r w:rsidRPr="00B94425">
        <w:rPr>
          <w:bCs/>
          <w:sz w:val="26"/>
          <w:szCs w:val="26"/>
        </w:rPr>
        <w:t xml:space="preserve"> a meter working well for several years may subsequently break or suffer damage later.  If Ms. Leininger had filed the second complaint immediately after the first, then we would be inclined to see the second case as a re-litigation of the issues raised in the first case.  However, there were two years between the filings, and that is sufficient time for errors to occur.</w:t>
      </w:r>
    </w:p>
    <w:p w14:paraId="5EB043F8" w14:textId="77777777" w:rsidR="00B94425" w:rsidRPr="00B94425" w:rsidRDefault="00B94425" w:rsidP="00B94425">
      <w:pPr>
        <w:tabs>
          <w:tab w:val="center" w:pos="720"/>
          <w:tab w:val="center" w:pos="5030"/>
        </w:tabs>
        <w:spacing w:line="360" w:lineRule="auto"/>
        <w:ind w:firstLine="1440"/>
        <w:rPr>
          <w:bCs/>
          <w:sz w:val="26"/>
          <w:szCs w:val="26"/>
        </w:rPr>
      </w:pPr>
    </w:p>
    <w:p w14:paraId="4F7A37A2" w14:textId="42893F44" w:rsidR="00B94425" w:rsidRPr="00B94425" w:rsidRDefault="00B94425" w:rsidP="00B94425">
      <w:pPr>
        <w:tabs>
          <w:tab w:val="center" w:pos="720"/>
          <w:tab w:val="center" w:pos="5030"/>
        </w:tabs>
        <w:spacing w:line="360" w:lineRule="auto"/>
        <w:ind w:firstLine="1440"/>
        <w:rPr>
          <w:bCs/>
          <w:sz w:val="26"/>
          <w:szCs w:val="26"/>
        </w:rPr>
      </w:pPr>
      <w:r w:rsidRPr="00B94425">
        <w:rPr>
          <w:bCs/>
          <w:sz w:val="26"/>
          <w:szCs w:val="26"/>
        </w:rPr>
        <w:t xml:space="preserve">Because the bills from the first case are separated by two years, it is improper to apply the doctrines of issue preclusion and </w:t>
      </w:r>
      <w:r w:rsidRPr="00690C55">
        <w:rPr>
          <w:bCs/>
          <w:i/>
          <w:iCs/>
          <w:sz w:val="26"/>
          <w:szCs w:val="26"/>
        </w:rPr>
        <w:t>res judicata</w:t>
      </w:r>
      <w:r w:rsidRPr="00B94425">
        <w:rPr>
          <w:bCs/>
          <w:sz w:val="26"/>
          <w:szCs w:val="26"/>
        </w:rPr>
        <w:t xml:space="preserve"> to bar the second complaint.  Accordingly, we shall remand the matter for </w:t>
      </w:r>
      <w:r w:rsidR="000840C2">
        <w:rPr>
          <w:bCs/>
          <w:sz w:val="26"/>
          <w:szCs w:val="26"/>
        </w:rPr>
        <w:t xml:space="preserve">further </w:t>
      </w:r>
      <w:r w:rsidRPr="00B94425">
        <w:rPr>
          <w:bCs/>
          <w:sz w:val="26"/>
          <w:szCs w:val="26"/>
        </w:rPr>
        <w:t>proceedings on the merits consistent with this Opinion and Order.</w:t>
      </w:r>
    </w:p>
    <w:p w14:paraId="2E7895C1" w14:textId="40EE0F57" w:rsidR="005063D7" w:rsidRDefault="005063D7" w:rsidP="004804C8">
      <w:pPr>
        <w:widowControl/>
        <w:spacing w:line="360" w:lineRule="auto"/>
        <w:ind w:firstLine="1440"/>
        <w:rPr>
          <w:sz w:val="26"/>
          <w:szCs w:val="26"/>
        </w:rPr>
      </w:pPr>
    </w:p>
    <w:p w14:paraId="1BF35D41" w14:textId="77777777" w:rsidR="007A6EFE" w:rsidRPr="00755937" w:rsidRDefault="007A6EFE" w:rsidP="003A68C0">
      <w:pPr>
        <w:keepNext/>
        <w:keepLines/>
        <w:spacing w:line="360" w:lineRule="auto"/>
        <w:contextualSpacing/>
        <w:jc w:val="center"/>
        <w:rPr>
          <w:b/>
          <w:sz w:val="26"/>
          <w:szCs w:val="26"/>
        </w:rPr>
      </w:pPr>
      <w:r w:rsidRPr="00755937">
        <w:rPr>
          <w:sz w:val="26"/>
          <w:szCs w:val="26"/>
        </w:rPr>
        <w:t>C</w:t>
      </w:r>
      <w:r w:rsidRPr="00755937">
        <w:rPr>
          <w:b/>
          <w:sz w:val="26"/>
          <w:szCs w:val="26"/>
        </w:rPr>
        <w:t>onclusion</w:t>
      </w:r>
    </w:p>
    <w:p w14:paraId="624D4E78" w14:textId="77777777" w:rsidR="007A6EFE" w:rsidRPr="00755937" w:rsidRDefault="007A6EFE" w:rsidP="003A68C0">
      <w:pPr>
        <w:keepNext/>
        <w:keepLines/>
        <w:tabs>
          <w:tab w:val="left" w:pos="-720"/>
        </w:tabs>
        <w:suppressAutoHyphens/>
        <w:spacing w:line="360" w:lineRule="auto"/>
        <w:contextualSpacing/>
        <w:rPr>
          <w:sz w:val="26"/>
          <w:szCs w:val="26"/>
        </w:rPr>
      </w:pPr>
    </w:p>
    <w:p w14:paraId="4AC832DA" w14:textId="378B1727" w:rsidR="007A6EFE" w:rsidRPr="00755937" w:rsidRDefault="007A6EFE" w:rsidP="003A68C0">
      <w:pPr>
        <w:tabs>
          <w:tab w:val="left" w:pos="-720"/>
        </w:tabs>
        <w:suppressAutoHyphens/>
        <w:spacing w:line="360" w:lineRule="auto"/>
        <w:ind w:firstLine="1440"/>
        <w:contextualSpacing/>
        <w:rPr>
          <w:sz w:val="26"/>
          <w:szCs w:val="26"/>
        </w:rPr>
      </w:pPr>
      <w:r>
        <w:rPr>
          <w:sz w:val="26"/>
        </w:rPr>
        <w:t xml:space="preserve">For the reasons set forth above, we </w:t>
      </w:r>
      <w:r>
        <w:rPr>
          <w:bCs/>
          <w:sz w:val="26"/>
          <w:szCs w:val="26"/>
        </w:rPr>
        <w:t xml:space="preserve">will </w:t>
      </w:r>
      <w:r w:rsidR="00C76295">
        <w:rPr>
          <w:bCs/>
          <w:sz w:val="26"/>
          <w:szCs w:val="26"/>
        </w:rPr>
        <w:t>grant</w:t>
      </w:r>
      <w:r>
        <w:rPr>
          <w:bCs/>
          <w:sz w:val="26"/>
          <w:szCs w:val="26"/>
        </w:rPr>
        <w:t xml:space="preserve"> </w:t>
      </w:r>
      <w:r w:rsidR="001B3718">
        <w:rPr>
          <w:bCs/>
          <w:sz w:val="26"/>
          <w:szCs w:val="26"/>
        </w:rPr>
        <w:t xml:space="preserve">the </w:t>
      </w:r>
      <w:r>
        <w:rPr>
          <w:bCs/>
          <w:sz w:val="26"/>
          <w:szCs w:val="26"/>
        </w:rPr>
        <w:t>Complainant’s Exceptions</w:t>
      </w:r>
      <w:r w:rsidR="009020BA">
        <w:rPr>
          <w:bCs/>
          <w:sz w:val="26"/>
          <w:szCs w:val="26"/>
        </w:rPr>
        <w:t>,</w:t>
      </w:r>
      <w:r>
        <w:rPr>
          <w:bCs/>
          <w:sz w:val="26"/>
          <w:szCs w:val="26"/>
        </w:rPr>
        <w:t xml:space="preserve"> </w:t>
      </w:r>
      <w:r w:rsidR="00C76295">
        <w:rPr>
          <w:bCs/>
          <w:sz w:val="26"/>
          <w:szCs w:val="26"/>
        </w:rPr>
        <w:t>vacate</w:t>
      </w:r>
      <w:r>
        <w:rPr>
          <w:bCs/>
          <w:sz w:val="26"/>
          <w:szCs w:val="26"/>
        </w:rPr>
        <w:t xml:space="preserve"> the Initial Decision of the ALJ granting DLC’s Motion for Judgment on the Pleadings</w:t>
      </w:r>
      <w:r w:rsidR="009020BA">
        <w:rPr>
          <w:bCs/>
          <w:sz w:val="26"/>
          <w:szCs w:val="26"/>
        </w:rPr>
        <w:t>,</w:t>
      </w:r>
      <w:r>
        <w:rPr>
          <w:bCs/>
          <w:sz w:val="26"/>
          <w:szCs w:val="26"/>
        </w:rPr>
        <w:t xml:space="preserve"> and </w:t>
      </w:r>
      <w:r w:rsidR="009020BA">
        <w:rPr>
          <w:bCs/>
          <w:sz w:val="26"/>
          <w:szCs w:val="26"/>
        </w:rPr>
        <w:t>remand this matter to OALJ for further proceedings on the merits consistent with this Opinion and Order</w:t>
      </w:r>
      <w:r>
        <w:rPr>
          <w:sz w:val="26"/>
        </w:rPr>
        <w:t>;</w:t>
      </w:r>
      <w:r w:rsidRPr="00755937">
        <w:rPr>
          <w:sz w:val="26"/>
          <w:szCs w:val="26"/>
        </w:rPr>
        <w:t xml:space="preserve"> </w:t>
      </w:r>
      <w:r w:rsidRPr="00755937">
        <w:rPr>
          <w:b/>
          <w:sz w:val="26"/>
          <w:szCs w:val="26"/>
        </w:rPr>
        <w:t>THEREFORE,</w:t>
      </w:r>
    </w:p>
    <w:p w14:paraId="7D53A630" w14:textId="77777777" w:rsidR="007A6EFE" w:rsidRDefault="007A6EFE" w:rsidP="007A6EFE">
      <w:pPr>
        <w:widowControl/>
        <w:tabs>
          <w:tab w:val="left" w:pos="-720"/>
        </w:tabs>
        <w:suppressAutoHyphens/>
        <w:overflowPunct w:val="0"/>
        <w:autoSpaceDE w:val="0"/>
        <w:autoSpaceDN w:val="0"/>
        <w:adjustRightInd w:val="0"/>
        <w:spacing w:line="360" w:lineRule="auto"/>
        <w:textAlignment w:val="baseline"/>
        <w:rPr>
          <w:rFonts w:eastAsia="Calibri"/>
          <w:sz w:val="26"/>
          <w:szCs w:val="26"/>
        </w:rPr>
      </w:pPr>
    </w:p>
    <w:p w14:paraId="0D1B8D35" w14:textId="77777777" w:rsidR="007A6EFE" w:rsidRDefault="007A6EFE" w:rsidP="007A6EFE">
      <w:pPr>
        <w:keepNext/>
        <w:keepLines/>
        <w:widowControl/>
        <w:spacing w:line="360" w:lineRule="auto"/>
        <w:ind w:firstLine="1440"/>
        <w:rPr>
          <w:b/>
          <w:sz w:val="26"/>
          <w:szCs w:val="26"/>
        </w:rPr>
      </w:pPr>
      <w:r>
        <w:rPr>
          <w:b/>
          <w:sz w:val="26"/>
          <w:szCs w:val="26"/>
        </w:rPr>
        <w:t>IT IS ORDERED:</w:t>
      </w:r>
      <w:r w:rsidRPr="00AC0CCB">
        <w:rPr>
          <w:noProof/>
        </w:rPr>
        <w:t xml:space="preserve"> </w:t>
      </w:r>
    </w:p>
    <w:p w14:paraId="7504D0D7" w14:textId="77777777" w:rsidR="007A6EFE" w:rsidRDefault="007A6EFE" w:rsidP="007A6EFE">
      <w:pPr>
        <w:keepNext/>
        <w:keepLines/>
        <w:widowControl/>
        <w:spacing w:line="360" w:lineRule="auto"/>
        <w:rPr>
          <w:sz w:val="26"/>
          <w:szCs w:val="26"/>
        </w:rPr>
      </w:pPr>
    </w:p>
    <w:p w14:paraId="54CCB6D9" w14:textId="211C10FE" w:rsidR="007A6EFE" w:rsidRDefault="007A6EFE" w:rsidP="00834C3A">
      <w:pPr>
        <w:pStyle w:val="ListParagraph"/>
        <w:widowControl/>
        <w:numPr>
          <w:ilvl w:val="0"/>
          <w:numId w:val="2"/>
        </w:numPr>
        <w:spacing w:line="360" w:lineRule="auto"/>
        <w:ind w:left="0" w:firstLine="1440"/>
        <w:rPr>
          <w:sz w:val="26"/>
          <w:szCs w:val="26"/>
        </w:rPr>
      </w:pPr>
      <w:r>
        <w:rPr>
          <w:sz w:val="26"/>
          <w:szCs w:val="26"/>
        </w:rPr>
        <w:t>That the Exceptions filed on January 2</w:t>
      </w:r>
      <w:r w:rsidR="00D91281">
        <w:rPr>
          <w:sz w:val="26"/>
          <w:szCs w:val="26"/>
        </w:rPr>
        <w:t>6</w:t>
      </w:r>
      <w:r>
        <w:rPr>
          <w:sz w:val="26"/>
          <w:szCs w:val="26"/>
        </w:rPr>
        <w:t xml:space="preserve">, 2021, by Nancy Leininger to the Initial Decision of </w:t>
      </w:r>
      <w:r>
        <w:rPr>
          <w:bCs/>
          <w:sz w:val="26"/>
          <w:szCs w:val="26"/>
        </w:rPr>
        <w:t xml:space="preserve">Deputy Chief Administrative Law Judge Mark </w:t>
      </w:r>
      <w:r w:rsidR="00AC7C75">
        <w:rPr>
          <w:bCs/>
          <w:sz w:val="26"/>
          <w:szCs w:val="26"/>
        </w:rPr>
        <w:t xml:space="preserve">A. </w:t>
      </w:r>
      <w:r>
        <w:rPr>
          <w:bCs/>
          <w:sz w:val="26"/>
          <w:szCs w:val="26"/>
        </w:rPr>
        <w:t>Hoyer</w:t>
      </w:r>
      <w:r>
        <w:rPr>
          <w:sz w:val="26"/>
          <w:szCs w:val="26"/>
        </w:rPr>
        <w:t xml:space="preserve"> that was issued on </w:t>
      </w:r>
      <w:r w:rsidR="003639E0">
        <w:rPr>
          <w:sz w:val="26"/>
          <w:szCs w:val="26"/>
        </w:rPr>
        <w:t xml:space="preserve">January </w:t>
      </w:r>
      <w:r w:rsidR="00CB4414">
        <w:rPr>
          <w:sz w:val="26"/>
          <w:szCs w:val="26"/>
        </w:rPr>
        <w:t>6, 2021</w:t>
      </w:r>
      <w:r>
        <w:rPr>
          <w:sz w:val="26"/>
          <w:szCs w:val="26"/>
        </w:rPr>
        <w:t xml:space="preserve">, are </w:t>
      </w:r>
      <w:r w:rsidR="00C76295">
        <w:rPr>
          <w:sz w:val="26"/>
          <w:szCs w:val="26"/>
        </w:rPr>
        <w:t>granted</w:t>
      </w:r>
      <w:r>
        <w:rPr>
          <w:sz w:val="26"/>
          <w:szCs w:val="26"/>
        </w:rPr>
        <w:t>, consistent with this Opinion and Order.</w:t>
      </w:r>
    </w:p>
    <w:p w14:paraId="46E6EFF4" w14:textId="77777777" w:rsidR="00295DE8" w:rsidRDefault="00295DE8" w:rsidP="00834C3A">
      <w:pPr>
        <w:pStyle w:val="ListParagraph"/>
        <w:widowControl/>
        <w:spacing w:line="360" w:lineRule="auto"/>
        <w:ind w:left="1440"/>
        <w:rPr>
          <w:sz w:val="26"/>
          <w:szCs w:val="26"/>
        </w:rPr>
      </w:pPr>
    </w:p>
    <w:p w14:paraId="37D54DFB" w14:textId="0F541CDC" w:rsidR="007A6EFE" w:rsidRDefault="007C53FE" w:rsidP="00834C3A">
      <w:pPr>
        <w:pStyle w:val="ListParagraph"/>
        <w:widowControl/>
        <w:numPr>
          <w:ilvl w:val="0"/>
          <w:numId w:val="2"/>
        </w:numPr>
        <w:spacing w:line="360" w:lineRule="auto"/>
        <w:ind w:left="0" w:firstLine="1440"/>
        <w:rPr>
          <w:sz w:val="26"/>
          <w:szCs w:val="26"/>
        </w:rPr>
      </w:pPr>
      <w:r>
        <w:rPr>
          <w:sz w:val="26"/>
          <w:szCs w:val="26"/>
        </w:rPr>
        <w:t>That the</w:t>
      </w:r>
      <w:r w:rsidRPr="007C53FE">
        <w:rPr>
          <w:sz w:val="26"/>
          <w:szCs w:val="26"/>
        </w:rPr>
        <w:t xml:space="preserve"> </w:t>
      </w:r>
      <w:r>
        <w:rPr>
          <w:sz w:val="26"/>
          <w:szCs w:val="26"/>
        </w:rPr>
        <w:t xml:space="preserve">Initial Decision of </w:t>
      </w:r>
      <w:r>
        <w:rPr>
          <w:bCs/>
          <w:sz w:val="26"/>
          <w:szCs w:val="26"/>
        </w:rPr>
        <w:t>Deputy Chief Administrative Law Judge Mark Hoyer</w:t>
      </w:r>
      <w:r>
        <w:rPr>
          <w:sz w:val="26"/>
          <w:szCs w:val="26"/>
        </w:rPr>
        <w:t xml:space="preserve"> that was issued on </w:t>
      </w:r>
      <w:r w:rsidR="00522C86">
        <w:rPr>
          <w:sz w:val="26"/>
          <w:szCs w:val="26"/>
        </w:rPr>
        <w:t>January 6, 2021</w:t>
      </w:r>
      <w:r>
        <w:rPr>
          <w:sz w:val="26"/>
          <w:szCs w:val="26"/>
        </w:rPr>
        <w:t xml:space="preserve">, is </w:t>
      </w:r>
      <w:r w:rsidR="009020BA">
        <w:rPr>
          <w:sz w:val="26"/>
          <w:szCs w:val="26"/>
        </w:rPr>
        <w:t>vacated</w:t>
      </w:r>
      <w:r>
        <w:rPr>
          <w:sz w:val="26"/>
          <w:szCs w:val="26"/>
        </w:rPr>
        <w:t xml:space="preserve">, consistent with this Opinion and Order. </w:t>
      </w:r>
    </w:p>
    <w:p w14:paraId="498BA18D" w14:textId="77777777" w:rsidR="009020BA" w:rsidRPr="009020BA" w:rsidRDefault="009020BA" w:rsidP="00834C3A">
      <w:pPr>
        <w:pStyle w:val="ListParagraph"/>
        <w:spacing w:line="360" w:lineRule="auto"/>
        <w:rPr>
          <w:sz w:val="26"/>
          <w:szCs w:val="26"/>
        </w:rPr>
      </w:pPr>
    </w:p>
    <w:p w14:paraId="28E3E317" w14:textId="4266BC3D" w:rsidR="009020BA" w:rsidRPr="007A6EFE" w:rsidRDefault="009020BA" w:rsidP="00834C3A">
      <w:pPr>
        <w:pStyle w:val="ListParagraph"/>
        <w:keepNext/>
        <w:keepLines/>
        <w:widowControl/>
        <w:numPr>
          <w:ilvl w:val="0"/>
          <w:numId w:val="2"/>
        </w:numPr>
        <w:spacing w:line="360" w:lineRule="auto"/>
        <w:ind w:left="0" w:firstLine="1440"/>
        <w:rPr>
          <w:sz w:val="26"/>
          <w:szCs w:val="26"/>
        </w:rPr>
      </w:pPr>
      <w:r>
        <w:rPr>
          <w:sz w:val="26"/>
          <w:szCs w:val="26"/>
        </w:rPr>
        <w:t xml:space="preserve">That the matter be remanded to the Office of Administrative Law Judge for </w:t>
      </w:r>
      <w:r w:rsidR="000840C2">
        <w:rPr>
          <w:sz w:val="26"/>
          <w:szCs w:val="26"/>
        </w:rPr>
        <w:t xml:space="preserve">further </w:t>
      </w:r>
      <w:r>
        <w:rPr>
          <w:sz w:val="26"/>
          <w:szCs w:val="26"/>
        </w:rPr>
        <w:t>proceedings consistent with this Opinion and Order.</w:t>
      </w:r>
    </w:p>
    <w:p w14:paraId="3BC1FC28" w14:textId="08F43C20" w:rsidR="007A6EFE" w:rsidRPr="007C53FE" w:rsidRDefault="007A6EFE" w:rsidP="00834C3A">
      <w:pPr>
        <w:pStyle w:val="ListParagraph"/>
        <w:keepNext/>
        <w:keepLines/>
        <w:widowControl/>
        <w:spacing w:line="360" w:lineRule="auto"/>
        <w:ind w:left="1530"/>
        <w:rPr>
          <w:sz w:val="26"/>
          <w:szCs w:val="26"/>
        </w:rPr>
      </w:pPr>
    </w:p>
    <w:p w14:paraId="14DB1403" w14:textId="1CB34269" w:rsidR="005063D7" w:rsidRPr="00DC2374" w:rsidRDefault="00623B22" w:rsidP="00834C3A">
      <w:pPr>
        <w:keepNext/>
        <w:keepLines/>
        <w:widowControl/>
        <w:ind w:left="5040"/>
        <w:rPr>
          <w:b/>
          <w:sz w:val="26"/>
          <w:szCs w:val="26"/>
        </w:rPr>
      </w:pPr>
      <w:r>
        <w:rPr>
          <w:noProof/>
        </w:rPr>
        <w:drawing>
          <wp:anchor distT="0" distB="0" distL="114300" distR="114300" simplePos="0" relativeHeight="251659264" behindDoc="1" locked="0" layoutInCell="1" allowOverlap="1" wp14:anchorId="43C66776" wp14:editId="5021BCD3">
            <wp:simplePos x="0" y="0"/>
            <wp:positionH relativeFrom="column">
              <wp:posOffset>3190875</wp:posOffset>
            </wp:positionH>
            <wp:positionV relativeFrom="paragraph">
              <wp:posOffset>76200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063D7" w:rsidRPr="000D6043">
        <w:rPr>
          <w:b/>
          <w:sz w:val="26"/>
          <w:szCs w:val="26"/>
        </w:rPr>
        <w:t>BY THE COMMISSION,</w:t>
      </w:r>
    </w:p>
    <w:p w14:paraId="339B7AC0" w14:textId="77777777" w:rsidR="005063D7" w:rsidRDefault="005063D7" w:rsidP="00834C3A">
      <w:pPr>
        <w:keepNext/>
        <w:keepLines/>
        <w:ind w:left="5040"/>
        <w:rPr>
          <w:sz w:val="26"/>
          <w:szCs w:val="26"/>
        </w:rPr>
      </w:pPr>
    </w:p>
    <w:p w14:paraId="6EC0F269" w14:textId="77777777" w:rsidR="005063D7" w:rsidRDefault="005063D7" w:rsidP="00834C3A">
      <w:pPr>
        <w:keepNext/>
        <w:keepLines/>
        <w:ind w:left="5040"/>
        <w:rPr>
          <w:sz w:val="26"/>
          <w:szCs w:val="26"/>
        </w:rPr>
      </w:pPr>
    </w:p>
    <w:p w14:paraId="7B209E1A" w14:textId="77777777" w:rsidR="005063D7" w:rsidRDefault="005063D7" w:rsidP="00834C3A">
      <w:pPr>
        <w:keepNext/>
        <w:keepLines/>
        <w:ind w:left="5040"/>
        <w:rPr>
          <w:sz w:val="26"/>
          <w:szCs w:val="26"/>
        </w:rPr>
      </w:pPr>
    </w:p>
    <w:p w14:paraId="2D5E444E" w14:textId="77777777" w:rsidR="005063D7" w:rsidRPr="000D6043" w:rsidRDefault="005063D7" w:rsidP="00834C3A">
      <w:pPr>
        <w:keepNext/>
        <w:keepLines/>
        <w:ind w:left="5040"/>
        <w:rPr>
          <w:sz w:val="26"/>
          <w:szCs w:val="26"/>
        </w:rPr>
      </w:pPr>
      <w:r>
        <w:rPr>
          <w:sz w:val="26"/>
          <w:szCs w:val="26"/>
        </w:rPr>
        <w:t>Rosemary Chiavetta</w:t>
      </w:r>
    </w:p>
    <w:p w14:paraId="146F3DBA" w14:textId="66D5A1E2" w:rsidR="005063D7" w:rsidRDefault="005063D7" w:rsidP="00834C3A">
      <w:pPr>
        <w:keepNext/>
        <w:keepLines/>
        <w:ind w:left="5040"/>
        <w:rPr>
          <w:sz w:val="26"/>
          <w:szCs w:val="26"/>
        </w:rPr>
      </w:pPr>
      <w:r w:rsidRPr="000D6043">
        <w:rPr>
          <w:sz w:val="26"/>
          <w:szCs w:val="26"/>
        </w:rPr>
        <w:t>Secretary</w:t>
      </w:r>
    </w:p>
    <w:p w14:paraId="79A9F7AE" w14:textId="088FBD7C" w:rsidR="007C53FE" w:rsidRDefault="007C53FE" w:rsidP="005063D7">
      <w:pPr>
        <w:keepNext/>
        <w:keepLines/>
        <w:rPr>
          <w:sz w:val="26"/>
          <w:szCs w:val="26"/>
        </w:rPr>
      </w:pPr>
    </w:p>
    <w:p w14:paraId="0D64E77C" w14:textId="1278FB47" w:rsidR="007C53FE" w:rsidRDefault="007C53FE" w:rsidP="005063D7">
      <w:pPr>
        <w:keepNext/>
        <w:keepLines/>
        <w:rPr>
          <w:sz w:val="26"/>
          <w:szCs w:val="26"/>
        </w:rPr>
      </w:pPr>
      <w:r>
        <w:rPr>
          <w:sz w:val="26"/>
          <w:szCs w:val="26"/>
        </w:rPr>
        <w:t>(SEAL)</w:t>
      </w:r>
    </w:p>
    <w:p w14:paraId="31001BDD" w14:textId="77777777" w:rsidR="005063D7" w:rsidRDefault="005063D7" w:rsidP="005063D7">
      <w:pPr>
        <w:keepNext/>
        <w:keepLines/>
        <w:rPr>
          <w:sz w:val="26"/>
          <w:szCs w:val="26"/>
        </w:rPr>
      </w:pPr>
    </w:p>
    <w:p w14:paraId="6C39B943" w14:textId="27315F99" w:rsidR="005063D7" w:rsidRDefault="005063D7" w:rsidP="005063D7">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May 20, 2021</w:t>
      </w:r>
    </w:p>
    <w:p w14:paraId="7D852038" w14:textId="77777777" w:rsidR="005063D7" w:rsidRDefault="005063D7" w:rsidP="005063D7">
      <w:pPr>
        <w:keepNext/>
        <w:keepLines/>
        <w:tabs>
          <w:tab w:val="left" w:pos="-720"/>
        </w:tabs>
        <w:suppressAutoHyphens/>
        <w:rPr>
          <w:sz w:val="26"/>
          <w:szCs w:val="26"/>
        </w:rPr>
      </w:pPr>
    </w:p>
    <w:p w14:paraId="7731FF4C" w14:textId="7682C703" w:rsidR="005063D7" w:rsidRPr="000544CF" w:rsidRDefault="005063D7" w:rsidP="005063D7">
      <w:pPr>
        <w:keepNext/>
        <w:keepLines/>
        <w:tabs>
          <w:tab w:val="left" w:pos="-720"/>
        </w:tabs>
        <w:suppressAutoHyphens/>
        <w:rPr>
          <w:sz w:val="26"/>
          <w:szCs w:val="26"/>
        </w:rPr>
      </w:pPr>
      <w:r w:rsidRPr="00507493">
        <w:rPr>
          <w:sz w:val="26"/>
          <w:szCs w:val="26"/>
        </w:rPr>
        <w:t xml:space="preserve">ORDER ENTERED: </w:t>
      </w:r>
      <w:r>
        <w:rPr>
          <w:sz w:val="26"/>
          <w:szCs w:val="26"/>
        </w:rPr>
        <w:t xml:space="preserve"> </w:t>
      </w:r>
      <w:r w:rsidR="00623B22">
        <w:rPr>
          <w:sz w:val="26"/>
          <w:szCs w:val="26"/>
        </w:rPr>
        <w:t>June 1, 2021</w:t>
      </w:r>
    </w:p>
    <w:p w14:paraId="4E63396B" w14:textId="77777777" w:rsidR="005063D7" w:rsidRPr="004804C8" w:rsidRDefault="005063D7" w:rsidP="004804C8">
      <w:pPr>
        <w:widowControl/>
        <w:spacing w:line="360" w:lineRule="auto"/>
        <w:ind w:firstLine="1440"/>
        <w:rPr>
          <w:sz w:val="26"/>
          <w:szCs w:val="26"/>
        </w:rPr>
      </w:pPr>
    </w:p>
    <w:sectPr w:rsidR="005063D7" w:rsidRPr="004804C8" w:rsidSect="00845A2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1031" w14:textId="77777777" w:rsidR="003A69D2" w:rsidRDefault="003A69D2" w:rsidP="00845A28">
      <w:r>
        <w:separator/>
      </w:r>
    </w:p>
  </w:endnote>
  <w:endnote w:type="continuationSeparator" w:id="0">
    <w:p w14:paraId="4D3E10FE" w14:textId="77777777" w:rsidR="003A69D2" w:rsidRDefault="003A69D2" w:rsidP="0084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96094"/>
      <w:docPartObj>
        <w:docPartGallery w:val="Page Numbers (Bottom of Page)"/>
        <w:docPartUnique/>
      </w:docPartObj>
    </w:sdtPr>
    <w:sdtEndPr>
      <w:rPr>
        <w:noProof/>
        <w:sz w:val="26"/>
        <w:szCs w:val="26"/>
      </w:rPr>
    </w:sdtEndPr>
    <w:sdtContent>
      <w:p w14:paraId="3CECC4F7" w14:textId="4B95A9F9" w:rsidR="00845A28" w:rsidRPr="003A68C0" w:rsidRDefault="00845A28" w:rsidP="003A68C0">
        <w:pPr>
          <w:pStyle w:val="Footer"/>
          <w:jc w:val="center"/>
          <w:rPr>
            <w:sz w:val="26"/>
            <w:szCs w:val="26"/>
          </w:rPr>
        </w:pPr>
        <w:r w:rsidRPr="003A68C0">
          <w:rPr>
            <w:sz w:val="26"/>
            <w:szCs w:val="26"/>
          </w:rPr>
          <w:fldChar w:fldCharType="begin"/>
        </w:r>
        <w:r w:rsidRPr="003A68C0">
          <w:rPr>
            <w:sz w:val="26"/>
            <w:szCs w:val="26"/>
          </w:rPr>
          <w:instrText xml:space="preserve"> PAGE   \* MERGEFORMAT </w:instrText>
        </w:r>
        <w:r w:rsidRPr="003A68C0">
          <w:rPr>
            <w:sz w:val="26"/>
            <w:szCs w:val="26"/>
          </w:rPr>
          <w:fldChar w:fldCharType="separate"/>
        </w:r>
        <w:r w:rsidRPr="003A68C0">
          <w:rPr>
            <w:noProof/>
            <w:sz w:val="26"/>
            <w:szCs w:val="26"/>
          </w:rPr>
          <w:t>2</w:t>
        </w:r>
        <w:r w:rsidRPr="003A68C0">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4F69" w14:textId="77777777" w:rsidR="003A69D2" w:rsidRDefault="003A69D2" w:rsidP="00845A28">
      <w:r>
        <w:separator/>
      </w:r>
    </w:p>
  </w:footnote>
  <w:footnote w:type="continuationSeparator" w:id="0">
    <w:p w14:paraId="66336538" w14:textId="77777777" w:rsidR="003A69D2" w:rsidRDefault="003A69D2" w:rsidP="00845A28">
      <w:r>
        <w:continuationSeparator/>
      </w:r>
    </w:p>
  </w:footnote>
  <w:footnote w:id="1">
    <w:p w14:paraId="588842A1" w14:textId="730D5445" w:rsidR="00912423" w:rsidRPr="003A68C0" w:rsidRDefault="00912423" w:rsidP="003A68C0">
      <w:pPr>
        <w:pStyle w:val="FootnoteText"/>
        <w:ind w:firstLine="720"/>
        <w:rPr>
          <w:sz w:val="26"/>
          <w:szCs w:val="26"/>
        </w:rPr>
      </w:pPr>
      <w:r w:rsidRPr="003A68C0">
        <w:rPr>
          <w:rStyle w:val="FootnoteReference"/>
          <w:sz w:val="26"/>
          <w:szCs w:val="26"/>
        </w:rPr>
        <w:footnoteRef/>
      </w:r>
      <w:r w:rsidRPr="003A68C0">
        <w:rPr>
          <w:sz w:val="26"/>
          <w:szCs w:val="26"/>
        </w:rPr>
        <w:tab/>
        <w:t xml:space="preserve">For purposes of this Opinion and Order </w:t>
      </w:r>
      <w:r w:rsidR="009C1CE6" w:rsidRPr="003A68C0">
        <w:rPr>
          <w:sz w:val="26"/>
          <w:szCs w:val="26"/>
        </w:rPr>
        <w:t xml:space="preserve">we will refer to the filing as the Complaint even though </w:t>
      </w:r>
      <w:r w:rsidR="00EB32CA" w:rsidRPr="003A68C0">
        <w:rPr>
          <w:sz w:val="26"/>
          <w:szCs w:val="26"/>
        </w:rPr>
        <w:t>the filing is the second Complain</w:t>
      </w:r>
      <w:r w:rsidR="00763365">
        <w:rPr>
          <w:sz w:val="26"/>
          <w:szCs w:val="26"/>
        </w:rPr>
        <w:t>t</w:t>
      </w:r>
      <w:r w:rsidR="00EB32CA" w:rsidRPr="003A68C0">
        <w:rPr>
          <w:sz w:val="26"/>
          <w:szCs w:val="26"/>
        </w:rPr>
        <w:t xml:space="preserve"> filed by Ms. Le</w:t>
      </w:r>
      <w:r w:rsidR="0036625F">
        <w:rPr>
          <w:sz w:val="26"/>
          <w:szCs w:val="26"/>
        </w:rPr>
        <w:t>i</w:t>
      </w:r>
      <w:r w:rsidR="00EB32CA" w:rsidRPr="003A68C0">
        <w:rPr>
          <w:sz w:val="26"/>
          <w:szCs w:val="26"/>
        </w:rPr>
        <w:t>ninger regarding allegation</w:t>
      </w:r>
      <w:r w:rsidR="00763365">
        <w:rPr>
          <w:sz w:val="26"/>
          <w:szCs w:val="26"/>
        </w:rPr>
        <w:t>s</w:t>
      </w:r>
      <w:r w:rsidR="00EB32CA" w:rsidRPr="003A68C0">
        <w:rPr>
          <w:sz w:val="26"/>
          <w:szCs w:val="26"/>
        </w:rPr>
        <w:t xml:space="preserve"> of high billing due to a defective smart meter.</w:t>
      </w:r>
    </w:p>
  </w:footnote>
  <w:footnote w:id="2">
    <w:p w14:paraId="54547D0C" w14:textId="18DC6296" w:rsidR="004B5FBA" w:rsidRPr="0052312D" w:rsidRDefault="004B5FBA" w:rsidP="0052312D">
      <w:pPr>
        <w:pStyle w:val="FootnoteText"/>
        <w:ind w:firstLine="720"/>
        <w:rPr>
          <w:sz w:val="26"/>
          <w:szCs w:val="26"/>
        </w:rPr>
      </w:pPr>
      <w:r w:rsidRPr="0052312D">
        <w:rPr>
          <w:rStyle w:val="FootnoteReference"/>
          <w:sz w:val="26"/>
          <w:szCs w:val="26"/>
        </w:rPr>
        <w:footnoteRef/>
      </w:r>
      <w:r w:rsidRPr="0052312D">
        <w:rPr>
          <w:sz w:val="26"/>
          <w:szCs w:val="26"/>
        </w:rPr>
        <w:t xml:space="preserve"> </w:t>
      </w:r>
      <w:r w:rsidRPr="0052312D">
        <w:rPr>
          <w:sz w:val="26"/>
          <w:szCs w:val="26"/>
        </w:rPr>
        <w:tab/>
      </w:r>
      <w:r w:rsidR="00D55CC7">
        <w:rPr>
          <w:sz w:val="26"/>
          <w:szCs w:val="26"/>
        </w:rPr>
        <w:t xml:space="preserve">Under Section 5.63(b) of our Regulations </w:t>
      </w:r>
      <w:r w:rsidR="004A6CD9">
        <w:rPr>
          <w:sz w:val="26"/>
          <w:szCs w:val="26"/>
        </w:rPr>
        <w:t xml:space="preserve">failure to </w:t>
      </w:r>
      <w:r w:rsidR="00CD381A">
        <w:rPr>
          <w:sz w:val="26"/>
          <w:szCs w:val="26"/>
        </w:rPr>
        <w:t xml:space="preserve">reply </w:t>
      </w:r>
      <w:r w:rsidR="004A6CD9">
        <w:rPr>
          <w:sz w:val="26"/>
          <w:szCs w:val="26"/>
        </w:rPr>
        <w:t>timely</w:t>
      </w:r>
      <w:r w:rsidR="00CD381A">
        <w:rPr>
          <w:sz w:val="26"/>
          <w:szCs w:val="26"/>
        </w:rPr>
        <w:t xml:space="preserve"> </w:t>
      </w:r>
      <w:r w:rsidR="00EE035D">
        <w:rPr>
          <w:sz w:val="26"/>
          <w:szCs w:val="26"/>
        </w:rPr>
        <w:t>to new matter may be deemed in default and relevant facts</w:t>
      </w:r>
      <w:r w:rsidR="003C6CEF">
        <w:rPr>
          <w:sz w:val="26"/>
          <w:szCs w:val="26"/>
        </w:rPr>
        <w:t xml:space="preserve"> stated in the new matter may be deemed admitted.  52 Pa. Code § 5.63(b).  </w:t>
      </w:r>
      <w:r w:rsidR="007B7A35">
        <w:rPr>
          <w:sz w:val="26"/>
          <w:szCs w:val="26"/>
        </w:rPr>
        <w:t xml:space="preserve">DLC stated, </w:t>
      </w:r>
      <w:r w:rsidR="007B7A35" w:rsidRPr="0052312D">
        <w:rPr>
          <w:i/>
          <w:iCs/>
          <w:sz w:val="26"/>
          <w:szCs w:val="26"/>
        </w:rPr>
        <w:t>inter alia</w:t>
      </w:r>
      <w:r w:rsidR="007B7A35">
        <w:rPr>
          <w:sz w:val="26"/>
          <w:szCs w:val="26"/>
        </w:rPr>
        <w:t xml:space="preserve">, that </w:t>
      </w:r>
      <w:r w:rsidR="009D2E6C">
        <w:rPr>
          <w:sz w:val="26"/>
          <w:szCs w:val="26"/>
        </w:rPr>
        <w:t xml:space="preserve">collateral estoppel applied and that </w:t>
      </w:r>
      <w:proofErr w:type="gramStart"/>
      <w:r w:rsidR="007B7A35">
        <w:rPr>
          <w:sz w:val="26"/>
          <w:szCs w:val="26"/>
        </w:rPr>
        <w:t>all of</w:t>
      </w:r>
      <w:proofErr w:type="gramEnd"/>
      <w:r w:rsidR="007B7A35">
        <w:rPr>
          <w:sz w:val="26"/>
          <w:szCs w:val="26"/>
        </w:rPr>
        <w:t xml:space="preserve"> the elements </w:t>
      </w:r>
      <w:r w:rsidR="00036E32">
        <w:rPr>
          <w:sz w:val="26"/>
          <w:szCs w:val="26"/>
        </w:rPr>
        <w:t>for collateral estoppel were present</w:t>
      </w:r>
      <w:r w:rsidR="009D2E6C">
        <w:rPr>
          <w:sz w:val="26"/>
          <w:szCs w:val="26"/>
        </w:rPr>
        <w:t xml:space="preserve"> and satisfied</w:t>
      </w:r>
      <w:r w:rsidR="00D35D2E">
        <w:rPr>
          <w:sz w:val="26"/>
          <w:szCs w:val="26"/>
        </w:rPr>
        <w:t xml:space="preserve">.  Answer and New Matter at </w:t>
      </w:r>
      <w:r w:rsidR="00C17124">
        <w:rPr>
          <w:sz w:val="26"/>
          <w:szCs w:val="26"/>
        </w:rPr>
        <w:t>4-5.</w:t>
      </w:r>
    </w:p>
  </w:footnote>
  <w:footnote w:id="3">
    <w:p w14:paraId="0CF00FB3" w14:textId="673F70D7" w:rsidR="002B1CD7" w:rsidRPr="00BD7C39" w:rsidRDefault="00CD500F" w:rsidP="00BD7C39">
      <w:pPr>
        <w:kinsoku w:val="0"/>
        <w:overflowPunct w:val="0"/>
        <w:spacing w:after="120"/>
        <w:ind w:firstLine="720"/>
        <w:textAlignment w:val="baseline"/>
        <w:rPr>
          <w:rFonts w:eastAsiaTheme="minorEastAsia"/>
          <w:spacing w:val="-1"/>
          <w:sz w:val="24"/>
          <w:szCs w:val="24"/>
        </w:rPr>
      </w:pPr>
      <w:r w:rsidRPr="00CD500F">
        <w:rPr>
          <w:sz w:val="26"/>
          <w:szCs w:val="26"/>
          <w:vertAlign w:val="superscript"/>
        </w:rPr>
        <w:t>3</w:t>
      </w:r>
      <w:r w:rsidR="002B1CD7" w:rsidRPr="00690C55">
        <w:rPr>
          <w:sz w:val="26"/>
          <w:szCs w:val="26"/>
        </w:rPr>
        <w:t xml:space="preserve"> </w:t>
      </w:r>
      <w:r w:rsidR="007662EC" w:rsidRPr="00690C55">
        <w:rPr>
          <w:sz w:val="26"/>
          <w:szCs w:val="26"/>
        </w:rPr>
        <w:tab/>
      </w:r>
      <w:r w:rsidR="007662EC" w:rsidRPr="00690C55">
        <w:rPr>
          <w:rFonts w:eastAsiaTheme="minorEastAsia"/>
          <w:spacing w:val="-1"/>
          <w:sz w:val="26"/>
          <w:szCs w:val="26"/>
        </w:rPr>
        <w:t>66</w:t>
      </w:r>
      <w:r w:rsidR="007662EC" w:rsidRPr="007662EC">
        <w:rPr>
          <w:rFonts w:eastAsiaTheme="minorEastAsia"/>
          <w:spacing w:val="-1"/>
          <w:sz w:val="24"/>
          <w:szCs w:val="24"/>
        </w:rPr>
        <w:t xml:space="preserve"> Pa. C.S.</w:t>
      </w:r>
      <w:r w:rsidR="00BD7C39">
        <w:rPr>
          <w:rFonts w:eastAsiaTheme="minorEastAsia"/>
          <w:spacing w:val="-1"/>
          <w:sz w:val="24"/>
          <w:szCs w:val="24"/>
        </w:rPr>
        <w:t>A.</w:t>
      </w:r>
      <w:r w:rsidR="007662EC" w:rsidRPr="007662EC">
        <w:rPr>
          <w:rFonts w:eastAsiaTheme="minorEastAsia"/>
          <w:spacing w:val="-1"/>
          <w:sz w:val="24"/>
          <w:szCs w:val="24"/>
        </w:rPr>
        <w:t xml:space="preserve"> §</w:t>
      </w:r>
      <w:r w:rsidR="007662EC">
        <w:rPr>
          <w:rFonts w:eastAsiaTheme="minorEastAsia"/>
          <w:spacing w:val="-1"/>
          <w:sz w:val="24"/>
          <w:szCs w:val="24"/>
        </w:rPr>
        <w:t xml:space="preserve"> </w:t>
      </w:r>
      <w:r w:rsidR="007662EC" w:rsidRPr="007662EC">
        <w:rPr>
          <w:rFonts w:eastAsiaTheme="minorEastAsia"/>
          <w:spacing w:val="-1"/>
          <w:sz w:val="24"/>
          <w:szCs w:val="24"/>
        </w:rPr>
        <w:t>316.</w:t>
      </w:r>
    </w:p>
  </w:footnote>
  <w:footnote w:id="4">
    <w:p w14:paraId="0BA05A46" w14:textId="2D7B2EF8" w:rsidR="0026371C" w:rsidRPr="00DB4D63" w:rsidRDefault="0026371C" w:rsidP="00DB4D63">
      <w:pPr>
        <w:pStyle w:val="FootnoteText"/>
        <w:ind w:firstLine="720"/>
        <w:rPr>
          <w:sz w:val="26"/>
          <w:szCs w:val="26"/>
        </w:rPr>
      </w:pPr>
      <w:r w:rsidRPr="00690C55">
        <w:rPr>
          <w:rStyle w:val="FootnoteReference"/>
          <w:sz w:val="26"/>
          <w:szCs w:val="26"/>
        </w:rPr>
        <w:footnoteRef/>
      </w:r>
      <w:r w:rsidR="00A13B7A" w:rsidRPr="00690C55">
        <w:rPr>
          <w:sz w:val="26"/>
          <w:szCs w:val="26"/>
        </w:rPr>
        <w:t xml:space="preserve"> </w:t>
      </w:r>
      <w:r w:rsidR="00A13B7A">
        <w:rPr>
          <w:sz w:val="26"/>
          <w:szCs w:val="26"/>
        </w:rPr>
        <w:tab/>
      </w:r>
      <w:r w:rsidR="00A13B7A" w:rsidRPr="00690C55">
        <w:rPr>
          <w:i/>
          <w:iCs/>
          <w:sz w:val="26"/>
          <w:szCs w:val="26"/>
        </w:rPr>
        <w:t>Res judicata</w:t>
      </w:r>
      <w:proofErr w:type="gramStart"/>
      <w:r w:rsidR="00A13B7A" w:rsidRPr="00690C55">
        <w:rPr>
          <w:sz w:val="26"/>
          <w:szCs w:val="26"/>
        </w:rPr>
        <w:t xml:space="preserve">: </w:t>
      </w:r>
      <w:r w:rsidR="00DB4D63">
        <w:rPr>
          <w:sz w:val="26"/>
          <w:szCs w:val="26"/>
        </w:rPr>
        <w:t xml:space="preserve"> </w:t>
      </w:r>
      <w:r w:rsidR="00A13B7A" w:rsidRPr="00690C55">
        <w:rPr>
          <w:sz w:val="26"/>
          <w:szCs w:val="26"/>
        </w:rPr>
        <w:t>(</w:t>
      </w:r>
      <w:proofErr w:type="gramEnd"/>
      <w:r w:rsidR="00A13B7A" w:rsidRPr="00690C55">
        <w:rPr>
          <w:sz w:val="26"/>
          <w:szCs w:val="26"/>
        </w:rPr>
        <w:t>1) identi</w:t>
      </w:r>
      <w:r w:rsidR="000840C2">
        <w:rPr>
          <w:sz w:val="26"/>
          <w:szCs w:val="26"/>
        </w:rPr>
        <w:t>t</w:t>
      </w:r>
      <w:r w:rsidR="00A13B7A" w:rsidRPr="00690C55">
        <w:rPr>
          <w:sz w:val="26"/>
          <w:szCs w:val="26"/>
        </w:rPr>
        <w:t>y of issues; (2) identity of causes of action; (3)</w:t>
      </w:r>
      <w:r w:rsidR="00DB4D63">
        <w:rPr>
          <w:sz w:val="26"/>
          <w:szCs w:val="26"/>
        </w:rPr>
        <w:t> </w:t>
      </w:r>
      <w:r w:rsidR="00A13B7A" w:rsidRPr="00690C55">
        <w:rPr>
          <w:sz w:val="26"/>
          <w:szCs w:val="26"/>
        </w:rPr>
        <w:t xml:space="preserve">identity of persons and parties to the action; and (4) identity of the quality and capacity of the parties suing or sued. </w:t>
      </w:r>
      <w:r w:rsidR="000840C2">
        <w:rPr>
          <w:sz w:val="26"/>
          <w:szCs w:val="26"/>
        </w:rPr>
        <w:t xml:space="preserve"> </w:t>
      </w:r>
      <w:r w:rsidR="00A13B7A" w:rsidRPr="00690C55">
        <w:rPr>
          <w:sz w:val="26"/>
          <w:szCs w:val="26"/>
        </w:rPr>
        <w:t>Issue preclusion</w:t>
      </w:r>
      <w:proofErr w:type="gramStart"/>
      <w:r w:rsidR="00A13B7A" w:rsidRPr="00690C55">
        <w:rPr>
          <w:sz w:val="26"/>
          <w:szCs w:val="26"/>
        </w:rPr>
        <w:t xml:space="preserve">: </w:t>
      </w:r>
      <w:r w:rsidR="00DB4D63">
        <w:rPr>
          <w:sz w:val="26"/>
          <w:szCs w:val="26"/>
        </w:rPr>
        <w:t xml:space="preserve"> </w:t>
      </w:r>
      <w:r w:rsidR="00A13B7A" w:rsidRPr="00690C55">
        <w:rPr>
          <w:sz w:val="26"/>
          <w:szCs w:val="26"/>
        </w:rPr>
        <w:t>(</w:t>
      </w:r>
      <w:proofErr w:type="gramEnd"/>
      <w:r w:rsidR="00A13B7A" w:rsidRPr="00690C55">
        <w:rPr>
          <w:sz w:val="26"/>
          <w:szCs w:val="26"/>
        </w:rPr>
        <w:t>1) the issues in both cases must be identical; (2) there was a final judgment on the merits; (3) the party against whom the plea is asserted was a party or in privity with the party to the prior adjudication; and (4)</w:t>
      </w:r>
      <w:r w:rsidR="00DB4D63">
        <w:rPr>
          <w:sz w:val="26"/>
          <w:szCs w:val="26"/>
        </w:rPr>
        <w:t> </w:t>
      </w:r>
      <w:r w:rsidR="00A13B7A" w:rsidRPr="00690C55">
        <w:rPr>
          <w:sz w:val="26"/>
          <w:szCs w:val="26"/>
        </w:rPr>
        <w:t xml:space="preserve">the party against whom the plea is asserted has had a full and fair opportunity to litigate the issues in question in the prior action. </w:t>
      </w:r>
      <w:r w:rsidR="000840C2">
        <w:rPr>
          <w:sz w:val="26"/>
          <w:szCs w:val="26"/>
        </w:rPr>
        <w:t xml:space="preserve"> </w:t>
      </w:r>
      <w:r w:rsidR="00A13B7A" w:rsidRPr="00690C55">
        <w:rPr>
          <w:i/>
          <w:iCs/>
          <w:sz w:val="26"/>
          <w:szCs w:val="26"/>
        </w:rPr>
        <w:t xml:space="preserve">See Robinson v. </w:t>
      </w:r>
      <w:proofErr w:type="spellStart"/>
      <w:r w:rsidR="00A13B7A" w:rsidRPr="00690C55">
        <w:rPr>
          <w:i/>
          <w:iCs/>
          <w:sz w:val="26"/>
          <w:szCs w:val="26"/>
        </w:rPr>
        <w:t>Fye</w:t>
      </w:r>
      <w:proofErr w:type="spellEnd"/>
      <w:r w:rsidR="00A13B7A" w:rsidRPr="00DB4D63">
        <w:rPr>
          <w:sz w:val="26"/>
          <w:szCs w:val="26"/>
        </w:rPr>
        <w:t xml:space="preserve">, </w:t>
      </w:r>
      <w:r w:rsidR="00A13B7A" w:rsidRPr="00690C55">
        <w:rPr>
          <w:sz w:val="26"/>
          <w:szCs w:val="26"/>
        </w:rPr>
        <w:t xml:space="preserve">192 A.3d 1225, 2018 Pa. </w:t>
      </w:r>
      <w:proofErr w:type="spellStart"/>
      <w:r w:rsidR="00A13B7A" w:rsidRPr="00690C55">
        <w:rPr>
          <w:sz w:val="26"/>
          <w:szCs w:val="26"/>
        </w:rPr>
        <w:t>Cmw</w:t>
      </w:r>
      <w:r w:rsidR="00A13B7A">
        <w:rPr>
          <w:sz w:val="26"/>
          <w:szCs w:val="26"/>
        </w:rPr>
        <w:t>lth</w:t>
      </w:r>
      <w:proofErr w:type="spellEnd"/>
      <w:r w:rsidR="00A13B7A" w:rsidRPr="00690C55">
        <w:rPr>
          <w:sz w:val="26"/>
          <w:szCs w:val="26"/>
        </w:rPr>
        <w:t>. LEXIS 414.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2AB0"/>
    <w:multiLevelType w:val="hybridMultilevel"/>
    <w:tmpl w:val="758E4EF0"/>
    <w:lvl w:ilvl="0" w:tplc="DD9C59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D114A6C"/>
    <w:multiLevelType w:val="hybridMultilevel"/>
    <w:tmpl w:val="6CFEC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23"/>
    <w:rsid w:val="00002E45"/>
    <w:rsid w:val="00017E10"/>
    <w:rsid w:val="00032687"/>
    <w:rsid w:val="00035C1B"/>
    <w:rsid w:val="00036E32"/>
    <w:rsid w:val="00054FB6"/>
    <w:rsid w:val="00062813"/>
    <w:rsid w:val="00075D5B"/>
    <w:rsid w:val="000840C2"/>
    <w:rsid w:val="000929A8"/>
    <w:rsid w:val="00095339"/>
    <w:rsid w:val="00095A10"/>
    <w:rsid w:val="000B08D6"/>
    <w:rsid w:val="000B65DF"/>
    <w:rsid w:val="000B6C31"/>
    <w:rsid w:val="000C152D"/>
    <w:rsid w:val="000F769D"/>
    <w:rsid w:val="00102078"/>
    <w:rsid w:val="00102241"/>
    <w:rsid w:val="00111180"/>
    <w:rsid w:val="001123EA"/>
    <w:rsid w:val="001143CB"/>
    <w:rsid w:val="001159F4"/>
    <w:rsid w:val="001511B9"/>
    <w:rsid w:val="0015156F"/>
    <w:rsid w:val="001517A9"/>
    <w:rsid w:val="0015216F"/>
    <w:rsid w:val="00154239"/>
    <w:rsid w:val="00164F72"/>
    <w:rsid w:val="0016716D"/>
    <w:rsid w:val="0017084D"/>
    <w:rsid w:val="00170A8C"/>
    <w:rsid w:val="00172E35"/>
    <w:rsid w:val="001757D9"/>
    <w:rsid w:val="001B15FA"/>
    <w:rsid w:val="001B3718"/>
    <w:rsid w:val="001B772E"/>
    <w:rsid w:val="001D491F"/>
    <w:rsid w:val="001E1899"/>
    <w:rsid w:val="001E25ED"/>
    <w:rsid w:val="001F46AF"/>
    <w:rsid w:val="00216C0B"/>
    <w:rsid w:val="00224912"/>
    <w:rsid w:val="00237309"/>
    <w:rsid w:val="0025753D"/>
    <w:rsid w:val="00260BF9"/>
    <w:rsid w:val="0026371C"/>
    <w:rsid w:val="0026626E"/>
    <w:rsid w:val="002677DC"/>
    <w:rsid w:val="00292071"/>
    <w:rsid w:val="00295DE8"/>
    <w:rsid w:val="002960BF"/>
    <w:rsid w:val="002A7D89"/>
    <w:rsid w:val="002B1CD7"/>
    <w:rsid w:val="002B7BBB"/>
    <w:rsid w:val="002C2441"/>
    <w:rsid w:val="002F66BD"/>
    <w:rsid w:val="0030206C"/>
    <w:rsid w:val="003117BF"/>
    <w:rsid w:val="00311CB0"/>
    <w:rsid w:val="00312B48"/>
    <w:rsid w:val="00314D54"/>
    <w:rsid w:val="00315B85"/>
    <w:rsid w:val="0033235B"/>
    <w:rsid w:val="0033408D"/>
    <w:rsid w:val="00340620"/>
    <w:rsid w:val="00350D19"/>
    <w:rsid w:val="003639E0"/>
    <w:rsid w:val="0036625F"/>
    <w:rsid w:val="003739DD"/>
    <w:rsid w:val="00376114"/>
    <w:rsid w:val="00397518"/>
    <w:rsid w:val="00397828"/>
    <w:rsid w:val="003A68C0"/>
    <w:rsid w:val="003A69D2"/>
    <w:rsid w:val="003B64C5"/>
    <w:rsid w:val="003C3E9E"/>
    <w:rsid w:val="003C581A"/>
    <w:rsid w:val="003C6CEF"/>
    <w:rsid w:val="003D17EC"/>
    <w:rsid w:val="003F1BBB"/>
    <w:rsid w:val="003F426E"/>
    <w:rsid w:val="003F62FE"/>
    <w:rsid w:val="00466F12"/>
    <w:rsid w:val="00467DD1"/>
    <w:rsid w:val="00473E55"/>
    <w:rsid w:val="004742CD"/>
    <w:rsid w:val="00475374"/>
    <w:rsid w:val="004804C8"/>
    <w:rsid w:val="00480F2A"/>
    <w:rsid w:val="0048184C"/>
    <w:rsid w:val="00484CB3"/>
    <w:rsid w:val="0049532B"/>
    <w:rsid w:val="004A6148"/>
    <w:rsid w:val="004A6CD9"/>
    <w:rsid w:val="004B06FF"/>
    <w:rsid w:val="004B166E"/>
    <w:rsid w:val="004B34D4"/>
    <w:rsid w:val="004B35D7"/>
    <w:rsid w:val="004B5FBA"/>
    <w:rsid w:val="004C3E87"/>
    <w:rsid w:val="004D0D61"/>
    <w:rsid w:val="004D4C03"/>
    <w:rsid w:val="004E0A02"/>
    <w:rsid w:val="004F2E45"/>
    <w:rsid w:val="004F7EBD"/>
    <w:rsid w:val="005063D7"/>
    <w:rsid w:val="00522C86"/>
    <w:rsid w:val="0052312D"/>
    <w:rsid w:val="00527781"/>
    <w:rsid w:val="00532894"/>
    <w:rsid w:val="00537A88"/>
    <w:rsid w:val="0054757E"/>
    <w:rsid w:val="00550A55"/>
    <w:rsid w:val="00557136"/>
    <w:rsid w:val="00561CEE"/>
    <w:rsid w:val="00577B21"/>
    <w:rsid w:val="005846AF"/>
    <w:rsid w:val="00585465"/>
    <w:rsid w:val="0058563E"/>
    <w:rsid w:val="005C5593"/>
    <w:rsid w:val="005D0DBF"/>
    <w:rsid w:val="005E75B2"/>
    <w:rsid w:val="005F0BAB"/>
    <w:rsid w:val="00616A75"/>
    <w:rsid w:val="00623B22"/>
    <w:rsid w:val="00633C0A"/>
    <w:rsid w:val="00636587"/>
    <w:rsid w:val="0064109D"/>
    <w:rsid w:val="006410FD"/>
    <w:rsid w:val="00646483"/>
    <w:rsid w:val="006501E5"/>
    <w:rsid w:val="0066524A"/>
    <w:rsid w:val="00671D61"/>
    <w:rsid w:val="006729F5"/>
    <w:rsid w:val="00673E2C"/>
    <w:rsid w:val="00684E13"/>
    <w:rsid w:val="00690C55"/>
    <w:rsid w:val="00692B1A"/>
    <w:rsid w:val="006943B1"/>
    <w:rsid w:val="006A169D"/>
    <w:rsid w:val="006A4F59"/>
    <w:rsid w:val="006B6671"/>
    <w:rsid w:val="006C0707"/>
    <w:rsid w:val="006C3A3D"/>
    <w:rsid w:val="006D198A"/>
    <w:rsid w:val="006D20F8"/>
    <w:rsid w:val="006F76DA"/>
    <w:rsid w:val="007105E5"/>
    <w:rsid w:val="00714D00"/>
    <w:rsid w:val="00737221"/>
    <w:rsid w:val="00740E60"/>
    <w:rsid w:val="007424E9"/>
    <w:rsid w:val="007613EC"/>
    <w:rsid w:val="0076256E"/>
    <w:rsid w:val="00763365"/>
    <w:rsid w:val="007662EC"/>
    <w:rsid w:val="00781854"/>
    <w:rsid w:val="00795208"/>
    <w:rsid w:val="007A2516"/>
    <w:rsid w:val="007A42AF"/>
    <w:rsid w:val="007A6EFE"/>
    <w:rsid w:val="007B7A35"/>
    <w:rsid w:val="007C4F96"/>
    <w:rsid w:val="007C53FE"/>
    <w:rsid w:val="007D79E5"/>
    <w:rsid w:val="007E2CBE"/>
    <w:rsid w:val="007F3A97"/>
    <w:rsid w:val="00815BA3"/>
    <w:rsid w:val="00823CC2"/>
    <w:rsid w:val="00834C3A"/>
    <w:rsid w:val="00842C42"/>
    <w:rsid w:val="00845A28"/>
    <w:rsid w:val="008474B3"/>
    <w:rsid w:val="008508DF"/>
    <w:rsid w:val="008622FB"/>
    <w:rsid w:val="00864311"/>
    <w:rsid w:val="00864399"/>
    <w:rsid w:val="00873F0F"/>
    <w:rsid w:val="0088274B"/>
    <w:rsid w:val="00885DD5"/>
    <w:rsid w:val="008911E8"/>
    <w:rsid w:val="00894C19"/>
    <w:rsid w:val="008B2CB3"/>
    <w:rsid w:val="008B7D18"/>
    <w:rsid w:val="008C7B06"/>
    <w:rsid w:val="008D0A06"/>
    <w:rsid w:val="008D0BF5"/>
    <w:rsid w:val="008D0FBF"/>
    <w:rsid w:val="008E4500"/>
    <w:rsid w:val="008F5843"/>
    <w:rsid w:val="009020BA"/>
    <w:rsid w:val="00910E3F"/>
    <w:rsid w:val="00912423"/>
    <w:rsid w:val="00915114"/>
    <w:rsid w:val="0093038B"/>
    <w:rsid w:val="009320D6"/>
    <w:rsid w:val="00937A7D"/>
    <w:rsid w:val="0094313D"/>
    <w:rsid w:val="00944163"/>
    <w:rsid w:val="009467DD"/>
    <w:rsid w:val="00976F8B"/>
    <w:rsid w:val="0098217B"/>
    <w:rsid w:val="009856CA"/>
    <w:rsid w:val="00997E24"/>
    <w:rsid w:val="009A2F5D"/>
    <w:rsid w:val="009A3788"/>
    <w:rsid w:val="009A52E4"/>
    <w:rsid w:val="009B4A92"/>
    <w:rsid w:val="009C0560"/>
    <w:rsid w:val="009C1CE6"/>
    <w:rsid w:val="009D015D"/>
    <w:rsid w:val="009D0A07"/>
    <w:rsid w:val="009D2E6C"/>
    <w:rsid w:val="009D6CDF"/>
    <w:rsid w:val="00A02033"/>
    <w:rsid w:val="00A061C7"/>
    <w:rsid w:val="00A07660"/>
    <w:rsid w:val="00A13B7A"/>
    <w:rsid w:val="00A25269"/>
    <w:rsid w:val="00A3092E"/>
    <w:rsid w:val="00A56E63"/>
    <w:rsid w:val="00A61CB6"/>
    <w:rsid w:val="00A90079"/>
    <w:rsid w:val="00A969CD"/>
    <w:rsid w:val="00AA0577"/>
    <w:rsid w:val="00AA2587"/>
    <w:rsid w:val="00AA62BC"/>
    <w:rsid w:val="00AB45C2"/>
    <w:rsid w:val="00AB4D30"/>
    <w:rsid w:val="00AB5546"/>
    <w:rsid w:val="00AC7C75"/>
    <w:rsid w:val="00AE44E3"/>
    <w:rsid w:val="00AE48E7"/>
    <w:rsid w:val="00AF5A13"/>
    <w:rsid w:val="00AF73AE"/>
    <w:rsid w:val="00B00A78"/>
    <w:rsid w:val="00B02B11"/>
    <w:rsid w:val="00B02F4A"/>
    <w:rsid w:val="00B06ED0"/>
    <w:rsid w:val="00B26A3E"/>
    <w:rsid w:val="00B30147"/>
    <w:rsid w:val="00B30552"/>
    <w:rsid w:val="00B3252A"/>
    <w:rsid w:val="00B360ED"/>
    <w:rsid w:val="00B40B1A"/>
    <w:rsid w:val="00B4162E"/>
    <w:rsid w:val="00B61567"/>
    <w:rsid w:val="00B84C6B"/>
    <w:rsid w:val="00B9183F"/>
    <w:rsid w:val="00B94425"/>
    <w:rsid w:val="00B97FC3"/>
    <w:rsid w:val="00BA35F3"/>
    <w:rsid w:val="00BA71AE"/>
    <w:rsid w:val="00BB427A"/>
    <w:rsid w:val="00BB5AC4"/>
    <w:rsid w:val="00BB6BC8"/>
    <w:rsid w:val="00BC3405"/>
    <w:rsid w:val="00BC458C"/>
    <w:rsid w:val="00BC4B98"/>
    <w:rsid w:val="00BD7C39"/>
    <w:rsid w:val="00BE43FF"/>
    <w:rsid w:val="00BF5EB3"/>
    <w:rsid w:val="00C051DE"/>
    <w:rsid w:val="00C12CC9"/>
    <w:rsid w:val="00C15FEB"/>
    <w:rsid w:val="00C17124"/>
    <w:rsid w:val="00C30C53"/>
    <w:rsid w:val="00C37CE0"/>
    <w:rsid w:val="00C47028"/>
    <w:rsid w:val="00C5409C"/>
    <w:rsid w:val="00C76295"/>
    <w:rsid w:val="00C801B8"/>
    <w:rsid w:val="00CA3B9F"/>
    <w:rsid w:val="00CB4414"/>
    <w:rsid w:val="00CC2426"/>
    <w:rsid w:val="00CC5C4D"/>
    <w:rsid w:val="00CC62F4"/>
    <w:rsid w:val="00CD08E8"/>
    <w:rsid w:val="00CD381A"/>
    <w:rsid w:val="00CD500F"/>
    <w:rsid w:val="00CD710E"/>
    <w:rsid w:val="00CF7936"/>
    <w:rsid w:val="00D02526"/>
    <w:rsid w:val="00D05121"/>
    <w:rsid w:val="00D11381"/>
    <w:rsid w:val="00D31A09"/>
    <w:rsid w:val="00D34ACE"/>
    <w:rsid w:val="00D35D2E"/>
    <w:rsid w:val="00D36461"/>
    <w:rsid w:val="00D419A8"/>
    <w:rsid w:val="00D429E8"/>
    <w:rsid w:val="00D54D6F"/>
    <w:rsid w:val="00D55CC7"/>
    <w:rsid w:val="00D76131"/>
    <w:rsid w:val="00D77EB5"/>
    <w:rsid w:val="00D866D7"/>
    <w:rsid w:val="00D91281"/>
    <w:rsid w:val="00D91DDF"/>
    <w:rsid w:val="00D957B8"/>
    <w:rsid w:val="00D977AB"/>
    <w:rsid w:val="00DB09C5"/>
    <w:rsid w:val="00DB19B0"/>
    <w:rsid w:val="00DB4D63"/>
    <w:rsid w:val="00DD2934"/>
    <w:rsid w:val="00DD3771"/>
    <w:rsid w:val="00DD3993"/>
    <w:rsid w:val="00DE41F6"/>
    <w:rsid w:val="00DF33B4"/>
    <w:rsid w:val="00DF7041"/>
    <w:rsid w:val="00E031AD"/>
    <w:rsid w:val="00E16E06"/>
    <w:rsid w:val="00E17DC1"/>
    <w:rsid w:val="00E33E23"/>
    <w:rsid w:val="00E45682"/>
    <w:rsid w:val="00E47246"/>
    <w:rsid w:val="00E66D41"/>
    <w:rsid w:val="00E71982"/>
    <w:rsid w:val="00E815FC"/>
    <w:rsid w:val="00E858A5"/>
    <w:rsid w:val="00EA4248"/>
    <w:rsid w:val="00EA6202"/>
    <w:rsid w:val="00EB32CA"/>
    <w:rsid w:val="00EB3388"/>
    <w:rsid w:val="00EB7863"/>
    <w:rsid w:val="00EC7D44"/>
    <w:rsid w:val="00EE035D"/>
    <w:rsid w:val="00EE3A58"/>
    <w:rsid w:val="00F218D4"/>
    <w:rsid w:val="00F47D83"/>
    <w:rsid w:val="00F61D0E"/>
    <w:rsid w:val="00F6268E"/>
    <w:rsid w:val="00F64C37"/>
    <w:rsid w:val="00F6602E"/>
    <w:rsid w:val="00F70F5F"/>
    <w:rsid w:val="00F8090B"/>
    <w:rsid w:val="00F845EA"/>
    <w:rsid w:val="00F85E72"/>
    <w:rsid w:val="00F924CA"/>
    <w:rsid w:val="00F94922"/>
    <w:rsid w:val="00F97298"/>
    <w:rsid w:val="00FC36D3"/>
    <w:rsid w:val="00FD36B7"/>
    <w:rsid w:val="00FE570C"/>
    <w:rsid w:val="00FF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B354"/>
  <w15:chartTrackingRefBased/>
  <w15:docId w15:val="{160A2275-EA58-4434-A064-6AAEEE99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23"/>
    <w:pPr>
      <w:widowControl w:val="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E23"/>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092E"/>
    <w:pPr>
      <w:ind w:left="720"/>
      <w:contextualSpacing/>
    </w:pPr>
  </w:style>
  <w:style w:type="character" w:styleId="Hyperlink">
    <w:name w:val="Hyperlink"/>
    <w:basedOn w:val="DefaultParagraphFont"/>
    <w:rsid w:val="00350D19"/>
    <w:rPr>
      <w:color w:val="0000FF"/>
      <w:u w:val="single"/>
    </w:rPr>
  </w:style>
  <w:style w:type="character" w:styleId="Emphasis">
    <w:name w:val="Emphasis"/>
    <w:basedOn w:val="DefaultParagraphFont"/>
    <w:qFormat/>
    <w:rsid w:val="00350D19"/>
    <w:rPr>
      <w:i/>
      <w:iCs/>
    </w:rPr>
  </w:style>
  <w:style w:type="paragraph" w:styleId="Header">
    <w:name w:val="header"/>
    <w:basedOn w:val="Normal"/>
    <w:link w:val="HeaderChar"/>
    <w:uiPriority w:val="99"/>
    <w:unhideWhenUsed/>
    <w:rsid w:val="00845A28"/>
    <w:pPr>
      <w:tabs>
        <w:tab w:val="center" w:pos="4680"/>
        <w:tab w:val="right" w:pos="9360"/>
      </w:tabs>
    </w:pPr>
  </w:style>
  <w:style w:type="character" w:customStyle="1" w:styleId="HeaderChar">
    <w:name w:val="Header Char"/>
    <w:basedOn w:val="DefaultParagraphFont"/>
    <w:link w:val="Header"/>
    <w:uiPriority w:val="99"/>
    <w:rsid w:val="00845A28"/>
    <w:rPr>
      <w:rFonts w:eastAsia="Times New Roman"/>
      <w:sz w:val="20"/>
      <w:szCs w:val="20"/>
    </w:rPr>
  </w:style>
  <w:style w:type="paragraph" w:styleId="Footer">
    <w:name w:val="footer"/>
    <w:basedOn w:val="Normal"/>
    <w:link w:val="FooterChar"/>
    <w:uiPriority w:val="99"/>
    <w:unhideWhenUsed/>
    <w:rsid w:val="00845A28"/>
    <w:pPr>
      <w:tabs>
        <w:tab w:val="center" w:pos="4680"/>
        <w:tab w:val="right" w:pos="9360"/>
      </w:tabs>
    </w:pPr>
  </w:style>
  <w:style w:type="character" w:customStyle="1" w:styleId="FooterChar">
    <w:name w:val="Footer Char"/>
    <w:basedOn w:val="DefaultParagraphFont"/>
    <w:link w:val="Footer"/>
    <w:uiPriority w:val="99"/>
    <w:rsid w:val="00845A28"/>
    <w:rPr>
      <w:rFonts w:eastAsia="Times New Roman"/>
      <w:sz w:val="20"/>
      <w:szCs w:val="20"/>
    </w:rPr>
  </w:style>
  <w:style w:type="paragraph" w:styleId="FootnoteText">
    <w:name w:val="footnote text"/>
    <w:basedOn w:val="Normal"/>
    <w:link w:val="FootnoteTextChar"/>
    <w:uiPriority w:val="99"/>
    <w:semiHidden/>
    <w:unhideWhenUsed/>
    <w:rsid w:val="004B5FBA"/>
  </w:style>
  <w:style w:type="character" w:customStyle="1" w:styleId="FootnoteTextChar">
    <w:name w:val="Footnote Text Char"/>
    <w:basedOn w:val="DefaultParagraphFont"/>
    <w:link w:val="FootnoteText"/>
    <w:uiPriority w:val="99"/>
    <w:semiHidden/>
    <w:rsid w:val="004B5FBA"/>
    <w:rPr>
      <w:rFonts w:eastAsia="Times New Roman"/>
      <w:sz w:val="20"/>
      <w:szCs w:val="20"/>
    </w:rPr>
  </w:style>
  <w:style w:type="character" w:styleId="FootnoteReference">
    <w:name w:val="footnote reference"/>
    <w:basedOn w:val="DefaultParagraphFont"/>
    <w:uiPriority w:val="99"/>
    <w:semiHidden/>
    <w:unhideWhenUsed/>
    <w:rsid w:val="004B5FBA"/>
    <w:rPr>
      <w:vertAlign w:val="superscript"/>
    </w:rPr>
  </w:style>
  <w:style w:type="character" w:styleId="CommentReference">
    <w:name w:val="annotation reference"/>
    <w:basedOn w:val="DefaultParagraphFont"/>
    <w:uiPriority w:val="99"/>
    <w:semiHidden/>
    <w:unhideWhenUsed/>
    <w:rsid w:val="004B34D4"/>
    <w:rPr>
      <w:sz w:val="16"/>
      <w:szCs w:val="16"/>
    </w:rPr>
  </w:style>
  <w:style w:type="paragraph" w:styleId="CommentText">
    <w:name w:val="annotation text"/>
    <w:basedOn w:val="Normal"/>
    <w:link w:val="CommentTextChar"/>
    <w:uiPriority w:val="99"/>
    <w:semiHidden/>
    <w:unhideWhenUsed/>
    <w:rsid w:val="004B34D4"/>
  </w:style>
  <w:style w:type="character" w:customStyle="1" w:styleId="CommentTextChar">
    <w:name w:val="Comment Text Char"/>
    <w:basedOn w:val="DefaultParagraphFont"/>
    <w:link w:val="CommentText"/>
    <w:uiPriority w:val="99"/>
    <w:semiHidden/>
    <w:rsid w:val="004B34D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B34D4"/>
    <w:rPr>
      <w:b/>
      <w:bCs/>
    </w:rPr>
  </w:style>
  <w:style w:type="character" w:customStyle="1" w:styleId="CommentSubjectChar">
    <w:name w:val="Comment Subject Char"/>
    <w:basedOn w:val="CommentTextChar"/>
    <w:link w:val="CommentSubject"/>
    <w:uiPriority w:val="99"/>
    <w:semiHidden/>
    <w:rsid w:val="004B34D4"/>
    <w:rPr>
      <w:rFonts w:eastAsia="Times New Roman"/>
      <w:b/>
      <w:bCs/>
      <w:sz w:val="20"/>
      <w:szCs w:val="20"/>
    </w:rPr>
  </w:style>
  <w:style w:type="paragraph" w:styleId="BalloonText">
    <w:name w:val="Balloon Text"/>
    <w:basedOn w:val="Normal"/>
    <w:link w:val="BalloonTextChar"/>
    <w:uiPriority w:val="99"/>
    <w:semiHidden/>
    <w:unhideWhenUsed/>
    <w:rsid w:val="003A6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81151">
      <w:bodyDiv w:val="1"/>
      <w:marLeft w:val="0"/>
      <w:marRight w:val="0"/>
      <w:marTop w:val="0"/>
      <w:marBottom w:val="0"/>
      <w:divBdr>
        <w:top w:val="none" w:sz="0" w:space="0" w:color="auto"/>
        <w:left w:val="none" w:sz="0" w:space="0" w:color="auto"/>
        <w:bottom w:val="none" w:sz="0" w:space="0" w:color="auto"/>
        <w:right w:val="none" w:sz="0" w:space="0" w:color="auto"/>
      </w:divBdr>
    </w:div>
    <w:div w:id="212476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DE99-FDBD-422F-9FFD-E1791268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2250</Words>
  <Characters>12829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Wagner, Nathan R</cp:lastModifiedBy>
  <cp:revision>2</cp:revision>
  <dcterms:created xsi:type="dcterms:W3CDTF">2021-06-01T18:14:00Z</dcterms:created>
  <dcterms:modified xsi:type="dcterms:W3CDTF">2021-06-01T18:14:00Z</dcterms:modified>
</cp:coreProperties>
</file>