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1C1F88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29F8246" w:rsidR="006E24FB" w:rsidRPr="002420D3" w:rsidRDefault="001C1F88">
      <w:pPr>
        <w:jc w:val="center"/>
      </w:pPr>
      <w:r>
        <w:t>June 2</w:t>
      </w:r>
      <w:r w:rsidR="00A0183A">
        <w:t>, 202</w:t>
      </w:r>
      <w:r w:rsidR="00361B44">
        <w:t>1</w:t>
      </w:r>
    </w:p>
    <w:p w14:paraId="22EFAB7C" w14:textId="65C7D24D" w:rsidR="006E24FB" w:rsidRDefault="00877967" w:rsidP="0022526F">
      <w:pPr>
        <w:jc w:val="right"/>
      </w:pPr>
      <w:r>
        <w:t>C-20</w:t>
      </w:r>
      <w:r w:rsidR="001C1F88">
        <w:t>19-3012562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34B72417" w:rsidR="00FC6FAC" w:rsidRDefault="001C1F8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Public Utility Commission</w:t>
      </w:r>
    </w:p>
    <w:p w14:paraId="70F05D32" w14:textId="0651392C" w:rsidR="001C1F88" w:rsidRDefault="001C1F8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Bureau of Investigation &amp; Enforcement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6FB9CEA9" w:rsidR="007348A4" w:rsidRDefault="001C1F8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Pasha Luxury Services, Inc. t/a</w:t>
      </w:r>
    </w:p>
    <w:p w14:paraId="463A2A7F" w14:textId="1CAAD9B8" w:rsidR="001C1F88" w:rsidRPr="005E11F9" w:rsidRDefault="001C1F8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The Corporate Sedan Service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1C1F8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3045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2021-06-02T12:24:00Z</dcterms:created>
  <dcterms:modified xsi:type="dcterms:W3CDTF">2021-06-02T12:24:00Z</dcterms:modified>
</cp:coreProperties>
</file>