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CF89" w14:textId="77777777" w:rsidR="00EF430E" w:rsidRPr="00EF430E" w:rsidRDefault="00EF430E" w:rsidP="00EF430E">
      <w:pPr>
        <w:tabs>
          <w:tab w:val="left" w:pos="0"/>
        </w:tabs>
        <w:spacing w:after="0" w:line="240" w:lineRule="auto"/>
        <w:jc w:val="center"/>
        <w:rPr>
          <w:rFonts w:eastAsia="Times New Roman" w:cs="Times New Roman"/>
          <w:b/>
          <w:szCs w:val="20"/>
        </w:rPr>
      </w:pPr>
      <w:r w:rsidRPr="00EF430E">
        <w:rPr>
          <w:rFonts w:eastAsia="Times New Roman" w:cs="Times New Roman"/>
          <w:b/>
          <w:szCs w:val="20"/>
        </w:rPr>
        <w:t>BEFORE THE</w:t>
      </w:r>
    </w:p>
    <w:p w14:paraId="51316F72" w14:textId="77777777" w:rsidR="00EF430E" w:rsidRPr="00EF430E" w:rsidRDefault="00EF430E" w:rsidP="00EF430E">
      <w:pPr>
        <w:tabs>
          <w:tab w:val="left" w:pos="0"/>
        </w:tabs>
        <w:spacing w:after="0" w:line="240" w:lineRule="auto"/>
        <w:jc w:val="center"/>
        <w:rPr>
          <w:rFonts w:eastAsia="Times New Roman" w:cs="Times New Roman"/>
          <w:b/>
          <w:szCs w:val="20"/>
        </w:rPr>
      </w:pPr>
      <w:smartTag w:uri="urn:schemas-microsoft-com:office:smarttags" w:element="State">
        <w:smartTag w:uri="urn:schemas-microsoft-com:office:smarttags" w:element="place">
          <w:r w:rsidRPr="00EF430E">
            <w:rPr>
              <w:rFonts w:eastAsia="Times New Roman" w:cs="Times New Roman"/>
              <w:b/>
              <w:szCs w:val="20"/>
            </w:rPr>
            <w:t>PENNSYLVANIA</w:t>
          </w:r>
        </w:smartTag>
      </w:smartTag>
      <w:r w:rsidRPr="00EF430E">
        <w:rPr>
          <w:rFonts w:eastAsia="Times New Roman" w:cs="Times New Roman"/>
          <w:b/>
          <w:szCs w:val="20"/>
        </w:rPr>
        <w:t xml:space="preserve"> PUBLIC UTILITY COMMISSION</w:t>
      </w:r>
    </w:p>
    <w:p w14:paraId="708D367D" w14:textId="77777777" w:rsidR="00EF430E" w:rsidRPr="00EF430E" w:rsidRDefault="00EF430E" w:rsidP="00EF430E">
      <w:pPr>
        <w:tabs>
          <w:tab w:val="left" w:pos="0"/>
        </w:tabs>
        <w:spacing w:after="0" w:line="240" w:lineRule="auto"/>
        <w:jc w:val="both"/>
        <w:rPr>
          <w:rFonts w:eastAsia="Times New Roman" w:cs="Times New Roman"/>
          <w:b/>
          <w:szCs w:val="20"/>
        </w:rPr>
      </w:pPr>
    </w:p>
    <w:p w14:paraId="74703D96" w14:textId="77777777" w:rsidR="00EF430E" w:rsidRPr="00EF430E" w:rsidRDefault="00EF430E" w:rsidP="00EF430E">
      <w:pPr>
        <w:tabs>
          <w:tab w:val="left" w:pos="0"/>
        </w:tabs>
        <w:spacing w:after="0" w:line="240" w:lineRule="auto"/>
        <w:jc w:val="both"/>
        <w:rPr>
          <w:rFonts w:eastAsia="Times New Roman" w:cs="Times New Roman"/>
          <w:b/>
          <w:szCs w:val="20"/>
        </w:rPr>
      </w:pPr>
    </w:p>
    <w:p w14:paraId="10F79E27" w14:textId="77777777" w:rsidR="00EF430E" w:rsidRPr="00EF430E" w:rsidRDefault="00EF430E" w:rsidP="00EF430E">
      <w:pPr>
        <w:tabs>
          <w:tab w:val="left" w:pos="0"/>
        </w:tabs>
        <w:spacing w:after="0" w:line="240" w:lineRule="auto"/>
        <w:jc w:val="both"/>
        <w:rPr>
          <w:rFonts w:eastAsia="Times New Roman" w:cs="Times New Roman"/>
          <w:b/>
          <w:szCs w:val="20"/>
        </w:rPr>
      </w:pPr>
    </w:p>
    <w:p w14:paraId="067AFEFC" w14:textId="10AF11B6" w:rsidR="00EF430E" w:rsidRPr="00EF430E" w:rsidRDefault="00A357AE" w:rsidP="00EF430E">
      <w:pPr>
        <w:tabs>
          <w:tab w:val="left" w:pos="0"/>
        </w:tabs>
        <w:spacing w:after="0" w:line="240" w:lineRule="auto"/>
        <w:jc w:val="both"/>
        <w:rPr>
          <w:rFonts w:eastAsia="Times New Roman" w:cs="Times New Roman"/>
          <w:b/>
          <w:szCs w:val="20"/>
        </w:rPr>
      </w:pPr>
      <w:r>
        <w:rPr>
          <w:rFonts w:eastAsia="Times New Roman" w:cs="Times New Roman"/>
          <w:szCs w:val="20"/>
        </w:rPr>
        <w:t>Joel Wilkes</w:t>
      </w:r>
      <w:r w:rsidR="00EF430E" w:rsidRPr="00EF430E">
        <w:rPr>
          <w:rFonts w:eastAsia="Times New Roman" w:cs="Times New Roman"/>
          <w:szCs w:val="20"/>
        </w:rPr>
        <w:tab/>
      </w:r>
      <w:r w:rsidR="00EF430E" w:rsidRPr="00EF430E">
        <w:rPr>
          <w:rFonts w:eastAsia="Times New Roman" w:cs="Times New Roman"/>
          <w:szCs w:val="20"/>
        </w:rPr>
        <w:tab/>
      </w:r>
      <w:r w:rsidR="00EF430E" w:rsidRPr="00EF430E">
        <w:rPr>
          <w:rFonts w:eastAsia="Times New Roman" w:cs="Times New Roman"/>
          <w:szCs w:val="20"/>
        </w:rPr>
        <w:tab/>
      </w:r>
      <w:r w:rsidR="00EF430E" w:rsidRPr="00EF430E">
        <w:rPr>
          <w:rFonts w:eastAsia="Times New Roman" w:cs="Times New Roman"/>
          <w:szCs w:val="20"/>
        </w:rPr>
        <w:tab/>
      </w:r>
      <w:r w:rsidR="00EF430E" w:rsidRPr="00EF430E">
        <w:rPr>
          <w:rFonts w:eastAsia="Times New Roman" w:cs="Times New Roman"/>
          <w:szCs w:val="20"/>
        </w:rPr>
        <w:tab/>
      </w:r>
      <w:r w:rsidR="0016513B">
        <w:rPr>
          <w:rFonts w:eastAsia="Times New Roman" w:cs="Times New Roman"/>
          <w:szCs w:val="20"/>
        </w:rPr>
        <w:tab/>
      </w:r>
      <w:r w:rsidR="00EF430E" w:rsidRPr="00EF430E">
        <w:rPr>
          <w:rFonts w:eastAsia="Times New Roman" w:cs="Times New Roman"/>
          <w:szCs w:val="20"/>
        </w:rPr>
        <w:t>:</w:t>
      </w:r>
    </w:p>
    <w:p w14:paraId="3794C198" w14:textId="77777777" w:rsidR="00EF430E" w:rsidRPr="00EF430E" w:rsidRDefault="00EF430E" w:rsidP="00EF430E">
      <w:pPr>
        <w:tabs>
          <w:tab w:val="left" w:pos="0"/>
        </w:tabs>
        <w:spacing w:after="0" w:line="240" w:lineRule="auto"/>
        <w:jc w:val="both"/>
        <w:rPr>
          <w:rFonts w:eastAsia="Times New Roman" w:cs="Times New Roman"/>
          <w:szCs w:val="20"/>
        </w:rPr>
      </w:pPr>
      <w:r w:rsidRPr="00EF430E">
        <w:rPr>
          <w:rFonts w:eastAsia="Times New Roman" w:cs="Times New Roman"/>
          <w:b/>
          <w:szCs w:val="20"/>
        </w:rPr>
        <w:tab/>
      </w:r>
      <w:r w:rsidRPr="00EF430E">
        <w:rPr>
          <w:rFonts w:eastAsia="Times New Roman" w:cs="Times New Roman"/>
          <w:b/>
          <w:szCs w:val="20"/>
        </w:rPr>
        <w:tab/>
      </w:r>
      <w:r w:rsidRPr="00EF430E">
        <w:rPr>
          <w:rFonts w:eastAsia="Times New Roman" w:cs="Times New Roman"/>
          <w:b/>
          <w:szCs w:val="20"/>
        </w:rPr>
        <w:tab/>
      </w:r>
      <w:r w:rsidRPr="00EF430E">
        <w:rPr>
          <w:rFonts w:eastAsia="Times New Roman" w:cs="Times New Roman"/>
          <w:b/>
          <w:szCs w:val="20"/>
        </w:rPr>
        <w:tab/>
      </w:r>
      <w:r w:rsidRPr="00EF430E">
        <w:rPr>
          <w:rFonts w:eastAsia="Times New Roman" w:cs="Times New Roman"/>
          <w:b/>
          <w:szCs w:val="20"/>
        </w:rPr>
        <w:tab/>
      </w:r>
      <w:r w:rsidRPr="00EF430E">
        <w:rPr>
          <w:rFonts w:eastAsia="Times New Roman" w:cs="Times New Roman"/>
          <w:b/>
          <w:szCs w:val="20"/>
        </w:rPr>
        <w:tab/>
      </w:r>
      <w:r w:rsidRPr="00EF430E">
        <w:rPr>
          <w:rFonts w:eastAsia="Times New Roman" w:cs="Times New Roman"/>
          <w:b/>
          <w:szCs w:val="20"/>
        </w:rPr>
        <w:tab/>
      </w:r>
      <w:r w:rsidRPr="00EF430E">
        <w:rPr>
          <w:rFonts w:eastAsia="Times New Roman" w:cs="Times New Roman"/>
          <w:szCs w:val="20"/>
        </w:rPr>
        <w:t>:</w:t>
      </w:r>
    </w:p>
    <w:p w14:paraId="60D3B8F6" w14:textId="15FAAC9A" w:rsidR="00EF430E" w:rsidRPr="00EF430E" w:rsidRDefault="00EF430E" w:rsidP="00EF430E">
      <w:pPr>
        <w:tabs>
          <w:tab w:val="left" w:pos="0"/>
        </w:tabs>
        <w:spacing w:after="0" w:line="240" w:lineRule="auto"/>
        <w:jc w:val="both"/>
        <w:rPr>
          <w:rFonts w:eastAsia="Times New Roman" w:cs="Times New Roman"/>
          <w:szCs w:val="20"/>
        </w:rPr>
      </w:pPr>
      <w:r w:rsidRPr="00EF430E">
        <w:rPr>
          <w:rFonts w:eastAsia="Times New Roman" w:cs="Times New Roman"/>
          <w:szCs w:val="20"/>
        </w:rPr>
        <w:tab/>
        <w:t>v.</w:t>
      </w:r>
      <w:r w:rsidRPr="00EF430E">
        <w:rPr>
          <w:rFonts w:eastAsia="Times New Roman" w:cs="Times New Roman"/>
          <w:szCs w:val="20"/>
        </w:rPr>
        <w:tab/>
      </w:r>
      <w:r w:rsidRPr="00EF430E">
        <w:rPr>
          <w:rFonts w:eastAsia="Times New Roman" w:cs="Times New Roman"/>
          <w:szCs w:val="20"/>
        </w:rPr>
        <w:tab/>
      </w:r>
      <w:r w:rsidRPr="00EF430E">
        <w:rPr>
          <w:rFonts w:eastAsia="Times New Roman" w:cs="Times New Roman"/>
          <w:szCs w:val="20"/>
        </w:rPr>
        <w:tab/>
      </w:r>
      <w:r w:rsidRPr="00EF430E">
        <w:rPr>
          <w:rFonts w:eastAsia="Times New Roman" w:cs="Times New Roman"/>
          <w:szCs w:val="20"/>
        </w:rPr>
        <w:tab/>
      </w:r>
      <w:r w:rsidRPr="00EF430E">
        <w:rPr>
          <w:rFonts w:eastAsia="Times New Roman" w:cs="Times New Roman"/>
          <w:szCs w:val="20"/>
        </w:rPr>
        <w:tab/>
      </w:r>
      <w:r w:rsidRPr="00EF430E">
        <w:rPr>
          <w:rFonts w:eastAsia="Times New Roman" w:cs="Times New Roman"/>
          <w:szCs w:val="20"/>
        </w:rPr>
        <w:tab/>
        <w:t>:</w:t>
      </w:r>
      <w:r w:rsidRPr="00EF430E">
        <w:rPr>
          <w:rFonts w:eastAsia="Times New Roman" w:cs="Times New Roman"/>
          <w:b/>
          <w:szCs w:val="20"/>
        </w:rPr>
        <w:tab/>
      </w:r>
      <w:r w:rsidRPr="00EF430E">
        <w:rPr>
          <w:rFonts w:eastAsia="Times New Roman" w:cs="Times New Roman"/>
          <w:b/>
          <w:szCs w:val="20"/>
        </w:rPr>
        <w:tab/>
      </w:r>
      <w:r w:rsidRPr="00EF430E">
        <w:rPr>
          <w:rFonts w:eastAsia="Times New Roman" w:cs="Times New Roman"/>
          <w:szCs w:val="20"/>
        </w:rPr>
        <w:t>C-</w:t>
      </w:r>
      <w:r w:rsidR="00A357AE">
        <w:rPr>
          <w:rFonts w:eastAsia="Times New Roman" w:cs="Times New Roman"/>
          <w:szCs w:val="20"/>
        </w:rPr>
        <w:t>2021-3024389</w:t>
      </w:r>
    </w:p>
    <w:p w14:paraId="356B9FEB" w14:textId="77777777" w:rsidR="00EF430E" w:rsidRPr="00EF430E" w:rsidRDefault="00EF430E" w:rsidP="00EF430E">
      <w:pPr>
        <w:tabs>
          <w:tab w:val="left" w:pos="0"/>
        </w:tabs>
        <w:spacing w:after="0" w:line="240" w:lineRule="auto"/>
        <w:jc w:val="both"/>
        <w:rPr>
          <w:rFonts w:eastAsia="Times New Roman" w:cs="Times New Roman"/>
          <w:szCs w:val="20"/>
        </w:rPr>
      </w:pPr>
      <w:r w:rsidRPr="00EF430E">
        <w:rPr>
          <w:rFonts w:eastAsia="Times New Roman" w:cs="Times New Roman"/>
          <w:szCs w:val="20"/>
        </w:rPr>
        <w:tab/>
      </w:r>
      <w:r w:rsidRPr="00EF430E">
        <w:rPr>
          <w:rFonts w:eastAsia="Times New Roman" w:cs="Times New Roman"/>
          <w:szCs w:val="20"/>
        </w:rPr>
        <w:tab/>
      </w:r>
      <w:r w:rsidRPr="00EF430E">
        <w:rPr>
          <w:rFonts w:eastAsia="Times New Roman" w:cs="Times New Roman"/>
          <w:szCs w:val="20"/>
        </w:rPr>
        <w:tab/>
      </w:r>
      <w:r w:rsidRPr="00EF430E">
        <w:rPr>
          <w:rFonts w:eastAsia="Times New Roman" w:cs="Times New Roman"/>
          <w:szCs w:val="20"/>
        </w:rPr>
        <w:tab/>
      </w:r>
      <w:r w:rsidRPr="00EF430E">
        <w:rPr>
          <w:rFonts w:eastAsia="Times New Roman" w:cs="Times New Roman"/>
          <w:szCs w:val="20"/>
        </w:rPr>
        <w:tab/>
      </w:r>
      <w:r w:rsidRPr="00EF430E">
        <w:rPr>
          <w:rFonts w:eastAsia="Times New Roman" w:cs="Times New Roman"/>
          <w:szCs w:val="20"/>
        </w:rPr>
        <w:tab/>
      </w:r>
      <w:r w:rsidRPr="00EF430E">
        <w:rPr>
          <w:rFonts w:eastAsia="Times New Roman" w:cs="Times New Roman"/>
          <w:szCs w:val="20"/>
        </w:rPr>
        <w:tab/>
        <w:t>:</w:t>
      </w:r>
    </w:p>
    <w:p w14:paraId="7CE2B915" w14:textId="77777777" w:rsidR="00EF430E" w:rsidRPr="00EF430E" w:rsidRDefault="00EF430E" w:rsidP="00EF430E">
      <w:pPr>
        <w:tabs>
          <w:tab w:val="left" w:pos="0"/>
        </w:tabs>
        <w:spacing w:after="0" w:line="240" w:lineRule="auto"/>
        <w:jc w:val="both"/>
        <w:rPr>
          <w:rFonts w:eastAsia="Times New Roman" w:cs="Times New Roman"/>
          <w:szCs w:val="20"/>
        </w:rPr>
      </w:pPr>
      <w:r w:rsidRPr="00EF430E">
        <w:rPr>
          <w:rFonts w:eastAsia="Times New Roman" w:cs="Times New Roman"/>
          <w:szCs w:val="20"/>
        </w:rPr>
        <w:t>Duquesne Light Company</w:t>
      </w:r>
      <w:r w:rsidRPr="00EF430E">
        <w:rPr>
          <w:rFonts w:eastAsia="Times New Roman" w:cs="Times New Roman"/>
          <w:szCs w:val="20"/>
        </w:rPr>
        <w:tab/>
      </w:r>
      <w:r w:rsidRPr="00EF430E">
        <w:rPr>
          <w:rFonts w:eastAsia="Times New Roman" w:cs="Times New Roman"/>
          <w:szCs w:val="20"/>
        </w:rPr>
        <w:tab/>
      </w:r>
      <w:r w:rsidRPr="00EF430E">
        <w:rPr>
          <w:rFonts w:eastAsia="Times New Roman" w:cs="Times New Roman"/>
          <w:szCs w:val="20"/>
        </w:rPr>
        <w:tab/>
      </w:r>
      <w:r w:rsidRPr="00EF430E">
        <w:rPr>
          <w:rFonts w:eastAsia="Times New Roman" w:cs="Times New Roman"/>
          <w:szCs w:val="20"/>
        </w:rPr>
        <w:tab/>
        <w:t>:</w:t>
      </w:r>
    </w:p>
    <w:p w14:paraId="20E35C1B" w14:textId="77777777" w:rsidR="00EF430E" w:rsidRPr="00EF430E" w:rsidRDefault="00EF430E" w:rsidP="00EF430E">
      <w:pPr>
        <w:spacing w:after="0" w:line="240" w:lineRule="auto"/>
        <w:rPr>
          <w:rFonts w:eastAsia="SimSun" w:cs="Times New Roman"/>
          <w:szCs w:val="20"/>
        </w:rPr>
      </w:pPr>
    </w:p>
    <w:p w14:paraId="4D514CDA" w14:textId="592F7A72" w:rsidR="00EF430E" w:rsidRDefault="00EF430E" w:rsidP="00EF430E">
      <w:pPr>
        <w:spacing w:after="0" w:line="240" w:lineRule="auto"/>
        <w:rPr>
          <w:rFonts w:eastAsia="SimSun" w:cs="Times New Roman"/>
          <w:szCs w:val="20"/>
        </w:rPr>
      </w:pPr>
    </w:p>
    <w:p w14:paraId="0D7950FE" w14:textId="77777777" w:rsidR="000E78E2" w:rsidRPr="00EF430E" w:rsidRDefault="000E78E2" w:rsidP="00EF430E">
      <w:pPr>
        <w:spacing w:after="0" w:line="240" w:lineRule="auto"/>
        <w:rPr>
          <w:rFonts w:eastAsia="SimSun" w:cs="Times New Roman"/>
          <w:szCs w:val="20"/>
        </w:rPr>
      </w:pPr>
    </w:p>
    <w:p w14:paraId="204F0275" w14:textId="5BC19E8A" w:rsidR="004E7886" w:rsidRPr="00F145E2" w:rsidRDefault="004E7886" w:rsidP="00F145E2">
      <w:pPr>
        <w:spacing w:after="0" w:line="240" w:lineRule="auto"/>
        <w:jc w:val="center"/>
        <w:rPr>
          <w:b/>
          <w:bCs/>
        </w:rPr>
      </w:pPr>
      <w:r w:rsidRPr="00F145E2">
        <w:rPr>
          <w:b/>
          <w:bCs/>
        </w:rPr>
        <w:t>INTERIM ORDER</w:t>
      </w:r>
    </w:p>
    <w:p w14:paraId="6AEC8D50" w14:textId="21991919" w:rsidR="004E7886" w:rsidRPr="00F145E2" w:rsidRDefault="004E7886" w:rsidP="00F145E2">
      <w:pPr>
        <w:spacing w:after="0" w:line="240" w:lineRule="auto"/>
        <w:jc w:val="center"/>
        <w:rPr>
          <w:b/>
          <w:bCs/>
        </w:rPr>
      </w:pPr>
      <w:r w:rsidRPr="00F145E2">
        <w:rPr>
          <w:b/>
          <w:bCs/>
        </w:rPr>
        <w:t>DENYING IN PART AND GRANTING IN PART</w:t>
      </w:r>
    </w:p>
    <w:p w14:paraId="09648E74" w14:textId="30686061" w:rsidR="004E7886" w:rsidRPr="00F145E2" w:rsidRDefault="004E7886" w:rsidP="00C348B2">
      <w:pPr>
        <w:spacing w:after="0" w:line="240" w:lineRule="auto"/>
        <w:jc w:val="center"/>
        <w:rPr>
          <w:b/>
          <w:bCs/>
          <w:u w:val="single"/>
        </w:rPr>
      </w:pPr>
      <w:r w:rsidRPr="00F145E2">
        <w:rPr>
          <w:b/>
          <w:bCs/>
          <w:u w:val="single"/>
        </w:rPr>
        <w:t>PRELIMINARY OBJECTIONS</w:t>
      </w:r>
    </w:p>
    <w:p w14:paraId="2F4647CD" w14:textId="363D3FCA" w:rsidR="004E7886" w:rsidRDefault="004E7886" w:rsidP="00C348B2">
      <w:pPr>
        <w:spacing w:after="0" w:line="240" w:lineRule="auto"/>
      </w:pPr>
    </w:p>
    <w:p w14:paraId="13CC3222" w14:textId="77777777" w:rsidR="00C348B2" w:rsidRDefault="00C348B2" w:rsidP="00C348B2">
      <w:pPr>
        <w:spacing w:after="0" w:line="240" w:lineRule="auto"/>
      </w:pPr>
    </w:p>
    <w:p w14:paraId="66C50AB0" w14:textId="7F960EA1" w:rsidR="004E7886" w:rsidRDefault="00C00FDB" w:rsidP="00C348B2">
      <w:pPr>
        <w:spacing w:after="0"/>
      </w:pPr>
      <w:r>
        <w:tab/>
      </w:r>
      <w:r>
        <w:tab/>
        <w:t xml:space="preserve">On January 26, 2021, </w:t>
      </w:r>
      <w:r w:rsidR="004658CA">
        <w:t>Joel Wilkes (Complainant) filed a formal complaint against Duquesne Light Company.</w:t>
      </w:r>
      <w:r w:rsidR="00501198">
        <w:t xml:space="preserve">  The Complainant alleges that</w:t>
      </w:r>
      <w:r w:rsidR="00EA04CD">
        <w:t xml:space="preserve"> Duquesne Light placed a vault in such a manner that it crushed his sewer line, causing</w:t>
      </w:r>
      <w:r w:rsidR="00925EEE">
        <w:t xml:space="preserve"> the sewer to back up at his property.</w:t>
      </w:r>
      <w:r w:rsidR="004E63D2">
        <w:t xml:space="preserve">  As relief, the Complainant requests Duquesne Light to pay his plumber to fix the sidewalk, sanitize his basement</w:t>
      </w:r>
      <w:r w:rsidR="00A236EE">
        <w:t>, and pay his expenses and lost rent.</w:t>
      </w:r>
    </w:p>
    <w:p w14:paraId="3ABC3711" w14:textId="77777777" w:rsidR="00C348B2" w:rsidRDefault="00C348B2" w:rsidP="00C348B2">
      <w:pPr>
        <w:spacing w:after="0"/>
      </w:pPr>
    </w:p>
    <w:p w14:paraId="2C6CD19A" w14:textId="61995553" w:rsidR="00317E91" w:rsidRDefault="00317E91" w:rsidP="00C348B2">
      <w:pPr>
        <w:spacing w:after="0"/>
      </w:pPr>
      <w:r>
        <w:tab/>
      </w:r>
      <w:r>
        <w:tab/>
        <w:t>Duquesne Light filed an</w:t>
      </w:r>
      <w:r w:rsidR="006A44C4">
        <w:t xml:space="preserve"> answer and preliminary objections on April 7, 2021.</w:t>
      </w:r>
      <w:r w:rsidR="00692A99">
        <w:t xml:space="preserve">  In its answer Duquesne Light admits that it hired a contractor to perform work near the Complainant’s </w:t>
      </w:r>
      <w:r w:rsidR="00F41FD4">
        <w:t>property but</w:t>
      </w:r>
      <w:r w:rsidR="0044088F">
        <w:t xml:space="preserve"> alleges the complaint should be dismissed because the contractor should have been joined as a party</w:t>
      </w:r>
      <w:r w:rsidR="00900613">
        <w:t>.  Duquesne Light’s preliminary objections are also based on the Complainant’s failure to join the third-party contractor and also seeks dismissal because the Commission has no jurisdiction to award monetary damages.  Duquesne Light’s preliminary objections included a notice to plead</w:t>
      </w:r>
      <w:r w:rsidR="00732694">
        <w:t>, which notified the Complainant to file a written response within ten days of service.</w:t>
      </w:r>
    </w:p>
    <w:p w14:paraId="526B3C4D" w14:textId="77777777" w:rsidR="00C348B2" w:rsidRDefault="00C348B2" w:rsidP="00C348B2">
      <w:pPr>
        <w:spacing w:after="0"/>
      </w:pPr>
    </w:p>
    <w:p w14:paraId="431A20E2" w14:textId="690FA9B0" w:rsidR="00244316" w:rsidRDefault="00244316" w:rsidP="00C348B2">
      <w:pPr>
        <w:spacing w:after="0" w:line="240" w:lineRule="auto"/>
      </w:pPr>
      <w:r>
        <w:tab/>
      </w:r>
      <w:r>
        <w:tab/>
        <w:t>By notice dated May 11, 2021, the preliminary objections were assigned to me.</w:t>
      </w:r>
      <w:r w:rsidR="00EC3FB9">
        <w:t xml:space="preserve">  The Complainant has not filed a response to the preliminary </w:t>
      </w:r>
      <w:r w:rsidR="00CE1802">
        <w:t>objections;</w:t>
      </w:r>
      <w:r w:rsidR="00EC3FB9">
        <w:t xml:space="preserve"> </w:t>
      </w:r>
      <w:proofErr w:type="gramStart"/>
      <w:r w:rsidR="00EC3FB9">
        <w:t>therefore</w:t>
      </w:r>
      <w:proofErr w:type="gramEnd"/>
      <w:r w:rsidR="00EC3FB9">
        <w:t xml:space="preserve"> they are ripe for decision.</w:t>
      </w:r>
    </w:p>
    <w:p w14:paraId="18EDBE79" w14:textId="77777777" w:rsidR="00C348B2" w:rsidRDefault="00C348B2" w:rsidP="00C348B2">
      <w:pPr>
        <w:spacing w:after="0" w:line="240" w:lineRule="auto"/>
      </w:pPr>
    </w:p>
    <w:p w14:paraId="6EF62572" w14:textId="73B0F342" w:rsidR="00747532" w:rsidRDefault="00747532" w:rsidP="00C348B2">
      <w:pPr>
        <w:spacing w:after="0" w:line="240" w:lineRule="auto"/>
      </w:pPr>
      <w:r>
        <w:tab/>
      </w:r>
      <w:r>
        <w:tab/>
        <w:t xml:space="preserve">The grounds for preliminary objection are limited: </w:t>
      </w:r>
    </w:p>
    <w:p w14:paraId="667119DE" w14:textId="77777777" w:rsidR="00C348B2" w:rsidRDefault="00C348B2" w:rsidP="00C348B2">
      <w:pPr>
        <w:spacing w:after="0" w:line="240" w:lineRule="auto"/>
      </w:pPr>
    </w:p>
    <w:p w14:paraId="740783EB" w14:textId="77777777" w:rsidR="00747532" w:rsidRDefault="00747532" w:rsidP="00747532">
      <w:pPr>
        <w:pStyle w:val="Quote"/>
        <w:spacing w:after="240" w:line="360" w:lineRule="auto"/>
        <w:ind w:firstLine="720"/>
      </w:pPr>
      <w:r>
        <w:lastRenderedPageBreak/>
        <w:t>§ 5.101.  Preliminary objections.</w:t>
      </w:r>
    </w:p>
    <w:p w14:paraId="5F5CB1CD" w14:textId="6AB33125" w:rsidR="00747532" w:rsidRDefault="00747532" w:rsidP="00C348B2">
      <w:pPr>
        <w:pStyle w:val="Quote"/>
        <w:numPr>
          <w:ilvl w:val="0"/>
          <w:numId w:val="38"/>
        </w:numPr>
        <w:spacing w:after="0"/>
        <w:ind w:right="1440"/>
      </w:pPr>
      <w:r>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1568A5F4" w14:textId="77777777" w:rsidR="00C348B2" w:rsidRPr="00C348B2" w:rsidRDefault="00C348B2" w:rsidP="00C348B2"/>
    <w:p w14:paraId="021DE0D0" w14:textId="77777777" w:rsidR="00747532" w:rsidRDefault="00747532" w:rsidP="00C348B2">
      <w:pPr>
        <w:pStyle w:val="Quote"/>
        <w:spacing w:after="0" w:line="360" w:lineRule="auto"/>
        <w:ind w:left="2246" w:right="1440"/>
      </w:pPr>
      <w:r>
        <w:t>(1)</w:t>
      </w:r>
      <w:r>
        <w:tab/>
        <w:t>Lack of Commission jurisdiction or improper service of the pleading initiating the proceeding.</w:t>
      </w:r>
    </w:p>
    <w:p w14:paraId="4F464F26" w14:textId="77777777" w:rsidR="00747532" w:rsidRDefault="00747532" w:rsidP="00C348B2">
      <w:pPr>
        <w:pStyle w:val="Quote"/>
        <w:spacing w:after="0" w:line="360" w:lineRule="auto"/>
        <w:ind w:left="2246" w:right="1440"/>
      </w:pPr>
      <w:r>
        <w:t>(2)</w:t>
      </w:r>
      <w:r>
        <w:tab/>
        <w:t>Failure of a pleading to conform to this chapter or the inclusion of scandalous or impertinent matter.</w:t>
      </w:r>
    </w:p>
    <w:p w14:paraId="57573880" w14:textId="77777777" w:rsidR="00747532" w:rsidRDefault="00747532" w:rsidP="00C348B2">
      <w:pPr>
        <w:pStyle w:val="Quote"/>
        <w:spacing w:after="0" w:line="360" w:lineRule="auto"/>
        <w:ind w:left="2246" w:right="1440"/>
      </w:pPr>
      <w:r>
        <w:t>(3)</w:t>
      </w:r>
      <w:r>
        <w:tab/>
        <w:t>Insufficient specificity of a pleading.</w:t>
      </w:r>
    </w:p>
    <w:p w14:paraId="481F7339" w14:textId="77777777" w:rsidR="00747532" w:rsidRDefault="00747532" w:rsidP="00C348B2">
      <w:pPr>
        <w:pStyle w:val="Quote"/>
        <w:spacing w:after="0" w:line="360" w:lineRule="auto"/>
        <w:ind w:left="2246" w:right="1440"/>
      </w:pPr>
      <w:r>
        <w:t>(4)</w:t>
      </w:r>
      <w:r>
        <w:tab/>
        <w:t>Legal insufficiency of a pleading.</w:t>
      </w:r>
    </w:p>
    <w:p w14:paraId="79941AAF" w14:textId="77777777" w:rsidR="00747532" w:rsidRDefault="00747532" w:rsidP="00C348B2">
      <w:pPr>
        <w:pStyle w:val="Quote"/>
        <w:spacing w:after="0" w:line="360" w:lineRule="auto"/>
        <w:ind w:left="2246" w:right="1440"/>
      </w:pPr>
      <w:r>
        <w:t>(5)</w:t>
      </w:r>
      <w:r>
        <w:tab/>
        <w:t>Lack of capacity to sue, nonjoinder of a necessary party or misjoinder of a cause of action.</w:t>
      </w:r>
    </w:p>
    <w:p w14:paraId="41D0A8A1" w14:textId="77777777" w:rsidR="00747532" w:rsidRDefault="00747532" w:rsidP="00C348B2">
      <w:pPr>
        <w:pStyle w:val="Quote"/>
        <w:spacing w:after="0" w:line="360" w:lineRule="auto"/>
        <w:ind w:left="2246" w:right="1440"/>
      </w:pPr>
      <w:r>
        <w:t>(6)</w:t>
      </w:r>
      <w:r>
        <w:tab/>
        <w:t>Pendency of a prior proceeding or agreement for alternative dispute resolution.</w:t>
      </w:r>
    </w:p>
    <w:p w14:paraId="7CE20878" w14:textId="13F47049" w:rsidR="00747532" w:rsidRDefault="00747532" w:rsidP="00C348B2">
      <w:pPr>
        <w:spacing w:after="0"/>
        <w:ind w:left="2246"/>
      </w:pPr>
      <w:r>
        <w:t xml:space="preserve">(7) </w:t>
      </w:r>
      <w:r>
        <w:tab/>
        <w:t>Standing of a party to participate in the proceeding.</w:t>
      </w:r>
    </w:p>
    <w:p w14:paraId="23845DE3" w14:textId="77777777" w:rsidR="00C348B2" w:rsidRPr="008A0BE5" w:rsidRDefault="00C348B2" w:rsidP="00C348B2">
      <w:pPr>
        <w:spacing w:after="0"/>
        <w:ind w:left="2246"/>
      </w:pPr>
    </w:p>
    <w:p w14:paraId="73AF1F00" w14:textId="63678BE7" w:rsidR="004E7886" w:rsidRDefault="00747532" w:rsidP="00C348B2">
      <w:pPr>
        <w:spacing w:after="0"/>
        <w:ind w:firstLine="720"/>
      </w:pPr>
      <w:r>
        <w:t>Preliminary objection practice before the Commission is similar to Pennsylvania civil practice respecting preliminary objections.</w:t>
      </w:r>
      <w:r>
        <w:rPr>
          <w:rStyle w:val="FootnoteReference"/>
        </w:rPr>
        <w:footnoteReference w:id="1"/>
      </w:r>
      <w:r>
        <w:t xml:space="preserve">  In deciding the preliminary objections, the Commission must determine whether, based on well-pleaded factual averments of the petitioners, recovery or relief is possible.</w:t>
      </w:r>
      <w:r>
        <w:rPr>
          <w:rStyle w:val="FootnoteReference"/>
        </w:rPr>
        <w:footnoteReference w:id="2"/>
      </w:r>
      <w:r>
        <w:t xml:space="preserve">  Any doubt must be resolved in favor of the non-moving party by refusing to sustain the preliminary objections.</w:t>
      </w:r>
      <w:r>
        <w:rPr>
          <w:rStyle w:val="FootnoteReference"/>
        </w:rPr>
        <w:footnoteReference w:id="3"/>
      </w:r>
      <w:r>
        <w:t xml:space="preserve">  All of the non-moving party’s averments in the complaint must be viewed as true for purposes of deciding the preliminary </w:t>
      </w:r>
      <w:r>
        <w:lastRenderedPageBreak/>
        <w:t>objections.</w:t>
      </w:r>
      <w:r>
        <w:rPr>
          <w:rStyle w:val="FootnoteReference"/>
        </w:rPr>
        <w:footnoteReference w:id="4"/>
      </w:r>
      <w:r>
        <w:t xml:space="preserve">  Only those facts specifically admitted may be considered against the non-moving party.</w:t>
      </w:r>
      <w:r>
        <w:rPr>
          <w:rStyle w:val="FootnoteReference"/>
        </w:rPr>
        <w:footnoteReference w:id="5"/>
      </w:r>
      <w:r>
        <w:t xml:space="preserve"> A preliminary objection which seeks dismissal of a pleading will only be granted where relief is clearly warranted and free from doubt.</w:t>
      </w:r>
      <w:r>
        <w:rPr>
          <w:rStyle w:val="FootnoteReference"/>
        </w:rPr>
        <w:footnoteReference w:id="6"/>
      </w:r>
    </w:p>
    <w:p w14:paraId="166F024C" w14:textId="77777777" w:rsidR="00C348B2" w:rsidRDefault="00C348B2" w:rsidP="00C348B2">
      <w:pPr>
        <w:spacing w:after="0"/>
        <w:ind w:firstLine="720"/>
      </w:pPr>
    </w:p>
    <w:p w14:paraId="1CEACB29" w14:textId="3BB7EE3C" w:rsidR="004E7886" w:rsidRDefault="004E7886" w:rsidP="00C348B2">
      <w:pPr>
        <w:spacing w:after="0"/>
      </w:pPr>
      <w:r>
        <w:tab/>
      </w:r>
      <w:r>
        <w:tab/>
        <w:t>Duquesne Light argues that the complaint must be dismissed because the Complainant failed to join a necessary party, Duquesne Light’s contractor.  Duquesne Light admits that it hired Casper Colosimo to perform certain duct bank installation work, which the Complainant alleges resulted in damage to his sewer line.  However, according to Duquesne Light, Casper Colosimo agreed to indemnify Duquesne Light for damages, therefore the Complainant’s cause of action is “misplaced.”</w:t>
      </w:r>
    </w:p>
    <w:p w14:paraId="1A3B385C" w14:textId="77777777" w:rsidR="00C348B2" w:rsidRDefault="00C348B2" w:rsidP="00C348B2">
      <w:pPr>
        <w:spacing w:after="0"/>
      </w:pPr>
    </w:p>
    <w:p w14:paraId="0C46D100" w14:textId="6CEDDC9D" w:rsidR="004E7886" w:rsidRDefault="004E7886" w:rsidP="00C348B2">
      <w:pPr>
        <w:spacing w:after="0"/>
      </w:pPr>
      <w:r>
        <w:tab/>
      </w:r>
      <w:r>
        <w:tab/>
        <w:t xml:space="preserve">The Public Utility Code clearly places the responsibility for the provision of reasonable service upon the utility.  The Commission has held that the hiring of contractors is a managerial decision of the utility and will generally not be reviewed by the Commission.  </w:t>
      </w:r>
      <w:r w:rsidR="004D6406">
        <w:t>The</w:t>
      </w:r>
      <w:r>
        <w:t xml:space="preserve"> duty to provide reasonable service cannot be delegated.</w:t>
      </w:r>
      <w:r>
        <w:rPr>
          <w:rStyle w:val="FootnoteReference"/>
        </w:rPr>
        <w:footnoteReference w:id="7"/>
      </w:r>
      <w:r w:rsidR="00163ED7">
        <w:t xml:space="preserve">  Therefore, for the purposes of compliance with the Public Utility Code, the utility is responsible for any violations of the Code, regulations or orders of the Commission caused by contractors and subcontractors.</w:t>
      </w:r>
      <w:r w:rsidR="00163ED7">
        <w:rPr>
          <w:rStyle w:val="FootnoteReference"/>
        </w:rPr>
        <w:footnoteReference w:id="8"/>
      </w:r>
      <w:r w:rsidR="00163ED7">
        <w:t xml:space="preserve">  Duquesne Light cannot avoid this responsibility</w:t>
      </w:r>
      <w:r w:rsidR="000B7594">
        <w:t xml:space="preserve"> for compliance with the Code, Commission regulations and orders,</w:t>
      </w:r>
      <w:r w:rsidR="00163ED7">
        <w:t xml:space="preserve"> with an indemnification clause.</w:t>
      </w:r>
      <w:r w:rsidR="00747532">
        <w:t xml:space="preserve">  Therefore, this preliminary objection will be dismissed.</w:t>
      </w:r>
    </w:p>
    <w:p w14:paraId="7C355FE7" w14:textId="77777777" w:rsidR="00C348B2" w:rsidRDefault="00C348B2" w:rsidP="00C348B2">
      <w:pPr>
        <w:spacing w:after="0"/>
      </w:pPr>
    </w:p>
    <w:p w14:paraId="315143E8" w14:textId="26AD1E46" w:rsidR="00445B36" w:rsidRDefault="00C97A12" w:rsidP="00C348B2">
      <w:pPr>
        <w:spacing w:after="0"/>
      </w:pPr>
      <w:r>
        <w:lastRenderedPageBreak/>
        <w:tab/>
      </w:r>
      <w:r>
        <w:tab/>
        <w:t xml:space="preserve">Duquesne Light next argues that the complaint should be dismissed because the only relief sought is in the form of monetary damages.  </w:t>
      </w:r>
      <w:r w:rsidR="00114CA2">
        <w:t xml:space="preserve">As Duquesne Light correctly observes, the Commission does not have jurisdiction to award monetary damages.  </w:t>
      </w:r>
      <w:r w:rsidR="007241B6">
        <w:t>The</w:t>
      </w:r>
      <w:r w:rsidR="009F7603">
        <w:t xml:space="preserve"> Pennsylvania Supreme Court explained the Commission’s lack of authority to award monetary damages.</w:t>
      </w:r>
      <w:r w:rsidR="007241B6">
        <w:rPr>
          <w:rStyle w:val="FootnoteReference"/>
        </w:rPr>
        <w:footnoteReference w:id="9"/>
      </w:r>
      <w:r w:rsidR="006B6770">
        <w:t xml:space="preserve"> </w:t>
      </w:r>
      <w:r w:rsidR="00EC4016">
        <w:t>Therefore, Duquesne Light’s preliminary objection regarding the Complainant’s request for monetary</w:t>
      </w:r>
      <w:r w:rsidR="00886137">
        <w:t xml:space="preserve"> damages is sustained.  However, it is not appropriate to dismiss the complaint.  </w:t>
      </w:r>
    </w:p>
    <w:p w14:paraId="5A6F38EC" w14:textId="77777777" w:rsidR="00C348B2" w:rsidRDefault="00C348B2" w:rsidP="00C348B2">
      <w:pPr>
        <w:spacing w:after="0"/>
      </w:pPr>
    </w:p>
    <w:p w14:paraId="63A46A8A" w14:textId="0F8621C7" w:rsidR="00445B36" w:rsidRDefault="00445B36" w:rsidP="00445B36">
      <w:r>
        <w:tab/>
      </w:r>
      <w:r>
        <w:tab/>
        <w:t>Section 1501 of the Public Utility Code (Code),</w:t>
      </w:r>
      <w:r>
        <w:rPr>
          <w:rStyle w:val="FootnoteReference"/>
        </w:rPr>
        <w:footnoteReference w:id="10"/>
      </w:r>
      <w:r>
        <w:t xml:space="preserve">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w:t>
      </w:r>
      <w:r w:rsidR="005E14E4">
        <w:t>unsafe,</w:t>
      </w:r>
      <w:r>
        <w:t xml:space="preserve"> or inadequate, the Commission may prescribe, by regulation or order, the reasonable, </w:t>
      </w:r>
      <w:r w:rsidR="005E14E4">
        <w:t>safe,</w:t>
      </w:r>
      <w:r>
        <w:t xml:space="preserve"> and adequate </w:t>
      </w:r>
      <w:r w:rsidR="005E14E4">
        <w:t>service,</w:t>
      </w:r>
      <w:r>
        <w:t xml:space="preserve"> or facilities that a public utility must furnish or employ.</w:t>
      </w:r>
      <w:r w:rsidR="00791D70">
        <w:rPr>
          <w:rStyle w:val="FootnoteReference"/>
        </w:rPr>
        <w:footnoteReference w:id="11"/>
      </w:r>
      <w:r>
        <w:t xml:space="preserve">  Section 102 of the Code, 66 Pa.C.S. § 102, defines “service” as:</w:t>
      </w:r>
    </w:p>
    <w:p w14:paraId="35980B2C" w14:textId="77777777" w:rsidR="00445B36" w:rsidRDefault="00445B36" w:rsidP="00445B36"/>
    <w:p w14:paraId="24F16510" w14:textId="77777777" w:rsidR="00445B36" w:rsidRDefault="00445B36" w:rsidP="00791D70">
      <w:pPr>
        <w:spacing w:after="0" w:line="240" w:lineRule="auto"/>
        <w:ind w:left="1440" w:right="1440"/>
      </w:pPr>
      <w:r>
        <w:t>Used in its broadest and most inclusive sense, includes any and all</w:t>
      </w:r>
    </w:p>
    <w:p w14:paraId="5BBED4A1" w14:textId="77777777" w:rsidR="00445B36" w:rsidRDefault="00445B36" w:rsidP="00791D70">
      <w:pPr>
        <w:spacing w:after="0" w:line="240" w:lineRule="auto"/>
        <w:ind w:left="1440" w:right="1440"/>
      </w:pPr>
      <w:r>
        <w:t xml:space="preserve"> acts done, rendered, or performed, and any and all things furnished or supplied, and any and all facilities used, furnished, or supplied by public utilities . . . .</w:t>
      </w:r>
    </w:p>
    <w:p w14:paraId="42EFF8B5" w14:textId="77777777" w:rsidR="00445B36" w:rsidRDefault="00445B36" w:rsidP="00445B36"/>
    <w:p w14:paraId="29123B07" w14:textId="78579B59" w:rsidR="00445B36" w:rsidRDefault="00445B36" w:rsidP="00C348B2">
      <w:pPr>
        <w:spacing w:after="0"/>
      </w:pPr>
      <w:r>
        <w:t>A utility’s “service” is not merely confined to the distribution of utility service, but also includes “</w:t>
      </w:r>
      <w:proofErr w:type="gramStart"/>
      <w:r>
        <w:t>any and all</w:t>
      </w:r>
      <w:proofErr w:type="gramEnd"/>
      <w:r>
        <w:t xml:space="preserve"> acts” related to that function.</w:t>
      </w:r>
      <w:r w:rsidR="008B3315">
        <w:rPr>
          <w:rStyle w:val="FootnoteReference"/>
        </w:rPr>
        <w:footnoteReference w:id="12"/>
      </w:r>
      <w:r>
        <w:t xml:space="preserve">  </w:t>
      </w:r>
    </w:p>
    <w:p w14:paraId="53EF9B0B" w14:textId="77777777" w:rsidR="00C348B2" w:rsidRDefault="00C348B2" w:rsidP="00C348B2">
      <w:pPr>
        <w:spacing w:after="0"/>
      </w:pPr>
    </w:p>
    <w:p w14:paraId="38F7A49A" w14:textId="679D491D" w:rsidR="00445B36" w:rsidRDefault="00445B36" w:rsidP="00C348B2">
      <w:pPr>
        <w:spacing w:after="0"/>
      </w:pPr>
      <w:r>
        <w:tab/>
      </w:r>
      <w:r>
        <w:tab/>
      </w:r>
      <w:r w:rsidR="00F33214">
        <w:t xml:space="preserve">Further, the Complainant’s request for relief does not mandate dismissal of the complaint: </w:t>
      </w:r>
    </w:p>
    <w:p w14:paraId="3676D2DE" w14:textId="4A9B114E" w:rsidR="00445B36" w:rsidRDefault="008B3315" w:rsidP="00C348B2">
      <w:pPr>
        <w:spacing w:after="0" w:line="240" w:lineRule="auto"/>
        <w:ind w:left="1440" w:right="810"/>
        <w:rPr>
          <w:vertAlign w:val="superscript"/>
        </w:rPr>
      </w:pPr>
      <w:r>
        <w:lastRenderedPageBreak/>
        <w:t>W</w:t>
      </w:r>
      <w:r w:rsidR="00445B36">
        <w:t xml:space="preserve">hen a utility’s failure to maintain reasonable and adequate service is alleged, regardless of the form of the pleading in which the allegations are couched, it is for the PUC initially to determine whether the service provided by the utility has fallen short of the statutory standard required of </w:t>
      </w:r>
      <w:proofErr w:type="gramStart"/>
      <w:r w:rsidR="00445B36">
        <w:t>it</w:t>
      </w:r>
      <w:r>
        <w:t>.</w:t>
      </w:r>
      <w:r w:rsidRPr="008B3315">
        <w:rPr>
          <w:vertAlign w:val="superscript"/>
        </w:rPr>
        <w:t>[</w:t>
      </w:r>
      <w:proofErr w:type="gramEnd"/>
      <w:r w:rsidRPr="008B3315">
        <w:rPr>
          <w:rStyle w:val="FootnoteReference"/>
        </w:rPr>
        <w:footnoteReference w:id="13"/>
      </w:r>
      <w:r w:rsidRPr="008B3315">
        <w:rPr>
          <w:vertAlign w:val="superscript"/>
        </w:rPr>
        <w:t>]</w:t>
      </w:r>
    </w:p>
    <w:p w14:paraId="39F3AFE8" w14:textId="77777777" w:rsidR="00C348B2" w:rsidRDefault="00C348B2" w:rsidP="00C348B2">
      <w:pPr>
        <w:spacing w:after="0" w:line="240" w:lineRule="auto"/>
        <w:ind w:left="1440" w:right="810"/>
      </w:pPr>
    </w:p>
    <w:p w14:paraId="4D372F55" w14:textId="7D583BBD" w:rsidR="0019627D" w:rsidRDefault="0019627D" w:rsidP="00C348B2">
      <w:pPr>
        <w:spacing w:after="0"/>
      </w:pPr>
      <w:r w:rsidRPr="00C3534A">
        <w:t>If</w:t>
      </w:r>
      <w:r>
        <w:t xml:space="preserve"> the</w:t>
      </w:r>
      <w:r w:rsidRPr="00C3534A">
        <w:t xml:space="preserve"> Complainant’s allegations are proven by a preponderance of evidence at a hearing, the allegations may well constitute a violation of the reasonable and adequate service requirements of Section 1501 of the Code.</w:t>
      </w:r>
      <w:r>
        <w:rPr>
          <w:rStyle w:val="FootnoteReference"/>
        </w:rPr>
        <w:footnoteReference w:id="14"/>
      </w:r>
      <w:r w:rsidRPr="00C3534A">
        <w:t xml:space="preserve">  Furthermore, </w:t>
      </w:r>
      <w:r>
        <w:t>Duquesne Light</w:t>
      </w:r>
      <w:r w:rsidRPr="00C3534A">
        <w:t xml:space="preserve"> may ultimately face a civil penalty and/or an order to take remedial action, in the event Complainant prevails in establishing inadequate service on </w:t>
      </w:r>
      <w:r>
        <w:t>Duquesne Light’</w:t>
      </w:r>
      <w:r w:rsidRPr="00C3534A">
        <w:t>s part.</w:t>
      </w:r>
      <w:r>
        <w:rPr>
          <w:rStyle w:val="FootnoteReference"/>
        </w:rPr>
        <w:footnoteReference w:id="15"/>
      </w:r>
    </w:p>
    <w:p w14:paraId="3CF8ACA9" w14:textId="77777777" w:rsidR="00C348B2" w:rsidRDefault="00C348B2" w:rsidP="00C348B2">
      <w:pPr>
        <w:spacing w:after="0"/>
      </w:pPr>
    </w:p>
    <w:p w14:paraId="3F04AFB1" w14:textId="562FC414" w:rsidR="00F55C59" w:rsidRDefault="00FD2662" w:rsidP="00C348B2">
      <w:pPr>
        <w:spacing w:after="0"/>
      </w:pPr>
      <w:r>
        <w:tab/>
      </w:r>
      <w:r>
        <w:tab/>
      </w:r>
      <w:r>
        <w:rPr>
          <w:szCs w:val="24"/>
        </w:rPr>
        <w:t xml:space="preserve">The Complainant is currently self-represented.  </w:t>
      </w:r>
      <w:r>
        <w:t>In</w:t>
      </w:r>
      <w:r w:rsidRPr="00982AC1">
        <w:t xml:space="preserve"> </w:t>
      </w:r>
      <w:r w:rsidRPr="00982AC1">
        <w:rPr>
          <w:i/>
        </w:rPr>
        <w:t>Carlock v. The United Telephone Company of Pennsylvania</w:t>
      </w:r>
      <w:r w:rsidRPr="00982AC1">
        <w:t>, Docket No. F</w:t>
      </w:r>
      <w:r w:rsidRPr="00982AC1">
        <w:noBreakHyphen/>
        <w:t>00163617 (Order entered July 14, 1993), th</w:t>
      </w:r>
      <w:r>
        <w:t>e</w:t>
      </w:r>
      <w:r w:rsidRPr="00982AC1">
        <w:t xml:space="preserve"> Commission held that, in the normal course, </w:t>
      </w:r>
      <w:r>
        <w:t xml:space="preserve">the Commission </w:t>
      </w:r>
      <w:r w:rsidRPr="00982AC1">
        <w:t>would not dismiss a complaint</w:t>
      </w:r>
      <w:r>
        <w:t xml:space="preserve"> of a self-represented person</w:t>
      </w:r>
      <w:r w:rsidRPr="00982AC1">
        <w:t xml:space="preserve"> without first providing a hearing during which </w:t>
      </w:r>
      <w:r w:rsidRPr="00D50FE1">
        <w:t>self-represented</w:t>
      </w:r>
      <w:r w:rsidRPr="00982AC1">
        <w:t xml:space="preserve"> complainants could further explain their position and the factual basis for their complaint.  The concern was expressed that, in general, complainants may find it difficult to navigate through pre-hearing motions and should be given the chance to orally describe their basic issue and supporting facts.</w:t>
      </w:r>
      <w:r>
        <w:rPr>
          <w:rStyle w:val="FootnoteReference"/>
        </w:rPr>
        <w:footnoteReference w:id="16"/>
      </w:r>
      <w:r w:rsidRPr="00982AC1">
        <w:t xml:space="preserve">  </w:t>
      </w:r>
    </w:p>
    <w:p w14:paraId="01821B1F" w14:textId="77777777" w:rsidR="00C348B2" w:rsidRDefault="00C348B2" w:rsidP="00C348B2">
      <w:pPr>
        <w:spacing w:after="0"/>
        <w:rPr>
          <w:szCs w:val="24"/>
        </w:rPr>
      </w:pPr>
    </w:p>
    <w:p w14:paraId="2D622E31" w14:textId="41214643" w:rsidR="00FD2662" w:rsidRDefault="00FD2662" w:rsidP="00C348B2">
      <w:pPr>
        <w:spacing w:after="0"/>
        <w:rPr>
          <w:spacing w:val="-3"/>
          <w:szCs w:val="24"/>
        </w:rPr>
      </w:pPr>
      <w:r>
        <w:rPr>
          <w:szCs w:val="24"/>
        </w:rPr>
        <w:tab/>
      </w:r>
      <w:r>
        <w:rPr>
          <w:szCs w:val="24"/>
        </w:rPr>
        <w:tab/>
      </w:r>
      <w:r w:rsidRPr="007E6AB2">
        <w:rPr>
          <w:spacing w:val="-3"/>
          <w:szCs w:val="24"/>
        </w:rPr>
        <w:t>It is the policy of the Commission to encourage settlements.</w:t>
      </w:r>
      <w:r w:rsidR="007B5196">
        <w:rPr>
          <w:rStyle w:val="FootnoteReference"/>
          <w:spacing w:val="-3"/>
          <w:szCs w:val="24"/>
        </w:rPr>
        <w:footnoteReference w:id="17"/>
      </w:r>
      <w:r w:rsidRPr="007E6AB2">
        <w:rPr>
          <w:spacing w:val="-3"/>
          <w:szCs w:val="24"/>
        </w:rPr>
        <w:t xml:space="preserve">  </w:t>
      </w:r>
      <w:r w:rsidR="00CE351C">
        <w:rPr>
          <w:spacing w:val="-3"/>
          <w:szCs w:val="24"/>
        </w:rPr>
        <w:t xml:space="preserve">It may be in the best interests of both the Complainant and Duquesne Light to attempt to resolve their dispute without resorting to a </w:t>
      </w:r>
      <w:r w:rsidR="007D3AF9">
        <w:rPr>
          <w:spacing w:val="-3"/>
          <w:szCs w:val="24"/>
        </w:rPr>
        <w:t xml:space="preserve">trial-like </w:t>
      </w:r>
      <w:r w:rsidR="00CE351C">
        <w:rPr>
          <w:spacing w:val="-3"/>
          <w:szCs w:val="24"/>
        </w:rPr>
        <w:t>hearing</w:t>
      </w:r>
      <w:r w:rsidR="007D3AF9">
        <w:rPr>
          <w:spacing w:val="-3"/>
          <w:szCs w:val="24"/>
        </w:rPr>
        <w:t xml:space="preserve"> before an administrative law judge.</w:t>
      </w:r>
      <w:r w:rsidRPr="007E6AB2">
        <w:rPr>
          <w:spacing w:val="-3"/>
          <w:szCs w:val="24"/>
        </w:rPr>
        <w:t xml:space="preserve"> </w:t>
      </w:r>
      <w:r w:rsidR="007D3AF9">
        <w:rPr>
          <w:spacing w:val="-3"/>
          <w:szCs w:val="24"/>
        </w:rPr>
        <w:t xml:space="preserve">  These discussions may benefit from the facilitation of a mediator.</w:t>
      </w:r>
      <w:r w:rsidRPr="007E6AB2">
        <w:rPr>
          <w:spacing w:val="-3"/>
          <w:szCs w:val="24"/>
        </w:rPr>
        <w:t xml:space="preserve">  The mediator, a neutral staff member within the Mediation Unit of the Commission’s Office of Administrative Law Judge, does not give advice, represent any party, </w:t>
      </w:r>
      <w:r w:rsidR="005E14E4" w:rsidRPr="007E6AB2">
        <w:rPr>
          <w:spacing w:val="-3"/>
          <w:szCs w:val="24"/>
        </w:rPr>
        <w:lastRenderedPageBreak/>
        <w:t>evaluate,</w:t>
      </w:r>
      <w:r w:rsidRPr="007E6AB2">
        <w:rPr>
          <w:spacing w:val="-3"/>
          <w:szCs w:val="24"/>
        </w:rPr>
        <w:t xml:space="preserve"> or make a decision.  Instead, the mediator assists the parties in their efforts to come to an agreement thereby avoiding the time, </w:t>
      </w:r>
      <w:r w:rsidR="005E14E4" w:rsidRPr="007E6AB2">
        <w:rPr>
          <w:spacing w:val="-3"/>
          <w:szCs w:val="24"/>
        </w:rPr>
        <w:t>expense,</w:t>
      </w:r>
      <w:r w:rsidRPr="007E6AB2">
        <w:rPr>
          <w:spacing w:val="-3"/>
          <w:szCs w:val="24"/>
        </w:rPr>
        <w:t xml:space="preserve"> and uncertainty of litigation.</w:t>
      </w:r>
      <w:r>
        <w:rPr>
          <w:spacing w:val="-3"/>
          <w:szCs w:val="24"/>
        </w:rPr>
        <w:t xml:space="preserve">  Mediation is an informal process where the parties can discuss a full range of settlement options beyond those which can be ordered by the Commission in the formal adjudication process.</w:t>
      </w:r>
      <w:r w:rsidR="00E92FCF">
        <w:rPr>
          <w:rStyle w:val="FootnoteReference"/>
          <w:spacing w:val="-3"/>
          <w:szCs w:val="24"/>
        </w:rPr>
        <w:footnoteReference w:id="18"/>
      </w:r>
      <w:r w:rsidR="00275004">
        <w:rPr>
          <w:spacing w:val="-3"/>
          <w:szCs w:val="24"/>
        </w:rPr>
        <w:t xml:space="preserve">  This case appears to be appropriate for mediation.</w:t>
      </w:r>
    </w:p>
    <w:p w14:paraId="2A92E398" w14:textId="77777777" w:rsidR="00FD2662" w:rsidRDefault="00FD2662" w:rsidP="00C348B2">
      <w:pPr>
        <w:spacing w:after="0"/>
      </w:pPr>
    </w:p>
    <w:p w14:paraId="6032173B" w14:textId="77777777" w:rsidR="00FD2662" w:rsidRDefault="00FD2662" w:rsidP="00C348B2">
      <w:pPr>
        <w:spacing w:after="0"/>
        <w:ind w:left="720" w:firstLine="720"/>
      </w:pPr>
      <w:r>
        <w:t>THEREFORE,</w:t>
      </w:r>
    </w:p>
    <w:p w14:paraId="7CB22A8A" w14:textId="77777777" w:rsidR="00FD2662" w:rsidRDefault="00FD2662" w:rsidP="00C348B2">
      <w:pPr>
        <w:spacing w:after="0"/>
      </w:pPr>
    </w:p>
    <w:p w14:paraId="5A16F6DA" w14:textId="77777777" w:rsidR="00FD2662" w:rsidRDefault="00FD2662" w:rsidP="00C348B2">
      <w:pPr>
        <w:spacing w:after="0"/>
      </w:pPr>
      <w:r>
        <w:tab/>
      </w:r>
      <w:r>
        <w:tab/>
        <w:t>IT IS ORDERED:</w:t>
      </w:r>
    </w:p>
    <w:p w14:paraId="3E08F9D0" w14:textId="77777777" w:rsidR="00FD2662" w:rsidRDefault="00FD2662" w:rsidP="00C348B2">
      <w:pPr>
        <w:spacing w:after="0"/>
      </w:pPr>
    </w:p>
    <w:p w14:paraId="79647AA0" w14:textId="40CA7DAB" w:rsidR="00FD2662" w:rsidRDefault="00FD2662" w:rsidP="00C348B2">
      <w:pPr>
        <w:spacing w:after="0"/>
      </w:pPr>
      <w:r>
        <w:tab/>
      </w:r>
      <w:r>
        <w:tab/>
        <w:t>1.</w:t>
      </w:r>
      <w:r>
        <w:tab/>
        <w:t xml:space="preserve">That the preliminary objection of </w:t>
      </w:r>
      <w:r w:rsidR="00275004">
        <w:t>Duquesne Light Company</w:t>
      </w:r>
      <w:r w:rsidR="001F7749">
        <w:t xml:space="preserve"> </w:t>
      </w:r>
      <w:r w:rsidR="00CE1802">
        <w:t>is</w:t>
      </w:r>
      <w:r w:rsidR="001F7749">
        <w:t xml:space="preserve"> dismissed </w:t>
      </w:r>
      <w:r w:rsidR="0078328F">
        <w:t>as to the failure to join an indispensable party and granted</w:t>
      </w:r>
      <w:r w:rsidR="001234D9">
        <w:t xml:space="preserve"> as to the Complainant’s request for an award of monetary damages</w:t>
      </w:r>
      <w:r w:rsidR="001F7749">
        <w:t>.</w:t>
      </w:r>
    </w:p>
    <w:p w14:paraId="3343DBFE" w14:textId="77777777" w:rsidR="00C348B2" w:rsidRDefault="00C348B2" w:rsidP="00C348B2">
      <w:pPr>
        <w:spacing w:after="0"/>
      </w:pPr>
    </w:p>
    <w:p w14:paraId="74C2F07D" w14:textId="645A261C" w:rsidR="00FD2662" w:rsidRDefault="00FD2662" w:rsidP="00C348B2">
      <w:pPr>
        <w:spacing w:after="0"/>
        <w:rPr>
          <w:spacing w:val="-3"/>
          <w:szCs w:val="24"/>
        </w:rPr>
      </w:pPr>
      <w:r>
        <w:tab/>
      </w:r>
      <w:r>
        <w:tab/>
        <w:t>2.</w:t>
      </w:r>
      <w:r>
        <w:tab/>
      </w:r>
      <w:r w:rsidRPr="00D921AE">
        <w:rPr>
          <w:spacing w:val="-3"/>
          <w:szCs w:val="24"/>
        </w:rPr>
        <w:t xml:space="preserve">That the </w:t>
      </w:r>
      <w:r>
        <w:rPr>
          <w:spacing w:val="-3"/>
          <w:szCs w:val="24"/>
        </w:rPr>
        <w:t xml:space="preserve">case </w:t>
      </w:r>
      <w:r w:rsidRPr="00D921AE">
        <w:rPr>
          <w:spacing w:val="-3"/>
          <w:szCs w:val="24"/>
        </w:rPr>
        <w:t>be and is hereby referred to the Commission’s Mediation Unit for the Commission’s mediation review process.</w:t>
      </w:r>
    </w:p>
    <w:p w14:paraId="7174FEB9" w14:textId="77777777" w:rsidR="00C348B2" w:rsidRDefault="00C348B2" w:rsidP="00C348B2">
      <w:pPr>
        <w:spacing w:after="0"/>
        <w:rPr>
          <w:spacing w:val="-3"/>
          <w:szCs w:val="24"/>
        </w:rPr>
      </w:pPr>
    </w:p>
    <w:p w14:paraId="65793B1F" w14:textId="1FBB755D" w:rsidR="001234D9" w:rsidRPr="00D921AE" w:rsidRDefault="001234D9" w:rsidP="00C348B2">
      <w:pPr>
        <w:spacing w:after="0"/>
        <w:rPr>
          <w:spacing w:val="-3"/>
          <w:szCs w:val="24"/>
        </w:rPr>
      </w:pPr>
      <w:r>
        <w:rPr>
          <w:spacing w:val="-3"/>
          <w:szCs w:val="24"/>
        </w:rPr>
        <w:tab/>
      </w:r>
      <w:r>
        <w:rPr>
          <w:spacing w:val="-3"/>
          <w:szCs w:val="24"/>
        </w:rPr>
        <w:tab/>
        <w:t>3.</w:t>
      </w:r>
      <w:r>
        <w:rPr>
          <w:spacing w:val="-3"/>
          <w:szCs w:val="24"/>
        </w:rPr>
        <w:tab/>
        <w:t>That in the event the parties are unable to resolve this matter with the assistance of a mediator</w:t>
      </w:r>
      <w:r w:rsidR="00783772">
        <w:rPr>
          <w:spacing w:val="-3"/>
          <w:szCs w:val="24"/>
        </w:rPr>
        <w:t>, the complaint shall be scheduled for a formal hearing.</w:t>
      </w:r>
    </w:p>
    <w:p w14:paraId="154A5A19" w14:textId="305CF765" w:rsidR="0019627D" w:rsidRDefault="001F7749" w:rsidP="00C348B2">
      <w:pPr>
        <w:spacing w:after="0"/>
      </w:pPr>
      <w:r>
        <w:tab/>
      </w:r>
      <w:r>
        <w:tab/>
      </w:r>
    </w:p>
    <w:p w14:paraId="798B9EA7" w14:textId="7C525903" w:rsidR="00C348B2" w:rsidRDefault="00C348B2" w:rsidP="00C348B2">
      <w:pPr>
        <w:spacing w:after="0"/>
      </w:pPr>
    </w:p>
    <w:p w14:paraId="7E2DBB1A" w14:textId="3F67D988" w:rsidR="00C348B2" w:rsidRDefault="00C348B2" w:rsidP="00ED327E">
      <w:pPr>
        <w:spacing w:after="0" w:line="240" w:lineRule="auto"/>
        <w:rPr>
          <w:u w:val="single"/>
        </w:rPr>
      </w:pPr>
      <w:r>
        <w:t xml:space="preserve">Date: </w:t>
      </w:r>
      <w:r>
        <w:rPr>
          <w:u w:val="single"/>
        </w:rPr>
        <w:t>06/02/2021</w:t>
      </w:r>
      <w:r w:rsidR="00ED327E">
        <w:tab/>
      </w:r>
      <w:r w:rsidR="00ED327E">
        <w:tab/>
      </w:r>
      <w:r w:rsidR="00ED327E">
        <w:tab/>
      </w:r>
      <w:r w:rsidR="00ED327E">
        <w:tab/>
      </w:r>
      <w:r w:rsidR="00ED327E">
        <w:tab/>
      </w:r>
      <w:r w:rsidR="00ED327E">
        <w:tab/>
      </w:r>
      <w:r w:rsidR="00ED327E">
        <w:rPr>
          <w:u w:val="single"/>
        </w:rPr>
        <w:tab/>
      </w:r>
      <w:r w:rsidR="00ED327E">
        <w:rPr>
          <w:u w:val="single"/>
        </w:rPr>
        <w:tab/>
        <w:t>/s/</w:t>
      </w:r>
      <w:r w:rsidR="00ED327E">
        <w:rPr>
          <w:u w:val="single"/>
        </w:rPr>
        <w:tab/>
      </w:r>
      <w:r w:rsidR="00ED327E">
        <w:rPr>
          <w:u w:val="single"/>
        </w:rPr>
        <w:tab/>
      </w:r>
    </w:p>
    <w:p w14:paraId="17AFFB81" w14:textId="3DDDFA82" w:rsidR="00ED327E" w:rsidRDefault="00ED327E" w:rsidP="00ED327E">
      <w:pPr>
        <w:spacing w:after="0" w:line="240" w:lineRule="auto"/>
      </w:pPr>
      <w:r>
        <w:tab/>
      </w:r>
      <w:r>
        <w:tab/>
      </w:r>
      <w:r>
        <w:tab/>
      </w:r>
      <w:r>
        <w:tab/>
      </w:r>
      <w:r>
        <w:tab/>
      </w:r>
      <w:r>
        <w:tab/>
      </w:r>
      <w:r>
        <w:tab/>
      </w:r>
      <w:r>
        <w:tab/>
        <w:t>Mary Long</w:t>
      </w:r>
    </w:p>
    <w:p w14:paraId="07E0232C" w14:textId="59C960AF" w:rsidR="00ED327E" w:rsidRDefault="00ED327E" w:rsidP="00ED327E">
      <w:pPr>
        <w:spacing w:after="0" w:line="240" w:lineRule="auto"/>
      </w:pPr>
      <w:r>
        <w:tab/>
      </w:r>
      <w:r>
        <w:tab/>
      </w:r>
      <w:r>
        <w:tab/>
      </w:r>
      <w:r>
        <w:tab/>
      </w:r>
      <w:r>
        <w:tab/>
      </w:r>
      <w:r>
        <w:tab/>
      </w:r>
      <w:r>
        <w:tab/>
      </w:r>
      <w:r>
        <w:tab/>
        <w:t>Administrative Law Judge</w:t>
      </w:r>
    </w:p>
    <w:p w14:paraId="31C6043B" w14:textId="77777777" w:rsidR="00ED327E" w:rsidRDefault="00ED327E" w:rsidP="00ED327E">
      <w:pPr>
        <w:spacing w:after="0" w:line="240" w:lineRule="auto"/>
        <w:sectPr w:rsidR="00ED327E" w:rsidSect="00783772">
          <w:footerReference w:type="default" r:id="rId7"/>
          <w:pgSz w:w="12240" w:h="15840"/>
          <w:pgMar w:top="1440" w:right="1440" w:bottom="1440" w:left="1440" w:header="720" w:footer="720" w:gutter="0"/>
          <w:cols w:space="720"/>
          <w:titlePg/>
          <w:docGrid w:linePitch="360"/>
        </w:sectPr>
      </w:pPr>
    </w:p>
    <w:p w14:paraId="33790C52" w14:textId="2DDF1AAF" w:rsidR="00ED327E" w:rsidRDefault="00ED327E" w:rsidP="00ED327E">
      <w:pPr>
        <w:spacing w:after="0" w:line="240" w:lineRule="auto"/>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C-2021-3024389 - JOEL WILKES v. DUQUESNE LIGHT COMPANY</w:t>
      </w:r>
      <w:r>
        <w:rPr>
          <w:rFonts w:ascii="Microsoft Sans Serif" w:eastAsia="Microsoft Sans Serif" w:hAnsi="Microsoft Sans Serif" w:cs="Microsoft Sans Serif"/>
          <w:b/>
          <w:u w:val="single"/>
        </w:rPr>
        <w:cr/>
      </w:r>
    </w:p>
    <w:p w14:paraId="67F7F0D5" w14:textId="77777777" w:rsidR="00ED327E" w:rsidRDefault="00ED327E" w:rsidP="00ED327E">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JOEL WILKES </w:t>
      </w:r>
      <w:r>
        <w:rPr>
          <w:rFonts w:ascii="Microsoft Sans Serif" w:eastAsia="Microsoft Sans Serif" w:hAnsi="Microsoft Sans Serif" w:cs="Microsoft Sans Serif"/>
        </w:rPr>
        <w:cr/>
        <w:t>1204 SHEFFIELD STREET</w:t>
      </w:r>
      <w:r>
        <w:rPr>
          <w:rFonts w:ascii="Microsoft Sans Serif" w:eastAsia="Microsoft Sans Serif" w:hAnsi="Microsoft Sans Serif" w:cs="Microsoft Sans Serif"/>
        </w:rPr>
        <w:cr/>
        <w:t>PITTSBURGH PA  15233</w:t>
      </w:r>
      <w:r>
        <w:rPr>
          <w:rFonts w:ascii="Microsoft Sans Serif" w:eastAsia="Microsoft Sans Serif" w:hAnsi="Microsoft Sans Serif" w:cs="Microsoft Sans Serif"/>
        </w:rPr>
        <w:cr/>
      </w:r>
      <w:r w:rsidRPr="009863A3">
        <w:rPr>
          <w:rFonts w:ascii="Microsoft Sans Serif" w:eastAsia="Microsoft Sans Serif" w:hAnsi="Microsoft Sans Serif" w:cs="Microsoft Sans Serif"/>
          <w:b/>
          <w:bCs/>
        </w:rPr>
        <w:t>412.996.059</w:t>
      </w:r>
      <w:r>
        <w:rPr>
          <w:rFonts w:ascii="Microsoft Sans Serif" w:eastAsia="Microsoft Sans Serif" w:hAnsi="Microsoft Sans Serif" w:cs="Microsoft Sans Serif"/>
          <w:b/>
          <w:bCs/>
        </w:rPr>
        <w:t>1</w:t>
      </w:r>
      <w:r w:rsidRPr="009863A3">
        <w:rPr>
          <w:rFonts w:ascii="Microsoft Sans Serif" w:eastAsia="Microsoft Sans Serif" w:hAnsi="Microsoft Sans Serif" w:cs="Microsoft Sans Serif"/>
          <w:b/>
          <w:bCs/>
        </w:rPr>
        <w:cr/>
      </w:r>
      <w:r>
        <w:rPr>
          <w:rFonts w:ascii="Microsoft Sans Serif" w:eastAsia="Microsoft Sans Serif" w:hAnsi="Microsoft Sans Serif" w:cs="Microsoft Sans Serif"/>
        </w:rPr>
        <w:t>Joelwilkes_2@yahoo.com</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24BE4F4E" w14:textId="45DA6F98" w:rsidR="00ED327E" w:rsidRDefault="00ED327E" w:rsidP="00ED327E">
      <w:pPr>
        <w:spacing w:after="0" w:line="240" w:lineRule="auto"/>
      </w:pPr>
      <w:r>
        <w:rPr>
          <w:rFonts w:ascii="Microsoft Sans Serif" w:eastAsia="Microsoft Sans Serif" w:hAnsi="Microsoft Sans Serif" w:cs="Microsoft Sans Serif"/>
        </w:rP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9863A3">
        <w:rPr>
          <w:rFonts w:ascii="Microsoft Sans Serif" w:eastAsia="Microsoft Sans Serif" w:hAnsi="Microsoft Sans Serif" w:cs="Microsoft Sans Serif"/>
          <w:b/>
          <w:bCs/>
        </w:rPr>
        <w:t>412.393.6431</w:t>
      </w:r>
      <w:r>
        <w:rPr>
          <w:rFonts w:ascii="Microsoft Sans Serif" w:eastAsia="Microsoft Sans Serif" w:hAnsi="Microsoft Sans Serif" w:cs="Microsoft Sans Serif"/>
        </w:rPr>
        <w:cr/>
        <w:t>efarah@duqlight.com</w:t>
      </w:r>
      <w:r>
        <w:rPr>
          <w:rFonts w:ascii="Microsoft Sans Serif" w:eastAsia="Microsoft Sans Serif" w:hAnsi="Microsoft Sans Serif" w:cs="Microsoft Sans Serif"/>
        </w:rPr>
        <w:cr/>
        <w:t>Accepts eService</w:t>
      </w:r>
    </w:p>
    <w:p w14:paraId="33F52859" w14:textId="77777777" w:rsidR="00ED327E" w:rsidRDefault="00ED327E" w:rsidP="00ED327E"/>
    <w:p w14:paraId="1D8F0001" w14:textId="5A956EBC" w:rsidR="00ED327E" w:rsidRPr="00ED327E" w:rsidRDefault="00ED327E" w:rsidP="00ED327E">
      <w:pPr>
        <w:spacing w:after="0" w:line="240" w:lineRule="auto"/>
      </w:pPr>
    </w:p>
    <w:sectPr w:rsidR="00ED327E" w:rsidRPr="00ED32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8981" w14:textId="77777777" w:rsidR="00C05C4A" w:rsidRDefault="00C05C4A" w:rsidP="004E7886">
      <w:pPr>
        <w:spacing w:after="0" w:line="240" w:lineRule="auto"/>
      </w:pPr>
      <w:r>
        <w:separator/>
      </w:r>
    </w:p>
  </w:endnote>
  <w:endnote w:type="continuationSeparator" w:id="0">
    <w:p w14:paraId="6B5BAC9D" w14:textId="77777777" w:rsidR="00C05C4A" w:rsidRDefault="00C05C4A" w:rsidP="004E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58790"/>
      <w:docPartObj>
        <w:docPartGallery w:val="Page Numbers (Bottom of Page)"/>
        <w:docPartUnique/>
      </w:docPartObj>
    </w:sdtPr>
    <w:sdtEndPr>
      <w:rPr>
        <w:noProof/>
        <w:sz w:val="20"/>
        <w:szCs w:val="20"/>
      </w:rPr>
    </w:sdtEndPr>
    <w:sdtContent>
      <w:p w14:paraId="64C57E46" w14:textId="5D0C9E23" w:rsidR="00783772" w:rsidRPr="00C348B2" w:rsidRDefault="00783772">
        <w:pPr>
          <w:pStyle w:val="Footer"/>
          <w:jc w:val="center"/>
          <w:rPr>
            <w:sz w:val="20"/>
            <w:szCs w:val="20"/>
          </w:rPr>
        </w:pPr>
        <w:r w:rsidRPr="00C348B2">
          <w:rPr>
            <w:sz w:val="20"/>
            <w:szCs w:val="20"/>
          </w:rPr>
          <w:fldChar w:fldCharType="begin"/>
        </w:r>
        <w:r w:rsidRPr="00C348B2">
          <w:rPr>
            <w:sz w:val="20"/>
            <w:szCs w:val="20"/>
          </w:rPr>
          <w:instrText xml:space="preserve"> PAGE   \* MERGEFORMAT </w:instrText>
        </w:r>
        <w:r w:rsidRPr="00C348B2">
          <w:rPr>
            <w:sz w:val="20"/>
            <w:szCs w:val="20"/>
          </w:rPr>
          <w:fldChar w:fldCharType="separate"/>
        </w:r>
        <w:r w:rsidRPr="00C348B2">
          <w:rPr>
            <w:noProof/>
            <w:sz w:val="20"/>
            <w:szCs w:val="20"/>
          </w:rPr>
          <w:t>2</w:t>
        </w:r>
        <w:r w:rsidRPr="00C348B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8E35" w14:textId="1DC77F8D" w:rsidR="00ED327E" w:rsidRPr="00C348B2" w:rsidRDefault="00ED327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1CEC" w14:textId="77777777" w:rsidR="00C05C4A" w:rsidRDefault="00C05C4A" w:rsidP="004E7886">
      <w:pPr>
        <w:spacing w:after="0" w:line="240" w:lineRule="auto"/>
      </w:pPr>
      <w:r>
        <w:separator/>
      </w:r>
    </w:p>
  </w:footnote>
  <w:footnote w:type="continuationSeparator" w:id="0">
    <w:p w14:paraId="4F8A37B4" w14:textId="77777777" w:rsidR="00C05C4A" w:rsidRDefault="00C05C4A" w:rsidP="004E7886">
      <w:pPr>
        <w:spacing w:after="0" w:line="240" w:lineRule="auto"/>
      </w:pPr>
      <w:r>
        <w:continuationSeparator/>
      </w:r>
    </w:p>
  </w:footnote>
  <w:footnote w:id="1">
    <w:p w14:paraId="723A4FDC" w14:textId="77777777" w:rsidR="00747532" w:rsidRDefault="00747532" w:rsidP="00741B79">
      <w:pPr>
        <w:pStyle w:val="FootnoteText"/>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footnote>
  <w:footnote w:id="2">
    <w:p w14:paraId="421697DE" w14:textId="77777777" w:rsidR="00747532" w:rsidRDefault="00747532" w:rsidP="00741B79">
      <w:pPr>
        <w:pStyle w:val="FootnoteText"/>
      </w:pPr>
      <w:r>
        <w:rPr>
          <w:rStyle w:val="FootnoteReference"/>
        </w:rPr>
        <w:footnoteRef/>
      </w:r>
      <w:r>
        <w:t xml:space="preserve"> </w:t>
      </w:r>
      <w:r>
        <w:tab/>
      </w:r>
      <w:r>
        <w:rPr>
          <w:i/>
        </w:rPr>
        <w:t>Dept. of Auditor General v. SERS</w:t>
      </w:r>
      <w:r w:rsidRPr="00AB2BD8">
        <w:t>,</w:t>
      </w:r>
      <w:r>
        <w:t xml:space="preserve"> 836 A.2d 1053, 1064 (Pa. Cmwlth. 2003); </w:t>
      </w:r>
      <w:r w:rsidRPr="00B908F9">
        <w:rPr>
          <w:i/>
        </w:rPr>
        <w:t>P.J.S. v. Pa. State Ethics Comm’n</w:t>
      </w:r>
      <w:r>
        <w:t>, 669 A.2d 1105 (Pa. Cmwlth. 1996).</w:t>
      </w:r>
    </w:p>
  </w:footnote>
  <w:footnote w:id="3">
    <w:p w14:paraId="77CCFDAE" w14:textId="77777777" w:rsidR="00747532" w:rsidRDefault="00747532" w:rsidP="00741B79">
      <w:pPr>
        <w:pStyle w:val="FootnoteText"/>
      </w:pPr>
      <w:r>
        <w:rPr>
          <w:rStyle w:val="FootnoteReference"/>
        </w:rPr>
        <w:footnoteRef/>
      </w:r>
      <w:r>
        <w:t xml:space="preserve"> </w:t>
      </w:r>
      <w:r>
        <w:tab/>
      </w:r>
      <w:r w:rsidRPr="00B908F9">
        <w:rPr>
          <w:i/>
        </w:rPr>
        <w:t>Boyd v. Ward</w:t>
      </w:r>
      <w:r>
        <w:t xml:space="preserve">, 802 A.2d 705 (Pa. Cmwlth. 2002).  </w:t>
      </w:r>
    </w:p>
  </w:footnote>
  <w:footnote w:id="4">
    <w:p w14:paraId="0E2CFAD8" w14:textId="471F3B42" w:rsidR="00747532" w:rsidRPr="00B62C0F" w:rsidRDefault="00747532" w:rsidP="00741B79">
      <w:pPr>
        <w:pStyle w:val="FootnoteText"/>
      </w:pPr>
      <w:r>
        <w:rPr>
          <w:rStyle w:val="FootnoteReference"/>
        </w:rPr>
        <w:footnoteRef/>
      </w:r>
      <w:r>
        <w:t xml:space="preserve">  </w:t>
      </w:r>
      <w:r>
        <w:tab/>
      </w:r>
      <w:r w:rsidR="00F41FD4" w:rsidRPr="00741B79">
        <w:rPr>
          <w:i/>
          <w:iCs/>
        </w:rPr>
        <w:t>Pennsylvania</w:t>
      </w:r>
      <w:r w:rsidRPr="00741B79">
        <w:rPr>
          <w:i/>
          <w:iCs/>
        </w:rPr>
        <w:t xml:space="preserve"> State Lodge, Fraternal Order of Police v. Dept. of Conservation and Natural Resources</w:t>
      </w:r>
      <w:r>
        <w:t xml:space="preserve">,  909 A.2d 413 (Pa.Cmwlth. 2006), </w:t>
      </w:r>
      <w:r w:rsidRPr="00741B79">
        <w:rPr>
          <w:i/>
          <w:iCs/>
        </w:rPr>
        <w:t>aff’d per curium</w:t>
      </w:r>
      <w:r>
        <w:t xml:space="preserve">,  924 A.2d 1203 (Pa. 2007); </w:t>
      </w:r>
      <w:r w:rsidRPr="00741B79">
        <w:rPr>
          <w:i/>
          <w:iCs/>
        </w:rPr>
        <w:t>see also Glod v. PECO Energy Company</w:t>
      </w:r>
      <w:r>
        <w:t>,  Docket No. C-2012-2305158 (Interim Order dated July 2, 2012).</w:t>
      </w:r>
    </w:p>
  </w:footnote>
  <w:footnote w:id="5">
    <w:p w14:paraId="6E9FE30B" w14:textId="77777777" w:rsidR="00747532" w:rsidRDefault="00747532" w:rsidP="00741B79">
      <w:pPr>
        <w:pStyle w:val="FootnoteText"/>
      </w:pPr>
      <w:r>
        <w:rPr>
          <w:rStyle w:val="FootnoteReference"/>
        </w:rPr>
        <w:footnoteRef/>
      </w:r>
      <w:r>
        <w:t xml:space="preserve"> </w:t>
      </w:r>
      <w:r>
        <w:tab/>
      </w:r>
      <w:r w:rsidRPr="006B6770">
        <w:rPr>
          <w:i/>
          <w:iCs/>
        </w:rPr>
        <w:t>Ridge v. State Employees’ Retirement Board</w:t>
      </w:r>
      <w:r>
        <w:t xml:space="preserve">, 690 A.2d 1312 (Pa. Cmwlth. 1997). </w:t>
      </w:r>
    </w:p>
  </w:footnote>
  <w:footnote w:id="6">
    <w:p w14:paraId="06D60E24" w14:textId="79790521" w:rsidR="00747532" w:rsidRPr="00297F80" w:rsidRDefault="00747532" w:rsidP="00741B79">
      <w:pPr>
        <w:pStyle w:val="FootnoteText"/>
      </w:pPr>
      <w:r>
        <w:rPr>
          <w:rStyle w:val="FootnoteReference"/>
        </w:rPr>
        <w:footnoteRef/>
      </w:r>
      <w:r>
        <w:t xml:space="preserve">  </w:t>
      </w:r>
      <w:r>
        <w:tab/>
      </w:r>
      <w:r w:rsidRPr="006B6770">
        <w:rPr>
          <w:i/>
          <w:iCs/>
        </w:rPr>
        <w:t>Interstate Traveller Services, Inc. v. Pa. Department of Environmental Resources</w:t>
      </w:r>
      <w:r>
        <w:t xml:space="preserve">, 406 A.2d 1020 (Pa. 1979); </w:t>
      </w:r>
      <w:r w:rsidRPr="006B6770">
        <w:rPr>
          <w:i/>
          <w:iCs/>
        </w:rPr>
        <w:t>Application of K&amp;F Medical Transport, LLC</w:t>
      </w:r>
      <w:r>
        <w:t>,</w:t>
      </w:r>
      <w:r w:rsidR="006B6770">
        <w:t xml:space="preserve"> </w:t>
      </w:r>
      <w:r>
        <w:t>Docket No. A-2008-2020353 (Initial Decision dated April 25, 2008).</w:t>
      </w:r>
    </w:p>
  </w:footnote>
  <w:footnote w:id="7">
    <w:p w14:paraId="6397C6A4" w14:textId="66D5E1DA" w:rsidR="004E7886" w:rsidRPr="00163ED7" w:rsidRDefault="004E7886" w:rsidP="00741B79">
      <w:pPr>
        <w:pStyle w:val="FootnoteText"/>
      </w:pPr>
      <w:r>
        <w:rPr>
          <w:rStyle w:val="FootnoteReference"/>
        </w:rPr>
        <w:footnoteRef/>
      </w:r>
      <w:r>
        <w:t xml:space="preserve"> </w:t>
      </w:r>
      <w:r>
        <w:tab/>
      </w:r>
      <w:r w:rsidRPr="006B6770">
        <w:rPr>
          <w:i/>
          <w:iCs/>
        </w:rPr>
        <w:t>Petition of Bermex Inc. to Amend Prior Order Regarding Contracting  for Service with Bermex, Inc.</w:t>
      </w:r>
      <w:r w:rsidR="00163ED7">
        <w:t xml:space="preserve"> Docket M-0960801, Docket P-2018-3006100 (Order entered August 8, 2019).</w:t>
      </w:r>
    </w:p>
  </w:footnote>
  <w:footnote w:id="8">
    <w:p w14:paraId="754C8187" w14:textId="5A9D08FE" w:rsidR="00163ED7" w:rsidRPr="00163ED7" w:rsidRDefault="00163ED7" w:rsidP="00741B79">
      <w:pPr>
        <w:pStyle w:val="FootnoteText"/>
      </w:pPr>
      <w:r>
        <w:rPr>
          <w:rStyle w:val="FootnoteReference"/>
        </w:rPr>
        <w:footnoteRef/>
      </w:r>
      <w:r>
        <w:t xml:space="preserve">  </w:t>
      </w:r>
      <w:r>
        <w:tab/>
      </w:r>
      <w:r w:rsidRPr="006B6770">
        <w:rPr>
          <w:i/>
          <w:iCs/>
        </w:rPr>
        <w:t>Public Utility Commission v. The Peoples Natural Gas Company d/b/a, Dominion Peoples</w:t>
      </w:r>
      <w:r>
        <w:t>, Docket M-2009-2086651 (Opinion and Order entered May 6, 2010).</w:t>
      </w:r>
    </w:p>
  </w:footnote>
  <w:footnote w:id="9">
    <w:p w14:paraId="08B5170A" w14:textId="77777777" w:rsidR="007241B6" w:rsidRDefault="007241B6" w:rsidP="007241B6">
      <w:pPr>
        <w:pStyle w:val="FootnoteText"/>
      </w:pPr>
      <w:r>
        <w:rPr>
          <w:rStyle w:val="FootnoteReference"/>
        </w:rPr>
        <w:footnoteRef/>
      </w:r>
      <w:r>
        <w:t xml:space="preserve"> </w:t>
      </w:r>
      <w:r>
        <w:tab/>
      </w:r>
      <w:r w:rsidRPr="001C2566">
        <w:rPr>
          <w:rFonts w:cs="Times New Roman"/>
          <w:i/>
          <w:szCs w:val="24"/>
        </w:rPr>
        <w:t>Feingold v. Bell of Pennsylvania</w:t>
      </w:r>
      <w:r>
        <w:rPr>
          <w:rFonts w:cs="Times New Roman"/>
          <w:i/>
          <w:szCs w:val="24"/>
        </w:rPr>
        <w:t xml:space="preserve">, </w:t>
      </w:r>
      <w:r>
        <w:t xml:space="preserve"> 303 A.2d 791 (Pa. 1977).</w:t>
      </w:r>
    </w:p>
  </w:footnote>
  <w:footnote w:id="10">
    <w:p w14:paraId="450ABB25" w14:textId="4158E07A" w:rsidR="00445B36" w:rsidRDefault="00445B36" w:rsidP="00741B79">
      <w:pPr>
        <w:pStyle w:val="FootnoteText"/>
      </w:pPr>
      <w:r>
        <w:rPr>
          <w:rStyle w:val="FootnoteReference"/>
        </w:rPr>
        <w:footnoteRef/>
      </w:r>
      <w:r>
        <w:t xml:space="preserve"> </w:t>
      </w:r>
      <w:r w:rsidR="006B6770">
        <w:tab/>
      </w:r>
      <w:r>
        <w:t>66 Pa.C.S. § 1501</w:t>
      </w:r>
    </w:p>
  </w:footnote>
  <w:footnote w:id="11">
    <w:p w14:paraId="11C14E75" w14:textId="09A87DAB" w:rsidR="00791D70" w:rsidRDefault="00791D70" w:rsidP="00741B79">
      <w:pPr>
        <w:pStyle w:val="FootnoteText"/>
      </w:pPr>
      <w:r>
        <w:rPr>
          <w:rStyle w:val="FootnoteReference"/>
        </w:rPr>
        <w:footnoteRef/>
      </w:r>
      <w:r>
        <w:t xml:space="preserve"> </w:t>
      </w:r>
      <w:r w:rsidR="006B6770">
        <w:tab/>
      </w:r>
      <w:r>
        <w:t xml:space="preserve">66 Pa.C.S. § 1505.  </w:t>
      </w:r>
    </w:p>
  </w:footnote>
  <w:footnote w:id="12">
    <w:p w14:paraId="0E39DA4B" w14:textId="610EB93C" w:rsidR="008B3315" w:rsidRDefault="008B3315" w:rsidP="00741B79">
      <w:pPr>
        <w:pStyle w:val="FootnoteText"/>
      </w:pPr>
      <w:r>
        <w:rPr>
          <w:rStyle w:val="FootnoteReference"/>
        </w:rPr>
        <w:footnoteRef/>
      </w:r>
      <w:r>
        <w:t xml:space="preserve"> </w:t>
      </w:r>
      <w:r>
        <w:tab/>
      </w:r>
      <w:r w:rsidRPr="006B6770">
        <w:rPr>
          <w:i/>
          <w:iCs/>
        </w:rPr>
        <w:t>West Penn Power Co. v. Pa. Pub. Util. Comm’n</w:t>
      </w:r>
      <w:r w:rsidRPr="008B3315">
        <w:t xml:space="preserve">, 578 A.2d 75 (Pa.Cmwlth. 1990).  </w:t>
      </w:r>
    </w:p>
  </w:footnote>
  <w:footnote w:id="13">
    <w:p w14:paraId="29F78D36" w14:textId="55AA2F08" w:rsidR="008B3315" w:rsidRDefault="008B3315" w:rsidP="00741B79">
      <w:pPr>
        <w:pStyle w:val="FootnoteText"/>
      </w:pPr>
      <w:r>
        <w:rPr>
          <w:rStyle w:val="FootnoteReference"/>
        </w:rPr>
        <w:footnoteRef/>
      </w:r>
      <w:r>
        <w:t xml:space="preserve"> </w:t>
      </w:r>
      <w:r w:rsidR="00DC251D">
        <w:tab/>
      </w:r>
      <w:r w:rsidRPr="006B6770">
        <w:rPr>
          <w:i/>
          <w:iCs/>
        </w:rPr>
        <w:t>DiSanto v. Dauphin Consolidated Water Supply Company</w:t>
      </w:r>
      <w:r w:rsidRPr="008B3315">
        <w:t>, 291 Pa.Super. 440, 436 A.2d 197 (1981).</w:t>
      </w:r>
    </w:p>
  </w:footnote>
  <w:footnote w:id="14">
    <w:p w14:paraId="591FA8BE" w14:textId="77777777" w:rsidR="0019627D" w:rsidRDefault="0019627D" w:rsidP="00741B79">
      <w:pPr>
        <w:pStyle w:val="FootnoteText"/>
      </w:pPr>
      <w:r>
        <w:rPr>
          <w:rStyle w:val="FootnoteReference"/>
        </w:rPr>
        <w:footnoteRef/>
      </w:r>
      <w:r>
        <w:tab/>
        <w:t xml:space="preserve"> </w:t>
      </w:r>
      <w:r w:rsidRPr="00DC251D">
        <w:rPr>
          <w:i/>
          <w:iCs/>
        </w:rPr>
        <w:t>Honey Brook Water Co. v. Pa. Pub. Util. Comm’n</w:t>
      </w:r>
      <w:r w:rsidRPr="00C3534A">
        <w:t xml:space="preserve">, 647 A.2d 653 (1994), app. denied, 540 Pa. 587, 655 A.2d 518 (1995).  </w:t>
      </w:r>
    </w:p>
  </w:footnote>
  <w:footnote w:id="15">
    <w:p w14:paraId="2E996B33" w14:textId="77777777" w:rsidR="0019627D" w:rsidRDefault="0019627D" w:rsidP="00741B79">
      <w:pPr>
        <w:pStyle w:val="FootnoteText"/>
      </w:pPr>
      <w:r>
        <w:rPr>
          <w:rStyle w:val="FootnoteReference"/>
        </w:rPr>
        <w:footnoteRef/>
      </w:r>
      <w:r>
        <w:t xml:space="preserve"> </w:t>
      </w:r>
      <w:r>
        <w:tab/>
        <w:t xml:space="preserve">66 Pa.C.S. </w:t>
      </w:r>
      <w:r>
        <w:rPr>
          <w:rFonts w:cs="Times New Roman"/>
        </w:rPr>
        <w:t>§</w:t>
      </w:r>
      <w:r>
        <w:t xml:space="preserve"> 3301.</w:t>
      </w:r>
    </w:p>
  </w:footnote>
  <w:footnote w:id="16">
    <w:p w14:paraId="7590E816" w14:textId="77777777" w:rsidR="00FD2662" w:rsidRDefault="00FD2662" w:rsidP="00741B79">
      <w:pPr>
        <w:pStyle w:val="FootnoteText"/>
      </w:pPr>
      <w:r>
        <w:rPr>
          <w:rStyle w:val="FootnoteReference"/>
        </w:rPr>
        <w:footnoteRef/>
      </w:r>
      <w:r>
        <w:t xml:space="preserve"> </w:t>
      </w:r>
      <w:r>
        <w:tab/>
      </w:r>
      <w:r w:rsidRPr="002631FC">
        <w:rPr>
          <w:i/>
        </w:rPr>
        <w:t>See also</w:t>
      </w:r>
      <w:r>
        <w:t xml:space="preserve"> </w:t>
      </w:r>
      <w:r>
        <w:rPr>
          <w:i/>
        </w:rPr>
        <w:t>Richmond v. PECO Energy Company,</w:t>
      </w:r>
      <w:r>
        <w:t xml:space="preserve"> Docket No. F-2010-2187305 (Opinion and Order entered December 7, 2011).</w:t>
      </w:r>
    </w:p>
  </w:footnote>
  <w:footnote w:id="17">
    <w:p w14:paraId="72397219" w14:textId="3EE4DE35" w:rsidR="007B5196" w:rsidRDefault="007B5196">
      <w:pPr>
        <w:pStyle w:val="FootnoteText"/>
      </w:pPr>
      <w:r>
        <w:rPr>
          <w:rStyle w:val="FootnoteReference"/>
        </w:rPr>
        <w:footnoteRef/>
      </w:r>
      <w:r>
        <w:t xml:space="preserve">  </w:t>
      </w:r>
      <w:r>
        <w:tab/>
      </w:r>
      <w:r w:rsidRPr="007E6AB2">
        <w:rPr>
          <w:spacing w:val="-3"/>
          <w:szCs w:val="24"/>
        </w:rPr>
        <w:t xml:space="preserve">52 Pa.Code § 5.231.  </w:t>
      </w:r>
    </w:p>
  </w:footnote>
  <w:footnote w:id="18">
    <w:p w14:paraId="34914717" w14:textId="29124926" w:rsidR="00E92FCF" w:rsidRDefault="00E92FCF">
      <w:pPr>
        <w:pStyle w:val="FootnoteText"/>
      </w:pPr>
      <w:r>
        <w:rPr>
          <w:rStyle w:val="FootnoteReference"/>
        </w:rPr>
        <w:footnoteRef/>
      </w:r>
      <w:r>
        <w:t xml:space="preserve"> </w:t>
      </w:r>
      <w:r>
        <w:tab/>
      </w:r>
      <w:r>
        <w:rPr>
          <w:i/>
          <w:iCs/>
        </w:rPr>
        <w:t xml:space="preserve">See </w:t>
      </w:r>
      <w:r w:rsidRPr="007E6AB2">
        <w:rPr>
          <w:spacing w:val="-3"/>
          <w:szCs w:val="24"/>
        </w:rPr>
        <w:t>52 Pa.Code §§ 69.391– 69.397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705100"/>
    <w:multiLevelType w:val="hybridMultilevel"/>
    <w:tmpl w:val="B69C0C76"/>
    <w:lvl w:ilvl="0" w:tplc="B94C1B6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2"/>
  </w:num>
  <w:num w:numId="5">
    <w:abstractNumId w:val="11"/>
  </w:num>
  <w:num w:numId="6">
    <w:abstractNumId w:val="8"/>
  </w:num>
  <w:num w:numId="7">
    <w:abstractNumId w:val="6"/>
  </w:num>
  <w:num w:numId="8">
    <w:abstractNumId w:val="31"/>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3"/>
  </w:num>
  <w:num w:numId="21">
    <w:abstractNumId w:val="14"/>
  </w:num>
  <w:num w:numId="22">
    <w:abstractNumId w:val="5"/>
  </w:num>
  <w:num w:numId="23">
    <w:abstractNumId w:val="15"/>
  </w:num>
  <w:num w:numId="24">
    <w:abstractNumId w:val="36"/>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4"/>
  </w:num>
  <w:num w:numId="32">
    <w:abstractNumId w:val="35"/>
  </w:num>
  <w:num w:numId="33">
    <w:abstractNumId w:val="24"/>
  </w:num>
  <w:num w:numId="34">
    <w:abstractNumId w:val="4"/>
  </w:num>
  <w:num w:numId="35">
    <w:abstractNumId w:val="18"/>
  </w:num>
  <w:num w:numId="36">
    <w:abstractNumId w:val="2"/>
  </w:num>
  <w:num w:numId="37">
    <w:abstractNumId w:val="1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86"/>
    <w:rsid w:val="00004C37"/>
    <w:rsid w:val="000066B3"/>
    <w:rsid w:val="00066D87"/>
    <w:rsid w:val="00083973"/>
    <w:rsid w:val="000B7594"/>
    <w:rsid w:val="000E3EDE"/>
    <w:rsid w:val="000E78E2"/>
    <w:rsid w:val="00107E82"/>
    <w:rsid w:val="00114CA2"/>
    <w:rsid w:val="001234D9"/>
    <w:rsid w:val="001429EB"/>
    <w:rsid w:val="00163ED7"/>
    <w:rsid w:val="0016513B"/>
    <w:rsid w:val="0019627D"/>
    <w:rsid w:val="001A21B6"/>
    <w:rsid w:val="001B1CBA"/>
    <w:rsid w:val="001D2AF7"/>
    <w:rsid w:val="001F7749"/>
    <w:rsid w:val="00207743"/>
    <w:rsid w:val="00213167"/>
    <w:rsid w:val="00244316"/>
    <w:rsid w:val="002512F9"/>
    <w:rsid w:val="00267405"/>
    <w:rsid w:val="00275004"/>
    <w:rsid w:val="003145FA"/>
    <w:rsid w:val="00317E91"/>
    <w:rsid w:val="00367A41"/>
    <w:rsid w:val="00393C92"/>
    <w:rsid w:val="003A1A41"/>
    <w:rsid w:val="003A3E09"/>
    <w:rsid w:val="00417566"/>
    <w:rsid w:val="0044088F"/>
    <w:rsid w:val="00445B36"/>
    <w:rsid w:val="004658CA"/>
    <w:rsid w:val="004D523C"/>
    <w:rsid w:val="004D6406"/>
    <w:rsid w:val="004E63D2"/>
    <w:rsid w:val="004E7886"/>
    <w:rsid w:val="00501198"/>
    <w:rsid w:val="005A1C17"/>
    <w:rsid w:val="005A2ABA"/>
    <w:rsid w:val="005D180A"/>
    <w:rsid w:val="005E14E4"/>
    <w:rsid w:val="005E7B69"/>
    <w:rsid w:val="00613EA9"/>
    <w:rsid w:val="0061775F"/>
    <w:rsid w:val="00692A99"/>
    <w:rsid w:val="00696C0D"/>
    <w:rsid w:val="006A44C4"/>
    <w:rsid w:val="006B6770"/>
    <w:rsid w:val="006C6A0D"/>
    <w:rsid w:val="006F0329"/>
    <w:rsid w:val="00700807"/>
    <w:rsid w:val="00712E58"/>
    <w:rsid w:val="007241B6"/>
    <w:rsid w:val="00725334"/>
    <w:rsid w:val="00732694"/>
    <w:rsid w:val="007407AC"/>
    <w:rsid w:val="00741B79"/>
    <w:rsid w:val="00747532"/>
    <w:rsid w:val="00755D72"/>
    <w:rsid w:val="0078328F"/>
    <w:rsid w:val="00783772"/>
    <w:rsid w:val="00791D70"/>
    <w:rsid w:val="00792796"/>
    <w:rsid w:val="00796B64"/>
    <w:rsid w:val="007B5196"/>
    <w:rsid w:val="007D3AF9"/>
    <w:rsid w:val="007E6779"/>
    <w:rsid w:val="00820B4C"/>
    <w:rsid w:val="0083239D"/>
    <w:rsid w:val="008529D2"/>
    <w:rsid w:val="0088105E"/>
    <w:rsid w:val="00886137"/>
    <w:rsid w:val="008B3315"/>
    <w:rsid w:val="008E5080"/>
    <w:rsid w:val="00900613"/>
    <w:rsid w:val="00917DCA"/>
    <w:rsid w:val="009214FE"/>
    <w:rsid w:val="00925EEE"/>
    <w:rsid w:val="00926DE3"/>
    <w:rsid w:val="00953411"/>
    <w:rsid w:val="009C7C72"/>
    <w:rsid w:val="009F7603"/>
    <w:rsid w:val="00A236EE"/>
    <w:rsid w:val="00A357AE"/>
    <w:rsid w:val="00A45C2B"/>
    <w:rsid w:val="00A47096"/>
    <w:rsid w:val="00AA2EC5"/>
    <w:rsid w:val="00AB4C73"/>
    <w:rsid w:val="00AD27C0"/>
    <w:rsid w:val="00AE6F47"/>
    <w:rsid w:val="00B91E47"/>
    <w:rsid w:val="00B977C1"/>
    <w:rsid w:val="00BC6B21"/>
    <w:rsid w:val="00BD1C56"/>
    <w:rsid w:val="00C00FDB"/>
    <w:rsid w:val="00C04D8A"/>
    <w:rsid w:val="00C05C4A"/>
    <w:rsid w:val="00C16C9C"/>
    <w:rsid w:val="00C348B2"/>
    <w:rsid w:val="00C3534A"/>
    <w:rsid w:val="00C65884"/>
    <w:rsid w:val="00C87E57"/>
    <w:rsid w:val="00C97A12"/>
    <w:rsid w:val="00CD76F8"/>
    <w:rsid w:val="00CE1802"/>
    <w:rsid w:val="00CE351C"/>
    <w:rsid w:val="00CF6143"/>
    <w:rsid w:val="00D14843"/>
    <w:rsid w:val="00D22AA6"/>
    <w:rsid w:val="00D774F3"/>
    <w:rsid w:val="00DC251D"/>
    <w:rsid w:val="00DD5C37"/>
    <w:rsid w:val="00DF35D9"/>
    <w:rsid w:val="00E4239A"/>
    <w:rsid w:val="00E92FCF"/>
    <w:rsid w:val="00EA04CD"/>
    <w:rsid w:val="00EA43A2"/>
    <w:rsid w:val="00EB027A"/>
    <w:rsid w:val="00EC1CBA"/>
    <w:rsid w:val="00EC3FB9"/>
    <w:rsid w:val="00EC4016"/>
    <w:rsid w:val="00ED327E"/>
    <w:rsid w:val="00EE7801"/>
    <w:rsid w:val="00EF430E"/>
    <w:rsid w:val="00F11A19"/>
    <w:rsid w:val="00F145E2"/>
    <w:rsid w:val="00F16554"/>
    <w:rsid w:val="00F33214"/>
    <w:rsid w:val="00F41FD4"/>
    <w:rsid w:val="00F544E1"/>
    <w:rsid w:val="00F55C59"/>
    <w:rsid w:val="00FD2662"/>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A8F367"/>
  <w15:chartTrackingRefBased/>
  <w15:docId w15:val="{76409AB0-CAAC-431B-A5FB-16ADDE13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aliases w:val="Car"/>
    <w:basedOn w:val="Normal"/>
    <w:link w:val="FootnoteTextChar"/>
    <w:autoRedefine/>
    <w:uiPriority w:val="99"/>
    <w:qFormat/>
    <w:rsid w:val="00741B79"/>
    <w:pPr>
      <w:spacing w:line="240" w:lineRule="auto"/>
    </w:pPr>
    <w:rPr>
      <w:rFonts w:eastAsia="Times New Roman"/>
      <w:sz w:val="20"/>
    </w:rPr>
  </w:style>
  <w:style w:type="character" w:customStyle="1" w:styleId="FootnoteTextChar">
    <w:name w:val="Footnote Text Char"/>
    <w:aliases w:val="Car Char"/>
    <w:basedOn w:val="DefaultParagraphFont"/>
    <w:link w:val="FootnoteText"/>
    <w:uiPriority w:val="99"/>
    <w:rsid w:val="00741B79"/>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4E7886"/>
    <w:rPr>
      <w:vertAlign w:val="superscript"/>
    </w:rPr>
  </w:style>
  <w:style w:type="paragraph" w:styleId="Quote">
    <w:name w:val="Quote"/>
    <w:basedOn w:val="Normal"/>
    <w:next w:val="Normal"/>
    <w:link w:val="QuoteChar"/>
    <w:uiPriority w:val="29"/>
    <w:qFormat/>
    <w:rsid w:val="00747532"/>
    <w:pPr>
      <w:spacing w:after="120" w:line="240" w:lineRule="auto"/>
    </w:pPr>
    <w:rPr>
      <w:rFonts w:eastAsia="Times New Roman" w:cs="Times New Roman"/>
      <w:iCs/>
      <w:color w:val="000000" w:themeColor="text1"/>
      <w:szCs w:val="20"/>
    </w:rPr>
  </w:style>
  <w:style w:type="character" w:customStyle="1" w:styleId="QuoteChar">
    <w:name w:val="Quote Char"/>
    <w:basedOn w:val="DefaultParagraphFont"/>
    <w:link w:val="Quote"/>
    <w:uiPriority w:val="29"/>
    <w:rsid w:val="00747532"/>
    <w:rPr>
      <w:rFonts w:eastAsia="Times New Roman"/>
      <w:iCs/>
      <w:color w:val="000000" w:themeColor="text1"/>
    </w:rPr>
  </w:style>
  <w:style w:type="paragraph" w:styleId="Header">
    <w:name w:val="header"/>
    <w:basedOn w:val="Normal"/>
    <w:link w:val="HeaderChar"/>
    <w:uiPriority w:val="99"/>
    <w:unhideWhenUsed/>
    <w:rsid w:val="00783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772"/>
    <w:rPr>
      <w:rFonts w:cstheme="minorBidi"/>
      <w:szCs w:val="22"/>
    </w:rPr>
  </w:style>
  <w:style w:type="paragraph" w:styleId="Footer">
    <w:name w:val="footer"/>
    <w:basedOn w:val="Normal"/>
    <w:link w:val="FooterChar"/>
    <w:uiPriority w:val="99"/>
    <w:unhideWhenUsed/>
    <w:rsid w:val="00783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72"/>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1398</Words>
  <Characters>7973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Williams, Bobbie Jo</cp:lastModifiedBy>
  <cp:revision>2</cp:revision>
  <dcterms:created xsi:type="dcterms:W3CDTF">2021-06-02T13:20:00Z</dcterms:created>
  <dcterms:modified xsi:type="dcterms:W3CDTF">2021-06-02T13:20:00Z</dcterms:modified>
</cp:coreProperties>
</file>