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87344" w14:textId="7D39CB9E" w:rsidR="00FE7D0A" w:rsidRPr="00EC6B2B" w:rsidRDefault="00FE7D0A" w:rsidP="00231EC0">
      <w:pPr>
        <w:pStyle w:val="Title"/>
      </w:pPr>
      <w:r w:rsidRPr="00EC6B2B">
        <w:t>PENNSYLVANIA</w:t>
      </w:r>
    </w:p>
    <w:p w14:paraId="244AF057" w14:textId="77777777" w:rsidR="00FE7D0A" w:rsidRPr="00EC6B2B" w:rsidRDefault="00FE7D0A" w:rsidP="00231EC0">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EC6B2B">
        <w:rPr>
          <w:rFonts w:ascii="Times New Roman" w:eastAsia="Times New Roman" w:hAnsi="Times New Roman" w:cs="Times New Roman"/>
          <w:b/>
          <w:sz w:val="26"/>
          <w:szCs w:val="26"/>
        </w:rPr>
        <w:t>PUBLIC UTILITY COMMISSION</w:t>
      </w:r>
    </w:p>
    <w:p w14:paraId="69F2FE03" w14:textId="5A4C2D10" w:rsidR="00FE7D0A" w:rsidRPr="00EC6B2B" w:rsidRDefault="00FE7D0A" w:rsidP="00231EC0">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EC6B2B">
        <w:rPr>
          <w:rFonts w:ascii="Times New Roman" w:eastAsia="Times New Roman" w:hAnsi="Times New Roman" w:cs="Times New Roman"/>
          <w:b/>
          <w:sz w:val="26"/>
          <w:szCs w:val="26"/>
        </w:rPr>
        <w:t>Harrisburg, PA</w:t>
      </w:r>
      <w:r w:rsidR="00F5721D">
        <w:rPr>
          <w:rFonts w:ascii="Times New Roman" w:eastAsia="Times New Roman" w:hAnsi="Times New Roman" w:cs="Times New Roman"/>
          <w:b/>
          <w:sz w:val="26"/>
          <w:szCs w:val="26"/>
        </w:rPr>
        <w:t xml:space="preserve"> </w:t>
      </w:r>
      <w:r w:rsidRPr="00EC6B2B">
        <w:rPr>
          <w:rFonts w:ascii="Times New Roman" w:eastAsia="Times New Roman" w:hAnsi="Times New Roman" w:cs="Times New Roman"/>
          <w:b/>
          <w:sz w:val="26"/>
          <w:szCs w:val="26"/>
        </w:rPr>
        <w:t xml:space="preserve"> </w:t>
      </w:r>
      <w:r w:rsidR="001F57DA">
        <w:rPr>
          <w:rFonts w:ascii="Times New Roman" w:eastAsia="Times New Roman" w:hAnsi="Times New Roman" w:cs="Times New Roman"/>
          <w:b/>
          <w:sz w:val="26"/>
          <w:szCs w:val="26"/>
        </w:rPr>
        <w:t>17120</w:t>
      </w:r>
    </w:p>
    <w:p w14:paraId="2A07B313" w14:textId="77777777" w:rsidR="00FE7D0A" w:rsidRPr="00EC6B2B" w:rsidRDefault="00FE7D0A" w:rsidP="00231EC0">
      <w:pPr>
        <w:tabs>
          <w:tab w:val="left" w:pos="-720"/>
        </w:tabs>
        <w:suppressAutoHyphens/>
        <w:spacing w:after="0" w:line="240" w:lineRule="auto"/>
        <w:contextualSpacing/>
        <w:rPr>
          <w:rFonts w:ascii="Times New Roman" w:eastAsia="Times New Roman" w:hAnsi="Times New Roman" w:cs="Times New Roman"/>
          <w:b/>
          <w:sz w:val="26"/>
          <w:szCs w:val="26"/>
        </w:rPr>
      </w:pPr>
    </w:p>
    <w:p w14:paraId="046DAEA8" w14:textId="77777777" w:rsidR="00BE42F7" w:rsidRPr="00EC6B2B" w:rsidRDefault="00BE42F7" w:rsidP="00231EC0">
      <w:pPr>
        <w:tabs>
          <w:tab w:val="right" w:pos="9360"/>
        </w:tabs>
        <w:suppressAutoHyphens/>
        <w:spacing w:after="0" w:line="240" w:lineRule="auto"/>
        <w:contextualSpacing/>
        <w:rPr>
          <w:rFonts w:ascii="Times New Roman" w:eastAsia="Times New Roman" w:hAnsi="Times New Roman" w:cs="Times New Roman"/>
          <w:sz w:val="26"/>
          <w:szCs w:val="26"/>
        </w:rPr>
      </w:pPr>
    </w:p>
    <w:p w14:paraId="7ED212D5" w14:textId="17F68D64" w:rsidR="003323DA" w:rsidRPr="00EC6B2B" w:rsidRDefault="00FE7D0A" w:rsidP="00231EC0">
      <w:pPr>
        <w:tabs>
          <w:tab w:val="right" w:pos="9360"/>
        </w:tabs>
        <w:suppressAutoHyphens/>
        <w:spacing w:after="0" w:line="240" w:lineRule="auto"/>
        <w:contextualSpacing/>
        <w:jc w:val="right"/>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Public Meeting held </w:t>
      </w:r>
      <w:r w:rsidR="00E43BB4">
        <w:rPr>
          <w:rFonts w:ascii="Times New Roman" w:eastAsia="Times New Roman" w:hAnsi="Times New Roman" w:cs="Times New Roman"/>
          <w:sz w:val="26"/>
          <w:szCs w:val="26"/>
        </w:rPr>
        <w:t>June 17</w:t>
      </w:r>
      <w:r w:rsidR="00634F2B" w:rsidRPr="00EC6B2B">
        <w:rPr>
          <w:rFonts w:ascii="Times New Roman" w:eastAsia="Times New Roman" w:hAnsi="Times New Roman" w:cs="Times New Roman"/>
          <w:sz w:val="26"/>
          <w:szCs w:val="26"/>
        </w:rPr>
        <w:t xml:space="preserve">, </w:t>
      </w:r>
      <w:r w:rsidR="00BE42F7" w:rsidRPr="00EC6B2B">
        <w:rPr>
          <w:rFonts w:ascii="Times New Roman" w:eastAsia="Times New Roman" w:hAnsi="Times New Roman" w:cs="Times New Roman"/>
          <w:sz w:val="26"/>
          <w:szCs w:val="26"/>
        </w:rPr>
        <w:t>20</w:t>
      </w:r>
      <w:r w:rsidR="001F57DA">
        <w:rPr>
          <w:rFonts w:ascii="Times New Roman" w:eastAsia="Times New Roman" w:hAnsi="Times New Roman" w:cs="Times New Roman"/>
          <w:sz w:val="26"/>
          <w:szCs w:val="26"/>
        </w:rPr>
        <w:t>2</w:t>
      </w:r>
      <w:r w:rsidR="00E43BB4">
        <w:rPr>
          <w:rFonts w:ascii="Times New Roman" w:eastAsia="Times New Roman" w:hAnsi="Times New Roman" w:cs="Times New Roman"/>
          <w:sz w:val="26"/>
          <w:szCs w:val="26"/>
        </w:rPr>
        <w:t>1</w:t>
      </w:r>
    </w:p>
    <w:p w14:paraId="5C29713C" w14:textId="3B1A0868" w:rsidR="00BE42F7" w:rsidRDefault="00BE42F7" w:rsidP="00231EC0">
      <w:pPr>
        <w:tabs>
          <w:tab w:val="right" w:pos="9360"/>
        </w:tabs>
        <w:suppressAutoHyphens/>
        <w:spacing w:after="0" w:line="240" w:lineRule="auto"/>
        <w:contextualSpacing/>
        <w:rPr>
          <w:rFonts w:ascii="Times New Roman" w:eastAsia="Times New Roman" w:hAnsi="Times New Roman" w:cs="Times New Roman"/>
          <w:sz w:val="26"/>
          <w:szCs w:val="26"/>
        </w:rPr>
      </w:pPr>
    </w:p>
    <w:p w14:paraId="3CE9EE61" w14:textId="77777777" w:rsidR="00BE42F7" w:rsidRPr="00EC6B2B" w:rsidRDefault="00BE42F7" w:rsidP="00231EC0">
      <w:pPr>
        <w:tabs>
          <w:tab w:val="right" w:pos="9360"/>
        </w:tabs>
        <w:suppressAutoHyphens/>
        <w:spacing w:after="0" w:line="240" w:lineRule="auto"/>
        <w:contextualSpacing/>
        <w:rPr>
          <w:rFonts w:ascii="Times New Roman" w:eastAsia="Times New Roman" w:hAnsi="Times New Roman" w:cs="Times New Roman"/>
          <w:sz w:val="26"/>
          <w:szCs w:val="26"/>
        </w:rPr>
      </w:pPr>
    </w:p>
    <w:p w14:paraId="756AC212" w14:textId="77777777" w:rsidR="00FE7D0A" w:rsidRPr="00EC6B2B" w:rsidRDefault="00FE7D0A" w:rsidP="00231EC0">
      <w:pPr>
        <w:tabs>
          <w:tab w:val="left" w:pos="-720"/>
        </w:tabs>
        <w:suppressAutoHyphens/>
        <w:spacing w:after="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Commissioners Present:</w:t>
      </w:r>
    </w:p>
    <w:p w14:paraId="1BA42DA5" w14:textId="77777777" w:rsidR="00FE7D0A" w:rsidRPr="00EC6B2B" w:rsidRDefault="00FE7D0A" w:rsidP="00231EC0">
      <w:pPr>
        <w:tabs>
          <w:tab w:val="left" w:pos="-720"/>
        </w:tabs>
        <w:suppressAutoHyphens/>
        <w:spacing w:after="0" w:line="240" w:lineRule="auto"/>
        <w:contextualSpacing/>
        <w:rPr>
          <w:rFonts w:ascii="Times New Roman" w:eastAsia="Times New Roman" w:hAnsi="Times New Roman" w:cs="Times New Roman"/>
          <w:sz w:val="26"/>
          <w:szCs w:val="26"/>
        </w:rPr>
      </w:pPr>
    </w:p>
    <w:p w14:paraId="0477C539" w14:textId="164C1B54" w:rsidR="00B016BE" w:rsidRPr="00EC6B2B" w:rsidRDefault="005114C3" w:rsidP="00231EC0">
      <w:pPr>
        <w:tabs>
          <w:tab w:val="left" w:pos="-720"/>
        </w:tabs>
        <w:spacing w:after="0" w:line="240" w:lineRule="auto"/>
        <w:ind w:left="720"/>
        <w:contextualSpacing/>
        <w:rPr>
          <w:rFonts w:ascii="Times New Roman" w:hAnsi="Times New Roman" w:cs="Times New Roman"/>
          <w:sz w:val="26"/>
          <w:szCs w:val="26"/>
        </w:rPr>
      </w:pPr>
      <w:r w:rsidRPr="00EC6B2B">
        <w:rPr>
          <w:rFonts w:ascii="Times New Roman" w:hAnsi="Times New Roman"/>
          <w:sz w:val="26"/>
          <w:szCs w:val="26"/>
        </w:rPr>
        <w:t>Gladys Brown Dutrieuille, Chairman</w:t>
      </w:r>
    </w:p>
    <w:p w14:paraId="01D5CA9E" w14:textId="77777777" w:rsidR="00B016BE" w:rsidRPr="00EC6B2B" w:rsidRDefault="00B016BE" w:rsidP="00231EC0">
      <w:pPr>
        <w:tabs>
          <w:tab w:val="left" w:pos="-720"/>
        </w:tabs>
        <w:spacing w:after="0" w:line="240" w:lineRule="auto"/>
        <w:ind w:left="720"/>
        <w:contextualSpacing/>
        <w:rPr>
          <w:rFonts w:ascii="Times New Roman" w:hAnsi="Times New Roman" w:cs="Times New Roman"/>
          <w:sz w:val="26"/>
          <w:szCs w:val="26"/>
        </w:rPr>
      </w:pPr>
      <w:r w:rsidRPr="00EC6B2B">
        <w:rPr>
          <w:rFonts w:ascii="Times New Roman" w:hAnsi="Times New Roman" w:cs="Times New Roman"/>
          <w:sz w:val="26"/>
          <w:szCs w:val="26"/>
        </w:rPr>
        <w:t>David W. Sweet, Vice Chairman</w:t>
      </w:r>
    </w:p>
    <w:p w14:paraId="17C4FA27" w14:textId="202841C5" w:rsidR="00B016BE" w:rsidRDefault="00B016BE" w:rsidP="00231EC0">
      <w:pPr>
        <w:tabs>
          <w:tab w:val="left" w:pos="-720"/>
        </w:tabs>
        <w:spacing w:after="0" w:line="240" w:lineRule="auto"/>
        <w:ind w:left="720"/>
        <w:contextualSpacing/>
        <w:rPr>
          <w:rFonts w:ascii="Times New Roman" w:hAnsi="Times New Roman" w:cs="Times New Roman"/>
          <w:sz w:val="26"/>
          <w:szCs w:val="26"/>
        </w:rPr>
      </w:pPr>
      <w:r w:rsidRPr="00EC6B2B">
        <w:rPr>
          <w:rFonts w:ascii="Times New Roman" w:hAnsi="Times New Roman" w:cs="Times New Roman"/>
          <w:sz w:val="26"/>
          <w:szCs w:val="26"/>
        </w:rPr>
        <w:t>John F. Coleman, Jr.</w:t>
      </w:r>
    </w:p>
    <w:p w14:paraId="47012A8B" w14:textId="7F9DC2D2" w:rsidR="001F57DA" w:rsidRPr="00EC6B2B" w:rsidRDefault="001F57DA" w:rsidP="00231EC0">
      <w:pPr>
        <w:tabs>
          <w:tab w:val="left" w:pos="-720"/>
        </w:tabs>
        <w:spacing w:after="0" w:line="240" w:lineRule="auto"/>
        <w:ind w:left="720"/>
        <w:contextualSpacing/>
        <w:rPr>
          <w:rFonts w:ascii="Times New Roman" w:hAnsi="Times New Roman" w:cs="Times New Roman"/>
          <w:sz w:val="26"/>
          <w:szCs w:val="26"/>
        </w:rPr>
      </w:pPr>
      <w:r>
        <w:rPr>
          <w:rFonts w:ascii="Times New Roman" w:hAnsi="Times New Roman" w:cs="Times New Roman"/>
          <w:sz w:val="26"/>
          <w:szCs w:val="26"/>
        </w:rPr>
        <w:t>Ralph V. Yanora</w:t>
      </w:r>
    </w:p>
    <w:p w14:paraId="7ABD55D9" w14:textId="77777777" w:rsidR="00FE7D0A" w:rsidRPr="00EC6B2B" w:rsidRDefault="00FE7D0A" w:rsidP="00231EC0">
      <w:pPr>
        <w:tabs>
          <w:tab w:val="left" w:pos="-720"/>
        </w:tabs>
        <w:suppressAutoHyphens/>
        <w:spacing w:after="0" w:line="240" w:lineRule="auto"/>
        <w:contextualSpacing/>
        <w:rPr>
          <w:rFonts w:ascii="Times New Roman" w:eastAsia="Times New Roman" w:hAnsi="Times New Roman" w:cs="Times New Roman"/>
          <w:sz w:val="26"/>
          <w:szCs w:val="26"/>
        </w:rPr>
      </w:pPr>
    </w:p>
    <w:p w14:paraId="4F0D636D" w14:textId="77777777" w:rsidR="005C03C5" w:rsidRPr="00EC6B2B" w:rsidRDefault="005C03C5" w:rsidP="00231EC0">
      <w:pPr>
        <w:tabs>
          <w:tab w:val="left" w:pos="-720"/>
        </w:tabs>
        <w:suppressAutoHyphens/>
        <w:spacing w:after="0" w:line="240" w:lineRule="auto"/>
        <w:contextualSpacing/>
        <w:rPr>
          <w:rFonts w:ascii="Times New Roman" w:eastAsia="Times New Roman" w:hAnsi="Times New Roman" w:cs="Times New Roman"/>
          <w:sz w:val="26"/>
          <w:szCs w:val="26"/>
        </w:rPr>
      </w:pPr>
    </w:p>
    <w:p w14:paraId="4D25DFF2" w14:textId="77777777" w:rsidR="003323DA" w:rsidRPr="00EC6B2B" w:rsidRDefault="003323DA" w:rsidP="00231EC0">
      <w:pPr>
        <w:tabs>
          <w:tab w:val="left" w:pos="-720"/>
        </w:tabs>
        <w:suppressAutoHyphens/>
        <w:spacing w:after="0" w:line="240" w:lineRule="auto"/>
        <w:contextualSpacing/>
        <w:rPr>
          <w:rFonts w:ascii="Times New Roman" w:eastAsia="Times New Roman" w:hAnsi="Times New Roman" w:cs="Times New Roman"/>
          <w:sz w:val="26"/>
          <w:szCs w:val="26"/>
        </w:rPr>
      </w:pPr>
    </w:p>
    <w:p w14:paraId="56A1D366" w14:textId="04FA30CB" w:rsidR="00E43BB4" w:rsidRDefault="00E43BB4" w:rsidP="00231EC0">
      <w:pPr>
        <w:spacing w:after="0" w:line="240" w:lineRule="auto"/>
        <w:contextualSpacing/>
        <w:rPr>
          <w:rFonts w:ascii="Times New Roman" w:eastAsia="Times New Roman" w:hAnsi="Times New Roman" w:cs="Times New Roman"/>
          <w:sz w:val="26"/>
          <w:szCs w:val="26"/>
        </w:rPr>
      </w:pPr>
      <w:bookmarkStart w:id="0" w:name="_Hlk4595117"/>
      <w:r>
        <w:rPr>
          <w:rFonts w:ascii="Times New Roman" w:eastAsia="Times New Roman" w:hAnsi="Times New Roman" w:cs="Times New Roman"/>
          <w:sz w:val="26"/>
          <w:szCs w:val="26"/>
        </w:rPr>
        <w:t>Office of Consumer Advocate</w:t>
      </w:r>
      <w:r w:rsidR="00EC6B2B" w:rsidRPr="00EC6B2B">
        <w:rPr>
          <w:rFonts w:ascii="Times New Roman" w:eastAsia="Times New Roman" w:hAnsi="Times New Roman" w:cs="Times New Roman"/>
          <w:sz w:val="26"/>
          <w:szCs w:val="26"/>
        </w:rPr>
        <w:tab/>
      </w:r>
      <w:r w:rsidR="00EC6B2B" w:rsidRPr="00EC6B2B">
        <w:rPr>
          <w:rFonts w:ascii="Times New Roman" w:eastAsia="Times New Roman" w:hAnsi="Times New Roman" w:cs="Times New Roman"/>
          <w:sz w:val="26"/>
          <w:szCs w:val="26"/>
        </w:rPr>
        <w:tab/>
      </w:r>
      <w:r w:rsidR="00EC6B2B" w:rsidRPr="00EC6B2B">
        <w:rPr>
          <w:rFonts w:ascii="Times New Roman" w:eastAsia="Times New Roman" w:hAnsi="Times New Roman" w:cs="Times New Roman"/>
          <w:sz w:val="26"/>
          <w:szCs w:val="26"/>
        </w:rPr>
        <w:tab/>
      </w:r>
      <w:r w:rsidR="00EC6B2B" w:rsidRPr="00EC6B2B">
        <w:rPr>
          <w:rFonts w:ascii="Times New Roman" w:eastAsia="Times New Roman" w:hAnsi="Times New Roman" w:cs="Times New Roman"/>
          <w:sz w:val="26"/>
          <w:szCs w:val="26"/>
        </w:rPr>
        <w:tab/>
      </w:r>
      <w:r w:rsidR="00EC6B2B" w:rsidRPr="00EC6B2B">
        <w:rPr>
          <w:rFonts w:ascii="Times New Roman" w:eastAsia="Times New Roman" w:hAnsi="Times New Roman" w:cs="Times New Roman"/>
          <w:sz w:val="26"/>
          <w:szCs w:val="26"/>
        </w:rPr>
        <w:tab/>
      </w:r>
      <w:r w:rsidR="00EC6B2B" w:rsidRPr="00EC6B2B">
        <w:rPr>
          <w:rFonts w:ascii="Times New Roman" w:eastAsia="Times New Roman" w:hAnsi="Times New Roman" w:cs="Times New Roman"/>
          <w:sz w:val="26"/>
          <w:szCs w:val="26"/>
        </w:rPr>
        <w:tab/>
      </w:r>
      <w:r w:rsidR="007814D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C-2018-3006242</w:t>
      </w:r>
      <w:r w:rsidR="007814D0">
        <w:rPr>
          <w:rFonts w:ascii="Times New Roman" w:eastAsia="Times New Roman" w:hAnsi="Times New Roman" w:cs="Times New Roman"/>
          <w:sz w:val="26"/>
          <w:szCs w:val="26"/>
        </w:rPr>
        <w:t xml:space="preserve">  </w:t>
      </w:r>
    </w:p>
    <w:p w14:paraId="410D227A" w14:textId="787FF298" w:rsidR="00CF35FF" w:rsidRPr="00EC6B2B" w:rsidRDefault="00E43BB4" w:rsidP="00E43BB4">
      <w:pPr>
        <w:spacing w:after="0" w:line="240" w:lineRule="auto"/>
        <w:ind w:left="6480"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w:t>
      </w:r>
      <w:r w:rsidR="00EC6B2B" w:rsidRPr="00EC6B2B">
        <w:rPr>
          <w:rFonts w:ascii="Times New Roman" w:eastAsia="Times New Roman" w:hAnsi="Times New Roman" w:cs="Times New Roman"/>
          <w:sz w:val="26"/>
          <w:szCs w:val="26"/>
        </w:rPr>
        <w:t>-201</w:t>
      </w:r>
      <w:r>
        <w:rPr>
          <w:rFonts w:ascii="Times New Roman" w:eastAsia="Times New Roman" w:hAnsi="Times New Roman" w:cs="Times New Roman"/>
          <w:sz w:val="26"/>
          <w:szCs w:val="26"/>
        </w:rPr>
        <w:t>8</w:t>
      </w:r>
      <w:r w:rsidR="00EC6B2B" w:rsidRPr="00EC6B2B">
        <w:rPr>
          <w:rFonts w:ascii="Times New Roman" w:eastAsia="Times New Roman" w:hAnsi="Times New Roman" w:cs="Times New Roman"/>
          <w:sz w:val="26"/>
          <w:szCs w:val="26"/>
        </w:rPr>
        <w:t>-</w:t>
      </w:r>
      <w:r w:rsidR="00A00DDB">
        <w:rPr>
          <w:rFonts w:ascii="Times New Roman" w:eastAsia="Times New Roman" w:hAnsi="Times New Roman" w:cs="Times New Roman"/>
          <w:sz w:val="26"/>
          <w:szCs w:val="26"/>
        </w:rPr>
        <w:t>30</w:t>
      </w:r>
      <w:r>
        <w:rPr>
          <w:rFonts w:ascii="Times New Roman" w:eastAsia="Times New Roman" w:hAnsi="Times New Roman" w:cs="Times New Roman"/>
          <w:sz w:val="26"/>
          <w:szCs w:val="26"/>
        </w:rPr>
        <w:t>05860</w:t>
      </w:r>
    </w:p>
    <w:p w14:paraId="33F3DC09" w14:textId="3F88C183" w:rsidR="00B016BE" w:rsidRPr="00EC6B2B" w:rsidRDefault="00352371" w:rsidP="00231EC0">
      <w:pPr>
        <w:spacing w:after="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ab/>
        <w:t>v.</w:t>
      </w:r>
    </w:p>
    <w:p w14:paraId="2D4D0CC1" w14:textId="77777777" w:rsidR="00483FC3" w:rsidRPr="00EC6B2B" w:rsidRDefault="00483FC3" w:rsidP="00231EC0">
      <w:pPr>
        <w:spacing w:after="0" w:line="240" w:lineRule="auto"/>
        <w:contextualSpacing/>
        <w:rPr>
          <w:rFonts w:ascii="Times New Roman" w:eastAsia="Times New Roman" w:hAnsi="Times New Roman" w:cs="Times New Roman"/>
          <w:sz w:val="26"/>
          <w:szCs w:val="26"/>
        </w:rPr>
      </w:pPr>
    </w:p>
    <w:p w14:paraId="0FDA4EA6" w14:textId="21184E36" w:rsidR="00B016BE" w:rsidRDefault="00CF35FF" w:rsidP="00231EC0">
      <w:pPr>
        <w:spacing w:after="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P</w:t>
      </w:r>
      <w:r w:rsidR="00E43BB4">
        <w:rPr>
          <w:rFonts w:ascii="Times New Roman" w:eastAsia="Times New Roman" w:hAnsi="Times New Roman" w:cs="Times New Roman"/>
          <w:sz w:val="26"/>
          <w:szCs w:val="26"/>
        </w:rPr>
        <w:t>ECO Energy Company</w:t>
      </w:r>
    </w:p>
    <w:p w14:paraId="3C7D3639" w14:textId="2A9602EC" w:rsidR="00E43BB4" w:rsidRDefault="00E43BB4" w:rsidP="00231EC0">
      <w:pPr>
        <w:spacing w:after="0" w:line="240" w:lineRule="auto"/>
        <w:contextualSpacing/>
        <w:rPr>
          <w:rFonts w:ascii="Times New Roman" w:eastAsia="Times New Roman" w:hAnsi="Times New Roman" w:cs="Times New Roman"/>
          <w:sz w:val="26"/>
          <w:szCs w:val="26"/>
        </w:rPr>
      </w:pPr>
    </w:p>
    <w:p w14:paraId="2D00AAF3" w14:textId="1177BA91" w:rsidR="00E43BB4" w:rsidRDefault="00E43BB4" w:rsidP="00E43BB4">
      <w:pPr>
        <w:spacing w:after="0" w:line="240" w:lineRule="auto"/>
        <w:contextualSpacing/>
        <w:rPr>
          <w:rFonts w:ascii="Times New Roman" w:eastAsia="Times New Roman" w:hAnsi="Times New Roman" w:cs="Times New Roman"/>
          <w:sz w:val="26"/>
          <w:szCs w:val="26"/>
        </w:rPr>
      </w:pPr>
    </w:p>
    <w:p w14:paraId="393CF909" w14:textId="77777777" w:rsidR="00025E7E" w:rsidRDefault="00025E7E" w:rsidP="00E43BB4">
      <w:pPr>
        <w:spacing w:after="0" w:line="240" w:lineRule="auto"/>
        <w:contextualSpacing/>
        <w:rPr>
          <w:rFonts w:ascii="Times New Roman" w:eastAsia="Times New Roman" w:hAnsi="Times New Roman" w:cs="Times New Roman"/>
          <w:sz w:val="26"/>
          <w:szCs w:val="26"/>
        </w:rPr>
      </w:pPr>
    </w:p>
    <w:p w14:paraId="6F2FBCE0" w14:textId="7D3BE6BB" w:rsidR="00E43BB4" w:rsidRDefault="00E43BB4" w:rsidP="00E43BB4">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Office of Consumer Advocate</w:t>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C-2019-3010737  </w:t>
      </w:r>
    </w:p>
    <w:p w14:paraId="156DC381" w14:textId="0D57B323" w:rsidR="00E43BB4" w:rsidRPr="00EC6B2B" w:rsidRDefault="00E43BB4" w:rsidP="00E43BB4">
      <w:pPr>
        <w:spacing w:after="0" w:line="240" w:lineRule="auto"/>
        <w:ind w:left="6480"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w:t>
      </w:r>
      <w:r w:rsidRPr="00EC6B2B">
        <w:rPr>
          <w:rFonts w:ascii="Times New Roman" w:eastAsia="Times New Roman" w:hAnsi="Times New Roman" w:cs="Times New Roman"/>
          <w:sz w:val="26"/>
          <w:szCs w:val="26"/>
        </w:rPr>
        <w:t>-201</w:t>
      </w:r>
      <w:r>
        <w:rPr>
          <w:rFonts w:ascii="Times New Roman" w:eastAsia="Times New Roman" w:hAnsi="Times New Roman" w:cs="Times New Roman"/>
          <w:sz w:val="26"/>
          <w:szCs w:val="26"/>
        </w:rPr>
        <w:t>9</w:t>
      </w:r>
      <w:r w:rsidRPr="00EC6B2B">
        <w:rPr>
          <w:rFonts w:ascii="Times New Roman" w:eastAsia="Times New Roman" w:hAnsi="Times New Roman" w:cs="Times New Roman"/>
          <w:sz w:val="26"/>
          <w:szCs w:val="26"/>
        </w:rPr>
        <w:t>-</w:t>
      </w:r>
      <w:r>
        <w:rPr>
          <w:rFonts w:ascii="Times New Roman" w:eastAsia="Times New Roman" w:hAnsi="Times New Roman" w:cs="Times New Roman"/>
          <w:sz w:val="26"/>
          <w:szCs w:val="26"/>
        </w:rPr>
        <w:t>3010032</w:t>
      </w:r>
    </w:p>
    <w:p w14:paraId="2EF1F585" w14:textId="77777777" w:rsidR="00E43BB4" w:rsidRPr="00EC6B2B" w:rsidRDefault="00E43BB4" w:rsidP="00E43BB4">
      <w:pPr>
        <w:spacing w:after="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ab/>
        <w:t>v.</w:t>
      </w:r>
    </w:p>
    <w:p w14:paraId="1364B800" w14:textId="77777777" w:rsidR="00E43BB4" w:rsidRPr="00EC6B2B" w:rsidRDefault="00E43BB4" w:rsidP="00E43BB4">
      <w:pPr>
        <w:spacing w:after="0" w:line="240" w:lineRule="auto"/>
        <w:contextualSpacing/>
        <w:rPr>
          <w:rFonts w:ascii="Times New Roman" w:eastAsia="Times New Roman" w:hAnsi="Times New Roman" w:cs="Times New Roman"/>
          <w:sz w:val="26"/>
          <w:szCs w:val="26"/>
        </w:rPr>
      </w:pPr>
    </w:p>
    <w:p w14:paraId="19F392D2" w14:textId="77777777" w:rsidR="00E43BB4" w:rsidRDefault="00E43BB4" w:rsidP="00E43BB4">
      <w:pPr>
        <w:spacing w:after="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P</w:t>
      </w:r>
      <w:r>
        <w:rPr>
          <w:rFonts w:ascii="Times New Roman" w:eastAsia="Times New Roman" w:hAnsi="Times New Roman" w:cs="Times New Roman"/>
          <w:sz w:val="26"/>
          <w:szCs w:val="26"/>
        </w:rPr>
        <w:t>ECO Energy Company</w:t>
      </w:r>
    </w:p>
    <w:p w14:paraId="57FAE5E2" w14:textId="77777777" w:rsidR="00E43BB4" w:rsidRDefault="00E43BB4" w:rsidP="00231EC0">
      <w:pPr>
        <w:spacing w:after="0" w:line="240" w:lineRule="auto"/>
        <w:contextualSpacing/>
        <w:rPr>
          <w:rFonts w:ascii="Times New Roman" w:eastAsia="Times New Roman" w:hAnsi="Times New Roman" w:cs="Times New Roman"/>
          <w:sz w:val="26"/>
          <w:szCs w:val="26"/>
        </w:rPr>
      </w:pPr>
    </w:p>
    <w:p w14:paraId="5371915F" w14:textId="369EA551" w:rsidR="00E43BB4" w:rsidRDefault="00E43BB4" w:rsidP="00231EC0">
      <w:pPr>
        <w:spacing w:after="0" w:line="240" w:lineRule="auto"/>
        <w:contextualSpacing/>
        <w:rPr>
          <w:rFonts w:ascii="Times New Roman" w:eastAsia="Times New Roman" w:hAnsi="Times New Roman" w:cs="Times New Roman"/>
          <w:sz w:val="26"/>
          <w:szCs w:val="26"/>
        </w:rPr>
      </w:pPr>
    </w:p>
    <w:p w14:paraId="7F38F1DC" w14:textId="77777777" w:rsidR="00E43BB4" w:rsidRPr="00EC6B2B" w:rsidRDefault="00E43BB4" w:rsidP="00231EC0">
      <w:pPr>
        <w:spacing w:after="0" w:line="240" w:lineRule="auto"/>
        <w:contextualSpacing/>
        <w:rPr>
          <w:rFonts w:ascii="Times New Roman" w:eastAsia="Times New Roman" w:hAnsi="Times New Roman" w:cs="Times New Roman"/>
          <w:sz w:val="26"/>
          <w:szCs w:val="26"/>
        </w:rPr>
      </w:pPr>
    </w:p>
    <w:bookmarkEnd w:id="0"/>
    <w:p w14:paraId="4507F578" w14:textId="4FAC2A42" w:rsidR="00B016BE" w:rsidRDefault="00B016BE" w:rsidP="00231EC0">
      <w:pPr>
        <w:spacing w:after="0" w:line="240" w:lineRule="auto"/>
        <w:contextualSpacing/>
        <w:rPr>
          <w:rFonts w:ascii="Times New Roman" w:eastAsia="Times New Roman" w:hAnsi="Times New Roman" w:cs="Times New Roman"/>
          <w:sz w:val="26"/>
          <w:szCs w:val="26"/>
        </w:rPr>
      </w:pPr>
    </w:p>
    <w:p w14:paraId="1ADE01C4" w14:textId="77777777" w:rsidR="005C03C5" w:rsidRPr="00EC6B2B" w:rsidRDefault="005C03C5" w:rsidP="00231EC0">
      <w:pPr>
        <w:spacing w:after="0" w:line="240" w:lineRule="auto"/>
        <w:contextualSpacing/>
        <w:rPr>
          <w:rFonts w:ascii="Times New Roman" w:eastAsia="Times New Roman" w:hAnsi="Times New Roman" w:cs="Times New Roman"/>
          <w:sz w:val="26"/>
          <w:szCs w:val="26"/>
        </w:rPr>
      </w:pPr>
    </w:p>
    <w:p w14:paraId="5D60DB27" w14:textId="77777777" w:rsidR="00FE7D0A" w:rsidRPr="00EC6B2B" w:rsidRDefault="00B016BE" w:rsidP="00231EC0">
      <w:pPr>
        <w:spacing w:after="0" w:line="240" w:lineRule="auto"/>
        <w:contextualSpacing/>
        <w:jc w:val="center"/>
        <w:rPr>
          <w:rFonts w:ascii="Times New Roman" w:eastAsia="Times New Roman" w:hAnsi="Times New Roman" w:cs="Times New Roman"/>
          <w:b/>
          <w:sz w:val="26"/>
          <w:szCs w:val="26"/>
        </w:rPr>
      </w:pPr>
      <w:r w:rsidRPr="00EC6B2B">
        <w:rPr>
          <w:rFonts w:ascii="Times New Roman" w:eastAsia="Times New Roman" w:hAnsi="Times New Roman" w:cs="Times New Roman"/>
          <w:b/>
          <w:sz w:val="26"/>
          <w:szCs w:val="26"/>
        </w:rPr>
        <w:t>O</w:t>
      </w:r>
      <w:r w:rsidR="00FE7D0A" w:rsidRPr="00EC6B2B">
        <w:rPr>
          <w:rFonts w:ascii="Times New Roman" w:eastAsia="Times New Roman" w:hAnsi="Times New Roman" w:cs="Times New Roman"/>
          <w:b/>
          <w:sz w:val="26"/>
          <w:szCs w:val="26"/>
        </w:rPr>
        <w:t>PINION AND ORDER</w:t>
      </w:r>
    </w:p>
    <w:p w14:paraId="67C449D9" w14:textId="77777777" w:rsidR="00FE7D0A" w:rsidRPr="00EC6B2B" w:rsidRDefault="00FE7D0A" w:rsidP="00231EC0">
      <w:pPr>
        <w:spacing w:after="0" w:line="240" w:lineRule="auto"/>
        <w:contextualSpacing/>
        <w:rPr>
          <w:rFonts w:ascii="Times New Roman" w:eastAsia="Times New Roman" w:hAnsi="Times New Roman" w:cs="Times New Roman"/>
          <w:sz w:val="26"/>
          <w:szCs w:val="26"/>
        </w:rPr>
      </w:pPr>
    </w:p>
    <w:p w14:paraId="7051EC23" w14:textId="43EA01B6" w:rsidR="00B016BE" w:rsidRDefault="00B016BE" w:rsidP="00231EC0">
      <w:pPr>
        <w:spacing w:after="0" w:line="240" w:lineRule="auto"/>
        <w:contextualSpacing/>
        <w:rPr>
          <w:rFonts w:ascii="Times New Roman" w:eastAsia="Times New Roman" w:hAnsi="Times New Roman" w:cs="Times New Roman"/>
          <w:sz w:val="26"/>
          <w:szCs w:val="26"/>
        </w:rPr>
      </w:pPr>
    </w:p>
    <w:p w14:paraId="035087E6" w14:textId="437A41CB" w:rsidR="007B4F44" w:rsidRDefault="007B4F44" w:rsidP="00231EC0">
      <w:pPr>
        <w:spacing w:after="0" w:line="240" w:lineRule="auto"/>
        <w:contextualSpacing/>
        <w:rPr>
          <w:rFonts w:ascii="Times New Roman" w:eastAsia="Times New Roman" w:hAnsi="Times New Roman" w:cs="Times New Roman"/>
          <w:sz w:val="26"/>
          <w:szCs w:val="26"/>
        </w:rPr>
      </w:pPr>
    </w:p>
    <w:p w14:paraId="443AEE47" w14:textId="77777777" w:rsidR="007B4F44" w:rsidRPr="00EC6B2B" w:rsidRDefault="007B4F44" w:rsidP="00231EC0">
      <w:pPr>
        <w:spacing w:after="0" w:line="240" w:lineRule="auto"/>
        <w:contextualSpacing/>
        <w:rPr>
          <w:rFonts w:ascii="Times New Roman" w:eastAsia="Times New Roman" w:hAnsi="Times New Roman" w:cs="Times New Roman"/>
          <w:sz w:val="26"/>
          <w:szCs w:val="26"/>
        </w:rPr>
      </w:pPr>
    </w:p>
    <w:p w14:paraId="65A2FB1E" w14:textId="77777777" w:rsidR="00E43BB4" w:rsidRDefault="00E43BB4">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11DCE08C" w14:textId="5F8AA9DA" w:rsidR="00FE7D0A" w:rsidRPr="00EC6B2B" w:rsidRDefault="00FE7D0A" w:rsidP="00231EC0">
      <w:pPr>
        <w:tabs>
          <w:tab w:val="left" w:pos="-720"/>
        </w:tabs>
        <w:suppressAutoHyphens/>
        <w:spacing w:after="12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b/>
          <w:sz w:val="26"/>
          <w:szCs w:val="26"/>
        </w:rPr>
        <w:lastRenderedPageBreak/>
        <w:t>BY THE COMMISSION:</w:t>
      </w:r>
    </w:p>
    <w:p w14:paraId="619F08A4" w14:textId="77777777" w:rsidR="00FE7D0A" w:rsidRPr="00EC6B2B" w:rsidRDefault="00FE7D0A" w:rsidP="00231EC0">
      <w:pPr>
        <w:tabs>
          <w:tab w:val="left" w:pos="-720"/>
        </w:tabs>
        <w:suppressAutoHyphens/>
        <w:spacing w:after="0" w:line="360" w:lineRule="auto"/>
        <w:contextualSpacing/>
        <w:rPr>
          <w:rFonts w:ascii="Times New Roman" w:eastAsia="Times New Roman" w:hAnsi="Times New Roman" w:cs="Times New Roman"/>
          <w:sz w:val="26"/>
          <w:szCs w:val="26"/>
        </w:rPr>
      </w:pPr>
    </w:p>
    <w:p w14:paraId="2D1B54BF" w14:textId="6CFDE7F7" w:rsidR="00FE7D0A" w:rsidRPr="00410DDC" w:rsidRDefault="00FE7D0A" w:rsidP="00231EC0">
      <w:pPr>
        <w:tabs>
          <w:tab w:val="left" w:pos="-720"/>
        </w:tabs>
        <w:suppressAutoHyphens/>
        <w:spacing w:after="0" w:line="360" w:lineRule="auto"/>
        <w:ind w:firstLine="1440"/>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Before the Pennsylvania Public Utility Commission (Commission) for consideration and disposition </w:t>
      </w:r>
      <w:r w:rsidR="00CF35FF" w:rsidRPr="00EC6B2B">
        <w:rPr>
          <w:rFonts w:ascii="Times New Roman" w:eastAsia="Times New Roman" w:hAnsi="Times New Roman" w:cs="Times New Roman"/>
          <w:sz w:val="26"/>
          <w:szCs w:val="26"/>
        </w:rPr>
        <w:t xml:space="preserve">are the Exceptions </w:t>
      </w:r>
      <w:r w:rsidR="00462DF3">
        <w:rPr>
          <w:rFonts w:ascii="Times New Roman" w:eastAsia="Times New Roman" w:hAnsi="Times New Roman" w:cs="Times New Roman"/>
          <w:sz w:val="26"/>
          <w:szCs w:val="26"/>
        </w:rPr>
        <w:t>of</w:t>
      </w:r>
      <w:r w:rsidRPr="00EC6B2B">
        <w:rPr>
          <w:rFonts w:ascii="Times New Roman" w:eastAsia="Times New Roman" w:hAnsi="Times New Roman" w:cs="Times New Roman"/>
          <w:sz w:val="26"/>
          <w:szCs w:val="26"/>
        </w:rPr>
        <w:t xml:space="preserve"> </w:t>
      </w:r>
      <w:r w:rsidR="00E43BB4">
        <w:rPr>
          <w:rFonts w:ascii="Times New Roman" w:eastAsia="Times New Roman" w:hAnsi="Times New Roman" w:cs="Times New Roman"/>
          <w:sz w:val="26"/>
          <w:szCs w:val="26"/>
        </w:rPr>
        <w:t>the Office of Consumer Advocate</w:t>
      </w:r>
      <w:r w:rsidR="00CF35FF" w:rsidRPr="00EC6B2B">
        <w:rPr>
          <w:rFonts w:ascii="Times New Roman" w:eastAsia="Times New Roman" w:hAnsi="Times New Roman" w:cs="Times New Roman"/>
          <w:sz w:val="26"/>
          <w:szCs w:val="26"/>
        </w:rPr>
        <w:t xml:space="preserve"> (</w:t>
      </w:r>
      <w:r w:rsidR="00E43BB4">
        <w:rPr>
          <w:rFonts w:ascii="Times New Roman" w:eastAsia="Times New Roman" w:hAnsi="Times New Roman" w:cs="Times New Roman"/>
          <w:sz w:val="26"/>
          <w:szCs w:val="26"/>
        </w:rPr>
        <w:t>OCA</w:t>
      </w:r>
      <w:r w:rsidR="00996BAF">
        <w:rPr>
          <w:rFonts w:ascii="Times New Roman" w:eastAsia="Times New Roman" w:hAnsi="Times New Roman" w:cs="Times New Roman"/>
          <w:sz w:val="26"/>
          <w:szCs w:val="26"/>
        </w:rPr>
        <w:t>)</w:t>
      </w:r>
      <w:r w:rsidR="00F313CD">
        <w:rPr>
          <w:rFonts w:ascii="Times New Roman" w:eastAsia="Times New Roman" w:hAnsi="Times New Roman" w:cs="Times New Roman"/>
          <w:sz w:val="26"/>
          <w:szCs w:val="26"/>
        </w:rPr>
        <w:t>,</w:t>
      </w:r>
      <w:r w:rsidR="00CF35FF" w:rsidRPr="00EC6B2B">
        <w:rPr>
          <w:rFonts w:ascii="Times New Roman" w:eastAsia="Times New Roman" w:hAnsi="Times New Roman" w:cs="Times New Roman"/>
          <w:sz w:val="26"/>
          <w:szCs w:val="26"/>
        </w:rPr>
        <w:t xml:space="preserve"> </w:t>
      </w:r>
      <w:r w:rsidR="00462DF3">
        <w:rPr>
          <w:rFonts w:ascii="Times New Roman" w:eastAsia="Times New Roman" w:hAnsi="Times New Roman" w:cs="Times New Roman"/>
          <w:sz w:val="26"/>
          <w:szCs w:val="26"/>
        </w:rPr>
        <w:t>filed on</w:t>
      </w:r>
      <w:r w:rsidR="00066AFD">
        <w:rPr>
          <w:rFonts w:ascii="Times New Roman" w:eastAsia="Times New Roman" w:hAnsi="Times New Roman" w:cs="Times New Roman"/>
          <w:sz w:val="26"/>
          <w:szCs w:val="26"/>
        </w:rPr>
        <w:t xml:space="preserve"> </w:t>
      </w:r>
      <w:r w:rsidR="00E43BB4">
        <w:rPr>
          <w:rFonts w:ascii="Times New Roman" w:eastAsia="Times New Roman" w:hAnsi="Times New Roman" w:cs="Times New Roman"/>
          <w:sz w:val="26"/>
          <w:szCs w:val="26"/>
        </w:rPr>
        <w:t>July 15</w:t>
      </w:r>
      <w:r w:rsidR="00066AFD" w:rsidRPr="00A426D4">
        <w:rPr>
          <w:rFonts w:ascii="Times New Roman" w:eastAsia="Times New Roman" w:hAnsi="Times New Roman" w:cs="Times New Roman"/>
          <w:sz w:val="26"/>
          <w:szCs w:val="26"/>
        </w:rPr>
        <w:t>, 2020</w:t>
      </w:r>
      <w:r w:rsidR="00C9440F" w:rsidRPr="00EC6B2B">
        <w:rPr>
          <w:rFonts w:ascii="Times New Roman" w:eastAsia="Times New Roman" w:hAnsi="Times New Roman" w:cs="Times New Roman"/>
          <w:sz w:val="26"/>
          <w:szCs w:val="26"/>
        </w:rPr>
        <w:t>,</w:t>
      </w:r>
      <w:r w:rsidR="0070615D">
        <w:rPr>
          <w:rFonts w:ascii="Times New Roman" w:eastAsia="Times New Roman" w:hAnsi="Times New Roman" w:cs="Times New Roman"/>
          <w:sz w:val="26"/>
          <w:szCs w:val="26"/>
        </w:rPr>
        <w:t xml:space="preserve"> to the </w:t>
      </w:r>
      <w:r w:rsidR="0070615D" w:rsidRPr="00EC6B2B">
        <w:rPr>
          <w:rFonts w:ascii="Times New Roman" w:eastAsia="Times New Roman" w:hAnsi="Times New Roman" w:cs="Times New Roman"/>
          <w:sz w:val="26"/>
          <w:szCs w:val="26"/>
        </w:rPr>
        <w:t>Initial Decision (I.D.) of Administrative Law Judge (ALJ)</w:t>
      </w:r>
      <w:r w:rsidR="00A426D4">
        <w:rPr>
          <w:rFonts w:ascii="Times New Roman" w:eastAsia="Times New Roman" w:hAnsi="Times New Roman" w:cs="Times New Roman"/>
          <w:sz w:val="26"/>
          <w:szCs w:val="26"/>
        </w:rPr>
        <w:t xml:space="preserve"> </w:t>
      </w:r>
      <w:r w:rsidR="00E86CE6">
        <w:rPr>
          <w:rFonts w:ascii="Times New Roman" w:eastAsia="Times New Roman" w:hAnsi="Times New Roman" w:cs="Times New Roman"/>
          <w:sz w:val="26"/>
          <w:szCs w:val="26"/>
        </w:rPr>
        <w:t>Marta Guhl</w:t>
      </w:r>
      <w:r w:rsidR="0070615D" w:rsidRPr="00EC6B2B">
        <w:rPr>
          <w:rFonts w:ascii="Times New Roman" w:eastAsia="Times New Roman" w:hAnsi="Times New Roman" w:cs="Times New Roman"/>
          <w:sz w:val="26"/>
          <w:szCs w:val="26"/>
        </w:rPr>
        <w:t xml:space="preserve">, </w:t>
      </w:r>
      <w:r w:rsidR="00735C43">
        <w:rPr>
          <w:rFonts w:ascii="Times New Roman" w:eastAsia="Times New Roman" w:hAnsi="Times New Roman" w:cs="Times New Roman"/>
          <w:sz w:val="26"/>
          <w:szCs w:val="26"/>
        </w:rPr>
        <w:t xml:space="preserve">issued </w:t>
      </w:r>
      <w:r w:rsidR="004C6C17">
        <w:rPr>
          <w:rFonts w:ascii="Times New Roman" w:eastAsia="Times New Roman" w:hAnsi="Times New Roman" w:cs="Times New Roman"/>
          <w:sz w:val="26"/>
          <w:szCs w:val="26"/>
        </w:rPr>
        <w:t xml:space="preserve">on </w:t>
      </w:r>
      <w:r w:rsidR="00E86CE6">
        <w:rPr>
          <w:rFonts w:ascii="Times New Roman" w:eastAsia="Times New Roman" w:hAnsi="Times New Roman" w:cs="Times New Roman"/>
          <w:sz w:val="26"/>
          <w:szCs w:val="26"/>
        </w:rPr>
        <w:t>June 25</w:t>
      </w:r>
      <w:r w:rsidR="00667C7C" w:rsidRPr="00A426D4">
        <w:rPr>
          <w:rFonts w:ascii="Times New Roman" w:eastAsia="Times New Roman" w:hAnsi="Times New Roman" w:cs="Times New Roman"/>
          <w:sz w:val="26"/>
          <w:szCs w:val="26"/>
        </w:rPr>
        <w:t>,</w:t>
      </w:r>
      <w:r w:rsidR="00326A1F">
        <w:rPr>
          <w:rFonts w:ascii="Times New Roman" w:eastAsia="Times New Roman" w:hAnsi="Times New Roman" w:cs="Times New Roman"/>
          <w:sz w:val="26"/>
          <w:szCs w:val="26"/>
        </w:rPr>
        <w:t> </w:t>
      </w:r>
      <w:r w:rsidR="00667C7C" w:rsidRPr="00A426D4">
        <w:rPr>
          <w:rFonts w:ascii="Times New Roman" w:eastAsia="Times New Roman" w:hAnsi="Times New Roman" w:cs="Times New Roman"/>
          <w:sz w:val="26"/>
          <w:szCs w:val="26"/>
        </w:rPr>
        <w:t>2020</w:t>
      </w:r>
      <w:r w:rsidR="004C6C17">
        <w:rPr>
          <w:rFonts w:ascii="Times New Roman" w:eastAsia="Times New Roman" w:hAnsi="Times New Roman" w:cs="Times New Roman"/>
          <w:sz w:val="26"/>
          <w:szCs w:val="26"/>
        </w:rPr>
        <w:t>, in the above-</w:t>
      </w:r>
      <w:r w:rsidR="00003588">
        <w:rPr>
          <w:rFonts w:ascii="Times New Roman" w:eastAsia="Times New Roman" w:hAnsi="Times New Roman" w:cs="Times New Roman"/>
          <w:sz w:val="26"/>
          <w:szCs w:val="26"/>
        </w:rPr>
        <w:t>ca</w:t>
      </w:r>
      <w:r w:rsidR="004C6C17">
        <w:rPr>
          <w:rFonts w:ascii="Times New Roman" w:eastAsia="Times New Roman" w:hAnsi="Times New Roman" w:cs="Times New Roman"/>
          <w:sz w:val="26"/>
          <w:szCs w:val="26"/>
        </w:rPr>
        <w:t>ptioned proceeding</w:t>
      </w:r>
      <w:r w:rsidR="0070615D">
        <w:rPr>
          <w:rFonts w:ascii="Times New Roman" w:eastAsia="Times New Roman" w:hAnsi="Times New Roman" w:cs="Times New Roman"/>
          <w:sz w:val="26"/>
          <w:szCs w:val="26"/>
        </w:rPr>
        <w:t xml:space="preserve">.  </w:t>
      </w:r>
      <w:r w:rsidR="004C6C17">
        <w:rPr>
          <w:rFonts w:ascii="Times New Roman" w:eastAsia="Times New Roman" w:hAnsi="Times New Roman" w:cs="Times New Roman"/>
          <w:sz w:val="26"/>
          <w:szCs w:val="26"/>
        </w:rPr>
        <w:t>O</w:t>
      </w:r>
      <w:r w:rsidR="0070615D" w:rsidRPr="00EC6B2B">
        <w:rPr>
          <w:rFonts w:ascii="Times New Roman" w:eastAsia="Times New Roman" w:hAnsi="Times New Roman" w:cs="Times New Roman"/>
          <w:sz w:val="26"/>
          <w:szCs w:val="26"/>
        </w:rPr>
        <w:t xml:space="preserve">n </w:t>
      </w:r>
      <w:r w:rsidR="001F7773">
        <w:rPr>
          <w:rFonts w:ascii="Times New Roman" w:eastAsia="Times New Roman" w:hAnsi="Times New Roman" w:cs="Times New Roman"/>
          <w:sz w:val="26"/>
          <w:szCs w:val="26"/>
        </w:rPr>
        <w:t>Ju</w:t>
      </w:r>
      <w:r w:rsidR="00E86CE6">
        <w:rPr>
          <w:rFonts w:ascii="Times New Roman" w:eastAsia="Times New Roman" w:hAnsi="Times New Roman" w:cs="Times New Roman"/>
          <w:sz w:val="26"/>
          <w:szCs w:val="26"/>
        </w:rPr>
        <w:t>ly</w:t>
      </w:r>
      <w:r w:rsidR="00D80059">
        <w:rPr>
          <w:rFonts w:ascii="Times New Roman" w:eastAsia="Times New Roman" w:hAnsi="Times New Roman" w:cs="Times New Roman"/>
          <w:sz w:val="26"/>
          <w:szCs w:val="26"/>
        </w:rPr>
        <w:t> </w:t>
      </w:r>
      <w:r w:rsidR="00E86CE6">
        <w:rPr>
          <w:rFonts w:ascii="Times New Roman" w:eastAsia="Times New Roman" w:hAnsi="Times New Roman" w:cs="Times New Roman"/>
          <w:sz w:val="26"/>
          <w:szCs w:val="26"/>
        </w:rPr>
        <w:t>27</w:t>
      </w:r>
      <w:r w:rsidR="00563E15">
        <w:rPr>
          <w:rFonts w:ascii="Times New Roman" w:eastAsia="Times New Roman" w:hAnsi="Times New Roman" w:cs="Times New Roman"/>
          <w:sz w:val="26"/>
          <w:szCs w:val="26"/>
        </w:rPr>
        <w:t>, 2020</w:t>
      </w:r>
      <w:r w:rsidR="004C6C17">
        <w:rPr>
          <w:rFonts w:ascii="Times New Roman" w:eastAsia="Times New Roman" w:hAnsi="Times New Roman" w:cs="Times New Roman"/>
          <w:sz w:val="26"/>
          <w:szCs w:val="26"/>
        </w:rPr>
        <w:t xml:space="preserve">, </w:t>
      </w:r>
      <w:r w:rsidR="00E86CE6">
        <w:rPr>
          <w:rFonts w:ascii="Times New Roman" w:eastAsia="Times New Roman" w:hAnsi="Times New Roman" w:cs="Times New Roman"/>
          <w:sz w:val="26"/>
          <w:szCs w:val="26"/>
        </w:rPr>
        <w:t>PECO Energy</w:t>
      </w:r>
      <w:r w:rsidR="004C6C17" w:rsidRPr="00EC6B2B">
        <w:rPr>
          <w:rFonts w:ascii="Times New Roman" w:eastAsia="Times New Roman" w:hAnsi="Times New Roman" w:cs="Times New Roman"/>
          <w:sz w:val="26"/>
          <w:szCs w:val="26"/>
        </w:rPr>
        <w:t xml:space="preserve"> Company (</w:t>
      </w:r>
      <w:r w:rsidR="00E86CE6">
        <w:rPr>
          <w:rFonts w:ascii="Times New Roman" w:eastAsia="Times New Roman" w:hAnsi="Times New Roman" w:cs="Times New Roman"/>
          <w:sz w:val="26"/>
          <w:szCs w:val="26"/>
        </w:rPr>
        <w:t>PECO</w:t>
      </w:r>
      <w:r w:rsidR="00046818">
        <w:rPr>
          <w:rFonts w:ascii="Times New Roman" w:eastAsia="Times New Roman" w:hAnsi="Times New Roman" w:cs="Times New Roman"/>
          <w:sz w:val="26"/>
          <w:szCs w:val="26"/>
        </w:rPr>
        <w:t xml:space="preserve"> or the Company</w:t>
      </w:r>
      <w:r w:rsidR="004C6C17" w:rsidRPr="00EC6B2B">
        <w:rPr>
          <w:rFonts w:ascii="Times New Roman" w:eastAsia="Times New Roman" w:hAnsi="Times New Roman" w:cs="Times New Roman"/>
          <w:sz w:val="26"/>
          <w:szCs w:val="26"/>
        </w:rPr>
        <w:t xml:space="preserve">) </w:t>
      </w:r>
      <w:r w:rsidR="00046818">
        <w:rPr>
          <w:rFonts w:ascii="Times New Roman" w:eastAsia="Times New Roman" w:hAnsi="Times New Roman" w:cs="Times New Roman"/>
          <w:sz w:val="26"/>
          <w:szCs w:val="26"/>
        </w:rPr>
        <w:t>filed Replies to Exceptions</w:t>
      </w:r>
      <w:r w:rsidR="0070615D">
        <w:rPr>
          <w:rFonts w:ascii="Times New Roman" w:eastAsia="Times New Roman" w:hAnsi="Times New Roman" w:cs="Times New Roman"/>
          <w:sz w:val="26"/>
          <w:szCs w:val="26"/>
        </w:rPr>
        <w:t xml:space="preserve">.  </w:t>
      </w:r>
      <w:r w:rsidRPr="00EC6B2B">
        <w:rPr>
          <w:rFonts w:ascii="Times New Roman" w:eastAsia="Times New Roman" w:hAnsi="Times New Roman" w:cs="Times New Roman"/>
          <w:sz w:val="26"/>
          <w:szCs w:val="26"/>
        </w:rPr>
        <w:t xml:space="preserve">For the reasons </w:t>
      </w:r>
      <w:r w:rsidR="00FB5D6B">
        <w:rPr>
          <w:rFonts w:ascii="Times New Roman" w:eastAsia="Times New Roman" w:hAnsi="Times New Roman" w:cs="Times New Roman"/>
          <w:sz w:val="26"/>
          <w:szCs w:val="26"/>
        </w:rPr>
        <w:t>stat</w:t>
      </w:r>
      <w:r w:rsidR="00D714DD">
        <w:rPr>
          <w:rFonts w:ascii="Times New Roman" w:eastAsia="Times New Roman" w:hAnsi="Times New Roman" w:cs="Times New Roman"/>
          <w:sz w:val="26"/>
          <w:szCs w:val="26"/>
        </w:rPr>
        <w:t>ed</w:t>
      </w:r>
      <w:r w:rsidR="00EB1BC8" w:rsidRPr="00EC6B2B">
        <w:rPr>
          <w:rFonts w:ascii="Times New Roman" w:eastAsia="Times New Roman" w:hAnsi="Times New Roman" w:cs="Times New Roman"/>
          <w:sz w:val="26"/>
          <w:szCs w:val="26"/>
        </w:rPr>
        <w:t xml:space="preserve"> </w:t>
      </w:r>
      <w:r w:rsidRPr="00EC6B2B">
        <w:rPr>
          <w:rFonts w:ascii="Times New Roman" w:eastAsia="Times New Roman" w:hAnsi="Times New Roman" w:cs="Times New Roman"/>
          <w:sz w:val="26"/>
          <w:szCs w:val="26"/>
        </w:rPr>
        <w:t xml:space="preserve">below, we </w:t>
      </w:r>
      <w:r w:rsidR="00BA09D9" w:rsidRPr="00EC6B2B">
        <w:rPr>
          <w:rFonts w:ascii="Times New Roman" w:eastAsia="Times New Roman" w:hAnsi="Times New Roman" w:cs="Times New Roman"/>
          <w:sz w:val="26"/>
          <w:szCs w:val="26"/>
        </w:rPr>
        <w:t xml:space="preserve">shall </w:t>
      </w:r>
      <w:r w:rsidR="00D714DD">
        <w:rPr>
          <w:rFonts w:ascii="Times New Roman" w:eastAsia="Times New Roman" w:hAnsi="Times New Roman" w:cs="Times New Roman"/>
          <w:sz w:val="26"/>
          <w:szCs w:val="26"/>
        </w:rPr>
        <w:t>deny the Exceptions</w:t>
      </w:r>
      <w:r w:rsidR="00E86CE6">
        <w:rPr>
          <w:rFonts w:ascii="Times New Roman" w:eastAsia="Times New Roman" w:hAnsi="Times New Roman" w:cs="Times New Roman"/>
          <w:sz w:val="26"/>
          <w:szCs w:val="26"/>
        </w:rPr>
        <w:t xml:space="preserve"> and</w:t>
      </w:r>
      <w:r w:rsidR="00CF35FF" w:rsidRPr="00EC6B2B">
        <w:rPr>
          <w:rFonts w:ascii="Times New Roman" w:eastAsia="Times New Roman" w:hAnsi="Times New Roman" w:cs="Times New Roman"/>
          <w:sz w:val="26"/>
          <w:szCs w:val="26"/>
        </w:rPr>
        <w:t xml:space="preserve"> </w:t>
      </w:r>
      <w:r w:rsidR="009513B0">
        <w:rPr>
          <w:rFonts w:ascii="Times New Roman" w:eastAsia="Times New Roman" w:hAnsi="Times New Roman" w:cs="Times New Roman"/>
          <w:sz w:val="26"/>
          <w:szCs w:val="26"/>
        </w:rPr>
        <w:t>adopt</w:t>
      </w:r>
      <w:r w:rsidR="00CF35FF" w:rsidRPr="00EC6B2B">
        <w:rPr>
          <w:rFonts w:ascii="Times New Roman" w:eastAsia="Times New Roman" w:hAnsi="Times New Roman" w:cs="Times New Roman"/>
          <w:sz w:val="26"/>
          <w:szCs w:val="26"/>
        </w:rPr>
        <w:t xml:space="preserve"> the </w:t>
      </w:r>
      <w:r w:rsidR="004D7E1A" w:rsidRPr="00EC6B2B">
        <w:rPr>
          <w:rFonts w:ascii="Times New Roman" w:eastAsia="Times New Roman" w:hAnsi="Times New Roman" w:cs="Times New Roman"/>
          <w:sz w:val="26"/>
          <w:szCs w:val="26"/>
        </w:rPr>
        <w:t>Initial Decision</w:t>
      </w:r>
      <w:r w:rsidR="009513B0">
        <w:rPr>
          <w:rFonts w:ascii="Times New Roman" w:eastAsia="Times New Roman" w:hAnsi="Times New Roman" w:cs="Times New Roman"/>
          <w:sz w:val="26"/>
          <w:szCs w:val="26"/>
        </w:rPr>
        <w:t xml:space="preserve">, </w:t>
      </w:r>
      <w:r w:rsidR="007D783D" w:rsidRPr="00EC6B2B">
        <w:rPr>
          <w:rFonts w:ascii="Times New Roman" w:eastAsia="Times New Roman" w:hAnsi="Times New Roman" w:cs="Times New Roman"/>
          <w:sz w:val="26"/>
          <w:szCs w:val="26"/>
        </w:rPr>
        <w:t xml:space="preserve">consistent with </w:t>
      </w:r>
      <w:r w:rsidR="004F6A47">
        <w:rPr>
          <w:rFonts w:ascii="Times New Roman" w:eastAsia="Times New Roman" w:hAnsi="Times New Roman" w:cs="Times New Roman"/>
          <w:sz w:val="26"/>
          <w:szCs w:val="26"/>
        </w:rPr>
        <w:t xml:space="preserve">the discussion in </w:t>
      </w:r>
      <w:r w:rsidR="007D783D" w:rsidRPr="00EC6B2B">
        <w:rPr>
          <w:rFonts w:ascii="Times New Roman" w:eastAsia="Times New Roman" w:hAnsi="Times New Roman" w:cs="Times New Roman"/>
          <w:sz w:val="26"/>
          <w:szCs w:val="26"/>
        </w:rPr>
        <w:t>this Opinion and Order.</w:t>
      </w:r>
    </w:p>
    <w:p w14:paraId="0C8EDCB6" w14:textId="77777777" w:rsidR="00FE7D0A" w:rsidRPr="00EC6B2B" w:rsidRDefault="00FE7D0A" w:rsidP="00231EC0">
      <w:pPr>
        <w:spacing w:after="0" w:line="360" w:lineRule="auto"/>
        <w:ind w:firstLine="1440"/>
        <w:contextualSpacing/>
        <w:rPr>
          <w:rFonts w:ascii="Times New Roman" w:eastAsia="Times New Roman" w:hAnsi="Times New Roman" w:cs="Times New Roman"/>
          <w:sz w:val="26"/>
          <w:szCs w:val="26"/>
        </w:rPr>
      </w:pPr>
    </w:p>
    <w:p w14:paraId="5FB5E3DE" w14:textId="02E5C712" w:rsidR="00FE7D0A" w:rsidRPr="00EC6B2B" w:rsidRDefault="003379B5" w:rsidP="00231EC0">
      <w:pPr>
        <w:keepNext/>
        <w:keepLines/>
        <w:tabs>
          <w:tab w:val="left" w:pos="-720"/>
        </w:tabs>
        <w:suppressAutoHyphens/>
        <w:spacing w:after="0" w:line="36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w:t>
      </w:r>
      <w:r>
        <w:rPr>
          <w:rFonts w:ascii="Times New Roman" w:eastAsia="Times New Roman" w:hAnsi="Times New Roman" w:cs="Times New Roman"/>
          <w:b/>
          <w:sz w:val="26"/>
          <w:szCs w:val="26"/>
        </w:rPr>
        <w:tab/>
      </w:r>
      <w:r w:rsidR="00FE7D0A" w:rsidRPr="00EC6B2B">
        <w:rPr>
          <w:rFonts w:ascii="Times New Roman" w:eastAsia="Times New Roman" w:hAnsi="Times New Roman" w:cs="Times New Roman"/>
          <w:b/>
          <w:sz w:val="26"/>
          <w:szCs w:val="26"/>
        </w:rPr>
        <w:t>History of the Proceeding</w:t>
      </w:r>
    </w:p>
    <w:p w14:paraId="5FF3ACDD" w14:textId="77777777" w:rsidR="00FE7D0A" w:rsidRPr="00EC6B2B" w:rsidRDefault="00FE7D0A" w:rsidP="00231EC0">
      <w:pPr>
        <w:keepNext/>
        <w:keepLines/>
        <w:tabs>
          <w:tab w:val="left" w:pos="-720"/>
        </w:tabs>
        <w:suppressAutoHyphens/>
        <w:spacing w:after="0" w:line="360" w:lineRule="auto"/>
        <w:contextualSpacing/>
        <w:rPr>
          <w:rFonts w:ascii="Times New Roman" w:eastAsia="Times New Roman" w:hAnsi="Times New Roman" w:cs="Times New Roman"/>
          <w:sz w:val="26"/>
          <w:szCs w:val="26"/>
        </w:rPr>
      </w:pPr>
    </w:p>
    <w:p w14:paraId="04674464" w14:textId="35AFDA26" w:rsidR="00852036" w:rsidRDefault="005F7D9C" w:rsidP="00140DC2">
      <w:pPr>
        <w:spacing w:after="0" w:line="360" w:lineRule="auto"/>
        <w:ind w:firstLine="1440"/>
        <w:contextualSpacing/>
        <w:rPr>
          <w:rFonts w:ascii="Times New Roman" w:hAnsi="Times New Roman" w:cs="Times New Roman"/>
          <w:sz w:val="26"/>
          <w:szCs w:val="26"/>
        </w:rPr>
      </w:pPr>
      <w:r w:rsidRPr="00140DC2">
        <w:rPr>
          <w:rFonts w:ascii="Times New Roman" w:hAnsi="Times New Roman" w:cs="Times New Roman"/>
          <w:sz w:val="26"/>
          <w:szCs w:val="26"/>
        </w:rPr>
        <w:t xml:space="preserve">On November 7, 2018, PECO filed with the Commission a Semiannual Adjustment to the Non-Bypassable Transmission (NBT) Service Charge in PECO Energy Electric Tariff No. 5, Supplement No. 76. </w:t>
      </w:r>
      <w:r w:rsidR="00140DC2">
        <w:rPr>
          <w:rFonts w:ascii="Times New Roman" w:hAnsi="Times New Roman" w:cs="Times New Roman"/>
          <w:sz w:val="26"/>
          <w:szCs w:val="26"/>
        </w:rPr>
        <w:t xml:space="preserve"> </w:t>
      </w:r>
      <w:r w:rsidRPr="00140DC2">
        <w:rPr>
          <w:rFonts w:ascii="Times New Roman" w:hAnsi="Times New Roman" w:cs="Times New Roman"/>
          <w:sz w:val="26"/>
          <w:szCs w:val="26"/>
        </w:rPr>
        <w:t xml:space="preserve">Through this tariff supplement, PECO proposed to adjust the NBT Service Charge to reflect the impact of the approved </w:t>
      </w:r>
      <w:r w:rsidR="00C20FE1">
        <w:rPr>
          <w:rFonts w:ascii="Times New Roman" w:hAnsi="Times New Roman" w:cs="Times New Roman"/>
          <w:sz w:val="26"/>
          <w:szCs w:val="26"/>
        </w:rPr>
        <w:t xml:space="preserve">credits </w:t>
      </w:r>
      <w:r w:rsidR="009B5FB8">
        <w:rPr>
          <w:rFonts w:ascii="Times New Roman" w:hAnsi="Times New Roman" w:cs="Times New Roman"/>
          <w:sz w:val="26"/>
          <w:szCs w:val="26"/>
        </w:rPr>
        <w:t xml:space="preserve">of the </w:t>
      </w:r>
      <w:r w:rsidR="006B1583">
        <w:rPr>
          <w:rFonts w:ascii="Times New Roman" w:hAnsi="Times New Roman" w:cs="Times New Roman"/>
          <w:sz w:val="26"/>
          <w:szCs w:val="26"/>
        </w:rPr>
        <w:t>Regional</w:t>
      </w:r>
      <w:r w:rsidR="00322F04">
        <w:rPr>
          <w:rFonts w:ascii="Times New Roman" w:hAnsi="Times New Roman" w:cs="Times New Roman"/>
          <w:sz w:val="26"/>
          <w:szCs w:val="26"/>
        </w:rPr>
        <w:t xml:space="preserve"> Transmission Expansion Plan (</w:t>
      </w:r>
      <w:r w:rsidRPr="00140DC2">
        <w:rPr>
          <w:rFonts w:ascii="Times New Roman" w:hAnsi="Times New Roman" w:cs="Times New Roman"/>
          <w:sz w:val="26"/>
          <w:szCs w:val="26"/>
        </w:rPr>
        <w:t>RTEP</w:t>
      </w:r>
      <w:r w:rsidR="00322F04">
        <w:rPr>
          <w:rFonts w:ascii="Times New Roman" w:hAnsi="Times New Roman" w:cs="Times New Roman"/>
          <w:sz w:val="26"/>
          <w:szCs w:val="26"/>
        </w:rPr>
        <w:t>)</w:t>
      </w:r>
      <w:r w:rsidRPr="00140DC2">
        <w:rPr>
          <w:rFonts w:ascii="Times New Roman" w:hAnsi="Times New Roman" w:cs="Times New Roman"/>
          <w:sz w:val="26"/>
          <w:szCs w:val="26"/>
        </w:rPr>
        <w:t xml:space="preserve"> </w:t>
      </w:r>
      <w:r w:rsidR="009B5FB8">
        <w:rPr>
          <w:rFonts w:ascii="Times New Roman" w:hAnsi="Times New Roman" w:cs="Times New Roman"/>
          <w:sz w:val="26"/>
          <w:szCs w:val="26"/>
        </w:rPr>
        <w:t xml:space="preserve">of PJM Interconnections, LLC (PJM) </w:t>
      </w:r>
      <w:r w:rsidRPr="00140DC2">
        <w:rPr>
          <w:rFonts w:ascii="Times New Roman" w:hAnsi="Times New Roman" w:cs="Times New Roman"/>
          <w:sz w:val="26"/>
          <w:szCs w:val="26"/>
        </w:rPr>
        <w:t xml:space="preserve">pursuant to </w:t>
      </w:r>
      <w:r w:rsidR="00170CA0">
        <w:rPr>
          <w:rFonts w:ascii="Times New Roman" w:hAnsi="Times New Roman" w:cs="Times New Roman"/>
          <w:sz w:val="26"/>
          <w:szCs w:val="26"/>
        </w:rPr>
        <w:t>a Federal Energy Regulatory Commission (</w:t>
      </w:r>
      <w:r w:rsidRPr="00140DC2">
        <w:rPr>
          <w:rFonts w:ascii="Times New Roman" w:hAnsi="Times New Roman" w:cs="Times New Roman"/>
          <w:sz w:val="26"/>
          <w:szCs w:val="26"/>
        </w:rPr>
        <w:t>FERC</w:t>
      </w:r>
      <w:r w:rsidR="00170CA0">
        <w:rPr>
          <w:rFonts w:ascii="Times New Roman" w:hAnsi="Times New Roman" w:cs="Times New Roman"/>
          <w:sz w:val="26"/>
          <w:szCs w:val="26"/>
        </w:rPr>
        <w:t>)</w:t>
      </w:r>
      <w:r w:rsidRPr="00140DC2">
        <w:rPr>
          <w:rFonts w:ascii="Times New Roman" w:hAnsi="Times New Roman" w:cs="Times New Roman"/>
          <w:sz w:val="26"/>
          <w:szCs w:val="26"/>
        </w:rPr>
        <w:t xml:space="preserve"> Settlement Agreement. </w:t>
      </w:r>
      <w:r w:rsidR="00A55850">
        <w:rPr>
          <w:rFonts w:ascii="Times New Roman" w:hAnsi="Times New Roman" w:cs="Times New Roman"/>
          <w:sz w:val="26"/>
          <w:szCs w:val="26"/>
        </w:rPr>
        <w:t xml:space="preserve"> </w:t>
      </w:r>
      <w:r w:rsidR="00197576" w:rsidRPr="001C677F">
        <w:rPr>
          <w:rFonts w:ascii="Times New Roman" w:hAnsi="Times New Roman" w:cs="Times New Roman"/>
          <w:i/>
          <w:iCs/>
          <w:sz w:val="26"/>
          <w:szCs w:val="26"/>
        </w:rPr>
        <w:t>PJM Interconnection, L.L.C.</w:t>
      </w:r>
      <w:r w:rsidR="00197576" w:rsidRPr="003F4A89">
        <w:rPr>
          <w:rFonts w:ascii="Times New Roman" w:hAnsi="Times New Roman" w:cs="Times New Roman"/>
          <w:sz w:val="26"/>
          <w:szCs w:val="26"/>
        </w:rPr>
        <w:t>, 2018 FERC LEXIS 713 (F.E.R.C. May</w:t>
      </w:r>
      <w:r w:rsidR="00D80059">
        <w:rPr>
          <w:rFonts w:ascii="Times New Roman" w:hAnsi="Times New Roman" w:cs="Times New Roman"/>
          <w:sz w:val="26"/>
          <w:szCs w:val="26"/>
        </w:rPr>
        <w:t> </w:t>
      </w:r>
      <w:r w:rsidR="00197576" w:rsidRPr="003F4A89">
        <w:rPr>
          <w:rFonts w:ascii="Times New Roman" w:hAnsi="Times New Roman" w:cs="Times New Roman"/>
          <w:sz w:val="26"/>
          <w:szCs w:val="26"/>
        </w:rPr>
        <w:t>31,</w:t>
      </w:r>
      <w:r w:rsidR="00D80059">
        <w:rPr>
          <w:rFonts w:ascii="Times New Roman" w:hAnsi="Times New Roman" w:cs="Times New Roman"/>
          <w:sz w:val="26"/>
          <w:szCs w:val="26"/>
        </w:rPr>
        <w:t> </w:t>
      </w:r>
      <w:r w:rsidR="00197576" w:rsidRPr="003F4A89">
        <w:rPr>
          <w:rFonts w:ascii="Times New Roman" w:hAnsi="Times New Roman" w:cs="Times New Roman"/>
          <w:sz w:val="26"/>
          <w:szCs w:val="26"/>
        </w:rPr>
        <w:t>2018) (FERC Settlement Agreement)</w:t>
      </w:r>
      <w:r w:rsidR="00197576">
        <w:rPr>
          <w:rFonts w:ascii="Times New Roman" w:hAnsi="Times New Roman" w:cs="Times New Roman"/>
          <w:sz w:val="26"/>
          <w:szCs w:val="26"/>
        </w:rPr>
        <w:t>.</w:t>
      </w:r>
    </w:p>
    <w:p w14:paraId="7F629D28" w14:textId="77777777" w:rsidR="00852036" w:rsidRDefault="00852036" w:rsidP="00140DC2">
      <w:pPr>
        <w:spacing w:after="0" w:line="360" w:lineRule="auto"/>
        <w:ind w:firstLine="1440"/>
        <w:contextualSpacing/>
        <w:rPr>
          <w:rFonts w:ascii="Times New Roman" w:hAnsi="Times New Roman" w:cs="Times New Roman"/>
          <w:sz w:val="26"/>
          <w:szCs w:val="26"/>
        </w:rPr>
      </w:pPr>
    </w:p>
    <w:p w14:paraId="0E4C39C6" w14:textId="701F67CE" w:rsidR="00140DC2" w:rsidRDefault="005F7D9C" w:rsidP="00140DC2">
      <w:pPr>
        <w:spacing w:after="0" w:line="360" w:lineRule="auto"/>
        <w:ind w:firstLine="1440"/>
        <w:contextualSpacing/>
        <w:rPr>
          <w:rFonts w:ascii="Times New Roman" w:hAnsi="Times New Roman" w:cs="Times New Roman"/>
          <w:sz w:val="26"/>
          <w:szCs w:val="26"/>
        </w:rPr>
      </w:pPr>
      <w:r w:rsidRPr="00140DC2">
        <w:rPr>
          <w:rFonts w:ascii="Times New Roman" w:hAnsi="Times New Roman" w:cs="Times New Roman"/>
          <w:sz w:val="26"/>
          <w:szCs w:val="26"/>
        </w:rPr>
        <w:t xml:space="preserve">Under the FERC Settlement Agreement, the PECO zone </w:t>
      </w:r>
      <w:r w:rsidR="00A55850">
        <w:rPr>
          <w:rFonts w:ascii="Times New Roman" w:hAnsi="Times New Roman" w:cs="Times New Roman"/>
          <w:sz w:val="26"/>
          <w:szCs w:val="26"/>
        </w:rPr>
        <w:t>received</w:t>
      </w:r>
      <w:r w:rsidRPr="00140DC2">
        <w:rPr>
          <w:rFonts w:ascii="Times New Roman" w:hAnsi="Times New Roman" w:cs="Times New Roman"/>
          <w:sz w:val="26"/>
          <w:szCs w:val="26"/>
        </w:rPr>
        <w:t xml:space="preserve"> a credit of $49,567,831 for the historical period of June 2007 through December 2015. </w:t>
      </w:r>
      <w:r w:rsidR="00A55850">
        <w:rPr>
          <w:rFonts w:ascii="Times New Roman" w:hAnsi="Times New Roman" w:cs="Times New Roman"/>
          <w:sz w:val="26"/>
          <w:szCs w:val="26"/>
        </w:rPr>
        <w:t xml:space="preserve"> </w:t>
      </w:r>
      <w:r w:rsidRPr="00140DC2">
        <w:rPr>
          <w:rFonts w:ascii="Times New Roman" w:hAnsi="Times New Roman" w:cs="Times New Roman"/>
          <w:sz w:val="26"/>
          <w:szCs w:val="26"/>
        </w:rPr>
        <w:t xml:space="preserve">Through its filing, PECO proposed to retain $5.5 million, which PECO states is the portion of RTEP charges that PJM billed to PECO from June 2007 through December 2010. </w:t>
      </w:r>
      <w:r w:rsidR="009B5FB8">
        <w:rPr>
          <w:rFonts w:ascii="Times New Roman" w:hAnsi="Times New Roman" w:cs="Times New Roman"/>
          <w:sz w:val="26"/>
          <w:szCs w:val="26"/>
        </w:rPr>
        <w:t xml:space="preserve"> </w:t>
      </w:r>
      <w:r w:rsidRPr="00140DC2">
        <w:rPr>
          <w:rFonts w:ascii="Times New Roman" w:hAnsi="Times New Roman" w:cs="Times New Roman"/>
          <w:sz w:val="26"/>
          <w:szCs w:val="26"/>
        </w:rPr>
        <w:t xml:space="preserve">PECO proposed that the adjustment would become effective on December 1, 2018. </w:t>
      </w:r>
      <w:r w:rsidR="009B5FB8">
        <w:rPr>
          <w:rFonts w:ascii="Times New Roman" w:hAnsi="Times New Roman" w:cs="Times New Roman"/>
          <w:sz w:val="26"/>
          <w:szCs w:val="26"/>
        </w:rPr>
        <w:t xml:space="preserve"> </w:t>
      </w:r>
      <w:r w:rsidRPr="00140DC2">
        <w:rPr>
          <w:rFonts w:ascii="Times New Roman" w:hAnsi="Times New Roman" w:cs="Times New Roman"/>
          <w:sz w:val="26"/>
          <w:szCs w:val="26"/>
        </w:rPr>
        <w:t xml:space="preserve">As a part of its filing, PECO submitted a one-page explanation to the Commission regarding its reasoning for the NBT adjustment and the Company’s proposal to retain $5.5 million in FERC-ordered credits to ratepayers. </w:t>
      </w:r>
    </w:p>
    <w:p w14:paraId="78BECDC3" w14:textId="057F2EE4" w:rsidR="00DE3780" w:rsidRPr="00140DC2" w:rsidRDefault="00AB1843" w:rsidP="00140DC2">
      <w:pPr>
        <w:spacing w:after="0"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lastRenderedPageBreak/>
        <w:t xml:space="preserve">By Secretarial Letter dated </w:t>
      </w:r>
      <w:r w:rsidR="00DE3780">
        <w:rPr>
          <w:rFonts w:ascii="Times New Roman" w:hAnsi="Times New Roman" w:cs="Times New Roman"/>
          <w:sz w:val="26"/>
          <w:szCs w:val="26"/>
        </w:rPr>
        <w:t>November 28, 2018</w:t>
      </w:r>
      <w:r w:rsidR="00302233">
        <w:rPr>
          <w:rFonts w:ascii="Times New Roman" w:hAnsi="Times New Roman" w:cs="Times New Roman"/>
          <w:sz w:val="26"/>
          <w:szCs w:val="26"/>
        </w:rPr>
        <w:t xml:space="preserve"> (</w:t>
      </w:r>
      <w:r w:rsidR="00302233" w:rsidRPr="00302233">
        <w:rPr>
          <w:rFonts w:ascii="Times New Roman" w:hAnsi="Times New Roman" w:cs="Times New Roman"/>
          <w:i/>
          <w:iCs/>
          <w:sz w:val="26"/>
          <w:szCs w:val="26"/>
        </w:rPr>
        <w:t>November 2018 Secretarial Letter</w:t>
      </w:r>
      <w:r w:rsidR="00302233">
        <w:rPr>
          <w:rFonts w:ascii="Times New Roman" w:hAnsi="Times New Roman" w:cs="Times New Roman"/>
          <w:sz w:val="26"/>
          <w:szCs w:val="26"/>
        </w:rPr>
        <w:t>)</w:t>
      </w:r>
      <w:r w:rsidR="00DE3780">
        <w:rPr>
          <w:rFonts w:ascii="Times New Roman" w:hAnsi="Times New Roman" w:cs="Times New Roman"/>
          <w:sz w:val="26"/>
          <w:szCs w:val="26"/>
        </w:rPr>
        <w:t xml:space="preserve">, the </w:t>
      </w:r>
      <w:r w:rsidR="00A528BF">
        <w:rPr>
          <w:rFonts w:ascii="Times New Roman" w:hAnsi="Times New Roman" w:cs="Times New Roman"/>
          <w:sz w:val="26"/>
          <w:szCs w:val="26"/>
        </w:rPr>
        <w:t>Commission</w:t>
      </w:r>
      <w:r w:rsidR="00477BBB">
        <w:rPr>
          <w:rFonts w:ascii="Times New Roman" w:hAnsi="Times New Roman" w:cs="Times New Roman"/>
          <w:sz w:val="26"/>
          <w:szCs w:val="26"/>
        </w:rPr>
        <w:t xml:space="preserve"> </w:t>
      </w:r>
      <w:r w:rsidR="003F4F21">
        <w:rPr>
          <w:rFonts w:ascii="Times New Roman" w:hAnsi="Times New Roman" w:cs="Times New Roman"/>
          <w:sz w:val="26"/>
          <w:szCs w:val="26"/>
        </w:rPr>
        <w:t>stated</w:t>
      </w:r>
      <w:r w:rsidR="00477BBB">
        <w:rPr>
          <w:rFonts w:ascii="Times New Roman" w:hAnsi="Times New Roman" w:cs="Times New Roman"/>
          <w:sz w:val="26"/>
          <w:szCs w:val="26"/>
        </w:rPr>
        <w:t xml:space="preserve"> that it appears the </w:t>
      </w:r>
      <w:r w:rsidR="00B36E16">
        <w:rPr>
          <w:rFonts w:ascii="Times New Roman" w:hAnsi="Times New Roman" w:cs="Times New Roman"/>
          <w:sz w:val="26"/>
          <w:szCs w:val="26"/>
        </w:rPr>
        <w:t>proposed NBT rates for the six-month period of December 1, 2018, through May 31, 2</w:t>
      </w:r>
      <w:r w:rsidR="006F72DB">
        <w:rPr>
          <w:rFonts w:ascii="Times New Roman" w:hAnsi="Times New Roman" w:cs="Times New Roman"/>
          <w:sz w:val="26"/>
          <w:szCs w:val="26"/>
        </w:rPr>
        <w:t xml:space="preserve">019, are consistent with the tariff and are permitted </w:t>
      </w:r>
      <w:r w:rsidR="00754005">
        <w:rPr>
          <w:rFonts w:ascii="Times New Roman" w:hAnsi="Times New Roman" w:cs="Times New Roman"/>
          <w:sz w:val="26"/>
          <w:szCs w:val="26"/>
        </w:rPr>
        <w:t xml:space="preserve">to become effective as filed.  However, the </w:t>
      </w:r>
      <w:r w:rsidR="00302233" w:rsidRPr="00302233">
        <w:rPr>
          <w:rFonts w:ascii="Times New Roman" w:hAnsi="Times New Roman" w:cs="Times New Roman"/>
          <w:i/>
          <w:iCs/>
          <w:sz w:val="26"/>
          <w:szCs w:val="26"/>
        </w:rPr>
        <w:t xml:space="preserve">November 2018 </w:t>
      </w:r>
      <w:r w:rsidR="00754005" w:rsidRPr="00302233">
        <w:rPr>
          <w:rFonts w:ascii="Times New Roman" w:hAnsi="Times New Roman" w:cs="Times New Roman"/>
          <w:i/>
          <w:iCs/>
          <w:sz w:val="26"/>
          <w:szCs w:val="26"/>
        </w:rPr>
        <w:t>Secretarial Letter</w:t>
      </w:r>
      <w:r w:rsidR="00754005">
        <w:rPr>
          <w:rFonts w:ascii="Times New Roman" w:hAnsi="Times New Roman" w:cs="Times New Roman"/>
          <w:sz w:val="26"/>
          <w:szCs w:val="26"/>
        </w:rPr>
        <w:t xml:space="preserve"> </w:t>
      </w:r>
      <w:r w:rsidR="00AC2E82">
        <w:rPr>
          <w:rFonts w:ascii="Times New Roman" w:hAnsi="Times New Roman" w:cs="Times New Roman"/>
          <w:sz w:val="26"/>
          <w:szCs w:val="26"/>
        </w:rPr>
        <w:t>indicated</w:t>
      </w:r>
      <w:r w:rsidR="00754005">
        <w:rPr>
          <w:rFonts w:ascii="Times New Roman" w:hAnsi="Times New Roman" w:cs="Times New Roman"/>
          <w:sz w:val="26"/>
          <w:szCs w:val="26"/>
        </w:rPr>
        <w:t xml:space="preserve"> that </w:t>
      </w:r>
      <w:r w:rsidR="000641E9">
        <w:rPr>
          <w:rFonts w:ascii="Times New Roman" w:hAnsi="Times New Roman" w:cs="Times New Roman"/>
          <w:sz w:val="26"/>
          <w:szCs w:val="26"/>
        </w:rPr>
        <w:t xml:space="preserve">the “NBT is subject to continuous Commission review and audit as well as reconciliation reports in accordance </w:t>
      </w:r>
      <w:r>
        <w:rPr>
          <w:rFonts w:ascii="Times New Roman" w:hAnsi="Times New Roman" w:cs="Times New Roman"/>
          <w:sz w:val="26"/>
          <w:szCs w:val="26"/>
        </w:rPr>
        <w:t xml:space="preserve">with Section 1307(e) of the Public Utility Code, 66 Pa. C.S. § 1307(e).”  </w:t>
      </w:r>
    </w:p>
    <w:p w14:paraId="4E1AC254" w14:textId="77777777" w:rsidR="00140DC2" w:rsidRPr="00140DC2" w:rsidRDefault="00140DC2" w:rsidP="00140DC2">
      <w:pPr>
        <w:spacing w:after="0" w:line="360" w:lineRule="auto"/>
        <w:contextualSpacing/>
        <w:rPr>
          <w:rFonts w:ascii="Times New Roman" w:hAnsi="Times New Roman" w:cs="Times New Roman"/>
          <w:sz w:val="26"/>
          <w:szCs w:val="26"/>
        </w:rPr>
      </w:pPr>
    </w:p>
    <w:p w14:paraId="3A5E2EEC" w14:textId="39A6842C" w:rsidR="00852036" w:rsidRDefault="00140DC2" w:rsidP="00140DC2">
      <w:pPr>
        <w:spacing w:after="0" w:line="360" w:lineRule="auto"/>
        <w:ind w:firstLine="1440"/>
        <w:contextualSpacing/>
        <w:rPr>
          <w:rFonts w:ascii="Times New Roman" w:hAnsi="Times New Roman" w:cs="Times New Roman"/>
          <w:sz w:val="26"/>
          <w:szCs w:val="26"/>
        </w:rPr>
      </w:pPr>
      <w:r w:rsidRPr="00140DC2">
        <w:rPr>
          <w:rFonts w:ascii="Times New Roman" w:hAnsi="Times New Roman" w:cs="Times New Roman"/>
          <w:sz w:val="26"/>
          <w:szCs w:val="26"/>
        </w:rPr>
        <w:t xml:space="preserve">On November 29, 2018, </w:t>
      </w:r>
      <w:r w:rsidR="009B5FB8">
        <w:rPr>
          <w:rFonts w:ascii="Times New Roman" w:hAnsi="Times New Roman" w:cs="Times New Roman"/>
          <w:sz w:val="26"/>
          <w:szCs w:val="26"/>
        </w:rPr>
        <w:t xml:space="preserve">the </w:t>
      </w:r>
      <w:r w:rsidRPr="00140DC2">
        <w:rPr>
          <w:rFonts w:ascii="Times New Roman" w:hAnsi="Times New Roman" w:cs="Times New Roman"/>
          <w:sz w:val="26"/>
          <w:szCs w:val="26"/>
        </w:rPr>
        <w:t>OCA filed a Formal Complaint, at Docket No. C-2018-3006242</w:t>
      </w:r>
      <w:r w:rsidR="009A3C82">
        <w:rPr>
          <w:rFonts w:ascii="Times New Roman" w:hAnsi="Times New Roman" w:cs="Times New Roman"/>
          <w:sz w:val="26"/>
          <w:szCs w:val="26"/>
        </w:rPr>
        <w:t xml:space="preserve"> (2018 Complaint</w:t>
      </w:r>
      <w:r w:rsidR="00D3662B">
        <w:rPr>
          <w:rFonts w:ascii="Times New Roman" w:hAnsi="Times New Roman" w:cs="Times New Roman"/>
          <w:sz w:val="26"/>
          <w:szCs w:val="26"/>
        </w:rPr>
        <w:t>)</w:t>
      </w:r>
      <w:r w:rsidRPr="00140DC2">
        <w:rPr>
          <w:rFonts w:ascii="Times New Roman" w:hAnsi="Times New Roman" w:cs="Times New Roman"/>
          <w:sz w:val="26"/>
          <w:szCs w:val="26"/>
        </w:rPr>
        <w:t xml:space="preserve">, with the Commission challenging PECO’s proposed semiannual adjustment to its NBT, specifically the proposal to retain $5.5 million of FERC-ordered RTEP credits. </w:t>
      </w:r>
      <w:r w:rsidR="009B5FB8">
        <w:rPr>
          <w:rFonts w:ascii="Times New Roman" w:hAnsi="Times New Roman" w:cs="Times New Roman"/>
          <w:sz w:val="26"/>
          <w:szCs w:val="26"/>
        </w:rPr>
        <w:t xml:space="preserve"> </w:t>
      </w:r>
    </w:p>
    <w:p w14:paraId="4EADF51F" w14:textId="77777777" w:rsidR="00852036" w:rsidRDefault="00852036" w:rsidP="00140DC2">
      <w:pPr>
        <w:spacing w:after="0" w:line="360" w:lineRule="auto"/>
        <w:ind w:firstLine="1440"/>
        <w:contextualSpacing/>
        <w:rPr>
          <w:rFonts w:ascii="Times New Roman" w:hAnsi="Times New Roman" w:cs="Times New Roman"/>
          <w:sz w:val="26"/>
          <w:szCs w:val="26"/>
        </w:rPr>
      </w:pPr>
    </w:p>
    <w:p w14:paraId="2FA6847C" w14:textId="77777777" w:rsidR="00852036" w:rsidRDefault="00140DC2" w:rsidP="00140DC2">
      <w:pPr>
        <w:spacing w:after="0" w:line="360" w:lineRule="auto"/>
        <w:ind w:firstLine="1440"/>
        <w:contextualSpacing/>
        <w:rPr>
          <w:rFonts w:ascii="Times New Roman" w:hAnsi="Times New Roman" w:cs="Times New Roman"/>
          <w:sz w:val="26"/>
          <w:szCs w:val="26"/>
        </w:rPr>
      </w:pPr>
      <w:r w:rsidRPr="00140DC2">
        <w:rPr>
          <w:rFonts w:ascii="Times New Roman" w:hAnsi="Times New Roman" w:cs="Times New Roman"/>
          <w:sz w:val="26"/>
          <w:szCs w:val="26"/>
        </w:rPr>
        <w:t xml:space="preserve">On December 19, 2018, PECO filed a Preliminary Objection alleging that </w:t>
      </w:r>
      <w:r w:rsidR="009B5FB8">
        <w:rPr>
          <w:rFonts w:ascii="Times New Roman" w:hAnsi="Times New Roman" w:cs="Times New Roman"/>
          <w:sz w:val="26"/>
          <w:szCs w:val="26"/>
        </w:rPr>
        <w:t xml:space="preserve">the </w:t>
      </w:r>
      <w:r w:rsidRPr="00140DC2">
        <w:rPr>
          <w:rFonts w:ascii="Times New Roman" w:hAnsi="Times New Roman" w:cs="Times New Roman"/>
          <w:sz w:val="26"/>
          <w:szCs w:val="26"/>
        </w:rPr>
        <w:t xml:space="preserve">OCA’s Formal Complaint contained insufficient specificity for a pleading. </w:t>
      </w:r>
      <w:r w:rsidR="009B5FB8">
        <w:rPr>
          <w:rFonts w:ascii="Times New Roman" w:hAnsi="Times New Roman" w:cs="Times New Roman"/>
          <w:sz w:val="26"/>
          <w:szCs w:val="26"/>
        </w:rPr>
        <w:t xml:space="preserve"> </w:t>
      </w:r>
      <w:r w:rsidRPr="00140DC2">
        <w:rPr>
          <w:rFonts w:ascii="Times New Roman" w:hAnsi="Times New Roman" w:cs="Times New Roman"/>
          <w:sz w:val="26"/>
          <w:szCs w:val="26"/>
        </w:rPr>
        <w:t xml:space="preserve">On December 31, 2018, </w:t>
      </w:r>
      <w:r w:rsidR="00852036">
        <w:rPr>
          <w:rFonts w:ascii="Times New Roman" w:hAnsi="Times New Roman" w:cs="Times New Roman"/>
          <w:sz w:val="26"/>
          <w:szCs w:val="26"/>
        </w:rPr>
        <w:t xml:space="preserve">the </w:t>
      </w:r>
      <w:r w:rsidRPr="00140DC2">
        <w:rPr>
          <w:rFonts w:ascii="Times New Roman" w:hAnsi="Times New Roman" w:cs="Times New Roman"/>
          <w:sz w:val="26"/>
          <w:szCs w:val="26"/>
        </w:rPr>
        <w:t xml:space="preserve">OCA filed an Answer to the Preliminary Objection. </w:t>
      </w:r>
    </w:p>
    <w:p w14:paraId="754EDE00" w14:textId="77777777" w:rsidR="00852036" w:rsidRDefault="00852036" w:rsidP="00140DC2">
      <w:pPr>
        <w:spacing w:after="0" w:line="360" w:lineRule="auto"/>
        <w:ind w:firstLine="1440"/>
        <w:contextualSpacing/>
        <w:rPr>
          <w:rFonts w:ascii="Times New Roman" w:hAnsi="Times New Roman" w:cs="Times New Roman"/>
          <w:sz w:val="26"/>
          <w:szCs w:val="26"/>
        </w:rPr>
      </w:pPr>
    </w:p>
    <w:p w14:paraId="786E99ED" w14:textId="77777777" w:rsidR="00852036" w:rsidRDefault="00140DC2" w:rsidP="00140DC2">
      <w:pPr>
        <w:spacing w:after="0" w:line="360" w:lineRule="auto"/>
        <w:ind w:firstLine="1440"/>
        <w:contextualSpacing/>
        <w:rPr>
          <w:rFonts w:ascii="Times New Roman" w:hAnsi="Times New Roman" w:cs="Times New Roman"/>
          <w:sz w:val="26"/>
          <w:szCs w:val="26"/>
        </w:rPr>
      </w:pPr>
      <w:r w:rsidRPr="00140DC2">
        <w:rPr>
          <w:rFonts w:ascii="Times New Roman" w:hAnsi="Times New Roman" w:cs="Times New Roman"/>
          <w:sz w:val="26"/>
          <w:szCs w:val="26"/>
        </w:rPr>
        <w:t xml:space="preserve">On January 4, 2019, the Office of Small Business Advocate (OSBA) filed a Notice of Intervention, Public Statement, Appearance, and Verification. </w:t>
      </w:r>
    </w:p>
    <w:p w14:paraId="0B74B839" w14:textId="77777777" w:rsidR="00852036" w:rsidRDefault="00852036" w:rsidP="00140DC2">
      <w:pPr>
        <w:spacing w:after="0" w:line="360" w:lineRule="auto"/>
        <w:ind w:firstLine="1440"/>
        <w:contextualSpacing/>
        <w:rPr>
          <w:rFonts w:ascii="Times New Roman" w:hAnsi="Times New Roman" w:cs="Times New Roman"/>
          <w:sz w:val="26"/>
          <w:szCs w:val="26"/>
        </w:rPr>
      </w:pPr>
    </w:p>
    <w:p w14:paraId="310877D2" w14:textId="351B8D77" w:rsidR="004D7EB5" w:rsidRDefault="00140DC2" w:rsidP="00140DC2">
      <w:pPr>
        <w:spacing w:after="0" w:line="360" w:lineRule="auto"/>
        <w:ind w:firstLine="1440"/>
        <w:contextualSpacing/>
        <w:rPr>
          <w:rFonts w:ascii="Times New Roman" w:hAnsi="Times New Roman" w:cs="Times New Roman"/>
          <w:sz w:val="26"/>
          <w:szCs w:val="26"/>
        </w:rPr>
      </w:pPr>
      <w:r w:rsidRPr="00140DC2">
        <w:rPr>
          <w:rFonts w:ascii="Times New Roman" w:hAnsi="Times New Roman" w:cs="Times New Roman"/>
          <w:sz w:val="26"/>
          <w:szCs w:val="26"/>
        </w:rPr>
        <w:t xml:space="preserve">On February 8, 2019, </w:t>
      </w:r>
      <w:r w:rsidR="00852036">
        <w:rPr>
          <w:rFonts w:ascii="Times New Roman" w:hAnsi="Times New Roman" w:cs="Times New Roman"/>
          <w:sz w:val="26"/>
          <w:szCs w:val="26"/>
        </w:rPr>
        <w:t xml:space="preserve">ALJ Guhl </w:t>
      </w:r>
      <w:r w:rsidRPr="00140DC2">
        <w:rPr>
          <w:rFonts w:ascii="Times New Roman" w:hAnsi="Times New Roman" w:cs="Times New Roman"/>
          <w:sz w:val="26"/>
          <w:szCs w:val="26"/>
        </w:rPr>
        <w:t xml:space="preserve">issued an Order denying PECO’s Preliminary Objection and directing PECO to file an Answer to </w:t>
      </w:r>
      <w:r w:rsidR="00852036">
        <w:rPr>
          <w:rFonts w:ascii="Times New Roman" w:hAnsi="Times New Roman" w:cs="Times New Roman"/>
          <w:sz w:val="26"/>
          <w:szCs w:val="26"/>
        </w:rPr>
        <w:t xml:space="preserve">the </w:t>
      </w:r>
      <w:r w:rsidRPr="00140DC2">
        <w:rPr>
          <w:rFonts w:ascii="Times New Roman" w:hAnsi="Times New Roman" w:cs="Times New Roman"/>
          <w:sz w:val="26"/>
          <w:szCs w:val="26"/>
        </w:rPr>
        <w:t xml:space="preserve">OCA’s Complaint. On February 28, 2019, PECO filed an Answer to </w:t>
      </w:r>
      <w:r w:rsidR="00852036">
        <w:rPr>
          <w:rFonts w:ascii="Times New Roman" w:hAnsi="Times New Roman" w:cs="Times New Roman"/>
          <w:sz w:val="26"/>
          <w:szCs w:val="26"/>
        </w:rPr>
        <w:t xml:space="preserve">the </w:t>
      </w:r>
      <w:r w:rsidRPr="00140DC2">
        <w:rPr>
          <w:rFonts w:ascii="Times New Roman" w:hAnsi="Times New Roman" w:cs="Times New Roman"/>
          <w:sz w:val="26"/>
          <w:szCs w:val="26"/>
        </w:rPr>
        <w:t xml:space="preserve">OCA’s </w:t>
      </w:r>
      <w:r w:rsidR="00014B29">
        <w:rPr>
          <w:rFonts w:ascii="Times New Roman" w:hAnsi="Times New Roman" w:cs="Times New Roman"/>
          <w:sz w:val="26"/>
          <w:szCs w:val="26"/>
        </w:rPr>
        <w:t xml:space="preserve">2018 </w:t>
      </w:r>
      <w:r w:rsidRPr="00140DC2">
        <w:rPr>
          <w:rFonts w:ascii="Times New Roman" w:hAnsi="Times New Roman" w:cs="Times New Roman"/>
          <w:sz w:val="26"/>
          <w:szCs w:val="26"/>
        </w:rPr>
        <w:t xml:space="preserve">Complaint. </w:t>
      </w:r>
    </w:p>
    <w:p w14:paraId="16A9FEBB" w14:textId="77777777" w:rsidR="004D7EB5" w:rsidRDefault="004D7EB5" w:rsidP="00140DC2">
      <w:pPr>
        <w:spacing w:after="0" w:line="360" w:lineRule="auto"/>
        <w:ind w:firstLine="1440"/>
        <w:contextualSpacing/>
        <w:rPr>
          <w:rFonts w:ascii="Times New Roman" w:hAnsi="Times New Roman" w:cs="Times New Roman"/>
          <w:sz w:val="26"/>
          <w:szCs w:val="26"/>
        </w:rPr>
      </w:pPr>
    </w:p>
    <w:p w14:paraId="3E259DFF" w14:textId="08A25D19" w:rsidR="004D7EB5" w:rsidRDefault="00140DC2" w:rsidP="00140DC2">
      <w:pPr>
        <w:spacing w:after="0" w:line="360" w:lineRule="auto"/>
        <w:ind w:firstLine="1440"/>
        <w:contextualSpacing/>
        <w:rPr>
          <w:rFonts w:ascii="Times New Roman" w:hAnsi="Times New Roman" w:cs="Times New Roman"/>
          <w:sz w:val="26"/>
          <w:szCs w:val="26"/>
        </w:rPr>
      </w:pPr>
      <w:r w:rsidRPr="00140DC2">
        <w:rPr>
          <w:rFonts w:ascii="Times New Roman" w:hAnsi="Times New Roman" w:cs="Times New Roman"/>
          <w:sz w:val="26"/>
          <w:szCs w:val="26"/>
        </w:rPr>
        <w:t xml:space="preserve">On May 15, 2019, PECO filed a semiannual adjustment to the NBT in PECO Energy Electric Tariff No. 6, Supplement No. 13, effective June 1, 2019. </w:t>
      </w:r>
      <w:r w:rsidR="004D7EB5">
        <w:rPr>
          <w:rFonts w:ascii="Times New Roman" w:hAnsi="Times New Roman" w:cs="Times New Roman"/>
          <w:sz w:val="26"/>
          <w:szCs w:val="26"/>
        </w:rPr>
        <w:t xml:space="preserve"> </w:t>
      </w:r>
      <w:r w:rsidRPr="00140DC2">
        <w:rPr>
          <w:rFonts w:ascii="Times New Roman" w:hAnsi="Times New Roman" w:cs="Times New Roman"/>
          <w:sz w:val="26"/>
          <w:szCs w:val="26"/>
        </w:rPr>
        <w:t>Through this proposed semiannual adjustment, PECO again indicated its proposal to retain $5.5 million of FERC</w:t>
      </w:r>
      <w:r w:rsidR="004D7EB5">
        <w:rPr>
          <w:rFonts w:ascii="Times New Roman" w:hAnsi="Times New Roman" w:cs="Times New Roman"/>
          <w:sz w:val="26"/>
          <w:szCs w:val="26"/>
        </w:rPr>
        <w:t>-</w:t>
      </w:r>
      <w:r w:rsidRPr="00140DC2">
        <w:rPr>
          <w:rFonts w:ascii="Times New Roman" w:hAnsi="Times New Roman" w:cs="Times New Roman"/>
          <w:sz w:val="26"/>
          <w:szCs w:val="26"/>
        </w:rPr>
        <w:t xml:space="preserve">ordered RTEP credits. </w:t>
      </w:r>
    </w:p>
    <w:p w14:paraId="5955975B" w14:textId="1B664E88" w:rsidR="00C6695A" w:rsidRDefault="00C6695A" w:rsidP="00140DC2">
      <w:pPr>
        <w:spacing w:after="0"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lastRenderedPageBreak/>
        <w:t xml:space="preserve">By Secretarial Letter dated </w:t>
      </w:r>
      <w:r w:rsidR="00B323E9">
        <w:rPr>
          <w:rFonts w:ascii="Times New Roman" w:hAnsi="Times New Roman" w:cs="Times New Roman"/>
          <w:sz w:val="26"/>
          <w:szCs w:val="26"/>
        </w:rPr>
        <w:t>May 30</w:t>
      </w:r>
      <w:r>
        <w:rPr>
          <w:rFonts w:ascii="Times New Roman" w:hAnsi="Times New Roman" w:cs="Times New Roman"/>
          <w:sz w:val="26"/>
          <w:szCs w:val="26"/>
        </w:rPr>
        <w:t>, 201</w:t>
      </w:r>
      <w:r w:rsidR="00B323E9">
        <w:rPr>
          <w:rFonts w:ascii="Times New Roman" w:hAnsi="Times New Roman" w:cs="Times New Roman"/>
          <w:sz w:val="26"/>
          <w:szCs w:val="26"/>
        </w:rPr>
        <w:t>9</w:t>
      </w:r>
      <w:r>
        <w:rPr>
          <w:rFonts w:ascii="Times New Roman" w:hAnsi="Times New Roman" w:cs="Times New Roman"/>
          <w:sz w:val="26"/>
          <w:szCs w:val="26"/>
        </w:rPr>
        <w:t xml:space="preserve"> (</w:t>
      </w:r>
      <w:r w:rsidR="00B323E9">
        <w:rPr>
          <w:rFonts w:ascii="Times New Roman" w:hAnsi="Times New Roman" w:cs="Times New Roman"/>
          <w:i/>
          <w:iCs/>
          <w:sz w:val="26"/>
          <w:szCs w:val="26"/>
        </w:rPr>
        <w:t>May 2019</w:t>
      </w:r>
      <w:r w:rsidRPr="00302233">
        <w:rPr>
          <w:rFonts w:ascii="Times New Roman" w:hAnsi="Times New Roman" w:cs="Times New Roman"/>
          <w:i/>
          <w:iCs/>
          <w:sz w:val="26"/>
          <w:szCs w:val="26"/>
        </w:rPr>
        <w:t xml:space="preserve"> Secretarial Letter</w:t>
      </w:r>
      <w:r>
        <w:rPr>
          <w:rFonts w:ascii="Times New Roman" w:hAnsi="Times New Roman" w:cs="Times New Roman"/>
          <w:sz w:val="26"/>
          <w:szCs w:val="26"/>
        </w:rPr>
        <w:t>), the Commission stat</w:t>
      </w:r>
      <w:r w:rsidR="00CC13DC">
        <w:rPr>
          <w:rFonts w:ascii="Times New Roman" w:hAnsi="Times New Roman" w:cs="Times New Roman"/>
          <w:sz w:val="26"/>
          <w:szCs w:val="26"/>
        </w:rPr>
        <w:t>ed</w:t>
      </w:r>
      <w:r>
        <w:rPr>
          <w:rFonts w:ascii="Times New Roman" w:hAnsi="Times New Roman" w:cs="Times New Roman"/>
          <w:sz w:val="26"/>
          <w:szCs w:val="26"/>
        </w:rPr>
        <w:t xml:space="preserve"> that it appears the proposed NBT rates for the six-month period of </w:t>
      </w:r>
      <w:r w:rsidR="00732670">
        <w:rPr>
          <w:rFonts w:ascii="Times New Roman" w:hAnsi="Times New Roman" w:cs="Times New Roman"/>
          <w:sz w:val="26"/>
          <w:szCs w:val="26"/>
        </w:rPr>
        <w:t>June 1, 2019</w:t>
      </w:r>
      <w:r>
        <w:rPr>
          <w:rFonts w:ascii="Times New Roman" w:hAnsi="Times New Roman" w:cs="Times New Roman"/>
          <w:sz w:val="26"/>
          <w:szCs w:val="26"/>
        </w:rPr>
        <w:t xml:space="preserve">, through </w:t>
      </w:r>
      <w:r w:rsidR="00732670">
        <w:rPr>
          <w:rFonts w:ascii="Times New Roman" w:hAnsi="Times New Roman" w:cs="Times New Roman"/>
          <w:sz w:val="26"/>
          <w:szCs w:val="26"/>
        </w:rPr>
        <w:t>November 30</w:t>
      </w:r>
      <w:r>
        <w:rPr>
          <w:rFonts w:ascii="Times New Roman" w:hAnsi="Times New Roman" w:cs="Times New Roman"/>
          <w:sz w:val="26"/>
          <w:szCs w:val="26"/>
        </w:rPr>
        <w:t>, 2019, are consistent with the tariff and are permitted to become effective as filed.</w:t>
      </w:r>
      <w:r w:rsidR="00C35A96">
        <w:rPr>
          <w:rStyle w:val="FootnoteReference"/>
          <w:rFonts w:ascii="Times New Roman" w:hAnsi="Times New Roman" w:cs="Times New Roman"/>
          <w:sz w:val="26"/>
          <w:szCs w:val="26"/>
        </w:rPr>
        <w:footnoteReference w:id="1"/>
      </w:r>
      <w:r>
        <w:rPr>
          <w:rFonts w:ascii="Times New Roman" w:hAnsi="Times New Roman" w:cs="Times New Roman"/>
          <w:sz w:val="26"/>
          <w:szCs w:val="26"/>
        </w:rPr>
        <w:t xml:space="preserve">  </w:t>
      </w:r>
    </w:p>
    <w:p w14:paraId="45AB016A" w14:textId="77777777" w:rsidR="004D7EB5" w:rsidRDefault="004D7EB5" w:rsidP="00140DC2">
      <w:pPr>
        <w:spacing w:after="0" w:line="360" w:lineRule="auto"/>
        <w:ind w:firstLine="1440"/>
        <w:contextualSpacing/>
        <w:rPr>
          <w:rFonts w:ascii="Times New Roman" w:hAnsi="Times New Roman" w:cs="Times New Roman"/>
          <w:sz w:val="26"/>
          <w:szCs w:val="26"/>
        </w:rPr>
      </w:pPr>
    </w:p>
    <w:p w14:paraId="0E217E87" w14:textId="2A88E176" w:rsidR="00140DC2" w:rsidRPr="00140DC2" w:rsidRDefault="004D7EB5" w:rsidP="00140DC2">
      <w:pPr>
        <w:spacing w:after="0"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 xml:space="preserve">The </w:t>
      </w:r>
      <w:r w:rsidR="00140DC2" w:rsidRPr="00140DC2">
        <w:rPr>
          <w:rFonts w:ascii="Times New Roman" w:hAnsi="Times New Roman" w:cs="Times New Roman"/>
          <w:sz w:val="26"/>
          <w:szCs w:val="26"/>
        </w:rPr>
        <w:t>OCA filed an additional Formal Complaint, at Docket No. C</w:t>
      </w:r>
      <w:r w:rsidR="001A28B7">
        <w:rPr>
          <w:rFonts w:ascii="Times New Roman" w:hAnsi="Times New Roman" w:cs="Times New Roman"/>
          <w:sz w:val="26"/>
          <w:szCs w:val="26"/>
        </w:rPr>
        <w:noBreakHyphen/>
      </w:r>
      <w:r w:rsidR="00140DC2" w:rsidRPr="00140DC2">
        <w:rPr>
          <w:rFonts w:ascii="Times New Roman" w:hAnsi="Times New Roman" w:cs="Times New Roman"/>
          <w:sz w:val="26"/>
          <w:szCs w:val="26"/>
        </w:rPr>
        <w:t>2019</w:t>
      </w:r>
      <w:r w:rsidR="001A28B7">
        <w:rPr>
          <w:rFonts w:ascii="Times New Roman" w:hAnsi="Times New Roman" w:cs="Times New Roman"/>
          <w:sz w:val="26"/>
          <w:szCs w:val="26"/>
        </w:rPr>
        <w:noBreakHyphen/>
      </w:r>
      <w:r w:rsidR="00140DC2" w:rsidRPr="00140DC2">
        <w:rPr>
          <w:rFonts w:ascii="Times New Roman" w:hAnsi="Times New Roman" w:cs="Times New Roman"/>
          <w:sz w:val="26"/>
          <w:szCs w:val="26"/>
        </w:rPr>
        <w:t xml:space="preserve">3010737, on June 13, 2019, raising the same issues that were previously raised in </w:t>
      </w:r>
      <w:r>
        <w:rPr>
          <w:rFonts w:ascii="Times New Roman" w:hAnsi="Times New Roman" w:cs="Times New Roman"/>
          <w:sz w:val="26"/>
          <w:szCs w:val="26"/>
        </w:rPr>
        <w:t xml:space="preserve">the </w:t>
      </w:r>
      <w:r w:rsidR="00140DC2" w:rsidRPr="00140DC2">
        <w:rPr>
          <w:rFonts w:ascii="Times New Roman" w:hAnsi="Times New Roman" w:cs="Times New Roman"/>
          <w:sz w:val="26"/>
          <w:szCs w:val="26"/>
        </w:rPr>
        <w:t xml:space="preserve">OCA’s initial Complaint. </w:t>
      </w:r>
      <w:r>
        <w:rPr>
          <w:rFonts w:ascii="Times New Roman" w:hAnsi="Times New Roman" w:cs="Times New Roman"/>
          <w:sz w:val="26"/>
          <w:szCs w:val="26"/>
        </w:rPr>
        <w:t xml:space="preserve"> </w:t>
      </w:r>
      <w:r w:rsidR="00140DC2" w:rsidRPr="00140DC2">
        <w:rPr>
          <w:rFonts w:ascii="Times New Roman" w:hAnsi="Times New Roman" w:cs="Times New Roman"/>
          <w:sz w:val="26"/>
          <w:szCs w:val="26"/>
        </w:rPr>
        <w:t xml:space="preserve">Additionally, </w:t>
      </w:r>
      <w:r w:rsidR="00B45390">
        <w:rPr>
          <w:rFonts w:ascii="Times New Roman" w:hAnsi="Times New Roman" w:cs="Times New Roman"/>
          <w:sz w:val="26"/>
          <w:szCs w:val="26"/>
        </w:rPr>
        <w:t xml:space="preserve">the </w:t>
      </w:r>
      <w:r w:rsidR="00140DC2" w:rsidRPr="00140DC2">
        <w:rPr>
          <w:rFonts w:ascii="Times New Roman" w:hAnsi="Times New Roman" w:cs="Times New Roman"/>
          <w:sz w:val="26"/>
          <w:szCs w:val="26"/>
        </w:rPr>
        <w:t>OCA requested that the proceeding regarding PECO’s May 15, 2019</w:t>
      </w:r>
      <w:r w:rsidR="00B45390">
        <w:rPr>
          <w:rFonts w:ascii="Times New Roman" w:hAnsi="Times New Roman" w:cs="Times New Roman"/>
          <w:sz w:val="26"/>
          <w:szCs w:val="26"/>
        </w:rPr>
        <w:t>,</w:t>
      </w:r>
      <w:r w:rsidR="00140DC2" w:rsidRPr="00140DC2">
        <w:rPr>
          <w:rFonts w:ascii="Times New Roman" w:hAnsi="Times New Roman" w:cs="Times New Roman"/>
          <w:sz w:val="26"/>
          <w:szCs w:val="26"/>
        </w:rPr>
        <w:t xml:space="preserve"> semiannual adjustment be consolidated with the proceeding docketed at Docket Nos. M-2018-3005860 and C-2018-3006242.</w:t>
      </w:r>
    </w:p>
    <w:p w14:paraId="2FD0EC10" w14:textId="77777777" w:rsidR="00140DC2" w:rsidRPr="00140DC2" w:rsidRDefault="00140DC2" w:rsidP="00140DC2">
      <w:pPr>
        <w:spacing w:after="0" w:line="360" w:lineRule="auto"/>
        <w:contextualSpacing/>
        <w:rPr>
          <w:rFonts w:ascii="Times New Roman" w:hAnsi="Times New Roman" w:cs="Times New Roman"/>
          <w:sz w:val="26"/>
          <w:szCs w:val="26"/>
        </w:rPr>
      </w:pPr>
    </w:p>
    <w:p w14:paraId="1CBD9834" w14:textId="2CF35433" w:rsidR="003F3954" w:rsidRDefault="00140DC2" w:rsidP="00231EC0">
      <w:pPr>
        <w:spacing w:after="0" w:line="360" w:lineRule="auto"/>
        <w:ind w:firstLine="1440"/>
        <w:contextualSpacing/>
        <w:rPr>
          <w:rFonts w:ascii="Times New Roman" w:hAnsi="Times New Roman" w:cs="Times New Roman"/>
          <w:sz w:val="26"/>
          <w:szCs w:val="26"/>
        </w:rPr>
      </w:pPr>
      <w:r w:rsidRPr="00140DC2">
        <w:rPr>
          <w:rFonts w:ascii="Times New Roman" w:hAnsi="Times New Roman" w:cs="Times New Roman"/>
          <w:sz w:val="26"/>
          <w:szCs w:val="26"/>
        </w:rPr>
        <w:t xml:space="preserve">PECO </w:t>
      </w:r>
      <w:r w:rsidR="007F197E">
        <w:rPr>
          <w:rFonts w:ascii="Times New Roman" w:hAnsi="Times New Roman" w:cs="Times New Roman"/>
          <w:sz w:val="26"/>
          <w:szCs w:val="26"/>
        </w:rPr>
        <w:t xml:space="preserve">and the OCA </w:t>
      </w:r>
      <w:r w:rsidRPr="00140DC2">
        <w:rPr>
          <w:rFonts w:ascii="Times New Roman" w:hAnsi="Times New Roman" w:cs="Times New Roman"/>
          <w:sz w:val="26"/>
          <w:szCs w:val="26"/>
        </w:rPr>
        <w:t xml:space="preserve">submitted </w:t>
      </w:r>
      <w:r w:rsidR="00EF00CE">
        <w:rPr>
          <w:rFonts w:ascii="Times New Roman" w:hAnsi="Times New Roman" w:cs="Times New Roman"/>
          <w:sz w:val="26"/>
          <w:szCs w:val="26"/>
        </w:rPr>
        <w:t>written t</w:t>
      </w:r>
      <w:r w:rsidRPr="00140DC2">
        <w:rPr>
          <w:rFonts w:ascii="Times New Roman" w:hAnsi="Times New Roman" w:cs="Times New Roman"/>
          <w:sz w:val="26"/>
          <w:szCs w:val="26"/>
        </w:rPr>
        <w:t>estimony</w:t>
      </w:r>
      <w:r w:rsidR="000242F5">
        <w:rPr>
          <w:rFonts w:ascii="Times New Roman" w:hAnsi="Times New Roman" w:cs="Times New Roman"/>
          <w:sz w:val="26"/>
          <w:szCs w:val="26"/>
        </w:rPr>
        <w:t xml:space="preserve">.  </w:t>
      </w:r>
      <w:r w:rsidRPr="00140DC2">
        <w:rPr>
          <w:rFonts w:ascii="Times New Roman" w:hAnsi="Times New Roman" w:cs="Times New Roman"/>
          <w:sz w:val="26"/>
          <w:szCs w:val="26"/>
        </w:rPr>
        <w:t>A telephonic evidentiary hearing was held on November 14, 2019</w:t>
      </w:r>
      <w:r w:rsidR="000242F5">
        <w:rPr>
          <w:rFonts w:ascii="Times New Roman" w:hAnsi="Times New Roman" w:cs="Times New Roman"/>
          <w:sz w:val="26"/>
          <w:szCs w:val="26"/>
        </w:rPr>
        <w:t>,</w:t>
      </w:r>
      <w:r w:rsidRPr="00140DC2">
        <w:rPr>
          <w:rFonts w:ascii="Times New Roman" w:hAnsi="Times New Roman" w:cs="Times New Roman"/>
          <w:sz w:val="26"/>
          <w:szCs w:val="26"/>
        </w:rPr>
        <w:t xml:space="preserve"> </w:t>
      </w:r>
      <w:r w:rsidR="00F117B3">
        <w:rPr>
          <w:rFonts w:ascii="Times New Roman" w:hAnsi="Times New Roman" w:cs="Times New Roman"/>
          <w:sz w:val="26"/>
          <w:szCs w:val="26"/>
        </w:rPr>
        <w:t xml:space="preserve">at </w:t>
      </w:r>
      <w:r w:rsidR="000242F5">
        <w:rPr>
          <w:rFonts w:ascii="Times New Roman" w:hAnsi="Times New Roman" w:cs="Times New Roman"/>
          <w:sz w:val="26"/>
          <w:szCs w:val="26"/>
        </w:rPr>
        <w:t xml:space="preserve">which </w:t>
      </w:r>
      <w:r w:rsidRPr="00140DC2">
        <w:rPr>
          <w:rFonts w:ascii="Times New Roman" w:hAnsi="Times New Roman" w:cs="Times New Roman"/>
          <w:sz w:val="26"/>
          <w:szCs w:val="26"/>
        </w:rPr>
        <w:t xml:space="preserve">the </w:t>
      </w:r>
      <w:r w:rsidR="000242F5">
        <w:rPr>
          <w:rFonts w:ascii="Times New Roman" w:hAnsi="Times New Roman" w:cs="Times New Roman"/>
          <w:sz w:val="26"/>
          <w:szCs w:val="26"/>
        </w:rPr>
        <w:t>P</w:t>
      </w:r>
      <w:r w:rsidRPr="00140DC2">
        <w:rPr>
          <w:rFonts w:ascii="Times New Roman" w:hAnsi="Times New Roman" w:cs="Times New Roman"/>
          <w:sz w:val="26"/>
          <w:szCs w:val="26"/>
        </w:rPr>
        <w:t>arties waived cross-examination of their respective witnesses</w:t>
      </w:r>
      <w:r w:rsidR="00F117B3">
        <w:rPr>
          <w:rFonts w:ascii="Times New Roman" w:hAnsi="Times New Roman" w:cs="Times New Roman"/>
          <w:sz w:val="26"/>
          <w:szCs w:val="26"/>
        </w:rPr>
        <w:t xml:space="preserve"> and the written t</w:t>
      </w:r>
      <w:r w:rsidRPr="00140DC2">
        <w:rPr>
          <w:rFonts w:ascii="Times New Roman" w:hAnsi="Times New Roman" w:cs="Times New Roman"/>
          <w:sz w:val="26"/>
          <w:szCs w:val="26"/>
        </w:rPr>
        <w:t xml:space="preserve">estimony and exhibits of PECO </w:t>
      </w:r>
      <w:r w:rsidR="003F3954">
        <w:rPr>
          <w:rFonts w:ascii="Times New Roman" w:hAnsi="Times New Roman" w:cs="Times New Roman"/>
          <w:sz w:val="26"/>
          <w:szCs w:val="26"/>
        </w:rPr>
        <w:t xml:space="preserve">and the OCA’s witnesses </w:t>
      </w:r>
      <w:r w:rsidRPr="00140DC2">
        <w:rPr>
          <w:rFonts w:ascii="Times New Roman" w:hAnsi="Times New Roman" w:cs="Times New Roman"/>
          <w:sz w:val="26"/>
          <w:szCs w:val="26"/>
        </w:rPr>
        <w:t xml:space="preserve">were admitted into evidence. </w:t>
      </w:r>
      <w:r w:rsidR="005E09D8">
        <w:rPr>
          <w:rFonts w:ascii="Times New Roman" w:hAnsi="Times New Roman" w:cs="Times New Roman"/>
          <w:sz w:val="26"/>
          <w:szCs w:val="26"/>
        </w:rPr>
        <w:t xml:space="preserve"> The hearing produced a transcript of </w:t>
      </w:r>
      <w:r w:rsidR="00A46F5F">
        <w:rPr>
          <w:rFonts w:ascii="Times New Roman" w:hAnsi="Times New Roman" w:cs="Times New Roman"/>
          <w:sz w:val="26"/>
          <w:szCs w:val="26"/>
        </w:rPr>
        <w:t>thirty-nine pages.</w:t>
      </w:r>
    </w:p>
    <w:p w14:paraId="6F0965B9" w14:textId="77777777" w:rsidR="003F3954" w:rsidRDefault="003F3954" w:rsidP="00231EC0">
      <w:pPr>
        <w:spacing w:after="0" w:line="360" w:lineRule="auto"/>
        <w:ind w:firstLine="1440"/>
        <w:contextualSpacing/>
        <w:rPr>
          <w:rFonts w:ascii="Times New Roman" w:hAnsi="Times New Roman" w:cs="Times New Roman"/>
          <w:sz w:val="26"/>
          <w:szCs w:val="26"/>
        </w:rPr>
      </w:pPr>
    </w:p>
    <w:p w14:paraId="77D39F12" w14:textId="4D8F7EBF" w:rsidR="00140DC2" w:rsidRDefault="003F3954" w:rsidP="00231EC0">
      <w:pPr>
        <w:spacing w:after="0" w:line="360" w:lineRule="auto"/>
        <w:ind w:firstLine="1440"/>
        <w:contextualSpacing/>
      </w:pPr>
      <w:r>
        <w:rPr>
          <w:rFonts w:ascii="Times New Roman" w:hAnsi="Times New Roman" w:cs="Times New Roman"/>
          <w:sz w:val="26"/>
          <w:szCs w:val="26"/>
        </w:rPr>
        <w:t xml:space="preserve">By Order dated </w:t>
      </w:r>
      <w:r w:rsidR="00140DC2" w:rsidRPr="00140DC2">
        <w:rPr>
          <w:rFonts w:ascii="Times New Roman" w:hAnsi="Times New Roman" w:cs="Times New Roman"/>
          <w:sz w:val="26"/>
          <w:szCs w:val="26"/>
        </w:rPr>
        <w:t xml:space="preserve">November 27, 2019, </w:t>
      </w:r>
      <w:r>
        <w:rPr>
          <w:rFonts w:ascii="Times New Roman" w:hAnsi="Times New Roman" w:cs="Times New Roman"/>
          <w:sz w:val="26"/>
          <w:szCs w:val="26"/>
        </w:rPr>
        <w:t>ALJ Guhl</w:t>
      </w:r>
      <w:r w:rsidR="00140DC2" w:rsidRPr="00140DC2">
        <w:rPr>
          <w:rFonts w:ascii="Times New Roman" w:hAnsi="Times New Roman" w:cs="Times New Roman"/>
          <w:sz w:val="26"/>
          <w:szCs w:val="26"/>
        </w:rPr>
        <w:t xml:space="preserve"> grant</w:t>
      </w:r>
      <w:r>
        <w:rPr>
          <w:rFonts w:ascii="Times New Roman" w:hAnsi="Times New Roman" w:cs="Times New Roman"/>
          <w:sz w:val="26"/>
          <w:szCs w:val="26"/>
        </w:rPr>
        <w:t>ed the</w:t>
      </w:r>
      <w:r w:rsidR="00140DC2" w:rsidRPr="00140DC2">
        <w:rPr>
          <w:rFonts w:ascii="Times New Roman" w:hAnsi="Times New Roman" w:cs="Times New Roman"/>
          <w:sz w:val="26"/>
          <w:szCs w:val="26"/>
        </w:rPr>
        <w:t xml:space="preserve"> OCA’s request to consolidate </w:t>
      </w:r>
      <w:r w:rsidR="00D33842">
        <w:rPr>
          <w:rFonts w:ascii="Times New Roman" w:hAnsi="Times New Roman" w:cs="Times New Roman"/>
          <w:sz w:val="26"/>
          <w:szCs w:val="26"/>
        </w:rPr>
        <w:t>D</w:t>
      </w:r>
      <w:r w:rsidR="00140DC2" w:rsidRPr="00140DC2">
        <w:rPr>
          <w:rFonts w:ascii="Times New Roman" w:hAnsi="Times New Roman" w:cs="Times New Roman"/>
          <w:sz w:val="26"/>
          <w:szCs w:val="26"/>
        </w:rPr>
        <w:t xml:space="preserve">ocket </w:t>
      </w:r>
      <w:r w:rsidR="00D33842">
        <w:rPr>
          <w:rFonts w:ascii="Times New Roman" w:hAnsi="Times New Roman" w:cs="Times New Roman"/>
          <w:sz w:val="26"/>
          <w:szCs w:val="26"/>
        </w:rPr>
        <w:t>N</w:t>
      </w:r>
      <w:r w:rsidR="00940FC4">
        <w:rPr>
          <w:rFonts w:ascii="Times New Roman" w:hAnsi="Times New Roman" w:cs="Times New Roman"/>
          <w:sz w:val="26"/>
          <w:szCs w:val="26"/>
        </w:rPr>
        <w:t>os.</w:t>
      </w:r>
      <w:r w:rsidR="00140DC2" w:rsidRPr="00140DC2">
        <w:rPr>
          <w:rFonts w:ascii="Times New Roman" w:hAnsi="Times New Roman" w:cs="Times New Roman"/>
          <w:sz w:val="26"/>
          <w:szCs w:val="26"/>
        </w:rPr>
        <w:t xml:space="preserve"> M-2018-3005860 and C-2018-3006242 with </w:t>
      </w:r>
      <w:r w:rsidR="00C906F0">
        <w:rPr>
          <w:rFonts w:ascii="Times New Roman" w:hAnsi="Times New Roman" w:cs="Times New Roman"/>
          <w:sz w:val="26"/>
          <w:szCs w:val="26"/>
        </w:rPr>
        <w:t>D</w:t>
      </w:r>
      <w:r w:rsidR="00140DC2" w:rsidRPr="00140DC2">
        <w:rPr>
          <w:rFonts w:ascii="Times New Roman" w:hAnsi="Times New Roman" w:cs="Times New Roman"/>
          <w:sz w:val="26"/>
          <w:szCs w:val="26"/>
        </w:rPr>
        <w:t xml:space="preserve">ocket </w:t>
      </w:r>
      <w:r w:rsidR="00C906F0">
        <w:rPr>
          <w:rFonts w:ascii="Times New Roman" w:hAnsi="Times New Roman" w:cs="Times New Roman"/>
          <w:sz w:val="26"/>
          <w:szCs w:val="26"/>
        </w:rPr>
        <w:t>Nos.</w:t>
      </w:r>
      <w:r w:rsidR="00140DC2" w:rsidRPr="00140DC2">
        <w:rPr>
          <w:rFonts w:ascii="Times New Roman" w:hAnsi="Times New Roman" w:cs="Times New Roman"/>
          <w:sz w:val="26"/>
          <w:szCs w:val="26"/>
        </w:rPr>
        <w:t xml:space="preserve"> M</w:t>
      </w:r>
      <w:r w:rsidR="001A28B7">
        <w:rPr>
          <w:rFonts w:ascii="Times New Roman" w:hAnsi="Times New Roman" w:cs="Times New Roman"/>
          <w:sz w:val="26"/>
          <w:szCs w:val="26"/>
        </w:rPr>
        <w:noBreakHyphen/>
      </w:r>
      <w:r w:rsidR="00140DC2" w:rsidRPr="00140DC2">
        <w:rPr>
          <w:rFonts w:ascii="Times New Roman" w:hAnsi="Times New Roman" w:cs="Times New Roman"/>
          <w:sz w:val="26"/>
          <w:szCs w:val="26"/>
        </w:rPr>
        <w:t>2019-3010032 and C-2019-3010737.</w:t>
      </w:r>
      <w:r w:rsidR="00981500">
        <w:rPr>
          <w:rFonts w:ascii="Times New Roman" w:hAnsi="Times New Roman" w:cs="Times New Roman"/>
          <w:sz w:val="26"/>
          <w:szCs w:val="26"/>
        </w:rPr>
        <w:t xml:space="preserve"> </w:t>
      </w:r>
      <w:r w:rsidR="00140DC2" w:rsidRPr="00140DC2">
        <w:rPr>
          <w:rFonts w:ascii="Times New Roman" w:hAnsi="Times New Roman" w:cs="Times New Roman"/>
          <w:sz w:val="26"/>
          <w:szCs w:val="26"/>
        </w:rPr>
        <w:t xml:space="preserve"> </w:t>
      </w:r>
      <w:r w:rsidR="00981500">
        <w:rPr>
          <w:rFonts w:ascii="Times New Roman" w:hAnsi="Times New Roman" w:cs="Times New Roman"/>
          <w:sz w:val="26"/>
          <w:szCs w:val="26"/>
        </w:rPr>
        <w:t xml:space="preserve">The </w:t>
      </w:r>
      <w:r w:rsidR="00140DC2" w:rsidRPr="00140DC2">
        <w:rPr>
          <w:rFonts w:ascii="Times New Roman" w:hAnsi="Times New Roman" w:cs="Times New Roman"/>
          <w:sz w:val="26"/>
          <w:szCs w:val="26"/>
        </w:rPr>
        <w:t xml:space="preserve">OCA and PECO filed their Main Briefs </w:t>
      </w:r>
      <w:r w:rsidR="00981500">
        <w:rPr>
          <w:rFonts w:ascii="Times New Roman" w:hAnsi="Times New Roman" w:cs="Times New Roman"/>
          <w:sz w:val="26"/>
          <w:szCs w:val="26"/>
        </w:rPr>
        <w:t xml:space="preserve">on January 14, 2020, and Reply </w:t>
      </w:r>
      <w:r w:rsidR="00864B9D">
        <w:rPr>
          <w:rFonts w:ascii="Times New Roman" w:hAnsi="Times New Roman" w:cs="Times New Roman"/>
          <w:sz w:val="26"/>
          <w:szCs w:val="26"/>
        </w:rPr>
        <w:t>Briefs on February 13, 2020</w:t>
      </w:r>
      <w:r w:rsidR="00140DC2" w:rsidRPr="00140DC2">
        <w:rPr>
          <w:rFonts w:ascii="Times New Roman" w:hAnsi="Times New Roman" w:cs="Times New Roman"/>
          <w:sz w:val="26"/>
          <w:szCs w:val="26"/>
        </w:rPr>
        <w:t>.</w:t>
      </w:r>
      <w:r w:rsidR="00A02559">
        <w:rPr>
          <w:rFonts w:ascii="Times New Roman" w:hAnsi="Times New Roman" w:cs="Times New Roman"/>
          <w:sz w:val="26"/>
          <w:szCs w:val="26"/>
        </w:rPr>
        <w:t xml:space="preserve"> </w:t>
      </w:r>
      <w:r w:rsidR="00140DC2" w:rsidRPr="00140DC2">
        <w:rPr>
          <w:rFonts w:ascii="Times New Roman" w:hAnsi="Times New Roman" w:cs="Times New Roman"/>
          <w:sz w:val="26"/>
          <w:szCs w:val="26"/>
        </w:rPr>
        <w:t xml:space="preserve"> The record </w:t>
      </w:r>
      <w:r w:rsidR="00864B9D">
        <w:rPr>
          <w:rFonts w:ascii="Times New Roman" w:hAnsi="Times New Roman" w:cs="Times New Roman"/>
          <w:sz w:val="26"/>
          <w:szCs w:val="26"/>
        </w:rPr>
        <w:t xml:space="preserve">was </w:t>
      </w:r>
      <w:r w:rsidR="00140DC2" w:rsidRPr="00140DC2">
        <w:rPr>
          <w:rFonts w:ascii="Times New Roman" w:hAnsi="Times New Roman" w:cs="Times New Roman"/>
          <w:sz w:val="26"/>
          <w:szCs w:val="26"/>
        </w:rPr>
        <w:t>closed on February 13, 2020.</w:t>
      </w:r>
      <w:r w:rsidR="00140DC2">
        <w:t xml:space="preserve"> </w:t>
      </w:r>
    </w:p>
    <w:p w14:paraId="2B373443" w14:textId="77777777" w:rsidR="000961A5" w:rsidRPr="00EC6B2B" w:rsidRDefault="000961A5" w:rsidP="00E26CD9">
      <w:pPr>
        <w:spacing w:after="0" w:line="360" w:lineRule="auto"/>
        <w:contextualSpacing/>
        <w:rPr>
          <w:rFonts w:ascii="Times New Roman" w:hAnsi="Times New Roman" w:cs="Times New Roman"/>
          <w:sz w:val="26"/>
          <w:szCs w:val="26"/>
        </w:rPr>
      </w:pPr>
    </w:p>
    <w:p w14:paraId="2CF4022A" w14:textId="78BEB29F" w:rsidR="002D4859" w:rsidRPr="00EC6B2B" w:rsidRDefault="0065709F" w:rsidP="00401321">
      <w:pPr>
        <w:spacing w:after="0" w:line="360" w:lineRule="auto"/>
        <w:ind w:firstLine="1440"/>
        <w:contextualSpacing/>
        <w:rPr>
          <w:rFonts w:ascii="Times New Roman" w:hAnsi="Times New Roman" w:cs="Times New Roman"/>
          <w:sz w:val="26"/>
          <w:szCs w:val="26"/>
        </w:rPr>
      </w:pPr>
      <w:r w:rsidRPr="0065709F">
        <w:rPr>
          <w:rFonts w:ascii="Times New Roman" w:hAnsi="Times New Roman" w:cs="Times New Roman"/>
          <w:sz w:val="26"/>
          <w:szCs w:val="26"/>
        </w:rPr>
        <w:t xml:space="preserve">In the Initial Decision </w:t>
      </w:r>
      <w:r w:rsidR="00672AE9">
        <w:rPr>
          <w:rFonts w:ascii="Times New Roman" w:hAnsi="Times New Roman" w:cs="Times New Roman"/>
          <w:sz w:val="26"/>
          <w:szCs w:val="26"/>
        </w:rPr>
        <w:t xml:space="preserve">issued </w:t>
      </w:r>
      <w:r w:rsidR="004849F8">
        <w:rPr>
          <w:rFonts w:ascii="Times New Roman" w:hAnsi="Times New Roman" w:cs="Times New Roman"/>
          <w:sz w:val="26"/>
          <w:szCs w:val="26"/>
        </w:rPr>
        <w:t xml:space="preserve">on </w:t>
      </w:r>
      <w:r w:rsidR="00C67996">
        <w:rPr>
          <w:rFonts w:ascii="Times New Roman" w:eastAsia="Times New Roman" w:hAnsi="Times New Roman" w:cs="Times New Roman"/>
          <w:sz w:val="26"/>
          <w:szCs w:val="26"/>
        </w:rPr>
        <w:t>June 25</w:t>
      </w:r>
      <w:r w:rsidR="00C67996" w:rsidRPr="00A426D4">
        <w:rPr>
          <w:rFonts w:ascii="Times New Roman" w:eastAsia="Times New Roman" w:hAnsi="Times New Roman" w:cs="Times New Roman"/>
          <w:sz w:val="26"/>
          <w:szCs w:val="26"/>
        </w:rPr>
        <w:t>,</w:t>
      </w:r>
      <w:r w:rsidR="00C67996">
        <w:rPr>
          <w:rFonts w:ascii="Times New Roman" w:eastAsia="Times New Roman" w:hAnsi="Times New Roman" w:cs="Times New Roman"/>
          <w:sz w:val="26"/>
          <w:szCs w:val="26"/>
        </w:rPr>
        <w:t> </w:t>
      </w:r>
      <w:r w:rsidR="00C67996" w:rsidRPr="00A426D4">
        <w:rPr>
          <w:rFonts w:ascii="Times New Roman" w:eastAsia="Times New Roman" w:hAnsi="Times New Roman" w:cs="Times New Roman"/>
          <w:sz w:val="26"/>
          <w:szCs w:val="26"/>
        </w:rPr>
        <w:t>2020</w:t>
      </w:r>
      <w:r w:rsidRPr="0065709F">
        <w:rPr>
          <w:rFonts w:ascii="Times New Roman" w:hAnsi="Times New Roman" w:cs="Times New Roman"/>
          <w:sz w:val="26"/>
          <w:szCs w:val="26"/>
        </w:rPr>
        <w:t xml:space="preserve">, ALJ </w:t>
      </w:r>
      <w:r w:rsidR="00C67996">
        <w:rPr>
          <w:rFonts w:ascii="Times New Roman" w:hAnsi="Times New Roman" w:cs="Times New Roman"/>
          <w:sz w:val="26"/>
          <w:szCs w:val="26"/>
        </w:rPr>
        <w:t>Guhl</w:t>
      </w:r>
      <w:r w:rsidR="004849F8">
        <w:rPr>
          <w:rFonts w:ascii="Times New Roman" w:hAnsi="Times New Roman" w:cs="Times New Roman"/>
          <w:sz w:val="26"/>
          <w:szCs w:val="26"/>
        </w:rPr>
        <w:t xml:space="preserve"> </w:t>
      </w:r>
      <w:r w:rsidRPr="0065709F">
        <w:rPr>
          <w:rFonts w:ascii="Times New Roman" w:hAnsi="Times New Roman" w:cs="Times New Roman"/>
          <w:sz w:val="26"/>
          <w:szCs w:val="26"/>
        </w:rPr>
        <w:t xml:space="preserve">dismissed </w:t>
      </w:r>
      <w:r w:rsidR="006B41AE">
        <w:rPr>
          <w:rFonts w:ascii="Times New Roman" w:hAnsi="Times New Roman" w:cs="Times New Roman"/>
          <w:sz w:val="26"/>
          <w:szCs w:val="26"/>
        </w:rPr>
        <w:t>the</w:t>
      </w:r>
      <w:r w:rsidRPr="0065709F">
        <w:rPr>
          <w:rFonts w:ascii="Times New Roman" w:hAnsi="Times New Roman" w:cs="Times New Roman"/>
          <w:sz w:val="26"/>
          <w:szCs w:val="26"/>
        </w:rPr>
        <w:t xml:space="preserve"> Complaint</w:t>
      </w:r>
      <w:r w:rsidR="00C67996">
        <w:rPr>
          <w:rFonts w:ascii="Times New Roman" w:hAnsi="Times New Roman" w:cs="Times New Roman"/>
          <w:sz w:val="26"/>
          <w:szCs w:val="26"/>
        </w:rPr>
        <w:t>s</w:t>
      </w:r>
      <w:r w:rsidRPr="0065709F">
        <w:rPr>
          <w:rFonts w:ascii="Times New Roman" w:hAnsi="Times New Roman" w:cs="Times New Roman"/>
          <w:sz w:val="26"/>
          <w:szCs w:val="26"/>
        </w:rPr>
        <w:t xml:space="preserve"> for </w:t>
      </w:r>
      <w:r w:rsidR="00A94B5E">
        <w:rPr>
          <w:rFonts w:ascii="Times New Roman" w:hAnsi="Times New Roman" w:cs="Times New Roman"/>
          <w:sz w:val="26"/>
          <w:szCs w:val="26"/>
        </w:rPr>
        <w:t>failure</w:t>
      </w:r>
      <w:r w:rsidRPr="0065709F">
        <w:rPr>
          <w:rFonts w:ascii="Times New Roman" w:hAnsi="Times New Roman" w:cs="Times New Roman"/>
          <w:sz w:val="26"/>
          <w:szCs w:val="26"/>
        </w:rPr>
        <w:t xml:space="preserve"> </w:t>
      </w:r>
      <w:r w:rsidR="008B19B3">
        <w:rPr>
          <w:rFonts w:ascii="Times New Roman" w:hAnsi="Times New Roman" w:cs="Times New Roman"/>
          <w:sz w:val="26"/>
          <w:szCs w:val="26"/>
        </w:rPr>
        <w:t xml:space="preserve">of the OCA </w:t>
      </w:r>
      <w:r w:rsidR="0014147A">
        <w:rPr>
          <w:rFonts w:ascii="Times New Roman" w:hAnsi="Times New Roman" w:cs="Times New Roman"/>
          <w:sz w:val="26"/>
          <w:szCs w:val="26"/>
        </w:rPr>
        <w:t xml:space="preserve">to </w:t>
      </w:r>
      <w:r w:rsidR="00C359C1">
        <w:rPr>
          <w:rFonts w:ascii="Times New Roman" w:hAnsi="Times New Roman" w:cs="Times New Roman"/>
          <w:sz w:val="26"/>
          <w:szCs w:val="26"/>
        </w:rPr>
        <w:t xml:space="preserve">meet its burden of establishing that the rates of </w:t>
      </w:r>
      <w:r w:rsidR="00C359C1">
        <w:rPr>
          <w:rFonts w:ascii="Times New Roman" w:hAnsi="Times New Roman" w:cs="Times New Roman"/>
          <w:sz w:val="26"/>
          <w:szCs w:val="26"/>
        </w:rPr>
        <w:lastRenderedPageBreak/>
        <w:t>PECO are unjust or unreasonable</w:t>
      </w:r>
      <w:r w:rsidR="00EC05E6">
        <w:rPr>
          <w:rFonts w:ascii="Times New Roman" w:hAnsi="Times New Roman" w:cs="Times New Roman"/>
          <w:sz w:val="26"/>
          <w:szCs w:val="26"/>
        </w:rPr>
        <w:t xml:space="preserve"> in retaining a portion of the settlement funds </w:t>
      </w:r>
      <w:r w:rsidR="00CD044F">
        <w:rPr>
          <w:rFonts w:ascii="Times New Roman" w:hAnsi="Times New Roman" w:cs="Times New Roman"/>
          <w:sz w:val="26"/>
          <w:szCs w:val="26"/>
        </w:rPr>
        <w:t xml:space="preserve">under the </w:t>
      </w:r>
      <w:r w:rsidR="003670FC" w:rsidRPr="00140DC2">
        <w:rPr>
          <w:rFonts w:ascii="Times New Roman" w:hAnsi="Times New Roman" w:cs="Times New Roman"/>
          <w:sz w:val="26"/>
          <w:szCs w:val="26"/>
        </w:rPr>
        <w:t>FERC Settlement Agreement</w:t>
      </w:r>
      <w:r w:rsidR="00CD044F">
        <w:rPr>
          <w:rFonts w:ascii="Times New Roman" w:hAnsi="Times New Roman" w:cs="Times New Roman"/>
          <w:sz w:val="26"/>
          <w:szCs w:val="26"/>
        </w:rPr>
        <w:t xml:space="preserve">.  </w:t>
      </w:r>
      <w:r w:rsidR="003670FC" w:rsidRPr="0065709F">
        <w:rPr>
          <w:rFonts w:ascii="Times New Roman" w:hAnsi="Times New Roman" w:cs="Times New Roman"/>
          <w:sz w:val="26"/>
          <w:szCs w:val="26"/>
        </w:rPr>
        <w:t xml:space="preserve"> </w:t>
      </w:r>
    </w:p>
    <w:p w14:paraId="05879B33" w14:textId="77777777" w:rsidR="00E80D35" w:rsidRPr="00EC6B2B" w:rsidRDefault="00E80D35" w:rsidP="00401321">
      <w:pPr>
        <w:spacing w:after="0" w:line="360" w:lineRule="auto"/>
        <w:ind w:firstLine="1440"/>
        <w:contextualSpacing/>
        <w:rPr>
          <w:rFonts w:ascii="Times New Roman" w:hAnsi="Times New Roman" w:cs="Times New Roman"/>
          <w:sz w:val="26"/>
          <w:szCs w:val="26"/>
        </w:rPr>
      </w:pPr>
    </w:p>
    <w:p w14:paraId="1EB3C1D8" w14:textId="77777777" w:rsidR="001935A0" w:rsidRDefault="00CD5B92" w:rsidP="00047ACF">
      <w:pPr>
        <w:spacing w:after="0" w:line="360" w:lineRule="auto"/>
        <w:ind w:firstLine="1440"/>
        <w:contextualSpacing/>
        <w:rPr>
          <w:rFonts w:ascii="Times New Roman" w:hAnsi="Times New Roman" w:cs="Times New Roman"/>
          <w:sz w:val="26"/>
          <w:szCs w:val="26"/>
        </w:rPr>
      </w:pPr>
      <w:r w:rsidRPr="00580852">
        <w:rPr>
          <w:rFonts w:ascii="Times New Roman" w:hAnsi="Times New Roman" w:cs="Times New Roman"/>
          <w:sz w:val="26"/>
          <w:szCs w:val="26"/>
        </w:rPr>
        <w:t>As noted</w:t>
      </w:r>
      <w:r w:rsidR="00DC302E">
        <w:rPr>
          <w:rFonts w:ascii="Times New Roman" w:hAnsi="Times New Roman" w:cs="Times New Roman"/>
          <w:sz w:val="26"/>
          <w:szCs w:val="26"/>
        </w:rPr>
        <w:t>,</w:t>
      </w:r>
      <w:r w:rsidR="00580852">
        <w:rPr>
          <w:rFonts w:ascii="Times New Roman" w:hAnsi="Times New Roman" w:cs="Times New Roman"/>
          <w:sz w:val="26"/>
          <w:szCs w:val="26"/>
        </w:rPr>
        <w:t xml:space="preserve"> </w:t>
      </w:r>
      <w:r w:rsidRPr="00580852">
        <w:rPr>
          <w:rFonts w:ascii="Times New Roman" w:hAnsi="Times New Roman" w:cs="Times New Roman"/>
          <w:i/>
          <w:sz w:val="26"/>
          <w:szCs w:val="26"/>
        </w:rPr>
        <w:t>supra</w:t>
      </w:r>
      <w:r w:rsidRPr="00580852">
        <w:rPr>
          <w:rFonts w:ascii="Times New Roman" w:hAnsi="Times New Roman" w:cs="Times New Roman"/>
          <w:sz w:val="26"/>
          <w:szCs w:val="26"/>
        </w:rPr>
        <w:t xml:space="preserve">, the </w:t>
      </w:r>
      <w:r w:rsidR="006169BC">
        <w:rPr>
          <w:rFonts w:ascii="Times New Roman" w:hAnsi="Times New Roman" w:cs="Times New Roman"/>
          <w:sz w:val="26"/>
          <w:szCs w:val="26"/>
        </w:rPr>
        <w:t>OCA</w:t>
      </w:r>
      <w:r w:rsidRPr="00580852">
        <w:rPr>
          <w:rFonts w:ascii="Times New Roman" w:hAnsi="Times New Roman" w:cs="Times New Roman"/>
          <w:sz w:val="26"/>
          <w:szCs w:val="26"/>
        </w:rPr>
        <w:t xml:space="preserve"> filed Exceptions on </w:t>
      </w:r>
      <w:r w:rsidR="00804517">
        <w:rPr>
          <w:rFonts w:ascii="Times New Roman" w:hAnsi="Times New Roman" w:cs="Times New Roman"/>
          <w:sz w:val="26"/>
          <w:szCs w:val="26"/>
        </w:rPr>
        <w:t>Ju</w:t>
      </w:r>
      <w:r w:rsidR="006169BC">
        <w:rPr>
          <w:rFonts w:ascii="Times New Roman" w:hAnsi="Times New Roman" w:cs="Times New Roman"/>
          <w:sz w:val="26"/>
          <w:szCs w:val="26"/>
        </w:rPr>
        <w:t>ly 15</w:t>
      </w:r>
      <w:r w:rsidR="00A34542" w:rsidRPr="00580852">
        <w:rPr>
          <w:rFonts w:ascii="Times New Roman" w:hAnsi="Times New Roman" w:cs="Times New Roman"/>
          <w:sz w:val="26"/>
          <w:szCs w:val="26"/>
        </w:rPr>
        <w:t>, 2020</w:t>
      </w:r>
      <w:r w:rsidRPr="00580852">
        <w:rPr>
          <w:rFonts w:ascii="Times New Roman" w:hAnsi="Times New Roman" w:cs="Times New Roman"/>
          <w:sz w:val="26"/>
          <w:szCs w:val="26"/>
        </w:rPr>
        <w:t xml:space="preserve">.  </w:t>
      </w:r>
      <w:r w:rsidR="006169BC">
        <w:rPr>
          <w:rFonts w:ascii="Times New Roman" w:hAnsi="Times New Roman" w:cs="Times New Roman"/>
          <w:sz w:val="26"/>
          <w:szCs w:val="26"/>
        </w:rPr>
        <w:t>PECO</w:t>
      </w:r>
      <w:r w:rsidRPr="00580852">
        <w:rPr>
          <w:rFonts w:ascii="Times New Roman" w:hAnsi="Times New Roman" w:cs="Times New Roman"/>
          <w:sz w:val="26"/>
          <w:szCs w:val="26"/>
        </w:rPr>
        <w:t xml:space="preserve"> filed </w:t>
      </w:r>
      <w:r w:rsidR="00A34542" w:rsidRPr="00580852">
        <w:rPr>
          <w:rFonts w:ascii="Times New Roman" w:hAnsi="Times New Roman" w:cs="Times New Roman"/>
          <w:sz w:val="26"/>
          <w:szCs w:val="26"/>
        </w:rPr>
        <w:t>R</w:t>
      </w:r>
      <w:r w:rsidR="009655F2">
        <w:rPr>
          <w:rFonts w:ascii="Times New Roman" w:hAnsi="Times New Roman" w:cs="Times New Roman"/>
          <w:sz w:val="26"/>
          <w:szCs w:val="26"/>
        </w:rPr>
        <w:t>e</w:t>
      </w:r>
      <w:r w:rsidR="00A34542" w:rsidRPr="00580852">
        <w:rPr>
          <w:rFonts w:ascii="Times New Roman" w:hAnsi="Times New Roman" w:cs="Times New Roman"/>
          <w:sz w:val="26"/>
          <w:szCs w:val="26"/>
        </w:rPr>
        <w:t>pl</w:t>
      </w:r>
      <w:r w:rsidR="006D26DD">
        <w:rPr>
          <w:rFonts w:ascii="Times New Roman" w:hAnsi="Times New Roman" w:cs="Times New Roman"/>
          <w:sz w:val="26"/>
          <w:szCs w:val="26"/>
        </w:rPr>
        <w:t>ies to</w:t>
      </w:r>
      <w:r w:rsidRPr="00580852">
        <w:rPr>
          <w:rFonts w:ascii="Times New Roman" w:hAnsi="Times New Roman" w:cs="Times New Roman"/>
          <w:sz w:val="26"/>
          <w:szCs w:val="26"/>
        </w:rPr>
        <w:t xml:space="preserve"> Exceptions on </w:t>
      </w:r>
      <w:r w:rsidR="00D5561D">
        <w:rPr>
          <w:rFonts w:ascii="Times New Roman" w:hAnsi="Times New Roman" w:cs="Times New Roman"/>
          <w:sz w:val="26"/>
          <w:szCs w:val="26"/>
        </w:rPr>
        <w:t>Ju</w:t>
      </w:r>
      <w:r w:rsidR="006169BC">
        <w:rPr>
          <w:rFonts w:ascii="Times New Roman" w:hAnsi="Times New Roman" w:cs="Times New Roman"/>
          <w:sz w:val="26"/>
          <w:szCs w:val="26"/>
        </w:rPr>
        <w:t>ly 27</w:t>
      </w:r>
      <w:r w:rsidR="00A34542" w:rsidRPr="00580852">
        <w:rPr>
          <w:rFonts w:ascii="Times New Roman" w:hAnsi="Times New Roman" w:cs="Times New Roman"/>
          <w:sz w:val="26"/>
          <w:szCs w:val="26"/>
        </w:rPr>
        <w:t>, 2020</w:t>
      </w:r>
      <w:r w:rsidRPr="00580852">
        <w:rPr>
          <w:rFonts w:ascii="Times New Roman" w:hAnsi="Times New Roman" w:cs="Times New Roman"/>
          <w:sz w:val="26"/>
          <w:szCs w:val="26"/>
        </w:rPr>
        <w:t>.</w:t>
      </w:r>
      <w:r w:rsidR="009C489C">
        <w:rPr>
          <w:rFonts w:ascii="Times New Roman" w:hAnsi="Times New Roman" w:cs="Times New Roman"/>
          <w:sz w:val="26"/>
          <w:szCs w:val="26"/>
        </w:rPr>
        <w:t xml:space="preserve"> </w:t>
      </w:r>
    </w:p>
    <w:p w14:paraId="00235AAE" w14:textId="77777777" w:rsidR="001935A0" w:rsidRDefault="001935A0" w:rsidP="001935A0">
      <w:pPr>
        <w:spacing w:after="0" w:line="360" w:lineRule="auto"/>
        <w:contextualSpacing/>
        <w:rPr>
          <w:rFonts w:ascii="Times New Roman" w:hAnsi="Times New Roman" w:cs="Times New Roman"/>
          <w:sz w:val="26"/>
          <w:szCs w:val="26"/>
        </w:rPr>
      </w:pPr>
    </w:p>
    <w:p w14:paraId="38EBCE3C" w14:textId="04D637A4" w:rsidR="00C90AC8" w:rsidRPr="00A93092" w:rsidRDefault="003379B5" w:rsidP="001935A0">
      <w:pPr>
        <w:spacing w:after="0" w:line="36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Pr>
        <w:t>II.</w:t>
      </w:r>
      <w:r>
        <w:rPr>
          <w:rFonts w:ascii="Times New Roman" w:hAnsi="Times New Roman" w:cs="Times New Roman"/>
          <w:b/>
          <w:bCs/>
          <w:sz w:val="26"/>
          <w:szCs w:val="26"/>
        </w:rPr>
        <w:tab/>
      </w:r>
      <w:r w:rsidR="001935A0" w:rsidRPr="00A93092">
        <w:rPr>
          <w:rFonts w:ascii="Times New Roman" w:hAnsi="Times New Roman" w:cs="Times New Roman"/>
          <w:b/>
          <w:bCs/>
          <w:sz w:val="26"/>
          <w:szCs w:val="26"/>
        </w:rPr>
        <w:t>Background</w:t>
      </w:r>
    </w:p>
    <w:p w14:paraId="47A007A7" w14:textId="61526BBB" w:rsidR="001935A0" w:rsidRDefault="001935A0" w:rsidP="001935A0">
      <w:pPr>
        <w:spacing w:after="0" w:line="360" w:lineRule="auto"/>
        <w:contextualSpacing/>
        <w:jc w:val="center"/>
        <w:rPr>
          <w:rFonts w:ascii="Times New Roman" w:hAnsi="Times New Roman" w:cs="Times New Roman"/>
          <w:b/>
          <w:bCs/>
          <w:sz w:val="26"/>
          <w:szCs w:val="26"/>
        </w:rPr>
      </w:pPr>
    </w:p>
    <w:p w14:paraId="031D3091" w14:textId="0C68E9F1" w:rsidR="00377635" w:rsidRDefault="002E0681" w:rsidP="003A6625">
      <w:pPr>
        <w:spacing w:after="0" w:line="360" w:lineRule="auto"/>
        <w:ind w:firstLine="1440"/>
        <w:contextualSpacing/>
        <w:rPr>
          <w:rFonts w:ascii="Times New Roman" w:hAnsi="Times New Roman" w:cs="Times New Roman"/>
          <w:sz w:val="26"/>
          <w:szCs w:val="26"/>
        </w:rPr>
      </w:pPr>
      <w:r w:rsidRPr="004F246E">
        <w:rPr>
          <w:rFonts w:ascii="Times New Roman" w:hAnsi="Times New Roman" w:cs="Times New Roman"/>
          <w:sz w:val="26"/>
          <w:szCs w:val="26"/>
        </w:rPr>
        <w:t>PECO is a load serving entity (LSE)</w:t>
      </w:r>
      <w:r w:rsidR="00A43A30">
        <w:rPr>
          <w:rFonts w:ascii="Times New Roman" w:hAnsi="Times New Roman" w:cs="Times New Roman"/>
          <w:sz w:val="26"/>
          <w:szCs w:val="26"/>
        </w:rPr>
        <w:t xml:space="preserve">, which </w:t>
      </w:r>
      <w:r w:rsidRPr="004F246E">
        <w:rPr>
          <w:rFonts w:ascii="Times New Roman" w:hAnsi="Times New Roman" w:cs="Times New Roman"/>
          <w:sz w:val="26"/>
          <w:szCs w:val="26"/>
        </w:rPr>
        <w:t xml:space="preserve">obtains transmission service to move electricity to its distribution system to serve retail customers. </w:t>
      </w:r>
      <w:r w:rsidR="00A43A30">
        <w:rPr>
          <w:rFonts w:ascii="Times New Roman" w:hAnsi="Times New Roman" w:cs="Times New Roman"/>
          <w:sz w:val="26"/>
          <w:szCs w:val="26"/>
        </w:rPr>
        <w:t xml:space="preserve"> Additionally</w:t>
      </w:r>
      <w:r w:rsidRPr="004F246E">
        <w:rPr>
          <w:rFonts w:ascii="Times New Roman" w:hAnsi="Times New Roman" w:cs="Times New Roman"/>
          <w:sz w:val="26"/>
          <w:szCs w:val="26"/>
        </w:rPr>
        <w:t xml:space="preserve">, PECO </w:t>
      </w:r>
      <w:r w:rsidR="00BA286B" w:rsidRPr="004F246E">
        <w:rPr>
          <w:rFonts w:ascii="Times New Roman" w:hAnsi="Times New Roman" w:cs="Times New Roman"/>
          <w:sz w:val="26"/>
          <w:szCs w:val="26"/>
        </w:rPr>
        <w:t xml:space="preserve">is the owner of transmission facilities that are used to move electricity on behalf of other entities, including other LSEs. </w:t>
      </w:r>
      <w:r w:rsidR="00A43A30">
        <w:rPr>
          <w:rFonts w:ascii="Times New Roman" w:hAnsi="Times New Roman" w:cs="Times New Roman"/>
          <w:sz w:val="26"/>
          <w:szCs w:val="26"/>
        </w:rPr>
        <w:t xml:space="preserve"> </w:t>
      </w:r>
      <w:r w:rsidR="00716DF0">
        <w:rPr>
          <w:rFonts w:ascii="Times New Roman" w:hAnsi="Times New Roman" w:cs="Times New Roman"/>
          <w:sz w:val="26"/>
          <w:szCs w:val="26"/>
        </w:rPr>
        <w:t>The Company, i</w:t>
      </w:r>
      <w:r w:rsidR="00BA286B" w:rsidRPr="004F246E">
        <w:rPr>
          <w:rFonts w:ascii="Times New Roman" w:hAnsi="Times New Roman" w:cs="Times New Roman"/>
          <w:sz w:val="26"/>
          <w:szCs w:val="26"/>
        </w:rPr>
        <w:t xml:space="preserve">n its capacity as an LSE, acquires transmission service provided by others to serve its retail customers. </w:t>
      </w:r>
      <w:r w:rsidR="003A6625">
        <w:rPr>
          <w:rFonts w:ascii="Times New Roman" w:hAnsi="Times New Roman" w:cs="Times New Roman"/>
          <w:sz w:val="26"/>
          <w:szCs w:val="26"/>
        </w:rPr>
        <w:t xml:space="preserve"> In 1</w:t>
      </w:r>
      <w:r w:rsidR="00BA286B" w:rsidRPr="004F246E">
        <w:rPr>
          <w:rFonts w:ascii="Times New Roman" w:hAnsi="Times New Roman" w:cs="Times New Roman"/>
          <w:sz w:val="26"/>
          <w:szCs w:val="26"/>
        </w:rPr>
        <w:t xml:space="preserve">998 </w:t>
      </w:r>
      <w:r w:rsidR="003A6625">
        <w:rPr>
          <w:rFonts w:ascii="Times New Roman" w:hAnsi="Times New Roman" w:cs="Times New Roman"/>
          <w:sz w:val="26"/>
          <w:szCs w:val="26"/>
        </w:rPr>
        <w:t xml:space="preserve">the </w:t>
      </w:r>
      <w:r w:rsidR="00BA286B" w:rsidRPr="004F246E">
        <w:rPr>
          <w:rFonts w:ascii="Times New Roman" w:hAnsi="Times New Roman" w:cs="Times New Roman"/>
          <w:sz w:val="26"/>
          <w:szCs w:val="26"/>
        </w:rPr>
        <w:t>Commission</w:t>
      </w:r>
      <w:r w:rsidR="003A6625">
        <w:rPr>
          <w:rFonts w:ascii="Times New Roman" w:hAnsi="Times New Roman" w:cs="Times New Roman"/>
          <w:sz w:val="26"/>
          <w:szCs w:val="26"/>
        </w:rPr>
        <w:t xml:space="preserve"> a</w:t>
      </w:r>
      <w:r w:rsidR="00BA286B" w:rsidRPr="004F246E">
        <w:rPr>
          <w:rFonts w:ascii="Times New Roman" w:hAnsi="Times New Roman" w:cs="Times New Roman"/>
          <w:sz w:val="26"/>
          <w:szCs w:val="26"/>
        </w:rPr>
        <w:t xml:space="preserve">pproved </w:t>
      </w:r>
      <w:r w:rsidR="003A6625">
        <w:rPr>
          <w:rFonts w:ascii="Times New Roman" w:hAnsi="Times New Roman" w:cs="Times New Roman"/>
          <w:sz w:val="26"/>
          <w:szCs w:val="26"/>
        </w:rPr>
        <w:t xml:space="preserve">a </w:t>
      </w:r>
      <w:r w:rsidR="00BA286B" w:rsidRPr="004F246E">
        <w:rPr>
          <w:rFonts w:ascii="Times New Roman" w:hAnsi="Times New Roman" w:cs="Times New Roman"/>
          <w:sz w:val="26"/>
          <w:szCs w:val="26"/>
        </w:rPr>
        <w:t>Restructuring Plan</w:t>
      </w:r>
      <w:r w:rsidR="003A6625">
        <w:rPr>
          <w:rFonts w:ascii="Times New Roman" w:hAnsi="Times New Roman" w:cs="Times New Roman"/>
          <w:sz w:val="26"/>
          <w:szCs w:val="26"/>
        </w:rPr>
        <w:t xml:space="preserve"> by which </w:t>
      </w:r>
      <w:r w:rsidR="00BA286B" w:rsidRPr="004F246E">
        <w:rPr>
          <w:rFonts w:ascii="Times New Roman" w:hAnsi="Times New Roman" w:cs="Times New Roman"/>
          <w:sz w:val="26"/>
          <w:szCs w:val="26"/>
        </w:rPr>
        <w:t xml:space="preserve">PECO had the obligation to offer and furnish Provider </w:t>
      </w:r>
      <w:r w:rsidR="005B5364">
        <w:rPr>
          <w:rFonts w:ascii="Times New Roman" w:hAnsi="Times New Roman" w:cs="Times New Roman"/>
          <w:sz w:val="26"/>
          <w:szCs w:val="26"/>
        </w:rPr>
        <w:t>o</w:t>
      </w:r>
      <w:r w:rsidR="00BA286B" w:rsidRPr="004F246E">
        <w:rPr>
          <w:rFonts w:ascii="Times New Roman" w:hAnsi="Times New Roman" w:cs="Times New Roman"/>
          <w:sz w:val="26"/>
          <w:szCs w:val="26"/>
        </w:rPr>
        <w:t xml:space="preserve">f Last Resort (POLR) generation service, </w:t>
      </w:r>
      <w:r w:rsidR="007C7270">
        <w:rPr>
          <w:rFonts w:ascii="Times New Roman" w:hAnsi="Times New Roman" w:cs="Times New Roman"/>
          <w:sz w:val="26"/>
          <w:szCs w:val="26"/>
        </w:rPr>
        <w:t>pursuant to</w:t>
      </w:r>
      <w:r w:rsidR="00BA286B" w:rsidRPr="004F246E">
        <w:rPr>
          <w:rFonts w:ascii="Times New Roman" w:hAnsi="Times New Roman" w:cs="Times New Roman"/>
          <w:sz w:val="26"/>
          <w:szCs w:val="26"/>
        </w:rPr>
        <w:t xml:space="preserve"> Section</w:t>
      </w:r>
      <w:r w:rsidR="001A28B7">
        <w:rPr>
          <w:rFonts w:ascii="Times New Roman" w:hAnsi="Times New Roman" w:cs="Times New Roman"/>
          <w:sz w:val="26"/>
          <w:szCs w:val="26"/>
        </w:rPr>
        <w:t> </w:t>
      </w:r>
      <w:r w:rsidR="00BA286B" w:rsidRPr="004F246E">
        <w:rPr>
          <w:rFonts w:ascii="Times New Roman" w:hAnsi="Times New Roman" w:cs="Times New Roman"/>
          <w:sz w:val="26"/>
          <w:szCs w:val="26"/>
        </w:rPr>
        <w:t xml:space="preserve">2807(e)(1) of the Public Utility Code, to customers that did not, or could not, shop with an electric generation supplier. </w:t>
      </w:r>
      <w:r w:rsidR="003A6625">
        <w:rPr>
          <w:rFonts w:ascii="Times New Roman" w:hAnsi="Times New Roman" w:cs="Times New Roman"/>
          <w:sz w:val="26"/>
          <w:szCs w:val="26"/>
        </w:rPr>
        <w:t xml:space="preserve"> PECO M.B. at 3 (citing </w:t>
      </w:r>
      <w:r w:rsidR="007C7270" w:rsidRPr="005626CD">
        <w:rPr>
          <w:rFonts w:ascii="Times New Roman" w:hAnsi="Times New Roman" w:cs="Times New Roman"/>
          <w:i/>
          <w:iCs/>
          <w:sz w:val="26"/>
          <w:szCs w:val="26"/>
        </w:rPr>
        <w:t>Application of PECO Energy Co. for Approval of Its Restructuring Plan Under Section 2806 of the Public Utility Code et al.</w:t>
      </w:r>
      <w:r w:rsidR="007C7270" w:rsidRPr="007C7270">
        <w:rPr>
          <w:rFonts w:ascii="Times New Roman" w:hAnsi="Times New Roman" w:cs="Times New Roman"/>
          <w:sz w:val="26"/>
          <w:szCs w:val="26"/>
        </w:rPr>
        <w:t>, Docket Nos. R-00973953 and P-00971265 (Order entered on May 14, 1998</w:t>
      </w:r>
      <w:r w:rsidR="00377635">
        <w:rPr>
          <w:rFonts w:ascii="Times New Roman" w:hAnsi="Times New Roman" w:cs="Times New Roman"/>
          <w:sz w:val="26"/>
          <w:szCs w:val="26"/>
        </w:rPr>
        <w:t>)</w:t>
      </w:r>
      <w:r w:rsidR="007C7270" w:rsidRPr="007C7270">
        <w:rPr>
          <w:rFonts w:ascii="Times New Roman" w:hAnsi="Times New Roman" w:cs="Times New Roman"/>
          <w:sz w:val="26"/>
          <w:szCs w:val="26"/>
        </w:rPr>
        <w:t xml:space="preserve"> (</w:t>
      </w:r>
      <w:r w:rsidR="007C7270" w:rsidRPr="00377635">
        <w:rPr>
          <w:rFonts w:ascii="Times New Roman" w:hAnsi="Times New Roman" w:cs="Times New Roman"/>
          <w:i/>
          <w:iCs/>
          <w:sz w:val="26"/>
          <w:szCs w:val="26"/>
        </w:rPr>
        <w:t>PECO</w:t>
      </w:r>
      <w:r w:rsidR="001A28B7">
        <w:rPr>
          <w:rFonts w:ascii="Times New Roman" w:hAnsi="Times New Roman" w:cs="Times New Roman"/>
          <w:i/>
          <w:iCs/>
          <w:sz w:val="26"/>
          <w:szCs w:val="26"/>
        </w:rPr>
        <w:t> </w:t>
      </w:r>
      <w:r w:rsidR="007C7270" w:rsidRPr="00377635">
        <w:rPr>
          <w:rFonts w:ascii="Times New Roman" w:hAnsi="Times New Roman" w:cs="Times New Roman"/>
          <w:i/>
          <w:iCs/>
          <w:sz w:val="26"/>
          <w:szCs w:val="26"/>
        </w:rPr>
        <w:t>Restructuring Order</w:t>
      </w:r>
      <w:r w:rsidR="007C7270" w:rsidRPr="007C7270">
        <w:rPr>
          <w:rFonts w:ascii="Times New Roman" w:hAnsi="Times New Roman" w:cs="Times New Roman"/>
          <w:sz w:val="26"/>
          <w:szCs w:val="26"/>
        </w:rPr>
        <w:t>)</w:t>
      </w:r>
      <w:r w:rsidR="00B40652">
        <w:rPr>
          <w:rFonts w:ascii="Times New Roman" w:hAnsi="Times New Roman" w:cs="Times New Roman"/>
          <w:sz w:val="26"/>
          <w:szCs w:val="26"/>
        </w:rPr>
        <w:t>)</w:t>
      </w:r>
      <w:r w:rsidR="00377635">
        <w:rPr>
          <w:rFonts w:ascii="Times New Roman" w:hAnsi="Times New Roman" w:cs="Times New Roman"/>
          <w:sz w:val="26"/>
          <w:szCs w:val="26"/>
        </w:rPr>
        <w:t xml:space="preserve">.  </w:t>
      </w:r>
    </w:p>
    <w:p w14:paraId="622F053C" w14:textId="77777777" w:rsidR="00377635" w:rsidRDefault="00377635" w:rsidP="003A6625">
      <w:pPr>
        <w:spacing w:after="0" w:line="360" w:lineRule="auto"/>
        <w:ind w:firstLine="1440"/>
        <w:contextualSpacing/>
        <w:rPr>
          <w:rFonts w:ascii="Times New Roman" w:hAnsi="Times New Roman" w:cs="Times New Roman"/>
          <w:sz w:val="26"/>
          <w:szCs w:val="26"/>
        </w:rPr>
      </w:pPr>
    </w:p>
    <w:p w14:paraId="7A982313" w14:textId="3769A863" w:rsidR="009211BD" w:rsidRDefault="006A6324" w:rsidP="003A6625">
      <w:pPr>
        <w:spacing w:after="0"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As part of its</w:t>
      </w:r>
      <w:r w:rsidR="00BA286B" w:rsidRPr="004F246E">
        <w:rPr>
          <w:rFonts w:ascii="Times New Roman" w:hAnsi="Times New Roman" w:cs="Times New Roman"/>
          <w:sz w:val="26"/>
          <w:szCs w:val="26"/>
        </w:rPr>
        <w:t xml:space="preserve"> statutory obligation</w:t>
      </w:r>
      <w:r>
        <w:rPr>
          <w:rFonts w:ascii="Times New Roman" w:hAnsi="Times New Roman" w:cs="Times New Roman"/>
          <w:sz w:val="26"/>
          <w:szCs w:val="26"/>
        </w:rPr>
        <w:t>s</w:t>
      </w:r>
      <w:r w:rsidR="00BA286B" w:rsidRPr="004F246E">
        <w:rPr>
          <w:rFonts w:ascii="Times New Roman" w:hAnsi="Times New Roman" w:cs="Times New Roman"/>
          <w:sz w:val="26"/>
          <w:szCs w:val="26"/>
        </w:rPr>
        <w:t>, PECO obtain</w:t>
      </w:r>
      <w:r w:rsidR="001E361E">
        <w:rPr>
          <w:rFonts w:ascii="Times New Roman" w:hAnsi="Times New Roman" w:cs="Times New Roman"/>
          <w:sz w:val="26"/>
          <w:szCs w:val="26"/>
        </w:rPr>
        <w:t>ed</w:t>
      </w:r>
      <w:r w:rsidR="00BA286B" w:rsidRPr="004F246E">
        <w:rPr>
          <w:rFonts w:ascii="Times New Roman" w:hAnsi="Times New Roman" w:cs="Times New Roman"/>
          <w:sz w:val="26"/>
          <w:szCs w:val="26"/>
        </w:rPr>
        <w:t xml:space="preserve"> and furnish</w:t>
      </w:r>
      <w:r w:rsidR="001E361E">
        <w:rPr>
          <w:rFonts w:ascii="Times New Roman" w:hAnsi="Times New Roman" w:cs="Times New Roman"/>
          <w:sz w:val="26"/>
          <w:szCs w:val="26"/>
        </w:rPr>
        <w:t>ed</w:t>
      </w:r>
      <w:r w:rsidR="00BA286B" w:rsidRPr="004F246E">
        <w:rPr>
          <w:rFonts w:ascii="Times New Roman" w:hAnsi="Times New Roman" w:cs="Times New Roman"/>
          <w:sz w:val="26"/>
          <w:szCs w:val="26"/>
        </w:rPr>
        <w:t xml:space="preserve"> transmission service to deliver the electricity it supplied to PECO’s PJM-designated transmission zone (PECO Zone), where that electricity could then be distributed by PECO to </w:t>
      </w:r>
      <w:r w:rsidR="00EC4DFF">
        <w:rPr>
          <w:rFonts w:ascii="Times New Roman" w:hAnsi="Times New Roman" w:cs="Times New Roman"/>
          <w:sz w:val="26"/>
          <w:szCs w:val="26"/>
        </w:rPr>
        <w:t xml:space="preserve">the premises of </w:t>
      </w:r>
      <w:r w:rsidR="00BA286B" w:rsidRPr="004F246E">
        <w:rPr>
          <w:rFonts w:ascii="Times New Roman" w:hAnsi="Times New Roman" w:cs="Times New Roman"/>
          <w:sz w:val="26"/>
          <w:szCs w:val="26"/>
        </w:rPr>
        <w:t xml:space="preserve">POLR customers. </w:t>
      </w:r>
      <w:r w:rsidR="00EC4DFF">
        <w:rPr>
          <w:rFonts w:ascii="Times New Roman" w:hAnsi="Times New Roman" w:cs="Times New Roman"/>
          <w:sz w:val="26"/>
          <w:szCs w:val="26"/>
        </w:rPr>
        <w:t xml:space="preserve"> </w:t>
      </w:r>
      <w:r w:rsidR="00461252">
        <w:rPr>
          <w:rFonts w:ascii="Times New Roman" w:hAnsi="Times New Roman" w:cs="Times New Roman"/>
          <w:sz w:val="26"/>
          <w:szCs w:val="26"/>
        </w:rPr>
        <w:t xml:space="preserve">With the unbundling of its retail rates, </w:t>
      </w:r>
      <w:r w:rsidR="00BA286B" w:rsidRPr="004F246E">
        <w:rPr>
          <w:rFonts w:ascii="Times New Roman" w:hAnsi="Times New Roman" w:cs="Times New Roman"/>
          <w:sz w:val="26"/>
          <w:szCs w:val="26"/>
        </w:rPr>
        <w:t>PECO’s cost of providing POLR service included two components:</w:t>
      </w:r>
      <w:r w:rsidR="00F5721D">
        <w:rPr>
          <w:rFonts w:ascii="Times New Roman" w:hAnsi="Times New Roman" w:cs="Times New Roman"/>
          <w:sz w:val="26"/>
          <w:szCs w:val="26"/>
        </w:rPr>
        <w:t xml:space="preserve"> </w:t>
      </w:r>
      <w:r w:rsidR="00BA286B" w:rsidRPr="004F246E">
        <w:rPr>
          <w:rFonts w:ascii="Times New Roman" w:hAnsi="Times New Roman" w:cs="Times New Roman"/>
          <w:sz w:val="26"/>
          <w:szCs w:val="26"/>
        </w:rPr>
        <w:t xml:space="preserve"> a generation price, which remained capped until January 1, 2011, and a transmission component, to recover the cost of bringing that generation to the PECO Zone. </w:t>
      </w:r>
      <w:r w:rsidR="00580D57">
        <w:rPr>
          <w:rFonts w:ascii="Times New Roman" w:hAnsi="Times New Roman" w:cs="Times New Roman"/>
          <w:sz w:val="26"/>
          <w:szCs w:val="26"/>
        </w:rPr>
        <w:t xml:space="preserve"> The Company’</w:t>
      </w:r>
      <w:r w:rsidR="00BA286B" w:rsidRPr="004F246E">
        <w:rPr>
          <w:rFonts w:ascii="Times New Roman" w:hAnsi="Times New Roman" w:cs="Times New Roman"/>
          <w:sz w:val="26"/>
          <w:szCs w:val="26"/>
        </w:rPr>
        <w:t xml:space="preserve">s “price to </w:t>
      </w:r>
      <w:r w:rsidR="00BA286B" w:rsidRPr="004F246E">
        <w:rPr>
          <w:rFonts w:ascii="Times New Roman" w:hAnsi="Times New Roman" w:cs="Times New Roman"/>
          <w:sz w:val="26"/>
          <w:szCs w:val="26"/>
        </w:rPr>
        <w:lastRenderedPageBreak/>
        <w:t xml:space="preserve">compare” (PTC) for POLR service was the sum of the generation and transmission components. </w:t>
      </w:r>
      <w:r w:rsidR="00580D57">
        <w:rPr>
          <w:rFonts w:ascii="Times New Roman" w:hAnsi="Times New Roman" w:cs="Times New Roman"/>
          <w:sz w:val="26"/>
          <w:szCs w:val="26"/>
        </w:rPr>
        <w:t xml:space="preserve"> PECO M.B. at 3-4.</w:t>
      </w:r>
    </w:p>
    <w:p w14:paraId="772B71F8" w14:textId="77777777" w:rsidR="009211BD" w:rsidRDefault="009211BD" w:rsidP="003A6625">
      <w:pPr>
        <w:spacing w:after="0" w:line="360" w:lineRule="auto"/>
        <w:ind w:firstLine="1440"/>
        <w:contextualSpacing/>
        <w:rPr>
          <w:rFonts w:ascii="Times New Roman" w:hAnsi="Times New Roman" w:cs="Times New Roman"/>
          <w:sz w:val="26"/>
          <w:szCs w:val="26"/>
        </w:rPr>
      </w:pPr>
    </w:p>
    <w:p w14:paraId="53427899" w14:textId="76CF1170" w:rsidR="004F0513" w:rsidRDefault="00580D57" w:rsidP="003A6625">
      <w:pPr>
        <w:spacing w:after="0"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 xml:space="preserve">FERC has approved </w:t>
      </w:r>
      <w:r w:rsidR="00BA286B" w:rsidRPr="004F246E">
        <w:rPr>
          <w:rFonts w:ascii="Times New Roman" w:hAnsi="Times New Roman" w:cs="Times New Roman"/>
          <w:sz w:val="26"/>
          <w:szCs w:val="26"/>
        </w:rPr>
        <w:t xml:space="preserve">PJM </w:t>
      </w:r>
      <w:r>
        <w:rPr>
          <w:rFonts w:ascii="Times New Roman" w:hAnsi="Times New Roman" w:cs="Times New Roman"/>
          <w:sz w:val="26"/>
          <w:szCs w:val="26"/>
        </w:rPr>
        <w:t>to be</w:t>
      </w:r>
      <w:r w:rsidR="00BA286B" w:rsidRPr="004F246E">
        <w:rPr>
          <w:rFonts w:ascii="Times New Roman" w:hAnsi="Times New Roman" w:cs="Times New Roman"/>
          <w:sz w:val="26"/>
          <w:szCs w:val="26"/>
        </w:rPr>
        <w:t xml:space="preserve"> the Regional Transmission Operator for </w:t>
      </w:r>
      <w:r>
        <w:rPr>
          <w:rFonts w:ascii="Times New Roman" w:hAnsi="Times New Roman" w:cs="Times New Roman"/>
          <w:sz w:val="26"/>
          <w:szCs w:val="26"/>
        </w:rPr>
        <w:t xml:space="preserve">the </w:t>
      </w:r>
      <w:r w:rsidR="00BA286B" w:rsidRPr="004F246E">
        <w:rPr>
          <w:rFonts w:ascii="Times New Roman" w:hAnsi="Times New Roman" w:cs="Times New Roman"/>
          <w:sz w:val="26"/>
          <w:szCs w:val="26"/>
        </w:rPr>
        <w:t xml:space="preserve">transmission systems </w:t>
      </w:r>
      <w:r>
        <w:rPr>
          <w:rFonts w:ascii="Times New Roman" w:hAnsi="Times New Roman" w:cs="Times New Roman"/>
          <w:sz w:val="26"/>
          <w:szCs w:val="26"/>
        </w:rPr>
        <w:t xml:space="preserve">of its members </w:t>
      </w:r>
      <w:r w:rsidR="00BA286B" w:rsidRPr="004F246E">
        <w:rPr>
          <w:rFonts w:ascii="Times New Roman" w:hAnsi="Times New Roman" w:cs="Times New Roman"/>
          <w:sz w:val="26"/>
          <w:szCs w:val="26"/>
        </w:rPr>
        <w:t xml:space="preserve">in all or parts of thirteen states and the District of Columbia. </w:t>
      </w:r>
      <w:r>
        <w:rPr>
          <w:rFonts w:ascii="Times New Roman" w:hAnsi="Times New Roman" w:cs="Times New Roman"/>
          <w:sz w:val="26"/>
          <w:szCs w:val="26"/>
        </w:rPr>
        <w:t xml:space="preserve"> </w:t>
      </w:r>
      <w:r w:rsidR="00213C80">
        <w:rPr>
          <w:rFonts w:ascii="Times New Roman" w:hAnsi="Times New Roman" w:cs="Times New Roman"/>
          <w:sz w:val="26"/>
          <w:szCs w:val="26"/>
        </w:rPr>
        <w:t xml:space="preserve">In the </w:t>
      </w:r>
      <w:r w:rsidR="00BA286B" w:rsidRPr="004F246E">
        <w:rPr>
          <w:rFonts w:ascii="Times New Roman" w:hAnsi="Times New Roman" w:cs="Times New Roman"/>
          <w:sz w:val="26"/>
          <w:szCs w:val="26"/>
        </w:rPr>
        <w:t>annual RTEP</w:t>
      </w:r>
      <w:r w:rsidR="00213C80">
        <w:rPr>
          <w:rFonts w:ascii="Times New Roman" w:hAnsi="Times New Roman" w:cs="Times New Roman"/>
          <w:sz w:val="26"/>
          <w:szCs w:val="26"/>
        </w:rPr>
        <w:t>,</w:t>
      </w:r>
      <w:r w:rsidR="00B36147">
        <w:rPr>
          <w:rFonts w:ascii="Times New Roman" w:hAnsi="Times New Roman" w:cs="Times New Roman"/>
          <w:sz w:val="26"/>
          <w:szCs w:val="26"/>
        </w:rPr>
        <w:t xml:space="preserve"> PJM </w:t>
      </w:r>
      <w:r w:rsidR="00BA286B" w:rsidRPr="004F246E">
        <w:rPr>
          <w:rFonts w:ascii="Times New Roman" w:hAnsi="Times New Roman" w:cs="Times New Roman"/>
          <w:sz w:val="26"/>
          <w:szCs w:val="26"/>
        </w:rPr>
        <w:t xml:space="preserve">identifies transmission system upgrades and enhancements to provide for operational, economic, and reliability requirements of the bulk power system under </w:t>
      </w:r>
      <w:r w:rsidR="00B36147">
        <w:rPr>
          <w:rFonts w:ascii="Times New Roman" w:hAnsi="Times New Roman" w:cs="Times New Roman"/>
          <w:sz w:val="26"/>
          <w:szCs w:val="26"/>
        </w:rPr>
        <w:t xml:space="preserve">PJM’s </w:t>
      </w:r>
      <w:r w:rsidR="00BA286B" w:rsidRPr="004F246E">
        <w:rPr>
          <w:rFonts w:ascii="Times New Roman" w:hAnsi="Times New Roman" w:cs="Times New Roman"/>
          <w:sz w:val="26"/>
          <w:szCs w:val="26"/>
        </w:rPr>
        <w:t xml:space="preserve">operational control. </w:t>
      </w:r>
      <w:r w:rsidR="0030395B">
        <w:rPr>
          <w:rFonts w:ascii="Times New Roman" w:hAnsi="Times New Roman" w:cs="Times New Roman"/>
          <w:sz w:val="26"/>
          <w:szCs w:val="26"/>
        </w:rPr>
        <w:t xml:space="preserve"> </w:t>
      </w:r>
      <w:r w:rsidR="004F0513" w:rsidRPr="004F0513">
        <w:rPr>
          <w:rFonts w:ascii="Times New Roman" w:hAnsi="Times New Roman" w:cs="Times New Roman"/>
          <w:i/>
          <w:iCs/>
          <w:sz w:val="26"/>
          <w:szCs w:val="26"/>
        </w:rPr>
        <w:t>Id</w:t>
      </w:r>
      <w:r w:rsidR="004F0513">
        <w:rPr>
          <w:rFonts w:ascii="Times New Roman" w:hAnsi="Times New Roman" w:cs="Times New Roman"/>
          <w:sz w:val="26"/>
          <w:szCs w:val="26"/>
        </w:rPr>
        <w:t xml:space="preserve">. at 4.  </w:t>
      </w:r>
    </w:p>
    <w:p w14:paraId="40AAE131" w14:textId="77777777" w:rsidR="004F0513" w:rsidRDefault="004F0513" w:rsidP="003A6625">
      <w:pPr>
        <w:spacing w:after="0" w:line="360" w:lineRule="auto"/>
        <w:ind w:firstLine="1440"/>
        <w:contextualSpacing/>
        <w:rPr>
          <w:rFonts w:ascii="Times New Roman" w:hAnsi="Times New Roman" w:cs="Times New Roman"/>
          <w:sz w:val="26"/>
          <w:szCs w:val="26"/>
        </w:rPr>
      </w:pPr>
    </w:p>
    <w:p w14:paraId="31FBCB83" w14:textId="1EE9B5CE" w:rsidR="001935A0" w:rsidRPr="004F246E" w:rsidRDefault="004F0513" w:rsidP="003A6625">
      <w:pPr>
        <w:spacing w:after="0" w:line="360" w:lineRule="auto"/>
        <w:ind w:firstLine="1440"/>
        <w:contextualSpacing/>
        <w:rPr>
          <w:rFonts w:ascii="Times New Roman" w:hAnsi="Times New Roman" w:cs="Times New Roman"/>
          <w:sz w:val="26"/>
          <w:szCs w:val="26"/>
        </w:rPr>
      </w:pPr>
      <w:r w:rsidRPr="00140878">
        <w:rPr>
          <w:rFonts w:ascii="Times New Roman" w:hAnsi="Times New Roman" w:cs="Times New Roman"/>
          <w:sz w:val="26"/>
          <w:szCs w:val="26"/>
        </w:rPr>
        <w:t xml:space="preserve">On June 1, 2007, </w:t>
      </w:r>
      <w:r w:rsidR="00BA286B" w:rsidRPr="00140878">
        <w:rPr>
          <w:rFonts w:ascii="Times New Roman" w:hAnsi="Times New Roman" w:cs="Times New Roman"/>
          <w:sz w:val="26"/>
          <w:szCs w:val="26"/>
        </w:rPr>
        <w:t>PJM first began to impose RTEP charges in the PECO Zone</w:t>
      </w:r>
      <w:r w:rsidR="00BA286B" w:rsidRPr="004F246E">
        <w:rPr>
          <w:rFonts w:ascii="Times New Roman" w:hAnsi="Times New Roman" w:cs="Times New Roman"/>
          <w:sz w:val="26"/>
          <w:szCs w:val="26"/>
        </w:rPr>
        <w:t xml:space="preserve">. </w:t>
      </w:r>
      <w:r w:rsidR="003510E7">
        <w:rPr>
          <w:rFonts w:ascii="Times New Roman" w:hAnsi="Times New Roman" w:cs="Times New Roman"/>
          <w:sz w:val="26"/>
          <w:szCs w:val="26"/>
        </w:rPr>
        <w:t xml:space="preserve"> </w:t>
      </w:r>
      <w:r w:rsidR="00BA286B" w:rsidRPr="004F246E">
        <w:rPr>
          <w:rFonts w:ascii="Times New Roman" w:hAnsi="Times New Roman" w:cs="Times New Roman"/>
          <w:sz w:val="26"/>
          <w:szCs w:val="26"/>
        </w:rPr>
        <w:t xml:space="preserve">The RTEP costs imposed on PECO were designed to recover the costs of transmission facilities owned by other transmission service providers outside the </w:t>
      </w:r>
      <w:r w:rsidR="00792E39">
        <w:rPr>
          <w:rFonts w:ascii="Times New Roman" w:hAnsi="Times New Roman" w:cs="Times New Roman"/>
          <w:sz w:val="26"/>
          <w:szCs w:val="26"/>
        </w:rPr>
        <w:t xml:space="preserve">PECO </w:t>
      </w:r>
      <w:r w:rsidR="00BA286B" w:rsidRPr="004F246E">
        <w:rPr>
          <w:rFonts w:ascii="Times New Roman" w:hAnsi="Times New Roman" w:cs="Times New Roman"/>
          <w:sz w:val="26"/>
          <w:szCs w:val="26"/>
        </w:rPr>
        <w:t xml:space="preserve">Zone. </w:t>
      </w:r>
      <w:r w:rsidR="003510E7">
        <w:rPr>
          <w:rFonts w:ascii="Times New Roman" w:hAnsi="Times New Roman" w:cs="Times New Roman"/>
          <w:sz w:val="26"/>
          <w:szCs w:val="26"/>
        </w:rPr>
        <w:t xml:space="preserve"> </w:t>
      </w:r>
      <w:r w:rsidR="000C3D58">
        <w:rPr>
          <w:rFonts w:ascii="Times New Roman" w:hAnsi="Times New Roman" w:cs="Times New Roman"/>
          <w:sz w:val="26"/>
          <w:szCs w:val="26"/>
        </w:rPr>
        <w:t xml:space="preserve">In addition, </w:t>
      </w:r>
      <w:r w:rsidR="00BA286B" w:rsidRPr="004F246E">
        <w:rPr>
          <w:rFonts w:ascii="Times New Roman" w:hAnsi="Times New Roman" w:cs="Times New Roman"/>
          <w:sz w:val="26"/>
          <w:szCs w:val="26"/>
        </w:rPr>
        <w:t xml:space="preserve">PECO provides transmission service to other entities, </w:t>
      </w:r>
      <w:r w:rsidR="000C3D58">
        <w:rPr>
          <w:rFonts w:ascii="Times New Roman" w:hAnsi="Times New Roman" w:cs="Times New Roman"/>
          <w:sz w:val="26"/>
          <w:szCs w:val="26"/>
        </w:rPr>
        <w:t xml:space="preserve">primarily </w:t>
      </w:r>
      <w:r w:rsidR="00BA286B" w:rsidRPr="004F246E">
        <w:rPr>
          <w:rFonts w:ascii="Times New Roman" w:hAnsi="Times New Roman" w:cs="Times New Roman"/>
          <w:sz w:val="26"/>
          <w:szCs w:val="26"/>
        </w:rPr>
        <w:t xml:space="preserve">other LSEs, to move power on their behalf within or across the PECO Zone using transmission facilities owned by </w:t>
      </w:r>
      <w:r w:rsidR="000C3D58">
        <w:rPr>
          <w:rFonts w:ascii="Times New Roman" w:hAnsi="Times New Roman" w:cs="Times New Roman"/>
          <w:sz w:val="26"/>
          <w:szCs w:val="26"/>
        </w:rPr>
        <w:t>the Company</w:t>
      </w:r>
      <w:r w:rsidR="00BA286B" w:rsidRPr="004F246E">
        <w:rPr>
          <w:rFonts w:ascii="Times New Roman" w:hAnsi="Times New Roman" w:cs="Times New Roman"/>
          <w:sz w:val="26"/>
          <w:szCs w:val="26"/>
        </w:rPr>
        <w:t xml:space="preserve">. </w:t>
      </w:r>
      <w:r w:rsidR="00B35B24">
        <w:rPr>
          <w:rFonts w:ascii="Times New Roman" w:hAnsi="Times New Roman" w:cs="Times New Roman"/>
          <w:sz w:val="26"/>
          <w:szCs w:val="26"/>
        </w:rPr>
        <w:t xml:space="preserve"> </w:t>
      </w:r>
      <w:r w:rsidR="00BA286B" w:rsidRPr="004F246E">
        <w:rPr>
          <w:rFonts w:ascii="Times New Roman" w:hAnsi="Times New Roman" w:cs="Times New Roman"/>
          <w:sz w:val="26"/>
          <w:szCs w:val="26"/>
        </w:rPr>
        <w:t>PECO</w:t>
      </w:r>
      <w:r w:rsidR="00B35B24">
        <w:rPr>
          <w:rFonts w:ascii="Times New Roman" w:hAnsi="Times New Roman" w:cs="Times New Roman"/>
          <w:sz w:val="26"/>
          <w:szCs w:val="26"/>
        </w:rPr>
        <w:t>’s costs</w:t>
      </w:r>
      <w:r w:rsidR="00BA286B" w:rsidRPr="004F246E">
        <w:rPr>
          <w:rFonts w:ascii="Times New Roman" w:hAnsi="Times New Roman" w:cs="Times New Roman"/>
          <w:sz w:val="26"/>
          <w:szCs w:val="26"/>
        </w:rPr>
        <w:t xml:space="preserve"> for that service, including the fixed costs of </w:t>
      </w:r>
      <w:r w:rsidR="008C05A9">
        <w:rPr>
          <w:rFonts w:ascii="Times New Roman" w:hAnsi="Times New Roman" w:cs="Times New Roman"/>
          <w:sz w:val="26"/>
          <w:szCs w:val="26"/>
        </w:rPr>
        <w:t>Company-</w:t>
      </w:r>
      <w:r w:rsidR="00BA286B" w:rsidRPr="004F246E">
        <w:rPr>
          <w:rFonts w:ascii="Times New Roman" w:hAnsi="Times New Roman" w:cs="Times New Roman"/>
          <w:sz w:val="26"/>
          <w:szCs w:val="26"/>
        </w:rPr>
        <w:t xml:space="preserve">owned transmission facilities, are recovered in PECO’s wholesale network integration transmission service (NITS) rate from the entities that receive that service. </w:t>
      </w:r>
      <w:r w:rsidR="001F4B65">
        <w:rPr>
          <w:rFonts w:ascii="Times New Roman" w:hAnsi="Times New Roman" w:cs="Times New Roman"/>
          <w:sz w:val="26"/>
          <w:szCs w:val="26"/>
        </w:rPr>
        <w:t xml:space="preserve"> </w:t>
      </w:r>
      <w:r w:rsidR="00481D39">
        <w:rPr>
          <w:rFonts w:ascii="Times New Roman" w:hAnsi="Times New Roman" w:cs="Times New Roman"/>
          <w:sz w:val="26"/>
          <w:szCs w:val="26"/>
        </w:rPr>
        <w:t xml:space="preserve">The </w:t>
      </w:r>
      <w:r w:rsidR="00BA286B" w:rsidRPr="004F246E">
        <w:rPr>
          <w:rFonts w:ascii="Times New Roman" w:hAnsi="Times New Roman" w:cs="Times New Roman"/>
          <w:sz w:val="26"/>
          <w:szCs w:val="26"/>
        </w:rPr>
        <w:t>NITS rates are filed with and approved by FERC.</w:t>
      </w:r>
      <w:r w:rsidR="00CE3B6E">
        <w:rPr>
          <w:rFonts w:ascii="Times New Roman" w:hAnsi="Times New Roman" w:cs="Times New Roman"/>
          <w:sz w:val="26"/>
          <w:szCs w:val="26"/>
        </w:rPr>
        <w:t xml:space="preserve">  </w:t>
      </w:r>
      <w:r w:rsidR="00CE3B6E" w:rsidRPr="00CE3B6E">
        <w:rPr>
          <w:rFonts w:ascii="Times New Roman" w:hAnsi="Times New Roman" w:cs="Times New Roman"/>
          <w:i/>
          <w:iCs/>
          <w:sz w:val="26"/>
          <w:szCs w:val="26"/>
        </w:rPr>
        <w:t>Id</w:t>
      </w:r>
      <w:r w:rsidR="00CE3B6E">
        <w:rPr>
          <w:rFonts w:ascii="Times New Roman" w:hAnsi="Times New Roman" w:cs="Times New Roman"/>
          <w:sz w:val="26"/>
          <w:szCs w:val="26"/>
        </w:rPr>
        <w:t xml:space="preserve">.  </w:t>
      </w:r>
    </w:p>
    <w:p w14:paraId="49FC1642" w14:textId="66EECEFF" w:rsidR="00B5231E" w:rsidRPr="004F246E" w:rsidRDefault="00B5231E" w:rsidP="001935A0">
      <w:pPr>
        <w:spacing w:after="0" w:line="360" w:lineRule="auto"/>
        <w:contextualSpacing/>
        <w:rPr>
          <w:rFonts w:ascii="Times New Roman" w:hAnsi="Times New Roman" w:cs="Times New Roman"/>
          <w:sz w:val="26"/>
          <w:szCs w:val="26"/>
        </w:rPr>
      </w:pPr>
    </w:p>
    <w:p w14:paraId="72844070" w14:textId="61929A63" w:rsidR="008053C9" w:rsidRDefault="00E3549F" w:rsidP="00CE3B6E">
      <w:pPr>
        <w:spacing w:after="0"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For</w:t>
      </w:r>
      <w:r w:rsidR="00B5231E" w:rsidRPr="004F246E">
        <w:rPr>
          <w:rFonts w:ascii="Times New Roman" w:hAnsi="Times New Roman" w:cs="Times New Roman"/>
          <w:sz w:val="26"/>
          <w:szCs w:val="26"/>
        </w:rPr>
        <w:t xml:space="preserve"> the </w:t>
      </w:r>
      <w:r w:rsidR="00C77A2E">
        <w:rPr>
          <w:rFonts w:ascii="Times New Roman" w:hAnsi="Times New Roman" w:cs="Times New Roman"/>
          <w:sz w:val="26"/>
          <w:szCs w:val="26"/>
        </w:rPr>
        <w:t>2007 through 2010</w:t>
      </w:r>
      <w:r w:rsidR="00B5231E" w:rsidRPr="004F246E">
        <w:rPr>
          <w:rFonts w:ascii="Times New Roman" w:hAnsi="Times New Roman" w:cs="Times New Roman"/>
          <w:sz w:val="26"/>
          <w:szCs w:val="26"/>
        </w:rPr>
        <w:t xml:space="preserve"> period</w:t>
      </w:r>
      <w:r>
        <w:rPr>
          <w:rFonts w:ascii="Times New Roman" w:hAnsi="Times New Roman" w:cs="Times New Roman"/>
          <w:sz w:val="26"/>
          <w:szCs w:val="26"/>
        </w:rPr>
        <w:t>,</w:t>
      </w:r>
      <w:r w:rsidR="00B5231E" w:rsidRPr="004F246E">
        <w:rPr>
          <w:rFonts w:ascii="Times New Roman" w:hAnsi="Times New Roman" w:cs="Times New Roman"/>
          <w:sz w:val="26"/>
          <w:szCs w:val="26"/>
        </w:rPr>
        <w:t xml:space="preserve"> </w:t>
      </w:r>
      <w:r w:rsidR="00CE3B6E">
        <w:rPr>
          <w:rFonts w:ascii="Times New Roman" w:hAnsi="Times New Roman" w:cs="Times New Roman"/>
          <w:sz w:val="26"/>
          <w:szCs w:val="26"/>
        </w:rPr>
        <w:t xml:space="preserve">the Company’s effective NITS rate </w:t>
      </w:r>
      <w:r w:rsidR="00B5231E" w:rsidRPr="004F246E">
        <w:rPr>
          <w:rFonts w:ascii="Times New Roman" w:hAnsi="Times New Roman" w:cs="Times New Roman"/>
          <w:sz w:val="26"/>
          <w:szCs w:val="26"/>
        </w:rPr>
        <w:t xml:space="preserve">was fixed at $20,942 per megawatt-year based </w:t>
      </w:r>
      <w:r w:rsidR="0066002B">
        <w:rPr>
          <w:rFonts w:ascii="Times New Roman" w:hAnsi="Times New Roman" w:cs="Times New Roman"/>
          <w:sz w:val="26"/>
          <w:szCs w:val="26"/>
        </w:rPr>
        <w:t xml:space="preserve">upon </w:t>
      </w:r>
      <w:r w:rsidR="00B5231E" w:rsidRPr="004F246E">
        <w:rPr>
          <w:rFonts w:ascii="Times New Roman" w:hAnsi="Times New Roman" w:cs="Times New Roman"/>
          <w:sz w:val="26"/>
          <w:szCs w:val="26"/>
        </w:rPr>
        <w:t xml:space="preserve">a “black box” settlement approved by FERC at Docket No. ER97- 3189-000 (1998 Settlement). </w:t>
      </w:r>
      <w:r>
        <w:rPr>
          <w:rFonts w:ascii="Times New Roman" w:hAnsi="Times New Roman" w:cs="Times New Roman"/>
          <w:sz w:val="26"/>
          <w:szCs w:val="26"/>
        </w:rPr>
        <w:t xml:space="preserve"> </w:t>
      </w:r>
      <w:r w:rsidR="00B5231E" w:rsidRPr="004F246E">
        <w:rPr>
          <w:rFonts w:ascii="Times New Roman" w:hAnsi="Times New Roman" w:cs="Times New Roman"/>
          <w:sz w:val="26"/>
          <w:szCs w:val="26"/>
        </w:rPr>
        <w:t>Th</w:t>
      </w:r>
      <w:r w:rsidR="00914A4A">
        <w:rPr>
          <w:rFonts w:ascii="Times New Roman" w:hAnsi="Times New Roman" w:cs="Times New Roman"/>
          <w:sz w:val="26"/>
          <w:szCs w:val="26"/>
        </w:rPr>
        <w:t>e</w:t>
      </w:r>
      <w:r w:rsidR="00B5231E" w:rsidRPr="004F246E">
        <w:rPr>
          <w:rFonts w:ascii="Times New Roman" w:hAnsi="Times New Roman" w:cs="Times New Roman"/>
          <w:sz w:val="26"/>
          <w:szCs w:val="26"/>
        </w:rPr>
        <w:t xml:space="preserve"> </w:t>
      </w:r>
      <w:r>
        <w:rPr>
          <w:rFonts w:ascii="Times New Roman" w:hAnsi="Times New Roman" w:cs="Times New Roman"/>
          <w:sz w:val="26"/>
          <w:szCs w:val="26"/>
        </w:rPr>
        <w:t xml:space="preserve">FERC </w:t>
      </w:r>
      <w:r w:rsidR="00B5231E" w:rsidRPr="004F246E">
        <w:rPr>
          <w:rFonts w:ascii="Times New Roman" w:hAnsi="Times New Roman" w:cs="Times New Roman"/>
          <w:sz w:val="26"/>
          <w:szCs w:val="26"/>
        </w:rPr>
        <w:t xml:space="preserve">proceeding was initiated to restructure PJM, establish PJM as an Independent System Operator and provide PJM operational control of the regional transmission system. </w:t>
      </w:r>
      <w:r>
        <w:rPr>
          <w:rFonts w:ascii="Times New Roman" w:hAnsi="Times New Roman" w:cs="Times New Roman"/>
          <w:sz w:val="26"/>
          <w:szCs w:val="26"/>
        </w:rPr>
        <w:t xml:space="preserve"> Pursuant to the </w:t>
      </w:r>
      <w:r w:rsidR="00B5231E" w:rsidRPr="004F246E">
        <w:rPr>
          <w:rFonts w:ascii="Times New Roman" w:hAnsi="Times New Roman" w:cs="Times New Roman"/>
          <w:sz w:val="26"/>
          <w:szCs w:val="26"/>
        </w:rPr>
        <w:t xml:space="preserve">1998 Settlement, PJM’s Open Access Transmission Tariff adopted PECO’s revenue requirement established in a prior proceeding based on costs recorded by PECO in 1994. </w:t>
      </w:r>
      <w:r w:rsidR="008053C9">
        <w:rPr>
          <w:rFonts w:ascii="Times New Roman" w:hAnsi="Times New Roman" w:cs="Times New Roman"/>
          <w:sz w:val="26"/>
          <w:szCs w:val="26"/>
        </w:rPr>
        <w:t xml:space="preserve"> PECO M.B. at 5.  </w:t>
      </w:r>
    </w:p>
    <w:p w14:paraId="2C56F521" w14:textId="77777777" w:rsidR="008053C9" w:rsidRDefault="008053C9" w:rsidP="00CE3B6E">
      <w:pPr>
        <w:spacing w:after="0" w:line="360" w:lineRule="auto"/>
        <w:ind w:firstLine="1440"/>
        <w:contextualSpacing/>
        <w:rPr>
          <w:rFonts w:ascii="Times New Roman" w:hAnsi="Times New Roman" w:cs="Times New Roman"/>
          <w:sz w:val="26"/>
          <w:szCs w:val="26"/>
        </w:rPr>
      </w:pPr>
    </w:p>
    <w:p w14:paraId="0D08F601" w14:textId="7CEBEF2C" w:rsidR="00381114" w:rsidRDefault="00B5231E" w:rsidP="00CE3B6E">
      <w:pPr>
        <w:spacing w:after="0" w:line="360" w:lineRule="auto"/>
        <w:ind w:firstLine="1440"/>
        <w:contextualSpacing/>
        <w:rPr>
          <w:rFonts w:ascii="Times New Roman" w:hAnsi="Times New Roman" w:cs="Times New Roman"/>
          <w:sz w:val="26"/>
          <w:szCs w:val="26"/>
        </w:rPr>
      </w:pPr>
      <w:r w:rsidRPr="004F246E">
        <w:rPr>
          <w:rFonts w:ascii="Times New Roman" w:hAnsi="Times New Roman" w:cs="Times New Roman"/>
          <w:sz w:val="26"/>
          <w:szCs w:val="26"/>
        </w:rPr>
        <w:lastRenderedPageBreak/>
        <w:t>Th</w:t>
      </w:r>
      <w:r w:rsidR="00577736">
        <w:rPr>
          <w:rFonts w:ascii="Times New Roman" w:hAnsi="Times New Roman" w:cs="Times New Roman"/>
          <w:sz w:val="26"/>
          <w:szCs w:val="26"/>
        </w:rPr>
        <w:t>is</w:t>
      </w:r>
      <w:r w:rsidRPr="004F246E">
        <w:rPr>
          <w:rFonts w:ascii="Times New Roman" w:hAnsi="Times New Roman" w:cs="Times New Roman"/>
          <w:sz w:val="26"/>
          <w:szCs w:val="26"/>
        </w:rPr>
        <w:t xml:space="preserve"> proceeding relates to a settlement agreement approved by FERC </w:t>
      </w:r>
      <w:r w:rsidR="00F500A1">
        <w:rPr>
          <w:rFonts w:ascii="Times New Roman" w:hAnsi="Times New Roman" w:cs="Times New Roman"/>
          <w:sz w:val="26"/>
          <w:szCs w:val="26"/>
        </w:rPr>
        <w:t>at</w:t>
      </w:r>
      <w:r w:rsidRPr="004F246E">
        <w:rPr>
          <w:rFonts w:ascii="Times New Roman" w:hAnsi="Times New Roman" w:cs="Times New Roman"/>
          <w:sz w:val="26"/>
          <w:szCs w:val="26"/>
        </w:rPr>
        <w:t xml:space="preserve"> FERC Docket EL05-121 regarding certain FERC transmission-related charges to be refunded to customers.</w:t>
      </w:r>
      <w:r w:rsidR="00863A25">
        <w:rPr>
          <w:rFonts w:ascii="Times New Roman" w:hAnsi="Times New Roman" w:cs="Times New Roman"/>
          <w:sz w:val="26"/>
          <w:szCs w:val="26"/>
        </w:rPr>
        <w:t xml:space="preserve">  OCA M.B. at 1 (citing </w:t>
      </w:r>
      <w:bookmarkStart w:id="1" w:name="_Hlk73432911"/>
      <w:r w:rsidR="00CE3E31" w:rsidRPr="003F4A89">
        <w:rPr>
          <w:rFonts w:ascii="Times New Roman" w:hAnsi="Times New Roman" w:cs="Times New Roman"/>
          <w:sz w:val="26"/>
          <w:szCs w:val="26"/>
        </w:rPr>
        <w:t>FERC Settlement Agreement</w:t>
      </w:r>
      <w:bookmarkEnd w:id="1"/>
      <w:r w:rsidR="001C677F">
        <w:rPr>
          <w:rFonts w:ascii="Times New Roman" w:hAnsi="Times New Roman" w:cs="Times New Roman"/>
          <w:sz w:val="26"/>
          <w:szCs w:val="26"/>
        </w:rPr>
        <w:t xml:space="preserve">). </w:t>
      </w:r>
      <w:r w:rsidRPr="004F246E">
        <w:rPr>
          <w:rFonts w:ascii="Times New Roman" w:hAnsi="Times New Roman" w:cs="Times New Roman"/>
          <w:sz w:val="26"/>
          <w:szCs w:val="26"/>
        </w:rPr>
        <w:t xml:space="preserve"> </w:t>
      </w:r>
      <w:r w:rsidR="0040032C">
        <w:rPr>
          <w:rFonts w:ascii="Times New Roman" w:hAnsi="Times New Roman" w:cs="Times New Roman"/>
          <w:sz w:val="26"/>
          <w:szCs w:val="26"/>
        </w:rPr>
        <w:t>At first</w:t>
      </w:r>
      <w:r w:rsidRPr="004F246E">
        <w:rPr>
          <w:rFonts w:ascii="Times New Roman" w:hAnsi="Times New Roman" w:cs="Times New Roman"/>
          <w:sz w:val="26"/>
          <w:szCs w:val="26"/>
        </w:rPr>
        <w:t>, FERC allocated the expense of new transmission facilities that operate at and above 500 kV across all the PJM utilities, east or west, in proportion to each utility’s respective sales.</w:t>
      </w:r>
      <w:r w:rsidR="0040032C">
        <w:rPr>
          <w:rFonts w:ascii="Times New Roman" w:hAnsi="Times New Roman" w:cs="Times New Roman"/>
          <w:sz w:val="26"/>
          <w:szCs w:val="26"/>
        </w:rPr>
        <w:t xml:space="preserve">  </w:t>
      </w:r>
      <w:r w:rsidR="00AC0754">
        <w:rPr>
          <w:rFonts w:ascii="Times New Roman" w:hAnsi="Times New Roman" w:cs="Times New Roman"/>
          <w:sz w:val="26"/>
          <w:szCs w:val="26"/>
        </w:rPr>
        <w:t xml:space="preserve">OCA M.B. at 1 (citing </w:t>
      </w:r>
      <w:r w:rsidR="00AC0754" w:rsidRPr="003047CF">
        <w:rPr>
          <w:rFonts w:ascii="Times New Roman" w:hAnsi="Times New Roman" w:cs="Times New Roman"/>
          <w:i/>
          <w:iCs/>
          <w:sz w:val="26"/>
          <w:szCs w:val="26"/>
        </w:rPr>
        <w:t>Ill. Commerce Comm’n v. FERC</w:t>
      </w:r>
      <w:r w:rsidR="00AC0754">
        <w:rPr>
          <w:rFonts w:ascii="Times New Roman" w:hAnsi="Times New Roman" w:cs="Times New Roman"/>
          <w:sz w:val="26"/>
          <w:szCs w:val="26"/>
        </w:rPr>
        <w:t>, 756 F.3d</w:t>
      </w:r>
      <w:r w:rsidR="003047CF">
        <w:rPr>
          <w:rFonts w:ascii="Times New Roman" w:hAnsi="Times New Roman" w:cs="Times New Roman"/>
          <w:sz w:val="26"/>
          <w:szCs w:val="26"/>
        </w:rPr>
        <w:t xml:space="preserve"> 556 (7</w:t>
      </w:r>
      <w:r w:rsidR="003047CF" w:rsidRPr="003047CF">
        <w:rPr>
          <w:rFonts w:ascii="Times New Roman" w:hAnsi="Times New Roman" w:cs="Times New Roman"/>
          <w:sz w:val="26"/>
          <w:szCs w:val="26"/>
          <w:vertAlign w:val="superscript"/>
        </w:rPr>
        <w:t>th</w:t>
      </w:r>
      <w:r w:rsidR="001A28B7">
        <w:rPr>
          <w:rFonts w:ascii="Times New Roman" w:hAnsi="Times New Roman" w:cs="Times New Roman"/>
          <w:sz w:val="26"/>
          <w:szCs w:val="26"/>
        </w:rPr>
        <w:t> </w:t>
      </w:r>
      <w:r w:rsidR="003047CF">
        <w:rPr>
          <w:rFonts w:ascii="Times New Roman" w:hAnsi="Times New Roman" w:cs="Times New Roman"/>
          <w:sz w:val="26"/>
          <w:szCs w:val="26"/>
        </w:rPr>
        <w:t>Cir.</w:t>
      </w:r>
      <w:r w:rsidR="001A28B7">
        <w:rPr>
          <w:rFonts w:ascii="Times New Roman" w:hAnsi="Times New Roman" w:cs="Times New Roman"/>
          <w:sz w:val="26"/>
          <w:szCs w:val="26"/>
        </w:rPr>
        <w:t> </w:t>
      </w:r>
      <w:r w:rsidR="003047CF">
        <w:rPr>
          <w:rFonts w:ascii="Times New Roman" w:hAnsi="Times New Roman" w:cs="Times New Roman"/>
          <w:sz w:val="26"/>
          <w:szCs w:val="26"/>
        </w:rPr>
        <w:t>2014)</w:t>
      </w:r>
      <w:r w:rsidR="00A22615">
        <w:rPr>
          <w:rFonts w:ascii="Times New Roman" w:hAnsi="Times New Roman" w:cs="Times New Roman"/>
          <w:sz w:val="26"/>
          <w:szCs w:val="26"/>
        </w:rPr>
        <w:t xml:space="preserve"> (</w:t>
      </w:r>
      <w:r w:rsidR="00A22615" w:rsidRPr="002637B3">
        <w:rPr>
          <w:rFonts w:ascii="Times New Roman" w:hAnsi="Times New Roman" w:cs="Times New Roman"/>
          <w:i/>
          <w:iCs/>
          <w:sz w:val="26"/>
          <w:szCs w:val="26"/>
        </w:rPr>
        <w:t>7</w:t>
      </w:r>
      <w:r w:rsidR="00A22615" w:rsidRPr="002637B3">
        <w:rPr>
          <w:rFonts w:ascii="Times New Roman" w:hAnsi="Times New Roman" w:cs="Times New Roman"/>
          <w:i/>
          <w:iCs/>
          <w:sz w:val="26"/>
          <w:szCs w:val="26"/>
          <w:vertAlign w:val="superscript"/>
        </w:rPr>
        <w:t>th</w:t>
      </w:r>
      <w:r w:rsidR="00A22615" w:rsidRPr="002637B3">
        <w:rPr>
          <w:rFonts w:ascii="Times New Roman" w:hAnsi="Times New Roman" w:cs="Times New Roman"/>
          <w:i/>
          <w:iCs/>
          <w:sz w:val="26"/>
          <w:szCs w:val="26"/>
        </w:rPr>
        <w:t xml:space="preserve"> Circuit </w:t>
      </w:r>
      <w:r w:rsidR="002637B3" w:rsidRPr="002637B3">
        <w:rPr>
          <w:rFonts w:ascii="Times New Roman" w:hAnsi="Times New Roman" w:cs="Times New Roman"/>
          <w:i/>
          <w:iCs/>
          <w:sz w:val="26"/>
          <w:szCs w:val="26"/>
        </w:rPr>
        <w:t>2014 Remand</w:t>
      </w:r>
      <w:r w:rsidR="003047CF">
        <w:rPr>
          <w:rFonts w:ascii="Times New Roman" w:hAnsi="Times New Roman" w:cs="Times New Roman"/>
          <w:sz w:val="26"/>
          <w:szCs w:val="26"/>
        </w:rPr>
        <w:t xml:space="preserve">).  </w:t>
      </w:r>
      <w:r w:rsidR="00855307">
        <w:rPr>
          <w:rFonts w:ascii="Times New Roman" w:hAnsi="Times New Roman" w:cs="Times New Roman"/>
          <w:sz w:val="26"/>
          <w:szCs w:val="26"/>
        </w:rPr>
        <w:t>A</w:t>
      </w:r>
      <w:r w:rsidRPr="004F246E">
        <w:rPr>
          <w:rFonts w:ascii="Times New Roman" w:hAnsi="Times New Roman" w:cs="Times New Roman"/>
          <w:sz w:val="26"/>
          <w:szCs w:val="26"/>
        </w:rPr>
        <w:t xml:space="preserve">llocating transmission expense </w:t>
      </w:r>
      <w:r w:rsidR="00855307">
        <w:rPr>
          <w:rFonts w:ascii="Times New Roman" w:hAnsi="Times New Roman" w:cs="Times New Roman"/>
          <w:sz w:val="26"/>
          <w:szCs w:val="26"/>
        </w:rPr>
        <w:t>in this manner is known as</w:t>
      </w:r>
      <w:r w:rsidRPr="004F246E">
        <w:rPr>
          <w:rFonts w:ascii="Times New Roman" w:hAnsi="Times New Roman" w:cs="Times New Roman"/>
          <w:sz w:val="26"/>
          <w:szCs w:val="26"/>
        </w:rPr>
        <w:t xml:space="preserve"> the “postage-stamp” methodology because the expense that an electric utility must contribute to a 500-kV line </w:t>
      </w:r>
      <w:proofErr w:type="gramStart"/>
      <w:r w:rsidRPr="004F246E">
        <w:rPr>
          <w:rFonts w:ascii="Times New Roman" w:hAnsi="Times New Roman" w:cs="Times New Roman"/>
          <w:sz w:val="26"/>
          <w:szCs w:val="26"/>
        </w:rPr>
        <w:t>was considered to be</w:t>
      </w:r>
      <w:proofErr w:type="gramEnd"/>
      <w:r w:rsidRPr="004F246E">
        <w:rPr>
          <w:rFonts w:ascii="Times New Roman" w:hAnsi="Times New Roman" w:cs="Times New Roman"/>
          <w:sz w:val="26"/>
          <w:szCs w:val="26"/>
        </w:rPr>
        <w:t xml:space="preserve"> independent of the utility’s location relative to the location of the transmission line.</w:t>
      </w:r>
      <w:r w:rsidR="00381114">
        <w:rPr>
          <w:rFonts w:ascii="Times New Roman" w:hAnsi="Times New Roman" w:cs="Times New Roman"/>
          <w:sz w:val="26"/>
          <w:szCs w:val="26"/>
        </w:rPr>
        <w:t xml:space="preserve">  </w:t>
      </w:r>
      <w:r w:rsidR="00381114" w:rsidRPr="00381114">
        <w:rPr>
          <w:rFonts w:ascii="Times New Roman" w:hAnsi="Times New Roman" w:cs="Times New Roman"/>
          <w:i/>
          <w:iCs/>
          <w:sz w:val="26"/>
          <w:szCs w:val="26"/>
        </w:rPr>
        <w:t>Id</w:t>
      </w:r>
      <w:r w:rsidR="00381114">
        <w:rPr>
          <w:rFonts w:ascii="Times New Roman" w:hAnsi="Times New Roman" w:cs="Times New Roman"/>
          <w:sz w:val="26"/>
          <w:szCs w:val="26"/>
        </w:rPr>
        <w:t xml:space="preserve">.  </w:t>
      </w:r>
    </w:p>
    <w:p w14:paraId="3A56290C" w14:textId="77777777" w:rsidR="00381114" w:rsidRDefault="00381114" w:rsidP="00CE3B6E">
      <w:pPr>
        <w:spacing w:after="0" w:line="360" w:lineRule="auto"/>
        <w:ind w:firstLine="1440"/>
        <w:contextualSpacing/>
        <w:rPr>
          <w:rFonts w:ascii="Times New Roman" w:hAnsi="Times New Roman" w:cs="Times New Roman"/>
          <w:sz w:val="26"/>
          <w:szCs w:val="26"/>
        </w:rPr>
      </w:pPr>
    </w:p>
    <w:p w14:paraId="66F282E0" w14:textId="6B6DB52E" w:rsidR="002324A0" w:rsidRDefault="00B5231E" w:rsidP="00CE3B6E">
      <w:pPr>
        <w:spacing w:after="0" w:line="360" w:lineRule="auto"/>
        <w:ind w:firstLine="1440"/>
        <w:contextualSpacing/>
        <w:rPr>
          <w:rFonts w:ascii="Times New Roman" w:hAnsi="Times New Roman" w:cs="Times New Roman"/>
          <w:sz w:val="26"/>
          <w:szCs w:val="26"/>
        </w:rPr>
      </w:pPr>
      <w:r w:rsidRPr="004F246E">
        <w:rPr>
          <w:rFonts w:ascii="Times New Roman" w:hAnsi="Times New Roman" w:cs="Times New Roman"/>
          <w:sz w:val="26"/>
          <w:szCs w:val="26"/>
        </w:rPr>
        <w:t xml:space="preserve">Numerous parties </w:t>
      </w:r>
      <w:r w:rsidR="00F500A1">
        <w:rPr>
          <w:rFonts w:ascii="Times New Roman" w:hAnsi="Times New Roman" w:cs="Times New Roman"/>
          <w:sz w:val="26"/>
          <w:szCs w:val="26"/>
        </w:rPr>
        <w:t>objected</w:t>
      </w:r>
      <w:r w:rsidRPr="004F246E">
        <w:rPr>
          <w:rFonts w:ascii="Times New Roman" w:hAnsi="Times New Roman" w:cs="Times New Roman"/>
          <w:sz w:val="26"/>
          <w:szCs w:val="26"/>
        </w:rPr>
        <w:t xml:space="preserve"> to FERC’s original decision to apply these RTEP charges across the entire PJM footprint on a </w:t>
      </w:r>
      <w:r w:rsidR="00902E4D">
        <w:rPr>
          <w:rFonts w:ascii="Times New Roman" w:hAnsi="Times New Roman" w:cs="Times New Roman"/>
          <w:sz w:val="26"/>
          <w:szCs w:val="26"/>
        </w:rPr>
        <w:t>“</w:t>
      </w:r>
      <w:r w:rsidRPr="004F246E">
        <w:rPr>
          <w:rFonts w:ascii="Times New Roman" w:hAnsi="Times New Roman" w:cs="Times New Roman"/>
          <w:sz w:val="26"/>
          <w:szCs w:val="26"/>
        </w:rPr>
        <w:t>postage-stamp</w:t>
      </w:r>
      <w:r w:rsidR="00902E4D">
        <w:rPr>
          <w:rFonts w:ascii="Times New Roman" w:hAnsi="Times New Roman" w:cs="Times New Roman"/>
          <w:sz w:val="26"/>
          <w:szCs w:val="26"/>
        </w:rPr>
        <w:t>”</w:t>
      </w:r>
      <w:r w:rsidRPr="004F246E">
        <w:rPr>
          <w:rFonts w:ascii="Times New Roman" w:hAnsi="Times New Roman" w:cs="Times New Roman"/>
          <w:sz w:val="26"/>
          <w:szCs w:val="26"/>
        </w:rPr>
        <w:t xml:space="preserve"> basis, and </w:t>
      </w:r>
      <w:r w:rsidR="0074328D">
        <w:rPr>
          <w:rFonts w:ascii="Times New Roman" w:hAnsi="Times New Roman" w:cs="Times New Roman"/>
          <w:sz w:val="26"/>
          <w:szCs w:val="26"/>
        </w:rPr>
        <w:t>pursued</w:t>
      </w:r>
      <w:r w:rsidRPr="004F246E">
        <w:rPr>
          <w:rFonts w:ascii="Times New Roman" w:hAnsi="Times New Roman" w:cs="Times New Roman"/>
          <w:sz w:val="26"/>
          <w:szCs w:val="26"/>
        </w:rPr>
        <w:t xml:space="preserve"> various appeals.</w:t>
      </w:r>
      <w:r w:rsidR="0074328D">
        <w:rPr>
          <w:rFonts w:ascii="Times New Roman" w:hAnsi="Times New Roman" w:cs="Times New Roman"/>
          <w:sz w:val="26"/>
          <w:szCs w:val="26"/>
        </w:rPr>
        <w:t xml:space="preserve"> </w:t>
      </w:r>
      <w:r w:rsidRPr="004F246E">
        <w:rPr>
          <w:rFonts w:ascii="Times New Roman" w:hAnsi="Times New Roman" w:cs="Times New Roman"/>
          <w:sz w:val="26"/>
          <w:szCs w:val="26"/>
        </w:rPr>
        <w:t xml:space="preserve"> The </w:t>
      </w:r>
      <w:r w:rsidR="0074328D">
        <w:rPr>
          <w:rFonts w:ascii="Times New Roman" w:hAnsi="Times New Roman" w:cs="Times New Roman"/>
          <w:sz w:val="26"/>
          <w:szCs w:val="26"/>
        </w:rPr>
        <w:t xml:space="preserve">primary </w:t>
      </w:r>
      <w:r w:rsidRPr="004F246E">
        <w:rPr>
          <w:rFonts w:ascii="Times New Roman" w:hAnsi="Times New Roman" w:cs="Times New Roman"/>
          <w:sz w:val="26"/>
          <w:szCs w:val="26"/>
        </w:rPr>
        <w:t>issue on appeal was the extent to which members of PJM in PJM’s western region would be required to contribute to the expense</w:t>
      </w:r>
      <w:r w:rsidR="008120D7" w:rsidRPr="004F246E">
        <w:rPr>
          <w:rFonts w:ascii="Times New Roman" w:hAnsi="Times New Roman" w:cs="Times New Roman"/>
          <w:sz w:val="26"/>
          <w:szCs w:val="26"/>
        </w:rPr>
        <w:t xml:space="preserve"> of newly built or projected 500-kV transmission lines that were mainly located in the eastern portion of PJM.</w:t>
      </w:r>
      <w:r w:rsidR="0074328D">
        <w:rPr>
          <w:rFonts w:ascii="Times New Roman" w:hAnsi="Times New Roman" w:cs="Times New Roman"/>
          <w:sz w:val="26"/>
          <w:szCs w:val="26"/>
        </w:rPr>
        <w:t xml:space="preserve">  </w:t>
      </w:r>
      <w:r w:rsidR="00294F37">
        <w:rPr>
          <w:rFonts w:ascii="Times New Roman" w:hAnsi="Times New Roman" w:cs="Times New Roman"/>
          <w:sz w:val="26"/>
          <w:szCs w:val="26"/>
        </w:rPr>
        <w:t xml:space="preserve">In 2009, the </w:t>
      </w:r>
      <w:r w:rsidR="000A7C3F">
        <w:rPr>
          <w:rFonts w:ascii="Times New Roman" w:hAnsi="Times New Roman" w:cs="Times New Roman"/>
          <w:sz w:val="26"/>
          <w:szCs w:val="26"/>
        </w:rPr>
        <w:t xml:space="preserve">U.S. Court of Appeals for the </w:t>
      </w:r>
      <w:r w:rsidR="00294F37">
        <w:rPr>
          <w:rFonts w:ascii="Times New Roman" w:hAnsi="Times New Roman" w:cs="Times New Roman"/>
          <w:sz w:val="26"/>
          <w:szCs w:val="26"/>
        </w:rPr>
        <w:t xml:space="preserve">Seventh Circuit </w:t>
      </w:r>
      <w:r w:rsidR="00294F37" w:rsidRPr="004F246E">
        <w:rPr>
          <w:rFonts w:ascii="Times New Roman" w:hAnsi="Times New Roman" w:cs="Times New Roman"/>
          <w:sz w:val="26"/>
          <w:szCs w:val="26"/>
        </w:rPr>
        <w:t xml:space="preserve">remanded the case back to FERC, finding that FERC did not provide a reasonable basis for using the </w:t>
      </w:r>
      <w:r w:rsidR="001A62AA">
        <w:rPr>
          <w:rFonts w:ascii="Times New Roman" w:hAnsi="Times New Roman" w:cs="Times New Roman"/>
          <w:sz w:val="26"/>
          <w:szCs w:val="26"/>
        </w:rPr>
        <w:t>“</w:t>
      </w:r>
      <w:r w:rsidR="00294F37" w:rsidRPr="004F246E">
        <w:rPr>
          <w:rFonts w:ascii="Times New Roman" w:hAnsi="Times New Roman" w:cs="Times New Roman"/>
          <w:sz w:val="26"/>
          <w:szCs w:val="26"/>
        </w:rPr>
        <w:t>postage-stamp</w:t>
      </w:r>
      <w:r w:rsidR="001A62AA">
        <w:rPr>
          <w:rFonts w:ascii="Times New Roman" w:hAnsi="Times New Roman" w:cs="Times New Roman"/>
          <w:sz w:val="26"/>
          <w:szCs w:val="26"/>
        </w:rPr>
        <w:t>”</w:t>
      </w:r>
      <w:r w:rsidR="00294F37" w:rsidRPr="004F246E">
        <w:rPr>
          <w:rFonts w:ascii="Times New Roman" w:hAnsi="Times New Roman" w:cs="Times New Roman"/>
          <w:sz w:val="26"/>
          <w:szCs w:val="26"/>
        </w:rPr>
        <w:t xml:space="preserve"> basis to allocate costs and set rates.</w:t>
      </w:r>
      <w:r w:rsidR="00294F37">
        <w:rPr>
          <w:rFonts w:ascii="Times New Roman" w:hAnsi="Times New Roman" w:cs="Times New Roman"/>
          <w:sz w:val="26"/>
          <w:szCs w:val="26"/>
        </w:rPr>
        <w:t xml:space="preserve"> </w:t>
      </w:r>
      <w:r w:rsidR="00294F37" w:rsidRPr="004F246E">
        <w:rPr>
          <w:rFonts w:ascii="Times New Roman" w:hAnsi="Times New Roman" w:cs="Times New Roman"/>
          <w:sz w:val="26"/>
          <w:szCs w:val="26"/>
        </w:rPr>
        <w:t xml:space="preserve"> </w:t>
      </w:r>
      <w:r w:rsidR="00D86E8B">
        <w:rPr>
          <w:rFonts w:ascii="Times New Roman" w:hAnsi="Times New Roman" w:cs="Times New Roman"/>
          <w:sz w:val="26"/>
          <w:szCs w:val="26"/>
        </w:rPr>
        <w:t xml:space="preserve">OCA M.B. at 1 (citing </w:t>
      </w:r>
      <w:r w:rsidR="00D86E8B" w:rsidRPr="00285E13">
        <w:rPr>
          <w:rFonts w:ascii="Times New Roman" w:hAnsi="Times New Roman" w:cs="Times New Roman"/>
          <w:i/>
          <w:iCs/>
          <w:sz w:val="26"/>
          <w:szCs w:val="26"/>
        </w:rPr>
        <w:t>Ill. Commerce Comm’n v. FERC</w:t>
      </w:r>
      <w:r w:rsidR="00D86E8B" w:rsidRPr="00D86E8B">
        <w:rPr>
          <w:rFonts w:ascii="Times New Roman" w:hAnsi="Times New Roman" w:cs="Times New Roman"/>
          <w:sz w:val="26"/>
          <w:szCs w:val="26"/>
        </w:rPr>
        <w:t>, 576 F.3d 470</w:t>
      </w:r>
      <w:r w:rsidR="00D86E8B">
        <w:rPr>
          <w:rFonts w:ascii="Times New Roman" w:hAnsi="Times New Roman" w:cs="Times New Roman"/>
          <w:sz w:val="26"/>
          <w:szCs w:val="26"/>
        </w:rPr>
        <w:t xml:space="preserve"> </w:t>
      </w:r>
      <w:r w:rsidR="00D86E8B" w:rsidRPr="00D86E8B">
        <w:rPr>
          <w:rFonts w:ascii="Times New Roman" w:hAnsi="Times New Roman" w:cs="Times New Roman"/>
          <w:sz w:val="26"/>
          <w:szCs w:val="26"/>
        </w:rPr>
        <w:t>(7</w:t>
      </w:r>
      <w:r w:rsidR="002324A0" w:rsidRPr="002324A0">
        <w:rPr>
          <w:rFonts w:ascii="Times New Roman" w:hAnsi="Times New Roman" w:cs="Times New Roman"/>
          <w:sz w:val="26"/>
          <w:szCs w:val="26"/>
          <w:vertAlign w:val="superscript"/>
        </w:rPr>
        <w:t>th</w:t>
      </w:r>
      <w:r w:rsidR="002324A0">
        <w:rPr>
          <w:rFonts w:ascii="Times New Roman" w:hAnsi="Times New Roman" w:cs="Times New Roman"/>
          <w:sz w:val="26"/>
          <w:szCs w:val="26"/>
        </w:rPr>
        <w:t xml:space="preserve"> Cir. 2009)</w:t>
      </w:r>
      <w:r w:rsidR="00F66C29">
        <w:rPr>
          <w:rFonts w:ascii="Times New Roman" w:hAnsi="Times New Roman" w:cs="Times New Roman"/>
          <w:sz w:val="26"/>
          <w:szCs w:val="26"/>
        </w:rPr>
        <w:t xml:space="preserve"> (</w:t>
      </w:r>
      <w:r w:rsidR="0082328B" w:rsidRPr="0082328B">
        <w:rPr>
          <w:rFonts w:ascii="Times New Roman" w:hAnsi="Times New Roman" w:cs="Times New Roman"/>
          <w:i/>
          <w:iCs/>
          <w:sz w:val="26"/>
          <w:szCs w:val="26"/>
        </w:rPr>
        <w:t>7</w:t>
      </w:r>
      <w:r w:rsidR="0082328B" w:rsidRPr="0082328B">
        <w:rPr>
          <w:rFonts w:ascii="Times New Roman" w:hAnsi="Times New Roman" w:cs="Times New Roman"/>
          <w:i/>
          <w:iCs/>
          <w:sz w:val="26"/>
          <w:szCs w:val="26"/>
          <w:vertAlign w:val="superscript"/>
        </w:rPr>
        <w:t>th</w:t>
      </w:r>
      <w:r w:rsidR="0082328B" w:rsidRPr="0082328B">
        <w:rPr>
          <w:rFonts w:ascii="Times New Roman" w:hAnsi="Times New Roman" w:cs="Times New Roman"/>
          <w:i/>
          <w:iCs/>
          <w:sz w:val="26"/>
          <w:szCs w:val="26"/>
        </w:rPr>
        <w:t xml:space="preserve"> Circuit 2009 Remand</w:t>
      </w:r>
      <w:r w:rsidR="002324A0">
        <w:rPr>
          <w:rFonts w:ascii="Times New Roman" w:hAnsi="Times New Roman" w:cs="Times New Roman"/>
          <w:sz w:val="26"/>
          <w:szCs w:val="26"/>
        </w:rPr>
        <w:t>)</w:t>
      </w:r>
      <w:r w:rsidR="00F5721D">
        <w:rPr>
          <w:rFonts w:ascii="Times New Roman" w:hAnsi="Times New Roman" w:cs="Times New Roman"/>
          <w:sz w:val="26"/>
          <w:szCs w:val="26"/>
        </w:rPr>
        <w:t>)</w:t>
      </w:r>
      <w:r w:rsidR="002324A0">
        <w:rPr>
          <w:rFonts w:ascii="Times New Roman" w:hAnsi="Times New Roman" w:cs="Times New Roman"/>
          <w:sz w:val="26"/>
          <w:szCs w:val="26"/>
        </w:rPr>
        <w:t xml:space="preserve">. </w:t>
      </w:r>
    </w:p>
    <w:p w14:paraId="7BDC19FF" w14:textId="77777777" w:rsidR="00A22615" w:rsidRDefault="00A22615" w:rsidP="00CE3B6E">
      <w:pPr>
        <w:spacing w:after="0" w:line="360" w:lineRule="auto"/>
        <w:ind w:firstLine="1440"/>
        <w:contextualSpacing/>
        <w:rPr>
          <w:rFonts w:ascii="Times New Roman" w:hAnsi="Times New Roman" w:cs="Times New Roman"/>
          <w:sz w:val="26"/>
          <w:szCs w:val="26"/>
        </w:rPr>
      </w:pPr>
    </w:p>
    <w:p w14:paraId="5D64D219" w14:textId="272DBB8D" w:rsidR="00951560" w:rsidRDefault="008120D7" w:rsidP="00CE3B6E">
      <w:pPr>
        <w:spacing w:after="0" w:line="360" w:lineRule="auto"/>
        <w:ind w:firstLine="1440"/>
        <w:contextualSpacing/>
        <w:rPr>
          <w:rFonts w:ascii="Times New Roman" w:hAnsi="Times New Roman" w:cs="Times New Roman"/>
          <w:sz w:val="26"/>
          <w:szCs w:val="26"/>
        </w:rPr>
      </w:pPr>
      <w:r w:rsidRPr="004F246E">
        <w:rPr>
          <w:rFonts w:ascii="Times New Roman" w:hAnsi="Times New Roman" w:cs="Times New Roman"/>
          <w:sz w:val="26"/>
          <w:szCs w:val="26"/>
        </w:rPr>
        <w:t xml:space="preserve">After remand, FERC revisited the allocation method and eventually issued another </w:t>
      </w:r>
      <w:r w:rsidR="006D5B15">
        <w:rPr>
          <w:rFonts w:ascii="Times New Roman" w:hAnsi="Times New Roman" w:cs="Times New Roman"/>
          <w:sz w:val="26"/>
          <w:szCs w:val="26"/>
        </w:rPr>
        <w:t>o</w:t>
      </w:r>
      <w:r w:rsidRPr="004F246E">
        <w:rPr>
          <w:rFonts w:ascii="Times New Roman" w:hAnsi="Times New Roman" w:cs="Times New Roman"/>
          <w:sz w:val="26"/>
          <w:szCs w:val="26"/>
        </w:rPr>
        <w:t xml:space="preserve">rder as further support for the </w:t>
      </w:r>
      <w:r w:rsidR="001A62AA">
        <w:rPr>
          <w:rFonts w:ascii="Times New Roman" w:hAnsi="Times New Roman" w:cs="Times New Roman"/>
          <w:sz w:val="26"/>
          <w:szCs w:val="26"/>
        </w:rPr>
        <w:t>“</w:t>
      </w:r>
      <w:r w:rsidRPr="004F246E">
        <w:rPr>
          <w:rFonts w:ascii="Times New Roman" w:hAnsi="Times New Roman" w:cs="Times New Roman"/>
          <w:sz w:val="26"/>
          <w:szCs w:val="26"/>
        </w:rPr>
        <w:t>postage-stamp</w:t>
      </w:r>
      <w:r w:rsidR="001A62AA">
        <w:rPr>
          <w:rFonts w:ascii="Times New Roman" w:hAnsi="Times New Roman" w:cs="Times New Roman"/>
          <w:sz w:val="26"/>
          <w:szCs w:val="26"/>
        </w:rPr>
        <w:t>”</w:t>
      </w:r>
      <w:r w:rsidRPr="004F246E">
        <w:rPr>
          <w:rFonts w:ascii="Times New Roman" w:hAnsi="Times New Roman" w:cs="Times New Roman"/>
          <w:sz w:val="26"/>
          <w:szCs w:val="26"/>
        </w:rPr>
        <w:t xml:space="preserve"> method.</w:t>
      </w:r>
      <w:r w:rsidR="003B07BE">
        <w:rPr>
          <w:rFonts w:ascii="Times New Roman" w:hAnsi="Times New Roman" w:cs="Times New Roman"/>
          <w:sz w:val="26"/>
          <w:szCs w:val="26"/>
        </w:rPr>
        <w:t xml:space="preserve">  Thereafter, </w:t>
      </w:r>
      <w:r w:rsidRPr="004F246E">
        <w:rPr>
          <w:rFonts w:ascii="Times New Roman" w:hAnsi="Times New Roman" w:cs="Times New Roman"/>
          <w:sz w:val="26"/>
          <w:szCs w:val="26"/>
        </w:rPr>
        <w:t xml:space="preserve">numerous parties </w:t>
      </w:r>
      <w:r w:rsidR="003B07BE">
        <w:rPr>
          <w:rFonts w:ascii="Times New Roman" w:hAnsi="Times New Roman" w:cs="Times New Roman"/>
          <w:sz w:val="26"/>
          <w:szCs w:val="26"/>
        </w:rPr>
        <w:t xml:space="preserve">again </w:t>
      </w:r>
      <w:r w:rsidRPr="004F246E">
        <w:rPr>
          <w:rFonts w:ascii="Times New Roman" w:hAnsi="Times New Roman" w:cs="Times New Roman"/>
          <w:sz w:val="26"/>
          <w:szCs w:val="26"/>
        </w:rPr>
        <w:t>sought review of th</w:t>
      </w:r>
      <w:r w:rsidR="009E12A8">
        <w:rPr>
          <w:rFonts w:ascii="Times New Roman" w:hAnsi="Times New Roman" w:cs="Times New Roman"/>
          <w:sz w:val="26"/>
          <w:szCs w:val="26"/>
        </w:rPr>
        <w:t>e FERC o</w:t>
      </w:r>
      <w:r w:rsidRPr="004F246E">
        <w:rPr>
          <w:rFonts w:ascii="Times New Roman" w:hAnsi="Times New Roman" w:cs="Times New Roman"/>
          <w:sz w:val="26"/>
          <w:szCs w:val="26"/>
        </w:rPr>
        <w:t xml:space="preserve">rder with the Seventh Circuit. </w:t>
      </w:r>
      <w:r w:rsidR="003B07BE">
        <w:rPr>
          <w:rFonts w:ascii="Times New Roman" w:hAnsi="Times New Roman" w:cs="Times New Roman"/>
          <w:sz w:val="26"/>
          <w:szCs w:val="26"/>
        </w:rPr>
        <w:t xml:space="preserve"> </w:t>
      </w:r>
      <w:r w:rsidRPr="004F246E">
        <w:rPr>
          <w:rFonts w:ascii="Times New Roman" w:hAnsi="Times New Roman" w:cs="Times New Roman"/>
          <w:sz w:val="26"/>
          <w:szCs w:val="26"/>
        </w:rPr>
        <w:t xml:space="preserve">In 2014, the Seventh Circuit decided this second appeal </w:t>
      </w:r>
      <w:r w:rsidR="009E12A8">
        <w:rPr>
          <w:rFonts w:ascii="Times New Roman" w:hAnsi="Times New Roman" w:cs="Times New Roman"/>
          <w:sz w:val="26"/>
          <w:szCs w:val="26"/>
        </w:rPr>
        <w:t>o</w:t>
      </w:r>
      <w:r w:rsidR="002F4636">
        <w:rPr>
          <w:rFonts w:ascii="Times New Roman" w:hAnsi="Times New Roman" w:cs="Times New Roman"/>
          <w:sz w:val="26"/>
          <w:szCs w:val="26"/>
        </w:rPr>
        <w:t>f</w:t>
      </w:r>
      <w:r w:rsidRPr="004F246E">
        <w:rPr>
          <w:rFonts w:ascii="Times New Roman" w:hAnsi="Times New Roman" w:cs="Times New Roman"/>
          <w:sz w:val="26"/>
          <w:szCs w:val="26"/>
        </w:rPr>
        <w:t xml:space="preserve"> the </w:t>
      </w:r>
      <w:r w:rsidR="001A62AA">
        <w:rPr>
          <w:rFonts w:ascii="Times New Roman" w:hAnsi="Times New Roman" w:cs="Times New Roman"/>
          <w:sz w:val="26"/>
          <w:szCs w:val="26"/>
        </w:rPr>
        <w:t>“</w:t>
      </w:r>
      <w:r w:rsidRPr="004F246E">
        <w:rPr>
          <w:rFonts w:ascii="Times New Roman" w:hAnsi="Times New Roman" w:cs="Times New Roman"/>
          <w:sz w:val="26"/>
          <w:szCs w:val="26"/>
        </w:rPr>
        <w:t>postage-stamp</w:t>
      </w:r>
      <w:r w:rsidR="001A62AA">
        <w:rPr>
          <w:rFonts w:ascii="Times New Roman" w:hAnsi="Times New Roman" w:cs="Times New Roman"/>
          <w:sz w:val="26"/>
          <w:szCs w:val="26"/>
        </w:rPr>
        <w:t>”</w:t>
      </w:r>
      <w:r w:rsidRPr="004F246E">
        <w:rPr>
          <w:rFonts w:ascii="Times New Roman" w:hAnsi="Times New Roman" w:cs="Times New Roman"/>
          <w:sz w:val="26"/>
          <w:szCs w:val="26"/>
        </w:rPr>
        <w:t xml:space="preserve"> method and found that FERC’s method was unreasonable and unsupported.</w:t>
      </w:r>
      <w:r w:rsidR="00D05DD3">
        <w:rPr>
          <w:rFonts w:ascii="Times New Roman" w:hAnsi="Times New Roman" w:cs="Times New Roman"/>
          <w:sz w:val="26"/>
          <w:szCs w:val="26"/>
        </w:rPr>
        <w:t xml:space="preserve">  Once again, t</w:t>
      </w:r>
      <w:r w:rsidRPr="004F246E">
        <w:rPr>
          <w:rFonts w:ascii="Times New Roman" w:hAnsi="Times New Roman" w:cs="Times New Roman"/>
          <w:sz w:val="26"/>
          <w:szCs w:val="26"/>
        </w:rPr>
        <w:t xml:space="preserve">he </w:t>
      </w:r>
      <w:r w:rsidR="00D05DD3">
        <w:rPr>
          <w:rFonts w:ascii="Times New Roman" w:hAnsi="Times New Roman" w:cs="Times New Roman"/>
          <w:sz w:val="26"/>
          <w:szCs w:val="26"/>
        </w:rPr>
        <w:t xml:space="preserve">Federal Appeals Court </w:t>
      </w:r>
      <w:r w:rsidR="00F17D3C">
        <w:rPr>
          <w:rFonts w:ascii="Times New Roman" w:hAnsi="Times New Roman" w:cs="Times New Roman"/>
          <w:sz w:val="26"/>
          <w:szCs w:val="26"/>
        </w:rPr>
        <w:t xml:space="preserve">remanded the </w:t>
      </w:r>
      <w:r w:rsidRPr="004F246E">
        <w:rPr>
          <w:rFonts w:ascii="Times New Roman" w:hAnsi="Times New Roman" w:cs="Times New Roman"/>
          <w:sz w:val="26"/>
          <w:szCs w:val="26"/>
        </w:rPr>
        <w:t>case to FERC for the purpose of creating a reasonable basis for allocating RTEP charges.</w:t>
      </w:r>
      <w:r w:rsidR="00F17D3C">
        <w:rPr>
          <w:rFonts w:ascii="Times New Roman" w:hAnsi="Times New Roman" w:cs="Times New Roman"/>
          <w:sz w:val="26"/>
          <w:szCs w:val="26"/>
        </w:rPr>
        <w:t xml:space="preserve">  OCA M.B. at 2 (citing </w:t>
      </w:r>
      <w:r w:rsidR="00F17D3C" w:rsidRPr="002637B3">
        <w:rPr>
          <w:rFonts w:ascii="Times New Roman" w:hAnsi="Times New Roman" w:cs="Times New Roman"/>
          <w:i/>
          <w:iCs/>
          <w:sz w:val="26"/>
          <w:szCs w:val="26"/>
        </w:rPr>
        <w:t>7</w:t>
      </w:r>
      <w:r w:rsidR="00F17D3C" w:rsidRPr="002637B3">
        <w:rPr>
          <w:rFonts w:ascii="Times New Roman" w:hAnsi="Times New Roman" w:cs="Times New Roman"/>
          <w:i/>
          <w:iCs/>
          <w:sz w:val="26"/>
          <w:szCs w:val="26"/>
          <w:vertAlign w:val="superscript"/>
        </w:rPr>
        <w:t>th</w:t>
      </w:r>
      <w:r w:rsidR="00F17D3C" w:rsidRPr="002637B3">
        <w:rPr>
          <w:rFonts w:ascii="Times New Roman" w:hAnsi="Times New Roman" w:cs="Times New Roman"/>
          <w:i/>
          <w:iCs/>
          <w:sz w:val="26"/>
          <w:szCs w:val="26"/>
        </w:rPr>
        <w:t xml:space="preserve"> Circuit 2014 Remand</w:t>
      </w:r>
      <w:r w:rsidR="00F17D3C">
        <w:rPr>
          <w:rFonts w:ascii="Times New Roman" w:hAnsi="Times New Roman" w:cs="Times New Roman"/>
          <w:sz w:val="26"/>
          <w:szCs w:val="26"/>
        </w:rPr>
        <w:t>)</w:t>
      </w:r>
      <w:r w:rsidR="00951560">
        <w:rPr>
          <w:rFonts w:ascii="Times New Roman" w:hAnsi="Times New Roman" w:cs="Times New Roman"/>
          <w:sz w:val="26"/>
          <w:szCs w:val="26"/>
        </w:rPr>
        <w:t xml:space="preserve">.  </w:t>
      </w:r>
    </w:p>
    <w:p w14:paraId="45462367" w14:textId="61586615" w:rsidR="008571E2" w:rsidRDefault="008120D7" w:rsidP="00CE3B6E">
      <w:pPr>
        <w:spacing w:after="0" w:line="360" w:lineRule="auto"/>
        <w:ind w:firstLine="1440"/>
        <w:contextualSpacing/>
        <w:rPr>
          <w:rFonts w:ascii="Times New Roman" w:hAnsi="Times New Roman" w:cs="Times New Roman"/>
          <w:sz w:val="26"/>
          <w:szCs w:val="26"/>
        </w:rPr>
      </w:pPr>
      <w:r w:rsidRPr="004F246E">
        <w:rPr>
          <w:rFonts w:ascii="Times New Roman" w:hAnsi="Times New Roman" w:cs="Times New Roman"/>
          <w:sz w:val="26"/>
          <w:szCs w:val="26"/>
        </w:rPr>
        <w:lastRenderedPageBreak/>
        <w:t xml:space="preserve">After the second remand, the large number of parties </w:t>
      </w:r>
      <w:r w:rsidR="004C3B83">
        <w:rPr>
          <w:rFonts w:ascii="Times New Roman" w:hAnsi="Times New Roman" w:cs="Times New Roman"/>
          <w:sz w:val="26"/>
          <w:szCs w:val="26"/>
        </w:rPr>
        <w:t xml:space="preserve">involved in the dispute </w:t>
      </w:r>
      <w:r w:rsidR="00092303">
        <w:rPr>
          <w:rFonts w:ascii="Times New Roman" w:hAnsi="Times New Roman" w:cs="Times New Roman"/>
          <w:sz w:val="26"/>
          <w:szCs w:val="26"/>
        </w:rPr>
        <w:t xml:space="preserve">reached </w:t>
      </w:r>
      <w:r w:rsidR="00861479">
        <w:rPr>
          <w:rFonts w:ascii="Times New Roman" w:hAnsi="Times New Roman" w:cs="Times New Roman"/>
          <w:sz w:val="26"/>
          <w:szCs w:val="26"/>
        </w:rPr>
        <w:t>t</w:t>
      </w:r>
      <w:r w:rsidRPr="004F246E">
        <w:rPr>
          <w:rFonts w:ascii="Times New Roman" w:hAnsi="Times New Roman" w:cs="Times New Roman"/>
          <w:sz w:val="26"/>
          <w:szCs w:val="26"/>
        </w:rPr>
        <w:t>he FERC Settlement Agreement</w:t>
      </w:r>
      <w:r w:rsidR="004C3B83">
        <w:rPr>
          <w:rFonts w:ascii="Times New Roman" w:hAnsi="Times New Roman" w:cs="Times New Roman"/>
          <w:sz w:val="26"/>
          <w:szCs w:val="26"/>
        </w:rPr>
        <w:t xml:space="preserve">.  </w:t>
      </w:r>
      <w:r w:rsidR="00981BA8">
        <w:rPr>
          <w:rFonts w:ascii="Times New Roman" w:hAnsi="Times New Roman" w:cs="Times New Roman"/>
          <w:sz w:val="26"/>
          <w:szCs w:val="26"/>
        </w:rPr>
        <w:t>Under the FERC Settlement Agreement</w:t>
      </w:r>
      <w:r w:rsidR="004F6D41">
        <w:rPr>
          <w:rFonts w:ascii="Times New Roman" w:hAnsi="Times New Roman" w:cs="Times New Roman"/>
          <w:sz w:val="26"/>
          <w:szCs w:val="26"/>
        </w:rPr>
        <w:t>, the m</w:t>
      </w:r>
      <w:r w:rsidRPr="004F246E">
        <w:rPr>
          <w:rFonts w:ascii="Times New Roman" w:hAnsi="Times New Roman" w:cs="Times New Roman"/>
          <w:sz w:val="26"/>
          <w:szCs w:val="26"/>
        </w:rPr>
        <w:t xml:space="preserve">ethod of </w:t>
      </w:r>
      <w:r w:rsidR="004F6D41">
        <w:rPr>
          <w:rFonts w:ascii="Times New Roman" w:hAnsi="Times New Roman" w:cs="Times New Roman"/>
          <w:sz w:val="26"/>
          <w:szCs w:val="26"/>
        </w:rPr>
        <w:t xml:space="preserve">allocating </w:t>
      </w:r>
      <w:r w:rsidRPr="004F246E">
        <w:rPr>
          <w:rFonts w:ascii="Times New Roman" w:hAnsi="Times New Roman" w:cs="Times New Roman"/>
          <w:sz w:val="26"/>
          <w:szCs w:val="26"/>
        </w:rPr>
        <w:t xml:space="preserve">RTEP charges </w:t>
      </w:r>
      <w:r w:rsidR="001235A9">
        <w:rPr>
          <w:rFonts w:ascii="Times New Roman" w:hAnsi="Times New Roman" w:cs="Times New Roman"/>
          <w:sz w:val="26"/>
          <w:szCs w:val="26"/>
        </w:rPr>
        <w:t xml:space="preserve">would address </w:t>
      </w:r>
      <w:r w:rsidRPr="004F246E">
        <w:rPr>
          <w:rFonts w:ascii="Times New Roman" w:hAnsi="Times New Roman" w:cs="Times New Roman"/>
          <w:sz w:val="26"/>
          <w:szCs w:val="26"/>
        </w:rPr>
        <w:t xml:space="preserve">two periods: </w:t>
      </w:r>
      <w:r w:rsidR="00030851">
        <w:rPr>
          <w:rFonts w:ascii="Times New Roman" w:hAnsi="Times New Roman" w:cs="Times New Roman"/>
          <w:sz w:val="26"/>
          <w:szCs w:val="26"/>
        </w:rPr>
        <w:t xml:space="preserve"> </w:t>
      </w:r>
      <w:r w:rsidRPr="004F246E">
        <w:rPr>
          <w:rFonts w:ascii="Times New Roman" w:hAnsi="Times New Roman" w:cs="Times New Roman"/>
          <w:sz w:val="26"/>
          <w:szCs w:val="26"/>
        </w:rPr>
        <w:t>(1) the “historical period” defined as the period of June 2007 through December 2015; and (2)</w:t>
      </w:r>
      <w:r w:rsidR="003A501D">
        <w:rPr>
          <w:rFonts w:ascii="Times New Roman" w:hAnsi="Times New Roman" w:cs="Times New Roman"/>
          <w:sz w:val="26"/>
          <w:szCs w:val="26"/>
        </w:rPr>
        <w:t> </w:t>
      </w:r>
      <w:r w:rsidRPr="004F246E">
        <w:rPr>
          <w:rFonts w:ascii="Times New Roman" w:hAnsi="Times New Roman" w:cs="Times New Roman"/>
          <w:sz w:val="26"/>
          <w:szCs w:val="26"/>
        </w:rPr>
        <w:t>the “going-forward period” defined as January 2016 onward.</w:t>
      </w:r>
      <w:r w:rsidR="00847703">
        <w:rPr>
          <w:rFonts w:ascii="Times New Roman" w:hAnsi="Times New Roman" w:cs="Times New Roman"/>
          <w:sz w:val="26"/>
          <w:szCs w:val="26"/>
        </w:rPr>
        <w:t xml:space="preserve"> </w:t>
      </w:r>
      <w:r w:rsidRPr="004F246E">
        <w:rPr>
          <w:rFonts w:ascii="Times New Roman" w:hAnsi="Times New Roman" w:cs="Times New Roman"/>
          <w:sz w:val="26"/>
          <w:szCs w:val="26"/>
        </w:rPr>
        <w:t xml:space="preserve"> For the “going-forward” period, the FERC Settlement Agreement provide</w:t>
      </w:r>
      <w:r w:rsidR="00847703">
        <w:rPr>
          <w:rFonts w:ascii="Times New Roman" w:hAnsi="Times New Roman" w:cs="Times New Roman"/>
          <w:sz w:val="26"/>
          <w:szCs w:val="26"/>
        </w:rPr>
        <w:t>d</w:t>
      </w:r>
      <w:r w:rsidRPr="004F246E">
        <w:rPr>
          <w:rFonts w:ascii="Times New Roman" w:hAnsi="Times New Roman" w:cs="Times New Roman"/>
          <w:sz w:val="26"/>
          <w:szCs w:val="26"/>
        </w:rPr>
        <w:t xml:space="preserve"> that PJM will assign cost responsibility for the revenue requirement associated with each transmission enhancement through a hybrid method in which: </w:t>
      </w:r>
      <w:r w:rsidR="00030851">
        <w:rPr>
          <w:rFonts w:ascii="Times New Roman" w:hAnsi="Times New Roman" w:cs="Times New Roman"/>
          <w:sz w:val="26"/>
          <w:szCs w:val="26"/>
        </w:rPr>
        <w:t xml:space="preserve"> </w:t>
      </w:r>
      <w:r w:rsidRPr="004F246E">
        <w:rPr>
          <w:rFonts w:ascii="Times New Roman" w:hAnsi="Times New Roman" w:cs="Times New Roman"/>
          <w:sz w:val="26"/>
          <w:szCs w:val="26"/>
        </w:rPr>
        <w:t xml:space="preserve">(1) 50 percent of the cost responsibility is assigned to the responsible customer on an annual load-ratio share basis (in accordance with PJM’s tariff); and (2) 50 percent of the cost responsibility is assigned to responsible customers based on the “solution-based </w:t>
      </w:r>
      <w:r w:rsidR="00621B5E">
        <w:rPr>
          <w:rFonts w:ascii="Times New Roman" w:hAnsi="Times New Roman" w:cs="Times New Roman"/>
          <w:sz w:val="26"/>
          <w:szCs w:val="26"/>
        </w:rPr>
        <w:t>[</w:t>
      </w:r>
      <w:r w:rsidR="00101294">
        <w:rPr>
          <w:rFonts w:ascii="Times New Roman" w:hAnsi="Times New Roman" w:cs="Times New Roman"/>
          <w:sz w:val="26"/>
          <w:szCs w:val="26"/>
        </w:rPr>
        <w:t>Distribution Factor Analysis</w:t>
      </w:r>
      <w:r w:rsidR="000E0590">
        <w:rPr>
          <w:rFonts w:ascii="Times New Roman" w:hAnsi="Times New Roman" w:cs="Times New Roman"/>
          <w:sz w:val="26"/>
          <w:szCs w:val="26"/>
        </w:rPr>
        <w:t xml:space="preserve"> (DFAX</w:t>
      </w:r>
      <w:r w:rsidR="00FE4CA2">
        <w:rPr>
          <w:rFonts w:ascii="Times New Roman" w:hAnsi="Times New Roman" w:cs="Times New Roman"/>
          <w:sz w:val="26"/>
          <w:szCs w:val="26"/>
        </w:rPr>
        <w:t>)</w:t>
      </w:r>
      <w:r w:rsidR="00101294">
        <w:rPr>
          <w:rFonts w:ascii="Times New Roman" w:hAnsi="Times New Roman" w:cs="Times New Roman"/>
          <w:sz w:val="26"/>
          <w:szCs w:val="26"/>
        </w:rPr>
        <w:t xml:space="preserve">] </w:t>
      </w:r>
      <w:r w:rsidR="00FE4CA2">
        <w:rPr>
          <w:rFonts w:ascii="Times New Roman" w:hAnsi="Times New Roman" w:cs="Times New Roman"/>
          <w:sz w:val="26"/>
          <w:szCs w:val="26"/>
        </w:rPr>
        <w:t>m</w:t>
      </w:r>
      <w:r w:rsidRPr="004F246E">
        <w:rPr>
          <w:rFonts w:ascii="Times New Roman" w:hAnsi="Times New Roman" w:cs="Times New Roman"/>
          <w:sz w:val="26"/>
          <w:szCs w:val="26"/>
        </w:rPr>
        <w:t>ethod” contained in PJM’s tariff.</w:t>
      </w:r>
      <w:r w:rsidR="00FE4CA2">
        <w:rPr>
          <w:rStyle w:val="FootnoteReference"/>
          <w:rFonts w:ascii="Times New Roman" w:hAnsi="Times New Roman" w:cs="Times New Roman"/>
          <w:sz w:val="26"/>
          <w:szCs w:val="26"/>
        </w:rPr>
        <w:footnoteReference w:id="2"/>
      </w:r>
      <w:r w:rsidR="00847703">
        <w:rPr>
          <w:rFonts w:ascii="Times New Roman" w:hAnsi="Times New Roman" w:cs="Times New Roman"/>
          <w:sz w:val="26"/>
          <w:szCs w:val="26"/>
        </w:rPr>
        <w:t xml:space="preserve"> </w:t>
      </w:r>
      <w:r w:rsidRPr="004F246E">
        <w:rPr>
          <w:rFonts w:ascii="Times New Roman" w:hAnsi="Times New Roman" w:cs="Times New Roman"/>
          <w:sz w:val="26"/>
          <w:szCs w:val="26"/>
        </w:rPr>
        <w:t xml:space="preserve"> For the “historical period” of June 2007 through December</w:t>
      </w:r>
      <w:r w:rsidR="003A501D">
        <w:rPr>
          <w:rFonts w:ascii="Times New Roman" w:hAnsi="Times New Roman" w:cs="Times New Roman"/>
          <w:sz w:val="26"/>
          <w:szCs w:val="26"/>
        </w:rPr>
        <w:t> </w:t>
      </w:r>
      <w:r w:rsidRPr="004F246E">
        <w:rPr>
          <w:rFonts w:ascii="Times New Roman" w:hAnsi="Times New Roman" w:cs="Times New Roman"/>
          <w:sz w:val="26"/>
          <w:szCs w:val="26"/>
        </w:rPr>
        <w:t>2015, the FERC Settlement Agreement provide</w:t>
      </w:r>
      <w:r w:rsidR="0072734D">
        <w:rPr>
          <w:rFonts w:ascii="Times New Roman" w:hAnsi="Times New Roman" w:cs="Times New Roman"/>
          <w:sz w:val="26"/>
          <w:szCs w:val="26"/>
        </w:rPr>
        <w:t>d</w:t>
      </w:r>
      <w:r w:rsidRPr="004F246E">
        <w:rPr>
          <w:rFonts w:ascii="Times New Roman" w:hAnsi="Times New Roman" w:cs="Times New Roman"/>
          <w:sz w:val="26"/>
          <w:szCs w:val="26"/>
        </w:rPr>
        <w:t xml:space="preserve"> that the PJM zones (of which the PECO </w:t>
      </w:r>
      <w:r w:rsidR="0072734D">
        <w:rPr>
          <w:rFonts w:ascii="Times New Roman" w:hAnsi="Times New Roman" w:cs="Times New Roman"/>
          <w:sz w:val="26"/>
          <w:szCs w:val="26"/>
        </w:rPr>
        <w:t>Z</w:t>
      </w:r>
      <w:r w:rsidRPr="004F246E">
        <w:rPr>
          <w:rFonts w:ascii="Times New Roman" w:hAnsi="Times New Roman" w:cs="Times New Roman"/>
          <w:sz w:val="26"/>
          <w:szCs w:val="26"/>
        </w:rPr>
        <w:t>one was one) that were over-allocated (</w:t>
      </w:r>
      <w:r w:rsidRPr="0072734D">
        <w:rPr>
          <w:rFonts w:ascii="Times New Roman" w:hAnsi="Times New Roman" w:cs="Times New Roman"/>
          <w:i/>
          <w:iCs/>
          <w:sz w:val="26"/>
          <w:szCs w:val="26"/>
        </w:rPr>
        <w:t>i.e</w:t>
      </w:r>
      <w:r w:rsidRPr="004F246E">
        <w:rPr>
          <w:rFonts w:ascii="Times New Roman" w:hAnsi="Times New Roman" w:cs="Times New Roman"/>
          <w:sz w:val="26"/>
          <w:szCs w:val="26"/>
        </w:rPr>
        <w:t>.</w:t>
      </w:r>
      <w:r w:rsidR="0072734D">
        <w:rPr>
          <w:rFonts w:ascii="Times New Roman" w:hAnsi="Times New Roman" w:cs="Times New Roman"/>
          <w:sz w:val="26"/>
          <w:szCs w:val="26"/>
        </w:rPr>
        <w:t>,</w:t>
      </w:r>
      <w:r w:rsidRPr="004F246E">
        <w:rPr>
          <w:rFonts w:ascii="Times New Roman" w:hAnsi="Times New Roman" w:cs="Times New Roman"/>
          <w:sz w:val="26"/>
          <w:szCs w:val="26"/>
        </w:rPr>
        <w:t xml:space="preserve"> charged too much) RTEP charges are to receive an RTEP credit (</w:t>
      </w:r>
      <w:r w:rsidRPr="0072734D">
        <w:rPr>
          <w:rFonts w:ascii="Times New Roman" w:hAnsi="Times New Roman" w:cs="Times New Roman"/>
          <w:i/>
          <w:iCs/>
          <w:sz w:val="26"/>
          <w:szCs w:val="26"/>
        </w:rPr>
        <w:t>i.e.</w:t>
      </w:r>
      <w:r w:rsidR="0072734D">
        <w:rPr>
          <w:rFonts w:ascii="Times New Roman" w:hAnsi="Times New Roman" w:cs="Times New Roman"/>
          <w:sz w:val="26"/>
          <w:szCs w:val="26"/>
        </w:rPr>
        <w:t>,</w:t>
      </w:r>
      <w:r w:rsidRPr="004F246E">
        <w:rPr>
          <w:rFonts w:ascii="Times New Roman" w:hAnsi="Times New Roman" w:cs="Times New Roman"/>
          <w:sz w:val="26"/>
          <w:szCs w:val="26"/>
        </w:rPr>
        <w:t xml:space="preserve"> a refund).</w:t>
      </w:r>
      <w:r w:rsidR="008571E2">
        <w:rPr>
          <w:rFonts w:ascii="Times New Roman" w:hAnsi="Times New Roman" w:cs="Times New Roman"/>
          <w:sz w:val="26"/>
          <w:szCs w:val="26"/>
        </w:rPr>
        <w:t xml:space="preserve">  OCA M.B. at 2-3 (citing </w:t>
      </w:r>
      <w:r w:rsidR="008571E2" w:rsidRPr="004F246E">
        <w:rPr>
          <w:rFonts w:ascii="Times New Roman" w:hAnsi="Times New Roman" w:cs="Times New Roman"/>
          <w:sz w:val="26"/>
          <w:szCs w:val="26"/>
        </w:rPr>
        <w:t>FERC Settlement Agreement</w:t>
      </w:r>
      <w:r w:rsidR="008571E2">
        <w:rPr>
          <w:rFonts w:ascii="Times New Roman" w:hAnsi="Times New Roman" w:cs="Times New Roman"/>
          <w:sz w:val="26"/>
          <w:szCs w:val="26"/>
        </w:rPr>
        <w:t xml:space="preserve">).  </w:t>
      </w:r>
    </w:p>
    <w:p w14:paraId="72B97783" w14:textId="77777777" w:rsidR="008571E2" w:rsidRDefault="008571E2" w:rsidP="00CE3B6E">
      <w:pPr>
        <w:spacing w:after="0" w:line="360" w:lineRule="auto"/>
        <w:ind w:firstLine="1440"/>
        <w:contextualSpacing/>
        <w:rPr>
          <w:rFonts w:ascii="Times New Roman" w:hAnsi="Times New Roman" w:cs="Times New Roman"/>
          <w:sz w:val="26"/>
          <w:szCs w:val="26"/>
        </w:rPr>
      </w:pPr>
    </w:p>
    <w:p w14:paraId="7287F17D" w14:textId="42881FAC" w:rsidR="00B5231E" w:rsidRPr="004F246E" w:rsidRDefault="005505B7" w:rsidP="00CE3B6E">
      <w:pPr>
        <w:spacing w:after="0" w:line="360" w:lineRule="auto"/>
        <w:ind w:firstLine="1440"/>
        <w:contextualSpacing/>
        <w:rPr>
          <w:rFonts w:ascii="Times New Roman" w:hAnsi="Times New Roman" w:cs="Times New Roman"/>
          <w:b/>
          <w:bCs/>
          <w:sz w:val="26"/>
          <w:szCs w:val="26"/>
        </w:rPr>
      </w:pPr>
      <w:r>
        <w:rPr>
          <w:rFonts w:ascii="Times New Roman" w:hAnsi="Times New Roman" w:cs="Times New Roman"/>
          <w:sz w:val="26"/>
          <w:szCs w:val="26"/>
        </w:rPr>
        <w:t xml:space="preserve">Under the </w:t>
      </w:r>
      <w:r w:rsidR="00CC39BD">
        <w:rPr>
          <w:rFonts w:ascii="Times New Roman" w:hAnsi="Times New Roman" w:cs="Times New Roman"/>
          <w:sz w:val="26"/>
          <w:szCs w:val="26"/>
        </w:rPr>
        <w:t>“</w:t>
      </w:r>
      <w:r>
        <w:rPr>
          <w:rFonts w:ascii="Times New Roman" w:hAnsi="Times New Roman" w:cs="Times New Roman"/>
          <w:sz w:val="26"/>
          <w:szCs w:val="26"/>
        </w:rPr>
        <w:t>postage-stamp</w:t>
      </w:r>
      <w:r w:rsidR="00CC39BD">
        <w:rPr>
          <w:rFonts w:ascii="Times New Roman" w:hAnsi="Times New Roman" w:cs="Times New Roman"/>
          <w:sz w:val="26"/>
          <w:szCs w:val="26"/>
        </w:rPr>
        <w:t>”</w:t>
      </w:r>
      <w:r>
        <w:rPr>
          <w:rFonts w:ascii="Times New Roman" w:hAnsi="Times New Roman" w:cs="Times New Roman"/>
          <w:sz w:val="26"/>
          <w:szCs w:val="26"/>
        </w:rPr>
        <w:t xml:space="preserve"> method </w:t>
      </w:r>
      <w:r w:rsidRPr="004F246E">
        <w:rPr>
          <w:rFonts w:ascii="Times New Roman" w:hAnsi="Times New Roman" w:cs="Times New Roman"/>
          <w:sz w:val="26"/>
          <w:szCs w:val="26"/>
        </w:rPr>
        <w:t>for assignment cost responsibility for revenue requirement purposes</w:t>
      </w:r>
      <w:r>
        <w:rPr>
          <w:rFonts w:ascii="Times New Roman" w:hAnsi="Times New Roman" w:cs="Times New Roman"/>
          <w:sz w:val="26"/>
          <w:szCs w:val="26"/>
        </w:rPr>
        <w:t>, PECO</w:t>
      </w:r>
      <w:r w:rsidR="008120D7" w:rsidRPr="004F246E">
        <w:rPr>
          <w:rFonts w:ascii="Times New Roman" w:hAnsi="Times New Roman" w:cs="Times New Roman"/>
          <w:sz w:val="26"/>
          <w:szCs w:val="26"/>
        </w:rPr>
        <w:t xml:space="preserve"> was over-allocated RTEP charges</w:t>
      </w:r>
      <w:r>
        <w:rPr>
          <w:rFonts w:ascii="Times New Roman" w:hAnsi="Times New Roman" w:cs="Times New Roman"/>
          <w:sz w:val="26"/>
          <w:szCs w:val="26"/>
        </w:rPr>
        <w:t xml:space="preserve">.  </w:t>
      </w:r>
      <w:r w:rsidR="008120D7" w:rsidRPr="004F246E">
        <w:rPr>
          <w:rFonts w:ascii="Times New Roman" w:hAnsi="Times New Roman" w:cs="Times New Roman"/>
          <w:sz w:val="26"/>
          <w:szCs w:val="26"/>
        </w:rPr>
        <w:t xml:space="preserve">The PECO </w:t>
      </w:r>
      <w:r>
        <w:rPr>
          <w:rFonts w:ascii="Times New Roman" w:hAnsi="Times New Roman" w:cs="Times New Roman"/>
          <w:sz w:val="26"/>
          <w:szCs w:val="26"/>
        </w:rPr>
        <w:t>Z</w:t>
      </w:r>
      <w:r w:rsidR="008120D7" w:rsidRPr="004F246E">
        <w:rPr>
          <w:rFonts w:ascii="Times New Roman" w:hAnsi="Times New Roman" w:cs="Times New Roman"/>
          <w:sz w:val="26"/>
          <w:szCs w:val="26"/>
        </w:rPr>
        <w:t xml:space="preserve">one is receiving a credit of $49,567,831 for the </w:t>
      </w:r>
      <w:r w:rsidR="00CC39BD">
        <w:rPr>
          <w:rFonts w:ascii="Times New Roman" w:hAnsi="Times New Roman" w:cs="Times New Roman"/>
          <w:sz w:val="26"/>
          <w:szCs w:val="26"/>
        </w:rPr>
        <w:t>“</w:t>
      </w:r>
      <w:r w:rsidR="008120D7" w:rsidRPr="004F246E">
        <w:rPr>
          <w:rFonts w:ascii="Times New Roman" w:hAnsi="Times New Roman" w:cs="Times New Roman"/>
          <w:sz w:val="26"/>
          <w:szCs w:val="26"/>
        </w:rPr>
        <w:t>historical period</w:t>
      </w:r>
      <w:r w:rsidR="00CC39BD">
        <w:rPr>
          <w:rFonts w:ascii="Times New Roman" w:hAnsi="Times New Roman" w:cs="Times New Roman"/>
          <w:sz w:val="26"/>
          <w:szCs w:val="26"/>
        </w:rPr>
        <w:t>”</w:t>
      </w:r>
      <w:r w:rsidR="008120D7" w:rsidRPr="004F246E">
        <w:rPr>
          <w:rFonts w:ascii="Times New Roman" w:hAnsi="Times New Roman" w:cs="Times New Roman"/>
          <w:sz w:val="26"/>
          <w:szCs w:val="26"/>
        </w:rPr>
        <w:t xml:space="preserve"> of June 2007 through </w:t>
      </w:r>
      <w:r w:rsidR="008120D7" w:rsidRPr="004F246E">
        <w:rPr>
          <w:rFonts w:ascii="Times New Roman" w:hAnsi="Times New Roman" w:cs="Times New Roman"/>
          <w:sz w:val="26"/>
          <w:szCs w:val="26"/>
        </w:rPr>
        <w:lastRenderedPageBreak/>
        <w:t>December 2015</w:t>
      </w:r>
      <w:r w:rsidR="005C3FAE">
        <w:rPr>
          <w:rFonts w:ascii="Times New Roman" w:hAnsi="Times New Roman" w:cs="Times New Roman"/>
          <w:sz w:val="26"/>
          <w:szCs w:val="26"/>
        </w:rPr>
        <w:t>; of this amount</w:t>
      </w:r>
      <w:r w:rsidR="008120D7" w:rsidRPr="004F246E">
        <w:rPr>
          <w:rFonts w:ascii="Times New Roman" w:hAnsi="Times New Roman" w:cs="Times New Roman"/>
          <w:sz w:val="26"/>
          <w:szCs w:val="26"/>
        </w:rPr>
        <w:t xml:space="preserve"> PECO seeks to retain $5,560,416 for RTEP charges during the </w:t>
      </w:r>
      <w:r w:rsidR="00CC39BD">
        <w:rPr>
          <w:rFonts w:ascii="Times New Roman" w:hAnsi="Times New Roman" w:cs="Times New Roman"/>
          <w:sz w:val="26"/>
          <w:szCs w:val="26"/>
        </w:rPr>
        <w:t>“</w:t>
      </w:r>
      <w:r w:rsidR="008120D7" w:rsidRPr="004F246E">
        <w:rPr>
          <w:rFonts w:ascii="Times New Roman" w:hAnsi="Times New Roman" w:cs="Times New Roman"/>
          <w:sz w:val="26"/>
          <w:szCs w:val="26"/>
        </w:rPr>
        <w:t>historical period</w:t>
      </w:r>
      <w:r w:rsidR="00CC39BD">
        <w:rPr>
          <w:rFonts w:ascii="Times New Roman" w:hAnsi="Times New Roman" w:cs="Times New Roman"/>
          <w:sz w:val="26"/>
          <w:szCs w:val="26"/>
        </w:rPr>
        <w:t>”</w:t>
      </w:r>
      <w:r w:rsidR="008120D7" w:rsidRPr="004F246E">
        <w:rPr>
          <w:rFonts w:ascii="Times New Roman" w:hAnsi="Times New Roman" w:cs="Times New Roman"/>
          <w:sz w:val="26"/>
          <w:szCs w:val="26"/>
        </w:rPr>
        <w:t xml:space="preserve"> at issue from June 2007 through December 2010.</w:t>
      </w:r>
      <w:r w:rsidR="00131E14">
        <w:rPr>
          <w:rFonts w:ascii="Times New Roman" w:hAnsi="Times New Roman" w:cs="Times New Roman"/>
          <w:sz w:val="26"/>
          <w:szCs w:val="26"/>
        </w:rPr>
        <w:t xml:space="preserve">  </w:t>
      </w:r>
      <w:r w:rsidR="008120D7" w:rsidRPr="004F246E">
        <w:rPr>
          <w:rFonts w:ascii="Times New Roman" w:hAnsi="Times New Roman" w:cs="Times New Roman"/>
          <w:sz w:val="26"/>
          <w:szCs w:val="26"/>
        </w:rPr>
        <w:t>The remaining amount is being refunded to customers.</w:t>
      </w:r>
      <w:r w:rsidR="00131E14">
        <w:rPr>
          <w:rFonts w:ascii="Times New Roman" w:hAnsi="Times New Roman" w:cs="Times New Roman"/>
          <w:sz w:val="26"/>
          <w:szCs w:val="26"/>
        </w:rPr>
        <w:t xml:space="preserve">  OCA M.B. at 3 (citing OCA St. 1 at</w:t>
      </w:r>
      <w:r w:rsidR="00111928">
        <w:rPr>
          <w:rFonts w:ascii="Times New Roman" w:hAnsi="Times New Roman" w:cs="Times New Roman"/>
          <w:sz w:val="26"/>
          <w:szCs w:val="26"/>
        </w:rPr>
        <w:t> </w:t>
      </w:r>
      <w:r w:rsidR="00131E14">
        <w:rPr>
          <w:rFonts w:ascii="Times New Roman" w:hAnsi="Times New Roman" w:cs="Times New Roman"/>
          <w:sz w:val="26"/>
          <w:szCs w:val="26"/>
        </w:rPr>
        <w:t xml:space="preserve">5; </w:t>
      </w:r>
      <w:r w:rsidR="00117376">
        <w:rPr>
          <w:rFonts w:ascii="Times New Roman" w:hAnsi="Times New Roman" w:cs="Times New Roman"/>
          <w:sz w:val="26"/>
          <w:szCs w:val="26"/>
        </w:rPr>
        <w:t xml:space="preserve">PECO St. 1 at 3).  </w:t>
      </w:r>
    </w:p>
    <w:p w14:paraId="1F3578CE" w14:textId="77777777" w:rsidR="000A1D47" w:rsidRPr="00EC6B2B" w:rsidRDefault="000A1D47" w:rsidP="00231EC0">
      <w:pPr>
        <w:spacing w:after="0" w:line="360" w:lineRule="auto"/>
        <w:ind w:firstLine="1440"/>
        <w:contextualSpacing/>
        <w:rPr>
          <w:rFonts w:ascii="Times New Roman" w:hAnsi="Times New Roman" w:cs="Times New Roman"/>
          <w:sz w:val="26"/>
          <w:szCs w:val="26"/>
        </w:rPr>
      </w:pPr>
    </w:p>
    <w:p w14:paraId="6923DE3F" w14:textId="4E25855B" w:rsidR="00E51199" w:rsidRPr="00E51199" w:rsidRDefault="003379B5">
      <w:pPr>
        <w:keepNext/>
        <w:keepLines/>
        <w:spacing w:after="0" w:line="36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w:t>
      </w:r>
      <w:r>
        <w:rPr>
          <w:rFonts w:ascii="Times New Roman" w:eastAsia="Times New Roman" w:hAnsi="Times New Roman" w:cs="Times New Roman"/>
          <w:b/>
          <w:sz w:val="26"/>
          <w:szCs w:val="26"/>
        </w:rPr>
        <w:tab/>
      </w:r>
      <w:r w:rsidR="00E51199" w:rsidRPr="00E51199">
        <w:rPr>
          <w:rFonts w:ascii="Times New Roman" w:eastAsia="Times New Roman" w:hAnsi="Times New Roman" w:cs="Times New Roman"/>
          <w:b/>
          <w:sz w:val="26"/>
          <w:szCs w:val="26"/>
        </w:rPr>
        <w:t>Discussion</w:t>
      </w:r>
    </w:p>
    <w:p w14:paraId="4480D4F5" w14:textId="77777777" w:rsidR="000A1D47" w:rsidRDefault="000A1D47" w:rsidP="001D2ED8">
      <w:pPr>
        <w:spacing w:after="0" w:line="360" w:lineRule="auto"/>
        <w:contextualSpacing/>
        <w:rPr>
          <w:rFonts w:ascii="Times New Roman" w:hAnsi="Times New Roman" w:cs="Times New Roman"/>
          <w:sz w:val="26"/>
          <w:szCs w:val="26"/>
        </w:rPr>
      </w:pPr>
    </w:p>
    <w:p w14:paraId="4DD064FA" w14:textId="1248A607" w:rsidR="00E20E5D" w:rsidRPr="00E51199" w:rsidRDefault="00464655">
      <w:pPr>
        <w:keepNext/>
        <w:keepLines/>
        <w:spacing w:after="0" w:line="360" w:lineRule="auto"/>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t>A.</w:t>
      </w:r>
      <w:r>
        <w:rPr>
          <w:rFonts w:ascii="Times New Roman" w:eastAsia="Times New Roman" w:hAnsi="Times New Roman" w:cs="Times New Roman"/>
          <w:b/>
          <w:sz w:val="26"/>
          <w:szCs w:val="26"/>
        </w:rPr>
        <w:tab/>
      </w:r>
      <w:r w:rsidR="00E20E5D" w:rsidRPr="00E51199">
        <w:rPr>
          <w:rFonts w:ascii="Times New Roman" w:eastAsia="Times New Roman" w:hAnsi="Times New Roman" w:cs="Times New Roman"/>
          <w:b/>
          <w:sz w:val="26"/>
          <w:szCs w:val="26"/>
        </w:rPr>
        <w:t>Legal Standards</w:t>
      </w:r>
    </w:p>
    <w:p w14:paraId="36BEB91D" w14:textId="77777777" w:rsidR="00E20E5D" w:rsidRDefault="00E20E5D" w:rsidP="001D2ED8">
      <w:pPr>
        <w:keepNext/>
        <w:keepLines/>
        <w:spacing w:after="0" w:line="360" w:lineRule="auto"/>
        <w:contextualSpacing/>
        <w:rPr>
          <w:rFonts w:ascii="Times New Roman" w:hAnsi="Times New Roman" w:cs="Times New Roman"/>
          <w:sz w:val="26"/>
          <w:szCs w:val="26"/>
        </w:rPr>
      </w:pPr>
    </w:p>
    <w:p w14:paraId="5EAB77AB" w14:textId="3E9A9F3F" w:rsidR="006853CE" w:rsidRPr="00994FED" w:rsidRDefault="00964053">
      <w:pPr>
        <w:spacing w:after="0" w:line="360" w:lineRule="auto"/>
        <w:ind w:firstLine="1440"/>
        <w:contextualSpacing/>
        <w:rPr>
          <w:rFonts w:ascii="Times New Roman" w:eastAsia="Times New Roman" w:hAnsi="Times New Roman" w:cs="Times New Roman"/>
          <w:color w:val="000000"/>
          <w:sz w:val="26"/>
          <w:szCs w:val="26"/>
        </w:rPr>
      </w:pPr>
      <w:bookmarkStart w:id="2" w:name="_Hlk51825586"/>
      <w:r>
        <w:rPr>
          <w:rFonts w:ascii="Times New Roman" w:hAnsi="Times New Roman" w:cs="Times New Roman"/>
          <w:sz w:val="26"/>
          <w:szCs w:val="26"/>
        </w:rPr>
        <w:t>A</w:t>
      </w:r>
      <w:r w:rsidR="006853CE" w:rsidRPr="00994FED">
        <w:rPr>
          <w:rFonts w:ascii="Times New Roman" w:hAnsi="Times New Roman" w:cs="Times New Roman"/>
          <w:sz w:val="26"/>
          <w:szCs w:val="26"/>
        </w:rPr>
        <w:t>s the proponent of a rule or order, the Complainant</w:t>
      </w:r>
      <w:r w:rsidR="00375BD6">
        <w:rPr>
          <w:rFonts w:ascii="Times New Roman" w:hAnsi="Times New Roman" w:cs="Times New Roman"/>
          <w:sz w:val="26"/>
          <w:szCs w:val="26"/>
        </w:rPr>
        <w:t xml:space="preserve"> </w:t>
      </w:r>
      <w:r w:rsidR="006853CE" w:rsidRPr="00994FED">
        <w:rPr>
          <w:rFonts w:ascii="Times New Roman" w:hAnsi="Times New Roman" w:cs="Times New Roman"/>
          <w:sz w:val="26"/>
          <w:szCs w:val="26"/>
        </w:rPr>
        <w:t>bear</w:t>
      </w:r>
      <w:r w:rsidR="00375BD6">
        <w:rPr>
          <w:rFonts w:ascii="Times New Roman" w:hAnsi="Times New Roman" w:cs="Times New Roman"/>
          <w:sz w:val="26"/>
          <w:szCs w:val="26"/>
        </w:rPr>
        <w:t>s</w:t>
      </w:r>
      <w:r w:rsidR="006853CE" w:rsidRPr="00994FED">
        <w:rPr>
          <w:rFonts w:ascii="Times New Roman" w:hAnsi="Times New Roman" w:cs="Times New Roman"/>
          <w:sz w:val="26"/>
          <w:szCs w:val="26"/>
        </w:rPr>
        <w:t xml:space="preserve"> the burden of proof</w:t>
      </w:r>
      <w:r w:rsidR="00F629B5" w:rsidRPr="00994FED">
        <w:rPr>
          <w:rFonts w:ascii="Times New Roman" w:hAnsi="Times New Roman" w:cs="Times New Roman"/>
          <w:sz w:val="26"/>
          <w:szCs w:val="26"/>
        </w:rPr>
        <w:t>,</w:t>
      </w:r>
      <w:r w:rsidR="006853CE" w:rsidRPr="00994FED">
        <w:rPr>
          <w:rFonts w:ascii="Times New Roman" w:hAnsi="Times New Roman" w:cs="Times New Roman"/>
          <w:sz w:val="26"/>
          <w:szCs w:val="26"/>
        </w:rPr>
        <w:t xml:space="preserve"> pursuant to Section 332(a) of the </w:t>
      </w:r>
      <w:r w:rsidR="009D6660" w:rsidRPr="00994FED">
        <w:rPr>
          <w:rFonts w:ascii="Times New Roman" w:hAnsi="Times New Roman" w:cs="Times New Roman"/>
          <w:sz w:val="26"/>
          <w:szCs w:val="26"/>
        </w:rPr>
        <w:t>Public Utility (</w:t>
      </w:r>
      <w:r w:rsidR="006853CE" w:rsidRPr="00994FED">
        <w:rPr>
          <w:rFonts w:ascii="Times New Roman" w:hAnsi="Times New Roman" w:cs="Times New Roman"/>
          <w:sz w:val="26"/>
          <w:szCs w:val="26"/>
        </w:rPr>
        <w:t>Code</w:t>
      </w:r>
      <w:r w:rsidR="009D6660" w:rsidRPr="00994FED">
        <w:rPr>
          <w:rFonts w:ascii="Times New Roman" w:hAnsi="Times New Roman" w:cs="Times New Roman"/>
          <w:sz w:val="26"/>
          <w:szCs w:val="26"/>
        </w:rPr>
        <w:t>)</w:t>
      </w:r>
      <w:r w:rsidR="00F629B5" w:rsidRPr="00994FED">
        <w:rPr>
          <w:rFonts w:ascii="Times New Roman" w:hAnsi="Times New Roman" w:cs="Times New Roman"/>
          <w:sz w:val="26"/>
          <w:szCs w:val="26"/>
        </w:rPr>
        <w:t>.</w:t>
      </w:r>
      <w:r w:rsidR="006853CE" w:rsidRPr="00994FED">
        <w:rPr>
          <w:rFonts w:ascii="Times New Roman" w:hAnsi="Times New Roman" w:cs="Times New Roman"/>
          <w:sz w:val="26"/>
          <w:szCs w:val="26"/>
        </w:rPr>
        <w:t xml:space="preserve"> </w:t>
      </w:r>
      <w:r w:rsidR="00F629B5" w:rsidRPr="00994FED">
        <w:rPr>
          <w:rFonts w:ascii="Times New Roman" w:hAnsi="Times New Roman" w:cs="Times New Roman"/>
          <w:sz w:val="26"/>
          <w:szCs w:val="26"/>
        </w:rPr>
        <w:t xml:space="preserve"> </w:t>
      </w:r>
      <w:r w:rsidR="006853CE" w:rsidRPr="00994FED">
        <w:rPr>
          <w:rFonts w:ascii="Times New Roman" w:hAnsi="Times New Roman" w:cs="Times New Roman"/>
          <w:sz w:val="26"/>
          <w:szCs w:val="26"/>
        </w:rPr>
        <w:t>66</w:t>
      </w:r>
      <w:r w:rsidR="00AC636A">
        <w:rPr>
          <w:rFonts w:ascii="Times New Roman" w:hAnsi="Times New Roman" w:cs="Times New Roman"/>
          <w:sz w:val="26"/>
          <w:szCs w:val="26"/>
        </w:rPr>
        <w:t> </w:t>
      </w:r>
      <w:r w:rsidR="006853CE" w:rsidRPr="00994FED">
        <w:rPr>
          <w:rFonts w:ascii="Times New Roman" w:hAnsi="Times New Roman" w:cs="Times New Roman"/>
          <w:sz w:val="26"/>
          <w:szCs w:val="26"/>
        </w:rPr>
        <w:t>Pa.</w:t>
      </w:r>
      <w:r w:rsidR="00AC636A">
        <w:rPr>
          <w:rFonts w:ascii="Times New Roman" w:hAnsi="Times New Roman" w:cs="Times New Roman"/>
          <w:sz w:val="26"/>
          <w:szCs w:val="26"/>
        </w:rPr>
        <w:t> </w:t>
      </w:r>
      <w:r w:rsidR="006853CE" w:rsidRPr="00994FED">
        <w:rPr>
          <w:rFonts w:ascii="Times New Roman" w:hAnsi="Times New Roman" w:cs="Times New Roman"/>
          <w:sz w:val="26"/>
          <w:szCs w:val="26"/>
        </w:rPr>
        <w:t>C.S</w:t>
      </w:r>
      <w:r w:rsidR="00F629B5" w:rsidRPr="00994FED">
        <w:rPr>
          <w:rFonts w:ascii="Times New Roman" w:hAnsi="Times New Roman" w:cs="Times New Roman"/>
          <w:sz w:val="26"/>
          <w:szCs w:val="26"/>
        </w:rPr>
        <w:t>.</w:t>
      </w:r>
      <w:r w:rsidR="006853CE" w:rsidRPr="00994FED">
        <w:rPr>
          <w:rFonts w:ascii="Times New Roman" w:hAnsi="Times New Roman" w:cs="Times New Roman"/>
          <w:sz w:val="26"/>
          <w:szCs w:val="26"/>
        </w:rPr>
        <w:t xml:space="preserve"> § 332(a).</w:t>
      </w:r>
      <w:r w:rsidR="00DE1C67">
        <w:rPr>
          <w:rStyle w:val="FootnoteReference"/>
          <w:rFonts w:ascii="Times New Roman" w:hAnsi="Times New Roman" w:cs="Times New Roman"/>
          <w:sz w:val="26"/>
          <w:szCs w:val="26"/>
        </w:rPr>
        <w:footnoteReference w:id="3"/>
      </w:r>
      <w:r w:rsidR="006853CE" w:rsidRPr="00994FED">
        <w:rPr>
          <w:rFonts w:ascii="Times New Roman" w:hAnsi="Times New Roman" w:cs="Times New Roman"/>
          <w:sz w:val="26"/>
          <w:szCs w:val="26"/>
        </w:rPr>
        <w:t xml:space="preserve">  </w:t>
      </w:r>
      <w:r w:rsidR="00F629B5" w:rsidRPr="00994FED">
        <w:rPr>
          <w:rFonts w:ascii="Times New Roman" w:eastAsia="Times New Roman" w:hAnsi="Times New Roman" w:cs="Times New Roman"/>
          <w:color w:val="000000"/>
          <w:sz w:val="26"/>
          <w:szCs w:val="26"/>
        </w:rPr>
        <w:t xml:space="preserve">To establish a sufficient case and satisfy the burden of proof, the Complainant must show that </w:t>
      </w:r>
      <w:r w:rsidR="00B56B42">
        <w:rPr>
          <w:rFonts w:ascii="Times New Roman" w:eastAsia="Times New Roman" w:hAnsi="Times New Roman" w:cs="Times New Roman"/>
          <w:color w:val="000000"/>
          <w:sz w:val="26"/>
          <w:szCs w:val="26"/>
        </w:rPr>
        <w:t>the Respondent</w:t>
      </w:r>
      <w:r w:rsidR="00F629B5" w:rsidRPr="00994FED">
        <w:rPr>
          <w:rFonts w:ascii="Times New Roman" w:eastAsia="Times New Roman" w:hAnsi="Times New Roman" w:cs="Times New Roman"/>
          <w:color w:val="000000"/>
          <w:sz w:val="26"/>
          <w:szCs w:val="26"/>
        </w:rPr>
        <w:t xml:space="preserve"> is responsible or accountable for the problem described in the Complaint.  </w:t>
      </w:r>
      <w:r w:rsidR="00F629B5" w:rsidRPr="00994FED">
        <w:rPr>
          <w:rFonts w:ascii="Times New Roman" w:eastAsia="Times New Roman" w:hAnsi="Times New Roman" w:cs="Times New Roman"/>
          <w:i/>
          <w:color w:val="000000"/>
          <w:sz w:val="26"/>
          <w:szCs w:val="26"/>
        </w:rPr>
        <w:t>Patterson v. The Bell Telephone Company of Pennsylvania</w:t>
      </w:r>
      <w:r w:rsidR="00F629B5" w:rsidRPr="00994FED">
        <w:rPr>
          <w:rFonts w:ascii="Times New Roman" w:eastAsia="Times New Roman" w:hAnsi="Times New Roman" w:cs="Times New Roman"/>
          <w:color w:val="000000"/>
          <w:sz w:val="26"/>
          <w:szCs w:val="26"/>
        </w:rPr>
        <w:t>, 72 Pa.</w:t>
      </w:r>
      <w:r w:rsidR="00111928">
        <w:rPr>
          <w:rFonts w:ascii="Times New Roman" w:eastAsia="Times New Roman" w:hAnsi="Times New Roman" w:cs="Times New Roman"/>
          <w:color w:val="000000"/>
          <w:sz w:val="26"/>
          <w:szCs w:val="26"/>
        </w:rPr>
        <w:t> </w:t>
      </w:r>
      <w:r w:rsidR="00F629B5" w:rsidRPr="00994FED">
        <w:rPr>
          <w:rFonts w:ascii="Times New Roman" w:eastAsia="Times New Roman" w:hAnsi="Times New Roman" w:cs="Times New Roman"/>
          <w:color w:val="000000"/>
          <w:sz w:val="26"/>
          <w:szCs w:val="26"/>
        </w:rPr>
        <w:t>P.U.C.</w:t>
      </w:r>
      <w:r w:rsidR="00111928">
        <w:rPr>
          <w:rFonts w:ascii="Times New Roman" w:eastAsia="Times New Roman" w:hAnsi="Times New Roman" w:cs="Times New Roman"/>
          <w:color w:val="000000"/>
          <w:sz w:val="26"/>
          <w:szCs w:val="26"/>
        </w:rPr>
        <w:t> </w:t>
      </w:r>
      <w:r w:rsidR="00F629B5" w:rsidRPr="00994FED">
        <w:rPr>
          <w:rFonts w:ascii="Times New Roman" w:eastAsia="Times New Roman" w:hAnsi="Times New Roman" w:cs="Times New Roman"/>
          <w:color w:val="000000"/>
          <w:sz w:val="26"/>
          <w:szCs w:val="26"/>
        </w:rPr>
        <w:t xml:space="preserve">196 (1990).  Such a showing must be by a preponderance of the evidence.  </w:t>
      </w:r>
      <w:r w:rsidR="00F629B5" w:rsidRPr="00994FED">
        <w:rPr>
          <w:rFonts w:ascii="Times New Roman" w:eastAsia="Times New Roman" w:hAnsi="Times New Roman" w:cs="Times New Roman"/>
          <w:i/>
          <w:iCs/>
          <w:color w:val="000000"/>
          <w:sz w:val="26"/>
          <w:szCs w:val="26"/>
        </w:rPr>
        <w:t>Samuel J. Lansberry, Inc. v. Pa. PUC</w:t>
      </w:r>
      <w:r w:rsidR="00F629B5" w:rsidRPr="00994FED">
        <w:rPr>
          <w:rFonts w:ascii="Times New Roman" w:eastAsia="Times New Roman" w:hAnsi="Times New Roman" w:cs="Times New Roman"/>
          <w:color w:val="000000"/>
          <w:sz w:val="26"/>
          <w:szCs w:val="26"/>
        </w:rPr>
        <w:t xml:space="preserve">, 578 A.2d 600 (Pa. Cmwlth. 1990), </w:t>
      </w:r>
      <w:r w:rsidR="00F629B5" w:rsidRPr="00994FED">
        <w:rPr>
          <w:rFonts w:ascii="Times New Roman" w:eastAsia="Times New Roman" w:hAnsi="Times New Roman" w:cs="Times New Roman"/>
          <w:i/>
          <w:color w:val="000000"/>
          <w:sz w:val="26"/>
          <w:szCs w:val="26"/>
        </w:rPr>
        <w:t>alloc. denied</w:t>
      </w:r>
      <w:r w:rsidR="00F629B5" w:rsidRPr="00994FED">
        <w:rPr>
          <w:rFonts w:ascii="Times New Roman" w:eastAsia="Times New Roman" w:hAnsi="Times New Roman" w:cs="Times New Roman"/>
          <w:color w:val="000000"/>
          <w:sz w:val="26"/>
          <w:szCs w:val="26"/>
        </w:rPr>
        <w:t>, 529 Pa. 654, 602 A.2d 863 (1992) (</w:t>
      </w:r>
      <w:r w:rsidR="00F629B5" w:rsidRPr="00994FED">
        <w:rPr>
          <w:rFonts w:ascii="Times New Roman" w:eastAsia="Times New Roman" w:hAnsi="Times New Roman" w:cs="Times New Roman"/>
          <w:i/>
          <w:iCs/>
          <w:color w:val="000000"/>
          <w:sz w:val="26"/>
          <w:szCs w:val="26"/>
        </w:rPr>
        <w:t>Lansberry</w:t>
      </w:r>
      <w:r w:rsidR="00F629B5" w:rsidRPr="00994FED">
        <w:rPr>
          <w:rFonts w:ascii="Times New Roman" w:eastAsia="Times New Roman" w:hAnsi="Times New Roman" w:cs="Times New Roman"/>
          <w:color w:val="000000"/>
          <w:sz w:val="26"/>
          <w:szCs w:val="26"/>
        </w:rPr>
        <w:t>).  That is, the Complainant</w:t>
      </w:r>
      <w:r w:rsidR="000064B3">
        <w:rPr>
          <w:rFonts w:ascii="Times New Roman" w:eastAsia="Times New Roman" w:hAnsi="Times New Roman" w:cs="Times New Roman"/>
          <w:color w:val="000000"/>
          <w:sz w:val="26"/>
          <w:szCs w:val="26"/>
        </w:rPr>
        <w:t>’</w:t>
      </w:r>
      <w:r w:rsidR="00F629B5" w:rsidRPr="00994FED">
        <w:rPr>
          <w:rFonts w:ascii="Times New Roman" w:eastAsia="Times New Roman" w:hAnsi="Times New Roman" w:cs="Times New Roman"/>
          <w:color w:val="000000"/>
          <w:sz w:val="26"/>
          <w:szCs w:val="26"/>
        </w:rPr>
        <w:t>s</w:t>
      </w:r>
      <w:r w:rsidR="000064B3">
        <w:rPr>
          <w:rFonts w:ascii="Times New Roman" w:eastAsia="Times New Roman" w:hAnsi="Times New Roman" w:cs="Times New Roman"/>
          <w:color w:val="000000"/>
          <w:sz w:val="26"/>
          <w:szCs w:val="26"/>
        </w:rPr>
        <w:t xml:space="preserve"> </w:t>
      </w:r>
      <w:r w:rsidR="00F629B5" w:rsidRPr="00994FED">
        <w:rPr>
          <w:rFonts w:ascii="Times New Roman" w:eastAsia="Times New Roman" w:hAnsi="Times New Roman" w:cs="Times New Roman"/>
          <w:color w:val="000000"/>
          <w:sz w:val="26"/>
          <w:szCs w:val="26"/>
        </w:rPr>
        <w:t xml:space="preserve">evidence must be more convincing, by even the smallest amount, than that presented by </w:t>
      </w:r>
      <w:r w:rsidR="00F93259">
        <w:rPr>
          <w:rFonts w:ascii="Times New Roman" w:eastAsia="Times New Roman" w:hAnsi="Times New Roman" w:cs="Times New Roman"/>
          <w:color w:val="000000"/>
          <w:sz w:val="26"/>
          <w:szCs w:val="26"/>
        </w:rPr>
        <w:t>the Respondent</w:t>
      </w:r>
      <w:r w:rsidR="00F629B5" w:rsidRPr="00994FED">
        <w:rPr>
          <w:rFonts w:ascii="Times New Roman" w:eastAsia="Times New Roman" w:hAnsi="Times New Roman" w:cs="Times New Roman"/>
          <w:color w:val="000000"/>
          <w:sz w:val="26"/>
          <w:szCs w:val="26"/>
        </w:rPr>
        <w:t xml:space="preserve">.  </w:t>
      </w:r>
      <w:r w:rsidR="00F629B5" w:rsidRPr="00994FED">
        <w:rPr>
          <w:rFonts w:ascii="Times New Roman" w:eastAsia="Times New Roman" w:hAnsi="Times New Roman" w:cs="Times New Roman"/>
          <w:i/>
          <w:color w:val="000000"/>
          <w:sz w:val="26"/>
          <w:szCs w:val="26"/>
        </w:rPr>
        <w:t>Se-Ling Hosiery, Inc. v. Margulies</w:t>
      </w:r>
      <w:r w:rsidR="00F629B5" w:rsidRPr="00994FED">
        <w:rPr>
          <w:rFonts w:ascii="Times New Roman" w:eastAsia="Times New Roman" w:hAnsi="Times New Roman" w:cs="Times New Roman"/>
          <w:color w:val="000000"/>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00F629B5" w:rsidRPr="00994FED">
        <w:rPr>
          <w:rFonts w:ascii="Times New Roman" w:eastAsia="Times New Roman" w:hAnsi="Times New Roman" w:cs="Times New Roman"/>
          <w:i/>
          <w:color w:val="000000"/>
          <w:sz w:val="26"/>
          <w:szCs w:val="26"/>
        </w:rPr>
        <w:t>Norfolk &amp; Western Ry. Co. v. Pa. PUC</w:t>
      </w:r>
      <w:r w:rsidR="00F629B5" w:rsidRPr="00994FED">
        <w:rPr>
          <w:rFonts w:ascii="Times New Roman" w:eastAsia="Times New Roman" w:hAnsi="Times New Roman" w:cs="Times New Roman"/>
          <w:color w:val="000000"/>
          <w:sz w:val="26"/>
          <w:szCs w:val="26"/>
        </w:rPr>
        <w:t>, 489 Pa. 109, 413 A.2d 1037 (1980) (</w:t>
      </w:r>
      <w:r w:rsidR="00F629B5" w:rsidRPr="00994FED">
        <w:rPr>
          <w:rFonts w:ascii="Times New Roman" w:eastAsia="Times New Roman" w:hAnsi="Times New Roman" w:cs="Times New Roman"/>
          <w:i/>
          <w:iCs/>
          <w:color w:val="000000"/>
          <w:sz w:val="26"/>
          <w:szCs w:val="26"/>
        </w:rPr>
        <w:t>Norfolk</w:t>
      </w:r>
      <w:r w:rsidR="00F629B5" w:rsidRPr="00994FED">
        <w:rPr>
          <w:rFonts w:ascii="Times New Roman" w:eastAsia="Times New Roman" w:hAnsi="Times New Roman" w:cs="Times New Roman"/>
          <w:color w:val="000000"/>
          <w:sz w:val="26"/>
          <w:szCs w:val="26"/>
        </w:rPr>
        <w:t>).</w:t>
      </w:r>
    </w:p>
    <w:p w14:paraId="731AD613" w14:textId="1F1BA498" w:rsidR="006853CE" w:rsidRPr="00994FED" w:rsidRDefault="006853CE" w:rsidP="00231EC0">
      <w:pPr>
        <w:spacing w:after="0" w:line="360" w:lineRule="auto"/>
        <w:ind w:firstLine="1440"/>
        <w:contextualSpacing/>
        <w:rPr>
          <w:rFonts w:ascii="Times New Roman" w:hAnsi="Times New Roman" w:cs="Times New Roman"/>
          <w:sz w:val="26"/>
          <w:szCs w:val="26"/>
        </w:rPr>
      </w:pPr>
    </w:p>
    <w:p w14:paraId="53976E07" w14:textId="4E20C37B" w:rsidR="006853CE" w:rsidRPr="00994FED" w:rsidRDefault="0073619C" w:rsidP="00231EC0">
      <w:pPr>
        <w:spacing w:after="0" w:line="360" w:lineRule="auto"/>
        <w:ind w:firstLine="1440"/>
        <w:contextualSpacing/>
        <w:rPr>
          <w:rFonts w:ascii="Times New Roman" w:eastAsia="Times New Roman" w:hAnsi="Times New Roman" w:cs="Times New Roman"/>
          <w:sz w:val="26"/>
          <w:szCs w:val="26"/>
        </w:rPr>
      </w:pPr>
      <w:r w:rsidRPr="00994FED">
        <w:rPr>
          <w:rFonts w:ascii="Times New Roman" w:eastAsia="Times New Roman" w:hAnsi="Times New Roman" w:cs="Times New Roman"/>
          <w:sz w:val="26"/>
          <w:szCs w:val="26"/>
        </w:rPr>
        <w:t xml:space="preserve">Upon the presentation by the Complainant of evidence sufficient to initially satisfy the burden of proof, the burden of going forward with the evidence to rebut the </w:t>
      </w:r>
      <w:r w:rsidRPr="00994FED">
        <w:rPr>
          <w:rFonts w:ascii="Times New Roman" w:eastAsia="Times New Roman" w:hAnsi="Times New Roman" w:cs="Times New Roman"/>
          <w:sz w:val="26"/>
          <w:szCs w:val="26"/>
        </w:rPr>
        <w:lastRenderedPageBreak/>
        <w:t xml:space="preserve">evidence of the Complainant shifts to </w:t>
      </w:r>
      <w:r w:rsidR="00B56B42">
        <w:rPr>
          <w:rFonts w:ascii="Times New Roman" w:eastAsia="Times New Roman" w:hAnsi="Times New Roman" w:cs="Times New Roman"/>
          <w:sz w:val="26"/>
          <w:szCs w:val="26"/>
        </w:rPr>
        <w:t>the Respondent</w:t>
      </w:r>
      <w:r w:rsidRPr="00994FED">
        <w:rPr>
          <w:rFonts w:ascii="Times New Roman" w:eastAsia="Times New Roman" w:hAnsi="Times New Roman" w:cs="Times New Roman"/>
          <w:sz w:val="26"/>
          <w:szCs w:val="26"/>
        </w:rPr>
        <w:t xml:space="preserve">.  If the evidence presented by </w:t>
      </w:r>
      <w:r w:rsidR="00B56B42">
        <w:rPr>
          <w:rFonts w:ascii="Times New Roman" w:eastAsia="Times New Roman" w:hAnsi="Times New Roman" w:cs="Times New Roman"/>
          <w:sz w:val="26"/>
          <w:szCs w:val="26"/>
        </w:rPr>
        <w:t>the Respondent</w:t>
      </w:r>
      <w:r w:rsidRPr="00994FED">
        <w:rPr>
          <w:rFonts w:ascii="Times New Roman" w:eastAsia="Times New Roman" w:hAnsi="Times New Roman" w:cs="Times New Roman"/>
          <w:sz w:val="26"/>
          <w:szCs w:val="26"/>
        </w:rPr>
        <w:t xml:space="preserve"> is of co-equal value or “weight,” the burden of proof has not been satisfied.  The Complainant now h</w:t>
      </w:r>
      <w:r w:rsidR="00B56B42">
        <w:rPr>
          <w:rFonts w:ascii="Times New Roman" w:eastAsia="Times New Roman" w:hAnsi="Times New Roman" w:cs="Times New Roman"/>
          <w:sz w:val="26"/>
          <w:szCs w:val="26"/>
        </w:rPr>
        <w:t>as</w:t>
      </w:r>
      <w:r w:rsidRPr="00994FED">
        <w:rPr>
          <w:rFonts w:ascii="Times New Roman" w:eastAsia="Times New Roman" w:hAnsi="Times New Roman" w:cs="Times New Roman"/>
          <w:sz w:val="26"/>
          <w:szCs w:val="26"/>
        </w:rPr>
        <w:t xml:space="preserve"> to provide some additional evidence to rebut that of the Respondent.  </w:t>
      </w:r>
      <w:r w:rsidRPr="00994FED">
        <w:rPr>
          <w:rFonts w:ascii="Times New Roman" w:eastAsia="Times New Roman" w:hAnsi="Times New Roman" w:cs="Times New Roman"/>
          <w:i/>
          <w:sz w:val="26"/>
          <w:szCs w:val="26"/>
        </w:rPr>
        <w:t>Burleson v. Pa. PUC</w:t>
      </w:r>
      <w:r w:rsidRPr="00994FED">
        <w:rPr>
          <w:rFonts w:ascii="Times New Roman" w:eastAsia="Times New Roman" w:hAnsi="Times New Roman" w:cs="Times New Roman"/>
          <w:sz w:val="26"/>
          <w:szCs w:val="26"/>
        </w:rPr>
        <w:t xml:space="preserve">, 443 A.2d 1373 (Pa. Cmwlth. 1982), </w:t>
      </w:r>
      <w:r w:rsidRPr="00994FED">
        <w:rPr>
          <w:rFonts w:ascii="Times New Roman" w:eastAsia="Times New Roman" w:hAnsi="Times New Roman" w:cs="Times New Roman"/>
          <w:i/>
          <w:sz w:val="26"/>
          <w:szCs w:val="26"/>
        </w:rPr>
        <w:t>aff’d</w:t>
      </w:r>
      <w:r w:rsidRPr="00994FED">
        <w:rPr>
          <w:rFonts w:ascii="Times New Roman" w:eastAsia="Times New Roman" w:hAnsi="Times New Roman" w:cs="Times New Roman"/>
          <w:sz w:val="26"/>
          <w:szCs w:val="26"/>
        </w:rPr>
        <w:t>, 501</w:t>
      </w:r>
      <w:r w:rsidR="00AC636A">
        <w:rPr>
          <w:rFonts w:ascii="Times New Roman" w:eastAsia="Times New Roman" w:hAnsi="Times New Roman" w:cs="Times New Roman"/>
          <w:sz w:val="26"/>
          <w:szCs w:val="26"/>
        </w:rPr>
        <w:t> </w:t>
      </w:r>
      <w:r w:rsidRPr="00994FED">
        <w:rPr>
          <w:rFonts w:ascii="Times New Roman" w:eastAsia="Times New Roman" w:hAnsi="Times New Roman" w:cs="Times New Roman"/>
          <w:sz w:val="26"/>
          <w:szCs w:val="26"/>
        </w:rPr>
        <w:t>Pa.</w:t>
      </w:r>
      <w:r w:rsidR="00AC636A">
        <w:rPr>
          <w:rFonts w:ascii="Times New Roman" w:eastAsia="Times New Roman" w:hAnsi="Times New Roman" w:cs="Times New Roman"/>
          <w:sz w:val="26"/>
          <w:szCs w:val="26"/>
        </w:rPr>
        <w:t> </w:t>
      </w:r>
      <w:r w:rsidRPr="00994FED">
        <w:rPr>
          <w:rFonts w:ascii="Times New Roman" w:eastAsia="Times New Roman" w:hAnsi="Times New Roman" w:cs="Times New Roman"/>
          <w:sz w:val="26"/>
          <w:szCs w:val="26"/>
        </w:rPr>
        <w:t xml:space="preserve">433, 461 A.2d 1234 (1983).  </w:t>
      </w:r>
    </w:p>
    <w:p w14:paraId="56604699" w14:textId="77777777" w:rsidR="0073619C" w:rsidRPr="00994FED" w:rsidRDefault="0073619C" w:rsidP="00231EC0">
      <w:pPr>
        <w:spacing w:after="0" w:line="360" w:lineRule="auto"/>
        <w:ind w:firstLine="1440"/>
        <w:contextualSpacing/>
        <w:rPr>
          <w:rFonts w:ascii="Times New Roman" w:hAnsi="Times New Roman" w:cs="Times New Roman"/>
          <w:sz w:val="26"/>
          <w:szCs w:val="26"/>
          <w:highlight w:val="yellow"/>
        </w:rPr>
      </w:pPr>
    </w:p>
    <w:p w14:paraId="34C88FFB" w14:textId="5954B788" w:rsidR="003A2701" w:rsidRPr="00994FED" w:rsidRDefault="0073619C" w:rsidP="002747D0">
      <w:pPr>
        <w:spacing w:after="0" w:line="360" w:lineRule="auto"/>
        <w:ind w:firstLine="1440"/>
        <w:contextualSpacing/>
        <w:rPr>
          <w:rFonts w:ascii="Times New Roman" w:eastAsia="Times New Roman" w:hAnsi="Times New Roman" w:cs="Times New Roman"/>
          <w:sz w:val="26"/>
          <w:szCs w:val="26"/>
        </w:rPr>
      </w:pPr>
      <w:r w:rsidRPr="00994FED">
        <w:rPr>
          <w:rFonts w:ascii="Times New Roman" w:eastAsia="Times New Roman" w:hAnsi="Times New Roman" w:cs="Times New Roman"/>
          <w:sz w:val="26"/>
          <w:szCs w:val="26"/>
        </w:rPr>
        <w:t>While the burden of persuasion may shift back and forth during a proceeding, the</w:t>
      </w:r>
      <w:r w:rsidRPr="00994FED">
        <w:rPr>
          <w:rFonts w:ascii="Times New Roman" w:eastAsia="Times New Roman" w:hAnsi="Times New Roman" w:cs="Times New Roman"/>
          <w:b/>
          <w:sz w:val="26"/>
          <w:szCs w:val="26"/>
        </w:rPr>
        <w:t xml:space="preserve"> </w:t>
      </w:r>
      <w:r w:rsidRPr="00994FED">
        <w:rPr>
          <w:rFonts w:ascii="Times New Roman" w:eastAsia="Times New Roman" w:hAnsi="Times New Roman" w:cs="Times New Roman"/>
          <w:sz w:val="26"/>
          <w:szCs w:val="26"/>
        </w:rPr>
        <w:t xml:space="preserve">burden of proof never shifts.  The burden of proof always remains on the party seeking affirmative relief from the Commission.  </w:t>
      </w:r>
      <w:r w:rsidRPr="00994FED">
        <w:rPr>
          <w:rFonts w:ascii="Times New Roman" w:eastAsia="Times New Roman" w:hAnsi="Times New Roman" w:cs="Times New Roman"/>
          <w:i/>
          <w:sz w:val="26"/>
          <w:szCs w:val="26"/>
        </w:rPr>
        <w:t>Milkie v. Pa. PUC</w:t>
      </w:r>
      <w:r w:rsidRPr="00994FED">
        <w:rPr>
          <w:rFonts w:ascii="Times New Roman" w:eastAsia="Times New Roman" w:hAnsi="Times New Roman" w:cs="Times New Roman"/>
          <w:iCs/>
          <w:sz w:val="26"/>
          <w:szCs w:val="26"/>
        </w:rPr>
        <w:t>,</w:t>
      </w:r>
      <w:r w:rsidRPr="00994FED">
        <w:rPr>
          <w:rFonts w:ascii="Times New Roman" w:eastAsia="Times New Roman" w:hAnsi="Times New Roman" w:cs="Times New Roman"/>
          <w:i/>
          <w:sz w:val="26"/>
          <w:szCs w:val="26"/>
        </w:rPr>
        <w:t xml:space="preserve"> </w:t>
      </w:r>
      <w:r w:rsidRPr="00994FED">
        <w:rPr>
          <w:rFonts w:ascii="Times New Roman" w:eastAsia="Times New Roman" w:hAnsi="Times New Roman" w:cs="Times New Roman"/>
          <w:sz w:val="26"/>
          <w:szCs w:val="26"/>
        </w:rPr>
        <w:t>768 A.2d 1217 (Pa. Cmwlth. 2001).</w:t>
      </w:r>
      <w:bookmarkEnd w:id="2"/>
    </w:p>
    <w:p w14:paraId="2211B739" w14:textId="77777777" w:rsidR="002220E6" w:rsidRPr="00994FED" w:rsidRDefault="002220E6" w:rsidP="002747D0">
      <w:pPr>
        <w:spacing w:after="0" w:line="360" w:lineRule="auto"/>
        <w:ind w:firstLine="1440"/>
        <w:contextualSpacing/>
        <w:rPr>
          <w:rFonts w:ascii="Times New Roman" w:eastAsia="Times New Roman" w:hAnsi="Times New Roman" w:cs="Times New Roman"/>
          <w:sz w:val="26"/>
          <w:szCs w:val="26"/>
        </w:rPr>
      </w:pPr>
    </w:p>
    <w:p w14:paraId="2A696446" w14:textId="24DD9AA8" w:rsidR="003A2701" w:rsidRPr="00994FED" w:rsidRDefault="003A2701" w:rsidP="00231EC0">
      <w:pPr>
        <w:spacing w:after="0" w:line="360" w:lineRule="auto"/>
        <w:ind w:firstLine="1440"/>
        <w:contextualSpacing/>
        <w:rPr>
          <w:rFonts w:ascii="Times New Roman" w:hAnsi="Times New Roman" w:cs="Times New Roman"/>
          <w:sz w:val="26"/>
          <w:szCs w:val="26"/>
        </w:rPr>
      </w:pPr>
      <w:r w:rsidRPr="00994FED">
        <w:rPr>
          <w:rFonts w:ascii="Times New Roman" w:eastAsia="Times New Roman" w:hAnsi="Times New Roman" w:cs="Times New Roman"/>
          <w:color w:val="000000"/>
          <w:sz w:val="26"/>
          <w:szCs w:val="26"/>
        </w:rPr>
        <w:t>Finally, we note that any argument or Exception that we do not specifically delineate shall be deemed to have been duly considered and denied without further discussion.  The Commission is not required to consider</w:t>
      </w:r>
      <w:r w:rsidR="008F1EE7" w:rsidRPr="00994FED">
        <w:rPr>
          <w:rFonts w:ascii="Times New Roman" w:eastAsia="Times New Roman" w:hAnsi="Times New Roman" w:cs="Times New Roman"/>
          <w:color w:val="000000"/>
          <w:sz w:val="26"/>
          <w:szCs w:val="26"/>
        </w:rPr>
        <w:t>,</w:t>
      </w:r>
      <w:r w:rsidRPr="00994FED">
        <w:rPr>
          <w:rFonts w:ascii="Times New Roman" w:eastAsia="Times New Roman" w:hAnsi="Times New Roman" w:cs="Times New Roman"/>
          <w:color w:val="000000"/>
          <w:sz w:val="26"/>
          <w:szCs w:val="26"/>
        </w:rPr>
        <w:t xml:space="preserve"> expressly or at length</w:t>
      </w:r>
      <w:r w:rsidR="008F1EE7" w:rsidRPr="00994FED">
        <w:rPr>
          <w:rFonts w:ascii="Times New Roman" w:eastAsia="Times New Roman" w:hAnsi="Times New Roman" w:cs="Times New Roman"/>
          <w:color w:val="000000"/>
          <w:sz w:val="26"/>
          <w:szCs w:val="26"/>
        </w:rPr>
        <w:t>,</w:t>
      </w:r>
      <w:r w:rsidRPr="00994FED">
        <w:rPr>
          <w:rFonts w:ascii="Times New Roman" w:eastAsia="Times New Roman" w:hAnsi="Times New Roman" w:cs="Times New Roman"/>
          <w:color w:val="000000"/>
          <w:sz w:val="26"/>
          <w:szCs w:val="26"/>
        </w:rPr>
        <w:t xml:space="preserve"> each contention or argument raised by the parties.  </w:t>
      </w:r>
      <w:hyperlink r:id="rId8" w:history="1">
        <w:r w:rsidRPr="00994FED">
          <w:rPr>
            <w:rFonts w:ascii="Times New Roman" w:eastAsia="Times New Roman" w:hAnsi="Times New Roman" w:cs="Times New Roman"/>
            <w:i/>
            <w:iCs/>
            <w:color w:val="000000"/>
            <w:sz w:val="26"/>
            <w:szCs w:val="26"/>
          </w:rPr>
          <w:t>Consolidated Rail Corp. v. Pa. PUC</w:t>
        </w:r>
        <w:r w:rsidRPr="00994FED">
          <w:rPr>
            <w:rFonts w:ascii="Times New Roman" w:eastAsia="Times New Roman" w:hAnsi="Times New Roman" w:cs="Times New Roman"/>
            <w:color w:val="000000"/>
            <w:sz w:val="26"/>
            <w:szCs w:val="26"/>
          </w:rPr>
          <w:t>,</w:t>
        </w:r>
        <w:r w:rsidRPr="00994FED">
          <w:rPr>
            <w:rFonts w:ascii="Times New Roman" w:eastAsia="Times New Roman" w:hAnsi="Times New Roman" w:cs="Times New Roman"/>
            <w:i/>
            <w:iCs/>
            <w:color w:val="000000"/>
            <w:sz w:val="26"/>
            <w:szCs w:val="26"/>
          </w:rPr>
          <w:t xml:space="preserve"> </w:t>
        </w:r>
        <w:r w:rsidRPr="00994FED">
          <w:rPr>
            <w:rFonts w:ascii="Times New Roman" w:eastAsia="Times New Roman" w:hAnsi="Times New Roman" w:cs="Times New Roman"/>
            <w:color w:val="000000"/>
            <w:sz w:val="26"/>
            <w:szCs w:val="26"/>
          </w:rPr>
          <w:t>625 A.2d 741 (Pa. Cmwlth. 1993);</w:t>
        </w:r>
      </w:hyperlink>
      <w:r w:rsidRPr="00994FED">
        <w:rPr>
          <w:rFonts w:ascii="Times New Roman" w:eastAsia="Times New Roman" w:hAnsi="Times New Roman" w:cs="Times New Roman"/>
          <w:color w:val="000000"/>
          <w:sz w:val="26"/>
          <w:szCs w:val="26"/>
        </w:rPr>
        <w:t xml:space="preserve"> </w:t>
      </w:r>
      <w:r w:rsidRPr="00994FED">
        <w:rPr>
          <w:rFonts w:ascii="Times New Roman" w:eastAsia="Times New Roman" w:hAnsi="Times New Roman" w:cs="Times New Roman"/>
          <w:i/>
          <w:iCs/>
          <w:color w:val="000000"/>
          <w:sz w:val="26"/>
          <w:szCs w:val="26"/>
        </w:rPr>
        <w:t xml:space="preserve">see also, generally, </w:t>
      </w:r>
      <w:hyperlink r:id="rId9" w:history="1">
        <w:r w:rsidRPr="00994FED">
          <w:rPr>
            <w:rFonts w:ascii="Times New Roman" w:eastAsia="Times New Roman" w:hAnsi="Times New Roman" w:cs="Times New Roman"/>
            <w:i/>
            <w:iCs/>
            <w:color w:val="000000"/>
            <w:sz w:val="26"/>
            <w:szCs w:val="26"/>
          </w:rPr>
          <w:t>University of Pennsylvania v. Pa. PUC</w:t>
        </w:r>
        <w:r w:rsidRPr="00994FED">
          <w:rPr>
            <w:rFonts w:ascii="Times New Roman" w:eastAsia="Times New Roman" w:hAnsi="Times New Roman" w:cs="Times New Roman"/>
            <w:color w:val="000000"/>
            <w:sz w:val="26"/>
            <w:szCs w:val="26"/>
          </w:rPr>
          <w:t>, 485 A.2d 1217 (Pa. Cmwlth. 1984).</w:t>
        </w:r>
      </w:hyperlink>
    </w:p>
    <w:p w14:paraId="5458435A" w14:textId="77777777" w:rsidR="00807EE5" w:rsidRPr="000660E4" w:rsidRDefault="00807EE5" w:rsidP="00231EC0">
      <w:pPr>
        <w:spacing w:after="0" w:line="360" w:lineRule="auto"/>
        <w:ind w:firstLine="1440"/>
        <w:contextualSpacing/>
        <w:rPr>
          <w:rFonts w:ascii="Times New Roman" w:eastAsia="Times New Roman" w:hAnsi="Times New Roman" w:cs="Times New Roman"/>
          <w:sz w:val="26"/>
          <w:szCs w:val="26"/>
        </w:rPr>
      </w:pPr>
    </w:p>
    <w:p w14:paraId="7BC4013D" w14:textId="23BA859D" w:rsidR="00034DDB" w:rsidRDefault="00464655" w:rsidP="00E453CA">
      <w:pPr>
        <w:keepNext/>
        <w:keepLines/>
        <w:spacing w:after="0" w:line="360" w:lineRule="auto"/>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r>
        <w:rPr>
          <w:rFonts w:ascii="Times New Roman" w:eastAsia="Times New Roman" w:hAnsi="Times New Roman" w:cs="Times New Roman"/>
          <w:b/>
          <w:sz w:val="26"/>
          <w:szCs w:val="26"/>
        </w:rPr>
        <w:tab/>
      </w:r>
      <w:r w:rsidR="00034DDB">
        <w:rPr>
          <w:rFonts w:ascii="Times New Roman" w:eastAsia="Times New Roman" w:hAnsi="Times New Roman" w:cs="Times New Roman"/>
          <w:b/>
          <w:sz w:val="26"/>
          <w:szCs w:val="26"/>
        </w:rPr>
        <w:t>Positions of the Parties</w:t>
      </w:r>
    </w:p>
    <w:p w14:paraId="39572CD4" w14:textId="605F9888" w:rsidR="00034DDB" w:rsidRDefault="00034DDB" w:rsidP="00E453CA">
      <w:pPr>
        <w:keepNext/>
        <w:keepLines/>
        <w:spacing w:after="0" w:line="360" w:lineRule="auto"/>
        <w:contextualSpacing/>
        <w:rPr>
          <w:rFonts w:ascii="Times New Roman" w:eastAsia="Times New Roman" w:hAnsi="Times New Roman" w:cs="Times New Roman"/>
          <w:b/>
          <w:sz w:val="26"/>
          <w:szCs w:val="26"/>
        </w:rPr>
      </w:pPr>
    </w:p>
    <w:p w14:paraId="4E6B793D" w14:textId="22C50185" w:rsidR="00034DDB" w:rsidRDefault="00464655" w:rsidP="00892963">
      <w:pPr>
        <w:keepNext/>
        <w:keepLines/>
        <w:spacing w:after="0" w:line="360" w:lineRule="auto"/>
        <w:ind w:left="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Pr>
          <w:rFonts w:ascii="Times New Roman" w:eastAsia="Times New Roman" w:hAnsi="Times New Roman" w:cs="Times New Roman"/>
          <w:b/>
          <w:sz w:val="26"/>
          <w:szCs w:val="26"/>
        </w:rPr>
        <w:tab/>
      </w:r>
      <w:r w:rsidR="00DE2A4E">
        <w:rPr>
          <w:rFonts w:ascii="Times New Roman" w:eastAsia="Times New Roman" w:hAnsi="Times New Roman" w:cs="Times New Roman"/>
          <w:b/>
          <w:sz w:val="26"/>
          <w:szCs w:val="26"/>
        </w:rPr>
        <w:t>OCA</w:t>
      </w:r>
    </w:p>
    <w:p w14:paraId="5FD0C919" w14:textId="67BFA20A" w:rsidR="00DE2A4E" w:rsidRDefault="00DE2A4E" w:rsidP="00687AB5">
      <w:pPr>
        <w:keepNext/>
        <w:keepLines/>
        <w:spacing w:after="0" w:line="360" w:lineRule="auto"/>
        <w:rPr>
          <w:rFonts w:ascii="Times New Roman" w:eastAsia="Times New Roman" w:hAnsi="Times New Roman" w:cs="Times New Roman"/>
          <w:b/>
          <w:sz w:val="26"/>
          <w:szCs w:val="26"/>
        </w:rPr>
      </w:pPr>
    </w:p>
    <w:p w14:paraId="137F64F8" w14:textId="51EFAE11" w:rsidR="00AD008F" w:rsidRDefault="00A45F45" w:rsidP="00687AB5">
      <w:pPr>
        <w:autoSpaceDE w:val="0"/>
        <w:autoSpaceDN w:val="0"/>
        <w:adjustRightInd w:val="0"/>
        <w:spacing w:after="0" w:line="360" w:lineRule="auto"/>
        <w:ind w:firstLine="1440"/>
        <w:rPr>
          <w:rFonts w:ascii="Times New Roman" w:hAnsi="Times New Roman" w:cs="Times New Roman"/>
          <w:color w:val="000000"/>
          <w:sz w:val="26"/>
          <w:szCs w:val="26"/>
        </w:rPr>
      </w:pPr>
      <w:r>
        <w:rPr>
          <w:rFonts w:ascii="Times New Roman" w:hAnsi="Times New Roman" w:cs="Times New Roman"/>
          <w:color w:val="000000"/>
          <w:sz w:val="26"/>
          <w:szCs w:val="26"/>
        </w:rPr>
        <w:t>T</w:t>
      </w:r>
      <w:r w:rsidR="009F56C3">
        <w:rPr>
          <w:rFonts w:ascii="Times New Roman" w:hAnsi="Times New Roman" w:cs="Times New Roman"/>
          <w:color w:val="000000"/>
          <w:sz w:val="26"/>
          <w:szCs w:val="26"/>
        </w:rPr>
        <w:t xml:space="preserve">he </w:t>
      </w:r>
      <w:r w:rsidR="00320E2B" w:rsidRPr="00320E2B">
        <w:rPr>
          <w:rFonts w:ascii="Times New Roman" w:hAnsi="Times New Roman" w:cs="Times New Roman"/>
          <w:color w:val="000000"/>
          <w:sz w:val="26"/>
          <w:szCs w:val="26"/>
        </w:rPr>
        <w:t>OCA argue</w:t>
      </w:r>
      <w:r w:rsidR="004F2531">
        <w:rPr>
          <w:rFonts w:ascii="Times New Roman" w:hAnsi="Times New Roman" w:cs="Times New Roman"/>
          <w:color w:val="000000"/>
          <w:sz w:val="26"/>
          <w:szCs w:val="26"/>
        </w:rPr>
        <w:t>d</w:t>
      </w:r>
      <w:r w:rsidR="00320E2B" w:rsidRPr="00320E2B">
        <w:rPr>
          <w:rFonts w:ascii="Times New Roman" w:hAnsi="Times New Roman" w:cs="Times New Roman"/>
          <w:color w:val="000000"/>
          <w:sz w:val="26"/>
          <w:szCs w:val="26"/>
        </w:rPr>
        <w:t xml:space="preserve"> that </w:t>
      </w:r>
      <w:r>
        <w:rPr>
          <w:rFonts w:ascii="Times New Roman" w:hAnsi="Times New Roman" w:cs="Times New Roman"/>
          <w:color w:val="000000"/>
          <w:sz w:val="26"/>
          <w:szCs w:val="26"/>
        </w:rPr>
        <w:t>d</w:t>
      </w:r>
      <w:r w:rsidRPr="00320E2B">
        <w:rPr>
          <w:rFonts w:ascii="Times New Roman" w:hAnsi="Times New Roman" w:cs="Times New Roman"/>
          <w:color w:val="000000"/>
          <w:sz w:val="26"/>
          <w:szCs w:val="26"/>
        </w:rPr>
        <w:t>uring the period from June 2007 through December</w:t>
      </w:r>
      <w:r w:rsidR="000D1E80">
        <w:rPr>
          <w:rFonts w:ascii="Times New Roman" w:hAnsi="Times New Roman" w:cs="Times New Roman"/>
          <w:color w:val="000000"/>
          <w:sz w:val="26"/>
          <w:szCs w:val="26"/>
        </w:rPr>
        <w:t> </w:t>
      </w:r>
      <w:r w:rsidRPr="00320E2B">
        <w:rPr>
          <w:rFonts w:ascii="Times New Roman" w:hAnsi="Times New Roman" w:cs="Times New Roman"/>
          <w:color w:val="000000"/>
          <w:sz w:val="26"/>
          <w:szCs w:val="26"/>
        </w:rPr>
        <w:t>31, 2010</w:t>
      </w:r>
      <w:r w:rsidR="000A230E">
        <w:rPr>
          <w:rFonts w:ascii="Times New Roman" w:hAnsi="Times New Roman" w:cs="Times New Roman"/>
          <w:color w:val="000000"/>
          <w:sz w:val="26"/>
          <w:szCs w:val="26"/>
        </w:rPr>
        <w:t xml:space="preserve">, </w:t>
      </w:r>
      <w:r w:rsidR="00320E2B" w:rsidRPr="00320E2B">
        <w:rPr>
          <w:rFonts w:ascii="Times New Roman" w:hAnsi="Times New Roman" w:cs="Times New Roman"/>
          <w:color w:val="000000"/>
          <w:sz w:val="26"/>
          <w:szCs w:val="26"/>
        </w:rPr>
        <w:t xml:space="preserve">PECO was charging ratepayers for transmission service through a retail transmission base rate </w:t>
      </w:r>
      <w:r w:rsidR="00D5736F">
        <w:rPr>
          <w:rFonts w:ascii="Times New Roman" w:hAnsi="Times New Roman" w:cs="Times New Roman"/>
          <w:color w:val="000000"/>
          <w:sz w:val="26"/>
          <w:szCs w:val="26"/>
        </w:rPr>
        <w:t>pursuant to</w:t>
      </w:r>
      <w:r w:rsidR="00320E2B" w:rsidRPr="00320E2B">
        <w:rPr>
          <w:rFonts w:ascii="Times New Roman" w:hAnsi="Times New Roman" w:cs="Times New Roman"/>
          <w:color w:val="000000"/>
          <w:sz w:val="26"/>
          <w:szCs w:val="26"/>
        </w:rPr>
        <w:t xml:space="preserve"> its stated FERC transmission rate. </w:t>
      </w:r>
      <w:r w:rsidR="009F56C3">
        <w:rPr>
          <w:rFonts w:ascii="Times New Roman" w:hAnsi="Times New Roman" w:cs="Times New Roman"/>
          <w:color w:val="000000"/>
          <w:sz w:val="26"/>
          <w:szCs w:val="26"/>
        </w:rPr>
        <w:t xml:space="preserve"> </w:t>
      </w:r>
      <w:r w:rsidR="00C21E54">
        <w:rPr>
          <w:rFonts w:ascii="Times New Roman" w:hAnsi="Times New Roman" w:cs="Times New Roman"/>
          <w:color w:val="000000"/>
          <w:sz w:val="26"/>
          <w:szCs w:val="26"/>
        </w:rPr>
        <w:t xml:space="preserve">Citing the appeals from the </w:t>
      </w:r>
      <w:r w:rsidR="00EF45E0">
        <w:rPr>
          <w:rFonts w:ascii="Times New Roman" w:hAnsi="Times New Roman" w:cs="Times New Roman"/>
          <w:color w:val="000000"/>
          <w:sz w:val="26"/>
          <w:szCs w:val="26"/>
        </w:rPr>
        <w:t>U.S. Circuit Court of Appeals for the Seventh Circuit</w:t>
      </w:r>
      <w:r w:rsidR="0089444A">
        <w:rPr>
          <w:rFonts w:ascii="Times New Roman" w:hAnsi="Times New Roman" w:cs="Times New Roman"/>
          <w:color w:val="000000"/>
          <w:sz w:val="26"/>
          <w:szCs w:val="26"/>
        </w:rPr>
        <w:t>, the OCA noted that the</w:t>
      </w:r>
      <w:r w:rsidR="00BE02C0">
        <w:rPr>
          <w:rFonts w:ascii="Times New Roman" w:hAnsi="Times New Roman" w:cs="Times New Roman"/>
          <w:color w:val="000000"/>
          <w:sz w:val="26"/>
          <w:szCs w:val="26"/>
        </w:rPr>
        <w:t xml:space="preserve"> </w:t>
      </w:r>
      <w:r w:rsidR="0089444A">
        <w:rPr>
          <w:rFonts w:ascii="Times New Roman" w:hAnsi="Times New Roman" w:cs="Times New Roman"/>
          <w:color w:val="000000"/>
          <w:sz w:val="26"/>
          <w:szCs w:val="26"/>
        </w:rPr>
        <w:t xml:space="preserve">Courts </w:t>
      </w:r>
      <w:r w:rsidR="00320E2B" w:rsidRPr="00320E2B">
        <w:rPr>
          <w:rFonts w:ascii="Times New Roman" w:hAnsi="Times New Roman" w:cs="Times New Roman"/>
          <w:color w:val="000000"/>
          <w:sz w:val="26"/>
          <w:szCs w:val="26"/>
        </w:rPr>
        <w:t xml:space="preserve">found the methodology to establish the stated FERC rate </w:t>
      </w:r>
      <w:r w:rsidR="00BE02C0">
        <w:rPr>
          <w:rFonts w:ascii="Times New Roman" w:hAnsi="Times New Roman" w:cs="Times New Roman"/>
          <w:color w:val="000000"/>
          <w:sz w:val="26"/>
          <w:szCs w:val="26"/>
        </w:rPr>
        <w:t>to be</w:t>
      </w:r>
      <w:r w:rsidR="00AD008F">
        <w:rPr>
          <w:rFonts w:ascii="Times New Roman" w:hAnsi="Times New Roman" w:cs="Times New Roman"/>
          <w:color w:val="000000"/>
          <w:sz w:val="26"/>
          <w:szCs w:val="26"/>
        </w:rPr>
        <w:t xml:space="preserve"> </w:t>
      </w:r>
      <w:r w:rsidR="00320E2B" w:rsidRPr="00320E2B">
        <w:rPr>
          <w:rFonts w:ascii="Times New Roman" w:hAnsi="Times New Roman" w:cs="Times New Roman"/>
          <w:color w:val="000000"/>
          <w:sz w:val="26"/>
          <w:szCs w:val="26"/>
        </w:rPr>
        <w:t>unreasonable</w:t>
      </w:r>
      <w:r w:rsidR="0089444A">
        <w:rPr>
          <w:rFonts w:ascii="Times New Roman" w:hAnsi="Times New Roman" w:cs="Times New Roman"/>
          <w:color w:val="000000"/>
          <w:sz w:val="26"/>
          <w:szCs w:val="26"/>
        </w:rPr>
        <w:t>.</w:t>
      </w:r>
      <w:r w:rsidR="00320E2B" w:rsidRPr="00320E2B">
        <w:rPr>
          <w:rFonts w:ascii="Times New Roman" w:hAnsi="Times New Roman" w:cs="Times New Roman"/>
          <w:color w:val="000000"/>
          <w:sz w:val="26"/>
          <w:szCs w:val="26"/>
        </w:rPr>
        <w:t xml:space="preserve"> </w:t>
      </w:r>
      <w:r w:rsidR="00BE02C0">
        <w:rPr>
          <w:rFonts w:ascii="Times New Roman" w:hAnsi="Times New Roman" w:cs="Times New Roman"/>
          <w:color w:val="000000"/>
          <w:sz w:val="26"/>
          <w:szCs w:val="26"/>
        </w:rPr>
        <w:t xml:space="preserve"> T</w:t>
      </w:r>
      <w:r w:rsidR="007E00EB">
        <w:rPr>
          <w:rFonts w:ascii="Times New Roman" w:hAnsi="Times New Roman" w:cs="Times New Roman"/>
          <w:color w:val="000000"/>
          <w:sz w:val="26"/>
          <w:szCs w:val="26"/>
        </w:rPr>
        <w:t>he OCA submit</w:t>
      </w:r>
      <w:r w:rsidR="004F2531">
        <w:rPr>
          <w:rFonts w:ascii="Times New Roman" w:hAnsi="Times New Roman" w:cs="Times New Roman"/>
          <w:color w:val="000000"/>
          <w:sz w:val="26"/>
          <w:szCs w:val="26"/>
        </w:rPr>
        <w:t>ted</w:t>
      </w:r>
      <w:r w:rsidR="007E00EB">
        <w:rPr>
          <w:rFonts w:ascii="Times New Roman" w:hAnsi="Times New Roman" w:cs="Times New Roman"/>
          <w:color w:val="000000"/>
          <w:sz w:val="26"/>
          <w:szCs w:val="26"/>
        </w:rPr>
        <w:t xml:space="preserve"> that </w:t>
      </w:r>
      <w:r w:rsidR="00320E2B" w:rsidRPr="00320E2B">
        <w:rPr>
          <w:rFonts w:ascii="Times New Roman" w:hAnsi="Times New Roman" w:cs="Times New Roman"/>
          <w:color w:val="000000"/>
          <w:sz w:val="26"/>
          <w:szCs w:val="26"/>
        </w:rPr>
        <w:t xml:space="preserve">PECO’s stated transmission rate </w:t>
      </w:r>
      <w:r w:rsidR="007E00EB">
        <w:rPr>
          <w:rFonts w:ascii="Times New Roman" w:hAnsi="Times New Roman" w:cs="Times New Roman"/>
          <w:color w:val="000000"/>
          <w:sz w:val="26"/>
          <w:szCs w:val="26"/>
        </w:rPr>
        <w:t xml:space="preserve">was </w:t>
      </w:r>
      <w:r w:rsidR="00320E2B" w:rsidRPr="00320E2B">
        <w:rPr>
          <w:rFonts w:ascii="Times New Roman" w:hAnsi="Times New Roman" w:cs="Times New Roman"/>
          <w:color w:val="000000"/>
          <w:sz w:val="26"/>
          <w:szCs w:val="26"/>
        </w:rPr>
        <w:t xml:space="preserve">set at an excessive level. </w:t>
      </w:r>
      <w:r w:rsidR="007E00EB">
        <w:rPr>
          <w:rFonts w:ascii="Times New Roman" w:hAnsi="Times New Roman" w:cs="Times New Roman"/>
          <w:color w:val="000000"/>
          <w:sz w:val="26"/>
          <w:szCs w:val="26"/>
        </w:rPr>
        <w:t xml:space="preserve"> </w:t>
      </w:r>
      <w:r w:rsidR="00320E2B" w:rsidRPr="00320E2B">
        <w:rPr>
          <w:rFonts w:ascii="Times New Roman" w:hAnsi="Times New Roman" w:cs="Times New Roman"/>
          <w:color w:val="000000"/>
          <w:sz w:val="26"/>
          <w:szCs w:val="26"/>
        </w:rPr>
        <w:t xml:space="preserve">As such, </w:t>
      </w:r>
      <w:r w:rsidR="00AD008F">
        <w:rPr>
          <w:rFonts w:ascii="Times New Roman" w:hAnsi="Times New Roman" w:cs="Times New Roman"/>
          <w:color w:val="000000"/>
          <w:sz w:val="26"/>
          <w:szCs w:val="26"/>
        </w:rPr>
        <w:t xml:space="preserve">the </w:t>
      </w:r>
      <w:r w:rsidR="00320E2B" w:rsidRPr="00320E2B">
        <w:rPr>
          <w:rFonts w:ascii="Times New Roman" w:hAnsi="Times New Roman" w:cs="Times New Roman"/>
          <w:color w:val="000000"/>
          <w:sz w:val="26"/>
          <w:szCs w:val="26"/>
        </w:rPr>
        <w:t xml:space="preserve">OCA </w:t>
      </w:r>
      <w:r w:rsidR="00AD008F">
        <w:rPr>
          <w:rFonts w:ascii="Times New Roman" w:hAnsi="Times New Roman" w:cs="Times New Roman"/>
          <w:color w:val="000000"/>
          <w:sz w:val="26"/>
          <w:szCs w:val="26"/>
        </w:rPr>
        <w:t>contend</w:t>
      </w:r>
      <w:r w:rsidR="004F2531">
        <w:rPr>
          <w:rFonts w:ascii="Times New Roman" w:hAnsi="Times New Roman" w:cs="Times New Roman"/>
          <w:color w:val="000000"/>
          <w:sz w:val="26"/>
          <w:szCs w:val="26"/>
        </w:rPr>
        <w:t>ed</w:t>
      </w:r>
      <w:r w:rsidR="00320E2B" w:rsidRPr="00320E2B">
        <w:rPr>
          <w:rFonts w:ascii="Times New Roman" w:hAnsi="Times New Roman" w:cs="Times New Roman"/>
          <w:color w:val="000000"/>
          <w:sz w:val="26"/>
          <w:szCs w:val="26"/>
        </w:rPr>
        <w:t xml:space="preserve"> that FERC ordered RTEP credits to be </w:t>
      </w:r>
      <w:r w:rsidR="00320E2B" w:rsidRPr="00320E2B">
        <w:rPr>
          <w:rFonts w:ascii="Times New Roman" w:hAnsi="Times New Roman" w:cs="Times New Roman"/>
          <w:color w:val="000000"/>
          <w:sz w:val="26"/>
          <w:szCs w:val="26"/>
        </w:rPr>
        <w:lastRenderedPageBreak/>
        <w:t xml:space="preserve">refunded to PECO and other Electric Distribution Companies to provide a remedy for the over-collection of transmission expense under an unreasonable allocation method. </w:t>
      </w:r>
      <w:r w:rsidR="00AD008F">
        <w:rPr>
          <w:rFonts w:ascii="Times New Roman" w:hAnsi="Times New Roman" w:cs="Times New Roman"/>
          <w:color w:val="000000"/>
          <w:sz w:val="26"/>
          <w:szCs w:val="26"/>
        </w:rPr>
        <w:t xml:space="preserve"> </w:t>
      </w:r>
      <w:r w:rsidR="00320E2B" w:rsidRPr="00320E2B">
        <w:rPr>
          <w:rFonts w:ascii="Times New Roman" w:hAnsi="Times New Roman" w:cs="Times New Roman"/>
          <w:color w:val="000000"/>
          <w:sz w:val="26"/>
          <w:szCs w:val="26"/>
        </w:rPr>
        <w:t>OCA M</w:t>
      </w:r>
      <w:r w:rsidR="00AD008F">
        <w:rPr>
          <w:rFonts w:ascii="Times New Roman" w:hAnsi="Times New Roman" w:cs="Times New Roman"/>
          <w:color w:val="000000"/>
          <w:sz w:val="26"/>
          <w:szCs w:val="26"/>
        </w:rPr>
        <w:t>.</w:t>
      </w:r>
      <w:r w:rsidR="00320E2B" w:rsidRPr="00320E2B">
        <w:rPr>
          <w:rFonts w:ascii="Times New Roman" w:hAnsi="Times New Roman" w:cs="Times New Roman"/>
          <w:color w:val="000000"/>
          <w:sz w:val="26"/>
          <w:szCs w:val="26"/>
        </w:rPr>
        <w:t>B</w:t>
      </w:r>
      <w:r w:rsidR="00AD008F">
        <w:rPr>
          <w:rFonts w:ascii="Times New Roman" w:hAnsi="Times New Roman" w:cs="Times New Roman"/>
          <w:color w:val="000000"/>
          <w:sz w:val="26"/>
          <w:szCs w:val="26"/>
        </w:rPr>
        <w:t>.</w:t>
      </w:r>
      <w:r w:rsidR="00320E2B" w:rsidRPr="00320E2B">
        <w:rPr>
          <w:rFonts w:ascii="Times New Roman" w:hAnsi="Times New Roman" w:cs="Times New Roman"/>
          <w:color w:val="000000"/>
          <w:sz w:val="26"/>
          <w:szCs w:val="26"/>
        </w:rPr>
        <w:t xml:space="preserve"> at 10</w:t>
      </w:r>
      <w:r w:rsidR="00BE02C0">
        <w:rPr>
          <w:rFonts w:ascii="Times New Roman" w:hAnsi="Times New Roman" w:cs="Times New Roman"/>
          <w:color w:val="000000"/>
          <w:sz w:val="26"/>
          <w:szCs w:val="26"/>
        </w:rPr>
        <w:t xml:space="preserve">; OCA R.B. at </w:t>
      </w:r>
      <w:r w:rsidR="00E1680A">
        <w:rPr>
          <w:rFonts w:ascii="Times New Roman" w:hAnsi="Times New Roman" w:cs="Times New Roman"/>
          <w:color w:val="000000"/>
          <w:sz w:val="26"/>
          <w:szCs w:val="26"/>
        </w:rPr>
        <w:t>1</w:t>
      </w:r>
      <w:r w:rsidR="00223A30">
        <w:rPr>
          <w:rFonts w:ascii="Times New Roman" w:hAnsi="Times New Roman" w:cs="Times New Roman"/>
          <w:color w:val="000000"/>
          <w:sz w:val="26"/>
          <w:szCs w:val="26"/>
        </w:rPr>
        <w:t xml:space="preserve"> (citing </w:t>
      </w:r>
      <w:r w:rsidR="00B62E8E" w:rsidRPr="0082328B">
        <w:rPr>
          <w:rFonts w:ascii="Times New Roman" w:hAnsi="Times New Roman" w:cs="Times New Roman"/>
          <w:i/>
          <w:iCs/>
          <w:sz w:val="26"/>
          <w:szCs w:val="26"/>
        </w:rPr>
        <w:t>7</w:t>
      </w:r>
      <w:r w:rsidR="00B62E8E" w:rsidRPr="0082328B">
        <w:rPr>
          <w:rFonts w:ascii="Times New Roman" w:hAnsi="Times New Roman" w:cs="Times New Roman"/>
          <w:i/>
          <w:iCs/>
          <w:sz w:val="26"/>
          <w:szCs w:val="26"/>
          <w:vertAlign w:val="superscript"/>
        </w:rPr>
        <w:t>th</w:t>
      </w:r>
      <w:r w:rsidR="00B62E8E" w:rsidRPr="0082328B">
        <w:rPr>
          <w:rFonts w:ascii="Times New Roman" w:hAnsi="Times New Roman" w:cs="Times New Roman"/>
          <w:i/>
          <w:iCs/>
          <w:sz w:val="26"/>
          <w:szCs w:val="26"/>
        </w:rPr>
        <w:t xml:space="preserve"> Circuit 2009 Remand</w:t>
      </w:r>
      <w:r w:rsidR="00B62E8E">
        <w:rPr>
          <w:rFonts w:ascii="Times New Roman" w:hAnsi="Times New Roman" w:cs="Times New Roman"/>
          <w:i/>
          <w:iCs/>
          <w:sz w:val="26"/>
          <w:szCs w:val="26"/>
        </w:rPr>
        <w:t xml:space="preserve"> </w:t>
      </w:r>
      <w:r w:rsidR="00342435">
        <w:rPr>
          <w:rFonts w:ascii="Times New Roman" w:hAnsi="Times New Roman" w:cs="Times New Roman"/>
          <w:sz w:val="26"/>
          <w:szCs w:val="26"/>
        </w:rPr>
        <w:t xml:space="preserve">and </w:t>
      </w:r>
      <w:r w:rsidR="00342435" w:rsidRPr="002637B3">
        <w:rPr>
          <w:rFonts w:ascii="Times New Roman" w:hAnsi="Times New Roman" w:cs="Times New Roman"/>
          <w:i/>
          <w:iCs/>
          <w:sz w:val="26"/>
          <w:szCs w:val="26"/>
        </w:rPr>
        <w:t>7</w:t>
      </w:r>
      <w:r w:rsidR="00342435" w:rsidRPr="002637B3">
        <w:rPr>
          <w:rFonts w:ascii="Times New Roman" w:hAnsi="Times New Roman" w:cs="Times New Roman"/>
          <w:i/>
          <w:iCs/>
          <w:sz w:val="26"/>
          <w:szCs w:val="26"/>
          <w:vertAlign w:val="superscript"/>
        </w:rPr>
        <w:t>th</w:t>
      </w:r>
      <w:r w:rsidR="00342435" w:rsidRPr="002637B3">
        <w:rPr>
          <w:rFonts w:ascii="Times New Roman" w:hAnsi="Times New Roman" w:cs="Times New Roman"/>
          <w:i/>
          <w:iCs/>
          <w:sz w:val="26"/>
          <w:szCs w:val="26"/>
        </w:rPr>
        <w:t xml:space="preserve"> Circuit 2014 Remand</w:t>
      </w:r>
      <w:r w:rsidR="00342435">
        <w:rPr>
          <w:rFonts w:ascii="Times New Roman" w:hAnsi="Times New Roman" w:cs="Times New Roman"/>
          <w:sz w:val="26"/>
          <w:szCs w:val="26"/>
        </w:rPr>
        <w:t>)</w:t>
      </w:r>
      <w:r w:rsidR="00320E2B" w:rsidRPr="00320E2B">
        <w:rPr>
          <w:rFonts w:ascii="Times New Roman" w:hAnsi="Times New Roman" w:cs="Times New Roman"/>
          <w:color w:val="000000"/>
          <w:sz w:val="26"/>
          <w:szCs w:val="26"/>
        </w:rPr>
        <w:t>.</w:t>
      </w:r>
    </w:p>
    <w:p w14:paraId="2502DC11" w14:textId="71EC5B81" w:rsidR="00320E2B" w:rsidRPr="00320E2B" w:rsidRDefault="00320E2B" w:rsidP="00687AB5">
      <w:pPr>
        <w:autoSpaceDE w:val="0"/>
        <w:autoSpaceDN w:val="0"/>
        <w:adjustRightInd w:val="0"/>
        <w:spacing w:after="0" w:line="360" w:lineRule="auto"/>
        <w:rPr>
          <w:rFonts w:ascii="Times New Roman" w:hAnsi="Times New Roman" w:cs="Times New Roman"/>
          <w:color w:val="000000"/>
          <w:sz w:val="26"/>
          <w:szCs w:val="26"/>
        </w:rPr>
      </w:pPr>
      <w:r w:rsidRPr="00320E2B">
        <w:rPr>
          <w:rFonts w:ascii="Times New Roman" w:hAnsi="Times New Roman" w:cs="Times New Roman"/>
          <w:color w:val="000000"/>
          <w:sz w:val="26"/>
          <w:szCs w:val="26"/>
        </w:rPr>
        <w:t xml:space="preserve"> </w:t>
      </w:r>
    </w:p>
    <w:p w14:paraId="7C121A9E" w14:textId="79EE82A7" w:rsidR="00E8470E" w:rsidRDefault="00970B31" w:rsidP="00687AB5">
      <w:pPr>
        <w:pStyle w:val="Default"/>
        <w:spacing w:line="360" w:lineRule="auto"/>
        <w:ind w:firstLine="1440"/>
        <w:rPr>
          <w:sz w:val="26"/>
          <w:szCs w:val="26"/>
        </w:rPr>
      </w:pPr>
      <w:r>
        <w:rPr>
          <w:sz w:val="26"/>
          <w:szCs w:val="26"/>
        </w:rPr>
        <w:t xml:space="preserve">According to the </w:t>
      </w:r>
      <w:r w:rsidR="00320E2B" w:rsidRPr="00DB0C77">
        <w:rPr>
          <w:sz w:val="26"/>
          <w:szCs w:val="26"/>
        </w:rPr>
        <w:t>OCA</w:t>
      </w:r>
      <w:r>
        <w:rPr>
          <w:sz w:val="26"/>
          <w:szCs w:val="26"/>
        </w:rPr>
        <w:t>,</w:t>
      </w:r>
      <w:r w:rsidR="00320E2B" w:rsidRPr="00DB0C77">
        <w:rPr>
          <w:sz w:val="26"/>
          <w:szCs w:val="26"/>
        </w:rPr>
        <w:t xml:space="preserve"> PECO seeks to retain some of this refund, even though the Court</w:t>
      </w:r>
      <w:r w:rsidR="00FE37AF">
        <w:rPr>
          <w:sz w:val="26"/>
          <w:szCs w:val="26"/>
        </w:rPr>
        <w:t>s</w:t>
      </w:r>
      <w:r w:rsidR="00320E2B" w:rsidRPr="00DB0C77">
        <w:rPr>
          <w:sz w:val="26"/>
          <w:szCs w:val="26"/>
        </w:rPr>
        <w:t xml:space="preserve"> determined that the methodology underlying PECO’s transmission rate that was charged to Pennsylvania retail customers was unreasonable. </w:t>
      </w:r>
      <w:r w:rsidR="00483FEB">
        <w:rPr>
          <w:sz w:val="26"/>
          <w:szCs w:val="26"/>
        </w:rPr>
        <w:t xml:space="preserve"> The </w:t>
      </w:r>
      <w:r w:rsidR="00320E2B" w:rsidRPr="00DB0C77">
        <w:rPr>
          <w:sz w:val="26"/>
          <w:szCs w:val="26"/>
        </w:rPr>
        <w:t>OCA contend</w:t>
      </w:r>
      <w:r w:rsidR="004F2531">
        <w:rPr>
          <w:sz w:val="26"/>
          <w:szCs w:val="26"/>
        </w:rPr>
        <w:t>ed</w:t>
      </w:r>
      <w:r w:rsidR="00320E2B" w:rsidRPr="00DB0C77">
        <w:rPr>
          <w:sz w:val="26"/>
          <w:szCs w:val="26"/>
        </w:rPr>
        <w:t xml:space="preserve"> that Pennsylvania retail ratepayers paid PECO’s transmission rate, and there is no evidence to the contrary indicating that </w:t>
      </w:r>
      <w:r w:rsidR="00483FEB">
        <w:rPr>
          <w:sz w:val="26"/>
          <w:szCs w:val="26"/>
        </w:rPr>
        <w:t>the Company</w:t>
      </w:r>
      <w:r w:rsidR="00320E2B" w:rsidRPr="00DB0C77">
        <w:rPr>
          <w:sz w:val="26"/>
          <w:szCs w:val="26"/>
        </w:rPr>
        <w:t xml:space="preserve">’s transmission revenues were insufficient. </w:t>
      </w:r>
      <w:r w:rsidR="00483FEB">
        <w:rPr>
          <w:sz w:val="26"/>
          <w:szCs w:val="26"/>
        </w:rPr>
        <w:t xml:space="preserve"> The </w:t>
      </w:r>
      <w:r w:rsidR="00320E2B" w:rsidRPr="00DB0C77">
        <w:rPr>
          <w:sz w:val="26"/>
          <w:szCs w:val="26"/>
        </w:rPr>
        <w:t xml:space="preserve">OCA </w:t>
      </w:r>
      <w:r w:rsidR="00483FEB">
        <w:rPr>
          <w:sz w:val="26"/>
          <w:szCs w:val="26"/>
        </w:rPr>
        <w:t>also argue</w:t>
      </w:r>
      <w:r w:rsidR="004F2531">
        <w:rPr>
          <w:sz w:val="26"/>
          <w:szCs w:val="26"/>
        </w:rPr>
        <w:t>d</w:t>
      </w:r>
      <w:r w:rsidR="00483FEB">
        <w:rPr>
          <w:sz w:val="26"/>
          <w:szCs w:val="26"/>
        </w:rPr>
        <w:t xml:space="preserve"> </w:t>
      </w:r>
      <w:r w:rsidR="00320E2B" w:rsidRPr="00DB0C77">
        <w:rPr>
          <w:sz w:val="26"/>
          <w:szCs w:val="26"/>
        </w:rPr>
        <w:t xml:space="preserve">that the evidence of record shows that during the period in question PECO’s reported transmission revenues were well in excess of its transmission revenue requirement, sufficiently high enough to recover the PECO </w:t>
      </w:r>
      <w:r w:rsidR="00AA45AD">
        <w:rPr>
          <w:sz w:val="26"/>
          <w:szCs w:val="26"/>
        </w:rPr>
        <w:t>Z</w:t>
      </w:r>
      <w:r w:rsidR="00320E2B" w:rsidRPr="00DB0C77">
        <w:rPr>
          <w:sz w:val="26"/>
          <w:szCs w:val="26"/>
        </w:rPr>
        <w:t xml:space="preserve">one RTEP charges from the June 2007 through 2010 period as estimated by PJM in the </w:t>
      </w:r>
      <w:r w:rsidR="00205B64" w:rsidRPr="003F4A89">
        <w:rPr>
          <w:sz w:val="26"/>
          <w:szCs w:val="26"/>
        </w:rPr>
        <w:t>FERC Settlement Agreement</w:t>
      </w:r>
      <w:r w:rsidR="00320E2B" w:rsidRPr="00DB0C77">
        <w:rPr>
          <w:sz w:val="26"/>
          <w:szCs w:val="26"/>
        </w:rPr>
        <w:t xml:space="preserve">. </w:t>
      </w:r>
      <w:r w:rsidR="00205B64">
        <w:rPr>
          <w:sz w:val="26"/>
          <w:szCs w:val="26"/>
        </w:rPr>
        <w:t xml:space="preserve"> </w:t>
      </w:r>
      <w:r w:rsidR="004F2531">
        <w:rPr>
          <w:sz w:val="26"/>
          <w:szCs w:val="26"/>
        </w:rPr>
        <w:t xml:space="preserve">The </w:t>
      </w:r>
      <w:r w:rsidR="00320E2B" w:rsidRPr="00DB0C77">
        <w:rPr>
          <w:sz w:val="26"/>
          <w:szCs w:val="26"/>
        </w:rPr>
        <w:t xml:space="preserve">OCA </w:t>
      </w:r>
      <w:r w:rsidR="004F2531">
        <w:rPr>
          <w:sz w:val="26"/>
          <w:szCs w:val="26"/>
        </w:rPr>
        <w:t>proffer</w:t>
      </w:r>
      <w:r w:rsidR="00E8470E">
        <w:rPr>
          <w:sz w:val="26"/>
          <w:szCs w:val="26"/>
        </w:rPr>
        <w:t>ed</w:t>
      </w:r>
      <w:r w:rsidR="004F2531">
        <w:rPr>
          <w:sz w:val="26"/>
          <w:szCs w:val="26"/>
        </w:rPr>
        <w:t xml:space="preserve"> t</w:t>
      </w:r>
      <w:r w:rsidR="00320E2B" w:rsidRPr="00DB0C77">
        <w:rPr>
          <w:sz w:val="26"/>
          <w:szCs w:val="26"/>
        </w:rPr>
        <w:t>hat PECO has failed to show that it did not adequately recover</w:t>
      </w:r>
      <w:r w:rsidR="007C4FDE" w:rsidRPr="00DB0C77">
        <w:rPr>
          <w:sz w:val="26"/>
          <w:szCs w:val="26"/>
        </w:rPr>
        <w:t xml:space="preserve"> its RTEP charges during the period in question and has no basis to retain credits that should properly be returned to Pennsylvania ratepayers. </w:t>
      </w:r>
      <w:r w:rsidR="00E8470E">
        <w:rPr>
          <w:sz w:val="26"/>
          <w:szCs w:val="26"/>
        </w:rPr>
        <w:t xml:space="preserve"> </w:t>
      </w:r>
      <w:r w:rsidR="007C4FDE" w:rsidRPr="00DB0C77">
        <w:rPr>
          <w:sz w:val="26"/>
          <w:szCs w:val="26"/>
        </w:rPr>
        <w:t>OCA M</w:t>
      </w:r>
      <w:r w:rsidR="00E8470E">
        <w:rPr>
          <w:sz w:val="26"/>
          <w:szCs w:val="26"/>
        </w:rPr>
        <w:t>.</w:t>
      </w:r>
      <w:r w:rsidR="007C4FDE" w:rsidRPr="00DB0C77">
        <w:rPr>
          <w:sz w:val="26"/>
          <w:szCs w:val="26"/>
        </w:rPr>
        <w:t>B</w:t>
      </w:r>
      <w:r w:rsidR="00E8470E">
        <w:rPr>
          <w:sz w:val="26"/>
          <w:szCs w:val="26"/>
        </w:rPr>
        <w:t>.</w:t>
      </w:r>
      <w:r w:rsidR="007C4FDE" w:rsidRPr="00DB0C77">
        <w:rPr>
          <w:sz w:val="26"/>
          <w:szCs w:val="26"/>
        </w:rPr>
        <w:t xml:space="preserve"> at</w:t>
      </w:r>
      <w:r w:rsidR="007E6D7D">
        <w:rPr>
          <w:sz w:val="26"/>
          <w:szCs w:val="26"/>
        </w:rPr>
        <w:t> </w:t>
      </w:r>
      <w:r w:rsidR="007C4FDE" w:rsidRPr="00DB0C77">
        <w:rPr>
          <w:sz w:val="26"/>
          <w:szCs w:val="26"/>
        </w:rPr>
        <w:t>10.</w:t>
      </w:r>
    </w:p>
    <w:p w14:paraId="657B4AA1" w14:textId="7AA3E195" w:rsidR="007C4FDE" w:rsidRPr="00DB0C77" w:rsidRDefault="007C4FDE" w:rsidP="00687AB5">
      <w:pPr>
        <w:pStyle w:val="Default"/>
        <w:spacing w:line="360" w:lineRule="auto"/>
        <w:rPr>
          <w:sz w:val="26"/>
          <w:szCs w:val="26"/>
        </w:rPr>
      </w:pPr>
      <w:r w:rsidRPr="00DB0C77">
        <w:rPr>
          <w:sz w:val="26"/>
          <w:szCs w:val="26"/>
        </w:rPr>
        <w:t xml:space="preserve"> </w:t>
      </w:r>
    </w:p>
    <w:p w14:paraId="45EB01B7" w14:textId="563AD6EC" w:rsidR="007C4FDE" w:rsidRDefault="0028066B" w:rsidP="00687AB5">
      <w:pPr>
        <w:autoSpaceDE w:val="0"/>
        <w:autoSpaceDN w:val="0"/>
        <w:adjustRightInd w:val="0"/>
        <w:spacing w:after="0" w:line="360" w:lineRule="auto"/>
        <w:ind w:firstLine="1440"/>
        <w:rPr>
          <w:rFonts w:ascii="Times New Roman" w:hAnsi="Times New Roman" w:cs="Times New Roman"/>
          <w:color w:val="000000"/>
          <w:sz w:val="26"/>
          <w:szCs w:val="26"/>
        </w:rPr>
      </w:pPr>
      <w:r>
        <w:rPr>
          <w:rFonts w:ascii="Times New Roman" w:hAnsi="Times New Roman" w:cs="Times New Roman"/>
          <w:color w:val="000000"/>
          <w:sz w:val="26"/>
          <w:szCs w:val="26"/>
        </w:rPr>
        <w:t xml:space="preserve">Additionally, the </w:t>
      </w:r>
      <w:r w:rsidR="007C4FDE" w:rsidRPr="007C4FDE">
        <w:rPr>
          <w:rFonts w:ascii="Times New Roman" w:hAnsi="Times New Roman" w:cs="Times New Roman"/>
          <w:color w:val="000000"/>
          <w:sz w:val="26"/>
          <w:szCs w:val="26"/>
        </w:rPr>
        <w:t>OCA assert</w:t>
      </w:r>
      <w:r>
        <w:rPr>
          <w:rFonts w:ascii="Times New Roman" w:hAnsi="Times New Roman" w:cs="Times New Roman"/>
          <w:color w:val="000000"/>
          <w:sz w:val="26"/>
          <w:szCs w:val="26"/>
        </w:rPr>
        <w:t>ed</w:t>
      </w:r>
      <w:r w:rsidR="007C4FDE" w:rsidRPr="007C4FDE">
        <w:rPr>
          <w:rFonts w:ascii="Times New Roman" w:hAnsi="Times New Roman" w:cs="Times New Roman"/>
          <w:color w:val="000000"/>
          <w:sz w:val="26"/>
          <w:szCs w:val="26"/>
        </w:rPr>
        <w:t xml:space="preserve"> that even if PECO provided substantial evidence to show that the RTEP charges in question were never recovered from ratepayers, PECO’s request here to recover these dollars from a time period that occurred over a decade ago represents impermissible retroactive ratemaking. </w:t>
      </w:r>
      <w:r w:rsidR="001F7B2F">
        <w:rPr>
          <w:rFonts w:ascii="Times New Roman" w:hAnsi="Times New Roman" w:cs="Times New Roman"/>
          <w:color w:val="000000"/>
          <w:sz w:val="26"/>
          <w:szCs w:val="26"/>
        </w:rPr>
        <w:t xml:space="preserve"> The </w:t>
      </w:r>
      <w:r w:rsidR="007C4FDE" w:rsidRPr="007C4FDE">
        <w:rPr>
          <w:rFonts w:ascii="Times New Roman" w:hAnsi="Times New Roman" w:cs="Times New Roman"/>
          <w:color w:val="000000"/>
          <w:sz w:val="26"/>
          <w:szCs w:val="26"/>
        </w:rPr>
        <w:t>OCA</w:t>
      </w:r>
      <w:r w:rsidR="001F7B2F">
        <w:rPr>
          <w:rFonts w:ascii="Times New Roman" w:hAnsi="Times New Roman" w:cs="Times New Roman"/>
          <w:color w:val="000000"/>
          <w:sz w:val="26"/>
          <w:szCs w:val="26"/>
        </w:rPr>
        <w:t xml:space="preserve"> submitted</w:t>
      </w:r>
      <w:r w:rsidR="007C4FDE" w:rsidRPr="007C4FDE">
        <w:rPr>
          <w:rFonts w:ascii="Times New Roman" w:hAnsi="Times New Roman" w:cs="Times New Roman"/>
          <w:color w:val="000000"/>
          <w:sz w:val="26"/>
          <w:szCs w:val="26"/>
        </w:rPr>
        <w:t xml:space="preserve"> that to the extent that PECO was not adequately recovering its transmission expense through rates at that time, </w:t>
      </w:r>
      <w:r w:rsidR="009D39F7">
        <w:rPr>
          <w:rFonts w:ascii="Times New Roman" w:hAnsi="Times New Roman" w:cs="Times New Roman"/>
          <w:color w:val="000000"/>
          <w:sz w:val="26"/>
          <w:szCs w:val="26"/>
        </w:rPr>
        <w:t>the Company</w:t>
      </w:r>
      <w:r w:rsidR="007C4FDE" w:rsidRPr="007C4FDE">
        <w:rPr>
          <w:rFonts w:ascii="Times New Roman" w:hAnsi="Times New Roman" w:cs="Times New Roman"/>
          <w:color w:val="000000"/>
          <w:sz w:val="26"/>
          <w:szCs w:val="26"/>
        </w:rPr>
        <w:t xml:space="preserve"> had the option to seek recovery, and took no actions in this regard until it filed its 2010 base rate case. </w:t>
      </w:r>
      <w:r w:rsidR="009D39F7">
        <w:rPr>
          <w:rFonts w:ascii="Times New Roman" w:hAnsi="Times New Roman" w:cs="Times New Roman"/>
          <w:color w:val="000000"/>
          <w:sz w:val="26"/>
          <w:szCs w:val="26"/>
        </w:rPr>
        <w:t xml:space="preserve"> </w:t>
      </w:r>
      <w:r w:rsidR="007560E9">
        <w:rPr>
          <w:rFonts w:ascii="Times New Roman" w:hAnsi="Times New Roman" w:cs="Times New Roman"/>
          <w:color w:val="000000"/>
          <w:sz w:val="26"/>
          <w:szCs w:val="26"/>
        </w:rPr>
        <w:t xml:space="preserve">The </w:t>
      </w:r>
      <w:r w:rsidR="007C4FDE" w:rsidRPr="007C4FDE">
        <w:rPr>
          <w:rFonts w:ascii="Times New Roman" w:hAnsi="Times New Roman" w:cs="Times New Roman"/>
          <w:color w:val="000000"/>
          <w:sz w:val="26"/>
          <w:szCs w:val="26"/>
        </w:rPr>
        <w:t>OCA also contend</w:t>
      </w:r>
      <w:r w:rsidR="007560E9">
        <w:rPr>
          <w:rFonts w:ascii="Times New Roman" w:hAnsi="Times New Roman" w:cs="Times New Roman"/>
          <w:color w:val="000000"/>
          <w:sz w:val="26"/>
          <w:szCs w:val="26"/>
        </w:rPr>
        <w:t xml:space="preserve">ed </w:t>
      </w:r>
      <w:r w:rsidR="007C4FDE" w:rsidRPr="007C4FDE">
        <w:rPr>
          <w:rFonts w:ascii="Times New Roman" w:hAnsi="Times New Roman" w:cs="Times New Roman"/>
          <w:color w:val="000000"/>
          <w:sz w:val="26"/>
          <w:szCs w:val="26"/>
        </w:rPr>
        <w:t xml:space="preserve">that PECO took no action </w:t>
      </w:r>
      <w:proofErr w:type="gramStart"/>
      <w:r w:rsidR="007C4FDE" w:rsidRPr="007C4FDE">
        <w:rPr>
          <w:rFonts w:ascii="Times New Roman" w:hAnsi="Times New Roman" w:cs="Times New Roman"/>
          <w:color w:val="000000"/>
          <w:sz w:val="26"/>
          <w:szCs w:val="26"/>
        </w:rPr>
        <w:t>in regard to</w:t>
      </w:r>
      <w:proofErr w:type="gramEnd"/>
      <w:r w:rsidR="007C4FDE" w:rsidRPr="007C4FDE">
        <w:rPr>
          <w:rFonts w:ascii="Times New Roman" w:hAnsi="Times New Roman" w:cs="Times New Roman"/>
          <w:color w:val="000000"/>
          <w:sz w:val="26"/>
          <w:szCs w:val="26"/>
        </w:rPr>
        <w:t xml:space="preserve"> any alleged under recovery of RTEP charges from June</w:t>
      </w:r>
      <w:r w:rsidR="000D1E80">
        <w:rPr>
          <w:rFonts w:ascii="Times New Roman" w:hAnsi="Times New Roman" w:cs="Times New Roman"/>
          <w:color w:val="000000"/>
          <w:sz w:val="26"/>
          <w:szCs w:val="26"/>
        </w:rPr>
        <w:t> </w:t>
      </w:r>
      <w:r w:rsidR="007C4FDE" w:rsidRPr="007C4FDE">
        <w:rPr>
          <w:rFonts w:ascii="Times New Roman" w:hAnsi="Times New Roman" w:cs="Times New Roman"/>
          <w:color w:val="000000"/>
          <w:sz w:val="26"/>
          <w:szCs w:val="26"/>
        </w:rPr>
        <w:t xml:space="preserve">2007 through December 2010. </w:t>
      </w:r>
      <w:r w:rsidR="007560E9">
        <w:rPr>
          <w:rFonts w:ascii="Times New Roman" w:hAnsi="Times New Roman" w:cs="Times New Roman"/>
          <w:color w:val="000000"/>
          <w:sz w:val="26"/>
          <w:szCs w:val="26"/>
        </w:rPr>
        <w:t xml:space="preserve"> </w:t>
      </w:r>
      <w:r w:rsidR="00AF4BE2">
        <w:rPr>
          <w:rFonts w:ascii="Times New Roman" w:hAnsi="Times New Roman" w:cs="Times New Roman"/>
          <w:color w:val="000000"/>
          <w:sz w:val="26"/>
          <w:szCs w:val="26"/>
        </w:rPr>
        <w:t xml:space="preserve">According to the </w:t>
      </w:r>
      <w:r w:rsidR="007C4FDE" w:rsidRPr="007C4FDE">
        <w:rPr>
          <w:rFonts w:ascii="Times New Roman" w:hAnsi="Times New Roman" w:cs="Times New Roman"/>
          <w:color w:val="000000"/>
          <w:sz w:val="26"/>
          <w:szCs w:val="26"/>
        </w:rPr>
        <w:t>OCA</w:t>
      </w:r>
      <w:r w:rsidR="00AF4BE2">
        <w:rPr>
          <w:rFonts w:ascii="Times New Roman" w:hAnsi="Times New Roman" w:cs="Times New Roman"/>
          <w:color w:val="000000"/>
          <w:sz w:val="26"/>
          <w:szCs w:val="26"/>
        </w:rPr>
        <w:t xml:space="preserve">, </w:t>
      </w:r>
      <w:r w:rsidR="007C4FDE" w:rsidRPr="007C4FDE">
        <w:rPr>
          <w:rFonts w:ascii="Times New Roman" w:hAnsi="Times New Roman" w:cs="Times New Roman"/>
          <w:color w:val="000000"/>
          <w:sz w:val="26"/>
          <w:szCs w:val="26"/>
        </w:rPr>
        <w:t xml:space="preserve">the evidence of record and </w:t>
      </w:r>
      <w:r w:rsidR="007C4FDE" w:rsidRPr="007C4FDE">
        <w:rPr>
          <w:rFonts w:ascii="Times New Roman" w:hAnsi="Times New Roman" w:cs="Times New Roman"/>
          <w:color w:val="000000"/>
          <w:sz w:val="26"/>
          <w:szCs w:val="26"/>
        </w:rPr>
        <w:lastRenderedPageBreak/>
        <w:t>Court and Commission precedent</w:t>
      </w:r>
      <w:r w:rsidR="006F313A">
        <w:rPr>
          <w:rFonts w:ascii="Times New Roman" w:hAnsi="Times New Roman" w:cs="Times New Roman"/>
          <w:color w:val="000000"/>
          <w:sz w:val="26"/>
          <w:szCs w:val="26"/>
        </w:rPr>
        <w:t xml:space="preserve"> requires the rejection of</w:t>
      </w:r>
      <w:r w:rsidR="007C4FDE" w:rsidRPr="007C4FDE">
        <w:rPr>
          <w:rFonts w:ascii="Times New Roman" w:hAnsi="Times New Roman" w:cs="Times New Roman"/>
          <w:color w:val="000000"/>
          <w:sz w:val="26"/>
          <w:szCs w:val="26"/>
        </w:rPr>
        <w:t xml:space="preserve"> PECO’s proposal to retain $5.5 million of the RTEP credits. </w:t>
      </w:r>
      <w:r w:rsidR="006F313A">
        <w:rPr>
          <w:rFonts w:ascii="Times New Roman" w:hAnsi="Times New Roman" w:cs="Times New Roman"/>
          <w:color w:val="000000"/>
          <w:sz w:val="26"/>
          <w:szCs w:val="26"/>
        </w:rPr>
        <w:t xml:space="preserve"> </w:t>
      </w:r>
      <w:r w:rsidR="007C4FDE" w:rsidRPr="007C4FDE">
        <w:rPr>
          <w:rFonts w:ascii="Times New Roman" w:hAnsi="Times New Roman" w:cs="Times New Roman"/>
          <w:color w:val="000000"/>
          <w:sz w:val="26"/>
          <w:szCs w:val="26"/>
        </w:rPr>
        <w:t>OCA M</w:t>
      </w:r>
      <w:r w:rsidR="006F313A">
        <w:rPr>
          <w:rFonts w:ascii="Times New Roman" w:hAnsi="Times New Roman" w:cs="Times New Roman"/>
          <w:color w:val="000000"/>
          <w:sz w:val="26"/>
          <w:szCs w:val="26"/>
        </w:rPr>
        <w:t>.</w:t>
      </w:r>
      <w:r w:rsidR="007C4FDE" w:rsidRPr="007C4FDE">
        <w:rPr>
          <w:rFonts w:ascii="Times New Roman" w:hAnsi="Times New Roman" w:cs="Times New Roman"/>
          <w:color w:val="000000"/>
          <w:sz w:val="26"/>
          <w:szCs w:val="26"/>
        </w:rPr>
        <w:t>B</w:t>
      </w:r>
      <w:r w:rsidR="006F313A">
        <w:rPr>
          <w:rFonts w:ascii="Times New Roman" w:hAnsi="Times New Roman" w:cs="Times New Roman"/>
          <w:color w:val="000000"/>
          <w:sz w:val="26"/>
          <w:szCs w:val="26"/>
        </w:rPr>
        <w:t>.</w:t>
      </w:r>
      <w:r w:rsidR="007C4FDE" w:rsidRPr="007C4FDE">
        <w:rPr>
          <w:rFonts w:ascii="Times New Roman" w:hAnsi="Times New Roman" w:cs="Times New Roman"/>
          <w:color w:val="000000"/>
          <w:sz w:val="26"/>
          <w:szCs w:val="26"/>
        </w:rPr>
        <w:t xml:space="preserve"> at 10-11. </w:t>
      </w:r>
    </w:p>
    <w:p w14:paraId="5272BF6B" w14:textId="77777777" w:rsidR="00955E24" w:rsidRPr="007C4FDE" w:rsidRDefault="00955E24" w:rsidP="00687AB5">
      <w:pPr>
        <w:autoSpaceDE w:val="0"/>
        <w:autoSpaceDN w:val="0"/>
        <w:adjustRightInd w:val="0"/>
        <w:spacing w:after="0" w:line="360" w:lineRule="auto"/>
        <w:ind w:firstLine="1440"/>
        <w:rPr>
          <w:rFonts w:ascii="Times New Roman" w:hAnsi="Times New Roman" w:cs="Times New Roman"/>
          <w:color w:val="000000"/>
          <w:sz w:val="26"/>
          <w:szCs w:val="26"/>
        </w:rPr>
      </w:pPr>
    </w:p>
    <w:p w14:paraId="10BD4859" w14:textId="36DFE194" w:rsidR="00687AB5" w:rsidRDefault="00F43E07" w:rsidP="00955E24">
      <w:pPr>
        <w:autoSpaceDE w:val="0"/>
        <w:autoSpaceDN w:val="0"/>
        <w:adjustRightInd w:val="0"/>
        <w:spacing w:after="0" w:line="360" w:lineRule="auto"/>
        <w:ind w:firstLine="1440"/>
        <w:rPr>
          <w:rFonts w:ascii="Times New Roman" w:hAnsi="Times New Roman" w:cs="Times New Roman"/>
          <w:color w:val="000000"/>
          <w:sz w:val="26"/>
          <w:szCs w:val="26"/>
        </w:rPr>
      </w:pPr>
      <w:r>
        <w:rPr>
          <w:rFonts w:ascii="Times New Roman" w:hAnsi="Times New Roman" w:cs="Times New Roman"/>
          <w:color w:val="000000"/>
          <w:sz w:val="26"/>
          <w:szCs w:val="26"/>
        </w:rPr>
        <w:t xml:space="preserve">Further, the </w:t>
      </w:r>
      <w:r w:rsidR="007C4FDE" w:rsidRPr="007C4FDE">
        <w:rPr>
          <w:rFonts w:ascii="Times New Roman" w:hAnsi="Times New Roman" w:cs="Times New Roman"/>
          <w:color w:val="000000"/>
          <w:sz w:val="26"/>
          <w:szCs w:val="26"/>
        </w:rPr>
        <w:t>OCA contend</w:t>
      </w:r>
      <w:r>
        <w:rPr>
          <w:rFonts w:ascii="Times New Roman" w:hAnsi="Times New Roman" w:cs="Times New Roman"/>
          <w:color w:val="000000"/>
          <w:sz w:val="26"/>
          <w:szCs w:val="26"/>
        </w:rPr>
        <w:t>ed</w:t>
      </w:r>
      <w:r w:rsidR="007C4FDE" w:rsidRPr="007C4FDE">
        <w:rPr>
          <w:rFonts w:ascii="Times New Roman" w:hAnsi="Times New Roman" w:cs="Times New Roman"/>
          <w:color w:val="000000"/>
          <w:sz w:val="26"/>
          <w:szCs w:val="26"/>
        </w:rPr>
        <w:t xml:space="preserve"> that PECO has made no showing that these changes were not covered by the retail transmission base rate. </w:t>
      </w:r>
      <w:r>
        <w:rPr>
          <w:rFonts w:ascii="Times New Roman" w:hAnsi="Times New Roman" w:cs="Times New Roman"/>
          <w:color w:val="000000"/>
          <w:sz w:val="26"/>
          <w:szCs w:val="26"/>
        </w:rPr>
        <w:t xml:space="preserve"> </w:t>
      </w:r>
      <w:r w:rsidR="00F02720">
        <w:rPr>
          <w:rFonts w:ascii="Times New Roman" w:hAnsi="Times New Roman" w:cs="Times New Roman"/>
          <w:color w:val="000000"/>
          <w:sz w:val="26"/>
          <w:szCs w:val="26"/>
        </w:rPr>
        <w:t xml:space="preserve">In support, the OCA maintained that </w:t>
      </w:r>
      <w:r w:rsidR="007C4FDE" w:rsidRPr="007C4FDE">
        <w:rPr>
          <w:rFonts w:ascii="Times New Roman" w:hAnsi="Times New Roman" w:cs="Times New Roman"/>
          <w:color w:val="000000"/>
          <w:sz w:val="26"/>
          <w:szCs w:val="26"/>
        </w:rPr>
        <w:t xml:space="preserve">the retail transmission base rate was approximately $40 million higher than the transmission revenue requirement in that time period. </w:t>
      </w:r>
      <w:r w:rsidR="00F02720">
        <w:rPr>
          <w:rFonts w:ascii="Times New Roman" w:hAnsi="Times New Roman" w:cs="Times New Roman"/>
          <w:color w:val="000000"/>
          <w:sz w:val="26"/>
          <w:szCs w:val="26"/>
        </w:rPr>
        <w:t xml:space="preserve"> The </w:t>
      </w:r>
      <w:r w:rsidR="007C4FDE" w:rsidRPr="007C4FDE">
        <w:rPr>
          <w:rFonts w:ascii="Times New Roman" w:hAnsi="Times New Roman" w:cs="Times New Roman"/>
          <w:color w:val="000000"/>
          <w:sz w:val="26"/>
          <w:szCs w:val="26"/>
        </w:rPr>
        <w:t>OCA argue</w:t>
      </w:r>
      <w:r w:rsidR="00F02720">
        <w:rPr>
          <w:rFonts w:ascii="Times New Roman" w:hAnsi="Times New Roman" w:cs="Times New Roman"/>
          <w:color w:val="000000"/>
          <w:sz w:val="26"/>
          <w:szCs w:val="26"/>
        </w:rPr>
        <w:t>d</w:t>
      </w:r>
      <w:r w:rsidR="007C4FDE" w:rsidRPr="007C4FDE">
        <w:rPr>
          <w:rFonts w:ascii="Times New Roman" w:hAnsi="Times New Roman" w:cs="Times New Roman"/>
          <w:color w:val="000000"/>
          <w:sz w:val="26"/>
          <w:szCs w:val="26"/>
        </w:rPr>
        <w:t xml:space="preserve"> that the Commission-made rate doctrine applies to rates found to be just and reasonable. </w:t>
      </w:r>
      <w:r w:rsidR="00F02720">
        <w:rPr>
          <w:rFonts w:ascii="Times New Roman" w:hAnsi="Times New Roman" w:cs="Times New Roman"/>
          <w:color w:val="000000"/>
          <w:sz w:val="26"/>
          <w:szCs w:val="26"/>
        </w:rPr>
        <w:t xml:space="preserve"> </w:t>
      </w:r>
      <w:r w:rsidR="003718B4">
        <w:rPr>
          <w:rFonts w:ascii="Times New Roman" w:hAnsi="Times New Roman" w:cs="Times New Roman"/>
          <w:color w:val="000000"/>
          <w:sz w:val="26"/>
          <w:szCs w:val="26"/>
        </w:rPr>
        <w:t xml:space="preserve">Here, the </w:t>
      </w:r>
      <w:r w:rsidR="007C4FDE" w:rsidRPr="007C4FDE">
        <w:rPr>
          <w:rFonts w:ascii="Times New Roman" w:hAnsi="Times New Roman" w:cs="Times New Roman"/>
          <w:color w:val="000000"/>
          <w:sz w:val="26"/>
          <w:szCs w:val="26"/>
        </w:rPr>
        <w:t xml:space="preserve">OCA </w:t>
      </w:r>
      <w:r w:rsidR="003718B4">
        <w:rPr>
          <w:rFonts w:ascii="Times New Roman" w:hAnsi="Times New Roman" w:cs="Times New Roman"/>
          <w:color w:val="000000"/>
          <w:sz w:val="26"/>
          <w:szCs w:val="26"/>
        </w:rPr>
        <w:t xml:space="preserve">submitted </w:t>
      </w:r>
      <w:r w:rsidR="007C4FDE" w:rsidRPr="007C4FDE">
        <w:rPr>
          <w:rFonts w:ascii="Times New Roman" w:hAnsi="Times New Roman" w:cs="Times New Roman"/>
          <w:color w:val="000000"/>
          <w:sz w:val="26"/>
          <w:szCs w:val="26"/>
        </w:rPr>
        <w:t xml:space="preserve">that the RTEP charges at issue were found to be unjust and unreasonable by the Court and were modified by FERC following judicial review to comply with the Court’s order. </w:t>
      </w:r>
      <w:r w:rsidR="00D054CF">
        <w:rPr>
          <w:rFonts w:ascii="Times New Roman" w:hAnsi="Times New Roman" w:cs="Times New Roman"/>
          <w:color w:val="000000"/>
          <w:sz w:val="26"/>
          <w:szCs w:val="26"/>
        </w:rPr>
        <w:t xml:space="preserve"> </w:t>
      </w:r>
      <w:r w:rsidR="007C4FDE" w:rsidRPr="007C4FDE">
        <w:rPr>
          <w:rFonts w:ascii="Times New Roman" w:hAnsi="Times New Roman" w:cs="Times New Roman"/>
          <w:color w:val="000000"/>
          <w:sz w:val="26"/>
          <w:szCs w:val="26"/>
        </w:rPr>
        <w:t>OCA R</w:t>
      </w:r>
      <w:r w:rsidR="00D054CF">
        <w:rPr>
          <w:rFonts w:ascii="Times New Roman" w:hAnsi="Times New Roman" w:cs="Times New Roman"/>
          <w:color w:val="000000"/>
          <w:sz w:val="26"/>
          <w:szCs w:val="26"/>
        </w:rPr>
        <w:t xml:space="preserve">.B. </w:t>
      </w:r>
      <w:r w:rsidR="007C4FDE" w:rsidRPr="007C4FDE">
        <w:rPr>
          <w:rFonts w:ascii="Times New Roman" w:hAnsi="Times New Roman" w:cs="Times New Roman"/>
          <w:color w:val="000000"/>
          <w:sz w:val="26"/>
          <w:szCs w:val="26"/>
        </w:rPr>
        <w:t>at 3.</w:t>
      </w:r>
    </w:p>
    <w:p w14:paraId="415673A8" w14:textId="77777777" w:rsidR="00955E24" w:rsidRDefault="007C4FDE" w:rsidP="00955E24">
      <w:pPr>
        <w:autoSpaceDE w:val="0"/>
        <w:autoSpaceDN w:val="0"/>
        <w:adjustRightInd w:val="0"/>
        <w:spacing w:after="0" w:line="360" w:lineRule="auto"/>
        <w:rPr>
          <w:rFonts w:ascii="Times New Roman" w:hAnsi="Times New Roman" w:cs="Times New Roman"/>
          <w:color w:val="000000"/>
          <w:sz w:val="26"/>
          <w:szCs w:val="26"/>
        </w:rPr>
      </w:pPr>
      <w:r w:rsidRPr="007C4FDE">
        <w:rPr>
          <w:rFonts w:ascii="Times New Roman" w:hAnsi="Times New Roman" w:cs="Times New Roman"/>
          <w:color w:val="000000"/>
          <w:sz w:val="26"/>
          <w:szCs w:val="26"/>
        </w:rPr>
        <w:t xml:space="preserve"> </w:t>
      </w:r>
    </w:p>
    <w:p w14:paraId="38420DB6" w14:textId="77777777" w:rsidR="00955E24" w:rsidRDefault="00F9659A" w:rsidP="00955E24">
      <w:pPr>
        <w:autoSpaceDE w:val="0"/>
        <w:autoSpaceDN w:val="0"/>
        <w:adjustRightInd w:val="0"/>
        <w:spacing w:after="0" w:line="360" w:lineRule="auto"/>
        <w:ind w:firstLine="1440"/>
        <w:rPr>
          <w:rFonts w:ascii="Times New Roman" w:hAnsi="Times New Roman" w:cs="Times New Roman"/>
          <w:color w:val="000000"/>
          <w:sz w:val="26"/>
          <w:szCs w:val="26"/>
        </w:rPr>
      </w:pPr>
      <w:r>
        <w:rPr>
          <w:rFonts w:ascii="Times New Roman" w:hAnsi="Times New Roman" w:cs="Times New Roman"/>
          <w:color w:val="000000"/>
          <w:sz w:val="26"/>
          <w:szCs w:val="26"/>
        </w:rPr>
        <w:t xml:space="preserve">The </w:t>
      </w:r>
      <w:r w:rsidR="007C4FDE" w:rsidRPr="00DB0C77">
        <w:rPr>
          <w:rFonts w:ascii="Times New Roman" w:hAnsi="Times New Roman" w:cs="Times New Roman"/>
          <w:color w:val="000000"/>
          <w:sz w:val="26"/>
          <w:szCs w:val="26"/>
        </w:rPr>
        <w:t xml:space="preserve">OCA </w:t>
      </w:r>
      <w:r>
        <w:rPr>
          <w:rFonts w:ascii="Times New Roman" w:hAnsi="Times New Roman" w:cs="Times New Roman"/>
          <w:color w:val="000000"/>
          <w:sz w:val="26"/>
          <w:szCs w:val="26"/>
        </w:rPr>
        <w:t>asserted t</w:t>
      </w:r>
      <w:r w:rsidR="007C4FDE" w:rsidRPr="00DB0C77">
        <w:rPr>
          <w:rFonts w:ascii="Times New Roman" w:hAnsi="Times New Roman" w:cs="Times New Roman"/>
          <w:color w:val="000000"/>
          <w:sz w:val="26"/>
          <w:szCs w:val="26"/>
        </w:rPr>
        <w:t xml:space="preserve">hat PECO failed to meet its burden of proof as the moving party requesting that the Commission allow PECO to retain $5.5 million in FERC-ordered RTEP credits. </w:t>
      </w:r>
      <w:r w:rsidR="00A965F0">
        <w:rPr>
          <w:rFonts w:ascii="Times New Roman" w:hAnsi="Times New Roman" w:cs="Times New Roman"/>
          <w:color w:val="000000"/>
          <w:sz w:val="26"/>
          <w:szCs w:val="26"/>
        </w:rPr>
        <w:t xml:space="preserve"> A</w:t>
      </w:r>
      <w:r w:rsidR="004F0FCB">
        <w:rPr>
          <w:rFonts w:ascii="Times New Roman" w:hAnsi="Times New Roman" w:cs="Times New Roman"/>
          <w:color w:val="000000"/>
          <w:sz w:val="26"/>
          <w:szCs w:val="26"/>
        </w:rPr>
        <w:t>ccording to the OCA,</w:t>
      </w:r>
      <w:r w:rsidR="00A965F0">
        <w:rPr>
          <w:rFonts w:ascii="Times New Roman" w:hAnsi="Times New Roman" w:cs="Times New Roman"/>
          <w:color w:val="000000"/>
          <w:sz w:val="26"/>
          <w:szCs w:val="26"/>
        </w:rPr>
        <w:t xml:space="preserve"> </w:t>
      </w:r>
      <w:r w:rsidR="007C4FDE" w:rsidRPr="00DB0C77">
        <w:rPr>
          <w:rFonts w:ascii="Times New Roman" w:hAnsi="Times New Roman" w:cs="Times New Roman"/>
          <w:color w:val="000000"/>
          <w:sz w:val="26"/>
          <w:szCs w:val="26"/>
        </w:rPr>
        <w:t>PECO presented no evidence showing that it was not collecting sufficient transmission revenues to meet all of its obligations to PJM, including RTEP obligations</w:t>
      </w:r>
      <w:r w:rsidR="00994715">
        <w:rPr>
          <w:rFonts w:ascii="Times New Roman" w:hAnsi="Times New Roman" w:cs="Times New Roman"/>
          <w:color w:val="000000"/>
          <w:sz w:val="26"/>
          <w:szCs w:val="26"/>
        </w:rPr>
        <w:t>.  The</w:t>
      </w:r>
      <w:r w:rsidR="004D63A8">
        <w:rPr>
          <w:rFonts w:ascii="Times New Roman" w:hAnsi="Times New Roman" w:cs="Times New Roman"/>
          <w:color w:val="000000"/>
          <w:sz w:val="26"/>
          <w:szCs w:val="26"/>
        </w:rPr>
        <w:t xml:space="preserve"> OCA</w:t>
      </w:r>
      <w:r w:rsidR="007C4FDE" w:rsidRPr="00DB0C77">
        <w:rPr>
          <w:rFonts w:ascii="Times New Roman" w:hAnsi="Times New Roman" w:cs="Times New Roman"/>
          <w:color w:val="000000"/>
          <w:sz w:val="26"/>
          <w:szCs w:val="26"/>
        </w:rPr>
        <w:t xml:space="preserve"> </w:t>
      </w:r>
      <w:r w:rsidR="00994715">
        <w:rPr>
          <w:rFonts w:ascii="Times New Roman" w:hAnsi="Times New Roman" w:cs="Times New Roman"/>
          <w:color w:val="000000"/>
          <w:sz w:val="26"/>
          <w:szCs w:val="26"/>
        </w:rPr>
        <w:t xml:space="preserve">also </w:t>
      </w:r>
      <w:r w:rsidR="007C4FDE" w:rsidRPr="00DB0C77">
        <w:rPr>
          <w:rFonts w:ascii="Times New Roman" w:hAnsi="Times New Roman" w:cs="Times New Roman"/>
          <w:color w:val="000000"/>
          <w:sz w:val="26"/>
          <w:szCs w:val="26"/>
        </w:rPr>
        <w:t>contend</w:t>
      </w:r>
      <w:r w:rsidR="004D63A8">
        <w:rPr>
          <w:rFonts w:ascii="Times New Roman" w:hAnsi="Times New Roman" w:cs="Times New Roman"/>
          <w:color w:val="000000"/>
          <w:sz w:val="26"/>
          <w:szCs w:val="26"/>
        </w:rPr>
        <w:t>ed</w:t>
      </w:r>
      <w:r w:rsidR="007C4FDE" w:rsidRPr="00DB0C77">
        <w:rPr>
          <w:rFonts w:ascii="Times New Roman" w:hAnsi="Times New Roman" w:cs="Times New Roman"/>
          <w:color w:val="000000"/>
          <w:sz w:val="26"/>
          <w:szCs w:val="26"/>
        </w:rPr>
        <w:t xml:space="preserve"> that PECO has not provided substantial evidence supporting PECO’s claim that its shareholders absorbed any RTEP charges or did not receive a sufficient return on their investment. OCA R</w:t>
      </w:r>
      <w:r w:rsidR="00994715">
        <w:rPr>
          <w:rFonts w:ascii="Times New Roman" w:hAnsi="Times New Roman" w:cs="Times New Roman"/>
          <w:color w:val="000000"/>
          <w:sz w:val="26"/>
          <w:szCs w:val="26"/>
        </w:rPr>
        <w:t>.</w:t>
      </w:r>
      <w:r w:rsidR="007C4FDE" w:rsidRPr="00DB0C77">
        <w:rPr>
          <w:rFonts w:ascii="Times New Roman" w:hAnsi="Times New Roman" w:cs="Times New Roman"/>
          <w:color w:val="000000"/>
          <w:sz w:val="26"/>
          <w:szCs w:val="26"/>
        </w:rPr>
        <w:t>B</w:t>
      </w:r>
      <w:r w:rsidR="00994715">
        <w:rPr>
          <w:rFonts w:ascii="Times New Roman" w:hAnsi="Times New Roman" w:cs="Times New Roman"/>
          <w:color w:val="000000"/>
          <w:sz w:val="26"/>
          <w:szCs w:val="26"/>
        </w:rPr>
        <w:t>.</w:t>
      </w:r>
      <w:r w:rsidR="007C4FDE" w:rsidRPr="00DB0C77">
        <w:rPr>
          <w:rFonts w:ascii="Times New Roman" w:hAnsi="Times New Roman" w:cs="Times New Roman"/>
          <w:color w:val="000000"/>
          <w:sz w:val="26"/>
          <w:szCs w:val="26"/>
        </w:rPr>
        <w:t xml:space="preserve"> at 3.</w:t>
      </w:r>
    </w:p>
    <w:p w14:paraId="102D2822" w14:textId="77777777" w:rsidR="00955E24" w:rsidRDefault="00955E24" w:rsidP="00955E24">
      <w:pPr>
        <w:autoSpaceDE w:val="0"/>
        <w:autoSpaceDN w:val="0"/>
        <w:adjustRightInd w:val="0"/>
        <w:spacing w:after="0" w:line="360" w:lineRule="auto"/>
        <w:ind w:firstLine="1440"/>
        <w:rPr>
          <w:rFonts w:ascii="Times New Roman" w:hAnsi="Times New Roman" w:cs="Times New Roman"/>
          <w:color w:val="000000"/>
          <w:sz w:val="26"/>
          <w:szCs w:val="26"/>
        </w:rPr>
      </w:pPr>
    </w:p>
    <w:p w14:paraId="306E292C" w14:textId="5914DB47" w:rsidR="00DB0C77" w:rsidRPr="00955E24" w:rsidRDefault="003B5880" w:rsidP="00955E24">
      <w:pPr>
        <w:autoSpaceDE w:val="0"/>
        <w:autoSpaceDN w:val="0"/>
        <w:adjustRightInd w:val="0"/>
        <w:spacing w:after="0" w:line="360" w:lineRule="auto"/>
        <w:ind w:firstLine="1440"/>
        <w:rPr>
          <w:rFonts w:ascii="Times New Roman" w:hAnsi="Times New Roman" w:cs="Times New Roman"/>
          <w:color w:val="000000"/>
          <w:sz w:val="26"/>
          <w:szCs w:val="26"/>
        </w:rPr>
      </w:pPr>
      <w:r>
        <w:rPr>
          <w:rFonts w:ascii="Times New Roman" w:hAnsi="Times New Roman" w:cs="Times New Roman"/>
          <w:sz w:val="26"/>
          <w:szCs w:val="26"/>
        </w:rPr>
        <w:t xml:space="preserve">Moreover, the </w:t>
      </w:r>
      <w:r w:rsidR="00DB0C77" w:rsidRPr="009D39F7">
        <w:rPr>
          <w:rFonts w:ascii="Times New Roman" w:hAnsi="Times New Roman" w:cs="Times New Roman"/>
          <w:sz w:val="26"/>
          <w:szCs w:val="26"/>
        </w:rPr>
        <w:t>OCA argue</w:t>
      </w:r>
      <w:r>
        <w:rPr>
          <w:rFonts w:ascii="Times New Roman" w:hAnsi="Times New Roman" w:cs="Times New Roman"/>
          <w:sz w:val="26"/>
          <w:szCs w:val="26"/>
        </w:rPr>
        <w:t>d</w:t>
      </w:r>
      <w:r w:rsidR="00DB0C77" w:rsidRPr="009D39F7">
        <w:rPr>
          <w:rFonts w:ascii="Times New Roman" w:hAnsi="Times New Roman" w:cs="Times New Roman"/>
          <w:sz w:val="26"/>
          <w:szCs w:val="26"/>
        </w:rPr>
        <w:t xml:space="preserve"> that PECO’s proposal to retain $5.5 million of FERC-ordered RTEP credits, intended to remedy an unjust and unreasonable allocation methodology for RTEP charges, is contrary to the Code, legal precedent, and public policy and should be rejected by the Commission. </w:t>
      </w:r>
      <w:r w:rsidR="003B1A7D">
        <w:rPr>
          <w:rFonts w:ascii="Times New Roman" w:hAnsi="Times New Roman" w:cs="Times New Roman"/>
          <w:sz w:val="26"/>
          <w:szCs w:val="26"/>
        </w:rPr>
        <w:t xml:space="preserve"> </w:t>
      </w:r>
      <w:r w:rsidR="00DB0C77" w:rsidRPr="009D39F7">
        <w:rPr>
          <w:rFonts w:ascii="Times New Roman" w:hAnsi="Times New Roman" w:cs="Times New Roman"/>
          <w:sz w:val="26"/>
          <w:szCs w:val="26"/>
        </w:rPr>
        <w:t>OCA R</w:t>
      </w:r>
      <w:r w:rsidR="003B1A7D">
        <w:rPr>
          <w:rFonts w:ascii="Times New Roman" w:hAnsi="Times New Roman" w:cs="Times New Roman"/>
          <w:sz w:val="26"/>
          <w:szCs w:val="26"/>
        </w:rPr>
        <w:t>.</w:t>
      </w:r>
      <w:r w:rsidR="00DB0C77" w:rsidRPr="009D39F7">
        <w:rPr>
          <w:rFonts w:ascii="Times New Roman" w:hAnsi="Times New Roman" w:cs="Times New Roman"/>
          <w:sz w:val="26"/>
          <w:szCs w:val="26"/>
        </w:rPr>
        <w:t>B</w:t>
      </w:r>
      <w:r w:rsidR="003B1A7D">
        <w:rPr>
          <w:rFonts w:ascii="Times New Roman" w:hAnsi="Times New Roman" w:cs="Times New Roman"/>
          <w:sz w:val="26"/>
          <w:szCs w:val="26"/>
        </w:rPr>
        <w:t>.</w:t>
      </w:r>
      <w:r w:rsidR="00DB0C77" w:rsidRPr="009D39F7">
        <w:rPr>
          <w:rFonts w:ascii="Times New Roman" w:hAnsi="Times New Roman" w:cs="Times New Roman"/>
          <w:sz w:val="26"/>
          <w:szCs w:val="26"/>
        </w:rPr>
        <w:t xml:space="preserve"> at 4.</w:t>
      </w:r>
    </w:p>
    <w:p w14:paraId="634D045D" w14:textId="2CA77752" w:rsidR="006C4380" w:rsidRDefault="006C4380">
      <w:pPr>
        <w:rPr>
          <w:rFonts w:ascii="Times New Roman" w:eastAsia="Times New Roman" w:hAnsi="Times New Roman" w:cs="Times New Roman"/>
          <w:b/>
          <w:sz w:val="26"/>
          <w:szCs w:val="26"/>
        </w:rPr>
      </w:pPr>
    </w:p>
    <w:p w14:paraId="64B4D85F" w14:textId="60C0ECA3" w:rsidR="00687AB5" w:rsidRPr="00175B55" w:rsidRDefault="00464655" w:rsidP="00892963">
      <w:pPr>
        <w:keepNext/>
        <w:keepLines/>
        <w:spacing w:after="0" w:line="360" w:lineRule="auto"/>
        <w:ind w:left="720"/>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2.</w:t>
      </w:r>
      <w:r>
        <w:rPr>
          <w:rFonts w:ascii="Times New Roman" w:eastAsia="Times New Roman" w:hAnsi="Times New Roman" w:cs="Times New Roman"/>
          <w:b/>
          <w:sz w:val="26"/>
          <w:szCs w:val="26"/>
        </w:rPr>
        <w:tab/>
      </w:r>
      <w:r w:rsidR="00F64B64" w:rsidRPr="00175B55">
        <w:rPr>
          <w:rFonts w:ascii="Times New Roman" w:eastAsia="Times New Roman" w:hAnsi="Times New Roman" w:cs="Times New Roman"/>
          <w:b/>
          <w:sz w:val="26"/>
          <w:szCs w:val="26"/>
        </w:rPr>
        <w:t>PECO</w:t>
      </w:r>
    </w:p>
    <w:p w14:paraId="59C119BE" w14:textId="794FFF12" w:rsidR="00034DDB" w:rsidRPr="00175B55" w:rsidRDefault="00034DDB" w:rsidP="00175B55">
      <w:pPr>
        <w:keepNext/>
        <w:keepLines/>
        <w:spacing w:after="0" w:line="360" w:lineRule="auto"/>
        <w:rPr>
          <w:rFonts w:ascii="Times New Roman" w:eastAsia="Times New Roman" w:hAnsi="Times New Roman" w:cs="Times New Roman"/>
          <w:b/>
          <w:sz w:val="26"/>
          <w:szCs w:val="26"/>
        </w:rPr>
      </w:pPr>
    </w:p>
    <w:p w14:paraId="6F8B6DCB" w14:textId="5308F392" w:rsidR="005B6F58" w:rsidRDefault="0031741B" w:rsidP="00175B55">
      <w:pPr>
        <w:pStyle w:val="Default"/>
        <w:spacing w:line="360" w:lineRule="auto"/>
        <w:rPr>
          <w:sz w:val="26"/>
          <w:szCs w:val="26"/>
        </w:rPr>
      </w:pPr>
      <w:r w:rsidRPr="00175B55">
        <w:rPr>
          <w:rFonts w:eastAsia="Times New Roman"/>
          <w:b/>
          <w:sz w:val="26"/>
          <w:szCs w:val="26"/>
        </w:rPr>
        <w:tab/>
      </w:r>
      <w:r w:rsidRPr="00175B55">
        <w:rPr>
          <w:rFonts w:eastAsia="Times New Roman"/>
          <w:b/>
          <w:sz w:val="26"/>
          <w:szCs w:val="26"/>
        </w:rPr>
        <w:tab/>
      </w:r>
      <w:r w:rsidR="005B6F58">
        <w:rPr>
          <w:sz w:val="26"/>
          <w:szCs w:val="26"/>
        </w:rPr>
        <w:t>In opposition</w:t>
      </w:r>
      <w:r w:rsidR="00D9481C" w:rsidRPr="00175B55">
        <w:rPr>
          <w:sz w:val="26"/>
          <w:szCs w:val="26"/>
        </w:rPr>
        <w:t>, PECO note</w:t>
      </w:r>
      <w:r w:rsidR="00326676">
        <w:rPr>
          <w:sz w:val="26"/>
          <w:szCs w:val="26"/>
        </w:rPr>
        <w:t>d</w:t>
      </w:r>
      <w:r w:rsidR="00D9481C" w:rsidRPr="00175B55">
        <w:rPr>
          <w:sz w:val="26"/>
          <w:szCs w:val="26"/>
        </w:rPr>
        <w:t xml:space="preserve"> that </w:t>
      </w:r>
      <w:r w:rsidR="005B6F58">
        <w:rPr>
          <w:sz w:val="26"/>
          <w:szCs w:val="26"/>
        </w:rPr>
        <w:t xml:space="preserve">the </w:t>
      </w:r>
      <w:r w:rsidR="00D9481C" w:rsidRPr="00175B55">
        <w:rPr>
          <w:sz w:val="26"/>
          <w:szCs w:val="26"/>
        </w:rPr>
        <w:t xml:space="preserve">OCA is </w:t>
      </w:r>
      <w:r w:rsidR="005B6F58">
        <w:rPr>
          <w:sz w:val="26"/>
          <w:szCs w:val="26"/>
        </w:rPr>
        <w:t>requesting</w:t>
      </w:r>
      <w:r w:rsidR="00D9481C" w:rsidRPr="00175B55">
        <w:rPr>
          <w:sz w:val="26"/>
          <w:szCs w:val="26"/>
        </w:rPr>
        <w:t xml:space="preserve"> bill credit</w:t>
      </w:r>
      <w:r w:rsidR="00C7413E">
        <w:rPr>
          <w:sz w:val="26"/>
          <w:szCs w:val="26"/>
        </w:rPr>
        <w:t xml:space="preserve"> refunds</w:t>
      </w:r>
      <w:r w:rsidR="00D9481C" w:rsidRPr="00175B55">
        <w:rPr>
          <w:sz w:val="26"/>
          <w:szCs w:val="26"/>
        </w:rPr>
        <w:t xml:space="preserve"> of approximately $5.5 million related to RTEP charges that PECO paid for transmission service obtained from PJM during the period </w:t>
      </w:r>
      <w:r w:rsidR="00C77A2E">
        <w:rPr>
          <w:sz w:val="26"/>
          <w:szCs w:val="26"/>
        </w:rPr>
        <w:t>2007 through 2010</w:t>
      </w:r>
      <w:r w:rsidR="00D9481C" w:rsidRPr="00175B55">
        <w:rPr>
          <w:sz w:val="26"/>
          <w:szCs w:val="26"/>
        </w:rPr>
        <w:t>.</w:t>
      </w:r>
      <w:r w:rsidR="00C7413E">
        <w:rPr>
          <w:sz w:val="26"/>
          <w:szCs w:val="26"/>
        </w:rPr>
        <w:t xml:space="preserve">  </w:t>
      </w:r>
      <w:r w:rsidR="00D9481C" w:rsidRPr="00175B55">
        <w:rPr>
          <w:sz w:val="26"/>
          <w:szCs w:val="26"/>
        </w:rPr>
        <w:t>PECO assert</w:t>
      </w:r>
      <w:r w:rsidR="00326676">
        <w:rPr>
          <w:sz w:val="26"/>
          <w:szCs w:val="26"/>
        </w:rPr>
        <w:t>ed</w:t>
      </w:r>
      <w:r w:rsidR="00D9481C" w:rsidRPr="00175B55">
        <w:rPr>
          <w:sz w:val="26"/>
          <w:szCs w:val="26"/>
        </w:rPr>
        <w:t xml:space="preserve"> that these credits relate to charges that were never passed through to customers and which PECO never had the opportunity to include for recovery in any rates it charged to customers. </w:t>
      </w:r>
      <w:r w:rsidR="00C7413E">
        <w:rPr>
          <w:sz w:val="26"/>
          <w:szCs w:val="26"/>
        </w:rPr>
        <w:t xml:space="preserve"> The Company proffer</w:t>
      </w:r>
      <w:r w:rsidR="00D503D7">
        <w:rPr>
          <w:sz w:val="26"/>
          <w:szCs w:val="26"/>
        </w:rPr>
        <w:t>ed</w:t>
      </w:r>
      <w:r w:rsidR="00C7413E">
        <w:rPr>
          <w:sz w:val="26"/>
          <w:szCs w:val="26"/>
        </w:rPr>
        <w:t xml:space="preserve"> that the </w:t>
      </w:r>
      <w:r w:rsidR="00D9481C" w:rsidRPr="00175B55">
        <w:rPr>
          <w:sz w:val="26"/>
          <w:szCs w:val="26"/>
        </w:rPr>
        <w:t xml:space="preserve">OCA wants to force </w:t>
      </w:r>
      <w:r w:rsidR="00351520">
        <w:rPr>
          <w:sz w:val="26"/>
          <w:szCs w:val="26"/>
        </w:rPr>
        <w:t>a</w:t>
      </w:r>
      <w:r w:rsidR="00D9481C" w:rsidRPr="00175B55">
        <w:rPr>
          <w:sz w:val="26"/>
          <w:szCs w:val="26"/>
        </w:rPr>
        <w:t xml:space="preserve"> refund </w:t>
      </w:r>
      <w:r w:rsidR="00351520">
        <w:rPr>
          <w:sz w:val="26"/>
          <w:szCs w:val="26"/>
        </w:rPr>
        <w:t xml:space="preserve">of </w:t>
      </w:r>
      <w:r w:rsidR="00D9481C" w:rsidRPr="00175B55">
        <w:rPr>
          <w:sz w:val="26"/>
          <w:szCs w:val="26"/>
        </w:rPr>
        <w:t xml:space="preserve">dollars to customers that PECO paid. </w:t>
      </w:r>
      <w:r w:rsidR="00C7413E">
        <w:rPr>
          <w:sz w:val="26"/>
          <w:szCs w:val="26"/>
        </w:rPr>
        <w:t xml:space="preserve"> </w:t>
      </w:r>
      <w:r w:rsidR="00D9481C" w:rsidRPr="00175B55">
        <w:rPr>
          <w:sz w:val="26"/>
          <w:szCs w:val="26"/>
        </w:rPr>
        <w:t>PECO M</w:t>
      </w:r>
      <w:r w:rsidR="005B6F58">
        <w:rPr>
          <w:sz w:val="26"/>
          <w:szCs w:val="26"/>
        </w:rPr>
        <w:t>.</w:t>
      </w:r>
      <w:r w:rsidR="00D9481C" w:rsidRPr="00175B55">
        <w:rPr>
          <w:sz w:val="26"/>
          <w:szCs w:val="26"/>
        </w:rPr>
        <w:t>B</w:t>
      </w:r>
      <w:r w:rsidR="005B6F58">
        <w:rPr>
          <w:sz w:val="26"/>
          <w:szCs w:val="26"/>
        </w:rPr>
        <w:t>.</w:t>
      </w:r>
      <w:r w:rsidR="00D9481C" w:rsidRPr="00175B55">
        <w:rPr>
          <w:sz w:val="26"/>
          <w:szCs w:val="26"/>
        </w:rPr>
        <w:t xml:space="preserve"> at 1.</w:t>
      </w:r>
    </w:p>
    <w:p w14:paraId="5FBB4D0C" w14:textId="77777777" w:rsidR="00635481" w:rsidRDefault="00635481" w:rsidP="00175B55">
      <w:pPr>
        <w:pStyle w:val="Default"/>
        <w:spacing w:line="360" w:lineRule="auto"/>
        <w:rPr>
          <w:sz w:val="26"/>
          <w:szCs w:val="26"/>
        </w:rPr>
      </w:pPr>
    </w:p>
    <w:p w14:paraId="63FB9AFC" w14:textId="566B2534" w:rsidR="000C3716" w:rsidRDefault="00D9481C" w:rsidP="00DF6CA0">
      <w:pPr>
        <w:pStyle w:val="Default"/>
        <w:spacing w:line="360" w:lineRule="auto"/>
        <w:rPr>
          <w:sz w:val="26"/>
          <w:szCs w:val="26"/>
        </w:rPr>
      </w:pPr>
      <w:r w:rsidRPr="00175B55">
        <w:rPr>
          <w:sz w:val="26"/>
          <w:szCs w:val="26"/>
        </w:rPr>
        <w:t xml:space="preserve"> </w:t>
      </w:r>
      <w:r w:rsidR="00DF6CA0">
        <w:rPr>
          <w:sz w:val="26"/>
          <w:szCs w:val="26"/>
        </w:rPr>
        <w:tab/>
      </w:r>
      <w:r w:rsidR="00DF6CA0">
        <w:rPr>
          <w:sz w:val="26"/>
          <w:szCs w:val="26"/>
        </w:rPr>
        <w:tab/>
      </w:r>
      <w:r w:rsidRPr="00D9481C">
        <w:rPr>
          <w:sz w:val="26"/>
          <w:szCs w:val="26"/>
        </w:rPr>
        <w:t>PECO argue</w:t>
      </w:r>
      <w:r w:rsidR="00D503D7">
        <w:rPr>
          <w:sz w:val="26"/>
          <w:szCs w:val="26"/>
        </w:rPr>
        <w:t>d</w:t>
      </w:r>
      <w:r w:rsidRPr="00D9481C">
        <w:rPr>
          <w:sz w:val="26"/>
          <w:szCs w:val="26"/>
        </w:rPr>
        <w:t xml:space="preserve"> that it is also receiving bill credits for a second time period (beginning January 1, 2011), during which the charges were included in PECO’s rates and were paid by PECO’s customers. </w:t>
      </w:r>
      <w:r w:rsidR="005B6F58">
        <w:rPr>
          <w:sz w:val="26"/>
          <w:szCs w:val="26"/>
        </w:rPr>
        <w:t xml:space="preserve"> The Company contend</w:t>
      </w:r>
      <w:r w:rsidR="00D503D7">
        <w:rPr>
          <w:sz w:val="26"/>
          <w:szCs w:val="26"/>
        </w:rPr>
        <w:t>ed</w:t>
      </w:r>
      <w:r w:rsidR="005B6F58">
        <w:rPr>
          <w:sz w:val="26"/>
          <w:szCs w:val="26"/>
        </w:rPr>
        <w:t xml:space="preserve"> </w:t>
      </w:r>
      <w:r w:rsidRPr="00D9481C">
        <w:rPr>
          <w:sz w:val="26"/>
          <w:szCs w:val="26"/>
        </w:rPr>
        <w:t>that it is refunding to customers all of the RTEP bill credits (totaling approximately $77.5 million) that relate to transmission service PECO obtained from PJM during the period from and after January</w:t>
      </w:r>
      <w:r w:rsidR="00783D77">
        <w:rPr>
          <w:sz w:val="26"/>
          <w:szCs w:val="26"/>
        </w:rPr>
        <w:t> </w:t>
      </w:r>
      <w:r w:rsidRPr="00D9481C">
        <w:rPr>
          <w:sz w:val="26"/>
          <w:szCs w:val="26"/>
        </w:rPr>
        <w:t xml:space="preserve">1, 2011, when it first put in place, with </w:t>
      </w:r>
      <w:r w:rsidR="000C3716">
        <w:rPr>
          <w:sz w:val="26"/>
          <w:szCs w:val="26"/>
        </w:rPr>
        <w:t>Commission</w:t>
      </w:r>
      <w:r w:rsidRPr="00D9481C">
        <w:rPr>
          <w:sz w:val="26"/>
          <w:szCs w:val="26"/>
        </w:rPr>
        <w:t xml:space="preserve"> approval, a reconcilable automatic adjustment clause to provide dollar-for-dollar recovery from customers of PECO’s transmission costs, including RTEP.</w:t>
      </w:r>
      <w:r w:rsidR="000C3716">
        <w:rPr>
          <w:sz w:val="26"/>
          <w:szCs w:val="26"/>
        </w:rPr>
        <w:t xml:space="preserve">  </w:t>
      </w:r>
      <w:r w:rsidRPr="00D9481C">
        <w:rPr>
          <w:sz w:val="26"/>
          <w:szCs w:val="26"/>
        </w:rPr>
        <w:t>PECO M</w:t>
      </w:r>
      <w:r w:rsidR="000C3716">
        <w:rPr>
          <w:sz w:val="26"/>
          <w:szCs w:val="26"/>
        </w:rPr>
        <w:t>.</w:t>
      </w:r>
      <w:r w:rsidRPr="00D9481C">
        <w:rPr>
          <w:sz w:val="26"/>
          <w:szCs w:val="26"/>
        </w:rPr>
        <w:t>B</w:t>
      </w:r>
      <w:r w:rsidR="000C3716">
        <w:rPr>
          <w:sz w:val="26"/>
          <w:szCs w:val="26"/>
        </w:rPr>
        <w:t>.</w:t>
      </w:r>
      <w:r w:rsidRPr="00D9481C">
        <w:rPr>
          <w:sz w:val="26"/>
          <w:szCs w:val="26"/>
        </w:rPr>
        <w:t xml:space="preserve"> at 1.</w:t>
      </w:r>
    </w:p>
    <w:p w14:paraId="1C2BBF25" w14:textId="36227BFE" w:rsidR="00D9481C" w:rsidRPr="00D9481C" w:rsidRDefault="00D9481C" w:rsidP="005B6F58">
      <w:pPr>
        <w:autoSpaceDE w:val="0"/>
        <w:autoSpaceDN w:val="0"/>
        <w:adjustRightInd w:val="0"/>
        <w:spacing w:after="0" w:line="360" w:lineRule="auto"/>
        <w:ind w:firstLine="1440"/>
        <w:rPr>
          <w:rFonts w:ascii="Times New Roman" w:hAnsi="Times New Roman" w:cs="Times New Roman"/>
          <w:color w:val="000000"/>
          <w:sz w:val="26"/>
          <w:szCs w:val="26"/>
        </w:rPr>
      </w:pPr>
      <w:r w:rsidRPr="00D9481C">
        <w:rPr>
          <w:rFonts w:ascii="Times New Roman" w:hAnsi="Times New Roman" w:cs="Times New Roman"/>
          <w:color w:val="000000"/>
          <w:sz w:val="26"/>
          <w:szCs w:val="26"/>
        </w:rPr>
        <w:t xml:space="preserve"> </w:t>
      </w:r>
    </w:p>
    <w:p w14:paraId="00084D01" w14:textId="77777777" w:rsidR="00C44452" w:rsidRDefault="00351520" w:rsidP="00351520">
      <w:pPr>
        <w:autoSpaceDE w:val="0"/>
        <w:autoSpaceDN w:val="0"/>
        <w:adjustRightInd w:val="0"/>
        <w:spacing w:after="0" w:line="360" w:lineRule="auto"/>
        <w:ind w:firstLine="1440"/>
        <w:rPr>
          <w:rFonts w:ascii="Times New Roman" w:hAnsi="Times New Roman" w:cs="Times New Roman"/>
          <w:color w:val="000000"/>
          <w:sz w:val="26"/>
          <w:szCs w:val="26"/>
        </w:rPr>
      </w:pPr>
      <w:r>
        <w:rPr>
          <w:rFonts w:ascii="Times New Roman" w:hAnsi="Times New Roman" w:cs="Times New Roman"/>
          <w:color w:val="000000"/>
          <w:sz w:val="26"/>
          <w:szCs w:val="26"/>
        </w:rPr>
        <w:t xml:space="preserve">Additionally, </w:t>
      </w:r>
      <w:r w:rsidR="00D9481C" w:rsidRPr="00D9481C">
        <w:rPr>
          <w:rFonts w:ascii="Times New Roman" w:hAnsi="Times New Roman" w:cs="Times New Roman"/>
          <w:color w:val="000000"/>
          <w:sz w:val="26"/>
          <w:szCs w:val="26"/>
        </w:rPr>
        <w:t xml:space="preserve">PECO </w:t>
      </w:r>
      <w:r w:rsidR="00326676">
        <w:rPr>
          <w:rFonts w:ascii="Times New Roman" w:hAnsi="Times New Roman" w:cs="Times New Roman"/>
          <w:color w:val="000000"/>
          <w:sz w:val="26"/>
          <w:szCs w:val="26"/>
        </w:rPr>
        <w:t>submit</w:t>
      </w:r>
      <w:r w:rsidR="00D503D7">
        <w:rPr>
          <w:rFonts w:ascii="Times New Roman" w:hAnsi="Times New Roman" w:cs="Times New Roman"/>
          <w:color w:val="000000"/>
          <w:sz w:val="26"/>
          <w:szCs w:val="26"/>
        </w:rPr>
        <w:t>ted</w:t>
      </w:r>
      <w:r w:rsidR="00326676">
        <w:rPr>
          <w:rFonts w:ascii="Times New Roman" w:hAnsi="Times New Roman" w:cs="Times New Roman"/>
          <w:color w:val="000000"/>
          <w:sz w:val="26"/>
          <w:szCs w:val="26"/>
        </w:rPr>
        <w:t xml:space="preserve"> </w:t>
      </w:r>
      <w:r w:rsidR="00D9481C" w:rsidRPr="00D9481C">
        <w:rPr>
          <w:rFonts w:ascii="Times New Roman" w:hAnsi="Times New Roman" w:cs="Times New Roman"/>
          <w:color w:val="000000"/>
          <w:sz w:val="26"/>
          <w:szCs w:val="26"/>
        </w:rPr>
        <w:t xml:space="preserve">that the net retrospective billing adjustments made by PJM </w:t>
      </w:r>
      <w:r w:rsidR="00326676">
        <w:rPr>
          <w:rFonts w:ascii="Times New Roman" w:hAnsi="Times New Roman" w:cs="Times New Roman"/>
          <w:color w:val="000000"/>
          <w:sz w:val="26"/>
          <w:szCs w:val="26"/>
        </w:rPr>
        <w:t xml:space="preserve">– </w:t>
      </w:r>
      <w:r w:rsidR="00D9481C" w:rsidRPr="00D9481C">
        <w:rPr>
          <w:rFonts w:ascii="Times New Roman" w:hAnsi="Times New Roman" w:cs="Times New Roman"/>
          <w:color w:val="000000"/>
          <w:sz w:val="26"/>
          <w:szCs w:val="26"/>
        </w:rPr>
        <w:t xml:space="preserve">that relate to periods when PECO had the opportunity to recover the underlying costs from customers on a reconcilable basis and imposed those charges on its customers </w:t>
      </w:r>
      <w:r w:rsidR="00326676">
        <w:rPr>
          <w:rFonts w:ascii="Times New Roman" w:hAnsi="Times New Roman" w:cs="Times New Roman"/>
          <w:color w:val="000000"/>
          <w:sz w:val="26"/>
          <w:szCs w:val="26"/>
        </w:rPr>
        <w:t xml:space="preserve">– </w:t>
      </w:r>
      <w:r w:rsidR="00D9481C" w:rsidRPr="00D9481C">
        <w:rPr>
          <w:rFonts w:ascii="Times New Roman" w:hAnsi="Times New Roman" w:cs="Times New Roman"/>
          <w:color w:val="000000"/>
          <w:sz w:val="26"/>
          <w:szCs w:val="26"/>
        </w:rPr>
        <w:t xml:space="preserve">are already flowing through to customers today. </w:t>
      </w:r>
      <w:r w:rsidR="00326676">
        <w:rPr>
          <w:rFonts w:ascii="Times New Roman" w:hAnsi="Times New Roman" w:cs="Times New Roman"/>
          <w:color w:val="000000"/>
          <w:sz w:val="26"/>
          <w:szCs w:val="26"/>
        </w:rPr>
        <w:t xml:space="preserve"> </w:t>
      </w:r>
      <w:r w:rsidR="00D9481C" w:rsidRPr="00D9481C">
        <w:rPr>
          <w:rFonts w:ascii="Times New Roman" w:hAnsi="Times New Roman" w:cs="Times New Roman"/>
          <w:color w:val="000000"/>
          <w:sz w:val="26"/>
          <w:szCs w:val="26"/>
        </w:rPr>
        <w:t xml:space="preserve">However, PECO </w:t>
      </w:r>
      <w:r w:rsidR="00C44452">
        <w:rPr>
          <w:rFonts w:ascii="Times New Roman" w:hAnsi="Times New Roman" w:cs="Times New Roman"/>
          <w:color w:val="000000"/>
          <w:sz w:val="26"/>
          <w:szCs w:val="26"/>
        </w:rPr>
        <w:t xml:space="preserve">contended that </w:t>
      </w:r>
      <w:r w:rsidR="00D9481C" w:rsidRPr="00D9481C">
        <w:rPr>
          <w:rFonts w:ascii="Times New Roman" w:hAnsi="Times New Roman" w:cs="Times New Roman"/>
          <w:color w:val="000000"/>
          <w:sz w:val="26"/>
          <w:szCs w:val="26"/>
        </w:rPr>
        <w:t xml:space="preserve">it should not be required to transfer to customers PJM bill credits related to costs that were never included in PECO’s rates and which its customers never paid in the first place. </w:t>
      </w:r>
      <w:r w:rsidR="00C44452">
        <w:rPr>
          <w:rFonts w:ascii="Times New Roman" w:hAnsi="Times New Roman" w:cs="Times New Roman"/>
          <w:color w:val="000000"/>
          <w:sz w:val="26"/>
          <w:szCs w:val="26"/>
        </w:rPr>
        <w:t xml:space="preserve"> </w:t>
      </w:r>
      <w:r w:rsidR="00D9481C" w:rsidRPr="00D9481C">
        <w:rPr>
          <w:rFonts w:ascii="Times New Roman" w:hAnsi="Times New Roman" w:cs="Times New Roman"/>
          <w:color w:val="000000"/>
          <w:sz w:val="26"/>
          <w:szCs w:val="26"/>
        </w:rPr>
        <w:t>PECO M</w:t>
      </w:r>
      <w:r w:rsidR="00C44452">
        <w:rPr>
          <w:rFonts w:ascii="Times New Roman" w:hAnsi="Times New Roman" w:cs="Times New Roman"/>
          <w:color w:val="000000"/>
          <w:sz w:val="26"/>
          <w:szCs w:val="26"/>
        </w:rPr>
        <w:t>.</w:t>
      </w:r>
      <w:r w:rsidR="00D9481C" w:rsidRPr="00D9481C">
        <w:rPr>
          <w:rFonts w:ascii="Times New Roman" w:hAnsi="Times New Roman" w:cs="Times New Roman"/>
          <w:color w:val="000000"/>
          <w:sz w:val="26"/>
          <w:szCs w:val="26"/>
        </w:rPr>
        <w:t>B</w:t>
      </w:r>
      <w:r w:rsidR="00C44452">
        <w:rPr>
          <w:rFonts w:ascii="Times New Roman" w:hAnsi="Times New Roman" w:cs="Times New Roman"/>
          <w:color w:val="000000"/>
          <w:sz w:val="26"/>
          <w:szCs w:val="26"/>
        </w:rPr>
        <w:t>.</w:t>
      </w:r>
      <w:r w:rsidR="00D9481C" w:rsidRPr="00D9481C">
        <w:rPr>
          <w:rFonts w:ascii="Times New Roman" w:hAnsi="Times New Roman" w:cs="Times New Roman"/>
          <w:color w:val="000000"/>
          <w:sz w:val="26"/>
          <w:szCs w:val="26"/>
        </w:rPr>
        <w:t xml:space="preserve"> at 1.</w:t>
      </w:r>
    </w:p>
    <w:p w14:paraId="5550AD15" w14:textId="74085DED" w:rsidR="00D9481C" w:rsidRPr="00D9481C" w:rsidRDefault="00D9481C" w:rsidP="00351520">
      <w:pPr>
        <w:autoSpaceDE w:val="0"/>
        <w:autoSpaceDN w:val="0"/>
        <w:adjustRightInd w:val="0"/>
        <w:spacing w:after="0" w:line="360" w:lineRule="auto"/>
        <w:ind w:firstLine="1440"/>
        <w:rPr>
          <w:rFonts w:ascii="Times New Roman" w:hAnsi="Times New Roman" w:cs="Times New Roman"/>
          <w:color w:val="000000"/>
          <w:sz w:val="26"/>
          <w:szCs w:val="26"/>
        </w:rPr>
      </w:pPr>
      <w:r w:rsidRPr="00D9481C">
        <w:rPr>
          <w:rFonts w:ascii="Times New Roman" w:hAnsi="Times New Roman" w:cs="Times New Roman"/>
          <w:color w:val="000000"/>
          <w:sz w:val="26"/>
          <w:szCs w:val="26"/>
        </w:rPr>
        <w:t xml:space="preserve"> </w:t>
      </w:r>
    </w:p>
    <w:p w14:paraId="41581489" w14:textId="77777777" w:rsidR="00F30D25" w:rsidRDefault="00C44452" w:rsidP="00C44452">
      <w:pPr>
        <w:pStyle w:val="Default"/>
        <w:spacing w:line="360" w:lineRule="auto"/>
        <w:ind w:firstLine="1440"/>
        <w:rPr>
          <w:sz w:val="26"/>
          <w:szCs w:val="26"/>
        </w:rPr>
      </w:pPr>
      <w:r>
        <w:rPr>
          <w:sz w:val="26"/>
          <w:szCs w:val="26"/>
        </w:rPr>
        <w:t xml:space="preserve">Moreover, the Company asserted </w:t>
      </w:r>
      <w:r w:rsidR="00D9481C" w:rsidRPr="00175B55">
        <w:rPr>
          <w:sz w:val="26"/>
          <w:szCs w:val="26"/>
        </w:rPr>
        <w:t xml:space="preserve">that </w:t>
      </w:r>
      <w:r w:rsidR="0055563B">
        <w:rPr>
          <w:sz w:val="26"/>
          <w:szCs w:val="26"/>
        </w:rPr>
        <w:t xml:space="preserve">the </w:t>
      </w:r>
      <w:r w:rsidR="00D9481C" w:rsidRPr="00175B55">
        <w:rPr>
          <w:sz w:val="26"/>
          <w:szCs w:val="26"/>
        </w:rPr>
        <w:t xml:space="preserve">OCA’s position is contrary to well-established law prohibiting the Commission from requiring a utility to refund </w:t>
      </w:r>
      <w:r w:rsidR="00D9481C" w:rsidRPr="00175B55">
        <w:rPr>
          <w:sz w:val="26"/>
          <w:szCs w:val="26"/>
        </w:rPr>
        <w:lastRenderedPageBreak/>
        <w:t>revenues that it collected under</w:t>
      </w:r>
      <w:r w:rsidR="0055563B">
        <w:rPr>
          <w:sz w:val="26"/>
          <w:szCs w:val="26"/>
        </w:rPr>
        <w:t xml:space="preserve"> </w:t>
      </w:r>
      <w:r w:rsidR="00736890" w:rsidRPr="00175B55">
        <w:rPr>
          <w:sz w:val="26"/>
          <w:szCs w:val="26"/>
        </w:rPr>
        <w:t xml:space="preserve">base rates that the Commission, by final Order, found and determined to be just and reasonable. </w:t>
      </w:r>
      <w:r w:rsidR="0055563B">
        <w:rPr>
          <w:sz w:val="26"/>
          <w:szCs w:val="26"/>
        </w:rPr>
        <w:t xml:space="preserve"> In support, </w:t>
      </w:r>
      <w:r w:rsidR="00736890" w:rsidRPr="00175B55">
        <w:rPr>
          <w:sz w:val="26"/>
          <w:szCs w:val="26"/>
        </w:rPr>
        <w:t xml:space="preserve">PECO </w:t>
      </w:r>
      <w:r w:rsidR="0055563B">
        <w:rPr>
          <w:sz w:val="26"/>
          <w:szCs w:val="26"/>
        </w:rPr>
        <w:t xml:space="preserve">cited to </w:t>
      </w:r>
      <w:r w:rsidR="00736890" w:rsidRPr="00175B55">
        <w:rPr>
          <w:sz w:val="26"/>
          <w:szCs w:val="26"/>
        </w:rPr>
        <w:t>the doctrine of “Commission-made rates,” which</w:t>
      </w:r>
      <w:r w:rsidR="00F30D25">
        <w:rPr>
          <w:sz w:val="26"/>
          <w:szCs w:val="26"/>
        </w:rPr>
        <w:t xml:space="preserve"> it contended</w:t>
      </w:r>
      <w:r w:rsidR="00736890" w:rsidRPr="00175B55">
        <w:rPr>
          <w:sz w:val="26"/>
          <w:szCs w:val="26"/>
        </w:rPr>
        <w:t xml:space="preserve"> has been affirmed by the Pennsylvania appellate courts and is contained in Section 316 of the Code. </w:t>
      </w:r>
      <w:r w:rsidR="00F30D25">
        <w:rPr>
          <w:sz w:val="26"/>
          <w:szCs w:val="26"/>
        </w:rPr>
        <w:t xml:space="preserve"> </w:t>
      </w:r>
      <w:r w:rsidR="00736890" w:rsidRPr="00175B55">
        <w:rPr>
          <w:sz w:val="26"/>
          <w:szCs w:val="26"/>
        </w:rPr>
        <w:t>PECO M</w:t>
      </w:r>
      <w:r w:rsidR="00F30D25">
        <w:rPr>
          <w:sz w:val="26"/>
          <w:szCs w:val="26"/>
        </w:rPr>
        <w:t>.</w:t>
      </w:r>
      <w:r w:rsidR="00736890" w:rsidRPr="00175B55">
        <w:rPr>
          <w:sz w:val="26"/>
          <w:szCs w:val="26"/>
        </w:rPr>
        <w:t>B</w:t>
      </w:r>
      <w:r w:rsidR="00F30D25">
        <w:rPr>
          <w:sz w:val="26"/>
          <w:szCs w:val="26"/>
        </w:rPr>
        <w:t>.</w:t>
      </w:r>
      <w:r w:rsidR="00736890" w:rsidRPr="00175B55">
        <w:rPr>
          <w:sz w:val="26"/>
          <w:szCs w:val="26"/>
        </w:rPr>
        <w:t xml:space="preserve"> at 2.</w:t>
      </w:r>
    </w:p>
    <w:p w14:paraId="1F68D67D" w14:textId="737A994D" w:rsidR="00736890" w:rsidRPr="00175B55" w:rsidRDefault="00736890" w:rsidP="00C44452">
      <w:pPr>
        <w:pStyle w:val="Default"/>
        <w:spacing w:line="360" w:lineRule="auto"/>
        <w:ind w:firstLine="1440"/>
        <w:rPr>
          <w:sz w:val="26"/>
          <w:szCs w:val="26"/>
        </w:rPr>
      </w:pPr>
      <w:r w:rsidRPr="00175B55">
        <w:rPr>
          <w:sz w:val="26"/>
          <w:szCs w:val="26"/>
        </w:rPr>
        <w:t xml:space="preserve"> </w:t>
      </w:r>
    </w:p>
    <w:p w14:paraId="13F93D26" w14:textId="380CAF77" w:rsidR="00736890" w:rsidRDefault="00736890" w:rsidP="00245F05">
      <w:pPr>
        <w:autoSpaceDE w:val="0"/>
        <w:autoSpaceDN w:val="0"/>
        <w:adjustRightInd w:val="0"/>
        <w:spacing w:after="0" w:line="360" w:lineRule="auto"/>
        <w:ind w:firstLine="1440"/>
        <w:rPr>
          <w:rFonts w:ascii="Times New Roman" w:hAnsi="Times New Roman" w:cs="Times New Roman"/>
          <w:color w:val="000000"/>
          <w:sz w:val="26"/>
          <w:szCs w:val="26"/>
        </w:rPr>
      </w:pPr>
      <w:r w:rsidRPr="00736890">
        <w:rPr>
          <w:rFonts w:ascii="Times New Roman" w:hAnsi="Times New Roman" w:cs="Times New Roman"/>
          <w:color w:val="000000"/>
          <w:sz w:val="26"/>
          <w:szCs w:val="26"/>
        </w:rPr>
        <w:t xml:space="preserve">PECO </w:t>
      </w:r>
      <w:r w:rsidR="00362CCE">
        <w:rPr>
          <w:rFonts w:ascii="Times New Roman" w:hAnsi="Times New Roman" w:cs="Times New Roman"/>
          <w:color w:val="000000"/>
          <w:sz w:val="26"/>
          <w:szCs w:val="26"/>
        </w:rPr>
        <w:t>addressed the testimony of the</w:t>
      </w:r>
      <w:r w:rsidRPr="00736890">
        <w:rPr>
          <w:rFonts w:ascii="Times New Roman" w:hAnsi="Times New Roman" w:cs="Times New Roman"/>
          <w:color w:val="000000"/>
          <w:sz w:val="26"/>
          <w:szCs w:val="26"/>
        </w:rPr>
        <w:t xml:space="preserve"> OCA</w:t>
      </w:r>
      <w:r w:rsidR="00362CCE">
        <w:rPr>
          <w:rFonts w:ascii="Times New Roman" w:hAnsi="Times New Roman" w:cs="Times New Roman"/>
          <w:color w:val="000000"/>
          <w:sz w:val="26"/>
          <w:szCs w:val="26"/>
        </w:rPr>
        <w:t xml:space="preserve"> witness</w:t>
      </w:r>
      <w:r w:rsidRPr="00736890">
        <w:rPr>
          <w:rFonts w:ascii="Times New Roman" w:hAnsi="Times New Roman" w:cs="Times New Roman"/>
          <w:color w:val="000000"/>
          <w:sz w:val="26"/>
          <w:szCs w:val="26"/>
        </w:rPr>
        <w:t xml:space="preserve">, Dr. Karl Pavlovic, </w:t>
      </w:r>
      <w:r w:rsidR="00362CCE">
        <w:rPr>
          <w:rFonts w:ascii="Times New Roman" w:hAnsi="Times New Roman" w:cs="Times New Roman"/>
          <w:color w:val="000000"/>
          <w:sz w:val="26"/>
          <w:szCs w:val="26"/>
        </w:rPr>
        <w:t xml:space="preserve">who </w:t>
      </w:r>
      <w:r w:rsidRPr="00736890">
        <w:rPr>
          <w:rFonts w:ascii="Times New Roman" w:hAnsi="Times New Roman" w:cs="Times New Roman"/>
          <w:color w:val="000000"/>
          <w:sz w:val="26"/>
          <w:szCs w:val="26"/>
        </w:rPr>
        <w:t>contend</w:t>
      </w:r>
      <w:r w:rsidR="00362CCE">
        <w:rPr>
          <w:rFonts w:ascii="Times New Roman" w:hAnsi="Times New Roman" w:cs="Times New Roman"/>
          <w:color w:val="000000"/>
          <w:sz w:val="26"/>
          <w:szCs w:val="26"/>
        </w:rPr>
        <w:t>ed</w:t>
      </w:r>
      <w:r w:rsidRPr="00736890">
        <w:rPr>
          <w:rFonts w:ascii="Times New Roman" w:hAnsi="Times New Roman" w:cs="Times New Roman"/>
          <w:color w:val="000000"/>
          <w:sz w:val="26"/>
          <w:szCs w:val="26"/>
        </w:rPr>
        <w:t xml:space="preserve"> that </w:t>
      </w:r>
      <w:r w:rsidR="00362CCE">
        <w:rPr>
          <w:rFonts w:ascii="Times New Roman" w:hAnsi="Times New Roman" w:cs="Times New Roman"/>
          <w:color w:val="000000"/>
          <w:sz w:val="26"/>
          <w:szCs w:val="26"/>
        </w:rPr>
        <w:t xml:space="preserve">the Company </w:t>
      </w:r>
      <w:r w:rsidRPr="00736890">
        <w:rPr>
          <w:rFonts w:ascii="Times New Roman" w:hAnsi="Times New Roman" w:cs="Times New Roman"/>
          <w:color w:val="000000"/>
          <w:sz w:val="26"/>
          <w:szCs w:val="26"/>
        </w:rPr>
        <w:t xml:space="preserve">should refund RTEP bill credits related to charges PJM imposed during the period </w:t>
      </w:r>
      <w:r w:rsidR="00C77A2E">
        <w:rPr>
          <w:rFonts w:ascii="Times New Roman" w:hAnsi="Times New Roman" w:cs="Times New Roman"/>
          <w:color w:val="000000"/>
          <w:sz w:val="26"/>
          <w:szCs w:val="26"/>
        </w:rPr>
        <w:t>2007 through 2010</w:t>
      </w:r>
      <w:r w:rsidRPr="00736890">
        <w:rPr>
          <w:rFonts w:ascii="Times New Roman" w:hAnsi="Times New Roman" w:cs="Times New Roman"/>
          <w:color w:val="000000"/>
          <w:sz w:val="26"/>
          <w:szCs w:val="26"/>
        </w:rPr>
        <w:t>, because PECO allegedly recovered all of the PJM-imposed RTEP costs through some combination of retail rates and/or wholesale transmission rates within the exclusive jurisdiction of FERC.</w:t>
      </w:r>
      <w:r w:rsidR="00E707B6">
        <w:rPr>
          <w:rFonts w:ascii="Times New Roman" w:hAnsi="Times New Roman" w:cs="Times New Roman"/>
          <w:color w:val="000000"/>
          <w:sz w:val="26"/>
          <w:szCs w:val="26"/>
        </w:rPr>
        <w:t xml:space="preserve">  </w:t>
      </w:r>
      <w:r w:rsidRPr="00736890">
        <w:rPr>
          <w:rFonts w:ascii="Times New Roman" w:hAnsi="Times New Roman" w:cs="Times New Roman"/>
          <w:color w:val="000000"/>
          <w:sz w:val="26"/>
          <w:szCs w:val="26"/>
        </w:rPr>
        <w:t xml:space="preserve">PECO </w:t>
      </w:r>
      <w:r w:rsidR="00E707B6">
        <w:rPr>
          <w:rFonts w:ascii="Times New Roman" w:hAnsi="Times New Roman" w:cs="Times New Roman"/>
          <w:color w:val="000000"/>
          <w:sz w:val="26"/>
          <w:szCs w:val="26"/>
        </w:rPr>
        <w:t xml:space="preserve">argued that these assertions were incorrect </w:t>
      </w:r>
      <w:r w:rsidR="00FB578B">
        <w:rPr>
          <w:rFonts w:ascii="Times New Roman" w:hAnsi="Times New Roman" w:cs="Times New Roman"/>
          <w:color w:val="000000"/>
          <w:sz w:val="26"/>
          <w:szCs w:val="26"/>
        </w:rPr>
        <w:t xml:space="preserve">and that </w:t>
      </w:r>
      <w:r w:rsidRPr="00736890">
        <w:rPr>
          <w:rFonts w:ascii="Times New Roman" w:hAnsi="Times New Roman" w:cs="Times New Roman"/>
          <w:color w:val="000000"/>
          <w:sz w:val="26"/>
          <w:szCs w:val="26"/>
        </w:rPr>
        <w:t xml:space="preserve">Dr. Pavlovic </w:t>
      </w:r>
      <w:r w:rsidR="00FB578B">
        <w:rPr>
          <w:rFonts w:ascii="Times New Roman" w:hAnsi="Times New Roman" w:cs="Times New Roman"/>
          <w:color w:val="000000"/>
          <w:sz w:val="26"/>
          <w:szCs w:val="26"/>
        </w:rPr>
        <w:t xml:space="preserve">misstated the facts.  </w:t>
      </w:r>
      <w:r w:rsidRPr="00736890">
        <w:rPr>
          <w:rFonts w:ascii="Times New Roman" w:hAnsi="Times New Roman" w:cs="Times New Roman"/>
          <w:color w:val="000000"/>
          <w:sz w:val="26"/>
          <w:szCs w:val="26"/>
        </w:rPr>
        <w:t>PECO M</w:t>
      </w:r>
      <w:r w:rsidR="00FB578B">
        <w:rPr>
          <w:rFonts w:ascii="Times New Roman" w:hAnsi="Times New Roman" w:cs="Times New Roman"/>
          <w:color w:val="000000"/>
          <w:sz w:val="26"/>
          <w:szCs w:val="26"/>
        </w:rPr>
        <w:t>.</w:t>
      </w:r>
      <w:r w:rsidRPr="00736890">
        <w:rPr>
          <w:rFonts w:ascii="Times New Roman" w:hAnsi="Times New Roman" w:cs="Times New Roman"/>
          <w:color w:val="000000"/>
          <w:sz w:val="26"/>
          <w:szCs w:val="26"/>
        </w:rPr>
        <w:t>B</w:t>
      </w:r>
      <w:r w:rsidR="00FB578B">
        <w:rPr>
          <w:rFonts w:ascii="Times New Roman" w:hAnsi="Times New Roman" w:cs="Times New Roman"/>
          <w:color w:val="000000"/>
          <w:sz w:val="26"/>
          <w:szCs w:val="26"/>
        </w:rPr>
        <w:t>.</w:t>
      </w:r>
      <w:r w:rsidRPr="00736890">
        <w:rPr>
          <w:rFonts w:ascii="Times New Roman" w:hAnsi="Times New Roman" w:cs="Times New Roman"/>
          <w:color w:val="000000"/>
          <w:sz w:val="26"/>
          <w:szCs w:val="26"/>
        </w:rPr>
        <w:t xml:space="preserve"> at 2. </w:t>
      </w:r>
    </w:p>
    <w:p w14:paraId="47778E12" w14:textId="77777777" w:rsidR="00FB578B" w:rsidRPr="00736890" w:rsidRDefault="00FB578B" w:rsidP="00245F05">
      <w:pPr>
        <w:autoSpaceDE w:val="0"/>
        <w:autoSpaceDN w:val="0"/>
        <w:adjustRightInd w:val="0"/>
        <w:spacing w:after="0" w:line="360" w:lineRule="auto"/>
        <w:ind w:firstLine="1440"/>
        <w:rPr>
          <w:rFonts w:ascii="Times New Roman" w:hAnsi="Times New Roman" w:cs="Times New Roman"/>
          <w:color w:val="000000"/>
          <w:sz w:val="26"/>
          <w:szCs w:val="26"/>
        </w:rPr>
      </w:pPr>
    </w:p>
    <w:p w14:paraId="5BAB9612" w14:textId="2F993D5C" w:rsidR="00736890" w:rsidRDefault="00736890" w:rsidP="007622BA">
      <w:pPr>
        <w:autoSpaceDE w:val="0"/>
        <w:autoSpaceDN w:val="0"/>
        <w:adjustRightInd w:val="0"/>
        <w:spacing w:after="0" w:line="360" w:lineRule="auto"/>
        <w:ind w:firstLine="1440"/>
        <w:rPr>
          <w:rFonts w:ascii="Times New Roman" w:hAnsi="Times New Roman" w:cs="Times New Roman"/>
          <w:color w:val="000000"/>
          <w:sz w:val="26"/>
          <w:szCs w:val="26"/>
        </w:rPr>
      </w:pPr>
      <w:r w:rsidRPr="00736890">
        <w:rPr>
          <w:rFonts w:ascii="Times New Roman" w:hAnsi="Times New Roman" w:cs="Times New Roman"/>
          <w:color w:val="000000"/>
          <w:sz w:val="26"/>
          <w:szCs w:val="26"/>
        </w:rPr>
        <w:t>PECO also assert</w:t>
      </w:r>
      <w:r w:rsidR="004D6725">
        <w:rPr>
          <w:rFonts w:ascii="Times New Roman" w:hAnsi="Times New Roman" w:cs="Times New Roman"/>
          <w:color w:val="000000"/>
          <w:sz w:val="26"/>
          <w:szCs w:val="26"/>
        </w:rPr>
        <w:t>ed</w:t>
      </w:r>
      <w:r w:rsidRPr="00736890">
        <w:rPr>
          <w:rFonts w:ascii="Times New Roman" w:hAnsi="Times New Roman" w:cs="Times New Roman"/>
          <w:color w:val="000000"/>
          <w:sz w:val="26"/>
          <w:szCs w:val="26"/>
        </w:rPr>
        <w:t xml:space="preserve"> that neither the NBT nor PECO’s Transmission Service Charge (TSC), the Section 1307 adjustment charge that preceded the NBT, was in effect until January 1, 2011. </w:t>
      </w:r>
      <w:r w:rsidR="004D6725">
        <w:rPr>
          <w:rFonts w:ascii="Times New Roman" w:hAnsi="Times New Roman" w:cs="Times New Roman"/>
          <w:color w:val="000000"/>
          <w:sz w:val="26"/>
          <w:szCs w:val="26"/>
        </w:rPr>
        <w:t xml:space="preserve"> </w:t>
      </w:r>
      <w:r w:rsidRPr="00736890">
        <w:rPr>
          <w:rFonts w:ascii="Times New Roman" w:hAnsi="Times New Roman" w:cs="Times New Roman"/>
          <w:color w:val="000000"/>
          <w:sz w:val="26"/>
          <w:szCs w:val="26"/>
        </w:rPr>
        <w:t xml:space="preserve">Prior to that date, PECO </w:t>
      </w:r>
      <w:r w:rsidR="004D6725">
        <w:rPr>
          <w:rFonts w:ascii="Times New Roman" w:hAnsi="Times New Roman" w:cs="Times New Roman"/>
          <w:color w:val="000000"/>
          <w:sz w:val="26"/>
          <w:szCs w:val="26"/>
        </w:rPr>
        <w:t>explained</w:t>
      </w:r>
      <w:r w:rsidRPr="00736890">
        <w:rPr>
          <w:rFonts w:ascii="Times New Roman" w:hAnsi="Times New Roman" w:cs="Times New Roman"/>
          <w:color w:val="000000"/>
          <w:sz w:val="26"/>
          <w:szCs w:val="26"/>
        </w:rPr>
        <w:t xml:space="preserve"> that it recovered transmission costs through the PTC component of its base rates that the Commission found and determined to be just and reasonable in PECO’s 1989 base rate case, and was reaffirmed in </w:t>
      </w:r>
      <w:r w:rsidR="00E95A69" w:rsidRPr="00377635">
        <w:rPr>
          <w:rFonts w:ascii="Times New Roman" w:hAnsi="Times New Roman" w:cs="Times New Roman"/>
          <w:i/>
          <w:iCs/>
          <w:sz w:val="26"/>
          <w:szCs w:val="26"/>
        </w:rPr>
        <w:t>PECO Restructuring Order</w:t>
      </w:r>
      <w:r w:rsidRPr="00736890">
        <w:rPr>
          <w:rFonts w:ascii="Times New Roman" w:hAnsi="Times New Roman" w:cs="Times New Roman"/>
          <w:color w:val="000000"/>
          <w:sz w:val="26"/>
          <w:szCs w:val="26"/>
        </w:rPr>
        <w:t xml:space="preserve">. </w:t>
      </w:r>
      <w:r w:rsidR="00E95A69">
        <w:rPr>
          <w:rFonts w:ascii="Times New Roman" w:hAnsi="Times New Roman" w:cs="Times New Roman"/>
          <w:color w:val="000000"/>
          <w:sz w:val="26"/>
          <w:szCs w:val="26"/>
        </w:rPr>
        <w:t xml:space="preserve"> Although</w:t>
      </w:r>
      <w:r w:rsidRPr="00736890">
        <w:rPr>
          <w:rFonts w:ascii="Times New Roman" w:hAnsi="Times New Roman" w:cs="Times New Roman"/>
          <w:color w:val="000000"/>
          <w:sz w:val="26"/>
          <w:szCs w:val="26"/>
        </w:rPr>
        <w:t xml:space="preserve"> PECO </w:t>
      </w:r>
      <w:r w:rsidR="00B35833">
        <w:rPr>
          <w:rFonts w:ascii="Times New Roman" w:hAnsi="Times New Roman" w:cs="Times New Roman"/>
          <w:color w:val="000000"/>
          <w:sz w:val="26"/>
          <w:szCs w:val="26"/>
        </w:rPr>
        <w:t>noted</w:t>
      </w:r>
      <w:r w:rsidRPr="00736890">
        <w:rPr>
          <w:rFonts w:ascii="Times New Roman" w:hAnsi="Times New Roman" w:cs="Times New Roman"/>
          <w:color w:val="000000"/>
          <w:sz w:val="26"/>
          <w:szCs w:val="26"/>
        </w:rPr>
        <w:t xml:space="preserve"> that </w:t>
      </w:r>
      <w:r w:rsidR="00E95A69">
        <w:rPr>
          <w:rFonts w:ascii="Times New Roman" w:hAnsi="Times New Roman" w:cs="Times New Roman"/>
          <w:color w:val="000000"/>
          <w:sz w:val="26"/>
          <w:szCs w:val="26"/>
        </w:rPr>
        <w:t xml:space="preserve">the </w:t>
      </w:r>
      <w:r w:rsidRPr="00736890">
        <w:rPr>
          <w:rFonts w:ascii="Times New Roman" w:hAnsi="Times New Roman" w:cs="Times New Roman"/>
          <w:color w:val="000000"/>
          <w:sz w:val="26"/>
          <w:szCs w:val="26"/>
        </w:rPr>
        <w:t xml:space="preserve">OCA’s Complaints are a </w:t>
      </w:r>
      <w:r w:rsidR="00C639C9">
        <w:rPr>
          <w:rFonts w:ascii="Times New Roman" w:hAnsi="Times New Roman" w:cs="Times New Roman"/>
          <w:color w:val="000000"/>
          <w:sz w:val="26"/>
          <w:szCs w:val="26"/>
        </w:rPr>
        <w:t xml:space="preserve">purported </w:t>
      </w:r>
      <w:r w:rsidRPr="00736890">
        <w:rPr>
          <w:rFonts w:ascii="Times New Roman" w:hAnsi="Times New Roman" w:cs="Times New Roman"/>
          <w:color w:val="000000"/>
          <w:sz w:val="26"/>
          <w:szCs w:val="26"/>
        </w:rPr>
        <w:t>challenge to PECO’s NBT charges, PECO assert</w:t>
      </w:r>
      <w:r w:rsidR="00B35833">
        <w:rPr>
          <w:rFonts w:ascii="Times New Roman" w:hAnsi="Times New Roman" w:cs="Times New Roman"/>
          <w:color w:val="000000"/>
          <w:sz w:val="26"/>
          <w:szCs w:val="26"/>
        </w:rPr>
        <w:t>ed</w:t>
      </w:r>
      <w:r w:rsidRPr="00736890">
        <w:rPr>
          <w:rFonts w:ascii="Times New Roman" w:hAnsi="Times New Roman" w:cs="Times New Roman"/>
          <w:color w:val="000000"/>
          <w:sz w:val="26"/>
          <w:szCs w:val="26"/>
        </w:rPr>
        <w:t xml:space="preserve"> that in reality </w:t>
      </w:r>
      <w:r w:rsidR="00B35833">
        <w:rPr>
          <w:rFonts w:ascii="Times New Roman" w:hAnsi="Times New Roman" w:cs="Times New Roman"/>
          <w:color w:val="000000"/>
          <w:sz w:val="26"/>
          <w:szCs w:val="26"/>
        </w:rPr>
        <w:t xml:space="preserve">the </w:t>
      </w:r>
      <w:r w:rsidRPr="00736890">
        <w:rPr>
          <w:rFonts w:ascii="Times New Roman" w:hAnsi="Times New Roman" w:cs="Times New Roman"/>
          <w:color w:val="000000"/>
          <w:sz w:val="26"/>
          <w:szCs w:val="26"/>
        </w:rPr>
        <w:t xml:space="preserve">OCA is asking the Commission to order PECO to pay credits to customers for PECO’s overpayment of RTEP costs that were not included in base rates or passed through an automatic adjustment clause to customers. </w:t>
      </w:r>
      <w:r w:rsidR="00B35833">
        <w:rPr>
          <w:rFonts w:ascii="Times New Roman" w:hAnsi="Times New Roman" w:cs="Times New Roman"/>
          <w:color w:val="000000"/>
          <w:sz w:val="26"/>
          <w:szCs w:val="26"/>
        </w:rPr>
        <w:t xml:space="preserve"> </w:t>
      </w:r>
      <w:r w:rsidRPr="00736890">
        <w:rPr>
          <w:rFonts w:ascii="Times New Roman" w:hAnsi="Times New Roman" w:cs="Times New Roman"/>
          <w:color w:val="000000"/>
          <w:sz w:val="26"/>
          <w:szCs w:val="26"/>
        </w:rPr>
        <w:t>PECO R</w:t>
      </w:r>
      <w:r w:rsidR="00B35833">
        <w:rPr>
          <w:rFonts w:ascii="Times New Roman" w:hAnsi="Times New Roman" w:cs="Times New Roman"/>
          <w:color w:val="000000"/>
          <w:sz w:val="26"/>
          <w:szCs w:val="26"/>
        </w:rPr>
        <w:t>.</w:t>
      </w:r>
      <w:r w:rsidRPr="00736890">
        <w:rPr>
          <w:rFonts w:ascii="Times New Roman" w:hAnsi="Times New Roman" w:cs="Times New Roman"/>
          <w:color w:val="000000"/>
          <w:sz w:val="26"/>
          <w:szCs w:val="26"/>
        </w:rPr>
        <w:t>B</w:t>
      </w:r>
      <w:r w:rsidR="00B35833">
        <w:rPr>
          <w:rFonts w:ascii="Times New Roman" w:hAnsi="Times New Roman" w:cs="Times New Roman"/>
          <w:color w:val="000000"/>
          <w:sz w:val="26"/>
          <w:szCs w:val="26"/>
        </w:rPr>
        <w:t>.</w:t>
      </w:r>
      <w:r w:rsidRPr="00736890">
        <w:rPr>
          <w:rFonts w:ascii="Times New Roman" w:hAnsi="Times New Roman" w:cs="Times New Roman"/>
          <w:color w:val="000000"/>
          <w:sz w:val="26"/>
          <w:szCs w:val="26"/>
        </w:rPr>
        <w:t xml:space="preserve"> at 1-2. </w:t>
      </w:r>
    </w:p>
    <w:p w14:paraId="24D3D195" w14:textId="77777777" w:rsidR="00C16547" w:rsidRPr="00736890" w:rsidRDefault="00C16547" w:rsidP="007622BA">
      <w:pPr>
        <w:autoSpaceDE w:val="0"/>
        <w:autoSpaceDN w:val="0"/>
        <w:adjustRightInd w:val="0"/>
        <w:spacing w:after="0" w:line="360" w:lineRule="auto"/>
        <w:ind w:firstLine="1440"/>
        <w:rPr>
          <w:rFonts w:ascii="Times New Roman" w:hAnsi="Times New Roman" w:cs="Times New Roman"/>
          <w:color w:val="000000"/>
          <w:sz w:val="26"/>
          <w:szCs w:val="26"/>
        </w:rPr>
      </w:pPr>
    </w:p>
    <w:p w14:paraId="0CF947BC" w14:textId="70831ECC" w:rsidR="007C5303" w:rsidRPr="00175B55" w:rsidRDefault="00736890" w:rsidP="00C639C9">
      <w:pPr>
        <w:keepNext/>
        <w:keepLines/>
        <w:spacing w:after="0" w:line="360" w:lineRule="auto"/>
        <w:ind w:firstLine="1440"/>
        <w:rPr>
          <w:rFonts w:ascii="Times New Roman" w:hAnsi="Times New Roman" w:cs="Times New Roman"/>
          <w:color w:val="000000"/>
          <w:sz w:val="26"/>
          <w:szCs w:val="26"/>
        </w:rPr>
      </w:pPr>
      <w:r w:rsidRPr="00175B55">
        <w:rPr>
          <w:rFonts w:ascii="Times New Roman" w:hAnsi="Times New Roman" w:cs="Times New Roman"/>
          <w:color w:val="000000"/>
          <w:sz w:val="26"/>
          <w:szCs w:val="26"/>
        </w:rPr>
        <w:lastRenderedPageBreak/>
        <w:t xml:space="preserve">PECO </w:t>
      </w:r>
      <w:r w:rsidR="000071AE">
        <w:rPr>
          <w:rFonts w:ascii="Times New Roman" w:hAnsi="Times New Roman" w:cs="Times New Roman"/>
          <w:color w:val="000000"/>
          <w:sz w:val="26"/>
          <w:szCs w:val="26"/>
        </w:rPr>
        <w:t>argued that the</w:t>
      </w:r>
      <w:r w:rsidRPr="00175B55">
        <w:rPr>
          <w:rFonts w:ascii="Times New Roman" w:hAnsi="Times New Roman" w:cs="Times New Roman"/>
          <w:color w:val="000000"/>
          <w:sz w:val="26"/>
          <w:szCs w:val="26"/>
        </w:rPr>
        <w:t xml:space="preserve"> OCA is requesting </w:t>
      </w:r>
      <w:r w:rsidR="000071AE">
        <w:rPr>
          <w:rFonts w:ascii="Times New Roman" w:hAnsi="Times New Roman" w:cs="Times New Roman"/>
          <w:color w:val="000000"/>
          <w:sz w:val="26"/>
          <w:szCs w:val="26"/>
        </w:rPr>
        <w:t>a violation of</w:t>
      </w:r>
      <w:r w:rsidRPr="00175B55">
        <w:rPr>
          <w:rFonts w:ascii="Times New Roman" w:hAnsi="Times New Roman" w:cs="Times New Roman"/>
          <w:color w:val="000000"/>
          <w:sz w:val="26"/>
          <w:szCs w:val="26"/>
        </w:rPr>
        <w:t xml:space="preserve"> well-established Pennsylvania appellate precedent which prohibits adjustments to previously approved, Commission-made rates to retroactively refund a portion of the revenues PECO billed and collected under those rates a decade or more ago. </w:t>
      </w:r>
      <w:r w:rsidR="000071AE">
        <w:rPr>
          <w:rFonts w:ascii="Times New Roman" w:hAnsi="Times New Roman" w:cs="Times New Roman"/>
          <w:color w:val="000000"/>
          <w:sz w:val="26"/>
          <w:szCs w:val="26"/>
        </w:rPr>
        <w:t xml:space="preserve"> The Company contended t</w:t>
      </w:r>
      <w:r w:rsidRPr="00175B55">
        <w:rPr>
          <w:rFonts w:ascii="Times New Roman" w:hAnsi="Times New Roman" w:cs="Times New Roman"/>
          <w:color w:val="000000"/>
          <w:sz w:val="26"/>
          <w:szCs w:val="26"/>
        </w:rPr>
        <w:t xml:space="preserve">hat the unfairness of retroactively adjusting base rates that the Commission found to be just and reasonable is compounded because the bill credits at issue relate only to RTEP charges that were never included in the base rates the Company charged to customers during the </w:t>
      </w:r>
      <w:r w:rsidR="00C77A2E">
        <w:rPr>
          <w:rFonts w:ascii="Times New Roman" w:hAnsi="Times New Roman" w:cs="Times New Roman"/>
          <w:color w:val="000000"/>
          <w:sz w:val="26"/>
          <w:szCs w:val="26"/>
        </w:rPr>
        <w:t>2007 through 2010</w:t>
      </w:r>
      <w:r w:rsidRPr="00175B55">
        <w:rPr>
          <w:rFonts w:ascii="Times New Roman" w:hAnsi="Times New Roman" w:cs="Times New Roman"/>
          <w:color w:val="000000"/>
          <w:sz w:val="26"/>
          <w:szCs w:val="26"/>
        </w:rPr>
        <w:t xml:space="preserve"> period that those credits cover. </w:t>
      </w:r>
      <w:r w:rsidR="000071AE">
        <w:rPr>
          <w:rFonts w:ascii="Times New Roman" w:hAnsi="Times New Roman" w:cs="Times New Roman"/>
          <w:color w:val="000000"/>
          <w:sz w:val="26"/>
          <w:szCs w:val="26"/>
        </w:rPr>
        <w:t xml:space="preserve"> </w:t>
      </w:r>
      <w:r w:rsidRPr="00175B55">
        <w:rPr>
          <w:rFonts w:ascii="Times New Roman" w:hAnsi="Times New Roman" w:cs="Times New Roman"/>
          <w:color w:val="000000"/>
          <w:sz w:val="26"/>
          <w:szCs w:val="26"/>
        </w:rPr>
        <w:t>PECO R</w:t>
      </w:r>
      <w:r w:rsidR="000071AE">
        <w:rPr>
          <w:rFonts w:ascii="Times New Roman" w:hAnsi="Times New Roman" w:cs="Times New Roman"/>
          <w:color w:val="000000"/>
          <w:sz w:val="26"/>
          <w:szCs w:val="26"/>
        </w:rPr>
        <w:t>.</w:t>
      </w:r>
      <w:r w:rsidRPr="00175B55">
        <w:rPr>
          <w:rFonts w:ascii="Times New Roman" w:hAnsi="Times New Roman" w:cs="Times New Roman"/>
          <w:color w:val="000000"/>
          <w:sz w:val="26"/>
          <w:szCs w:val="26"/>
        </w:rPr>
        <w:t>B</w:t>
      </w:r>
      <w:r w:rsidR="000071AE">
        <w:rPr>
          <w:rFonts w:ascii="Times New Roman" w:hAnsi="Times New Roman" w:cs="Times New Roman"/>
          <w:color w:val="000000"/>
          <w:sz w:val="26"/>
          <w:szCs w:val="26"/>
        </w:rPr>
        <w:t>.</w:t>
      </w:r>
      <w:r w:rsidRPr="00175B55">
        <w:rPr>
          <w:rFonts w:ascii="Times New Roman" w:hAnsi="Times New Roman" w:cs="Times New Roman"/>
          <w:color w:val="000000"/>
          <w:sz w:val="26"/>
          <w:szCs w:val="26"/>
        </w:rPr>
        <w:t xml:space="preserve"> at 2.</w:t>
      </w:r>
      <w:r w:rsidR="00E3444D" w:rsidRPr="00E3444D">
        <w:rPr>
          <w:rStyle w:val="FootnoteReference"/>
          <w:rFonts w:ascii="Times New Roman" w:eastAsia="Times New Roman" w:hAnsi="Times New Roman" w:cs="Times New Roman"/>
          <w:bCs/>
          <w:sz w:val="26"/>
          <w:szCs w:val="26"/>
        </w:rPr>
        <w:t xml:space="preserve"> </w:t>
      </w:r>
    </w:p>
    <w:p w14:paraId="79172E12" w14:textId="77777777" w:rsidR="000071AE" w:rsidRDefault="000071AE" w:rsidP="00175B55">
      <w:pPr>
        <w:autoSpaceDE w:val="0"/>
        <w:autoSpaceDN w:val="0"/>
        <w:adjustRightInd w:val="0"/>
        <w:spacing w:after="0" w:line="360" w:lineRule="auto"/>
        <w:rPr>
          <w:rFonts w:ascii="Times New Roman" w:hAnsi="Times New Roman" w:cs="Times New Roman"/>
          <w:color w:val="000000"/>
          <w:sz w:val="26"/>
          <w:szCs w:val="26"/>
        </w:rPr>
      </w:pPr>
    </w:p>
    <w:p w14:paraId="5191315B" w14:textId="52E6560C" w:rsidR="006D3C49" w:rsidRPr="006D3C49" w:rsidRDefault="000071AE" w:rsidP="000071AE">
      <w:pPr>
        <w:autoSpaceDE w:val="0"/>
        <w:autoSpaceDN w:val="0"/>
        <w:adjustRightInd w:val="0"/>
        <w:spacing w:after="0" w:line="360" w:lineRule="auto"/>
        <w:ind w:firstLine="1440"/>
        <w:rPr>
          <w:rFonts w:ascii="Times New Roman" w:hAnsi="Times New Roman" w:cs="Times New Roman"/>
          <w:color w:val="000000"/>
          <w:sz w:val="26"/>
          <w:szCs w:val="26"/>
        </w:rPr>
      </w:pPr>
      <w:r>
        <w:rPr>
          <w:rFonts w:ascii="Times New Roman" w:hAnsi="Times New Roman" w:cs="Times New Roman"/>
          <w:color w:val="000000"/>
          <w:sz w:val="26"/>
          <w:szCs w:val="26"/>
        </w:rPr>
        <w:t>Furthermore</w:t>
      </w:r>
      <w:r w:rsidR="006D3C49" w:rsidRPr="006D3C49">
        <w:rPr>
          <w:rFonts w:ascii="Times New Roman" w:hAnsi="Times New Roman" w:cs="Times New Roman"/>
          <w:color w:val="000000"/>
          <w:sz w:val="26"/>
          <w:szCs w:val="26"/>
        </w:rPr>
        <w:t xml:space="preserve">, PECO </w:t>
      </w:r>
      <w:r>
        <w:rPr>
          <w:rFonts w:ascii="Times New Roman" w:hAnsi="Times New Roman" w:cs="Times New Roman"/>
          <w:color w:val="000000"/>
          <w:sz w:val="26"/>
          <w:szCs w:val="26"/>
        </w:rPr>
        <w:t xml:space="preserve">submitted </w:t>
      </w:r>
      <w:r w:rsidR="006D3C49" w:rsidRPr="006D3C49">
        <w:rPr>
          <w:rFonts w:ascii="Times New Roman" w:hAnsi="Times New Roman" w:cs="Times New Roman"/>
          <w:color w:val="000000"/>
          <w:sz w:val="26"/>
          <w:szCs w:val="26"/>
        </w:rPr>
        <w:t xml:space="preserve">that it is undisputed that the base rates PECO charged to retail customers during the relevant period were established in 1989 before PJM began to impose RTEP charges. </w:t>
      </w:r>
      <w:r>
        <w:rPr>
          <w:rFonts w:ascii="Times New Roman" w:hAnsi="Times New Roman" w:cs="Times New Roman"/>
          <w:color w:val="000000"/>
          <w:sz w:val="26"/>
          <w:szCs w:val="26"/>
        </w:rPr>
        <w:t xml:space="preserve"> The Company </w:t>
      </w:r>
      <w:r w:rsidR="006D3C49" w:rsidRPr="006D3C49">
        <w:rPr>
          <w:rFonts w:ascii="Times New Roman" w:hAnsi="Times New Roman" w:cs="Times New Roman"/>
          <w:color w:val="000000"/>
          <w:sz w:val="26"/>
          <w:szCs w:val="26"/>
        </w:rPr>
        <w:t>also state</w:t>
      </w:r>
      <w:r>
        <w:rPr>
          <w:rFonts w:ascii="Times New Roman" w:hAnsi="Times New Roman" w:cs="Times New Roman"/>
          <w:color w:val="000000"/>
          <w:sz w:val="26"/>
          <w:szCs w:val="26"/>
        </w:rPr>
        <w:t>d</w:t>
      </w:r>
      <w:r w:rsidR="006D3C49" w:rsidRPr="006D3C49">
        <w:rPr>
          <w:rFonts w:ascii="Times New Roman" w:hAnsi="Times New Roman" w:cs="Times New Roman"/>
          <w:color w:val="000000"/>
          <w:sz w:val="26"/>
          <w:szCs w:val="26"/>
        </w:rPr>
        <w:t xml:space="preserve"> that during the </w:t>
      </w:r>
      <w:r w:rsidR="00C77A2E">
        <w:rPr>
          <w:rFonts w:ascii="Times New Roman" w:hAnsi="Times New Roman" w:cs="Times New Roman"/>
          <w:color w:val="000000"/>
          <w:sz w:val="26"/>
          <w:szCs w:val="26"/>
        </w:rPr>
        <w:t>2007 through 2010</w:t>
      </w:r>
      <w:r w:rsidR="006D3C49" w:rsidRPr="006D3C49">
        <w:rPr>
          <w:rFonts w:ascii="Times New Roman" w:hAnsi="Times New Roman" w:cs="Times New Roman"/>
          <w:color w:val="000000"/>
          <w:sz w:val="26"/>
          <w:szCs w:val="26"/>
        </w:rPr>
        <w:t xml:space="preserve"> period, RTEP charges were also not included in PECO’s FERC-approved wholesale transmission rate.</w:t>
      </w:r>
      <w:r w:rsidR="002D3404">
        <w:rPr>
          <w:rFonts w:ascii="Times New Roman" w:hAnsi="Times New Roman" w:cs="Times New Roman"/>
          <w:color w:val="000000"/>
          <w:sz w:val="26"/>
          <w:szCs w:val="26"/>
        </w:rPr>
        <w:t xml:space="preserve"> </w:t>
      </w:r>
      <w:r w:rsidR="006D3C49" w:rsidRPr="006D3C49">
        <w:rPr>
          <w:rFonts w:ascii="Times New Roman" w:hAnsi="Times New Roman" w:cs="Times New Roman"/>
          <w:color w:val="000000"/>
          <w:sz w:val="26"/>
          <w:szCs w:val="26"/>
        </w:rPr>
        <w:t xml:space="preserve"> PECO </w:t>
      </w:r>
      <w:r w:rsidR="00F827C8">
        <w:rPr>
          <w:rFonts w:ascii="Times New Roman" w:hAnsi="Times New Roman" w:cs="Times New Roman"/>
          <w:color w:val="000000"/>
          <w:sz w:val="26"/>
          <w:szCs w:val="26"/>
        </w:rPr>
        <w:t xml:space="preserve">contended that despite this </w:t>
      </w:r>
      <w:r w:rsidR="006D3C49" w:rsidRPr="006D3C49">
        <w:rPr>
          <w:rFonts w:ascii="Times New Roman" w:hAnsi="Times New Roman" w:cs="Times New Roman"/>
          <w:color w:val="000000"/>
          <w:sz w:val="26"/>
          <w:szCs w:val="26"/>
        </w:rPr>
        <w:t xml:space="preserve">Dr. Pavlovic </w:t>
      </w:r>
      <w:r w:rsidR="00F827C8">
        <w:rPr>
          <w:rFonts w:ascii="Times New Roman" w:hAnsi="Times New Roman" w:cs="Times New Roman"/>
          <w:color w:val="000000"/>
          <w:sz w:val="26"/>
          <w:szCs w:val="26"/>
        </w:rPr>
        <w:t xml:space="preserve">testified </w:t>
      </w:r>
      <w:r w:rsidR="006D3C49" w:rsidRPr="006D3C49">
        <w:rPr>
          <w:rFonts w:ascii="Times New Roman" w:hAnsi="Times New Roman" w:cs="Times New Roman"/>
          <w:color w:val="000000"/>
          <w:sz w:val="26"/>
          <w:szCs w:val="26"/>
        </w:rPr>
        <w:t>that PECO’s NITS rate, in effect between 2007 and 2010, should be deemed</w:t>
      </w:r>
      <w:r w:rsidR="006D3C49" w:rsidRPr="006D3C49">
        <w:rPr>
          <w:rFonts w:ascii="Times New Roman" w:hAnsi="Times New Roman" w:cs="Times New Roman"/>
          <w:i/>
          <w:iCs/>
          <w:color w:val="000000"/>
          <w:sz w:val="26"/>
          <w:szCs w:val="26"/>
        </w:rPr>
        <w:t xml:space="preserve"> </w:t>
      </w:r>
      <w:r w:rsidR="006D3C49" w:rsidRPr="006D3C49">
        <w:rPr>
          <w:rFonts w:ascii="Times New Roman" w:hAnsi="Times New Roman" w:cs="Times New Roman"/>
          <w:color w:val="000000"/>
          <w:sz w:val="26"/>
          <w:szCs w:val="26"/>
        </w:rPr>
        <w:t>to have included RTEP charges because:</w:t>
      </w:r>
      <w:r w:rsidR="00627D7C">
        <w:rPr>
          <w:rFonts w:ascii="Times New Roman" w:hAnsi="Times New Roman" w:cs="Times New Roman"/>
          <w:color w:val="000000"/>
          <w:sz w:val="26"/>
          <w:szCs w:val="26"/>
        </w:rPr>
        <w:t xml:space="preserve"> </w:t>
      </w:r>
      <w:r w:rsidR="006D3C49" w:rsidRPr="006D3C49">
        <w:rPr>
          <w:rFonts w:ascii="Times New Roman" w:hAnsi="Times New Roman" w:cs="Times New Roman"/>
          <w:color w:val="000000"/>
          <w:sz w:val="26"/>
          <w:szCs w:val="26"/>
        </w:rPr>
        <w:t xml:space="preserve"> (1) RTEP charges are currently recorded in FERC Account 561.8 (a subaccount of Account 561); and (2) FERC Account 561.8 is classified as a transmission expense account. </w:t>
      </w:r>
      <w:r w:rsidR="00F827C8">
        <w:rPr>
          <w:rFonts w:ascii="Times New Roman" w:hAnsi="Times New Roman" w:cs="Times New Roman"/>
          <w:color w:val="000000"/>
          <w:sz w:val="26"/>
          <w:szCs w:val="26"/>
        </w:rPr>
        <w:t xml:space="preserve"> </w:t>
      </w:r>
      <w:r w:rsidR="006D3C49" w:rsidRPr="006D3C49">
        <w:rPr>
          <w:rFonts w:ascii="Times New Roman" w:hAnsi="Times New Roman" w:cs="Times New Roman"/>
          <w:color w:val="000000"/>
          <w:sz w:val="26"/>
          <w:szCs w:val="26"/>
        </w:rPr>
        <w:t xml:space="preserve">PECO RB at 2. </w:t>
      </w:r>
    </w:p>
    <w:p w14:paraId="1C1CFFA3" w14:textId="77777777" w:rsidR="00FE7B3C" w:rsidRDefault="00FE7B3C" w:rsidP="00175B55">
      <w:pPr>
        <w:autoSpaceDE w:val="0"/>
        <w:autoSpaceDN w:val="0"/>
        <w:adjustRightInd w:val="0"/>
        <w:spacing w:after="0" w:line="360" w:lineRule="auto"/>
        <w:rPr>
          <w:rFonts w:ascii="Times New Roman" w:hAnsi="Times New Roman" w:cs="Times New Roman"/>
          <w:color w:val="000000"/>
          <w:sz w:val="26"/>
          <w:szCs w:val="26"/>
        </w:rPr>
      </w:pPr>
    </w:p>
    <w:p w14:paraId="76A37537" w14:textId="5205CD7A" w:rsidR="00C754A6" w:rsidRDefault="006D3C49" w:rsidP="00FE7B3C">
      <w:pPr>
        <w:autoSpaceDE w:val="0"/>
        <w:autoSpaceDN w:val="0"/>
        <w:adjustRightInd w:val="0"/>
        <w:spacing w:after="0" w:line="360" w:lineRule="auto"/>
        <w:ind w:firstLine="1440"/>
        <w:rPr>
          <w:rFonts w:ascii="Times New Roman" w:hAnsi="Times New Roman" w:cs="Times New Roman"/>
          <w:color w:val="000000"/>
          <w:sz w:val="26"/>
          <w:szCs w:val="26"/>
        </w:rPr>
      </w:pPr>
      <w:r w:rsidRPr="006D3C49">
        <w:rPr>
          <w:rFonts w:ascii="Times New Roman" w:hAnsi="Times New Roman" w:cs="Times New Roman"/>
          <w:color w:val="000000"/>
          <w:sz w:val="26"/>
          <w:szCs w:val="26"/>
        </w:rPr>
        <w:t xml:space="preserve">However, PECO </w:t>
      </w:r>
      <w:r w:rsidR="00FE7B3C">
        <w:rPr>
          <w:rFonts w:ascii="Times New Roman" w:hAnsi="Times New Roman" w:cs="Times New Roman"/>
          <w:color w:val="000000"/>
          <w:sz w:val="26"/>
          <w:szCs w:val="26"/>
        </w:rPr>
        <w:t xml:space="preserve">argued </w:t>
      </w:r>
      <w:r w:rsidRPr="006D3C49">
        <w:rPr>
          <w:rFonts w:ascii="Times New Roman" w:hAnsi="Times New Roman" w:cs="Times New Roman"/>
          <w:color w:val="000000"/>
          <w:sz w:val="26"/>
          <w:szCs w:val="26"/>
        </w:rPr>
        <w:t xml:space="preserve">that Dr. Pavlovic’s assertions misrepresent historical facts. </w:t>
      </w:r>
      <w:r w:rsidR="00FE7B3C">
        <w:rPr>
          <w:rFonts w:ascii="Times New Roman" w:hAnsi="Times New Roman" w:cs="Times New Roman"/>
          <w:color w:val="000000"/>
          <w:sz w:val="26"/>
          <w:szCs w:val="26"/>
        </w:rPr>
        <w:t xml:space="preserve"> </w:t>
      </w:r>
      <w:r w:rsidR="00C754A6">
        <w:rPr>
          <w:rFonts w:ascii="Times New Roman" w:hAnsi="Times New Roman" w:cs="Times New Roman"/>
          <w:color w:val="000000"/>
          <w:sz w:val="26"/>
          <w:szCs w:val="26"/>
        </w:rPr>
        <w:t xml:space="preserve">The Company noted that </w:t>
      </w:r>
      <w:r w:rsidRPr="006D3C49">
        <w:rPr>
          <w:rFonts w:ascii="Times New Roman" w:hAnsi="Times New Roman" w:cs="Times New Roman"/>
          <w:color w:val="000000"/>
          <w:sz w:val="26"/>
          <w:szCs w:val="26"/>
        </w:rPr>
        <w:t xml:space="preserve">its witness, Joseph A. Bisti, explained in his rejoinder testimony, during the </w:t>
      </w:r>
      <w:r w:rsidR="00C77A2E">
        <w:rPr>
          <w:rFonts w:ascii="Times New Roman" w:hAnsi="Times New Roman" w:cs="Times New Roman"/>
          <w:color w:val="000000"/>
          <w:sz w:val="26"/>
          <w:szCs w:val="26"/>
        </w:rPr>
        <w:t>2007 through 2010</w:t>
      </w:r>
      <w:r w:rsidRPr="006D3C49">
        <w:rPr>
          <w:rFonts w:ascii="Times New Roman" w:hAnsi="Times New Roman" w:cs="Times New Roman"/>
          <w:color w:val="000000"/>
          <w:sz w:val="26"/>
          <w:szCs w:val="26"/>
        </w:rPr>
        <w:t xml:space="preserve"> period, PECO’s NITS rate recovered a revenue requirement established in 1994 – thirteen years before PJM began to impose RTEP charges. </w:t>
      </w:r>
      <w:r w:rsidR="00C754A6">
        <w:rPr>
          <w:rFonts w:ascii="Times New Roman" w:hAnsi="Times New Roman" w:cs="Times New Roman"/>
          <w:color w:val="000000"/>
          <w:sz w:val="26"/>
          <w:szCs w:val="26"/>
        </w:rPr>
        <w:t xml:space="preserve"> Additionally, </w:t>
      </w:r>
      <w:r w:rsidRPr="006D3C49">
        <w:rPr>
          <w:rFonts w:ascii="Times New Roman" w:hAnsi="Times New Roman" w:cs="Times New Roman"/>
          <w:color w:val="000000"/>
          <w:sz w:val="26"/>
          <w:szCs w:val="26"/>
        </w:rPr>
        <w:t xml:space="preserve">PECO </w:t>
      </w:r>
      <w:r w:rsidR="00C754A6">
        <w:rPr>
          <w:rFonts w:ascii="Times New Roman" w:hAnsi="Times New Roman" w:cs="Times New Roman"/>
          <w:color w:val="000000"/>
          <w:sz w:val="26"/>
          <w:szCs w:val="26"/>
        </w:rPr>
        <w:t>proffered</w:t>
      </w:r>
      <w:r w:rsidRPr="006D3C49">
        <w:rPr>
          <w:rFonts w:ascii="Times New Roman" w:hAnsi="Times New Roman" w:cs="Times New Roman"/>
          <w:color w:val="000000"/>
          <w:sz w:val="26"/>
          <w:szCs w:val="26"/>
        </w:rPr>
        <w:t xml:space="preserve"> that the revenue requirement used in setting PECO’s rates did not include any costs recorded in Account 561 because the terms of the 1998 Settlement required all such costs to be eliminated from PECO’s revenue requirement.</w:t>
      </w:r>
      <w:r w:rsidR="00C754A6">
        <w:rPr>
          <w:rFonts w:ascii="Times New Roman" w:hAnsi="Times New Roman" w:cs="Times New Roman"/>
          <w:color w:val="000000"/>
          <w:sz w:val="26"/>
          <w:szCs w:val="26"/>
        </w:rPr>
        <w:t xml:space="preserve"> </w:t>
      </w:r>
      <w:r w:rsidRPr="006D3C49">
        <w:rPr>
          <w:rFonts w:ascii="Times New Roman" w:hAnsi="Times New Roman" w:cs="Times New Roman"/>
          <w:color w:val="000000"/>
          <w:sz w:val="26"/>
          <w:szCs w:val="26"/>
        </w:rPr>
        <w:t xml:space="preserve"> PECO R</w:t>
      </w:r>
      <w:r w:rsidR="00C754A6">
        <w:rPr>
          <w:rFonts w:ascii="Times New Roman" w:hAnsi="Times New Roman" w:cs="Times New Roman"/>
          <w:color w:val="000000"/>
          <w:sz w:val="26"/>
          <w:szCs w:val="26"/>
        </w:rPr>
        <w:t>.</w:t>
      </w:r>
      <w:r w:rsidRPr="006D3C49">
        <w:rPr>
          <w:rFonts w:ascii="Times New Roman" w:hAnsi="Times New Roman" w:cs="Times New Roman"/>
          <w:color w:val="000000"/>
          <w:sz w:val="26"/>
          <w:szCs w:val="26"/>
        </w:rPr>
        <w:t>B</w:t>
      </w:r>
      <w:r w:rsidR="00C754A6">
        <w:rPr>
          <w:rFonts w:ascii="Times New Roman" w:hAnsi="Times New Roman" w:cs="Times New Roman"/>
          <w:color w:val="000000"/>
          <w:sz w:val="26"/>
          <w:szCs w:val="26"/>
        </w:rPr>
        <w:t>.</w:t>
      </w:r>
      <w:r w:rsidRPr="006D3C49">
        <w:rPr>
          <w:rFonts w:ascii="Times New Roman" w:hAnsi="Times New Roman" w:cs="Times New Roman"/>
          <w:color w:val="000000"/>
          <w:sz w:val="26"/>
          <w:szCs w:val="26"/>
        </w:rPr>
        <w:t xml:space="preserve"> at 2-3.</w:t>
      </w:r>
    </w:p>
    <w:p w14:paraId="4A1F5583" w14:textId="0CFD90AA" w:rsidR="006D3C49" w:rsidRPr="006D3C49" w:rsidRDefault="006D3C49" w:rsidP="00FE7B3C">
      <w:pPr>
        <w:autoSpaceDE w:val="0"/>
        <w:autoSpaceDN w:val="0"/>
        <w:adjustRightInd w:val="0"/>
        <w:spacing w:after="0" w:line="360" w:lineRule="auto"/>
        <w:ind w:firstLine="1440"/>
        <w:rPr>
          <w:rFonts w:ascii="Times New Roman" w:hAnsi="Times New Roman" w:cs="Times New Roman"/>
          <w:color w:val="000000"/>
          <w:sz w:val="26"/>
          <w:szCs w:val="26"/>
        </w:rPr>
      </w:pPr>
      <w:r w:rsidRPr="006D3C49">
        <w:rPr>
          <w:rFonts w:ascii="Times New Roman" w:hAnsi="Times New Roman" w:cs="Times New Roman"/>
          <w:color w:val="000000"/>
          <w:sz w:val="26"/>
          <w:szCs w:val="26"/>
        </w:rPr>
        <w:t xml:space="preserve"> </w:t>
      </w:r>
    </w:p>
    <w:p w14:paraId="4E438220" w14:textId="777078B5" w:rsidR="00887A4F" w:rsidRDefault="006D3C49" w:rsidP="00887A4F">
      <w:pPr>
        <w:pStyle w:val="Default"/>
        <w:spacing w:line="360" w:lineRule="auto"/>
        <w:ind w:firstLine="1440"/>
        <w:rPr>
          <w:sz w:val="26"/>
          <w:szCs w:val="26"/>
        </w:rPr>
      </w:pPr>
      <w:r w:rsidRPr="00175B55">
        <w:rPr>
          <w:sz w:val="26"/>
          <w:szCs w:val="26"/>
        </w:rPr>
        <w:lastRenderedPageBreak/>
        <w:t xml:space="preserve">PECO </w:t>
      </w:r>
      <w:r w:rsidR="00CA538C">
        <w:rPr>
          <w:sz w:val="26"/>
          <w:szCs w:val="26"/>
        </w:rPr>
        <w:t>also noted the</w:t>
      </w:r>
      <w:r w:rsidRPr="00175B55">
        <w:rPr>
          <w:sz w:val="26"/>
          <w:szCs w:val="26"/>
        </w:rPr>
        <w:t xml:space="preserve"> OCA</w:t>
      </w:r>
      <w:r w:rsidR="00CA538C">
        <w:rPr>
          <w:sz w:val="26"/>
          <w:szCs w:val="26"/>
        </w:rPr>
        <w:t xml:space="preserve">’s argument that the Company </w:t>
      </w:r>
      <w:r w:rsidRPr="00175B55">
        <w:rPr>
          <w:sz w:val="26"/>
          <w:szCs w:val="26"/>
        </w:rPr>
        <w:t xml:space="preserve">was compensated for RTEP charges it paid between 2007 and 2010 through its wholesale transmission rates. </w:t>
      </w:r>
      <w:r w:rsidR="00887A4F">
        <w:rPr>
          <w:sz w:val="26"/>
          <w:szCs w:val="26"/>
        </w:rPr>
        <w:t xml:space="preserve"> </w:t>
      </w:r>
      <w:r w:rsidRPr="00175B55">
        <w:rPr>
          <w:sz w:val="26"/>
          <w:szCs w:val="26"/>
        </w:rPr>
        <w:t>However, PECO argue</w:t>
      </w:r>
      <w:r w:rsidR="00A36877">
        <w:rPr>
          <w:sz w:val="26"/>
          <w:szCs w:val="26"/>
        </w:rPr>
        <w:t>d</w:t>
      </w:r>
      <w:r w:rsidRPr="00175B55">
        <w:rPr>
          <w:sz w:val="26"/>
          <w:szCs w:val="26"/>
        </w:rPr>
        <w:t xml:space="preserve"> that </w:t>
      </w:r>
      <w:r w:rsidR="00A36877">
        <w:rPr>
          <w:sz w:val="26"/>
          <w:szCs w:val="26"/>
        </w:rPr>
        <w:t xml:space="preserve">the </w:t>
      </w:r>
      <w:r w:rsidRPr="00175B55">
        <w:rPr>
          <w:sz w:val="26"/>
          <w:szCs w:val="26"/>
        </w:rPr>
        <w:t xml:space="preserve">OCA failed to show that </w:t>
      </w:r>
      <w:r w:rsidR="00A36877">
        <w:rPr>
          <w:sz w:val="26"/>
          <w:szCs w:val="26"/>
        </w:rPr>
        <w:t xml:space="preserve">the Company’s </w:t>
      </w:r>
      <w:r w:rsidRPr="00175B55">
        <w:rPr>
          <w:sz w:val="26"/>
          <w:szCs w:val="26"/>
        </w:rPr>
        <w:t>wholesale rates were unjust or unreasonable.</w:t>
      </w:r>
      <w:r w:rsidR="00A36877">
        <w:rPr>
          <w:sz w:val="26"/>
          <w:szCs w:val="26"/>
        </w:rPr>
        <w:t xml:space="preserve"> </w:t>
      </w:r>
      <w:r w:rsidRPr="00175B55">
        <w:rPr>
          <w:sz w:val="26"/>
          <w:szCs w:val="26"/>
        </w:rPr>
        <w:t xml:space="preserve"> </w:t>
      </w:r>
      <w:r w:rsidR="00A36877">
        <w:rPr>
          <w:sz w:val="26"/>
          <w:szCs w:val="26"/>
        </w:rPr>
        <w:t xml:space="preserve">As </w:t>
      </w:r>
      <w:r w:rsidRPr="00175B55">
        <w:rPr>
          <w:sz w:val="26"/>
          <w:szCs w:val="26"/>
        </w:rPr>
        <w:t xml:space="preserve">a matter of law, </w:t>
      </w:r>
      <w:r w:rsidR="00A36877">
        <w:rPr>
          <w:sz w:val="26"/>
          <w:szCs w:val="26"/>
        </w:rPr>
        <w:t xml:space="preserve">PECO submitted, </w:t>
      </w:r>
      <w:r w:rsidRPr="00175B55">
        <w:rPr>
          <w:sz w:val="26"/>
          <w:szCs w:val="26"/>
        </w:rPr>
        <w:t>wholesale</w:t>
      </w:r>
      <w:r w:rsidR="00A36877">
        <w:rPr>
          <w:sz w:val="26"/>
          <w:szCs w:val="26"/>
        </w:rPr>
        <w:t xml:space="preserve"> </w:t>
      </w:r>
      <w:r w:rsidR="00C540DE" w:rsidRPr="00175B55">
        <w:rPr>
          <w:sz w:val="26"/>
          <w:szCs w:val="26"/>
        </w:rPr>
        <w:t xml:space="preserve">transmission revenues cannot be appropriated to augment revenues produced by Commission-regulated rates. </w:t>
      </w:r>
      <w:r w:rsidR="00A36877">
        <w:rPr>
          <w:sz w:val="26"/>
          <w:szCs w:val="26"/>
        </w:rPr>
        <w:t xml:space="preserve"> </w:t>
      </w:r>
      <w:r w:rsidR="00C540DE" w:rsidRPr="00175B55">
        <w:rPr>
          <w:sz w:val="26"/>
          <w:szCs w:val="26"/>
        </w:rPr>
        <w:t>PECO R</w:t>
      </w:r>
      <w:r w:rsidR="00A36877">
        <w:rPr>
          <w:sz w:val="26"/>
          <w:szCs w:val="26"/>
        </w:rPr>
        <w:t>.</w:t>
      </w:r>
      <w:r w:rsidR="00C540DE" w:rsidRPr="00175B55">
        <w:rPr>
          <w:sz w:val="26"/>
          <w:szCs w:val="26"/>
        </w:rPr>
        <w:t>B</w:t>
      </w:r>
      <w:r w:rsidR="00887A4F">
        <w:rPr>
          <w:sz w:val="26"/>
          <w:szCs w:val="26"/>
        </w:rPr>
        <w:t>.</w:t>
      </w:r>
      <w:r w:rsidR="00C540DE" w:rsidRPr="00175B55">
        <w:rPr>
          <w:sz w:val="26"/>
          <w:szCs w:val="26"/>
        </w:rPr>
        <w:t xml:space="preserve"> at 4.</w:t>
      </w:r>
    </w:p>
    <w:p w14:paraId="35F49AD8" w14:textId="2B148BCA" w:rsidR="00C540DE" w:rsidRPr="00175B55" w:rsidRDefault="00C540DE" w:rsidP="00175B55">
      <w:pPr>
        <w:pStyle w:val="Default"/>
        <w:spacing w:line="360" w:lineRule="auto"/>
        <w:rPr>
          <w:sz w:val="26"/>
          <w:szCs w:val="26"/>
        </w:rPr>
      </w:pPr>
      <w:r w:rsidRPr="00175B55">
        <w:rPr>
          <w:sz w:val="26"/>
          <w:szCs w:val="26"/>
        </w:rPr>
        <w:t xml:space="preserve"> </w:t>
      </w:r>
    </w:p>
    <w:p w14:paraId="6DB206F1" w14:textId="77777777" w:rsidR="004E3744" w:rsidRDefault="00887A4F" w:rsidP="00027FC6">
      <w:pPr>
        <w:autoSpaceDE w:val="0"/>
        <w:autoSpaceDN w:val="0"/>
        <w:adjustRightInd w:val="0"/>
        <w:spacing w:after="0" w:line="360" w:lineRule="auto"/>
        <w:ind w:firstLine="1440"/>
        <w:rPr>
          <w:rFonts w:ascii="Times New Roman" w:hAnsi="Times New Roman" w:cs="Times New Roman"/>
          <w:color w:val="000000"/>
          <w:sz w:val="26"/>
          <w:szCs w:val="26"/>
        </w:rPr>
      </w:pPr>
      <w:r>
        <w:rPr>
          <w:rFonts w:ascii="Times New Roman" w:hAnsi="Times New Roman" w:cs="Times New Roman"/>
          <w:color w:val="000000"/>
          <w:sz w:val="26"/>
          <w:szCs w:val="26"/>
        </w:rPr>
        <w:t xml:space="preserve">In addition, </w:t>
      </w:r>
      <w:r w:rsidR="00C540DE" w:rsidRPr="00C540DE">
        <w:rPr>
          <w:rFonts w:ascii="Times New Roman" w:hAnsi="Times New Roman" w:cs="Times New Roman"/>
          <w:color w:val="000000"/>
          <w:sz w:val="26"/>
          <w:szCs w:val="26"/>
        </w:rPr>
        <w:t xml:space="preserve">PECO </w:t>
      </w:r>
      <w:r w:rsidR="00BA79E5">
        <w:rPr>
          <w:rFonts w:ascii="Times New Roman" w:hAnsi="Times New Roman" w:cs="Times New Roman"/>
          <w:color w:val="000000"/>
          <w:sz w:val="26"/>
          <w:szCs w:val="26"/>
        </w:rPr>
        <w:t>criticized the</w:t>
      </w:r>
      <w:r w:rsidR="00C540DE" w:rsidRPr="00C540DE">
        <w:rPr>
          <w:rFonts w:ascii="Times New Roman" w:hAnsi="Times New Roman" w:cs="Times New Roman"/>
          <w:color w:val="000000"/>
          <w:sz w:val="26"/>
          <w:szCs w:val="26"/>
        </w:rPr>
        <w:t xml:space="preserve"> OCA’s argument that PECO recovered those charges in its Commission-jurisdictional rates </w:t>
      </w:r>
      <w:r w:rsidR="00BA79E5">
        <w:rPr>
          <w:rFonts w:ascii="Times New Roman" w:hAnsi="Times New Roman" w:cs="Times New Roman"/>
          <w:color w:val="000000"/>
          <w:sz w:val="26"/>
          <w:szCs w:val="26"/>
        </w:rPr>
        <w:t>as being</w:t>
      </w:r>
      <w:r w:rsidR="00C540DE" w:rsidRPr="00C540DE">
        <w:rPr>
          <w:rFonts w:ascii="Times New Roman" w:hAnsi="Times New Roman" w:cs="Times New Roman"/>
          <w:color w:val="000000"/>
          <w:sz w:val="26"/>
          <w:szCs w:val="26"/>
        </w:rPr>
        <w:t xml:space="preserve"> incorrect.</w:t>
      </w:r>
      <w:r w:rsidR="00BA79E5">
        <w:rPr>
          <w:rFonts w:ascii="Times New Roman" w:hAnsi="Times New Roman" w:cs="Times New Roman"/>
          <w:color w:val="000000"/>
          <w:sz w:val="26"/>
          <w:szCs w:val="26"/>
        </w:rPr>
        <w:t xml:space="preserve">  </w:t>
      </w:r>
      <w:r w:rsidR="00C540DE" w:rsidRPr="00C540DE">
        <w:rPr>
          <w:rFonts w:ascii="Times New Roman" w:hAnsi="Times New Roman" w:cs="Times New Roman"/>
          <w:color w:val="000000"/>
          <w:sz w:val="26"/>
          <w:szCs w:val="26"/>
        </w:rPr>
        <w:t xml:space="preserve">PECO </w:t>
      </w:r>
      <w:r w:rsidR="00BA79E5">
        <w:rPr>
          <w:rFonts w:ascii="Times New Roman" w:hAnsi="Times New Roman" w:cs="Times New Roman"/>
          <w:color w:val="000000"/>
          <w:sz w:val="26"/>
          <w:szCs w:val="26"/>
        </w:rPr>
        <w:t>highlighted</w:t>
      </w:r>
      <w:r w:rsidR="00C540DE" w:rsidRPr="00C540DE">
        <w:rPr>
          <w:rFonts w:ascii="Times New Roman" w:hAnsi="Times New Roman" w:cs="Times New Roman"/>
          <w:color w:val="000000"/>
          <w:sz w:val="26"/>
          <w:szCs w:val="26"/>
        </w:rPr>
        <w:t xml:space="preserve"> that its testimony from the 2010 rate case was referring to PECO’s future recovery in proposed rates and proposed TSC in which it would reflect RTEP charges in rates to its customers for the first time after January 1, 2011. </w:t>
      </w:r>
      <w:r w:rsidR="00BA79E5">
        <w:rPr>
          <w:rFonts w:ascii="Times New Roman" w:hAnsi="Times New Roman" w:cs="Times New Roman"/>
          <w:color w:val="000000"/>
          <w:sz w:val="26"/>
          <w:szCs w:val="26"/>
        </w:rPr>
        <w:t xml:space="preserve"> </w:t>
      </w:r>
      <w:r w:rsidR="00C540DE" w:rsidRPr="00C540DE">
        <w:rPr>
          <w:rFonts w:ascii="Times New Roman" w:hAnsi="Times New Roman" w:cs="Times New Roman"/>
          <w:color w:val="000000"/>
          <w:sz w:val="26"/>
          <w:szCs w:val="26"/>
        </w:rPr>
        <w:t>PECO assert</w:t>
      </w:r>
      <w:r w:rsidR="00BA79E5">
        <w:rPr>
          <w:rFonts w:ascii="Times New Roman" w:hAnsi="Times New Roman" w:cs="Times New Roman"/>
          <w:color w:val="000000"/>
          <w:sz w:val="26"/>
          <w:szCs w:val="26"/>
        </w:rPr>
        <w:t>ed</w:t>
      </w:r>
      <w:r w:rsidR="00C540DE" w:rsidRPr="00C540DE">
        <w:rPr>
          <w:rFonts w:ascii="Times New Roman" w:hAnsi="Times New Roman" w:cs="Times New Roman"/>
          <w:color w:val="000000"/>
          <w:sz w:val="26"/>
          <w:szCs w:val="26"/>
        </w:rPr>
        <w:t xml:space="preserve"> that it was not describing cost-recovery under PECO’s historic pre-2011 rates. </w:t>
      </w:r>
      <w:r w:rsidR="00BA79E5">
        <w:rPr>
          <w:rFonts w:ascii="Times New Roman" w:hAnsi="Times New Roman" w:cs="Times New Roman"/>
          <w:color w:val="000000"/>
          <w:sz w:val="26"/>
          <w:szCs w:val="26"/>
        </w:rPr>
        <w:t xml:space="preserve"> </w:t>
      </w:r>
      <w:r w:rsidR="00C540DE" w:rsidRPr="00C540DE">
        <w:rPr>
          <w:rFonts w:ascii="Times New Roman" w:hAnsi="Times New Roman" w:cs="Times New Roman"/>
          <w:color w:val="000000"/>
          <w:sz w:val="26"/>
          <w:szCs w:val="26"/>
        </w:rPr>
        <w:t>PECO R</w:t>
      </w:r>
      <w:r w:rsidR="00BA79E5">
        <w:rPr>
          <w:rFonts w:ascii="Times New Roman" w:hAnsi="Times New Roman" w:cs="Times New Roman"/>
          <w:color w:val="000000"/>
          <w:sz w:val="26"/>
          <w:szCs w:val="26"/>
        </w:rPr>
        <w:t>.</w:t>
      </w:r>
      <w:r w:rsidR="00C540DE" w:rsidRPr="00C540DE">
        <w:rPr>
          <w:rFonts w:ascii="Times New Roman" w:hAnsi="Times New Roman" w:cs="Times New Roman"/>
          <w:color w:val="000000"/>
          <w:sz w:val="26"/>
          <w:szCs w:val="26"/>
        </w:rPr>
        <w:t>B</w:t>
      </w:r>
      <w:r w:rsidR="00BA79E5">
        <w:rPr>
          <w:rFonts w:ascii="Times New Roman" w:hAnsi="Times New Roman" w:cs="Times New Roman"/>
          <w:color w:val="000000"/>
          <w:sz w:val="26"/>
          <w:szCs w:val="26"/>
        </w:rPr>
        <w:t>.</w:t>
      </w:r>
      <w:r w:rsidR="00C540DE" w:rsidRPr="00C540DE">
        <w:rPr>
          <w:rFonts w:ascii="Times New Roman" w:hAnsi="Times New Roman" w:cs="Times New Roman"/>
          <w:color w:val="000000"/>
          <w:sz w:val="26"/>
          <w:szCs w:val="26"/>
        </w:rPr>
        <w:t xml:space="preserve"> at 4-5. </w:t>
      </w:r>
    </w:p>
    <w:p w14:paraId="4A87B648" w14:textId="77777777" w:rsidR="004E3744" w:rsidRDefault="004E3744" w:rsidP="007F595C">
      <w:pPr>
        <w:autoSpaceDE w:val="0"/>
        <w:autoSpaceDN w:val="0"/>
        <w:adjustRightInd w:val="0"/>
        <w:spacing w:after="0" w:line="360" w:lineRule="auto"/>
        <w:rPr>
          <w:rFonts w:ascii="Times New Roman" w:hAnsi="Times New Roman" w:cs="Times New Roman"/>
          <w:color w:val="000000"/>
          <w:sz w:val="26"/>
          <w:szCs w:val="26"/>
        </w:rPr>
      </w:pPr>
    </w:p>
    <w:p w14:paraId="1F267C4E" w14:textId="13670F90" w:rsidR="006D3C49" w:rsidRDefault="00BA79E5" w:rsidP="004E3744">
      <w:pPr>
        <w:autoSpaceDE w:val="0"/>
        <w:autoSpaceDN w:val="0"/>
        <w:adjustRightInd w:val="0"/>
        <w:spacing w:after="0" w:line="360" w:lineRule="auto"/>
        <w:ind w:firstLine="1440"/>
        <w:rPr>
          <w:rFonts w:ascii="Times New Roman" w:hAnsi="Times New Roman" w:cs="Times New Roman"/>
          <w:color w:val="000000"/>
          <w:sz w:val="26"/>
          <w:szCs w:val="26"/>
        </w:rPr>
      </w:pPr>
      <w:r>
        <w:rPr>
          <w:rFonts w:ascii="Times New Roman" w:hAnsi="Times New Roman" w:cs="Times New Roman"/>
          <w:color w:val="000000"/>
          <w:sz w:val="26"/>
          <w:szCs w:val="26"/>
        </w:rPr>
        <w:t xml:space="preserve">As a final matter, </w:t>
      </w:r>
      <w:r w:rsidR="00C540DE" w:rsidRPr="00887A4F">
        <w:rPr>
          <w:rFonts w:ascii="Times New Roman" w:hAnsi="Times New Roman" w:cs="Times New Roman"/>
          <w:color w:val="000000"/>
          <w:sz w:val="26"/>
          <w:szCs w:val="26"/>
        </w:rPr>
        <w:t>PECO dispute</w:t>
      </w:r>
      <w:r>
        <w:rPr>
          <w:rFonts w:ascii="Times New Roman" w:hAnsi="Times New Roman" w:cs="Times New Roman"/>
          <w:color w:val="000000"/>
          <w:sz w:val="26"/>
          <w:szCs w:val="26"/>
        </w:rPr>
        <w:t xml:space="preserve">d the </w:t>
      </w:r>
      <w:r w:rsidR="00C540DE" w:rsidRPr="00887A4F">
        <w:rPr>
          <w:rFonts w:ascii="Times New Roman" w:hAnsi="Times New Roman" w:cs="Times New Roman"/>
          <w:color w:val="000000"/>
          <w:sz w:val="26"/>
          <w:szCs w:val="26"/>
        </w:rPr>
        <w:t xml:space="preserve">OCA’s claims that not including </w:t>
      </w:r>
      <w:r w:rsidR="00C77A2E">
        <w:rPr>
          <w:rFonts w:ascii="Times New Roman" w:hAnsi="Times New Roman" w:cs="Times New Roman"/>
          <w:color w:val="000000"/>
          <w:sz w:val="26"/>
          <w:szCs w:val="26"/>
        </w:rPr>
        <w:t>2007</w:t>
      </w:r>
      <w:r w:rsidR="005B7746">
        <w:rPr>
          <w:rFonts w:ascii="Times New Roman" w:hAnsi="Times New Roman" w:cs="Times New Roman"/>
          <w:color w:val="000000"/>
          <w:sz w:val="26"/>
          <w:szCs w:val="26"/>
        </w:rPr>
        <w:t> </w:t>
      </w:r>
      <w:r w:rsidR="00C77A2E">
        <w:rPr>
          <w:rFonts w:ascii="Times New Roman" w:hAnsi="Times New Roman" w:cs="Times New Roman"/>
          <w:color w:val="000000"/>
          <w:sz w:val="26"/>
          <w:szCs w:val="26"/>
        </w:rPr>
        <w:t>through 2010</w:t>
      </w:r>
      <w:r w:rsidR="00C540DE" w:rsidRPr="00887A4F">
        <w:rPr>
          <w:rFonts w:ascii="Times New Roman" w:hAnsi="Times New Roman" w:cs="Times New Roman"/>
          <w:color w:val="000000"/>
          <w:sz w:val="26"/>
          <w:szCs w:val="26"/>
        </w:rPr>
        <w:t xml:space="preserve"> RTEP bill credits in PECO’s 2018 and 2019 NBT calculations somehow amounts to impermissible retroactive ratemaking. </w:t>
      </w:r>
      <w:r>
        <w:rPr>
          <w:rFonts w:ascii="Times New Roman" w:hAnsi="Times New Roman" w:cs="Times New Roman"/>
          <w:color w:val="000000"/>
          <w:sz w:val="26"/>
          <w:szCs w:val="26"/>
        </w:rPr>
        <w:t xml:space="preserve"> </w:t>
      </w:r>
      <w:r w:rsidR="00D6643D">
        <w:rPr>
          <w:rFonts w:ascii="Times New Roman" w:hAnsi="Times New Roman" w:cs="Times New Roman"/>
          <w:color w:val="000000"/>
          <w:sz w:val="26"/>
          <w:szCs w:val="26"/>
        </w:rPr>
        <w:t xml:space="preserve">In contrast, </w:t>
      </w:r>
      <w:r w:rsidR="00C540DE" w:rsidRPr="00887A4F">
        <w:rPr>
          <w:rFonts w:ascii="Times New Roman" w:hAnsi="Times New Roman" w:cs="Times New Roman"/>
          <w:color w:val="000000"/>
          <w:sz w:val="26"/>
          <w:szCs w:val="26"/>
        </w:rPr>
        <w:t>PECO assert</w:t>
      </w:r>
      <w:r w:rsidR="00D6643D">
        <w:rPr>
          <w:rFonts w:ascii="Times New Roman" w:hAnsi="Times New Roman" w:cs="Times New Roman"/>
          <w:color w:val="000000"/>
          <w:sz w:val="26"/>
          <w:szCs w:val="26"/>
        </w:rPr>
        <w:t>ed</w:t>
      </w:r>
      <w:r w:rsidR="00C540DE" w:rsidRPr="00887A4F">
        <w:rPr>
          <w:rFonts w:ascii="Times New Roman" w:hAnsi="Times New Roman" w:cs="Times New Roman"/>
          <w:color w:val="000000"/>
          <w:sz w:val="26"/>
          <w:szCs w:val="26"/>
        </w:rPr>
        <w:t xml:space="preserve"> that </w:t>
      </w:r>
      <w:r w:rsidR="00D6643D">
        <w:rPr>
          <w:rFonts w:ascii="Times New Roman" w:hAnsi="Times New Roman" w:cs="Times New Roman"/>
          <w:color w:val="000000"/>
          <w:sz w:val="26"/>
          <w:szCs w:val="26"/>
        </w:rPr>
        <w:t xml:space="preserve">the </w:t>
      </w:r>
      <w:r w:rsidR="00C540DE" w:rsidRPr="00887A4F">
        <w:rPr>
          <w:rFonts w:ascii="Times New Roman" w:hAnsi="Times New Roman" w:cs="Times New Roman"/>
          <w:color w:val="000000"/>
          <w:sz w:val="26"/>
          <w:szCs w:val="26"/>
        </w:rPr>
        <w:t xml:space="preserve">OCA is asking the Commission to engage in retroactive ratemaking by seeking refunds of revenues that PECO billed to customers during the </w:t>
      </w:r>
      <w:r w:rsidR="00C77A2E">
        <w:rPr>
          <w:rFonts w:ascii="Times New Roman" w:hAnsi="Times New Roman" w:cs="Times New Roman"/>
          <w:color w:val="000000"/>
          <w:sz w:val="26"/>
          <w:szCs w:val="26"/>
        </w:rPr>
        <w:t>2007 through 2010</w:t>
      </w:r>
      <w:r w:rsidR="00C540DE" w:rsidRPr="00887A4F">
        <w:rPr>
          <w:rFonts w:ascii="Times New Roman" w:hAnsi="Times New Roman" w:cs="Times New Roman"/>
          <w:color w:val="000000"/>
          <w:sz w:val="26"/>
          <w:szCs w:val="26"/>
        </w:rPr>
        <w:t xml:space="preserve"> period under Commission-made base rates that were established before PJM began to impose RTEP charges and could not have reflected those charges. </w:t>
      </w:r>
      <w:r w:rsidR="00D6643D">
        <w:rPr>
          <w:rFonts w:ascii="Times New Roman" w:hAnsi="Times New Roman" w:cs="Times New Roman"/>
          <w:color w:val="000000"/>
          <w:sz w:val="26"/>
          <w:szCs w:val="26"/>
        </w:rPr>
        <w:t xml:space="preserve"> </w:t>
      </w:r>
      <w:r w:rsidR="00C540DE" w:rsidRPr="00887A4F">
        <w:rPr>
          <w:rFonts w:ascii="Times New Roman" w:hAnsi="Times New Roman" w:cs="Times New Roman"/>
          <w:color w:val="000000"/>
          <w:sz w:val="26"/>
          <w:szCs w:val="26"/>
        </w:rPr>
        <w:t>PECO R</w:t>
      </w:r>
      <w:r w:rsidR="00D6643D">
        <w:rPr>
          <w:rFonts w:ascii="Times New Roman" w:hAnsi="Times New Roman" w:cs="Times New Roman"/>
          <w:color w:val="000000"/>
          <w:sz w:val="26"/>
          <w:szCs w:val="26"/>
        </w:rPr>
        <w:t>.</w:t>
      </w:r>
      <w:r w:rsidR="00C540DE" w:rsidRPr="00887A4F">
        <w:rPr>
          <w:rFonts w:ascii="Times New Roman" w:hAnsi="Times New Roman" w:cs="Times New Roman"/>
          <w:color w:val="000000"/>
          <w:sz w:val="26"/>
          <w:szCs w:val="26"/>
        </w:rPr>
        <w:t>B</w:t>
      </w:r>
      <w:r w:rsidR="00D6643D">
        <w:rPr>
          <w:rFonts w:ascii="Times New Roman" w:hAnsi="Times New Roman" w:cs="Times New Roman"/>
          <w:color w:val="000000"/>
          <w:sz w:val="26"/>
          <w:szCs w:val="26"/>
        </w:rPr>
        <w:t>.</w:t>
      </w:r>
      <w:r w:rsidR="00C540DE" w:rsidRPr="00887A4F">
        <w:rPr>
          <w:rFonts w:ascii="Times New Roman" w:hAnsi="Times New Roman" w:cs="Times New Roman"/>
          <w:color w:val="000000"/>
          <w:sz w:val="26"/>
          <w:szCs w:val="26"/>
        </w:rPr>
        <w:t xml:space="preserve"> at 5.</w:t>
      </w:r>
    </w:p>
    <w:p w14:paraId="3759DDE6" w14:textId="77777777" w:rsidR="009045B5" w:rsidRDefault="009045B5" w:rsidP="004E3744">
      <w:pPr>
        <w:autoSpaceDE w:val="0"/>
        <w:autoSpaceDN w:val="0"/>
        <w:adjustRightInd w:val="0"/>
        <w:spacing w:after="0" w:line="360" w:lineRule="auto"/>
        <w:ind w:firstLine="1440"/>
        <w:rPr>
          <w:rFonts w:ascii="Times New Roman" w:hAnsi="Times New Roman" w:cs="Times New Roman"/>
          <w:color w:val="000000"/>
          <w:sz w:val="26"/>
          <w:szCs w:val="26"/>
        </w:rPr>
      </w:pPr>
    </w:p>
    <w:p w14:paraId="3DABC9BD" w14:textId="57F72C8F" w:rsidR="00807EE5" w:rsidRDefault="00464655" w:rsidP="00955E24">
      <w:pPr>
        <w:keepNext/>
        <w:keepLines/>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w:t>
      </w:r>
      <w:r>
        <w:rPr>
          <w:rFonts w:ascii="Times New Roman" w:eastAsia="Times New Roman" w:hAnsi="Times New Roman" w:cs="Times New Roman"/>
          <w:b/>
          <w:sz w:val="26"/>
          <w:szCs w:val="26"/>
        </w:rPr>
        <w:tab/>
      </w:r>
      <w:r w:rsidR="00FB33BA" w:rsidRPr="003A2701">
        <w:rPr>
          <w:rFonts w:ascii="Times New Roman" w:eastAsia="Times New Roman" w:hAnsi="Times New Roman" w:cs="Times New Roman"/>
          <w:b/>
          <w:sz w:val="26"/>
          <w:szCs w:val="26"/>
        </w:rPr>
        <w:t>Initial Decision</w:t>
      </w:r>
      <w:r w:rsidR="00A85A80">
        <w:rPr>
          <w:rFonts w:ascii="Times New Roman" w:eastAsia="Times New Roman" w:hAnsi="Times New Roman" w:cs="Times New Roman"/>
          <w:b/>
          <w:sz w:val="26"/>
          <w:szCs w:val="26"/>
        </w:rPr>
        <w:t>, Exceptions</w:t>
      </w:r>
      <w:r w:rsidR="00F42DB0">
        <w:rPr>
          <w:rFonts w:ascii="Times New Roman" w:eastAsia="Times New Roman" w:hAnsi="Times New Roman" w:cs="Times New Roman"/>
          <w:b/>
          <w:sz w:val="26"/>
          <w:szCs w:val="26"/>
        </w:rPr>
        <w:t>, Replies and Disposition</w:t>
      </w:r>
      <w:r w:rsidR="003D1C05">
        <w:rPr>
          <w:rFonts w:ascii="Times New Roman" w:eastAsia="Times New Roman" w:hAnsi="Times New Roman" w:cs="Times New Roman"/>
          <w:b/>
          <w:sz w:val="26"/>
          <w:szCs w:val="26"/>
        </w:rPr>
        <w:t>s</w:t>
      </w:r>
    </w:p>
    <w:p w14:paraId="57BE348F" w14:textId="30C32F92" w:rsidR="00F42DB0" w:rsidRDefault="00F42DB0" w:rsidP="00955E24">
      <w:pPr>
        <w:keepNext/>
        <w:keepLines/>
        <w:spacing w:after="0" w:line="360" w:lineRule="auto"/>
        <w:rPr>
          <w:rFonts w:ascii="Times New Roman" w:eastAsia="Times New Roman" w:hAnsi="Times New Roman" w:cs="Times New Roman"/>
          <w:b/>
          <w:sz w:val="26"/>
          <w:szCs w:val="26"/>
        </w:rPr>
      </w:pPr>
    </w:p>
    <w:p w14:paraId="4B04D24C" w14:textId="069A5098" w:rsidR="00972A9B" w:rsidRDefault="00972A9B" w:rsidP="00955E24">
      <w:pPr>
        <w:keepNext/>
        <w:keepLines/>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sidR="00E86A81">
        <w:rPr>
          <w:rFonts w:ascii="Times New Roman" w:eastAsia="Times New Roman" w:hAnsi="Times New Roman" w:cs="Times New Roman"/>
          <w:bCs/>
          <w:sz w:val="26"/>
          <w:szCs w:val="26"/>
        </w:rPr>
        <w:t xml:space="preserve">As a preliminary matter we note </w:t>
      </w:r>
      <w:r w:rsidR="00B72F16">
        <w:rPr>
          <w:rFonts w:ascii="Times New Roman" w:eastAsia="Times New Roman" w:hAnsi="Times New Roman" w:cs="Times New Roman"/>
          <w:bCs/>
          <w:sz w:val="26"/>
          <w:szCs w:val="26"/>
        </w:rPr>
        <w:t xml:space="preserve">the </w:t>
      </w:r>
      <w:r>
        <w:rPr>
          <w:rFonts w:ascii="Times New Roman" w:eastAsia="Times New Roman" w:hAnsi="Times New Roman" w:cs="Times New Roman"/>
          <w:sz w:val="26"/>
          <w:szCs w:val="26"/>
        </w:rPr>
        <w:t>Initial Decision</w:t>
      </w:r>
      <w:r w:rsidR="00EF3E79">
        <w:rPr>
          <w:rFonts w:ascii="Times New Roman" w:eastAsia="Times New Roman" w:hAnsi="Times New Roman" w:cs="Times New Roman"/>
          <w:sz w:val="26"/>
          <w:szCs w:val="26"/>
        </w:rPr>
        <w:t xml:space="preserve"> is comprised of </w:t>
      </w:r>
      <w:r>
        <w:rPr>
          <w:rFonts w:ascii="Times New Roman" w:eastAsia="Times New Roman" w:hAnsi="Times New Roman" w:cs="Times New Roman"/>
          <w:sz w:val="26"/>
          <w:szCs w:val="26"/>
        </w:rPr>
        <w:t>fifty-seven Fi</w:t>
      </w:r>
      <w:r w:rsidRPr="00EC6B2B">
        <w:rPr>
          <w:rFonts w:ascii="Times New Roman" w:eastAsia="Times New Roman" w:hAnsi="Times New Roman" w:cs="Times New Roman"/>
          <w:sz w:val="26"/>
          <w:szCs w:val="26"/>
        </w:rPr>
        <w:t xml:space="preserve">ndings of </w:t>
      </w:r>
      <w:r>
        <w:rPr>
          <w:rFonts w:ascii="Times New Roman" w:eastAsia="Times New Roman" w:hAnsi="Times New Roman" w:cs="Times New Roman"/>
          <w:sz w:val="26"/>
          <w:szCs w:val="26"/>
        </w:rPr>
        <w:t>F</w:t>
      </w:r>
      <w:r w:rsidRPr="00EC6B2B">
        <w:rPr>
          <w:rFonts w:ascii="Times New Roman" w:eastAsia="Times New Roman" w:hAnsi="Times New Roman" w:cs="Times New Roman"/>
          <w:sz w:val="26"/>
          <w:szCs w:val="26"/>
        </w:rPr>
        <w:t xml:space="preserve">act and </w:t>
      </w:r>
      <w:r>
        <w:rPr>
          <w:rFonts w:ascii="Times New Roman" w:eastAsia="Times New Roman" w:hAnsi="Times New Roman" w:cs="Times New Roman"/>
          <w:sz w:val="26"/>
          <w:szCs w:val="26"/>
        </w:rPr>
        <w:t>five</w:t>
      </w:r>
      <w:r w:rsidRPr="00EC6B2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w:t>
      </w:r>
      <w:r w:rsidRPr="00EC6B2B">
        <w:rPr>
          <w:rFonts w:ascii="Times New Roman" w:eastAsia="Times New Roman" w:hAnsi="Times New Roman" w:cs="Times New Roman"/>
          <w:sz w:val="26"/>
          <w:szCs w:val="26"/>
        </w:rPr>
        <w:t xml:space="preserve">onclusions of </w:t>
      </w:r>
      <w:r>
        <w:rPr>
          <w:rFonts w:ascii="Times New Roman" w:eastAsia="Times New Roman" w:hAnsi="Times New Roman" w:cs="Times New Roman"/>
          <w:sz w:val="26"/>
          <w:szCs w:val="26"/>
        </w:rPr>
        <w:t>L</w:t>
      </w:r>
      <w:r w:rsidRPr="00EC6B2B">
        <w:rPr>
          <w:rFonts w:ascii="Times New Roman" w:eastAsia="Times New Roman" w:hAnsi="Times New Roman" w:cs="Times New Roman"/>
          <w:sz w:val="26"/>
          <w:szCs w:val="26"/>
        </w:rPr>
        <w:t>aw</w:t>
      </w:r>
      <w:r>
        <w:rPr>
          <w:rFonts w:ascii="Times New Roman" w:eastAsia="Times New Roman" w:hAnsi="Times New Roman" w:cs="Times New Roman"/>
          <w:sz w:val="26"/>
          <w:szCs w:val="26"/>
        </w:rPr>
        <w:t xml:space="preserve">.  </w:t>
      </w:r>
      <w:r w:rsidRPr="00EC6B2B">
        <w:rPr>
          <w:rFonts w:ascii="Times New Roman" w:eastAsia="Times New Roman" w:hAnsi="Times New Roman" w:cs="Times New Roman"/>
          <w:sz w:val="26"/>
          <w:szCs w:val="26"/>
        </w:rPr>
        <w:t>I.D. at</w:t>
      </w:r>
      <w:r>
        <w:rPr>
          <w:rFonts w:ascii="Times New Roman" w:eastAsia="Times New Roman" w:hAnsi="Times New Roman" w:cs="Times New Roman"/>
          <w:sz w:val="26"/>
          <w:szCs w:val="26"/>
        </w:rPr>
        <w:t> 7-16, 28-31</w:t>
      </w:r>
      <w:r w:rsidRPr="00EC6B2B">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A51576">
        <w:rPr>
          <w:rFonts w:ascii="Times New Roman" w:eastAsia="Times New Roman" w:hAnsi="Times New Roman" w:cs="Times New Roman"/>
          <w:color w:val="000000"/>
          <w:sz w:val="26"/>
          <w:szCs w:val="26"/>
        </w:rPr>
        <w:t>The Findings of Fact and Conclusions of Law are incorporated herein by reference and are adopted</w:t>
      </w:r>
      <w:r>
        <w:rPr>
          <w:rFonts w:ascii="Times New Roman" w:eastAsia="Times New Roman" w:hAnsi="Times New Roman" w:cs="Times New Roman"/>
          <w:color w:val="000000"/>
          <w:sz w:val="26"/>
          <w:szCs w:val="26"/>
        </w:rPr>
        <w:t>,</w:t>
      </w:r>
      <w:r w:rsidRPr="00A51576">
        <w:rPr>
          <w:rFonts w:ascii="Times New Roman" w:eastAsia="Times New Roman" w:hAnsi="Times New Roman" w:cs="Times New Roman"/>
          <w:color w:val="000000"/>
          <w:sz w:val="26"/>
          <w:szCs w:val="26"/>
        </w:rPr>
        <w:t xml:space="preserve"> without comment</w:t>
      </w:r>
      <w:r>
        <w:rPr>
          <w:rFonts w:ascii="Times New Roman" w:eastAsia="Times New Roman" w:hAnsi="Times New Roman" w:cs="Times New Roman"/>
          <w:color w:val="000000"/>
          <w:sz w:val="26"/>
          <w:szCs w:val="26"/>
        </w:rPr>
        <w:t>,</w:t>
      </w:r>
      <w:r w:rsidRPr="00A51576">
        <w:rPr>
          <w:rFonts w:ascii="Times New Roman" w:eastAsia="Times New Roman" w:hAnsi="Times New Roman" w:cs="Times New Roman"/>
          <w:color w:val="000000"/>
          <w:sz w:val="26"/>
          <w:szCs w:val="26"/>
        </w:rPr>
        <w:t xml:space="preserve"> unless they are either expressly or by necessary implication rejected or modified by this Opinion and Order.</w:t>
      </w:r>
    </w:p>
    <w:p w14:paraId="54AD195D" w14:textId="0FB2D543" w:rsidR="004A6139" w:rsidRDefault="004A6139" w:rsidP="00955E24">
      <w:pPr>
        <w:keepNext/>
        <w:keepLines/>
        <w:spacing w:after="0" w:line="360" w:lineRule="auto"/>
        <w:rPr>
          <w:rFonts w:ascii="Times New Roman" w:eastAsia="Times New Roman" w:hAnsi="Times New Roman" w:cs="Times New Roman"/>
          <w:color w:val="000000"/>
          <w:sz w:val="26"/>
          <w:szCs w:val="26"/>
        </w:rPr>
      </w:pPr>
    </w:p>
    <w:p w14:paraId="5AAC21F6" w14:textId="1A085FE5" w:rsidR="004A6139" w:rsidRDefault="004A6139" w:rsidP="00955E24">
      <w:pPr>
        <w:keepNext/>
        <w:keepLines/>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In summary, the ALJ dismissed the formal Complaints</w:t>
      </w:r>
      <w:r w:rsidR="00B72F16">
        <w:rPr>
          <w:rFonts w:ascii="Times New Roman" w:eastAsia="Times New Roman" w:hAnsi="Times New Roman" w:cs="Times New Roman"/>
          <w:color w:val="000000"/>
          <w:sz w:val="26"/>
          <w:szCs w:val="26"/>
        </w:rPr>
        <w:t xml:space="preserve"> finding that the OCA </w:t>
      </w:r>
      <w:r w:rsidR="00FB4B98">
        <w:rPr>
          <w:rFonts w:ascii="Times New Roman" w:eastAsia="Times New Roman" w:hAnsi="Times New Roman" w:cs="Times New Roman"/>
          <w:color w:val="000000"/>
          <w:sz w:val="26"/>
          <w:szCs w:val="26"/>
        </w:rPr>
        <w:t xml:space="preserve">was not able to meet its burden of establishing that PECO’s rates </w:t>
      </w:r>
      <w:r w:rsidR="008423BD">
        <w:rPr>
          <w:rFonts w:ascii="Times New Roman" w:eastAsia="Times New Roman" w:hAnsi="Times New Roman" w:cs="Times New Roman"/>
          <w:color w:val="000000"/>
          <w:sz w:val="26"/>
          <w:szCs w:val="26"/>
        </w:rPr>
        <w:t xml:space="preserve">are unjust or unreasonable in retaining a portion of the </w:t>
      </w:r>
      <w:r w:rsidR="00AF5D05">
        <w:rPr>
          <w:rFonts w:ascii="Times New Roman" w:eastAsia="Times New Roman" w:hAnsi="Times New Roman" w:cs="Times New Roman"/>
          <w:color w:val="000000"/>
          <w:sz w:val="26"/>
          <w:szCs w:val="26"/>
        </w:rPr>
        <w:t xml:space="preserve">settlement funds </w:t>
      </w:r>
      <w:r w:rsidR="009767D0">
        <w:rPr>
          <w:rFonts w:ascii="Times New Roman" w:eastAsia="Times New Roman" w:hAnsi="Times New Roman" w:cs="Times New Roman"/>
          <w:color w:val="000000"/>
          <w:sz w:val="26"/>
          <w:szCs w:val="26"/>
        </w:rPr>
        <w:t xml:space="preserve">under the FERC Settlement Agreement.  I.D. at 1.  </w:t>
      </w:r>
    </w:p>
    <w:p w14:paraId="2B77306F" w14:textId="4E173867" w:rsidR="00357758" w:rsidRDefault="00357758" w:rsidP="00955E24">
      <w:pPr>
        <w:keepNext/>
        <w:keepLines/>
        <w:spacing w:after="0" w:line="360" w:lineRule="auto"/>
        <w:rPr>
          <w:rFonts w:ascii="Times New Roman" w:eastAsia="Times New Roman" w:hAnsi="Times New Roman" w:cs="Times New Roman"/>
          <w:b/>
          <w:sz w:val="26"/>
          <w:szCs w:val="26"/>
        </w:rPr>
      </w:pPr>
    </w:p>
    <w:p w14:paraId="2DB22A37" w14:textId="7C6EF627" w:rsidR="00F42DB0" w:rsidRDefault="00464655" w:rsidP="00357758">
      <w:pPr>
        <w:keepNext/>
        <w:keepLines/>
        <w:spacing w:after="0" w:line="360" w:lineRule="auto"/>
        <w:ind w:firstLine="720"/>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Pr>
          <w:rFonts w:ascii="Times New Roman" w:eastAsia="Times New Roman" w:hAnsi="Times New Roman" w:cs="Times New Roman"/>
          <w:b/>
          <w:sz w:val="26"/>
          <w:szCs w:val="26"/>
        </w:rPr>
        <w:tab/>
      </w:r>
      <w:r w:rsidR="00F42DB0">
        <w:rPr>
          <w:rFonts w:ascii="Times New Roman" w:eastAsia="Times New Roman" w:hAnsi="Times New Roman" w:cs="Times New Roman"/>
          <w:b/>
          <w:sz w:val="26"/>
          <w:szCs w:val="26"/>
        </w:rPr>
        <w:t>Burden of Proof</w:t>
      </w:r>
      <w:r w:rsidR="00EF3E79">
        <w:rPr>
          <w:rFonts w:ascii="Times New Roman" w:eastAsia="Times New Roman" w:hAnsi="Times New Roman" w:cs="Times New Roman"/>
          <w:b/>
          <w:sz w:val="26"/>
          <w:szCs w:val="26"/>
        </w:rPr>
        <w:t xml:space="preserve"> </w:t>
      </w:r>
      <w:r w:rsidR="00495F6F">
        <w:rPr>
          <w:rFonts w:ascii="Times New Roman" w:eastAsia="Times New Roman" w:hAnsi="Times New Roman" w:cs="Times New Roman"/>
          <w:b/>
          <w:sz w:val="26"/>
          <w:szCs w:val="26"/>
        </w:rPr>
        <w:t>–</w:t>
      </w:r>
      <w:r w:rsidR="00EF3E79">
        <w:rPr>
          <w:rFonts w:ascii="Times New Roman" w:eastAsia="Times New Roman" w:hAnsi="Times New Roman" w:cs="Times New Roman"/>
          <w:b/>
          <w:sz w:val="26"/>
          <w:szCs w:val="26"/>
        </w:rPr>
        <w:t xml:space="preserve"> </w:t>
      </w:r>
      <w:r w:rsidR="00495F6F">
        <w:rPr>
          <w:rFonts w:ascii="Times New Roman" w:eastAsia="Times New Roman" w:hAnsi="Times New Roman" w:cs="Times New Roman"/>
          <w:b/>
          <w:sz w:val="26"/>
          <w:szCs w:val="26"/>
        </w:rPr>
        <w:t>OCA Exc. No. 1</w:t>
      </w:r>
    </w:p>
    <w:p w14:paraId="2E42AC78" w14:textId="4721D387" w:rsidR="00F42DB0" w:rsidRDefault="00F42DB0" w:rsidP="00955E24">
      <w:pPr>
        <w:keepNext/>
        <w:keepLines/>
        <w:spacing w:after="0" w:line="360" w:lineRule="auto"/>
        <w:rPr>
          <w:rFonts w:ascii="Times New Roman" w:eastAsia="Times New Roman" w:hAnsi="Times New Roman" w:cs="Times New Roman"/>
          <w:b/>
          <w:sz w:val="26"/>
          <w:szCs w:val="26"/>
        </w:rPr>
      </w:pPr>
    </w:p>
    <w:p w14:paraId="77BCAF4A" w14:textId="654D210F" w:rsidR="00EF3E79" w:rsidRDefault="00464655" w:rsidP="007E6D7D">
      <w:pPr>
        <w:widowControl w:val="0"/>
        <w:spacing w:after="0" w:line="360" w:lineRule="auto"/>
        <w:ind w:left="1440"/>
        <w:rPr>
          <w:rFonts w:ascii="Times New Roman" w:eastAsia="Times New Roman" w:hAnsi="Times New Roman" w:cs="Times New Roman"/>
          <w:b/>
          <w:sz w:val="26"/>
          <w:szCs w:val="26"/>
        </w:rPr>
      </w:pPr>
      <w:r>
        <w:rPr>
          <w:rFonts w:ascii="Times New Roman" w:eastAsia="Times New Roman" w:hAnsi="Times New Roman" w:cs="Times New Roman"/>
          <w:b/>
          <w:sz w:val="26"/>
          <w:szCs w:val="26"/>
        </w:rPr>
        <w:t>a.</w:t>
      </w:r>
      <w:r w:rsidR="003379B5">
        <w:rPr>
          <w:rFonts w:ascii="Times New Roman" w:eastAsia="Times New Roman" w:hAnsi="Times New Roman" w:cs="Times New Roman"/>
          <w:b/>
          <w:sz w:val="26"/>
          <w:szCs w:val="26"/>
        </w:rPr>
        <w:tab/>
      </w:r>
      <w:r w:rsidR="000964B1">
        <w:rPr>
          <w:rFonts w:ascii="Times New Roman" w:eastAsia="Times New Roman" w:hAnsi="Times New Roman" w:cs="Times New Roman"/>
          <w:b/>
          <w:sz w:val="26"/>
          <w:szCs w:val="26"/>
        </w:rPr>
        <w:t>Initial Decision</w:t>
      </w:r>
    </w:p>
    <w:p w14:paraId="21FAFF45" w14:textId="351FCB84" w:rsidR="000964B1" w:rsidRDefault="000964B1" w:rsidP="00E3444D">
      <w:pPr>
        <w:widowControl w:val="0"/>
        <w:spacing w:after="0" w:line="360" w:lineRule="auto"/>
        <w:rPr>
          <w:rFonts w:ascii="Times New Roman" w:eastAsia="Times New Roman" w:hAnsi="Times New Roman" w:cs="Times New Roman"/>
          <w:b/>
          <w:sz w:val="26"/>
          <w:szCs w:val="26"/>
        </w:rPr>
      </w:pPr>
    </w:p>
    <w:p w14:paraId="637E37F5" w14:textId="77456103" w:rsidR="00F42DB0" w:rsidRDefault="000964B1" w:rsidP="00E3444D">
      <w:pPr>
        <w:widowControl w:val="0"/>
        <w:spacing w:after="0" w:line="360" w:lineRule="auto"/>
        <w:rPr>
          <w:rFonts w:ascii="Times New Roman" w:eastAsia="Times New Roman" w:hAnsi="Times New Roman" w:cs="Times New Roman"/>
          <w:bCs/>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sidR="00FC1071">
        <w:rPr>
          <w:rFonts w:ascii="Times New Roman" w:eastAsia="Times New Roman" w:hAnsi="Times New Roman" w:cs="Times New Roman"/>
          <w:bCs/>
          <w:sz w:val="26"/>
          <w:szCs w:val="26"/>
        </w:rPr>
        <w:t xml:space="preserve">The ALJ began the discussion </w:t>
      </w:r>
      <w:r w:rsidR="002C4022">
        <w:rPr>
          <w:rFonts w:ascii="Times New Roman" w:eastAsia="Times New Roman" w:hAnsi="Times New Roman" w:cs="Times New Roman"/>
          <w:bCs/>
          <w:sz w:val="26"/>
          <w:szCs w:val="26"/>
        </w:rPr>
        <w:t xml:space="preserve">by noting </w:t>
      </w:r>
      <w:r w:rsidR="007A7BB5">
        <w:rPr>
          <w:rFonts w:ascii="Times New Roman" w:eastAsia="Times New Roman" w:hAnsi="Times New Roman" w:cs="Times New Roman"/>
          <w:bCs/>
          <w:sz w:val="26"/>
          <w:szCs w:val="26"/>
        </w:rPr>
        <w:t>the OCA’s argument that PECO had the burden of proof under Section 31</w:t>
      </w:r>
      <w:r w:rsidR="00073583">
        <w:rPr>
          <w:rFonts w:ascii="Times New Roman" w:eastAsia="Times New Roman" w:hAnsi="Times New Roman" w:cs="Times New Roman"/>
          <w:bCs/>
          <w:sz w:val="26"/>
          <w:szCs w:val="26"/>
        </w:rPr>
        <w:t>5 of the Code</w:t>
      </w:r>
      <w:r w:rsidR="00E3444D">
        <w:rPr>
          <w:rStyle w:val="FootnoteReference"/>
          <w:rFonts w:ascii="Times New Roman" w:eastAsia="Times New Roman" w:hAnsi="Times New Roman" w:cs="Times New Roman"/>
          <w:bCs/>
          <w:sz w:val="26"/>
          <w:szCs w:val="26"/>
        </w:rPr>
        <w:footnoteReference w:id="4"/>
      </w:r>
      <w:r w:rsidR="00073583">
        <w:rPr>
          <w:rFonts w:ascii="Times New Roman" w:eastAsia="Times New Roman" w:hAnsi="Times New Roman" w:cs="Times New Roman"/>
          <w:bCs/>
          <w:sz w:val="26"/>
          <w:szCs w:val="26"/>
        </w:rPr>
        <w:t xml:space="preserve"> to establish that its rates are reasonable in this case</w:t>
      </w:r>
      <w:r w:rsidR="008E4B4C">
        <w:rPr>
          <w:rFonts w:ascii="Times New Roman" w:eastAsia="Times New Roman" w:hAnsi="Times New Roman" w:cs="Times New Roman"/>
          <w:bCs/>
          <w:sz w:val="26"/>
          <w:szCs w:val="26"/>
        </w:rPr>
        <w:t>.</w:t>
      </w:r>
      <w:r w:rsidR="007426E4">
        <w:rPr>
          <w:rFonts w:ascii="Times New Roman" w:eastAsia="Times New Roman" w:hAnsi="Times New Roman" w:cs="Times New Roman"/>
          <w:bCs/>
          <w:sz w:val="26"/>
          <w:szCs w:val="26"/>
        </w:rPr>
        <w:t xml:space="preserve">  Disagreeing with th</w:t>
      </w:r>
      <w:r w:rsidR="00D217D0">
        <w:rPr>
          <w:rFonts w:ascii="Times New Roman" w:eastAsia="Times New Roman" w:hAnsi="Times New Roman" w:cs="Times New Roman"/>
          <w:bCs/>
          <w:sz w:val="26"/>
          <w:szCs w:val="26"/>
        </w:rPr>
        <w:t>e OCA’s</w:t>
      </w:r>
      <w:r w:rsidR="007426E4">
        <w:rPr>
          <w:rFonts w:ascii="Times New Roman" w:eastAsia="Times New Roman" w:hAnsi="Times New Roman" w:cs="Times New Roman"/>
          <w:bCs/>
          <w:sz w:val="26"/>
          <w:szCs w:val="26"/>
        </w:rPr>
        <w:t xml:space="preserve"> assertion, the ALJ stated that it is clear from the arguments that the OCA </w:t>
      </w:r>
      <w:r w:rsidR="00822F48">
        <w:rPr>
          <w:rFonts w:ascii="Times New Roman" w:eastAsia="Times New Roman" w:hAnsi="Times New Roman" w:cs="Times New Roman"/>
          <w:bCs/>
          <w:sz w:val="26"/>
          <w:szCs w:val="26"/>
        </w:rPr>
        <w:t xml:space="preserve">is challenging </w:t>
      </w:r>
      <w:r w:rsidR="0032738C">
        <w:rPr>
          <w:rFonts w:ascii="Times New Roman" w:eastAsia="Times New Roman" w:hAnsi="Times New Roman" w:cs="Times New Roman"/>
          <w:bCs/>
          <w:sz w:val="26"/>
          <w:szCs w:val="26"/>
        </w:rPr>
        <w:t>the already Commission</w:t>
      </w:r>
      <w:r w:rsidR="00F95772">
        <w:rPr>
          <w:rFonts w:ascii="Times New Roman" w:eastAsia="Times New Roman" w:hAnsi="Times New Roman" w:cs="Times New Roman"/>
          <w:bCs/>
          <w:sz w:val="26"/>
          <w:szCs w:val="26"/>
        </w:rPr>
        <w:t>-</w:t>
      </w:r>
      <w:r w:rsidR="0032738C">
        <w:rPr>
          <w:rFonts w:ascii="Times New Roman" w:eastAsia="Times New Roman" w:hAnsi="Times New Roman" w:cs="Times New Roman"/>
          <w:bCs/>
          <w:sz w:val="26"/>
          <w:szCs w:val="26"/>
        </w:rPr>
        <w:t xml:space="preserve">approved </w:t>
      </w:r>
      <w:r w:rsidR="0032738C">
        <w:rPr>
          <w:rFonts w:ascii="Times New Roman" w:eastAsia="Times New Roman" w:hAnsi="Times New Roman" w:cs="Times New Roman"/>
          <w:bCs/>
          <w:sz w:val="26"/>
          <w:szCs w:val="26"/>
        </w:rPr>
        <w:lastRenderedPageBreak/>
        <w:t xml:space="preserve">tariffed rates that PECO has in place.  </w:t>
      </w:r>
      <w:r w:rsidR="00822F48">
        <w:rPr>
          <w:rFonts w:ascii="Times New Roman" w:eastAsia="Times New Roman" w:hAnsi="Times New Roman" w:cs="Times New Roman"/>
          <w:bCs/>
          <w:sz w:val="26"/>
          <w:szCs w:val="26"/>
        </w:rPr>
        <w:t xml:space="preserve">The ALJ reasoned that there is nothing in the record to establish that PECO is seeking to increase its rates as the OCA contends.  </w:t>
      </w:r>
      <w:r w:rsidR="00210D84">
        <w:rPr>
          <w:rFonts w:ascii="Times New Roman" w:eastAsia="Times New Roman" w:hAnsi="Times New Roman" w:cs="Times New Roman"/>
          <w:bCs/>
          <w:sz w:val="26"/>
          <w:szCs w:val="26"/>
        </w:rPr>
        <w:t xml:space="preserve">Thus, the ALJ concluded that Section 332(a) of the Code places the burden of proof </w:t>
      </w:r>
      <w:r w:rsidR="008D525E">
        <w:rPr>
          <w:rFonts w:ascii="Times New Roman" w:eastAsia="Times New Roman" w:hAnsi="Times New Roman" w:cs="Times New Roman"/>
          <w:bCs/>
          <w:sz w:val="26"/>
          <w:szCs w:val="26"/>
        </w:rPr>
        <w:t>on the proponent of a rule or order</w:t>
      </w:r>
      <w:r w:rsidR="00D217D0">
        <w:rPr>
          <w:rFonts w:ascii="Times New Roman" w:eastAsia="Times New Roman" w:hAnsi="Times New Roman" w:cs="Times New Roman"/>
          <w:bCs/>
          <w:sz w:val="26"/>
          <w:szCs w:val="26"/>
        </w:rPr>
        <w:t xml:space="preserve"> which is the OCA</w:t>
      </w:r>
      <w:r w:rsidR="008D525E">
        <w:rPr>
          <w:rFonts w:ascii="Times New Roman" w:eastAsia="Times New Roman" w:hAnsi="Times New Roman" w:cs="Times New Roman"/>
          <w:bCs/>
          <w:sz w:val="26"/>
          <w:szCs w:val="26"/>
        </w:rPr>
        <w:t xml:space="preserve">.  </w:t>
      </w:r>
      <w:r w:rsidR="000172EF">
        <w:rPr>
          <w:rFonts w:ascii="Times New Roman" w:eastAsia="Times New Roman" w:hAnsi="Times New Roman" w:cs="Times New Roman"/>
          <w:bCs/>
          <w:sz w:val="26"/>
          <w:szCs w:val="26"/>
        </w:rPr>
        <w:t xml:space="preserve">To the extent that the OCA challenges the Company’s </w:t>
      </w:r>
      <w:r w:rsidR="00F95772">
        <w:rPr>
          <w:rFonts w:ascii="Times New Roman" w:eastAsia="Times New Roman" w:hAnsi="Times New Roman" w:cs="Times New Roman"/>
          <w:bCs/>
          <w:sz w:val="26"/>
          <w:szCs w:val="26"/>
        </w:rPr>
        <w:t>Commission-approved, tariffed rates for service, the ALJ continued, the OCA has the burden of proving by a preponderance of the evidence</w:t>
      </w:r>
      <w:r w:rsidR="004924AF">
        <w:rPr>
          <w:rFonts w:ascii="Times New Roman" w:eastAsia="Times New Roman" w:hAnsi="Times New Roman" w:cs="Times New Roman"/>
          <w:bCs/>
          <w:sz w:val="26"/>
          <w:szCs w:val="26"/>
        </w:rPr>
        <w:t xml:space="preserve"> that the rates are unjust, unreasonable or in violation of a Commission Regulation or Order.  I.D. at 17</w:t>
      </w:r>
      <w:r w:rsidR="008E3002">
        <w:rPr>
          <w:rFonts w:ascii="Times New Roman" w:eastAsia="Times New Roman" w:hAnsi="Times New Roman" w:cs="Times New Roman"/>
          <w:bCs/>
          <w:sz w:val="26"/>
          <w:szCs w:val="26"/>
        </w:rPr>
        <w:t xml:space="preserve"> (citing </w:t>
      </w:r>
      <w:r w:rsidR="00AA2EBB" w:rsidRPr="006B6508">
        <w:rPr>
          <w:rFonts w:ascii="Times New Roman" w:eastAsia="Times New Roman" w:hAnsi="Times New Roman" w:cs="Times New Roman"/>
          <w:bCs/>
          <w:i/>
          <w:iCs/>
          <w:sz w:val="26"/>
          <w:szCs w:val="26"/>
        </w:rPr>
        <w:t>Schellhammer v. Pa. PUC</w:t>
      </w:r>
      <w:r w:rsidR="00AA2EBB">
        <w:rPr>
          <w:rFonts w:ascii="Times New Roman" w:eastAsia="Times New Roman" w:hAnsi="Times New Roman" w:cs="Times New Roman"/>
          <w:bCs/>
          <w:sz w:val="26"/>
          <w:szCs w:val="26"/>
        </w:rPr>
        <w:t>, 629 A.2d 189 (Pa. Cmwlth</w:t>
      </w:r>
      <w:r w:rsidR="004924AF">
        <w:rPr>
          <w:rFonts w:ascii="Times New Roman" w:eastAsia="Times New Roman" w:hAnsi="Times New Roman" w:cs="Times New Roman"/>
          <w:bCs/>
          <w:sz w:val="26"/>
          <w:szCs w:val="26"/>
        </w:rPr>
        <w:t>.</w:t>
      </w:r>
      <w:r w:rsidR="006B6508">
        <w:rPr>
          <w:rFonts w:ascii="Times New Roman" w:eastAsia="Times New Roman" w:hAnsi="Times New Roman" w:cs="Times New Roman"/>
          <w:bCs/>
          <w:sz w:val="26"/>
          <w:szCs w:val="26"/>
        </w:rPr>
        <w:t xml:space="preserve"> 1993)</w:t>
      </w:r>
      <w:r w:rsidR="000D338D">
        <w:rPr>
          <w:rFonts w:ascii="Times New Roman" w:eastAsia="Times New Roman" w:hAnsi="Times New Roman" w:cs="Times New Roman"/>
          <w:bCs/>
          <w:sz w:val="26"/>
          <w:szCs w:val="26"/>
        </w:rPr>
        <w:t xml:space="preserve"> (</w:t>
      </w:r>
      <w:r w:rsidR="000D338D" w:rsidRPr="000D338D">
        <w:rPr>
          <w:rFonts w:ascii="Times New Roman" w:eastAsia="Times New Roman" w:hAnsi="Times New Roman" w:cs="Times New Roman"/>
          <w:bCs/>
          <w:i/>
          <w:iCs/>
          <w:sz w:val="26"/>
          <w:szCs w:val="26"/>
        </w:rPr>
        <w:t>Schellhammer</w:t>
      </w:r>
      <w:r w:rsidR="006B6508">
        <w:rPr>
          <w:rFonts w:ascii="Times New Roman" w:eastAsia="Times New Roman" w:hAnsi="Times New Roman" w:cs="Times New Roman"/>
          <w:bCs/>
          <w:sz w:val="26"/>
          <w:szCs w:val="26"/>
        </w:rPr>
        <w:t>)</w:t>
      </w:r>
      <w:r w:rsidR="000D338D">
        <w:rPr>
          <w:rFonts w:ascii="Times New Roman" w:eastAsia="Times New Roman" w:hAnsi="Times New Roman" w:cs="Times New Roman"/>
          <w:bCs/>
          <w:sz w:val="26"/>
          <w:szCs w:val="26"/>
        </w:rPr>
        <w:t>)</w:t>
      </w:r>
      <w:r w:rsidR="006B6508">
        <w:rPr>
          <w:rFonts w:ascii="Times New Roman" w:eastAsia="Times New Roman" w:hAnsi="Times New Roman" w:cs="Times New Roman"/>
          <w:bCs/>
          <w:sz w:val="26"/>
          <w:szCs w:val="26"/>
        </w:rPr>
        <w:t xml:space="preserve">.  </w:t>
      </w:r>
    </w:p>
    <w:p w14:paraId="1F4A6DAA" w14:textId="31F79F59" w:rsidR="004924AF" w:rsidRPr="003A2701" w:rsidRDefault="004924AF" w:rsidP="00E3444D">
      <w:pPr>
        <w:widowControl w:val="0"/>
        <w:spacing w:after="0" w:line="360" w:lineRule="auto"/>
        <w:rPr>
          <w:rFonts w:ascii="Times New Roman" w:eastAsia="Times New Roman" w:hAnsi="Times New Roman" w:cs="Times New Roman"/>
          <w:b/>
          <w:sz w:val="26"/>
          <w:szCs w:val="26"/>
        </w:rPr>
      </w:pPr>
    </w:p>
    <w:p w14:paraId="31C8E877" w14:textId="0F5EC9BA" w:rsidR="00807EE5" w:rsidRPr="0026488C" w:rsidRDefault="0093625D" w:rsidP="00E97C48">
      <w:pPr>
        <w:widowControl w:val="0"/>
        <w:spacing w:after="0" w:line="360" w:lineRule="auto"/>
        <w:ind w:left="1440"/>
        <w:rPr>
          <w:rFonts w:ascii="Times New Roman" w:eastAsia="Times New Roman" w:hAnsi="Times New Roman" w:cs="Times New Roman"/>
          <w:b/>
          <w:bCs/>
          <w:sz w:val="26"/>
          <w:szCs w:val="26"/>
        </w:rPr>
      </w:pPr>
      <w:r w:rsidRPr="0026488C">
        <w:rPr>
          <w:rFonts w:ascii="Times New Roman" w:eastAsia="Times New Roman" w:hAnsi="Times New Roman" w:cs="Times New Roman"/>
          <w:b/>
          <w:bCs/>
          <w:sz w:val="26"/>
          <w:szCs w:val="26"/>
        </w:rPr>
        <w:t>b.</w:t>
      </w:r>
      <w:r w:rsidRPr="0026488C">
        <w:rPr>
          <w:rFonts w:ascii="Times New Roman" w:eastAsia="Times New Roman" w:hAnsi="Times New Roman" w:cs="Times New Roman"/>
          <w:b/>
          <w:bCs/>
          <w:sz w:val="26"/>
          <w:szCs w:val="26"/>
        </w:rPr>
        <w:tab/>
        <w:t>Exception and Reply</w:t>
      </w:r>
    </w:p>
    <w:p w14:paraId="003B456C" w14:textId="3D6397CC" w:rsidR="00A51576" w:rsidRDefault="00A51576" w:rsidP="00E3444D">
      <w:pPr>
        <w:widowControl w:val="0"/>
        <w:spacing w:after="0" w:line="360" w:lineRule="auto"/>
        <w:rPr>
          <w:rFonts w:ascii="Times New Roman" w:eastAsia="Times New Roman" w:hAnsi="Times New Roman" w:cs="Times New Roman"/>
          <w:color w:val="000000"/>
          <w:sz w:val="26"/>
          <w:szCs w:val="26"/>
        </w:rPr>
      </w:pPr>
    </w:p>
    <w:p w14:paraId="76C36D3C" w14:textId="590F4676" w:rsidR="00891626" w:rsidRDefault="0026488C" w:rsidP="00E3444D">
      <w:pPr>
        <w:widowControl w:val="0"/>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AC0470">
        <w:rPr>
          <w:rFonts w:ascii="Times New Roman" w:eastAsia="Times New Roman" w:hAnsi="Times New Roman" w:cs="Times New Roman"/>
          <w:color w:val="000000"/>
          <w:sz w:val="26"/>
          <w:szCs w:val="26"/>
        </w:rPr>
        <w:t xml:space="preserve">In its Exception No. 1, the OCA argues that the ALJ erred </w:t>
      </w:r>
      <w:r w:rsidR="00DE28E4">
        <w:rPr>
          <w:rFonts w:ascii="Times New Roman" w:eastAsia="Times New Roman" w:hAnsi="Times New Roman" w:cs="Times New Roman"/>
          <w:color w:val="000000"/>
          <w:sz w:val="26"/>
          <w:szCs w:val="26"/>
        </w:rPr>
        <w:t xml:space="preserve">in determining that the OCA has the burden of proof.  </w:t>
      </w:r>
      <w:r w:rsidR="00902FCA">
        <w:rPr>
          <w:rFonts w:ascii="Times New Roman" w:eastAsia="Times New Roman" w:hAnsi="Times New Roman" w:cs="Times New Roman"/>
          <w:color w:val="000000"/>
          <w:sz w:val="26"/>
          <w:szCs w:val="26"/>
        </w:rPr>
        <w:t xml:space="preserve">The OCA notes that its Complaints were filed against PECO’s semiannual adjustments to </w:t>
      </w:r>
      <w:r w:rsidR="004342D7">
        <w:rPr>
          <w:rFonts w:ascii="Times New Roman" w:eastAsia="Times New Roman" w:hAnsi="Times New Roman" w:cs="Times New Roman"/>
          <w:color w:val="000000"/>
          <w:sz w:val="26"/>
          <w:szCs w:val="26"/>
        </w:rPr>
        <w:t xml:space="preserve">its NBT, which are proposed changes to tariffed rates file by PECO.  </w:t>
      </w:r>
      <w:r w:rsidR="00931500">
        <w:rPr>
          <w:rFonts w:ascii="Times New Roman" w:eastAsia="Times New Roman" w:hAnsi="Times New Roman" w:cs="Times New Roman"/>
          <w:color w:val="000000"/>
          <w:sz w:val="26"/>
          <w:szCs w:val="26"/>
        </w:rPr>
        <w:t xml:space="preserve">According to the OCA, the Company </w:t>
      </w:r>
      <w:r w:rsidR="001B3685">
        <w:rPr>
          <w:rFonts w:ascii="Times New Roman" w:eastAsia="Times New Roman" w:hAnsi="Times New Roman" w:cs="Times New Roman"/>
          <w:color w:val="000000"/>
          <w:sz w:val="26"/>
          <w:szCs w:val="26"/>
        </w:rPr>
        <w:t xml:space="preserve">acknowledged that its filing constitutes such a proposed change to tariffed rates.  Exc. at 5 (citing </w:t>
      </w:r>
      <w:r w:rsidR="00F53E88">
        <w:rPr>
          <w:rFonts w:ascii="Times New Roman" w:eastAsia="Times New Roman" w:hAnsi="Times New Roman" w:cs="Times New Roman"/>
          <w:color w:val="000000"/>
          <w:sz w:val="26"/>
          <w:szCs w:val="26"/>
        </w:rPr>
        <w:t xml:space="preserve">PECO’s Filing Letter dated November 7, 2018).  </w:t>
      </w:r>
    </w:p>
    <w:p w14:paraId="3A0F11FB" w14:textId="6F31A059" w:rsidR="00E76D53" w:rsidRDefault="00E76D53" w:rsidP="00E3444D">
      <w:pPr>
        <w:widowControl w:val="0"/>
        <w:spacing w:after="0" w:line="360" w:lineRule="auto"/>
        <w:rPr>
          <w:rFonts w:ascii="Times New Roman" w:eastAsia="Times New Roman" w:hAnsi="Times New Roman" w:cs="Times New Roman"/>
          <w:color w:val="000000"/>
          <w:sz w:val="26"/>
          <w:szCs w:val="26"/>
        </w:rPr>
      </w:pPr>
    </w:p>
    <w:p w14:paraId="5DE17230" w14:textId="253FE5C8" w:rsidR="00E76D53" w:rsidRDefault="00E76D53" w:rsidP="008339F8">
      <w:pPr>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The OCA explains that the NBT is a fully-reconcilable Section 1</w:t>
      </w:r>
      <w:r w:rsidR="00256B9F">
        <w:rPr>
          <w:rFonts w:ascii="Times New Roman" w:eastAsia="Times New Roman" w:hAnsi="Times New Roman" w:cs="Times New Roman"/>
          <w:color w:val="000000"/>
          <w:sz w:val="26"/>
          <w:szCs w:val="26"/>
        </w:rPr>
        <w:t>307(a) automatic adjustment clause.</w:t>
      </w:r>
      <w:r w:rsidR="00447395">
        <w:rPr>
          <w:rStyle w:val="FootnoteReference"/>
          <w:rFonts w:ascii="Times New Roman" w:eastAsia="Times New Roman" w:hAnsi="Times New Roman" w:cs="Times New Roman"/>
          <w:color w:val="000000"/>
          <w:sz w:val="26"/>
          <w:szCs w:val="26"/>
        </w:rPr>
        <w:footnoteReference w:id="5"/>
      </w:r>
      <w:r w:rsidR="00256B9F">
        <w:rPr>
          <w:rFonts w:ascii="Times New Roman" w:eastAsia="Times New Roman" w:hAnsi="Times New Roman" w:cs="Times New Roman"/>
          <w:color w:val="000000"/>
          <w:sz w:val="26"/>
          <w:szCs w:val="26"/>
        </w:rPr>
        <w:t xml:space="preserve">  </w:t>
      </w:r>
      <w:r w:rsidR="00110143">
        <w:rPr>
          <w:rFonts w:ascii="Times New Roman" w:eastAsia="Times New Roman" w:hAnsi="Times New Roman" w:cs="Times New Roman"/>
          <w:color w:val="000000"/>
          <w:sz w:val="26"/>
          <w:szCs w:val="26"/>
        </w:rPr>
        <w:t xml:space="preserve">The OCA argues that </w:t>
      </w:r>
      <w:r w:rsidR="00E114C5">
        <w:rPr>
          <w:rFonts w:ascii="Times New Roman" w:eastAsia="Times New Roman" w:hAnsi="Times New Roman" w:cs="Times New Roman"/>
          <w:color w:val="000000"/>
          <w:sz w:val="26"/>
          <w:szCs w:val="26"/>
        </w:rPr>
        <w:t xml:space="preserve">the utility bears the burden of proof </w:t>
      </w:r>
      <w:r w:rsidR="00E114C5">
        <w:rPr>
          <w:rFonts w:ascii="Times New Roman" w:eastAsia="Times New Roman" w:hAnsi="Times New Roman" w:cs="Times New Roman"/>
          <w:color w:val="000000"/>
          <w:sz w:val="26"/>
          <w:szCs w:val="26"/>
        </w:rPr>
        <w:lastRenderedPageBreak/>
        <w:t>in establishing that its semiannual adjustment is con</w:t>
      </w:r>
      <w:r w:rsidR="00BA3674">
        <w:rPr>
          <w:rFonts w:ascii="Times New Roman" w:eastAsia="Times New Roman" w:hAnsi="Times New Roman" w:cs="Times New Roman"/>
          <w:color w:val="000000"/>
          <w:sz w:val="26"/>
          <w:szCs w:val="26"/>
        </w:rPr>
        <w:t>sistent with the Code and Commission Regulations and that the Commonwealth Court affirme</w:t>
      </w:r>
      <w:r w:rsidR="0019168B">
        <w:rPr>
          <w:rFonts w:ascii="Times New Roman" w:eastAsia="Times New Roman" w:hAnsi="Times New Roman" w:cs="Times New Roman"/>
          <w:color w:val="000000"/>
          <w:sz w:val="26"/>
          <w:szCs w:val="26"/>
        </w:rPr>
        <w:t xml:space="preserve">d this requirement regarding Section 1307 filings.  Exc. at </w:t>
      </w:r>
      <w:r w:rsidR="00716DEB">
        <w:rPr>
          <w:rFonts w:ascii="Times New Roman" w:eastAsia="Times New Roman" w:hAnsi="Times New Roman" w:cs="Times New Roman"/>
          <w:color w:val="000000"/>
          <w:sz w:val="26"/>
          <w:szCs w:val="26"/>
        </w:rPr>
        <w:t xml:space="preserve">6 (citing </w:t>
      </w:r>
      <w:r w:rsidR="00716DEB" w:rsidRPr="00A2189B">
        <w:rPr>
          <w:rFonts w:ascii="Times New Roman" w:eastAsia="Times New Roman" w:hAnsi="Times New Roman" w:cs="Times New Roman"/>
          <w:i/>
          <w:iCs/>
          <w:color w:val="000000"/>
          <w:sz w:val="26"/>
          <w:szCs w:val="26"/>
        </w:rPr>
        <w:t>UGI Utilities</w:t>
      </w:r>
      <w:r w:rsidR="00C964CD">
        <w:rPr>
          <w:rFonts w:ascii="Times New Roman" w:eastAsia="Times New Roman" w:hAnsi="Times New Roman" w:cs="Times New Roman"/>
          <w:i/>
          <w:iCs/>
          <w:color w:val="000000"/>
          <w:sz w:val="26"/>
          <w:szCs w:val="26"/>
        </w:rPr>
        <w:t>, Inc. – Gas Division</w:t>
      </w:r>
      <w:r w:rsidR="00716DEB" w:rsidRPr="00A2189B">
        <w:rPr>
          <w:rFonts w:ascii="Times New Roman" w:eastAsia="Times New Roman" w:hAnsi="Times New Roman" w:cs="Times New Roman"/>
          <w:i/>
          <w:iCs/>
          <w:color w:val="000000"/>
          <w:sz w:val="26"/>
          <w:szCs w:val="26"/>
        </w:rPr>
        <w:t xml:space="preserve"> v. Pa.</w:t>
      </w:r>
      <w:r w:rsidR="00A3618D">
        <w:rPr>
          <w:rFonts w:ascii="Times New Roman" w:eastAsia="Times New Roman" w:hAnsi="Times New Roman" w:cs="Times New Roman"/>
          <w:i/>
          <w:iCs/>
          <w:color w:val="000000"/>
          <w:sz w:val="26"/>
          <w:szCs w:val="26"/>
        </w:rPr>
        <w:t> </w:t>
      </w:r>
      <w:r w:rsidR="00716DEB" w:rsidRPr="00A2189B">
        <w:rPr>
          <w:rFonts w:ascii="Times New Roman" w:eastAsia="Times New Roman" w:hAnsi="Times New Roman" w:cs="Times New Roman"/>
          <w:i/>
          <w:iCs/>
          <w:color w:val="000000"/>
          <w:sz w:val="26"/>
          <w:szCs w:val="26"/>
        </w:rPr>
        <w:t>PUC</w:t>
      </w:r>
      <w:r w:rsidR="00716DEB">
        <w:rPr>
          <w:rFonts w:ascii="Times New Roman" w:eastAsia="Times New Roman" w:hAnsi="Times New Roman" w:cs="Times New Roman"/>
          <w:color w:val="000000"/>
          <w:sz w:val="26"/>
          <w:szCs w:val="26"/>
        </w:rPr>
        <w:t>, 863 A.2d 144</w:t>
      </w:r>
      <w:r w:rsidR="00A2189B">
        <w:rPr>
          <w:rFonts w:ascii="Times New Roman" w:eastAsia="Times New Roman" w:hAnsi="Times New Roman" w:cs="Times New Roman"/>
          <w:color w:val="000000"/>
          <w:sz w:val="26"/>
          <w:szCs w:val="26"/>
        </w:rPr>
        <w:t>, 148 (Pa. Cmwlth. 2004)</w:t>
      </w:r>
      <w:r w:rsidR="00092874">
        <w:rPr>
          <w:rFonts w:ascii="Times New Roman" w:eastAsia="Times New Roman" w:hAnsi="Times New Roman" w:cs="Times New Roman"/>
          <w:color w:val="000000"/>
          <w:sz w:val="26"/>
          <w:szCs w:val="26"/>
        </w:rPr>
        <w:t xml:space="preserve"> (</w:t>
      </w:r>
      <w:r w:rsidR="00092874" w:rsidRPr="004F56FF">
        <w:rPr>
          <w:rFonts w:ascii="Times New Roman" w:eastAsia="Times New Roman" w:hAnsi="Times New Roman" w:cs="Times New Roman"/>
          <w:i/>
          <w:iCs/>
          <w:color w:val="000000"/>
          <w:sz w:val="26"/>
          <w:szCs w:val="26"/>
        </w:rPr>
        <w:t>UGI</w:t>
      </w:r>
      <w:r w:rsidR="00A2189B">
        <w:rPr>
          <w:rFonts w:ascii="Times New Roman" w:eastAsia="Times New Roman" w:hAnsi="Times New Roman" w:cs="Times New Roman"/>
          <w:color w:val="000000"/>
          <w:sz w:val="26"/>
          <w:szCs w:val="26"/>
        </w:rPr>
        <w:t>)</w:t>
      </w:r>
      <w:r w:rsidR="00F169A6">
        <w:rPr>
          <w:rFonts w:ascii="Times New Roman" w:eastAsia="Times New Roman" w:hAnsi="Times New Roman" w:cs="Times New Roman"/>
          <w:color w:val="000000"/>
          <w:sz w:val="26"/>
          <w:szCs w:val="26"/>
        </w:rPr>
        <w:t>)</w:t>
      </w:r>
      <w:r w:rsidR="00A2189B">
        <w:rPr>
          <w:rFonts w:ascii="Times New Roman" w:eastAsia="Times New Roman" w:hAnsi="Times New Roman" w:cs="Times New Roman"/>
          <w:color w:val="000000"/>
          <w:sz w:val="26"/>
          <w:szCs w:val="26"/>
        </w:rPr>
        <w:t xml:space="preserve">.  </w:t>
      </w:r>
      <w:r w:rsidR="00420F82">
        <w:rPr>
          <w:rFonts w:ascii="Times New Roman" w:eastAsia="Times New Roman" w:hAnsi="Times New Roman" w:cs="Times New Roman"/>
          <w:color w:val="000000"/>
          <w:sz w:val="26"/>
          <w:szCs w:val="26"/>
        </w:rPr>
        <w:t>Additionally, the OCA cites to a recent Commission decision</w:t>
      </w:r>
      <w:r w:rsidR="00674DF4">
        <w:rPr>
          <w:rFonts w:ascii="Times New Roman" w:eastAsia="Times New Roman" w:hAnsi="Times New Roman" w:cs="Times New Roman"/>
          <w:color w:val="000000"/>
          <w:sz w:val="26"/>
          <w:szCs w:val="26"/>
        </w:rPr>
        <w:t xml:space="preserve"> involving the Distribution System Improvement Charge </w:t>
      </w:r>
      <w:r w:rsidR="00E65A63">
        <w:rPr>
          <w:rFonts w:ascii="Times New Roman" w:eastAsia="Times New Roman" w:hAnsi="Times New Roman" w:cs="Times New Roman"/>
          <w:color w:val="000000"/>
          <w:sz w:val="26"/>
          <w:szCs w:val="26"/>
        </w:rPr>
        <w:t>(DSI</w:t>
      </w:r>
      <w:r w:rsidR="00F06C09">
        <w:rPr>
          <w:rFonts w:ascii="Times New Roman" w:eastAsia="Times New Roman" w:hAnsi="Times New Roman" w:cs="Times New Roman"/>
          <w:color w:val="000000"/>
          <w:sz w:val="26"/>
          <w:szCs w:val="26"/>
        </w:rPr>
        <w:t xml:space="preserve">C) </w:t>
      </w:r>
      <w:r w:rsidR="00674DF4">
        <w:rPr>
          <w:rFonts w:ascii="Times New Roman" w:eastAsia="Times New Roman" w:hAnsi="Times New Roman" w:cs="Times New Roman"/>
          <w:color w:val="000000"/>
          <w:sz w:val="26"/>
          <w:szCs w:val="26"/>
        </w:rPr>
        <w:t>surcharge mechanism</w:t>
      </w:r>
      <w:r w:rsidR="00940E24">
        <w:rPr>
          <w:rFonts w:ascii="Times New Roman" w:eastAsia="Times New Roman" w:hAnsi="Times New Roman" w:cs="Times New Roman"/>
          <w:color w:val="000000"/>
          <w:sz w:val="26"/>
          <w:szCs w:val="26"/>
        </w:rPr>
        <w:t xml:space="preserve"> and determined that the burden of proof does not </w:t>
      </w:r>
      <w:r w:rsidR="00382A68">
        <w:rPr>
          <w:rFonts w:ascii="Times New Roman" w:eastAsia="Times New Roman" w:hAnsi="Times New Roman" w:cs="Times New Roman"/>
          <w:color w:val="000000"/>
          <w:sz w:val="26"/>
          <w:szCs w:val="26"/>
        </w:rPr>
        <w:t xml:space="preserve">shift to </w:t>
      </w:r>
      <w:r w:rsidR="00B537A9">
        <w:rPr>
          <w:rFonts w:ascii="Times New Roman" w:eastAsia="Times New Roman" w:hAnsi="Times New Roman" w:cs="Times New Roman"/>
          <w:color w:val="000000"/>
          <w:sz w:val="26"/>
          <w:szCs w:val="26"/>
        </w:rPr>
        <w:t xml:space="preserve">the </w:t>
      </w:r>
      <w:r w:rsidR="00382A68">
        <w:rPr>
          <w:rFonts w:ascii="Times New Roman" w:eastAsia="Times New Roman" w:hAnsi="Times New Roman" w:cs="Times New Roman"/>
          <w:color w:val="000000"/>
          <w:sz w:val="26"/>
          <w:szCs w:val="26"/>
        </w:rPr>
        <w:t xml:space="preserve">parties challenging the rate surcharge but that the burden of proof </w:t>
      </w:r>
      <w:r w:rsidR="002F7DCA">
        <w:rPr>
          <w:rFonts w:ascii="Times New Roman" w:eastAsia="Times New Roman" w:hAnsi="Times New Roman" w:cs="Times New Roman"/>
          <w:color w:val="000000"/>
          <w:sz w:val="26"/>
          <w:szCs w:val="26"/>
        </w:rPr>
        <w:t xml:space="preserve">remains with the utility throughout the course of the rate proceeding.  </w:t>
      </w:r>
      <w:r w:rsidR="007F7342" w:rsidRPr="007F7342">
        <w:rPr>
          <w:rFonts w:ascii="Times New Roman" w:eastAsia="Times New Roman" w:hAnsi="Times New Roman" w:cs="Times New Roman"/>
          <w:color w:val="000000"/>
          <w:sz w:val="26"/>
          <w:szCs w:val="26"/>
        </w:rPr>
        <w:t>Exc. at 6</w:t>
      </w:r>
      <w:r w:rsidR="002F7DCA">
        <w:rPr>
          <w:rFonts w:ascii="Times New Roman" w:eastAsia="Times New Roman" w:hAnsi="Times New Roman" w:cs="Times New Roman"/>
          <w:color w:val="000000"/>
          <w:sz w:val="26"/>
          <w:szCs w:val="26"/>
        </w:rPr>
        <w:t xml:space="preserve"> (citing </w:t>
      </w:r>
      <w:r w:rsidR="002F7DCA" w:rsidRPr="002F0563">
        <w:rPr>
          <w:rFonts w:ascii="Times New Roman" w:eastAsia="Times New Roman" w:hAnsi="Times New Roman" w:cs="Times New Roman"/>
          <w:i/>
          <w:iCs/>
          <w:color w:val="000000"/>
          <w:sz w:val="26"/>
          <w:szCs w:val="26"/>
        </w:rPr>
        <w:t xml:space="preserve">Petition of </w:t>
      </w:r>
      <w:r w:rsidR="003A09C4" w:rsidRPr="002F0563">
        <w:rPr>
          <w:rFonts w:ascii="Times New Roman" w:eastAsia="Times New Roman" w:hAnsi="Times New Roman" w:cs="Times New Roman"/>
          <w:i/>
          <w:iCs/>
          <w:color w:val="000000"/>
          <w:sz w:val="26"/>
          <w:szCs w:val="26"/>
        </w:rPr>
        <w:t xml:space="preserve">Metropolitan Edison </w:t>
      </w:r>
      <w:r w:rsidR="00E65A63" w:rsidRPr="002F0563">
        <w:rPr>
          <w:rFonts w:ascii="Times New Roman" w:eastAsia="Times New Roman" w:hAnsi="Times New Roman" w:cs="Times New Roman"/>
          <w:i/>
          <w:iCs/>
          <w:color w:val="000000"/>
          <w:sz w:val="26"/>
          <w:szCs w:val="26"/>
        </w:rPr>
        <w:t>Co. for Appro</w:t>
      </w:r>
      <w:r w:rsidR="00F06C09" w:rsidRPr="002F0563">
        <w:rPr>
          <w:rFonts w:ascii="Times New Roman" w:eastAsia="Times New Roman" w:hAnsi="Times New Roman" w:cs="Times New Roman"/>
          <w:i/>
          <w:iCs/>
          <w:color w:val="000000"/>
          <w:sz w:val="26"/>
          <w:szCs w:val="26"/>
        </w:rPr>
        <w:t>val of a DSIC</w:t>
      </w:r>
      <w:r w:rsidR="00F06C09">
        <w:rPr>
          <w:rFonts w:ascii="Times New Roman" w:eastAsia="Times New Roman" w:hAnsi="Times New Roman" w:cs="Times New Roman"/>
          <w:color w:val="000000"/>
          <w:sz w:val="26"/>
          <w:szCs w:val="26"/>
        </w:rPr>
        <w:t>,</w:t>
      </w:r>
      <w:r w:rsidR="007F7342">
        <w:rPr>
          <w:rFonts w:ascii="Times New Roman" w:eastAsia="Times New Roman" w:hAnsi="Times New Roman" w:cs="Times New Roman"/>
          <w:color w:val="000000"/>
          <w:sz w:val="26"/>
          <w:szCs w:val="26"/>
        </w:rPr>
        <w:t xml:space="preserve"> </w:t>
      </w:r>
      <w:r w:rsidR="007F7342" w:rsidRPr="007F7342">
        <w:rPr>
          <w:rFonts w:ascii="Times New Roman" w:eastAsia="Times New Roman" w:hAnsi="Times New Roman" w:cs="Times New Roman"/>
          <w:i/>
          <w:iCs/>
          <w:color w:val="000000"/>
          <w:sz w:val="26"/>
          <w:szCs w:val="26"/>
        </w:rPr>
        <w:t>et al.</w:t>
      </w:r>
      <w:r w:rsidR="007F7342">
        <w:rPr>
          <w:rFonts w:ascii="Times New Roman" w:eastAsia="Times New Roman" w:hAnsi="Times New Roman" w:cs="Times New Roman"/>
          <w:color w:val="000000"/>
          <w:sz w:val="26"/>
          <w:szCs w:val="26"/>
        </w:rPr>
        <w:t>,</w:t>
      </w:r>
      <w:r w:rsidR="00F06C09">
        <w:rPr>
          <w:rFonts w:ascii="Times New Roman" w:eastAsia="Times New Roman" w:hAnsi="Times New Roman" w:cs="Times New Roman"/>
          <w:color w:val="000000"/>
          <w:sz w:val="26"/>
          <w:szCs w:val="26"/>
        </w:rPr>
        <w:t xml:space="preserve"> </w:t>
      </w:r>
      <w:r w:rsidR="003B3669">
        <w:rPr>
          <w:rFonts w:ascii="Times New Roman" w:eastAsia="Times New Roman" w:hAnsi="Times New Roman" w:cs="Times New Roman"/>
          <w:color w:val="000000"/>
          <w:sz w:val="26"/>
          <w:szCs w:val="26"/>
        </w:rPr>
        <w:t xml:space="preserve">Docket No. </w:t>
      </w:r>
      <w:r w:rsidR="00591DA6">
        <w:rPr>
          <w:rFonts w:ascii="Times New Roman" w:eastAsia="Times New Roman" w:hAnsi="Times New Roman" w:cs="Times New Roman"/>
          <w:color w:val="000000"/>
          <w:sz w:val="26"/>
          <w:szCs w:val="26"/>
        </w:rPr>
        <w:t xml:space="preserve">P-2015-2508942, </w:t>
      </w:r>
      <w:r w:rsidR="00591DA6" w:rsidRPr="007F7342">
        <w:rPr>
          <w:rFonts w:ascii="Times New Roman" w:eastAsia="Times New Roman" w:hAnsi="Times New Roman" w:cs="Times New Roman"/>
          <w:i/>
          <w:iCs/>
          <w:color w:val="000000"/>
          <w:sz w:val="26"/>
          <w:szCs w:val="26"/>
        </w:rPr>
        <w:t>et</w:t>
      </w:r>
      <w:r w:rsidR="00A3618D">
        <w:rPr>
          <w:rFonts w:ascii="Times New Roman" w:eastAsia="Times New Roman" w:hAnsi="Times New Roman" w:cs="Times New Roman"/>
          <w:i/>
          <w:iCs/>
          <w:color w:val="000000"/>
          <w:sz w:val="26"/>
          <w:szCs w:val="26"/>
        </w:rPr>
        <w:t> </w:t>
      </w:r>
      <w:r w:rsidR="00591DA6" w:rsidRPr="007F7342">
        <w:rPr>
          <w:rFonts w:ascii="Times New Roman" w:eastAsia="Times New Roman" w:hAnsi="Times New Roman" w:cs="Times New Roman"/>
          <w:i/>
          <w:iCs/>
          <w:color w:val="000000"/>
          <w:sz w:val="26"/>
          <w:szCs w:val="26"/>
        </w:rPr>
        <w:t>al</w:t>
      </w:r>
      <w:r w:rsidR="00591DA6">
        <w:rPr>
          <w:rFonts w:ascii="Times New Roman" w:eastAsia="Times New Roman" w:hAnsi="Times New Roman" w:cs="Times New Roman"/>
          <w:color w:val="000000"/>
          <w:sz w:val="26"/>
          <w:szCs w:val="26"/>
        </w:rPr>
        <w:t>.</w:t>
      </w:r>
      <w:r w:rsidR="00EE73B6">
        <w:rPr>
          <w:rFonts w:ascii="Times New Roman" w:eastAsia="Times New Roman" w:hAnsi="Times New Roman" w:cs="Times New Roman"/>
          <w:color w:val="000000"/>
          <w:sz w:val="26"/>
          <w:szCs w:val="26"/>
        </w:rPr>
        <w:t xml:space="preserve">, </w:t>
      </w:r>
      <w:r w:rsidR="00591DA6">
        <w:rPr>
          <w:rFonts w:ascii="Times New Roman" w:eastAsia="Times New Roman" w:hAnsi="Times New Roman" w:cs="Times New Roman"/>
          <w:color w:val="000000"/>
          <w:sz w:val="26"/>
          <w:szCs w:val="26"/>
        </w:rPr>
        <w:t>(Order entered April 19, 2018)</w:t>
      </w:r>
      <w:r w:rsidR="006D48C9">
        <w:rPr>
          <w:rFonts w:ascii="Times New Roman" w:eastAsia="Times New Roman" w:hAnsi="Times New Roman" w:cs="Times New Roman"/>
          <w:color w:val="000000"/>
          <w:sz w:val="26"/>
          <w:szCs w:val="26"/>
        </w:rPr>
        <w:t xml:space="preserve"> (</w:t>
      </w:r>
      <w:r w:rsidR="006D48C9" w:rsidRPr="006D48C9">
        <w:rPr>
          <w:rFonts w:ascii="Times New Roman" w:hAnsi="Times New Roman" w:cs="Times New Roman"/>
          <w:i/>
          <w:iCs/>
          <w:sz w:val="26"/>
          <w:szCs w:val="26"/>
        </w:rPr>
        <w:t>Met-Ed DSIC</w:t>
      </w:r>
      <w:r w:rsidR="0030024A">
        <w:rPr>
          <w:rFonts w:ascii="Times New Roman" w:hAnsi="Times New Roman" w:cs="Times New Roman"/>
          <w:i/>
          <w:iCs/>
          <w:sz w:val="26"/>
          <w:szCs w:val="26"/>
        </w:rPr>
        <w:t xml:space="preserve"> </w:t>
      </w:r>
      <w:r w:rsidR="00CB146D">
        <w:rPr>
          <w:rFonts w:ascii="Times New Roman" w:hAnsi="Times New Roman" w:cs="Times New Roman"/>
          <w:i/>
          <w:iCs/>
          <w:sz w:val="26"/>
          <w:szCs w:val="26"/>
        </w:rPr>
        <w:t>Order</w:t>
      </w:r>
      <w:r w:rsidR="00591DA6">
        <w:rPr>
          <w:rFonts w:ascii="Times New Roman" w:eastAsia="Times New Roman" w:hAnsi="Times New Roman" w:cs="Times New Roman"/>
          <w:color w:val="000000"/>
          <w:sz w:val="26"/>
          <w:szCs w:val="26"/>
        </w:rPr>
        <w:t>)</w:t>
      </w:r>
      <w:r w:rsidR="006D48C9">
        <w:rPr>
          <w:rFonts w:ascii="Times New Roman" w:eastAsia="Times New Roman" w:hAnsi="Times New Roman" w:cs="Times New Roman"/>
          <w:color w:val="000000"/>
          <w:sz w:val="26"/>
          <w:szCs w:val="26"/>
        </w:rPr>
        <w:t>)</w:t>
      </w:r>
      <w:r w:rsidR="008C6D85">
        <w:rPr>
          <w:rFonts w:ascii="Times New Roman" w:eastAsia="Times New Roman" w:hAnsi="Times New Roman" w:cs="Times New Roman"/>
          <w:color w:val="000000"/>
          <w:sz w:val="26"/>
          <w:szCs w:val="26"/>
        </w:rPr>
        <w:t xml:space="preserve">.  </w:t>
      </w:r>
    </w:p>
    <w:p w14:paraId="53E29B6E" w14:textId="3771AADF" w:rsidR="00A76241" w:rsidRDefault="00A76241" w:rsidP="00E3444D">
      <w:pPr>
        <w:widowControl w:val="0"/>
        <w:spacing w:after="0" w:line="360" w:lineRule="auto"/>
        <w:rPr>
          <w:rFonts w:ascii="Times New Roman" w:eastAsia="Times New Roman" w:hAnsi="Times New Roman" w:cs="Times New Roman"/>
          <w:color w:val="000000"/>
          <w:sz w:val="26"/>
          <w:szCs w:val="26"/>
        </w:rPr>
      </w:pPr>
    </w:p>
    <w:p w14:paraId="1EB4F3AC" w14:textId="397F052C" w:rsidR="00A76241" w:rsidRDefault="00A76241" w:rsidP="00E3444D">
      <w:pPr>
        <w:widowControl w:val="0"/>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The OCA submitted that</w:t>
      </w:r>
      <w:r w:rsidR="004D067C">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007E2783">
        <w:rPr>
          <w:rFonts w:ascii="Times New Roman" w:eastAsia="Times New Roman" w:hAnsi="Times New Roman" w:cs="Times New Roman"/>
          <w:color w:val="000000"/>
          <w:sz w:val="26"/>
          <w:szCs w:val="26"/>
        </w:rPr>
        <w:t xml:space="preserve">although this proceeding is not a base rate proceeding, PECO’s semiannual </w:t>
      </w:r>
      <w:r w:rsidR="004D067C">
        <w:rPr>
          <w:rFonts w:ascii="Times New Roman" w:eastAsia="Times New Roman" w:hAnsi="Times New Roman" w:cs="Times New Roman"/>
          <w:color w:val="000000"/>
          <w:sz w:val="26"/>
          <w:szCs w:val="26"/>
        </w:rPr>
        <w:t xml:space="preserve">adjustment to its NBT surcharge still has the effect of changing the rates that are charged to customers.  </w:t>
      </w:r>
      <w:r w:rsidR="009769E6">
        <w:rPr>
          <w:rFonts w:ascii="Times New Roman" w:eastAsia="Times New Roman" w:hAnsi="Times New Roman" w:cs="Times New Roman"/>
          <w:color w:val="000000"/>
          <w:sz w:val="26"/>
          <w:szCs w:val="26"/>
        </w:rPr>
        <w:t xml:space="preserve">According to the OCA, the affirmative burden of proving the justness </w:t>
      </w:r>
      <w:r w:rsidR="000E3AA3">
        <w:rPr>
          <w:rFonts w:ascii="Times New Roman" w:eastAsia="Times New Roman" w:hAnsi="Times New Roman" w:cs="Times New Roman"/>
          <w:color w:val="000000"/>
          <w:sz w:val="26"/>
          <w:szCs w:val="26"/>
        </w:rPr>
        <w:t xml:space="preserve">and reasonableness of the proposed semi-annual adjustment, including PECO’s decision to retain $5.5 million in FERC-ordered </w:t>
      </w:r>
      <w:r w:rsidR="007D55A0">
        <w:rPr>
          <w:rFonts w:ascii="Times New Roman" w:eastAsia="Times New Roman" w:hAnsi="Times New Roman" w:cs="Times New Roman"/>
          <w:color w:val="000000"/>
          <w:sz w:val="26"/>
          <w:szCs w:val="26"/>
        </w:rPr>
        <w:t>credits</w:t>
      </w:r>
      <w:r w:rsidR="0072263E">
        <w:rPr>
          <w:rFonts w:ascii="Times New Roman" w:eastAsia="Times New Roman" w:hAnsi="Times New Roman" w:cs="Times New Roman"/>
          <w:color w:val="000000"/>
          <w:sz w:val="26"/>
          <w:szCs w:val="26"/>
        </w:rPr>
        <w:t>,</w:t>
      </w:r>
      <w:r w:rsidR="007D55A0">
        <w:rPr>
          <w:rFonts w:ascii="Times New Roman" w:eastAsia="Times New Roman" w:hAnsi="Times New Roman" w:cs="Times New Roman"/>
          <w:color w:val="000000"/>
          <w:sz w:val="26"/>
          <w:szCs w:val="26"/>
        </w:rPr>
        <w:t xml:space="preserve"> remains on PECO as the utility.  </w:t>
      </w:r>
      <w:r w:rsidR="00BF5102">
        <w:rPr>
          <w:rFonts w:ascii="Times New Roman" w:eastAsia="Times New Roman" w:hAnsi="Times New Roman" w:cs="Times New Roman"/>
          <w:color w:val="000000"/>
          <w:sz w:val="26"/>
          <w:szCs w:val="26"/>
        </w:rPr>
        <w:t xml:space="preserve">Thus, the OCA contends that the </w:t>
      </w:r>
      <w:r w:rsidR="00D15FB1">
        <w:rPr>
          <w:rFonts w:ascii="Times New Roman" w:eastAsia="Times New Roman" w:hAnsi="Times New Roman" w:cs="Times New Roman"/>
          <w:color w:val="000000"/>
          <w:sz w:val="26"/>
          <w:szCs w:val="26"/>
        </w:rPr>
        <w:t xml:space="preserve">ALJ erred in not applying the appropriate burden of proof to PECO to demonstrate that </w:t>
      </w:r>
      <w:r w:rsidR="00943294">
        <w:rPr>
          <w:rFonts w:ascii="Times New Roman" w:eastAsia="Times New Roman" w:hAnsi="Times New Roman" w:cs="Times New Roman"/>
          <w:color w:val="000000"/>
          <w:sz w:val="26"/>
          <w:szCs w:val="26"/>
        </w:rPr>
        <w:t xml:space="preserve">its proposal to retain the FERC-ordered credits was just and reasonable.  Exc. at 6.  </w:t>
      </w:r>
    </w:p>
    <w:p w14:paraId="3E69433A" w14:textId="6744E19C" w:rsidR="00D3337A" w:rsidRDefault="00D3337A" w:rsidP="00E3444D">
      <w:pPr>
        <w:widowControl w:val="0"/>
        <w:spacing w:after="0" w:line="360" w:lineRule="auto"/>
        <w:rPr>
          <w:rFonts w:ascii="Times New Roman" w:eastAsia="Times New Roman" w:hAnsi="Times New Roman" w:cs="Times New Roman"/>
          <w:color w:val="000000"/>
          <w:sz w:val="26"/>
          <w:szCs w:val="26"/>
        </w:rPr>
      </w:pPr>
    </w:p>
    <w:p w14:paraId="3860F93F" w14:textId="07F2971B" w:rsidR="00E21E0F" w:rsidRDefault="00D3337A" w:rsidP="00E3444D">
      <w:pPr>
        <w:widowControl w:val="0"/>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Additionally, the OCA argues that the </w:t>
      </w:r>
      <w:r w:rsidR="00334061">
        <w:rPr>
          <w:rFonts w:ascii="Times New Roman" w:eastAsia="Times New Roman" w:hAnsi="Times New Roman" w:cs="Times New Roman"/>
          <w:color w:val="000000"/>
          <w:sz w:val="26"/>
          <w:szCs w:val="26"/>
        </w:rPr>
        <w:t>ALJ</w:t>
      </w:r>
      <w:r w:rsidR="001A04FA">
        <w:rPr>
          <w:rFonts w:ascii="Times New Roman" w:eastAsia="Times New Roman" w:hAnsi="Times New Roman" w:cs="Times New Roman"/>
          <w:color w:val="000000"/>
          <w:sz w:val="26"/>
          <w:szCs w:val="26"/>
        </w:rPr>
        <w:t xml:space="preserve"> erred in applying the burden of proof because the OCA did not challenge </w:t>
      </w:r>
      <w:r w:rsidR="001352FE">
        <w:rPr>
          <w:rFonts w:ascii="Times New Roman" w:eastAsia="Times New Roman" w:hAnsi="Times New Roman" w:cs="Times New Roman"/>
          <w:color w:val="000000"/>
          <w:sz w:val="26"/>
          <w:szCs w:val="26"/>
        </w:rPr>
        <w:t xml:space="preserve">a previously approved tariff provision.  </w:t>
      </w:r>
      <w:r w:rsidR="009026F2">
        <w:rPr>
          <w:rFonts w:ascii="Times New Roman" w:eastAsia="Times New Roman" w:hAnsi="Times New Roman" w:cs="Times New Roman"/>
          <w:color w:val="000000"/>
          <w:sz w:val="26"/>
          <w:szCs w:val="26"/>
        </w:rPr>
        <w:t xml:space="preserve">The OCA </w:t>
      </w:r>
      <w:r w:rsidR="004A2AFB">
        <w:rPr>
          <w:rFonts w:ascii="Times New Roman" w:eastAsia="Times New Roman" w:hAnsi="Times New Roman" w:cs="Times New Roman"/>
          <w:color w:val="000000"/>
          <w:sz w:val="26"/>
          <w:szCs w:val="26"/>
        </w:rPr>
        <w:t>assert</w:t>
      </w:r>
      <w:r w:rsidR="000221CF">
        <w:rPr>
          <w:rFonts w:ascii="Times New Roman" w:eastAsia="Times New Roman" w:hAnsi="Times New Roman" w:cs="Times New Roman"/>
          <w:color w:val="000000"/>
          <w:sz w:val="26"/>
          <w:szCs w:val="26"/>
        </w:rPr>
        <w:t>s</w:t>
      </w:r>
      <w:r w:rsidR="004A2AFB">
        <w:rPr>
          <w:rFonts w:ascii="Times New Roman" w:eastAsia="Times New Roman" w:hAnsi="Times New Roman" w:cs="Times New Roman"/>
          <w:color w:val="000000"/>
          <w:sz w:val="26"/>
          <w:szCs w:val="26"/>
        </w:rPr>
        <w:t xml:space="preserve"> that</w:t>
      </w:r>
      <w:r w:rsidR="009026F2">
        <w:rPr>
          <w:rFonts w:ascii="Times New Roman" w:eastAsia="Times New Roman" w:hAnsi="Times New Roman" w:cs="Times New Roman"/>
          <w:color w:val="000000"/>
          <w:sz w:val="26"/>
          <w:szCs w:val="26"/>
        </w:rPr>
        <w:t xml:space="preserve"> </w:t>
      </w:r>
      <w:r w:rsidR="009026F2" w:rsidRPr="00CF31FE">
        <w:rPr>
          <w:rFonts w:ascii="Times New Roman" w:eastAsia="Times New Roman" w:hAnsi="Times New Roman" w:cs="Times New Roman"/>
          <w:i/>
          <w:iCs/>
          <w:color w:val="000000"/>
          <w:sz w:val="26"/>
          <w:szCs w:val="26"/>
        </w:rPr>
        <w:t>S</w:t>
      </w:r>
      <w:r w:rsidR="006555CC">
        <w:rPr>
          <w:rFonts w:ascii="Times New Roman" w:eastAsia="Times New Roman" w:hAnsi="Times New Roman" w:cs="Times New Roman"/>
          <w:i/>
          <w:iCs/>
          <w:color w:val="000000"/>
          <w:sz w:val="26"/>
          <w:szCs w:val="26"/>
        </w:rPr>
        <w:t>c</w:t>
      </w:r>
      <w:r w:rsidR="009026F2" w:rsidRPr="00CF31FE">
        <w:rPr>
          <w:rFonts w:ascii="Times New Roman" w:eastAsia="Times New Roman" w:hAnsi="Times New Roman" w:cs="Times New Roman"/>
          <w:i/>
          <w:iCs/>
          <w:color w:val="000000"/>
          <w:sz w:val="26"/>
          <w:szCs w:val="26"/>
        </w:rPr>
        <w:t>h</w:t>
      </w:r>
      <w:r w:rsidR="00701A96" w:rsidRPr="00CF31FE">
        <w:rPr>
          <w:rFonts w:ascii="Times New Roman" w:eastAsia="Times New Roman" w:hAnsi="Times New Roman" w:cs="Times New Roman"/>
          <w:i/>
          <w:iCs/>
          <w:color w:val="000000"/>
          <w:sz w:val="26"/>
          <w:szCs w:val="26"/>
        </w:rPr>
        <w:t>ellhammer</w:t>
      </w:r>
      <w:r w:rsidR="00CF31FE">
        <w:rPr>
          <w:rFonts w:ascii="Times New Roman" w:eastAsia="Times New Roman" w:hAnsi="Times New Roman" w:cs="Times New Roman"/>
          <w:color w:val="000000"/>
          <w:sz w:val="26"/>
          <w:szCs w:val="26"/>
        </w:rPr>
        <w:t xml:space="preserve">, </w:t>
      </w:r>
      <w:r w:rsidR="000221CF">
        <w:rPr>
          <w:rFonts w:ascii="Times New Roman" w:eastAsia="Times New Roman" w:hAnsi="Times New Roman" w:cs="Times New Roman"/>
          <w:color w:val="000000"/>
          <w:sz w:val="26"/>
          <w:szCs w:val="26"/>
        </w:rPr>
        <w:t xml:space="preserve">upon </w:t>
      </w:r>
      <w:r w:rsidR="00CF31FE">
        <w:rPr>
          <w:rFonts w:ascii="Times New Roman" w:eastAsia="Times New Roman" w:hAnsi="Times New Roman" w:cs="Times New Roman"/>
          <w:color w:val="000000"/>
          <w:sz w:val="26"/>
          <w:szCs w:val="26"/>
        </w:rPr>
        <w:t>which the ALJ had relied,</w:t>
      </w:r>
      <w:r w:rsidR="000221CF">
        <w:rPr>
          <w:rFonts w:ascii="Times New Roman" w:eastAsia="Times New Roman" w:hAnsi="Times New Roman" w:cs="Times New Roman"/>
          <w:color w:val="000000"/>
          <w:sz w:val="26"/>
          <w:szCs w:val="26"/>
        </w:rPr>
        <w:t xml:space="preserve"> </w:t>
      </w:r>
      <w:r w:rsidR="00BC4D42">
        <w:rPr>
          <w:rFonts w:ascii="Times New Roman" w:eastAsia="Times New Roman" w:hAnsi="Times New Roman" w:cs="Times New Roman"/>
          <w:color w:val="000000"/>
          <w:sz w:val="26"/>
          <w:szCs w:val="26"/>
        </w:rPr>
        <w:t>i</w:t>
      </w:r>
      <w:r w:rsidR="000221CF">
        <w:rPr>
          <w:rFonts w:ascii="Times New Roman" w:eastAsia="Times New Roman" w:hAnsi="Times New Roman" w:cs="Times New Roman"/>
          <w:color w:val="000000"/>
          <w:sz w:val="26"/>
          <w:szCs w:val="26"/>
        </w:rPr>
        <w:t>s distinguishable</w:t>
      </w:r>
      <w:r w:rsidR="00701A96">
        <w:rPr>
          <w:rFonts w:ascii="Times New Roman" w:eastAsia="Times New Roman" w:hAnsi="Times New Roman" w:cs="Times New Roman"/>
          <w:color w:val="000000"/>
          <w:sz w:val="26"/>
          <w:szCs w:val="26"/>
        </w:rPr>
        <w:t xml:space="preserve"> </w:t>
      </w:r>
      <w:r w:rsidR="00701A96">
        <w:rPr>
          <w:rFonts w:ascii="Times New Roman" w:eastAsia="Times New Roman" w:hAnsi="Times New Roman" w:cs="Times New Roman"/>
          <w:color w:val="000000"/>
          <w:sz w:val="26"/>
          <w:szCs w:val="26"/>
        </w:rPr>
        <w:lastRenderedPageBreak/>
        <w:t xml:space="preserve">because it involved a ratepayer </w:t>
      </w:r>
      <w:r w:rsidR="00E305FC">
        <w:rPr>
          <w:rFonts w:ascii="Times New Roman" w:eastAsia="Times New Roman" w:hAnsi="Times New Roman" w:cs="Times New Roman"/>
          <w:color w:val="000000"/>
          <w:sz w:val="26"/>
          <w:szCs w:val="26"/>
        </w:rPr>
        <w:t>objection to a rate increas</w:t>
      </w:r>
      <w:r w:rsidR="00CF31FE">
        <w:rPr>
          <w:rFonts w:ascii="Times New Roman" w:eastAsia="Times New Roman" w:hAnsi="Times New Roman" w:cs="Times New Roman"/>
          <w:color w:val="000000"/>
          <w:sz w:val="26"/>
          <w:szCs w:val="26"/>
        </w:rPr>
        <w:t>e</w:t>
      </w:r>
      <w:r w:rsidR="0093723F">
        <w:rPr>
          <w:rFonts w:ascii="Times New Roman" w:eastAsia="Times New Roman" w:hAnsi="Times New Roman" w:cs="Times New Roman"/>
          <w:color w:val="000000"/>
          <w:sz w:val="26"/>
          <w:szCs w:val="26"/>
        </w:rPr>
        <w:t xml:space="preserve"> subsequent to a Commission investigation of </w:t>
      </w:r>
      <w:r w:rsidR="00960AFC">
        <w:rPr>
          <w:rFonts w:ascii="Times New Roman" w:eastAsia="Times New Roman" w:hAnsi="Times New Roman" w:cs="Times New Roman"/>
          <w:color w:val="000000"/>
          <w:sz w:val="26"/>
          <w:szCs w:val="26"/>
        </w:rPr>
        <w:t xml:space="preserve">a </w:t>
      </w:r>
      <w:r w:rsidR="0093723F">
        <w:rPr>
          <w:rFonts w:ascii="Times New Roman" w:eastAsia="Times New Roman" w:hAnsi="Times New Roman" w:cs="Times New Roman"/>
          <w:color w:val="000000"/>
          <w:sz w:val="26"/>
          <w:szCs w:val="26"/>
        </w:rPr>
        <w:t xml:space="preserve">rate increase and an issuance of a Commission Order approving the rate increase as just and reasonable.  </w:t>
      </w:r>
      <w:r w:rsidR="006164BF">
        <w:rPr>
          <w:rFonts w:ascii="Times New Roman" w:eastAsia="Times New Roman" w:hAnsi="Times New Roman" w:cs="Times New Roman"/>
          <w:color w:val="000000"/>
          <w:sz w:val="26"/>
          <w:szCs w:val="26"/>
        </w:rPr>
        <w:t xml:space="preserve">In </w:t>
      </w:r>
      <w:r w:rsidR="006164BF" w:rsidRPr="006164BF">
        <w:rPr>
          <w:rFonts w:ascii="Times New Roman" w:eastAsia="Times New Roman" w:hAnsi="Times New Roman" w:cs="Times New Roman"/>
          <w:i/>
          <w:iCs/>
          <w:color w:val="000000"/>
          <w:sz w:val="26"/>
          <w:szCs w:val="26"/>
        </w:rPr>
        <w:t>S</w:t>
      </w:r>
      <w:r w:rsidR="006555CC">
        <w:rPr>
          <w:rFonts w:ascii="Times New Roman" w:eastAsia="Times New Roman" w:hAnsi="Times New Roman" w:cs="Times New Roman"/>
          <w:i/>
          <w:iCs/>
          <w:color w:val="000000"/>
          <w:sz w:val="26"/>
          <w:szCs w:val="26"/>
        </w:rPr>
        <w:t>c</w:t>
      </w:r>
      <w:r w:rsidR="006164BF" w:rsidRPr="006164BF">
        <w:rPr>
          <w:rFonts w:ascii="Times New Roman" w:eastAsia="Times New Roman" w:hAnsi="Times New Roman" w:cs="Times New Roman"/>
          <w:i/>
          <w:iCs/>
          <w:color w:val="000000"/>
          <w:sz w:val="26"/>
          <w:szCs w:val="26"/>
        </w:rPr>
        <w:t>hellhammer</w:t>
      </w:r>
      <w:r w:rsidR="006164BF">
        <w:rPr>
          <w:rFonts w:ascii="Times New Roman" w:eastAsia="Times New Roman" w:hAnsi="Times New Roman" w:cs="Times New Roman"/>
          <w:color w:val="000000"/>
          <w:sz w:val="26"/>
          <w:szCs w:val="26"/>
        </w:rPr>
        <w:t>, the</w:t>
      </w:r>
      <w:r w:rsidR="009D6781">
        <w:rPr>
          <w:rFonts w:ascii="Times New Roman" w:eastAsia="Times New Roman" w:hAnsi="Times New Roman" w:cs="Times New Roman"/>
          <w:color w:val="000000"/>
          <w:sz w:val="26"/>
          <w:szCs w:val="26"/>
        </w:rPr>
        <w:t xml:space="preserve"> Court</w:t>
      </w:r>
      <w:r w:rsidR="00992C31">
        <w:rPr>
          <w:rFonts w:ascii="Times New Roman" w:eastAsia="Times New Roman" w:hAnsi="Times New Roman" w:cs="Times New Roman"/>
          <w:color w:val="000000"/>
          <w:sz w:val="26"/>
          <w:szCs w:val="26"/>
        </w:rPr>
        <w:t xml:space="preserve"> held that </w:t>
      </w:r>
      <w:r w:rsidR="00B3360B">
        <w:rPr>
          <w:rFonts w:ascii="Times New Roman" w:eastAsia="Times New Roman" w:hAnsi="Times New Roman" w:cs="Times New Roman"/>
          <w:color w:val="000000"/>
          <w:sz w:val="26"/>
          <w:szCs w:val="26"/>
        </w:rPr>
        <w:t>because</w:t>
      </w:r>
      <w:r w:rsidR="00992C31">
        <w:rPr>
          <w:rFonts w:ascii="Times New Roman" w:eastAsia="Times New Roman" w:hAnsi="Times New Roman" w:cs="Times New Roman"/>
          <w:color w:val="000000"/>
          <w:sz w:val="26"/>
          <w:szCs w:val="26"/>
        </w:rPr>
        <w:t xml:space="preserve"> there was already a Commission Order which determined that the </w:t>
      </w:r>
      <w:r w:rsidR="00CD0539">
        <w:rPr>
          <w:rFonts w:ascii="Times New Roman" w:eastAsia="Times New Roman" w:hAnsi="Times New Roman" w:cs="Times New Roman"/>
          <w:color w:val="000000"/>
          <w:sz w:val="26"/>
          <w:szCs w:val="26"/>
        </w:rPr>
        <w:t>u</w:t>
      </w:r>
      <w:r w:rsidR="00F376AB">
        <w:rPr>
          <w:rFonts w:ascii="Times New Roman" w:eastAsia="Times New Roman" w:hAnsi="Times New Roman" w:cs="Times New Roman"/>
          <w:color w:val="000000"/>
          <w:sz w:val="26"/>
          <w:szCs w:val="26"/>
        </w:rPr>
        <w:t>tility</w:t>
      </w:r>
      <w:r w:rsidR="00B3360B">
        <w:rPr>
          <w:rFonts w:ascii="Times New Roman" w:eastAsia="Times New Roman" w:hAnsi="Times New Roman" w:cs="Times New Roman"/>
          <w:color w:val="000000"/>
          <w:sz w:val="26"/>
          <w:szCs w:val="26"/>
        </w:rPr>
        <w:t xml:space="preserve">’s proposed rates were just and reasonable and, as </w:t>
      </w:r>
      <w:r w:rsidR="00E21E0F">
        <w:rPr>
          <w:rFonts w:ascii="Times New Roman" w:eastAsia="Times New Roman" w:hAnsi="Times New Roman" w:cs="Times New Roman"/>
          <w:color w:val="000000"/>
          <w:sz w:val="26"/>
          <w:szCs w:val="26"/>
        </w:rPr>
        <w:t>the ratepayer’s objection letter did not constitute a formal complaint</w:t>
      </w:r>
      <w:r w:rsidR="00473F58">
        <w:rPr>
          <w:rFonts w:ascii="Times New Roman" w:eastAsia="Times New Roman" w:hAnsi="Times New Roman" w:cs="Times New Roman"/>
          <w:color w:val="000000"/>
          <w:sz w:val="26"/>
          <w:szCs w:val="26"/>
        </w:rPr>
        <w:t xml:space="preserve">, the ratepayer had the burden of proof to show that the rates were no longer reasonable.  In contrast, the OCA asserts, </w:t>
      </w:r>
      <w:r w:rsidR="003D3227">
        <w:rPr>
          <w:rFonts w:ascii="Times New Roman" w:eastAsia="Times New Roman" w:hAnsi="Times New Roman" w:cs="Times New Roman"/>
          <w:color w:val="000000"/>
          <w:sz w:val="26"/>
          <w:szCs w:val="26"/>
        </w:rPr>
        <w:t>when a utility files a semiannual adjustment to change the rates contained in a rider, there is no prior Commission approval of those new rates and the utility bears the burden</w:t>
      </w:r>
      <w:r w:rsidR="00D263C6">
        <w:rPr>
          <w:rFonts w:ascii="Times New Roman" w:eastAsia="Times New Roman" w:hAnsi="Times New Roman" w:cs="Times New Roman"/>
          <w:color w:val="000000"/>
          <w:sz w:val="26"/>
          <w:szCs w:val="26"/>
        </w:rPr>
        <w:t xml:space="preserve"> of proving by a preponderance of the evidence that its rates are just and reasonable.  Exc. at 8-9.</w:t>
      </w:r>
    </w:p>
    <w:p w14:paraId="20FF7EEF" w14:textId="04B5546B" w:rsidR="00D263C6" w:rsidRDefault="00D263C6" w:rsidP="00E3444D">
      <w:pPr>
        <w:widowControl w:val="0"/>
        <w:spacing w:after="0" w:line="360" w:lineRule="auto"/>
        <w:rPr>
          <w:rFonts w:ascii="Times New Roman" w:eastAsia="Times New Roman" w:hAnsi="Times New Roman" w:cs="Times New Roman"/>
          <w:color w:val="000000"/>
          <w:sz w:val="26"/>
          <w:szCs w:val="26"/>
        </w:rPr>
      </w:pPr>
    </w:p>
    <w:p w14:paraId="3B744C30" w14:textId="0DA29E71" w:rsidR="00D263C6" w:rsidRDefault="00D263C6" w:rsidP="00E97C48">
      <w:pPr>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4702BC">
        <w:rPr>
          <w:rFonts w:ascii="Times New Roman" w:eastAsia="Times New Roman" w:hAnsi="Times New Roman" w:cs="Times New Roman"/>
          <w:color w:val="000000"/>
          <w:sz w:val="26"/>
          <w:szCs w:val="26"/>
        </w:rPr>
        <w:t>The OCA submits that a utility’s semi</w:t>
      </w:r>
      <w:r w:rsidR="00763CB0">
        <w:rPr>
          <w:rFonts w:ascii="Times New Roman" w:eastAsia="Times New Roman" w:hAnsi="Times New Roman" w:cs="Times New Roman"/>
          <w:color w:val="000000"/>
          <w:sz w:val="26"/>
          <w:szCs w:val="26"/>
        </w:rPr>
        <w:t>annual adjustment to its surcharge typically updates the surcharge, but that here there was no ant</w:t>
      </w:r>
      <w:r w:rsidR="005011EF">
        <w:rPr>
          <w:rFonts w:ascii="Times New Roman" w:eastAsia="Times New Roman" w:hAnsi="Times New Roman" w:cs="Times New Roman"/>
          <w:color w:val="000000"/>
          <w:sz w:val="26"/>
          <w:szCs w:val="26"/>
        </w:rPr>
        <w:t xml:space="preserve">ecedent approval of PECO’s proposal to retain $5.5 million in </w:t>
      </w:r>
      <w:r w:rsidR="00614B50">
        <w:rPr>
          <w:rFonts w:ascii="Times New Roman" w:eastAsia="Times New Roman" w:hAnsi="Times New Roman" w:cs="Times New Roman"/>
          <w:color w:val="000000"/>
          <w:sz w:val="26"/>
          <w:szCs w:val="26"/>
        </w:rPr>
        <w:t xml:space="preserve">FERC-credits.  </w:t>
      </w:r>
      <w:r w:rsidR="00027EEC">
        <w:rPr>
          <w:rFonts w:ascii="Times New Roman" w:eastAsia="Times New Roman" w:hAnsi="Times New Roman" w:cs="Times New Roman"/>
          <w:color w:val="000000"/>
          <w:sz w:val="26"/>
          <w:szCs w:val="26"/>
        </w:rPr>
        <w:t xml:space="preserve">Rather, the OCA contends that the FERC-ordered credits resulted from </w:t>
      </w:r>
      <w:r w:rsidR="004E01E2">
        <w:rPr>
          <w:rFonts w:ascii="Times New Roman" w:eastAsia="Times New Roman" w:hAnsi="Times New Roman" w:cs="Times New Roman"/>
          <w:color w:val="000000"/>
          <w:sz w:val="26"/>
          <w:szCs w:val="26"/>
        </w:rPr>
        <w:t xml:space="preserve">the Seventh Circuit’s </w:t>
      </w:r>
      <w:r w:rsidR="00266125">
        <w:rPr>
          <w:rFonts w:ascii="Times New Roman" w:eastAsia="Times New Roman" w:hAnsi="Times New Roman" w:cs="Times New Roman"/>
          <w:color w:val="000000"/>
          <w:sz w:val="26"/>
          <w:szCs w:val="26"/>
        </w:rPr>
        <w:t xml:space="preserve">determination </w:t>
      </w:r>
      <w:r w:rsidR="004E01E2">
        <w:rPr>
          <w:rFonts w:ascii="Times New Roman" w:eastAsia="Times New Roman" w:hAnsi="Times New Roman" w:cs="Times New Roman"/>
          <w:color w:val="000000"/>
          <w:sz w:val="26"/>
          <w:szCs w:val="26"/>
        </w:rPr>
        <w:t xml:space="preserve">that transmission rates were unreasonable.  </w:t>
      </w:r>
      <w:r w:rsidR="0032630A">
        <w:rPr>
          <w:rFonts w:ascii="Times New Roman" w:eastAsia="Times New Roman" w:hAnsi="Times New Roman" w:cs="Times New Roman"/>
          <w:color w:val="000000"/>
          <w:sz w:val="26"/>
          <w:szCs w:val="26"/>
        </w:rPr>
        <w:t>According to the OCA, existing rates which at one time were reasonable may become unreasonable due to changed circumstances</w:t>
      </w:r>
      <w:r w:rsidR="00E50D71">
        <w:rPr>
          <w:rFonts w:ascii="Times New Roman" w:eastAsia="Times New Roman" w:hAnsi="Times New Roman" w:cs="Times New Roman"/>
          <w:color w:val="000000"/>
          <w:sz w:val="26"/>
          <w:szCs w:val="26"/>
        </w:rPr>
        <w:t xml:space="preserve"> and are subject to reevaluation by the Commission.  Exc. at 9 (citing </w:t>
      </w:r>
      <w:r w:rsidR="00E50D71" w:rsidRPr="006240CC">
        <w:rPr>
          <w:rFonts w:ascii="Times New Roman" w:eastAsia="Times New Roman" w:hAnsi="Times New Roman" w:cs="Times New Roman"/>
          <w:i/>
          <w:iCs/>
          <w:color w:val="000000"/>
          <w:sz w:val="26"/>
          <w:szCs w:val="26"/>
        </w:rPr>
        <w:t xml:space="preserve">Pa. PUC v. </w:t>
      </w:r>
      <w:r w:rsidR="001A61B2" w:rsidRPr="006240CC">
        <w:rPr>
          <w:rFonts w:ascii="Times New Roman" w:eastAsia="Times New Roman" w:hAnsi="Times New Roman" w:cs="Times New Roman"/>
          <w:i/>
          <w:iCs/>
          <w:color w:val="000000"/>
          <w:sz w:val="26"/>
          <w:szCs w:val="26"/>
        </w:rPr>
        <w:t>UGI Penn Natural Gas, Inc. 1307(f)</w:t>
      </w:r>
      <w:r w:rsidR="001A61B2">
        <w:rPr>
          <w:rFonts w:ascii="Times New Roman" w:eastAsia="Times New Roman" w:hAnsi="Times New Roman" w:cs="Times New Roman"/>
          <w:color w:val="000000"/>
          <w:sz w:val="26"/>
          <w:szCs w:val="26"/>
        </w:rPr>
        <w:t xml:space="preserve">, </w:t>
      </w:r>
      <w:r w:rsidR="00E6263C" w:rsidRPr="006240CC">
        <w:rPr>
          <w:rFonts w:ascii="Times New Roman" w:eastAsia="Times New Roman" w:hAnsi="Times New Roman" w:cs="Times New Roman"/>
          <w:i/>
          <w:iCs/>
          <w:color w:val="000000"/>
          <w:sz w:val="26"/>
          <w:szCs w:val="26"/>
        </w:rPr>
        <w:t>et al.</w:t>
      </w:r>
      <w:r w:rsidR="00E6263C">
        <w:rPr>
          <w:rFonts w:ascii="Times New Roman" w:eastAsia="Times New Roman" w:hAnsi="Times New Roman" w:cs="Times New Roman"/>
          <w:color w:val="000000"/>
          <w:sz w:val="26"/>
          <w:szCs w:val="26"/>
        </w:rPr>
        <w:t>, Docket No. R-</w:t>
      </w:r>
      <w:r w:rsidR="00622029">
        <w:rPr>
          <w:rFonts w:ascii="Times New Roman" w:eastAsia="Times New Roman" w:hAnsi="Times New Roman" w:cs="Times New Roman"/>
          <w:color w:val="000000"/>
          <w:sz w:val="26"/>
          <w:szCs w:val="26"/>
        </w:rPr>
        <w:t>2</w:t>
      </w:r>
      <w:r w:rsidR="00475F9F">
        <w:rPr>
          <w:rFonts w:ascii="Times New Roman" w:eastAsia="Times New Roman" w:hAnsi="Times New Roman" w:cs="Times New Roman"/>
          <w:color w:val="000000"/>
          <w:sz w:val="26"/>
          <w:szCs w:val="26"/>
        </w:rPr>
        <w:t>0</w:t>
      </w:r>
      <w:r w:rsidR="00622029">
        <w:rPr>
          <w:rFonts w:ascii="Times New Roman" w:eastAsia="Times New Roman" w:hAnsi="Times New Roman" w:cs="Times New Roman"/>
          <w:color w:val="000000"/>
          <w:sz w:val="26"/>
          <w:szCs w:val="26"/>
        </w:rPr>
        <w:t>1</w:t>
      </w:r>
      <w:r w:rsidR="00475F9F">
        <w:rPr>
          <w:rFonts w:ascii="Times New Roman" w:eastAsia="Times New Roman" w:hAnsi="Times New Roman" w:cs="Times New Roman"/>
          <w:color w:val="000000"/>
          <w:sz w:val="26"/>
          <w:szCs w:val="26"/>
        </w:rPr>
        <w:t>2</w:t>
      </w:r>
      <w:r w:rsidR="00622029">
        <w:rPr>
          <w:rFonts w:ascii="Times New Roman" w:eastAsia="Times New Roman" w:hAnsi="Times New Roman" w:cs="Times New Roman"/>
          <w:color w:val="000000"/>
          <w:sz w:val="26"/>
          <w:szCs w:val="26"/>
        </w:rPr>
        <w:t xml:space="preserve">-2302221, </w:t>
      </w:r>
      <w:r w:rsidR="00622029" w:rsidRPr="006240CC">
        <w:rPr>
          <w:rFonts w:ascii="Times New Roman" w:eastAsia="Times New Roman" w:hAnsi="Times New Roman" w:cs="Times New Roman"/>
          <w:i/>
          <w:iCs/>
          <w:color w:val="000000"/>
          <w:sz w:val="26"/>
          <w:szCs w:val="26"/>
        </w:rPr>
        <w:t>et al.</w:t>
      </w:r>
      <w:r w:rsidR="00622029">
        <w:rPr>
          <w:rFonts w:ascii="Times New Roman" w:eastAsia="Times New Roman" w:hAnsi="Times New Roman" w:cs="Times New Roman"/>
          <w:color w:val="000000"/>
          <w:sz w:val="26"/>
          <w:szCs w:val="26"/>
        </w:rPr>
        <w:t>, 2012 Pa. PUC LEXIS 1523</w:t>
      </w:r>
      <w:r w:rsidR="00546DBD">
        <w:rPr>
          <w:rFonts w:ascii="Times New Roman" w:eastAsia="Times New Roman" w:hAnsi="Times New Roman" w:cs="Times New Roman"/>
          <w:color w:val="000000"/>
          <w:sz w:val="26"/>
          <w:szCs w:val="26"/>
        </w:rPr>
        <w:t xml:space="preserve"> (Recommended Decision issued </w:t>
      </w:r>
      <w:r w:rsidR="006240CC">
        <w:rPr>
          <w:rFonts w:ascii="Times New Roman" w:eastAsia="Times New Roman" w:hAnsi="Times New Roman" w:cs="Times New Roman"/>
          <w:color w:val="000000"/>
          <w:sz w:val="26"/>
          <w:szCs w:val="26"/>
        </w:rPr>
        <w:t xml:space="preserve">September 12, 2012)).  </w:t>
      </w:r>
    </w:p>
    <w:p w14:paraId="32A51F61" w14:textId="77777777" w:rsidR="009045B5" w:rsidRDefault="009045B5" w:rsidP="00E3444D">
      <w:pPr>
        <w:widowControl w:val="0"/>
        <w:spacing w:after="0" w:line="360" w:lineRule="auto"/>
        <w:rPr>
          <w:rFonts w:ascii="Times New Roman" w:eastAsia="Times New Roman" w:hAnsi="Times New Roman" w:cs="Times New Roman"/>
          <w:color w:val="000000"/>
          <w:sz w:val="26"/>
          <w:szCs w:val="26"/>
        </w:rPr>
      </w:pPr>
    </w:p>
    <w:p w14:paraId="4B62D8F8" w14:textId="3AF0C516" w:rsidR="001E08C9" w:rsidRDefault="001E08C9" w:rsidP="00E3444D">
      <w:pPr>
        <w:widowControl w:val="0"/>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Moreover, the OCA argues that </w:t>
      </w:r>
      <w:r w:rsidR="00590FF2">
        <w:rPr>
          <w:rFonts w:ascii="Times New Roman" w:eastAsia="Times New Roman" w:hAnsi="Times New Roman" w:cs="Times New Roman"/>
          <w:color w:val="000000"/>
          <w:sz w:val="26"/>
          <w:szCs w:val="26"/>
        </w:rPr>
        <w:t>there is no presumption of reasonableness to a utility’s claim and th</w:t>
      </w:r>
      <w:r w:rsidR="00CE702C">
        <w:rPr>
          <w:rFonts w:ascii="Times New Roman" w:eastAsia="Times New Roman" w:hAnsi="Times New Roman" w:cs="Times New Roman"/>
          <w:color w:val="000000"/>
          <w:sz w:val="26"/>
          <w:szCs w:val="26"/>
        </w:rPr>
        <w:t xml:space="preserve">at the Commission may place the burden </w:t>
      </w:r>
      <w:r w:rsidR="003F23B9">
        <w:rPr>
          <w:rFonts w:ascii="Times New Roman" w:eastAsia="Times New Roman" w:hAnsi="Times New Roman" w:cs="Times New Roman"/>
          <w:color w:val="000000"/>
          <w:sz w:val="26"/>
          <w:szCs w:val="26"/>
        </w:rPr>
        <w:t>on the utility to support the validity of existing</w:t>
      </w:r>
      <w:r w:rsidR="0084697E">
        <w:rPr>
          <w:rFonts w:ascii="Times New Roman" w:eastAsia="Times New Roman" w:hAnsi="Times New Roman" w:cs="Times New Roman"/>
          <w:color w:val="000000"/>
          <w:sz w:val="26"/>
          <w:szCs w:val="26"/>
        </w:rPr>
        <w:t xml:space="preserve"> provisions.  </w:t>
      </w:r>
      <w:r w:rsidR="001E0CB3">
        <w:rPr>
          <w:rFonts w:ascii="Times New Roman" w:eastAsia="Times New Roman" w:hAnsi="Times New Roman" w:cs="Times New Roman"/>
          <w:color w:val="000000"/>
          <w:sz w:val="26"/>
          <w:szCs w:val="26"/>
        </w:rPr>
        <w:t xml:space="preserve">Since the utility’s burden of proof to establish the justness and reasonableness of every component of its request is an affirmative one and remains with the utility throughout the course of a proceeding, </w:t>
      </w:r>
      <w:r w:rsidR="0084697E">
        <w:rPr>
          <w:rFonts w:ascii="Times New Roman" w:eastAsia="Times New Roman" w:hAnsi="Times New Roman" w:cs="Times New Roman"/>
          <w:color w:val="000000"/>
          <w:sz w:val="26"/>
          <w:szCs w:val="26"/>
        </w:rPr>
        <w:t xml:space="preserve">the OCA submits that PECO has the burden </w:t>
      </w:r>
      <w:r w:rsidR="00165740">
        <w:rPr>
          <w:rFonts w:ascii="Times New Roman" w:eastAsia="Times New Roman" w:hAnsi="Times New Roman" w:cs="Times New Roman"/>
          <w:color w:val="000000"/>
          <w:sz w:val="26"/>
          <w:szCs w:val="26"/>
        </w:rPr>
        <w:t xml:space="preserve">of proof to show that its proposed retention of RTEP credits is legally sustainable and would result in just and reasonable rates.  Exc. at </w:t>
      </w:r>
      <w:r w:rsidR="00A326B0">
        <w:rPr>
          <w:rFonts w:ascii="Times New Roman" w:eastAsia="Times New Roman" w:hAnsi="Times New Roman" w:cs="Times New Roman"/>
          <w:color w:val="000000"/>
          <w:sz w:val="26"/>
          <w:szCs w:val="26"/>
        </w:rPr>
        <w:t xml:space="preserve">10.  </w:t>
      </w:r>
    </w:p>
    <w:p w14:paraId="56FFB521" w14:textId="6089AEE8" w:rsidR="00397DA1" w:rsidRPr="00EC6B2B" w:rsidRDefault="00186EEE" w:rsidP="00E3444D">
      <w:pPr>
        <w:widowControl w:val="0"/>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4E8EFC7" w14:textId="44DABB06" w:rsidR="00875B53" w:rsidRDefault="002D6A8D" w:rsidP="00E3444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t xml:space="preserve">In its reply to Exception No. 1, PECO </w:t>
      </w:r>
      <w:r w:rsidR="002C5939">
        <w:rPr>
          <w:rFonts w:ascii="Times New Roman" w:hAnsi="Times New Roman" w:cs="Times New Roman"/>
          <w:sz w:val="26"/>
          <w:szCs w:val="26"/>
        </w:rPr>
        <w:t xml:space="preserve">argues that the ALJ </w:t>
      </w:r>
      <w:r w:rsidR="00A60BCE">
        <w:rPr>
          <w:rFonts w:ascii="Times New Roman" w:hAnsi="Times New Roman" w:cs="Times New Roman"/>
          <w:sz w:val="26"/>
          <w:szCs w:val="26"/>
        </w:rPr>
        <w:t xml:space="preserve">properly assigned the burden of proof to the OCA.  </w:t>
      </w:r>
      <w:r w:rsidR="00F7712B">
        <w:rPr>
          <w:rFonts w:ascii="Times New Roman" w:hAnsi="Times New Roman" w:cs="Times New Roman"/>
          <w:sz w:val="26"/>
          <w:szCs w:val="26"/>
        </w:rPr>
        <w:t xml:space="preserve">Although the OCA’s Complaints were </w:t>
      </w:r>
      <w:r w:rsidR="00EB7979">
        <w:rPr>
          <w:rFonts w:ascii="Times New Roman" w:hAnsi="Times New Roman" w:cs="Times New Roman"/>
          <w:sz w:val="26"/>
          <w:szCs w:val="26"/>
        </w:rPr>
        <w:t xml:space="preserve">filed at the Company’s NBT dockets, PECO argues that the OCA is challenging the </w:t>
      </w:r>
      <w:r w:rsidR="00F86168">
        <w:rPr>
          <w:rFonts w:ascii="Times New Roman" w:hAnsi="Times New Roman" w:cs="Times New Roman"/>
          <w:sz w:val="26"/>
          <w:szCs w:val="26"/>
        </w:rPr>
        <w:t xml:space="preserve">justness and reasonableness of PECO’s base rates in effect during the </w:t>
      </w:r>
      <w:r w:rsidR="00C77A2E">
        <w:rPr>
          <w:rFonts w:ascii="Times New Roman" w:hAnsi="Times New Roman" w:cs="Times New Roman"/>
          <w:sz w:val="26"/>
          <w:szCs w:val="26"/>
        </w:rPr>
        <w:t>2007 through 2010</w:t>
      </w:r>
      <w:r w:rsidR="00F86168">
        <w:rPr>
          <w:rFonts w:ascii="Times New Roman" w:hAnsi="Times New Roman" w:cs="Times New Roman"/>
          <w:sz w:val="26"/>
          <w:szCs w:val="26"/>
        </w:rPr>
        <w:t xml:space="preserve"> period.  Thus, PECO contends that </w:t>
      </w:r>
      <w:r w:rsidR="0054029F">
        <w:rPr>
          <w:rFonts w:ascii="Times New Roman" w:hAnsi="Times New Roman" w:cs="Times New Roman"/>
          <w:sz w:val="26"/>
          <w:szCs w:val="26"/>
        </w:rPr>
        <w:t>the plain language of Sections 315(a) and 332(a) of the Code require</w:t>
      </w:r>
      <w:r w:rsidR="00065DF6">
        <w:rPr>
          <w:rFonts w:ascii="Times New Roman" w:hAnsi="Times New Roman" w:cs="Times New Roman"/>
          <w:sz w:val="26"/>
          <w:szCs w:val="26"/>
        </w:rPr>
        <w:t>s</w:t>
      </w:r>
      <w:r w:rsidR="008A0343">
        <w:rPr>
          <w:rFonts w:ascii="Times New Roman" w:hAnsi="Times New Roman" w:cs="Times New Roman"/>
          <w:sz w:val="26"/>
          <w:szCs w:val="26"/>
        </w:rPr>
        <w:t xml:space="preserve"> the OCA to bear the burden of proof.  R. Exc. at 19.</w:t>
      </w:r>
    </w:p>
    <w:p w14:paraId="700F9DC4" w14:textId="22245454" w:rsidR="008A0343" w:rsidRDefault="008A0343" w:rsidP="00E3444D">
      <w:pPr>
        <w:widowControl w:val="0"/>
        <w:spacing w:after="0" w:line="360" w:lineRule="auto"/>
        <w:rPr>
          <w:rFonts w:ascii="Times New Roman" w:hAnsi="Times New Roman" w:cs="Times New Roman"/>
          <w:sz w:val="26"/>
          <w:szCs w:val="26"/>
        </w:rPr>
      </w:pPr>
    </w:p>
    <w:p w14:paraId="66C3D22F" w14:textId="50D01603" w:rsidR="008A0343" w:rsidRDefault="008A0343" w:rsidP="00D7393B">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955DE0">
        <w:rPr>
          <w:rFonts w:ascii="Times New Roman" w:hAnsi="Times New Roman" w:cs="Times New Roman"/>
          <w:sz w:val="26"/>
          <w:szCs w:val="26"/>
        </w:rPr>
        <w:t xml:space="preserve">Regarding Section 315(a) of the Code, PECO submits that </w:t>
      </w:r>
      <w:r w:rsidR="008D55F3">
        <w:rPr>
          <w:rFonts w:ascii="Times New Roman" w:hAnsi="Times New Roman" w:cs="Times New Roman"/>
          <w:sz w:val="26"/>
          <w:szCs w:val="26"/>
        </w:rPr>
        <w:t xml:space="preserve">a utility has the burden of proof to establish the justness and reasonableness </w:t>
      </w:r>
      <w:r w:rsidR="000B3345">
        <w:rPr>
          <w:rFonts w:ascii="Times New Roman" w:hAnsi="Times New Roman" w:cs="Times New Roman"/>
          <w:sz w:val="26"/>
          <w:szCs w:val="26"/>
        </w:rPr>
        <w:t xml:space="preserve">of its existing rates only if the Commission has initiated an investigation of those rates.  </w:t>
      </w:r>
      <w:r w:rsidR="00E413AD">
        <w:rPr>
          <w:rFonts w:ascii="Times New Roman" w:hAnsi="Times New Roman" w:cs="Times New Roman"/>
          <w:sz w:val="26"/>
          <w:szCs w:val="26"/>
        </w:rPr>
        <w:t xml:space="preserve">The Company states that the Commission did not </w:t>
      </w:r>
      <w:r w:rsidR="004D726D">
        <w:rPr>
          <w:rFonts w:ascii="Times New Roman" w:hAnsi="Times New Roman" w:cs="Times New Roman"/>
          <w:sz w:val="26"/>
          <w:szCs w:val="26"/>
        </w:rPr>
        <w:t xml:space="preserve">initiate an investigation of PECO’s base rates in effect between 2007 </w:t>
      </w:r>
      <w:r w:rsidR="00793183">
        <w:rPr>
          <w:rFonts w:ascii="Times New Roman" w:hAnsi="Times New Roman" w:cs="Times New Roman"/>
          <w:sz w:val="26"/>
          <w:szCs w:val="26"/>
        </w:rPr>
        <w:t>through</w:t>
      </w:r>
      <w:r w:rsidR="004D726D">
        <w:rPr>
          <w:rFonts w:ascii="Times New Roman" w:hAnsi="Times New Roman" w:cs="Times New Roman"/>
          <w:sz w:val="26"/>
          <w:szCs w:val="26"/>
        </w:rPr>
        <w:t xml:space="preserve"> 2010</w:t>
      </w:r>
      <w:r w:rsidR="007E1098">
        <w:rPr>
          <w:rFonts w:ascii="Times New Roman" w:hAnsi="Times New Roman" w:cs="Times New Roman"/>
          <w:sz w:val="26"/>
          <w:szCs w:val="26"/>
        </w:rPr>
        <w:t xml:space="preserve">.  PECO argues that since the </w:t>
      </w:r>
      <w:r w:rsidR="007F0156">
        <w:rPr>
          <w:rFonts w:ascii="Times New Roman" w:hAnsi="Times New Roman" w:cs="Times New Roman"/>
          <w:sz w:val="26"/>
          <w:szCs w:val="26"/>
        </w:rPr>
        <w:t>Complaints here are directed at PECO’s then existing base rates</w:t>
      </w:r>
      <w:r w:rsidR="000B371F">
        <w:rPr>
          <w:rFonts w:ascii="Times New Roman" w:hAnsi="Times New Roman" w:cs="Times New Roman"/>
          <w:sz w:val="26"/>
          <w:szCs w:val="26"/>
        </w:rPr>
        <w:t xml:space="preserve"> – and </w:t>
      </w:r>
      <w:r w:rsidR="00E61DDA">
        <w:rPr>
          <w:rFonts w:ascii="Times New Roman" w:hAnsi="Times New Roman" w:cs="Times New Roman"/>
          <w:sz w:val="26"/>
          <w:szCs w:val="26"/>
        </w:rPr>
        <w:t xml:space="preserve">the OCA acknowledged that </w:t>
      </w:r>
      <w:r w:rsidR="003029A5">
        <w:rPr>
          <w:rFonts w:ascii="Times New Roman" w:hAnsi="Times New Roman" w:cs="Times New Roman"/>
          <w:sz w:val="26"/>
          <w:szCs w:val="26"/>
        </w:rPr>
        <w:t xml:space="preserve">there was no NBT or TSC in effect from 2007 </w:t>
      </w:r>
      <w:r w:rsidR="00096672">
        <w:rPr>
          <w:rFonts w:ascii="Times New Roman" w:hAnsi="Times New Roman" w:cs="Times New Roman"/>
          <w:sz w:val="26"/>
          <w:szCs w:val="26"/>
        </w:rPr>
        <w:t>through</w:t>
      </w:r>
      <w:r w:rsidR="003029A5">
        <w:rPr>
          <w:rFonts w:ascii="Times New Roman" w:hAnsi="Times New Roman" w:cs="Times New Roman"/>
          <w:sz w:val="26"/>
          <w:szCs w:val="26"/>
        </w:rPr>
        <w:t xml:space="preserve"> 2010 – Section </w:t>
      </w:r>
      <w:r w:rsidR="00356D05">
        <w:rPr>
          <w:rFonts w:ascii="Times New Roman" w:hAnsi="Times New Roman" w:cs="Times New Roman"/>
          <w:sz w:val="26"/>
          <w:szCs w:val="26"/>
        </w:rPr>
        <w:t xml:space="preserve">315(a) does not assign the burden of proof to PECO.  Instead, PECO contends that the OCA </w:t>
      </w:r>
      <w:r w:rsidR="00FD0818">
        <w:rPr>
          <w:rFonts w:ascii="Times New Roman" w:hAnsi="Times New Roman" w:cs="Times New Roman"/>
          <w:sz w:val="26"/>
          <w:szCs w:val="26"/>
        </w:rPr>
        <w:t xml:space="preserve">as the proponent of the rule or order bears the burden of proof under Section 332(a).  </w:t>
      </w:r>
      <w:r w:rsidR="00E131F4">
        <w:rPr>
          <w:rFonts w:ascii="Times New Roman" w:hAnsi="Times New Roman" w:cs="Times New Roman"/>
          <w:sz w:val="26"/>
          <w:szCs w:val="26"/>
        </w:rPr>
        <w:t>Additionally, PECO argues that the OCA failed to cite to a single case where the u</w:t>
      </w:r>
      <w:r w:rsidR="00C17F83">
        <w:rPr>
          <w:rFonts w:ascii="Times New Roman" w:hAnsi="Times New Roman" w:cs="Times New Roman"/>
          <w:sz w:val="26"/>
          <w:szCs w:val="26"/>
        </w:rPr>
        <w:t xml:space="preserve">tility bore the burden of proof in a complaint proceeding challenging an existing rate where the Commission </w:t>
      </w:r>
      <w:r w:rsidR="005B7843">
        <w:rPr>
          <w:rFonts w:ascii="Times New Roman" w:hAnsi="Times New Roman" w:cs="Times New Roman"/>
          <w:sz w:val="26"/>
          <w:szCs w:val="26"/>
        </w:rPr>
        <w:t>did not initiate an investigation.  R.</w:t>
      </w:r>
      <w:r w:rsidR="00D7393B">
        <w:rPr>
          <w:rFonts w:ascii="Times New Roman" w:hAnsi="Times New Roman" w:cs="Times New Roman"/>
          <w:sz w:val="26"/>
          <w:szCs w:val="26"/>
        </w:rPr>
        <w:t> </w:t>
      </w:r>
      <w:r w:rsidR="005B7843">
        <w:rPr>
          <w:rFonts w:ascii="Times New Roman" w:hAnsi="Times New Roman" w:cs="Times New Roman"/>
          <w:sz w:val="26"/>
          <w:szCs w:val="26"/>
        </w:rPr>
        <w:t>Exc. at 19.</w:t>
      </w:r>
    </w:p>
    <w:p w14:paraId="64C0EA3C" w14:textId="77777777" w:rsidR="00D7393B" w:rsidRDefault="00D7393B" w:rsidP="00D7393B">
      <w:pPr>
        <w:spacing w:after="0" w:line="360" w:lineRule="auto"/>
        <w:rPr>
          <w:rFonts w:ascii="Times New Roman" w:hAnsi="Times New Roman" w:cs="Times New Roman"/>
          <w:sz w:val="26"/>
          <w:szCs w:val="26"/>
        </w:rPr>
      </w:pPr>
    </w:p>
    <w:p w14:paraId="2B868827" w14:textId="01717D9C" w:rsidR="002110CD" w:rsidRDefault="002110CD" w:rsidP="00E3444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PECO also contends that it</w:t>
      </w:r>
      <w:r w:rsidR="00E8377A">
        <w:rPr>
          <w:rFonts w:ascii="Times New Roman" w:hAnsi="Times New Roman" w:cs="Times New Roman"/>
          <w:sz w:val="26"/>
          <w:szCs w:val="26"/>
        </w:rPr>
        <w:t xml:space="preserve"> is not proposing to retain anything to which it is not entitled</w:t>
      </w:r>
      <w:r w:rsidR="008677C3">
        <w:rPr>
          <w:rFonts w:ascii="Times New Roman" w:hAnsi="Times New Roman" w:cs="Times New Roman"/>
          <w:sz w:val="26"/>
          <w:szCs w:val="26"/>
        </w:rPr>
        <w:t xml:space="preserve"> because the credits at issue relate to per</w:t>
      </w:r>
      <w:r w:rsidR="001D377D">
        <w:rPr>
          <w:rFonts w:ascii="Times New Roman" w:hAnsi="Times New Roman" w:cs="Times New Roman"/>
          <w:sz w:val="26"/>
          <w:szCs w:val="26"/>
        </w:rPr>
        <w:t xml:space="preserve">iods preceding the implementation of both the TSC and the NBT.  </w:t>
      </w:r>
      <w:r w:rsidR="004C3198">
        <w:rPr>
          <w:rFonts w:ascii="Times New Roman" w:hAnsi="Times New Roman" w:cs="Times New Roman"/>
          <w:sz w:val="26"/>
          <w:szCs w:val="26"/>
        </w:rPr>
        <w:t xml:space="preserve">In support, </w:t>
      </w:r>
      <w:r w:rsidR="00CE23F6">
        <w:rPr>
          <w:rFonts w:ascii="Times New Roman" w:hAnsi="Times New Roman" w:cs="Times New Roman"/>
          <w:sz w:val="26"/>
          <w:szCs w:val="26"/>
        </w:rPr>
        <w:t xml:space="preserve">PECO avers that </w:t>
      </w:r>
      <w:r w:rsidR="00470BEB">
        <w:rPr>
          <w:rFonts w:ascii="Times New Roman" w:hAnsi="Times New Roman" w:cs="Times New Roman"/>
          <w:sz w:val="26"/>
          <w:szCs w:val="26"/>
        </w:rPr>
        <w:t xml:space="preserve">by </w:t>
      </w:r>
      <w:r w:rsidR="00CE23F6">
        <w:rPr>
          <w:rFonts w:ascii="Times New Roman" w:hAnsi="Times New Roman" w:cs="Times New Roman"/>
          <w:sz w:val="26"/>
          <w:szCs w:val="26"/>
        </w:rPr>
        <w:t>applying the TSC and NBT exactly as they are written and appear in PECO’s tariff</w:t>
      </w:r>
      <w:r w:rsidR="00470BEB">
        <w:rPr>
          <w:rFonts w:ascii="Times New Roman" w:hAnsi="Times New Roman" w:cs="Times New Roman"/>
          <w:sz w:val="26"/>
          <w:szCs w:val="26"/>
        </w:rPr>
        <w:t xml:space="preserve"> there is no element of the TSC or NBT formulas that would capture</w:t>
      </w:r>
      <w:r w:rsidR="00CD205C">
        <w:rPr>
          <w:rFonts w:ascii="Times New Roman" w:hAnsi="Times New Roman" w:cs="Times New Roman"/>
          <w:sz w:val="26"/>
          <w:szCs w:val="26"/>
        </w:rPr>
        <w:t xml:space="preserve"> any of the pre-2011 RTEP cred</w:t>
      </w:r>
      <w:r w:rsidR="00CF5C82">
        <w:rPr>
          <w:rFonts w:ascii="Times New Roman" w:hAnsi="Times New Roman" w:cs="Times New Roman"/>
          <w:sz w:val="26"/>
          <w:szCs w:val="26"/>
        </w:rPr>
        <w:t>i</w:t>
      </w:r>
      <w:r w:rsidR="00CD205C">
        <w:rPr>
          <w:rFonts w:ascii="Times New Roman" w:hAnsi="Times New Roman" w:cs="Times New Roman"/>
          <w:sz w:val="26"/>
          <w:szCs w:val="26"/>
        </w:rPr>
        <w:t xml:space="preserve">ts.  </w:t>
      </w:r>
      <w:r w:rsidR="003C4DD6">
        <w:rPr>
          <w:rFonts w:ascii="Times New Roman" w:hAnsi="Times New Roman" w:cs="Times New Roman"/>
          <w:sz w:val="26"/>
          <w:szCs w:val="26"/>
        </w:rPr>
        <w:t>As a result, the Company submits</w:t>
      </w:r>
      <w:r w:rsidR="0079128C">
        <w:rPr>
          <w:rFonts w:ascii="Times New Roman" w:hAnsi="Times New Roman" w:cs="Times New Roman"/>
          <w:sz w:val="26"/>
          <w:szCs w:val="26"/>
        </w:rPr>
        <w:t>,</w:t>
      </w:r>
      <w:r w:rsidR="005767C4">
        <w:rPr>
          <w:rFonts w:ascii="Times New Roman" w:hAnsi="Times New Roman" w:cs="Times New Roman"/>
          <w:sz w:val="26"/>
          <w:szCs w:val="26"/>
        </w:rPr>
        <w:t xml:space="preserve"> the Commission in </w:t>
      </w:r>
      <w:r w:rsidR="00DA0DF3">
        <w:rPr>
          <w:rFonts w:ascii="Times New Roman" w:hAnsi="Times New Roman" w:cs="Times New Roman"/>
          <w:sz w:val="26"/>
          <w:szCs w:val="26"/>
        </w:rPr>
        <w:t xml:space="preserve">the </w:t>
      </w:r>
      <w:r w:rsidR="00061EEA" w:rsidRPr="0074081F">
        <w:rPr>
          <w:rFonts w:ascii="Times New Roman" w:hAnsi="Times New Roman" w:cs="Times New Roman"/>
          <w:i/>
          <w:iCs/>
          <w:sz w:val="26"/>
          <w:szCs w:val="26"/>
        </w:rPr>
        <w:t xml:space="preserve">November </w:t>
      </w:r>
      <w:r w:rsidR="0074081F" w:rsidRPr="0074081F">
        <w:rPr>
          <w:rFonts w:ascii="Times New Roman" w:hAnsi="Times New Roman" w:cs="Times New Roman"/>
          <w:i/>
          <w:iCs/>
          <w:sz w:val="26"/>
          <w:szCs w:val="26"/>
        </w:rPr>
        <w:t xml:space="preserve">2018 </w:t>
      </w:r>
      <w:r w:rsidR="00EA44DD" w:rsidRPr="0074081F">
        <w:rPr>
          <w:rFonts w:ascii="Times New Roman" w:hAnsi="Times New Roman" w:cs="Times New Roman"/>
          <w:i/>
          <w:iCs/>
          <w:sz w:val="26"/>
          <w:szCs w:val="26"/>
        </w:rPr>
        <w:t>Secretarial Letter</w:t>
      </w:r>
      <w:r w:rsidR="0074081F">
        <w:rPr>
          <w:rFonts w:ascii="Times New Roman" w:hAnsi="Times New Roman" w:cs="Times New Roman"/>
          <w:sz w:val="26"/>
          <w:szCs w:val="26"/>
        </w:rPr>
        <w:t xml:space="preserve"> and the </w:t>
      </w:r>
      <w:r w:rsidR="0074081F" w:rsidRPr="0074081F">
        <w:rPr>
          <w:rFonts w:ascii="Times New Roman" w:hAnsi="Times New Roman" w:cs="Times New Roman"/>
          <w:i/>
          <w:iCs/>
          <w:sz w:val="26"/>
          <w:szCs w:val="26"/>
        </w:rPr>
        <w:t>May</w:t>
      </w:r>
      <w:r w:rsidR="005C3274">
        <w:rPr>
          <w:rFonts w:ascii="Times New Roman" w:hAnsi="Times New Roman" w:cs="Times New Roman"/>
          <w:i/>
          <w:iCs/>
          <w:sz w:val="26"/>
          <w:szCs w:val="26"/>
        </w:rPr>
        <w:t> </w:t>
      </w:r>
      <w:r w:rsidR="0074081F" w:rsidRPr="0074081F">
        <w:rPr>
          <w:rFonts w:ascii="Times New Roman" w:hAnsi="Times New Roman" w:cs="Times New Roman"/>
          <w:i/>
          <w:iCs/>
          <w:sz w:val="26"/>
          <w:szCs w:val="26"/>
        </w:rPr>
        <w:t>2019 Secretarial Letter</w:t>
      </w:r>
      <w:r w:rsidR="00EA44DD">
        <w:rPr>
          <w:rFonts w:ascii="Times New Roman" w:hAnsi="Times New Roman" w:cs="Times New Roman"/>
          <w:sz w:val="26"/>
          <w:szCs w:val="26"/>
        </w:rPr>
        <w:t xml:space="preserve"> </w:t>
      </w:r>
      <w:r w:rsidR="00DA0DF3">
        <w:rPr>
          <w:rFonts w:ascii="Times New Roman" w:hAnsi="Times New Roman" w:cs="Times New Roman"/>
          <w:sz w:val="26"/>
          <w:szCs w:val="26"/>
        </w:rPr>
        <w:t xml:space="preserve">concluded that PECO’s NBT calculations are consistent with the tariffs.  </w:t>
      </w:r>
      <w:r w:rsidR="00D813F8">
        <w:rPr>
          <w:rFonts w:ascii="Times New Roman" w:hAnsi="Times New Roman" w:cs="Times New Roman"/>
          <w:sz w:val="26"/>
          <w:szCs w:val="26"/>
        </w:rPr>
        <w:t xml:space="preserve">Moreover, PECO argues that </w:t>
      </w:r>
      <w:r w:rsidR="001B6EC8">
        <w:rPr>
          <w:rFonts w:ascii="Times New Roman" w:hAnsi="Times New Roman" w:cs="Times New Roman"/>
          <w:sz w:val="26"/>
          <w:szCs w:val="26"/>
        </w:rPr>
        <w:t xml:space="preserve">the </w:t>
      </w:r>
      <w:r w:rsidR="00D813F8" w:rsidRPr="006D48C9">
        <w:rPr>
          <w:rFonts w:ascii="Times New Roman" w:hAnsi="Times New Roman" w:cs="Times New Roman"/>
          <w:i/>
          <w:iCs/>
          <w:sz w:val="26"/>
          <w:szCs w:val="26"/>
        </w:rPr>
        <w:t>Met-Ed DSIC</w:t>
      </w:r>
      <w:r w:rsidR="00D813F8">
        <w:rPr>
          <w:rFonts w:ascii="Times New Roman" w:hAnsi="Times New Roman" w:cs="Times New Roman"/>
          <w:sz w:val="26"/>
          <w:szCs w:val="26"/>
        </w:rPr>
        <w:t xml:space="preserve"> </w:t>
      </w:r>
      <w:r w:rsidR="00462D84">
        <w:rPr>
          <w:rFonts w:ascii="Times New Roman" w:hAnsi="Times New Roman" w:cs="Times New Roman"/>
          <w:i/>
          <w:iCs/>
          <w:sz w:val="26"/>
          <w:szCs w:val="26"/>
        </w:rPr>
        <w:t>Order</w:t>
      </w:r>
      <w:r w:rsidR="0030024A">
        <w:rPr>
          <w:rFonts w:ascii="Times New Roman" w:hAnsi="Times New Roman" w:cs="Times New Roman"/>
          <w:sz w:val="26"/>
          <w:szCs w:val="26"/>
        </w:rPr>
        <w:t xml:space="preserve"> </w:t>
      </w:r>
      <w:r w:rsidR="00D813F8">
        <w:rPr>
          <w:rFonts w:ascii="Times New Roman" w:hAnsi="Times New Roman" w:cs="Times New Roman"/>
          <w:sz w:val="26"/>
          <w:szCs w:val="26"/>
        </w:rPr>
        <w:t xml:space="preserve">cited by the OCA is inapplicable here because </w:t>
      </w:r>
      <w:r w:rsidR="00C82DD6">
        <w:rPr>
          <w:rFonts w:ascii="Times New Roman" w:hAnsi="Times New Roman" w:cs="Times New Roman"/>
          <w:sz w:val="26"/>
          <w:szCs w:val="26"/>
        </w:rPr>
        <w:t xml:space="preserve">it involved a challenge to a utility-proposed Section 1307 </w:t>
      </w:r>
      <w:r w:rsidR="00C82DD6">
        <w:rPr>
          <w:rFonts w:ascii="Times New Roman" w:hAnsi="Times New Roman" w:cs="Times New Roman"/>
          <w:sz w:val="26"/>
          <w:szCs w:val="26"/>
        </w:rPr>
        <w:lastRenderedPageBreak/>
        <w:t>automatic adjustment clause</w:t>
      </w:r>
      <w:r w:rsidR="00BE7F4E">
        <w:rPr>
          <w:rFonts w:ascii="Times New Roman" w:hAnsi="Times New Roman" w:cs="Times New Roman"/>
          <w:sz w:val="26"/>
          <w:szCs w:val="26"/>
        </w:rPr>
        <w:t>, not a complaint against existing, Commission-made base rates unaccompanied by a</w:t>
      </w:r>
      <w:r w:rsidR="006D48C9">
        <w:rPr>
          <w:rFonts w:ascii="Times New Roman" w:hAnsi="Times New Roman" w:cs="Times New Roman"/>
          <w:sz w:val="26"/>
          <w:szCs w:val="26"/>
        </w:rPr>
        <w:t xml:space="preserve"> Commission investigation.  R. Exc. at 20.  </w:t>
      </w:r>
    </w:p>
    <w:p w14:paraId="31E49108" w14:textId="289CA5BE" w:rsidR="00457CBE" w:rsidRDefault="00457CBE" w:rsidP="00E3444D">
      <w:pPr>
        <w:widowControl w:val="0"/>
        <w:spacing w:after="0" w:line="360" w:lineRule="auto"/>
        <w:rPr>
          <w:rFonts w:ascii="Times New Roman" w:hAnsi="Times New Roman" w:cs="Times New Roman"/>
          <w:sz w:val="26"/>
          <w:szCs w:val="26"/>
        </w:rPr>
      </w:pPr>
    </w:p>
    <w:p w14:paraId="1C8F2897" w14:textId="6DA14641" w:rsidR="00457CBE" w:rsidRDefault="00457CBE" w:rsidP="00E3444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As a final matter, PECO </w:t>
      </w:r>
      <w:r w:rsidR="00040624">
        <w:rPr>
          <w:rFonts w:ascii="Times New Roman" w:hAnsi="Times New Roman" w:cs="Times New Roman"/>
          <w:sz w:val="26"/>
          <w:szCs w:val="26"/>
        </w:rPr>
        <w:t xml:space="preserve">submits that even if </w:t>
      </w:r>
      <w:r w:rsidR="00F95B7A">
        <w:rPr>
          <w:rFonts w:ascii="Times New Roman" w:hAnsi="Times New Roman" w:cs="Times New Roman"/>
          <w:sz w:val="26"/>
          <w:szCs w:val="26"/>
        </w:rPr>
        <w:t xml:space="preserve">it were forced to carry the burden of proof in this case, it </w:t>
      </w:r>
      <w:r w:rsidR="00E54B65">
        <w:rPr>
          <w:rFonts w:ascii="Times New Roman" w:hAnsi="Times New Roman" w:cs="Times New Roman"/>
          <w:sz w:val="26"/>
          <w:szCs w:val="26"/>
        </w:rPr>
        <w:t xml:space="preserve">presented far more than a preponderance of the evidence needed to support its position on contested factual issues </w:t>
      </w:r>
      <w:r w:rsidR="00387DCD">
        <w:rPr>
          <w:rFonts w:ascii="Times New Roman" w:hAnsi="Times New Roman" w:cs="Times New Roman"/>
          <w:sz w:val="26"/>
          <w:szCs w:val="26"/>
        </w:rPr>
        <w:t xml:space="preserve">and would prevail in this matter.  </w:t>
      </w:r>
      <w:r w:rsidR="00387DCD" w:rsidRPr="00355D6E">
        <w:rPr>
          <w:rFonts w:ascii="Times New Roman" w:hAnsi="Times New Roman" w:cs="Times New Roman"/>
          <w:i/>
          <w:iCs/>
          <w:sz w:val="26"/>
          <w:szCs w:val="26"/>
        </w:rPr>
        <w:t>Id</w:t>
      </w:r>
      <w:r w:rsidR="00387DCD">
        <w:rPr>
          <w:rFonts w:ascii="Times New Roman" w:hAnsi="Times New Roman" w:cs="Times New Roman"/>
          <w:sz w:val="26"/>
          <w:szCs w:val="26"/>
        </w:rPr>
        <w:t xml:space="preserve">. at </w:t>
      </w:r>
      <w:r w:rsidR="00355D6E">
        <w:rPr>
          <w:rFonts w:ascii="Times New Roman" w:hAnsi="Times New Roman" w:cs="Times New Roman"/>
          <w:sz w:val="26"/>
          <w:szCs w:val="26"/>
        </w:rPr>
        <w:t xml:space="preserve">20-21.  </w:t>
      </w:r>
    </w:p>
    <w:p w14:paraId="5F112598" w14:textId="2FDC2D55" w:rsidR="00355D6E" w:rsidRDefault="00355D6E" w:rsidP="00E3444D">
      <w:pPr>
        <w:widowControl w:val="0"/>
        <w:spacing w:after="0" w:line="360" w:lineRule="auto"/>
        <w:rPr>
          <w:rFonts w:ascii="Times New Roman" w:hAnsi="Times New Roman" w:cs="Times New Roman"/>
          <w:sz w:val="26"/>
          <w:szCs w:val="26"/>
        </w:rPr>
      </w:pPr>
    </w:p>
    <w:p w14:paraId="2CC3EC0C" w14:textId="66EC329F" w:rsidR="00355D6E" w:rsidRPr="00355D6E" w:rsidRDefault="00355D6E" w:rsidP="00D7393B">
      <w:pPr>
        <w:widowControl w:val="0"/>
        <w:spacing w:after="0" w:line="360" w:lineRule="auto"/>
        <w:ind w:left="1440"/>
        <w:rPr>
          <w:rFonts w:ascii="Times New Roman" w:hAnsi="Times New Roman" w:cs="Times New Roman"/>
          <w:b/>
          <w:bCs/>
          <w:sz w:val="26"/>
          <w:szCs w:val="26"/>
        </w:rPr>
      </w:pPr>
      <w:r w:rsidRPr="00355D6E">
        <w:rPr>
          <w:rFonts w:ascii="Times New Roman" w:hAnsi="Times New Roman" w:cs="Times New Roman"/>
          <w:b/>
          <w:bCs/>
          <w:sz w:val="26"/>
          <w:szCs w:val="26"/>
        </w:rPr>
        <w:t>c.</w:t>
      </w:r>
      <w:r w:rsidRPr="00355D6E">
        <w:rPr>
          <w:rFonts w:ascii="Times New Roman" w:hAnsi="Times New Roman" w:cs="Times New Roman"/>
          <w:b/>
          <w:bCs/>
          <w:sz w:val="26"/>
          <w:szCs w:val="26"/>
        </w:rPr>
        <w:tab/>
        <w:t>Disposition</w:t>
      </w:r>
    </w:p>
    <w:p w14:paraId="166DE3DA" w14:textId="3535D890" w:rsidR="005B7843" w:rsidRDefault="005B7843" w:rsidP="00E3444D">
      <w:pPr>
        <w:widowControl w:val="0"/>
        <w:spacing w:after="0" w:line="360" w:lineRule="auto"/>
        <w:rPr>
          <w:rFonts w:ascii="Times New Roman" w:hAnsi="Times New Roman" w:cs="Times New Roman"/>
          <w:sz w:val="26"/>
          <w:szCs w:val="26"/>
        </w:rPr>
      </w:pPr>
    </w:p>
    <w:p w14:paraId="5D9837C0" w14:textId="3350B824" w:rsidR="00110E43" w:rsidRDefault="00B05A33" w:rsidP="0070173D">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Upon review, we shall </w:t>
      </w:r>
      <w:r w:rsidR="00D80770">
        <w:rPr>
          <w:rFonts w:ascii="Times New Roman" w:hAnsi="Times New Roman" w:cs="Times New Roman"/>
          <w:sz w:val="26"/>
          <w:szCs w:val="26"/>
        </w:rPr>
        <w:t>deny</w:t>
      </w:r>
      <w:r>
        <w:rPr>
          <w:rFonts w:ascii="Times New Roman" w:hAnsi="Times New Roman" w:cs="Times New Roman"/>
          <w:sz w:val="26"/>
          <w:szCs w:val="26"/>
        </w:rPr>
        <w:t xml:space="preserve"> the OCA’s Exception No. 1. </w:t>
      </w:r>
      <w:r w:rsidR="00947E15">
        <w:rPr>
          <w:rFonts w:ascii="Times New Roman" w:hAnsi="Times New Roman" w:cs="Times New Roman"/>
          <w:sz w:val="26"/>
          <w:szCs w:val="26"/>
        </w:rPr>
        <w:t xml:space="preserve"> </w:t>
      </w:r>
    </w:p>
    <w:p w14:paraId="0EC09019" w14:textId="77777777" w:rsidR="00110E43" w:rsidRDefault="00110E43" w:rsidP="0070173D">
      <w:pPr>
        <w:spacing w:after="0" w:line="360" w:lineRule="auto"/>
        <w:ind w:firstLine="1440"/>
        <w:rPr>
          <w:rFonts w:ascii="Times New Roman" w:hAnsi="Times New Roman" w:cs="Times New Roman"/>
          <w:sz w:val="26"/>
          <w:szCs w:val="26"/>
        </w:rPr>
      </w:pPr>
    </w:p>
    <w:p w14:paraId="5455A7EE" w14:textId="28327842" w:rsidR="00DF21DB" w:rsidRDefault="00BF786F" w:rsidP="0070173D">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In proceedings involving challenges to proposed surcharges</w:t>
      </w:r>
      <w:r w:rsidR="00A278EC">
        <w:rPr>
          <w:rFonts w:ascii="Times New Roman" w:hAnsi="Times New Roman" w:cs="Times New Roman"/>
          <w:sz w:val="26"/>
          <w:szCs w:val="26"/>
        </w:rPr>
        <w:t xml:space="preserve">, </w:t>
      </w:r>
      <w:r w:rsidR="003B3FC0">
        <w:rPr>
          <w:rFonts w:ascii="Times New Roman" w:hAnsi="Times New Roman" w:cs="Times New Roman"/>
          <w:sz w:val="26"/>
          <w:szCs w:val="26"/>
        </w:rPr>
        <w:t xml:space="preserve">the burden of proof typically rests on the public utility </w:t>
      </w:r>
      <w:r w:rsidR="00C31C0C">
        <w:rPr>
          <w:rFonts w:ascii="Times New Roman" w:hAnsi="Times New Roman" w:cs="Times New Roman"/>
          <w:sz w:val="26"/>
          <w:szCs w:val="26"/>
        </w:rPr>
        <w:t xml:space="preserve">seeking the surcharge.  For example, in </w:t>
      </w:r>
      <w:r w:rsidR="004E5DAB">
        <w:rPr>
          <w:rFonts w:ascii="Times New Roman" w:hAnsi="Times New Roman" w:cs="Times New Roman"/>
          <w:sz w:val="26"/>
          <w:szCs w:val="26"/>
        </w:rPr>
        <w:t xml:space="preserve">a case involving </w:t>
      </w:r>
      <w:r w:rsidR="00597B95">
        <w:rPr>
          <w:rFonts w:ascii="Times New Roman" w:hAnsi="Times New Roman" w:cs="Times New Roman"/>
          <w:sz w:val="26"/>
          <w:szCs w:val="26"/>
        </w:rPr>
        <w:t xml:space="preserve">the recovery of projected purchased gas costs </w:t>
      </w:r>
      <w:r w:rsidR="005C3D97">
        <w:rPr>
          <w:rFonts w:ascii="Times New Roman" w:hAnsi="Times New Roman" w:cs="Times New Roman"/>
          <w:sz w:val="26"/>
          <w:szCs w:val="26"/>
        </w:rPr>
        <w:t>and the application of Section</w:t>
      </w:r>
      <w:r w:rsidR="00974FAB">
        <w:rPr>
          <w:rFonts w:ascii="Times New Roman" w:hAnsi="Times New Roman" w:cs="Times New Roman"/>
          <w:sz w:val="26"/>
          <w:szCs w:val="26"/>
        </w:rPr>
        <w:t> </w:t>
      </w:r>
      <w:r w:rsidR="005C3D97">
        <w:rPr>
          <w:rFonts w:ascii="Times New Roman" w:hAnsi="Times New Roman" w:cs="Times New Roman"/>
          <w:sz w:val="26"/>
          <w:szCs w:val="26"/>
        </w:rPr>
        <w:t>1307(f) of the Code, 66 Pa. C.S.</w:t>
      </w:r>
      <w:r w:rsidR="00D6534A">
        <w:rPr>
          <w:rFonts w:ascii="Times New Roman" w:hAnsi="Times New Roman" w:cs="Times New Roman"/>
          <w:sz w:val="26"/>
          <w:szCs w:val="26"/>
        </w:rPr>
        <w:t xml:space="preserve"> § 1307(f),</w:t>
      </w:r>
      <w:r w:rsidR="003936F7">
        <w:rPr>
          <w:rStyle w:val="FootnoteReference"/>
          <w:rFonts w:ascii="Times New Roman" w:hAnsi="Times New Roman" w:cs="Times New Roman"/>
          <w:sz w:val="26"/>
          <w:szCs w:val="26"/>
        </w:rPr>
        <w:footnoteReference w:id="6"/>
      </w:r>
      <w:r w:rsidR="00D6534A">
        <w:rPr>
          <w:rFonts w:ascii="Times New Roman" w:hAnsi="Times New Roman" w:cs="Times New Roman"/>
          <w:sz w:val="26"/>
          <w:szCs w:val="26"/>
        </w:rPr>
        <w:t xml:space="preserve"> the Commonwealth Court determined that </w:t>
      </w:r>
      <w:r w:rsidR="002A1FEE">
        <w:rPr>
          <w:rFonts w:ascii="Times New Roman" w:hAnsi="Times New Roman" w:cs="Times New Roman"/>
          <w:sz w:val="26"/>
          <w:szCs w:val="26"/>
        </w:rPr>
        <w:t xml:space="preserve">the burden of proof rested on the public utility </w:t>
      </w:r>
      <w:r w:rsidR="00CF1182">
        <w:rPr>
          <w:rFonts w:ascii="Times New Roman" w:hAnsi="Times New Roman" w:cs="Times New Roman"/>
          <w:sz w:val="26"/>
          <w:szCs w:val="26"/>
        </w:rPr>
        <w:t xml:space="preserve">pursuant to Section 315(a) of the Code.  </w:t>
      </w:r>
      <w:r w:rsidR="00AF6CA3" w:rsidRPr="004F56FF">
        <w:rPr>
          <w:rFonts w:ascii="Times New Roman" w:hAnsi="Times New Roman" w:cs="Times New Roman"/>
          <w:i/>
          <w:iCs/>
          <w:sz w:val="26"/>
          <w:szCs w:val="26"/>
        </w:rPr>
        <w:t>UGI</w:t>
      </w:r>
      <w:r w:rsidR="00DB0EE7">
        <w:rPr>
          <w:rFonts w:ascii="Times New Roman" w:hAnsi="Times New Roman" w:cs="Times New Roman"/>
          <w:sz w:val="26"/>
          <w:szCs w:val="26"/>
        </w:rPr>
        <w:t>,</w:t>
      </w:r>
      <w:r w:rsidR="00AF6CA3">
        <w:rPr>
          <w:rFonts w:ascii="Times New Roman" w:hAnsi="Times New Roman" w:cs="Times New Roman"/>
          <w:sz w:val="26"/>
          <w:szCs w:val="26"/>
        </w:rPr>
        <w:t xml:space="preserve"> 863</w:t>
      </w:r>
      <w:r w:rsidR="00947BC1">
        <w:rPr>
          <w:rFonts w:ascii="Times New Roman" w:hAnsi="Times New Roman" w:cs="Times New Roman"/>
          <w:sz w:val="26"/>
          <w:szCs w:val="26"/>
        </w:rPr>
        <w:t xml:space="preserve"> </w:t>
      </w:r>
      <w:r w:rsidR="004E53C0">
        <w:rPr>
          <w:rFonts w:ascii="Times New Roman" w:hAnsi="Times New Roman" w:cs="Times New Roman"/>
          <w:sz w:val="26"/>
          <w:szCs w:val="26"/>
        </w:rPr>
        <w:t>A</w:t>
      </w:r>
      <w:r w:rsidR="00DF21DB">
        <w:rPr>
          <w:rFonts w:ascii="Times New Roman" w:hAnsi="Times New Roman" w:cs="Times New Roman"/>
          <w:sz w:val="26"/>
          <w:szCs w:val="26"/>
        </w:rPr>
        <w:t xml:space="preserve">.2d at 148.  </w:t>
      </w:r>
    </w:p>
    <w:p w14:paraId="52511285" w14:textId="77777777" w:rsidR="009045B5" w:rsidRDefault="009045B5" w:rsidP="0070173D">
      <w:pPr>
        <w:spacing w:after="0" w:line="360" w:lineRule="auto"/>
        <w:ind w:firstLine="1440"/>
        <w:rPr>
          <w:rFonts w:ascii="Times New Roman" w:hAnsi="Times New Roman" w:cs="Times New Roman"/>
          <w:sz w:val="26"/>
          <w:szCs w:val="26"/>
        </w:rPr>
      </w:pPr>
    </w:p>
    <w:p w14:paraId="07D12693" w14:textId="0FFA4635" w:rsidR="00E22596" w:rsidRPr="00B33D9D" w:rsidRDefault="00DF21DB" w:rsidP="00620061">
      <w:pPr>
        <w:spacing w:after="0" w:line="360" w:lineRule="auto"/>
        <w:ind w:firstLine="1440"/>
        <w:rPr>
          <w:rFonts w:ascii="Times New Roman" w:eastAsia="Times New Roman" w:hAnsi="Times New Roman" w:cs="Times New Roman"/>
          <w:sz w:val="26"/>
          <w:szCs w:val="26"/>
        </w:rPr>
      </w:pPr>
      <w:r>
        <w:rPr>
          <w:rFonts w:ascii="Times New Roman" w:hAnsi="Times New Roman" w:cs="Times New Roman"/>
          <w:sz w:val="26"/>
          <w:szCs w:val="26"/>
        </w:rPr>
        <w:t xml:space="preserve">Additionally, in </w:t>
      </w:r>
      <w:r w:rsidR="00E22596">
        <w:rPr>
          <w:rFonts w:ascii="Times New Roman" w:hAnsi="Times New Roman" w:cs="Times New Roman"/>
          <w:sz w:val="26"/>
          <w:szCs w:val="26"/>
        </w:rPr>
        <w:t xml:space="preserve">DSIC proceedings, </w:t>
      </w:r>
      <w:r w:rsidR="00C31C0C">
        <w:rPr>
          <w:rFonts w:ascii="Times New Roman" w:hAnsi="Times New Roman" w:cs="Times New Roman"/>
          <w:sz w:val="26"/>
          <w:szCs w:val="26"/>
        </w:rPr>
        <w:t>the</w:t>
      </w:r>
      <w:r w:rsidR="00D0693B">
        <w:rPr>
          <w:rFonts w:ascii="Times New Roman" w:hAnsi="Times New Roman" w:cs="Times New Roman"/>
          <w:sz w:val="26"/>
          <w:szCs w:val="26"/>
        </w:rPr>
        <w:t xml:space="preserve"> Commission has determined that </w:t>
      </w:r>
      <w:r w:rsidR="00E22596">
        <w:rPr>
          <w:rFonts w:ascii="Times New Roman" w:hAnsi="Times New Roman" w:cs="Times New Roman"/>
          <w:sz w:val="26"/>
          <w:szCs w:val="26"/>
        </w:rPr>
        <w:t xml:space="preserve">public utilities have </w:t>
      </w:r>
      <w:r w:rsidR="00E22596" w:rsidRPr="00A47A33">
        <w:rPr>
          <w:rFonts w:ascii="Times New Roman" w:eastAsia="Calibri" w:hAnsi="Times New Roman" w:cs="Times New Roman"/>
          <w:sz w:val="26"/>
          <w:szCs w:val="26"/>
        </w:rPr>
        <w:t xml:space="preserve">the burden of proving the justness and reasonableness of </w:t>
      </w:r>
      <w:r w:rsidR="00E22596">
        <w:rPr>
          <w:rFonts w:ascii="Times New Roman" w:eastAsia="Calibri" w:hAnsi="Times New Roman" w:cs="Times New Roman"/>
          <w:sz w:val="26"/>
          <w:szCs w:val="26"/>
        </w:rPr>
        <w:t>their</w:t>
      </w:r>
      <w:r w:rsidR="00E22596" w:rsidRPr="00A47A33">
        <w:rPr>
          <w:rFonts w:ascii="Times New Roman" w:eastAsia="Calibri" w:hAnsi="Times New Roman" w:cs="Times New Roman"/>
          <w:sz w:val="26"/>
          <w:szCs w:val="26"/>
        </w:rPr>
        <w:t xml:space="preserve"> DS</w:t>
      </w:r>
      <w:r w:rsidR="007C0756">
        <w:rPr>
          <w:rFonts w:ascii="Times New Roman" w:eastAsia="Calibri" w:hAnsi="Times New Roman" w:cs="Times New Roman"/>
          <w:sz w:val="26"/>
          <w:szCs w:val="26"/>
        </w:rPr>
        <w:t>I</w:t>
      </w:r>
      <w:r w:rsidR="00E22596" w:rsidRPr="00A47A33">
        <w:rPr>
          <w:rFonts w:ascii="Times New Roman" w:eastAsia="Calibri" w:hAnsi="Times New Roman" w:cs="Times New Roman"/>
          <w:sz w:val="26"/>
          <w:szCs w:val="26"/>
        </w:rPr>
        <w:t>C</w:t>
      </w:r>
      <w:r w:rsidR="00E22596">
        <w:rPr>
          <w:rFonts w:ascii="Times New Roman" w:eastAsia="Calibri" w:hAnsi="Times New Roman" w:cs="Times New Roman"/>
          <w:sz w:val="26"/>
          <w:szCs w:val="26"/>
        </w:rPr>
        <w:t>s</w:t>
      </w:r>
      <w:r w:rsidR="00E22596" w:rsidRPr="00A47A33">
        <w:rPr>
          <w:rFonts w:ascii="Times New Roman" w:eastAsia="Calibri" w:hAnsi="Times New Roman" w:cs="Times New Roman"/>
          <w:sz w:val="26"/>
          <w:szCs w:val="26"/>
        </w:rPr>
        <w:t xml:space="preserve">.  </w:t>
      </w:r>
      <w:r w:rsidR="00E124A8">
        <w:rPr>
          <w:rFonts w:ascii="Times New Roman" w:eastAsia="Calibri" w:hAnsi="Times New Roman" w:cs="Times New Roman"/>
          <w:i/>
          <w:iCs/>
          <w:sz w:val="26"/>
          <w:szCs w:val="26"/>
        </w:rPr>
        <w:t>See</w:t>
      </w:r>
      <w:r w:rsidR="003562DD">
        <w:rPr>
          <w:rFonts w:ascii="Times New Roman" w:eastAsia="Calibri" w:hAnsi="Times New Roman" w:cs="Times New Roman"/>
          <w:i/>
          <w:iCs/>
          <w:sz w:val="26"/>
          <w:szCs w:val="26"/>
        </w:rPr>
        <w:t>,</w:t>
      </w:r>
      <w:r w:rsidR="00E124A8">
        <w:rPr>
          <w:rFonts w:ascii="Times New Roman" w:eastAsia="Calibri" w:hAnsi="Times New Roman" w:cs="Times New Roman"/>
          <w:i/>
          <w:iCs/>
          <w:sz w:val="26"/>
          <w:szCs w:val="26"/>
        </w:rPr>
        <w:t xml:space="preserve"> e.g., </w:t>
      </w:r>
      <w:r w:rsidR="00877ECA" w:rsidRPr="006D48C9">
        <w:rPr>
          <w:rFonts w:ascii="Times New Roman" w:hAnsi="Times New Roman" w:cs="Times New Roman"/>
          <w:i/>
          <w:iCs/>
          <w:sz w:val="26"/>
          <w:szCs w:val="26"/>
        </w:rPr>
        <w:t>Met-Ed DSIC</w:t>
      </w:r>
      <w:r w:rsidR="00877ECA">
        <w:rPr>
          <w:rFonts w:ascii="Times New Roman" w:hAnsi="Times New Roman" w:cs="Times New Roman"/>
          <w:i/>
          <w:iCs/>
          <w:sz w:val="26"/>
          <w:szCs w:val="26"/>
        </w:rPr>
        <w:t xml:space="preserve"> Order</w:t>
      </w:r>
      <w:r w:rsidR="00877ECA">
        <w:rPr>
          <w:rFonts w:ascii="Times New Roman" w:eastAsia="Calibri" w:hAnsi="Times New Roman" w:cs="Times New Roman"/>
          <w:sz w:val="26"/>
          <w:szCs w:val="26"/>
        </w:rPr>
        <w:t xml:space="preserve"> </w:t>
      </w:r>
      <w:r w:rsidR="001E1E68">
        <w:rPr>
          <w:rFonts w:ascii="Times New Roman" w:eastAsia="Calibri" w:hAnsi="Times New Roman" w:cs="Times New Roman"/>
          <w:sz w:val="26"/>
          <w:szCs w:val="26"/>
        </w:rPr>
        <w:t xml:space="preserve">at 15.  </w:t>
      </w:r>
      <w:r w:rsidR="008207EB">
        <w:rPr>
          <w:rFonts w:ascii="Times New Roman" w:eastAsia="Calibri" w:hAnsi="Times New Roman" w:cs="Times New Roman"/>
          <w:sz w:val="26"/>
          <w:szCs w:val="26"/>
        </w:rPr>
        <w:t xml:space="preserve">In such situations, the </w:t>
      </w:r>
      <w:r w:rsidR="00E22596" w:rsidRPr="00A47A33">
        <w:rPr>
          <w:rFonts w:ascii="Times New Roman" w:eastAsia="Calibri" w:hAnsi="Times New Roman" w:cs="Times New Roman"/>
          <w:sz w:val="26"/>
          <w:szCs w:val="26"/>
        </w:rPr>
        <w:t xml:space="preserve">standard </w:t>
      </w:r>
      <w:r w:rsidR="00E22596">
        <w:rPr>
          <w:rFonts w:ascii="Times New Roman" w:eastAsia="Calibri" w:hAnsi="Times New Roman" w:cs="Times New Roman"/>
          <w:sz w:val="26"/>
          <w:szCs w:val="26"/>
        </w:rPr>
        <w:t>that public utilities</w:t>
      </w:r>
      <w:r w:rsidR="008207EB">
        <w:rPr>
          <w:rFonts w:ascii="Times New Roman" w:eastAsia="Calibri" w:hAnsi="Times New Roman" w:cs="Times New Roman"/>
          <w:sz w:val="26"/>
          <w:szCs w:val="26"/>
        </w:rPr>
        <w:t xml:space="preserve"> </w:t>
      </w:r>
      <w:r w:rsidR="00E22596">
        <w:rPr>
          <w:rFonts w:ascii="Times New Roman" w:eastAsia="Calibri" w:hAnsi="Times New Roman" w:cs="Times New Roman"/>
          <w:sz w:val="26"/>
          <w:szCs w:val="26"/>
        </w:rPr>
        <w:t xml:space="preserve">must satisfy </w:t>
      </w:r>
      <w:r w:rsidR="00E22596" w:rsidRPr="00A47A33">
        <w:rPr>
          <w:rFonts w:ascii="Times New Roman" w:eastAsia="Calibri" w:hAnsi="Times New Roman" w:cs="Times New Roman"/>
          <w:sz w:val="26"/>
          <w:szCs w:val="26"/>
        </w:rPr>
        <w:t xml:space="preserve">is set forth </w:t>
      </w:r>
      <w:r w:rsidR="00E22596">
        <w:rPr>
          <w:rFonts w:ascii="Times New Roman" w:eastAsia="Calibri" w:hAnsi="Times New Roman" w:cs="Times New Roman"/>
          <w:sz w:val="26"/>
          <w:szCs w:val="26"/>
        </w:rPr>
        <w:t>in</w:t>
      </w:r>
      <w:r w:rsidR="00E22596" w:rsidRPr="00A47A33">
        <w:rPr>
          <w:rFonts w:ascii="Times New Roman" w:eastAsia="Calibri" w:hAnsi="Times New Roman" w:cs="Times New Roman"/>
          <w:sz w:val="26"/>
          <w:szCs w:val="26"/>
        </w:rPr>
        <w:t xml:space="preserve"> </w:t>
      </w:r>
      <w:r w:rsidR="00E22596">
        <w:rPr>
          <w:rFonts w:ascii="Times New Roman" w:eastAsia="Calibri" w:hAnsi="Times New Roman" w:cs="Times New Roman"/>
          <w:sz w:val="26"/>
          <w:szCs w:val="26"/>
        </w:rPr>
        <w:t xml:space="preserve">Section </w:t>
      </w:r>
      <w:r w:rsidR="00E22596" w:rsidRPr="00A47A33">
        <w:rPr>
          <w:rFonts w:ascii="Times New Roman" w:eastAsia="Calibri" w:hAnsi="Times New Roman" w:cs="Times New Roman"/>
          <w:sz w:val="26"/>
          <w:szCs w:val="26"/>
        </w:rPr>
        <w:t>315(a)</w:t>
      </w:r>
      <w:r w:rsidR="00E22596">
        <w:rPr>
          <w:rFonts w:ascii="Times New Roman" w:eastAsia="Calibri" w:hAnsi="Times New Roman" w:cs="Times New Roman"/>
          <w:sz w:val="26"/>
          <w:szCs w:val="26"/>
        </w:rPr>
        <w:t xml:space="preserve"> of the Code</w:t>
      </w:r>
      <w:r w:rsidR="00E22596" w:rsidRPr="00A47A33">
        <w:rPr>
          <w:rFonts w:ascii="Times New Roman" w:eastAsia="Calibri" w:hAnsi="Times New Roman" w:cs="Times New Roman"/>
          <w:sz w:val="26"/>
          <w:szCs w:val="26"/>
        </w:rPr>
        <w:t xml:space="preserve">.  The burden of proof does not shift to parties challenging a requested rate surcharge.  Rather, the burden of proof remains with the public utility throughout the course of the rate proceeding.  </w:t>
      </w:r>
      <w:r w:rsidR="00E22596" w:rsidRPr="001B0352">
        <w:rPr>
          <w:rFonts w:ascii="Times New Roman" w:eastAsia="Calibri" w:hAnsi="Times New Roman" w:cs="Times New Roman"/>
          <w:i/>
          <w:sz w:val="26"/>
          <w:szCs w:val="26"/>
        </w:rPr>
        <w:t>See Petition of PPL Electric Utilities Corporation for Approval of a D</w:t>
      </w:r>
      <w:r w:rsidR="00E70155">
        <w:rPr>
          <w:rFonts w:ascii="Times New Roman" w:eastAsia="Calibri" w:hAnsi="Times New Roman" w:cs="Times New Roman"/>
          <w:i/>
          <w:sz w:val="26"/>
          <w:szCs w:val="26"/>
        </w:rPr>
        <w:t>SIC</w:t>
      </w:r>
      <w:r w:rsidR="00E22596">
        <w:rPr>
          <w:rFonts w:ascii="Times New Roman" w:eastAsia="Calibri" w:hAnsi="Times New Roman" w:cs="Times New Roman"/>
          <w:sz w:val="26"/>
          <w:szCs w:val="26"/>
        </w:rPr>
        <w:t>, Docket No. P</w:t>
      </w:r>
      <w:r w:rsidR="00E22596">
        <w:rPr>
          <w:rFonts w:ascii="Times New Roman" w:eastAsia="Calibri" w:hAnsi="Times New Roman" w:cs="Times New Roman"/>
          <w:sz w:val="26"/>
          <w:szCs w:val="26"/>
        </w:rPr>
        <w:noBreakHyphen/>
        <w:t xml:space="preserve">2012-2325034 </w:t>
      </w:r>
      <w:r w:rsidR="00E22596">
        <w:rPr>
          <w:rFonts w:ascii="Times New Roman" w:eastAsia="Calibri" w:hAnsi="Times New Roman" w:cs="Times New Roman"/>
          <w:sz w:val="26"/>
          <w:szCs w:val="26"/>
        </w:rPr>
        <w:lastRenderedPageBreak/>
        <w:t>(Order entered April 9, 2015)</w:t>
      </w:r>
      <w:r w:rsidR="00064992">
        <w:rPr>
          <w:rFonts w:ascii="Times New Roman" w:eastAsia="Calibri" w:hAnsi="Times New Roman" w:cs="Times New Roman"/>
          <w:sz w:val="26"/>
          <w:szCs w:val="26"/>
        </w:rPr>
        <w:t xml:space="preserve"> at 9</w:t>
      </w:r>
      <w:r w:rsidR="00E22596">
        <w:rPr>
          <w:rFonts w:ascii="Times New Roman" w:eastAsia="Calibri" w:hAnsi="Times New Roman" w:cs="Times New Roman"/>
          <w:sz w:val="26"/>
          <w:szCs w:val="26"/>
        </w:rPr>
        <w:t xml:space="preserve">; </w:t>
      </w:r>
      <w:r w:rsidR="00E22596" w:rsidRPr="00CB0FA4">
        <w:rPr>
          <w:rFonts w:ascii="Times New Roman" w:eastAsia="Times New Roman" w:hAnsi="Times New Roman" w:cs="Times New Roman"/>
          <w:i/>
          <w:sz w:val="26"/>
          <w:szCs w:val="26"/>
        </w:rPr>
        <w:t xml:space="preserve">Petition of Peoples TWP, LLC for Approval of a </w:t>
      </w:r>
      <w:r w:rsidR="00064992">
        <w:rPr>
          <w:rFonts w:ascii="Times New Roman" w:eastAsia="Times New Roman" w:hAnsi="Times New Roman" w:cs="Times New Roman"/>
          <w:i/>
          <w:sz w:val="26"/>
          <w:szCs w:val="26"/>
        </w:rPr>
        <w:t>DSIC</w:t>
      </w:r>
      <w:r w:rsidR="00E22596">
        <w:rPr>
          <w:rFonts w:ascii="Times New Roman" w:eastAsia="Times New Roman" w:hAnsi="Times New Roman" w:cs="Times New Roman"/>
          <w:sz w:val="26"/>
          <w:szCs w:val="26"/>
        </w:rPr>
        <w:t>, Docket No. P-2013-2344595 (Order entered August 21, 2014)</w:t>
      </w:r>
      <w:r w:rsidR="00064992">
        <w:rPr>
          <w:rFonts w:ascii="Times New Roman" w:eastAsia="Times New Roman" w:hAnsi="Times New Roman" w:cs="Times New Roman"/>
          <w:sz w:val="26"/>
          <w:szCs w:val="26"/>
        </w:rPr>
        <w:t xml:space="preserve"> at 12</w:t>
      </w:r>
      <w:r w:rsidR="00E22596">
        <w:rPr>
          <w:rFonts w:ascii="Times New Roman" w:eastAsia="Times New Roman" w:hAnsi="Times New Roman" w:cs="Times New Roman"/>
          <w:sz w:val="26"/>
          <w:szCs w:val="26"/>
        </w:rPr>
        <w:t>.</w:t>
      </w:r>
    </w:p>
    <w:p w14:paraId="7DC183DB" w14:textId="77777777" w:rsidR="00E22596" w:rsidRPr="00B33D9D" w:rsidRDefault="00E22596" w:rsidP="00E22596">
      <w:pPr>
        <w:tabs>
          <w:tab w:val="left" w:pos="-720"/>
        </w:tabs>
        <w:suppressAutoHyphens/>
        <w:spacing w:after="0" w:line="360" w:lineRule="auto"/>
        <w:rPr>
          <w:rFonts w:ascii="Times New Roman" w:eastAsia="Times New Roman" w:hAnsi="Times New Roman" w:cs="Times New Roman"/>
          <w:sz w:val="26"/>
          <w:szCs w:val="26"/>
        </w:rPr>
      </w:pPr>
    </w:p>
    <w:p w14:paraId="3164BFCF" w14:textId="27C7F3DF" w:rsidR="002E0A60" w:rsidRDefault="00E22596" w:rsidP="00D80770">
      <w:pPr>
        <w:spacing w:after="0" w:line="360" w:lineRule="auto"/>
        <w:ind w:firstLine="1440"/>
        <w:rPr>
          <w:rFonts w:ascii="Times New Roman" w:eastAsia="Calibri" w:hAnsi="Times New Roman" w:cs="Times New Roman"/>
          <w:sz w:val="26"/>
          <w:szCs w:val="26"/>
        </w:rPr>
      </w:pPr>
      <w:r w:rsidRPr="00A47A33">
        <w:rPr>
          <w:rFonts w:ascii="Times New Roman" w:eastAsia="Calibri" w:hAnsi="Times New Roman" w:cs="Times New Roman"/>
          <w:sz w:val="26"/>
          <w:szCs w:val="26"/>
        </w:rPr>
        <w:t xml:space="preserve">Although the utility bears the burden of proving that its proposed rate surcharge is just and reasonable, a party that advances a proposal that the utility did not include in its filing carries the burden of proof as to that contrary proposal.  </w:t>
      </w:r>
      <w:r w:rsidRPr="00A47A33">
        <w:rPr>
          <w:rFonts w:ascii="Times New Roman" w:eastAsia="Calibri" w:hAnsi="Times New Roman" w:cs="Times New Roman"/>
          <w:i/>
          <w:sz w:val="26"/>
          <w:szCs w:val="26"/>
        </w:rPr>
        <w:t>Petition of Duquesne Light Company</w:t>
      </w:r>
      <w:r w:rsidRPr="00A47A33">
        <w:rPr>
          <w:rFonts w:ascii="Times New Roman" w:eastAsia="Calibri" w:hAnsi="Times New Roman" w:cs="Times New Roman"/>
          <w:sz w:val="26"/>
          <w:szCs w:val="26"/>
        </w:rPr>
        <w:t>, Docket No. P-2012-2301664 (Order entered January</w:t>
      </w:r>
      <w:r w:rsidR="00974FAB">
        <w:rPr>
          <w:rFonts w:ascii="Times New Roman" w:eastAsia="Calibri" w:hAnsi="Times New Roman" w:cs="Times New Roman"/>
          <w:sz w:val="26"/>
          <w:szCs w:val="26"/>
        </w:rPr>
        <w:t> </w:t>
      </w:r>
      <w:r w:rsidRPr="00A47A33">
        <w:rPr>
          <w:rFonts w:ascii="Times New Roman" w:eastAsia="Calibri" w:hAnsi="Times New Roman" w:cs="Times New Roman"/>
          <w:sz w:val="26"/>
          <w:szCs w:val="26"/>
        </w:rPr>
        <w:t>25,</w:t>
      </w:r>
      <w:r w:rsidR="00974FAB">
        <w:rPr>
          <w:rFonts w:ascii="Times New Roman" w:eastAsia="Calibri" w:hAnsi="Times New Roman" w:cs="Times New Roman"/>
          <w:sz w:val="26"/>
          <w:szCs w:val="26"/>
        </w:rPr>
        <w:t> </w:t>
      </w:r>
      <w:r w:rsidRPr="00A47A33">
        <w:rPr>
          <w:rFonts w:ascii="Times New Roman" w:eastAsia="Calibri" w:hAnsi="Times New Roman" w:cs="Times New Roman"/>
          <w:sz w:val="26"/>
          <w:szCs w:val="26"/>
        </w:rPr>
        <w:t xml:space="preserve">2013); </w:t>
      </w:r>
      <w:r w:rsidRPr="00A47A33">
        <w:rPr>
          <w:rFonts w:ascii="Times New Roman" w:eastAsia="Calibri" w:hAnsi="Times New Roman" w:cs="Times New Roman"/>
          <w:i/>
          <w:sz w:val="26"/>
          <w:szCs w:val="26"/>
        </w:rPr>
        <w:t>Joint Default Service Plan for Citizens’ Electric Company and Wellsboro Electric Company</w:t>
      </w:r>
      <w:r w:rsidRPr="00A47A33">
        <w:rPr>
          <w:rFonts w:ascii="Times New Roman" w:eastAsia="Calibri" w:hAnsi="Times New Roman" w:cs="Times New Roman"/>
          <w:sz w:val="26"/>
          <w:szCs w:val="26"/>
        </w:rPr>
        <w:t xml:space="preserve">, Docket Nos. P-2009-2110798, </w:t>
      </w:r>
      <w:r w:rsidRPr="00A47A33">
        <w:rPr>
          <w:rFonts w:ascii="Times New Roman" w:eastAsia="Calibri" w:hAnsi="Times New Roman" w:cs="Times New Roman"/>
          <w:i/>
          <w:sz w:val="26"/>
          <w:szCs w:val="26"/>
        </w:rPr>
        <w:t>et al</w:t>
      </w:r>
      <w:r w:rsidRPr="00A47A33">
        <w:rPr>
          <w:rFonts w:ascii="Times New Roman" w:eastAsia="Calibri" w:hAnsi="Times New Roman" w:cs="Times New Roman"/>
          <w:sz w:val="26"/>
          <w:szCs w:val="26"/>
        </w:rPr>
        <w:t>. (Order entered February 25, 2010)</w:t>
      </w:r>
      <w:r w:rsidR="006B2EC3">
        <w:rPr>
          <w:rFonts w:ascii="Times New Roman" w:eastAsia="Calibri" w:hAnsi="Times New Roman" w:cs="Times New Roman"/>
          <w:sz w:val="26"/>
          <w:szCs w:val="26"/>
        </w:rPr>
        <w:t xml:space="preserve"> (</w:t>
      </w:r>
      <w:r w:rsidR="006B2EC3" w:rsidRPr="00B45133">
        <w:rPr>
          <w:rFonts w:ascii="Times New Roman" w:eastAsia="Calibri" w:hAnsi="Times New Roman" w:cs="Times New Roman"/>
          <w:i/>
          <w:sz w:val="26"/>
          <w:szCs w:val="26"/>
        </w:rPr>
        <w:t>Citizens’ Electric</w:t>
      </w:r>
      <w:r w:rsidR="006B2EC3">
        <w:rPr>
          <w:rFonts w:ascii="Times New Roman" w:eastAsia="Calibri" w:hAnsi="Times New Roman" w:cs="Times New Roman"/>
          <w:iCs/>
          <w:sz w:val="26"/>
          <w:szCs w:val="26"/>
        </w:rPr>
        <w:t>)</w:t>
      </w:r>
      <w:r w:rsidRPr="00A47A33">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00923231">
        <w:rPr>
          <w:rFonts w:ascii="Times New Roman" w:eastAsia="Calibri" w:hAnsi="Times New Roman" w:cs="Times New Roman"/>
          <w:sz w:val="26"/>
          <w:szCs w:val="26"/>
        </w:rPr>
        <w:t xml:space="preserve">As we explained in </w:t>
      </w:r>
      <w:r w:rsidR="008B6DD2">
        <w:rPr>
          <w:rFonts w:ascii="Times New Roman" w:eastAsia="Calibri" w:hAnsi="Times New Roman" w:cs="Times New Roman"/>
          <w:sz w:val="26"/>
          <w:szCs w:val="26"/>
        </w:rPr>
        <w:t xml:space="preserve">the </w:t>
      </w:r>
      <w:r w:rsidR="008B6DD2" w:rsidRPr="006D48C9">
        <w:rPr>
          <w:rFonts w:ascii="Times New Roman" w:hAnsi="Times New Roman" w:cs="Times New Roman"/>
          <w:i/>
          <w:iCs/>
          <w:sz w:val="26"/>
          <w:szCs w:val="26"/>
        </w:rPr>
        <w:t>Met-Ed DSIC</w:t>
      </w:r>
      <w:r w:rsidR="008B6DD2">
        <w:rPr>
          <w:rFonts w:ascii="Times New Roman" w:hAnsi="Times New Roman" w:cs="Times New Roman"/>
          <w:i/>
          <w:iCs/>
          <w:sz w:val="26"/>
          <w:szCs w:val="26"/>
        </w:rPr>
        <w:t xml:space="preserve"> Order</w:t>
      </w:r>
      <w:r w:rsidR="008B6DD2">
        <w:rPr>
          <w:rFonts w:ascii="Times New Roman" w:hAnsi="Times New Roman" w:cs="Times New Roman"/>
          <w:sz w:val="26"/>
          <w:szCs w:val="26"/>
        </w:rPr>
        <w:t>,</w:t>
      </w:r>
      <w:r w:rsidR="008B6DD2">
        <w:rPr>
          <w:rFonts w:ascii="Times New Roman" w:eastAsia="Calibri" w:hAnsi="Times New Roman" w:cs="Times New Roman"/>
          <w:sz w:val="26"/>
          <w:szCs w:val="26"/>
        </w:rPr>
        <w:t xml:space="preserve"> </w:t>
      </w:r>
      <w:r w:rsidR="00D80770">
        <w:rPr>
          <w:rFonts w:ascii="Times New Roman" w:eastAsia="Calibri" w:hAnsi="Times New Roman" w:cs="Times New Roman"/>
          <w:sz w:val="26"/>
          <w:szCs w:val="26"/>
        </w:rPr>
        <w:t xml:space="preserve">Section 315(a) </w:t>
      </w:r>
      <w:r w:rsidR="00826750">
        <w:rPr>
          <w:rFonts w:ascii="Times New Roman" w:eastAsia="Calibri" w:hAnsi="Times New Roman" w:cs="Times New Roman"/>
          <w:sz w:val="26"/>
          <w:szCs w:val="26"/>
        </w:rPr>
        <w:t xml:space="preserve">of the Code </w:t>
      </w:r>
      <w:r w:rsidR="00D80770">
        <w:rPr>
          <w:rFonts w:ascii="Times New Roman" w:eastAsia="Calibri" w:hAnsi="Times New Roman" w:cs="Times New Roman"/>
          <w:sz w:val="26"/>
          <w:szCs w:val="26"/>
        </w:rPr>
        <w:t xml:space="preserve">cannot reasonably be read to place the burden of proof on the utility regarding an issue the utility did not include in its filing and which, frequently, the utility would oppose.  A utility does not have the burden of proving the legality/illegality or reasonableness/unreasonableness of a proposal it did not include in its filing.  </w:t>
      </w:r>
      <w:bookmarkStart w:id="3" w:name="_Hlk73084403"/>
      <w:r w:rsidR="002E0A60" w:rsidRPr="006D48C9">
        <w:rPr>
          <w:rFonts w:ascii="Times New Roman" w:hAnsi="Times New Roman" w:cs="Times New Roman"/>
          <w:i/>
          <w:iCs/>
          <w:sz w:val="26"/>
          <w:szCs w:val="26"/>
        </w:rPr>
        <w:t>Met-Ed DSIC</w:t>
      </w:r>
      <w:r w:rsidR="002E0A60">
        <w:rPr>
          <w:rFonts w:ascii="Times New Roman" w:hAnsi="Times New Roman" w:cs="Times New Roman"/>
          <w:i/>
          <w:iCs/>
          <w:sz w:val="26"/>
          <w:szCs w:val="26"/>
        </w:rPr>
        <w:t xml:space="preserve"> Order</w:t>
      </w:r>
      <w:r w:rsidR="002E0A60">
        <w:rPr>
          <w:rFonts w:ascii="Times New Roman" w:eastAsia="Calibri" w:hAnsi="Times New Roman" w:cs="Times New Roman"/>
          <w:sz w:val="26"/>
          <w:szCs w:val="26"/>
        </w:rPr>
        <w:t xml:space="preserve"> at 16 (citing </w:t>
      </w:r>
      <w:r w:rsidR="00D80770" w:rsidRPr="00B45133">
        <w:rPr>
          <w:rFonts w:ascii="Times New Roman" w:eastAsia="Calibri" w:hAnsi="Times New Roman" w:cs="Times New Roman"/>
          <w:i/>
          <w:sz w:val="26"/>
          <w:szCs w:val="26"/>
        </w:rPr>
        <w:t>Citizens’ Electric</w:t>
      </w:r>
      <w:bookmarkEnd w:id="3"/>
      <w:r w:rsidR="00D80770">
        <w:rPr>
          <w:rFonts w:ascii="Times New Roman" w:eastAsia="Calibri" w:hAnsi="Times New Roman" w:cs="Times New Roman"/>
          <w:sz w:val="26"/>
          <w:szCs w:val="26"/>
        </w:rPr>
        <w:t xml:space="preserve"> at 9</w:t>
      </w:r>
      <w:r w:rsidR="002E0A60">
        <w:rPr>
          <w:rFonts w:ascii="Times New Roman" w:eastAsia="Calibri" w:hAnsi="Times New Roman" w:cs="Times New Roman"/>
          <w:sz w:val="26"/>
          <w:szCs w:val="26"/>
        </w:rPr>
        <w:t>)</w:t>
      </w:r>
      <w:r w:rsidR="00D80770">
        <w:rPr>
          <w:rFonts w:ascii="Times New Roman" w:eastAsia="Calibri" w:hAnsi="Times New Roman" w:cs="Times New Roman"/>
          <w:sz w:val="26"/>
          <w:szCs w:val="26"/>
        </w:rPr>
        <w:t xml:space="preserve">.  </w:t>
      </w:r>
    </w:p>
    <w:p w14:paraId="28465F05" w14:textId="77777777" w:rsidR="002E0A60" w:rsidRDefault="002E0A60" w:rsidP="00D80770">
      <w:pPr>
        <w:spacing w:after="0" w:line="360" w:lineRule="auto"/>
        <w:ind w:firstLine="1440"/>
        <w:rPr>
          <w:rFonts w:ascii="Times New Roman" w:eastAsia="Calibri" w:hAnsi="Times New Roman" w:cs="Times New Roman"/>
          <w:sz w:val="26"/>
          <w:szCs w:val="26"/>
        </w:rPr>
      </w:pPr>
    </w:p>
    <w:p w14:paraId="46A855E3" w14:textId="55C7D1BD" w:rsidR="00C546DF" w:rsidRDefault="00D80770" w:rsidP="00D80770">
      <w:pPr>
        <w:widowControl w:val="0"/>
        <w:spacing w:after="0" w:line="360" w:lineRule="auto"/>
        <w:ind w:firstLine="1440"/>
        <w:rPr>
          <w:rFonts w:ascii="Times New Roman" w:hAnsi="Times New Roman" w:cs="Times New Roman"/>
          <w:color w:val="000000"/>
          <w:sz w:val="26"/>
          <w:szCs w:val="26"/>
        </w:rPr>
      </w:pPr>
      <w:r>
        <w:rPr>
          <w:rFonts w:ascii="Times New Roman" w:eastAsia="Calibri" w:hAnsi="Times New Roman" w:cs="Times New Roman"/>
          <w:sz w:val="26"/>
          <w:szCs w:val="26"/>
        </w:rPr>
        <w:t xml:space="preserve">In this case, the OCA is advancing a proposal that </w:t>
      </w:r>
      <w:r w:rsidR="000E1CD2">
        <w:rPr>
          <w:rFonts w:ascii="Times New Roman" w:eastAsia="Calibri" w:hAnsi="Times New Roman" w:cs="Times New Roman"/>
          <w:sz w:val="26"/>
          <w:szCs w:val="26"/>
        </w:rPr>
        <w:t xml:space="preserve">PECO did not include in its </w:t>
      </w:r>
      <w:r w:rsidR="0024134C">
        <w:rPr>
          <w:rFonts w:ascii="Times New Roman" w:eastAsia="Calibri" w:hAnsi="Times New Roman" w:cs="Times New Roman"/>
          <w:sz w:val="26"/>
          <w:szCs w:val="26"/>
        </w:rPr>
        <w:t xml:space="preserve">semiannual adjustments to its NBT.  </w:t>
      </w:r>
      <w:r w:rsidR="00176E43">
        <w:rPr>
          <w:rFonts w:ascii="Times New Roman" w:eastAsia="Calibri" w:hAnsi="Times New Roman" w:cs="Times New Roman"/>
          <w:sz w:val="26"/>
          <w:szCs w:val="26"/>
        </w:rPr>
        <w:t>Specifically, t</w:t>
      </w:r>
      <w:r w:rsidR="00690E67">
        <w:rPr>
          <w:rFonts w:ascii="Times New Roman" w:eastAsia="Calibri" w:hAnsi="Times New Roman" w:cs="Times New Roman"/>
          <w:sz w:val="26"/>
          <w:szCs w:val="26"/>
        </w:rPr>
        <w:t>he OCA is requesting</w:t>
      </w:r>
      <w:r w:rsidR="009C7D63">
        <w:rPr>
          <w:rFonts w:ascii="Times New Roman" w:eastAsia="Calibri" w:hAnsi="Times New Roman" w:cs="Times New Roman"/>
          <w:sz w:val="26"/>
          <w:szCs w:val="26"/>
        </w:rPr>
        <w:t xml:space="preserve"> </w:t>
      </w:r>
      <w:r w:rsidR="00690E67">
        <w:rPr>
          <w:rFonts w:ascii="Times New Roman" w:eastAsia="Calibri" w:hAnsi="Times New Roman" w:cs="Times New Roman"/>
          <w:sz w:val="26"/>
          <w:szCs w:val="26"/>
        </w:rPr>
        <w:t xml:space="preserve">customer </w:t>
      </w:r>
      <w:r w:rsidR="004668C7">
        <w:rPr>
          <w:rFonts w:ascii="Times New Roman" w:eastAsia="Calibri" w:hAnsi="Times New Roman" w:cs="Times New Roman"/>
          <w:sz w:val="26"/>
          <w:szCs w:val="26"/>
        </w:rPr>
        <w:t xml:space="preserve">bill </w:t>
      </w:r>
      <w:r w:rsidR="00690E67">
        <w:rPr>
          <w:rFonts w:ascii="Times New Roman" w:eastAsia="Calibri" w:hAnsi="Times New Roman" w:cs="Times New Roman"/>
          <w:sz w:val="26"/>
          <w:szCs w:val="26"/>
        </w:rPr>
        <w:t>refund</w:t>
      </w:r>
      <w:r w:rsidR="004668C7">
        <w:rPr>
          <w:rFonts w:ascii="Times New Roman" w:eastAsia="Calibri" w:hAnsi="Times New Roman" w:cs="Times New Roman"/>
          <w:sz w:val="26"/>
          <w:szCs w:val="26"/>
        </w:rPr>
        <w:t>s</w:t>
      </w:r>
      <w:r w:rsidR="00690E67">
        <w:rPr>
          <w:rFonts w:ascii="Times New Roman" w:eastAsia="Calibri" w:hAnsi="Times New Roman" w:cs="Times New Roman"/>
          <w:sz w:val="26"/>
          <w:szCs w:val="26"/>
        </w:rPr>
        <w:t xml:space="preserve"> </w:t>
      </w:r>
      <w:r w:rsidR="00E76970">
        <w:rPr>
          <w:rFonts w:ascii="Times New Roman" w:eastAsia="Calibri" w:hAnsi="Times New Roman" w:cs="Times New Roman"/>
          <w:sz w:val="26"/>
          <w:szCs w:val="26"/>
        </w:rPr>
        <w:t xml:space="preserve">pertaining to </w:t>
      </w:r>
      <w:r w:rsidR="00BA139B">
        <w:rPr>
          <w:rFonts w:ascii="Times New Roman" w:eastAsia="Calibri" w:hAnsi="Times New Roman" w:cs="Times New Roman"/>
          <w:sz w:val="26"/>
          <w:szCs w:val="26"/>
        </w:rPr>
        <w:t xml:space="preserve">RTEP bill credits </w:t>
      </w:r>
      <w:r w:rsidR="00DA5166">
        <w:rPr>
          <w:rFonts w:ascii="Times New Roman" w:eastAsia="Calibri" w:hAnsi="Times New Roman" w:cs="Times New Roman"/>
          <w:sz w:val="26"/>
          <w:szCs w:val="26"/>
        </w:rPr>
        <w:t xml:space="preserve">applicable to </w:t>
      </w:r>
      <w:r w:rsidR="00D0345F">
        <w:rPr>
          <w:rFonts w:ascii="Times New Roman" w:eastAsia="Calibri" w:hAnsi="Times New Roman" w:cs="Times New Roman"/>
          <w:sz w:val="26"/>
          <w:szCs w:val="26"/>
        </w:rPr>
        <w:t xml:space="preserve">the 2007 </w:t>
      </w:r>
      <w:r w:rsidR="0069105E">
        <w:rPr>
          <w:rFonts w:ascii="Times New Roman" w:eastAsia="Calibri" w:hAnsi="Times New Roman" w:cs="Times New Roman"/>
          <w:sz w:val="26"/>
          <w:szCs w:val="26"/>
        </w:rPr>
        <w:t>thro</w:t>
      </w:r>
      <w:r w:rsidR="00CA2A20">
        <w:rPr>
          <w:rFonts w:ascii="Times New Roman" w:eastAsia="Calibri" w:hAnsi="Times New Roman" w:cs="Times New Roman"/>
          <w:sz w:val="26"/>
          <w:szCs w:val="26"/>
        </w:rPr>
        <w:t>ugh</w:t>
      </w:r>
      <w:r w:rsidR="00D0345F">
        <w:rPr>
          <w:rFonts w:ascii="Times New Roman" w:eastAsia="Calibri" w:hAnsi="Times New Roman" w:cs="Times New Roman"/>
          <w:sz w:val="26"/>
          <w:szCs w:val="26"/>
        </w:rPr>
        <w:t xml:space="preserve">2010 time </w:t>
      </w:r>
      <w:r w:rsidR="00544A1B">
        <w:rPr>
          <w:rFonts w:ascii="Times New Roman" w:eastAsia="Calibri" w:hAnsi="Times New Roman" w:cs="Times New Roman"/>
          <w:sz w:val="26"/>
          <w:szCs w:val="26"/>
        </w:rPr>
        <w:t xml:space="preserve">period </w:t>
      </w:r>
      <w:r w:rsidR="00B11F03">
        <w:rPr>
          <w:rFonts w:ascii="Times New Roman" w:eastAsia="Calibri" w:hAnsi="Times New Roman" w:cs="Times New Roman"/>
          <w:sz w:val="26"/>
          <w:szCs w:val="26"/>
        </w:rPr>
        <w:t xml:space="preserve">– </w:t>
      </w:r>
      <w:r w:rsidR="00B11F03" w:rsidRPr="00140878">
        <w:rPr>
          <w:rFonts w:ascii="Times New Roman" w:eastAsia="Calibri" w:hAnsi="Times New Roman" w:cs="Times New Roman"/>
          <w:sz w:val="26"/>
          <w:szCs w:val="26"/>
        </w:rPr>
        <w:t xml:space="preserve">a period </w:t>
      </w:r>
      <w:r w:rsidR="00544A1B" w:rsidRPr="00140878">
        <w:rPr>
          <w:rFonts w:ascii="Times New Roman" w:eastAsia="Calibri" w:hAnsi="Times New Roman" w:cs="Times New Roman"/>
          <w:sz w:val="26"/>
          <w:szCs w:val="26"/>
        </w:rPr>
        <w:t xml:space="preserve">of time </w:t>
      </w:r>
      <w:r w:rsidR="00A00510" w:rsidRPr="00140878">
        <w:rPr>
          <w:rFonts w:ascii="Times New Roman" w:eastAsia="Calibri" w:hAnsi="Times New Roman" w:cs="Times New Roman"/>
          <w:sz w:val="26"/>
          <w:szCs w:val="26"/>
        </w:rPr>
        <w:t xml:space="preserve">before </w:t>
      </w:r>
      <w:r w:rsidR="002E0561" w:rsidRPr="00140878">
        <w:rPr>
          <w:rFonts w:ascii="Times New Roman" w:eastAsia="Calibri" w:hAnsi="Times New Roman" w:cs="Times New Roman"/>
          <w:sz w:val="26"/>
          <w:szCs w:val="26"/>
        </w:rPr>
        <w:t>PECO</w:t>
      </w:r>
      <w:r w:rsidR="00A00510" w:rsidRPr="00140878">
        <w:rPr>
          <w:rFonts w:ascii="Times New Roman" w:eastAsia="Calibri" w:hAnsi="Times New Roman" w:cs="Times New Roman"/>
          <w:sz w:val="26"/>
          <w:szCs w:val="26"/>
        </w:rPr>
        <w:t xml:space="preserve"> began to impose RTEP charges</w:t>
      </w:r>
      <w:r w:rsidR="009A7561">
        <w:rPr>
          <w:rFonts w:ascii="Times New Roman" w:eastAsia="Calibri" w:hAnsi="Times New Roman" w:cs="Times New Roman"/>
          <w:sz w:val="26"/>
          <w:szCs w:val="26"/>
        </w:rPr>
        <w:t xml:space="preserve">.  </w:t>
      </w:r>
      <w:r w:rsidR="00C546DF">
        <w:rPr>
          <w:rFonts w:ascii="Times New Roman" w:eastAsia="Calibri" w:hAnsi="Times New Roman" w:cs="Times New Roman"/>
          <w:sz w:val="26"/>
          <w:szCs w:val="26"/>
        </w:rPr>
        <w:t>However, t</w:t>
      </w:r>
      <w:r w:rsidR="0098598C">
        <w:rPr>
          <w:rFonts w:ascii="Times New Roman" w:hAnsi="Times New Roman" w:cs="Times New Roman"/>
          <w:color w:val="000000"/>
          <w:sz w:val="26"/>
          <w:szCs w:val="26"/>
        </w:rPr>
        <w:t>he Company</w:t>
      </w:r>
      <w:r w:rsidR="0031433A">
        <w:rPr>
          <w:rFonts w:ascii="Times New Roman" w:hAnsi="Times New Roman" w:cs="Times New Roman"/>
          <w:color w:val="000000"/>
          <w:sz w:val="26"/>
          <w:szCs w:val="26"/>
        </w:rPr>
        <w:t xml:space="preserve">’s semiannual adjustments reflect that it is </w:t>
      </w:r>
      <w:r w:rsidR="0098598C" w:rsidRPr="00D9481C">
        <w:rPr>
          <w:rFonts w:ascii="Times New Roman" w:hAnsi="Times New Roman" w:cs="Times New Roman"/>
          <w:color w:val="000000"/>
          <w:sz w:val="26"/>
          <w:szCs w:val="26"/>
        </w:rPr>
        <w:t xml:space="preserve">refunding to customers </w:t>
      </w:r>
      <w:proofErr w:type="gramStart"/>
      <w:r w:rsidR="0098598C" w:rsidRPr="00D9481C">
        <w:rPr>
          <w:rFonts w:ascii="Times New Roman" w:hAnsi="Times New Roman" w:cs="Times New Roman"/>
          <w:color w:val="000000"/>
          <w:sz w:val="26"/>
          <w:szCs w:val="26"/>
        </w:rPr>
        <w:t>all of</w:t>
      </w:r>
      <w:proofErr w:type="gramEnd"/>
      <w:r w:rsidR="0098598C" w:rsidRPr="00D9481C">
        <w:rPr>
          <w:rFonts w:ascii="Times New Roman" w:hAnsi="Times New Roman" w:cs="Times New Roman"/>
          <w:color w:val="000000"/>
          <w:sz w:val="26"/>
          <w:szCs w:val="26"/>
        </w:rPr>
        <w:t xml:space="preserve"> the RTEP bill credits (totaling approximately $77.5 million) that relate to transmission service PECO obtained from PJM during the period from and after January 1, 2011</w:t>
      </w:r>
      <w:r w:rsidR="00460BA0">
        <w:rPr>
          <w:rFonts w:ascii="Times New Roman" w:hAnsi="Times New Roman" w:cs="Times New Roman"/>
          <w:color w:val="000000"/>
          <w:sz w:val="26"/>
          <w:szCs w:val="26"/>
        </w:rPr>
        <w:t xml:space="preserve">.  The </w:t>
      </w:r>
      <w:r w:rsidR="0098598C" w:rsidRPr="00D9481C">
        <w:rPr>
          <w:rFonts w:ascii="Times New Roman" w:hAnsi="Times New Roman" w:cs="Times New Roman"/>
          <w:color w:val="000000"/>
          <w:sz w:val="26"/>
          <w:szCs w:val="26"/>
        </w:rPr>
        <w:t>reconcilable automatic adjustment clause to provide dollar-for-dollar recovery from customers of PECO’s transmission costs, including RTEP</w:t>
      </w:r>
      <w:r w:rsidR="00460BA0">
        <w:rPr>
          <w:rFonts w:ascii="Times New Roman" w:hAnsi="Times New Roman" w:cs="Times New Roman"/>
          <w:color w:val="000000"/>
          <w:sz w:val="26"/>
          <w:szCs w:val="26"/>
        </w:rPr>
        <w:t>, was</w:t>
      </w:r>
      <w:r w:rsidR="00A55F90">
        <w:rPr>
          <w:rFonts w:ascii="Times New Roman" w:hAnsi="Times New Roman" w:cs="Times New Roman"/>
          <w:color w:val="000000"/>
          <w:sz w:val="26"/>
          <w:szCs w:val="26"/>
        </w:rPr>
        <w:t xml:space="preserve"> </w:t>
      </w:r>
      <w:r w:rsidR="00223E5E">
        <w:rPr>
          <w:rFonts w:ascii="Times New Roman" w:hAnsi="Times New Roman" w:cs="Times New Roman"/>
          <w:color w:val="000000"/>
          <w:sz w:val="26"/>
          <w:szCs w:val="26"/>
        </w:rPr>
        <w:t>put in place</w:t>
      </w:r>
      <w:r w:rsidR="00AA12B9">
        <w:rPr>
          <w:rFonts w:ascii="Times New Roman" w:hAnsi="Times New Roman" w:cs="Times New Roman"/>
          <w:color w:val="000000"/>
          <w:sz w:val="26"/>
          <w:szCs w:val="26"/>
        </w:rPr>
        <w:t xml:space="preserve"> with Commission approval</w:t>
      </w:r>
      <w:r w:rsidR="00223E5E">
        <w:rPr>
          <w:rFonts w:ascii="Times New Roman" w:hAnsi="Times New Roman" w:cs="Times New Roman"/>
          <w:color w:val="000000"/>
          <w:sz w:val="26"/>
          <w:szCs w:val="26"/>
        </w:rPr>
        <w:t xml:space="preserve"> </w:t>
      </w:r>
      <w:r w:rsidR="00DD4303">
        <w:rPr>
          <w:rFonts w:ascii="Times New Roman" w:hAnsi="Times New Roman" w:cs="Times New Roman"/>
          <w:color w:val="000000"/>
          <w:sz w:val="26"/>
          <w:szCs w:val="26"/>
        </w:rPr>
        <w:t xml:space="preserve">on January 1, 2011.  </w:t>
      </w:r>
      <w:r w:rsidR="00C546DF">
        <w:rPr>
          <w:rFonts w:ascii="Times New Roman" w:hAnsi="Times New Roman" w:cs="Times New Roman"/>
          <w:color w:val="000000"/>
          <w:sz w:val="26"/>
          <w:szCs w:val="26"/>
        </w:rPr>
        <w:t>PECO M.B. at 1.</w:t>
      </w:r>
    </w:p>
    <w:p w14:paraId="1B91A9ED" w14:textId="77777777" w:rsidR="00C546DF" w:rsidRDefault="00C546DF" w:rsidP="00D80770">
      <w:pPr>
        <w:widowControl w:val="0"/>
        <w:spacing w:after="0" w:line="360" w:lineRule="auto"/>
        <w:ind w:firstLine="1440"/>
        <w:rPr>
          <w:rFonts w:ascii="Times New Roman" w:hAnsi="Times New Roman" w:cs="Times New Roman"/>
          <w:color w:val="000000"/>
          <w:sz w:val="26"/>
          <w:szCs w:val="26"/>
        </w:rPr>
      </w:pPr>
    </w:p>
    <w:p w14:paraId="01C3BA0C" w14:textId="7AAF03C6" w:rsidR="003F53A8" w:rsidRDefault="00DD4303" w:rsidP="00974FAB">
      <w:pPr>
        <w:spacing w:after="0" w:line="360" w:lineRule="auto"/>
        <w:ind w:firstLine="1440"/>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 xml:space="preserve">Thus, neither the NBT nor </w:t>
      </w:r>
      <w:r w:rsidR="00207617">
        <w:rPr>
          <w:rFonts w:ascii="Times New Roman" w:hAnsi="Times New Roman" w:cs="Times New Roman"/>
          <w:color w:val="000000"/>
          <w:sz w:val="26"/>
          <w:szCs w:val="26"/>
        </w:rPr>
        <w:t>the TSC, the Section 1307 adjustment charge preceding the NBT, was in effect until January 1, 2011.</w:t>
      </w:r>
      <w:r w:rsidR="0030475C">
        <w:rPr>
          <w:rStyle w:val="FootnoteReference"/>
          <w:rFonts w:ascii="Times New Roman" w:hAnsi="Times New Roman" w:cs="Times New Roman"/>
          <w:color w:val="000000"/>
          <w:sz w:val="26"/>
          <w:szCs w:val="26"/>
        </w:rPr>
        <w:footnoteReference w:id="7"/>
      </w:r>
      <w:r w:rsidR="00207617">
        <w:rPr>
          <w:rFonts w:ascii="Times New Roman" w:hAnsi="Times New Roman" w:cs="Times New Roman"/>
          <w:color w:val="000000"/>
          <w:sz w:val="26"/>
          <w:szCs w:val="26"/>
        </w:rPr>
        <w:t xml:space="preserve">  </w:t>
      </w:r>
      <w:r w:rsidR="005525BC" w:rsidRPr="00736890">
        <w:rPr>
          <w:rFonts w:ascii="Times New Roman" w:hAnsi="Times New Roman" w:cs="Times New Roman"/>
          <w:color w:val="000000"/>
          <w:sz w:val="26"/>
          <w:szCs w:val="26"/>
        </w:rPr>
        <w:t xml:space="preserve">Prior to that date, PECO </w:t>
      </w:r>
      <w:r w:rsidR="00DC0898">
        <w:rPr>
          <w:rFonts w:ascii="Times New Roman" w:hAnsi="Times New Roman" w:cs="Times New Roman"/>
          <w:color w:val="000000"/>
          <w:sz w:val="26"/>
          <w:szCs w:val="26"/>
        </w:rPr>
        <w:t xml:space="preserve">avers </w:t>
      </w:r>
      <w:r w:rsidR="005525BC" w:rsidRPr="00736890">
        <w:rPr>
          <w:rFonts w:ascii="Times New Roman" w:hAnsi="Times New Roman" w:cs="Times New Roman"/>
          <w:color w:val="000000"/>
          <w:sz w:val="26"/>
          <w:szCs w:val="26"/>
        </w:rPr>
        <w:t xml:space="preserve">that it recovered transmission costs through the PTC component of its base rates </w:t>
      </w:r>
      <w:r w:rsidR="00170F37">
        <w:rPr>
          <w:rFonts w:ascii="Times New Roman" w:hAnsi="Times New Roman" w:cs="Times New Roman"/>
          <w:color w:val="000000"/>
          <w:sz w:val="26"/>
          <w:szCs w:val="26"/>
        </w:rPr>
        <w:t>which</w:t>
      </w:r>
      <w:r w:rsidR="005525BC" w:rsidRPr="00736890">
        <w:rPr>
          <w:rFonts w:ascii="Times New Roman" w:hAnsi="Times New Roman" w:cs="Times New Roman"/>
          <w:color w:val="000000"/>
          <w:sz w:val="26"/>
          <w:szCs w:val="26"/>
        </w:rPr>
        <w:t xml:space="preserve"> the Commission determined to be just and reasonable in PECO’s 1989 base rate case, and was reaffirmed in</w:t>
      </w:r>
      <w:r w:rsidR="00BA31B5">
        <w:rPr>
          <w:rFonts w:ascii="Times New Roman" w:hAnsi="Times New Roman" w:cs="Times New Roman"/>
          <w:color w:val="000000"/>
          <w:sz w:val="26"/>
          <w:szCs w:val="26"/>
        </w:rPr>
        <w:t xml:space="preserve"> the</w:t>
      </w:r>
      <w:r w:rsidR="005525BC" w:rsidRPr="00736890">
        <w:rPr>
          <w:rFonts w:ascii="Times New Roman" w:hAnsi="Times New Roman" w:cs="Times New Roman"/>
          <w:color w:val="000000"/>
          <w:sz w:val="26"/>
          <w:szCs w:val="26"/>
        </w:rPr>
        <w:t xml:space="preserve"> </w:t>
      </w:r>
      <w:r w:rsidR="005525BC" w:rsidRPr="00377635">
        <w:rPr>
          <w:rFonts w:ascii="Times New Roman" w:hAnsi="Times New Roman" w:cs="Times New Roman"/>
          <w:i/>
          <w:iCs/>
          <w:sz w:val="26"/>
          <w:szCs w:val="26"/>
        </w:rPr>
        <w:t>PECO Restructuring Order</w:t>
      </w:r>
      <w:r w:rsidR="005525BC" w:rsidRPr="00736890">
        <w:rPr>
          <w:rFonts w:ascii="Times New Roman" w:hAnsi="Times New Roman" w:cs="Times New Roman"/>
          <w:color w:val="000000"/>
          <w:sz w:val="26"/>
          <w:szCs w:val="26"/>
        </w:rPr>
        <w:t xml:space="preserve">. </w:t>
      </w:r>
      <w:r w:rsidR="005525BC">
        <w:rPr>
          <w:rFonts w:ascii="Times New Roman" w:hAnsi="Times New Roman" w:cs="Times New Roman"/>
          <w:color w:val="000000"/>
          <w:sz w:val="26"/>
          <w:szCs w:val="26"/>
        </w:rPr>
        <w:t xml:space="preserve"> </w:t>
      </w:r>
      <w:r w:rsidR="00F56D89" w:rsidRPr="00736890">
        <w:rPr>
          <w:rFonts w:ascii="Times New Roman" w:hAnsi="Times New Roman" w:cs="Times New Roman"/>
          <w:color w:val="000000"/>
          <w:sz w:val="26"/>
          <w:szCs w:val="26"/>
        </w:rPr>
        <w:t>PECO R</w:t>
      </w:r>
      <w:r w:rsidR="00F56D89">
        <w:rPr>
          <w:rFonts w:ascii="Times New Roman" w:hAnsi="Times New Roman" w:cs="Times New Roman"/>
          <w:color w:val="000000"/>
          <w:sz w:val="26"/>
          <w:szCs w:val="26"/>
        </w:rPr>
        <w:t>.</w:t>
      </w:r>
      <w:r w:rsidR="00F56D89" w:rsidRPr="00736890">
        <w:rPr>
          <w:rFonts w:ascii="Times New Roman" w:hAnsi="Times New Roman" w:cs="Times New Roman"/>
          <w:color w:val="000000"/>
          <w:sz w:val="26"/>
          <w:szCs w:val="26"/>
        </w:rPr>
        <w:t>B</w:t>
      </w:r>
      <w:r w:rsidR="00F56D89">
        <w:rPr>
          <w:rFonts w:ascii="Times New Roman" w:hAnsi="Times New Roman" w:cs="Times New Roman"/>
          <w:color w:val="000000"/>
          <w:sz w:val="26"/>
          <w:szCs w:val="26"/>
        </w:rPr>
        <w:t>.</w:t>
      </w:r>
      <w:r w:rsidR="00F56D89" w:rsidRPr="00736890">
        <w:rPr>
          <w:rFonts w:ascii="Times New Roman" w:hAnsi="Times New Roman" w:cs="Times New Roman"/>
          <w:color w:val="000000"/>
          <w:sz w:val="26"/>
          <w:szCs w:val="26"/>
        </w:rPr>
        <w:t xml:space="preserve"> at 1-2.</w:t>
      </w:r>
      <w:r w:rsidR="00F56D89">
        <w:rPr>
          <w:rFonts w:ascii="Times New Roman" w:hAnsi="Times New Roman" w:cs="Times New Roman"/>
          <w:color w:val="000000"/>
          <w:sz w:val="26"/>
          <w:szCs w:val="26"/>
        </w:rPr>
        <w:t xml:space="preserve">  </w:t>
      </w:r>
      <w:r w:rsidR="0069597E">
        <w:rPr>
          <w:rFonts w:ascii="Times New Roman" w:hAnsi="Times New Roman" w:cs="Times New Roman"/>
          <w:color w:val="000000"/>
          <w:sz w:val="26"/>
          <w:szCs w:val="26"/>
        </w:rPr>
        <w:t xml:space="preserve">The OCA’s </w:t>
      </w:r>
      <w:r w:rsidR="00FA1982">
        <w:rPr>
          <w:rFonts w:ascii="Times New Roman" w:hAnsi="Times New Roman" w:cs="Times New Roman"/>
          <w:color w:val="000000"/>
          <w:sz w:val="26"/>
          <w:szCs w:val="26"/>
        </w:rPr>
        <w:t xml:space="preserve">bill refund </w:t>
      </w:r>
      <w:r w:rsidR="0069597E">
        <w:rPr>
          <w:rFonts w:ascii="Times New Roman" w:hAnsi="Times New Roman" w:cs="Times New Roman"/>
          <w:color w:val="000000"/>
          <w:sz w:val="26"/>
          <w:szCs w:val="26"/>
        </w:rPr>
        <w:t>proposal</w:t>
      </w:r>
      <w:r w:rsidR="00FC0E25">
        <w:rPr>
          <w:rFonts w:ascii="Times New Roman" w:hAnsi="Times New Roman" w:cs="Times New Roman"/>
          <w:color w:val="000000"/>
          <w:sz w:val="26"/>
          <w:szCs w:val="26"/>
        </w:rPr>
        <w:t xml:space="preserve">, therefore, would appear to impact </w:t>
      </w:r>
      <w:r w:rsidR="003416FF">
        <w:rPr>
          <w:rFonts w:ascii="Times New Roman" w:hAnsi="Times New Roman" w:cs="Times New Roman"/>
          <w:color w:val="000000"/>
          <w:sz w:val="26"/>
          <w:szCs w:val="26"/>
        </w:rPr>
        <w:t xml:space="preserve">tariffed rates previously approved by the Commission.  </w:t>
      </w:r>
    </w:p>
    <w:p w14:paraId="40F93D05" w14:textId="77777777" w:rsidR="003F53A8" w:rsidRDefault="003F53A8" w:rsidP="00D80770">
      <w:pPr>
        <w:widowControl w:val="0"/>
        <w:spacing w:after="0" w:line="360" w:lineRule="auto"/>
        <w:ind w:firstLine="1440"/>
        <w:rPr>
          <w:rFonts w:ascii="Times New Roman" w:hAnsi="Times New Roman" w:cs="Times New Roman"/>
          <w:color w:val="000000"/>
          <w:sz w:val="26"/>
          <w:szCs w:val="26"/>
        </w:rPr>
      </w:pPr>
    </w:p>
    <w:p w14:paraId="3082480D" w14:textId="42985B9B" w:rsidR="00E178F5" w:rsidRDefault="008D7B4A" w:rsidP="00D80770">
      <w:pPr>
        <w:widowControl w:val="0"/>
        <w:spacing w:after="0" w:line="360" w:lineRule="auto"/>
        <w:ind w:firstLine="1440"/>
        <w:rPr>
          <w:rFonts w:ascii="Times New Roman" w:hAnsi="Times New Roman" w:cs="Times New Roman"/>
          <w:color w:val="000000"/>
          <w:sz w:val="26"/>
          <w:szCs w:val="26"/>
        </w:rPr>
      </w:pPr>
      <w:r>
        <w:rPr>
          <w:rFonts w:ascii="Times New Roman" w:hAnsi="Times New Roman" w:cs="Times New Roman"/>
          <w:color w:val="000000"/>
          <w:sz w:val="26"/>
          <w:szCs w:val="26"/>
        </w:rPr>
        <w:t>Under the circumstances</w:t>
      </w:r>
      <w:r w:rsidR="003F53A8">
        <w:rPr>
          <w:rFonts w:ascii="Times New Roman" w:hAnsi="Times New Roman" w:cs="Times New Roman"/>
          <w:color w:val="000000"/>
          <w:sz w:val="26"/>
          <w:szCs w:val="26"/>
        </w:rPr>
        <w:t xml:space="preserve">, we find no error in the ALJ’s </w:t>
      </w:r>
      <w:r w:rsidR="003416FF">
        <w:rPr>
          <w:rFonts w:ascii="Times New Roman" w:hAnsi="Times New Roman" w:cs="Times New Roman"/>
          <w:color w:val="000000"/>
          <w:sz w:val="26"/>
          <w:szCs w:val="26"/>
        </w:rPr>
        <w:t xml:space="preserve">assignment of the burden of proof.  </w:t>
      </w:r>
      <w:r w:rsidR="00A32DD7">
        <w:rPr>
          <w:rFonts w:ascii="Times New Roman" w:hAnsi="Times New Roman" w:cs="Times New Roman"/>
          <w:color w:val="000000"/>
          <w:sz w:val="26"/>
          <w:szCs w:val="26"/>
        </w:rPr>
        <w:t xml:space="preserve">As the proponent of the proposed bill refund proposal, the OCA appropriately bears the </w:t>
      </w:r>
      <w:r w:rsidR="003B0077">
        <w:rPr>
          <w:rFonts w:ascii="Times New Roman" w:hAnsi="Times New Roman" w:cs="Times New Roman"/>
          <w:color w:val="000000"/>
          <w:sz w:val="26"/>
          <w:szCs w:val="26"/>
        </w:rPr>
        <w:t xml:space="preserve">burden of proof in this matter pursuant to 66 Pa. C.S. § 332(a).  </w:t>
      </w:r>
    </w:p>
    <w:p w14:paraId="40F840BD" w14:textId="375B9C2A" w:rsidR="003D4630" w:rsidRDefault="00B97742" w:rsidP="00105E6E">
      <w:pPr>
        <w:widowControl w:val="0"/>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 </w:t>
      </w:r>
    </w:p>
    <w:p w14:paraId="35EBDFA4" w14:textId="3AB51CC3" w:rsidR="00FD558E" w:rsidRPr="00961660" w:rsidRDefault="005E70C0" w:rsidP="00D7393B">
      <w:pPr>
        <w:keepNext/>
        <w:widowControl w:val="0"/>
        <w:spacing w:after="0" w:line="360" w:lineRule="auto"/>
        <w:ind w:left="720"/>
        <w:rPr>
          <w:rFonts w:ascii="Times New Roman" w:hAnsi="Times New Roman" w:cs="Times New Roman"/>
          <w:b/>
          <w:bCs/>
          <w:sz w:val="26"/>
          <w:szCs w:val="26"/>
        </w:rPr>
      </w:pPr>
      <w:r w:rsidRPr="00961660">
        <w:rPr>
          <w:rFonts w:ascii="Times New Roman" w:hAnsi="Times New Roman" w:cs="Times New Roman"/>
          <w:b/>
          <w:bCs/>
          <w:sz w:val="26"/>
          <w:szCs w:val="26"/>
        </w:rPr>
        <w:t>2.</w:t>
      </w:r>
      <w:r w:rsidRPr="00961660">
        <w:rPr>
          <w:rFonts w:ascii="Times New Roman" w:hAnsi="Times New Roman" w:cs="Times New Roman"/>
          <w:b/>
          <w:bCs/>
          <w:sz w:val="26"/>
          <w:szCs w:val="26"/>
        </w:rPr>
        <w:tab/>
      </w:r>
      <w:r w:rsidR="00E55EEF" w:rsidRPr="00961660">
        <w:rPr>
          <w:rFonts w:ascii="Times New Roman" w:hAnsi="Times New Roman" w:cs="Times New Roman"/>
          <w:b/>
          <w:bCs/>
          <w:sz w:val="26"/>
          <w:szCs w:val="26"/>
        </w:rPr>
        <w:t>Commission-Made Rates Doctrine</w:t>
      </w:r>
      <w:r w:rsidR="00961660" w:rsidRPr="00961660">
        <w:rPr>
          <w:rFonts w:ascii="Times New Roman" w:hAnsi="Times New Roman" w:cs="Times New Roman"/>
          <w:b/>
          <w:bCs/>
          <w:sz w:val="26"/>
          <w:szCs w:val="26"/>
        </w:rPr>
        <w:t xml:space="preserve"> – OCA Exc. No. 2</w:t>
      </w:r>
    </w:p>
    <w:p w14:paraId="6843BA3F" w14:textId="77777777" w:rsidR="00961660" w:rsidRDefault="00961660" w:rsidP="00D7393B">
      <w:pPr>
        <w:keepNext/>
        <w:widowControl w:val="0"/>
        <w:spacing w:after="0" w:line="360" w:lineRule="auto"/>
        <w:rPr>
          <w:rFonts w:ascii="Times New Roman" w:hAnsi="Times New Roman" w:cs="Times New Roman"/>
          <w:sz w:val="26"/>
          <w:szCs w:val="26"/>
        </w:rPr>
      </w:pPr>
    </w:p>
    <w:p w14:paraId="6141A95C" w14:textId="0E84977F" w:rsidR="00F17B77" w:rsidRDefault="00F17B77" w:rsidP="00D7393B">
      <w:pPr>
        <w:keepNext/>
        <w:widowControl w:val="0"/>
        <w:spacing w:after="0" w:line="360" w:lineRule="auto"/>
        <w:ind w:left="1440"/>
        <w:rPr>
          <w:rFonts w:ascii="Times New Roman" w:hAnsi="Times New Roman" w:cs="Times New Roman"/>
          <w:b/>
          <w:bCs/>
          <w:sz w:val="26"/>
          <w:szCs w:val="26"/>
        </w:rPr>
      </w:pPr>
      <w:r w:rsidRPr="00F17B77">
        <w:rPr>
          <w:rFonts w:ascii="Times New Roman" w:hAnsi="Times New Roman" w:cs="Times New Roman"/>
          <w:b/>
          <w:bCs/>
          <w:sz w:val="26"/>
          <w:szCs w:val="26"/>
        </w:rPr>
        <w:t>a.</w:t>
      </w:r>
      <w:r w:rsidRPr="00F17B77">
        <w:rPr>
          <w:rFonts w:ascii="Times New Roman" w:hAnsi="Times New Roman" w:cs="Times New Roman"/>
          <w:b/>
          <w:bCs/>
          <w:sz w:val="26"/>
          <w:szCs w:val="26"/>
        </w:rPr>
        <w:tab/>
        <w:t>Initial Decision</w:t>
      </w:r>
    </w:p>
    <w:p w14:paraId="0A78C030" w14:textId="5571B732" w:rsidR="00CA3251" w:rsidRDefault="00CA3251" w:rsidP="00D7393B">
      <w:pPr>
        <w:keepNext/>
        <w:widowControl w:val="0"/>
        <w:spacing w:after="0" w:line="360" w:lineRule="auto"/>
        <w:rPr>
          <w:rFonts w:ascii="Times New Roman" w:hAnsi="Times New Roman" w:cs="Times New Roman"/>
          <w:b/>
          <w:bCs/>
          <w:sz w:val="26"/>
          <w:szCs w:val="26"/>
        </w:rPr>
      </w:pPr>
    </w:p>
    <w:p w14:paraId="784319F7" w14:textId="08023F64" w:rsidR="00B57447" w:rsidRDefault="00CA3251" w:rsidP="00974FAB">
      <w:pPr>
        <w:keepNext/>
        <w:spacing w:after="0" w:line="360" w:lineRule="auto"/>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sidR="00FD797B">
        <w:rPr>
          <w:rFonts w:ascii="Times New Roman" w:hAnsi="Times New Roman" w:cs="Times New Roman"/>
          <w:sz w:val="26"/>
          <w:szCs w:val="26"/>
        </w:rPr>
        <w:t>T</w:t>
      </w:r>
      <w:r w:rsidR="00DF0847">
        <w:rPr>
          <w:rFonts w:ascii="Times New Roman" w:hAnsi="Times New Roman" w:cs="Times New Roman"/>
          <w:sz w:val="26"/>
          <w:szCs w:val="26"/>
        </w:rPr>
        <w:t>he A</w:t>
      </w:r>
      <w:r w:rsidR="006B6E01">
        <w:rPr>
          <w:rFonts w:ascii="Times New Roman" w:hAnsi="Times New Roman" w:cs="Times New Roman"/>
          <w:sz w:val="26"/>
          <w:szCs w:val="26"/>
        </w:rPr>
        <w:t xml:space="preserve">LJ </w:t>
      </w:r>
      <w:r w:rsidR="00D0704A">
        <w:rPr>
          <w:rFonts w:ascii="Times New Roman" w:hAnsi="Times New Roman" w:cs="Times New Roman"/>
          <w:sz w:val="26"/>
          <w:szCs w:val="26"/>
        </w:rPr>
        <w:t xml:space="preserve">noted that </w:t>
      </w:r>
      <w:r w:rsidR="002E08F4">
        <w:rPr>
          <w:rFonts w:ascii="Times New Roman" w:hAnsi="Times New Roman" w:cs="Times New Roman"/>
          <w:sz w:val="26"/>
          <w:szCs w:val="26"/>
        </w:rPr>
        <w:t xml:space="preserve">PECO’s base rates effective during the </w:t>
      </w:r>
      <w:r w:rsidR="00C77A2E">
        <w:rPr>
          <w:rFonts w:ascii="Times New Roman" w:hAnsi="Times New Roman" w:cs="Times New Roman"/>
          <w:sz w:val="26"/>
          <w:szCs w:val="26"/>
        </w:rPr>
        <w:t>2007 through 2010</w:t>
      </w:r>
      <w:r w:rsidR="002E08F4">
        <w:rPr>
          <w:rFonts w:ascii="Times New Roman" w:hAnsi="Times New Roman" w:cs="Times New Roman"/>
          <w:sz w:val="26"/>
          <w:szCs w:val="26"/>
        </w:rPr>
        <w:t xml:space="preserve"> period </w:t>
      </w:r>
      <w:r w:rsidR="00D07F8D">
        <w:rPr>
          <w:rFonts w:ascii="Times New Roman" w:hAnsi="Times New Roman" w:cs="Times New Roman"/>
          <w:sz w:val="26"/>
          <w:szCs w:val="26"/>
        </w:rPr>
        <w:t xml:space="preserve">at issue here were established in the Company’s </w:t>
      </w:r>
      <w:r w:rsidR="002267D5">
        <w:rPr>
          <w:rFonts w:ascii="Times New Roman" w:hAnsi="Times New Roman" w:cs="Times New Roman"/>
          <w:sz w:val="26"/>
          <w:szCs w:val="26"/>
        </w:rPr>
        <w:t xml:space="preserve">1989 base rate proceeding.  </w:t>
      </w:r>
      <w:r w:rsidR="00A974A2">
        <w:rPr>
          <w:rFonts w:ascii="Times New Roman" w:hAnsi="Times New Roman" w:cs="Times New Roman"/>
          <w:sz w:val="26"/>
          <w:szCs w:val="26"/>
        </w:rPr>
        <w:t xml:space="preserve">The Order approving those rates determined that </w:t>
      </w:r>
      <w:r w:rsidR="00771C8A">
        <w:rPr>
          <w:rFonts w:ascii="Times New Roman" w:hAnsi="Times New Roman" w:cs="Times New Roman"/>
          <w:sz w:val="26"/>
          <w:szCs w:val="26"/>
        </w:rPr>
        <w:t>PECO’s rates were just and reasonable.  Thereafter, the ALJ explained, P</w:t>
      </w:r>
      <w:r w:rsidR="00CA693F">
        <w:rPr>
          <w:rFonts w:ascii="Times New Roman" w:hAnsi="Times New Roman" w:cs="Times New Roman"/>
          <w:sz w:val="26"/>
          <w:szCs w:val="26"/>
        </w:rPr>
        <w:t xml:space="preserve">ECO’s 1989 base rates were functionally unbundled into distribution, transmission, </w:t>
      </w:r>
      <w:r w:rsidR="00041122">
        <w:rPr>
          <w:rFonts w:ascii="Times New Roman" w:hAnsi="Times New Roman" w:cs="Times New Roman"/>
          <w:sz w:val="26"/>
          <w:szCs w:val="26"/>
        </w:rPr>
        <w:t>and generation components effective January 1, 1999</w:t>
      </w:r>
      <w:r w:rsidR="009E6B46">
        <w:rPr>
          <w:rFonts w:ascii="Times New Roman" w:hAnsi="Times New Roman" w:cs="Times New Roman"/>
          <w:sz w:val="26"/>
          <w:szCs w:val="26"/>
        </w:rPr>
        <w:t>,</w:t>
      </w:r>
      <w:r w:rsidR="00041122">
        <w:rPr>
          <w:rFonts w:ascii="Times New Roman" w:hAnsi="Times New Roman" w:cs="Times New Roman"/>
          <w:sz w:val="26"/>
          <w:szCs w:val="26"/>
        </w:rPr>
        <w:t xml:space="preserve"> pursuant to the</w:t>
      </w:r>
      <w:r w:rsidR="001B3544">
        <w:rPr>
          <w:rFonts w:ascii="Times New Roman" w:hAnsi="Times New Roman" w:cs="Times New Roman"/>
          <w:sz w:val="26"/>
          <w:szCs w:val="26"/>
        </w:rPr>
        <w:t xml:space="preserve"> Restructuring Order</w:t>
      </w:r>
      <w:r w:rsidR="00571E56">
        <w:rPr>
          <w:rFonts w:ascii="Times New Roman" w:hAnsi="Times New Roman" w:cs="Times New Roman"/>
          <w:sz w:val="26"/>
          <w:szCs w:val="26"/>
        </w:rPr>
        <w:t xml:space="preserve"> </w:t>
      </w:r>
      <w:r w:rsidR="002373FD">
        <w:rPr>
          <w:rFonts w:ascii="Times New Roman" w:hAnsi="Times New Roman" w:cs="Times New Roman"/>
          <w:sz w:val="26"/>
          <w:szCs w:val="26"/>
        </w:rPr>
        <w:t xml:space="preserve">and the Commission determined those rates to be just and </w:t>
      </w:r>
      <w:r w:rsidR="002373FD">
        <w:rPr>
          <w:rFonts w:ascii="Times New Roman" w:hAnsi="Times New Roman" w:cs="Times New Roman"/>
          <w:sz w:val="26"/>
          <w:szCs w:val="26"/>
        </w:rPr>
        <w:lastRenderedPageBreak/>
        <w:t>reasonable</w:t>
      </w:r>
      <w:r w:rsidR="001B3544">
        <w:rPr>
          <w:rFonts w:ascii="Times New Roman" w:hAnsi="Times New Roman" w:cs="Times New Roman"/>
          <w:sz w:val="26"/>
          <w:szCs w:val="26"/>
        </w:rPr>
        <w:t xml:space="preserve">.  </w:t>
      </w:r>
      <w:r w:rsidR="00020770">
        <w:rPr>
          <w:rFonts w:ascii="Times New Roman" w:hAnsi="Times New Roman" w:cs="Times New Roman"/>
          <w:sz w:val="26"/>
          <w:szCs w:val="26"/>
        </w:rPr>
        <w:t>Thus, the ALJ reasoned</w:t>
      </w:r>
      <w:r w:rsidR="0042230B">
        <w:rPr>
          <w:rFonts w:ascii="Times New Roman" w:hAnsi="Times New Roman" w:cs="Times New Roman"/>
          <w:sz w:val="26"/>
          <w:szCs w:val="26"/>
        </w:rPr>
        <w:t xml:space="preserve"> that </w:t>
      </w:r>
      <w:r w:rsidR="00020770">
        <w:rPr>
          <w:rFonts w:ascii="Times New Roman" w:hAnsi="Times New Roman" w:cs="Times New Roman"/>
          <w:sz w:val="26"/>
          <w:szCs w:val="26"/>
        </w:rPr>
        <w:t xml:space="preserve">PECO’s pre-2011 </w:t>
      </w:r>
      <w:r w:rsidR="003F28D4">
        <w:rPr>
          <w:rFonts w:ascii="Times New Roman" w:hAnsi="Times New Roman" w:cs="Times New Roman"/>
          <w:sz w:val="26"/>
          <w:szCs w:val="26"/>
        </w:rPr>
        <w:t xml:space="preserve">base rates are “Commission-made” rates.  I.D. at </w:t>
      </w:r>
      <w:r w:rsidR="00B738BB">
        <w:rPr>
          <w:rFonts w:ascii="Times New Roman" w:hAnsi="Times New Roman" w:cs="Times New Roman"/>
          <w:sz w:val="26"/>
          <w:szCs w:val="26"/>
        </w:rPr>
        <w:t>23-24</w:t>
      </w:r>
      <w:r w:rsidR="00C050B9">
        <w:rPr>
          <w:rFonts w:ascii="Times New Roman" w:hAnsi="Times New Roman" w:cs="Times New Roman"/>
          <w:sz w:val="26"/>
          <w:szCs w:val="26"/>
        </w:rPr>
        <w:t xml:space="preserve"> (citing </w:t>
      </w:r>
      <w:r w:rsidR="00B57447">
        <w:rPr>
          <w:rFonts w:ascii="Times New Roman" w:hAnsi="Times New Roman" w:cs="Times New Roman"/>
          <w:sz w:val="26"/>
          <w:szCs w:val="26"/>
        </w:rPr>
        <w:t>66 Pa. C.S. § 316).</w:t>
      </w:r>
      <w:r w:rsidR="00BC1C2B">
        <w:rPr>
          <w:rStyle w:val="FootnoteReference"/>
          <w:rFonts w:ascii="Times New Roman" w:hAnsi="Times New Roman" w:cs="Times New Roman"/>
          <w:sz w:val="26"/>
          <w:szCs w:val="26"/>
        </w:rPr>
        <w:footnoteReference w:id="8"/>
      </w:r>
      <w:r w:rsidR="00B57447">
        <w:rPr>
          <w:rFonts w:ascii="Times New Roman" w:hAnsi="Times New Roman" w:cs="Times New Roman"/>
          <w:sz w:val="26"/>
          <w:szCs w:val="26"/>
        </w:rPr>
        <w:t xml:space="preserve">  </w:t>
      </w:r>
    </w:p>
    <w:p w14:paraId="172F6587" w14:textId="3D9D341F" w:rsidR="00CF542F" w:rsidRDefault="00CF542F" w:rsidP="00D0704A">
      <w:pPr>
        <w:widowControl w:val="0"/>
        <w:spacing w:after="0" w:line="360" w:lineRule="auto"/>
        <w:rPr>
          <w:rFonts w:ascii="Times New Roman" w:hAnsi="Times New Roman" w:cs="Times New Roman"/>
          <w:sz w:val="26"/>
          <w:szCs w:val="26"/>
        </w:rPr>
      </w:pPr>
    </w:p>
    <w:p w14:paraId="52E56F03" w14:textId="0B8517CB" w:rsidR="00CF542F" w:rsidRDefault="00CF542F" w:rsidP="00D0704A">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72140F">
        <w:rPr>
          <w:rFonts w:ascii="Times New Roman" w:hAnsi="Times New Roman" w:cs="Times New Roman"/>
          <w:sz w:val="26"/>
          <w:szCs w:val="26"/>
        </w:rPr>
        <w:t>In</w:t>
      </w:r>
      <w:r w:rsidR="009D6EFE">
        <w:rPr>
          <w:rFonts w:ascii="Times New Roman" w:hAnsi="Times New Roman" w:cs="Times New Roman"/>
          <w:sz w:val="26"/>
          <w:szCs w:val="26"/>
        </w:rPr>
        <w:t xml:space="preserve"> contrast to base rates approved by a final Commission Order, </w:t>
      </w:r>
      <w:r w:rsidR="000670AA">
        <w:rPr>
          <w:rFonts w:ascii="Times New Roman" w:hAnsi="Times New Roman" w:cs="Times New Roman"/>
          <w:sz w:val="26"/>
          <w:szCs w:val="26"/>
        </w:rPr>
        <w:t xml:space="preserve">the ALJ explained that </w:t>
      </w:r>
      <w:r w:rsidR="00094995">
        <w:rPr>
          <w:rFonts w:ascii="Times New Roman" w:hAnsi="Times New Roman" w:cs="Times New Roman"/>
          <w:sz w:val="26"/>
          <w:szCs w:val="26"/>
        </w:rPr>
        <w:t xml:space="preserve">both the Commission and Pennsylvania appellate courts have </w:t>
      </w:r>
      <w:r w:rsidR="00352208">
        <w:rPr>
          <w:rFonts w:ascii="Times New Roman" w:hAnsi="Times New Roman" w:cs="Times New Roman"/>
          <w:sz w:val="26"/>
          <w:szCs w:val="26"/>
        </w:rPr>
        <w:t xml:space="preserve">held that charges imposed under automatic adjustment clauses are not </w:t>
      </w:r>
      <w:r w:rsidR="006740F0">
        <w:rPr>
          <w:rFonts w:ascii="Times New Roman" w:hAnsi="Times New Roman" w:cs="Times New Roman"/>
          <w:sz w:val="26"/>
          <w:szCs w:val="26"/>
        </w:rPr>
        <w:t xml:space="preserve">Commission-made rates.  Therefore, the ALJ </w:t>
      </w:r>
      <w:r w:rsidR="000670AA">
        <w:rPr>
          <w:rFonts w:ascii="Times New Roman" w:hAnsi="Times New Roman" w:cs="Times New Roman"/>
          <w:sz w:val="26"/>
          <w:szCs w:val="26"/>
        </w:rPr>
        <w:t>noted t</w:t>
      </w:r>
      <w:r w:rsidR="006740F0">
        <w:rPr>
          <w:rFonts w:ascii="Times New Roman" w:hAnsi="Times New Roman" w:cs="Times New Roman"/>
          <w:sz w:val="26"/>
          <w:szCs w:val="26"/>
        </w:rPr>
        <w:t xml:space="preserve">hat the doctrine of Commission-made rates </w:t>
      </w:r>
      <w:r w:rsidR="00B67F3D">
        <w:rPr>
          <w:rFonts w:ascii="Times New Roman" w:hAnsi="Times New Roman" w:cs="Times New Roman"/>
          <w:sz w:val="26"/>
          <w:szCs w:val="26"/>
        </w:rPr>
        <w:t>would</w:t>
      </w:r>
      <w:r w:rsidR="006740F0">
        <w:rPr>
          <w:rFonts w:ascii="Times New Roman" w:hAnsi="Times New Roman" w:cs="Times New Roman"/>
          <w:sz w:val="26"/>
          <w:szCs w:val="26"/>
        </w:rPr>
        <w:t xml:space="preserve"> not </w:t>
      </w:r>
      <w:r w:rsidR="00FA4330">
        <w:rPr>
          <w:rFonts w:ascii="Times New Roman" w:hAnsi="Times New Roman" w:cs="Times New Roman"/>
          <w:sz w:val="26"/>
          <w:szCs w:val="26"/>
        </w:rPr>
        <w:t xml:space="preserve">apply to preclude retrospective adjustments and resulting refunds of amounts collected under PECO’s TSC and NBT.  </w:t>
      </w:r>
      <w:r w:rsidR="00676F51">
        <w:rPr>
          <w:rFonts w:ascii="Times New Roman" w:hAnsi="Times New Roman" w:cs="Times New Roman"/>
          <w:sz w:val="26"/>
          <w:szCs w:val="26"/>
        </w:rPr>
        <w:t>I.D. at 24, n.32</w:t>
      </w:r>
      <w:r w:rsidR="00FD5944">
        <w:rPr>
          <w:rFonts w:ascii="Times New Roman" w:hAnsi="Times New Roman" w:cs="Times New Roman"/>
          <w:sz w:val="26"/>
          <w:szCs w:val="26"/>
        </w:rPr>
        <w:t xml:space="preserve"> (citing </w:t>
      </w:r>
      <w:r w:rsidR="001A67F9" w:rsidRPr="00AB6A6D">
        <w:rPr>
          <w:rFonts w:ascii="Times New Roman" w:hAnsi="Times New Roman" w:cs="Times New Roman"/>
          <w:i/>
          <w:iCs/>
          <w:sz w:val="26"/>
          <w:szCs w:val="26"/>
        </w:rPr>
        <w:t>Metropolitan Edison Co. v. Pa. PUC</w:t>
      </w:r>
      <w:r w:rsidR="001A67F9">
        <w:rPr>
          <w:rFonts w:ascii="Times New Roman" w:hAnsi="Times New Roman" w:cs="Times New Roman"/>
          <w:sz w:val="26"/>
          <w:szCs w:val="26"/>
        </w:rPr>
        <w:t>, 437</w:t>
      </w:r>
      <w:r w:rsidR="00974FAB">
        <w:rPr>
          <w:rFonts w:ascii="Times New Roman" w:hAnsi="Times New Roman" w:cs="Times New Roman"/>
          <w:sz w:val="26"/>
          <w:szCs w:val="26"/>
        </w:rPr>
        <w:t> </w:t>
      </w:r>
      <w:r w:rsidR="001A67F9">
        <w:rPr>
          <w:rFonts w:ascii="Times New Roman" w:hAnsi="Times New Roman" w:cs="Times New Roman"/>
          <w:sz w:val="26"/>
          <w:szCs w:val="26"/>
        </w:rPr>
        <w:t>A.2d 76, 79-80</w:t>
      </w:r>
      <w:r w:rsidR="00AB6A6D">
        <w:rPr>
          <w:rFonts w:ascii="Times New Roman" w:hAnsi="Times New Roman" w:cs="Times New Roman"/>
          <w:sz w:val="26"/>
          <w:szCs w:val="26"/>
        </w:rPr>
        <w:t xml:space="preserve"> (Pa. Cmwlth. 198</w:t>
      </w:r>
      <w:r w:rsidR="0070638E">
        <w:rPr>
          <w:rFonts w:ascii="Times New Roman" w:hAnsi="Times New Roman" w:cs="Times New Roman"/>
          <w:sz w:val="26"/>
          <w:szCs w:val="26"/>
        </w:rPr>
        <w:t>1</w:t>
      </w:r>
      <w:r w:rsidR="00AB6A6D">
        <w:rPr>
          <w:rFonts w:ascii="Times New Roman" w:hAnsi="Times New Roman" w:cs="Times New Roman"/>
          <w:sz w:val="26"/>
          <w:szCs w:val="26"/>
        </w:rPr>
        <w:t>)</w:t>
      </w:r>
      <w:r w:rsidR="0070638E">
        <w:rPr>
          <w:rFonts w:ascii="Times New Roman" w:hAnsi="Times New Roman" w:cs="Times New Roman"/>
          <w:sz w:val="26"/>
          <w:szCs w:val="26"/>
        </w:rPr>
        <w:t xml:space="preserve"> (</w:t>
      </w:r>
      <w:r w:rsidR="00451096" w:rsidRPr="00451096">
        <w:rPr>
          <w:rFonts w:ascii="Times New Roman" w:hAnsi="Times New Roman" w:cs="Times New Roman"/>
          <w:i/>
          <w:iCs/>
          <w:sz w:val="26"/>
          <w:szCs w:val="26"/>
        </w:rPr>
        <w:t>Met-Ed</w:t>
      </w:r>
      <w:r w:rsidR="00291F69">
        <w:rPr>
          <w:rFonts w:ascii="Times New Roman" w:hAnsi="Times New Roman" w:cs="Times New Roman"/>
          <w:sz w:val="26"/>
          <w:szCs w:val="26"/>
        </w:rPr>
        <w:t>)</w:t>
      </w:r>
      <w:r w:rsidR="00676F51">
        <w:rPr>
          <w:rFonts w:ascii="Times New Roman" w:hAnsi="Times New Roman" w:cs="Times New Roman"/>
          <w:sz w:val="26"/>
          <w:szCs w:val="26"/>
        </w:rPr>
        <w:t xml:space="preserve">.  </w:t>
      </w:r>
    </w:p>
    <w:p w14:paraId="02F79CEC" w14:textId="77777777" w:rsidR="00B57447" w:rsidRDefault="00B57447" w:rsidP="00D0704A">
      <w:pPr>
        <w:widowControl w:val="0"/>
        <w:spacing w:after="0" w:line="360" w:lineRule="auto"/>
        <w:rPr>
          <w:rFonts w:ascii="Times New Roman" w:hAnsi="Times New Roman" w:cs="Times New Roman"/>
          <w:sz w:val="26"/>
          <w:szCs w:val="26"/>
        </w:rPr>
      </w:pPr>
    </w:p>
    <w:p w14:paraId="007AA3E6" w14:textId="4DE06E87" w:rsidR="00685A90" w:rsidRDefault="00E1463D" w:rsidP="003F29A4">
      <w:pPr>
        <w:widowControl w:val="0"/>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w:t>
      </w:r>
      <w:r w:rsidR="005C52CA">
        <w:rPr>
          <w:rFonts w:ascii="Times New Roman" w:hAnsi="Times New Roman" w:cs="Times New Roman"/>
          <w:sz w:val="26"/>
          <w:szCs w:val="26"/>
        </w:rPr>
        <w:t>her disposition</w:t>
      </w:r>
      <w:r>
        <w:rPr>
          <w:rFonts w:ascii="Times New Roman" w:hAnsi="Times New Roman" w:cs="Times New Roman"/>
          <w:sz w:val="26"/>
          <w:szCs w:val="26"/>
        </w:rPr>
        <w:t xml:space="preserve">, the ALJ cited </w:t>
      </w:r>
      <w:r w:rsidR="00CD3219">
        <w:rPr>
          <w:rFonts w:ascii="Times New Roman" w:hAnsi="Times New Roman" w:cs="Times New Roman"/>
          <w:sz w:val="26"/>
          <w:szCs w:val="26"/>
        </w:rPr>
        <w:t xml:space="preserve">in part to the Pennsylvania Supreme Court decision in </w:t>
      </w:r>
      <w:r w:rsidR="00526C0B" w:rsidRPr="003F29A4">
        <w:rPr>
          <w:rFonts w:ascii="Times New Roman" w:hAnsi="Times New Roman" w:cs="Times New Roman"/>
          <w:i/>
          <w:iCs/>
          <w:sz w:val="26"/>
          <w:szCs w:val="26"/>
        </w:rPr>
        <w:t>Cheltenham &amp; Abington Sewerage Co. v. Pa. PUC</w:t>
      </w:r>
      <w:r w:rsidR="00526C0B">
        <w:rPr>
          <w:rFonts w:ascii="Times New Roman" w:hAnsi="Times New Roman" w:cs="Times New Roman"/>
          <w:sz w:val="26"/>
          <w:szCs w:val="26"/>
        </w:rPr>
        <w:t xml:space="preserve">, </w:t>
      </w:r>
      <w:r w:rsidR="0035202A">
        <w:rPr>
          <w:rFonts w:ascii="Times New Roman" w:hAnsi="Times New Roman" w:cs="Times New Roman"/>
          <w:sz w:val="26"/>
          <w:szCs w:val="26"/>
        </w:rPr>
        <w:t>344 Pa. 366, 25 A.2d 334 (1942) (</w:t>
      </w:r>
      <w:r w:rsidR="0035202A" w:rsidRPr="003F29A4">
        <w:rPr>
          <w:rFonts w:ascii="Times New Roman" w:hAnsi="Times New Roman" w:cs="Times New Roman"/>
          <w:i/>
          <w:iCs/>
          <w:sz w:val="26"/>
          <w:szCs w:val="26"/>
        </w:rPr>
        <w:t>Cheltenham</w:t>
      </w:r>
      <w:r w:rsidR="0035202A">
        <w:rPr>
          <w:rFonts w:ascii="Times New Roman" w:hAnsi="Times New Roman" w:cs="Times New Roman"/>
          <w:sz w:val="26"/>
          <w:szCs w:val="26"/>
        </w:rPr>
        <w:t xml:space="preserve">) and the </w:t>
      </w:r>
      <w:r w:rsidR="003B51FC">
        <w:rPr>
          <w:rFonts w:ascii="Times New Roman" w:hAnsi="Times New Roman" w:cs="Times New Roman"/>
          <w:sz w:val="26"/>
          <w:szCs w:val="26"/>
        </w:rPr>
        <w:t xml:space="preserve">Initial Decision </w:t>
      </w:r>
      <w:r w:rsidR="0035202A">
        <w:rPr>
          <w:rFonts w:ascii="Times New Roman" w:hAnsi="Times New Roman" w:cs="Times New Roman"/>
          <w:sz w:val="26"/>
          <w:szCs w:val="26"/>
        </w:rPr>
        <w:t xml:space="preserve">in </w:t>
      </w:r>
      <w:r w:rsidR="00856B4B" w:rsidRPr="003F29A4">
        <w:rPr>
          <w:rFonts w:ascii="Times New Roman" w:hAnsi="Times New Roman" w:cs="Times New Roman"/>
          <w:i/>
          <w:iCs/>
          <w:sz w:val="26"/>
          <w:szCs w:val="26"/>
        </w:rPr>
        <w:t>C&amp;D Technologies, Inc. v. Pa. Power &amp; Light Co.</w:t>
      </w:r>
      <w:r w:rsidR="00856B4B">
        <w:rPr>
          <w:rFonts w:ascii="Times New Roman" w:hAnsi="Times New Roman" w:cs="Times New Roman"/>
          <w:sz w:val="26"/>
          <w:szCs w:val="26"/>
        </w:rPr>
        <w:t>,</w:t>
      </w:r>
      <w:r w:rsidR="00492B8C">
        <w:rPr>
          <w:rFonts w:ascii="Times New Roman" w:hAnsi="Times New Roman" w:cs="Times New Roman"/>
          <w:sz w:val="26"/>
          <w:szCs w:val="26"/>
        </w:rPr>
        <w:t xml:space="preserve"> Docket Nos. C-00992119, </w:t>
      </w:r>
      <w:r w:rsidR="00492B8C" w:rsidRPr="00EF2C88">
        <w:rPr>
          <w:rFonts w:ascii="Times New Roman" w:hAnsi="Times New Roman" w:cs="Times New Roman"/>
          <w:i/>
          <w:iCs/>
          <w:sz w:val="26"/>
          <w:szCs w:val="26"/>
        </w:rPr>
        <w:t>et al.</w:t>
      </w:r>
      <w:r w:rsidR="003F29A4">
        <w:rPr>
          <w:rFonts w:ascii="Times New Roman" w:hAnsi="Times New Roman" w:cs="Times New Roman"/>
          <w:sz w:val="26"/>
          <w:szCs w:val="26"/>
        </w:rPr>
        <w:t>, 2004 Pa. PUC LEXIS 57 (</w:t>
      </w:r>
      <w:r w:rsidR="00D917B8">
        <w:rPr>
          <w:rFonts w:ascii="Times New Roman" w:hAnsi="Times New Roman" w:cs="Times New Roman"/>
          <w:sz w:val="26"/>
          <w:szCs w:val="26"/>
        </w:rPr>
        <w:t>Issued July</w:t>
      </w:r>
      <w:r w:rsidR="005F084B">
        <w:rPr>
          <w:rFonts w:ascii="Times New Roman" w:hAnsi="Times New Roman" w:cs="Times New Roman"/>
          <w:sz w:val="26"/>
          <w:szCs w:val="26"/>
        </w:rPr>
        <w:t> </w:t>
      </w:r>
      <w:r w:rsidR="00D917B8">
        <w:rPr>
          <w:rFonts w:ascii="Times New Roman" w:hAnsi="Times New Roman" w:cs="Times New Roman"/>
          <w:sz w:val="26"/>
          <w:szCs w:val="26"/>
        </w:rPr>
        <w:t>1,</w:t>
      </w:r>
      <w:r w:rsidR="005F084B">
        <w:rPr>
          <w:rFonts w:ascii="Times New Roman" w:hAnsi="Times New Roman" w:cs="Times New Roman"/>
          <w:sz w:val="26"/>
          <w:szCs w:val="26"/>
        </w:rPr>
        <w:t> </w:t>
      </w:r>
      <w:r w:rsidR="00F4406F">
        <w:rPr>
          <w:rFonts w:ascii="Times New Roman" w:hAnsi="Times New Roman" w:cs="Times New Roman"/>
          <w:sz w:val="26"/>
          <w:szCs w:val="26"/>
        </w:rPr>
        <w:t>2004</w:t>
      </w:r>
      <w:r w:rsidR="0052000A">
        <w:rPr>
          <w:rFonts w:ascii="Times New Roman" w:hAnsi="Times New Roman" w:cs="Times New Roman"/>
          <w:sz w:val="26"/>
          <w:szCs w:val="26"/>
        </w:rPr>
        <w:t>;</w:t>
      </w:r>
      <w:r w:rsidR="004E1E80">
        <w:rPr>
          <w:rFonts w:ascii="Times New Roman" w:hAnsi="Times New Roman" w:cs="Times New Roman"/>
          <w:sz w:val="26"/>
          <w:szCs w:val="26"/>
        </w:rPr>
        <w:t xml:space="preserve"> modified by O</w:t>
      </w:r>
      <w:r w:rsidR="0052000A">
        <w:rPr>
          <w:rFonts w:ascii="Times New Roman" w:hAnsi="Times New Roman" w:cs="Times New Roman"/>
          <w:sz w:val="26"/>
          <w:szCs w:val="26"/>
        </w:rPr>
        <w:t>rder entered February 4, 2005)</w:t>
      </w:r>
      <w:r w:rsidR="003F29A4">
        <w:rPr>
          <w:rFonts w:ascii="Times New Roman" w:hAnsi="Times New Roman" w:cs="Times New Roman"/>
          <w:sz w:val="26"/>
          <w:szCs w:val="26"/>
        </w:rPr>
        <w:t xml:space="preserve"> (</w:t>
      </w:r>
      <w:r w:rsidR="003F29A4" w:rsidRPr="003F29A4">
        <w:rPr>
          <w:rFonts w:ascii="Times New Roman" w:hAnsi="Times New Roman" w:cs="Times New Roman"/>
          <w:i/>
          <w:iCs/>
          <w:sz w:val="26"/>
          <w:szCs w:val="26"/>
        </w:rPr>
        <w:t>C&amp;D Technologies</w:t>
      </w:r>
      <w:r w:rsidR="003F29A4">
        <w:rPr>
          <w:rFonts w:ascii="Times New Roman" w:hAnsi="Times New Roman" w:cs="Times New Roman"/>
          <w:sz w:val="26"/>
          <w:szCs w:val="26"/>
        </w:rPr>
        <w:t xml:space="preserve">).  </w:t>
      </w:r>
      <w:r w:rsidR="008D524B">
        <w:rPr>
          <w:rFonts w:ascii="Times New Roman" w:hAnsi="Times New Roman" w:cs="Times New Roman"/>
          <w:sz w:val="26"/>
          <w:szCs w:val="26"/>
        </w:rPr>
        <w:t xml:space="preserve">The ALJ explained that in </w:t>
      </w:r>
      <w:r w:rsidR="008D524B" w:rsidRPr="0048497E">
        <w:rPr>
          <w:rFonts w:ascii="Times New Roman" w:hAnsi="Times New Roman" w:cs="Times New Roman"/>
          <w:i/>
          <w:iCs/>
          <w:sz w:val="26"/>
          <w:szCs w:val="26"/>
        </w:rPr>
        <w:t>Cheltenham</w:t>
      </w:r>
      <w:r w:rsidR="00F572BC">
        <w:rPr>
          <w:rFonts w:ascii="Times New Roman" w:hAnsi="Times New Roman" w:cs="Times New Roman"/>
          <w:sz w:val="26"/>
          <w:szCs w:val="26"/>
        </w:rPr>
        <w:t xml:space="preserve"> the Supreme Court held that the Commission-made rate</w:t>
      </w:r>
      <w:r w:rsidR="00001094">
        <w:rPr>
          <w:rFonts w:ascii="Times New Roman" w:hAnsi="Times New Roman" w:cs="Times New Roman"/>
          <w:sz w:val="26"/>
          <w:szCs w:val="26"/>
        </w:rPr>
        <w:t xml:space="preserve"> furnishes the applicable law for the utility and its customers until a change is made by the Commission.  </w:t>
      </w:r>
      <w:r w:rsidR="00C14BFF">
        <w:rPr>
          <w:rFonts w:ascii="Times New Roman" w:hAnsi="Times New Roman" w:cs="Times New Roman"/>
          <w:sz w:val="26"/>
          <w:szCs w:val="26"/>
        </w:rPr>
        <w:t xml:space="preserve">Referencing </w:t>
      </w:r>
      <w:r w:rsidR="00C14BFF" w:rsidRPr="00513495">
        <w:rPr>
          <w:rFonts w:ascii="Times New Roman" w:hAnsi="Times New Roman" w:cs="Times New Roman"/>
          <w:i/>
          <w:iCs/>
          <w:sz w:val="26"/>
          <w:szCs w:val="26"/>
        </w:rPr>
        <w:t>C&amp;D Technologies</w:t>
      </w:r>
      <w:r w:rsidR="00C14BFF">
        <w:rPr>
          <w:rFonts w:ascii="Times New Roman" w:hAnsi="Times New Roman" w:cs="Times New Roman"/>
          <w:sz w:val="26"/>
          <w:szCs w:val="26"/>
        </w:rPr>
        <w:t xml:space="preserve">, the ALJ </w:t>
      </w:r>
      <w:r w:rsidR="00466ED3">
        <w:rPr>
          <w:rFonts w:ascii="Times New Roman" w:hAnsi="Times New Roman" w:cs="Times New Roman"/>
          <w:sz w:val="26"/>
          <w:szCs w:val="26"/>
        </w:rPr>
        <w:t>emphasized</w:t>
      </w:r>
      <w:r w:rsidR="002A3831">
        <w:rPr>
          <w:rFonts w:ascii="Times New Roman" w:hAnsi="Times New Roman" w:cs="Times New Roman"/>
          <w:sz w:val="26"/>
          <w:szCs w:val="26"/>
        </w:rPr>
        <w:t xml:space="preserve"> t</w:t>
      </w:r>
      <w:r w:rsidR="008719E4">
        <w:rPr>
          <w:rFonts w:ascii="Times New Roman" w:hAnsi="Times New Roman" w:cs="Times New Roman"/>
          <w:sz w:val="26"/>
          <w:szCs w:val="26"/>
        </w:rPr>
        <w:t>hat t</w:t>
      </w:r>
      <w:r w:rsidR="002A3831">
        <w:rPr>
          <w:rFonts w:ascii="Times New Roman" w:hAnsi="Times New Roman" w:cs="Times New Roman"/>
          <w:sz w:val="26"/>
          <w:szCs w:val="26"/>
        </w:rPr>
        <w:t xml:space="preserve">he </w:t>
      </w:r>
      <w:r w:rsidR="00A423A3">
        <w:rPr>
          <w:rFonts w:ascii="Times New Roman" w:hAnsi="Times New Roman" w:cs="Times New Roman"/>
          <w:sz w:val="26"/>
          <w:szCs w:val="26"/>
        </w:rPr>
        <w:t xml:space="preserve">Commission-made rates doctrine </w:t>
      </w:r>
      <w:r w:rsidR="00F14257">
        <w:rPr>
          <w:rFonts w:ascii="Times New Roman" w:hAnsi="Times New Roman" w:cs="Times New Roman"/>
          <w:sz w:val="26"/>
          <w:szCs w:val="26"/>
        </w:rPr>
        <w:t>prohibits the ordering of refunds</w:t>
      </w:r>
      <w:r w:rsidR="001D06AA">
        <w:rPr>
          <w:rFonts w:ascii="Times New Roman" w:hAnsi="Times New Roman" w:cs="Times New Roman"/>
          <w:sz w:val="26"/>
          <w:szCs w:val="26"/>
        </w:rPr>
        <w:t xml:space="preserve"> of amounts collected by a utility pursuant to tariff provisions</w:t>
      </w:r>
      <w:r w:rsidR="00513495">
        <w:rPr>
          <w:rFonts w:ascii="Times New Roman" w:hAnsi="Times New Roman" w:cs="Times New Roman"/>
          <w:sz w:val="26"/>
          <w:szCs w:val="26"/>
        </w:rPr>
        <w:t xml:space="preserve"> that the Commission by formal administrative action found to be just and reasonable.  </w:t>
      </w:r>
      <w:r w:rsidR="00B36862">
        <w:rPr>
          <w:rFonts w:ascii="Times New Roman" w:hAnsi="Times New Roman" w:cs="Times New Roman"/>
          <w:sz w:val="26"/>
          <w:szCs w:val="26"/>
        </w:rPr>
        <w:t xml:space="preserve">I.D. at 24.  </w:t>
      </w:r>
    </w:p>
    <w:p w14:paraId="66D2A94B" w14:textId="3AB594D0" w:rsidR="008719E4" w:rsidRDefault="008719E4" w:rsidP="003F29A4">
      <w:pPr>
        <w:widowControl w:val="0"/>
        <w:spacing w:after="0" w:line="360" w:lineRule="auto"/>
        <w:ind w:firstLine="1440"/>
        <w:rPr>
          <w:rFonts w:ascii="Times New Roman" w:hAnsi="Times New Roman" w:cs="Times New Roman"/>
          <w:sz w:val="26"/>
          <w:szCs w:val="26"/>
        </w:rPr>
      </w:pPr>
    </w:p>
    <w:p w14:paraId="631ABEFC" w14:textId="64C5DC21" w:rsidR="008719E4" w:rsidRDefault="008719E4" w:rsidP="005F084B">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The ALJ exp</w:t>
      </w:r>
      <w:r w:rsidR="00ED638A">
        <w:rPr>
          <w:rFonts w:ascii="Times New Roman" w:hAnsi="Times New Roman" w:cs="Times New Roman"/>
          <w:sz w:val="26"/>
          <w:szCs w:val="26"/>
        </w:rPr>
        <w:t xml:space="preserve">ressed agreement with PECO’s argument that </w:t>
      </w:r>
      <w:r w:rsidR="00351C05">
        <w:rPr>
          <w:rFonts w:ascii="Times New Roman" w:hAnsi="Times New Roman" w:cs="Times New Roman"/>
          <w:sz w:val="26"/>
          <w:szCs w:val="26"/>
        </w:rPr>
        <w:t xml:space="preserve">the </w:t>
      </w:r>
      <w:r w:rsidR="0067680A">
        <w:rPr>
          <w:rFonts w:ascii="Times New Roman" w:hAnsi="Times New Roman" w:cs="Times New Roman"/>
          <w:sz w:val="26"/>
          <w:szCs w:val="26"/>
        </w:rPr>
        <w:t>FERC Settlement Agreement</w:t>
      </w:r>
      <w:r w:rsidR="007D7470">
        <w:rPr>
          <w:rFonts w:ascii="Times New Roman" w:hAnsi="Times New Roman" w:cs="Times New Roman"/>
          <w:sz w:val="26"/>
          <w:szCs w:val="26"/>
        </w:rPr>
        <w:t>, which required PJM to make retrospective billing adjustments to RTEP charges paid by PECO</w:t>
      </w:r>
      <w:r w:rsidR="00977328">
        <w:rPr>
          <w:rFonts w:ascii="Times New Roman" w:hAnsi="Times New Roman" w:cs="Times New Roman"/>
          <w:sz w:val="26"/>
          <w:szCs w:val="26"/>
        </w:rPr>
        <w:t xml:space="preserve"> during the </w:t>
      </w:r>
      <w:r w:rsidR="00C77A2E">
        <w:rPr>
          <w:rFonts w:ascii="Times New Roman" w:hAnsi="Times New Roman" w:cs="Times New Roman"/>
          <w:sz w:val="26"/>
          <w:szCs w:val="26"/>
        </w:rPr>
        <w:t>2007 through 2010</w:t>
      </w:r>
      <w:r w:rsidR="00977328">
        <w:rPr>
          <w:rFonts w:ascii="Times New Roman" w:hAnsi="Times New Roman" w:cs="Times New Roman"/>
          <w:sz w:val="26"/>
          <w:szCs w:val="26"/>
        </w:rPr>
        <w:t xml:space="preserve"> period</w:t>
      </w:r>
      <w:r w:rsidR="00351C05">
        <w:rPr>
          <w:rFonts w:ascii="Times New Roman" w:hAnsi="Times New Roman" w:cs="Times New Roman"/>
          <w:sz w:val="26"/>
          <w:szCs w:val="26"/>
        </w:rPr>
        <w:t>,</w:t>
      </w:r>
      <w:r w:rsidR="00977328">
        <w:rPr>
          <w:rFonts w:ascii="Times New Roman" w:hAnsi="Times New Roman" w:cs="Times New Roman"/>
          <w:sz w:val="26"/>
          <w:szCs w:val="26"/>
        </w:rPr>
        <w:t xml:space="preserve"> does not provide a valid basis for customer refunds</w:t>
      </w:r>
      <w:r w:rsidR="006B3186">
        <w:rPr>
          <w:rFonts w:ascii="Times New Roman" w:hAnsi="Times New Roman" w:cs="Times New Roman"/>
          <w:sz w:val="26"/>
          <w:szCs w:val="26"/>
        </w:rPr>
        <w:t xml:space="preserve"> of revenue </w:t>
      </w:r>
      <w:r w:rsidR="00B34EAD">
        <w:rPr>
          <w:rFonts w:ascii="Times New Roman" w:hAnsi="Times New Roman" w:cs="Times New Roman"/>
          <w:sz w:val="26"/>
          <w:szCs w:val="26"/>
        </w:rPr>
        <w:t xml:space="preserve">collected under PECO’s Commission-made base rates during that pre-2011 period.  </w:t>
      </w:r>
      <w:r w:rsidR="00A4461F">
        <w:rPr>
          <w:rFonts w:ascii="Times New Roman" w:hAnsi="Times New Roman" w:cs="Times New Roman"/>
          <w:sz w:val="26"/>
          <w:szCs w:val="26"/>
        </w:rPr>
        <w:t xml:space="preserve">Noting the PECO witness testimony </w:t>
      </w:r>
      <w:r w:rsidR="005A2CCC">
        <w:rPr>
          <w:rFonts w:ascii="Times New Roman" w:hAnsi="Times New Roman" w:cs="Times New Roman"/>
          <w:sz w:val="26"/>
          <w:szCs w:val="26"/>
        </w:rPr>
        <w:t>that</w:t>
      </w:r>
      <w:r w:rsidR="003F5890">
        <w:rPr>
          <w:rFonts w:ascii="Times New Roman" w:hAnsi="Times New Roman" w:cs="Times New Roman"/>
          <w:sz w:val="26"/>
          <w:szCs w:val="26"/>
        </w:rPr>
        <w:t>,</w:t>
      </w:r>
      <w:r w:rsidR="005A2CCC">
        <w:rPr>
          <w:rFonts w:ascii="Times New Roman" w:hAnsi="Times New Roman" w:cs="Times New Roman"/>
          <w:sz w:val="26"/>
          <w:szCs w:val="26"/>
        </w:rPr>
        <w:t xml:space="preserve"> if PJM’s RTEP charges imposed on PECO had been in the correct amount from the outset</w:t>
      </w:r>
      <w:r w:rsidR="00954524">
        <w:rPr>
          <w:rFonts w:ascii="Times New Roman" w:hAnsi="Times New Roman" w:cs="Times New Roman"/>
          <w:sz w:val="26"/>
          <w:szCs w:val="26"/>
        </w:rPr>
        <w:t xml:space="preserve">, </w:t>
      </w:r>
      <w:r w:rsidR="0022486A">
        <w:rPr>
          <w:rFonts w:ascii="Times New Roman" w:hAnsi="Times New Roman" w:cs="Times New Roman"/>
          <w:sz w:val="26"/>
          <w:szCs w:val="26"/>
        </w:rPr>
        <w:t xml:space="preserve">the ALJ agreed </w:t>
      </w:r>
      <w:r w:rsidR="00954524">
        <w:rPr>
          <w:rFonts w:ascii="Times New Roman" w:hAnsi="Times New Roman" w:cs="Times New Roman"/>
          <w:sz w:val="26"/>
          <w:szCs w:val="26"/>
        </w:rPr>
        <w:t>there would have been no cost-based justification to require</w:t>
      </w:r>
      <w:r w:rsidR="001F662F">
        <w:rPr>
          <w:rFonts w:ascii="Times New Roman" w:hAnsi="Times New Roman" w:cs="Times New Roman"/>
          <w:sz w:val="26"/>
          <w:szCs w:val="26"/>
        </w:rPr>
        <w:t xml:space="preserve"> the Company to reduce its pre-2011 base rates.  Likewise, </w:t>
      </w:r>
      <w:r w:rsidR="00F34A5D">
        <w:rPr>
          <w:rFonts w:ascii="Times New Roman" w:hAnsi="Times New Roman" w:cs="Times New Roman"/>
          <w:sz w:val="26"/>
          <w:szCs w:val="26"/>
        </w:rPr>
        <w:t xml:space="preserve">if PJM had overcharged PECO $5.5 million for transmission enhancements but </w:t>
      </w:r>
      <w:r w:rsidR="008A4568">
        <w:rPr>
          <w:rFonts w:ascii="Times New Roman" w:hAnsi="Times New Roman" w:cs="Times New Roman"/>
          <w:sz w:val="26"/>
          <w:szCs w:val="26"/>
        </w:rPr>
        <w:t xml:space="preserve">discovered its error and issued a $5.5 million adjustment for those RTEP charges prior to January 1, </w:t>
      </w:r>
      <w:r w:rsidR="00F3715D">
        <w:rPr>
          <w:rFonts w:ascii="Times New Roman" w:hAnsi="Times New Roman" w:cs="Times New Roman"/>
          <w:sz w:val="26"/>
          <w:szCs w:val="26"/>
        </w:rPr>
        <w:t>2011, there would have been no legal basis to require the Company to reduce</w:t>
      </w:r>
      <w:r w:rsidR="006D2D42">
        <w:rPr>
          <w:rFonts w:ascii="Times New Roman" w:hAnsi="Times New Roman" w:cs="Times New Roman"/>
          <w:sz w:val="26"/>
          <w:szCs w:val="26"/>
        </w:rPr>
        <w:t xml:space="preserve"> its pre-2011 base rates by </w:t>
      </w:r>
      <w:r w:rsidR="000711A4">
        <w:rPr>
          <w:rFonts w:ascii="Times New Roman" w:hAnsi="Times New Roman" w:cs="Times New Roman"/>
          <w:sz w:val="26"/>
          <w:szCs w:val="26"/>
        </w:rPr>
        <w:t xml:space="preserve">$5.5 million.  </w:t>
      </w:r>
      <w:r w:rsidR="00AE72DF">
        <w:rPr>
          <w:rFonts w:ascii="Times New Roman" w:hAnsi="Times New Roman" w:cs="Times New Roman"/>
          <w:sz w:val="26"/>
          <w:szCs w:val="26"/>
        </w:rPr>
        <w:t>The ALJ reasoned that simply because the FERC Settlement Agreement was approved after January 1, 2011, does not change the fact that the rev</w:t>
      </w:r>
      <w:r w:rsidR="00440973">
        <w:rPr>
          <w:rFonts w:ascii="Times New Roman" w:hAnsi="Times New Roman" w:cs="Times New Roman"/>
          <w:sz w:val="26"/>
          <w:szCs w:val="26"/>
        </w:rPr>
        <w:t>enues PECO received prior to January 1, 2011, were the product of Commission-made rates and those revenues cannot lawfully be made subject to refunds.  I.D. at 26.</w:t>
      </w:r>
    </w:p>
    <w:p w14:paraId="7F5D8FD4" w14:textId="4363C5B5" w:rsidR="00440973" w:rsidRDefault="00440973" w:rsidP="003F29A4">
      <w:pPr>
        <w:widowControl w:val="0"/>
        <w:spacing w:after="0" w:line="360" w:lineRule="auto"/>
        <w:ind w:firstLine="1440"/>
        <w:rPr>
          <w:rFonts w:ascii="Times New Roman" w:hAnsi="Times New Roman" w:cs="Times New Roman"/>
          <w:sz w:val="26"/>
          <w:szCs w:val="26"/>
        </w:rPr>
      </w:pPr>
    </w:p>
    <w:p w14:paraId="65A476CF" w14:textId="0FB64C19" w:rsidR="00440973" w:rsidRDefault="00972050" w:rsidP="00D7393B">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ALJ determined that the evidence clearly shows that PECO’s rates during the </w:t>
      </w:r>
      <w:r w:rsidR="00C77A2E">
        <w:rPr>
          <w:rFonts w:ascii="Times New Roman" w:hAnsi="Times New Roman" w:cs="Times New Roman"/>
          <w:sz w:val="26"/>
          <w:szCs w:val="26"/>
        </w:rPr>
        <w:t>2007 through 2010</w:t>
      </w:r>
      <w:r>
        <w:rPr>
          <w:rFonts w:ascii="Times New Roman" w:hAnsi="Times New Roman" w:cs="Times New Roman"/>
          <w:sz w:val="26"/>
          <w:szCs w:val="26"/>
        </w:rPr>
        <w:t xml:space="preserve"> period did not include an allowance for recovery</w:t>
      </w:r>
      <w:r w:rsidR="00A842D2">
        <w:rPr>
          <w:rFonts w:ascii="Times New Roman" w:hAnsi="Times New Roman" w:cs="Times New Roman"/>
          <w:sz w:val="26"/>
          <w:szCs w:val="26"/>
        </w:rPr>
        <w:t xml:space="preserve"> of the RTEP charges to which the PJM bill credits apply.  Additionally, </w:t>
      </w:r>
      <w:r w:rsidR="00691AA8">
        <w:rPr>
          <w:rFonts w:ascii="Times New Roman" w:hAnsi="Times New Roman" w:cs="Times New Roman"/>
          <w:sz w:val="26"/>
          <w:szCs w:val="26"/>
        </w:rPr>
        <w:t xml:space="preserve">the ALJ rejected the OCA’s argument that PECO recovered more than enough revenue to </w:t>
      </w:r>
      <w:r w:rsidR="00FF3922">
        <w:rPr>
          <w:rFonts w:ascii="Times New Roman" w:hAnsi="Times New Roman" w:cs="Times New Roman"/>
          <w:sz w:val="26"/>
          <w:szCs w:val="26"/>
        </w:rPr>
        <w:t xml:space="preserve">cover the RTEP charges for the time period at issue.  </w:t>
      </w:r>
      <w:r w:rsidR="00FF3922" w:rsidRPr="00FF3922">
        <w:rPr>
          <w:rFonts w:ascii="Times New Roman" w:hAnsi="Times New Roman" w:cs="Times New Roman"/>
          <w:i/>
          <w:iCs/>
          <w:sz w:val="26"/>
          <w:szCs w:val="26"/>
        </w:rPr>
        <w:t>Id</w:t>
      </w:r>
      <w:r w:rsidR="00FF3922">
        <w:rPr>
          <w:rFonts w:ascii="Times New Roman" w:hAnsi="Times New Roman" w:cs="Times New Roman"/>
          <w:sz w:val="26"/>
          <w:szCs w:val="26"/>
        </w:rPr>
        <w:t xml:space="preserve">.  </w:t>
      </w:r>
    </w:p>
    <w:p w14:paraId="0153AB2D" w14:textId="77777777" w:rsidR="00685A90" w:rsidRDefault="00685A90" w:rsidP="003F29A4">
      <w:pPr>
        <w:widowControl w:val="0"/>
        <w:spacing w:after="0" w:line="360" w:lineRule="auto"/>
        <w:ind w:firstLine="1440"/>
        <w:rPr>
          <w:rFonts w:ascii="Times New Roman" w:hAnsi="Times New Roman" w:cs="Times New Roman"/>
          <w:sz w:val="26"/>
          <w:szCs w:val="26"/>
        </w:rPr>
      </w:pPr>
    </w:p>
    <w:p w14:paraId="5714AF52" w14:textId="342116D7" w:rsidR="00F17B77" w:rsidRPr="000B6CAA" w:rsidRDefault="000B6CAA" w:rsidP="003F29A4">
      <w:pPr>
        <w:widowControl w:val="0"/>
        <w:spacing w:after="0" w:line="360" w:lineRule="auto"/>
        <w:ind w:firstLine="1440"/>
        <w:rPr>
          <w:rFonts w:ascii="Times New Roman" w:hAnsi="Times New Roman" w:cs="Times New Roman"/>
          <w:b/>
          <w:bCs/>
          <w:sz w:val="26"/>
          <w:szCs w:val="26"/>
        </w:rPr>
      </w:pPr>
      <w:r w:rsidRPr="000B6CAA">
        <w:rPr>
          <w:rFonts w:ascii="Times New Roman" w:hAnsi="Times New Roman" w:cs="Times New Roman"/>
          <w:b/>
          <w:bCs/>
          <w:sz w:val="26"/>
          <w:szCs w:val="26"/>
        </w:rPr>
        <w:t>b.</w:t>
      </w:r>
      <w:r w:rsidRPr="000B6CAA">
        <w:rPr>
          <w:rFonts w:ascii="Times New Roman" w:hAnsi="Times New Roman" w:cs="Times New Roman"/>
          <w:b/>
          <w:bCs/>
          <w:sz w:val="26"/>
          <w:szCs w:val="26"/>
        </w:rPr>
        <w:tab/>
        <w:t>Exception and Reply</w:t>
      </w:r>
    </w:p>
    <w:p w14:paraId="366B80FD" w14:textId="74761796" w:rsidR="004341FE" w:rsidRDefault="004341FE" w:rsidP="00D7393B">
      <w:pPr>
        <w:widowControl w:val="0"/>
        <w:spacing w:after="0" w:line="360" w:lineRule="auto"/>
        <w:rPr>
          <w:rFonts w:ascii="Times New Roman" w:hAnsi="Times New Roman" w:cs="Times New Roman"/>
          <w:sz w:val="26"/>
          <w:szCs w:val="26"/>
        </w:rPr>
      </w:pPr>
    </w:p>
    <w:p w14:paraId="7F31E963" w14:textId="4BBF0C90" w:rsidR="00302BEE" w:rsidRDefault="00302BEE" w:rsidP="00E3444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F50BF4">
        <w:rPr>
          <w:rFonts w:ascii="Times New Roman" w:hAnsi="Times New Roman" w:cs="Times New Roman"/>
          <w:sz w:val="26"/>
          <w:szCs w:val="26"/>
        </w:rPr>
        <w:t xml:space="preserve">In its second Exception, the OCA </w:t>
      </w:r>
      <w:r w:rsidR="008C7356">
        <w:rPr>
          <w:rFonts w:ascii="Times New Roman" w:hAnsi="Times New Roman" w:cs="Times New Roman"/>
          <w:sz w:val="26"/>
          <w:szCs w:val="26"/>
        </w:rPr>
        <w:t xml:space="preserve">argues that the Commission-made rates doctrine </w:t>
      </w:r>
      <w:r w:rsidR="0064345A">
        <w:rPr>
          <w:rFonts w:ascii="Times New Roman" w:hAnsi="Times New Roman" w:cs="Times New Roman"/>
          <w:sz w:val="26"/>
          <w:szCs w:val="26"/>
        </w:rPr>
        <w:t>is inapplicable because the FERC transmission rates were immediately appealed and found to</w:t>
      </w:r>
      <w:r w:rsidR="005F3501">
        <w:rPr>
          <w:rFonts w:ascii="Times New Roman" w:hAnsi="Times New Roman" w:cs="Times New Roman"/>
          <w:sz w:val="26"/>
          <w:szCs w:val="26"/>
        </w:rPr>
        <w:t xml:space="preserve"> be unjust </w:t>
      </w:r>
      <w:r w:rsidR="00420A41">
        <w:rPr>
          <w:rFonts w:ascii="Times New Roman" w:hAnsi="Times New Roman" w:cs="Times New Roman"/>
          <w:sz w:val="26"/>
          <w:szCs w:val="26"/>
        </w:rPr>
        <w:t xml:space="preserve">and unreasonable by the Seventh Circuit.  </w:t>
      </w:r>
      <w:r w:rsidR="005A2304">
        <w:rPr>
          <w:rFonts w:ascii="Times New Roman" w:hAnsi="Times New Roman" w:cs="Times New Roman"/>
          <w:sz w:val="26"/>
          <w:szCs w:val="26"/>
        </w:rPr>
        <w:t xml:space="preserve">Citing the </w:t>
      </w:r>
      <w:r w:rsidR="006D204A" w:rsidRPr="0082328B">
        <w:rPr>
          <w:rFonts w:ascii="Times New Roman" w:hAnsi="Times New Roman" w:cs="Times New Roman"/>
          <w:i/>
          <w:iCs/>
          <w:sz w:val="26"/>
          <w:szCs w:val="26"/>
        </w:rPr>
        <w:t>7</w:t>
      </w:r>
      <w:r w:rsidR="006D204A" w:rsidRPr="0082328B">
        <w:rPr>
          <w:rFonts w:ascii="Times New Roman" w:hAnsi="Times New Roman" w:cs="Times New Roman"/>
          <w:i/>
          <w:iCs/>
          <w:sz w:val="26"/>
          <w:szCs w:val="26"/>
          <w:vertAlign w:val="superscript"/>
        </w:rPr>
        <w:t>th</w:t>
      </w:r>
      <w:r w:rsidR="006D204A" w:rsidRPr="0082328B">
        <w:rPr>
          <w:rFonts w:ascii="Times New Roman" w:hAnsi="Times New Roman" w:cs="Times New Roman"/>
          <w:i/>
          <w:iCs/>
          <w:sz w:val="26"/>
          <w:szCs w:val="26"/>
        </w:rPr>
        <w:t xml:space="preserve"> Circuit 2009 Remand</w:t>
      </w:r>
      <w:r w:rsidR="006D204A" w:rsidRPr="002637B3">
        <w:rPr>
          <w:rFonts w:ascii="Times New Roman" w:hAnsi="Times New Roman" w:cs="Times New Roman"/>
          <w:i/>
          <w:iCs/>
          <w:sz w:val="26"/>
          <w:szCs w:val="26"/>
        </w:rPr>
        <w:t xml:space="preserve"> </w:t>
      </w:r>
      <w:r w:rsidR="006D204A">
        <w:rPr>
          <w:rFonts w:ascii="Times New Roman" w:hAnsi="Times New Roman" w:cs="Times New Roman"/>
          <w:sz w:val="26"/>
          <w:szCs w:val="26"/>
        </w:rPr>
        <w:t xml:space="preserve">and the </w:t>
      </w:r>
      <w:r w:rsidR="006A1A4C" w:rsidRPr="002637B3">
        <w:rPr>
          <w:rFonts w:ascii="Times New Roman" w:hAnsi="Times New Roman" w:cs="Times New Roman"/>
          <w:i/>
          <w:iCs/>
          <w:sz w:val="26"/>
          <w:szCs w:val="26"/>
        </w:rPr>
        <w:t>7</w:t>
      </w:r>
      <w:r w:rsidR="006A1A4C" w:rsidRPr="002637B3">
        <w:rPr>
          <w:rFonts w:ascii="Times New Roman" w:hAnsi="Times New Roman" w:cs="Times New Roman"/>
          <w:i/>
          <w:iCs/>
          <w:sz w:val="26"/>
          <w:szCs w:val="26"/>
          <w:vertAlign w:val="superscript"/>
        </w:rPr>
        <w:t>th</w:t>
      </w:r>
      <w:r w:rsidR="006A1A4C" w:rsidRPr="002637B3">
        <w:rPr>
          <w:rFonts w:ascii="Times New Roman" w:hAnsi="Times New Roman" w:cs="Times New Roman"/>
          <w:i/>
          <w:iCs/>
          <w:sz w:val="26"/>
          <w:szCs w:val="26"/>
        </w:rPr>
        <w:t xml:space="preserve"> Circuit 2014 Remand</w:t>
      </w:r>
      <w:r w:rsidR="006D204A">
        <w:rPr>
          <w:rFonts w:ascii="Times New Roman" w:hAnsi="Times New Roman" w:cs="Times New Roman"/>
          <w:sz w:val="26"/>
          <w:szCs w:val="26"/>
        </w:rPr>
        <w:t>, the OCA asserts that the Court</w:t>
      </w:r>
      <w:r w:rsidR="00742C47">
        <w:rPr>
          <w:rFonts w:ascii="Times New Roman" w:hAnsi="Times New Roman" w:cs="Times New Roman"/>
          <w:sz w:val="26"/>
          <w:szCs w:val="26"/>
        </w:rPr>
        <w:t xml:space="preserve"> found the transmission allocation </w:t>
      </w:r>
      <w:r w:rsidR="00AF5338">
        <w:rPr>
          <w:rFonts w:ascii="Times New Roman" w:hAnsi="Times New Roman" w:cs="Times New Roman"/>
          <w:sz w:val="26"/>
          <w:szCs w:val="26"/>
        </w:rPr>
        <w:t>and over-collection of the transmission expense</w:t>
      </w:r>
      <w:r w:rsidR="00005FA5">
        <w:rPr>
          <w:rFonts w:ascii="Times New Roman" w:hAnsi="Times New Roman" w:cs="Times New Roman"/>
          <w:sz w:val="26"/>
          <w:szCs w:val="26"/>
        </w:rPr>
        <w:t xml:space="preserve">, and thereby the </w:t>
      </w:r>
      <w:r w:rsidR="00005FA5">
        <w:rPr>
          <w:rFonts w:ascii="Times New Roman" w:hAnsi="Times New Roman" w:cs="Times New Roman"/>
          <w:sz w:val="26"/>
          <w:szCs w:val="26"/>
        </w:rPr>
        <w:lastRenderedPageBreak/>
        <w:t>resulting rates and charges, to be unjust and unreasonable</w:t>
      </w:r>
      <w:r w:rsidR="005F117A">
        <w:rPr>
          <w:rFonts w:ascii="Times New Roman" w:hAnsi="Times New Roman" w:cs="Times New Roman"/>
          <w:sz w:val="26"/>
          <w:szCs w:val="26"/>
        </w:rPr>
        <w:t>.  As a result, the FERC</w:t>
      </w:r>
      <w:r w:rsidR="00191938">
        <w:rPr>
          <w:rFonts w:ascii="Times New Roman" w:hAnsi="Times New Roman" w:cs="Times New Roman"/>
          <w:sz w:val="26"/>
          <w:szCs w:val="26"/>
        </w:rPr>
        <w:t xml:space="preserve"> </w:t>
      </w:r>
      <w:r w:rsidR="00A511DC">
        <w:rPr>
          <w:rFonts w:ascii="Times New Roman" w:hAnsi="Times New Roman" w:cs="Times New Roman"/>
          <w:sz w:val="26"/>
          <w:szCs w:val="26"/>
        </w:rPr>
        <w:t xml:space="preserve">ordered RTEP credits to be issued as a remedy.  </w:t>
      </w:r>
      <w:r w:rsidR="001252A7">
        <w:rPr>
          <w:rFonts w:ascii="Times New Roman" w:hAnsi="Times New Roman" w:cs="Times New Roman"/>
          <w:sz w:val="26"/>
          <w:szCs w:val="26"/>
        </w:rPr>
        <w:t xml:space="preserve">Exc. at 12. </w:t>
      </w:r>
    </w:p>
    <w:p w14:paraId="1FD612AD" w14:textId="72972A65" w:rsidR="001252A7" w:rsidRDefault="001252A7" w:rsidP="00E3444D">
      <w:pPr>
        <w:widowControl w:val="0"/>
        <w:spacing w:after="0" w:line="360" w:lineRule="auto"/>
        <w:rPr>
          <w:rFonts w:ascii="Times New Roman" w:hAnsi="Times New Roman" w:cs="Times New Roman"/>
          <w:sz w:val="26"/>
          <w:szCs w:val="26"/>
        </w:rPr>
      </w:pPr>
    </w:p>
    <w:p w14:paraId="2C4263B2" w14:textId="6F7745AD" w:rsidR="001252A7" w:rsidRDefault="001252A7" w:rsidP="00E3444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F53D9A">
        <w:rPr>
          <w:rFonts w:ascii="Times New Roman" w:hAnsi="Times New Roman" w:cs="Times New Roman"/>
          <w:sz w:val="26"/>
          <w:szCs w:val="26"/>
        </w:rPr>
        <w:t>The OCA contends that the Commission-made rate</w:t>
      </w:r>
      <w:r w:rsidR="00FA2892">
        <w:rPr>
          <w:rFonts w:ascii="Times New Roman" w:hAnsi="Times New Roman" w:cs="Times New Roman"/>
          <w:sz w:val="26"/>
          <w:szCs w:val="26"/>
        </w:rPr>
        <w:t>s</w:t>
      </w:r>
      <w:r w:rsidR="00F53D9A">
        <w:rPr>
          <w:rFonts w:ascii="Times New Roman" w:hAnsi="Times New Roman" w:cs="Times New Roman"/>
          <w:sz w:val="26"/>
          <w:szCs w:val="26"/>
        </w:rPr>
        <w:t xml:space="preserve"> doctrine does not apply to rates found to be unjust </w:t>
      </w:r>
      <w:r w:rsidR="00013A0A">
        <w:rPr>
          <w:rFonts w:ascii="Times New Roman" w:hAnsi="Times New Roman" w:cs="Times New Roman"/>
          <w:sz w:val="26"/>
          <w:szCs w:val="26"/>
        </w:rPr>
        <w:t>and unreasonable.  Rather, the OCA argues that interstate power rates and allocation methodologies fixed by FERC</w:t>
      </w:r>
      <w:r w:rsidR="00CD6284">
        <w:rPr>
          <w:rFonts w:ascii="Times New Roman" w:hAnsi="Times New Roman" w:cs="Times New Roman"/>
          <w:sz w:val="26"/>
          <w:szCs w:val="26"/>
        </w:rPr>
        <w:t xml:space="preserve"> must be given binding effect by the Commission in determining interstate rates</w:t>
      </w:r>
      <w:r w:rsidR="007447F9">
        <w:rPr>
          <w:rFonts w:ascii="Times New Roman" w:hAnsi="Times New Roman" w:cs="Times New Roman"/>
          <w:sz w:val="26"/>
          <w:szCs w:val="26"/>
        </w:rPr>
        <w:t xml:space="preserve"> under the “filed rate” doctrine.  </w:t>
      </w:r>
      <w:r w:rsidR="007447F9" w:rsidRPr="008663AC">
        <w:rPr>
          <w:rFonts w:ascii="Times New Roman" w:hAnsi="Times New Roman" w:cs="Times New Roman"/>
          <w:i/>
          <w:iCs/>
          <w:sz w:val="26"/>
          <w:szCs w:val="26"/>
        </w:rPr>
        <w:t>Id</w:t>
      </w:r>
      <w:r w:rsidR="007447F9">
        <w:rPr>
          <w:rFonts w:ascii="Times New Roman" w:hAnsi="Times New Roman" w:cs="Times New Roman"/>
          <w:sz w:val="26"/>
          <w:szCs w:val="26"/>
        </w:rPr>
        <w:t xml:space="preserve">. (citing </w:t>
      </w:r>
      <w:r w:rsidR="000A0BA9" w:rsidRPr="00620E05">
        <w:rPr>
          <w:rFonts w:ascii="Times New Roman" w:hAnsi="Times New Roman" w:cs="Times New Roman"/>
          <w:i/>
          <w:iCs/>
          <w:sz w:val="26"/>
          <w:szCs w:val="26"/>
        </w:rPr>
        <w:t>P</w:t>
      </w:r>
      <w:r w:rsidR="00620E05" w:rsidRPr="00620E05">
        <w:rPr>
          <w:rFonts w:ascii="Times New Roman" w:hAnsi="Times New Roman" w:cs="Times New Roman"/>
          <w:i/>
          <w:iCs/>
          <w:sz w:val="26"/>
          <w:szCs w:val="26"/>
        </w:rPr>
        <w:t>ennsylvania</w:t>
      </w:r>
      <w:r w:rsidR="000A0BA9" w:rsidRPr="00620E05">
        <w:rPr>
          <w:rFonts w:ascii="Times New Roman" w:hAnsi="Times New Roman" w:cs="Times New Roman"/>
          <w:i/>
          <w:iCs/>
          <w:sz w:val="26"/>
          <w:szCs w:val="26"/>
        </w:rPr>
        <w:t xml:space="preserve"> Power Co. v. Pa</w:t>
      </w:r>
      <w:r w:rsidR="00620E05">
        <w:rPr>
          <w:rFonts w:ascii="Times New Roman" w:hAnsi="Times New Roman" w:cs="Times New Roman"/>
          <w:i/>
          <w:iCs/>
          <w:sz w:val="26"/>
          <w:szCs w:val="26"/>
        </w:rPr>
        <w:t>.</w:t>
      </w:r>
      <w:r w:rsidR="000A0BA9" w:rsidRPr="00620E05">
        <w:rPr>
          <w:rFonts w:ascii="Times New Roman" w:hAnsi="Times New Roman" w:cs="Times New Roman"/>
          <w:i/>
          <w:iCs/>
          <w:sz w:val="26"/>
          <w:szCs w:val="26"/>
        </w:rPr>
        <w:t xml:space="preserve"> PUC</w:t>
      </w:r>
      <w:r w:rsidR="000A0BA9">
        <w:rPr>
          <w:rFonts w:ascii="Times New Roman" w:hAnsi="Times New Roman" w:cs="Times New Roman"/>
          <w:sz w:val="26"/>
          <w:szCs w:val="26"/>
        </w:rPr>
        <w:t>, 561 A.2d 43 (Pa. Cmwlth. 1989)</w:t>
      </w:r>
      <w:r w:rsidR="00087B1B">
        <w:rPr>
          <w:rFonts w:ascii="Times New Roman" w:hAnsi="Times New Roman" w:cs="Times New Roman"/>
          <w:sz w:val="26"/>
          <w:szCs w:val="26"/>
        </w:rPr>
        <w:t xml:space="preserve"> (</w:t>
      </w:r>
      <w:r w:rsidR="00087B1B" w:rsidRPr="008663AC">
        <w:rPr>
          <w:rFonts w:ascii="Times New Roman" w:hAnsi="Times New Roman" w:cs="Times New Roman"/>
          <w:i/>
          <w:iCs/>
          <w:sz w:val="26"/>
          <w:szCs w:val="26"/>
        </w:rPr>
        <w:t>Pa. Power</w:t>
      </w:r>
      <w:r w:rsidR="00087B1B">
        <w:rPr>
          <w:rFonts w:ascii="Times New Roman" w:hAnsi="Times New Roman" w:cs="Times New Roman"/>
          <w:sz w:val="26"/>
          <w:szCs w:val="26"/>
        </w:rPr>
        <w:t>)</w:t>
      </w:r>
      <w:r w:rsidR="00620E05">
        <w:rPr>
          <w:rFonts w:ascii="Times New Roman" w:hAnsi="Times New Roman" w:cs="Times New Roman"/>
          <w:sz w:val="26"/>
          <w:szCs w:val="26"/>
        </w:rPr>
        <w:t>)</w:t>
      </w:r>
      <w:r w:rsidR="000A0BA9">
        <w:rPr>
          <w:rFonts w:ascii="Times New Roman" w:hAnsi="Times New Roman" w:cs="Times New Roman"/>
          <w:sz w:val="26"/>
          <w:szCs w:val="26"/>
        </w:rPr>
        <w:t xml:space="preserve">.  </w:t>
      </w:r>
    </w:p>
    <w:p w14:paraId="465CEC67" w14:textId="75E60434" w:rsidR="008663AC" w:rsidRDefault="008663AC" w:rsidP="00E3444D">
      <w:pPr>
        <w:widowControl w:val="0"/>
        <w:spacing w:after="0" w:line="360" w:lineRule="auto"/>
        <w:rPr>
          <w:rFonts w:ascii="Times New Roman" w:hAnsi="Times New Roman" w:cs="Times New Roman"/>
          <w:sz w:val="26"/>
          <w:szCs w:val="26"/>
        </w:rPr>
      </w:pPr>
    </w:p>
    <w:p w14:paraId="143C4876" w14:textId="7173BB64" w:rsidR="008663AC" w:rsidRDefault="008663AC" w:rsidP="00E3444D">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8651A5">
        <w:rPr>
          <w:rFonts w:ascii="Times New Roman" w:hAnsi="Times New Roman" w:cs="Times New Roman"/>
          <w:sz w:val="26"/>
          <w:szCs w:val="26"/>
        </w:rPr>
        <w:t>Regarding the filed rate doctrine</w:t>
      </w:r>
      <w:r w:rsidR="00FA2892">
        <w:rPr>
          <w:rFonts w:ascii="Times New Roman" w:hAnsi="Times New Roman" w:cs="Times New Roman"/>
          <w:sz w:val="26"/>
          <w:szCs w:val="26"/>
        </w:rPr>
        <w:t xml:space="preserve">, the OCA quotes from the Commonwealth Court decision in </w:t>
      </w:r>
      <w:r w:rsidR="00FA2892" w:rsidRPr="00FA2892">
        <w:rPr>
          <w:rFonts w:ascii="Times New Roman" w:hAnsi="Times New Roman" w:cs="Times New Roman"/>
          <w:i/>
          <w:iCs/>
          <w:sz w:val="26"/>
          <w:szCs w:val="26"/>
        </w:rPr>
        <w:t>Pa. Power</w:t>
      </w:r>
      <w:r w:rsidR="00FA2892">
        <w:rPr>
          <w:rFonts w:ascii="Times New Roman" w:hAnsi="Times New Roman" w:cs="Times New Roman"/>
          <w:sz w:val="26"/>
          <w:szCs w:val="26"/>
        </w:rPr>
        <w:t xml:space="preserve">:  </w:t>
      </w:r>
    </w:p>
    <w:p w14:paraId="72793846" w14:textId="77777777" w:rsidR="008651A5" w:rsidRPr="006D204A" w:rsidRDefault="008651A5" w:rsidP="005F084B">
      <w:pPr>
        <w:widowControl w:val="0"/>
        <w:spacing w:after="0" w:line="240" w:lineRule="auto"/>
        <w:rPr>
          <w:rFonts w:ascii="Times New Roman" w:hAnsi="Times New Roman" w:cs="Times New Roman"/>
          <w:sz w:val="26"/>
          <w:szCs w:val="26"/>
        </w:rPr>
      </w:pPr>
    </w:p>
    <w:p w14:paraId="37CCD326" w14:textId="687957F1" w:rsidR="0019499E" w:rsidRDefault="002A1937" w:rsidP="0019499E">
      <w:pPr>
        <w:widowControl w:val="0"/>
        <w:spacing w:after="0" w:line="240" w:lineRule="auto"/>
        <w:ind w:left="1440" w:right="1440"/>
        <w:rPr>
          <w:rFonts w:ascii="Times New Roman" w:hAnsi="Times New Roman" w:cs="Times New Roman"/>
          <w:sz w:val="26"/>
          <w:szCs w:val="26"/>
        </w:rPr>
      </w:pPr>
      <w:r w:rsidRPr="008651A5">
        <w:rPr>
          <w:rFonts w:ascii="Times New Roman" w:hAnsi="Times New Roman" w:cs="Times New Roman"/>
          <w:sz w:val="26"/>
          <w:szCs w:val="26"/>
        </w:rPr>
        <w:t>On review, the Supreme Court first observed that FERC has exclusive jurisdiction over interstate wholesale power rates pursuant to </w:t>
      </w:r>
      <w:hyperlink r:id="rId10" w:anchor="co_pp_a83b000018c76" w:history="1">
        <w:r w:rsidRPr="008651A5">
          <w:rPr>
            <w:rFonts w:ascii="Times New Roman" w:hAnsi="Times New Roman" w:cs="Times New Roman"/>
            <w:sz w:val="26"/>
            <w:szCs w:val="26"/>
          </w:rPr>
          <w:t>16 U.S.C. § 824(b)</w:t>
        </w:r>
      </w:hyperlink>
      <w:r w:rsidRPr="008651A5">
        <w:rPr>
          <w:rFonts w:ascii="Times New Roman" w:hAnsi="Times New Roman" w:cs="Times New Roman"/>
          <w:sz w:val="26"/>
          <w:szCs w:val="26"/>
        </w:rPr>
        <w:t xml:space="preserve">. </w:t>
      </w:r>
      <w:r w:rsidR="003B00CE">
        <w:rPr>
          <w:rFonts w:ascii="Times New Roman" w:hAnsi="Times New Roman" w:cs="Times New Roman"/>
          <w:sz w:val="26"/>
          <w:szCs w:val="26"/>
        </w:rPr>
        <w:t xml:space="preserve"> </w:t>
      </w:r>
      <w:r w:rsidRPr="008651A5">
        <w:rPr>
          <w:rFonts w:ascii="Times New Roman" w:hAnsi="Times New Roman" w:cs="Times New Roman"/>
          <w:sz w:val="26"/>
          <w:szCs w:val="26"/>
        </w:rPr>
        <w:t xml:space="preserve">The Court noted that the “filed rate” doctrine holds in pertinent part that interstate power rates filed with FERC or fixed by FERC must be given binding effect by state utility commissions determining intrastate rates. </w:t>
      </w:r>
      <w:r w:rsidR="003B00CE">
        <w:rPr>
          <w:rFonts w:ascii="Times New Roman" w:hAnsi="Times New Roman" w:cs="Times New Roman"/>
          <w:sz w:val="26"/>
          <w:szCs w:val="26"/>
        </w:rPr>
        <w:t xml:space="preserve"> </w:t>
      </w:r>
      <w:r w:rsidRPr="008651A5">
        <w:rPr>
          <w:rFonts w:ascii="Times New Roman" w:hAnsi="Times New Roman" w:cs="Times New Roman"/>
          <w:sz w:val="26"/>
          <w:szCs w:val="26"/>
        </w:rPr>
        <w:t>Tracing the origin of that doctrine to the case of </w:t>
      </w:r>
      <w:hyperlink r:id="rId11" w:history="1">
        <w:r w:rsidRPr="008651A5">
          <w:rPr>
            <w:rFonts w:ascii="Times New Roman" w:hAnsi="Times New Roman" w:cs="Times New Roman"/>
            <w:i/>
            <w:iCs/>
            <w:sz w:val="26"/>
            <w:szCs w:val="26"/>
          </w:rPr>
          <w:t>Montana–Dakota Utilities Co. v. Northwestern Public Service Co.</w:t>
        </w:r>
        <w:r w:rsidRPr="005F084B">
          <w:rPr>
            <w:rFonts w:ascii="Times New Roman" w:hAnsi="Times New Roman" w:cs="Times New Roman"/>
            <w:sz w:val="26"/>
            <w:szCs w:val="26"/>
          </w:rPr>
          <w:t>,</w:t>
        </w:r>
        <w:r w:rsidRPr="008651A5">
          <w:rPr>
            <w:rFonts w:ascii="Times New Roman" w:hAnsi="Times New Roman" w:cs="Times New Roman"/>
            <w:sz w:val="26"/>
            <w:szCs w:val="26"/>
          </w:rPr>
          <w:t> 341 U.S. 246, 71 S.Ct. 692, 95 L.Ed. 912 (1951)</w:t>
        </w:r>
      </w:hyperlink>
      <w:r w:rsidRPr="008651A5">
        <w:rPr>
          <w:rFonts w:ascii="Times New Roman" w:hAnsi="Times New Roman" w:cs="Times New Roman"/>
          <w:sz w:val="26"/>
          <w:szCs w:val="26"/>
        </w:rPr>
        <w:t xml:space="preserve">, the Court noted that the doctrine is not a rule of administrative law but rather a matter of enforcing the Supremacy Clause of the Constitution. </w:t>
      </w:r>
      <w:r w:rsidR="003B00CE">
        <w:rPr>
          <w:rFonts w:ascii="Times New Roman" w:hAnsi="Times New Roman" w:cs="Times New Roman"/>
          <w:sz w:val="26"/>
          <w:szCs w:val="26"/>
        </w:rPr>
        <w:t xml:space="preserve"> </w:t>
      </w:r>
      <w:r w:rsidRPr="008651A5">
        <w:rPr>
          <w:rFonts w:ascii="Times New Roman" w:hAnsi="Times New Roman" w:cs="Times New Roman"/>
          <w:sz w:val="26"/>
          <w:szCs w:val="26"/>
        </w:rPr>
        <w:t>Further, the Court stated that the doctrine was not limited to rates per se, but was also involved where, as in the case before it, FERC</w:t>
      </w:r>
      <w:r w:rsidR="003B00CE">
        <w:rPr>
          <w:rFonts w:ascii="Times New Roman" w:hAnsi="Times New Roman" w:cs="Times New Roman"/>
          <w:sz w:val="26"/>
          <w:szCs w:val="26"/>
        </w:rPr>
        <w:t>’</w:t>
      </w:r>
      <w:r w:rsidRPr="008651A5">
        <w:rPr>
          <w:rFonts w:ascii="Times New Roman" w:hAnsi="Times New Roman" w:cs="Times New Roman"/>
          <w:sz w:val="26"/>
          <w:szCs w:val="26"/>
        </w:rPr>
        <w:t>s allocation, of the amount of low-cost power that a utility could obtain, directly affected interstate rates, and FERC had ordered the company to file rates in accordance with that allocation</w:t>
      </w:r>
      <w:r w:rsidR="0019499E">
        <w:rPr>
          <w:rFonts w:ascii="Times New Roman" w:hAnsi="Times New Roman" w:cs="Times New Roman"/>
          <w:sz w:val="26"/>
          <w:szCs w:val="26"/>
        </w:rPr>
        <w:t>.</w:t>
      </w:r>
    </w:p>
    <w:p w14:paraId="6F6797CF" w14:textId="77777777" w:rsidR="0019499E" w:rsidRDefault="0019499E" w:rsidP="005F084B">
      <w:pPr>
        <w:widowControl w:val="0"/>
        <w:spacing w:after="0" w:line="360" w:lineRule="auto"/>
        <w:ind w:right="1440"/>
        <w:rPr>
          <w:rFonts w:ascii="Times New Roman" w:hAnsi="Times New Roman" w:cs="Times New Roman"/>
          <w:sz w:val="26"/>
          <w:szCs w:val="26"/>
        </w:rPr>
      </w:pPr>
    </w:p>
    <w:p w14:paraId="53FD706B" w14:textId="5755E3DF" w:rsidR="005B7843" w:rsidRDefault="00431A85" w:rsidP="004C5E66">
      <w:pPr>
        <w:widowControl w:val="0"/>
        <w:spacing w:after="0" w:line="360" w:lineRule="auto"/>
        <w:ind w:right="1440"/>
        <w:rPr>
          <w:rFonts w:ascii="Times New Roman" w:hAnsi="Times New Roman" w:cs="Times New Roman"/>
          <w:sz w:val="26"/>
          <w:szCs w:val="26"/>
        </w:rPr>
      </w:pPr>
      <w:r>
        <w:rPr>
          <w:rFonts w:ascii="Times New Roman" w:hAnsi="Times New Roman" w:cs="Times New Roman"/>
          <w:sz w:val="26"/>
          <w:szCs w:val="26"/>
        </w:rPr>
        <w:t xml:space="preserve">Exc. at 12-13 (quoting </w:t>
      </w:r>
      <w:r w:rsidRPr="003B552D">
        <w:rPr>
          <w:rFonts w:ascii="Times New Roman" w:hAnsi="Times New Roman" w:cs="Times New Roman"/>
          <w:i/>
          <w:iCs/>
          <w:sz w:val="26"/>
          <w:szCs w:val="26"/>
        </w:rPr>
        <w:t>Pa. Power</w:t>
      </w:r>
      <w:r>
        <w:rPr>
          <w:rFonts w:ascii="Times New Roman" w:hAnsi="Times New Roman" w:cs="Times New Roman"/>
          <w:sz w:val="26"/>
          <w:szCs w:val="26"/>
        </w:rPr>
        <w:t xml:space="preserve">, </w:t>
      </w:r>
      <w:r w:rsidR="003B552D">
        <w:rPr>
          <w:rFonts w:ascii="Times New Roman" w:hAnsi="Times New Roman" w:cs="Times New Roman"/>
          <w:sz w:val="26"/>
          <w:szCs w:val="26"/>
        </w:rPr>
        <w:t xml:space="preserve">561 A.2d at 50).  </w:t>
      </w:r>
    </w:p>
    <w:p w14:paraId="1513D75A" w14:textId="3BF314BF" w:rsidR="003B552D" w:rsidRDefault="003B552D" w:rsidP="004C5E66">
      <w:pPr>
        <w:widowControl w:val="0"/>
        <w:spacing w:after="0" w:line="360" w:lineRule="auto"/>
        <w:ind w:right="1440"/>
        <w:rPr>
          <w:rFonts w:ascii="Times New Roman" w:hAnsi="Times New Roman" w:cs="Times New Roman"/>
          <w:sz w:val="26"/>
          <w:szCs w:val="26"/>
        </w:rPr>
      </w:pPr>
    </w:p>
    <w:p w14:paraId="776FAB2A" w14:textId="1540A5F0" w:rsidR="004C5E66" w:rsidRDefault="004C5E66" w:rsidP="00A45770">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sidR="00D148B5">
        <w:rPr>
          <w:rFonts w:ascii="Times New Roman" w:hAnsi="Times New Roman" w:cs="Times New Roman"/>
          <w:sz w:val="26"/>
          <w:szCs w:val="26"/>
        </w:rPr>
        <w:t xml:space="preserve">The OCA also argues that </w:t>
      </w:r>
      <w:r w:rsidR="00BD0E1F" w:rsidRPr="00DB58D9">
        <w:rPr>
          <w:rFonts w:ascii="Times New Roman" w:hAnsi="Times New Roman" w:cs="Times New Roman"/>
          <w:i/>
          <w:iCs/>
          <w:sz w:val="26"/>
          <w:szCs w:val="26"/>
        </w:rPr>
        <w:t>Cheltenham</w:t>
      </w:r>
      <w:r w:rsidR="00BD0E1F">
        <w:rPr>
          <w:rFonts w:ascii="Times New Roman" w:hAnsi="Times New Roman" w:cs="Times New Roman"/>
          <w:sz w:val="26"/>
          <w:szCs w:val="26"/>
        </w:rPr>
        <w:t xml:space="preserve"> </w:t>
      </w:r>
      <w:r w:rsidR="00F55FAC">
        <w:rPr>
          <w:rFonts w:ascii="Times New Roman" w:hAnsi="Times New Roman" w:cs="Times New Roman"/>
          <w:sz w:val="26"/>
          <w:szCs w:val="26"/>
        </w:rPr>
        <w:t xml:space="preserve">can be distinguished </w:t>
      </w:r>
      <w:r w:rsidR="009E75F7">
        <w:rPr>
          <w:rFonts w:ascii="Times New Roman" w:hAnsi="Times New Roman" w:cs="Times New Roman"/>
          <w:sz w:val="26"/>
          <w:szCs w:val="26"/>
        </w:rPr>
        <w:t>because</w:t>
      </w:r>
      <w:r w:rsidR="00F55FAC">
        <w:rPr>
          <w:rFonts w:ascii="Times New Roman" w:hAnsi="Times New Roman" w:cs="Times New Roman"/>
          <w:sz w:val="26"/>
          <w:szCs w:val="26"/>
        </w:rPr>
        <w:t xml:space="preserve"> this proceeding </w:t>
      </w:r>
      <w:r w:rsidR="00215865">
        <w:rPr>
          <w:rFonts w:ascii="Times New Roman" w:hAnsi="Times New Roman" w:cs="Times New Roman"/>
          <w:sz w:val="26"/>
          <w:szCs w:val="26"/>
        </w:rPr>
        <w:t>is not requesting</w:t>
      </w:r>
      <w:r w:rsidR="004D0FD0">
        <w:rPr>
          <w:rFonts w:ascii="Times New Roman" w:hAnsi="Times New Roman" w:cs="Times New Roman"/>
          <w:sz w:val="26"/>
          <w:szCs w:val="26"/>
        </w:rPr>
        <w:t xml:space="preserve"> retroactive application of a Commission Order to </w:t>
      </w:r>
      <w:r w:rsidR="009E75F7">
        <w:rPr>
          <w:rFonts w:ascii="Times New Roman" w:hAnsi="Times New Roman" w:cs="Times New Roman"/>
          <w:sz w:val="26"/>
          <w:szCs w:val="26"/>
        </w:rPr>
        <w:t xml:space="preserve">a </w:t>
      </w:r>
      <w:r w:rsidR="004D0FD0">
        <w:rPr>
          <w:rFonts w:ascii="Times New Roman" w:hAnsi="Times New Roman" w:cs="Times New Roman"/>
          <w:sz w:val="26"/>
          <w:szCs w:val="26"/>
        </w:rPr>
        <w:t xml:space="preserve">previously approved tariff filing.  </w:t>
      </w:r>
      <w:r w:rsidR="009E75F7">
        <w:rPr>
          <w:rFonts w:ascii="Times New Roman" w:hAnsi="Times New Roman" w:cs="Times New Roman"/>
          <w:sz w:val="26"/>
          <w:szCs w:val="26"/>
        </w:rPr>
        <w:t>The</w:t>
      </w:r>
      <w:r w:rsidR="004D0FD0">
        <w:rPr>
          <w:rFonts w:ascii="Times New Roman" w:hAnsi="Times New Roman" w:cs="Times New Roman"/>
          <w:sz w:val="26"/>
          <w:szCs w:val="26"/>
        </w:rPr>
        <w:t xml:space="preserve"> OCA submits that the FERC credits at issue</w:t>
      </w:r>
      <w:r w:rsidR="005D115E">
        <w:rPr>
          <w:rFonts w:ascii="Times New Roman" w:hAnsi="Times New Roman" w:cs="Times New Roman"/>
          <w:sz w:val="26"/>
          <w:szCs w:val="26"/>
        </w:rPr>
        <w:t xml:space="preserve"> </w:t>
      </w:r>
      <w:r w:rsidR="00AC2DEE">
        <w:rPr>
          <w:rFonts w:ascii="Times New Roman" w:hAnsi="Times New Roman" w:cs="Times New Roman"/>
          <w:sz w:val="26"/>
          <w:szCs w:val="26"/>
        </w:rPr>
        <w:t xml:space="preserve">here </w:t>
      </w:r>
      <w:r w:rsidR="005D115E">
        <w:rPr>
          <w:rFonts w:ascii="Times New Roman" w:hAnsi="Times New Roman" w:cs="Times New Roman"/>
          <w:sz w:val="26"/>
          <w:szCs w:val="26"/>
        </w:rPr>
        <w:t xml:space="preserve">resulted from the Seventh Circuit appeals </w:t>
      </w:r>
      <w:r w:rsidR="00F252E4">
        <w:rPr>
          <w:rFonts w:ascii="Times New Roman" w:hAnsi="Times New Roman" w:cs="Times New Roman"/>
          <w:sz w:val="26"/>
          <w:szCs w:val="26"/>
        </w:rPr>
        <w:t>which determined that the RTEP expenses previously charged were unjust and unreasonable</w:t>
      </w:r>
      <w:r w:rsidR="00AC2DEE">
        <w:rPr>
          <w:rFonts w:ascii="Times New Roman" w:hAnsi="Times New Roman" w:cs="Times New Roman"/>
          <w:sz w:val="26"/>
          <w:szCs w:val="26"/>
        </w:rPr>
        <w:t xml:space="preserve">.  </w:t>
      </w:r>
      <w:r w:rsidR="0099002A">
        <w:rPr>
          <w:rFonts w:ascii="Times New Roman" w:hAnsi="Times New Roman" w:cs="Times New Roman"/>
          <w:sz w:val="26"/>
          <w:szCs w:val="26"/>
        </w:rPr>
        <w:t>Thus, the OCA contends that PECO’s proposal to retain $5.5 million</w:t>
      </w:r>
      <w:r w:rsidR="00AD4D75">
        <w:rPr>
          <w:rFonts w:ascii="Times New Roman" w:hAnsi="Times New Roman" w:cs="Times New Roman"/>
          <w:sz w:val="26"/>
          <w:szCs w:val="26"/>
        </w:rPr>
        <w:t xml:space="preserve"> in FERC-ordered credits does not constitute a </w:t>
      </w:r>
      <w:r w:rsidR="008F7E3A">
        <w:rPr>
          <w:rFonts w:ascii="Times New Roman" w:hAnsi="Times New Roman" w:cs="Times New Roman"/>
          <w:sz w:val="26"/>
          <w:szCs w:val="26"/>
        </w:rPr>
        <w:t xml:space="preserve">Commission-made rate and that the ALJ’s reliance on </w:t>
      </w:r>
      <w:r w:rsidR="008F7E3A" w:rsidRPr="0091772F">
        <w:rPr>
          <w:rFonts w:ascii="Times New Roman" w:hAnsi="Times New Roman" w:cs="Times New Roman"/>
          <w:i/>
          <w:iCs/>
          <w:sz w:val="26"/>
          <w:szCs w:val="26"/>
        </w:rPr>
        <w:t>Cheltenham</w:t>
      </w:r>
      <w:r w:rsidR="008F7E3A">
        <w:rPr>
          <w:rFonts w:ascii="Times New Roman" w:hAnsi="Times New Roman" w:cs="Times New Roman"/>
          <w:sz w:val="26"/>
          <w:szCs w:val="26"/>
        </w:rPr>
        <w:t xml:space="preserve"> </w:t>
      </w:r>
      <w:r w:rsidR="00874860">
        <w:rPr>
          <w:rFonts w:ascii="Times New Roman" w:hAnsi="Times New Roman" w:cs="Times New Roman"/>
          <w:sz w:val="26"/>
          <w:szCs w:val="26"/>
        </w:rPr>
        <w:t xml:space="preserve">to determine that the Company’s proposal is a Commission-made </w:t>
      </w:r>
      <w:r w:rsidR="0091772F">
        <w:rPr>
          <w:rFonts w:ascii="Times New Roman" w:hAnsi="Times New Roman" w:cs="Times New Roman"/>
          <w:sz w:val="26"/>
          <w:szCs w:val="26"/>
        </w:rPr>
        <w:t xml:space="preserve">rates is in error.  Exc. at 14.  </w:t>
      </w:r>
    </w:p>
    <w:p w14:paraId="5BD275FD" w14:textId="34056425" w:rsidR="00C64F12" w:rsidRDefault="00C64F12" w:rsidP="00F55FAC">
      <w:pPr>
        <w:widowControl w:val="0"/>
        <w:spacing w:after="0" w:line="360" w:lineRule="auto"/>
        <w:rPr>
          <w:rFonts w:ascii="Times New Roman" w:hAnsi="Times New Roman" w:cs="Times New Roman"/>
          <w:sz w:val="26"/>
          <w:szCs w:val="26"/>
        </w:rPr>
      </w:pPr>
    </w:p>
    <w:p w14:paraId="4DDFB53C" w14:textId="29B744CA" w:rsidR="00C64F12" w:rsidRDefault="00C64F12" w:rsidP="00F55FAC">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Moreover, the OCA </w:t>
      </w:r>
      <w:r w:rsidR="00BB4D3C">
        <w:rPr>
          <w:rFonts w:ascii="Times New Roman" w:hAnsi="Times New Roman" w:cs="Times New Roman"/>
          <w:sz w:val="26"/>
          <w:szCs w:val="26"/>
        </w:rPr>
        <w:t>contends</w:t>
      </w:r>
      <w:r>
        <w:rPr>
          <w:rFonts w:ascii="Times New Roman" w:hAnsi="Times New Roman" w:cs="Times New Roman"/>
          <w:sz w:val="26"/>
          <w:szCs w:val="26"/>
        </w:rPr>
        <w:t xml:space="preserve"> that the Commonwealth Court in a decision subsequent to </w:t>
      </w:r>
      <w:r w:rsidRPr="004E345E">
        <w:rPr>
          <w:rFonts w:ascii="Times New Roman" w:hAnsi="Times New Roman" w:cs="Times New Roman"/>
          <w:i/>
          <w:iCs/>
          <w:sz w:val="26"/>
          <w:szCs w:val="26"/>
        </w:rPr>
        <w:t>Cheltenham</w:t>
      </w:r>
      <w:r>
        <w:rPr>
          <w:rFonts w:ascii="Times New Roman" w:hAnsi="Times New Roman" w:cs="Times New Roman"/>
          <w:sz w:val="26"/>
          <w:szCs w:val="26"/>
        </w:rPr>
        <w:t xml:space="preserve"> </w:t>
      </w:r>
      <w:r w:rsidR="0068010E">
        <w:rPr>
          <w:rFonts w:ascii="Times New Roman" w:hAnsi="Times New Roman" w:cs="Times New Roman"/>
          <w:sz w:val="26"/>
          <w:szCs w:val="26"/>
        </w:rPr>
        <w:t xml:space="preserve">determined that a fuel cost adjustment provision did not represent a Commission-made rate.  </w:t>
      </w:r>
      <w:r w:rsidR="00274008" w:rsidRPr="004E345E">
        <w:rPr>
          <w:rFonts w:ascii="Times New Roman" w:hAnsi="Times New Roman" w:cs="Times New Roman"/>
          <w:i/>
          <w:iCs/>
          <w:sz w:val="26"/>
          <w:szCs w:val="26"/>
        </w:rPr>
        <w:t>Id</w:t>
      </w:r>
      <w:r w:rsidR="00274008">
        <w:rPr>
          <w:rFonts w:ascii="Times New Roman" w:hAnsi="Times New Roman" w:cs="Times New Roman"/>
          <w:sz w:val="26"/>
          <w:szCs w:val="26"/>
        </w:rPr>
        <w:t xml:space="preserve">. (citing </w:t>
      </w:r>
      <w:r w:rsidR="00274008" w:rsidRPr="001414C6">
        <w:rPr>
          <w:rFonts w:ascii="Times New Roman" w:hAnsi="Times New Roman" w:cs="Times New Roman"/>
          <w:i/>
          <w:iCs/>
          <w:sz w:val="26"/>
          <w:szCs w:val="26"/>
        </w:rPr>
        <w:t>Met-Ed</w:t>
      </w:r>
      <w:r w:rsidR="00274008">
        <w:rPr>
          <w:rFonts w:ascii="Times New Roman" w:hAnsi="Times New Roman" w:cs="Times New Roman"/>
          <w:sz w:val="26"/>
          <w:szCs w:val="26"/>
        </w:rPr>
        <w:t>, 437 A.2d at 79-80)</w:t>
      </w:r>
      <w:r w:rsidR="00125A68">
        <w:rPr>
          <w:rFonts w:ascii="Times New Roman" w:hAnsi="Times New Roman" w:cs="Times New Roman"/>
          <w:sz w:val="26"/>
          <w:szCs w:val="26"/>
        </w:rPr>
        <w:t xml:space="preserve">.  The OCA </w:t>
      </w:r>
      <w:r w:rsidR="00BB4D3C">
        <w:rPr>
          <w:rFonts w:ascii="Times New Roman" w:hAnsi="Times New Roman" w:cs="Times New Roman"/>
          <w:sz w:val="26"/>
          <w:szCs w:val="26"/>
        </w:rPr>
        <w:t xml:space="preserve">also argues </w:t>
      </w:r>
      <w:r w:rsidR="00125A68">
        <w:rPr>
          <w:rFonts w:ascii="Times New Roman" w:hAnsi="Times New Roman" w:cs="Times New Roman"/>
          <w:sz w:val="26"/>
          <w:szCs w:val="26"/>
        </w:rPr>
        <w:t xml:space="preserve">that even if </w:t>
      </w:r>
      <w:r w:rsidR="00D769AD">
        <w:rPr>
          <w:rFonts w:ascii="Times New Roman" w:hAnsi="Times New Roman" w:cs="Times New Roman"/>
          <w:sz w:val="26"/>
          <w:szCs w:val="26"/>
        </w:rPr>
        <w:t>the Commission-made rates doctrine appl</w:t>
      </w:r>
      <w:r w:rsidR="00862F2E">
        <w:rPr>
          <w:rFonts w:ascii="Times New Roman" w:hAnsi="Times New Roman" w:cs="Times New Roman"/>
          <w:sz w:val="26"/>
          <w:szCs w:val="26"/>
        </w:rPr>
        <w:t>i</w:t>
      </w:r>
      <w:r w:rsidR="00D769AD">
        <w:rPr>
          <w:rFonts w:ascii="Times New Roman" w:hAnsi="Times New Roman" w:cs="Times New Roman"/>
          <w:sz w:val="26"/>
          <w:szCs w:val="26"/>
        </w:rPr>
        <w:t xml:space="preserve">es to this proceeding PECO’s retention </w:t>
      </w:r>
      <w:r w:rsidR="00385332">
        <w:rPr>
          <w:rFonts w:ascii="Times New Roman" w:hAnsi="Times New Roman" w:cs="Times New Roman"/>
          <w:sz w:val="26"/>
          <w:szCs w:val="26"/>
        </w:rPr>
        <w:t xml:space="preserve">of the FERC-ordered credits at issue </w:t>
      </w:r>
      <w:r w:rsidR="00E735A6">
        <w:rPr>
          <w:rFonts w:ascii="Times New Roman" w:hAnsi="Times New Roman" w:cs="Times New Roman"/>
          <w:sz w:val="26"/>
          <w:szCs w:val="26"/>
        </w:rPr>
        <w:t xml:space="preserve">would </w:t>
      </w:r>
      <w:r w:rsidR="0031178D">
        <w:rPr>
          <w:rFonts w:ascii="Times New Roman" w:hAnsi="Times New Roman" w:cs="Times New Roman"/>
          <w:sz w:val="26"/>
          <w:szCs w:val="26"/>
        </w:rPr>
        <w:t xml:space="preserve">actually </w:t>
      </w:r>
      <w:r w:rsidR="00385332">
        <w:rPr>
          <w:rFonts w:ascii="Times New Roman" w:hAnsi="Times New Roman" w:cs="Times New Roman"/>
          <w:sz w:val="26"/>
          <w:szCs w:val="26"/>
        </w:rPr>
        <w:t xml:space="preserve">violate the </w:t>
      </w:r>
      <w:r w:rsidR="0031178D">
        <w:rPr>
          <w:rFonts w:ascii="Times New Roman" w:hAnsi="Times New Roman" w:cs="Times New Roman"/>
          <w:sz w:val="26"/>
          <w:szCs w:val="26"/>
        </w:rPr>
        <w:t>Commission-made rates doctrine</w:t>
      </w:r>
      <w:r w:rsidR="0088343B">
        <w:rPr>
          <w:rFonts w:ascii="Times New Roman" w:hAnsi="Times New Roman" w:cs="Times New Roman"/>
          <w:sz w:val="26"/>
          <w:szCs w:val="26"/>
        </w:rPr>
        <w:t xml:space="preserve"> because the doctrine </w:t>
      </w:r>
      <w:r w:rsidR="00525F27">
        <w:rPr>
          <w:rFonts w:ascii="Times New Roman" w:hAnsi="Times New Roman" w:cs="Times New Roman"/>
          <w:sz w:val="26"/>
          <w:szCs w:val="26"/>
        </w:rPr>
        <w:t xml:space="preserve">would prevent the Company from changing the prior rates that were effective from 2007 through 2010.  </w:t>
      </w:r>
      <w:r w:rsidR="00F35B0C">
        <w:rPr>
          <w:rFonts w:ascii="Times New Roman" w:hAnsi="Times New Roman" w:cs="Times New Roman"/>
          <w:sz w:val="26"/>
          <w:szCs w:val="26"/>
        </w:rPr>
        <w:t xml:space="preserve">By retaining </w:t>
      </w:r>
      <w:r w:rsidR="00F55C9D">
        <w:rPr>
          <w:rFonts w:ascii="Times New Roman" w:hAnsi="Times New Roman" w:cs="Times New Roman"/>
          <w:sz w:val="26"/>
          <w:szCs w:val="26"/>
        </w:rPr>
        <w:t xml:space="preserve">credits for the </w:t>
      </w:r>
      <w:r w:rsidR="00C77A2E">
        <w:rPr>
          <w:rFonts w:ascii="Times New Roman" w:hAnsi="Times New Roman" w:cs="Times New Roman"/>
          <w:sz w:val="26"/>
          <w:szCs w:val="26"/>
        </w:rPr>
        <w:t>2007 through 2010</w:t>
      </w:r>
      <w:r w:rsidR="00F55C9D">
        <w:rPr>
          <w:rFonts w:ascii="Times New Roman" w:hAnsi="Times New Roman" w:cs="Times New Roman"/>
          <w:sz w:val="26"/>
          <w:szCs w:val="26"/>
        </w:rPr>
        <w:t xml:space="preserve"> period, the OCA continues,</w:t>
      </w:r>
      <w:r w:rsidR="00D5100D">
        <w:rPr>
          <w:rFonts w:ascii="Times New Roman" w:hAnsi="Times New Roman" w:cs="Times New Roman"/>
          <w:sz w:val="26"/>
          <w:szCs w:val="26"/>
        </w:rPr>
        <w:t xml:space="preserve"> PECO is essentially determining that retail transmission rates should have been higher</w:t>
      </w:r>
      <w:r w:rsidR="00CB4069">
        <w:rPr>
          <w:rFonts w:ascii="Times New Roman" w:hAnsi="Times New Roman" w:cs="Times New Roman"/>
          <w:sz w:val="26"/>
          <w:szCs w:val="26"/>
        </w:rPr>
        <w:t xml:space="preserve"> in 2007 through 2010 and that retaining credits for this prior period is compensatory in relation to </w:t>
      </w:r>
      <w:r w:rsidR="00DA0462">
        <w:rPr>
          <w:rFonts w:ascii="Times New Roman" w:hAnsi="Times New Roman" w:cs="Times New Roman"/>
          <w:sz w:val="26"/>
          <w:szCs w:val="26"/>
        </w:rPr>
        <w:t>RTEP charges.  Thus, the OCA submits that the ALJ’s reliance on the Commission-made rates do</w:t>
      </w:r>
      <w:r w:rsidR="000F573D">
        <w:rPr>
          <w:rFonts w:ascii="Times New Roman" w:hAnsi="Times New Roman" w:cs="Times New Roman"/>
          <w:sz w:val="26"/>
          <w:szCs w:val="26"/>
        </w:rPr>
        <w:t xml:space="preserve">ctrine is circular and in fact the doctrine does not apply.  Exc. at 15.  </w:t>
      </w:r>
    </w:p>
    <w:p w14:paraId="0C75A10C" w14:textId="17B00BD3" w:rsidR="003E1C25" w:rsidRDefault="003E1C25" w:rsidP="00F55FAC">
      <w:pPr>
        <w:widowControl w:val="0"/>
        <w:spacing w:after="0" w:line="360" w:lineRule="auto"/>
        <w:rPr>
          <w:rFonts w:ascii="Times New Roman" w:hAnsi="Times New Roman" w:cs="Times New Roman"/>
          <w:sz w:val="26"/>
          <w:szCs w:val="26"/>
        </w:rPr>
      </w:pPr>
    </w:p>
    <w:p w14:paraId="4872014E" w14:textId="47CB6A27" w:rsidR="00CB7C7B" w:rsidRDefault="002C16CD" w:rsidP="00F55FAC">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E51AAD">
        <w:rPr>
          <w:rFonts w:ascii="Times New Roman" w:hAnsi="Times New Roman" w:cs="Times New Roman"/>
          <w:sz w:val="26"/>
          <w:szCs w:val="26"/>
        </w:rPr>
        <w:t xml:space="preserve">The OCA adds that </w:t>
      </w:r>
      <w:r w:rsidR="00CC7FDF">
        <w:rPr>
          <w:rFonts w:ascii="Times New Roman" w:hAnsi="Times New Roman" w:cs="Times New Roman"/>
          <w:sz w:val="26"/>
          <w:szCs w:val="26"/>
        </w:rPr>
        <w:t xml:space="preserve">during the time period in question PECO had </w:t>
      </w:r>
      <w:r w:rsidR="0002786F">
        <w:rPr>
          <w:rFonts w:ascii="Times New Roman" w:hAnsi="Times New Roman" w:cs="Times New Roman"/>
          <w:sz w:val="26"/>
          <w:szCs w:val="26"/>
        </w:rPr>
        <w:t>a retail transmission rate that was based upon a FERC transmission rate, which was pa</w:t>
      </w:r>
      <w:r w:rsidR="00441850">
        <w:rPr>
          <w:rFonts w:ascii="Times New Roman" w:hAnsi="Times New Roman" w:cs="Times New Roman"/>
          <w:sz w:val="26"/>
          <w:szCs w:val="26"/>
        </w:rPr>
        <w:t>id for by ratepayers.  Since the methodology underlying the Company’s stated tra</w:t>
      </w:r>
      <w:r w:rsidR="00E01403">
        <w:rPr>
          <w:rFonts w:ascii="Times New Roman" w:hAnsi="Times New Roman" w:cs="Times New Roman"/>
          <w:sz w:val="26"/>
          <w:szCs w:val="26"/>
        </w:rPr>
        <w:t xml:space="preserve">nsmission rates </w:t>
      </w:r>
      <w:r w:rsidR="00064BF2">
        <w:rPr>
          <w:rFonts w:ascii="Times New Roman" w:hAnsi="Times New Roman" w:cs="Times New Roman"/>
          <w:sz w:val="26"/>
          <w:szCs w:val="26"/>
        </w:rPr>
        <w:t>was</w:t>
      </w:r>
      <w:r w:rsidR="00E01403">
        <w:rPr>
          <w:rFonts w:ascii="Times New Roman" w:hAnsi="Times New Roman" w:cs="Times New Roman"/>
          <w:sz w:val="26"/>
          <w:szCs w:val="26"/>
        </w:rPr>
        <w:t xml:space="preserve"> determined to be unjust and unreasonable by the Seventh Circuit, the OCA argues that </w:t>
      </w:r>
      <w:r w:rsidR="00F408BB">
        <w:rPr>
          <w:rFonts w:ascii="Times New Roman" w:hAnsi="Times New Roman" w:cs="Times New Roman"/>
          <w:sz w:val="26"/>
          <w:szCs w:val="26"/>
        </w:rPr>
        <w:t>customers are owed a refund similar to any othe</w:t>
      </w:r>
      <w:r w:rsidR="00030955">
        <w:rPr>
          <w:rFonts w:ascii="Times New Roman" w:hAnsi="Times New Roman" w:cs="Times New Roman"/>
          <w:sz w:val="26"/>
          <w:szCs w:val="26"/>
        </w:rPr>
        <w:t xml:space="preserve">r </w:t>
      </w:r>
      <w:r w:rsidR="00A66F57">
        <w:rPr>
          <w:rFonts w:ascii="Times New Roman" w:hAnsi="Times New Roman" w:cs="Times New Roman"/>
          <w:sz w:val="26"/>
          <w:szCs w:val="26"/>
        </w:rPr>
        <w:t xml:space="preserve">case where there is a finding of an unreasonable rate.  </w:t>
      </w:r>
      <w:r w:rsidR="0041643C" w:rsidRPr="00064BF2">
        <w:rPr>
          <w:rFonts w:ascii="Times New Roman" w:hAnsi="Times New Roman" w:cs="Times New Roman"/>
          <w:i/>
          <w:iCs/>
          <w:sz w:val="26"/>
          <w:szCs w:val="26"/>
        </w:rPr>
        <w:t>Id</w:t>
      </w:r>
      <w:r w:rsidR="0041643C">
        <w:rPr>
          <w:rFonts w:ascii="Times New Roman" w:hAnsi="Times New Roman" w:cs="Times New Roman"/>
          <w:sz w:val="26"/>
          <w:szCs w:val="26"/>
        </w:rPr>
        <w:t>. at 15-16.</w:t>
      </w:r>
    </w:p>
    <w:p w14:paraId="631E167E" w14:textId="77777777" w:rsidR="00CB7C7B" w:rsidRDefault="00CB7C7B" w:rsidP="00F55FAC">
      <w:pPr>
        <w:widowControl w:val="0"/>
        <w:spacing w:after="0" w:line="360" w:lineRule="auto"/>
        <w:rPr>
          <w:rFonts w:ascii="Times New Roman" w:hAnsi="Times New Roman" w:cs="Times New Roman"/>
          <w:sz w:val="26"/>
          <w:szCs w:val="26"/>
        </w:rPr>
      </w:pPr>
    </w:p>
    <w:p w14:paraId="57C2558C" w14:textId="797ABA22" w:rsidR="003E1C25" w:rsidRDefault="00CB7C7B" w:rsidP="00F55FAC">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t xml:space="preserve">Further, the OCA objects to the </w:t>
      </w:r>
      <w:r w:rsidR="003345A9">
        <w:rPr>
          <w:rFonts w:ascii="Times New Roman" w:hAnsi="Times New Roman" w:cs="Times New Roman"/>
          <w:sz w:val="26"/>
          <w:szCs w:val="26"/>
        </w:rPr>
        <w:t xml:space="preserve">ALJ’s statement that it is requesting retrospective ratemaking in this case. </w:t>
      </w:r>
      <w:r w:rsidR="0077312A">
        <w:rPr>
          <w:rFonts w:ascii="Times New Roman" w:hAnsi="Times New Roman" w:cs="Times New Roman"/>
          <w:sz w:val="26"/>
          <w:szCs w:val="26"/>
        </w:rPr>
        <w:t xml:space="preserve"> In contrast, the OCA submits that it is </w:t>
      </w:r>
      <w:r w:rsidR="00C73B16">
        <w:rPr>
          <w:rFonts w:ascii="Times New Roman" w:hAnsi="Times New Roman" w:cs="Times New Roman"/>
          <w:sz w:val="26"/>
          <w:szCs w:val="26"/>
        </w:rPr>
        <w:t xml:space="preserve">requesting the Commission </w:t>
      </w:r>
      <w:r w:rsidR="00001548">
        <w:rPr>
          <w:rFonts w:ascii="Times New Roman" w:hAnsi="Times New Roman" w:cs="Times New Roman"/>
          <w:sz w:val="26"/>
          <w:szCs w:val="26"/>
        </w:rPr>
        <w:t xml:space="preserve">to apply the Seventh Circuit’s determination of unjust and unreasonable </w:t>
      </w:r>
      <w:r w:rsidR="00C167DA">
        <w:rPr>
          <w:rFonts w:ascii="Times New Roman" w:hAnsi="Times New Roman" w:cs="Times New Roman"/>
          <w:sz w:val="26"/>
          <w:szCs w:val="26"/>
        </w:rPr>
        <w:t>transmission rates, which included trans</w:t>
      </w:r>
      <w:r w:rsidR="00614D55">
        <w:rPr>
          <w:rFonts w:ascii="Times New Roman" w:hAnsi="Times New Roman" w:cs="Times New Roman"/>
          <w:sz w:val="26"/>
          <w:szCs w:val="26"/>
        </w:rPr>
        <w:t xml:space="preserve">mission rates from 2007 to 2010, and to require PECO to </w:t>
      </w:r>
      <w:r w:rsidR="000138B8">
        <w:rPr>
          <w:rFonts w:ascii="Times New Roman" w:hAnsi="Times New Roman" w:cs="Times New Roman"/>
          <w:sz w:val="26"/>
          <w:szCs w:val="26"/>
        </w:rPr>
        <w:t xml:space="preserve">refund the credits for this period to the ratepayers.  </w:t>
      </w:r>
      <w:r w:rsidR="000138B8" w:rsidRPr="00572B1E">
        <w:rPr>
          <w:rFonts w:ascii="Times New Roman" w:hAnsi="Times New Roman" w:cs="Times New Roman"/>
          <w:i/>
          <w:iCs/>
          <w:sz w:val="26"/>
          <w:szCs w:val="26"/>
        </w:rPr>
        <w:t>Id</w:t>
      </w:r>
      <w:r w:rsidR="000138B8">
        <w:rPr>
          <w:rFonts w:ascii="Times New Roman" w:hAnsi="Times New Roman" w:cs="Times New Roman"/>
          <w:sz w:val="26"/>
          <w:szCs w:val="26"/>
        </w:rPr>
        <w:t xml:space="preserve">. </w:t>
      </w:r>
      <w:r w:rsidR="00572B1E">
        <w:rPr>
          <w:rFonts w:ascii="Times New Roman" w:hAnsi="Times New Roman" w:cs="Times New Roman"/>
          <w:sz w:val="26"/>
          <w:szCs w:val="26"/>
        </w:rPr>
        <w:t xml:space="preserve">at 16-17.  </w:t>
      </w:r>
    </w:p>
    <w:p w14:paraId="74439499" w14:textId="5FA8A14C" w:rsidR="00683A6F" w:rsidRDefault="00683A6F" w:rsidP="00F55FAC">
      <w:pPr>
        <w:widowControl w:val="0"/>
        <w:spacing w:after="0" w:line="360" w:lineRule="auto"/>
        <w:rPr>
          <w:rFonts w:ascii="Times New Roman" w:hAnsi="Times New Roman" w:cs="Times New Roman"/>
          <w:sz w:val="26"/>
          <w:szCs w:val="26"/>
        </w:rPr>
      </w:pPr>
    </w:p>
    <w:p w14:paraId="6F7ACFE8" w14:textId="77777777" w:rsidR="00E67DB0" w:rsidRDefault="00683A6F" w:rsidP="00F55FAC">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In its reply, PECO </w:t>
      </w:r>
      <w:r w:rsidR="008C70A5">
        <w:rPr>
          <w:rFonts w:ascii="Times New Roman" w:hAnsi="Times New Roman" w:cs="Times New Roman"/>
          <w:sz w:val="26"/>
          <w:szCs w:val="26"/>
        </w:rPr>
        <w:t xml:space="preserve">argues that the OCA misstates black-letter law in </w:t>
      </w:r>
      <w:r w:rsidR="000167E4">
        <w:rPr>
          <w:rFonts w:ascii="Times New Roman" w:hAnsi="Times New Roman" w:cs="Times New Roman"/>
          <w:sz w:val="26"/>
          <w:szCs w:val="26"/>
        </w:rPr>
        <w:t>an attempt to circumvent the principle of finality under Section 316 of the Code and the Commission-made rates doctrine</w:t>
      </w:r>
      <w:r w:rsidR="00676D04">
        <w:rPr>
          <w:rFonts w:ascii="Times New Roman" w:hAnsi="Times New Roman" w:cs="Times New Roman"/>
          <w:sz w:val="26"/>
          <w:szCs w:val="26"/>
        </w:rPr>
        <w:t xml:space="preserve">, which prohibits retrospective adjustments to rates the Commission has determined to be </w:t>
      </w:r>
      <w:r w:rsidR="000921E2">
        <w:rPr>
          <w:rFonts w:ascii="Times New Roman" w:hAnsi="Times New Roman" w:cs="Times New Roman"/>
          <w:sz w:val="26"/>
          <w:szCs w:val="26"/>
        </w:rPr>
        <w:t xml:space="preserve">just and reasonable.  </w:t>
      </w:r>
      <w:r w:rsidR="008A0E0C">
        <w:rPr>
          <w:rFonts w:ascii="Times New Roman" w:hAnsi="Times New Roman" w:cs="Times New Roman"/>
          <w:sz w:val="26"/>
          <w:szCs w:val="26"/>
        </w:rPr>
        <w:t xml:space="preserve">PECO avers that the OCA’s </w:t>
      </w:r>
      <w:r w:rsidR="001D7874">
        <w:rPr>
          <w:rFonts w:ascii="Times New Roman" w:hAnsi="Times New Roman" w:cs="Times New Roman"/>
          <w:sz w:val="26"/>
          <w:szCs w:val="26"/>
        </w:rPr>
        <w:t xml:space="preserve">core argument is an erroneous assertion that </w:t>
      </w:r>
      <w:r w:rsidR="0070614B">
        <w:rPr>
          <w:rFonts w:ascii="Times New Roman" w:hAnsi="Times New Roman" w:cs="Times New Roman"/>
          <w:sz w:val="26"/>
          <w:szCs w:val="26"/>
        </w:rPr>
        <w:t xml:space="preserve">the </w:t>
      </w:r>
      <w:r w:rsidR="006A0B22" w:rsidRPr="002637B3">
        <w:rPr>
          <w:rFonts w:ascii="Times New Roman" w:hAnsi="Times New Roman" w:cs="Times New Roman"/>
          <w:i/>
          <w:iCs/>
          <w:sz w:val="26"/>
          <w:szCs w:val="26"/>
        </w:rPr>
        <w:t>7</w:t>
      </w:r>
      <w:r w:rsidR="006A0B22" w:rsidRPr="002637B3">
        <w:rPr>
          <w:rFonts w:ascii="Times New Roman" w:hAnsi="Times New Roman" w:cs="Times New Roman"/>
          <w:i/>
          <w:iCs/>
          <w:sz w:val="26"/>
          <w:szCs w:val="26"/>
          <w:vertAlign w:val="superscript"/>
        </w:rPr>
        <w:t>th</w:t>
      </w:r>
      <w:r w:rsidR="006A0B22" w:rsidRPr="002637B3">
        <w:rPr>
          <w:rFonts w:ascii="Times New Roman" w:hAnsi="Times New Roman" w:cs="Times New Roman"/>
          <w:i/>
          <w:iCs/>
          <w:sz w:val="26"/>
          <w:szCs w:val="26"/>
        </w:rPr>
        <w:t xml:space="preserve"> Circuit 2014 Remand</w:t>
      </w:r>
      <w:r w:rsidR="0020383D">
        <w:rPr>
          <w:rFonts w:ascii="Times New Roman" w:hAnsi="Times New Roman" w:cs="Times New Roman"/>
          <w:sz w:val="26"/>
          <w:szCs w:val="26"/>
        </w:rPr>
        <w:t xml:space="preserve">, which vacated a FERC decision, </w:t>
      </w:r>
      <w:r w:rsidR="00054BC0">
        <w:rPr>
          <w:rFonts w:ascii="Times New Roman" w:hAnsi="Times New Roman" w:cs="Times New Roman"/>
          <w:sz w:val="26"/>
          <w:szCs w:val="26"/>
        </w:rPr>
        <w:t xml:space="preserve">can be construed as a reversal of the Commission’s final and unappealed order in PECO’s </w:t>
      </w:r>
      <w:r w:rsidR="00F50DC3">
        <w:rPr>
          <w:rFonts w:ascii="Times New Roman" w:hAnsi="Times New Roman" w:cs="Times New Roman"/>
          <w:sz w:val="26"/>
          <w:szCs w:val="26"/>
        </w:rPr>
        <w:t xml:space="preserve">1989 base rate case and the </w:t>
      </w:r>
      <w:r w:rsidR="00C65C13" w:rsidRPr="00A04E36">
        <w:rPr>
          <w:rFonts w:ascii="Times New Roman" w:hAnsi="Times New Roman" w:cs="Times New Roman"/>
          <w:i/>
          <w:iCs/>
          <w:sz w:val="26"/>
          <w:szCs w:val="26"/>
        </w:rPr>
        <w:t>PECO Restructuring Order</w:t>
      </w:r>
      <w:r w:rsidR="00C65C13">
        <w:rPr>
          <w:rFonts w:ascii="Times New Roman" w:hAnsi="Times New Roman" w:cs="Times New Roman"/>
          <w:sz w:val="26"/>
          <w:szCs w:val="26"/>
        </w:rPr>
        <w:t xml:space="preserve"> </w:t>
      </w:r>
      <w:r w:rsidR="00B22CE7">
        <w:rPr>
          <w:rFonts w:ascii="Times New Roman" w:hAnsi="Times New Roman" w:cs="Times New Roman"/>
          <w:sz w:val="26"/>
          <w:szCs w:val="26"/>
        </w:rPr>
        <w:t xml:space="preserve">holding that the Company’s base rates – the same rates in effect between 2007 and 2010 – were just and reasonable.  </w:t>
      </w:r>
      <w:r w:rsidR="00E67DB0">
        <w:rPr>
          <w:rFonts w:ascii="Times New Roman" w:hAnsi="Times New Roman" w:cs="Times New Roman"/>
          <w:sz w:val="26"/>
          <w:szCs w:val="26"/>
        </w:rPr>
        <w:t xml:space="preserve">R. Exc. at 8.  </w:t>
      </w:r>
    </w:p>
    <w:p w14:paraId="345E528D" w14:textId="77777777" w:rsidR="00E67DB0" w:rsidRDefault="00E67DB0" w:rsidP="00F55FAC">
      <w:pPr>
        <w:widowControl w:val="0"/>
        <w:spacing w:after="0" w:line="360" w:lineRule="auto"/>
        <w:rPr>
          <w:rFonts w:ascii="Times New Roman" w:hAnsi="Times New Roman" w:cs="Times New Roman"/>
          <w:sz w:val="26"/>
          <w:szCs w:val="26"/>
        </w:rPr>
      </w:pPr>
    </w:p>
    <w:p w14:paraId="07D1D7E5" w14:textId="1F2018C2" w:rsidR="006119D1" w:rsidRDefault="003B10D5" w:rsidP="002A6D05">
      <w:pPr>
        <w:widowControl w:val="0"/>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According to PECO, </w:t>
      </w:r>
      <w:r w:rsidR="00FA2A79">
        <w:rPr>
          <w:rFonts w:ascii="Times New Roman" w:hAnsi="Times New Roman" w:cs="Times New Roman"/>
          <w:sz w:val="26"/>
          <w:szCs w:val="26"/>
        </w:rPr>
        <w:t>the Commission and not the Seventh Circuit or FERC has exclusive subject-matter jurisdiction</w:t>
      </w:r>
      <w:r w:rsidR="006119D1">
        <w:rPr>
          <w:rFonts w:ascii="Times New Roman" w:hAnsi="Times New Roman" w:cs="Times New Roman"/>
          <w:sz w:val="26"/>
          <w:szCs w:val="26"/>
        </w:rPr>
        <w:t xml:space="preserve"> to adjudicate the justness and reasonableness of PECO’s rates.  </w:t>
      </w:r>
      <w:r w:rsidR="005904AC">
        <w:rPr>
          <w:rFonts w:ascii="Times New Roman" w:hAnsi="Times New Roman" w:cs="Times New Roman"/>
          <w:sz w:val="26"/>
          <w:szCs w:val="26"/>
        </w:rPr>
        <w:t xml:space="preserve">In addition, PECO contends that </w:t>
      </w:r>
      <w:r w:rsidR="00AD00A0">
        <w:rPr>
          <w:rFonts w:ascii="Times New Roman" w:hAnsi="Times New Roman" w:cs="Times New Roman"/>
          <w:sz w:val="26"/>
          <w:szCs w:val="26"/>
        </w:rPr>
        <w:t>the filed rate doctrine does not give FERC</w:t>
      </w:r>
      <w:r w:rsidR="00C14919">
        <w:rPr>
          <w:rFonts w:ascii="Times New Roman" w:hAnsi="Times New Roman" w:cs="Times New Roman"/>
          <w:sz w:val="26"/>
          <w:szCs w:val="26"/>
        </w:rPr>
        <w:t>,</w:t>
      </w:r>
      <w:r w:rsidR="00AD00A0">
        <w:rPr>
          <w:rFonts w:ascii="Times New Roman" w:hAnsi="Times New Roman" w:cs="Times New Roman"/>
          <w:sz w:val="26"/>
          <w:szCs w:val="26"/>
        </w:rPr>
        <w:t xml:space="preserve"> or the federal courts reviewing FERC orders</w:t>
      </w:r>
      <w:r w:rsidR="00C14919">
        <w:rPr>
          <w:rFonts w:ascii="Times New Roman" w:hAnsi="Times New Roman" w:cs="Times New Roman"/>
          <w:sz w:val="26"/>
          <w:szCs w:val="26"/>
        </w:rPr>
        <w:t>,</w:t>
      </w:r>
      <w:r w:rsidR="00AD00A0">
        <w:rPr>
          <w:rFonts w:ascii="Times New Roman" w:hAnsi="Times New Roman" w:cs="Times New Roman"/>
          <w:sz w:val="26"/>
          <w:szCs w:val="26"/>
        </w:rPr>
        <w:t xml:space="preserve"> plenary authority to decide </w:t>
      </w:r>
      <w:r w:rsidR="00AF3622">
        <w:rPr>
          <w:rFonts w:ascii="Times New Roman" w:hAnsi="Times New Roman" w:cs="Times New Roman"/>
          <w:sz w:val="26"/>
          <w:szCs w:val="26"/>
        </w:rPr>
        <w:t xml:space="preserve">the justness and reasonableness of retail rates that are within the jurisdiction of the </w:t>
      </w:r>
      <w:r w:rsidR="00ED4AE1">
        <w:rPr>
          <w:rFonts w:ascii="Times New Roman" w:hAnsi="Times New Roman" w:cs="Times New Roman"/>
          <w:sz w:val="26"/>
          <w:szCs w:val="26"/>
        </w:rPr>
        <w:t xml:space="preserve">Commission.  </w:t>
      </w:r>
      <w:r w:rsidR="00CB4ECA">
        <w:rPr>
          <w:rFonts w:ascii="Times New Roman" w:hAnsi="Times New Roman" w:cs="Times New Roman"/>
          <w:sz w:val="26"/>
          <w:szCs w:val="26"/>
        </w:rPr>
        <w:t xml:space="preserve">The Company argues that </w:t>
      </w:r>
      <w:r w:rsidR="00D35BDC">
        <w:rPr>
          <w:rFonts w:ascii="Times New Roman" w:hAnsi="Times New Roman" w:cs="Times New Roman"/>
          <w:sz w:val="26"/>
          <w:szCs w:val="26"/>
        </w:rPr>
        <w:t>the OCA’s Complaints challenge rates in effect between 2007 and 2010</w:t>
      </w:r>
      <w:r w:rsidR="0016771D">
        <w:rPr>
          <w:rFonts w:ascii="Times New Roman" w:hAnsi="Times New Roman" w:cs="Times New Roman"/>
          <w:sz w:val="26"/>
          <w:szCs w:val="26"/>
        </w:rPr>
        <w:t xml:space="preserve"> </w:t>
      </w:r>
      <w:r w:rsidR="006B2AE9">
        <w:rPr>
          <w:rFonts w:ascii="Times New Roman" w:hAnsi="Times New Roman" w:cs="Times New Roman"/>
          <w:sz w:val="26"/>
          <w:szCs w:val="26"/>
        </w:rPr>
        <w:t>but that such Commission-made rates cannot be retroactively reduced</w:t>
      </w:r>
      <w:r w:rsidR="004B49A8">
        <w:rPr>
          <w:rFonts w:ascii="Times New Roman" w:hAnsi="Times New Roman" w:cs="Times New Roman"/>
          <w:sz w:val="26"/>
          <w:szCs w:val="26"/>
        </w:rPr>
        <w:t xml:space="preserve"> to make after-the-fact reductions to </w:t>
      </w:r>
      <w:r w:rsidR="004B03FC">
        <w:rPr>
          <w:rFonts w:ascii="Times New Roman" w:hAnsi="Times New Roman" w:cs="Times New Roman"/>
          <w:sz w:val="26"/>
          <w:szCs w:val="26"/>
        </w:rPr>
        <w:t xml:space="preserve">PECO’s pre-2011 bills for RTEP charges.  Thus, PECO asserts that the ALJ </w:t>
      </w:r>
      <w:r w:rsidR="002A6D05">
        <w:rPr>
          <w:rFonts w:ascii="Times New Roman" w:hAnsi="Times New Roman" w:cs="Times New Roman"/>
          <w:sz w:val="26"/>
          <w:szCs w:val="26"/>
        </w:rPr>
        <w:t xml:space="preserve">properly rejected the OCA’s requested relief.  </w:t>
      </w:r>
      <w:r w:rsidR="00ED4AE1" w:rsidRPr="00362E19">
        <w:rPr>
          <w:rFonts w:ascii="Times New Roman" w:hAnsi="Times New Roman" w:cs="Times New Roman"/>
          <w:i/>
          <w:iCs/>
          <w:sz w:val="26"/>
          <w:szCs w:val="26"/>
        </w:rPr>
        <w:t>Id</w:t>
      </w:r>
      <w:r w:rsidR="00ED4AE1">
        <w:rPr>
          <w:rFonts w:ascii="Times New Roman" w:hAnsi="Times New Roman" w:cs="Times New Roman"/>
          <w:sz w:val="26"/>
          <w:szCs w:val="26"/>
        </w:rPr>
        <w:t>.</w:t>
      </w:r>
      <w:r w:rsidR="00F77C03">
        <w:rPr>
          <w:rFonts w:ascii="Times New Roman" w:hAnsi="Times New Roman" w:cs="Times New Roman"/>
          <w:sz w:val="26"/>
          <w:szCs w:val="26"/>
        </w:rPr>
        <w:t> </w:t>
      </w:r>
      <w:r w:rsidR="00ED4AE1">
        <w:rPr>
          <w:rFonts w:ascii="Times New Roman" w:hAnsi="Times New Roman" w:cs="Times New Roman"/>
          <w:sz w:val="26"/>
          <w:szCs w:val="26"/>
        </w:rPr>
        <w:t>at</w:t>
      </w:r>
      <w:r w:rsidR="00F77C03">
        <w:rPr>
          <w:rFonts w:ascii="Times New Roman" w:hAnsi="Times New Roman" w:cs="Times New Roman"/>
          <w:sz w:val="26"/>
          <w:szCs w:val="26"/>
        </w:rPr>
        <w:t> </w:t>
      </w:r>
      <w:r w:rsidR="00ED4AE1">
        <w:rPr>
          <w:rFonts w:ascii="Times New Roman" w:hAnsi="Times New Roman" w:cs="Times New Roman"/>
          <w:sz w:val="26"/>
          <w:szCs w:val="26"/>
        </w:rPr>
        <w:t>13</w:t>
      </w:r>
      <w:r w:rsidR="00D7393B">
        <w:rPr>
          <w:rFonts w:ascii="Times New Roman" w:hAnsi="Times New Roman" w:cs="Times New Roman"/>
          <w:sz w:val="26"/>
          <w:szCs w:val="26"/>
        </w:rPr>
        <w:noBreakHyphen/>
      </w:r>
      <w:r w:rsidR="00ED4AE1">
        <w:rPr>
          <w:rFonts w:ascii="Times New Roman" w:hAnsi="Times New Roman" w:cs="Times New Roman"/>
          <w:sz w:val="26"/>
          <w:szCs w:val="26"/>
        </w:rPr>
        <w:t>1</w:t>
      </w:r>
      <w:r w:rsidR="002A6D05">
        <w:rPr>
          <w:rFonts w:ascii="Times New Roman" w:hAnsi="Times New Roman" w:cs="Times New Roman"/>
          <w:sz w:val="26"/>
          <w:szCs w:val="26"/>
        </w:rPr>
        <w:t>5</w:t>
      </w:r>
      <w:r w:rsidR="00362E19">
        <w:rPr>
          <w:rFonts w:ascii="Times New Roman" w:hAnsi="Times New Roman" w:cs="Times New Roman"/>
          <w:sz w:val="26"/>
          <w:szCs w:val="26"/>
        </w:rPr>
        <w:t xml:space="preserve">.  </w:t>
      </w:r>
    </w:p>
    <w:p w14:paraId="5F43FC04" w14:textId="4E281D7D" w:rsidR="00362E19" w:rsidRDefault="00362E19" w:rsidP="00F55FAC">
      <w:pPr>
        <w:widowControl w:val="0"/>
        <w:spacing w:after="0" w:line="360" w:lineRule="auto"/>
        <w:rPr>
          <w:rFonts w:ascii="Times New Roman" w:hAnsi="Times New Roman" w:cs="Times New Roman"/>
          <w:sz w:val="26"/>
          <w:szCs w:val="26"/>
        </w:rPr>
      </w:pPr>
    </w:p>
    <w:p w14:paraId="74001DCC" w14:textId="39A3077D" w:rsidR="00362E19" w:rsidRPr="00362E19" w:rsidRDefault="00362E19" w:rsidP="00A45770">
      <w:pPr>
        <w:keepNext/>
        <w:widowControl w:val="0"/>
        <w:spacing w:after="0" w:line="360" w:lineRule="auto"/>
        <w:ind w:left="1440"/>
        <w:rPr>
          <w:rFonts w:ascii="Times New Roman" w:hAnsi="Times New Roman" w:cs="Times New Roman"/>
          <w:b/>
          <w:bCs/>
          <w:sz w:val="26"/>
          <w:szCs w:val="26"/>
        </w:rPr>
      </w:pPr>
      <w:r w:rsidRPr="00362E19">
        <w:rPr>
          <w:rFonts w:ascii="Times New Roman" w:hAnsi="Times New Roman" w:cs="Times New Roman"/>
          <w:b/>
          <w:bCs/>
          <w:sz w:val="26"/>
          <w:szCs w:val="26"/>
        </w:rPr>
        <w:lastRenderedPageBreak/>
        <w:t>c.</w:t>
      </w:r>
      <w:r w:rsidRPr="00362E19">
        <w:rPr>
          <w:rFonts w:ascii="Times New Roman" w:hAnsi="Times New Roman" w:cs="Times New Roman"/>
          <w:b/>
          <w:bCs/>
          <w:sz w:val="26"/>
          <w:szCs w:val="26"/>
        </w:rPr>
        <w:tab/>
        <w:t>Disposition</w:t>
      </w:r>
    </w:p>
    <w:p w14:paraId="49E83682" w14:textId="67F60133" w:rsidR="00362E19" w:rsidRDefault="00362E19" w:rsidP="00A45770">
      <w:pPr>
        <w:keepNext/>
        <w:widowControl w:val="0"/>
        <w:spacing w:after="0" w:line="360" w:lineRule="auto"/>
        <w:rPr>
          <w:rFonts w:ascii="Times New Roman" w:hAnsi="Times New Roman" w:cs="Times New Roman"/>
          <w:sz w:val="26"/>
          <w:szCs w:val="26"/>
        </w:rPr>
      </w:pPr>
    </w:p>
    <w:p w14:paraId="6398FC09" w14:textId="6F4B53BF" w:rsidR="004D2A42" w:rsidRDefault="004D2A42" w:rsidP="00A45770">
      <w:pPr>
        <w:keepNext/>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Upon consideration of the pleadings</w:t>
      </w:r>
      <w:r w:rsidR="002E427C">
        <w:rPr>
          <w:rFonts w:ascii="Times New Roman" w:hAnsi="Times New Roman" w:cs="Times New Roman"/>
          <w:sz w:val="26"/>
          <w:szCs w:val="26"/>
        </w:rPr>
        <w:t xml:space="preserve">, record evidence, and applicable law, we shall also deny the OCA’s second Exception.  </w:t>
      </w:r>
    </w:p>
    <w:p w14:paraId="37D8C458" w14:textId="11F1247C" w:rsidR="00D619C2" w:rsidRDefault="00D619C2" w:rsidP="00F55FAC">
      <w:pPr>
        <w:widowControl w:val="0"/>
        <w:spacing w:after="0" w:line="360" w:lineRule="auto"/>
        <w:rPr>
          <w:rFonts w:ascii="Times New Roman" w:hAnsi="Times New Roman" w:cs="Times New Roman"/>
          <w:sz w:val="26"/>
          <w:szCs w:val="26"/>
        </w:rPr>
      </w:pPr>
    </w:p>
    <w:p w14:paraId="6B116B95" w14:textId="554EE867" w:rsidR="00D619C2" w:rsidRPr="006460F8" w:rsidRDefault="00D619C2" w:rsidP="00F55FAC">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Section 316 of the Code provides in pertinent part that</w:t>
      </w:r>
      <w:r w:rsidR="00AA211D">
        <w:rPr>
          <w:rFonts w:ascii="Times New Roman" w:hAnsi="Times New Roman" w:cs="Times New Roman"/>
          <w:sz w:val="26"/>
          <w:szCs w:val="26"/>
        </w:rPr>
        <w:t xml:space="preserve"> a Commission “finding</w:t>
      </w:r>
      <w:r w:rsidR="00C376CD">
        <w:rPr>
          <w:rFonts w:ascii="Times New Roman" w:hAnsi="Times New Roman" w:cs="Times New Roman"/>
          <w:sz w:val="26"/>
          <w:szCs w:val="26"/>
        </w:rPr>
        <w:t>,</w:t>
      </w:r>
      <w:r w:rsidR="00AA211D">
        <w:rPr>
          <w:rFonts w:ascii="Times New Roman" w:hAnsi="Times New Roman" w:cs="Times New Roman"/>
          <w:sz w:val="26"/>
          <w:szCs w:val="26"/>
        </w:rPr>
        <w:t xml:space="preserve"> determination or order … shall remain conclusive upon all parties </w:t>
      </w:r>
      <w:r w:rsidR="000B3DA8">
        <w:rPr>
          <w:rFonts w:ascii="Times New Roman" w:hAnsi="Times New Roman" w:cs="Times New Roman"/>
          <w:sz w:val="26"/>
          <w:szCs w:val="26"/>
        </w:rPr>
        <w:t xml:space="preserve">affected thereby, unless set aside, annulled or modified on </w:t>
      </w:r>
      <w:r w:rsidR="00252B4F">
        <w:rPr>
          <w:rFonts w:ascii="Times New Roman" w:hAnsi="Times New Roman" w:cs="Times New Roman"/>
          <w:sz w:val="26"/>
          <w:szCs w:val="26"/>
        </w:rPr>
        <w:t xml:space="preserve">judicial review.”  66 Pa. C.S. § 316.  </w:t>
      </w:r>
      <w:r w:rsidR="0093539E">
        <w:rPr>
          <w:rFonts w:ascii="Times New Roman" w:hAnsi="Times New Roman" w:cs="Times New Roman"/>
          <w:sz w:val="26"/>
          <w:szCs w:val="26"/>
        </w:rPr>
        <w:t xml:space="preserve">The </w:t>
      </w:r>
      <w:r w:rsidR="00C376CD">
        <w:rPr>
          <w:rFonts w:ascii="Times New Roman" w:hAnsi="Times New Roman" w:cs="Times New Roman"/>
          <w:sz w:val="26"/>
          <w:szCs w:val="26"/>
        </w:rPr>
        <w:t xml:space="preserve">final Commission Orders at the heart of this proceeding </w:t>
      </w:r>
      <w:r w:rsidR="004E72D9">
        <w:rPr>
          <w:rFonts w:ascii="Times New Roman" w:hAnsi="Times New Roman" w:cs="Times New Roman"/>
          <w:sz w:val="26"/>
          <w:szCs w:val="26"/>
        </w:rPr>
        <w:t>–</w:t>
      </w:r>
      <w:r w:rsidR="00C376CD">
        <w:rPr>
          <w:rFonts w:ascii="Times New Roman" w:hAnsi="Times New Roman" w:cs="Times New Roman"/>
          <w:sz w:val="26"/>
          <w:szCs w:val="26"/>
        </w:rPr>
        <w:t xml:space="preserve"> </w:t>
      </w:r>
      <w:r w:rsidR="004E72D9">
        <w:rPr>
          <w:rFonts w:ascii="Times New Roman" w:hAnsi="Times New Roman" w:cs="Times New Roman"/>
          <w:sz w:val="26"/>
          <w:szCs w:val="26"/>
        </w:rPr>
        <w:t xml:space="preserve">the </w:t>
      </w:r>
      <w:r w:rsidR="006460F8">
        <w:rPr>
          <w:rFonts w:ascii="Times New Roman" w:hAnsi="Times New Roman" w:cs="Times New Roman"/>
          <w:sz w:val="26"/>
          <w:szCs w:val="26"/>
        </w:rPr>
        <w:t xml:space="preserve">Order approving </w:t>
      </w:r>
      <w:r w:rsidR="00413A21" w:rsidRPr="00736890">
        <w:rPr>
          <w:rFonts w:ascii="Times New Roman" w:hAnsi="Times New Roman" w:cs="Times New Roman"/>
          <w:color w:val="000000"/>
          <w:sz w:val="26"/>
          <w:szCs w:val="26"/>
        </w:rPr>
        <w:t>PECO’s 1989 base rate case</w:t>
      </w:r>
      <w:r w:rsidR="006460F8">
        <w:rPr>
          <w:rFonts w:ascii="Times New Roman" w:hAnsi="Times New Roman" w:cs="Times New Roman"/>
          <w:color w:val="000000"/>
          <w:sz w:val="26"/>
          <w:szCs w:val="26"/>
        </w:rPr>
        <w:t xml:space="preserve"> and the</w:t>
      </w:r>
      <w:r w:rsidR="00413A21" w:rsidRPr="00736890">
        <w:rPr>
          <w:rFonts w:ascii="Times New Roman" w:hAnsi="Times New Roman" w:cs="Times New Roman"/>
          <w:color w:val="000000"/>
          <w:sz w:val="26"/>
          <w:szCs w:val="26"/>
        </w:rPr>
        <w:t xml:space="preserve"> </w:t>
      </w:r>
      <w:r w:rsidR="00413A21" w:rsidRPr="00377635">
        <w:rPr>
          <w:rFonts w:ascii="Times New Roman" w:hAnsi="Times New Roman" w:cs="Times New Roman"/>
          <w:i/>
          <w:iCs/>
          <w:sz w:val="26"/>
          <w:szCs w:val="26"/>
        </w:rPr>
        <w:t>PECO Restructuring Order</w:t>
      </w:r>
      <w:r w:rsidR="006460F8">
        <w:rPr>
          <w:rFonts w:ascii="Times New Roman" w:hAnsi="Times New Roman" w:cs="Times New Roman"/>
          <w:i/>
          <w:iCs/>
          <w:sz w:val="26"/>
          <w:szCs w:val="26"/>
        </w:rPr>
        <w:t xml:space="preserve"> </w:t>
      </w:r>
      <w:r w:rsidR="006460F8">
        <w:rPr>
          <w:rFonts w:ascii="Times New Roman" w:hAnsi="Times New Roman" w:cs="Times New Roman"/>
          <w:sz w:val="26"/>
          <w:szCs w:val="26"/>
        </w:rPr>
        <w:t xml:space="preserve">– </w:t>
      </w:r>
      <w:r w:rsidR="004E0242">
        <w:rPr>
          <w:rFonts w:ascii="Times New Roman" w:hAnsi="Times New Roman" w:cs="Times New Roman"/>
          <w:sz w:val="26"/>
          <w:szCs w:val="26"/>
        </w:rPr>
        <w:t xml:space="preserve">remain conclusive upon the Parties </w:t>
      </w:r>
      <w:r w:rsidR="00A747D7">
        <w:rPr>
          <w:rFonts w:ascii="Times New Roman" w:hAnsi="Times New Roman" w:cs="Times New Roman"/>
          <w:sz w:val="26"/>
          <w:szCs w:val="26"/>
        </w:rPr>
        <w:t>because a court has not set aside, annulled</w:t>
      </w:r>
      <w:r w:rsidR="00650B44">
        <w:rPr>
          <w:rFonts w:ascii="Times New Roman" w:hAnsi="Times New Roman" w:cs="Times New Roman"/>
          <w:sz w:val="26"/>
          <w:szCs w:val="26"/>
        </w:rPr>
        <w:t>,</w:t>
      </w:r>
      <w:r w:rsidR="00A747D7">
        <w:rPr>
          <w:rFonts w:ascii="Times New Roman" w:hAnsi="Times New Roman" w:cs="Times New Roman"/>
          <w:sz w:val="26"/>
          <w:szCs w:val="26"/>
        </w:rPr>
        <w:t xml:space="preserve"> or modified </w:t>
      </w:r>
      <w:r w:rsidR="00111E97">
        <w:rPr>
          <w:rFonts w:ascii="Times New Roman" w:hAnsi="Times New Roman" w:cs="Times New Roman"/>
          <w:sz w:val="26"/>
          <w:szCs w:val="26"/>
        </w:rPr>
        <w:t>those Order</w:t>
      </w:r>
      <w:r w:rsidR="000F2D8D">
        <w:rPr>
          <w:rFonts w:ascii="Times New Roman" w:hAnsi="Times New Roman" w:cs="Times New Roman"/>
          <w:sz w:val="26"/>
          <w:szCs w:val="26"/>
        </w:rPr>
        <w:t>s</w:t>
      </w:r>
      <w:r w:rsidR="00111E97">
        <w:rPr>
          <w:rFonts w:ascii="Times New Roman" w:hAnsi="Times New Roman" w:cs="Times New Roman"/>
          <w:sz w:val="26"/>
          <w:szCs w:val="26"/>
        </w:rPr>
        <w:t xml:space="preserve">.  </w:t>
      </w:r>
      <w:r w:rsidR="004C7691">
        <w:rPr>
          <w:rFonts w:ascii="Times New Roman" w:hAnsi="Times New Roman" w:cs="Times New Roman"/>
          <w:sz w:val="26"/>
          <w:szCs w:val="26"/>
        </w:rPr>
        <w:t xml:space="preserve">Since </w:t>
      </w:r>
      <w:r w:rsidR="007F59D5">
        <w:rPr>
          <w:rFonts w:ascii="Times New Roman" w:hAnsi="Times New Roman" w:cs="Times New Roman"/>
          <w:sz w:val="26"/>
          <w:szCs w:val="26"/>
        </w:rPr>
        <w:t>no court set aside, annulled</w:t>
      </w:r>
      <w:r w:rsidR="00BC3295">
        <w:rPr>
          <w:rFonts w:ascii="Times New Roman" w:hAnsi="Times New Roman" w:cs="Times New Roman"/>
          <w:sz w:val="26"/>
          <w:szCs w:val="26"/>
        </w:rPr>
        <w:t>,</w:t>
      </w:r>
      <w:r w:rsidR="007F59D5">
        <w:rPr>
          <w:rFonts w:ascii="Times New Roman" w:hAnsi="Times New Roman" w:cs="Times New Roman"/>
          <w:sz w:val="26"/>
          <w:szCs w:val="26"/>
        </w:rPr>
        <w:t xml:space="preserve"> or modified </w:t>
      </w:r>
      <w:r w:rsidR="00417FEC">
        <w:rPr>
          <w:rFonts w:ascii="Times New Roman" w:hAnsi="Times New Roman" w:cs="Times New Roman"/>
          <w:sz w:val="26"/>
          <w:szCs w:val="26"/>
        </w:rPr>
        <w:t>these prior Orders</w:t>
      </w:r>
      <w:r w:rsidR="007F59D5">
        <w:rPr>
          <w:rFonts w:ascii="Times New Roman" w:hAnsi="Times New Roman" w:cs="Times New Roman"/>
          <w:sz w:val="26"/>
          <w:szCs w:val="26"/>
        </w:rPr>
        <w:t xml:space="preserve">, </w:t>
      </w:r>
      <w:r w:rsidR="00FB1FE5">
        <w:rPr>
          <w:rFonts w:ascii="Times New Roman" w:hAnsi="Times New Roman" w:cs="Times New Roman"/>
          <w:sz w:val="26"/>
          <w:szCs w:val="26"/>
        </w:rPr>
        <w:t xml:space="preserve">the </w:t>
      </w:r>
      <w:r w:rsidR="004C106D">
        <w:rPr>
          <w:rFonts w:ascii="Times New Roman" w:hAnsi="Times New Roman" w:cs="Times New Roman"/>
          <w:sz w:val="26"/>
          <w:szCs w:val="26"/>
        </w:rPr>
        <w:t xml:space="preserve">PECO rates </w:t>
      </w:r>
      <w:r w:rsidR="00B500BA">
        <w:rPr>
          <w:rFonts w:ascii="Times New Roman" w:hAnsi="Times New Roman" w:cs="Times New Roman"/>
          <w:sz w:val="26"/>
          <w:szCs w:val="26"/>
        </w:rPr>
        <w:t xml:space="preserve">established therein remained in effect until January 1, 2011.  </w:t>
      </w:r>
    </w:p>
    <w:p w14:paraId="069C4659" w14:textId="34963F3F" w:rsidR="002E427C" w:rsidRDefault="002E427C" w:rsidP="00F55FAC">
      <w:pPr>
        <w:widowControl w:val="0"/>
        <w:spacing w:after="0" w:line="360" w:lineRule="auto"/>
        <w:rPr>
          <w:rFonts w:ascii="Times New Roman" w:hAnsi="Times New Roman" w:cs="Times New Roman"/>
          <w:sz w:val="26"/>
          <w:szCs w:val="26"/>
        </w:rPr>
      </w:pPr>
    </w:p>
    <w:p w14:paraId="793A0CA5" w14:textId="2ABBCD7A" w:rsidR="00A46051" w:rsidRDefault="00BC3295" w:rsidP="00F55FAC">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242347">
        <w:rPr>
          <w:rFonts w:ascii="Times New Roman" w:hAnsi="Times New Roman" w:cs="Times New Roman"/>
          <w:sz w:val="26"/>
          <w:szCs w:val="26"/>
        </w:rPr>
        <w:t xml:space="preserve">The </w:t>
      </w:r>
      <w:r w:rsidRPr="0082328B">
        <w:rPr>
          <w:rFonts w:ascii="Times New Roman" w:hAnsi="Times New Roman" w:cs="Times New Roman"/>
          <w:i/>
          <w:iCs/>
          <w:sz w:val="26"/>
          <w:szCs w:val="26"/>
        </w:rPr>
        <w:t>7</w:t>
      </w:r>
      <w:r w:rsidRPr="0082328B">
        <w:rPr>
          <w:rFonts w:ascii="Times New Roman" w:hAnsi="Times New Roman" w:cs="Times New Roman"/>
          <w:i/>
          <w:iCs/>
          <w:sz w:val="26"/>
          <w:szCs w:val="26"/>
          <w:vertAlign w:val="superscript"/>
        </w:rPr>
        <w:t>th</w:t>
      </w:r>
      <w:r w:rsidRPr="0082328B">
        <w:rPr>
          <w:rFonts w:ascii="Times New Roman" w:hAnsi="Times New Roman" w:cs="Times New Roman"/>
          <w:i/>
          <w:iCs/>
          <w:sz w:val="26"/>
          <w:szCs w:val="26"/>
        </w:rPr>
        <w:t xml:space="preserve"> Circuit 2009 Remand</w:t>
      </w:r>
      <w:r w:rsidRPr="002637B3">
        <w:rPr>
          <w:rFonts w:ascii="Times New Roman" w:hAnsi="Times New Roman" w:cs="Times New Roman"/>
          <w:i/>
          <w:iCs/>
          <w:sz w:val="26"/>
          <w:szCs w:val="26"/>
        </w:rPr>
        <w:t xml:space="preserve"> </w:t>
      </w:r>
      <w:r>
        <w:rPr>
          <w:rFonts w:ascii="Times New Roman" w:hAnsi="Times New Roman" w:cs="Times New Roman"/>
          <w:sz w:val="26"/>
          <w:szCs w:val="26"/>
        </w:rPr>
        <w:t xml:space="preserve">and the </w:t>
      </w:r>
      <w:r w:rsidRPr="002637B3">
        <w:rPr>
          <w:rFonts w:ascii="Times New Roman" w:hAnsi="Times New Roman" w:cs="Times New Roman"/>
          <w:i/>
          <w:iCs/>
          <w:sz w:val="26"/>
          <w:szCs w:val="26"/>
        </w:rPr>
        <w:t>7</w:t>
      </w:r>
      <w:r w:rsidRPr="002637B3">
        <w:rPr>
          <w:rFonts w:ascii="Times New Roman" w:hAnsi="Times New Roman" w:cs="Times New Roman"/>
          <w:i/>
          <w:iCs/>
          <w:sz w:val="26"/>
          <w:szCs w:val="26"/>
          <w:vertAlign w:val="superscript"/>
        </w:rPr>
        <w:t>th</w:t>
      </w:r>
      <w:r w:rsidRPr="002637B3">
        <w:rPr>
          <w:rFonts w:ascii="Times New Roman" w:hAnsi="Times New Roman" w:cs="Times New Roman"/>
          <w:i/>
          <w:iCs/>
          <w:sz w:val="26"/>
          <w:szCs w:val="26"/>
        </w:rPr>
        <w:t xml:space="preserve"> Circuit 2014 Remand</w:t>
      </w:r>
      <w:r w:rsidR="00242347">
        <w:rPr>
          <w:rFonts w:ascii="Times New Roman" w:hAnsi="Times New Roman" w:cs="Times New Roman"/>
          <w:i/>
          <w:iCs/>
          <w:sz w:val="26"/>
          <w:szCs w:val="26"/>
        </w:rPr>
        <w:t xml:space="preserve"> </w:t>
      </w:r>
      <w:r w:rsidR="00242347">
        <w:rPr>
          <w:rFonts w:ascii="Times New Roman" w:hAnsi="Times New Roman" w:cs="Times New Roman"/>
          <w:sz w:val="26"/>
          <w:szCs w:val="26"/>
        </w:rPr>
        <w:t xml:space="preserve">did not operate to </w:t>
      </w:r>
      <w:r w:rsidR="00CE3D16">
        <w:rPr>
          <w:rFonts w:ascii="Times New Roman" w:hAnsi="Times New Roman" w:cs="Times New Roman"/>
          <w:sz w:val="26"/>
          <w:szCs w:val="26"/>
        </w:rPr>
        <w:t>set aside, annul</w:t>
      </w:r>
      <w:r w:rsidR="000B6D8C">
        <w:rPr>
          <w:rFonts w:ascii="Times New Roman" w:hAnsi="Times New Roman" w:cs="Times New Roman"/>
          <w:sz w:val="26"/>
          <w:szCs w:val="26"/>
        </w:rPr>
        <w:t>,</w:t>
      </w:r>
      <w:r w:rsidR="00CE3D16">
        <w:rPr>
          <w:rFonts w:ascii="Times New Roman" w:hAnsi="Times New Roman" w:cs="Times New Roman"/>
          <w:sz w:val="26"/>
          <w:szCs w:val="26"/>
        </w:rPr>
        <w:t xml:space="preserve"> or modify </w:t>
      </w:r>
      <w:r w:rsidR="00A65D73">
        <w:rPr>
          <w:rFonts w:ascii="Times New Roman" w:hAnsi="Times New Roman" w:cs="Times New Roman"/>
          <w:sz w:val="26"/>
          <w:szCs w:val="26"/>
        </w:rPr>
        <w:t xml:space="preserve">the </w:t>
      </w:r>
      <w:r w:rsidR="004A37A7">
        <w:rPr>
          <w:rFonts w:ascii="Times New Roman" w:hAnsi="Times New Roman" w:cs="Times New Roman"/>
          <w:sz w:val="26"/>
          <w:szCs w:val="26"/>
        </w:rPr>
        <w:t xml:space="preserve">prior </w:t>
      </w:r>
      <w:r w:rsidR="00D20C95">
        <w:rPr>
          <w:rFonts w:ascii="Times New Roman" w:hAnsi="Times New Roman" w:cs="Times New Roman"/>
          <w:sz w:val="26"/>
          <w:szCs w:val="26"/>
        </w:rPr>
        <w:t>Commission Orders establish</w:t>
      </w:r>
      <w:r w:rsidR="00A26B7F">
        <w:rPr>
          <w:rFonts w:ascii="Times New Roman" w:hAnsi="Times New Roman" w:cs="Times New Roman"/>
          <w:sz w:val="26"/>
          <w:szCs w:val="26"/>
        </w:rPr>
        <w:t xml:space="preserve">ing the </w:t>
      </w:r>
      <w:r w:rsidR="009B23B1">
        <w:rPr>
          <w:rFonts w:ascii="Times New Roman" w:hAnsi="Times New Roman" w:cs="Times New Roman"/>
          <w:sz w:val="26"/>
          <w:szCs w:val="26"/>
        </w:rPr>
        <w:t xml:space="preserve">justness and reasonableness of </w:t>
      </w:r>
      <w:r w:rsidR="00A26B7F">
        <w:rPr>
          <w:rFonts w:ascii="Times New Roman" w:hAnsi="Times New Roman" w:cs="Times New Roman"/>
          <w:sz w:val="26"/>
          <w:szCs w:val="26"/>
        </w:rPr>
        <w:t>PECO’s base rates in effect b</w:t>
      </w:r>
      <w:r w:rsidR="009B23B1">
        <w:rPr>
          <w:rFonts w:ascii="Times New Roman" w:hAnsi="Times New Roman" w:cs="Times New Roman"/>
          <w:sz w:val="26"/>
          <w:szCs w:val="26"/>
        </w:rPr>
        <w:t xml:space="preserve">etween 2007 and 2010.  </w:t>
      </w:r>
      <w:r w:rsidR="00212558">
        <w:rPr>
          <w:rFonts w:ascii="Times New Roman" w:hAnsi="Times New Roman" w:cs="Times New Roman"/>
          <w:sz w:val="26"/>
          <w:szCs w:val="26"/>
        </w:rPr>
        <w:t xml:space="preserve">Moreover, we acknowledge that PECO’s base rates </w:t>
      </w:r>
      <w:r w:rsidR="00DE69B0">
        <w:rPr>
          <w:rFonts w:ascii="Times New Roman" w:hAnsi="Times New Roman" w:cs="Times New Roman"/>
          <w:sz w:val="26"/>
          <w:szCs w:val="26"/>
        </w:rPr>
        <w:t xml:space="preserve">during the relevant period were established before </w:t>
      </w:r>
      <w:r w:rsidR="004D6273">
        <w:rPr>
          <w:rFonts w:ascii="Times New Roman" w:hAnsi="Times New Roman" w:cs="Times New Roman"/>
          <w:sz w:val="26"/>
          <w:szCs w:val="26"/>
        </w:rPr>
        <w:t>PECO</w:t>
      </w:r>
      <w:r w:rsidR="00DE69B0">
        <w:rPr>
          <w:rFonts w:ascii="Times New Roman" w:hAnsi="Times New Roman" w:cs="Times New Roman"/>
          <w:sz w:val="26"/>
          <w:szCs w:val="26"/>
        </w:rPr>
        <w:t xml:space="preserve"> began to impose RTEP charges </w:t>
      </w:r>
      <w:r w:rsidR="00F018FB">
        <w:rPr>
          <w:rFonts w:ascii="Times New Roman" w:hAnsi="Times New Roman" w:cs="Times New Roman"/>
          <w:sz w:val="26"/>
          <w:szCs w:val="26"/>
        </w:rPr>
        <w:t xml:space="preserve">and, thus, could not have included those charges.  </w:t>
      </w:r>
      <w:r w:rsidR="004E4E4A">
        <w:rPr>
          <w:rFonts w:ascii="Times New Roman" w:hAnsi="Times New Roman" w:cs="Times New Roman"/>
          <w:sz w:val="26"/>
          <w:szCs w:val="26"/>
        </w:rPr>
        <w:t xml:space="preserve">In our view, the Seventh Circuit’s invalidation </w:t>
      </w:r>
      <w:r w:rsidR="009327D4">
        <w:rPr>
          <w:rFonts w:ascii="Times New Roman" w:hAnsi="Times New Roman" w:cs="Times New Roman"/>
          <w:sz w:val="26"/>
          <w:szCs w:val="26"/>
        </w:rPr>
        <w:t xml:space="preserve">of FERC’s method of allocating RTEP costs did not operate </w:t>
      </w:r>
      <w:r w:rsidR="00BC0023">
        <w:rPr>
          <w:rFonts w:ascii="Times New Roman" w:hAnsi="Times New Roman" w:cs="Times New Roman"/>
          <w:sz w:val="26"/>
          <w:szCs w:val="26"/>
        </w:rPr>
        <w:t xml:space="preserve">to undermine the justness and reasonableness of PECO’s base rates which did not </w:t>
      </w:r>
      <w:r w:rsidR="00E265C6">
        <w:rPr>
          <w:rFonts w:ascii="Times New Roman" w:hAnsi="Times New Roman" w:cs="Times New Roman"/>
          <w:sz w:val="26"/>
          <w:szCs w:val="26"/>
        </w:rPr>
        <w:t xml:space="preserve">reflect these costs.  </w:t>
      </w:r>
      <w:r w:rsidR="00EE261B">
        <w:rPr>
          <w:rFonts w:ascii="Times New Roman" w:hAnsi="Times New Roman" w:cs="Times New Roman"/>
          <w:sz w:val="26"/>
          <w:szCs w:val="26"/>
        </w:rPr>
        <w:t xml:space="preserve">In addition, we agree </w:t>
      </w:r>
      <w:r w:rsidR="00D05A6C">
        <w:rPr>
          <w:rFonts w:ascii="Times New Roman" w:hAnsi="Times New Roman" w:cs="Times New Roman"/>
          <w:sz w:val="26"/>
          <w:szCs w:val="26"/>
        </w:rPr>
        <w:t xml:space="preserve">with </w:t>
      </w:r>
      <w:r w:rsidR="00EE261B">
        <w:rPr>
          <w:rFonts w:ascii="Times New Roman" w:hAnsi="Times New Roman" w:cs="Times New Roman"/>
          <w:sz w:val="26"/>
          <w:szCs w:val="26"/>
        </w:rPr>
        <w:t xml:space="preserve">and adopt the ALJ’s well-reasoned </w:t>
      </w:r>
      <w:r w:rsidR="00D05A6C">
        <w:rPr>
          <w:rFonts w:ascii="Times New Roman" w:hAnsi="Times New Roman" w:cs="Times New Roman"/>
          <w:sz w:val="26"/>
          <w:szCs w:val="26"/>
        </w:rPr>
        <w:t>determination</w:t>
      </w:r>
      <w:r w:rsidR="00EE261B">
        <w:rPr>
          <w:rFonts w:ascii="Times New Roman" w:hAnsi="Times New Roman" w:cs="Times New Roman"/>
          <w:sz w:val="26"/>
          <w:szCs w:val="26"/>
        </w:rPr>
        <w:t xml:space="preserve"> that </w:t>
      </w:r>
      <w:r w:rsidR="006E6212">
        <w:rPr>
          <w:rFonts w:ascii="Times New Roman" w:hAnsi="Times New Roman" w:cs="Times New Roman"/>
          <w:sz w:val="26"/>
          <w:szCs w:val="26"/>
        </w:rPr>
        <w:t xml:space="preserve">PECO’s pre-2011 base rates were Commission-made rates.  </w:t>
      </w:r>
    </w:p>
    <w:p w14:paraId="0B37A4C8" w14:textId="77777777" w:rsidR="00A46051" w:rsidRDefault="00A46051" w:rsidP="00F55FAC">
      <w:pPr>
        <w:widowControl w:val="0"/>
        <w:spacing w:after="0" w:line="360" w:lineRule="auto"/>
        <w:rPr>
          <w:rFonts w:ascii="Times New Roman" w:hAnsi="Times New Roman" w:cs="Times New Roman"/>
          <w:sz w:val="26"/>
          <w:szCs w:val="26"/>
        </w:rPr>
      </w:pPr>
    </w:p>
    <w:p w14:paraId="07B464DE" w14:textId="2B9B599E" w:rsidR="00415171" w:rsidRDefault="001A7AF2" w:rsidP="00A46051">
      <w:pPr>
        <w:widowControl w:val="0"/>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We further reject the OCA’s </w:t>
      </w:r>
      <w:r w:rsidR="009B6E3A">
        <w:rPr>
          <w:rFonts w:ascii="Times New Roman" w:hAnsi="Times New Roman" w:cs="Times New Roman"/>
          <w:sz w:val="26"/>
          <w:szCs w:val="26"/>
        </w:rPr>
        <w:t xml:space="preserve">contention </w:t>
      </w:r>
      <w:r w:rsidR="00173448">
        <w:rPr>
          <w:rFonts w:ascii="Times New Roman" w:hAnsi="Times New Roman" w:cs="Times New Roman"/>
          <w:sz w:val="26"/>
          <w:szCs w:val="26"/>
        </w:rPr>
        <w:t xml:space="preserve">that the filed rate doctrine gives FERC or the Federal Courts reviewing FERC orders </w:t>
      </w:r>
      <w:r w:rsidR="00F348E7">
        <w:rPr>
          <w:rFonts w:ascii="Times New Roman" w:hAnsi="Times New Roman" w:cs="Times New Roman"/>
          <w:sz w:val="26"/>
          <w:szCs w:val="26"/>
        </w:rPr>
        <w:t xml:space="preserve">authority </w:t>
      </w:r>
      <w:r w:rsidR="001926D3">
        <w:rPr>
          <w:rFonts w:ascii="Times New Roman" w:hAnsi="Times New Roman" w:cs="Times New Roman"/>
          <w:sz w:val="26"/>
          <w:szCs w:val="26"/>
        </w:rPr>
        <w:t xml:space="preserve">to decide the justness and reasonableness of retail rates that are within </w:t>
      </w:r>
      <w:r w:rsidR="00F62AC1">
        <w:rPr>
          <w:rFonts w:ascii="Times New Roman" w:hAnsi="Times New Roman" w:cs="Times New Roman"/>
          <w:sz w:val="26"/>
          <w:szCs w:val="26"/>
        </w:rPr>
        <w:t xml:space="preserve">the jurisdiction of the Commission.  </w:t>
      </w:r>
      <w:r w:rsidR="00420DCF">
        <w:rPr>
          <w:rFonts w:ascii="Times New Roman" w:hAnsi="Times New Roman" w:cs="Times New Roman"/>
          <w:sz w:val="26"/>
          <w:szCs w:val="26"/>
        </w:rPr>
        <w:t xml:space="preserve">In </w:t>
      </w:r>
      <w:r w:rsidR="00AA56C5" w:rsidRPr="00CB02AD">
        <w:rPr>
          <w:rFonts w:ascii="Times New Roman" w:hAnsi="Times New Roman" w:cs="Times New Roman"/>
          <w:i/>
          <w:iCs/>
          <w:sz w:val="26"/>
          <w:szCs w:val="26"/>
        </w:rPr>
        <w:t>Pa.</w:t>
      </w:r>
      <w:r w:rsidR="00A45770">
        <w:rPr>
          <w:rFonts w:ascii="Times New Roman" w:hAnsi="Times New Roman" w:cs="Times New Roman"/>
          <w:i/>
          <w:iCs/>
          <w:sz w:val="26"/>
          <w:szCs w:val="26"/>
        </w:rPr>
        <w:t> </w:t>
      </w:r>
      <w:r w:rsidR="00AA56C5" w:rsidRPr="00CB02AD">
        <w:rPr>
          <w:rFonts w:ascii="Times New Roman" w:hAnsi="Times New Roman" w:cs="Times New Roman"/>
          <w:i/>
          <w:iCs/>
          <w:sz w:val="26"/>
          <w:szCs w:val="26"/>
        </w:rPr>
        <w:t>Power</w:t>
      </w:r>
      <w:r w:rsidR="00AA56C5">
        <w:rPr>
          <w:rFonts w:ascii="Times New Roman" w:hAnsi="Times New Roman" w:cs="Times New Roman"/>
          <w:sz w:val="26"/>
          <w:szCs w:val="26"/>
        </w:rPr>
        <w:t xml:space="preserve">, the </w:t>
      </w:r>
      <w:r w:rsidR="008A3293">
        <w:rPr>
          <w:rFonts w:ascii="Times New Roman" w:hAnsi="Times New Roman" w:cs="Times New Roman"/>
          <w:sz w:val="26"/>
          <w:szCs w:val="26"/>
        </w:rPr>
        <w:t xml:space="preserve">Commonwealth </w:t>
      </w:r>
      <w:r w:rsidR="00CB02AD">
        <w:rPr>
          <w:rFonts w:ascii="Times New Roman" w:hAnsi="Times New Roman" w:cs="Times New Roman"/>
          <w:sz w:val="26"/>
          <w:szCs w:val="26"/>
        </w:rPr>
        <w:t xml:space="preserve">Court </w:t>
      </w:r>
      <w:r w:rsidR="008A3293">
        <w:rPr>
          <w:rFonts w:ascii="Times New Roman" w:hAnsi="Times New Roman" w:cs="Times New Roman"/>
          <w:sz w:val="26"/>
          <w:szCs w:val="26"/>
        </w:rPr>
        <w:t xml:space="preserve">rejected a utility’s claim that it was entitled to </w:t>
      </w:r>
      <w:r w:rsidR="008A3293">
        <w:rPr>
          <w:rFonts w:ascii="Times New Roman" w:hAnsi="Times New Roman" w:cs="Times New Roman"/>
          <w:sz w:val="26"/>
          <w:szCs w:val="26"/>
        </w:rPr>
        <w:lastRenderedPageBreak/>
        <w:t>recover the cost of power</w:t>
      </w:r>
      <w:r w:rsidR="00497693">
        <w:rPr>
          <w:rFonts w:ascii="Times New Roman" w:hAnsi="Times New Roman" w:cs="Times New Roman"/>
          <w:sz w:val="26"/>
          <w:szCs w:val="26"/>
        </w:rPr>
        <w:t xml:space="preserve"> purchased at a FERC-approved wholesale rate.  </w:t>
      </w:r>
      <w:r w:rsidR="00C57308">
        <w:rPr>
          <w:rFonts w:ascii="Times New Roman" w:hAnsi="Times New Roman" w:cs="Times New Roman"/>
          <w:sz w:val="26"/>
          <w:szCs w:val="26"/>
        </w:rPr>
        <w:t xml:space="preserve">There, the Court </w:t>
      </w:r>
      <w:r w:rsidR="00070131">
        <w:rPr>
          <w:rFonts w:ascii="Times New Roman" w:hAnsi="Times New Roman" w:cs="Times New Roman"/>
          <w:sz w:val="26"/>
          <w:szCs w:val="26"/>
        </w:rPr>
        <w:t xml:space="preserve">agreed with the Commission that there was a valid state law basis for not </w:t>
      </w:r>
      <w:r w:rsidR="00CB02AD">
        <w:rPr>
          <w:rFonts w:ascii="Times New Roman" w:hAnsi="Times New Roman" w:cs="Times New Roman"/>
          <w:sz w:val="26"/>
          <w:szCs w:val="26"/>
        </w:rPr>
        <w:t xml:space="preserve">automatically imposing the FERC’s decision on the Commission.  </w:t>
      </w:r>
      <w:r w:rsidR="00802906">
        <w:rPr>
          <w:rFonts w:ascii="Times New Roman" w:hAnsi="Times New Roman" w:cs="Times New Roman"/>
          <w:sz w:val="26"/>
          <w:szCs w:val="26"/>
        </w:rPr>
        <w:t xml:space="preserve">See </w:t>
      </w:r>
      <w:r w:rsidR="00802906" w:rsidRPr="00EC263A">
        <w:rPr>
          <w:rFonts w:ascii="Times New Roman" w:hAnsi="Times New Roman" w:cs="Times New Roman"/>
          <w:i/>
          <w:iCs/>
          <w:sz w:val="26"/>
          <w:szCs w:val="26"/>
        </w:rPr>
        <w:t>Pa. Power</w:t>
      </w:r>
      <w:r w:rsidR="00802906">
        <w:rPr>
          <w:rFonts w:ascii="Times New Roman" w:hAnsi="Times New Roman" w:cs="Times New Roman"/>
          <w:sz w:val="26"/>
          <w:szCs w:val="26"/>
        </w:rPr>
        <w:t xml:space="preserve">, </w:t>
      </w:r>
      <w:r w:rsidR="00667054">
        <w:rPr>
          <w:rFonts w:ascii="Times New Roman" w:hAnsi="Times New Roman" w:cs="Times New Roman"/>
          <w:sz w:val="26"/>
          <w:szCs w:val="26"/>
        </w:rPr>
        <w:t>561</w:t>
      </w:r>
      <w:r w:rsidR="00A45770">
        <w:rPr>
          <w:rFonts w:ascii="Times New Roman" w:hAnsi="Times New Roman" w:cs="Times New Roman"/>
          <w:sz w:val="26"/>
          <w:szCs w:val="26"/>
        </w:rPr>
        <w:t> </w:t>
      </w:r>
      <w:r w:rsidR="00667054">
        <w:rPr>
          <w:rFonts w:ascii="Times New Roman" w:hAnsi="Times New Roman" w:cs="Times New Roman"/>
          <w:sz w:val="26"/>
          <w:szCs w:val="26"/>
        </w:rPr>
        <w:t xml:space="preserve">A.2d at 5051 (emphasizing </w:t>
      </w:r>
      <w:r w:rsidR="00C25D8E">
        <w:rPr>
          <w:rFonts w:ascii="Times New Roman" w:hAnsi="Times New Roman" w:cs="Times New Roman"/>
          <w:sz w:val="26"/>
          <w:szCs w:val="26"/>
        </w:rPr>
        <w:t xml:space="preserve">exclusive federal regulation over matters relating to transmission of electric energy in interstate commerce but </w:t>
      </w:r>
      <w:r w:rsidR="00EC263A">
        <w:rPr>
          <w:rFonts w:ascii="Times New Roman" w:hAnsi="Times New Roman" w:cs="Times New Roman"/>
          <w:sz w:val="26"/>
          <w:szCs w:val="26"/>
        </w:rPr>
        <w:t xml:space="preserve">expressly noting the reservation of some powers by the state).  </w:t>
      </w:r>
      <w:r w:rsidR="002A2F2E">
        <w:rPr>
          <w:rFonts w:ascii="Times New Roman" w:hAnsi="Times New Roman" w:cs="Times New Roman"/>
          <w:sz w:val="26"/>
          <w:szCs w:val="26"/>
        </w:rPr>
        <w:t xml:space="preserve">Here, the OCA has not </w:t>
      </w:r>
      <w:r w:rsidR="00C16861">
        <w:rPr>
          <w:rFonts w:ascii="Times New Roman" w:hAnsi="Times New Roman" w:cs="Times New Roman"/>
          <w:sz w:val="26"/>
          <w:szCs w:val="26"/>
        </w:rPr>
        <w:t>shown</w:t>
      </w:r>
      <w:r w:rsidR="002A2F2E">
        <w:rPr>
          <w:rFonts w:ascii="Times New Roman" w:hAnsi="Times New Roman" w:cs="Times New Roman"/>
          <w:sz w:val="26"/>
          <w:szCs w:val="26"/>
        </w:rPr>
        <w:t xml:space="preserve"> </w:t>
      </w:r>
      <w:r w:rsidR="00184AD1">
        <w:rPr>
          <w:rFonts w:ascii="Times New Roman" w:hAnsi="Times New Roman" w:cs="Times New Roman"/>
          <w:sz w:val="26"/>
          <w:szCs w:val="26"/>
        </w:rPr>
        <w:t xml:space="preserve">that the </w:t>
      </w:r>
      <w:r w:rsidR="00CF791F">
        <w:rPr>
          <w:rFonts w:ascii="Times New Roman" w:hAnsi="Times New Roman" w:cs="Times New Roman"/>
          <w:sz w:val="26"/>
          <w:szCs w:val="26"/>
        </w:rPr>
        <w:t>Seventh Circuit decision</w:t>
      </w:r>
      <w:r w:rsidR="00DD1DEC">
        <w:rPr>
          <w:rFonts w:ascii="Times New Roman" w:hAnsi="Times New Roman" w:cs="Times New Roman"/>
          <w:sz w:val="26"/>
          <w:szCs w:val="26"/>
        </w:rPr>
        <w:t xml:space="preserve">s </w:t>
      </w:r>
      <w:r w:rsidR="0021668F">
        <w:rPr>
          <w:rFonts w:ascii="Times New Roman" w:hAnsi="Times New Roman" w:cs="Times New Roman"/>
          <w:sz w:val="26"/>
          <w:szCs w:val="26"/>
        </w:rPr>
        <w:t xml:space="preserve">automatically </w:t>
      </w:r>
      <w:r w:rsidR="002620EA">
        <w:rPr>
          <w:rFonts w:ascii="Times New Roman" w:hAnsi="Times New Roman" w:cs="Times New Roman"/>
          <w:sz w:val="26"/>
          <w:szCs w:val="26"/>
        </w:rPr>
        <w:t>convert</w:t>
      </w:r>
      <w:r w:rsidR="00B64CD6">
        <w:rPr>
          <w:rFonts w:ascii="Times New Roman" w:hAnsi="Times New Roman" w:cs="Times New Roman"/>
          <w:sz w:val="26"/>
          <w:szCs w:val="26"/>
        </w:rPr>
        <w:t xml:space="preserve"> PECO’s </w:t>
      </w:r>
      <w:r w:rsidR="0026497A">
        <w:rPr>
          <w:rFonts w:ascii="Times New Roman" w:hAnsi="Times New Roman" w:cs="Times New Roman"/>
          <w:sz w:val="26"/>
          <w:szCs w:val="26"/>
        </w:rPr>
        <w:t xml:space="preserve">Commission-approved rates for the </w:t>
      </w:r>
      <w:r w:rsidR="00C77A2E">
        <w:rPr>
          <w:rFonts w:ascii="Times New Roman" w:hAnsi="Times New Roman" w:cs="Times New Roman"/>
          <w:sz w:val="26"/>
          <w:szCs w:val="26"/>
        </w:rPr>
        <w:t>2007 through 2010</w:t>
      </w:r>
      <w:r w:rsidR="0026497A">
        <w:rPr>
          <w:rFonts w:ascii="Times New Roman" w:hAnsi="Times New Roman" w:cs="Times New Roman"/>
          <w:sz w:val="26"/>
          <w:szCs w:val="26"/>
        </w:rPr>
        <w:t xml:space="preserve"> period </w:t>
      </w:r>
      <w:r w:rsidR="002213AE">
        <w:rPr>
          <w:rFonts w:ascii="Times New Roman" w:hAnsi="Times New Roman" w:cs="Times New Roman"/>
          <w:sz w:val="26"/>
          <w:szCs w:val="26"/>
        </w:rPr>
        <w:t>into unjust and unreasonable rates</w:t>
      </w:r>
      <w:r w:rsidR="00A360E2">
        <w:rPr>
          <w:rFonts w:ascii="Times New Roman" w:hAnsi="Times New Roman" w:cs="Times New Roman"/>
          <w:sz w:val="26"/>
          <w:szCs w:val="26"/>
        </w:rPr>
        <w:t xml:space="preserve"> particularly when those rates</w:t>
      </w:r>
      <w:r w:rsidR="00226FED">
        <w:rPr>
          <w:rFonts w:ascii="Times New Roman" w:hAnsi="Times New Roman" w:cs="Times New Roman"/>
          <w:sz w:val="26"/>
          <w:szCs w:val="26"/>
        </w:rPr>
        <w:t xml:space="preserve"> were established before </w:t>
      </w:r>
      <w:r w:rsidR="00D02E92">
        <w:rPr>
          <w:rFonts w:ascii="Times New Roman" w:hAnsi="Times New Roman" w:cs="Times New Roman"/>
          <w:sz w:val="26"/>
          <w:szCs w:val="26"/>
        </w:rPr>
        <w:t>PECO</w:t>
      </w:r>
      <w:r w:rsidR="00226FED">
        <w:rPr>
          <w:rFonts w:ascii="Times New Roman" w:hAnsi="Times New Roman" w:cs="Times New Roman"/>
          <w:sz w:val="26"/>
          <w:szCs w:val="26"/>
        </w:rPr>
        <w:t xml:space="preserve"> began imposing RTEP charges</w:t>
      </w:r>
      <w:r w:rsidR="002620EA">
        <w:rPr>
          <w:rFonts w:ascii="Times New Roman" w:hAnsi="Times New Roman" w:cs="Times New Roman"/>
          <w:sz w:val="26"/>
          <w:szCs w:val="26"/>
        </w:rPr>
        <w:t xml:space="preserve">.  </w:t>
      </w:r>
      <w:r w:rsidR="007E23CD">
        <w:rPr>
          <w:rFonts w:ascii="Times New Roman" w:hAnsi="Times New Roman" w:cs="Times New Roman"/>
          <w:sz w:val="26"/>
          <w:szCs w:val="26"/>
        </w:rPr>
        <w:t>The</w:t>
      </w:r>
      <w:r w:rsidR="002620EA">
        <w:rPr>
          <w:rFonts w:ascii="Times New Roman" w:hAnsi="Times New Roman" w:cs="Times New Roman"/>
          <w:sz w:val="26"/>
          <w:szCs w:val="26"/>
        </w:rPr>
        <w:t xml:space="preserve"> OCA has not established that the filed rate doctrine requires </w:t>
      </w:r>
      <w:r w:rsidR="0021668F">
        <w:rPr>
          <w:rFonts w:ascii="Times New Roman" w:hAnsi="Times New Roman" w:cs="Times New Roman"/>
          <w:sz w:val="26"/>
          <w:szCs w:val="26"/>
        </w:rPr>
        <w:t>such an outcome</w:t>
      </w:r>
      <w:r w:rsidR="00F36878">
        <w:rPr>
          <w:rFonts w:ascii="Times New Roman" w:hAnsi="Times New Roman" w:cs="Times New Roman"/>
          <w:sz w:val="26"/>
          <w:szCs w:val="26"/>
        </w:rPr>
        <w:t>;</w:t>
      </w:r>
      <w:r w:rsidR="007E23CD">
        <w:rPr>
          <w:rFonts w:ascii="Times New Roman" w:hAnsi="Times New Roman" w:cs="Times New Roman"/>
          <w:sz w:val="26"/>
          <w:szCs w:val="26"/>
        </w:rPr>
        <w:t xml:space="preserve"> </w:t>
      </w:r>
      <w:r w:rsidR="000D59F6">
        <w:rPr>
          <w:rFonts w:ascii="Times New Roman" w:hAnsi="Times New Roman" w:cs="Times New Roman"/>
          <w:sz w:val="26"/>
          <w:szCs w:val="26"/>
        </w:rPr>
        <w:t>n</w:t>
      </w:r>
      <w:r w:rsidR="007E23CD">
        <w:rPr>
          <w:rFonts w:ascii="Times New Roman" w:hAnsi="Times New Roman" w:cs="Times New Roman"/>
          <w:sz w:val="26"/>
          <w:szCs w:val="26"/>
        </w:rPr>
        <w:t xml:space="preserve">or </w:t>
      </w:r>
      <w:r w:rsidR="000D59F6">
        <w:rPr>
          <w:rFonts w:ascii="Times New Roman" w:hAnsi="Times New Roman" w:cs="Times New Roman"/>
          <w:sz w:val="26"/>
          <w:szCs w:val="26"/>
        </w:rPr>
        <w:t xml:space="preserve">has it satisfied its burden of establishing that the </w:t>
      </w:r>
      <w:r w:rsidR="007E23CD">
        <w:rPr>
          <w:rFonts w:ascii="Times New Roman" w:hAnsi="Times New Roman" w:cs="Times New Roman"/>
          <w:sz w:val="26"/>
          <w:szCs w:val="26"/>
        </w:rPr>
        <w:t>Commission</w:t>
      </w:r>
      <w:r w:rsidR="00105614">
        <w:rPr>
          <w:rFonts w:ascii="Times New Roman" w:hAnsi="Times New Roman" w:cs="Times New Roman"/>
          <w:sz w:val="26"/>
          <w:szCs w:val="26"/>
        </w:rPr>
        <w:t xml:space="preserve"> improperly intruded in areas reserved for federal regulation.  </w:t>
      </w:r>
    </w:p>
    <w:p w14:paraId="21DD9263" w14:textId="77777777" w:rsidR="00415171" w:rsidRDefault="00415171" w:rsidP="00A46051">
      <w:pPr>
        <w:widowControl w:val="0"/>
        <w:spacing w:after="0" w:line="360" w:lineRule="auto"/>
        <w:ind w:firstLine="1440"/>
        <w:rPr>
          <w:rFonts w:ascii="Times New Roman" w:hAnsi="Times New Roman" w:cs="Times New Roman"/>
          <w:sz w:val="26"/>
          <w:szCs w:val="26"/>
        </w:rPr>
      </w:pPr>
    </w:p>
    <w:p w14:paraId="03052DCE" w14:textId="237BB630" w:rsidR="00BC3295" w:rsidRPr="00242347" w:rsidRDefault="00415171" w:rsidP="00A46051">
      <w:pPr>
        <w:widowControl w:val="0"/>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Accordingly, we find that the ALJ properly </w:t>
      </w:r>
      <w:r w:rsidR="00952706">
        <w:rPr>
          <w:rFonts w:ascii="Times New Roman" w:hAnsi="Times New Roman" w:cs="Times New Roman"/>
          <w:sz w:val="26"/>
          <w:szCs w:val="26"/>
        </w:rPr>
        <w:t>concluded that the Commission cannot lawfully grant</w:t>
      </w:r>
      <w:r w:rsidR="00210350">
        <w:rPr>
          <w:rFonts w:ascii="Times New Roman" w:hAnsi="Times New Roman" w:cs="Times New Roman"/>
          <w:sz w:val="26"/>
          <w:szCs w:val="26"/>
        </w:rPr>
        <w:t xml:space="preserve"> the OCA’s requested relief.  </w:t>
      </w:r>
    </w:p>
    <w:p w14:paraId="5596BF8C" w14:textId="7D71EB7F" w:rsidR="00F51E5A" w:rsidRDefault="00F51E5A" w:rsidP="00F51E5A">
      <w:pPr>
        <w:widowControl w:val="0"/>
        <w:spacing w:after="0" w:line="360" w:lineRule="auto"/>
        <w:rPr>
          <w:rFonts w:ascii="Times New Roman" w:hAnsi="Times New Roman" w:cs="Times New Roman"/>
          <w:b/>
          <w:bCs/>
          <w:sz w:val="26"/>
          <w:szCs w:val="26"/>
        </w:rPr>
      </w:pPr>
    </w:p>
    <w:p w14:paraId="503FE4F7" w14:textId="6BF9F6E7" w:rsidR="00F51E5A" w:rsidRPr="00961660" w:rsidRDefault="00F66404" w:rsidP="00F77C03">
      <w:pPr>
        <w:keepNext/>
        <w:widowControl w:val="0"/>
        <w:spacing w:after="0" w:line="360" w:lineRule="auto"/>
        <w:ind w:firstLine="720"/>
        <w:rPr>
          <w:rFonts w:ascii="Times New Roman" w:hAnsi="Times New Roman" w:cs="Times New Roman"/>
          <w:b/>
          <w:bCs/>
          <w:sz w:val="26"/>
          <w:szCs w:val="26"/>
        </w:rPr>
      </w:pPr>
      <w:r>
        <w:rPr>
          <w:rFonts w:ascii="Times New Roman" w:hAnsi="Times New Roman" w:cs="Times New Roman"/>
          <w:b/>
          <w:bCs/>
          <w:sz w:val="26"/>
          <w:szCs w:val="26"/>
        </w:rPr>
        <w:t>3</w:t>
      </w:r>
      <w:r w:rsidR="00F51E5A" w:rsidRPr="00961660">
        <w:rPr>
          <w:rFonts w:ascii="Times New Roman" w:hAnsi="Times New Roman" w:cs="Times New Roman"/>
          <w:b/>
          <w:bCs/>
          <w:sz w:val="26"/>
          <w:szCs w:val="26"/>
        </w:rPr>
        <w:t>.</w:t>
      </w:r>
      <w:r w:rsidR="00F51E5A" w:rsidRPr="00961660">
        <w:rPr>
          <w:rFonts w:ascii="Times New Roman" w:hAnsi="Times New Roman" w:cs="Times New Roman"/>
          <w:b/>
          <w:bCs/>
          <w:sz w:val="26"/>
          <w:szCs w:val="26"/>
        </w:rPr>
        <w:tab/>
      </w:r>
      <w:r w:rsidR="00D9041C">
        <w:rPr>
          <w:rFonts w:ascii="Times New Roman" w:hAnsi="Times New Roman" w:cs="Times New Roman"/>
          <w:b/>
          <w:bCs/>
          <w:sz w:val="26"/>
          <w:szCs w:val="26"/>
        </w:rPr>
        <w:t>Recovery of RTEP Charges</w:t>
      </w:r>
      <w:r w:rsidR="00F51E5A" w:rsidRPr="00961660">
        <w:rPr>
          <w:rFonts w:ascii="Times New Roman" w:hAnsi="Times New Roman" w:cs="Times New Roman"/>
          <w:b/>
          <w:bCs/>
          <w:sz w:val="26"/>
          <w:szCs w:val="26"/>
        </w:rPr>
        <w:t xml:space="preserve"> – OCA Exc. No. </w:t>
      </w:r>
      <w:r w:rsidR="00D9041C">
        <w:rPr>
          <w:rFonts w:ascii="Times New Roman" w:hAnsi="Times New Roman" w:cs="Times New Roman"/>
          <w:b/>
          <w:bCs/>
          <w:sz w:val="26"/>
          <w:szCs w:val="26"/>
        </w:rPr>
        <w:t>3</w:t>
      </w:r>
    </w:p>
    <w:p w14:paraId="3E3FB11F" w14:textId="77777777" w:rsidR="00F51E5A" w:rsidRDefault="00F51E5A" w:rsidP="00F77C03">
      <w:pPr>
        <w:keepNext/>
        <w:widowControl w:val="0"/>
        <w:spacing w:after="0" w:line="360" w:lineRule="auto"/>
        <w:rPr>
          <w:rFonts w:ascii="Times New Roman" w:hAnsi="Times New Roman" w:cs="Times New Roman"/>
          <w:sz w:val="26"/>
          <w:szCs w:val="26"/>
        </w:rPr>
      </w:pPr>
    </w:p>
    <w:p w14:paraId="2C7AC07D" w14:textId="61E9AF5B" w:rsidR="00F51E5A" w:rsidRDefault="00F51E5A" w:rsidP="00F77C03">
      <w:pPr>
        <w:keepNext/>
        <w:widowControl w:val="0"/>
        <w:spacing w:after="0" w:line="360" w:lineRule="auto"/>
        <w:ind w:left="1440"/>
        <w:rPr>
          <w:rFonts w:ascii="Times New Roman" w:hAnsi="Times New Roman" w:cs="Times New Roman"/>
          <w:b/>
          <w:bCs/>
          <w:sz w:val="26"/>
          <w:szCs w:val="26"/>
        </w:rPr>
      </w:pPr>
      <w:r w:rsidRPr="00F17B77">
        <w:rPr>
          <w:rFonts w:ascii="Times New Roman" w:hAnsi="Times New Roman" w:cs="Times New Roman"/>
          <w:b/>
          <w:bCs/>
          <w:sz w:val="26"/>
          <w:szCs w:val="26"/>
        </w:rPr>
        <w:t>a.</w:t>
      </w:r>
      <w:r w:rsidRPr="00F17B77">
        <w:rPr>
          <w:rFonts w:ascii="Times New Roman" w:hAnsi="Times New Roman" w:cs="Times New Roman"/>
          <w:b/>
          <w:bCs/>
          <w:sz w:val="26"/>
          <w:szCs w:val="26"/>
        </w:rPr>
        <w:tab/>
        <w:t>Initial Decision</w:t>
      </w:r>
    </w:p>
    <w:p w14:paraId="0479FAE5" w14:textId="77777777" w:rsidR="00362E19" w:rsidRPr="00362E19" w:rsidRDefault="00362E19" w:rsidP="00F77C03">
      <w:pPr>
        <w:keepNext/>
        <w:widowControl w:val="0"/>
        <w:spacing w:after="0" w:line="360" w:lineRule="auto"/>
        <w:rPr>
          <w:rFonts w:ascii="Times New Roman" w:hAnsi="Times New Roman" w:cs="Times New Roman"/>
          <w:sz w:val="26"/>
          <w:szCs w:val="26"/>
        </w:rPr>
      </w:pPr>
    </w:p>
    <w:p w14:paraId="63C720AC" w14:textId="76D6D35E" w:rsidR="008F6A7D" w:rsidRDefault="00E21007" w:rsidP="00F77C03">
      <w:pPr>
        <w:keepNext/>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C639BB">
        <w:rPr>
          <w:rFonts w:ascii="Times New Roman" w:hAnsi="Times New Roman" w:cs="Times New Roman"/>
          <w:sz w:val="26"/>
          <w:szCs w:val="26"/>
        </w:rPr>
        <w:t xml:space="preserve">The </w:t>
      </w:r>
      <w:r w:rsidR="00AA1EA3">
        <w:rPr>
          <w:rFonts w:ascii="Times New Roman" w:hAnsi="Times New Roman" w:cs="Times New Roman"/>
          <w:sz w:val="26"/>
          <w:szCs w:val="26"/>
        </w:rPr>
        <w:t xml:space="preserve">ALJ </w:t>
      </w:r>
      <w:r w:rsidR="00C639BB">
        <w:rPr>
          <w:rFonts w:ascii="Times New Roman" w:hAnsi="Times New Roman" w:cs="Times New Roman"/>
          <w:sz w:val="26"/>
          <w:szCs w:val="26"/>
        </w:rPr>
        <w:t>made a Finding of Fact that PECO</w:t>
      </w:r>
      <w:r w:rsidR="002F671D">
        <w:rPr>
          <w:rFonts w:ascii="Times New Roman" w:hAnsi="Times New Roman" w:cs="Times New Roman"/>
          <w:sz w:val="26"/>
          <w:szCs w:val="26"/>
        </w:rPr>
        <w:t xml:space="preserve"> never had the opportunity to recover RTEP charges </w:t>
      </w:r>
      <w:r w:rsidR="00C50B06">
        <w:rPr>
          <w:rFonts w:ascii="Times New Roman" w:hAnsi="Times New Roman" w:cs="Times New Roman"/>
          <w:sz w:val="26"/>
          <w:szCs w:val="26"/>
        </w:rPr>
        <w:t xml:space="preserve">incurred during </w:t>
      </w:r>
      <w:r w:rsidR="00436716">
        <w:rPr>
          <w:rFonts w:ascii="Times New Roman" w:hAnsi="Times New Roman" w:cs="Times New Roman"/>
          <w:sz w:val="26"/>
          <w:szCs w:val="26"/>
        </w:rPr>
        <w:t>2007 through 2010.  Specifically,</w:t>
      </w:r>
      <w:r w:rsidR="00367518">
        <w:rPr>
          <w:rFonts w:ascii="Times New Roman" w:hAnsi="Times New Roman" w:cs="Times New Roman"/>
          <w:sz w:val="26"/>
          <w:szCs w:val="26"/>
        </w:rPr>
        <w:t xml:space="preserve"> the ALJ provided:</w:t>
      </w:r>
      <w:r w:rsidR="005718E7">
        <w:rPr>
          <w:rFonts w:ascii="Times New Roman" w:hAnsi="Times New Roman" w:cs="Times New Roman"/>
          <w:sz w:val="26"/>
          <w:szCs w:val="26"/>
        </w:rPr>
        <w:t xml:space="preserve"> </w:t>
      </w:r>
      <w:r w:rsidR="00862F2E">
        <w:rPr>
          <w:rFonts w:ascii="Times New Roman" w:hAnsi="Times New Roman" w:cs="Times New Roman"/>
          <w:sz w:val="26"/>
          <w:szCs w:val="26"/>
        </w:rPr>
        <w:t xml:space="preserve"> </w:t>
      </w:r>
      <w:r w:rsidR="005718E7">
        <w:rPr>
          <w:rFonts w:ascii="Times New Roman" w:hAnsi="Times New Roman" w:cs="Times New Roman"/>
          <w:sz w:val="26"/>
          <w:szCs w:val="26"/>
        </w:rPr>
        <w:t>“</w:t>
      </w:r>
      <w:r w:rsidR="00367518">
        <w:rPr>
          <w:rFonts w:ascii="Times New Roman" w:hAnsi="Times New Roman" w:cs="Times New Roman"/>
          <w:sz w:val="26"/>
          <w:szCs w:val="26"/>
        </w:rPr>
        <w:t>These PJM bill credits related to RTEP charges that were never passed through to customers and which PECO never had the opportunity to include for recovery</w:t>
      </w:r>
      <w:r w:rsidR="00FB177C">
        <w:rPr>
          <w:rFonts w:ascii="Times New Roman" w:hAnsi="Times New Roman" w:cs="Times New Roman"/>
          <w:sz w:val="26"/>
          <w:szCs w:val="26"/>
        </w:rPr>
        <w:t xml:space="preserve"> in any rates it charged to customers.</w:t>
      </w:r>
      <w:r w:rsidR="005718E7">
        <w:rPr>
          <w:rFonts w:ascii="Times New Roman" w:hAnsi="Times New Roman" w:cs="Times New Roman"/>
          <w:sz w:val="26"/>
          <w:szCs w:val="26"/>
        </w:rPr>
        <w:t xml:space="preserve">”  I.D. at </w:t>
      </w:r>
      <w:r w:rsidR="008F6A7D">
        <w:rPr>
          <w:rFonts w:ascii="Times New Roman" w:hAnsi="Times New Roman" w:cs="Times New Roman"/>
          <w:sz w:val="26"/>
          <w:szCs w:val="26"/>
        </w:rPr>
        <w:t xml:space="preserve">14; Finding of Fact No. 42 (internal citations omitted).  </w:t>
      </w:r>
    </w:p>
    <w:p w14:paraId="2AE9A48F" w14:textId="4E3837C4" w:rsidR="0019371D" w:rsidRDefault="0019371D">
      <w:pPr>
        <w:rPr>
          <w:rFonts w:ascii="Times New Roman" w:hAnsi="Times New Roman" w:cs="Times New Roman"/>
          <w:sz w:val="26"/>
          <w:szCs w:val="26"/>
        </w:rPr>
      </w:pPr>
    </w:p>
    <w:p w14:paraId="350C23D6" w14:textId="1D359033" w:rsidR="00F460B0" w:rsidRPr="00F460B0" w:rsidRDefault="00F460B0" w:rsidP="00A45770">
      <w:pPr>
        <w:keepNext/>
        <w:widowControl w:val="0"/>
        <w:spacing w:after="0" w:line="360" w:lineRule="auto"/>
        <w:ind w:left="720" w:firstLine="720"/>
        <w:rPr>
          <w:rFonts w:ascii="Times New Roman" w:hAnsi="Times New Roman" w:cs="Times New Roman"/>
          <w:b/>
          <w:bCs/>
          <w:sz w:val="26"/>
          <w:szCs w:val="26"/>
        </w:rPr>
      </w:pPr>
      <w:r w:rsidRPr="00F460B0">
        <w:rPr>
          <w:rFonts w:ascii="Times New Roman" w:hAnsi="Times New Roman" w:cs="Times New Roman"/>
          <w:b/>
          <w:bCs/>
          <w:sz w:val="26"/>
          <w:szCs w:val="26"/>
        </w:rPr>
        <w:lastRenderedPageBreak/>
        <w:t>b.</w:t>
      </w:r>
      <w:r w:rsidRPr="00F460B0">
        <w:rPr>
          <w:rFonts w:ascii="Times New Roman" w:hAnsi="Times New Roman" w:cs="Times New Roman"/>
          <w:b/>
          <w:bCs/>
          <w:sz w:val="26"/>
          <w:szCs w:val="26"/>
        </w:rPr>
        <w:tab/>
        <w:t>Exception and Reply</w:t>
      </w:r>
    </w:p>
    <w:p w14:paraId="5D5C0F52" w14:textId="77777777" w:rsidR="00F460B0" w:rsidRDefault="00F460B0" w:rsidP="00A45770">
      <w:pPr>
        <w:keepNext/>
        <w:widowControl w:val="0"/>
        <w:spacing w:after="0" w:line="360" w:lineRule="auto"/>
        <w:rPr>
          <w:rFonts w:ascii="Times New Roman" w:hAnsi="Times New Roman" w:cs="Times New Roman"/>
          <w:sz w:val="26"/>
          <w:szCs w:val="26"/>
        </w:rPr>
      </w:pPr>
    </w:p>
    <w:p w14:paraId="773806C2" w14:textId="791368A4" w:rsidR="000B6E16" w:rsidRDefault="00F460B0" w:rsidP="00A45770">
      <w:pPr>
        <w:keepNext/>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9A7AEA">
        <w:rPr>
          <w:rFonts w:ascii="Times New Roman" w:hAnsi="Times New Roman" w:cs="Times New Roman"/>
          <w:sz w:val="26"/>
          <w:szCs w:val="26"/>
        </w:rPr>
        <w:t xml:space="preserve">In its Exception, the OCA argues that the ALJ erred in </w:t>
      </w:r>
      <w:r w:rsidR="00B15B8C">
        <w:rPr>
          <w:rFonts w:ascii="Times New Roman" w:hAnsi="Times New Roman" w:cs="Times New Roman"/>
          <w:sz w:val="26"/>
          <w:szCs w:val="26"/>
        </w:rPr>
        <w:t xml:space="preserve">finding </w:t>
      </w:r>
      <w:r w:rsidR="00FD2CA4">
        <w:rPr>
          <w:rFonts w:ascii="Times New Roman" w:hAnsi="Times New Roman" w:cs="Times New Roman"/>
          <w:sz w:val="26"/>
          <w:szCs w:val="26"/>
        </w:rPr>
        <w:t xml:space="preserve">that PECO never </w:t>
      </w:r>
      <w:r w:rsidR="00032EB7">
        <w:rPr>
          <w:rFonts w:ascii="Times New Roman" w:hAnsi="Times New Roman" w:cs="Times New Roman"/>
          <w:sz w:val="26"/>
          <w:szCs w:val="26"/>
        </w:rPr>
        <w:t xml:space="preserve">had the opportunity to recover RTEP charges during the </w:t>
      </w:r>
      <w:r w:rsidR="00C77A2E">
        <w:rPr>
          <w:rFonts w:ascii="Times New Roman" w:hAnsi="Times New Roman" w:cs="Times New Roman"/>
          <w:sz w:val="26"/>
          <w:szCs w:val="26"/>
        </w:rPr>
        <w:t>2007 through 2010</w:t>
      </w:r>
      <w:r w:rsidR="00032EB7">
        <w:rPr>
          <w:rFonts w:ascii="Times New Roman" w:hAnsi="Times New Roman" w:cs="Times New Roman"/>
          <w:sz w:val="26"/>
          <w:szCs w:val="26"/>
        </w:rPr>
        <w:t xml:space="preserve"> period.  </w:t>
      </w:r>
      <w:r w:rsidR="000B6E16">
        <w:rPr>
          <w:rFonts w:ascii="Times New Roman" w:hAnsi="Times New Roman" w:cs="Times New Roman"/>
          <w:sz w:val="26"/>
          <w:szCs w:val="26"/>
        </w:rPr>
        <w:t>Accordingly, t</w:t>
      </w:r>
      <w:r w:rsidR="00F373E2">
        <w:rPr>
          <w:rFonts w:ascii="Times New Roman" w:hAnsi="Times New Roman" w:cs="Times New Roman"/>
          <w:sz w:val="26"/>
          <w:szCs w:val="26"/>
        </w:rPr>
        <w:t>he OCA submits that the Commission</w:t>
      </w:r>
      <w:r w:rsidR="000B6E16">
        <w:rPr>
          <w:rFonts w:ascii="Times New Roman" w:hAnsi="Times New Roman" w:cs="Times New Roman"/>
          <w:sz w:val="26"/>
          <w:szCs w:val="26"/>
        </w:rPr>
        <w:t xml:space="preserve"> should not adopt Finding of Fact No. 42.  Exc. at 17.</w:t>
      </w:r>
    </w:p>
    <w:p w14:paraId="2AC536AE" w14:textId="77777777" w:rsidR="000B6E16" w:rsidRDefault="000B6E16" w:rsidP="00FB177C">
      <w:pPr>
        <w:widowControl w:val="0"/>
        <w:spacing w:after="0" w:line="360" w:lineRule="auto"/>
        <w:rPr>
          <w:rFonts w:ascii="Times New Roman" w:hAnsi="Times New Roman" w:cs="Times New Roman"/>
          <w:sz w:val="26"/>
          <w:szCs w:val="26"/>
        </w:rPr>
      </w:pPr>
    </w:p>
    <w:p w14:paraId="1AE1070E" w14:textId="6E53020A" w:rsidR="005E4B88" w:rsidRDefault="000B6E16" w:rsidP="00FB177C">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bookmarkStart w:id="4" w:name="_Hlk73541310"/>
      <w:r w:rsidR="00061FB4">
        <w:rPr>
          <w:rFonts w:ascii="Times New Roman" w:hAnsi="Times New Roman" w:cs="Times New Roman"/>
          <w:sz w:val="26"/>
          <w:szCs w:val="26"/>
        </w:rPr>
        <w:t xml:space="preserve">In support, the OCA </w:t>
      </w:r>
      <w:r w:rsidR="009A3738">
        <w:rPr>
          <w:rFonts w:ascii="Times New Roman" w:hAnsi="Times New Roman" w:cs="Times New Roman"/>
          <w:sz w:val="26"/>
          <w:szCs w:val="26"/>
        </w:rPr>
        <w:t>contends that PECO failed to take</w:t>
      </w:r>
      <w:r w:rsidR="00B56798">
        <w:rPr>
          <w:rFonts w:ascii="Times New Roman" w:hAnsi="Times New Roman" w:cs="Times New Roman"/>
          <w:sz w:val="26"/>
          <w:szCs w:val="26"/>
        </w:rPr>
        <w:t xml:space="preserve"> advantage of two ratemaking courses of action </w:t>
      </w:r>
      <w:r w:rsidR="001514FE">
        <w:rPr>
          <w:rFonts w:ascii="Times New Roman" w:hAnsi="Times New Roman" w:cs="Times New Roman"/>
          <w:sz w:val="26"/>
          <w:szCs w:val="26"/>
        </w:rPr>
        <w:t xml:space="preserve">available when a transmission rate generates insufficient revenue to recover a utility’s transmission capital costs or operating expenses. </w:t>
      </w:r>
      <w:r w:rsidR="00B34208">
        <w:rPr>
          <w:rFonts w:ascii="Times New Roman" w:hAnsi="Times New Roman" w:cs="Times New Roman"/>
          <w:sz w:val="26"/>
          <w:szCs w:val="26"/>
        </w:rPr>
        <w:t xml:space="preserve"> First, the Company coul</w:t>
      </w:r>
      <w:r w:rsidR="008B391B">
        <w:rPr>
          <w:rFonts w:ascii="Times New Roman" w:hAnsi="Times New Roman" w:cs="Times New Roman"/>
          <w:sz w:val="26"/>
          <w:szCs w:val="26"/>
        </w:rPr>
        <w:t xml:space="preserve">d have constructed a transmission revenue requirement that included </w:t>
      </w:r>
      <w:r w:rsidR="00B922AA">
        <w:rPr>
          <w:rFonts w:ascii="Times New Roman" w:hAnsi="Times New Roman" w:cs="Times New Roman"/>
          <w:sz w:val="26"/>
          <w:szCs w:val="26"/>
        </w:rPr>
        <w:t>all current costs and apply to FERC for approval of a new</w:t>
      </w:r>
      <w:r w:rsidR="00F25B0A">
        <w:rPr>
          <w:rFonts w:ascii="Times New Roman" w:hAnsi="Times New Roman" w:cs="Times New Roman"/>
          <w:sz w:val="26"/>
          <w:szCs w:val="26"/>
        </w:rPr>
        <w:t>ly</w:t>
      </w:r>
      <w:r w:rsidR="0032343C">
        <w:rPr>
          <w:rFonts w:ascii="Times New Roman" w:hAnsi="Times New Roman" w:cs="Times New Roman"/>
          <w:sz w:val="26"/>
          <w:szCs w:val="26"/>
        </w:rPr>
        <w:t xml:space="preserve"> stated transmission rate to recover its transmission costs.  Second, PECO </w:t>
      </w:r>
      <w:r w:rsidR="000B7B64">
        <w:rPr>
          <w:rFonts w:ascii="Times New Roman" w:hAnsi="Times New Roman" w:cs="Times New Roman"/>
          <w:sz w:val="26"/>
          <w:szCs w:val="26"/>
        </w:rPr>
        <w:t xml:space="preserve">could have applied to FERC for approval of a transmission formula rate on </w:t>
      </w:r>
      <w:r w:rsidR="00862F2E">
        <w:rPr>
          <w:rFonts w:ascii="Times New Roman" w:hAnsi="Times New Roman" w:cs="Times New Roman"/>
          <w:sz w:val="26"/>
          <w:szCs w:val="26"/>
        </w:rPr>
        <w:t xml:space="preserve">an </w:t>
      </w:r>
      <w:r w:rsidR="000B7B64">
        <w:rPr>
          <w:rFonts w:ascii="Times New Roman" w:hAnsi="Times New Roman" w:cs="Times New Roman"/>
          <w:sz w:val="26"/>
          <w:szCs w:val="26"/>
        </w:rPr>
        <w:t xml:space="preserve">annual basis that </w:t>
      </w:r>
      <w:r w:rsidR="003803EF">
        <w:rPr>
          <w:rFonts w:ascii="Times New Roman" w:hAnsi="Times New Roman" w:cs="Times New Roman"/>
          <w:sz w:val="26"/>
          <w:szCs w:val="26"/>
        </w:rPr>
        <w:t xml:space="preserve">would have adjusted rates to recover all its costs. </w:t>
      </w:r>
      <w:bookmarkEnd w:id="4"/>
      <w:r w:rsidR="003803EF">
        <w:rPr>
          <w:rFonts w:ascii="Times New Roman" w:hAnsi="Times New Roman" w:cs="Times New Roman"/>
          <w:sz w:val="26"/>
          <w:szCs w:val="26"/>
        </w:rPr>
        <w:t xml:space="preserve"> Noting that PECO </w:t>
      </w:r>
      <w:r w:rsidR="004424CA">
        <w:rPr>
          <w:rFonts w:ascii="Times New Roman" w:hAnsi="Times New Roman" w:cs="Times New Roman"/>
          <w:sz w:val="26"/>
          <w:szCs w:val="26"/>
        </w:rPr>
        <w:t xml:space="preserve">neglected to pursue either action, the OCA also asserts that the Company </w:t>
      </w:r>
      <w:r w:rsidR="0039648C">
        <w:rPr>
          <w:rFonts w:ascii="Times New Roman" w:hAnsi="Times New Roman" w:cs="Times New Roman"/>
          <w:sz w:val="26"/>
          <w:szCs w:val="26"/>
        </w:rPr>
        <w:t>failed to file for deferral when the RTEP charges were being incurred</w:t>
      </w:r>
      <w:r w:rsidR="001E790B">
        <w:rPr>
          <w:rFonts w:ascii="Times New Roman" w:hAnsi="Times New Roman" w:cs="Times New Roman"/>
          <w:sz w:val="26"/>
          <w:szCs w:val="26"/>
        </w:rPr>
        <w:t xml:space="preserve"> when PECO could have done so at any time</w:t>
      </w:r>
      <w:r w:rsidR="00B228F5">
        <w:rPr>
          <w:rFonts w:ascii="Times New Roman" w:hAnsi="Times New Roman" w:cs="Times New Roman"/>
          <w:sz w:val="26"/>
          <w:szCs w:val="26"/>
        </w:rPr>
        <w:t xml:space="preserve"> from 2007 through 2010.  Instead, the OCA argues, PECO waited until 2010 to file a base rate case requesting a reconcilable surcharge that incl</w:t>
      </w:r>
      <w:r w:rsidR="005E4B88">
        <w:rPr>
          <w:rFonts w:ascii="Times New Roman" w:hAnsi="Times New Roman" w:cs="Times New Roman"/>
          <w:sz w:val="26"/>
          <w:szCs w:val="26"/>
        </w:rPr>
        <w:t>uded the RTEP expense.  Exc. at 18-19.</w:t>
      </w:r>
    </w:p>
    <w:p w14:paraId="18DD52E4" w14:textId="77777777" w:rsidR="005E4B88" w:rsidRDefault="005E4B88" w:rsidP="00FB177C">
      <w:pPr>
        <w:widowControl w:val="0"/>
        <w:spacing w:after="0" w:line="360" w:lineRule="auto"/>
        <w:rPr>
          <w:rFonts w:ascii="Times New Roman" w:hAnsi="Times New Roman" w:cs="Times New Roman"/>
          <w:sz w:val="26"/>
          <w:szCs w:val="26"/>
        </w:rPr>
      </w:pPr>
    </w:p>
    <w:p w14:paraId="11CF9FFF" w14:textId="007A30ED" w:rsidR="00A52780" w:rsidRDefault="005E4B88" w:rsidP="00FB177C">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sidR="0035766D">
        <w:rPr>
          <w:rFonts w:ascii="Times New Roman" w:hAnsi="Times New Roman" w:cs="Times New Roman"/>
          <w:sz w:val="26"/>
          <w:szCs w:val="26"/>
        </w:rPr>
        <w:tab/>
        <w:t xml:space="preserve">Further, the OCA submits that Finding of Fact </w:t>
      </w:r>
      <w:r w:rsidR="00C03935">
        <w:rPr>
          <w:rFonts w:ascii="Times New Roman" w:hAnsi="Times New Roman" w:cs="Times New Roman"/>
          <w:sz w:val="26"/>
          <w:szCs w:val="26"/>
        </w:rPr>
        <w:t>No. 42 is incorrect because there was no bar in place preventing PECO from taking action to specifically recove</w:t>
      </w:r>
      <w:r w:rsidR="00C86BD0">
        <w:rPr>
          <w:rFonts w:ascii="Times New Roman" w:hAnsi="Times New Roman" w:cs="Times New Roman"/>
          <w:sz w:val="26"/>
          <w:szCs w:val="26"/>
        </w:rPr>
        <w:t xml:space="preserve">r the RTEP expense </w:t>
      </w:r>
      <w:r w:rsidR="00425C1F">
        <w:rPr>
          <w:rFonts w:ascii="Times New Roman" w:hAnsi="Times New Roman" w:cs="Times New Roman"/>
          <w:sz w:val="26"/>
          <w:szCs w:val="26"/>
        </w:rPr>
        <w:t xml:space="preserve">similar to the actions of other electric distribution companies.  </w:t>
      </w:r>
      <w:r w:rsidR="00234B6D">
        <w:rPr>
          <w:rFonts w:ascii="Times New Roman" w:hAnsi="Times New Roman" w:cs="Times New Roman"/>
          <w:sz w:val="26"/>
          <w:szCs w:val="26"/>
        </w:rPr>
        <w:t xml:space="preserve">As an example, the OCA cites to </w:t>
      </w:r>
      <w:r w:rsidR="00376EDA">
        <w:rPr>
          <w:rFonts w:ascii="Times New Roman" w:hAnsi="Times New Roman" w:cs="Times New Roman"/>
          <w:sz w:val="26"/>
          <w:szCs w:val="26"/>
        </w:rPr>
        <w:t xml:space="preserve">the authorization of PPL Electric Utilities Corporation (PPL) receiving Commission permission to establish a TSC applicable to </w:t>
      </w:r>
      <w:r w:rsidR="007307EE">
        <w:rPr>
          <w:rFonts w:ascii="Times New Roman" w:hAnsi="Times New Roman" w:cs="Times New Roman"/>
          <w:sz w:val="26"/>
          <w:szCs w:val="26"/>
        </w:rPr>
        <w:t>transmission services purchased from PJM</w:t>
      </w:r>
      <w:r w:rsidR="00096F31">
        <w:rPr>
          <w:rFonts w:ascii="Times New Roman" w:hAnsi="Times New Roman" w:cs="Times New Roman"/>
          <w:sz w:val="26"/>
          <w:szCs w:val="26"/>
        </w:rPr>
        <w:t xml:space="preserve">’s </w:t>
      </w:r>
      <w:r w:rsidR="004B45C0">
        <w:rPr>
          <w:rFonts w:ascii="Times New Roman" w:hAnsi="Times New Roman" w:cs="Times New Roman"/>
          <w:sz w:val="26"/>
          <w:szCs w:val="26"/>
        </w:rPr>
        <w:t>open access transmission tariff</w:t>
      </w:r>
      <w:r w:rsidR="007307EE">
        <w:rPr>
          <w:rFonts w:ascii="Times New Roman" w:hAnsi="Times New Roman" w:cs="Times New Roman"/>
          <w:sz w:val="26"/>
          <w:szCs w:val="26"/>
        </w:rPr>
        <w:t xml:space="preserve"> to provide service to PPL’s POLR customer</w:t>
      </w:r>
      <w:r w:rsidR="008C70A0">
        <w:rPr>
          <w:rFonts w:ascii="Times New Roman" w:hAnsi="Times New Roman" w:cs="Times New Roman"/>
          <w:sz w:val="26"/>
          <w:szCs w:val="26"/>
        </w:rPr>
        <w:t>s</w:t>
      </w:r>
      <w:r w:rsidR="007307EE">
        <w:rPr>
          <w:rFonts w:ascii="Times New Roman" w:hAnsi="Times New Roman" w:cs="Times New Roman"/>
          <w:sz w:val="26"/>
          <w:szCs w:val="26"/>
        </w:rPr>
        <w:t xml:space="preserve"> in 2004.  </w:t>
      </w:r>
      <w:r w:rsidR="00F8742D">
        <w:rPr>
          <w:rFonts w:ascii="Times New Roman" w:hAnsi="Times New Roman" w:cs="Times New Roman"/>
          <w:sz w:val="26"/>
          <w:szCs w:val="26"/>
        </w:rPr>
        <w:t xml:space="preserve">Exc. at 19 (citing </w:t>
      </w:r>
      <w:r w:rsidR="00F8742D" w:rsidRPr="00316EF9">
        <w:rPr>
          <w:rFonts w:ascii="Times New Roman" w:hAnsi="Times New Roman" w:cs="Times New Roman"/>
          <w:i/>
          <w:iCs/>
          <w:sz w:val="26"/>
          <w:szCs w:val="26"/>
        </w:rPr>
        <w:t>Pa. PUC</w:t>
      </w:r>
      <w:r w:rsidR="00ED7DCE" w:rsidRPr="00316EF9">
        <w:rPr>
          <w:rFonts w:ascii="Times New Roman" w:hAnsi="Times New Roman" w:cs="Times New Roman"/>
          <w:i/>
          <w:iCs/>
          <w:sz w:val="26"/>
          <w:szCs w:val="26"/>
        </w:rPr>
        <w:t>, et al. v. PPL Electric Utilities Corp.</w:t>
      </w:r>
      <w:r w:rsidR="00ED7DCE">
        <w:rPr>
          <w:rFonts w:ascii="Times New Roman" w:hAnsi="Times New Roman" w:cs="Times New Roman"/>
          <w:sz w:val="26"/>
          <w:szCs w:val="26"/>
        </w:rPr>
        <w:t>, Docket Nos. R-0049</w:t>
      </w:r>
      <w:r w:rsidR="006F2DC6">
        <w:rPr>
          <w:rFonts w:ascii="Times New Roman" w:hAnsi="Times New Roman" w:cs="Times New Roman"/>
          <w:sz w:val="26"/>
          <w:szCs w:val="26"/>
        </w:rPr>
        <w:t xml:space="preserve">255, </w:t>
      </w:r>
      <w:r w:rsidR="006F2DC6" w:rsidRPr="00316EF9">
        <w:rPr>
          <w:rFonts w:ascii="Times New Roman" w:hAnsi="Times New Roman" w:cs="Times New Roman"/>
          <w:i/>
          <w:iCs/>
          <w:sz w:val="26"/>
          <w:szCs w:val="26"/>
        </w:rPr>
        <w:t>et al.</w:t>
      </w:r>
      <w:r w:rsidR="006F2DC6">
        <w:rPr>
          <w:rFonts w:ascii="Times New Roman" w:hAnsi="Times New Roman" w:cs="Times New Roman"/>
          <w:sz w:val="26"/>
          <w:szCs w:val="26"/>
        </w:rPr>
        <w:t>, 2004 Pa. PUC LEXIS 40</w:t>
      </w:r>
      <w:r w:rsidR="00F373E2">
        <w:rPr>
          <w:rFonts w:ascii="Times New Roman" w:hAnsi="Times New Roman" w:cs="Times New Roman"/>
          <w:sz w:val="26"/>
          <w:szCs w:val="26"/>
        </w:rPr>
        <w:t xml:space="preserve"> </w:t>
      </w:r>
      <w:r w:rsidR="00316EF9">
        <w:rPr>
          <w:rFonts w:ascii="Times New Roman" w:hAnsi="Times New Roman" w:cs="Times New Roman"/>
          <w:sz w:val="26"/>
          <w:szCs w:val="26"/>
        </w:rPr>
        <w:t>(Order entered December</w:t>
      </w:r>
      <w:r w:rsidR="00A45770">
        <w:rPr>
          <w:rFonts w:ascii="Times New Roman" w:hAnsi="Times New Roman" w:cs="Times New Roman"/>
          <w:sz w:val="26"/>
          <w:szCs w:val="26"/>
        </w:rPr>
        <w:t> </w:t>
      </w:r>
      <w:r w:rsidR="00316EF9">
        <w:rPr>
          <w:rFonts w:ascii="Times New Roman" w:hAnsi="Times New Roman" w:cs="Times New Roman"/>
          <w:sz w:val="26"/>
          <w:szCs w:val="26"/>
        </w:rPr>
        <w:t>22,</w:t>
      </w:r>
      <w:r w:rsidR="00A45770">
        <w:rPr>
          <w:rFonts w:ascii="Times New Roman" w:hAnsi="Times New Roman" w:cs="Times New Roman"/>
          <w:sz w:val="26"/>
          <w:szCs w:val="26"/>
        </w:rPr>
        <w:t> </w:t>
      </w:r>
      <w:r w:rsidR="00316EF9">
        <w:rPr>
          <w:rFonts w:ascii="Times New Roman" w:hAnsi="Times New Roman" w:cs="Times New Roman"/>
          <w:sz w:val="26"/>
          <w:szCs w:val="26"/>
        </w:rPr>
        <w:t xml:space="preserve">2004)).  </w:t>
      </w:r>
    </w:p>
    <w:p w14:paraId="068FAA62" w14:textId="72C2725E" w:rsidR="00367518" w:rsidRDefault="000F3DA1" w:rsidP="00A52780">
      <w:pPr>
        <w:widowControl w:val="0"/>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In addition, the OCA cites to the authorization of the FirstEnergy Companies</w:t>
      </w:r>
      <w:r w:rsidR="00930A60">
        <w:rPr>
          <w:rFonts w:ascii="Times New Roman" w:hAnsi="Times New Roman" w:cs="Times New Roman"/>
          <w:sz w:val="26"/>
          <w:szCs w:val="26"/>
        </w:rPr>
        <w:t xml:space="preserve"> </w:t>
      </w:r>
      <w:r w:rsidR="002F56DC">
        <w:rPr>
          <w:rFonts w:ascii="Times New Roman" w:hAnsi="Times New Roman" w:cs="Times New Roman"/>
          <w:sz w:val="26"/>
          <w:szCs w:val="26"/>
        </w:rPr>
        <w:t xml:space="preserve">(FirstEnergy) </w:t>
      </w:r>
      <w:r w:rsidR="00930A60">
        <w:rPr>
          <w:rFonts w:ascii="Times New Roman" w:hAnsi="Times New Roman" w:cs="Times New Roman"/>
          <w:sz w:val="26"/>
          <w:szCs w:val="26"/>
        </w:rPr>
        <w:t>to establish their TSC, designed to include all transmission service-related costs incurred to meet</w:t>
      </w:r>
      <w:r w:rsidR="00D549EB">
        <w:rPr>
          <w:rFonts w:ascii="Times New Roman" w:hAnsi="Times New Roman" w:cs="Times New Roman"/>
          <w:sz w:val="26"/>
          <w:szCs w:val="26"/>
        </w:rPr>
        <w:t xml:space="preserve"> their POLR obligations in early 2007.  </w:t>
      </w:r>
      <w:r w:rsidR="00513F85">
        <w:rPr>
          <w:rFonts w:ascii="Times New Roman" w:hAnsi="Times New Roman" w:cs="Times New Roman"/>
          <w:sz w:val="26"/>
          <w:szCs w:val="26"/>
        </w:rPr>
        <w:t xml:space="preserve">In that case, the OCA asserts that </w:t>
      </w:r>
      <w:r w:rsidR="002F56DC">
        <w:rPr>
          <w:rFonts w:ascii="Times New Roman" w:hAnsi="Times New Roman" w:cs="Times New Roman"/>
          <w:sz w:val="26"/>
          <w:szCs w:val="26"/>
        </w:rPr>
        <w:t>when the Commission authorized FirstEnergy</w:t>
      </w:r>
      <w:r w:rsidR="00A83B3C">
        <w:rPr>
          <w:rFonts w:ascii="Times New Roman" w:hAnsi="Times New Roman" w:cs="Times New Roman"/>
          <w:sz w:val="26"/>
          <w:szCs w:val="26"/>
        </w:rPr>
        <w:t xml:space="preserve"> to establish a TSC</w:t>
      </w:r>
      <w:r w:rsidR="006E75BC">
        <w:rPr>
          <w:rFonts w:ascii="Times New Roman" w:hAnsi="Times New Roman" w:cs="Times New Roman"/>
          <w:sz w:val="26"/>
          <w:szCs w:val="26"/>
        </w:rPr>
        <w:t>,</w:t>
      </w:r>
      <w:r w:rsidR="00A83B3C">
        <w:rPr>
          <w:rFonts w:ascii="Times New Roman" w:hAnsi="Times New Roman" w:cs="Times New Roman"/>
          <w:sz w:val="26"/>
          <w:szCs w:val="26"/>
        </w:rPr>
        <w:t xml:space="preserve"> the Commission also approved a request to recover deferred 2006 transmission expenses.  </w:t>
      </w:r>
      <w:r w:rsidR="00A52780">
        <w:rPr>
          <w:rFonts w:ascii="Times New Roman" w:hAnsi="Times New Roman" w:cs="Times New Roman"/>
          <w:sz w:val="26"/>
          <w:szCs w:val="26"/>
        </w:rPr>
        <w:t xml:space="preserve">Exc. at 19-20 (citing </w:t>
      </w:r>
      <w:r w:rsidR="00820064" w:rsidRPr="00316EF9">
        <w:rPr>
          <w:rFonts w:ascii="Times New Roman" w:hAnsi="Times New Roman" w:cs="Times New Roman"/>
          <w:i/>
          <w:iCs/>
          <w:sz w:val="26"/>
          <w:szCs w:val="26"/>
        </w:rPr>
        <w:t xml:space="preserve">Pa. PUC, et al. v. </w:t>
      </w:r>
      <w:r w:rsidR="00820064">
        <w:rPr>
          <w:rFonts w:ascii="Times New Roman" w:hAnsi="Times New Roman" w:cs="Times New Roman"/>
          <w:i/>
          <w:iCs/>
          <w:sz w:val="26"/>
          <w:szCs w:val="26"/>
        </w:rPr>
        <w:t xml:space="preserve">Pennsylvania Electric Company, </w:t>
      </w:r>
      <w:r w:rsidR="0030249B">
        <w:rPr>
          <w:rFonts w:ascii="Times New Roman" w:hAnsi="Times New Roman" w:cs="Times New Roman"/>
          <w:i/>
          <w:iCs/>
          <w:sz w:val="26"/>
          <w:szCs w:val="26"/>
        </w:rPr>
        <w:t>et al.</w:t>
      </w:r>
      <w:r w:rsidR="00820064">
        <w:rPr>
          <w:rFonts w:ascii="Times New Roman" w:hAnsi="Times New Roman" w:cs="Times New Roman"/>
          <w:sz w:val="26"/>
          <w:szCs w:val="26"/>
        </w:rPr>
        <w:t>, Docket Nos. R-00</w:t>
      </w:r>
      <w:r w:rsidR="0030249B">
        <w:rPr>
          <w:rFonts w:ascii="Times New Roman" w:hAnsi="Times New Roman" w:cs="Times New Roman"/>
          <w:sz w:val="26"/>
          <w:szCs w:val="26"/>
        </w:rPr>
        <w:t>61366</w:t>
      </w:r>
      <w:r w:rsidR="00820064">
        <w:rPr>
          <w:rFonts w:ascii="Times New Roman" w:hAnsi="Times New Roman" w:cs="Times New Roman"/>
          <w:sz w:val="26"/>
          <w:szCs w:val="26"/>
        </w:rPr>
        <w:t xml:space="preserve">, </w:t>
      </w:r>
      <w:r w:rsidR="00820064" w:rsidRPr="00316EF9">
        <w:rPr>
          <w:rFonts w:ascii="Times New Roman" w:hAnsi="Times New Roman" w:cs="Times New Roman"/>
          <w:i/>
          <w:iCs/>
          <w:sz w:val="26"/>
          <w:szCs w:val="26"/>
        </w:rPr>
        <w:t>et al.</w:t>
      </w:r>
      <w:r w:rsidR="00820064">
        <w:rPr>
          <w:rFonts w:ascii="Times New Roman" w:hAnsi="Times New Roman" w:cs="Times New Roman"/>
          <w:sz w:val="26"/>
          <w:szCs w:val="26"/>
        </w:rPr>
        <w:t>, 200</w:t>
      </w:r>
      <w:r w:rsidR="0030249B">
        <w:rPr>
          <w:rFonts w:ascii="Times New Roman" w:hAnsi="Times New Roman" w:cs="Times New Roman"/>
          <w:sz w:val="26"/>
          <w:szCs w:val="26"/>
        </w:rPr>
        <w:t>7</w:t>
      </w:r>
      <w:r w:rsidR="00820064">
        <w:rPr>
          <w:rFonts w:ascii="Times New Roman" w:hAnsi="Times New Roman" w:cs="Times New Roman"/>
          <w:sz w:val="26"/>
          <w:szCs w:val="26"/>
        </w:rPr>
        <w:t xml:space="preserve"> Pa. PUC LEXIS </w:t>
      </w:r>
      <w:r w:rsidR="0030249B">
        <w:rPr>
          <w:rFonts w:ascii="Times New Roman" w:hAnsi="Times New Roman" w:cs="Times New Roman"/>
          <w:sz w:val="26"/>
          <w:szCs w:val="26"/>
        </w:rPr>
        <w:t>5</w:t>
      </w:r>
      <w:r w:rsidR="00820064">
        <w:rPr>
          <w:rFonts w:ascii="Times New Roman" w:hAnsi="Times New Roman" w:cs="Times New Roman"/>
          <w:sz w:val="26"/>
          <w:szCs w:val="26"/>
        </w:rPr>
        <w:t xml:space="preserve"> (Order entered </w:t>
      </w:r>
      <w:r w:rsidR="0030249B">
        <w:rPr>
          <w:rFonts w:ascii="Times New Roman" w:hAnsi="Times New Roman" w:cs="Times New Roman"/>
          <w:sz w:val="26"/>
          <w:szCs w:val="26"/>
        </w:rPr>
        <w:t>January 11</w:t>
      </w:r>
      <w:r w:rsidR="00820064">
        <w:rPr>
          <w:rFonts w:ascii="Times New Roman" w:hAnsi="Times New Roman" w:cs="Times New Roman"/>
          <w:sz w:val="26"/>
          <w:szCs w:val="26"/>
        </w:rPr>
        <w:t>, 200</w:t>
      </w:r>
      <w:r w:rsidR="003752F4">
        <w:rPr>
          <w:rFonts w:ascii="Times New Roman" w:hAnsi="Times New Roman" w:cs="Times New Roman"/>
          <w:sz w:val="26"/>
          <w:szCs w:val="26"/>
        </w:rPr>
        <w:t>7</w:t>
      </w:r>
      <w:r w:rsidR="00820064">
        <w:rPr>
          <w:rFonts w:ascii="Times New Roman" w:hAnsi="Times New Roman" w:cs="Times New Roman"/>
          <w:sz w:val="26"/>
          <w:szCs w:val="26"/>
        </w:rPr>
        <w:t>)</w:t>
      </w:r>
      <w:r w:rsidR="003752F4">
        <w:rPr>
          <w:rFonts w:ascii="Times New Roman" w:hAnsi="Times New Roman" w:cs="Times New Roman"/>
          <w:sz w:val="26"/>
          <w:szCs w:val="26"/>
        </w:rPr>
        <w:t xml:space="preserve">).  The OCA argues that since PECO was </w:t>
      </w:r>
      <w:r w:rsidR="00F808C4">
        <w:rPr>
          <w:rFonts w:ascii="Times New Roman" w:hAnsi="Times New Roman" w:cs="Times New Roman"/>
          <w:sz w:val="26"/>
          <w:szCs w:val="26"/>
        </w:rPr>
        <w:t xml:space="preserve">not under a transmission rate cap from 2007 through </w:t>
      </w:r>
      <w:r w:rsidR="00DD2AA3">
        <w:rPr>
          <w:rFonts w:ascii="Times New Roman" w:hAnsi="Times New Roman" w:cs="Times New Roman"/>
          <w:sz w:val="26"/>
          <w:szCs w:val="26"/>
        </w:rPr>
        <w:t>2010, the Company had similar opportunities to recover RTEP charges before 2010.  Exc.</w:t>
      </w:r>
      <w:r w:rsidR="00892963">
        <w:rPr>
          <w:rFonts w:ascii="Times New Roman" w:hAnsi="Times New Roman" w:cs="Times New Roman"/>
          <w:sz w:val="26"/>
          <w:szCs w:val="26"/>
        </w:rPr>
        <w:t> </w:t>
      </w:r>
      <w:r w:rsidR="00DD2AA3">
        <w:rPr>
          <w:rFonts w:ascii="Times New Roman" w:hAnsi="Times New Roman" w:cs="Times New Roman"/>
          <w:sz w:val="26"/>
          <w:szCs w:val="26"/>
        </w:rPr>
        <w:t xml:space="preserve">at 20.  </w:t>
      </w:r>
    </w:p>
    <w:p w14:paraId="2EFC7AA6" w14:textId="26F9F332" w:rsidR="00DD2AA3" w:rsidRDefault="00DD2AA3" w:rsidP="00A52780">
      <w:pPr>
        <w:widowControl w:val="0"/>
        <w:spacing w:after="0" w:line="360" w:lineRule="auto"/>
        <w:ind w:firstLine="1440"/>
        <w:rPr>
          <w:rFonts w:ascii="Times New Roman" w:hAnsi="Times New Roman" w:cs="Times New Roman"/>
          <w:sz w:val="26"/>
          <w:szCs w:val="26"/>
        </w:rPr>
      </w:pPr>
    </w:p>
    <w:p w14:paraId="5DF3842D" w14:textId="40A95B8F" w:rsidR="00DD2AA3" w:rsidRDefault="00506355" w:rsidP="00A52780">
      <w:pPr>
        <w:widowControl w:val="0"/>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The OCA contends th</w:t>
      </w:r>
      <w:r w:rsidR="004425C6">
        <w:rPr>
          <w:rFonts w:ascii="Times New Roman" w:hAnsi="Times New Roman" w:cs="Times New Roman"/>
          <w:sz w:val="26"/>
          <w:szCs w:val="26"/>
        </w:rPr>
        <w:t>at PECO took no action to recover RTEP charges incurred from 2007 through 2010</w:t>
      </w:r>
      <w:r w:rsidR="00117F41">
        <w:rPr>
          <w:rFonts w:ascii="Times New Roman" w:hAnsi="Times New Roman" w:cs="Times New Roman"/>
          <w:sz w:val="26"/>
          <w:szCs w:val="26"/>
        </w:rPr>
        <w:t xml:space="preserve"> until the Company filed its semiannual adjustment in 2018 </w:t>
      </w:r>
      <w:r w:rsidR="000A6716">
        <w:rPr>
          <w:rFonts w:ascii="Times New Roman" w:hAnsi="Times New Roman" w:cs="Times New Roman"/>
          <w:sz w:val="26"/>
          <w:szCs w:val="26"/>
        </w:rPr>
        <w:t xml:space="preserve">and produced no evidence establishing that its retail transmission rate collected from ratepayers was insufficient in the historical period at issue.  </w:t>
      </w:r>
      <w:r w:rsidR="00F148F9">
        <w:rPr>
          <w:rFonts w:ascii="Times New Roman" w:hAnsi="Times New Roman" w:cs="Times New Roman"/>
          <w:sz w:val="26"/>
          <w:szCs w:val="26"/>
        </w:rPr>
        <w:t>Accordingly, the</w:t>
      </w:r>
      <w:r w:rsidR="004521A0">
        <w:rPr>
          <w:rFonts w:ascii="Times New Roman" w:hAnsi="Times New Roman" w:cs="Times New Roman"/>
          <w:sz w:val="26"/>
          <w:szCs w:val="26"/>
        </w:rPr>
        <w:t xml:space="preserve"> OCA </w:t>
      </w:r>
      <w:r w:rsidR="00343DEC">
        <w:rPr>
          <w:rFonts w:ascii="Times New Roman" w:hAnsi="Times New Roman" w:cs="Times New Roman"/>
          <w:sz w:val="26"/>
          <w:szCs w:val="26"/>
        </w:rPr>
        <w:t>submits</w:t>
      </w:r>
      <w:r w:rsidR="004521A0">
        <w:rPr>
          <w:rFonts w:ascii="Times New Roman" w:hAnsi="Times New Roman" w:cs="Times New Roman"/>
          <w:sz w:val="26"/>
          <w:szCs w:val="26"/>
        </w:rPr>
        <w:t xml:space="preserve"> that </w:t>
      </w:r>
      <w:r w:rsidR="00F148F9">
        <w:rPr>
          <w:rFonts w:ascii="Times New Roman" w:hAnsi="Times New Roman" w:cs="Times New Roman"/>
          <w:sz w:val="26"/>
          <w:szCs w:val="26"/>
        </w:rPr>
        <w:t xml:space="preserve">the Commission should reject the finding that </w:t>
      </w:r>
      <w:r w:rsidR="00157F19">
        <w:rPr>
          <w:rFonts w:ascii="Times New Roman" w:hAnsi="Times New Roman" w:cs="Times New Roman"/>
          <w:sz w:val="26"/>
          <w:szCs w:val="26"/>
        </w:rPr>
        <w:t xml:space="preserve">PECO never had the opportunity to recover the </w:t>
      </w:r>
      <w:r w:rsidR="00F61EDD">
        <w:rPr>
          <w:rFonts w:ascii="Times New Roman" w:hAnsi="Times New Roman" w:cs="Times New Roman"/>
          <w:sz w:val="26"/>
          <w:szCs w:val="26"/>
        </w:rPr>
        <w:t xml:space="preserve">2007 through 2010 RTEP </w:t>
      </w:r>
      <w:r w:rsidR="00157F19">
        <w:rPr>
          <w:rFonts w:ascii="Times New Roman" w:hAnsi="Times New Roman" w:cs="Times New Roman"/>
          <w:sz w:val="26"/>
          <w:szCs w:val="26"/>
        </w:rPr>
        <w:t>charges</w:t>
      </w:r>
      <w:r w:rsidR="00F61EDD">
        <w:rPr>
          <w:rFonts w:ascii="Times New Roman" w:hAnsi="Times New Roman" w:cs="Times New Roman"/>
          <w:sz w:val="26"/>
          <w:szCs w:val="26"/>
        </w:rPr>
        <w:t xml:space="preserve">.  </w:t>
      </w:r>
      <w:r w:rsidR="00D32D71" w:rsidRPr="00D32D71">
        <w:rPr>
          <w:rFonts w:ascii="Times New Roman" w:hAnsi="Times New Roman" w:cs="Times New Roman"/>
          <w:i/>
          <w:iCs/>
          <w:sz w:val="26"/>
          <w:szCs w:val="26"/>
        </w:rPr>
        <w:t>Id</w:t>
      </w:r>
      <w:r w:rsidR="00D32D71">
        <w:rPr>
          <w:rFonts w:ascii="Times New Roman" w:hAnsi="Times New Roman" w:cs="Times New Roman"/>
          <w:sz w:val="26"/>
          <w:szCs w:val="26"/>
        </w:rPr>
        <w:t xml:space="preserve">.  </w:t>
      </w:r>
    </w:p>
    <w:p w14:paraId="3C2A561E" w14:textId="77777777" w:rsidR="00AB01DE" w:rsidRDefault="00AB01DE" w:rsidP="00A52780">
      <w:pPr>
        <w:widowControl w:val="0"/>
        <w:spacing w:after="0" w:line="360" w:lineRule="auto"/>
        <w:ind w:firstLine="1440"/>
        <w:rPr>
          <w:rFonts w:ascii="Times New Roman" w:hAnsi="Times New Roman" w:cs="Times New Roman"/>
          <w:sz w:val="26"/>
          <w:szCs w:val="26"/>
        </w:rPr>
      </w:pPr>
    </w:p>
    <w:p w14:paraId="330291D9" w14:textId="462BCA08" w:rsidR="00E169AD" w:rsidRDefault="00E169AD" w:rsidP="00A52780">
      <w:pPr>
        <w:widowControl w:val="0"/>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its reply, PECO </w:t>
      </w:r>
      <w:r w:rsidR="00CF490C">
        <w:rPr>
          <w:rFonts w:ascii="Times New Roman" w:hAnsi="Times New Roman" w:cs="Times New Roman"/>
          <w:sz w:val="26"/>
          <w:szCs w:val="26"/>
        </w:rPr>
        <w:t>argues that the recor</w:t>
      </w:r>
      <w:r w:rsidR="00AF362F">
        <w:rPr>
          <w:rFonts w:ascii="Times New Roman" w:hAnsi="Times New Roman" w:cs="Times New Roman"/>
          <w:sz w:val="26"/>
          <w:szCs w:val="26"/>
        </w:rPr>
        <w:t xml:space="preserve">d evidence established that the RTEP charges imposed between 2007 </w:t>
      </w:r>
      <w:r w:rsidR="005A631D">
        <w:rPr>
          <w:rFonts w:ascii="Times New Roman" w:hAnsi="Times New Roman" w:cs="Times New Roman"/>
          <w:sz w:val="26"/>
          <w:szCs w:val="26"/>
        </w:rPr>
        <w:t>through</w:t>
      </w:r>
      <w:r w:rsidR="007373DD">
        <w:rPr>
          <w:rFonts w:ascii="Times New Roman" w:hAnsi="Times New Roman" w:cs="Times New Roman"/>
          <w:sz w:val="26"/>
          <w:szCs w:val="26"/>
        </w:rPr>
        <w:t xml:space="preserve"> </w:t>
      </w:r>
      <w:r w:rsidR="00AF362F">
        <w:rPr>
          <w:rFonts w:ascii="Times New Roman" w:hAnsi="Times New Roman" w:cs="Times New Roman"/>
          <w:sz w:val="26"/>
          <w:szCs w:val="26"/>
        </w:rPr>
        <w:t>2010</w:t>
      </w:r>
      <w:r w:rsidR="001F75C0">
        <w:rPr>
          <w:rFonts w:ascii="Times New Roman" w:hAnsi="Times New Roman" w:cs="Times New Roman"/>
          <w:sz w:val="26"/>
          <w:szCs w:val="26"/>
        </w:rPr>
        <w:t xml:space="preserve"> could not have been re</w:t>
      </w:r>
      <w:r w:rsidR="00812518">
        <w:rPr>
          <w:rFonts w:ascii="Times New Roman" w:hAnsi="Times New Roman" w:cs="Times New Roman"/>
          <w:sz w:val="26"/>
          <w:szCs w:val="26"/>
        </w:rPr>
        <w:t xml:space="preserve">flected in establishing the Company’s 1989 base rates in effect during that period.  </w:t>
      </w:r>
      <w:r w:rsidR="00977349">
        <w:rPr>
          <w:rFonts w:ascii="Times New Roman" w:hAnsi="Times New Roman" w:cs="Times New Roman"/>
          <w:sz w:val="26"/>
          <w:szCs w:val="26"/>
        </w:rPr>
        <w:t xml:space="preserve">PECO objects to </w:t>
      </w:r>
      <w:r w:rsidR="003636E2">
        <w:rPr>
          <w:rFonts w:ascii="Times New Roman" w:hAnsi="Times New Roman" w:cs="Times New Roman"/>
          <w:sz w:val="26"/>
          <w:szCs w:val="26"/>
        </w:rPr>
        <w:t xml:space="preserve">what it characterizes as </w:t>
      </w:r>
      <w:r w:rsidR="00FD1138">
        <w:rPr>
          <w:rFonts w:ascii="Times New Roman" w:hAnsi="Times New Roman" w:cs="Times New Roman"/>
          <w:sz w:val="26"/>
          <w:szCs w:val="26"/>
        </w:rPr>
        <w:t xml:space="preserve">a </w:t>
      </w:r>
      <w:r w:rsidR="00977349">
        <w:rPr>
          <w:rFonts w:ascii="Times New Roman" w:hAnsi="Times New Roman" w:cs="Times New Roman"/>
          <w:sz w:val="26"/>
          <w:szCs w:val="26"/>
        </w:rPr>
        <w:t xml:space="preserve">legally flawed argument that </w:t>
      </w:r>
      <w:r w:rsidR="00A90492">
        <w:rPr>
          <w:rFonts w:ascii="Times New Roman" w:hAnsi="Times New Roman" w:cs="Times New Roman"/>
          <w:sz w:val="26"/>
          <w:szCs w:val="26"/>
        </w:rPr>
        <w:t>the Company’s approved rates should not be considered Commission-made because</w:t>
      </w:r>
      <w:r w:rsidR="00215D46">
        <w:rPr>
          <w:rFonts w:ascii="Times New Roman" w:hAnsi="Times New Roman" w:cs="Times New Roman"/>
          <w:sz w:val="26"/>
          <w:szCs w:val="26"/>
        </w:rPr>
        <w:t xml:space="preserve"> PECO had </w:t>
      </w:r>
      <w:r w:rsidR="006576B6">
        <w:rPr>
          <w:rFonts w:ascii="Times New Roman" w:hAnsi="Times New Roman" w:cs="Times New Roman"/>
          <w:sz w:val="26"/>
          <w:szCs w:val="26"/>
        </w:rPr>
        <w:t xml:space="preserve">the opportunity to ask for an increase in those rates to recover admittedly unrecognized RTEP charges.  </w:t>
      </w:r>
      <w:r w:rsidR="00870958">
        <w:rPr>
          <w:rFonts w:ascii="Times New Roman" w:hAnsi="Times New Roman" w:cs="Times New Roman"/>
          <w:sz w:val="26"/>
          <w:szCs w:val="26"/>
        </w:rPr>
        <w:t xml:space="preserve">According to PECO, there is no exception to the preclusive effect of Section 316 of the Code and the </w:t>
      </w:r>
      <w:r w:rsidR="002F3E25">
        <w:rPr>
          <w:rFonts w:ascii="Times New Roman" w:hAnsi="Times New Roman" w:cs="Times New Roman"/>
          <w:sz w:val="26"/>
          <w:szCs w:val="26"/>
        </w:rPr>
        <w:t xml:space="preserve">Commission-made rate doctrine.  </w:t>
      </w:r>
      <w:r w:rsidR="0082056F">
        <w:rPr>
          <w:rFonts w:ascii="Times New Roman" w:hAnsi="Times New Roman" w:cs="Times New Roman"/>
          <w:sz w:val="26"/>
          <w:szCs w:val="26"/>
        </w:rPr>
        <w:t xml:space="preserve">R. Exc. at 9.  </w:t>
      </w:r>
    </w:p>
    <w:p w14:paraId="29545455" w14:textId="23341061" w:rsidR="0082056F" w:rsidRDefault="0082056F" w:rsidP="00A52780">
      <w:pPr>
        <w:widowControl w:val="0"/>
        <w:spacing w:after="0" w:line="360" w:lineRule="auto"/>
        <w:ind w:firstLine="1440"/>
        <w:rPr>
          <w:rFonts w:ascii="Times New Roman" w:hAnsi="Times New Roman" w:cs="Times New Roman"/>
          <w:sz w:val="26"/>
          <w:szCs w:val="26"/>
        </w:rPr>
      </w:pPr>
    </w:p>
    <w:p w14:paraId="1F65285D" w14:textId="43DEAFD0" w:rsidR="0082056F" w:rsidRDefault="0082056F" w:rsidP="00A52780">
      <w:pPr>
        <w:widowControl w:val="0"/>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PECO contends that </w:t>
      </w:r>
      <w:r w:rsidR="003216C8">
        <w:rPr>
          <w:rFonts w:ascii="Times New Roman" w:hAnsi="Times New Roman" w:cs="Times New Roman"/>
          <w:sz w:val="26"/>
          <w:szCs w:val="26"/>
        </w:rPr>
        <w:t>the OCA conflates the Company’s Commission-ju</w:t>
      </w:r>
      <w:r w:rsidR="00196C7B">
        <w:rPr>
          <w:rFonts w:ascii="Times New Roman" w:hAnsi="Times New Roman" w:cs="Times New Roman"/>
          <w:sz w:val="26"/>
          <w:szCs w:val="26"/>
        </w:rPr>
        <w:t xml:space="preserve">risdictional retail rates – the only rates in which PECO could recover RTEP charges it </w:t>
      </w:r>
      <w:r w:rsidR="00196C7B">
        <w:rPr>
          <w:rFonts w:ascii="Times New Roman" w:hAnsi="Times New Roman" w:cs="Times New Roman"/>
          <w:sz w:val="26"/>
          <w:szCs w:val="26"/>
        </w:rPr>
        <w:lastRenderedPageBreak/>
        <w:t>incurred</w:t>
      </w:r>
      <w:r w:rsidR="00B64F6C">
        <w:rPr>
          <w:rFonts w:ascii="Times New Roman" w:hAnsi="Times New Roman" w:cs="Times New Roman"/>
          <w:sz w:val="26"/>
          <w:szCs w:val="26"/>
        </w:rPr>
        <w:t xml:space="preserve"> as an LSE to serve its retail load – with its FERC-jurisdictional </w:t>
      </w:r>
      <w:r w:rsidR="0017237B">
        <w:rPr>
          <w:rFonts w:ascii="Times New Roman" w:hAnsi="Times New Roman" w:cs="Times New Roman"/>
          <w:sz w:val="26"/>
          <w:szCs w:val="26"/>
        </w:rPr>
        <w:t>NITS rates.  PECO avers that it charges its FERC-approved NITS rates to other LSEs</w:t>
      </w:r>
      <w:r w:rsidR="00AE599B">
        <w:rPr>
          <w:rFonts w:ascii="Times New Roman" w:hAnsi="Times New Roman" w:cs="Times New Roman"/>
          <w:sz w:val="26"/>
          <w:szCs w:val="26"/>
        </w:rPr>
        <w:t>, and those charges are not designed or intended to recover transmission charges</w:t>
      </w:r>
      <w:r w:rsidR="0051526D">
        <w:rPr>
          <w:rFonts w:ascii="Times New Roman" w:hAnsi="Times New Roman" w:cs="Times New Roman"/>
          <w:sz w:val="26"/>
          <w:szCs w:val="26"/>
        </w:rPr>
        <w:t xml:space="preserve">, including RTEP charges, that PJM imposes on PECO in its capacity as an LSE.  </w:t>
      </w:r>
      <w:r w:rsidR="0051526D" w:rsidRPr="0051526D">
        <w:rPr>
          <w:rFonts w:ascii="Times New Roman" w:hAnsi="Times New Roman" w:cs="Times New Roman"/>
          <w:i/>
          <w:iCs/>
          <w:sz w:val="26"/>
          <w:szCs w:val="26"/>
        </w:rPr>
        <w:t>Id</w:t>
      </w:r>
      <w:r w:rsidR="0051526D">
        <w:rPr>
          <w:rFonts w:ascii="Times New Roman" w:hAnsi="Times New Roman" w:cs="Times New Roman"/>
          <w:sz w:val="26"/>
          <w:szCs w:val="26"/>
        </w:rPr>
        <w:t xml:space="preserve">.  </w:t>
      </w:r>
    </w:p>
    <w:p w14:paraId="510B87EB" w14:textId="15A43D8E" w:rsidR="00517BDE" w:rsidRDefault="00517BDE" w:rsidP="00A52780">
      <w:pPr>
        <w:widowControl w:val="0"/>
        <w:spacing w:after="0" w:line="360" w:lineRule="auto"/>
        <w:ind w:firstLine="1440"/>
        <w:rPr>
          <w:rFonts w:ascii="Times New Roman" w:hAnsi="Times New Roman" w:cs="Times New Roman"/>
          <w:sz w:val="26"/>
          <w:szCs w:val="26"/>
        </w:rPr>
      </w:pPr>
    </w:p>
    <w:p w14:paraId="7AC940CC" w14:textId="31994666" w:rsidR="00517BDE" w:rsidRDefault="00517BDE" w:rsidP="00A52780">
      <w:pPr>
        <w:widowControl w:val="0"/>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PECO argues that it is not seeking to recover a deficiency in its pre-2011 base rates and</w:t>
      </w:r>
      <w:r w:rsidR="004E6CFC">
        <w:rPr>
          <w:rFonts w:ascii="Times New Roman" w:hAnsi="Times New Roman" w:cs="Times New Roman"/>
          <w:sz w:val="26"/>
          <w:szCs w:val="26"/>
        </w:rPr>
        <w:t>, thus, the OCA’s claim that the Company had the opportunity to recover RTEP</w:t>
      </w:r>
      <w:r w:rsidR="00DA1D93">
        <w:rPr>
          <w:rFonts w:ascii="Times New Roman" w:hAnsi="Times New Roman" w:cs="Times New Roman"/>
          <w:sz w:val="26"/>
          <w:szCs w:val="26"/>
        </w:rPr>
        <w:t xml:space="preserve"> charges is irrelevant to any issue in this case.  </w:t>
      </w:r>
      <w:r w:rsidR="00BD46E3">
        <w:rPr>
          <w:rFonts w:ascii="Times New Roman" w:hAnsi="Times New Roman" w:cs="Times New Roman"/>
          <w:sz w:val="26"/>
          <w:szCs w:val="26"/>
        </w:rPr>
        <w:t xml:space="preserve">The Company proffers that it did not have a TSC or NBT in effect prior to </w:t>
      </w:r>
      <w:r w:rsidR="001F70F7">
        <w:rPr>
          <w:rFonts w:ascii="Times New Roman" w:hAnsi="Times New Roman" w:cs="Times New Roman"/>
          <w:sz w:val="26"/>
          <w:szCs w:val="26"/>
        </w:rPr>
        <w:t xml:space="preserve">January 2, 2011, and the base rates PECO charged between 2007 </w:t>
      </w:r>
      <w:r w:rsidR="00860B25">
        <w:rPr>
          <w:rFonts w:ascii="Times New Roman" w:hAnsi="Times New Roman" w:cs="Times New Roman"/>
          <w:sz w:val="26"/>
          <w:szCs w:val="26"/>
        </w:rPr>
        <w:t>through</w:t>
      </w:r>
      <w:r w:rsidR="001F70F7">
        <w:rPr>
          <w:rFonts w:ascii="Times New Roman" w:hAnsi="Times New Roman" w:cs="Times New Roman"/>
          <w:sz w:val="26"/>
          <w:szCs w:val="26"/>
        </w:rPr>
        <w:t xml:space="preserve"> 2010 were established </w:t>
      </w:r>
      <w:r w:rsidR="00CB2D41">
        <w:rPr>
          <w:rFonts w:ascii="Times New Roman" w:hAnsi="Times New Roman" w:cs="Times New Roman"/>
          <w:sz w:val="26"/>
          <w:szCs w:val="26"/>
        </w:rPr>
        <w:t xml:space="preserve">in 1989 based on </w:t>
      </w:r>
      <w:r w:rsidR="008A1066">
        <w:rPr>
          <w:rFonts w:ascii="Times New Roman" w:hAnsi="Times New Roman" w:cs="Times New Roman"/>
          <w:sz w:val="26"/>
          <w:szCs w:val="26"/>
        </w:rPr>
        <w:t xml:space="preserve">a </w:t>
      </w:r>
      <w:r w:rsidR="00CB2D41">
        <w:rPr>
          <w:rFonts w:ascii="Times New Roman" w:hAnsi="Times New Roman" w:cs="Times New Roman"/>
          <w:sz w:val="26"/>
          <w:szCs w:val="26"/>
        </w:rPr>
        <w:t xml:space="preserve">revenue requirement that did not include PJM’s RTEP billings.  </w:t>
      </w:r>
      <w:r w:rsidR="00AD2E8C">
        <w:rPr>
          <w:rFonts w:ascii="Times New Roman" w:hAnsi="Times New Roman" w:cs="Times New Roman"/>
          <w:sz w:val="26"/>
          <w:szCs w:val="26"/>
        </w:rPr>
        <w:t xml:space="preserve">PECO reiterates that the credits at issue </w:t>
      </w:r>
      <w:r w:rsidR="003A5F03">
        <w:rPr>
          <w:rFonts w:ascii="Times New Roman" w:hAnsi="Times New Roman" w:cs="Times New Roman"/>
          <w:sz w:val="26"/>
          <w:szCs w:val="26"/>
        </w:rPr>
        <w:t xml:space="preserve">apply to transmission service PECO obtained prior to 2011.  </w:t>
      </w:r>
      <w:r w:rsidR="001F742E">
        <w:rPr>
          <w:rFonts w:ascii="Times New Roman" w:hAnsi="Times New Roman" w:cs="Times New Roman"/>
          <w:sz w:val="26"/>
          <w:szCs w:val="26"/>
        </w:rPr>
        <w:t xml:space="preserve">Thus, PECO contends it would be entirely </w:t>
      </w:r>
      <w:r w:rsidR="00E77BAC">
        <w:rPr>
          <w:rFonts w:ascii="Times New Roman" w:hAnsi="Times New Roman" w:cs="Times New Roman"/>
          <w:sz w:val="26"/>
          <w:szCs w:val="26"/>
        </w:rPr>
        <w:t xml:space="preserve">inappropriate to refund credits related to charges that were not reflected in the rates customers paid.  </w:t>
      </w:r>
      <w:r w:rsidR="004416CE" w:rsidRPr="004416CE">
        <w:rPr>
          <w:rFonts w:ascii="Times New Roman" w:hAnsi="Times New Roman" w:cs="Times New Roman"/>
          <w:i/>
          <w:iCs/>
          <w:sz w:val="26"/>
          <w:szCs w:val="26"/>
        </w:rPr>
        <w:t>Id</w:t>
      </w:r>
      <w:r w:rsidR="004416CE">
        <w:rPr>
          <w:rFonts w:ascii="Times New Roman" w:hAnsi="Times New Roman" w:cs="Times New Roman"/>
          <w:sz w:val="26"/>
          <w:szCs w:val="26"/>
        </w:rPr>
        <w:t>. at 15-1</w:t>
      </w:r>
      <w:r w:rsidR="008B17BE">
        <w:rPr>
          <w:rFonts w:ascii="Times New Roman" w:hAnsi="Times New Roman" w:cs="Times New Roman"/>
          <w:sz w:val="26"/>
          <w:szCs w:val="26"/>
        </w:rPr>
        <w:t>8.</w:t>
      </w:r>
    </w:p>
    <w:p w14:paraId="008B2C3A" w14:textId="762C5F45" w:rsidR="007E6BC0" w:rsidRDefault="007E6BC0" w:rsidP="00A52780">
      <w:pPr>
        <w:widowControl w:val="0"/>
        <w:spacing w:after="0" w:line="360" w:lineRule="auto"/>
        <w:ind w:firstLine="1440"/>
        <w:rPr>
          <w:rFonts w:ascii="Times New Roman" w:hAnsi="Times New Roman" w:cs="Times New Roman"/>
          <w:sz w:val="26"/>
          <w:szCs w:val="26"/>
        </w:rPr>
      </w:pPr>
    </w:p>
    <w:p w14:paraId="1F4FDD1B" w14:textId="074E44F7" w:rsidR="007E6BC0" w:rsidRPr="007E6BC0" w:rsidRDefault="007E6BC0" w:rsidP="00892963">
      <w:pPr>
        <w:keepNext/>
        <w:widowControl w:val="0"/>
        <w:spacing w:after="0" w:line="360" w:lineRule="auto"/>
        <w:ind w:firstLine="1440"/>
        <w:rPr>
          <w:rFonts w:ascii="Times New Roman" w:hAnsi="Times New Roman" w:cs="Times New Roman"/>
          <w:b/>
          <w:bCs/>
          <w:sz w:val="26"/>
          <w:szCs w:val="26"/>
        </w:rPr>
      </w:pPr>
      <w:r w:rsidRPr="007E6BC0">
        <w:rPr>
          <w:rFonts w:ascii="Times New Roman" w:hAnsi="Times New Roman" w:cs="Times New Roman"/>
          <w:b/>
          <w:bCs/>
          <w:sz w:val="26"/>
          <w:szCs w:val="26"/>
        </w:rPr>
        <w:t>c.</w:t>
      </w:r>
      <w:r w:rsidRPr="007E6BC0">
        <w:rPr>
          <w:rFonts w:ascii="Times New Roman" w:hAnsi="Times New Roman" w:cs="Times New Roman"/>
          <w:b/>
          <w:bCs/>
          <w:sz w:val="26"/>
          <w:szCs w:val="26"/>
        </w:rPr>
        <w:tab/>
        <w:t>Disposition</w:t>
      </w:r>
    </w:p>
    <w:p w14:paraId="60B87432" w14:textId="77777777" w:rsidR="007E6BC0" w:rsidRDefault="007E6BC0" w:rsidP="00892963">
      <w:pPr>
        <w:keepNext/>
        <w:widowControl w:val="0"/>
        <w:spacing w:after="0" w:line="360" w:lineRule="auto"/>
        <w:ind w:firstLine="1440"/>
        <w:rPr>
          <w:rFonts w:ascii="Times New Roman" w:hAnsi="Times New Roman" w:cs="Times New Roman"/>
          <w:sz w:val="26"/>
          <w:szCs w:val="26"/>
        </w:rPr>
      </w:pPr>
    </w:p>
    <w:p w14:paraId="0D170A65" w14:textId="08AF326E" w:rsidR="008B17BE" w:rsidRDefault="00B91922" w:rsidP="00892963">
      <w:pPr>
        <w:keepNext/>
        <w:widowControl w:val="0"/>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its third Exception, the OCA objects to </w:t>
      </w:r>
      <w:r w:rsidR="00F73511">
        <w:rPr>
          <w:rFonts w:ascii="Times New Roman" w:hAnsi="Times New Roman" w:cs="Times New Roman"/>
          <w:sz w:val="26"/>
          <w:szCs w:val="26"/>
        </w:rPr>
        <w:t xml:space="preserve">the portion of Finding of Fact No. 42 that </w:t>
      </w:r>
      <w:r w:rsidR="00E34AE8">
        <w:rPr>
          <w:rFonts w:ascii="Times New Roman" w:hAnsi="Times New Roman" w:cs="Times New Roman"/>
          <w:sz w:val="26"/>
          <w:szCs w:val="26"/>
        </w:rPr>
        <w:t xml:space="preserve">PECO never had the opportunity to recover RTEP charges during the 2007 </w:t>
      </w:r>
      <w:r w:rsidR="00860B25">
        <w:rPr>
          <w:rFonts w:ascii="Times New Roman" w:hAnsi="Times New Roman" w:cs="Times New Roman"/>
          <w:sz w:val="26"/>
          <w:szCs w:val="26"/>
        </w:rPr>
        <w:t>through</w:t>
      </w:r>
      <w:r w:rsidR="00E34AE8">
        <w:rPr>
          <w:rFonts w:ascii="Times New Roman" w:hAnsi="Times New Roman" w:cs="Times New Roman"/>
          <w:sz w:val="26"/>
          <w:szCs w:val="26"/>
        </w:rPr>
        <w:t xml:space="preserve"> 2010</w:t>
      </w:r>
      <w:r w:rsidR="00860B25">
        <w:rPr>
          <w:rFonts w:ascii="Times New Roman" w:hAnsi="Times New Roman" w:cs="Times New Roman"/>
          <w:sz w:val="26"/>
          <w:szCs w:val="26"/>
        </w:rPr>
        <w:t xml:space="preserve"> time</w:t>
      </w:r>
      <w:r w:rsidR="00E34AE8">
        <w:rPr>
          <w:rFonts w:ascii="Times New Roman" w:hAnsi="Times New Roman" w:cs="Times New Roman"/>
          <w:sz w:val="26"/>
          <w:szCs w:val="26"/>
        </w:rPr>
        <w:t xml:space="preserve"> period.  </w:t>
      </w:r>
      <w:r w:rsidR="00150BF4">
        <w:rPr>
          <w:rFonts w:ascii="Times New Roman" w:hAnsi="Times New Roman" w:cs="Times New Roman"/>
          <w:sz w:val="26"/>
          <w:szCs w:val="26"/>
        </w:rPr>
        <w:t xml:space="preserve">Essentially, the OCA argues that PECO should give </w:t>
      </w:r>
      <w:r w:rsidR="00494065">
        <w:rPr>
          <w:rFonts w:ascii="Times New Roman" w:hAnsi="Times New Roman" w:cs="Times New Roman"/>
          <w:sz w:val="26"/>
          <w:szCs w:val="26"/>
        </w:rPr>
        <w:t>its customers credits against RTEP charges because</w:t>
      </w:r>
      <w:r w:rsidR="00474E2D">
        <w:rPr>
          <w:rFonts w:ascii="Times New Roman" w:hAnsi="Times New Roman" w:cs="Times New Roman"/>
          <w:sz w:val="26"/>
          <w:szCs w:val="26"/>
        </w:rPr>
        <w:t xml:space="preserve"> it had the opportunity </w:t>
      </w:r>
      <w:r w:rsidR="007373DD">
        <w:rPr>
          <w:rFonts w:ascii="Times New Roman" w:hAnsi="Times New Roman" w:cs="Times New Roman"/>
          <w:sz w:val="26"/>
          <w:szCs w:val="26"/>
        </w:rPr>
        <w:t xml:space="preserve">to </w:t>
      </w:r>
      <w:r w:rsidR="00474E2D">
        <w:rPr>
          <w:rFonts w:ascii="Times New Roman" w:hAnsi="Times New Roman" w:cs="Times New Roman"/>
          <w:sz w:val="26"/>
          <w:szCs w:val="26"/>
        </w:rPr>
        <w:t xml:space="preserve">recover those charges by seeking an increase in rates.  </w:t>
      </w:r>
    </w:p>
    <w:p w14:paraId="62F34C41" w14:textId="2AC13B19" w:rsidR="00B567F0" w:rsidRDefault="00B567F0" w:rsidP="00A52780">
      <w:pPr>
        <w:widowControl w:val="0"/>
        <w:spacing w:after="0" w:line="360" w:lineRule="auto"/>
        <w:ind w:firstLine="1440"/>
        <w:rPr>
          <w:rFonts w:ascii="Times New Roman" w:hAnsi="Times New Roman" w:cs="Times New Roman"/>
          <w:sz w:val="26"/>
          <w:szCs w:val="26"/>
        </w:rPr>
      </w:pPr>
    </w:p>
    <w:p w14:paraId="1C28DBBD" w14:textId="2D9B0A95" w:rsidR="005E6A23" w:rsidRDefault="00D2149B" w:rsidP="00892963">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The OCA</w:t>
      </w:r>
      <w:r w:rsidR="009B0FDA">
        <w:rPr>
          <w:rFonts w:ascii="Times New Roman" w:hAnsi="Times New Roman" w:cs="Times New Roman"/>
          <w:sz w:val="26"/>
          <w:szCs w:val="26"/>
        </w:rPr>
        <w:t>’s</w:t>
      </w:r>
      <w:r>
        <w:rPr>
          <w:rFonts w:ascii="Times New Roman" w:hAnsi="Times New Roman" w:cs="Times New Roman"/>
          <w:sz w:val="26"/>
          <w:szCs w:val="26"/>
        </w:rPr>
        <w:t xml:space="preserve"> </w:t>
      </w:r>
      <w:r w:rsidR="008C1574">
        <w:rPr>
          <w:rFonts w:ascii="Times New Roman" w:hAnsi="Times New Roman" w:cs="Times New Roman"/>
          <w:sz w:val="26"/>
          <w:szCs w:val="26"/>
        </w:rPr>
        <w:t>object</w:t>
      </w:r>
      <w:r w:rsidR="00763B13">
        <w:rPr>
          <w:rFonts w:ascii="Times New Roman" w:hAnsi="Times New Roman" w:cs="Times New Roman"/>
          <w:sz w:val="26"/>
          <w:szCs w:val="26"/>
        </w:rPr>
        <w:t xml:space="preserve">ion </w:t>
      </w:r>
      <w:r w:rsidR="0008583D">
        <w:rPr>
          <w:rFonts w:ascii="Times New Roman" w:hAnsi="Times New Roman" w:cs="Times New Roman"/>
          <w:sz w:val="26"/>
          <w:szCs w:val="26"/>
        </w:rPr>
        <w:t>is premised on the c</w:t>
      </w:r>
      <w:r w:rsidR="0099526C">
        <w:rPr>
          <w:rFonts w:ascii="Times New Roman" w:hAnsi="Times New Roman" w:cs="Times New Roman"/>
          <w:sz w:val="26"/>
          <w:szCs w:val="26"/>
        </w:rPr>
        <w:t>ontention</w:t>
      </w:r>
      <w:r w:rsidR="0008583D">
        <w:rPr>
          <w:rFonts w:ascii="Times New Roman" w:hAnsi="Times New Roman" w:cs="Times New Roman"/>
          <w:sz w:val="26"/>
          <w:szCs w:val="26"/>
        </w:rPr>
        <w:t xml:space="preserve"> that PECO </w:t>
      </w:r>
      <w:r w:rsidR="008F44F8">
        <w:rPr>
          <w:rFonts w:ascii="Times New Roman" w:hAnsi="Times New Roman" w:cs="Times New Roman"/>
          <w:sz w:val="26"/>
          <w:szCs w:val="26"/>
        </w:rPr>
        <w:t>is attempting to impose costs on customers today through its NBT</w:t>
      </w:r>
      <w:r w:rsidR="009B0FDA">
        <w:rPr>
          <w:rFonts w:ascii="Times New Roman" w:hAnsi="Times New Roman" w:cs="Times New Roman"/>
          <w:sz w:val="26"/>
          <w:szCs w:val="26"/>
        </w:rPr>
        <w:t xml:space="preserve"> because its base rates during the </w:t>
      </w:r>
      <w:r w:rsidR="00C77A2E">
        <w:rPr>
          <w:rFonts w:ascii="Times New Roman" w:hAnsi="Times New Roman" w:cs="Times New Roman"/>
          <w:sz w:val="26"/>
          <w:szCs w:val="26"/>
        </w:rPr>
        <w:t>2007 through 2010</w:t>
      </w:r>
      <w:r w:rsidR="009B0FDA">
        <w:rPr>
          <w:rFonts w:ascii="Times New Roman" w:hAnsi="Times New Roman" w:cs="Times New Roman"/>
          <w:sz w:val="26"/>
          <w:szCs w:val="26"/>
        </w:rPr>
        <w:t xml:space="preserve"> </w:t>
      </w:r>
      <w:r w:rsidR="0099526C">
        <w:rPr>
          <w:rFonts w:ascii="Times New Roman" w:hAnsi="Times New Roman" w:cs="Times New Roman"/>
          <w:sz w:val="26"/>
          <w:szCs w:val="26"/>
        </w:rPr>
        <w:t>period</w:t>
      </w:r>
      <w:r w:rsidR="00BB30E8">
        <w:rPr>
          <w:rFonts w:ascii="Times New Roman" w:hAnsi="Times New Roman" w:cs="Times New Roman"/>
          <w:sz w:val="26"/>
          <w:szCs w:val="26"/>
        </w:rPr>
        <w:t xml:space="preserve"> were insufficient to recover the RTEP expense.  </w:t>
      </w:r>
      <w:r w:rsidR="00A76435">
        <w:rPr>
          <w:rFonts w:ascii="Times New Roman" w:hAnsi="Times New Roman" w:cs="Times New Roman"/>
          <w:sz w:val="26"/>
          <w:szCs w:val="26"/>
        </w:rPr>
        <w:t xml:space="preserve">See Exc. at 18.  </w:t>
      </w:r>
      <w:r w:rsidR="00B8014B">
        <w:rPr>
          <w:rFonts w:ascii="Times New Roman" w:hAnsi="Times New Roman" w:cs="Times New Roman"/>
          <w:sz w:val="26"/>
          <w:szCs w:val="26"/>
        </w:rPr>
        <w:t>The</w:t>
      </w:r>
      <w:r w:rsidR="009B288B">
        <w:rPr>
          <w:rFonts w:ascii="Times New Roman" w:hAnsi="Times New Roman" w:cs="Times New Roman"/>
          <w:sz w:val="26"/>
          <w:szCs w:val="26"/>
        </w:rPr>
        <w:t xml:space="preserve"> </w:t>
      </w:r>
      <w:r w:rsidR="00B8014B">
        <w:rPr>
          <w:rFonts w:ascii="Times New Roman" w:hAnsi="Times New Roman" w:cs="Times New Roman"/>
          <w:sz w:val="26"/>
          <w:szCs w:val="26"/>
        </w:rPr>
        <w:t xml:space="preserve">record evidence </w:t>
      </w:r>
      <w:r w:rsidR="009B288B">
        <w:rPr>
          <w:rFonts w:ascii="Times New Roman" w:hAnsi="Times New Roman" w:cs="Times New Roman"/>
          <w:sz w:val="26"/>
          <w:szCs w:val="26"/>
        </w:rPr>
        <w:t>does not</w:t>
      </w:r>
      <w:r w:rsidR="00B8014B">
        <w:rPr>
          <w:rFonts w:ascii="Times New Roman" w:hAnsi="Times New Roman" w:cs="Times New Roman"/>
          <w:sz w:val="26"/>
          <w:szCs w:val="26"/>
        </w:rPr>
        <w:t xml:space="preserve"> support the characterization that </w:t>
      </w:r>
      <w:r w:rsidR="005E0D3E">
        <w:rPr>
          <w:rFonts w:ascii="Times New Roman" w:hAnsi="Times New Roman" w:cs="Times New Roman"/>
          <w:sz w:val="26"/>
          <w:szCs w:val="26"/>
        </w:rPr>
        <w:t>PECO is seeking to adjust its prior rates</w:t>
      </w:r>
      <w:r w:rsidR="003E18E4">
        <w:rPr>
          <w:rFonts w:ascii="Times New Roman" w:hAnsi="Times New Roman" w:cs="Times New Roman"/>
          <w:sz w:val="26"/>
          <w:szCs w:val="26"/>
        </w:rPr>
        <w:t xml:space="preserve"> to make up for any alleged deficiency in recovery of RTEP expenses.  </w:t>
      </w:r>
    </w:p>
    <w:p w14:paraId="16792D1A" w14:textId="3621F58C" w:rsidR="005E6A23" w:rsidRDefault="00066B05" w:rsidP="00A14AF8">
      <w:pPr>
        <w:widowControl w:val="0"/>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A</w:t>
      </w:r>
      <w:r w:rsidR="0044058A">
        <w:rPr>
          <w:rFonts w:ascii="Times New Roman" w:hAnsi="Times New Roman" w:cs="Times New Roman"/>
          <w:sz w:val="26"/>
          <w:szCs w:val="26"/>
        </w:rPr>
        <w:t>s discussed above, PECO did not have a TS</w:t>
      </w:r>
      <w:r w:rsidR="00D44B27">
        <w:rPr>
          <w:rFonts w:ascii="Times New Roman" w:hAnsi="Times New Roman" w:cs="Times New Roman"/>
          <w:sz w:val="26"/>
          <w:szCs w:val="26"/>
        </w:rPr>
        <w:t>C or NBT in effect before January 1, 2011</w:t>
      </w:r>
      <w:r w:rsidR="00B154BA">
        <w:rPr>
          <w:rFonts w:ascii="Times New Roman" w:hAnsi="Times New Roman" w:cs="Times New Roman"/>
          <w:sz w:val="26"/>
          <w:szCs w:val="26"/>
        </w:rPr>
        <w:t>, and t</w:t>
      </w:r>
      <w:r w:rsidR="00926158">
        <w:rPr>
          <w:rFonts w:ascii="Times New Roman" w:hAnsi="Times New Roman" w:cs="Times New Roman"/>
          <w:sz w:val="26"/>
          <w:szCs w:val="26"/>
        </w:rPr>
        <w:t>he base</w:t>
      </w:r>
      <w:r w:rsidR="009F6C90">
        <w:rPr>
          <w:rFonts w:ascii="Times New Roman" w:hAnsi="Times New Roman" w:cs="Times New Roman"/>
          <w:sz w:val="26"/>
          <w:szCs w:val="26"/>
        </w:rPr>
        <w:t xml:space="preserve"> rates PECO charged between 2007 and 2010 wer</w:t>
      </w:r>
      <w:r>
        <w:rPr>
          <w:rFonts w:ascii="Times New Roman" w:hAnsi="Times New Roman" w:cs="Times New Roman"/>
          <w:sz w:val="26"/>
          <w:szCs w:val="26"/>
        </w:rPr>
        <w:t xml:space="preserve">e established in the 1989 </w:t>
      </w:r>
      <w:r w:rsidR="002F0376">
        <w:rPr>
          <w:rFonts w:ascii="Times New Roman" w:hAnsi="Times New Roman" w:cs="Times New Roman"/>
          <w:sz w:val="26"/>
          <w:szCs w:val="26"/>
        </w:rPr>
        <w:t xml:space="preserve">base rate proceeding on a revenue requirement that did not include PJM’s RTEP billings.  </w:t>
      </w:r>
      <w:r w:rsidR="00397AC5">
        <w:rPr>
          <w:rFonts w:ascii="Times New Roman" w:hAnsi="Times New Roman" w:cs="Times New Roman"/>
          <w:sz w:val="26"/>
          <w:szCs w:val="26"/>
        </w:rPr>
        <w:t>Thus, t</w:t>
      </w:r>
      <w:r w:rsidR="002E43EF">
        <w:rPr>
          <w:rFonts w:ascii="Times New Roman" w:hAnsi="Times New Roman" w:cs="Times New Roman"/>
          <w:sz w:val="26"/>
          <w:szCs w:val="26"/>
        </w:rPr>
        <w:t>he 1989 base rates</w:t>
      </w:r>
      <w:r w:rsidR="00C71747">
        <w:rPr>
          <w:rFonts w:ascii="Times New Roman" w:hAnsi="Times New Roman" w:cs="Times New Roman"/>
          <w:sz w:val="26"/>
          <w:szCs w:val="26"/>
        </w:rPr>
        <w:t xml:space="preserve"> did not provide for the recovery of any </w:t>
      </w:r>
      <w:r w:rsidR="002D5588">
        <w:rPr>
          <w:rFonts w:ascii="Times New Roman" w:hAnsi="Times New Roman" w:cs="Times New Roman"/>
          <w:sz w:val="26"/>
          <w:szCs w:val="26"/>
        </w:rPr>
        <w:t xml:space="preserve">RTEP charges because RTEP charges had not been created and the Company </w:t>
      </w:r>
      <w:r w:rsidR="00D2065D">
        <w:rPr>
          <w:rFonts w:ascii="Times New Roman" w:hAnsi="Times New Roman" w:cs="Times New Roman"/>
          <w:sz w:val="26"/>
          <w:szCs w:val="26"/>
        </w:rPr>
        <w:t xml:space="preserve">was not yet incurring those costs.  </w:t>
      </w:r>
      <w:r w:rsidR="009558F6">
        <w:rPr>
          <w:rFonts w:ascii="Times New Roman" w:hAnsi="Times New Roman" w:cs="Times New Roman"/>
          <w:sz w:val="26"/>
          <w:szCs w:val="26"/>
        </w:rPr>
        <w:t>Moreover, the transmission component of the rate for POLR servic</w:t>
      </w:r>
      <w:r w:rsidR="0028005A">
        <w:rPr>
          <w:rFonts w:ascii="Times New Roman" w:hAnsi="Times New Roman" w:cs="Times New Roman"/>
          <w:sz w:val="26"/>
          <w:szCs w:val="26"/>
        </w:rPr>
        <w:t>e that PECO charged prior to January 1, 2011</w:t>
      </w:r>
      <w:r w:rsidR="00DD076B">
        <w:rPr>
          <w:rFonts w:ascii="Times New Roman" w:hAnsi="Times New Roman" w:cs="Times New Roman"/>
          <w:sz w:val="26"/>
          <w:szCs w:val="26"/>
        </w:rPr>
        <w:t>,</w:t>
      </w:r>
      <w:r w:rsidR="0028005A">
        <w:rPr>
          <w:rFonts w:ascii="Times New Roman" w:hAnsi="Times New Roman" w:cs="Times New Roman"/>
          <w:sz w:val="26"/>
          <w:szCs w:val="26"/>
        </w:rPr>
        <w:t xml:space="preserve"> was not subject to </w:t>
      </w:r>
      <w:r w:rsidR="00DB6007">
        <w:rPr>
          <w:rFonts w:ascii="Times New Roman" w:hAnsi="Times New Roman" w:cs="Times New Roman"/>
          <w:sz w:val="26"/>
          <w:szCs w:val="26"/>
        </w:rPr>
        <w:t xml:space="preserve">reconciliation, </w:t>
      </w:r>
      <w:r w:rsidR="00BF124D">
        <w:rPr>
          <w:rFonts w:ascii="Times New Roman" w:hAnsi="Times New Roman" w:cs="Times New Roman"/>
          <w:sz w:val="26"/>
          <w:szCs w:val="26"/>
        </w:rPr>
        <w:t>refund</w:t>
      </w:r>
      <w:r w:rsidR="00806FDC">
        <w:rPr>
          <w:rFonts w:ascii="Times New Roman" w:hAnsi="Times New Roman" w:cs="Times New Roman"/>
          <w:sz w:val="26"/>
          <w:szCs w:val="26"/>
        </w:rPr>
        <w:t>,</w:t>
      </w:r>
      <w:r w:rsidR="00BF124D">
        <w:rPr>
          <w:rFonts w:ascii="Times New Roman" w:hAnsi="Times New Roman" w:cs="Times New Roman"/>
          <w:sz w:val="26"/>
          <w:szCs w:val="26"/>
        </w:rPr>
        <w:t xml:space="preserve"> or </w:t>
      </w:r>
      <w:r w:rsidR="00DB6007">
        <w:rPr>
          <w:rFonts w:ascii="Times New Roman" w:hAnsi="Times New Roman" w:cs="Times New Roman"/>
          <w:sz w:val="26"/>
          <w:szCs w:val="26"/>
        </w:rPr>
        <w:t>recoupment</w:t>
      </w:r>
      <w:r w:rsidR="0028005A">
        <w:rPr>
          <w:rFonts w:ascii="Times New Roman" w:hAnsi="Times New Roman" w:cs="Times New Roman"/>
          <w:sz w:val="26"/>
          <w:szCs w:val="26"/>
        </w:rPr>
        <w:t xml:space="preserve"> like the TSC and NBT.  </w:t>
      </w:r>
      <w:r w:rsidR="00D2065D" w:rsidRPr="00DB6007">
        <w:rPr>
          <w:rFonts w:ascii="Times New Roman" w:hAnsi="Times New Roman" w:cs="Times New Roman"/>
          <w:sz w:val="26"/>
          <w:szCs w:val="26"/>
        </w:rPr>
        <w:t>PECO St. 1 at 7-9; PECO</w:t>
      </w:r>
      <w:r w:rsidR="00A45770">
        <w:rPr>
          <w:rFonts w:ascii="Times New Roman" w:hAnsi="Times New Roman" w:cs="Times New Roman"/>
          <w:sz w:val="26"/>
          <w:szCs w:val="26"/>
        </w:rPr>
        <w:t> </w:t>
      </w:r>
      <w:r w:rsidR="00D2065D" w:rsidRPr="00DB6007">
        <w:rPr>
          <w:rFonts w:ascii="Times New Roman" w:hAnsi="Times New Roman" w:cs="Times New Roman"/>
          <w:sz w:val="26"/>
          <w:szCs w:val="26"/>
        </w:rPr>
        <w:t>St. 1</w:t>
      </w:r>
      <w:r w:rsidR="005E6A23" w:rsidRPr="00DB6007">
        <w:rPr>
          <w:rFonts w:ascii="Times New Roman" w:hAnsi="Times New Roman" w:cs="Times New Roman"/>
          <w:sz w:val="26"/>
          <w:szCs w:val="26"/>
        </w:rPr>
        <w:t>-R at 4-7</w:t>
      </w:r>
      <w:r w:rsidR="005E6A23">
        <w:rPr>
          <w:rFonts w:ascii="Times New Roman" w:hAnsi="Times New Roman" w:cs="Times New Roman"/>
          <w:sz w:val="26"/>
          <w:szCs w:val="26"/>
        </w:rPr>
        <w:t xml:space="preserve">.  </w:t>
      </w:r>
    </w:p>
    <w:p w14:paraId="1746E3D6" w14:textId="77777777" w:rsidR="005E6A23" w:rsidRDefault="005E6A23" w:rsidP="00A14AF8">
      <w:pPr>
        <w:widowControl w:val="0"/>
        <w:spacing w:after="0" w:line="360" w:lineRule="auto"/>
        <w:ind w:firstLine="1440"/>
        <w:rPr>
          <w:rFonts w:ascii="Times New Roman" w:hAnsi="Times New Roman" w:cs="Times New Roman"/>
          <w:sz w:val="26"/>
          <w:szCs w:val="26"/>
        </w:rPr>
      </w:pPr>
    </w:p>
    <w:p w14:paraId="21FF1009" w14:textId="77777777" w:rsidR="000B29FF" w:rsidRDefault="0099754B" w:rsidP="00A14AF8">
      <w:pPr>
        <w:widowControl w:val="0"/>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Accordingly, any attempt by </w:t>
      </w:r>
      <w:r w:rsidR="001161E7">
        <w:rPr>
          <w:rFonts w:ascii="Times New Roman" w:hAnsi="Times New Roman" w:cs="Times New Roman"/>
          <w:sz w:val="26"/>
          <w:szCs w:val="26"/>
        </w:rPr>
        <w:t xml:space="preserve">PECO to </w:t>
      </w:r>
      <w:r w:rsidR="00F6194B">
        <w:rPr>
          <w:rFonts w:ascii="Times New Roman" w:hAnsi="Times New Roman" w:cs="Times New Roman"/>
          <w:sz w:val="26"/>
          <w:szCs w:val="26"/>
        </w:rPr>
        <w:t xml:space="preserve">refund </w:t>
      </w:r>
      <w:r w:rsidR="00177C6B">
        <w:rPr>
          <w:rFonts w:ascii="Times New Roman" w:hAnsi="Times New Roman" w:cs="Times New Roman"/>
          <w:sz w:val="26"/>
          <w:szCs w:val="26"/>
        </w:rPr>
        <w:t xml:space="preserve">RTEP </w:t>
      </w:r>
      <w:r w:rsidR="00F6194B">
        <w:rPr>
          <w:rFonts w:ascii="Times New Roman" w:hAnsi="Times New Roman" w:cs="Times New Roman"/>
          <w:sz w:val="26"/>
          <w:szCs w:val="26"/>
        </w:rPr>
        <w:t>credit</w:t>
      </w:r>
      <w:r w:rsidR="00CA1C98">
        <w:rPr>
          <w:rFonts w:ascii="Times New Roman" w:hAnsi="Times New Roman" w:cs="Times New Roman"/>
          <w:sz w:val="26"/>
          <w:szCs w:val="26"/>
        </w:rPr>
        <w:t xml:space="preserve">s related to charges that </w:t>
      </w:r>
      <w:r w:rsidR="00177C6B">
        <w:rPr>
          <w:rFonts w:ascii="Times New Roman" w:hAnsi="Times New Roman" w:cs="Times New Roman"/>
          <w:sz w:val="26"/>
          <w:szCs w:val="26"/>
        </w:rPr>
        <w:t xml:space="preserve">were not reflected in customer rates would have been inappropriate. </w:t>
      </w:r>
      <w:r w:rsidR="00561DDC">
        <w:rPr>
          <w:rFonts w:ascii="Times New Roman" w:hAnsi="Times New Roman" w:cs="Times New Roman"/>
          <w:sz w:val="26"/>
          <w:szCs w:val="26"/>
        </w:rPr>
        <w:t xml:space="preserve"> Additionally</w:t>
      </w:r>
      <w:r w:rsidR="00177C6B">
        <w:rPr>
          <w:rFonts w:ascii="Times New Roman" w:hAnsi="Times New Roman" w:cs="Times New Roman"/>
          <w:sz w:val="26"/>
          <w:szCs w:val="26"/>
        </w:rPr>
        <w:t xml:space="preserve">, </w:t>
      </w:r>
      <w:r w:rsidR="00985282">
        <w:rPr>
          <w:rFonts w:ascii="Times New Roman" w:hAnsi="Times New Roman" w:cs="Times New Roman"/>
          <w:sz w:val="26"/>
          <w:szCs w:val="26"/>
        </w:rPr>
        <w:t xml:space="preserve">Section 316 of the Code and the Commission-made rates doctrine </w:t>
      </w:r>
      <w:r w:rsidR="00421F5B">
        <w:rPr>
          <w:rFonts w:ascii="Times New Roman" w:hAnsi="Times New Roman" w:cs="Times New Roman"/>
          <w:sz w:val="26"/>
          <w:szCs w:val="26"/>
        </w:rPr>
        <w:t>would have prohibited such a reduction in rates the Commission previously determined to b</w:t>
      </w:r>
      <w:r w:rsidR="00C700B7">
        <w:rPr>
          <w:rFonts w:ascii="Times New Roman" w:hAnsi="Times New Roman" w:cs="Times New Roman"/>
          <w:sz w:val="26"/>
          <w:szCs w:val="26"/>
        </w:rPr>
        <w:t>e</w:t>
      </w:r>
      <w:r w:rsidR="00421F5B">
        <w:rPr>
          <w:rFonts w:ascii="Times New Roman" w:hAnsi="Times New Roman" w:cs="Times New Roman"/>
          <w:sz w:val="26"/>
          <w:szCs w:val="26"/>
        </w:rPr>
        <w:t xml:space="preserve"> just and rea</w:t>
      </w:r>
      <w:r w:rsidR="00C700B7">
        <w:rPr>
          <w:rFonts w:ascii="Times New Roman" w:hAnsi="Times New Roman" w:cs="Times New Roman"/>
          <w:sz w:val="26"/>
          <w:szCs w:val="26"/>
        </w:rPr>
        <w:t xml:space="preserve">sonable. </w:t>
      </w:r>
    </w:p>
    <w:p w14:paraId="76DA0924" w14:textId="77777777" w:rsidR="000B29FF" w:rsidRDefault="000B29FF" w:rsidP="00A14AF8">
      <w:pPr>
        <w:widowControl w:val="0"/>
        <w:spacing w:after="0" w:line="360" w:lineRule="auto"/>
        <w:ind w:firstLine="1440"/>
        <w:rPr>
          <w:rFonts w:ascii="Times New Roman" w:hAnsi="Times New Roman" w:cs="Times New Roman"/>
          <w:sz w:val="26"/>
          <w:szCs w:val="26"/>
        </w:rPr>
      </w:pPr>
    </w:p>
    <w:p w14:paraId="5204ED9F" w14:textId="65AC18CC" w:rsidR="00B567F0" w:rsidRDefault="00CC5B70" w:rsidP="00A14AF8">
      <w:pPr>
        <w:widowControl w:val="0"/>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We conclude that </w:t>
      </w:r>
      <w:r w:rsidR="00262BAB">
        <w:rPr>
          <w:rFonts w:ascii="Times New Roman" w:hAnsi="Times New Roman" w:cs="Times New Roman"/>
          <w:sz w:val="26"/>
          <w:szCs w:val="26"/>
        </w:rPr>
        <w:t xml:space="preserve">Finding of Fact No. 42 </w:t>
      </w:r>
      <w:r w:rsidR="00DC729E">
        <w:rPr>
          <w:rFonts w:ascii="Times New Roman" w:hAnsi="Times New Roman" w:cs="Times New Roman"/>
          <w:sz w:val="26"/>
          <w:szCs w:val="26"/>
        </w:rPr>
        <w:t xml:space="preserve">is an appropriate expression of the record evidence.  </w:t>
      </w:r>
      <w:r>
        <w:rPr>
          <w:rFonts w:ascii="Times New Roman" w:hAnsi="Times New Roman" w:cs="Times New Roman"/>
          <w:sz w:val="26"/>
          <w:szCs w:val="26"/>
        </w:rPr>
        <w:t xml:space="preserve">Thus, we shall deny OCA Exception No. 3.  </w:t>
      </w:r>
      <w:r w:rsidR="00B37EC0">
        <w:rPr>
          <w:rFonts w:ascii="Times New Roman" w:hAnsi="Times New Roman" w:cs="Times New Roman"/>
          <w:sz w:val="26"/>
          <w:szCs w:val="26"/>
        </w:rPr>
        <w:t xml:space="preserve"> </w:t>
      </w:r>
    </w:p>
    <w:p w14:paraId="35D88A5B" w14:textId="77777777" w:rsidR="00FB6C22" w:rsidRDefault="00FB6C22" w:rsidP="00A14AF8">
      <w:pPr>
        <w:widowControl w:val="0"/>
        <w:spacing w:after="0" w:line="360" w:lineRule="auto"/>
        <w:ind w:firstLine="1440"/>
        <w:rPr>
          <w:rFonts w:ascii="Times New Roman" w:hAnsi="Times New Roman" w:cs="Times New Roman"/>
          <w:sz w:val="26"/>
          <w:szCs w:val="26"/>
        </w:rPr>
      </w:pPr>
    </w:p>
    <w:p w14:paraId="7B74CD2B" w14:textId="79C2EEE3" w:rsidR="00257916" w:rsidRPr="00961660" w:rsidRDefault="00355C46" w:rsidP="00892963">
      <w:pPr>
        <w:keepNext/>
        <w:widowControl w:val="0"/>
        <w:spacing w:after="0" w:line="360" w:lineRule="auto"/>
        <w:ind w:firstLine="720"/>
        <w:rPr>
          <w:rFonts w:ascii="Times New Roman" w:hAnsi="Times New Roman" w:cs="Times New Roman"/>
          <w:b/>
          <w:bCs/>
          <w:sz w:val="26"/>
          <w:szCs w:val="26"/>
        </w:rPr>
      </w:pPr>
      <w:r>
        <w:rPr>
          <w:rFonts w:ascii="Times New Roman" w:hAnsi="Times New Roman" w:cs="Times New Roman"/>
          <w:b/>
          <w:bCs/>
          <w:sz w:val="26"/>
          <w:szCs w:val="26"/>
        </w:rPr>
        <w:t>4</w:t>
      </w:r>
      <w:r w:rsidR="00257916" w:rsidRPr="00961660">
        <w:rPr>
          <w:rFonts w:ascii="Times New Roman" w:hAnsi="Times New Roman" w:cs="Times New Roman"/>
          <w:b/>
          <w:bCs/>
          <w:sz w:val="26"/>
          <w:szCs w:val="26"/>
        </w:rPr>
        <w:t>.</w:t>
      </w:r>
      <w:r w:rsidR="00257916" w:rsidRPr="00961660">
        <w:rPr>
          <w:rFonts w:ascii="Times New Roman" w:hAnsi="Times New Roman" w:cs="Times New Roman"/>
          <w:b/>
          <w:bCs/>
          <w:sz w:val="26"/>
          <w:szCs w:val="26"/>
        </w:rPr>
        <w:tab/>
      </w:r>
      <w:r w:rsidR="00DE1023">
        <w:rPr>
          <w:rFonts w:ascii="Times New Roman" w:hAnsi="Times New Roman" w:cs="Times New Roman"/>
          <w:b/>
          <w:bCs/>
          <w:sz w:val="26"/>
          <w:szCs w:val="26"/>
        </w:rPr>
        <w:t xml:space="preserve">Calculation of </w:t>
      </w:r>
      <w:r w:rsidR="009F3F16">
        <w:rPr>
          <w:rFonts w:ascii="Times New Roman" w:hAnsi="Times New Roman" w:cs="Times New Roman"/>
          <w:b/>
          <w:bCs/>
          <w:sz w:val="26"/>
          <w:szCs w:val="26"/>
        </w:rPr>
        <w:t>Refund</w:t>
      </w:r>
      <w:r w:rsidR="00DE1023">
        <w:rPr>
          <w:rFonts w:ascii="Times New Roman" w:hAnsi="Times New Roman" w:cs="Times New Roman"/>
          <w:b/>
          <w:bCs/>
          <w:sz w:val="26"/>
          <w:szCs w:val="26"/>
        </w:rPr>
        <w:t xml:space="preserve"> Credits</w:t>
      </w:r>
      <w:r w:rsidR="00257916" w:rsidRPr="00961660">
        <w:rPr>
          <w:rFonts w:ascii="Times New Roman" w:hAnsi="Times New Roman" w:cs="Times New Roman"/>
          <w:b/>
          <w:bCs/>
          <w:sz w:val="26"/>
          <w:szCs w:val="26"/>
        </w:rPr>
        <w:t xml:space="preserve"> – OCA Exc. No. </w:t>
      </w:r>
      <w:r w:rsidR="00DE1023">
        <w:rPr>
          <w:rFonts w:ascii="Times New Roman" w:hAnsi="Times New Roman" w:cs="Times New Roman"/>
          <w:b/>
          <w:bCs/>
          <w:sz w:val="26"/>
          <w:szCs w:val="26"/>
        </w:rPr>
        <w:t>4</w:t>
      </w:r>
    </w:p>
    <w:p w14:paraId="4AEFE0B5" w14:textId="77777777" w:rsidR="00257916" w:rsidRDefault="00257916" w:rsidP="00892963">
      <w:pPr>
        <w:keepNext/>
        <w:widowControl w:val="0"/>
        <w:spacing w:after="0" w:line="360" w:lineRule="auto"/>
        <w:rPr>
          <w:rFonts w:ascii="Times New Roman" w:hAnsi="Times New Roman" w:cs="Times New Roman"/>
          <w:sz w:val="26"/>
          <w:szCs w:val="26"/>
        </w:rPr>
      </w:pPr>
    </w:p>
    <w:p w14:paraId="6F8C63C8" w14:textId="7DAD5F81" w:rsidR="00257916" w:rsidRDefault="00257916" w:rsidP="00892963">
      <w:pPr>
        <w:keepNext/>
        <w:widowControl w:val="0"/>
        <w:spacing w:after="0" w:line="360" w:lineRule="auto"/>
        <w:ind w:left="1440"/>
        <w:rPr>
          <w:rFonts w:ascii="Times New Roman" w:hAnsi="Times New Roman" w:cs="Times New Roman"/>
          <w:b/>
          <w:bCs/>
          <w:sz w:val="26"/>
          <w:szCs w:val="26"/>
        </w:rPr>
      </w:pPr>
      <w:r w:rsidRPr="00F17B77">
        <w:rPr>
          <w:rFonts w:ascii="Times New Roman" w:hAnsi="Times New Roman" w:cs="Times New Roman"/>
          <w:b/>
          <w:bCs/>
          <w:sz w:val="26"/>
          <w:szCs w:val="26"/>
        </w:rPr>
        <w:t>a.</w:t>
      </w:r>
      <w:r w:rsidRPr="00F17B77">
        <w:rPr>
          <w:rFonts w:ascii="Times New Roman" w:hAnsi="Times New Roman" w:cs="Times New Roman"/>
          <w:b/>
          <w:bCs/>
          <w:sz w:val="26"/>
          <w:szCs w:val="26"/>
        </w:rPr>
        <w:tab/>
        <w:t>Initial Decision</w:t>
      </w:r>
    </w:p>
    <w:p w14:paraId="77DCDC4D" w14:textId="6069E491" w:rsidR="00257916" w:rsidRDefault="00257916" w:rsidP="00892963">
      <w:pPr>
        <w:keepNext/>
        <w:widowControl w:val="0"/>
        <w:spacing w:after="0" w:line="360" w:lineRule="auto"/>
        <w:rPr>
          <w:rFonts w:ascii="Times New Roman" w:hAnsi="Times New Roman" w:cs="Times New Roman"/>
          <w:sz w:val="26"/>
          <w:szCs w:val="26"/>
        </w:rPr>
      </w:pPr>
    </w:p>
    <w:p w14:paraId="59727759" w14:textId="2E9C83D8" w:rsidR="004977E8" w:rsidRDefault="004977E8" w:rsidP="00892963">
      <w:pPr>
        <w:keepNext/>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In the Initial Decision, the ALJ stated that the OCA did not propose any alternative approach to what could </w:t>
      </w:r>
      <w:r w:rsidR="00762ABF">
        <w:rPr>
          <w:rFonts w:ascii="Times New Roman" w:hAnsi="Times New Roman" w:cs="Times New Roman"/>
          <w:sz w:val="26"/>
          <w:szCs w:val="26"/>
        </w:rPr>
        <w:t xml:space="preserve">be considered a reasonable amount of credits under the FERC Settlement Agreement related to the </w:t>
      </w:r>
      <w:r w:rsidR="00C77A2E">
        <w:rPr>
          <w:rFonts w:ascii="Times New Roman" w:hAnsi="Times New Roman" w:cs="Times New Roman"/>
          <w:sz w:val="26"/>
          <w:szCs w:val="26"/>
        </w:rPr>
        <w:t>2007 through 2010</w:t>
      </w:r>
      <w:r w:rsidR="00762ABF">
        <w:rPr>
          <w:rFonts w:ascii="Times New Roman" w:hAnsi="Times New Roman" w:cs="Times New Roman"/>
          <w:sz w:val="26"/>
          <w:szCs w:val="26"/>
        </w:rPr>
        <w:t xml:space="preserve"> period.  </w:t>
      </w:r>
      <w:r w:rsidR="00916555">
        <w:rPr>
          <w:rFonts w:ascii="Times New Roman" w:hAnsi="Times New Roman" w:cs="Times New Roman"/>
          <w:sz w:val="26"/>
          <w:szCs w:val="26"/>
        </w:rPr>
        <w:t xml:space="preserve">Acknowledging that the FERC Settlement Agreement did </w:t>
      </w:r>
      <w:r w:rsidR="009F3F16">
        <w:rPr>
          <w:rFonts w:ascii="Times New Roman" w:hAnsi="Times New Roman" w:cs="Times New Roman"/>
          <w:sz w:val="26"/>
          <w:szCs w:val="26"/>
        </w:rPr>
        <w:t xml:space="preserve">not </w:t>
      </w:r>
      <w:r w:rsidR="00C218B0">
        <w:rPr>
          <w:rFonts w:ascii="Times New Roman" w:hAnsi="Times New Roman" w:cs="Times New Roman"/>
          <w:sz w:val="26"/>
          <w:szCs w:val="26"/>
        </w:rPr>
        <w:t xml:space="preserve">provide related data, the OCA had argued that the only alternative is for the Commission to </w:t>
      </w:r>
      <w:r w:rsidR="007C486A">
        <w:rPr>
          <w:rFonts w:ascii="Times New Roman" w:hAnsi="Times New Roman" w:cs="Times New Roman"/>
          <w:sz w:val="26"/>
          <w:szCs w:val="26"/>
        </w:rPr>
        <w:t xml:space="preserve">assume that the credits related to pre-2011 RTEP charges should be zero.  </w:t>
      </w:r>
      <w:r w:rsidR="00A9125C">
        <w:rPr>
          <w:rFonts w:ascii="Times New Roman" w:hAnsi="Times New Roman" w:cs="Times New Roman"/>
          <w:sz w:val="26"/>
          <w:szCs w:val="26"/>
        </w:rPr>
        <w:t xml:space="preserve">The ALJ found the OCA’s position to </w:t>
      </w:r>
      <w:r w:rsidR="00A9125C">
        <w:rPr>
          <w:rFonts w:ascii="Times New Roman" w:hAnsi="Times New Roman" w:cs="Times New Roman"/>
          <w:sz w:val="26"/>
          <w:szCs w:val="26"/>
        </w:rPr>
        <w:lastRenderedPageBreak/>
        <w:t xml:space="preserve">be unreasonable because </w:t>
      </w:r>
      <w:r w:rsidR="00897C87">
        <w:rPr>
          <w:rFonts w:ascii="Times New Roman" w:hAnsi="Times New Roman" w:cs="Times New Roman"/>
          <w:sz w:val="26"/>
          <w:szCs w:val="26"/>
        </w:rPr>
        <w:t xml:space="preserve">the transmission rates at issue are within the exclusive jurisdiction of FERC and that </w:t>
      </w:r>
      <w:r w:rsidR="009A3BAA">
        <w:rPr>
          <w:rFonts w:ascii="Times New Roman" w:hAnsi="Times New Roman" w:cs="Times New Roman"/>
          <w:sz w:val="26"/>
          <w:szCs w:val="26"/>
        </w:rPr>
        <w:t xml:space="preserve">the Commission is preempted by federal law from ignoring or countermanding FERC’s determination.  </w:t>
      </w:r>
      <w:r w:rsidR="00523B12">
        <w:rPr>
          <w:rFonts w:ascii="Times New Roman" w:hAnsi="Times New Roman" w:cs="Times New Roman"/>
          <w:sz w:val="26"/>
          <w:szCs w:val="26"/>
        </w:rPr>
        <w:t xml:space="preserve">Thus, the ALJ concluded that the OCA is precluded from questioning the </w:t>
      </w:r>
      <w:r w:rsidR="00763E78">
        <w:rPr>
          <w:rFonts w:ascii="Times New Roman" w:hAnsi="Times New Roman" w:cs="Times New Roman"/>
          <w:sz w:val="26"/>
          <w:szCs w:val="26"/>
        </w:rPr>
        <w:t xml:space="preserve">reasonableness of the </w:t>
      </w:r>
      <w:r w:rsidR="00523B12">
        <w:rPr>
          <w:rFonts w:ascii="Times New Roman" w:hAnsi="Times New Roman" w:cs="Times New Roman"/>
          <w:sz w:val="26"/>
          <w:szCs w:val="26"/>
        </w:rPr>
        <w:t xml:space="preserve">time-segmented </w:t>
      </w:r>
      <w:r w:rsidR="00763E78">
        <w:rPr>
          <w:rFonts w:ascii="Times New Roman" w:hAnsi="Times New Roman" w:cs="Times New Roman"/>
          <w:sz w:val="26"/>
          <w:szCs w:val="26"/>
        </w:rPr>
        <w:t>distribution of RTEP charges</w:t>
      </w:r>
      <w:r w:rsidR="00735CE3">
        <w:rPr>
          <w:rFonts w:ascii="Times New Roman" w:hAnsi="Times New Roman" w:cs="Times New Roman"/>
          <w:sz w:val="26"/>
          <w:szCs w:val="26"/>
        </w:rPr>
        <w:t xml:space="preserve"> that PECO relied upon to determine pre-2011 RTEP credits it was entitled to in this matter.  I.D. at 27.  </w:t>
      </w:r>
    </w:p>
    <w:p w14:paraId="434D88A3" w14:textId="107FA1CB" w:rsidR="00735CE3" w:rsidRDefault="00735CE3" w:rsidP="00257916">
      <w:pPr>
        <w:widowControl w:val="0"/>
        <w:spacing w:after="0" w:line="360" w:lineRule="auto"/>
        <w:rPr>
          <w:rFonts w:ascii="Times New Roman" w:hAnsi="Times New Roman" w:cs="Times New Roman"/>
          <w:sz w:val="26"/>
          <w:szCs w:val="26"/>
        </w:rPr>
      </w:pPr>
    </w:p>
    <w:p w14:paraId="0B6EB4A7" w14:textId="7296B419" w:rsidR="00735CE3" w:rsidRDefault="00735CE3" w:rsidP="00257916">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737A97">
        <w:rPr>
          <w:rFonts w:ascii="Times New Roman" w:hAnsi="Times New Roman" w:cs="Times New Roman"/>
          <w:sz w:val="26"/>
          <w:szCs w:val="26"/>
        </w:rPr>
        <w:t xml:space="preserve">Moreover, the ALJ reasoned that even if </w:t>
      </w:r>
      <w:r w:rsidR="00CB5162">
        <w:rPr>
          <w:rFonts w:ascii="Times New Roman" w:hAnsi="Times New Roman" w:cs="Times New Roman"/>
          <w:sz w:val="26"/>
          <w:szCs w:val="26"/>
        </w:rPr>
        <w:t xml:space="preserve">the OCA were correct that additional data might </w:t>
      </w:r>
      <w:r w:rsidR="007823A4">
        <w:rPr>
          <w:rFonts w:ascii="Times New Roman" w:hAnsi="Times New Roman" w:cs="Times New Roman"/>
          <w:sz w:val="26"/>
          <w:szCs w:val="26"/>
        </w:rPr>
        <w:t>facilitate a more precis</w:t>
      </w:r>
      <w:r w:rsidR="00413AE9">
        <w:rPr>
          <w:rFonts w:ascii="Times New Roman" w:hAnsi="Times New Roman" w:cs="Times New Roman"/>
          <w:sz w:val="26"/>
          <w:szCs w:val="26"/>
        </w:rPr>
        <w:t>e</w:t>
      </w:r>
      <w:r w:rsidR="007823A4">
        <w:rPr>
          <w:rFonts w:ascii="Times New Roman" w:hAnsi="Times New Roman" w:cs="Times New Roman"/>
          <w:sz w:val="26"/>
          <w:szCs w:val="26"/>
        </w:rPr>
        <w:t xml:space="preserve"> calculation, the Commission has never insisted on mathematical certitude </w:t>
      </w:r>
      <w:r w:rsidR="00D76E81">
        <w:rPr>
          <w:rFonts w:ascii="Times New Roman" w:hAnsi="Times New Roman" w:cs="Times New Roman"/>
          <w:sz w:val="26"/>
          <w:szCs w:val="26"/>
        </w:rPr>
        <w:t xml:space="preserve">before approving allocations or other adjustments </w:t>
      </w:r>
      <w:r w:rsidR="00413AE9">
        <w:rPr>
          <w:rFonts w:ascii="Times New Roman" w:hAnsi="Times New Roman" w:cs="Times New Roman"/>
          <w:sz w:val="26"/>
          <w:szCs w:val="26"/>
        </w:rPr>
        <w:t xml:space="preserve">to establish reasonable rates.  </w:t>
      </w:r>
      <w:r w:rsidR="00E603F4">
        <w:rPr>
          <w:rFonts w:ascii="Times New Roman" w:hAnsi="Times New Roman" w:cs="Times New Roman"/>
          <w:sz w:val="26"/>
          <w:szCs w:val="26"/>
        </w:rPr>
        <w:t xml:space="preserve">Accordingly, the ALJ concluded that the OCA’s criticisms of PECO’s calculation of the portion of the </w:t>
      </w:r>
      <w:r w:rsidR="00BD5037">
        <w:rPr>
          <w:rFonts w:ascii="Times New Roman" w:hAnsi="Times New Roman" w:cs="Times New Roman"/>
          <w:sz w:val="26"/>
          <w:szCs w:val="26"/>
        </w:rPr>
        <w:t xml:space="preserve">FERC Settlement Agreement related to the 2007 </w:t>
      </w:r>
      <w:r w:rsidR="00773EE6">
        <w:rPr>
          <w:rFonts w:ascii="Times New Roman" w:hAnsi="Times New Roman" w:cs="Times New Roman"/>
          <w:sz w:val="26"/>
          <w:szCs w:val="26"/>
        </w:rPr>
        <w:t>through</w:t>
      </w:r>
      <w:r w:rsidR="00BD5037">
        <w:rPr>
          <w:rFonts w:ascii="Times New Roman" w:hAnsi="Times New Roman" w:cs="Times New Roman"/>
          <w:sz w:val="26"/>
          <w:szCs w:val="26"/>
        </w:rPr>
        <w:t xml:space="preserve"> 2010 period do not provide a valid basis </w:t>
      </w:r>
      <w:r w:rsidR="00DE06F0">
        <w:rPr>
          <w:rFonts w:ascii="Times New Roman" w:hAnsi="Times New Roman" w:cs="Times New Roman"/>
          <w:sz w:val="26"/>
          <w:szCs w:val="26"/>
        </w:rPr>
        <w:t xml:space="preserve">to require the Company to refund those bill credits to customers.  </w:t>
      </w:r>
      <w:r w:rsidR="00DE06F0" w:rsidRPr="00DE06F0">
        <w:rPr>
          <w:rFonts w:ascii="Times New Roman" w:hAnsi="Times New Roman" w:cs="Times New Roman"/>
          <w:i/>
          <w:iCs/>
          <w:sz w:val="26"/>
          <w:szCs w:val="26"/>
        </w:rPr>
        <w:t>Id</w:t>
      </w:r>
      <w:r w:rsidR="00DE06F0">
        <w:rPr>
          <w:rFonts w:ascii="Times New Roman" w:hAnsi="Times New Roman" w:cs="Times New Roman"/>
          <w:sz w:val="26"/>
          <w:szCs w:val="26"/>
        </w:rPr>
        <w:t xml:space="preserve">. at 28.  </w:t>
      </w:r>
    </w:p>
    <w:p w14:paraId="696B97F5" w14:textId="5FB19461" w:rsidR="00DE06F0" w:rsidRDefault="00DE06F0" w:rsidP="00257916">
      <w:pPr>
        <w:widowControl w:val="0"/>
        <w:spacing w:after="0" w:line="360" w:lineRule="auto"/>
        <w:rPr>
          <w:rFonts w:ascii="Times New Roman" w:hAnsi="Times New Roman" w:cs="Times New Roman"/>
          <w:sz w:val="26"/>
          <w:szCs w:val="26"/>
        </w:rPr>
      </w:pPr>
    </w:p>
    <w:p w14:paraId="3A96292D" w14:textId="3666579A" w:rsidR="00DE06F0" w:rsidRPr="00DE06F0" w:rsidRDefault="00DE06F0" w:rsidP="00892963">
      <w:pPr>
        <w:widowControl w:val="0"/>
        <w:spacing w:after="0" w:line="360" w:lineRule="auto"/>
        <w:ind w:left="1440"/>
        <w:rPr>
          <w:rFonts w:ascii="Times New Roman" w:hAnsi="Times New Roman" w:cs="Times New Roman"/>
          <w:b/>
          <w:bCs/>
          <w:sz w:val="26"/>
          <w:szCs w:val="26"/>
        </w:rPr>
      </w:pPr>
      <w:r w:rsidRPr="00DE06F0">
        <w:rPr>
          <w:rFonts w:ascii="Times New Roman" w:hAnsi="Times New Roman" w:cs="Times New Roman"/>
          <w:b/>
          <w:bCs/>
          <w:sz w:val="26"/>
          <w:szCs w:val="26"/>
        </w:rPr>
        <w:t xml:space="preserve">b. </w:t>
      </w:r>
      <w:r w:rsidRPr="00DE06F0">
        <w:rPr>
          <w:rFonts w:ascii="Times New Roman" w:hAnsi="Times New Roman" w:cs="Times New Roman"/>
          <w:b/>
          <w:bCs/>
          <w:sz w:val="26"/>
          <w:szCs w:val="26"/>
        </w:rPr>
        <w:tab/>
        <w:t>Exception and Reply</w:t>
      </w:r>
    </w:p>
    <w:p w14:paraId="43369103" w14:textId="1F65E9C0" w:rsidR="00DE06F0" w:rsidRDefault="00DE06F0" w:rsidP="00257916">
      <w:pPr>
        <w:widowControl w:val="0"/>
        <w:spacing w:after="0" w:line="360" w:lineRule="auto"/>
        <w:rPr>
          <w:rFonts w:ascii="Times New Roman" w:hAnsi="Times New Roman" w:cs="Times New Roman"/>
          <w:sz w:val="26"/>
          <w:szCs w:val="26"/>
        </w:rPr>
      </w:pPr>
    </w:p>
    <w:p w14:paraId="42FF59FF" w14:textId="68155C6B" w:rsidR="00111631" w:rsidRDefault="00DE06F0" w:rsidP="00257916">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FE7B07">
        <w:rPr>
          <w:rFonts w:ascii="Times New Roman" w:hAnsi="Times New Roman" w:cs="Times New Roman"/>
          <w:sz w:val="26"/>
          <w:szCs w:val="26"/>
        </w:rPr>
        <w:t xml:space="preserve">In its Exception, the </w:t>
      </w:r>
      <w:r w:rsidR="00D8179E">
        <w:rPr>
          <w:rFonts w:ascii="Times New Roman" w:hAnsi="Times New Roman" w:cs="Times New Roman"/>
          <w:sz w:val="26"/>
          <w:szCs w:val="26"/>
        </w:rPr>
        <w:t xml:space="preserve">OCA contends that the ALJ erred in noting that the OCA challenged PECO’s calculation of the FERC credits applicable to the </w:t>
      </w:r>
      <w:r w:rsidR="00C77A2E">
        <w:rPr>
          <w:rFonts w:ascii="Times New Roman" w:hAnsi="Times New Roman" w:cs="Times New Roman"/>
          <w:sz w:val="26"/>
          <w:szCs w:val="26"/>
        </w:rPr>
        <w:t>2007 through 2010</w:t>
      </w:r>
      <w:r w:rsidR="00D8179E">
        <w:rPr>
          <w:rFonts w:ascii="Times New Roman" w:hAnsi="Times New Roman" w:cs="Times New Roman"/>
          <w:sz w:val="26"/>
          <w:szCs w:val="26"/>
        </w:rPr>
        <w:t xml:space="preserve"> period.  </w:t>
      </w:r>
      <w:r w:rsidR="004361B4">
        <w:rPr>
          <w:rFonts w:ascii="Times New Roman" w:hAnsi="Times New Roman" w:cs="Times New Roman"/>
          <w:sz w:val="26"/>
          <w:szCs w:val="26"/>
        </w:rPr>
        <w:t xml:space="preserve">In support, the OCA asserts that it </w:t>
      </w:r>
      <w:r w:rsidR="00375A83">
        <w:rPr>
          <w:rFonts w:ascii="Times New Roman" w:hAnsi="Times New Roman" w:cs="Times New Roman"/>
          <w:sz w:val="26"/>
          <w:szCs w:val="26"/>
        </w:rPr>
        <w:t>had accepted PECO’s use of time-segmented data provided by P</w:t>
      </w:r>
      <w:r w:rsidR="00ED0CF7">
        <w:rPr>
          <w:rFonts w:ascii="Times New Roman" w:hAnsi="Times New Roman" w:cs="Times New Roman"/>
          <w:sz w:val="26"/>
          <w:szCs w:val="26"/>
        </w:rPr>
        <w:t xml:space="preserve">JM as a basis for calculating RTEP charges for </w:t>
      </w:r>
      <w:r w:rsidR="00C77A2E">
        <w:rPr>
          <w:rFonts w:ascii="Times New Roman" w:hAnsi="Times New Roman" w:cs="Times New Roman"/>
          <w:sz w:val="26"/>
          <w:szCs w:val="26"/>
        </w:rPr>
        <w:t>2007 through 2010</w:t>
      </w:r>
      <w:r w:rsidR="006A66FD">
        <w:rPr>
          <w:rFonts w:ascii="Times New Roman" w:hAnsi="Times New Roman" w:cs="Times New Roman"/>
          <w:sz w:val="26"/>
          <w:szCs w:val="26"/>
        </w:rPr>
        <w:t xml:space="preserve">.  Exc. at </w:t>
      </w:r>
      <w:r w:rsidR="009C6FE7">
        <w:rPr>
          <w:rFonts w:ascii="Times New Roman" w:hAnsi="Times New Roman" w:cs="Times New Roman"/>
          <w:sz w:val="26"/>
          <w:szCs w:val="26"/>
        </w:rPr>
        <w:t xml:space="preserve">21 (citing OCA R.B. at 19).  </w:t>
      </w:r>
    </w:p>
    <w:p w14:paraId="1766092F" w14:textId="77777777" w:rsidR="00111631" w:rsidRDefault="00111631" w:rsidP="00257916">
      <w:pPr>
        <w:widowControl w:val="0"/>
        <w:spacing w:after="0" w:line="360" w:lineRule="auto"/>
        <w:rPr>
          <w:rFonts w:ascii="Times New Roman" w:hAnsi="Times New Roman" w:cs="Times New Roman"/>
          <w:sz w:val="26"/>
          <w:szCs w:val="26"/>
        </w:rPr>
      </w:pPr>
    </w:p>
    <w:p w14:paraId="23C52412" w14:textId="57E3922F" w:rsidR="00DE06F0" w:rsidRDefault="00111631" w:rsidP="00257916">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6A6D8B">
        <w:rPr>
          <w:rFonts w:ascii="Times New Roman" w:hAnsi="Times New Roman" w:cs="Times New Roman"/>
          <w:sz w:val="26"/>
          <w:szCs w:val="26"/>
        </w:rPr>
        <w:t>T</w:t>
      </w:r>
      <w:r>
        <w:rPr>
          <w:rFonts w:ascii="Times New Roman" w:hAnsi="Times New Roman" w:cs="Times New Roman"/>
          <w:sz w:val="26"/>
          <w:szCs w:val="26"/>
        </w:rPr>
        <w:t xml:space="preserve">he OCA </w:t>
      </w:r>
      <w:r w:rsidR="006A6D8B">
        <w:rPr>
          <w:rFonts w:ascii="Times New Roman" w:hAnsi="Times New Roman" w:cs="Times New Roman"/>
          <w:sz w:val="26"/>
          <w:szCs w:val="26"/>
        </w:rPr>
        <w:t xml:space="preserve">also </w:t>
      </w:r>
      <w:r>
        <w:rPr>
          <w:rFonts w:ascii="Times New Roman" w:hAnsi="Times New Roman" w:cs="Times New Roman"/>
          <w:sz w:val="26"/>
          <w:szCs w:val="26"/>
        </w:rPr>
        <w:t xml:space="preserve">objects to the </w:t>
      </w:r>
      <w:r w:rsidR="0009014C">
        <w:rPr>
          <w:rFonts w:ascii="Times New Roman" w:hAnsi="Times New Roman" w:cs="Times New Roman"/>
          <w:sz w:val="26"/>
          <w:szCs w:val="26"/>
        </w:rPr>
        <w:t>ALJ’s discussion of mathematical certitude pertaining to rates</w:t>
      </w:r>
      <w:r w:rsidR="006A6D8B">
        <w:rPr>
          <w:rFonts w:ascii="Times New Roman" w:hAnsi="Times New Roman" w:cs="Times New Roman"/>
          <w:sz w:val="26"/>
          <w:szCs w:val="26"/>
        </w:rPr>
        <w:t xml:space="preserve"> as being inapplicable to this proceeding.  </w:t>
      </w:r>
      <w:r w:rsidR="008A058C">
        <w:rPr>
          <w:rFonts w:ascii="Times New Roman" w:hAnsi="Times New Roman" w:cs="Times New Roman"/>
          <w:sz w:val="26"/>
          <w:szCs w:val="26"/>
        </w:rPr>
        <w:t xml:space="preserve">According to the OCA, the ALJ mischaracterized </w:t>
      </w:r>
      <w:r w:rsidR="002642C6">
        <w:rPr>
          <w:rFonts w:ascii="Times New Roman" w:hAnsi="Times New Roman" w:cs="Times New Roman"/>
          <w:sz w:val="26"/>
          <w:szCs w:val="26"/>
        </w:rPr>
        <w:t>the OCA’s arguments as a demand for mathematical certainty but then seemingl</w:t>
      </w:r>
      <w:r w:rsidR="006F64A1">
        <w:rPr>
          <w:rFonts w:ascii="Times New Roman" w:hAnsi="Times New Roman" w:cs="Times New Roman"/>
          <w:sz w:val="26"/>
          <w:szCs w:val="26"/>
        </w:rPr>
        <w:t xml:space="preserve">y demanded such certainty from the OCA to prevail.  </w:t>
      </w:r>
      <w:r w:rsidR="008A5C34">
        <w:rPr>
          <w:rFonts w:ascii="Times New Roman" w:hAnsi="Times New Roman" w:cs="Times New Roman"/>
          <w:sz w:val="26"/>
          <w:szCs w:val="26"/>
        </w:rPr>
        <w:t xml:space="preserve">In contrast, the OCA contends, </w:t>
      </w:r>
      <w:r w:rsidR="007E268C">
        <w:rPr>
          <w:rFonts w:ascii="Times New Roman" w:hAnsi="Times New Roman" w:cs="Times New Roman"/>
          <w:sz w:val="26"/>
          <w:szCs w:val="26"/>
        </w:rPr>
        <w:t>that it did not provide an alternative calculation of credits because it accepted P</w:t>
      </w:r>
      <w:r w:rsidR="00BB7D6C">
        <w:rPr>
          <w:rFonts w:ascii="Times New Roman" w:hAnsi="Times New Roman" w:cs="Times New Roman"/>
          <w:sz w:val="26"/>
          <w:szCs w:val="26"/>
        </w:rPr>
        <w:t xml:space="preserve">ECO’s calculation.  The OCA further avers that it never argued that the only alternative </w:t>
      </w:r>
      <w:r w:rsidR="000E400A">
        <w:rPr>
          <w:rFonts w:ascii="Times New Roman" w:hAnsi="Times New Roman" w:cs="Times New Roman"/>
          <w:sz w:val="26"/>
          <w:szCs w:val="26"/>
        </w:rPr>
        <w:lastRenderedPageBreak/>
        <w:t xml:space="preserve">is for the Commission to assume that the FERC Settlement Agreement credits related to pre-2011 </w:t>
      </w:r>
      <w:r w:rsidR="003665E9">
        <w:rPr>
          <w:rFonts w:ascii="Times New Roman" w:hAnsi="Times New Roman" w:cs="Times New Roman"/>
          <w:sz w:val="26"/>
          <w:szCs w:val="26"/>
        </w:rPr>
        <w:t>PJM RTEP credits are zero.  Exc. at 22-23.</w:t>
      </w:r>
      <w:r w:rsidR="006D6DF3">
        <w:rPr>
          <w:rFonts w:ascii="Times New Roman" w:hAnsi="Times New Roman" w:cs="Times New Roman"/>
          <w:sz w:val="26"/>
          <w:szCs w:val="26"/>
        </w:rPr>
        <w:t xml:space="preserve"> </w:t>
      </w:r>
    </w:p>
    <w:p w14:paraId="506C0ADC" w14:textId="5BE98871" w:rsidR="002D58F1" w:rsidRDefault="002D58F1" w:rsidP="00257916">
      <w:pPr>
        <w:widowControl w:val="0"/>
        <w:spacing w:after="0" w:line="360" w:lineRule="auto"/>
        <w:rPr>
          <w:rFonts w:ascii="Times New Roman" w:hAnsi="Times New Roman" w:cs="Times New Roman"/>
          <w:sz w:val="26"/>
          <w:szCs w:val="26"/>
        </w:rPr>
      </w:pPr>
    </w:p>
    <w:p w14:paraId="29242DD2" w14:textId="5F9D611C" w:rsidR="002D58F1" w:rsidRDefault="002D58F1" w:rsidP="00257916">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FA7362">
        <w:rPr>
          <w:rFonts w:ascii="Times New Roman" w:hAnsi="Times New Roman" w:cs="Times New Roman"/>
          <w:sz w:val="26"/>
          <w:szCs w:val="26"/>
        </w:rPr>
        <w:t xml:space="preserve">The OCA submits </w:t>
      </w:r>
      <w:r w:rsidR="00CB7545">
        <w:rPr>
          <w:rFonts w:ascii="Times New Roman" w:hAnsi="Times New Roman" w:cs="Times New Roman"/>
          <w:sz w:val="26"/>
          <w:szCs w:val="26"/>
        </w:rPr>
        <w:t xml:space="preserve">that the record evidence establishes </w:t>
      </w:r>
      <w:r w:rsidR="005B1BE5">
        <w:rPr>
          <w:rFonts w:ascii="Times New Roman" w:hAnsi="Times New Roman" w:cs="Times New Roman"/>
          <w:sz w:val="26"/>
          <w:szCs w:val="26"/>
        </w:rPr>
        <w:t xml:space="preserve">that PECO’s customers were paying the PECO-stated transmission rate and the Company did not provide data to demonstrate </w:t>
      </w:r>
      <w:r w:rsidR="00A840B5">
        <w:rPr>
          <w:rFonts w:ascii="Times New Roman" w:hAnsi="Times New Roman" w:cs="Times New Roman"/>
          <w:sz w:val="26"/>
          <w:szCs w:val="26"/>
        </w:rPr>
        <w:t xml:space="preserve">the insufficiency of its transmission revenues to recover all or a portion of its PECO zone RTEP charges.  </w:t>
      </w:r>
      <w:r w:rsidR="00D61368">
        <w:rPr>
          <w:rFonts w:ascii="Times New Roman" w:hAnsi="Times New Roman" w:cs="Times New Roman"/>
          <w:sz w:val="26"/>
          <w:szCs w:val="26"/>
        </w:rPr>
        <w:t>Su</w:t>
      </w:r>
      <w:r w:rsidR="008D35BD">
        <w:rPr>
          <w:rFonts w:ascii="Times New Roman" w:hAnsi="Times New Roman" w:cs="Times New Roman"/>
          <w:sz w:val="26"/>
          <w:szCs w:val="26"/>
        </w:rPr>
        <w:t>b</w:t>
      </w:r>
      <w:r w:rsidR="00D61368">
        <w:rPr>
          <w:rFonts w:ascii="Times New Roman" w:hAnsi="Times New Roman" w:cs="Times New Roman"/>
          <w:sz w:val="26"/>
          <w:szCs w:val="26"/>
        </w:rPr>
        <w:t>mitting that it is clear the OCA accepted PECO’s credit</w:t>
      </w:r>
      <w:r w:rsidR="008D35BD">
        <w:rPr>
          <w:rFonts w:ascii="Times New Roman" w:hAnsi="Times New Roman" w:cs="Times New Roman"/>
          <w:sz w:val="26"/>
          <w:szCs w:val="26"/>
        </w:rPr>
        <w:t>s related to the pre-2011 RTEP charges, the OCA requests that the Commission no</w:t>
      </w:r>
      <w:r w:rsidR="00823534">
        <w:rPr>
          <w:rFonts w:ascii="Times New Roman" w:hAnsi="Times New Roman" w:cs="Times New Roman"/>
          <w:sz w:val="26"/>
          <w:szCs w:val="26"/>
        </w:rPr>
        <w:t xml:space="preserve">t adopt the ALJ’s discussion of these issues.  </w:t>
      </w:r>
      <w:r w:rsidR="00765FFD" w:rsidRPr="00823534">
        <w:rPr>
          <w:rFonts w:ascii="Times New Roman" w:hAnsi="Times New Roman" w:cs="Times New Roman"/>
          <w:i/>
          <w:iCs/>
          <w:sz w:val="26"/>
          <w:szCs w:val="26"/>
        </w:rPr>
        <w:t>Id</w:t>
      </w:r>
      <w:r w:rsidR="00765FFD">
        <w:rPr>
          <w:rFonts w:ascii="Times New Roman" w:hAnsi="Times New Roman" w:cs="Times New Roman"/>
          <w:sz w:val="26"/>
          <w:szCs w:val="26"/>
        </w:rPr>
        <w:t xml:space="preserve">. at 23.  </w:t>
      </w:r>
    </w:p>
    <w:p w14:paraId="33A34DA8" w14:textId="1AE701BF" w:rsidR="00AA7F96" w:rsidRDefault="00AA7F96" w:rsidP="00257916">
      <w:pPr>
        <w:widowControl w:val="0"/>
        <w:spacing w:after="0" w:line="360" w:lineRule="auto"/>
        <w:rPr>
          <w:rFonts w:ascii="Times New Roman" w:hAnsi="Times New Roman" w:cs="Times New Roman"/>
          <w:sz w:val="26"/>
          <w:szCs w:val="26"/>
        </w:rPr>
      </w:pPr>
    </w:p>
    <w:p w14:paraId="2B3ABC74" w14:textId="22594108" w:rsidR="00AA7F96" w:rsidRDefault="00AA7F96" w:rsidP="00257916">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In its reply, PECO </w:t>
      </w:r>
      <w:r w:rsidR="001F4A10">
        <w:rPr>
          <w:rFonts w:ascii="Times New Roman" w:hAnsi="Times New Roman" w:cs="Times New Roman"/>
          <w:sz w:val="26"/>
          <w:szCs w:val="26"/>
        </w:rPr>
        <w:t xml:space="preserve">asserts that the OCA now explicitly acknowledges the abandonment </w:t>
      </w:r>
      <w:r w:rsidR="00D95970">
        <w:rPr>
          <w:rFonts w:ascii="Times New Roman" w:hAnsi="Times New Roman" w:cs="Times New Roman"/>
          <w:sz w:val="26"/>
          <w:szCs w:val="26"/>
        </w:rPr>
        <w:t xml:space="preserve">of an issue previously made to be a key element of its case – that the calculation of </w:t>
      </w:r>
      <w:r w:rsidR="009B4CC5">
        <w:rPr>
          <w:rFonts w:ascii="Times New Roman" w:hAnsi="Times New Roman" w:cs="Times New Roman"/>
          <w:sz w:val="26"/>
          <w:szCs w:val="26"/>
        </w:rPr>
        <w:t xml:space="preserve">$5.5 million of pre-2011 RTEP credits was not accurate or supported by record evidence.  </w:t>
      </w:r>
      <w:r w:rsidR="002B585B">
        <w:rPr>
          <w:rFonts w:ascii="Times New Roman" w:hAnsi="Times New Roman" w:cs="Times New Roman"/>
          <w:sz w:val="26"/>
          <w:szCs w:val="26"/>
        </w:rPr>
        <w:t xml:space="preserve">PECO </w:t>
      </w:r>
      <w:r w:rsidR="00EA41C8">
        <w:rPr>
          <w:rFonts w:ascii="Times New Roman" w:hAnsi="Times New Roman" w:cs="Times New Roman"/>
          <w:sz w:val="26"/>
          <w:szCs w:val="26"/>
        </w:rPr>
        <w:t>notes that the</w:t>
      </w:r>
      <w:r w:rsidR="00F4222C">
        <w:rPr>
          <w:rFonts w:ascii="Times New Roman" w:hAnsi="Times New Roman" w:cs="Times New Roman"/>
          <w:sz w:val="26"/>
          <w:szCs w:val="26"/>
        </w:rPr>
        <w:t xml:space="preserve"> OCA</w:t>
      </w:r>
      <w:r w:rsidR="00C16F1B">
        <w:rPr>
          <w:rFonts w:ascii="Times New Roman" w:hAnsi="Times New Roman" w:cs="Times New Roman"/>
          <w:sz w:val="26"/>
          <w:szCs w:val="26"/>
        </w:rPr>
        <w:t xml:space="preserve"> did not address the issue at all in its main brief and that </w:t>
      </w:r>
      <w:r w:rsidR="00CB0BF0">
        <w:rPr>
          <w:rFonts w:ascii="Times New Roman" w:hAnsi="Times New Roman" w:cs="Times New Roman"/>
          <w:sz w:val="26"/>
          <w:szCs w:val="26"/>
        </w:rPr>
        <w:t>the</w:t>
      </w:r>
      <w:r w:rsidR="00C16F1B">
        <w:rPr>
          <w:rFonts w:ascii="Times New Roman" w:hAnsi="Times New Roman" w:cs="Times New Roman"/>
          <w:sz w:val="26"/>
          <w:szCs w:val="26"/>
        </w:rPr>
        <w:t xml:space="preserve"> mentioning of the issue in </w:t>
      </w:r>
      <w:r w:rsidR="00176F2D">
        <w:rPr>
          <w:rFonts w:ascii="Times New Roman" w:hAnsi="Times New Roman" w:cs="Times New Roman"/>
          <w:sz w:val="26"/>
          <w:szCs w:val="26"/>
        </w:rPr>
        <w:t xml:space="preserve">passing in </w:t>
      </w:r>
      <w:r w:rsidR="00A25D8D">
        <w:rPr>
          <w:rFonts w:ascii="Times New Roman" w:hAnsi="Times New Roman" w:cs="Times New Roman"/>
          <w:sz w:val="26"/>
          <w:szCs w:val="26"/>
        </w:rPr>
        <w:t xml:space="preserve">its reply brief constitutes a major concession.  </w:t>
      </w:r>
      <w:r w:rsidR="002C6489">
        <w:rPr>
          <w:rFonts w:ascii="Times New Roman" w:hAnsi="Times New Roman" w:cs="Times New Roman"/>
          <w:sz w:val="26"/>
          <w:szCs w:val="26"/>
        </w:rPr>
        <w:t xml:space="preserve">PECO contends that under the circumstances and given the </w:t>
      </w:r>
      <w:r w:rsidR="004953DC">
        <w:rPr>
          <w:rFonts w:ascii="Times New Roman" w:hAnsi="Times New Roman" w:cs="Times New Roman"/>
          <w:sz w:val="26"/>
          <w:szCs w:val="26"/>
        </w:rPr>
        <w:t xml:space="preserve">OCA’s belated abandonment of its position, the ALJ correctly reviewed the record evidence, analyzed applicable law and </w:t>
      </w:r>
      <w:r w:rsidR="0009126A">
        <w:rPr>
          <w:rFonts w:ascii="Times New Roman" w:hAnsi="Times New Roman" w:cs="Times New Roman"/>
          <w:sz w:val="26"/>
          <w:szCs w:val="26"/>
        </w:rPr>
        <w:t xml:space="preserve">offered a well-reasoned and well-supported recommendation for the Commission.  R. Exc. at </w:t>
      </w:r>
      <w:r w:rsidR="0009233F">
        <w:rPr>
          <w:rFonts w:ascii="Times New Roman" w:hAnsi="Times New Roman" w:cs="Times New Roman"/>
          <w:sz w:val="26"/>
          <w:szCs w:val="26"/>
        </w:rPr>
        <w:t xml:space="preserve">9, 21-22.  </w:t>
      </w:r>
    </w:p>
    <w:p w14:paraId="55208B66" w14:textId="5C90AA6F" w:rsidR="007B5DC5" w:rsidRDefault="007B5DC5" w:rsidP="00257916">
      <w:pPr>
        <w:widowControl w:val="0"/>
        <w:spacing w:after="0" w:line="360" w:lineRule="auto"/>
        <w:rPr>
          <w:rFonts w:ascii="Times New Roman" w:hAnsi="Times New Roman" w:cs="Times New Roman"/>
          <w:sz w:val="26"/>
          <w:szCs w:val="26"/>
        </w:rPr>
      </w:pPr>
    </w:p>
    <w:p w14:paraId="34E7511F" w14:textId="4D118F44" w:rsidR="007B5DC5" w:rsidRPr="007B5DC5" w:rsidRDefault="007B5DC5" w:rsidP="00892963">
      <w:pPr>
        <w:keepNext/>
        <w:widowControl w:val="0"/>
        <w:spacing w:after="0" w:line="360" w:lineRule="auto"/>
        <w:rPr>
          <w:rFonts w:ascii="Times New Roman" w:hAnsi="Times New Roman" w:cs="Times New Roman"/>
          <w:b/>
          <w:bCs/>
          <w:sz w:val="26"/>
          <w:szCs w:val="26"/>
        </w:rPr>
      </w:pPr>
      <w:r w:rsidRPr="007B5DC5">
        <w:rPr>
          <w:rFonts w:ascii="Times New Roman" w:hAnsi="Times New Roman" w:cs="Times New Roman"/>
          <w:b/>
          <w:bCs/>
          <w:sz w:val="26"/>
          <w:szCs w:val="26"/>
        </w:rPr>
        <w:t>c.</w:t>
      </w:r>
      <w:r w:rsidRPr="007B5DC5">
        <w:rPr>
          <w:rFonts w:ascii="Times New Roman" w:hAnsi="Times New Roman" w:cs="Times New Roman"/>
          <w:b/>
          <w:bCs/>
          <w:sz w:val="26"/>
          <w:szCs w:val="26"/>
        </w:rPr>
        <w:tab/>
        <w:t>Disposition</w:t>
      </w:r>
    </w:p>
    <w:p w14:paraId="37165665" w14:textId="6EFD2D91" w:rsidR="007B5DC5" w:rsidRDefault="007B5DC5" w:rsidP="00892963">
      <w:pPr>
        <w:keepNext/>
        <w:widowControl w:val="0"/>
        <w:spacing w:after="0" w:line="360" w:lineRule="auto"/>
        <w:rPr>
          <w:rFonts w:ascii="Times New Roman" w:hAnsi="Times New Roman" w:cs="Times New Roman"/>
          <w:sz w:val="26"/>
          <w:szCs w:val="26"/>
        </w:rPr>
      </w:pPr>
    </w:p>
    <w:p w14:paraId="01C9FB75" w14:textId="1C856720" w:rsidR="007B5DC5" w:rsidRPr="00362E19" w:rsidRDefault="007B5DC5" w:rsidP="00892963">
      <w:pPr>
        <w:keepNext/>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6508E1">
        <w:rPr>
          <w:rFonts w:ascii="Times New Roman" w:hAnsi="Times New Roman" w:cs="Times New Roman"/>
          <w:sz w:val="26"/>
          <w:szCs w:val="26"/>
        </w:rPr>
        <w:t>We</w:t>
      </w:r>
      <w:r w:rsidR="00C20F09">
        <w:rPr>
          <w:rFonts w:ascii="Times New Roman" w:hAnsi="Times New Roman" w:cs="Times New Roman"/>
          <w:sz w:val="26"/>
          <w:szCs w:val="26"/>
        </w:rPr>
        <w:t xml:space="preserve"> </w:t>
      </w:r>
      <w:r w:rsidR="006B72D9">
        <w:rPr>
          <w:rFonts w:ascii="Times New Roman" w:hAnsi="Times New Roman" w:cs="Times New Roman"/>
          <w:sz w:val="26"/>
          <w:szCs w:val="26"/>
        </w:rPr>
        <w:t xml:space="preserve">find no error in the ALJ’s discussion of the </w:t>
      </w:r>
      <w:r w:rsidR="0073027E">
        <w:rPr>
          <w:rFonts w:ascii="Times New Roman" w:hAnsi="Times New Roman" w:cs="Times New Roman"/>
          <w:sz w:val="26"/>
          <w:szCs w:val="26"/>
        </w:rPr>
        <w:t xml:space="preserve">calculation of refund credits.  </w:t>
      </w:r>
      <w:r w:rsidR="003C644C">
        <w:rPr>
          <w:rFonts w:ascii="Times New Roman" w:hAnsi="Times New Roman" w:cs="Times New Roman"/>
          <w:sz w:val="26"/>
          <w:szCs w:val="26"/>
        </w:rPr>
        <w:t xml:space="preserve">Moreover, </w:t>
      </w:r>
      <w:r w:rsidR="00D30CC1">
        <w:rPr>
          <w:rFonts w:ascii="Times New Roman" w:hAnsi="Times New Roman" w:cs="Times New Roman"/>
          <w:sz w:val="26"/>
          <w:szCs w:val="26"/>
        </w:rPr>
        <w:t xml:space="preserve">the OCA appears to have abandoned </w:t>
      </w:r>
      <w:r w:rsidR="009964ED">
        <w:rPr>
          <w:rFonts w:ascii="Times New Roman" w:hAnsi="Times New Roman" w:cs="Times New Roman"/>
          <w:sz w:val="26"/>
          <w:szCs w:val="26"/>
        </w:rPr>
        <w:t xml:space="preserve">its prior position as to this issue in its Reply Brief.  </w:t>
      </w:r>
      <w:r w:rsidR="00F2231A">
        <w:rPr>
          <w:rFonts w:ascii="Times New Roman" w:hAnsi="Times New Roman" w:cs="Times New Roman"/>
          <w:sz w:val="26"/>
          <w:szCs w:val="26"/>
        </w:rPr>
        <w:t xml:space="preserve">Accordingly, </w:t>
      </w:r>
      <w:r w:rsidR="00914F9C">
        <w:rPr>
          <w:rFonts w:ascii="Times New Roman" w:hAnsi="Times New Roman" w:cs="Times New Roman"/>
          <w:sz w:val="26"/>
          <w:szCs w:val="26"/>
        </w:rPr>
        <w:t xml:space="preserve">and in light of our </w:t>
      </w:r>
      <w:r w:rsidR="0058078F">
        <w:rPr>
          <w:rFonts w:ascii="Times New Roman" w:hAnsi="Times New Roman" w:cs="Times New Roman"/>
          <w:sz w:val="26"/>
          <w:szCs w:val="26"/>
        </w:rPr>
        <w:t xml:space="preserve">overall disposition herein, </w:t>
      </w:r>
      <w:r w:rsidR="003D689E">
        <w:rPr>
          <w:rFonts w:ascii="Times New Roman" w:hAnsi="Times New Roman" w:cs="Times New Roman"/>
          <w:sz w:val="26"/>
          <w:szCs w:val="26"/>
        </w:rPr>
        <w:t>we</w:t>
      </w:r>
      <w:r w:rsidR="00AD646E">
        <w:rPr>
          <w:rFonts w:ascii="Times New Roman" w:hAnsi="Times New Roman" w:cs="Times New Roman"/>
          <w:sz w:val="26"/>
          <w:szCs w:val="26"/>
        </w:rPr>
        <w:t xml:space="preserve"> shall deny the OCA’s fourth Exception.  </w:t>
      </w:r>
    </w:p>
    <w:p w14:paraId="57EAFE95" w14:textId="77777777" w:rsidR="008B17BE" w:rsidRPr="008651A5" w:rsidRDefault="008B17BE" w:rsidP="00A52780">
      <w:pPr>
        <w:widowControl w:val="0"/>
        <w:spacing w:after="0" w:line="360" w:lineRule="auto"/>
        <w:ind w:firstLine="1440"/>
        <w:rPr>
          <w:rFonts w:ascii="Times New Roman" w:hAnsi="Times New Roman" w:cs="Times New Roman"/>
          <w:sz w:val="26"/>
          <w:szCs w:val="26"/>
        </w:rPr>
      </w:pPr>
    </w:p>
    <w:p w14:paraId="4FF399C5" w14:textId="0F462715" w:rsidR="00FE7D0A" w:rsidRPr="00EC6B2B" w:rsidRDefault="003E4949" w:rsidP="00A45770">
      <w:pPr>
        <w:keepNext/>
        <w:widowControl w:val="0"/>
        <w:tabs>
          <w:tab w:val="left" w:pos="-720"/>
        </w:tabs>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IV.</w:t>
      </w:r>
      <w:r>
        <w:rPr>
          <w:rFonts w:ascii="Times New Roman" w:eastAsia="Times New Roman" w:hAnsi="Times New Roman" w:cs="Times New Roman"/>
          <w:b/>
          <w:sz w:val="26"/>
          <w:szCs w:val="26"/>
        </w:rPr>
        <w:tab/>
      </w:r>
      <w:r w:rsidR="00FE7D0A" w:rsidRPr="00EC6B2B">
        <w:rPr>
          <w:rFonts w:ascii="Times New Roman" w:eastAsia="Times New Roman" w:hAnsi="Times New Roman" w:cs="Times New Roman"/>
          <w:b/>
          <w:sz w:val="26"/>
          <w:szCs w:val="26"/>
        </w:rPr>
        <w:t>Conclusion</w:t>
      </w:r>
    </w:p>
    <w:p w14:paraId="5B8BD13B" w14:textId="77777777" w:rsidR="00AA6D4E" w:rsidRPr="00EC6B2B" w:rsidRDefault="00AA6D4E" w:rsidP="00A45770">
      <w:pPr>
        <w:keepNext/>
        <w:widowControl w:val="0"/>
        <w:tabs>
          <w:tab w:val="left" w:pos="-720"/>
        </w:tabs>
        <w:spacing w:after="0" w:line="360" w:lineRule="auto"/>
        <w:rPr>
          <w:rFonts w:ascii="Times New Roman" w:eastAsia="Times New Roman" w:hAnsi="Times New Roman" w:cs="Times New Roman"/>
          <w:b/>
          <w:sz w:val="26"/>
          <w:szCs w:val="26"/>
        </w:rPr>
      </w:pPr>
    </w:p>
    <w:p w14:paraId="07D05719" w14:textId="59C6E9EA" w:rsidR="00FE7D0A" w:rsidRPr="00EC6B2B" w:rsidRDefault="00464EC7" w:rsidP="00A45770">
      <w:pPr>
        <w:keepNext/>
        <w:widowControl w:val="0"/>
        <w:spacing w:after="0" w:line="360" w:lineRule="auto"/>
        <w:ind w:left="29" w:right="86"/>
        <w:rPr>
          <w:sz w:val="26"/>
          <w:szCs w:val="26"/>
        </w:rPr>
      </w:pPr>
      <w:r>
        <w:rPr>
          <w:rFonts w:ascii="Times New Roman" w:eastAsia="Times New Roman" w:hAnsi="Times New Roman" w:cs="Times New Roman"/>
          <w:sz w:val="26"/>
          <w:szCs w:val="26"/>
        </w:rPr>
        <w:tab/>
      </w:r>
      <w:r w:rsidR="006508E1">
        <w:rPr>
          <w:rFonts w:ascii="Times New Roman" w:eastAsia="Times New Roman" w:hAnsi="Times New Roman" w:cs="Times New Roman"/>
          <w:sz w:val="26"/>
          <w:szCs w:val="26"/>
        </w:rPr>
        <w:tab/>
        <w:t xml:space="preserve">Upon review we shall deny the OCA’s </w:t>
      </w:r>
      <w:r w:rsidR="00FC44D4" w:rsidRPr="003E7B9D">
        <w:rPr>
          <w:rFonts w:ascii="Times New Roman" w:eastAsia="Times New Roman" w:hAnsi="Times New Roman" w:cs="Times New Roman"/>
          <w:sz w:val="26"/>
          <w:szCs w:val="26"/>
        </w:rPr>
        <w:t xml:space="preserve">Exceptions </w:t>
      </w:r>
      <w:r w:rsidR="006508E1">
        <w:rPr>
          <w:rFonts w:ascii="Times New Roman" w:eastAsia="Times New Roman" w:hAnsi="Times New Roman" w:cs="Times New Roman"/>
          <w:sz w:val="26"/>
          <w:szCs w:val="26"/>
        </w:rPr>
        <w:t xml:space="preserve">and </w:t>
      </w:r>
      <w:r w:rsidR="00516B88" w:rsidRPr="003E7B9D">
        <w:rPr>
          <w:rFonts w:ascii="Times New Roman" w:eastAsia="Times New Roman" w:hAnsi="Times New Roman" w:cs="Times New Roman"/>
          <w:sz w:val="26"/>
          <w:szCs w:val="26"/>
        </w:rPr>
        <w:t>a</w:t>
      </w:r>
      <w:r w:rsidR="00C065D2" w:rsidRPr="003E7B9D">
        <w:rPr>
          <w:rFonts w:ascii="Times New Roman" w:eastAsia="Times New Roman" w:hAnsi="Times New Roman" w:cs="Times New Roman"/>
          <w:sz w:val="26"/>
          <w:szCs w:val="26"/>
        </w:rPr>
        <w:t>dopt</w:t>
      </w:r>
      <w:r w:rsidR="00516B88" w:rsidRPr="003E7B9D">
        <w:rPr>
          <w:rFonts w:ascii="Times New Roman" w:eastAsia="Times New Roman" w:hAnsi="Times New Roman" w:cs="Times New Roman"/>
          <w:sz w:val="26"/>
          <w:szCs w:val="26"/>
        </w:rPr>
        <w:t xml:space="preserve"> </w:t>
      </w:r>
      <w:r w:rsidRPr="003E7B9D">
        <w:rPr>
          <w:rFonts w:ascii="Times New Roman" w:eastAsia="Times New Roman" w:hAnsi="Times New Roman" w:cs="Times New Roman"/>
          <w:sz w:val="26"/>
          <w:szCs w:val="26"/>
        </w:rPr>
        <w:t xml:space="preserve">the </w:t>
      </w:r>
      <w:r w:rsidR="00516B88" w:rsidRPr="003E7B9D">
        <w:rPr>
          <w:rFonts w:ascii="Times New Roman" w:eastAsia="Times New Roman" w:hAnsi="Times New Roman" w:cs="Times New Roman"/>
          <w:sz w:val="26"/>
          <w:szCs w:val="26"/>
        </w:rPr>
        <w:t>Initial Decision</w:t>
      </w:r>
      <w:r w:rsidR="006508E1">
        <w:rPr>
          <w:rFonts w:ascii="Times New Roman" w:eastAsia="Times New Roman" w:hAnsi="Times New Roman" w:cs="Times New Roman"/>
          <w:sz w:val="26"/>
          <w:szCs w:val="26"/>
        </w:rPr>
        <w:t>, consistent with this Opinion and Order</w:t>
      </w:r>
      <w:r w:rsidR="00FE7D0A" w:rsidRPr="003E7B9D">
        <w:rPr>
          <w:rFonts w:ascii="Times New Roman" w:eastAsia="Times New Roman" w:hAnsi="Times New Roman" w:cs="Times New Roman"/>
          <w:sz w:val="26"/>
          <w:szCs w:val="26"/>
        </w:rPr>
        <w:t>;</w:t>
      </w:r>
      <w:r w:rsidR="00FE7D0A" w:rsidRPr="00EC6B2B">
        <w:rPr>
          <w:rFonts w:ascii="Times New Roman" w:eastAsia="Times New Roman" w:hAnsi="Times New Roman" w:cs="Times New Roman"/>
          <w:sz w:val="26"/>
          <w:szCs w:val="26"/>
        </w:rPr>
        <w:t xml:space="preserve"> </w:t>
      </w:r>
      <w:r w:rsidR="00FE7D0A" w:rsidRPr="00EC6B2B">
        <w:rPr>
          <w:rFonts w:ascii="Times New Roman" w:eastAsia="Times New Roman" w:hAnsi="Times New Roman" w:cs="Times New Roman"/>
          <w:b/>
          <w:sz w:val="26"/>
          <w:szCs w:val="26"/>
        </w:rPr>
        <w:t>THEREFORE,</w:t>
      </w:r>
    </w:p>
    <w:p w14:paraId="5EAA005E" w14:textId="77777777" w:rsidR="00FE7D0A" w:rsidRPr="00EC6B2B" w:rsidRDefault="00FE7D0A" w:rsidP="00E3444D">
      <w:pPr>
        <w:widowControl w:val="0"/>
        <w:tabs>
          <w:tab w:val="left" w:pos="-720"/>
        </w:tabs>
        <w:spacing w:after="0" w:line="360" w:lineRule="auto"/>
        <w:rPr>
          <w:rFonts w:ascii="Times New Roman" w:eastAsia="Times New Roman" w:hAnsi="Times New Roman" w:cs="Times New Roman"/>
          <w:sz w:val="26"/>
          <w:szCs w:val="26"/>
        </w:rPr>
      </w:pPr>
    </w:p>
    <w:p w14:paraId="3ADD0F62" w14:textId="44D5540F" w:rsidR="00FE7D0A" w:rsidRPr="00EC6B2B" w:rsidRDefault="004F1DD1" w:rsidP="00E3444D">
      <w:pPr>
        <w:widowControl w:val="0"/>
        <w:tabs>
          <w:tab w:val="left" w:pos="-720"/>
        </w:tabs>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sidR="00FE7D0A" w:rsidRPr="00EC6B2B">
        <w:rPr>
          <w:rFonts w:ascii="Times New Roman" w:eastAsia="Times New Roman" w:hAnsi="Times New Roman" w:cs="Times New Roman"/>
          <w:b/>
          <w:sz w:val="26"/>
          <w:szCs w:val="26"/>
        </w:rPr>
        <w:t>IT IS ORDERED:</w:t>
      </w:r>
    </w:p>
    <w:p w14:paraId="4DA3F865" w14:textId="77777777" w:rsidR="00FE7D0A" w:rsidRPr="00EC6B2B" w:rsidRDefault="00FE7D0A" w:rsidP="00E3444D">
      <w:pPr>
        <w:widowControl w:val="0"/>
        <w:tabs>
          <w:tab w:val="left" w:pos="-720"/>
        </w:tabs>
        <w:spacing w:after="0" w:line="360" w:lineRule="auto"/>
        <w:rPr>
          <w:rFonts w:ascii="Times New Roman" w:eastAsia="Times New Roman" w:hAnsi="Times New Roman" w:cs="Times New Roman"/>
          <w:b/>
          <w:sz w:val="26"/>
          <w:szCs w:val="26"/>
        </w:rPr>
      </w:pPr>
    </w:p>
    <w:p w14:paraId="5456BAD8" w14:textId="6B23FD94" w:rsidR="00CB1780" w:rsidRPr="00E0042D" w:rsidRDefault="00BA09D9" w:rsidP="004F1DD1">
      <w:pPr>
        <w:pStyle w:val="ListParagraph"/>
        <w:widowControl w:val="0"/>
        <w:numPr>
          <w:ilvl w:val="0"/>
          <w:numId w:val="8"/>
        </w:numPr>
        <w:tabs>
          <w:tab w:val="left" w:pos="-720"/>
        </w:tabs>
        <w:spacing w:after="0" w:line="360" w:lineRule="auto"/>
        <w:ind w:left="0" w:firstLine="1350"/>
        <w:contextualSpacing w:val="0"/>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That the </w:t>
      </w:r>
      <w:r w:rsidR="0087737E" w:rsidRPr="00EC6B2B">
        <w:rPr>
          <w:rFonts w:ascii="Times New Roman" w:eastAsia="Times New Roman" w:hAnsi="Times New Roman" w:cs="Times New Roman"/>
          <w:sz w:val="26"/>
          <w:szCs w:val="26"/>
        </w:rPr>
        <w:t xml:space="preserve">Exceptions </w:t>
      </w:r>
      <w:r w:rsidR="0087737E">
        <w:rPr>
          <w:rFonts w:ascii="Times New Roman" w:eastAsia="Times New Roman" w:hAnsi="Times New Roman" w:cs="Times New Roman"/>
          <w:sz w:val="26"/>
          <w:szCs w:val="26"/>
        </w:rPr>
        <w:t>of</w:t>
      </w:r>
      <w:r w:rsidR="0087737E" w:rsidRPr="00EC6B2B">
        <w:rPr>
          <w:rFonts w:ascii="Times New Roman" w:eastAsia="Times New Roman" w:hAnsi="Times New Roman" w:cs="Times New Roman"/>
          <w:sz w:val="26"/>
          <w:szCs w:val="26"/>
        </w:rPr>
        <w:t xml:space="preserve"> </w:t>
      </w:r>
      <w:r w:rsidR="0087737E">
        <w:rPr>
          <w:rFonts w:ascii="Times New Roman" w:eastAsia="Times New Roman" w:hAnsi="Times New Roman" w:cs="Times New Roman"/>
          <w:sz w:val="26"/>
          <w:szCs w:val="26"/>
        </w:rPr>
        <w:t>the Office of Consumer Advocate,</w:t>
      </w:r>
      <w:r w:rsidR="0087737E" w:rsidRPr="00EC6B2B">
        <w:rPr>
          <w:rFonts w:ascii="Times New Roman" w:eastAsia="Times New Roman" w:hAnsi="Times New Roman" w:cs="Times New Roman"/>
          <w:sz w:val="26"/>
          <w:szCs w:val="26"/>
        </w:rPr>
        <w:t xml:space="preserve"> </w:t>
      </w:r>
      <w:r w:rsidR="0087737E">
        <w:rPr>
          <w:rFonts w:ascii="Times New Roman" w:eastAsia="Times New Roman" w:hAnsi="Times New Roman" w:cs="Times New Roman"/>
          <w:sz w:val="26"/>
          <w:szCs w:val="26"/>
        </w:rPr>
        <w:t>filed on July 15</w:t>
      </w:r>
      <w:r w:rsidR="0087737E" w:rsidRPr="00A426D4">
        <w:rPr>
          <w:rFonts w:ascii="Times New Roman" w:eastAsia="Times New Roman" w:hAnsi="Times New Roman" w:cs="Times New Roman"/>
          <w:sz w:val="26"/>
          <w:szCs w:val="26"/>
        </w:rPr>
        <w:t>, 2020</w:t>
      </w:r>
      <w:r w:rsidR="0087737E" w:rsidRPr="00EC6B2B">
        <w:rPr>
          <w:rFonts w:ascii="Times New Roman" w:eastAsia="Times New Roman" w:hAnsi="Times New Roman" w:cs="Times New Roman"/>
          <w:sz w:val="26"/>
          <w:szCs w:val="26"/>
        </w:rPr>
        <w:t>,</w:t>
      </w:r>
      <w:r w:rsidR="0087737E">
        <w:rPr>
          <w:rFonts w:ascii="Times New Roman" w:eastAsia="Times New Roman" w:hAnsi="Times New Roman" w:cs="Times New Roman"/>
          <w:sz w:val="26"/>
          <w:szCs w:val="26"/>
        </w:rPr>
        <w:t xml:space="preserve"> to the </w:t>
      </w:r>
      <w:r w:rsidR="0087737E" w:rsidRPr="00EC6B2B">
        <w:rPr>
          <w:rFonts w:ascii="Times New Roman" w:eastAsia="Times New Roman" w:hAnsi="Times New Roman" w:cs="Times New Roman"/>
          <w:sz w:val="26"/>
          <w:szCs w:val="26"/>
        </w:rPr>
        <w:t xml:space="preserve">Initial Decision of Administrative Law Judge </w:t>
      </w:r>
      <w:bookmarkStart w:id="5" w:name="_Hlk73343988"/>
      <w:r w:rsidR="0087737E">
        <w:rPr>
          <w:rFonts w:ascii="Times New Roman" w:eastAsia="Times New Roman" w:hAnsi="Times New Roman" w:cs="Times New Roman"/>
          <w:sz w:val="26"/>
          <w:szCs w:val="26"/>
        </w:rPr>
        <w:t>Marta Guhl</w:t>
      </w:r>
      <w:r w:rsidR="0087737E" w:rsidRPr="00EC6B2B">
        <w:rPr>
          <w:rFonts w:ascii="Times New Roman" w:eastAsia="Times New Roman" w:hAnsi="Times New Roman" w:cs="Times New Roman"/>
          <w:sz w:val="26"/>
          <w:szCs w:val="26"/>
        </w:rPr>
        <w:t xml:space="preserve">, </w:t>
      </w:r>
      <w:r w:rsidR="0087737E">
        <w:rPr>
          <w:rFonts w:ascii="Times New Roman" w:eastAsia="Times New Roman" w:hAnsi="Times New Roman" w:cs="Times New Roman"/>
          <w:sz w:val="26"/>
          <w:szCs w:val="26"/>
        </w:rPr>
        <w:t>issued on June 25</w:t>
      </w:r>
      <w:r w:rsidR="0087737E" w:rsidRPr="00A426D4">
        <w:rPr>
          <w:rFonts w:ascii="Times New Roman" w:eastAsia="Times New Roman" w:hAnsi="Times New Roman" w:cs="Times New Roman"/>
          <w:sz w:val="26"/>
          <w:szCs w:val="26"/>
        </w:rPr>
        <w:t>,</w:t>
      </w:r>
      <w:r w:rsidR="0087737E">
        <w:rPr>
          <w:rFonts w:ascii="Times New Roman" w:eastAsia="Times New Roman" w:hAnsi="Times New Roman" w:cs="Times New Roman"/>
          <w:sz w:val="26"/>
          <w:szCs w:val="26"/>
        </w:rPr>
        <w:t> </w:t>
      </w:r>
      <w:r w:rsidR="0087737E" w:rsidRPr="00A426D4">
        <w:rPr>
          <w:rFonts w:ascii="Times New Roman" w:eastAsia="Times New Roman" w:hAnsi="Times New Roman" w:cs="Times New Roman"/>
          <w:sz w:val="26"/>
          <w:szCs w:val="26"/>
        </w:rPr>
        <w:t>2020</w:t>
      </w:r>
      <w:r w:rsidR="00EC57F0">
        <w:rPr>
          <w:rFonts w:ascii="Times New Roman" w:eastAsia="Times New Roman" w:hAnsi="Times New Roman" w:cs="Times New Roman"/>
          <w:sz w:val="26"/>
          <w:szCs w:val="26"/>
        </w:rPr>
        <w:t>,</w:t>
      </w:r>
      <w:bookmarkEnd w:id="5"/>
      <w:r w:rsidR="00EC57F0">
        <w:rPr>
          <w:rFonts w:ascii="Times New Roman" w:eastAsia="Times New Roman" w:hAnsi="Times New Roman" w:cs="Times New Roman"/>
          <w:sz w:val="26"/>
          <w:szCs w:val="26"/>
        </w:rPr>
        <w:t xml:space="preserve"> </w:t>
      </w:r>
      <w:r w:rsidR="00CB1780" w:rsidRPr="00EC6B2B">
        <w:rPr>
          <w:rFonts w:ascii="Times New Roman" w:eastAsia="Times New Roman" w:hAnsi="Times New Roman" w:cs="Times New Roman"/>
          <w:sz w:val="26"/>
          <w:szCs w:val="26"/>
        </w:rPr>
        <w:t xml:space="preserve">are </w:t>
      </w:r>
      <w:r w:rsidR="00CB1780" w:rsidRPr="00E0042D">
        <w:rPr>
          <w:rFonts w:ascii="Times New Roman" w:eastAsia="Times New Roman" w:hAnsi="Times New Roman" w:cs="Times New Roman"/>
          <w:sz w:val="26"/>
          <w:szCs w:val="26"/>
        </w:rPr>
        <w:t>denied</w:t>
      </w:r>
      <w:r w:rsidR="00797241" w:rsidRPr="00E0042D">
        <w:rPr>
          <w:rFonts w:ascii="Times New Roman" w:eastAsia="Times New Roman" w:hAnsi="Times New Roman" w:cs="Times New Roman"/>
          <w:sz w:val="26"/>
          <w:szCs w:val="26"/>
        </w:rPr>
        <w:t>, consistent with this Opinion and Order</w:t>
      </w:r>
      <w:r w:rsidR="00CB1780" w:rsidRPr="00E0042D">
        <w:rPr>
          <w:rFonts w:ascii="Times New Roman" w:eastAsia="Times New Roman" w:hAnsi="Times New Roman" w:cs="Times New Roman"/>
          <w:sz w:val="26"/>
          <w:szCs w:val="26"/>
        </w:rPr>
        <w:t>.</w:t>
      </w:r>
    </w:p>
    <w:p w14:paraId="48D84D62" w14:textId="160EE43D" w:rsidR="00CB1780" w:rsidRPr="00EC6B2B" w:rsidRDefault="00CB1780" w:rsidP="00E3444D">
      <w:pPr>
        <w:pStyle w:val="ListParagraph"/>
        <w:widowControl w:val="0"/>
        <w:tabs>
          <w:tab w:val="left" w:pos="-720"/>
        </w:tabs>
        <w:spacing w:after="0" w:line="360" w:lineRule="auto"/>
        <w:ind w:left="2160"/>
        <w:contextualSpacing w:val="0"/>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 xml:space="preserve"> </w:t>
      </w:r>
    </w:p>
    <w:p w14:paraId="1B1166FA" w14:textId="259BECE2" w:rsidR="001709A2" w:rsidRDefault="00FE7D0A" w:rsidP="00EC57F0">
      <w:pPr>
        <w:widowControl w:val="0"/>
        <w:spacing w:after="0" w:line="360" w:lineRule="auto"/>
        <w:ind w:firstLine="1440"/>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2.</w:t>
      </w:r>
      <w:r w:rsidRPr="00EC6B2B">
        <w:rPr>
          <w:rFonts w:ascii="Times New Roman" w:eastAsia="Times New Roman" w:hAnsi="Times New Roman" w:cs="Times New Roman"/>
          <w:sz w:val="26"/>
          <w:szCs w:val="26"/>
        </w:rPr>
        <w:tab/>
      </w:r>
      <w:r w:rsidR="005311DE" w:rsidRPr="00EC6B2B">
        <w:rPr>
          <w:rFonts w:ascii="Times New Roman" w:eastAsia="Times New Roman" w:hAnsi="Times New Roman" w:cs="Times New Roman"/>
          <w:sz w:val="26"/>
          <w:szCs w:val="26"/>
        </w:rPr>
        <w:t xml:space="preserve">That the </w:t>
      </w:r>
      <w:r w:rsidR="00CB1780" w:rsidRPr="00EC6B2B">
        <w:rPr>
          <w:rFonts w:ascii="Times New Roman" w:eastAsia="Times New Roman" w:hAnsi="Times New Roman" w:cs="Times New Roman"/>
          <w:sz w:val="26"/>
          <w:szCs w:val="26"/>
        </w:rPr>
        <w:t xml:space="preserve">Initial Decision of Administrative Law Judge </w:t>
      </w:r>
      <w:r w:rsidR="00EC57F0">
        <w:rPr>
          <w:rFonts w:ascii="Times New Roman" w:eastAsia="Times New Roman" w:hAnsi="Times New Roman" w:cs="Times New Roman"/>
          <w:sz w:val="26"/>
          <w:szCs w:val="26"/>
        </w:rPr>
        <w:t>Marta Guhl</w:t>
      </w:r>
      <w:r w:rsidR="00EC57F0" w:rsidRPr="00EC6B2B">
        <w:rPr>
          <w:rFonts w:ascii="Times New Roman" w:eastAsia="Times New Roman" w:hAnsi="Times New Roman" w:cs="Times New Roman"/>
          <w:sz w:val="26"/>
          <w:szCs w:val="26"/>
        </w:rPr>
        <w:t xml:space="preserve">, </w:t>
      </w:r>
      <w:r w:rsidR="00EC57F0">
        <w:rPr>
          <w:rFonts w:ascii="Times New Roman" w:eastAsia="Times New Roman" w:hAnsi="Times New Roman" w:cs="Times New Roman"/>
          <w:sz w:val="26"/>
          <w:szCs w:val="26"/>
        </w:rPr>
        <w:t>issued on June 25</w:t>
      </w:r>
      <w:r w:rsidR="00EC57F0" w:rsidRPr="00A426D4">
        <w:rPr>
          <w:rFonts w:ascii="Times New Roman" w:eastAsia="Times New Roman" w:hAnsi="Times New Roman" w:cs="Times New Roman"/>
          <w:sz w:val="26"/>
          <w:szCs w:val="26"/>
        </w:rPr>
        <w:t>,</w:t>
      </w:r>
      <w:r w:rsidR="00EC57F0">
        <w:rPr>
          <w:rFonts w:ascii="Times New Roman" w:eastAsia="Times New Roman" w:hAnsi="Times New Roman" w:cs="Times New Roman"/>
          <w:sz w:val="26"/>
          <w:szCs w:val="26"/>
        </w:rPr>
        <w:t> </w:t>
      </w:r>
      <w:r w:rsidR="00EC57F0" w:rsidRPr="00A426D4">
        <w:rPr>
          <w:rFonts w:ascii="Times New Roman" w:eastAsia="Times New Roman" w:hAnsi="Times New Roman" w:cs="Times New Roman"/>
          <w:sz w:val="26"/>
          <w:szCs w:val="26"/>
        </w:rPr>
        <w:t>2020</w:t>
      </w:r>
      <w:r w:rsidR="00CB1780" w:rsidRPr="00E0042D">
        <w:rPr>
          <w:rFonts w:ascii="Times New Roman" w:eastAsia="Times New Roman" w:hAnsi="Times New Roman" w:cs="Times New Roman"/>
          <w:sz w:val="26"/>
          <w:szCs w:val="26"/>
        </w:rPr>
        <w:t xml:space="preserve">, </w:t>
      </w:r>
      <w:r w:rsidR="004323A8">
        <w:rPr>
          <w:rFonts w:ascii="Times New Roman" w:eastAsia="Times New Roman" w:hAnsi="Times New Roman" w:cs="Times New Roman"/>
          <w:sz w:val="26"/>
          <w:szCs w:val="26"/>
        </w:rPr>
        <w:t>is</w:t>
      </w:r>
      <w:r w:rsidR="00484BE0">
        <w:rPr>
          <w:rFonts w:ascii="Times New Roman" w:eastAsia="Times New Roman" w:hAnsi="Times New Roman" w:cs="Times New Roman"/>
          <w:sz w:val="26"/>
          <w:szCs w:val="26"/>
        </w:rPr>
        <w:t xml:space="preserve"> adopted</w:t>
      </w:r>
      <w:r w:rsidR="004323A8">
        <w:rPr>
          <w:rFonts w:ascii="Times New Roman" w:eastAsia="Times New Roman" w:hAnsi="Times New Roman" w:cs="Times New Roman"/>
          <w:sz w:val="26"/>
          <w:szCs w:val="26"/>
        </w:rPr>
        <w:t>, consistent with this Opinion and Order</w:t>
      </w:r>
      <w:r w:rsidR="00CB1780" w:rsidRPr="00EC6B2B">
        <w:rPr>
          <w:rFonts w:ascii="Times New Roman" w:eastAsia="Times New Roman" w:hAnsi="Times New Roman" w:cs="Times New Roman"/>
          <w:sz w:val="26"/>
          <w:szCs w:val="26"/>
        </w:rPr>
        <w:t>.</w:t>
      </w:r>
    </w:p>
    <w:p w14:paraId="2F5899AC" w14:textId="77777777" w:rsidR="001709A2" w:rsidRDefault="001709A2" w:rsidP="00E3444D">
      <w:pPr>
        <w:widowControl w:val="0"/>
        <w:tabs>
          <w:tab w:val="left" w:pos="-720"/>
        </w:tabs>
        <w:spacing w:after="0" w:line="360" w:lineRule="auto"/>
        <w:rPr>
          <w:rFonts w:ascii="Times New Roman" w:eastAsia="Times New Roman" w:hAnsi="Times New Roman" w:cs="Times New Roman"/>
          <w:sz w:val="26"/>
          <w:szCs w:val="26"/>
        </w:rPr>
      </w:pPr>
    </w:p>
    <w:p w14:paraId="20A5A0F1" w14:textId="1F3804EF" w:rsidR="00B9697B" w:rsidRPr="00EC6B2B" w:rsidRDefault="00B60F59" w:rsidP="00892963">
      <w:pPr>
        <w:keepNext/>
        <w:widowControl w:val="0"/>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55323A">
        <w:rPr>
          <w:rFonts w:ascii="Times New Roman" w:eastAsia="Times New Roman" w:hAnsi="Times New Roman" w:cs="Times New Roman"/>
          <w:sz w:val="26"/>
          <w:szCs w:val="26"/>
        </w:rPr>
        <w:t>3</w:t>
      </w:r>
      <w:r w:rsidR="001709A2" w:rsidRPr="001709A2">
        <w:rPr>
          <w:rFonts w:ascii="Times New Roman" w:eastAsia="Times New Roman" w:hAnsi="Times New Roman" w:cs="Times New Roman"/>
          <w:sz w:val="26"/>
          <w:szCs w:val="26"/>
        </w:rPr>
        <w:t xml:space="preserve">. </w:t>
      </w:r>
      <w:r w:rsidR="0055323A">
        <w:rPr>
          <w:rFonts w:ascii="Times New Roman" w:eastAsia="Times New Roman" w:hAnsi="Times New Roman" w:cs="Times New Roman"/>
          <w:sz w:val="26"/>
          <w:szCs w:val="26"/>
        </w:rPr>
        <w:tab/>
      </w:r>
      <w:r w:rsidR="005311DE" w:rsidRPr="00EC6B2B">
        <w:rPr>
          <w:rFonts w:ascii="Times New Roman" w:eastAsia="Times New Roman" w:hAnsi="Times New Roman"/>
          <w:spacing w:val="-2"/>
          <w:sz w:val="26"/>
        </w:rPr>
        <w:t>That th</w:t>
      </w:r>
      <w:r w:rsidR="00CB1780" w:rsidRPr="00EC6B2B">
        <w:rPr>
          <w:rFonts w:ascii="Times New Roman" w:eastAsia="Times New Roman" w:hAnsi="Times New Roman"/>
          <w:spacing w:val="-2"/>
          <w:sz w:val="26"/>
        </w:rPr>
        <w:t xml:space="preserve">is </w:t>
      </w:r>
      <w:r w:rsidR="004A07FD">
        <w:rPr>
          <w:rFonts w:ascii="Times New Roman" w:eastAsia="Times New Roman" w:hAnsi="Times New Roman"/>
          <w:spacing w:val="-2"/>
          <w:sz w:val="26"/>
        </w:rPr>
        <w:t xml:space="preserve">proceeding </w:t>
      </w:r>
      <w:r>
        <w:rPr>
          <w:rFonts w:ascii="Times New Roman" w:eastAsia="Times New Roman" w:hAnsi="Times New Roman"/>
          <w:spacing w:val="-2"/>
          <w:sz w:val="26"/>
        </w:rPr>
        <w:t>shall</w:t>
      </w:r>
      <w:r w:rsidR="00CB1780" w:rsidRPr="00EC6B2B">
        <w:rPr>
          <w:rFonts w:ascii="Times New Roman" w:eastAsia="Times New Roman" w:hAnsi="Times New Roman"/>
          <w:spacing w:val="-2"/>
          <w:sz w:val="26"/>
        </w:rPr>
        <w:t xml:space="preserve"> be marked closed.</w:t>
      </w:r>
      <w:r w:rsidR="004C0CD1" w:rsidRPr="004C0CD1">
        <w:rPr>
          <w:noProof/>
        </w:rPr>
        <w:t xml:space="preserve"> </w:t>
      </w:r>
    </w:p>
    <w:p w14:paraId="19F8FB8E" w14:textId="448C2D61" w:rsidR="00017DD7" w:rsidRPr="00EC6B2B" w:rsidRDefault="00017DD7" w:rsidP="00892963">
      <w:pPr>
        <w:keepNext/>
        <w:widowControl w:val="0"/>
        <w:spacing w:after="0" w:line="360" w:lineRule="auto"/>
        <w:rPr>
          <w:rFonts w:ascii="Times New Roman" w:eastAsia="Times New Roman" w:hAnsi="Times New Roman" w:cs="Times New Roman"/>
          <w:sz w:val="26"/>
          <w:szCs w:val="26"/>
        </w:rPr>
      </w:pPr>
    </w:p>
    <w:p w14:paraId="7FD72483" w14:textId="46A7E09A" w:rsidR="00FE7D0A" w:rsidRPr="00EC6B2B" w:rsidRDefault="00FE7D0A" w:rsidP="00892963">
      <w:pPr>
        <w:keepNext/>
        <w:keepLines/>
        <w:tabs>
          <w:tab w:val="left" w:pos="-720"/>
        </w:tabs>
        <w:suppressAutoHyphens/>
        <w:spacing w:after="0" w:line="240" w:lineRule="auto"/>
        <w:contextualSpacing/>
        <w:rPr>
          <w:rFonts w:ascii="Times New Roman" w:eastAsia="Times New Roman" w:hAnsi="Times New Roman" w:cs="Times New Roman"/>
          <w:b/>
          <w:sz w:val="26"/>
          <w:szCs w:val="26"/>
        </w:rPr>
      </w:pPr>
      <w:r w:rsidRPr="00EC6B2B">
        <w:rPr>
          <w:rFonts w:ascii="Times New Roman" w:eastAsia="Times New Roman" w:hAnsi="Times New Roman" w:cs="Times New Roman"/>
          <w:b/>
          <w:sz w:val="26"/>
          <w:szCs w:val="26"/>
        </w:rPr>
        <w:tab/>
      </w:r>
      <w:r w:rsidRPr="00EC6B2B">
        <w:rPr>
          <w:rFonts w:ascii="Times New Roman" w:eastAsia="Times New Roman" w:hAnsi="Times New Roman" w:cs="Times New Roman"/>
          <w:b/>
          <w:sz w:val="26"/>
          <w:szCs w:val="26"/>
        </w:rPr>
        <w:tab/>
      </w:r>
      <w:r w:rsidRPr="00EC6B2B">
        <w:rPr>
          <w:rFonts w:ascii="Times New Roman" w:eastAsia="Times New Roman" w:hAnsi="Times New Roman" w:cs="Times New Roman"/>
          <w:b/>
          <w:sz w:val="26"/>
          <w:szCs w:val="26"/>
        </w:rPr>
        <w:tab/>
      </w:r>
      <w:r w:rsidRPr="00EC6B2B">
        <w:rPr>
          <w:rFonts w:ascii="Times New Roman" w:eastAsia="Times New Roman" w:hAnsi="Times New Roman" w:cs="Times New Roman"/>
          <w:b/>
          <w:sz w:val="26"/>
          <w:szCs w:val="26"/>
        </w:rPr>
        <w:tab/>
      </w:r>
      <w:r w:rsidRPr="00EC6B2B">
        <w:rPr>
          <w:rFonts w:ascii="Times New Roman" w:eastAsia="Times New Roman" w:hAnsi="Times New Roman" w:cs="Times New Roman"/>
          <w:b/>
          <w:sz w:val="26"/>
          <w:szCs w:val="26"/>
        </w:rPr>
        <w:tab/>
      </w:r>
      <w:r w:rsidRPr="00EC6B2B">
        <w:rPr>
          <w:rFonts w:ascii="Times New Roman" w:eastAsia="Times New Roman" w:hAnsi="Times New Roman" w:cs="Times New Roman"/>
          <w:b/>
          <w:sz w:val="26"/>
          <w:szCs w:val="26"/>
        </w:rPr>
        <w:tab/>
      </w:r>
      <w:r w:rsidR="00457AC0">
        <w:rPr>
          <w:rFonts w:ascii="Times New Roman" w:eastAsia="Times New Roman" w:hAnsi="Times New Roman" w:cs="Times New Roman"/>
          <w:b/>
          <w:sz w:val="26"/>
          <w:szCs w:val="26"/>
        </w:rPr>
        <w:tab/>
      </w:r>
      <w:r w:rsidRPr="00EC6B2B">
        <w:rPr>
          <w:rFonts w:ascii="Times New Roman" w:eastAsia="Times New Roman" w:hAnsi="Times New Roman" w:cs="Times New Roman"/>
          <w:b/>
          <w:sz w:val="26"/>
          <w:szCs w:val="26"/>
        </w:rPr>
        <w:t>BY THE COMMISSION,</w:t>
      </w:r>
    </w:p>
    <w:p w14:paraId="7BA0C30D" w14:textId="72C12E11" w:rsidR="00FE7D0A" w:rsidRPr="00EC6B2B" w:rsidRDefault="000935AC" w:rsidP="00892963">
      <w:pPr>
        <w:keepNext/>
        <w:keepLines/>
        <w:tabs>
          <w:tab w:val="left" w:pos="-720"/>
        </w:tabs>
        <w:suppressAutoHyphens/>
        <w:spacing w:after="0" w:line="240" w:lineRule="auto"/>
        <w:contextualSpacing/>
        <w:jc w:val="center"/>
        <w:rPr>
          <w:rFonts w:ascii="Times New Roman" w:eastAsia="Times New Roman" w:hAnsi="Times New Roman" w:cs="Times New Roman"/>
          <w:sz w:val="26"/>
          <w:szCs w:val="26"/>
        </w:rPr>
      </w:pPr>
      <w:r w:rsidRPr="009F01BA">
        <w:rPr>
          <w:b/>
          <w:noProof/>
          <w:sz w:val="20"/>
          <w:szCs w:val="20"/>
        </w:rPr>
        <w:drawing>
          <wp:anchor distT="0" distB="0" distL="114300" distR="114300" simplePos="0" relativeHeight="251659264" behindDoc="1" locked="0" layoutInCell="1" allowOverlap="1" wp14:anchorId="2027438B" wp14:editId="47382B7D">
            <wp:simplePos x="0" y="0"/>
            <wp:positionH relativeFrom="column">
              <wp:posOffset>2971800</wp:posOffset>
            </wp:positionH>
            <wp:positionV relativeFrom="paragraph">
              <wp:posOffset>8890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6167C787" w14:textId="57805EC9" w:rsidR="00FE7D0A" w:rsidRPr="00EC6B2B" w:rsidRDefault="000935AC" w:rsidP="000935AC">
      <w:pPr>
        <w:keepNext/>
        <w:keepLines/>
        <w:tabs>
          <w:tab w:val="left" w:pos="-720"/>
          <w:tab w:val="left" w:pos="6390"/>
        </w:tabs>
        <w:suppressAutoHyphens/>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31BAEA9E" w14:textId="77777777" w:rsidR="00E24474" w:rsidRPr="00EC6B2B" w:rsidRDefault="00E24474" w:rsidP="00892963">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655E5EFB" w14:textId="77777777" w:rsidR="00FE7D0A" w:rsidRPr="00EC6B2B" w:rsidRDefault="00FE7D0A" w:rsidP="00892963">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706EB453" w14:textId="4B33071F" w:rsidR="00FE7D0A" w:rsidRPr="00EC6B2B" w:rsidRDefault="00FE7D0A" w:rsidP="00892963">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00457AC0">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Rosemary Chiavetta</w:t>
      </w:r>
    </w:p>
    <w:p w14:paraId="6208B8A1" w14:textId="7FA50108" w:rsidR="00FE7D0A" w:rsidRPr="00EC6B2B" w:rsidRDefault="00FE7D0A" w:rsidP="00892963">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ab/>
      </w:r>
      <w:r w:rsidR="00457AC0">
        <w:rPr>
          <w:rFonts w:ascii="Times New Roman" w:eastAsia="Times New Roman" w:hAnsi="Times New Roman" w:cs="Times New Roman"/>
          <w:sz w:val="26"/>
          <w:szCs w:val="26"/>
        </w:rPr>
        <w:tab/>
      </w:r>
      <w:r w:rsidRPr="00EC6B2B">
        <w:rPr>
          <w:rFonts w:ascii="Times New Roman" w:eastAsia="Times New Roman" w:hAnsi="Times New Roman" w:cs="Times New Roman"/>
          <w:sz w:val="26"/>
          <w:szCs w:val="26"/>
        </w:rPr>
        <w:t>Secretary</w:t>
      </w:r>
    </w:p>
    <w:p w14:paraId="039FE8A9" w14:textId="77777777" w:rsidR="00FE7D0A" w:rsidRPr="00EC6B2B" w:rsidRDefault="00FE7D0A" w:rsidP="00892963">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28AD4BA6" w14:textId="77777777" w:rsidR="00FE7D0A" w:rsidRPr="00EC6B2B" w:rsidRDefault="00FE7D0A" w:rsidP="00892963">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1B3BF83F" w14:textId="77777777" w:rsidR="00FE7D0A" w:rsidRPr="00EC6B2B" w:rsidRDefault="00FE7D0A" w:rsidP="00892963">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EC6B2B">
        <w:rPr>
          <w:rFonts w:ascii="Times New Roman" w:eastAsia="Times New Roman" w:hAnsi="Times New Roman" w:cs="Times New Roman"/>
          <w:sz w:val="26"/>
          <w:szCs w:val="26"/>
        </w:rPr>
        <w:t>(SEAL)</w:t>
      </w:r>
    </w:p>
    <w:p w14:paraId="66AF53AA" w14:textId="77777777" w:rsidR="00FE7D0A" w:rsidRPr="00EC6B2B" w:rsidRDefault="00FE7D0A" w:rsidP="00892963">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6F29853C" w14:textId="373814D1" w:rsidR="00FE7D0A" w:rsidRPr="00EC6B2B" w:rsidRDefault="00FE7D0A" w:rsidP="00892963">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8636F9">
        <w:rPr>
          <w:rFonts w:ascii="Times New Roman" w:eastAsia="Times New Roman" w:hAnsi="Times New Roman" w:cs="Times New Roman"/>
          <w:sz w:val="26"/>
          <w:szCs w:val="26"/>
        </w:rPr>
        <w:t xml:space="preserve">ORDER ADOPTED:  </w:t>
      </w:r>
      <w:r w:rsidR="00B12B14">
        <w:rPr>
          <w:rFonts w:ascii="Times New Roman" w:eastAsia="Times New Roman" w:hAnsi="Times New Roman" w:cs="Times New Roman"/>
          <w:sz w:val="26"/>
          <w:szCs w:val="26"/>
        </w:rPr>
        <w:t>June 17, 2021</w:t>
      </w:r>
    </w:p>
    <w:p w14:paraId="26E93EE4" w14:textId="77777777" w:rsidR="00FE7D0A" w:rsidRPr="00EC6B2B" w:rsidRDefault="00FE7D0A" w:rsidP="00892963">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5D1E807A" w14:textId="19164140" w:rsidR="008B7762" w:rsidRPr="00EC6B2B" w:rsidRDefault="00FE7D0A" w:rsidP="00892963">
      <w:pPr>
        <w:keepNext/>
        <w:keepLines/>
        <w:tabs>
          <w:tab w:val="left" w:pos="-720"/>
        </w:tabs>
        <w:suppressAutoHyphens/>
        <w:spacing w:after="0" w:line="240" w:lineRule="auto"/>
        <w:contextualSpacing/>
        <w:rPr>
          <w:rFonts w:ascii="Times New Roman" w:hAnsi="Times New Roman" w:cs="Times New Roman"/>
          <w:sz w:val="26"/>
          <w:szCs w:val="26"/>
        </w:rPr>
      </w:pPr>
      <w:r w:rsidRPr="00EC6B2B">
        <w:rPr>
          <w:rFonts w:ascii="Times New Roman" w:eastAsia="Times New Roman" w:hAnsi="Times New Roman" w:cs="Times New Roman"/>
          <w:sz w:val="26"/>
          <w:szCs w:val="26"/>
        </w:rPr>
        <w:t xml:space="preserve">ORDER ENTERED:  </w:t>
      </w:r>
      <w:r w:rsidR="000935AC">
        <w:rPr>
          <w:rFonts w:ascii="Times New Roman" w:eastAsia="Times New Roman" w:hAnsi="Times New Roman" w:cs="Times New Roman"/>
          <w:sz w:val="26"/>
          <w:szCs w:val="26"/>
        </w:rPr>
        <w:t>June 17, 2021</w:t>
      </w:r>
    </w:p>
    <w:sectPr w:rsidR="008B7762" w:rsidRPr="00EC6B2B" w:rsidSect="00361BF4">
      <w:footerReference w:type="default" r:id="rId13"/>
      <w:endnotePr>
        <w:numFmt w:val="decimal"/>
      </w:endnotePr>
      <w:pgSz w:w="12240" w:h="15840"/>
      <w:pgMar w:top="1440" w:right="1440" w:bottom="1440" w:left="1440" w:header="1440" w:footer="693"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472DB" w14:textId="77777777" w:rsidR="00C27F29" w:rsidRDefault="00C27F29" w:rsidP="00FE7D0A">
      <w:pPr>
        <w:spacing w:after="0" w:line="240" w:lineRule="auto"/>
      </w:pPr>
      <w:r>
        <w:separator/>
      </w:r>
    </w:p>
  </w:endnote>
  <w:endnote w:type="continuationSeparator" w:id="0">
    <w:p w14:paraId="249C7997" w14:textId="77777777" w:rsidR="00C27F29" w:rsidRDefault="00C27F29" w:rsidP="00FE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355615"/>
      <w:docPartObj>
        <w:docPartGallery w:val="Page Numbers (Bottom of Page)"/>
        <w:docPartUnique/>
      </w:docPartObj>
    </w:sdtPr>
    <w:sdtEndPr>
      <w:rPr>
        <w:rFonts w:ascii="Times New Roman" w:hAnsi="Times New Roman" w:cs="Times New Roman"/>
        <w:noProof/>
        <w:sz w:val="26"/>
        <w:szCs w:val="26"/>
      </w:rPr>
    </w:sdtEndPr>
    <w:sdtContent>
      <w:p w14:paraId="5A26D31E" w14:textId="101C1183" w:rsidR="00FA7F25" w:rsidRPr="00796C61" w:rsidRDefault="00344F1F" w:rsidP="00796C61">
        <w:pPr>
          <w:pStyle w:val="Footer"/>
          <w:jc w:val="center"/>
          <w:rPr>
            <w:rFonts w:ascii="Times New Roman" w:hAnsi="Times New Roman" w:cs="Times New Roman"/>
            <w:sz w:val="26"/>
            <w:szCs w:val="26"/>
          </w:rPr>
        </w:pPr>
        <w:r w:rsidRPr="00974B26">
          <w:rPr>
            <w:rFonts w:ascii="Times New Roman" w:hAnsi="Times New Roman" w:cs="Times New Roman"/>
            <w:sz w:val="26"/>
            <w:szCs w:val="26"/>
          </w:rPr>
          <w:fldChar w:fldCharType="begin"/>
        </w:r>
        <w:r w:rsidRPr="00974B26">
          <w:rPr>
            <w:rFonts w:ascii="Times New Roman" w:hAnsi="Times New Roman" w:cs="Times New Roman"/>
            <w:sz w:val="26"/>
            <w:szCs w:val="26"/>
          </w:rPr>
          <w:instrText xml:space="preserve"> PAGE   \* MERGEFORMAT </w:instrText>
        </w:r>
        <w:r w:rsidRPr="00974B26">
          <w:rPr>
            <w:rFonts w:ascii="Times New Roman" w:hAnsi="Times New Roman" w:cs="Times New Roman"/>
            <w:sz w:val="26"/>
            <w:szCs w:val="26"/>
          </w:rPr>
          <w:fldChar w:fldCharType="separate"/>
        </w:r>
        <w:r w:rsidRPr="00974B26">
          <w:rPr>
            <w:rFonts w:ascii="Times New Roman" w:hAnsi="Times New Roman" w:cs="Times New Roman"/>
            <w:noProof/>
            <w:sz w:val="26"/>
            <w:szCs w:val="26"/>
          </w:rPr>
          <w:t>2</w:t>
        </w:r>
        <w:r w:rsidRPr="00974B26">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97B0" w14:textId="77777777" w:rsidR="00C27F29" w:rsidRDefault="00C27F29" w:rsidP="00FE7D0A">
      <w:pPr>
        <w:spacing w:after="0" w:line="240" w:lineRule="auto"/>
      </w:pPr>
      <w:r>
        <w:separator/>
      </w:r>
    </w:p>
  </w:footnote>
  <w:footnote w:type="continuationSeparator" w:id="0">
    <w:p w14:paraId="55A6AAB2" w14:textId="77777777" w:rsidR="00C27F29" w:rsidRDefault="00C27F29" w:rsidP="00FE7D0A">
      <w:pPr>
        <w:spacing w:after="0" w:line="240" w:lineRule="auto"/>
      </w:pPr>
      <w:r>
        <w:continuationSeparator/>
      </w:r>
    </w:p>
  </w:footnote>
  <w:footnote w:id="1">
    <w:p w14:paraId="6E23B352" w14:textId="4BB08742" w:rsidR="00C35A96" w:rsidRPr="00C35A96" w:rsidRDefault="00C35A96" w:rsidP="00C35A96">
      <w:pPr>
        <w:pStyle w:val="FootnoteText"/>
        <w:ind w:firstLine="720"/>
        <w:rPr>
          <w:rFonts w:ascii="Times New Roman" w:hAnsi="Times New Roman" w:cs="Times New Roman"/>
          <w:sz w:val="26"/>
          <w:szCs w:val="26"/>
        </w:rPr>
      </w:pPr>
      <w:r w:rsidRPr="00C35A96">
        <w:rPr>
          <w:rStyle w:val="FootnoteReference"/>
          <w:rFonts w:ascii="Times New Roman" w:hAnsi="Times New Roman" w:cs="Times New Roman"/>
          <w:sz w:val="26"/>
          <w:szCs w:val="26"/>
        </w:rPr>
        <w:footnoteRef/>
      </w:r>
      <w:r w:rsidRPr="00C35A96">
        <w:rPr>
          <w:rFonts w:ascii="Times New Roman" w:hAnsi="Times New Roman" w:cs="Times New Roman"/>
          <w:sz w:val="26"/>
          <w:szCs w:val="26"/>
        </w:rPr>
        <w:t xml:space="preserve"> </w:t>
      </w:r>
      <w:r>
        <w:rPr>
          <w:rFonts w:ascii="Times New Roman" w:hAnsi="Times New Roman" w:cs="Times New Roman"/>
          <w:sz w:val="26"/>
          <w:szCs w:val="26"/>
        </w:rPr>
        <w:tab/>
        <w:t xml:space="preserve">Similar to the </w:t>
      </w:r>
      <w:r w:rsidR="001C3CC4">
        <w:rPr>
          <w:rFonts w:ascii="Times New Roman" w:hAnsi="Times New Roman" w:cs="Times New Roman"/>
          <w:sz w:val="26"/>
          <w:szCs w:val="26"/>
        </w:rPr>
        <w:t xml:space="preserve">prior Secretarial Letter, the </w:t>
      </w:r>
      <w:r w:rsidR="001C3CC4" w:rsidRPr="00204CB9">
        <w:rPr>
          <w:rFonts w:ascii="Times New Roman" w:hAnsi="Times New Roman" w:cs="Times New Roman"/>
          <w:i/>
          <w:iCs/>
          <w:sz w:val="26"/>
          <w:szCs w:val="26"/>
        </w:rPr>
        <w:t>May 2019 Secretarial Letter</w:t>
      </w:r>
      <w:r w:rsidR="001C3CC4">
        <w:rPr>
          <w:rFonts w:ascii="Times New Roman" w:hAnsi="Times New Roman" w:cs="Times New Roman"/>
          <w:sz w:val="26"/>
          <w:szCs w:val="26"/>
        </w:rPr>
        <w:t xml:space="preserve"> specified that the </w:t>
      </w:r>
      <w:r w:rsidR="00204CB9">
        <w:rPr>
          <w:rFonts w:ascii="Times New Roman" w:hAnsi="Times New Roman" w:cs="Times New Roman"/>
          <w:sz w:val="26"/>
          <w:szCs w:val="26"/>
        </w:rPr>
        <w:t xml:space="preserve">NBT is subject to Commission review and audit under Section 1307(e) of the Code.  </w:t>
      </w:r>
    </w:p>
  </w:footnote>
  <w:footnote w:id="2">
    <w:p w14:paraId="05AAF606" w14:textId="54D75FEA" w:rsidR="00FE4CA2" w:rsidRDefault="00FE4CA2" w:rsidP="004B0287">
      <w:pPr>
        <w:pStyle w:val="FootnoteText"/>
        <w:ind w:left="1440" w:right="1440" w:hanging="720"/>
        <w:rPr>
          <w:rFonts w:ascii="Times New Roman" w:hAnsi="Times New Roman" w:cs="Times New Roman"/>
          <w:sz w:val="26"/>
          <w:szCs w:val="26"/>
        </w:rPr>
      </w:pPr>
      <w:r w:rsidRPr="00111928">
        <w:rPr>
          <w:rStyle w:val="FootnoteReference"/>
          <w:rFonts w:ascii="Times New Roman" w:hAnsi="Times New Roman" w:cs="Times New Roman"/>
          <w:color w:val="000000" w:themeColor="text1"/>
          <w:sz w:val="26"/>
          <w:szCs w:val="26"/>
        </w:rPr>
        <w:footnoteRef/>
      </w:r>
      <w:r w:rsidRPr="00111928">
        <w:rPr>
          <w:rFonts w:ascii="Times New Roman" w:hAnsi="Times New Roman" w:cs="Times New Roman"/>
          <w:color w:val="000000" w:themeColor="text1"/>
          <w:sz w:val="26"/>
          <w:szCs w:val="26"/>
        </w:rPr>
        <w:t xml:space="preserve"> </w:t>
      </w:r>
      <w:r w:rsidRPr="00111928">
        <w:rPr>
          <w:rFonts w:ascii="Times New Roman" w:hAnsi="Times New Roman" w:cs="Times New Roman"/>
          <w:color w:val="000000" w:themeColor="text1"/>
          <w:sz w:val="26"/>
          <w:szCs w:val="26"/>
        </w:rPr>
        <w:tab/>
      </w:r>
      <w:r w:rsidR="004368BC" w:rsidRPr="00111928">
        <w:rPr>
          <w:rFonts w:ascii="Times New Roman" w:hAnsi="Times New Roman" w:cs="Times New Roman"/>
          <w:color w:val="000000" w:themeColor="text1"/>
          <w:sz w:val="26"/>
          <w:szCs w:val="26"/>
        </w:rPr>
        <w:t>The solution-based </w:t>
      </w:r>
      <w:r w:rsidR="004368BC" w:rsidRPr="00111928">
        <w:rPr>
          <w:rFonts w:ascii="Times New Roman" w:hAnsi="Times New Roman" w:cs="Times New Roman"/>
          <w:color w:val="000000" w:themeColor="text1"/>
          <w:sz w:val="26"/>
          <w:szCs w:val="26"/>
          <w:bdr w:val="none" w:sz="0" w:space="0" w:color="auto" w:frame="1"/>
        </w:rPr>
        <w:t>DFAX</w:t>
      </w:r>
      <w:r w:rsidR="004368BC" w:rsidRPr="00111928">
        <w:rPr>
          <w:rFonts w:ascii="Times New Roman" w:hAnsi="Times New Roman" w:cs="Times New Roman"/>
          <w:color w:val="000000" w:themeColor="text1"/>
          <w:sz w:val="26"/>
          <w:szCs w:val="26"/>
        </w:rPr>
        <w:t> method evaluates the projected relative use on the new facility by the load of each transmission Zone or Merchant Transmission Facility and, through this power flow analysis, identifies projected beneficiaries for individual entities in relation to power flows</w:t>
      </w:r>
      <w:r w:rsidR="00F90803" w:rsidRPr="00111928">
        <w:rPr>
          <w:rFonts w:ascii="Times New Roman" w:hAnsi="Times New Roman" w:cs="Times New Roman"/>
          <w:color w:val="000000" w:themeColor="text1"/>
          <w:sz w:val="26"/>
          <w:szCs w:val="26"/>
        </w:rPr>
        <w:t>…</w:t>
      </w:r>
      <w:r w:rsidR="004368BC" w:rsidRPr="00111928">
        <w:rPr>
          <w:rFonts w:ascii="Times New Roman" w:hAnsi="Times New Roman" w:cs="Times New Roman"/>
          <w:color w:val="000000" w:themeColor="text1"/>
          <w:sz w:val="26"/>
          <w:szCs w:val="26"/>
        </w:rPr>
        <w:t xml:space="preserve">. </w:t>
      </w:r>
      <w:r w:rsidR="00F90803" w:rsidRPr="00111928">
        <w:rPr>
          <w:rFonts w:ascii="Times New Roman" w:hAnsi="Times New Roman" w:cs="Times New Roman"/>
          <w:color w:val="000000" w:themeColor="text1"/>
          <w:sz w:val="26"/>
          <w:szCs w:val="26"/>
        </w:rPr>
        <w:t xml:space="preserve"> </w:t>
      </w:r>
      <w:r w:rsidR="004368BC" w:rsidRPr="00111928">
        <w:rPr>
          <w:rFonts w:ascii="Times New Roman" w:hAnsi="Times New Roman" w:cs="Times New Roman"/>
          <w:color w:val="000000" w:themeColor="text1"/>
          <w:sz w:val="26"/>
          <w:szCs w:val="26"/>
        </w:rPr>
        <w:t>The solution-based </w:t>
      </w:r>
      <w:r w:rsidR="004368BC" w:rsidRPr="00111928">
        <w:rPr>
          <w:rFonts w:ascii="Times New Roman" w:hAnsi="Times New Roman" w:cs="Times New Roman"/>
          <w:color w:val="000000" w:themeColor="text1"/>
          <w:sz w:val="26"/>
          <w:szCs w:val="26"/>
          <w:bdr w:val="none" w:sz="0" w:space="0" w:color="auto" w:frame="1"/>
        </w:rPr>
        <w:t>DFAX</w:t>
      </w:r>
      <w:r w:rsidR="004368BC" w:rsidRPr="00111928">
        <w:rPr>
          <w:rFonts w:ascii="Times New Roman" w:hAnsi="Times New Roman" w:cs="Times New Roman"/>
          <w:color w:val="000000" w:themeColor="text1"/>
          <w:sz w:val="26"/>
          <w:szCs w:val="26"/>
        </w:rPr>
        <w:t> method replaced the violation-based </w:t>
      </w:r>
      <w:r w:rsidR="004368BC" w:rsidRPr="00111928">
        <w:rPr>
          <w:rFonts w:ascii="Times New Roman" w:hAnsi="Times New Roman" w:cs="Times New Roman"/>
          <w:color w:val="000000" w:themeColor="text1"/>
          <w:sz w:val="26"/>
          <w:szCs w:val="26"/>
          <w:bdr w:val="none" w:sz="0" w:space="0" w:color="auto" w:frame="1"/>
        </w:rPr>
        <w:t>DFAX</w:t>
      </w:r>
      <w:r w:rsidR="004368BC" w:rsidRPr="00111928">
        <w:rPr>
          <w:rFonts w:ascii="Times New Roman" w:hAnsi="Times New Roman" w:cs="Times New Roman"/>
          <w:color w:val="000000" w:themeColor="text1"/>
          <w:sz w:val="26"/>
          <w:szCs w:val="26"/>
        </w:rPr>
        <w:t> method that assigned cost responsibility by determining which loads contribute to the reliability violation that caused the upgrade.</w:t>
      </w:r>
      <w:r w:rsidR="00086812" w:rsidRPr="00111928">
        <w:rPr>
          <w:rFonts w:ascii="Times New Roman" w:hAnsi="Times New Roman" w:cs="Times New Roman"/>
          <w:color w:val="000000" w:themeColor="text1"/>
          <w:sz w:val="26"/>
          <w:szCs w:val="26"/>
        </w:rPr>
        <w:t xml:space="preserve">  </w:t>
      </w:r>
      <w:r w:rsidR="004368BC" w:rsidRPr="00F90803">
        <w:rPr>
          <w:rFonts w:ascii="Times New Roman" w:hAnsi="Times New Roman" w:cs="Times New Roman"/>
          <w:color w:val="373739"/>
          <w:sz w:val="26"/>
          <w:szCs w:val="26"/>
        </w:rPr>
        <w:br/>
      </w:r>
    </w:p>
    <w:p w14:paraId="65877ABC" w14:textId="652149F5" w:rsidR="004B0287" w:rsidRPr="002B4159" w:rsidRDefault="004B0287" w:rsidP="004B0287">
      <w:pPr>
        <w:pStyle w:val="FootnoteText"/>
        <w:ind w:left="1440" w:right="1440" w:hanging="1440"/>
        <w:rPr>
          <w:rFonts w:ascii="Times New Roman" w:hAnsi="Times New Roman" w:cs="Times New Roman"/>
          <w:sz w:val="26"/>
          <w:szCs w:val="26"/>
        </w:rPr>
      </w:pPr>
      <w:r w:rsidRPr="003F4A89">
        <w:rPr>
          <w:rFonts w:ascii="Times New Roman" w:hAnsi="Times New Roman" w:cs="Times New Roman"/>
          <w:sz w:val="26"/>
          <w:szCs w:val="26"/>
        </w:rPr>
        <w:t>FERC Settlement Agreement</w:t>
      </w:r>
      <w:r w:rsidR="00635481">
        <w:rPr>
          <w:rFonts w:ascii="Times New Roman" w:hAnsi="Times New Roman" w:cs="Times New Roman"/>
          <w:sz w:val="26"/>
          <w:szCs w:val="26"/>
        </w:rPr>
        <w:t xml:space="preserve"> at *61846.</w:t>
      </w:r>
    </w:p>
  </w:footnote>
  <w:footnote w:id="3">
    <w:p w14:paraId="1A1F6C8A" w14:textId="2F1954A7" w:rsidR="00DE1C67" w:rsidRPr="00DE1C67" w:rsidRDefault="00DE1C67" w:rsidP="00DE1C67">
      <w:pPr>
        <w:pStyle w:val="FootnoteText"/>
        <w:ind w:firstLine="720"/>
        <w:rPr>
          <w:rFonts w:ascii="Times New Roman" w:hAnsi="Times New Roman" w:cs="Times New Roman"/>
          <w:sz w:val="26"/>
          <w:szCs w:val="26"/>
        </w:rPr>
      </w:pPr>
      <w:r w:rsidRPr="00DE1C67">
        <w:rPr>
          <w:rStyle w:val="FootnoteReference"/>
          <w:rFonts w:ascii="Times New Roman" w:hAnsi="Times New Roman" w:cs="Times New Roman"/>
          <w:sz w:val="26"/>
          <w:szCs w:val="26"/>
        </w:rPr>
        <w:footnoteRef/>
      </w:r>
      <w:r w:rsidRPr="00DE1C67">
        <w:rPr>
          <w:rFonts w:ascii="Times New Roman" w:hAnsi="Times New Roman" w:cs="Times New Roman"/>
          <w:sz w:val="26"/>
          <w:szCs w:val="26"/>
        </w:rPr>
        <w:t xml:space="preserve"> </w:t>
      </w:r>
      <w:r>
        <w:rPr>
          <w:rFonts w:ascii="Times New Roman" w:hAnsi="Times New Roman" w:cs="Times New Roman"/>
          <w:sz w:val="26"/>
          <w:szCs w:val="26"/>
        </w:rPr>
        <w:tab/>
      </w:r>
      <w:r w:rsidR="00941860">
        <w:rPr>
          <w:rFonts w:ascii="Times New Roman" w:hAnsi="Times New Roman" w:cs="Times New Roman"/>
          <w:sz w:val="26"/>
          <w:szCs w:val="26"/>
        </w:rPr>
        <w:t>However, a</w:t>
      </w:r>
      <w:r>
        <w:rPr>
          <w:rFonts w:ascii="Times New Roman" w:hAnsi="Times New Roman" w:cs="Times New Roman"/>
          <w:sz w:val="26"/>
          <w:szCs w:val="26"/>
        </w:rPr>
        <w:t xml:space="preserve">s discussed below, </w:t>
      </w:r>
      <w:r w:rsidR="0021280D">
        <w:rPr>
          <w:rFonts w:ascii="Times New Roman" w:hAnsi="Times New Roman" w:cs="Times New Roman"/>
          <w:sz w:val="26"/>
          <w:szCs w:val="26"/>
        </w:rPr>
        <w:t xml:space="preserve">the application of the </w:t>
      </w:r>
      <w:r>
        <w:rPr>
          <w:rFonts w:ascii="Times New Roman" w:hAnsi="Times New Roman" w:cs="Times New Roman"/>
          <w:sz w:val="26"/>
          <w:szCs w:val="26"/>
        </w:rPr>
        <w:t>burden of proof is a disputed issue in th</w:t>
      </w:r>
      <w:r w:rsidR="00F468E2">
        <w:rPr>
          <w:rFonts w:ascii="Times New Roman" w:hAnsi="Times New Roman" w:cs="Times New Roman"/>
          <w:sz w:val="26"/>
          <w:szCs w:val="26"/>
        </w:rPr>
        <w:t xml:space="preserve">is proceeding.  </w:t>
      </w:r>
    </w:p>
  </w:footnote>
  <w:footnote w:id="4">
    <w:p w14:paraId="21AC26ED" w14:textId="77ED6B65" w:rsidR="00E3444D" w:rsidRDefault="00E3444D" w:rsidP="009045B5">
      <w:pPr>
        <w:pStyle w:val="FootnoteText"/>
        <w:keepNext/>
        <w:keepLines/>
        <w:ind w:left="1440" w:right="1440" w:hanging="720"/>
      </w:pPr>
      <w:r w:rsidRPr="00E3444D">
        <w:rPr>
          <w:rStyle w:val="FootnoteReference"/>
          <w:rFonts w:ascii="Times New Roman" w:hAnsi="Times New Roman" w:cs="Times New Roman"/>
          <w:sz w:val="26"/>
          <w:szCs w:val="26"/>
        </w:rPr>
        <w:footnoteRef/>
      </w:r>
      <w:r>
        <w:t xml:space="preserve"> </w:t>
      </w:r>
      <w:r>
        <w:tab/>
      </w:r>
      <w:r w:rsidRPr="009A1B33">
        <w:rPr>
          <w:rFonts w:ascii="Times New Roman" w:hAnsi="Times New Roman" w:cs="Times New Roman"/>
          <w:sz w:val="26"/>
          <w:szCs w:val="26"/>
        </w:rPr>
        <w:t xml:space="preserve">(a) Reasonableness of rates.--In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 </w:t>
      </w:r>
      <w:r w:rsidR="00FF0D6E">
        <w:rPr>
          <w:rFonts w:ascii="Times New Roman" w:hAnsi="Times New Roman" w:cs="Times New Roman"/>
          <w:sz w:val="26"/>
          <w:szCs w:val="26"/>
        </w:rPr>
        <w:t xml:space="preserve"> </w:t>
      </w:r>
      <w:r w:rsidRPr="009A1B33">
        <w:rPr>
          <w:rFonts w:ascii="Times New Roman" w:hAnsi="Times New Roman" w:cs="Times New Roman"/>
          <w:sz w:val="26"/>
          <w:szCs w:val="26"/>
        </w:rPr>
        <w:t>The commission shall give to the hearing and decision of any such proceeding preference over all other proceedings, and decide the same as speedily as possible.</w:t>
      </w:r>
      <w:r>
        <w:t xml:space="preserve">  </w:t>
      </w:r>
    </w:p>
    <w:p w14:paraId="53637208" w14:textId="4167D26F" w:rsidR="00E3444D" w:rsidRDefault="00E3444D" w:rsidP="009045B5">
      <w:pPr>
        <w:pStyle w:val="FootnoteText"/>
        <w:keepNext/>
        <w:keepLines/>
        <w:ind w:right="1440"/>
      </w:pPr>
    </w:p>
    <w:p w14:paraId="4700C590" w14:textId="7CD65E4C" w:rsidR="006B62CE" w:rsidRPr="006B62CE" w:rsidRDefault="006B62CE" w:rsidP="009045B5">
      <w:pPr>
        <w:pStyle w:val="FootnoteText"/>
        <w:keepNext/>
        <w:keepLines/>
        <w:ind w:right="1440"/>
        <w:rPr>
          <w:rFonts w:ascii="Times New Roman" w:hAnsi="Times New Roman" w:cs="Times New Roman"/>
          <w:sz w:val="26"/>
          <w:szCs w:val="26"/>
        </w:rPr>
      </w:pPr>
      <w:r w:rsidRPr="006B62CE">
        <w:rPr>
          <w:rFonts w:ascii="Times New Roman" w:hAnsi="Times New Roman" w:cs="Times New Roman"/>
          <w:sz w:val="26"/>
          <w:szCs w:val="26"/>
        </w:rPr>
        <w:t xml:space="preserve">66 Pa. C.S. § 315(a). </w:t>
      </w:r>
    </w:p>
  </w:footnote>
  <w:footnote w:id="5">
    <w:p w14:paraId="1E188D3D" w14:textId="77777777" w:rsidR="007B5ECA" w:rsidRPr="008339F8" w:rsidRDefault="00447395" w:rsidP="008339F8">
      <w:pPr>
        <w:keepNext/>
        <w:autoSpaceDE w:val="0"/>
        <w:autoSpaceDN w:val="0"/>
        <w:adjustRightInd w:val="0"/>
        <w:spacing w:after="0" w:line="240" w:lineRule="auto"/>
        <w:ind w:left="1440" w:right="1440" w:hanging="720"/>
        <w:rPr>
          <w:rFonts w:ascii="Times New Roman" w:hAnsi="Times New Roman" w:cs="Times New Roman"/>
          <w:color w:val="000000" w:themeColor="text1"/>
          <w:sz w:val="26"/>
          <w:szCs w:val="26"/>
        </w:rPr>
      </w:pPr>
      <w:r w:rsidRPr="008339F8">
        <w:rPr>
          <w:rStyle w:val="FootnoteReference"/>
          <w:rFonts w:ascii="Times New Roman" w:hAnsi="Times New Roman" w:cs="Times New Roman"/>
          <w:color w:val="000000" w:themeColor="text1"/>
          <w:sz w:val="26"/>
          <w:szCs w:val="26"/>
        </w:rPr>
        <w:footnoteRef/>
      </w:r>
      <w:r w:rsidRPr="008339F8">
        <w:rPr>
          <w:rFonts w:ascii="Times New Roman" w:hAnsi="Times New Roman" w:cs="Times New Roman"/>
          <w:color w:val="000000" w:themeColor="text1"/>
          <w:sz w:val="26"/>
          <w:szCs w:val="26"/>
        </w:rPr>
        <w:t xml:space="preserve"> </w:t>
      </w:r>
      <w:r w:rsidRPr="008339F8">
        <w:rPr>
          <w:rFonts w:ascii="Times New Roman" w:hAnsi="Times New Roman" w:cs="Times New Roman"/>
          <w:color w:val="000000" w:themeColor="text1"/>
          <w:sz w:val="26"/>
          <w:szCs w:val="26"/>
        </w:rPr>
        <w:tab/>
      </w:r>
      <w:r w:rsidR="007B5ECA" w:rsidRPr="008339F8">
        <w:rPr>
          <w:rFonts w:ascii="Times New Roman" w:hAnsi="Times New Roman" w:cs="Times New Roman"/>
          <w:color w:val="000000" w:themeColor="text1"/>
          <w:sz w:val="26"/>
          <w:szCs w:val="26"/>
        </w:rPr>
        <w:t>Section 1307(a) of the Code provides:</w:t>
      </w:r>
    </w:p>
    <w:p w14:paraId="290CB8F6" w14:textId="77777777" w:rsidR="007B5ECA" w:rsidRPr="008339F8" w:rsidRDefault="007B5ECA" w:rsidP="008339F8">
      <w:pPr>
        <w:keepNext/>
        <w:autoSpaceDE w:val="0"/>
        <w:autoSpaceDN w:val="0"/>
        <w:adjustRightInd w:val="0"/>
        <w:spacing w:after="0" w:line="240" w:lineRule="auto"/>
        <w:ind w:left="1440" w:right="1440" w:hanging="720"/>
        <w:rPr>
          <w:rFonts w:ascii="Times New Roman" w:hAnsi="Times New Roman" w:cs="Times New Roman"/>
          <w:color w:val="000000" w:themeColor="text1"/>
          <w:sz w:val="26"/>
          <w:szCs w:val="26"/>
        </w:rPr>
      </w:pPr>
    </w:p>
    <w:p w14:paraId="5710C815" w14:textId="4E9DDF2E" w:rsidR="00447395" w:rsidRPr="008339F8" w:rsidRDefault="00447395" w:rsidP="008339F8">
      <w:pPr>
        <w:keepNext/>
        <w:autoSpaceDE w:val="0"/>
        <w:autoSpaceDN w:val="0"/>
        <w:adjustRightInd w:val="0"/>
        <w:spacing w:after="0" w:line="240" w:lineRule="auto"/>
        <w:ind w:left="1440" w:right="1440"/>
        <w:rPr>
          <w:rFonts w:ascii="Times New Roman" w:hAnsi="Times New Roman" w:cs="Times New Roman"/>
          <w:color w:val="000000" w:themeColor="text1"/>
          <w:sz w:val="26"/>
          <w:szCs w:val="26"/>
        </w:rPr>
      </w:pPr>
      <w:r w:rsidRPr="008339F8">
        <w:rPr>
          <w:rFonts w:ascii="Times New Roman" w:hAnsi="Times New Roman" w:cs="Times New Roman"/>
          <w:color w:val="000000" w:themeColor="text1"/>
          <w:sz w:val="26"/>
          <w:szCs w:val="26"/>
        </w:rPr>
        <w:t>(a) General rule.--Any public utility, except common carriers and those natural gas distributors with gross intrastate annual operating revenues in excess of $40,000,000 with respect to the gas costs of such natural gas distributors, may establish a sliding scale of rates or such other method for the automatic adjustment of the rates of the public utility as shall provide a just and reasonable return on the rate base of such public utility, to be determined upon such equitable or reasonable basis as shall provide such fair return.  A tariff showing the scale of rates under such arrangement shall first be filed with the commission, and such tariff, and each rate</w:t>
      </w:r>
      <w:r w:rsidR="00AF21AC" w:rsidRPr="008339F8">
        <w:rPr>
          <w:rFonts w:ascii="Times New Roman" w:hAnsi="Times New Roman" w:cs="Times New Roman"/>
          <w:color w:val="000000" w:themeColor="text1"/>
          <w:sz w:val="26"/>
          <w:szCs w:val="26"/>
        </w:rPr>
        <w:t xml:space="preserve"> </w:t>
      </w:r>
      <w:r w:rsidRPr="008339F8">
        <w:rPr>
          <w:rFonts w:ascii="Times New Roman" w:hAnsi="Times New Roman" w:cs="Times New Roman"/>
          <w:color w:val="000000" w:themeColor="text1"/>
          <w:sz w:val="26"/>
          <w:szCs w:val="26"/>
        </w:rPr>
        <w:t>set out therein, approved by it.  The commission may revoke its approval at any time and fix other rates for any such public utility if, after notice and hearing, the</w:t>
      </w:r>
      <w:r w:rsidR="00FC5019" w:rsidRPr="008339F8">
        <w:rPr>
          <w:rFonts w:ascii="Times New Roman" w:hAnsi="Times New Roman" w:cs="Times New Roman"/>
          <w:color w:val="000000" w:themeColor="text1"/>
          <w:sz w:val="26"/>
          <w:szCs w:val="26"/>
        </w:rPr>
        <w:t xml:space="preserve"> </w:t>
      </w:r>
      <w:r w:rsidRPr="008339F8">
        <w:rPr>
          <w:rFonts w:ascii="Times New Roman" w:hAnsi="Times New Roman" w:cs="Times New Roman"/>
          <w:color w:val="000000" w:themeColor="text1"/>
          <w:sz w:val="26"/>
          <w:szCs w:val="26"/>
        </w:rPr>
        <w:t>commission finds the existing rates unjust or unreasonable</w:t>
      </w:r>
      <w:r w:rsidR="00FC5019" w:rsidRPr="008339F8">
        <w:rPr>
          <w:rFonts w:ascii="Times New Roman" w:hAnsi="Times New Roman" w:cs="Times New Roman"/>
          <w:color w:val="000000" w:themeColor="text1"/>
          <w:sz w:val="26"/>
          <w:szCs w:val="26"/>
        </w:rPr>
        <w:t>.</w:t>
      </w:r>
    </w:p>
    <w:p w14:paraId="73626977" w14:textId="4996EEA7" w:rsidR="00FC5019" w:rsidRPr="008339F8" w:rsidRDefault="00FC5019" w:rsidP="008339F8">
      <w:pPr>
        <w:keepNext/>
        <w:autoSpaceDE w:val="0"/>
        <w:autoSpaceDN w:val="0"/>
        <w:adjustRightInd w:val="0"/>
        <w:spacing w:after="0" w:line="240" w:lineRule="auto"/>
        <w:ind w:right="1440"/>
        <w:rPr>
          <w:rFonts w:ascii="Times New Roman" w:hAnsi="Times New Roman" w:cs="Times New Roman"/>
          <w:color w:val="000000" w:themeColor="text1"/>
          <w:sz w:val="26"/>
          <w:szCs w:val="26"/>
        </w:rPr>
      </w:pPr>
    </w:p>
    <w:p w14:paraId="3E4E6545" w14:textId="7CC5DF90" w:rsidR="00F1010F" w:rsidRPr="00447395" w:rsidRDefault="00F1010F" w:rsidP="008339F8">
      <w:pPr>
        <w:keepNext/>
        <w:autoSpaceDE w:val="0"/>
        <w:autoSpaceDN w:val="0"/>
        <w:adjustRightInd w:val="0"/>
        <w:spacing w:after="0" w:line="240" w:lineRule="auto"/>
        <w:ind w:right="1440"/>
        <w:rPr>
          <w:rFonts w:ascii="Times New Roman" w:hAnsi="Times New Roman" w:cs="Times New Roman"/>
          <w:sz w:val="26"/>
          <w:szCs w:val="26"/>
        </w:rPr>
      </w:pPr>
      <w:r w:rsidRPr="008339F8">
        <w:rPr>
          <w:rFonts w:ascii="Times New Roman" w:hAnsi="Times New Roman" w:cs="Times New Roman"/>
          <w:color w:val="000000" w:themeColor="text1"/>
          <w:sz w:val="26"/>
          <w:szCs w:val="26"/>
        </w:rPr>
        <w:t>66 Pa. C.S. § 1307(a).</w:t>
      </w:r>
      <w:r w:rsidRPr="008339F8">
        <w:rPr>
          <w:rFonts w:ascii="Times New Roman" w:hAnsi="Times New Roman" w:cs="Times New Roman"/>
          <w:color w:val="000000" w:themeColor="text1"/>
          <w:sz w:val="24"/>
          <w:szCs w:val="24"/>
        </w:rPr>
        <w:t xml:space="preserve">  </w:t>
      </w:r>
    </w:p>
  </w:footnote>
  <w:footnote w:id="6">
    <w:p w14:paraId="159F8D03" w14:textId="2F05873C" w:rsidR="003936F7" w:rsidRPr="00FC0C53" w:rsidRDefault="003936F7" w:rsidP="00FC0C53">
      <w:pPr>
        <w:pStyle w:val="FootnoteText"/>
        <w:ind w:firstLine="720"/>
        <w:rPr>
          <w:rFonts w:ascii="Times New Roman" w:hAnsi="Times New Roman" w:cs="Times New Roman"/>
          <w:sz w:val="26"/>
          <w:szCs w:val="26"/>
        </w:rPr>
      </w:pPr>
      <w:r w:rsidRPr="00FC0C53">
        <w:rPr>
          <w:rStyle w:val="FootnoteReference"/>
          <w:rFonts w:ascii="Times New Roman" w:hAnsi="Times New Roman" w:cs="Times New Roman"/>
          <w:sz w:val="26"/>
          <w:szCs w:val="26"/>
        </w:rPr>
        <w:footnoteRef/>
      </w:r>
      <w:r w:rsidRPr="00FC0C53">
        <w:rPr>
          <w:rFonts w:ascii="Times New Roman" w:hAnsi="Times New Roman" w:cs="Times New Roman"/>
          <w:sz w:val="26"/>
          <w:szCs w:val="26"/>
        </w:rPr>
        <w:t xml:space="preserve"> </w:t>
      </w:r>
      <w:r w:rsidR="00FC0C53">
        <w:rPr>
          <w:rFonts w:ascii="Times New Roman" w:hAnsi="Times New Roman" w:cs="Times New Roman"/>
          <w:sz w:val="26"/>
          <w:szCs w:val="26"/>
        </w:rPr>
        <w:tab/>
        <w:t xml:space="preserve">Section 1307(f) </w:t>
      </w:r>
      <w:r w:rsidR="00F82C7B">
        <w:rPr>
          <w:rFonts w:ascii="Times New Roman" w:hAnsi="Times New Roman" w:cs="Times New Roman"/>
          <w:sz w:val="26"/>
          <w:szCs w:val="26"/>
        </w:rPr>
        <w:t xml:space="preserve">permits </w:t>
      </w:r>
      <w:r w:rsidR="00D409E7">
        <w:rPr>
          <w:rFonts w:ascii="Times New Roman" w:hAnsi="Times New Roman" w:cs="Times New Roman"/>
          <w:sz w:val="26"/>
          <w:szCs w:val="26"/>
        </w:rPr>
        <w:t xml:space="preserve">natural gas distribution companies </w:t>
      </w:r>
      <w:r w:rsidR="00B27DE8">
        <w:rPr>
          <w:rFonts w:ascii="Times New Roman" w:hAnsi="Times New Roman" w:cs="Times New Roman"/>
          <w:sz w:val="26"/>
          <w:szCs w:val="26"/>
        </w:rPr>
        <w:t>with gross inter</w:t>
      </w:r>
      <w:r w:rsidR="00F82C7B">
        <w:rPr>
          <w:rFonts w:ascii="Times New Roman" w:hAnsi="Times New Roman" w:cs="Times New Roman"/>
          <w:sz w:val="26"/>
          <w:szCs w:val="26"/>
        </w:rPr>
        <w:t>state annual operating revenu</w:t>
      </w:r>
      <w:r w:rsidR="00CF1032">
        <w:rPr>
          <w:rFonts w:ascii="Times New Roman" w:hAnsi="Times New Roman" w:cs="Times New Roman"/>
          <w:sz w:val="26"/>
          <w:szCs w:val="26"/>
        </w:rPr>
        <w:t xml:space="preserve">es in excess of $40 million to file tariffs reflecting actual </w:t>
      </w:r>
      <w:r w:rsidR="00037C49">
        <w:rPr>
          <w:rFonts w:ascii="Times New Roman" w:hAnsi="Times New Roman" w:cs="Times New Roman"/>
          <w:sz w:val="26"/>
          <w:szCs w:val="26"/>
        </w:rPr>
        <w:t xml:space="preserve">and projected increases </w:t>
      </w:r>
      <w:r w:rsidR="00495046">
        <w:rPr>
          <w:rFonts w:ascii="Times New Roman" w:hAnsi="Times New Roman" w:cs="Times New Roman"/>
          <w:sz w:val="26"/>
          <w:szCs w:val="26"/>
        </w:rPr>
        <w:t xml:space="preserve">or decreases in their natural gas costs.  </w:t>
      </w:r>
    </w:p>
  </w:footnote>
  <w:footnote w:id="7">
    <w:p w14:paraId="351E3166" w14:textId="406220A4" w:rsidR="0030475C" w:rsidRPr="0030475C" w:rsidRDefault="0030475C" w:rsidP="0030475C">
      <w:pPr>
        <w:pStyle w:val="FootnoteText"/>
        <w:ind w:firstLine="720"/>
        <w:rPr>
          <w:rFonts w:ascii="Times New Roman" w:hAnsi="Times New Roman" w:cs="Times New Roman"/>
          <w:sz w:val="26"/>
          <w:szCs w:val="26"/>
        </w:rPr>
      </w:pPr>
      <w:r w:rsidRPr="0030475C">
        <w:rPr>
          <w:rStyle w:val="FootnoteReference"/>
          <w:rFonts w:ascii="Times New Roman" w:hAnsi="Times New Roman" w:cs="Times New Roman"/>
          <w:sz w:val="26"/>
          <w:szCs w:val="26"/>
        </w:rPr>
        <w:footnoteRef/>
      </w:r>
      <w:r w:rsidRPr="0030475C">
        <w:rPr>
          <w:rFonts w:ascii="Times New Roman" w:hAnsi="Times New Roman" w:cs="Times New Roman"/>
          <w:sz w:val="26"/>
          <w:szCs w:val="26"/>
        </w:rPr>
        <w:t xml:space="preserve"> </w:t>
      </w:r>
      <w:r>
        <w:rPr>
          <w:rFonts w:ascii="Times New Roman" w:hAnsi="Times New Roman" w:cs="Times New Roman"/>
          <w:sz w:val="26"/>
          <w:szCs w:val="26"/>
        </w:rPr>
        <w:tab/>
        <w:t>The OCA concedes th</w:t>
      </w:r>
      <w:r w:rsidR="00527CD0">
        <w:rPr>
          <w:rFonts w:ascii="Times New Roman" w:hAnsi="Times New Roman" w:cs="Times New Roman"/>
          <w:sz w:val="26"/>
          <w:szCs w:val="26"/>
        </w:rPr>
        <w:t>ere was no NBT or TSC in effect from 2007 to 2010</w:t>
      </w:r>
      <w:r w:rsidR="004E272F">
        <w:rPr>
          <w:rFonts w:ascii="Times New Roman" w:hAnsi="Times New Roman" w:cs="Times New Roman"/>
          <w:sz w:val="26"/>
          <w:szCs w:val="26"/>
        </w:rPr>
        <w:t xml:space="preserve"> and that the transmission rates were the rates contained in PECO’s tariff during the time period at issue.  </w:t>
      </w:r>
      <w:r w:rsidR="00C07ED7">
        <w:rPr>
          <w:rFonts w:ascii="Times New Roman" w:hAnsi="Times New Roman" w:cs="Times New Roman"/>
          <w:sz w:val="26"/>
          <w:szCs w:val="26"/>
        </w:rPr>
        <w:t xml:space="preserve">Exc. at 15.  </w:t>
      </w:r>
    </w:p>
  </w:footnote>
  <w:footnote w:id="8">
    <w:p w14:paraId="2818B8B9" w14:textId="400FC81B" w:rsidR="00BC1C2B" w:rsidRPr="00650B72" w:rsidRDefault="00BC1C2B" w:rsidP="00BC1C2B">
      <w:pPr>
        <w:pStyle w:val="FootnoteText"/>
        <w:ind w:firstLine="720"/>
        <w:rPr>
          <w:rFonts w:ascii="Times New Roman" w:hAnsi="Times New Roman" w:cs="Times New Roman"/>
          <w:sz w:val="26"/>
          <w:szCs w:val="26"/>
        </w:rPr>
      </w:pPr>
      <w:r w:rsidRPr="00650B72">
        <w:rPr>
          <w:rStyle w:val="FootnoteReference"/>
          <w:rFonts w:ascii="Times New Roman" w:hAnsi="Times New Roman" w:cs="Times New Roman"/>
          <w:sz w:val="26"/>
          <w:szCs w:val="26"/>
        </w:rPr>
        <w:footnoteRef/>
      </w:r>
      <w:r w:rsidRPr="00650B72">
        <w:rPr>
          <w:rFonts w:ascii="Times New Roman" w:hAnsi="Times New Roman" w:cs="Times New Roman"/>
          <w:sz w:val="26"/>
          <w:szCs w:val="26"/>
        </w:rPr>
        <w:t xml:space="preserve"> </w:t>
      </w:r>
      <w:r w:rsidRPr="00650B72">
        <w:rPr>
          <w:rFonts w:ascii="Times New Roman" w:hAnsi="Times New Roman" w:cs="Times New Roman"/>
          <w:sz w:val="26"/>
          <w:szCs w:val="26"/>
        </w:rPr>
        <w:tab/>
        <w:t>Section 316 of the Code provides in relevant part:</w:t>
      </w:r>
      <w:r w:rsidR="00650B72" w:rsidRPr="00650B72">
        <w:rPr>
          <w:rFonts w:ascii="Times New Roman" w:hAnsi="Times New Roman" w:cs="Times New Roman"/>
          <w:sz w:val="26"/>
          <w:szCs w:val="26"/>
        </w:rPr>
        <w:t xml:space="preserve"> </w:t>
      </w:r>
      <w:r w:rsidR="005F084B">
        <w:rPr>
          <w:rFonts w:ascii="Times New Roman" w:hAnsi="Times New Roman" w:cs="Times New Roman"/>
          <w:sz w:val="26"/>
          <w:szCs w:val="26"/>
        </w:rPr>
        <w:t xml:space="preserve"> </w:t>
      </w:r>
      <w:r w:rsidR="00650B72" w:rsidRPr="00650B72">
        <w:rPr>
          <w:rFonts w:ascii="Times New Roman" w:hAnsi="Times New Roman" w:cs="Times New Roman"/>
          <w:sz w:val="26"/>
          <w:szCs w:val="26"/>
        </w:rPr>
        <w:t>“</w:t>
      </w:r>
      <w:r w:rsidR="003C6898" w:rsidRPr="00650B72">
        <w:rPr>
          <w:rFonts w:ascii="Times New Roman" w:hAnsi="Times New Roman" w:cs="Times New Roman"/>
          <w:sz w:val="26"/>
          <w:szCs w:val="26"/>
        </w:rPr>
        <w:t xml:space="preserve">Whenever the commission shall make any rule, regulation, finding, determination or order, the same shall be </w:t>
      </w:r>
      <w:r w:rsidR="001A52D2" w:rsidRPr="00650B72">
        <w:rPr>
          <w:rFonts w:ascii="Times New Roman" w:hAnsi="Times New Roman" w:cs="Times New Roman"/>
          <w:sz w:val="26"/>
          <w:szCs w:val="26"/>
        </w:rPr>
        <w:t xml:space="preserve">prima facie evidence of the fact found and shall remain conclusive </w:t>
      </w:r>
      <w:r w:rsidR="001060C0" w:rsidRPr="00650B72">
        <w:rPr>
          <w:rFonts w:ascii="Times New Roman" w:hAnsi="Times New Roman" w:cs="Times New Roman"/>
          <w:sz w:val="26"/>
          <w:szCs w:val="26"/>
        </w:rPr>
        <w:t>upon all parties affected thereby, unless set aside, annulled or modified on judicial review.</w:t>
      </w:r>
      <w:r w:rsidR="00650B72" w:rsidRPr="00650B72">
        <w:rPr>
          <w:rFonts w:ascii="Times New Roman" w:hAnsi="Times New Roman" w:cs="Times New Roman"/>
          <w:sz w:val="26"/>
          <w:szCs w:val="26"/>
        </w:rPr>
        <w:t>”  66</w:t>
      </w:r>
      <w:r w:rsidR="005F084B">
        <w:rPr>
          <w:rFonts w:ascii="Times New Roman" w:hAnsi="Times New Roman" w:cs="Times New Roman"/>
          <w:sz w:val="26"/>
          <w:szCs w:val="26"/>
        </w:rPr>
        <w:t> </w:t>
      </w:r>
      <w:r w:rsidR="00650B72" w:rsidRPr="00650B72">
        <w:rPr>
          <w:rFonts w:ascii="Times New Roman" w:hAnsi="Times New Roman" w:cs="Times New Roman"/>
          <w:sz w:val="26"/>
          <w:szCs w:val="26"/>
        </w:rPr>
        <w:t xml:space="preserve">Pa. C.S. § 316.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5A98"/>
    <w:multiLevelType w:val="hybridMultilevel"/>
    <w:tmpl w:val="DAFA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C0273"/>
    <w:multiLevelType w:val="multilevel"/>
    <w:tmpl w:val="66C88EAA"/>
    <w:lvl w:ilvl="0">
      <w:start w:val="1"/>
      <w:numFmt w:val="upperLetter"/>
      <w:lvlText w:val="%1."/>
      <w:lvlJc w:val="left"/>
      <w:pPr>
        <w:tabs>
          <w:tab w:val="left" w:pos="72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CA293E"/>
    <w:multiLevelType w:val="hybridMultilevel"/>
    <w:tmpl w:val="EECCAF94"/>
    <w:lvl w:ilvl="0" w:tplc="619AB0C8">
      <w:start w:val="1"/>
      <w:numFmt w:val="decimal"/>
      <w:lvlText w:val="%1."/>
      <w:lvlJc w:val="left"/>
      <w:pPr>
        <w:ind w:left="1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F46082">
      <w:start w:val="1"/>
      <w:numFmt w:val="lowerLetter"/>
      <w:lvlText w:val="%2"/>
      <w:lvlJc w:val="left"/>
      <w:pPr>
        <w:ind w:left="1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1E6318">
      <w:start w:val="1"/>
      <w:numFmt w:val="lowerRoman"/>
      <w:lvlText w:val="%3"/>
      <w:lvlJc w:val="left"/>
      <w:pPr>
        <w:ind w:left="2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2EF6C6">
      <w:start w:val="1"/>
      <w:numFmt w:val="decimal"/>
      <w:lvlText w:val="%4"/>
      <w:lvlJc w:val="left"/>
      <w:pPr>
        <w:ind w:left="3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F236FE">
      <w:start w:val="1"/>
      <w:numFmt w:val="lowerLetter"/>
      <w:lvlText w:val="%5"/>
      <w:lvlJc w:val="left"/>
      <w:pPr>
        <w:ind w:left="4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FC5A9A">
      <w:start w:val="1"/>
      <w:numFmt w:val="lowerRoman"/>
      <w:lvlText w:val="%6"/>
      <w:lvlJc w:val="left"/>
      <w:pPr>
        <w:ind w:left="4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E60A56">
      <w:start w:val="1"/>
      <w:numFmt w:val="decimal"/>
      <w:lvlText w:val="%7"/>
      <w:lvlJc w:val="left"/>
      <w:pPr>
        <w:ind w:left="5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E6F3DE">
      <w:start w:val="1"/>
      <w:numFmt w:val="lowerLetter"/>
      <w:lvlText w:val="%8"/>
      <w:lvlJc w:val="left"/>
      <w:pPr>
        <w:ind w:left="6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241DC8">
      <w:start w:val="1"/>
      <w:numFmt w:val="lowerRoman"/>
      <w:lvlText w:val="%9"/>
      <w:lvlJc w:val="left"/>
      <w:pPr>
        <w:ind w:left="6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53271A8"/>
    <w:multiLevelType w:val="hybridMultilevel"/>
    <w:tmpl w:val="2F427D50"/>
    <w:lvl w:ilvl="0" w:tplc="E90640C6">
      <w:start w:val="20"/>
      <w:numFmt w:val="decimal"/>
      <w:lvlText w:val="%1."/>
      <w:lvlJc w:val="left"/>
      <w:pPr>
        <w:ind w:left="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B458A0">
      <w:start w:val="1"/>
      <w:numFmt w:val="lowerLetter"/>
      <w:lvlText w:val="%2"/>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CEC3E8">
      <w:start w:val="1"/>
      <w:numFmt w:val="lowerRoman"/>
      <w:lvlText w:val="%3"/>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0B57A">
      <w:start w:val="1"/>
      <w:numFmt w:val="decimal"/>
      <w:lvlText w:val="%4"/>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98BC7C">
      <w:start w:val="1"/>
      <w:numFmt w:val="lowerLetter"/>
      <w:lvlText w:val="%5"/>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02C720">
      <w:start w:val="1"/>
      <w:numFmt w:val="lowerRoman"/>
      <w:lvlText w:val="%6"/>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8A4FC">
      <w:start w:val="1"/>
      <w:numFmt w:val="decimal"/>
      <w:lvlText w:val="%7"/>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089A40">
      <w:start w:val="1"/>
      <w:numFmt w:val="lowerLetter"/>
      <w:lvlText w:val="%8"/>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2F642">
      <w:start w:val="1"/>
      <w:numFmt w:val="lowerRoman"/>
      <w:lvlText w:val="%9"/>
      <w:lvlJc w:val="left"/>
      <w:pPr>
        <w:ind w:left="6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2854B5"/>
    <w:multiLevelType w:val="hybridMultilevel"/>
    <w:tmpl w:val="A06A9FEC"/>
    <w:lvl w:ilvl="0" w:tplc="FA147DE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B2EBD"/>
    <w:multiLevelType w:val="hybridMultilevel"/>
    <w:tmpl w:val="6B56451E"/>
    <w:lvl w:ilvl="0" w:tplc="EB3A96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E26E0">
      <w:start w:val="1"/>
      <w:numFmt w:val="lowerLetter"/>
      <w:lvlText w:val="%2"/>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C6666">
      <w:start w:val="18"/>
      <w:numFmt w:val="decimal"/>
      <w:lvlRestart w:val="0"/>
      <w:lvlText w:val="%3."/>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AC182E">
      <w:start w:val="1"/>
      <w:numFmt w:val="decimal"/>
      <w:lvlText w:val="%4"/>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CCCB58">
      <w:start w:val="1"/>
      <w:numFmt w:val="lowerLetter"/>
      <w:lvlText w:val="%5"/>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1EAA06">
      <w:start w:val="1"/>
      <w:numFmt w:val="lowerRoman"/>
      <w:lvlText w:val="%6"/>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7C0AC6">
      <w:start w:val="1"/>
      <w:numFmt w:val="decimal"/>
      <w:lvlText w:val="%7"/>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C07818">
      <w:start w:val="1"/>
      <w:numFmt w:val="lowerLetter"/>
      <w:lvlText w:val="%8"/>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12CF96">
      <w:start w:val="1"/>
      <w:numFmt w:val="lowerRoman"/>
      <w:lvlText w:val="%9"/>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F22298"/>
    <w:multiLevelType w:val="hybridMultilevel"/>
    <w:tmpl w:val="BFBC44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F976567"/>
    <w:multiLevelType w:val="hybridMultilevel"/>
    <w:tmpl w:val="AAE45BA6"/>
    <w:lvl w:ilvl="0" w:tplc="28329506">
      <w:start w:val="1"/>
      <w:numFmt w:val="decimal"/>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8" w15:restartNumberingAfterBreak="0">
    <w:nsid w:val="63921A00"/>
    <w:multiLevelType w:val="multilevel"/>
    <w:tmpl w:val="338E2D08"/>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2B0EB9"/>
    <w:multiLevelType w:val="hybridMultilevel"/>
    <w:tmpl w:val="D298977A"/>
    <w:lvl w:ilvl="0" w:tplc="605C22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
  </w:num>
  <w:num w:numId="3">
    <w:abstractNumId w:val="0"/>
  </w:num>
  <w:num w:numId="4">
    <w:abstractNumId w:val="4"/>
  </w:num>
  <w:num w:numId="5">
    <w:abstractNumId w:val="5"/>
  </w:num>
  <w:num w:numId="6">
    <w:abstractNumId w:val="3"/>
  </w:num>
  <w:num w:numId="7">
    <w:abstractNumId w:val="9"/>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D0A"/>
    <w:rsid w:val="00001094"/>
    <w:rsid w:val="00001332"/>
    <w:rsid w:val="00001512"/>
    <w:rsid w:val="00001548"/>
    <w:rsid w:val="00002541"/>
    <w:rsid w:val="00002EC1"/>
    <w:rsid w:val="000031ED"/>
    <w:rsid w:val="0000326C"/>
    <w:rsid w:val="00003588"/>
    <w:rsid w:val="00004223"/>
    <w:rsid w:val="00005CBF"/>
    <w:rsid w:val="00005F14"/>
    <w:rsid w:val="00005FA5"/>
    <w:rsid w:val="000064B3"/>
    <w:rsid w:val="000064E4"/>
    <w:rsid w:val="000065E0"/>
    <w:rsid w:val="00006C79"/>
    <w:rsid w:val="00007028"/>
    <w:rsid w:val="000071AE"/>
    <w:rsid w:val="000072BA"/>
    <w:rsid w:val="000075B1"/>
    <w:rsid w:val="00007911"/>
    <w:rsid w:val="000079F9"/>
    <w:rsid w:val="00010DF5"/>
    <w:rsid w:val="00011AD8"/>
    <w:rsid w:val="00012394"/>
    <w:rsid w:val="00012A70"/>
    <w:rsid w:val="00012A87"/>
    <w:rsid w:val="00012BD9"/>
    <w:rsid w:val="00012ECE"/>
    <w:rsid w:val="0001304B"/>
    <w:rsid w:val="0001313A"/>
    <w:rsid w:val="00013282"/>
    <w:rsid w:val="000132E5"/>
    <w:rsid w:val="00013627"/>
    <w:rsid w:val="000138B8"/>
    <w:rsid w:val="00013942"/>
    <w:rsid w:val="000139ED"/>
    <w:rsid w:val="00013A0A"/>
    <w:rsid w:val="00013C08"/>
    <w:rsid w:val="0001418A"/>
    <w:rsid w:val="00014346"/>
    <w:rsid w:val="000144CC"/>
    <w:rsid w:val="00014B29"/>
    <w:rsid w:val="000150F3"/>
    <w:rsid w:val="000155FE"/>
    <w:rsid w:val="00015AF0"/>
    <w:rsid w:val="00015F65"/>
    <w:rsid w:val="00015F70"/>
    <w:rsid w:val="000167E4"/>
    <w:rsid w:val="00016836"/>
    <w:rsid w:val="00016897"/>
    <w:rsid w:val="00016B36"/>
    <w:rsid w:val="00017249"/>
    <w:rsid w:val="000172EF"/>
    <w:rsid w:val="000173BD"/>
    <w:rsid w:val="00017B48"/>
    <w:rsid w:val="00017DD7"/>
    <w:rsid w:val="00017EC5"/>
    <w:rsid w:val="00020401"/>
    <w:rsid w:val="00020760"/>
    <w:rsid w:val="00020770"/>
    <w:rsid w:val="000207B8"/>
    <w:rsid w:val="00020A9B"/>
    <w:rsid w:val="00020C51"/>
    <w:rsid w:val="00021606"/>
    <w:rsid w:val="000216B6"/>
    <w:rsid w:val="00021D81"/>
    <w:rsid w:val="000221CF"/>
    <w:rsid w:val="000223A2"/>
    <w:rsid w:val="000238FD"/>
    <w:rsid w:val="0002399B"/>
    <w:rsid w:val="00023E52"/>
    <w:rsid w:val="000242F5"/>
    <w:rsid w:val="00025B1C"/>
    <w:rsid w:val="00025E7E"/>
    <w:rsid w:val="00025FEB"/>
    <w:rsid w:val="000260ED"/>
    <w:rsid w:val="000261DD"/>
    <w:rsid w:val="00026734"/>
    <w:rsid w:val="000269B3"/>
    <w:rsid w:val="00026E51"/>
    <w:rsid w:val="00027256"/>
    <w:rsid w:val="00027536"/>
    <w:rsid w:val="0002786F"/>
    <w:rsid w:val="00027EEC"/>
    <w:rsid w:val="00027FC6"/>
    <w:rsid w:val="00030228"/>
    <w:rsid w:val="00030820"/>
    <w:rsid w:val="00030851"/>
    <w:rsid w:val="00030955"/>
    <w:rsid w:val="00030C1C"/>
    <w:rsid w:val="00030C60"/>
    <w:rsid w:val="00030FF3"/>
    <w:rsid w:val="000314DC"/>
    <w:rsid w:val="00031E47"/>
    <w:rsid w:val="00031FBB"/>
    <w:rsid w:val="00031FF5"/>
    <w:rsid w:val="00032421"/>
    <w:rsid w:val="00032820"/>
    <w:rsid w:val="00032D5B"/>
    <w:rsid w:val="00032D8F"/>
    <w:rsid w:val="00032EB7"/>
    <w:rsid w:val="000330B6"/>
    <w:rsid w:val="000330D8"/>
    <w:rsid w:val="000330F9"/>
    <w:rsid w:val="0003327C"/>
    <w:rsid w:val="00033829"/>
    <w:rsid w:val="000339F1"/>
    <w:rsid w:val="00033B6D"/>
    <w:rsid w:val="00033D2E"/>
    <w:rsid w:val="00033FA7"/>
    <w:rsid w:val="0003457C"/>
    <w:rsid w:val="00034DDB"/>
    <w:rsid w:val="00035470"/>
    <w:rsid w:val="000355D7"/>
    <w:rsid w:val="0003564B"/>
    <w:rsid w:val="000358D3"/>
    <w:rsid w:val="00035C64"/>
    <w:rsid w:val="000361C6"/>
    <w:rsid w:val="00037391"/>
    <w:rsid w:val="00037C49"/>
    <w:rsid w:val="00040624"/>
    <w:rsid w:val="00041122"/>
    <w:rsid w:val="000420A0"/>
    <w:rsid w:val="00042299"/>
    <w:rsid w:val="0004258B"/>
    <w:rsid w:val="000427E3"/>
    <w:rsid w:val="00042A1A"/>
    <w:rsid w:val="00042E52"/>
    <w:rsid w:val="00043710"/>
    <w:rsid w:val="00043DD4"/>
    <w:rsid w:val="00044246"/>
    <w:rsid w:val="000457D6"/>
    <w:rsid w:val="00046818"/>
    <w:rsid w:val="00047ACF"/>
    <w:rsid w:val="000501D2"/>
    <w:rsid w:val="00050664"/>
    <w:rsid w:val="00050CF4"/>
    <w:rsid w:val="000510E4"/>
    <w:rsid w:val="00051196"/>
    <w:rsid w:val="00051354"/>
    <w:rsid w:val="00051A33"/>
    <w:rsid w:val="000521DA"/>
    <w:rsid w:val="00052D1E"/>
    <w:rsid w:val="00053A60"/>
    <w:rsid w:val="00053C83"/>
    <w:rsid w:val="0005443F"/>
    <w:rsid w:val="00054526"/>
    <w:rsid w:val="00054BC0"/>
    <w:rsid w:val="00055287"/>
    <w:rsid w:val="0005666A"/>
    <w:rsid w:val="00056B1A"/>
    <w:rsid w:val="00056FDE"/>
    <w:rsid w:val="000573B0"/>
    <w:rsid w:val="000576BA"/>
    <w:rsid w:val="00057A91"/>
    <w:rsid w:val="00057FDC"/>
    <w:rsid w:val="00060308"/>
    <w:rsid w:val="00060346"/>
    <w:rsid w:val="00060BEE"/>
    <w:rsid w:val="00060EC2"/>
    <w:rsid w:val="000610DE"/>
    <w:rsid w:val="00061BE1"/>
    <w:rsid w:val="00061EEA"/>
    <w:rsid w:val="00061FB4"/>
    <w:rsid w:val="0006241E"/>
    <w:rsid w:val="00063367"/>
    <w:rsid w:val="000635F7"/>
    <w:rsid w:val="0006369E"/>
    <w:rsid w:val="000641E9"/>
    <w:rsid w:val="0006426C"/>
    <w:rsid w:val="0006450B"/>
    <w:rsid w:val="0006461A"/>
    <w:rsid w:val="00064992"/>
    <w:rsid w:val="00064BF2"/>
    <w:rsid w:val="00064C7F"/>
    <w:rsid w:val="00064CE4"/>
    <w:rsid w:val="000657B7"/>
    <w:rsid w:val="00065DF6"/>
    <w:rsid w:val="000660E4"/>
    <w:rsid w:val="000665C0"/>
    <w:rsid w:val="00066841"/>
    <w:rsid w:val="00066AFD"/>
    <w:rsid w:val="00066B05"/>
    <w:rsid w:val="00066B98"/>
    <w:rsid w:val="00066CC6"/>
    <w:rsid w:val="00066FFD"/>
    <w:rsid w:val="000670AA"/>
    <w:rsid w:val="0006727A"/>
    <w:rsid w:val="00067285"/>
    <w:rsid w:val="00070131"/>
    <w:rsid w:val="00070ED9"/>
    <w:rsid w:val="000711A4"/>
    <w:rsid w:val="00071694"/>
    <w:rsid w:val="00071891"/>
    <w:rsid w:val="000718BE"/>
    <w:rsid w:val="00071A5D"/>
    <w:rsid w:val="00071F44"/>
    <w:rsid w:val="00072843"/>
    <w:rsid w:val="0007294B"/>
    <w:rsid w:val="00072DC2"/>
    <w:rsid w:val="000730FE"/>
    <w:rsid w:val="00073258"/>
    <w:rsid w:val="0007339A"/>
    <w:rsid w:val="000733FA"/>
    <w:rsid w:val="00073583"/>
    <w:rsid w:val="000735E5"/>
    <w:rsid w:val="0007386A"/>
    <w:rsid w:val="00073C51"/>
    <w:rsid w:val="00074185"/>
    <w:rsid w:val="00074297"/>
    <w:rsid w:val="000743FB"/>
    <w:rsid w:val="000747EC"/>
    <w:rsid w:val="000763FB"/>
    <w:rsid w:val="0007644A"/>
    <w:rsid w:val="000767EF"/>
    <w:rsid w:val="00077765"/>
    <w:rsid w:val="00077E43"/>
    <w:rsid w:val="00080F6C"/>
    <w:rsid w:val="00081214"/>
    <w:rsid w:val="0008150D"/>
    <w:rsid w:val="000817C4"/>
    <w:rsid w:val="00081B83"/>
    <w:rsid w:val="00082244"/>
    <w:rsid w:val="00082658"/>
    <w:rsid w:val="00083001"/>
    <w:rsid w:val="0008319B"/>
    <w:rsid w:val="0008341A"/>
    <w:rsid w:val="00084C98"/>
    <w:rsid w:val="000850AB"/>
    <w:rsid w:val="00085222"/>
    <w:rsid w:val="0008583D"/>
    <w:rsid w:val="000858EF"/>
    <w:rsid w:val="00086812"/>
    <w:rsid w:val="00087B1B"/>
    <w:rsid w:val="00090111"/>
    <w:rsid w:val="0009014C"/>
    <w:rsid w:val="0009027D"/>
    <w:rsid w:val="00091081"/>
    <w:rsid w:val="000911CA"/>
    <w:rsid w:val="00091240"/>
    <w:rsid w:val="0009126A"/>
    <w:rsid w:val="000914B8"/>
    <w:rsid w:val="00091560"/>
    <w:rsid w:val="00091CDA"/>
    <w:rsid w:val="000921E2"/>
    <w:rsid w:val="00092303"/>
    <w:rsid w:val="0009233F"/>
    <w:rsid w:val="00092605"/>
    <w:rsid w:val="00092874"/>
    <w:rsid w:val="000935AC"/>
    <w:rsid w:val="00093946"/>
    <w:rsid w:val="0009495E"/>
    <w:rsid w:val="00094995"/>
    <w:rsid w:val="0009532F"/>
    <w:rsid w:val="00095887"/>
    <w:rsid w:val="00096021"/>
    <w:rsid w:val="000961A5"/>
    <w:rsid w:val="000962A3"/>
    <w:rsid w:val="000963B6"/>
    <w:rsid w:val="000964B1"/>
    <w:rsid w:val="00096672"/>
    <w:rsid w:val="0009698F"/>
    <w:rsid w:val="00096D3E"/>
    <w:rsid w:val="00096F31"/>
    <w:rsid w:val="00097287"/>
    <w:rsid w:val="000A0BA9"/>
    <w:rsid w:val="000A0E42"/>
    <w:rsid w:val="000A107D"/>
    <w:rsid w:val="000A1A42"/>
    <w:rsid w:val="000A1CD3"/>
    <w:rsid w:val="000A1D47"/>
    <w:rsid w:val="000A230E"/>
    <w:rsid w:val="000A4C2B"/>
    <w:rsid w:val="000A5003"/>
    <w:rsid w:val="000A5684"/>
    <w:rsid w:val="000A5978"/>
    <w:rsid w:val="000A5D3D"/>
    <w:rsid w:val="000A5ED1"/>
    <w:rsid w:val="000A6716"/>
    <w:rsid w:val="000A6726"/>
    <w:rsid w:val="000A7C3F"/>
    <w:rsid w:val="000B01C0"/>
    <w:rsid w:val="000B0639"/>
    <w:rsid w:val="000B09D1"/>
    <w:rsid w:val="000B0F4E"/>
    <w:rsid w:val="000B1946"/>
    <w:rsid w:val="000B29FF"/>
    <w:rsid w:val="000B3345"/>
    <w:rsid w:val="000B371F"/>
    <w:rsid w:val="000B38B2"/>
    <w:rsid w:val="000B3ACF"/>
    <w:rsid w:val="000B3DA8"/>
    <w:rsid w:val="000B415A"/>
    <w:rsid w:val="000B43B8"/>
    <w:rsid w:val="000B4FD7"/>
    <w:rsid w:val="000B5DF2"/>
    <w:rsid w:val="000B5DFA"/>
    <w:rsid w:val="000B653B"/>
    <w:rsid w:val="000B6CAA"/>
    <w:rsid w:val="000B6D8C"/>
    <w:rsid w:val="000B6E16"/>
    <w:rsid w:val="000B7424"/>
    <w:rsid w:val="000B79F4"/>
    <w:rsid w:val="000B7B64"/>
    <w:rsid w:val="000C0B2F"/>
    <w:rsid w:val="000C0BC6"/>
    <w:rsid w:val="000C0C9B"/>
    <w:rsid w:val="000C0F95"/>
    <w:rsid w:val="000C261D"/>
    <w:rsid w:val="000C2F4E"/>
    <w:rsid w:val="000C3716"/>
    <w:rsid w:val="000C378E"/>
    <w:rsid w:val="000C3D58"/>
    <w:rsid w:val="000C4CDF"/>
    <w:rsid w:val="000C4ED6"/>
    <w:rsid w:val="000C5264"/>
    <w:rsid w:val="000C53C4"/>
    <w:rsid w:val="000C5E6F"/>
    <w:rsid w:val="000C61C1"/>
    <w:rsid w:val="000C63FB"/>
    <w:rsid w:val="000C6FE5"/>
    <w:rsid w:val="000C7CE9"/>
    <w:rsid w:val="000C7F9C"/>
    <w:rsid w:val="000D0389"/>
    <w:rsid w:val="000D08BB"/>
    <w:rsid w:val="000D0B06"/>
    <w:rsid w:val="000D0C37"/>
    <w:rsid w:val="000D1B55"/>
    <w:rsid w:val="000D1E80"/>
    <w:rsid w:val="000D1EC3"/>
    <w:rsid w:val="000D2662"/>
    <w:rsid w:val="000D338D"/>
    <w:rsid w:val="000D368E"/>
    <w:rsid w:val="000D392D"/>
    <w:rsid w:val="000D3DB5"/>
    <w:rsid w:val="000D4838"/>
    <w:rsid w:val="000D50CF"/>
    <w:rsid w:val="000D59F6"/>
    <w:rsid w:val="000D5DC1"/>
    <w:rsid w:val="000D6163"/>
    <w:rsid w:val="000D625E"/>
    <w:rsid w:val="000D69B9"/>
    <w:rsid w:val="000D7052"/>
    <w:rsid w:val="000D72F0"/>
    <w:rsid w:val="000D7870"/>
    <w:rsid w:val="000D7961"/>
    <w:rsid w:val="000E0590"/>
    <w:rsid w:val="000E0755"/>
    <w:rsid w:val="000E1B7C"/>
    <w:rsid w:val="000E1CBB"/>
    <w:rsid w:val="000E1CD2"/>
    <w:rsid w:val="000E29B7"/>
    <w:rsid w:val="000E2C07"/>
    <w:rsid w:val="000E2FE8"/>
    <w:rsid w:val="000E323D"/>
    <w:rsid w:val="000E350A"/>
    <w:rsid w:val="000E3AA3"/>
    <w:rsid w:val="000E3B48"/>
    <w:rsid w:val="000E400A"/>
    <w:rsid w:val="000E400D"/>
    <w:rsid w:val="000E41FF"/>
    <w:rsid w:val="000E430C"/>
    <w:rsid w:val="000E4792"/>
    <w:rsid w:val="000E4C78"/>
    <w:rsid w:val="000E5A24"/>
    <w:rsid w:val="000E5C8B"/>
    <w:rsid w:val="000E5D99"/>
    <w:rsid w:val="000E5EA3"/>
    <w:rsid w:val="000E6763"/>
    <w:rsid w:val="000E683C"/>
    <w:rsid w:val="000E7E49"/>
    <w:rsid w:val="000F0511"/>
    <w:rsid w:val="000F0954"/>
    <w:rsid w:val="000F0DAA"/>
    <w:rsid w:val="000F0DEF"/>
    <w:rsid w:val="000F0FF9"/>
    <w:rsid w:val="000F159E"/>
    <w:rsid w:val="000F1959"/>
    <w:rsid w:val="000F1BA3"/>
    <w:rsid w:val="000F1E2D"/>
    <w:rsid w:val="000F221E"/>
    <w:rsid w:val="000F2A66"/>
    <w:rsid w:val="000F2D8D"/>
    <w:rsid w:val="000F2DBA"/>
    <w:rsid w:val="000F30E9"/>
    <w:rsid w:val="000F32B8"/>
    <w:rsid w:val="000F3453"/>
    <w:rsid w:val="000F3706"/>
    <w:rsid w:val="000F3833"/>
    <w:rsid w:val="000F3C57"/>
    <w:rsid w:val="000F3C65"/>
    <w:rsid w:val="000F3DA1"/>
    <w:rsid w:val="000F3F23"/>
    <w:rsid w:val="000F402C"/>
    <w:rsid w:val="000F4773"/>
    <w:rsid w:val="000F4854"/>
    <w:rsid w:val="000F5003"/>
    <w:rsid w:val="000F573D"/>
    <w:rsid w:val="000F6A72"/>
    <w:rsid w:val="000F6EF4"/>
    <w:rsid w:val="000F7AC9"/>
    <w:rsid w:val="000F7EB5"/>
    <w:rsid w:val="00100182"/>
    <w:rsid w:val="001007B1"/>
    <w:rsid w:val="001009B7"/>
    <w:rsid w:val="00101294"/>
    <w:rsid w:val="001013F1"/>
    <w:rsid w:val="00101882"/>
    <w:rsid w:val="001018D9"/>
    <w:rsid w:val="00101A5B"/>
    <w:rsid w:val="00101DEA"/>
    <w:rsid w:val="001023FD"/>
    <w:rsid w:val="0010256C"/>
    <w:rsid w:val="001028A1"/>
    <w:rsid w:val="00102EEE"/>
    <w:rsid w:val="0010311F"/>
    <w:rsid w:val="00104E03"/>
    <w:rsid w:val="00105614"/>
    <w:rsid w:val="00105850"/>
    <w:rsid w:val="00105B9E"/>
    <w:rsid w:val="00105C6C"/>
    <w:rsid w:val="00105E6E"/>
    <w:rsid w:val="001060C0"/>
    <w:rsid w:val="001064B3"/>
    <w:rsid w:val="001066B4"/>
    <w:rsid w:val="00106740"/>
    <w:rsid w:val="00106FBF"/>
    <w:rsid w:val="0010719B"/>
    <w:rsid w:val="00107505"/>
    <w:rsid w:val="00107800"/>
    <w:rsid w:val="00110143"/>
    <w:rsid w:val="001101F6"/>
    <w:rsid w:val="00110416"/>
    <w:rsid w:val="001108B3"/>
    <w:rsid w:val="00110DF6"/>
    <w:rsid w:val="00110E43"/>
    <w:rsid w:val="00110F4A"/>
    <w:rsid w:val="00111631"/>
    <w:rsid w:val="00111928"/>
    <w:rsid w:val="00111E97"/>
    <w:rsid w:val="00112807"/>
    <w:rsid w:val="00113710"/>
    <w:rsid w:val="00113A9A"/>
    <w:rsid w:val="001150AD"/>
    <w:rsid w:val="0011567E"/>
    <w:rsid w:val="00115995"/>
    <w:rsid w:val="001159FA"/>
    <w:rsid w:val="00115E1C"/>
    <w:rsid w:val="00116092"/>
    <w:rsid w:val="001161E7"/>
    <w:rsid w:val="00117376"/>
    <w:rsid w:val="001175AC"/>
    <w:rsid w:val="00117A9A"/>
    <w:rsid w:val="00117F41"/>
    <w:rsid w:val="0012002C"/>
    <w:rsid w:val="001209FA"/>
    <w:rsid w:val="00121B0B"/>
    <w:rsid w:val="00121B31"/>
    <w:rsid w:val="001227A5"/>
    <w:rsid w:val="001235A9"/>
    <w:rsid w:val="00124CA7"/>
    <w:rsid w:val="001252A7"/>
    <w:rsid w:val="00125709"/>
    <w:rsid w:val="00125A68"/>
    <w:rsid w:val="00125A8B"/>
    <w:rsid w:val="00125C68"/>
    <w:rsid w:val="00126374"/>
    <w:rsid w:val="001266AC"/>
    <w:rsid w:val="001267B6"/>
    <w:rsid w:val="00126C87"/>
    <w:rsid w:val="0012726D"/>
    <w:rsid w:val="00127EBB"/>
    <w:rsid w:val="001304A1"/>
    <w:rsid w:val="00130BF0"/>
    <w:rsid w:val="00130D6D"/>
    <w:rsid w:val="00131063"/>
    <w:rsid w:val="001314C2"/>
    <w:rsid w:val="00131B63"/>
    <w:rsid w:val="00131E14"/>
    <w:rsid w:val="00132087"/>
    <w:rsid w:val="0013217A"/>
    <w:rsid w:val="00132F26"/>
    <w:rsid w:val="00133CA2"/>
    <w:rsid w:val="00134EB8"/>
    <w:rsid w:val="00135286"/>
    <w:rsid w:val="001352FE"/>
    <w:rsid w:val="00135D80"/>
    <w:rsid w:val="001401DB"/>
    <w:rsid w:val="00140245"/>
    <w:rsid w:val="00140878"/>
    <w:rsid w:val="00140C78"/>
    <w:rsid w:val="00140DC2"/>
    <w:rsid w:val="0014147A"/>
    <w:rsid w:val="001414C6"/>
    <w:rsid w:val="00141BC9"/>
    <w:rsid w:val="00142B61"/>
    <w:rsid w:val="00142D1A"/>
    <w:rsid w:val="001444CA"/>
    <w:rsid w:val="00144849"/>
    <w:rsid w:val="00144F03"/>
    <w:rsid w:val="00144F2C"/>
    <w:rsid w:val="0014523C"/>
    <w:rsid w:val="00145633"/>
    <w:rsid w:val="001456CD"/>
    <w:rsid w:val="00145C34"/>
    <w:rsid w:val="00145FB9"/>
    <w:rsid w:val="001463F1"/>
    <w:rsid w:val="0014643E"/>
    <w:rsid w:val="00146D19"/>
    <w:rsid w:val="00146F8E"/>
    <w:rsid w:val="0014711B"/>
    <w:rsid w:val="0014742D"/>
    <w:rsid w:val="00147A3A"/>
    <w:rsid w:val="00147E84"/>
    <w:rsid w:val="00147F18"/>
    <w:rsid w:val="00150145"/>
    <w:rsid w:val="00150386"/>
    <w:rsid w:val="00150A83"/>
    <w:rsid w:val="00150BF4"/>
    <w:rsid w:val="00150D1A"/>
    <w:rsid w:val="001514FE"/>
    <w:rsid w:val="001520D4"/>
    <w:rsid w:val="00154177"/>
    <w:rsid w:val="001544ED"/>
    <w:rsid w:val="001547E8"/>
    <w:rsid w:val="0015483A"/>
    <w:rsid w:val="00154F90"/>
    <w:rsid w:val="00155F11"/>
    <w:rsid w:val="001560B3"/>
    <w:rsid w:val="00156303"/>
    <w:rsid w:val="00156542"/>
    <w:rsid w:val="00156806"/>
    <w:rsid w:val="00156CDF"/>
    <w:rsid w:val="00156E4F"/>
    <w:rsid w:val="00157545"/>
    <w:rsid w:val="00157557"/>
    <w:rsid w:val="00157621"/>
    <w:rsid w:val="00157DF1"/>
    <w:rsid w:val="00157F19"/>
    <w:rsid w:val="001607C0"/>
    <w:rsid w:val="00160DBC"/>
    <w:rsid w:val="00161035"/>
    <w:rsid w:val="001613AF"/>
    <w:rsid w:val="00161735"/>
    <w:rsid w:val="00162328"/>
    <w:rsid w:val="001627EF"/>
    <w:rsid w:val="00162B64"/>
    <w:rsid w:val="00162FBA"/>
    <w:rsid w:val="00163063"/>
    <w:rsid w:val="00164A81"/>
    <w:rsid w:val="00164AEF"/>
    <w:rsid w:val="00165378"/>
    <w:rsid w:val="0016542E"/>
    <w:rsid w:val="00165740"/>
    <w:rsid w:val="00165805"/>
    <w:rsid w:val="0016588B"/>
    <w:rsid w:val="00165E5A"/>
    <w:rsid w:val="00166033"/>
    <w:rsid w:val="00166989"/>
    <w:rsid w:val="001669F3"/>
    <w:rsid w:val="00166B85"/>
    <w:rsid w:val="00166EAA"/>
    <w:rsid w:val="001674D7"/>
    <w:rsid w:val="0016771D"/>
    <w:rsid w:val="0017013E"/>
    <w:rsid w:val="001709A2"/>
    <w:rsid w:val="00170B1D"/>
    <w:rsid w:val="00170CA0"/>
    <w:rsid w:val="00170F37"/>
    <w:rsid w:val="00170F66"/>
    <w:rsid w:val="00171C62"/>
    <w:rsid w:val="00171FBE"/>
    <w:rsid w:val="00171FFF"/>
    <w:rsid w:val="0017237B"/>
    <w:rsid w:val="0017266A"/>
    <w:rsid w:val="001727FC"/>
    <w:rsid w:val="00172BD3"/>
    <w:rsid w:val="001733A6"/>
    <w:rsid w:val="00173448"/>
    <w:rsid w:val="00173F37"/>
    <w:rsid w:val="001746E1"/>
    <w:rsid w:val="00174707"/>
    <w:rsid w:val="00174F18"/>
    <w:rsid w:val="001753DB"/>
    <w:rsid w:val="00175B55"/>
    <w:rsid w:val="0017601C"/>
    <w:rsid w:val="001761AF"/>
    <w:rsid w:val="00176853"/>
    <w:rsid w:val="00176E43"/>
    <w:rsid w:val="00176F2D"/>
    <w:rsid w:val="001772BB"/>
    <w:rsid w:val="00177429"/>
    <w:rsid w:val="00177833"/>
    <w:rsid w:val="00177B9A"/>
    <w:rsid w:val="00177C6B"/>
    <w:rsid w:val="00177F85"/>
    <w:rsid w:val="0018002C"/>
    <w:rsid w:val="00180119"/>
    <w:rsid w:val="0018099B"/>
    <w:rsid w:val="0018110E"/>
    <w:rsid w:val="00181548"/>
    <w:rsid w:val="00182443"/>
    <w:rsid w:val="001827A4"/>
    <w:rsid w:val="001829D9"/>
    <w:rsid w:val="0018342C"/>
    <w:rsid w:val="00183958"/>
    <w:rsid w:val="001839DC"/>
    <w:rsid w:val="00183DED"/>
    <w:rsid w:val="001842F4"/>
    <w:rsid w:val="0018432F"/>
    <w:rsid w:val="00184AD1"/>
    <w:rsid w:val="001851D6"/>
    <w:rsid w:val="00185D63"/>
    <w:rsid w:val="00185FF3"/>
    <w:rsid w:val="0018656A"/>
    <w:rsid w:val="00186EEE"/>
    <w:rsid w:val="00187C2C"/>
    <w:rsid w:val="00187C40"/>
    <w:rsid w:val="00190668"/>
    <w:rsid w:val="00190EEE"/>
    <w:rsid w:val="00190FB8"/>
    <w:rsid w:val="001910AA"/>
    <w:rsid w:val="001910C9"/>
    <w:rsid w:val="00191164"/>
    <w:rsid w:val="0019168B"/>
    <w:rsid w:val="00191938"/>
    <w:rsid w:val="001926D3"/>
    <w:rsid w:val="00193586"/>
    <w:rsid w:val="001935A0"/>
    <w:rsid w:val="00193632"/>
    <w:rsid w:val="0019371D"/>
    <w:rsid w:val="00193ECA"/>
    <w:rsid w:val="0019499E"/>
    <w:rsid w:val="00194DCD"/>
    <w:rsid w:val="00195B58"/>
    <w:rsid w:val="00195C14"/>
    <w:rsid w:val="00196179"/>
    <w:rsid w:val="001961E8"/>
    <w:rsid w:val="001962A9"/>
    <w:rsid w:val="0019631E"/>
    <w:rsid w:val="0019633F"/>
    <w:rsid w:val="0019652A"/>
    <w:rsid w:val="00196C7B"/>
    <w:rsid w:val="00196DBA"/>
    <w:rsid w:val="00197118"/>
    <w:rsid w:val="00197576"/>
    <w:rsid w:val="00197954"/>
    <w:rsid w:val="00197974"/>
    <w:rsid w:val="001979EF"/>
    <w:rsid w:val="00197F60"/>
    <w:rsid w:val="001A04FA"/>
    <w:rsid w:val="001A0DC8"/>
    <w:rsid w:val="001A1198"/>
    <w:rsid w:val="001A1509"/>
    <w:rsid w:val="001A1E88"/>
    <w:rsid w:val="001A28B7"/>
    <w:rsid w:val="001A2A56"/>
    <w:rsid w:val="001A2CB2"/>
    <w:rsid w:val="001A3338"/>
    <w:rsid w:val="001A36D1"/>
    <w:rsid w:val="001A4155"/>
    <w:rsid w:val="001A425A"/>
    <w:rsid w:val="001A4442"/>
    <w:rsid w:val="001A495E"/>
    <w:rsid w:val="001A4BFB"/>
    <w:rsid w:val="001A50AF"/>
    <w:rsid w:val="001A52D2"/>
    <w:rsid w:val="001A61B2"/>
    <w:rsid w:val="001A62AA"/>
    <w:rsid w:val="001A67F9"/>
    <w:rsid w:val="001A7206"/>
    <w:rsid w:val="001A7A74"/>
    <w:rsid w:val="001A7AF2"/>
    <w:rsid w:val="001A7C6F"/>
    <w:rsid w:val="001B0110"/>
    <w:rsid w:val="001B02A3"/>
    <w:rsid w:val="001B0EF1"/>
    <w:rsid w:val="001B1010"/>
    <w:rsid w:val="001B1439"/>
    <w:rsid w:val="001B1461"/>
    <w:rsid w:val="001B1751"/>
    <w:rsid w:val="001B1C99"/>
    <w:rsid w:val="001B1DC4"/>
    <w:rsid w:val="001B208F"/>
    <w:rsid w:val="001B238D"/>
    <w:rsid w:val="001B23BE"/>
    <w:rsid w:val="001B263C"/>
    <w:rsid w:val="001B2D19"/>
    <w:rsid w:val="001B2D77"/>
    <w:rsid w:val="001B2E8A"/>
    <w:rsid w:val="001B3544"/>
    <w:rsid w:val="001B3685"/>
    <w:rsid w:val="001B3857"/>
    <w:rsid w:val="001B3DFD"/>
    <w:rsid w:val="001B4411"/>
    <w:rsid w:val="001B44E3"/>
    <w:rsid w:val="001B47AD"/>
    <w:rsid w:val="001B5C15"/>
    <w:rsid w:val="001B604E"/>
    <w:rsid w:val="001B6053"/>
    <w:rsid w:val="001B630A"/>
    <w:rsid w:val="001B632A"/>
    <w:rsid w:val="001B633A"/>
    <w:rsid w:val="001B6347"/>
    <w:rsid w:val="001B68BE"/>
    <w:rsid w:val="001B6C8F"/>
    <w:rsid w:val="001B6EC8"/>
    <w:rsid w:val="001B7786"/>
    <w:rsid w:val="001B7C88"/>
    <w:rsid w:val="001C045B"/>
    <w:rsid w:val="001C0BB6"/>
    <w:rsid w:val="001C1403"/>
    <w:rsid w:val="001C16C9"/>
    <w:rsid w:val="001C18FD"/>
    <w:rsid w:val="001C1C2A"/>
    <w:rsid w:val="001C212C"/>
    <w:rsid w:val="001C24FC"/>
    <w:rsid w:val="001C28D9"/>
    <w:rsid w:val="001C295A"/>
    <w:rsid w:val="001C2EA8"/>
    <w:rsid w:val="001C3CC4"/>
    <w:rsid w:val="001C4ADA"/>
    <w:rsid w:val="001C4C69"/>
    <w:rsid w:val="001C5160"/>
    <w:rsid w:val="001C529D"/>
    <w:rsid w:val="001C591A"/>
    <w:rsid w:val="001C5CEB"/>
    <w:rsid w:val="001C6200"/>
    <w:rsid w:val="001C677F"/>
    <w:rsid w:val="001C6D32"/>
    <w:rsid w:val="001C6ECD"/>
    <w:rsid w:val="001C78F9"/>
    <w:rsid w:val="001C7C04"/>
    <w:rsid w:val="001C7CE0"/>
    <w:rsid w:val="001C7D52"/>
    <w:rsid w:val="001D0323"/>
    <w:rsid w:val="001D0470"/>
    <w:rsid w:val="001D055C"/>
    <w:rsid w:val="001D05D5"/>
    <w:rsid w:val="001D06AA"/>
    <w:rsid w:val="001D0976"/>
    <w:rsid w:val="001D09F3"/>
    <w:rsid w:val="001D0C56"/>
    <w:rsid w:val="001D0C6F"/>
    <w:rsid w:val="001D1342"/>
    <w:rsid w:val="001D1551"/>
    <w:rsid w:val="001D1560"/>
    <w:rsid w:val="001D15B7"/>
    <w:rsid w:val="001D1816"/>
    <w:rsid w:val="001D1A8C"/>
    <w:rsid w:val="001D1CE2"/>
    <w:rsid w:val="001D2074"/>
    <w:rsid w:val="001D2298"/>
    <w:rsid w:val="001D2ED8"/>
    <w:rsid w:val="001D30A9"/>
    <w:rsid w:val="001D377D"/>
    <w:rsid w:val="001D39B2"/>
    <w:rsid w:val="001D470E"/>
    <w:rsid w:val="001D494F"/>
    <w:rsid w:val="001D4952"/>
    <w:rsid w:val="001D4D20"/>
    <w:rsid w:val="001D6A5D"/>
    <w:rsid w:val="001D6C2D"/>
    <w:rsid w:val="001D7529"/>
    <w:rsid w:val="001D7874"/>
    <w:rsid w:val="001D7919"/>
    <w:rsid w:val="001E08C9"/>
    <w:rsid w:val="001E0A19"/>
    <w:rsid w:val="001E0CB3"/>
    <w:rsid w:val="001E1097"/>
    <w:rsid w:val="001E1918"/>
    <w:rsid w:val="001E1985"/>
    <w:rsid w:val="001E1ADD"/>
    <w:rsid w:val="001E1E68"/>
    <w:rsid w:val="001E1E71"/>
    <w:rsid w:val="001E25B5"/>
    <w:rsid w:val="001E29ED"/>
    <w:rsid w:val="001E2B65"/>
    <w:rsid w:val="001E314D"/>
    <w:rsid w:val="001E361E"/>
    <w:rsid w:val="001E3644"/>
    <w:rsid w:val="001E47A7"/>
    <w:rsid w:val="001E5742"/>
    <w:rsid w:val="001E58D8"/>
    <w:rsid w:val="001E6FC8"/>
    <w:rsid w:val="001E731F"/>
    <w:rsid w:val="001E790B"/>
    <w:rsid w:val="001F0CCA"/>
    <w:rsid w:val="001F1207"/>
    <w:rsid w:val="001F1583"/>
    <w:rsid w:val="001F1BED"/>
    <w:rsid w:val="001F1D61"/>
    <w:rsid w:val="001F20DE"/>
    <w:rsid w:val="001F27B5"/>
    <w:rsid w:val="001F28C6"/>
    <w:rsid w:val="001F34DF"/>
    <w:rsid w:val="001F39CC"/>
    <w:rsid w:val="001F3A89"/>
    <w:rsid w:val="001F3E79"/>
    <w:rsid w:val="001F3F17"/>
    <w:rsid w:val="001F4041"/>
    <w:rsid w:val="001F4320"/>
    <w:rsid w:val="001F436A"/>
    <w:rsid w:val="001F4A10"/>
    <w:rsid w:val="001F4B65"/>
    <w:rsid w:val="001F57DA"/>
    <w:rsid w:val="001F5ECC"/>
    <w:rsid w:val="001F6199"/>
    <w:rsid w:val="001F662F"/>
    <w:rsid w:val="001F6A56"/>
    <w:rsid w:val="001F70F7"/>
    <w:rsid w:val="001F742E"/>
    <w:rsid w:val="001F7556"/>
    <w:rsid w:val="001F75C0"/>
    <w:rsid w:val="001F7773"/>
    <w:rsid w:val="001F7B2F"/>
    <w:rsid w:val="001F7CE9"/>
    <w:rsid w:val="001F7D2D"/>
    <w:rsid w:val="001F7E4C"/>
    <w:rsid w:val="00200102"/>
    <w:rsid w:val="00200915"/>
    <w:rsid w:val="00200AD4"/>
    <w:rsid w:val="00201C8E"/>
    <w:rsid w:val="00201F2F"/>
    <w:rsid w:val="00202C58"/>
    <w:rsid w:val="0020383D"/>
    <w:rsid w:val="002038C3"/>
    <w:rsid w:val="00203E96"/>
    <w:rsid w:val="002043B7"/>
    <w:rsid w:val="002047A0"/>
    <w:rsid w:val="002047D7"/>
    <w:rsid w:val="00204A95"/>
    <w:rsid w:val="00204B24"/>
    <w:rsid w:val="00204CB9"/>
    <w:rsid w:val="00204F23"/>
    <w:rsid w:val="0020510B"/>
    <w:rsid w:val="00205940"/>
    <w:rsid w:val="00205A8E"/>
    <w:rsid w:val="00205B64"/>
    <w:rsid w:val="00205BAA"/>
    <w:rsid w:val="00206A6E"/>
    <w:rsid w:val="00206FCD"/>
    <w:rsid w:val="00207617"/>
    <w:rsid w:val="002076FB"/>
    <w:rsid w:val="00207A68"/>
    <w:rsid w:val="00207CE9"/>
    <w:rsid w:val="00210149"/>
    <w:rsid w:val="00210350"/>
    <w:rsid w:val="002108A3"/>
    <w:rsid w:val="0021093D"/>
    <w:rsid w:val="00210D84"/>
    <w:rsid w:val="002110CD"/>
    <w:rsid w:val="00211633"/>
    <w:rsid w:val="0021181B"/>
    <w:rsid w:val="00211B91"/>
    <w:rsid w:val="002123AB"/>
    <w:rsid w:val="00212558"/>
    <w:rsid w:val="002125BF"/>
    <w:rsid w:val="0021260A"/>
    <w:rsid w:val="0021280D"/>
    <w:rsid w:val="002137E5"/>
    <w:rsid w:val="00213A2C"/>
    <w:rsid w:val="00213C80"/>
    <w:rsid w:val="002140B7"/>
    <w:rsid w:val="002143A8"/>
    <w:rsid w:val="00214B08"/>
    <w:rsid w:val="00214E82"/>
    <w:rsid w:val="00214EDA"/>
    <w:rsid w:val="00215806"/>
    <w:rsid w:val="00215865"/>
    <w:rsid w:val="00215A78"/>
    <w:rsid w:val="00215D09"/>
    <w:rsid w:val="00215D46"/>
    <w:rsid w:val="00216474"/>
    <w:rsid w:val="0021668F"/>
    <w:rsid w:val="002167FF"/>
    <w:rsid w:val="0021691D"/>
    <w:rsid w:val="002169B2"/>
    <w:rsid w:val="00216EBD"/>
    <w:rsid w:val="0021730E"/>
    <w:rsid w:val="00217863"/>
    <w:rsid w:val="0021796D"/>
    <w:rsid w:val="00217BB8"/>
    <w:rsid w:val="00217CFA"/>
    <w:rsid w:val="00217E0D"/>
    <w:rsid w:val="002200D3"/>
    <w:rsid w:val="002208BE"/>
    <w:rsid w:val="00220EFC"/>
    <w:rsid w:val="0022120D"/>
    <w:rsid w:val="002213AE"/>
    <w:rsid w:val="002220E6"/>
    <w:rsid w:val="0022244F"/>
    <w:rsid w:val="00223A30"/>
    <w:rsid w:val="00223E5E"/>
    <w:rsid w:val="00224098"/>
    <w:rsid w:val="00224580"/>
    <w:rsid w:val="002246DB"/>
    <w:rsid w:val="0022486A"/>
    <w:rsid w:val="00225A43"/>
    <w:rsid w:val="00225FD7"/>
    <w:rsid w:val="0022651B"/>
    <w:rsid w:val="002265C8"/>
    <w:rsid w:val="0022667A"/>
    <w:rsid w:val="002266EE"/>
    <w:rsid w:val="002267D5"/>
    <w:rsid w:val="002267DE"/>
    <w:rsid w:val="00226FED"/>
    <w:rsid w:val="00227037"/>
    <w:rsid w:val="002271A0"/>
    <w:rsid w:val="00227500"/>
    <w:rsid w:val="002275CD"/>
    <w:rsid w:val="00227949"/>
    <w:rsid w:val="00230C52"/>
    <w:rsid w:val="00230D55"/>
    <w:rsid w:val="00231260"/>
    <w:rsid w:val="00231AE6"/>
    <w:rsid w:val="00231EC0"/>
    <w:rsid w:val="002324A0"/>
    <w:rsid w:val="002329FA"/>
    <w:rsid w:val="002344DA"/>
    <w:rsid w:val="00234953"/>
    <w:rsid w:val="00234B6D"/>
    <w:rsid w:val="00234D72"/>
    <w:rsid w:val="002352BE"/>
    <w:rsid w:val="00235384"/>
    <w:rsid w:val="002358F1"/>
    <w:rsid w:val="00235C54"/>
    <w:rsid w:val="00236558"/>
    <w:rsid w:val="002368B9"/>
    <w:rsid w:val="00237110"/>
    <w:rsid w:val="00237137"/>
    <w:rsid w:val="002373FD"/>
    <w:rsid w:val="00237B11"/>
    <w:rsid w:val="00240521"/>
    <w:rsid w:val="002406AD"/>
    <w:rsid w:val="002409DA"/>
    <w:rsid w:val="0024134C"/>
    <w:rsid w:val="0024163F"/>
    <w:rsid w:val="00241719"/>
    <w:rsid w:val="00241CE4"/>
    <w:rsid w:val="00241DCE"/>
    <w:rsid w:val="00242347"/>
    <w:rsid w:val="00242934"/>
    <w:rsid w:val="00242F7E"/>
    <w:rsid w:val="0024466F"/>
    <w:rsid w:val="00244776"/>
    <w:rsid w:val="0024478C"/>
    <w:rsid w:val="002448EB"/>
    <w:rsid w:val="00244B15"/>
    <w:rsid w:val="00244F8A"/>
    <w:rsid w:val="0024543E"/>
    <w:rsid w:val="0024548D"/>
    <w:rsid w:val="00245E33"/>
    <w:rsid w:val="00245E6C"/>
    <w:rsid w:val="00245F05"/>
    <w:rsid w:val="002462D4"/>
    <w:rsid w:val="00246B5C"/>
    <w:rsid w:val="00246CCB"/>
    <w:rsid w:val="00250362"/>
    <w:rsid w:val="0025066B"/>
    <w:rsid w:val="00250688"/>
    <w:rsid w:val="002506CC"/>
    <w:rsid w:val="002522B6"/>
    <w:rsid w:val="0025240E"/>
    <w:rsid w:val="0025242B"/>
    <w:rsid w:val="002526A9"/>
    <w:rsid w:val="00252B4F"/>
    <w:rsid w:val="00252D84"/>
    <w:rsid w:val="00253745"/>
    <w:rsid w:val="00253A21"/>
    <w:rsid w:val="00253B6E"/>
    <w:rsid w:val="00253CD6"/>
    <w:rsid w:val="00253D25"/>
    <w:rsid w:val="0025426D"/>
    <w:rsid w:val="0025489B"/>
    <w:rsid w:val="002548D1"/>
    <w:rsid w:val="002549EC"/>
    <w:rsid w:val="00254AB7"/>
    <w:rsid w:val="00254DDF"/>
    <w:rsid w:val="00254F88"/>
    <w:rsid w:val="0025509D"/>
    <w:rsid w:val="0025515C"/>
    <w:rsid w:val="00255FB4"/>
    <w:rsid w:val="0025630B"/>
    <w:rsid w:val="00256B9F"/>
    <w:rsid w:val="00256BAC"/>
    <w:rsid w:val="00257916"/>
    <w:rsid w:val="00260369"/>
    <w:rsid w:val="002605A8"/>
    <w:rsid w:val="00260F98"/>
    <w:rsid w:val="00261167"/>
    <w:rsid w:val="00261E8D"/>
    <w:rsid w:val="002620EA"/>
    <w:rsid w:val="0026259B"/>
    <w:rsid w:val="00262698"/>
    <w:rsid w:val="002627EE"/>
    <w:rsid w:val="00262BAB"/>
    <w:rsid w:val="00262F38"/>
    <w:rsid w:val="002637B3"/>
    <w:rsid w:val="00263AFE"/>
    <w:rsid w:val="00263CF8"/>
    <w:rsid w:val="002642C6"/>
    <w:rsid w:val="0026468D"/>
    <w:rsid w:val="0026488C"/>
    <w:rsid w:val="0026497A"/>
    <w:rsid w:val="00264E63"/>
    <w:rsid w:val="00264F94"/>
    <w:rsid w:val="00264FE4"/>
    <w:rsid w:val="0026509E"/>
    <w:rsid w:val="00265330"/>
    <w:rsid w:val="0026550C"/>
    <w:rsid w:val="00265657"/>
    <w:rsid w:val="0026591C"/>
    <w:rsid w:val="0026596B"/>
    <w:rsid w:val="00266125"/>
    <w:rsid w:val="0026616F"/>
    <w:rsid w:val="00266CF0"/>
    <w:rsid w:val="00267FAB"/>
    <w:rsid w:val="0027030C"/>
    <w:rsid w:val="00270325"/>
    <w:rsid w:val="002705BF"/>
    <w:rsid w:val="002706B4"/>
    <w:rsid w:val="00270943"/>
    <w:rsid w:val="00270D98"/>
    <w:rsid w:val="0027176F"/>
    <w:rsid w:val="002719E2"/>
    <w:rsid w:val="00271B36"/>
    <w:rsid w:val="00272206"/>
    <w:rsid w:val="002727C5"/>
    <w:rsid w:val="00273441"/>
    <w:rsid w:val="002738C0"/>
    <w:rsid w:val="00274008"/>
    <w:rsid w:val="00274219"/>
    <w:rsid w:val="002747D0"/>
    <w:rsid w:val="002748BB"/>
    <w:rsid w:val="00274EA6"/>
    <w:rsid w:val="002750A7"/>
    <w:rsid w:val="0027574C"/>
    <w:rsid w:val="00275842"/>
    <w:rsid w:val="0027588F"/>
    <w:rsid w:val="00276CB3"/>
    <w:rsid w:val="00276DEE"/>
    <w:rsid w:val="0027758E"/>
    <w:rsid w:val="00277BEE"/>
    <w:rsid w:val="00277CAA"/>
    <w:rsid w:val="0028005A"/>
    <w:rsid w:val="0028066B"/>
    <w:rsid w:val="00280FC8"/>
    <w:rsid w:val="0028108F"/>
    <w:rsid w:val="00281A40"/>
    <w:rsid w:val="00281B9C"/>
    <w:rsid w:val="00281C32"/>
    <w:rsid w:val="002820FC"/>
    <w:rsid w:val="00282E91"/>
    <w:rsid w:val="002832C8"/>
    <w:rsid w:val="00283509"/>
    <w:rsid w:val="00283C24"/>
    <w:rsid w:val="00283EC7"/>
    <w:rsid w:val="00284D5E"/>
    <w:rsid w:val="002853A1"/>
    <w:rsid w:val="00285AC2"/>
    <w:rsid w:val="00285E13"/>
    <w:rsid w:val="00285E21"/>
    <w:rsid w:val="002863CD"/>
    <w:rsid w:val="00286574"/>
    <w:rsid w:val="00287027"/>
    <w:rsid w:val="002879A7"/>
    <w:rsid w:val="00287DA0"/>
    <w:rsid w:val="00290251"/>
    <w:rsid w:val="00290FB8"/>
    <w:rsid w:val="0029109B"/>
    <w:rsid w:val="002914CB"/>
    <w:rsid w:val="00291A54"/>
    <w:rsid w:val="00291E45"/>
    <w:rsid w:val="00291F27"/>
    <w:rsid w:val="00291F69"/>
    <w:rsid w:val="002921F4"/>
    <w:rsid w:val="002934E4"/>
    <w:rsid w:val="00293A92"/>
    <w:rsid w:val="00294F37"/>
    <w:rsid w:val="002954C7"/>
    <w:rsid w:val="00295CCA"/>
    <w:rsid w:val="00296034"/>
    <w:rsid w:val="002961FB"/>
    <w:rsid w:val="0029630A"/>
    <w:rsid w:val="00296474"/>
    <w:rsid w:val="002969AA"/>
    <w:rsid w:val="00297656"/>
    <w:rsid w:val="002A0C6D"/>
    <w:rsid w:val="002A167C"/>
    <w:rsid w:val="002A1937"/>
    <w:rsid w:val="002A1FEE"/>
    <w:rsid w:val="002A2F2E"/>
    <w:rsid w:val="002A3722"/>
    <w:rsid w:val="002A3831"/>
    <w:rsid w:val="002A3FF6"/>
    <w:rsid w:val="002A43D0"/>
    <w:rsid w:val="002A4926"/>
    <w:rsid w:val="002A49B1"/>
    <w:rsid w:val="002A50AA"/>
    <w:rsid w:val="002A5558"/>
    <w:rsid w:val="002A5702"/>
    <w:rsid w:val="002A57DF"/>
    <w:rsid w:val="002A5BCE"/>
    <w:rsid w:val="002A6B8C"/>
    <w:rsid w:val="002A6D05"/>
    <w:rsid w:val="002A7C18"/>
    <w:rsid w:val="002B1B5A"/>
    <w:rsid w:val="002B25F5"/>
    <w:rsid w:val="002B267B"/>
    <w:rsid w:val="002B28C1"/>
    <w:rsid w:val="002B3300"/>
    <w:rsid w:val="002B4159"/>
    <w:rsid w:val="002B43A9"/>
    <w:rsid w:val="002B4963"/>
    <w:rsid w:val="002B4C60"/>
    <w:rsid w:val="002B585B"/>
    <w:rsid w:val="002B5BD3"/>
    <w:rsid w:val="002B6BC6"/>
    <w:rsid w:val="002B6C2F"/>
    <w:rsid w:val="002B6C3B"/>
    <w:rsid w:val="002B6CDA"/>
    <w:rsid w:val="002B6CF4"/>
    <w:rsid w:val="002B76C5"/>
    <w:rsid w:val="002B7E78"/>
    <w:rsid w:val="002C03DB"/>
    <w:rsid w:val="002C06E8"/>
    <w:rsid w:val="002C09E7"/>
    <w:rsid w:val="002C16CD"/>
    <w:rsid w:val="002C1A52"/>
    <w:rsid w:val="002C2185"/>
    <w:rsid w:val="002C2188"/>
    <w:rsid w:val="002C242A"/>
    <w:rsid w:val="002C2FB6"/>
    <w:rsid w:val="002C365F"/>
    <w:rsid w:val="002C36FB"/>
    <w:rsid w:val="002C3889"/>
    <w:rsid w:val="002C4022"/>
    <w:rsid w:val="002C4B70"/>
    <w:rsid w:val="002C51B6"/>
    <w:rsid w:val="002C56C5"/>
    <w:rsid w:val="002C5939"/>
    <w:rsid w:val="002C5BF9"/>
    <w:rsid w:val="002C5E75"/>
    <w:rsid w:val="002C6489"/>
    <w:rsid w:val="002C65E3"/>
    <w:rsid w:val="002C670A"/>
    <w:rsid w:val="002C6D97"/>
    <w:rsid w:val="002C765D"/>
    <w:rsid w:val="002C79A8"/>
    <w:rsid w:val="002C7E29"/>
    <w:rsid w:val="002C7F92"/>
    <w:rsid w:val="002D0431"/>
    <w:rsid w:val="002D0B87"/>
    <w:rsid w:val="002D1D99"/>
    <w:rsid w:val="002D2925"/>
    <w:rsid w:val="002D2A5C"/>
    <w:rsid w:val="002D2AD7"/>
    <w:rsid w:val="002D2B45"/>
    <w:rsid w:val="002D2BF9"/>
    <w:rsid w:val="002D3404"/>
    <w:rsid w:val="002D3D43"/>
    <w:rsid w:val="002D430F"/>
    <w:rsid w:val="002D4859"/>
    <w:rsid w:val="002D5588"/>
    <w:rsid w:val="002D58F1"/>
    <w:rsid w:val="002D5EDA"/>
    <w:rsid w:val="002D6A8D"/>
    <w:rsid w:val="002D7E94"/>
    <w:rsid w:val="002E0561"/>
    <w:rsid w:val="002E0681"/>
    <w:rsid w:val="002E08F4"/>
    <w:rsid w:val="002E0A60"/>
    <w:rsid w:val="002E154E"/>
    <w:rsid w:val="002E1AD7"/>
    <w:rsid w:val="002E218F"/>
    <w:rsid w:val="002E2408"/>
    <w:rsid w:val="002E2455"/>
    <w:rsid w:val="002E2B16"/>
    <w:rsid w:val="002E30E8"/>
    <w:rsid w:val="002E32E3"/>
    <w:rsid w:val="002E3722"/>
    <w:rsid w:val="002E427C"/>
    <w:rsid w:val="002E43EF"/>
    <w:rsid w:val="002E52FB"/>
    <w:rsid w:val="002E538D"/>
    <w:rsid w:val="002E76AC"/>
    <w:rsid w:val="002E78CC"/>
    <w:rsid w:val="002E7CFA"/>
    <w:rsid w:val="002F01A4"/>
    <w:rsid w:val="002F01F6"/>
    <w:rsid w:val="002F0376"/>
    <w:rsid w:val="002F0563"/>
    <w:rsid w:val="002F06C3"/>
    <w:rsid w:val="002F0AA3"/>
    <w:rsid w:val="002F0FDA"/>
    <w:rsid w:val="002F104B"/>
    <w:rsid w:val="002F191F"/>
    <w:rsid w:val="002F1C36"/>
    <w:rsid w:val="002F32CE"/>
    <w:rsid w:val="002F3DC0"/>
    <w:rsid w:val="002F3E25"/>
    <w:rsid w:val="002F4636"/>
    <w:rsid w:val="002F463B"/>
    <w:rsid w:val="002F5594"/>
    <w:rsid w:val="002F56DC"/>
    <w:rsid w:val="002F5B4D"/>
    <w:rsid w:val="002F5F54"/>
    <w:rsid w:val="002F671D"/>
    <w:rsid w:val="002F789E"/>
    <w:rsid w:val="002F7DCA"/>
    <w:rsid w:val="0030024A"/>
    <w:rsid w:val="0030082A"/>
    <w:rsid w:val="0030114D"/>
    <w:rsid w:val="003016C3"/>
    <w:rsid w:val="00301CD3"/>
    <w:rsid w:val="00301E63"/>
    <w:rsid w:val="00302012"/>
    <w:rsid w:val="00302233"/>
    <w:rsid w:val="00302354"/>
    <w:rsid w:val="0030249B"/>
    <w:rsid w:val="0030265D"/>
    <w:rsid w:val="003029A5"/>
    <w:rsid w:val="003029A6"/>
    <w:rsid w:val="00302A1D"/>
    <w:rsid w:val="00302BEE"/>
    <w:rsid w:val="00303353"/>
    <w:rsid w:val="003037EF"/>
    <w:rsid w:val="0030395B"/>
    <w:rsid w:val="00304011"/>
    <w:rsid w:val="0030475C"/>
    <w:rsid w:val="003047CF"/>
    <w:rsid w:val="003051D6"/>
    <w:rsid w:val="00305206"/>
    <w:rsid w:val="0031033D"/>
    <w:rsid w:val="00310BB6"/>
    <w:rsid w:val="00310D9B"/>
    <w:rsid w:val="0031120A"/>
    <w:rsid w:val="003113D9"/>
    <w:rsid w:val="0031143A"/>
    <w:rsid w:val="00311750"/>
    <w:rsid w:val="0031178D"/>
    <w:rsid w:val="00311A8B"/>
    <w:rsid w:val="003120FD"/>
    <w:rsid w:val="00312F36"/>
    <w:rsid w:val="00313576"/>
    <w:rsid w:val="0031396B"/>
    <w:rsid w:val="003141F0"/>
    <w:rsid w:val="0031433A"/>
    <w:rsid w:val="0031486F"/>
    <w:rsid w:val="00314B69"/>
    <w:rsid w:val="00314E53"/>
    <w:rsid w:val="00315948"/>
    <w:rsid w:val="00315D55"/>
    <w:rsid w:val="00315DD7"/>
    <w:rsid w:val="00315FA8"/>
    <w:rsid w:val="00316EF9"/>
    <w:rsid w:val="00317098"/>
    <w:rsid w:val="0031741B"/>
    <w:rsid w:val="00317A51"/>
    <w:rsid w:val="00317A53"/>
    <w:rsid w:val="00317FAC"/>
    <w:rsid w:val="003202D0"/>
    <w:rsid w:val="003205E5"/>
    <w:rsid w:val="003209B0"/>
    <w:rsid w:val="00320E2B"/>
    <w:rsid w:val="00320FA7"/>
    <w:rsid w:val="003216C8"/>
    <w:rsid w:val="003216DF"/>
    <w:rsid w:val="00321764"/>
    <w:rsid w:val="003225A0"/>
    <w:rsid w:val="00322F04"/>
    <w:rsid w:val="0032332E"/>
    <w:rsid w:val="0032343C"/>
    <w:rsid w:val="003238CB"/>
    <w:rsid w:val="00323E8C"/>
    <w:rsid w:val="003251B9"/>
    <w:rsid w:val="003256F0"/>
    <w:rsid w:val="0032630A"/>
    <w:rsid w:val="00326676"/>
    <w:rsid w:val="00326A1F"/>
    <w:rsid w:val="0032738C"/>
    <w:rsid w:val="00327734"/>
    <w:rsid w:val="00327E36"/>
    <w:rsid w:val="00327F17"/>
    <w:rsid w:val="0033180A"/>
    <w:rsid w:val="0033192F"/>
    <w:rsid w:val="00331AD5"/>
    <w:rsid w:val="003320F3"/>
    <w:rsid w:val="003323DA"/>
    <w:rsid w:val="00332622"/>
    <w:rsid w:val="0033281D"/>
    <w:rsid w:val="00333BC7"/>
    <w:rsid w:val="00333C18"/>
    <w:rsid w:val="00334061"/>
    <w:rsid w:val="003340DC"/>
    <w:rsid w:val="00334237"/>
    <w:rsid w:val="003342A6"/>
    <w:rsid w:val="0033457A"/>
    <w:rsid w:val="003345A9"/>
    <w:rsid w:val="00334946"/>
    <w:rsid w:val="00335BD8"/>
    <w:rsid w:val="003364E4"/>
    <w:rsid w:val="00336EAE"/>
    <w:rsid w:val="003379B5"/>
    <w:rsid w:val="00340764"/>
    <w:rsid w:val="003410D6"/>
    <w:rsid w:val="003411BF"/>
    <w:rsid w:val="003416FF"/>
    <w:rsid w:val="00342279"/>
    <w:rsid w:val="003422B7"/>
    <w:rsid w:val="00342435"/>
    <w:rsid w:val="0034252E"/>
    <w:rsid w:val="00343DEC"/>
    <w:rsid w:val="003441C5"/>
    <w:rsid w:val="003447DF"/>
    <w:rsid w:val="00344930"/>
    <w:rsid w:val="00344AAE"/>
    <w:rsid w:val="00344F1F"/>
    <w:rsid w:val="00344F46"/>
    <w:rsid w:val="003454DE"/>
    <w:rsid w:val="00345996"/>
    <w:rsid w:val="00345B76"/>
    <w:rsid w:val="003460C4"/>
    <w:rsid w:val="003466D3"/>
    <w:rsid w:val="0034717A"/>
    <w:rsid w:val="0034777F"/>
    <w:rsid w:val="00347DEA"/>
    <w:rsid w:val="00350817"/>
    <w:rsid w:val="00350ECF"/>
    <w:rsid w:val="003510E7"/>
    <w:rsid w:val="00351438"/>
    <w:rsid w:val="00351520"/>
    <w:rsid w:val="00351A22"/>
    <w:rsid w:val="00351C05"/>
    <w:rsid w:val="0035202A"/>
    <w:rsid w:val="00352208"/>
    <w:rsid w:val="00352301"/>
    <w:rsid w:val="00352370"/>
    <w:rsid w:val="00352371"/>
    <w:rsid w:val="003526C6"/>
    <w:rsid w:val="003532AE"/>
    <w:rsid w:val="003537ED"/>
    <w:rsid w:val="00353852"/>
    <w:rsid w:val="00354924"/>
    <w:rsid w:val="00355C46"/>
    <w:rsid w:val="00355D6E"/>
    <w:rsid w:val="003562DD"/>
    <w:rsid w:val="003566E1"/>
    <w:rsid w:val="00356B3F"/>
    <w:rsid w:val="00356D05"/>
    <w:rsid w:val="0035766D"/>
    <w:rsid w:val="00357758"/>
    <w:rsid w:val="00360D6D"/>
    <w:rsid w:val="00361361"/>
    <w:rsid w:val="003614BC"/>
    <w:rsid w:val="00361BF4"/>
    <w:rsid w:val="00361C18"/>
    <w:rsid w:val="00362021"/>
    <w:rsid w:val="003626C6"/>
    <w:rsid w:val="00362859"/>
    <w:rsid w:val="00362CCE"/>
    <w:rsid w:val="00362E19"/>
    <w:rsid w:val="00363616"/>
    <w:rsid w:val="003636E2"/>
    <w:rsid w:val="00363CA0"/>
    <w:rsid w:val="00363CED"/>
    <w:rsid w:val="00364287"/>
    <w:rsid w:val="003646C2"/>
    <w:rsid w:val="00364D3E"/>
    <w:rsid w:val="0036576D"/>
    <w:rsid w:val="003661DA"/>
    <w:rsid w:val="003665E9"/>
    <w:rsid w:val="00366FD5"/>
    <w:rsid w:val="00367072"/>
    <w:rsid w:val="003670FC"/>
    <w:rsid w:val="00367479"/>
    <w:rsid w:val="00367518"/>
    <w:rsid w:val="00370DD3"/>
    <w:rsid w:val="003713F0"/>
    <w:rsid w:val="003717D2"/>
    <w:rsid w:val="003718B4"/>
    <w:rsid w:val="00371E15"/>
    <w:rsid w:val="0037223F"/>
    <w:rsid w:val="003722D7"/>
    <w:rsid w:val="00372402"/>
    <w:rsid w:val="003733C1"/>
    <w:rsid w:val="00373E7E"/>
    <w:rsid w:val="0037450F"/>
    <w:rsid w:val="00374D07"/>
    <w:rsid w:val="003752F4"/>
    <w:rsid w:val="00375A83"/>
    <w:rsid w:val="00375ABF"/>
    <w:rsid w:val="00375BD6"/>
    <w:rsid w:val="00376849"/>
    <w:rsid w:val="00376EDA"/>
    <w:rsid w:val="00377498"/>
    <w:rsid w:val="00377635"/>
    <w:rsid w:val="003779A4"/>
    <w:rsid w:val="00377F3D"/>
    <w:rsid w:val="003803EF"/>
    <w:rsid w:val="003808AC"/>
    <w:rsid w:val="00380B76"/>
    <w:rsid w:val="00380C2B"/>
    <w:rsid w:val="00381114"/>
    <w:rsid w:val="0038160B"/>
    <w:rsid w:val="003821AD"/>
    <w:rsid w:val="00382787"/>
    <w:rsid w:val="00382A68"/>
    <w:rsid w:val="0038367A"/>
    <w:rsid w:val="00383C3C"/>
    <w:rsid w:val="00383DAA"/>
    <w:rsid w:val="00383F5D"/>
    <w:rsid w:val="003843A6"/>
    <w:rsid w:val="003850E1"/>
    <w:rsid w:val="00385332"/>
    <w:rsid w:val="003858E1"/>
    <w:rsid w:val="00386115"/>
    <w:rsid w:val="0038631D"/>
    <w:rsid w:val="00386897"/>
    <w:rsid w:val="00386CFD"/>
    <w:rsid w:val="00386DE5"/>
    <w:rsid w:val="00387DCD"/>
    <w:rsid w:val="00390756"/>
    <w:rsid w:val="00391356"/>
    <w:rsid w:val="0039152A"/>
    <w:rsid w:val="00391D3A"/>
    <w:rsid w:val="00391EEC"/>
    <w:rsid w:val="0039238D"/>
    <w:rsid w:val="0039263E"/>
    <w:rsid w:val="00392CC4"/>
    <w:rsid w:val="003936F7"/>
    <w:rsid w:val="00393B23"/>
    <w:rsid w:val="00393D4E"/>
    <w:rsid w:val="00394B90"/>
    <w:rsid w:val="00394FE0"/>
    <w:rsid w:val="00395D9B"/>
    <w:rsid w:val="00395E15"/>
    <w:rsid w:val="0039648C"/>
    <w:rsid w:val="00396711"/>
    <w:rsid w:val="0039694D"/>
    <w:rsid w:val="003969AE"/>
    <w:rsid w:val="0039705D"/>
    <w:rsid w:val="00397497"/>
    <w:rsid w:val="00397AC5"/>
    <w:rsid w:val="00397B94"/>
    <w:rsid w:val="00397DA1"/>
    <w:rsid w:val="003A01D2"/>
    <w:rsid w:val="003A0365"/>
    <w:rsid w:val="003A09C4"/>
    <w:rsid w:val="003A0DD1"/>
    <w:rsid w:val="003A11C7"/>
    <w:rsid w:val="003A1329"/>
    <w:rsid w:val="003A2701"/>
    <w:rsid w:val="003A3A73"/>
    <w:rsid w:val="003A501D"/>
    <w:rsid w:val="003A52C8"/>
    <w:rsid w:val="003A5581"/>
    <w:rsid w:val="003A5E03"/>
    <w:rsid w:val="003A5F03"/>
    <w:rsid w:val="003A64B5"/>
    <w:rsid w:val="003A6625"/>
    <w:rsid w:val="003A66BC"/>
    <w:rsid w:val="003A72A0"/>
    <w:rsid w:val="003A7385"/>
    <w:rsid w:val="003B0077"/>
    <w:rsid w:val="003B00CE"/>
    <w:rsid w:val="003B06DC"/>
    <w:rsid w:val="003B07BE"/>
    <w:rsid w:val="003B082F"/>
    <w:rsid w:val="003B0A93"/>
    <w:rsid w:val="003B1046"/>
    <w:rsid w:val="003B10D5"/>
    <w:rsid w:val="003B115D"/>
    <w:rsid w:val="003B189C"/>
    <w:rsid w:val="003B1A7D"/>
    <w:rsid w:val="003B1B72"/>
    <w:rsid w:val="003B1EB6"/>
    <w:rsid w:val="003B2A9F"/>
    <w:rsid w:val="003B3669"/>
    <w:rsid w:val="003B3CC1"/>
    <w:rsid w:val="003B3D24"/>
    <w:rsid w:val="003B3DB8"/>
    <w:rsid w:val="003B3FC0"/>
    <w:rsid w:val="003B4B27"/>
    <w:rsid w:val="003B4B95"/>
    <w:rsid w:val="003B501E"/>
    <w:rsid w:val="003B51FC"/>
    <w:rsid w:val="003B552D"/>
    <w:rsid w:val="003B5880"/>
    <w:rsid w:val="003B58B6"/>
    <w:rsid w:val="003B6227"/>
    <w:rsid w:val="003B6502"/>
    <w:rsid w:val="003B683C"/>
    <w:rsid w:val="003B739E"/>
    <w:rsid w:val="003C1194"/>
    <w:rsid w:val="003C13D9"/>
    <w:rsid w:val="003C2050"/>
    <w:rsid w:val="003C2714"/>
    <w:rsid w:val="003C2DBC"/>
    <w:rsid w:val="003C31B1"/>
    <w:rsid w:val="003C36E8"/>
    <w:rsid w:val="003C3AC4"/>
    <w:rsid w:val="003C435C"/>
    <w:rsid w:val="003C498E"/>
    <w:rsid w:val="003C4DD6"/>
    <w:rsid w:val="003C57D2"/>
    <w:rsid w:val="003C644C"/>
    <w:rsid w:val="003C6898"/>
    <w:rsid w:val="003D1958"/>
    <w:rsid w:val="003D1C05"/>
    <w:rsid w:val="003D3227"/>
    <w:rsid w:val="003D32B7"/>
    <w:rsid w:val="003D363F"/>
    <w:rsid w:val="003D38E2"/>
    <w:rsid w:val="003D4630"/>
    <w:rsid w:val="003D4777"/>
    <w:rsid w:val="003D4793"/>
    <w:rsid w:val="003D48CD"/>
    <w:rsid w:val="003D4A2D"/>
    <w:rsid w:val="003D4E38"/>
    <w:rsid w:val="003D50AF"/>
    <w:rsid w:val="003D53CA"/>
    <w:rsid w:val="003D5E78"/>
    <w:rsid w:val="003D6322"/>
    <w:rsid w:val="003D689E"/>
    <w:rsid w:val="003D6974"/>
    <w:rsid w:val="003D6C4A"/>
    <w:rsid w:val="003D7026"/>
    <w:rsid w:val="003D7446"/>
    <w:rsid w:val="003D796E"/>
    <w:rsid w:val="003D7A90"/>
    <w:rsid w:val="003D7DE7"/>
    <w:rsid w:val="003E0FDE"/>
    <w:rsid w:val="003E18E4"/>
    <w:rsid w:val="003E1C25"/>
    <w:rsid w:val="003E2366"/>
    <w:rsid w:val="003E2D36"/>
    <w:rsid w:val="003E2E1F"/>
    <w:rsid w:val="003E2F4E"/>
    <w:rsid w:val="003E34EF"/>
    <w:rsid w:val="003E3539"/>
    <w:rsid w:val="003E37D7"/>
    <w:rsid w:val="003E416C"/>
    <w:rsid w:val="003E48A4"/>
    <w:rsid w:val="003E4949"/>
    <w:rsid w:val="003E599F"/>
    <w:rsid w:val="003E5A2C"/>
    <w:rsid w:val="003E5C6A"/>
    <w:rsid w:val="003E5EA0"/>
    <w:rsid w:val="003E62D1"/>
    <w:rsid w:val="003E6C2F"/>
    <w:rsid w:val="003E7496"/>
    <w:rsid w:val="003E7B9D"/>
    <w:rsid w:val="003E7C4F"/>
    <w:rsid w:val="003F0288"/>
    <w:rsid w:val="003F068D"/>
    <w:rsid w:val="003F0CA4"/>
    <w:rsid w:val="003F10B6"/>
    <w:rsid w:val="003F1A89"/>
    <w:rsid w:val="003F2204"/>
    <w:rsid w:val="003F238E"/>
    <w:rsid w:val="003F23B9"/>
    <w:rsid w:val="003F28D4"/>
    <w:rsid w:val="003F29A4"/>
    <w:rsid w:val="003F3954"/>
    <w:rsid w:val="003F3DD9"/>
    <w:rsid w:val="003F4115"/>
    <w:rsid w:val="003F42D3"/>
    <w:rsid w:val="003F42F6"/>
    <w:rsid w:val="003F43E2"/>
    <w:rsid w:val="003F44C6"/>
    <w:rsid w:val="003F494A"/>
    <w:rsid w:val="003F4A89"/>
    <w:rsid w:val="003F4F21"/>
    <w:rsid w:val="003F4F2F"/>
    <w:rsid w:val="003F50CB"/>
    <w:rsid w:val="003F53A8"/>
    <w:rsid w:val="003F53BE"/>
    <w:rsid w:val="003F5890"/>
    <w:rsid w:val="003F5FC4"/>
    <w:rsid w:val="003F6577"/>
    <w:rsid w:val="003F67ED"/>
    <w:rsid w:val="003F697B"/>
    <w:rsid w:val="003F6E02"/>
    <w:rsid w:val="003F7592"/>
    <w:rsid w:val="003F75A4"/>
    <w:rsid w:val="00400147"/>
    <w:rsid w:val="0040032C"/>
    <w:rsid w:val="00401321"/>
    <w:rsid w:val="00401851"/>
    <w:rsid w:val="00401EEC"/>
    <w:rsid w:val="00402965"/>
    <w:rsid w:val="00403691"/>
    <w:rsid w:val="00404111"/>
    <w:rsid w:val="004045B1"/>
    <w:rsid w:val="004050F2"/>
    <w:rsid w:val="004059CE"/>
    <w:rsid w:val="00405A45"/>
    <w:rsid w:val="00405E81"/>
    <w:rsid w:val="004065CB"/>
    <w:rsid w:val="00406D57"/>
    <w:rsid w:val="00406EA5"/>
    <w:rsid w:val="00407203"/>
    <w:rsid w:val="00407299"/>
    <w:rsid w:val="00407404"/>
    <w:rsid w:val="004079E0"/>
    <w:rsid w:val="00410B36"/>
    <w:rsid w:val="00410D4E"/>
    <w:rsid w:val="00410DDC"/>
    <w:rsid w:val="00410E8B"/>
    <w:rsid w:val="0041242B"/>
    <w:rsid w:val="00412742"/>
    <w:rsid w:val="00412AB0"/>
    <w:rsid w:val="00413A21"/>
    <w:rsid w:val="00413AE9"/>
    <w:rsid w:val="00413DA4"/>
    <w:rsid w:val="00414C33"/>
    <w:rsid w:val="00415171"/>
    <w:rsid w:val="00415D0D"/>
    <w:rsid w:val="00415E97"/>
    <w:rsid w:val="00416191"/>
    <w:rsid w:val="0041643C"/>
    <w:rsid w:val="00416469"/>
    <w:rsid w:val="00416B0A"/>
    <w:rsid w:val="0041789A"/>
    <w:rsid w:val="00417FEC"/>
    <w:rsid w:val="00420056"/>
    <w:rsid w:val="004202F7"/>
    <w:rsid w:val="004208F2"/>
    <w:rsid w:val="00420A41"/>
    <w:rsid w:val="00420DCF"/>
    <w:rsid w:val="00420F82"/>
    <w:rsid w:val="0042173B"/>
    <w:rsid w:val="00421F5B"/>
    <w:rsid w:val="00421F89"/>
    <w:rsid w:val="0042229A"/>
    <w:rsid w:val="0042230B"/>
    <w:rsid w:val="0042376C"/>
    <w:rsid w:val="00423A27"/>
    <w:rsid w:val="00423AAF"/>
    <w:rsid w:val="00423B0F"/>
    <w:rsid w:val="00423EBE"/>
    <w:rsid w:val="00424243"/>
    <w:rsid w:val="004245F1"/>
    <w:rsid w:val="00424CF3"/>
    <w:rsid w:val="0042576C"/>
    <w:rsid w:val="00425C1F"/>
    <w:rsid w:val="00426097"/>
    <w:rsid w:val="004267BF"/>
    <w:rsid w:val="00426C6C"/>
    <w:rsid w:val="004274BA"/>
    <w:rsid w:val="004279E2"/>
    <w:rsid w:val="0043063F"/>
    <w:rsid w:val="00430A91"/>
    <w:rsid w:val="004311CD"/>
    <w:rsid w:val="0043177A"/>
    <w:rsid w:val="004318A9"/>
    <w:rsid w:val="00431A85"/>
    <w:rsid w:val="004323A8"/>
    <w:rsid w:val="00432903"/>
    <w:rsid w:val="00432C7B"/>
    <w:rsid w:val="0043309F"/>
    <w:rsid w:val="00433CA7"/>
    <w:rsid w:val="00433EE7"/>
    <w:rsid w:val="004341FE"/>
    <w:rsid w:val="00434247"/>
    <w:rsid w:val="004342D7"/>
    <w:rsid w:val="0043532D"/>
    <w:rsid w:val="00435C2E"/>
    <w:rsid w:val="0043619C"/>
    <w:rsid w:val="004361B4"/>
    <w:rsid w:val="0043620C"/>
    <w:rsid w:val="00436716"/>
    <w:rsid w:val="00436846"/>
    <w:rsid w:val="004368BC"/>
    <w:rsid w:val="00436C9D"/>
    <w:rsid w:val="00437A3A"/>
    <w:rsid w:val="0044058A"/>
    <w:rsid w:val="00440653"/>
    <w:rsid w:val="00440973"/>
    <w:rsid w:val="00440E30"/>
    <w:rsid w:val="004413D1"/>
    <w:rsid w:val="004416CE"/>
    <w:rsid w:val="00441850"/>
    <w:rsid w:val="00441A6B"/>
    <w:rsid w:val="004424CA"/>
    <w:rsid w:val="004425C6"/>
    <w:rsid w:val="004425FA"/>
    <w:rsid w:val="00442630"/>
    <w:rsid w:val="0044284E"/>
    <w:rsid w:val="00442866"/>
    <w:rsid w:val="004429E9"/>
    <w:rsid w:val="004430B4"/>
    <w:rsid w:val="00443D15"/>
    <w:rsid w:val="00443DAB"/>
    <w:rsid w:val="00443DFD"/>
    <w:rsid w:val="004440B6"/>
    <w:rsid w:val="004442D8"/>
    <w:rsid w:val="00444814"/>
    <w:rsid w:val="004449AF"/>
    <w:rsid w:val="00444D41"/>
    <w:rsid w:val="00444FC0"/>
    <w:rsid w:val="0044504C"/>
    <w:rsid w:val="0044504E"/>
    <w:rsid w:val="004455A4"/>
    <w:rsid w:val="00445FF8"/>
    <w:rsid w:val="004462E2"/>
    <w:rsid w:val="00446312"/>
    <w:rsid w:val="00446B51"/>
    <w:rsid w:val="00447395"/>
    <w:rsid w:val="00447488"/>
    <w:rsid w:val="004477CD"/>
    <w:rsid w:val="00450070"/>
    <w:rsid w:val="00451096"/>
    <w:rsid w:val="004510E6"/>
    <w:rsid w:val="0045118A"/>
    <w:rsid w:val="00451429"/>
    <w:rsid w:val="004516D4"/>
    <w:rsid w:val="004519BA"/>
    <w:rsid w:val="00451AD3"/>
    <w:rsid w:val="004521A0"/>
    <w:rsid w:val="00452CD7"/>
    <w:rsid w:val="00452D64"/>
    <w:rsid w:val="00453B9A"/>
    <w:rsid w:val="00453E96"/>
    <w:rsid w:val="00453EFD"/>
    <w:rsid w:val="0045402F"/>
    <w:rsid w:val="00454770"/>
    <w:rsid w:val="00454E3F"/>
    <w:rsid w:val="00456B4E"/>
    <w:rsid w:val="0045737A"/>
    <w:rsid w:val="0045780B"/>
    <w:rsid w:val="00457AC0"/>
    <w:rsid w:val="00457CBE"/>
    <w:rsid w:val="00457CCB"/>
    <w:rsid w:val="00457D38"/>
    <w:rsid w:val="00457F6A"/>
    <w:rsid w:val="00460BA0"/>
    <w:rsid w:val="00461252"/>
    <w:rsid w:val="00462821"/>
    <w:rsid w:val="004629FD"/>
    <w:rsid w:val="00462D84"/>
    <w:rsid w:val="00462DF3"/>
    <w:rsid w:val="00463220"/>
    <w:rsid w:val="00463769"/>
    <w:rsid w:val="00463804"/>
    <w:rsid w:val="00463A36"/>
    <w:rsid w:val="00464540"/>
    <w:rsid w:val="00464655"/>
    <w:rsid w:val="00464EC7"/>
    <w:rsid w:val="0046586D"/>
    <w:rsid w:val="004667F7"/>
    <w:rsid w:val="004668AD"/>
    <w:rsid w:val="004668C7"/>
    <w:rsid w:val="004668ED"/>
    <w:rsid w:val="00466C13"/>
    <w:rsid w:val="00466ED3"/>
    <w:rsid w:val="004679CA"/>
    <w:rsid w:val="004702BC"/>
    <w:rsid w:val="004704BF"/>
    <w:rsid w:val="00470BEB"/>
    <w:rsid w:val="00471DB6"/>
    <w:rsid w:val="00471FB3"/>
    <w:rsid w:val="004721B6"/>
    <w:rsid w:val="00472386"/>
    <w:rsid w:val="004727A4"/>
    <w:rsid w:val="00472930"/>
    <w:rsid w:val="00472BD5"/>
    <w:rsid w:val="0047300F"/>
    <w:rsid w:val="00473F58"/>
    <w:rsid w:val="00474B60"/>
    <w:rsid w:val="00474DB1"/>
    <w:rsid w:val="00474E2D"/>
    <w:rsid w:val="00475178"/>
    <w:rsid w:val="00475183"/>
    <w:rsid w:val="0047537A"/>
    <w:rsid w:val="00475CAA"/>
    <w:rsid w:val="00475E9E"/>
    <w:rsid w:val="00475F9F"/>
    <w:rsid w:val="004769EC"/>
    <w:rsid w:val="0047791D"/>
    <w:rsid w:val="00477BBB"/>
    <w:rsid w:val="00481173"/>
    <w:rsid w:val="00481C2A"/>
    <w:rsid w:val="00481CAA"/>
    <w:rsid w:val="00481D39"/>
    <w:rsid w:val="0048207D"/>
    <w:rsid w:val="004820C2"/>
    <w:rsid w:val="0048224A"/>
    <w:rsid w:val="00483366"/>
    <w:rsid w:val="004833F0"/>
    <w:rsid w:val="00483FC3"/>
    <w:rsid w:val="00483FEB"/>
    <w:rsid w:val="00484143"/>
    <w:rsid w:val="0048497E"/>
    <w:rsid w:val="004849F8"/>
    <w:rsid w:val="00484B1E"/>
    <w:rsid w:val="00484BE0"/>
    <w:rsid w:val="004858F3"/>
    <w:rsid w:val="00486EDA"/>
    <w:rsid w:val="0048726B"/>
    <w:rsid w:val="004874DE"/>
    <w:rsid w:val="0048750B"/>
    <w:rsid w:val="00487F20"/>
    <w:rsid w:val="004905FF"/>
    <w:rsid w:val="00490ED4"/>
    <w:rsid w:val="0049107B"/>
    <w:rsid w:val="004913BE"/>
    <w:rsid w:val="00491D17"/>
    <w:rsid w:val="004924AF"/>
    <w:rsid w:val="00492B8C"/>
    <w:rsid w:val="00492E8E"/>
    <w:rsid w:val="00493F45"/>
    <w:rsid w:val="00494065"/>
    <w:rsid w:val="004940C8"/>
    <w:rsid w:val="00494172"/>
    <w:rsid w:val="0049430F"/>
    <w:rsid w:val="00494DE5"/>
    <w:rsid w:val="00495046"/>
    <w:rsid w:val="004951A3"/>
    <w:rsid w:val="0049526D"/>
    <w:rsid w:val="004953DC"/>
    <w:rsid w:val="0049583B"/>
    <w:rsid w:val="00495D6F"/>
    <w:rsid w:val="00495F6F"/>
    <w:rsid w:val="00497693"/>
    <w:rsid w:val="004977D6"/>
    <w:rsid w:val="004977E8"/>
    <w:rsid w:val="00497C91"/>
    <w:rsid w:val="004A04BA"/>
    <w:rsid w:val="004A07FD"/>
    <w:rsid w:val="004A209A"/>
    <w:rsid w:val="004A281D"/>
    <w:rsid w:val="004A2AFB"/>
    <w:rsid w:val="004A3445"/>
    <w:rsid w:val="004A348E"/>
    <w:rsid w:val="004A37A7"/>
    <w:rsid w:val="004A37F8"/>
    <w:rsid w:val="004A3F66"/>
    <w:rsid w:val="004A3FAD"/>
    <w:rsid w:val="004A40D8"/>
    <w:rsid w:val="004A464D"/>
    <w:rsid w:val="004A53ED"/>
    <w:rsid w:val="004A5BB5"/>
    <w:rsid w:val="004A5DEC"/>
    <w:rsid w:val="004A6006"/>
    <w:rsid w:val="004A6139"/>
    <w:rsid w:val="004A61C8"/>
    <w:rsid w:val="004A6890"/>
    <w:rsid w:val="004A6E0F"/>
    <w:rsid w:val="004A77A3"/>
    <w:rsid w:val="004B0287"/>
    <w:rsid w:val="004B03FC"/>
    <w:rsid w:val="004B102D"/>
    <w:rsid w:val="004B1093"/>
    <w:rsid w:val="004B1289"/>
    <w:rsid w:val="004B1338"/>
    <w:rsid w:val="004B1E76"/>
    <w:rsid w:val="004B2787"/>
    <w:rsid w:val="004B27B3"/>
    <w:rsid w:val="004B2FD5"/>
    <w:rsid w:val="004B3119"/>
    <w:rsid w:val="004B3146"/>
    <w:rsid w:val="004B315A"/>
    <w:rsid w:val="004B31FB"/>
    <w:rsid w:val="004B3551"/>
    <w:rsid w:val="004B3D4D"/>
    <w:rsid w:val="004B40DB"/>
    <w:rsid w:val="004B42D1"/>
    <w:rsid w:val="004B45C0"/>
    <w:rsid w:val="004B49A8"/>
    <w:rsid w:val="004B5089"/>
    <w:rsid w:val="004B5D03"/>
    <w:rsid w:val="004B5DE9"/>
    <w:rsid w:val="004B602C"/>
    <w:rsid w:val="004B6BA5"/>
    <w:rsid w:val="004B7094"/>
    <w:rsid w:val="004C0033"/>
    <w:rsid w:val="004C0506"/>
    <w:rsid w:val="004C0CD1"/>
    <w:rsid w:val="004C0F17"/>
    <w:rsid w:val="004C106D"/>
    <w:rsid w:val="004C1114"/>
    <w:rsid w:val="004C2169"/>
    <w:rsid w:val="004C2506"/>
    <w:rsid w:val="004C252F"/>
    <w:rsid w:val="004C3198"/>
    <w:rsid w:val="004C31AC"/>
    <w:rsid w:val="004C3B83"/>
    <w:rsid w:val="004C49CC"/>
    <w:rsid w:val="004C4A7E"/>
    <w:rsid w:val="004C4EAB"/>
    <w:rsid w:val="004C57C7"/>
    <w:rsid w:val="004C5AF9"/>
    <w:rsid w:val="004C5E66"/>
    <w:rsid w:val="004C68E0"/>
    <w:rsid w:val="004C6C17"/>
    <w:rsid w:val="004C6EA2"/>
    <w:rsid w:val="004C74FF"/>
    <w:rsid w:val="004C7691"/>
    <w:rsid w:val="004C778F"/>
    <w:rsid w:val="004C7997"/>
    <w:rsid w:val="004C7DB0"/>
    <w:rsid w:val="004C7ED6"/>
    <w:rsid w:val="004D0051"/>
    <w:rsid w:val="004D067C"/>
    <w:rsid w:val="004D0A10"/>
    <w:rsid w:val="004D0EFF"/>
    <w:rsid w:val="004D0FD0"/>
    <w:rsid w:val="004D1149"/>
    <w:rsid w:val="004D118C"/>
    <w:rsid w:val="004D1715"/>
    <w:rsid w:val="004D1850"/>
    <w:rsid w:val="004D1D35"/>
    <w:rsid w:val="004D25E9"/>
    <w:rsid w:val="004D29EF"/>
    <w:rsid w:val="004D2A42"/>
    <w:rsid w:val="004D2E51"/>
    <w:rsid w:val="004D355F"/>
    <w:rsid w:val="004D35B4"/>
    <w:rsid w:val="004D38C0"/>
    <w:rsid w:val="004D4099"/>
    <w:rsid w:val="004D4817"/>
    <w:rsid w:val="004D4903"/>
    <w:rsid w:val="004D4DD1"/>
    <w:rsid w:val="004D5005"/>
    <w:rsid w:val="004D50AE"/>
    <w:rsid w:val="004D535E"/>
    <w:rsid w:val="004D543A"/>
    <w:rsid w:val="004D5A12"/>
    <w:rsid w:val="004D5B02"/>
    <w:rsid w:val="004D6273"/>
    <w:rsid w:val="004D6295"/>
    <w:rsid w:val="004D63A8"/>
    <w:rsid w:val="004D6725"/>
    <w:rsid w:val="004D68E5"/>
    <w:rsid w:val="004D6C1B"/>
    <w:rsid w:val="004D7106"/>
    <w:rsid w:val="004D726D"/>
    <w:rsid w:val="004D78EF"/>
    <w:rsid w:val="004D7B4F"/>
    <w:rsid w:val="004D7E1A"/>
    <w:rsid w:val="004D7EB5"/>
    <w:rsid w:val="004E016C"/>
    <w:rsid w:val="004E01E2"/>
    <w:rsid w:val="004E0242"/>
    <w:rsid w:val="004E07B4"/>
    <w:rsid w:val="004E0F69"/>
    <w:rsid w:val="004E1881"/>
    <w:rsid w:val="004E1E80"/>
    <w:rsid w:val="004E2110"/>
    <w:rsid w:val="004E25F8"/>
    <w:rsid w:val="004E272F"/>
    <w:rsid w:val="004E28ED"/>
    <w:rsid w:val="004E345E"/>
    <w:rsid w:val="004E3744"/>
    <w:rsid w:val="004E3D5A"/>
    <w:rsid w:val="004E41D8"/>
    <w:rsid w:val="004E4599"/>
    <w:rsid w:val="004E474B"/>
    <w:rsid w:val="004E4E4A"/>
    <w:rsid w:val="004E4EAD"/>
    <w:rsid w:val="004E53C0"/>
    <w:rsid w:val="004E5687"/>
    <w:rsid w:val="004E5DAB"/>
    <w:rsid w:val="004E635D"/>
    <w:rsid w:val="004E6CFC"/>
    <w:rsid w:val="004E71B0"/>
    <w:rsid w:val="004E72D9"/>
    <w:rsid w:val="004E7795"/>
    <w:rsid w:val="004E7FC2"/>
    <w:rsid w:val="004F02A8"/>
    <w:rsid w:val="004F0513"/>
    <w:rsid w:val="004F0B6A"/>
    <w:rsid w:val="004F0C59"/>
    <w:rsid w:val="004F0FCB"/>
    <w:rsid w:val="004F11F5"/>
    <w:rsid w:val="004F130B"/>
    <w:rsid w:val="004F14B1"/>
    <w:rsid w:val="004F1885"/>
    <w:rsid w:val="004F1C66"/>
    <w:rsid w:val="004F1D65"/>
    <w:rsid w:val="004F1DD1"/>
    <w:rsid w:val="004F1FD4"/>
    <w:rsid w:val="004F246E"/>
    <w:rsid w:val="004F2531"/>
    <w:rsid w:val="004F2DE0"/>
    <w:rsid w:val="004F3AD9"/>
    <w:rsid w:val="004F41CD"/>
    <w:rsid w:val="004F451D"/>
    <w:rsid w:val="004F48CF"/>
    <w:rsid w:val="004F5107"/>
    <w:rsid w:val="004F56FF"/>
    <w:rsid w:val="004F5DA8"/>
    <w:rsid w:val="004F62D6"/>
    <w:rsid w:val="004F690D"/>
    <w:rsid w:val="004F698D"/>
    <w:rsid w:val="004F6A47"/>
    <w:rsid w:val="004F6D41"/>
    <w:rsid w:val="00500B8A"/>
    <w:rsid w:val="005010B3"/>
    <w:rsid w:val="005011EF"/>
    <w:rsid w:val="0050126A"/>
    <w:rsid w:val="005014D3"/>
    <w:rsid w:val="0050168B"/>
    <w:rsid w:val="00501ACB"/>
    <w:rsid w:val="00501B53"/>
    <w:rsid w:val="00501BC3"/>
    <w:rsid w:val="00501C7C"/>
    <w:rsid w:val="0050212C"/>
    <w:rsid w:val="0050263B"/>
    <w:rsid w:val="005027DC"/>
    <w:rsid w:val="005028CE"/>
    <w:rsid w:val="00502C8D"/>
    <w:rsid w:val="00502FDE"/>
    <w:rsid w:val="0050340E"/>
    <w:rsid w:val="005035C3"/>
    <w:rsid w:val="005036C2"/>
    <w:rsid w:val="00503F47"/>
    <w:rsid w:val="00504502"/>
    <w:rsid w:val="005048CD"/>
    <w:rsid w:val="005051BD"/>
    <w:rsid w:val="00505553"/>
    <w:rsid w:val="00505D07"/>
    <w:rsid w:val="00506217"/>
    <w:rsid w:val="00506355"/>
    <w:rsid w:val="005063A3"/>
    <w:rsid w:val="00506637"/>
    <w:rsid w:val="00506804"/>
    <w:rsid w:val="005078D0"/>
    <w:rsid w:val="005079DC"/>
    <w:rsid w:val="00507AFE"/>
    <w:rsid w:val="00507C0D"/>
    <w:rsid w:val="00507D1A"/>
    <w:rsid w:val="00507E14"/>
    <w:rsid w:val="005108A2"/>
    <w:rsid w:val="00510B86"/>
    <w:rsid w:val="0051113E"/>
    <w:rsid w:val="005114C3"/>
    <w:rsid w:val="00511549"/>
    <w:rsid w:val="00511813"/>
    <w:rsid w:val="00511944"/>
    <w:rsid w:val="00511A92"/>
    <w:rsid w:val="00511CD0"/>
    <w:rsid w:val="00512873"/>
    <w:rsid w:val="005133E7"/>
    <w:rsid w:val="00513495"/>
    <w:rsid w:val="00513F85"/>
    <w:rsid w:val="00514A98"/>
    <w:rsid w:val="00514EB3"/>
    <w:rsid w:val="0051526D"/>
    <w:rsid w:val="00515C75"/>
    <w:rsid w:val="00515D44"/>
    <w:rsid w:val="00515FA6"/>
    <w:rsid w:val="00516478"/>
    <w:rsid w:val="005166E4"/>
    <w:rsid w:val="005169F1"/>
    <w:rsid w:val="00516B88"/>
    <w:rsid w:val="005173F9"/>
    <w:rsid w:val="00517BDE"/>
    <w:rsid w:val="0052000A"/>
    <w:rsid w:val="005201A1"/>
    <w:rsid w:val="0052081A"/>
    <w:rsid w:val="00522E4C"/>
    <w:rsid w:val="00523048"/>
    <w:rsid w:val="005237B6"/>
    <w:rsid w:val="00523B12"/>
    <w:rsid w:val="00523C7E"/>
    <w:rsid w:val="005242E9"/>
    <w:rsid w:val="005244EE"/>
    <w:rsid w:val="00524EA3"/>
    <w:rsid w:val="00525F27"/>
    <w:rsid w:val="00526028"/>
    <w:rsid w:val="00526304"/>
    <w:rsid w:val="00526C0B"/>
    <w:rsid w:val="00527C11"/>
    <w:rsid w:val="00527CD0"/>
    <w:rsid w:val="00530541"/>
    <w:rsid w:val="005309C9"/>
    <w:rsid w:val="00530C65"/>
    <w:rsid w:val="005311DE"/>
    <w:rsid w:val="00531F59"/>
    <w:rsid w:val="00532074"/>
    <w:rsid w:val="00532841"/>
    <w:rsid w:val="0053344D"/>
    <w:rsid w:val="005335A0"/>
    <w:rsid w:val="00533CCF"/>
    <w:rsid w:val="00534143"/>
    <w:rsid w:val="005347CF"/>
    <w:rsid w:val="00534F65"/>
    <w:rsid w:val="00534FD3"/>
    <w:rsid w:val="005352EB"/>
    <w:rsid w:val="00535841"/>
    <w:rsid w:val="00535B4F"/>
    <w:rsid w:val="00536399"/>
    <w:rsid w:val="005363C9"/>
    <w:rsid w:val="0053696E"/>
    <w:rsid w:val="00536B7A"/>
    <w:rsid w:val="0053711A"/>
    <w:rsid w:val="0053720C"/>
    <w:rsid w:val="00537306"/>
    <w:rsid w:val="0053798C"/>
    <w:rsid w:val="005379F9"/>
    <w:rsid w:val="00537DDF"/>
    <w:rsid w:val="0054029F"/>
    <w:rsid w:val="0054074E"/>
    <w:rsid w:val="0054099D"/>
    <w:rsid w:val="00540AFC"/>
    <w:rsid w:val="00542146"/>
    <w:rsid w:val="005424FF"/>
    <w:rsid w:val="005426B2"/>
    <w:rsid w:val="005426FE"/>
    <w:rsid w:val="0054270B"/>
    <w:rsid w:val="00542A90"/>
    <w:rsid w:val="00542DAB"/>
    <w:rsid w:val="005437C0"/>
    <w:rsid w:val="00544234"/>
    <w:rsid w:val="0054480C"/>
    <w:rsid w:val="00544A0C"/>
    <w:rsid w:val="00544A1B"/>
    <w:rsid w:val="00545736"/>
    <w:rsid w:val="005457E2"/>
    <w:rsid w:val="00546DBD"/>
    <w:rsid w:val="005479A1"/>
    <w:rsid w:val="00550005"/>
    <w:rsid w:val="00550195"/>
    <w:rsid w:val="005505B7"/>
    <w:rsid w:val="00550712"/>
    <w:rsid w:val="00550D8D"/>
    <w:rsid w:val="00551BDF"/>
    <w:rsid w:val="005525BC"/>
    <w:rsid w:val="00552C2A"/>
    <w:rsid w:val="0055323A"/>
    <w:rsid w:val="00553963"/>
    <w:rsid w:val="00553B61"/>
    <w:rsid w:val="00554951"/>
    <w:rsid w:val="0055563B"/>
    <w:rsid w:val="00556861"/>
    <w:rsid w:val="0055718E"/>
    <w:rsid w:val="005600CB"/>
    <w:rsid w:val="00560A78"/>
    <w:rsid w:val="00561786"/>
    <w:rsid w:val="00561DDC"/>
    <w:rsid w:val="00562120"/>
    <w:rsid w:val="005625C9"/>
    <w:rsid w:val="005626CD"/>
    <w:rsid w:val="00562A58"/>
    <w:rsid w:val="0056370B"/>
    <w:rsid w:val="005639C3"/>
    <w:rsid w:val="00563E15"/>
    <w:rsid w:val="0056414E"/>
    <w:rsid w:val="00564570"/>
    <w:rsid w:val="0056479C"/>
    <w:rsid w:val="0056520B"/>
    <w:rsid w:val="00565A21"/>
    <w:rsid w:val="00565D68"/>
    <w:rsid w:val="005669AB"/>
    <w:rsid w:val="0056712E"/>
    <w:rsid w:val="00567278"/>
    <w:rsid w:val="0056729C"/>
    <w:rsid w:val="0056777D"/>
    <w:rsid w:val="005677CD"/>
    <w:rsid w:val="005677E6"/>
    <w:rsid w:val="00567E3F"/>
    <w:rsid w:val="0057080D"/>
    <w:rsid w:val="005708AD"/>
    <w:rsid w:val="00570D50"/>
    <w:rsid w:val="005715E8"/>
    <w:rsid w:val="005718E7"/>
    <w:rsid w:val="00571CB6"/>
    <w:rsid w:val="00571E56"/>
    <w:rsid w:val="00571FC1"/>
    <w:rsid w:val="00572930"/>
    <w:rsid w:val="00572B1E"/>
    <w:rsid w:val="00572D85"/>
    <w:rsid w:val="00573FF6"/>
    <w:rsid w:val="0057416E"/>
    <w:rsid w:val="00575155"/>
    <w:rsid w:val="005753B1"/>
    <w:rsid w:val="00576041"/>
    <w:rsid w:val="00576678"/>
    <w:rsid w:val="005767C4"/>
    <w:rsid w:val="00576B37"/>
    <w:rsid w:val="00577736"/>
    <w:rsid w:val="00577831"/>
    <w:rsid w:val="0058030E"/>
    <w:rsid w:val="00580632"/>
    <w:rsid w:val="005806D6"/>
    <w:rsid w:val="0058078F"/>
    <w:rsid w:val="00580852"/>
    <w:rsid w:val="00580D57"/>
    <w:rsid w:val="00581C1A"/>
    <w:rsid w:val="00582322"/>
    <w:rsid w:val="005823D8"/>
    <w:rsid w:val="0058267F"/>
    <w:rsid w:val="00582D9B"/>
    <w:rsid w:val="00582E6D"/>
    <w:rsid w:val="005834BB"/>
    <w:rsid w:val="00584302"/>
    <w:rsid w:val="0058467F"/>
    <w:rsid w:val="00584CFC"/>
    <w:rsid w:val="00585501"/>
    <w:rsid w:val="005857A6"/>
    <w:rsid w:val="00586AF4"/>
    <w:rsid w:val="00587632"/>
    <w:rsid w:val="00587BD3"/>
    <w:rsid w:val="005904AC"/>
    <w:rsid w:val="00590FF2"/>
    <w:rsid w:val="005911EE"/>
    <w:rsid w:val="00591948"/>
    <w:rsid w:val="00591DA6"/>
    <w:rsid w:val="005923F6"/>
    <w:rsid w:val="00592B19"/>
    <w:rsid w:val="00592E09"/>
    <w:rsid w:val="00592FE7"/>
    <w:rsid w:val="00593669"/>
    <w:rsid w:val="00593F0D"/>
    <w:rsid w:val="00593F65"/>
    <w:rsid w:val="00594733"/>
    <w:rsid w:val="005948B7"/>
    <w:rsid w:val="0059499E"/>
    <w:rsid w:val="00594F92"/>
    <w:rsid w:val="00595C5D"/>
    <w:rsid w:val="00595E28"/>
    <w:rsid w:val="00595F76"/>
    <w:rsid w:val="00595FB5"/>
    <w:rsid w:val="0059630D"/>
    <w:rsid w:val="005965A8"/>
    <w:rsid w:val="005966DE"/>
    <w:rsid w:val="00597809"/>
    <w:rsid w:val="00597B46"/>
    <w:rsid w:val="00597B95"/>
    <w:rsid w:val="005A0617"/>
    <w:rsid w:val="005A0B57"/>
    <w:rsid w:val="005A0CE6"/>
    <w:rsid w:val="005A1128"/>
    <w:rsid w:val="005A2304"/>
    <w:rsid w:val="005A2CCC"/>
    <w:rsid w:val="005A2D4A"/>
    <w:rsid w:val="005A2D4C"/>
    <w:rsid w:val="005A3DD6"/>
    <w:rsid w:val="005A475A"/>
    <w:rsid w:val="005A631D"/>
    <w:rsid w:val="005A6375"/>
    <w:rsid w:val="005A6CBC"/>
    <w:rsid w:val="005A7710"/>
    <w:rsid w:val="005A7724"/>
    <w:rsid w:val="005A7910"/>
    <w:rsid w:val="005A7A85"/>
    <w:rsid w:val="005A7DC7"/>
    <w:rsid w:val="005B0059"/>
    <w:rsid w:val="005B145D"/>
    <w:rsid w:val="005B1872"/>
    <w:rsid w:val="005B1BE5"/>
    <w:rsid w:val="005B29E0"/>
    <w:rsid w:val="005B2F32"/>
    <w:rsid w:val="005B3F92"/>
    <w:rsid w:val="005B3FC2"/>
    <w:rsid w:val="005B42B4"/>
    <w:rsid w:val="005B4743"/>
    <w:rsid w:val="005B4A57"/>
    <w:rsid w:val="005B4E45"/>
    <w:rsid w:val="005B4FDB"/>
    <w:rsid w:val="005B52A8"/>
    <w:rsid w:val="005B5364"/>
    <w:rsid w:val="005B5BCE"/>
    <w:rsid w:val="005B616D"/>
    <w:rsid w:val="005B62F5"/>
    <w:rsid w:val="005B6924"/>
    <w:rsid w:val="005B6BA9"/>
    <w:rsid w:val="005B6D38"/>
    <w:rsid w:val="005B6F58"/>
    <w:rsid w:val="005B7230"/>
    <w:rsid w:val="005B7746"/>
    <w:rsid w:val="005B7757"/>
    <w:rsid w:val="005B7843"/>
    <w:rsid w:val="005B7FC9"/>
    <w:rsid w:val="005C002D"/>
    <w:rsid w:val="005C02A3"/>
    <w:rsid w:val="005C03C5"/>
    <w:rsid w:val="005C0B8F"/>
    <w:rsid w:val="005C1122"/>
    <w:rsid w:val="005C1CF6"/>
    <w:rsid w:val="005C2050"/>
    <w:rsid w:val="005C25FE"/>
    <w:rsid w:val="005C2BAF"/>
    <w:rsid w:val="005C3274"/>
    <w:rsid w:val="005C3ACF"/>
    <w:rsid w:val="005C3B03"/>
    <w:rsid w:val="005C3D97"/>
    <w:rsid w:val="005C3FAE"/>
    <w:rsid w:val="005C4603"/>
    <w:rsid w:val="005C501C"/>
    <w:rsid w:val="005C52CA"/>
    <w:rsid w:val="005C5531"/>
    <w:rsid w:val="005C55E9"/>
    <w:rsid w:val="005C5CA3"/>
    <w:rsid w:val="005C6616"/>
    <w:rsid w:val="005C6D15"/>
    <w:rsid w:val="005C6DD0"/>
    <w:rsid w:val="005C6FCD"/>
    <w:rsid w:val="005C77D6"/>
    <w:rsid w:val="005C7BC3"/>
    <w:rsid w:val="005D0580"/>
    <w:rsid w:val="005D072D"/>
    <w:rsid w:val="005D0F12"/>
    <w:rsid w:val="005D115E"/>
    <w:rsid w:val="005D18F7"/>
    <w:rsid w:val="005D310B"/>
    <w:rsid w:val="005D387A"/>
    <w:rsid w:val="005D4808"/>
    <w:rsid w:val="005D4FA0"/>
    <w:rsid w:val="005D504D"/>
    <w:rsid w:val="005D53A6"/>
    <w:rsid w:val="005D5F21"/>
    <w:rsid w:val="005D670A"/>
    <w:rsid w:val="005D6756"/>
    <w:rsid w:val="005D67DB"/>
    <w:rsid w:val="005D7FF3"/>
    <w:rsid w:val="005E051F"/>
    <w:rsid w:val="005E0959"/>
    <w:rsid w:val="005E09D8"/>
    <w:rsid w:val="005E0BBA"/>
    <w:rsid w:val="005E0D3E"/>
    <w:rsid w:val="005E1015"/>
    <w:rsid w:val="005E1C44"/>
    <w:rsid w:val="005E23E9"/>
    <w:rsid w:val="005E3298"/>
    <w:rsid w:val="005E33C2"/>
    <w:rsid w:val="005E352F"/>
    <w:rsid w:val="005E380F"/>
    <w:rsid w:val="005E413D"/>
    <w:rsid w:val="005E4B88"/>
    <w:rsid w:val="005E51BE"/>
    <w:rsid w:val="005E544C"/>
    <w:rsid w:val="005E59D2"/>
    <w:rsid w:val="005E630B"/>
    <w:rsid w:val="005E65B0"/>
    <w:rsid w:val="005E691A"/>
    <w:rsid w:val="005E6A23"/>
    <w:rsid w:val="005E6A31"/>
    <w:rsid w:val="005E7001"/>
    <w:rsid w:val="005E70C0"/>
    <w:rsid w:val="005F07E0"/>
    <w:rsid w:val="005F084B"/>
    <w:rsid w:val="005F0BE8"/>
    <w:rsid w:val="005F117A"/>
    <w:rsid w:val="005F1EE1"/>
    <w:rsid w:val="005F221A"/>
    <w:rsid w:val="005F3501"/>
    <w:rsid w:val="005F37D8"/>
    <w:rsid w:val="005F391B"/>
    <w:rsid w:val="005F3922"/>
    <w:rsid w:val="005F402D"/>
    <w:rsid w:val="005F5D0A"/>
    <w:rsid w:val="005F6253"/>
    <w:rsid w:val="005F6632"/>
    <w:rsid w:val="005F793D"/>
    <w:rsid w:val="005F7D9C"/>
    <w:rsid w:val="00600680"/>
    <w:rsid w:val="006011A1"/>
    <w:rsid w:val="00601A29"/>
    <w:rsid w:val="006021DC"/>
    <w:rsid w:val="0060230B"/>
    <w:rsid w:val="00602ABC"/>
    <w:rsid w:val="0060484B"/>
    <w:rsid w:val="00605006"/>
    <w:rsid w:val="006051A3"/>
    <w:rsid w:val="006051BD"/>
    <w:rsid w:val="00605CB7"/>
    <w:rsid w:val="00606300"/>
    <w:rsid w:val="006070AF"/>
    <w:rsid w:val="006078CD"/>
    <w:rsid w:val="00607A1C"/>
    <w:rsid w:val="00607ED4"/>
    <w:rsid w:val="00610017"/>
    <w:rsid w:val="006104DA"/>
    <w:rsid w:val="00610855"/>
    <w:rsid w:val="006119D1"/>
    <w:rsid w:val="00612194"/>
    <w:rsid w:val="0061222C"/>
    <w:rsid w:val="00612544"/>
    <w:rsid w:val="0061270D"/>
    <w:rsid w:val="006127E6"/>
    <w:rsid w:val="006130C4"/>
    <w:rsid w:val="00613E48"/>
    <w:rsid w:val="006140AD"/>
    <w:rsid w:val="006142E9"/>
    <w:rsid w:val="00614355"/>
    <w:rsid w:val="00614885"/>
    <w:rsid w:val="00614B50"/>
    <w:rsid w:val="00614D55"/>
    <w:rsid w:val="006156F5"/>
    <w:rsid w:val="0061570B"/>
    <w:rsid w:val="00615923"/>
    <w:rsid w:val="00615A98"/>
    <w:rsid w:val="00615C4E"/>
    <w:rsid w:val="006164BF"/>
    <w:rsid w:val="006169BC"/>
    <w:rsid w:val="00616A72"/>
    <w:rsid w:val="00616B47"/>
    <w:rsid w:val="00616D57"/>
    <w:rsid w:val="00617BBF"/>
    <w:rsid w:val="00620061"/>
    <w:rsid w:val="0062020F"/>
    <w:rsid w:val="00620E05"/>
    <w:rsid w:val="0062122F"/>
    <w:rsid w:val="00621B5E"/>
    <w:rsid w:val="00622029"/>
    <w:rsid w:val="006222A9"/>
    <w:rsid w:val="006224E3"/>
    <w:rsid w:val="00622679"/>
    <w:rsid w:val="00622FD7"/>
    <w:rsid w:val="00623BD4"/>
    <w:rsid w:val="00624023"/>
    <w:rsid w:val="006240CC"/>
    <w:rsid w:val="00624383"/>
    <w:rsid w:val="0062438D"/>
    <w:rsid w:val="006251FA"/>
    <w:rsid w:val="006262F0"/>
    <w:rsid w:val="0062659C"/>
    <w:rsid w:val="00626CDE"/>
    <w:rsid w:val="00626E80"/>
    <w:rsid w:val="00627279"/>
    <w:rsid w:val="006272B1"/>
    <w:rsid w:val="0062755C"/>
    <w:rsid w:val="0062786B"/>
    <w:rsid w:val="00627A13"/>
    <w:rsid w:val="00627D7C"/>
    <w:rsid w:val="0063011B"/>
    <w:rsid w:val="006301B8"/>
    <w:rsid w:val="00630324"/>
    <w:rsid w:val="00630A7C"/>
    <w:rsid w:val="00630EA8"/>
    <w:rsid w:val="00631262"/>
    <w:rsid w:val="00631869"/>
    <w:rsid w:val="00631B93"/>
    <w:rsid w:val="0063233E"/>
    <w:rsid w:val="00632C3D"/>
    <w:rsid w:val="00632DF5"/>
    <w:rsid w:val="0063320C"/>
    <w:rsid w:val="00633D9D"/>
    <w:rsid w:val="00634002"/>
    <w:rsid w:val="00634D65"/>
    <w:rsid w:val="00634F2B"/>
    <w:rsid w:val="00635481"/>
    <w:rsid w:val="00635585"/>
    <w:rsid w:val="00635811"/>
    <w:rsid w:val="00635A57"/>
    <w:rsid w:val="00635AB9"/>
    <w:rsid w:val="0063714C"/>
    <w:rsid w:val="006371B0"/>
    <w:rsid w:val="006371EA"/>
    <w:rsid w:val="00637485"/>
    <w:rsid w:val="006374CB"/>
    <w:rsid w:val="00637665"/>
    <w:rsid w:val="006378E6"/>
    <w:rsid w:val="00637C72"/>
    <w:rsid w:val="00637D48"/>
    <w:rsid w:val="00640101"/>
    <w:rsid w:val="0064091B"/>
    <w:rsid w:val="00640DE2"/>
    <w:rsid w:val="00641B60"/>
    <w:rsid w:val="006420CB"/>
    <w:rsid w:val="00642ED1"/>
    <w:rsid w:val="0064345A"/>
    <w:rsid w:val="00643A1E"/>
    <w:rsid w:val="006452E9"/>
    <w:rsid w:val="00645373"/>
    <w:rsid w:val="006454C8"/>
    <w:rsid w:val="00645F22"/>
    <w:rsid w:val="006460F8"/>
    <w:rsid w:val="006462A7"/>
    <w:rsid w:val="00646D48"/>
    <w:rsid w:val="006470DC"/>
    <w:rsid w:val="006477E0"/>
    <w:rsid w:val="00647CD0"/>
    <w:rsid w:val="006500B2"/>
    <w:rsid w:val="0065034E"/>
    <w:rsid w:val="006508E1"/>
    <w:rsid w:val="00650956"/>
    <w:rsid w:val="00650B44"/>
    <w:rsid w:val="00650B72"/>
    <w:rsid w:val="00650CA8"/>
    <w:rsid w:val="00650FC3"/>
    <w:rsid w:val="00651C9E"/>
    <w:rsid w:val="00652A82"/>
    <w:rsid w:val="006541EE"/>
    <w:rsid w:val="006547FF"/>
    <w:rsid w:val="00655489"/>
    <w:rsid w:val="006555CC"/>
    <w:rsid w:val="0065582F"/>
    <w:rsid w:val="00655CCD"/>
    <w:rsid w:val="00655D29"/>
    <w:rsid w:val="00656528"/>
    <w:rsid w:val="0065673D"/>
    <w:rsid w:val="00656DAD"/>
    <w:rsid w:val="00656DF8"/>
    <w:rsid w:val="0065709F"/>
    <w:rsid w:val="006576B6"/>
    <w:rsid w:val="006578CA"/>
    <w:rsid w:val="0066002B"/>
    <w:rsid w:val="0066028D"/>
    <w:rsid w:val="00660506"/>
    <w:rsid w:val="00662AE0"/>
    <w:rsid w:val="00663901"/>
    <w:rsid w:val="00664630"/>
    <w:rsid w:val="00664BE0"/>
    <w:rsid w:val="00664EB5"/>
    <w:rsid w:val="00665438"/>
    <w:rsid w:val="00667054"/>
    <w:rsid w:val="00667062"/>
    <w:rsid w:val="00667C77"/>
    <w:rsid w:val="00667C7C"/>
    <w:rsid w:val="00667D33"/>
    <w:rsid w:val="006707D1"/>
    <w:rsid w:val="00671401"/>
    <w:rsid w:val="00671A26"/>
    <w:rsid w:val="00671B15"/>
    <w:rsid w:val="00671C16"/>
    <w:rsid w:val="00672AE9"/>
    <w:rsid w:val="00673182"/>
    <w:rsid w:val="0067400A"/>
    <w:rsid w:val="006740F0"/>
    <w:rsid w:val="0067419E"/>
    <w:rsid w:val="0067422B"/>
    <w:rsid w:val="00674317"/>
    <w:rsid w:val="006744AB"/>
    <w:rsid w:val="00674DF4"/>
    <w:rsid w:val="00674FFD"/>
    <w:rsid w:val="0067596A"/>
    <w:rsid w:val="006762D4"/>
    <w:rsid w:val="0067680A"/>
    <w:rsid w:val="00676ABA"/>
    <w:rsid w:val="00676D04"/>
    <w:rsid w:val="00676F51"/>
    <w:rsid w:val="006775FF"/>
    <w:rsid w:val="00677802"/>
    <w:rsid w:val="006778C1"/>
    <w:rsid w:val="00677DE1"/>
    <w:rsid w:val="0068010E"/>
    <w:rsid w:val="00680775"/>
    <w:rsid w:val="00680A80"/>
    <w:rsid w:val="00680BBB"/>
    <w:rsid w:val="00680E45"/>
    <w:rsid w:val="00681200"/>
    <w:rsid w:val="00681348"/>
    <w:rsid w:val="0068149E"/>
    <w:rsid w:val="00681668"/>
    <w:rsid w:val="00682675"/>
    <w:rsid w:val="00683638"/>
    <w:rsid w:val="00683930"/>
    <w:rsid w:val="00683A6F"/>
    <w:rsid w:val="006840D7"/>
    <w:rsid w:val="006841BF"/>
    <w:rsid w:val="00684B77"/>
    <w:rsid w:val="00684E11"/>
    <w:rsid w:val="006853CE"/>
    <w:rsid w:val="00685A90"/>
    <w:rsid w:val="00686500"/>
    <w:rsid w:val="0068659E"/>
    <w:rsid w:val="00686840"/>
    <w:rsid w:val="00686913"/>
    <w:rsid w:val="006877B8"/>
    <w:rsid w:val="00687AB5"/>
    <w:rsid w:val="006908D7"/>
    <w:rsid w:val="0069091E"/>
    <w:rsid w:val="00690AD3"/>
    <w:rsid w:val="00690E67"/>
    <w:rsid w:val="0069105E"/>
    <w:rsid w:val="006912C6"/>
    <w:rsid w:val="00691AA8"/>
    <w:rsid w:val="00691C16"/>
    <w:rsid w:val="00692072"/>
    <w:rsid w:val="00692089"/>
    <w:rsid w:val="00692214"/>
    <w:rsid w:val="00692396"/>
    <w:rsid w:val="006923F6"/>
    <w:rsid w:val="006924DA"/>
    <w:rsid w:val="006926DE"/>
    <w:rsid w:val="006928C3"/>
    <w:rsid w:val="00692B6A"/>
    <w:rsid w:val="006930B5"/>
    <w:rsid w:val="006932E1"/>
    <w:rsid w:val="00693AB2"/>
    <w:rsid w:val="006942C2"/>
    <w:rsid w:val="00694EAC"/>
    <w:rsid w:val="00695107"/>
    <w:rsid w:val="0069597E"/>
    <w:rsid w:val="00695F8F"/>
    <w:rsid w:val="006961ED"/>
    <w:rsid w:val="00696F24"/>
    <w:rsid w:val="00696FA5"/>
    <w:rsid w:val="00697644"/>
    <w:rsid w:val="00697DF0"/>
    <w:rsid w:val="006A03E4"/>
    <w:rsid w:val="006A04B2"/>
    <w:rsid w:val="006A06E2"/>
    <w:rsid w:val="006A07B3"/>
    <w:rsid w:val="006A0B22"/>
    <w:rsid w:val="006A1067"/>
    <w:rsid w:val="006A1121"/>
    <w:rsid w:val="006A1A4C"/>
    <w:rsid w:val="006A2D2D"/>
    <w:rsid w:val="006A2D47"/>
    <w:rsid w:val="006A3DBE"/>
    <w:rsid w:val="006A4C27"/>
    <w:rsid w:val="006A573B"/>
    <w:rsid w:val="006A57DA"/>
    <w:rsid w:val="006A6324"/>
    <w:rsid w:val="006A6536"/>
    <w:rsid w:val="006A66B2"/>
    <w:rsid w:val="006A66FD"/>
    <w:rsid w:val="006A6D6E"/>
    <w:rsid w:val="006A6D8B"/>
    <w:rsid w:val="006A704F"/>
    <w:rsid w:val="006A77A7"/>
    <w:rsid w:val="006A7C9D"/>
    <w:rsid w:val="006B0002"/>
    <w:rsid w:val="006B0922"/>
    <w:rsid w:val="006B123F"/>
    <w:rsid w:val="006B1564"/>
    <w:rsid w:val="006B1583"/>
    <w:rsid w:val="006B1D94"/>
    <w:rsid w:val="006B21C2"/>
    <w:rsid w:val="006B2AE9"/>
    <w:rsid w:val="006B2EC3"/>
    <w:rsid w:val="006B3080"/>
    <w:rsid w:val="006B3186"/>
    <w:rsid w:val="006B37BF"/>
    <w:rsid w:val="006B3CBE"/>
    <w:rsid w:val="006B3F00"/>
    <w:rsid w:val="006B3F35"/>
    <w:rsid w:val="006B3F53"/>
    <w:rsid w:val="006B41AE"/>
    <w:rsid w:val="006B42CA"/>
    <w:rsid w:val="006B44F4"/>
    <w:rsid w:val="006B4CB0"/>
    <w:rsid w:val="006B4E9A"/>
    <w:rsid w:val="006B50E3"/>
    <w:rsid w:val="006B50ED"/>
    <w:rsid w:val="006B54FE"/>
    <w:rsid w:val="006B571E"/>
    <w:rsid w:val="006B58E6"/>
    <w:rsid w:val="006B62CE"/>
    <w:rsid w:val="006B6508"/>
    <w:rsid w:val="006B69F8"/>
    <w:rsid w:val="006B6E01"/>
    <w:rsid w:val="006B72D9"/>
    <w:rsid w:val="006B73D3"/>
    <w:rsid w:val="006B7952"/>
    <w:rsid w:val="006B7DCD"/>
    <w:rsid w:val="006C087D"/>
    <w:rsid w:val="006C0EB1"/>
    <w:rsid w:val="006C0FC2"/>
    <w:rsid w:val="006C141A"/>
    <w:rsid w:val="006C149E"/>
    <w:rsid w:val="006C1532"/>
    <w:rsid w:val="006C159C"/>
    <w:rsid w:val="006C18F5"/>
    <w:rsid w:val="006C209C"/>
    <w:rsid w:val="006C2129"/>
    <w:rsid w:val="006C21A3"/>
    <w:rsid w:val="006C2EF3"/>
    <w:rsid w:val="006C2FCC"/>
    <w:rsid w:val="006C3589"/>
    <w:rsid w:val="006C3E32"/>
    <w:rsid w:val="006C4380"/>
    <w:rsid w:val="006C4389"/>
    <w:rsid w:val="006C4606"/>
    <w:rsid w:val="006C49CD"/>
    <w:rsid w:val="006C503A"/>
    <w:rsid w:val="006C55CE"/>
    <w:rsid w:val="006C5E3E"/>
    <w:rsid w:val="006C6D77"/>
    <w:rsid w:val="006C6EC1"/>
    <w:rsid w:val="006C6F25"/>
    <w:rsid w:val="006C7403"/>
    <w:rsid w:val="006C7725"/>
    <w:rsid w:val="006C797E"/>
    <w:rsid w:val="006D048D"/>
    <w:rsid w:val="006D0BC6"/>
    <w:rsid w:val="006D18B0"/>
    <w:rsid w:val="006D204A"/>
    <w:rsid w:val="006D2178"/>
    <w:rsid w:val="006D2427"/>
    <w:rsid w:val="006D2694"/>
    <w:rsid w:val="006D26DD"/>
    <w:rsid w:val="006D2D42"/>
    <w:rsid w:val="006D2D63"/>
    <w:rsid w:val="006D3C49"/>
    <w:rsid w:val="006D48C9"/>
    <w:rsid w:val="006D562E"/>
    <w:rsid w:val="006D5B15"/>
    <w:rsid w:val="006D6589"/>
    <w:rsid w:val="006D69CC"/>
    <w:rsid w:val="006D6D37"/>
    <w:rsid w:val="006D6DF3"/>
    <w:rsid w:val="006D7148"/>
    <w:rsid w:val="006D763E"/>
    <w:rsid w:val="006D77AF"/>
    <w:rsid w:val="006E0971"/>
    <w:rsid w:val="006E13BD"/>
    <w:rsid w:val="006E28A1"/>
    <w:rsid w:val="006E2EE6"/>
    <w:rsid w:val="006E3492"/>
    <w:rsid w:val="006E3984"/>
    <w:rsid w:val="006E3B24"/>
    <w:rsid w:val="006E528D"/>
    <w:rsid w:val="006E5772"/>
    <w:rsid w:val="006E5CBD"/>
    <w:rsid w:val="006E5EFF"/>
    <w:rsid w:val="006E6212"/>
    <w:rsid w:val="006E6233"/>
    <w:rsid w:val="006E6921"/>
    <w:rsid w:val="006E6B28"/>
    <w:rsid w:val="006E6B56"/>
    <w:rsid w:val="006E75BC"/>
    <w:rsid w:val="006F05FD"/>
    <w:rsid w:val="006F0A9A"/>
    <w:rsid w:val="006F281A"/>
    <w:rsid w:val="006F2C28"/>
    <w:rsid w:val="006F2D73"/>
    <w:rsid w:val="006F2DC6"/>
    <w:rsid w:val="006F313A"/>
    <w:rsid w:val="006F33B1"/>
    <w:rsid w:val="006F3573"/>
    <w:rsid w:val="006F38DB"/>
    <w:rsid w:val="006F397A"/>
    <w:rsid w:val="006F3E03"/>
    <w:rsid w:val="006F410E"/>
    <w:rsid w:val="006F4600"/>
    <w:rsid w:val="006F50C7"/>
    <w:rsid w:val="006F56B5"/>
    <w:rsid w:val="006F56E0"/>
    <w:rsid w:val="006F5B80"/>
    <w:rsid w:val="006F5B9F"/>
    <w:rsid w:val="006F635B"/>
    <w:rsid w:val="006F63D7"/>
    <w:rsid w:val="006F64A1"/>
    <w:rsid w:val="006F6907"/>
    <w:rsid w:val="006F7147"/>
    <w:rsid w:val="006F72DB"/>
    <w:rsid w:val="006F740E"/>
    <w:rsid w:val="00700F59"/>
    <w:rsid w:val="0070100F"/>
    <w:rsid w:val="0070130D"/>
    <w:rsid w:val="0070173D"/>
    <w:rsid w:val="00701932"/>
    <w:rsid w:val="00701A96"/>
    <w:rsid w:val="00701BCE"/>
    <w:rsid w:val="00702452"/>
    <w:rsid w:val="00702C49"/>
    <w:rsid w:val="00703CB0"/>
    <w:rsid w:val="00704631"/>
    <w:rsid w:val="00704B49"/>
    <w:rsid w:val="00704FCF"/>
    <w:rsid w:val="0070536B"/>
    <w:rsid w:val="00705B1A"/>
    <w:rsid w:val="00705E62"/>
    <w:rsid w:val="00705EC9"/>
    <w:rsid w:val="0070614B"/>
    <w:rsid w:val="0070615D"/>
    <w:rsid w:val="0070638E"/>
    <w:rsid w:val="00706581"/>
    <w:rsid w:val="007066AE"/>
    <w:rsid w:val="007069BD"/>
    <w:rsid w:val="00706F46"/>
    <w:rsid w:val="0070725B"/>
    <w:rsid w:val="0070774E"/>
    <w:rsid w:val="00707943"/>
    <w:rsid w:val="007100BC"/>
    <w:rsid w:val="0071012F"/>
    <w:rsid w:val="00711144"/>
    <w:rsid w:val="0071141A"/>
    <w:rsid w:val="0071199D"/>
    <w:rsid w:val="00712386"/>
    <w:rsid w:val="00712678"/>
    <w:rsid w:val="007135EB"/>
    <w:rsid w:val="00713C71"/>
    <w:rsid w:val="00714580"/>
    <w:rsid w:val="00714E75"/>
    <w:rsid w:val="007154B4"/>
    <w:rsid w:val="00716DEB"/>
    <w:rsid w:val="00716DF0"/>
    <w:rsid w:val="00717BAE"/>
    <w:rsid w:val="00717C4E"/>
    <w:rsid w:val="00717FA6"/>
    <w:rsid w:val="0072087D"/>
    <w:rsid w:val="00720941"/>
    <w:rsid w:val="0072140F"/>
    <w:rsid w:val="00721A8C"/>
    <w:rsid w:val="00721B33"/>
    <w:rsid w:val="0072263E"/>
    <w:rsid w:val="00723C94"/>
    <w:rsid w:val="00723D9A"/>
    <w:rsid w:val="00723ED7"/>
    <w:rsid w:val="007240E5"/>
    <w:rsid w:val="0072413D"/>
    <w:rsid w:val="00724501"/>
    <w:rsid w:val="00724CD7"/>
    <w:rsid w:val="00724FF0"/>
    <w:rsid w:val="00725D94"/>
    <w:rsid w:val="00726C88"/>
    <w:rsid w:val="0072734D"/>
    <w:rsid w:val="0073027E"/>
    <w:rsid w:val="007307EE"/>
    <w:rsid w:val="00730C58"/>
    <w:rsid w:val="00731593"/>
    <w:rsid w:val="007315D9"/>
    <w:rsid w:val="00731B43"/>
    <w:rsid w:val="00731C94"/>
    <w:rsid w:val="00731D90"/>
    <w:rsid w:val="007323F0"/>
    <w:rsid w:val="00732670"/>
    <w:rsid w:val="00733168"/>
    <w:rsid w:val="00733818"/>
    <w:rsid w:val="00734117"/>
    <w:rsid w:val="00734333"/>
    <w:rsid w:val="00734D7A"/>
    <w:rsid w:val="00735AEE"/>
    <w:rsid w:val="00735C1D"/>
    <w:rsid w:val="00735C43"/>
    <w:rsid w:val="00735CE3"/>
    <w:rsid w:val="00735FA0"/>
    <w:rsid w:val="00736111"/>
    <w:rsid w:val="0073619C"/>
    <w:rsid w:val="0073674F"/>
    <w:rsid w:val="00736890"/>
    <w:rsid w:val="00736F46"/>
    <w:rsid w:val="007373DD"/>
    <w:rsid w:val="00737A96"/>
    <w:rsid w:val="00737A97"/>
    <w:rsid w:val="00737B77"/>
    <w:rsid w:val="007401BD"/>
    <w:rsid w:val="0074081F"/>
    <w:rsid w:val="00741239"/>
    <w:rsid w:val="007418C2"/>
    <w:rsid w:val="00742066"/>
    <w:rsid w:val="007423D6"/>
    <w:rsid w:val="007426E4"/>
    <w:rsid w:val="00742904"/>
    <w:rsid w:val="00742C47"/>
    <w:rsid w:val="0074328D"/>
    <w:rsid w:val="00743E96"/>
    <w:rsid w:val="00743F2E"/>
    <w:rsid w:val="00744406"/>
    <w:rsid w:val="0074440C"/>
    <w:rsid w:val="0074442E"/>
    <w:rsid w:val="007447F9"/>
    <w:rsid w:val="00744AEA"/>
    <w:rsid w:val="0074516C"/>
    <w:rsid w:val="00745347"/>
    <w:rsid w:val="007458A8"/>
    <w:rsid w:val="0074684E"/>
    <w:rsid w:val="00746E01"/>
    <w:rsid w:val="00747386"/>
    <w:rsid w:val="00747A18"/>
    <w:rsid w:val="0075075C"/>
    <w:rsid w:val="0075102D"/>
    <w:rsid w:val="00751B75"/>
    <w:rsid w:val="0075285D"/>
    <w:rsid w:val="00752926"/>
    <w:rsid w:val="00752E8F"/>
    <w:rsid w:val="00752FF3"/>
    <w:rsid w:val="007534A9"/>
    <w:rsid w:val="00753FE1"/>
    <w:rsid w:val="00754005"/>
    <w:rsid w:val="00754F14"/>
    <w:rsid w:val="0075511E"/>
    <w:rsid w:val="0075589D"/>
    <w:rsid w:val="007560E9"/>
    <w:rsid w:val="00756897"/>
    <w:rsid w:val="007568C7"/>
    <w:rsid w:val="00756D2F"/>
    <w:rsid w:val="00756D73"/>
    <w:rsid w:val="00756FE2"/>
    <w:rsid w:val="00757A21"/>
    <w:rsid w:val="007610D2"/>
    <w:rsid w:val="007616CC"/>
    <w:rsid w:val="00762081"/>
    <w:rsid w:val="00762259"/>
    <w:rsid w:val="007622BA"/>
    <w:rsid w:val="007626E0"/>
    <w:rsid w:val="0076273F"/>
    <w:rsid w:val="0076276A"/>
    <w:rsid w:val="00762ABF"/>
    <w:rsid w:val="00762E6C"/>
    <w:rsid w:val="007639C4"/>
    <w:rsid w:val="00763B13"/>
    <w:rsid w:val="00763CB0"/>
    <w:rsid w:val="00763E78"/>
    <w:rsid w:val="00763F08"/>
    <w:rsid w:val="0076475A"/>
    <w:rsid w:val="007649D4"/>
    <w:rsid w:val="00764F1D"/>
    <w:rsid w:val="00765540"/>
    <w:rsid w:val="00765894"/>
    <w:rsid w:val="00765980"/>
    <w:rsid w:val="00765FFD"/>
    <w:rsid w:val="0076663F"/>
    <w:rsid w:val="00766BC0"/>
    <w:rsid w:val="007672DF"/>
    <w:rsid w:val="0076749E"/>
    <w:rsid w:val="00767810"/>
    <w:rsid w:val="00767E21"/>
    <w:rsid w:val="007701AB"/>
    <w:rsid w:val="00770B29"/>
    <w:rsid w:val="00770B3C"/>
    <w:rsid w:val="00770C0E"/>
    <w:rsid w:val="00770E86"/>
    <w:rsid w:val="00770FC1"/>
    <w:rsid w:val="007718A3"/>
    <w:rsid w:val="00771C8A"/>
    <w:rsid w:val="00772660"/>
    <w:rsid w:val="00772B5A"/>
    <w:rsid w:val="00772F90"/>
    <w:rsid w:val="0077312A"/>
    <w:rsid w:val="00773280"/>
    <w:rsid w:val="00773EE6"/>
    <w:rsid w:val="007752D5"/>
    <w:rsid w:val="0077569D"/>
    <w:rsid w:val="007760F2"/>
    <w:rsid w:val="007765C2"/>
    <w:rsid w:val="00776C9B"/>
    <w:rsid w:val="0077719F"/>
    <w:rsid w:val="00777AC4"/>
    <w:rsid w:val="00780526"/>
    <w:rsid w:val="007812E6"/>
    <w:rsid w:val="007814D0"/>
    <w:rsid w:val="00781669"/>
    <w:rsid w:val="00781966"/>
    <w:rsid w:val="00781D32"/>
    <w:rsid w:val="00781FB2"/>
    <w:rsid w:val="007823A4"/>
    <w:rsid w:val="00782534"/>
    <w:rsid w:val="007830DB"/>
    <w:rsid w:val="00783D77"/>
    <w:rsid w:val="00783F87"/>
    <w:rsid w:val="007841CF"/>
    <w:rsid w:val="0078426A"/>
    <w:rsid w:val="00784A73"/>
    <w:rsid w:val="00784F0D"/>
    <w:rsid w:val="00785606"/>
    <w:rsid w:val="00785621"/>
    <w:rsid w:val="00785E33"/>
    <w:rsid w:val="00785F4F"/>
    <w:rsid w:val="00786C9F"/>
    <w:rsid w:val="007872C7"/>
    <w:rsid w:val="00787320"/>
    <w:rsid w:val="00787CB5"/>
    <w:rsid w:val="00787E0F"/>
    <w:rsid w:val="007901BE"/>
    <w:rsid w:val="00790B1B"/>
    <w:rsid w:val="00790E6E"/>
    <w:rsid w:val="00790FC6"/>
    <w:rsid w:val="007910A0"/>
    <w:rsid w:val="0079128C"/>
    <w:rsid w:val="0079145B"/>
    <w:rsid w:val="00791C54"/>
    <w:rsid w:val="00791E56"/>
    <w:rsid w:val="00791F33"/>
    <w:rsid w:val="007925F7"/>
    <w:rsid w:val="00792E39"/>
    <w:rsid w:val="00793183"/>
    <w:rsid w:val="00793214"/>
    <w:rsid w:val="007935B3"/>
    <w:rsid w:val="00793B58"/>
    <w:rsid w:val="00794F3A"/>
    <w:rsid w:val="0079587C"/>
    <w:rsid w:val="00795B30"/>
    <w:rsid w:val="00796104"/>
    <w:rsid w:val="00796C61"/>
    <w:rsid w:val="00796F02"/>
    <w:rsid w:val="00797241"/>
    <w:rsid w:val="0079732C"/>
    <w:rsid w:val="007978E8"/>
    <w:rsid w:val="00797B1A"/>
    <w:rsid w:val="00797CEF"/>
    <w:rsid w:val="00797DB0"/>
    <w:rsid w:val="007A03F2"/>
    <w:rsid w:val="007A0DF6"/>
    <w:rsid w:val="007A0F6C"/>
    <w:rsid w:val="007A177D"/>
    <w:rsid w:val="007A19ED"/>
    <w:rsid w:val="007A2700"/>
    <w:rsid w:val="007A2A32"/>
    <w:rsid w:val="007A3EB3"/>
    <w:rsid w:val="007A42B8"/>
    <w:rsid w:val="007A4477"/>
    <w:rsid w:val="007A4587"/>
    <w:rsid w:val="007A4592"/>
    <w:rsid w:val="007A4BD3"/>
    <w:rsid w:val="007A53FF"/>
    <w:rsid w:val="007A596A"/>
    <w:rsid w:val="007A5D70"/>
    <w:rsid w:val="007A6673"/>
    <w:rsid w:val="007A736B"/>
    <w:rsid w:val="007A7BB5"/>
    <w:rsid w:val="007B06C8"/>
    <w:rsid w:val="007B0723"/>
    <w:rsid w:val="007B09EF"/>
    <w:rsid w:val="007B0EBF"/>
    <w:rsid w:val="007B2829"/>
    <w:rsid w:val="007B3102"/>
    <w:rsid w:val="007B3C4F"/>
    <w:rsid w:val="007B4A05"/>
    <w:rsid w:val="007B4B7D"/>
    <w:rsid w:val="007B4BEC"/>
    <w:rsid w:val="007B4F44"/>
    <w:rsid w:val="007B54FB"/>
    <w:rsid w:val="007B57DD"/>
    <w:rsid w:val="007B58B8"/>
    <w:rsid w:val="007B5DC5"/>
    <w:rsid w:val="007B5ECA"/>
    <w:rsid w:val="007B63B0"/>
    <w:rsid w:val="007B7056"/>
    <w:rsid w:val="007B70AA"/>
    <w:rsid w:val="007B7D5E"/>
    <w:rsid w:val="007B7EB4"/>
    <w:rsid w:val="007C059E"/>
    <w:rsid w:val="007C0756"/>
    <w:rsid w:val="007C0A7B"/>
    <w:rsid w:val="007C18F7"/>
    <w:rsid w:val="007C1F1D"/>
    <w:rsid w:val="007C2C6C"/>
    <w:rsid w:val="007C2D7F"/>
    <w:rsid w:val="007C3486"/>
    <w:rsid w:val="007C371B"/>
    <w:rsid w:val="007C394B"/>
    <w:rsid w:val="007C3B3D"/>
    <w:rsid w:val="007C41B8"/>
    <w:rsid w:val="007C46C8"/>
    <w:rsid w:val="007C486A"/>
    <w:rsid w:val="007C4897"/>
    <w:rsid w:val="007C4EF4"/>
    <w:rsid w:val="007C4FDE"/>
    <w:rsid w:val="007C5303"/>
    <w:rsid w:val="007C54E9"/>
    <w:rsid w:val="007C55D5"/>
    <w:rsid w:val="007C5A93"/>
    <w:rsid w:val="007C5F1E"/>
    <w:rsid w:val="007C667B"/>
    <w:rsid w:val="007C7270"/>
    <w:rsid w:val="007C7878"/>
    <w:rsid w:val="007C7B54"/>
    <w:rsid w:val="007C7C49"/>
    <w:rsid w:val="007D00C4"/>
    <w:rsid w:val="007D02B1"/>
    <w:rsid w:val="007D0B2C"/>
    <w:rsid w:val="007D1385"/>
    <w:rsid w:val="007D1BAA"/>
    <w:rsid w:val="007D1F49"/>
    <w:rsid w:val="007D39D0"/>
    <w:rsid w:val="007D494C"/>
    <w:rsid w:val="007D53E1"/>
    <w:rsid w:val="007D5527"/>
    <w:rsid w:val="007D55A0"/>
    <w:rsid w:val="007D57F4"/>
    <w:rsid w:val="007D5B82"/>
    <w:rsid w:val="007D5E5C"/>
    <w:rsid w:val="007D5EEC"/>
    <w:rsid w:val="007D6208"/>
    <w:rsid w:val="007D7469"/>
    <w:rsid w:val="007D7470"/>
    <w:rsid w:val="007D783D"/>
    <w:rsid w:val="007D7FE0"/>
    <w:rsid w:val="007E00EB"/>
    <w:rsid w:val="007E0ADD"/>
    <w:rsid w:val="007E0B99"/>
    <w:rsid w:val="007E0BE6"/>
    <w:rsid w:val="007E0FEA"/>
    <w:rsid w:val="007E1098"/>
    <w:rsid w:val="007E16B7"/>
    <w:rsid w:val="007E180D"/>
    <w:rsid w:val="007E1951"/>
    <w:rsid w:val="007E1A53"/>
    <w:rsid w:val="007E2056"/>
    <w:rsid w:val="007E2163"/>
    <w:rsid w:val="007E23CD"/>
    <w:rsid w:val="007E268C"/>
    <w:rsid w:val="007E2783"/>
    <w:rsid w:val="007E31C3"/>
    <w:rsid w:val="007E427D"/>
    <w:rsid w:val="007E4EAF"/>
    <w:rsid w:val="007E52A7"/>
    <w:rsid w:val="007E640A"/>
    <w:rsid w:val="007E6BC0"/>
    <w:rsid w:val="007E6CEA"/>
    <w:rsid w:val="007E6D7D"/>
    <w:rsid w:val="007E6F45"/>
    <w:rsid w:val="007F0156"/>
    <w:rsid w:val="007F04CC"/>
    <w:rsid w:val="007F052B"/>
    <w:rsid w:val="007F05E7"/>
    <w:rsid w:val="007F0734"/>
    <w:rsid w:val="007F0AB3"/>
    <w:rsid w:val="007F0E1B"/>
    <w:rsid w:val="007F1132"/>
    <w:rsid w:val="007F197E"/>
    <w:rsid w:val="007F1DE1"/>
    <w:rsid w:val="007F1E50"/>
    <w:rsid w:val="007F304A"/>
    <w:rsid w:val="007F33BB"/>
    <w:rsid w:val="007F35F3"/>
    <w:rsid w:val="007F4AA0"/>
    <w:rsid w:val="007F4DD1"/>
    <w:rsid w:val="007F4EFD"/>
    <w:rsid w:val="007F51AC"/>
    <w:rsid w:val="007F585D"/>
    <w:rsid w:val="007F595C"/>
    <w:rsid w:val="007F59D5"/>
    <w:rsid w:val="007F6238"/>
    <w:rsid w:val="007F66F0"/>
    <w:rsid w:val="007F6FD0"/>
    <w:rsid w:val="007F7342"/>
    <w:rsid w:val="007F73B8"/>
    <w:rsid w:val="007F759B"/>
    <w:rsid w:val="007F7705"/>
    <w:rsid w:val="00800004"/>
    <w:rsid w:val="00800A3D"/>
    <w:rsid w:val="00801658"/>
    <w:rsid w:val="0080225C"/>
    <w:rsid w:val="00802906"/>
    <w:rsid w:val="00802991"/>
    <w:rsid w:val="00802BA4"/>
    <w:rsid w:val="00803108"/>
    <w:rsid w:val="00803814"/>
    <w:rsid w:val="0080405B"/>
    <w:rsid w:val="00804255"/>
    <w:rsid w:val="00804491"/>
    <w:rsid w:val="00804517"/>
    <w:rsid w:val="0080489A"/>
    <w:rsid w:val="008049B2"/>
    <w:rsid w:val="00804DE5"/>
    <w:rsid w:val="008053C9"/>
    <w:rsid w:val="008057C8"/>
    <w:rsid w:val="008059A7"/>
    <w:rsid w:val="00805F37"/>
    <w:rsid w:val="00806482"/>
    <w:rsid w:val="00806FDC"/>
    <w:rsid w:val="008071D2"/>
    <w:rsid w:val="00807207"/>
    <w:rsid w:val="00807596"/>
    <w:rsid w:val="00807EE5"/>
    <w:rsid w:val="008106AA"/>
    <w:rsid w:val="00810A50"/>
    <w:rsid w:val="00810FCA"/>
    <w:rsid w:val="00811256"/>
    <w:rsid w:val="00811A25"/>
    <w:rsid w:val="00811F51"/>
    <w:rsid w:val="008120D7"/>
    <w:rsid w:val="008123E8"/>
    <w:rsid w:val="00812518"/>
    <w:rsid w:val="0081325C"/>
    <w:rsid w:val="008138EB"/>
    <w:rsid w:val="008148CB"/>
    <w:rsid w:val="00814D74"/>
    <w:rsid w:val="0081515F"/>
    <w:rsid w:val="0081568A"/>
    <w:rsid w:val="00816697"/>
    <w:rsid w:val="00816789"/>
    <w:rsid w:val="0081753E"/>
    <w:rsid w:val="008177BB"/>
    <w:rsid w:val="00817EDF"/>
    <w:rsid w:val="00820064"/>
    <w:rsid w:val="0082054F"/>
    <w:rsid w:val="0082056F"/>
    <w:rsid w:val="008207EB"/>
    <w:rsid w:val="0082109C"/>
    <w:rsid w:val="00821B9A"/>
    <w:rsid w:val="00821C16"/>
    <w:rsid w:val="00821E86"/>
    <w:rsid w:val="00822CF8"/>
    <w:rsid w:val="00822F48"/>
    <w:rsid w:val="0082328B"/>
    <w:rsid w:val="00823534"/>
    <w:rsid w:val="00823555"/>
    <w:rsid w:val="008239A7"/>
    <w:rsid w:val="0082488C"/>
    <w:rsid w:val="00824D06"/>
    <w:rsid w:val="00825194"/>
    <w:rsid w:val="008259CB"/>
    <w:rsid w:val="00826750"/>
    <w:rsid w:val="00827D47"/>
    <w:rsid w:val="008303CC"/>
    <w:rsid w:val="00830D8D"/>
    <w:rsid w:val="00830DC0"/>
    <w:rsid w:val="008320FF"/>
    <w:rsid w:val="00832239"/>
    <w:rsid w:val="00832B20"/>
    <w:rsid w:val="008339F8"/>
    <w:rsid w:val="008340E6"/>
    <w:rsid w:val="00835A49"/>
    <w:rsid w:val="008367AD"/>
    <w:rsid w:val="0084018C"/>
    <w:rsid w:val="008402F8"/>
    <w:rsid w:val="00840573"/>
    <w:rsid w:val="008412D1"/>
    <w:rsid w:val="00841481"/>
    <w:rsid w:val="008417C0"/>
    <w:rsid w:val="00841962"/>
    <w:rsid w:val="008422E2"/>
    <w:rsid w:val="008423BD"/>
    <w:rsid w:val="0084251F"/>
    <w:rsid w:val="00842F10"/>
    <w:rsid w:val="008430CA"/>
    <w:rsid w:val="00843853"/>
    <w:rsid w:val="00843D3A"/>
    <w:rsid w:val="00843FDC"/>
    <w:rsid w:val="0084409E"/>
    <w:rsid w:val="00844DA1"/>
    <w:rsid w:val="00844F8B"/>
    <w:rsid w:val="00845156"/>
    <w:rsid w:val="00845481"/>
    <w:rsid w:val="0084697E"/>
    <w:rsid w:val="00846DAA"/>
    <w:rsid w:val="008474B7"/>
    <w:rsid w:val="008475CF"/>
    <w:rsid w:val="00847703"/>
    <w:rsid w:val="00847853"/>
    <w:rsid w:val="00847903"/>
    <w:rsid w:val="00847DDC"/>
    <w:rsid w:val="0085080D"/>
    <w:rsid w:val="00850EE1"/>
    <w:rsid w:val="0085110B"/>
    <w:rsid w:val="00852036"/>
    <w:rsid w:val="008524AA"/>
    <w:rsid w:val="00852A2F"/>
    <w:rsid w:val="00853541"/>
    <w:rsid w:val="00853855"/>
    <w:rsid w:val="00853DDF"/>
    <w:rsid w:val="00854724"/>
    <w:rsid w:val="0085523B"/>
    <w:rsid w:val="00855307"/>
    <w:rsid w:val="00856AB7"/>
    <w:rsid w:val="00856B4B"/>
    <w:rsid w:val="008571E2"/>
    <w:rsid w:val="00857B47"/>
    <w:rsid w:val="0086075C"/>
    <w:rsid w:val="008609E7"/>
    <w:rsid w:val="00860B25"/>
    <w:rsid w:val="00860C25"/>
    <w:rsid w:val="00861037"/>
    <w:rsid w:val="00861479"/>
    <w:rsid w:val="00861729"/>
    <w:rsid w:val="008618B3"/>
    <w:rsid w:val="0086250E"/>
    <w:rsid w:val="00862E90"/>
    <w:rsid w:val="00862F2E"/>
    <w:rsid w:val="008636F9"/>
    <w:rsid w:val="008637AE"/>
    <w:rsid w:val="00863A25"/>
    <w:rsid w:val="00864B9D"/>
    <w:rsid w:val="00864C31"/>
    <w:rsid w:val="00864FFC"/>
    <w:rsid w:val="008651A5"/>
    <w:rsid w:val="00865291"/>
    <w:rsid w:val="00865719"/>
    <w:rsid w:val="00865770"/>
    <w:rsid w:val="00865823"/>
    <w:rsid w:val="008661A3"/>
    <w:rsid w:val="00866345"/>
    <w:rsid w:val="008663AC"/>
    <w:rsid w:val="008664AC"/>
    <w:rsid w:val="00866EA7"/>
    <w:rsid w:val="008677C3"/>
    <w:rsid w:val="008702EE"/>
    <w:rsid w:val="0087048A"/>
    <w:rsid w:val="00870958"/>
    <w:rsid w:val="00870EAC"/>
    <w:rsid w:val="008710B4"/>
    <w:rsid w:val="008712E1"/>
    <w:rsid w:val="00871702"/>
    <w:rsid w:val="00871894"/>
    <w:rsid w:val="008719E4"/>
    <w:rsid w:val="00872473"/>
    <w:rsid w:val="00872805"/>
    <w:rsid w:val="00872B63"/>
    <w:rsid w:val="00872B76"/>
    <w:rsid w:val="00873177"/>
    <w:rsid w:val="0087354B"/>
    <w:rsid w:val="008736D1"/>
    <w:rsid w:val="00874654"/>
    <w:rsid w:val="00874860"/>
    <w:rsid w:val="00875B53"/>
    <w:rsid w:val="00875D6B"/>
    <w:rsid w:val="00876E4C"/>
    <w:rsid w:val="0087737E"/>
    <w:rsid w:val="00877ECA"/>
    <w:rsid w:val="0088002B"/>
    <w:rsid w:val="00880AD8"/>
    <w:rsid w:val="00880BD3"/>
    <w:rsid w:val="00881125"/>
    <w:rsid w:val="00881526"/>
    <w:rsid w:val="00881876"/>
    <w:rsid w:val="0088196F"/>
    <w:rsid w:val="0088343B"/>
    <w:rsid w:val="00884AD6"/>
    <w:rsid w:val="00884C0D"/>
    <w:rsid w:val="00884D70"/>
    <w:rsid w:val="0088577B"/>
    <w:rsid w:val="0088625C"/>
    <w:rsid w:val="008863DF"/>
    <w:rsid w:val="00887131"/>
    <w:rsid w:val="008873ED"/>
    <w:rsid w:val="00887820"/>
    <w:rsid w:val="00887A4F"/>
    <w:rsid w:val="00887A97"/>
    <w:rsid w:val="00887C72"/>
    <w:rsid w:val="00887D74"/>
    <w:rsid w:val="00890D47"/>
    <w:rsid w:val="00891626"/>
    <w:rsid w:val="00891891"/>
    <w:rsid w:val="00891BBA"/>
    <w:rsid w:val="00891C13"/>
    <w:rsid w:val="00891FDB"/>
    <w:rsid w:val="00892138"/>
    <w:rsid w:val="008923F7"/>
    <w:rsid w:val="008924DA"/>
    <w:rsid w:val="00892963"/>
    <w:rsid w:val="00892F83"/>
    <w:rsid w:val="0089358F"/>
    <w:rsid w:val="0089386F"/>
    <w:rsid w:val="00893C80"/>
    <w:rsid w:val="0089444A"/>
    <w:rsid w:val="0089478C"/>
    <w:rsid w:val="008948E3"/>
    <w:rsid w:val="008949C0"/>
    <w:rsid w:val="00894D10"/>
    <w:rsid w:val="00894E04"/>
    <w:rsid w:val="00895126"/>
    <w:rsid w:val="00895138"/>
    <w:rsid w:val="00895D77"/>
    <w:rsid w:val="008960E2"/>
    <w:rsid w:val="00896976"/>
    <w:rsid w:val="00896E90"/>
    <w:rsid w:val="00897139"/>
    <w:rsid w:val="00897163"/>
    <w:rsid w:val="00897C87"/>
    <w:rsid w:val="00897D11"/>
    <w:rsid w:val="008A0253"/>
    <w:rsid w:val="008A0343"/>
    <w:rsid w:val="008A0384"/>
    <w:rsid w:val="008A058C"/>
    <w:rsid w:val="008A074C"/>
    <w:rsid w:val="008A0B70"/>
    <w:rsid w:val="008A0E0C"/>
    <w:rsid w:val="008A1066"/>
    <w:rsid w:val="008A21E8"/>
    <w:rsid w:val="008A26B3"/>
    <w:rsid w:val="008A31D6"/>
    <w:rsid w:val="008A3293"/>
    <w:rsid w:val="008A3566"/>
    <w:rsid w:val="008A4226"/>
    <w:rsid w:val="008A4568"/>
    <w:rsid w:val="008A465A"/>
    <w:rsid w:val="008A4A8B"/>
    <w:rsid w:val="008A522E"/>
    <w:rsid w:val="008A5C34"/>
    <w:rsid w:val="008A5D22"/>
    <w:rsid w:val="008A6102"/>
    <w:rsid w:val="008A6293"/>
    <w:rsid w:val="008A73FA"/>
    <w:rsid w:val="008A761B"/>
    <w:rsid w:val="008A7AC2"/>
    <w:rsid w:val="008B06EE"/>
    <w:rsid w:val="008B08E8"/>
    <w:rsid w:val="008B0F94"/>
    <w:rsid w:val="008B1569"/>
    <w:rsid w:val="008B17BE"/>
    <w:rsid w:val="008B19B3"/>
    <w:rsid w:val="008B23CC"/>
    <w:rsid w:val="008B2E64"/>
    <w:rsid w:val="008B35A1"/>
    <w:rsid w:val="008B391B"/>
    <w:rsid w:val="008B462C"/>
    <w:rsid w:val="008B551A"/>
    <w:rsid w:val="008B55CB"/>
    <w:rsid w:val="008B65C5"/>
    <w:rsid w:val="008B6DD2"/>
    <w:rsid w:val="008B7762"/>
    <w:rsid w:val="008B7C83"/>
    <w:rsid w:val="008B7DE9"/>
    <w:rsid w:val="008C05A9"/>
    <w:rsid w:val="008C0D8C"/>
    <w:rsid w:val="008C0D98"/>
    <w:rsid w:val="008C1038"/>
    <w:rsid w:val="008C11A8"/>
    <w:rsid w:val="008C1574"/>
    <w:rsid w:val="008C1932"/>
    <w:rsid w:val="008C1A9E"/>
    <w:rsid w:val="008C20A4"/>
    <w:rsid w:val="008C2DD8"/>
    <w:rsid w:val="008C30F5"/>
    <w:rsid w:val="008C31DB"/>
    <w:rsid w:val="008C3287"/>
    <w:rsid w:val="008C3AD9"/>
    <w:rsid w:val="008C3FCC"/>
    <w:rsid w:val="008C4513"/>
    <w:rsid w:val="008C4575"/>
    <w:rsid w:val="008C4881"/>
    <w:rsid w:val="008C5169"/>
    <w:rsid w:val="008C52E3"/>
    <w:rsid w:val="008C56AB"/>
    <w:rsid w:val="008C5EF8"/>
    <w:rsid w:val="008C6D5D"/>
    <w:rsid w:val="008C6D85"/>
    <w:rsid w:val="008C6D86"/>
    <w:rsid w:val="008C70A0"/>
    <w:rsid w:val="008C70A5"/>
    <w:rsid w:val="008C7356"/>
    <w:rsid w:val="008C79F6"/>
    <w:rsid w:val="008C7E3C"/>
    <w:rsid w:val="008D043D"/>
    <w:rsid w:val="008D082A"/>
    <w:rsid w:val="008D0BC0"/>
    <w:rsid w:val="008D0C88"/>
    <w:rsid w:val="008D0DCC"/>
    <w:rsid w:val="008D256E"/>
    <w:rsid w:val="008D3108"/>
    <w:rsid w:val="008D35BD"/>
    <w:rsid w:val="008D3702"/>
    <w:rsid w:val="008D3EFF"/>
    <w:rsid w:val="008D442D"/>
    <w:rsid w:val="008D4B30"/>
    <w:rsid w:val="008D4DD7"/>
    <w:rsid w:val="008D4F38"/>
    <w:rsid w:val="008D524B"/>
    <w:rsid w:val="008D525E"/>
    <w:rsid w:val="008D55F3"/>
    <w:rsid w:val="008D6856"/>
    <w:rsid w:val="008D6CD8"/>
    <w:rsid w:val="008D6D1D"/>
    <w:rsid w:val="008D6DF9"/>
    <w:rsid w:val="008D7B4A"/>
    <w:rsid w:val="008E040A"/>
    <w:rsid w:val="008E1323"/>
    <w:rsid w:val="008E1B73"/>
    <w:rsid w:val="008E1C6A"/>
    <w:rsid w:val="008E1CFC"/>
    <w:rsid w:val="008E238E"/>
    <w:rsid w:val="008E2960"/>
    <w:rsid w:val="008E2DD1"/>
    <w:rsid w:val="008E3002"/>
    <w:rsid w:val="008E3974"/>
    <w:rsid w:val="008E3EE4"/>
    <w:rsid w:val="008E427A"/>
    <w:rsid w:val="008E45D7"/>
    <w:rsid w:val="008E4B4C"/>
    <w:rsid w:val="008E5627"/>
    <w:rsid w:val="008E61F2"/>
    <w:rsid w:val="008E6369"/>
    <w:rsid w:val="008E797E"/>
    <w:rsid w:val="008E7F7F"/>
    <w:rsid w:val="008F0B9B"/>
    <w:rsid w:val="008F0F22"/>
    <w:rsid w:val="008F1869"/>
    <w:rsid w:val="008F1EE7"/>
    <w:rsid w:val="008F1F4E"/>
    <w:rsid w:val="008F2742"/>
    <w:rsid w:val="008F2985"/>
    <w:rsid w:val="008F2F93"/>
    <w:rsid w:val="008F3145"/>
    <w:rsid w:val="008F3294"/>
    <w:rsid w:val="008F3607"/>
    <w:rsid w:val="008F3BEB"/>
    <w:rsid w:val="008F428F"/>
    <w:rsid w:val="008F44F8"/>
    <w:rsid w:val="008F4513"/>
    <w:rsid w:val="008F4761"/>
    <w:rsid w:val="008F4857"/>
    <w:rsid w:val="008F5DD5"/>
    <w:rsid w:val="008F5EA7"/>
    <w:rsid w:val="008F5F2F"/>
    <w:rsid w:val="008F688D"/>
    <w:rsid w:val="008F6914"/>
    <w:rsid w:val="008F6A7D"/>
    <w:rsid w:val="008F7526"/>
    <w:rsid w:val="008F782B"/>
    <w:rsid w:val="008F7A83"/>
    <w:rsid w:val="008F7E3A"/>
    <w:rsid w:val="008F7E5E"/>
    <w:rsid w:val="0090042E"/>
    <w:rsid w:val="00901032"/>
    <w:rsid w:val="009026F2"/>
    <w:rsid w:val="009027D8"/>
    <w:rsid w:val="00902E4D"/>
    <w:rsid w:val="00902FCA"/>
    <w:rsid w:val="0090305B"/>
    <w:rsid w:val="00903125"/>
    <w:rsid w:val="00903313"/>
    <w:rsid w:val="009037DB"/>
    <w:rsid w:val="009039EE"/>
    <w:rsid w:val="00903F04"/>
    <w:rsid w:val="00903FA8"/>
    <w:rsid w:val="009045B5"/>
    <w:rsid w:val="00904D81"/>
    <w:rsid w:val="009052DF"/>
    <w:rsid w:val="00905A5C"/>
    <w:rsid w:val="00906054"/>
    <w:rsid w:val="0090653E"/>
    <w:rsid w:val="009066C0"/>
    <w:rsid w:val="009073F6"/>
    <w:rsid w:val="00910755"/>
    <w:rsid w:val="00910A12"/>
    <w:rsid w:val="009115B5"/>
    <w:rsid w:val="009117E9"/>
    <w:rsid w:val="00911F1D"/>
    <w:rsid w:val="00911F40"/>
    <w:rsid w:val="00912AED"/>
    <w:rsid w:val="0091390D"/>
    <w:rsid w:val="00913938"/>
    <w:rsid w:val="00913A57"/>
    <w:rsid w:val="00913ED4"/>
    <w:rsid w:val="0091410B"/>
    <w:rsid w:val="009147DF"/>
    <w:rsid w:val="00914A4A"/>
    <w:rsid w:val="00914CAE"/>
    <w:rsid w:val="00914E6A"/>
    <w:rsid w:val="00914EAA"/>
    <w:rsid w:val="00914F24"/>
    <w:rsid w:val="00914F9C"/>
    <w:rsid w:val="00915303"/>
    <w:rsid w:val="0091533E"/>
    <w:rsid w:val="00915639"/>
    <w:rsid w:val="0091584A"/>
    <w:rsid w:val="00915A1D"/>
    <w:rsid w:val="00916113"/>
    <w:rsid w:val="00916555"/>
    <w:rsid w:val="0091656E"/>
    <w:rsid w:val="009165E2"/>
    <w:rsid w:val="0091668E"/>
    <w:rsid w:val="00917187"/>
    <w:rsid w:val="009176D9"/>
    <w:rsid w:val="0091772F"/>
    <w:rsid w:val="00920529"/>
    <w:rsid w:val="009211BD"/>
    <w:rsid w:val="00921C59"/>
    <w:rsid w:val="0092215E"/>
    <w:rsid w:val="00922A28"/>
    <w:rsid w:val="00923231"/>
    <w:rsid w:val="009237FA"/>
    <w:rsid w:val="00923A63"/>
    <w:rsid w:val="00923E67"/>
    <w:rsid w:val="009243CB"/>
    <w:rsid w:val="00924507"/>
    <w:rsid w:val="00924536"/>
    <w:rsid w:val="00924843"/>
    <w:rsid w:val="00924870"/>
    <w:rsid w:val="00924AE7"/>
    <w:rsid w:val="00924E26"/>
    <w:rsid w:val="00924EF3"/>
    <w:rsid w:val="00926158"/>
    <w:rsid w:val="0092621B"/>
    <w:rsid w:val="009265A3"/>
    <w:rsid w:val="00926A9A"/>
    <w:rsid w:val="009300AA"/>
    <w:rsid w:val="009302F2"/>
    <w:rsid w:val="009306AB"/>
    <w:rsid w:val="00930A60"/>
    <w:rsid w:val="00930E9C"/>
    <w:rsid w:val="00931219"/>
    <w:rsid w:val="00931500"/>
    <w:rsid w:val="00931DE2"/>
    <w:rsid w:val="00931EF1"/>
    <w:rsid w:val="00932215"/>
    <w:rsid w:val="009327D4"/>
    <w:rsid w:val="00932947"/>
    <w:rsid w:val="00932CC4"/>
    <w:rsid w:val="0093300D"/>
    <w:rsid w:val="00933D9B"/>
    <w:rsid w:val="00934CC8"/>
    <w:rsid w:val="00934E29"/>
    <w:rsid w:val="00935215"/>
    <w:rsid w:val="0093529B"/>
    <w:rsid w:val="0093539E"/>
    <w:rsid w:val="00935CCB"/>
    <w:rsid w:val="0093625D"/>
    <w:rsid w:val="0093675E"/>
    <w:rsid w:val="0093705D"/>
    <w:rsid w:val="0093723F"/>
    <w:rsid w:val="00940B1F"/>
    <w:rsid w:val="00940CAC"/>
    <w:rsid w:val="00940E24"/>
    <w:rsid w:val="00940FC4"/>
    <w:rsid w:val="00941860"/>
    <w:rsid w:val="009418AB"/>
    <w:rsid w:val="009418F8"/>
    <w:rsid w:val="009427B3"/>
    <w:rsid w:val="00943294"/>
    <w:rsid w:val="00943311"/>
    <w:rsid w:val="00943AFC"/>
    <w:rsid w:val="00943B03"/>
    <w:rsid w:val="00943C7B"/>
    <w:rsid w:val="00943FA7"/>
    <w:rsid w:val="009442B1"/>
    <w:rsid w:val="0094544A"/>
    <w:rsid w:val="009454F0"/>
    <w:rsid w:val="009458D8"/>
    <w:rsid w:val="00945E3E"/>
    <w:rsid w:val="0094669E"/>
    <w:rsid w:val="009466CC"/>
    <w:rsid w:val="00946C06"/>
    <w:rsid w:val="00947BC1"/>
    <w:rsid w:val="00947E15"/>
    <w:rsid w:val="0095078B"/>
    <w:rsid w:val="00950BC7"/>
    <w:rsid w:val="009513B0"/>
    <w:rsid w:val="00951499"/>
    <w:rsid w:val="00951560"/>
    <w:rsid w:val="00951571"/>
    <w:rsid w:val="00952043"/>
    <w:rsid w:val="00952706"/>
    <w:rsid w:val="00952865"/>
    <w:rsid w:val="00952B8B"/>
    <w:rsid w:val="00952EA0"/>
    <w:rsid w:val="009532BB"/>
    <w:rsid w:val="00953915"/>
    <w:rsid w:val="00953BF7"/>
    <w:rsid w:val="0095437D"/>
    <w:rsid w:val="00954524"/>
    <w:rsid w:val="0095465F"/>
    <w:rsid w:val="00954789"/>
    <w:rsid w:val="009558F6"/>
    <w:rsid w:val="00955DE0"/>
    <w:rsid w:val="00955E24"/>
    <w:rsid w:val="0095601B"/>
    <w:rsid w:val="00956187"/>
    <w:rsid w:val="00957142"/>
    <w:rsid w:val="0095725C"/>
    <w:rsid w:val="0095776F"/>
    <w:rsid w:val="00957AE7"/>
    <w:rsid w:val="00957D51"/>
    <w:rsid w:val="00960195"/>
    <w:rsid w:val="00960AFC"/>
    <w:rsid w:val="00960B1F"/>
    <w:rsid w:val="00960BD7"/>
    <w:rsid w:val="00961660"/>
    <w:rsid w:val="0096189A"/>
    <w:rsid w:val="00961E49"/>
    <w:rsid w:val="00962C82"/>
    <w:rsid w:val="00962E8A"/>
    <w:rsid w:val="0096313D"/>
    <w:rsid w:val="00963272"/>
    <w:rsid w:val="00963825"/>
    <w:rsid w:val="00963B30"/>
    <w:rsid w:val="00964053"/>
    <w:rsid w:val="00964C24"/>
    <w:rsid w:val="0096508F"/>
    <w:rsid w:val="009653EF"/>
    <w:rsid w:val="009655F2"/>
    <w:rsid w:val="009660FC"/>
    <w:rsid w:val="009661F8"/>
    <w:rsid w:val="00966443"/>
    <w:rsid w:val="00966A3C"/>
    <w:rsid w:val="00966B58"/>
    <w:rsid w:val="00966C1A"/>
    <w:rsid w:val="00967132"/>
    <w:rsid w:val="009676C0"/>
    <w:rsid w:val="00967760"/>
    <w:rsid w:val="00970499"/>
    <w:rsid w:val="009704BD"/>
    <w:rsid w:val="00970A17"/>
    <w:rsid w:val="00970B31"/>
    <w:rsid w:val="00971648"/>
    <w:rsid w:val="00971D6B"/>
    <w:rsid w:val="00972050"/>
    <w:rsid w:val="0097245E"/>
    <w:rsid w:val="00972614"/>
    <w:rsid w:val="00972699"/>
    <w:rsid w:val="00972A9B"/>
    <w:rsid w:val="00973A4C"/>
    <w:rsid w:val="009740F7"/>
    <w:rsid w:val="00974544"/>
    <w:rsid w:val="009745C2"/>
    <w:rsid w:val="00974B26"/>
    <w:rsid w:val="00974FAB"/>
    <w:rsid w:val="009751BD"/>
    <w:rsid w:val="009759C2"/>
    <w:rsid w:val="00975B1E"/>
    <w:rsid w:val="009761CD"/>
    <w:rsid w:val="00976321"/>
    <w:rsid w:val="009767D0"/>
    <w:rsid w:val="009769E6"/>
    <w:rsid w:val="00976B63"/>
    <w:rsid w:val="00976F85"/>
    <w:rsid w:val="00977328"/>
    <w:rsid w:val="00977349"/>
    <w:rsid w:val="00977E27"/>
    <w:rsid w:val="0098002F"/>
    <w:rsid w:val="009801F7"/>
    <w:rsid w:val="00980BAB"/>
    <w:rsid w:val="00981500"/>
    <w:rsid w:val="00981B73"/>
    <w:rsid w:val="00981BA8"/>
    <w:rsid w:val="00981D56"/>
    <w:rsid w:val="00983180"/>
    <w:rsid w:val="00984162"/>
    <w:rsid w:val="00985282"/>
    <w:rsid w:val="009858B7"/>
    <w:rsid w:val="0098598C"/>
    <w:rsid w:val="009863B4"/>
    <w:rsid w:val="00986F65"/>
    <w:rsid w:val="00987075"/>
    <w:rsid w:val="0099002A"/>
    <w:rsid w:val="00991006"/>
    <w:rsid w:val="00991A78"/>
    <w:rsid w:val="00992C31"/>
    <w:rsid w:val="00992DDC"/>
    <w:rsid w:val="0099341F"/>
    <w:rsid w:val="00993FE8"/>
    <w:rsid w:val="00994663"/>
    <w:rsid w:val="00994715"/>
    <w:rsid w:val="00994B32"/>
    <w:rsid w:val="00994C1D"/>
    <w:rsid w:val="00994FED"/>
    <w:rsid w:val="0099526C"/>
    <w:rsid w:val="00995EF9"/>
    <w:rsid w:val="009964ED"/>
    <w:rsid w:val="00996BAF"/>
    <w:rsid w:val="00996EE7"/>
    <w:rsid w:val="0099754B"/>
    <w:rsid w:val="009978BB"/>
    <w:rsid w:val="009A000F"/>
    <w:rsid w:val="009A0609"/>
    <w:rsid w:val="009A0B27"/>
    <w:rsid w:val="009A0DC3"/>
    <w:rsid w:val="009A0F17"/>
    <w:rsid w:val="009A13EF"/>
    <w:rsid w:val="009A185D"/>
    <w:rsid w:val="009A1B33"/>
    <w:rsid w:val="009A1E7C"/>
    <w:rsid w:val="009A22E0"/>
    <w:rsid w:val="009A3334"/>
    <w:rsid w:val="009A33CA"/>
    <w:rsid w:val="009A3738"/>
    <w:rsid w:val="009A3BAA"/>
    <w:rsid w:val="009A3C82"/>
    <w:rsid w:val="009A3F21"/>
    <w:rsid w:val="009A4640"/>
    <w:rsid w:val="009A4D84"/>
    <w:rsid w:val="009A5D65"/>
    <w:rsid w:val="009A647F"/>
    <w:rsid w:val="009A6622"/>
    <w:rsid w:val="009A7561"/>
    <w:rsid w:val="009A7AEA"/>
    <w:rsid w:val="009B0540"/>
    <w:rsid w:val="009B0FDA"/>
    <w:rsid w:val="009B1741"/>
    <w:rsid w:val="009B1D3F"/>
    <w:rsid w:val="009B1DF6"/>
    <w:rsid w:val="009B23B1"/>
    <w:rsid w:val="009B2465"/>
    <w:rsid w:val="009B288B"/>
    <w:rsid w:val="009B3410"/>
    <w:rsid w:val="009B37FE"/>
    <w:rsid w:val="009B3ACF"/>
    <w:rsid w:val="009B43EF"/>
    <w:rsid w:val="009B4CC5"/>
    <w:rsid w:val="009B4E1E"/>
    <w:rsid w:val="009B50A8"/>
    <w:rsid w:val="009B5639"/>
    <w:rsid w:val="009B56AD"/>
    <w:rsid w:val="009B57D0"/>
    <w:rsid w:val="009B5DA3"/>
    <w:rsid w:val="009B5EF9"/>
    <w:rsid w:val="009B5FB8"/>
    <w:rsid w:val="009B62AF"/>
    <w:rsid w:val="009B6598"/>
    <w:rsid w:val="009B6A50"/>
    <w:rsid w:val="009B6E3A"/>
    <w:rsid w:val="009B7524"/>
    <w:rsid w:val="009B797A"/>
    <w:rsid w:val="009C04B5"/>
    <w:rsid w:val="009C174B"/>
    <w:rsid w:val="009C2404"/>
    <w:rsid w:val="009C2DFD"/>
    <w:rsid w:val="009C2F0C"/>
    <w:rsid w:val="009C31C7"/>
    <w:rsid w:val="009C321D"/>
    <w:rsid w:val="009C405D"/>
    <w:rsid w:val="009C41D6"/>
    <w:rsid w:val="009C4221"/>
    <w:rsid w:val="009C489C"/>
    <w:rsid w:val="009C4A2C"/>
    <w:rsid w:val="009C4B24"/>
    <w:rsid w:val="009C5D7C"/>
    <w:rsid w:val="009C5DFE"/>
    <w:rsid w:val="009C5F7A"/>
    <w:rsid w:val="009C60CE"/>
    <w:rsid w:val="009C62E7"/>
    <w:rsid w:val="009C65DB"/>
    <w:rsid w:val="009C6FE7"/>
    <w:rsid w:val="009C770E"/>
    <w:rsid w:val="009C792F"/>
    <w:rsid w:val="009C7D63"/>
    <w:rsid w:val="009D0B90"/>
    <w:rsid w:val="009D1B38"/>
    <w:rsid w:val="009D214D"/>
    <w:rsid w:val="009D2788"/>
    <w:rsid w:val="009D2BE3"/>
    <w:rsid w:val="009D33E0"/>
    <w:rsid w:val="009D359C"/>
    <w:rsid w:val="009D39F7"/>
    <w:rsid w:val="009D3E79"/>
    <w:rsid w:val="009D4033"/>
    <w:rsid w:val="009D4062"/>
    <w:rsid w:val="009D4210"/>
    <w:rsid w:val="009D49E7"/>
    <w:rsid w:val="009D50E5"/>
    <w:rsid w:val="009D5605"/>
    <w:rsid w:val="009D5E06"/>
    <w:rsid w:val="009D61BE"/>
    <w:rsid w:val="009D6653"/>
    <w:rsid w:val="009D6660"/>
    <w:rsid w:val="009D6781"/>
    <w:rsid w:val="009D6EFE"/>
    <w:rsid w:val="009D7150"/>
    <w:rsid w:val="009D738A"/>
    <w:rsid w:val="009D793F"/>
    <w:rsid w:val="009D7D88"/>
    <w:rsid w:val="009E021B"/>
    <w:rsid w:val="009E049B"/>
    <w:rsid w:val="009E0567"/>
    <w:rsid w:val="009E0932"/>
    <w:rsid w:val="009E12A8"/>
    <w:rsid w:val="009E1D69"/>
    <w:rsid w:val="009E1F0A"/>
    <w:rsid w:val="009E22F3"/>
    <w:rsid w:val="009E2379"/>
    <w:rsid w:val="009E2543"/>
    <w:rsid w:val="009E2724"/>
    <w:rsid w:val="009E2FE8"/>
    <w:rsid w:val="009E365D"/>
    <w:rsid w:val="009E3D27"/>
    <w:rsid w:val="009E4422"/>
    <w:rsid w:val="009E460A"/>
    <w:rsid w:val="009E48FF"/>
    <w:rsid w:val="009E525B"/>
    <w:rsid w:val="009E606A"/>
    <w:rsid w:val="009E6344"/>
    <w:rsid w:val="009E662D"/>
    <w:rsid w:val="009E6AA1"/>
    <w:rsid w:val="009E6B46"/>
    <w:rsid w:val="009E7140"/>
    <w:rsid w:val="009E7159"/>
    <w:rsid w:val="009E75F7"/>
    <w:rsid w:val="009E79DA"/>
    <w:rsid w:val="009E7ACA"/>
    <w:rsid w:val="009E7B5A"/>
    <w:rsid w:val="009E7BB1"/>
    <w:rsid w:val="009E7DA3"/>
    <w:rsid w:val="009F074A"/>
    <w:rsid w:val="009F0C9C"/>
    <w:rsid w:val="009F0FF4"/>
    <w:rsid w:val="009F111C"/>
    <w:rsid w:val="009F1123"/>
    <w:rsid w:val="009F1414"/>
    <w:rsid w:val="009F2A53"/>
    <w:rsid w:val="009F2D08"/>
    <w:rsid w:val="009F3076"/>
    <w:rsid w:val="009F311E"/>
    <w:rsid w:val="009F3C56"/>
    <w:rsid w:val="009F3C94"/>
    <w:rsid w:val="009F3D2A"/>
    <w:rsid w:val="009F3F16"/>
    <w:rsid w:val="009F4594"/>
    <w:rsid w:val="009F47BD"/>
    <w:rsid w:val="009F53B0"/>
    <w:rsid w:val="009F56C3"/>
    <w:rsid w:val="009F5C6E"/>
    <w:rsid w:val="009F5C87"/>
    <w:rsid w:val="009F6125"/>
    <w:rsid w:val="009F68C0"/>
    <w:rsid w:val="009F6C90"/>
    <w:rsid w:val="009F6E3A"/>
    <w:rsid w:val="009F6ED3"/>
    <w:rsid w:val="009F7589"/>
    <w:rsid w:val="009F7B2F"/>
    <w:rsid w:val="009F7D14"/>
    <w:rsid w:val="00A00510"/>
    <w:rsid w:val="00A006B4"/>
    <w:rsid w:val="00A0091E"/>
    <w:rsid w:val="00A00DDB"/>
    <w:rsid w:val="00A0164C"/>
    <w:rsid w:val="00A016AD"/>
    <w:rsid w:val="00A01D15"/>
    <w:rsid w:val="00A0228C"/>
    <w:rsid w:val="00A02559"/>
    <w:rsid w:val="00A030B5"/>
    <w:rsid w:val="00A0334A"/>
    <w:rsid w:val="00A03800"/>
    <w:rsid w:val="00A0396A"/>
    <w:rsid w:val="00A03E42"/>
    <w:rsid w:val="00A0450B"/>
    <w:rsid w:val="00A04E36"/>
    <w:rsid w:val="00A05010"/>
    <w:rsid w:val="00A0531A"/>
    <w:rsid w:val="00A05A0E"/>
    <w:rsid w:val="00A06DDF"/>
    <w:rsid w:val="00A06FFD"/>
    <w:rsid w:val="00A07386"/>
    <w:rsid w:val="00A10CA3"/>
    <w:rsid w:val="00A118CF"/>
    <w:rsid w:val="00A12AAF"/>
    <w:rsid w:val="00A12EF3"/>
    <w:rsid w:val="00A13454"/>
    <w:rsid w:val="00A13BFC"/>
    <w:rsid w:val="00A1408E"/>
    <w:rsid w:val="00A14825"/>
    <w:rsid w:val="00A14AF8"/>
    <w:rsid w:val="00A16B97"/>
    <w:rsid w:val="00A17C73"/>
    <w:rsid w:val="00A20748"/>
    <w:rsid w:val="00A2094F"/>
    <w:rsid w:val="00A2189B"/>
    <w:rsid w:val="00A21B31"/>
    <w:rsid w:val="00A22615"/>
    <w:rsid w:val="00A24523"/>
    <w:rsid w:val="00A24A48"/>
    <w:rsid w:val="00A24A65"/>
    <w:rsid w:val="00A25D8D"/>
    <w:rsid w:val="00A25EE8"/>
    <w:rsid w:val="00A260F1"/>
    <w:rsid w:val="00A26B7F"/>
    <w:rsid w:val="00A26DEC"/>
    <w:rsid w:val="00A26F93"/>
    <w:rsid w:val="00A271B5"/>
    <w:rsid w:val="00A278EC"/>
    <w:rsid w:val="00A27D8F"/>
    <w:rsid w:val="00A27E4A"/>
    <w:rsid w:val="00A30C04"/>
    <w:rsid w:val="00A30CF1"/>
    <w:rsid w:val="00A31287"/>
    <w:rsid w:val="00A31F33"/>
    <w:rsid w:val="00A31FB7"/>
    <w:rsid w:val="00A32228"/>
    <w:rsid w:val="00A32270"/>
    <w:rsid w:val="00A326B0"/>
    <w:rsid w:val="00A328F7"/>
    <w:rsid w:val="00A32DD7"/>
    <w:rsid w:val="00A32F76"/>
    <w:rsid w:val="00A331C0"/>
    <w:rsid w:val="00A34542"/>
    <w:rsid w:val="00A35277"/>
    <w:rsid w:val="00A355D3"/>
    <w:rsid w:val="00A35A6C"/>
    <w:rsid w:val="00A360E2"/>
    <w:rsid w:val="00A3617A"/>
    <w:rsid w:val="00A3618D"/>
    <w:rsid w:val="00A363A3"/>
    <w:rsid w:val="00A36877"/>
    <w:rsid w:val="00A3704C"/>
    <w:rsid w:val="00A370A4"/>
    <w:rsid w:val="00A37121"/>
    <w:rsid w:val="00A375EA"/>
    <w:rsid w:val="00A37B1B"/>
    <w:rsid w:val="00A37BBB"/>
    <w:rsid w:val="00A40138"/>
    <w:rsid w:val="00A40650"/>
    <w:rsid w:val="00A40919"/>
    <w:rsid w:val="00A40DBF"/>
    <w:rsid w:val="00A40ED3"/>
    <w:rsid w:val="00A41451"/>
    <w:rsid w:val="00A41589"/>
    <w:rsid w:val="00A41A40"/>
    <w:rsid w:val="00A41A83"/>
    <w:rsid w:val="00A41ABE"/>
    <w:rsid w:val="00A423A3"/>
    <w:rsid w:val="00A426D4"/>
    <w:rsid w:val="00A4289C"/>
    <w:rsid w:val="00A42B7E"/>
    <w:rsid w:val="00A42F61"/>
    <w:rsid w:val="00A4311C"/>
    <w:rsid w:val="00A43A30"/>
    <w:rsid w:val="00A43FDD"/>
    <w:rsid w:val="00A43FE7"/>
    <w:rsid w:val="00A4436C"/>
    <w:rsid w:val="00A443E3"/>
    <w:rsid w:val="00A4461F"/>
    <w:rsid w:val="00A44646"/>
    <w:rsid w:val="00A44CDE"/>
    <w:rsid w:val="00A45770"/>
    <w:rsid w:val="00A45DC5"/>
    <w:rsid w:val="00A45F45"/>
    <w:rsid w:val="00A4604B"/>
    <w:rsid w:val="00A46051"/>
    <w:rsid w:val="00A46ACD"/>
    <w:rsid w:val="00A46C6F"/>
    <w:rsid w:val="00A46F5F"/>
    <w:rsid w:val="00A470A4"/>
    <w:rsid w:val="00A47908"/>
    <w:rsid w:val="00A47D14"/>
    <w:rsid w:val="00A50596"/>
    <w:rsid w:val="00A50878"/>
    <w:rsid w:val="00A50CD2"/>
    <w:rsid w:val="00A50F8F"/>
    <w:rsid w:val="00A511DC"/>
    <w:rsid w:val="00A51576"/>
    <w:rsid w:val="00A51692"/>
    <w:rsid w:val="00A51B94"/>
    <w:rsid w:val="00A520EB"/>
    <w:rsid w:val="00A52780"/>
    <w:rsid w:val="00A52796"/>
    <w:rsid w:val="00A5281D"/>
    <w:rsid w:val="00A528BF"/>
    <w:rsid w:val="00A52A42"/>
    <w:rsid w:val="00A53943"/>
    <w:rsid w:val="00A53C03"/>
    <w:rsid w:val="00A53F73"/>
    <w:rsid w:val="00A554F7"/>
    <w:rsid w:val="00A557B1"/>
    <w:rsid w:val="00A55850"/>
    <w:rsid w:val="00A5594D"/>
    <w:rsid w:val="00A55ED5"/>
    <w:rsid w:val="00A55F90"/>
    <w:rsid w:val="00A56484"/>
    <w:rsid w:val="00A56716"/>
    <w:rsid w:val="00A56CB7"/>
    <w:rsid w:val="00A60435"/>
    <w:rsid w:val="00A605BD"/>
    <w:rsid w:val="00A60B97"/>
    <w:rsid w:val="00A60BCE"/>
    <w:rsid w:val="00A60D11"/>
    <w:rsid w:val="00A6121E"/>
    <w:rsid w:val="00A61F9F"/>
    <w:rsid w:val="00A6247E"/>
    <w:rsid w:val="00A62616"/>
    <w:rsid w:val="00A627A1"/>
    <w:rsid w:val="00A629C1"/>
    <w:rsid w:val="00A62BFE"/>
    <w:rsid w:val="00A62E44"/>
    <w:rsid w:val="00A639CA"/>
    <w:rsid w:val="00A63B83"/>
    <w:rsid w:val="00A63E46"/>
    <w:rsid w:val="00A64D41"/>
    <w:rsid w:val="00A65199"/>
    <w:rsid w:val="00A6585B"/>
    <w:rsid w:val="00A65D73"/>
    <w:rsid w:val="00A6670D"/>
    <w:rsid w:val="00A66CFE"/>
    <w:rsid w:val="00A66E2A"/>
    <w:rsid w:val="00A66F57"/>
    <w:rsid w:val="00A672D3"/>
    <w:rsid w:val="00A67473"/>
    <w:rsid w:val="00A67F34"/>
    <w:rsid w:val="00A70E3A"/>
    <w:rsid w:val="00A71158"/>
    <w:rsid w:val="00A725C9"/>
    <w:rsid w:val="00A72C4C"/>
    <w:rsid w:val="00A72EAB"/>
    <w:rsid w:val="00A7359F"/>
    <w:rsid w:val="00A736F6"/>
    <w:rsid w:val="00A73B6C"/>
    <w:rsid w:val="00A73CD3"/>
    <w:rsid w:val="00A73DAE"/>
    <w:rsid w:val="00A74002"/>
    <w:rsid w:val="00A747D7"/>
    <w:rsid w:val="00A74B4A"/>
    <w:rsid w:val="00A74E96"/>
    <w:rsid w:val="00A7576D"/>
    <w:rsid w:val="00A7583C"/>
    <w:rsid w:val="00A76241"/>
    <w:rsid w:val="00A763A5"/>
    <w:rsid w:val="00A76435"/>
    <w:rsid w:val="00A76956"/>
    <w:rsid w:val="00A77D81"/>
    <w:rsid w:val="00A77F5E"/>
    <w:rsid w:val="00A8035F"/>
    <w:rsid w:val="00A810B8"/>
    <w:rsid w:val="00A81917"/>
    <w:rsid w:val="00A81DE8"/>
    <w:rsid w:val="00A82250"/>
    <w:rsid w:val="00A83742"/>
    <w:rsid w:val="00A8378F"/>
    <w:rsid w:val="00A83B3C"/>
    <w:rsid w:val="00A840B5"/>
    <w:rsid w:val="00A842D2"/>
    <w:rsid w:val="00A843CE"/>
    <w:rsid w:val="00A8487D"/>
    <w:rsid w:val="00A85A80"/>
    <w:rsid w:val="00A871EE"/>
    <w:rsid w:val="00A873D1"/>
    <w:rsid w:val="00A90492"/>
    <w:rsid w:val="00A90956"/>
    <w:rsid w:val="00A9125C"/>
    <w:rsid w:val="00A91371"/>
    <w:rsid w:val="00A91FAB"/>
    <w:rsid w:val="00A925B1"/>
    <w:rsid w:val="00A93092"/>
    <w:rsid w:val="00A93C14"/>
    <w:rsid w:val="00A93D2D"/>
    <w:rsid w:val="00A940C2"/>
    <w:rsid w:val="00A94B5E"/>
    <w:rsid w:val="00A94ED6"/>
    <w:rsid w:val="00A957B5"/>
    <w:rsid w:val="00A95DB4"/>
    <w:rsid w:val="00A96024"/>
    <w:rsid w:val="00A9606C"/>
    <w:rsid w:val="00A965F0"/>
    <w:rsid w:val="00A96954"/>
    <w:rsid w:val="00A96C16"/>
    <w:rsid w:val="00A973A0"/>
    <w:rsid w:val="00A974A2"/>
    <w:rsid w:val="00A974DA"/>
    <w:rsid w:val="00AA0213"/>
    <w:rsid w:val="00AA12B9"/>
    <w:rsid w:val="00AA14E5"/>
    <w:rsid w:val="00AA1EA3"/>
    <w:rsid w:val="00AA211D"/>
    <w:rsid w:val="00AA22E8"/>
    <w:rsid w:val="00AA2EBB"/>
    <w:rsid w:val="00AA2F04"/>
    <w:rsid w:val="00AA2F68"/>
    <w:rsid w:val="00AA3DA3"/>
    <w:rsid w:val="00AA428A"/>
    <w:rsid w:val="00AA42D2"/>
    <w:rsid w:val="00AA45AD"/>
    <w:rsid w:val="00AA4EDC"/>
    <w:rsid w:val="00AA56C5"/>
    <w:rsid w:val="00AA5B62"/>
    <w:rsid w:val="00AA607C"/>
    <w:rsid w:val="00AA615E"/>
    <w:rsid w:val="00AA63C6"/>
    <w:rsid w:val="00AA6636"/>
    <w:rsid w:val="00AA6D4E"/>
    <w:rsid w:val="00AA72FD"/>
    <w:rsid w:val="00AA74C2"/>
    <w:rsid w:val="00AA7C53"/>
    <w:rsid w:val="00AA7E39"/>
    <w:rsid w:val="00AA7F96"/>
    <w:rsid w:val="00AB01DE"/>
    <w:rsid w:val="00AB04DC"/>
    <w:rsid w:val="00AB0660"/>
    <w:rsid w:val="00AB0751"/>
    <w:rsid w:val="00AB0B6C"/>
    <w:rsid w:val="00AB115B"/>
    <w:rsid w:val="00AB122C"/>
    <w:rsid w:val="00AB14D6"/>
    <w:rsid w:val="00AB1661"/>
    <w:rsid w:val="00AB1830"/>
    <w:rsid w:val="00AB1843"/>
    <w:rsid w:val="00AB1B21"/>
    <w:rsid w:val="00AB2832"/>
    <w:rsid w:val="00AB2E9F"/>
    <w:rsid w:val="00AB3150"/>
    <w:rsid w:val="00AB345E"/>
    <w:rsid w:val="00AB37DE"/>
    <w:rsid w:val="00AB3805"/>
    <w:rsid w:val="00AB3911"/>
    <w:rsid w:val="00AB3BBD"/>
    <w:rsid w:val="00AB501F"/>
    <w:rsid w:val="00AB53E2"/>
    <w:rsid w:val="00AB54CD"/>
    <w:rsid w:val="00AB6A6D"/>
    <w:rsid w:val="00AB6F20"/>
    <w:rsid w:val="00AB789F"/>
    <w:rsid w:val="00AB7A59"/>
    <w:rsid w:val="00AB7D17"/>
    <w:rsid w:val="00AB7F58"/>
    <w:rsid w:val="00AC00A4"/>
    <w:rsid w:val="00AC0470"/>
    <w:rsid w:val="00AC05E3"/>
    <w:rsid w:val="00AC0754"/>
    <w:rsid w:val="00AC09CB"/>
    <w:rsid w:val="00AC0DB4"/>
    <w:rsid w:val="00AC0EF0"/>
    <w:rsid w:val="00AC165C"/>
    <w:rsid w:val="00AC241A"/>
    <w:rsid w:val="00AC25B7"/>
    <w:rsid w:val="00AC2C4A"/>
    <w:rsid w:val="00AC2D27"/>
    <w:rsid w:val="00AC2DEE"/>
    <w:rsid w:val="00AC2E82"/>
    <w:rsid w:val="00AC3712"/>
    <w:rsid w:val="00AC3DA6"/>
    <w:rsid w:val="00AC470C"/>
    <w:rsid w:val="00AC4BF9"/>
    <w:rsid w:val="00AC50EC"/>
    <w:rsid w:val="00AC636A"/>
    <w:rsid w:val="00AC68FA"/>
    <w:rsid w:val="00AC6AD2"/>
    <w:rsid w:val="00AC7306"/>
    <w:rsid w:val="00AC7690"/>
    <w:rsid w:val="00AC7D33"/>
    <w:rsid w:val="00AD008F"/>
    <w:rsid w:val="00AD00A0"/>
    <w:rsid w:val="00AD03CE"/>
    <w:rsid w:val="00AD0E57"/>
    <w:rsid w:val="00AD0EB3"/>
    <w:rsid w:val="00AD0F60"/>
    <w:rsid w:val="00AD1766"/>
    <w:rsid w:val="00AD1FF8"/>
    <w:rsid w:val="00AD2A4D"/>
    <w:rsid w:val="00AD2E8C"/>
    <w:rsid w:val="00AD30AB"/>
    <w:rsid w:val="00AD3764"/>
    <w:rsid w:val="00AD3E03"/>
    <w:rsid w:val="00AD4649"/>
    <w:rsid w:val="00AD4D75"/>
    <w:rsid w:val="00AD4E30"/>
    <w:rsid w:val="00AD50EB"/>
    <w:rsid w:val="00AD5F0D"/>
    <w:rsid w:val="00AD6275"/>
    <w:rsid w:val="00AD646E"/>
    <w:rsid w:val="00AD6B11"/>
    <w:rsid w:val="00AD6FFD"/>
    <w:rsid w:val="00AD73A6"/>
    <w:rsid w:val="00AD77A4"/>
    <w:rsid w:val="00AD7A91"/>
    <w:rsid w:val="00AE02B5"/>
    <w:rsid w:val="00AE0391"/>
    <w:rsid w:val="00AE05E9"/>
    <w:rsid w:val="00AE0717"/>
    <w:rsid w:val="00AE09E2"/>
    <w:rsid w:val="00AE11DC"/>
    <w:rsid w:val="00AE157A"/>
    <w:rsid w:val="00AE1858"/>
    <w:rsid w:val="00AE1894"/>
    <w:rsid w:val="00AE1FAB"/>
    <w:rsid w:val="00AE2EC9"/>
    <w:rsid w:val="00AE31C1"/>
    <w:rsid w:val="00AE4A59"/>
    <w:rsid w:val="00AE4A85"/>
    <w:rsid w:val="00AE4CE7"/>
    <w:rsid w:val="00AE5171"/>
    <w:rsid w:val="00AE599B"/>
    <w:rsid w:val="00AE5C51"/>
    <w:rsid w:val="00AE6BD5"/>
    <w:rsid w:val="00AE72DF"/>
    <w:rsid w:val="00AE75C1"/>
    <w:rsid w:val="00AE77C5"/>
    <w:rsid w:val="00AE7A03"/>
    <w:rsid w:val="00AF0739"/>
    <w:rsid w:val="00AF0FC4"/>
    <w:rsid w:val="00AF135A"/>
    <w:rsid w:val="00AF21AC"/>
    <w:rsid w:val="00AF2338"/>
    <w:rsid w:val="00AF3622"/>
    <w:rsid w:val="00AF362F"/>
    <w:rsid w:val="00AF3E70"/>
    <w:rsid w:val="00AF4BE2"/>
    <w:rsid w:val="00AF51EC"/>
    <w:rsid w:val="00AF5338"/>
    <w:rsid w:val="00AF5820"/>
    <w:rsid w:val="00AF5D05"/>
    <w:rsid w:val="00AF6139"/>
    <w:rsid w:val="00AF619C"/>
    <w:rsid w:val="00AF63DD"/>
    <w:rsid w:val="00AF6CA3"/>
    <w:rsid w:val="00AF77BF"/>
    <w:rsid w:val="00AF7D9D"/>
    <w:rsid w:val="00B00D1F"/>
    <w:rsid w:val="00B00F12"/>
    <w:rsid w:val="00B016BE"/>
    <w:rsid w:val="00B0195A"/>
    <w:rsid w:val="00B01DA0"/>
    <w:rsid w:val="00B01EDF"/>
    <w:rsid w:val="00B02084"/>
    <w:rsid w:val="00B0229A"/>
    <w:rsid w:val="00B02FC1"/>
    <w:rsid w:val="00B031C7"/>
    <w:rsid w:val="00B03396"/>
    <w:rsid w:val="00B03B23"/>
    <w:rsid w:val="00B0432E"/>
    <w:rsid w:val="00B04E73"/>
    <w:rsid w:val="00B052BD"/>
    <w:rsid w:val="00B057FB"/>
    <w:rsid w:val="00B05A33"/>
    <w:rsid w:val="00B05D2C"/>
    <w:rsid w:val="00B05DC4"/>
    <w:rsid w:val="00B06329"/>
    <w:rsid w:val="00B06E8A"/>
    <w:rsid w:val="00B1003C"/>
    <w:rsid w:val="00B1052F"/>
    <w:rsid w:val="00B10E2E"/>
    <w:rsid w:val="00B11188"/>
    <w:rsid w:val="00B11582"/>
    <w:rsid w:val="00B1193A"/>
    <w:rsid w:val="00B11F03"/>
    <w:rsid w:val="00B12286"/>
    <w:rsid w:val="00B12B14"/>
    <w:rsid w:val="00B130EC"/>
    <w:rsid w:val="00B1372D"/>
    <w:rsid w:val="00B13D57"/>
    <w:rsid w:val="00B14B2B"/>
    <w:rsid w:val="00B154BA"/>
    <w:rsid w:val="00B157D3"/>
    <w:rsid w:val="00B15B8C"/>
    <w:rsid w:val="00B15BF6"/>
    <w:rsid w:val="00B169A3"/>
    <w:rsid w:val="00B17625"/>
    <w:rsid w:val="00B17930"/>
    <w:rsid w:val="00B215FD"/>
    <w:rsid w:val="00B21E91"/>
    <w:rsid w:val="00B222A9"/>
    <w:rsid w:val="00B22350"/>
    <w:rsid w:val="00B22707"/>
    <w:rsid w:val="00B228F5"/>
    <w:rsid w:val="00B22CE7"/>
    <w:rsid w:val="00B235D5"/>
    <w:rsid w:val="00B23B43"/>
    <w:rsid w:val="00B24779"/>
    <w:rsid w:val="00B25141"/>
    <w:rsid w:val="00B25FE3"/>
    <w:rsid w:val="00B27178"/>
    <w:rsid w:val="00B27AC3"/>
    <w:rsid w:val="00B27DE8"/>
    <w:rsid w:val="00B300DA"/>
    <w:rsid w:val="00B307F3"/>
    <w:rsid w:val="00B3088D"/>
    <w:rsid w:val="00B30A6D"/>
    <w:rsid w:val="00B3223F"/>
    <w:rsid w:val="00B323E9"/>
    <w:rsid w:val="00B3287E"/>
    <w:rsid w:val="00B32E36"/>
    <w:rsid w:val="00B3360B"/>
    <w:rsid w:val="00B337DA"/>
    <w:rsid w:val="00B337E7"/>
    <w:rsid w:val="00B33880"/>
    <w:rsid w:val="00B338E7"/>
    <w:rsid w:val="00B34208"/>
    <w:rsid w:val="00B34350"/>
    <w:rsid w:val="00B349C1"/>
    <w:rsid w:val="00B34EAD"/>
    <w:rsid w:val="00B35037"/>
    <w:rsid w:val="00B35833"/>
    <w:rsid w:val="00B35B24"/>
    <w:rsid w:val="00B35BBC"/>
    <w:rsid w:val="00B35F02"/>
    <w:rsid w:val="00B36147"/>
    <w:rsid w:val="00B363F6"/>
    <w:rsid w:val="00B3646A"/>
    <w:rsid w:val="00B36669"/>
    <w:rsid w:val="00B36862"/>
    <w:rsid w:val="00B36E16"/>
    <w:rsid w:val="00B373EB"/>
    <w:rsid w:val="00B37CB4"/>
    <w:rsid w:val="00B37EC0"/>
    <w:rsid w:val="00B40652"/>
    <w:rsid w:val="00B408DB"/>
    <w:rsid w:val="00B4093D"/>
    <w:rsid w:val="00B41316"/>
    <w:rsid w:val="00B4162B"/>
    <w:rsid w:val="00B41F9D"/>
    <w:rsid w:val="00B42021"/>
    <w:rsid w:val="00B42270"/>
    <w:rsid w:val="00B426BE"/>
    <w:rsid w:val="00B42D12"/>
    <w:rsid w:val="00B43C0D"/>
    <w:rsid w:val="00B44CA6"/>
    <w:rsid w:val="00B45164"/>
    <w:rsid w:val="00B45390"/>
    <w:rsid w:val="00B45404"/>
    <w:rsid w:val="00B463E0"/>
    <w:rsid w:val="00B468A7"/>
    <w:rsid w:val="00B47E24"/>
    <w:rsid w:val="00B500BA"/>
    <w:rsid w:val="00B50799"/>
    <w:rsid w:val="00B50B75"/>
    <w:rsid w:val="00B50CF5"/>
    <w:rsid w:val="00B517D2"/>
    <w:rsid w:val="00B5231E"/>
    <w:rsid w:val="00B52959"/>
    <w:rsid w:val="00B52A7A"/>
    <w:rsid w:val="00B530BF"/>
    <w:rsid w:val="00B537A9"/>
    <w:rsid w:val="00B5431B"/>
    <w:rsid w:val="00B54677"/>
    <w:rsid w:val="00B54E38"/>
    <w:rsid w:val="00B54F70"/>
    <w:rsid w:val="00B55740"/>
    <w:rsid w:val="00B55BCC"/>
    <w:rsid w:val="00B55BE6"/>
    <w:rsid w:val="00B56798"/>
    <w:rsid w:val="00B567F0"/>
    <w:rsid w:val="00B56B42"/>
    <w:rsid w:val="00B57041"/>
    <w:rsid w:val="00B570FE"/>
    <w:rsid w:val="00B57447"/>
    <w:rsid w:val="00B5771B"/>
    <w:rsid w:val="00B57797"/>
    <w:rsid w:val="00B5780F"/>
    <w:rsid w:val="00B601CE"/>
    <w:rsid w:val="00B602C9"/>
    <w:rsid w:val="00B60F59"/>
    <w:rsid w:val="00B61592"/>
    <w:rsid w:val="00B62AF7"/>
    <w:rsid w:val="00B62BFC"/>
    <w:rsid w:val="00B62E8E"/>
    <w:rsid w:val="00B62F54"/>
    <w:rsid w:val="00B642C9"/>
    <w:rsid w:val="00B645EA"/>
    <w:rsid w:val="00B64CD6"/>
    <w:rsid w:val="00B64F3B"/>
    <w:rsid w:val="00B64F6C"/>
    <w:rsid w:val="00B65142"/>
    <w:rsid w:val="00B65399"/>
    <w:rsid w:val="00B65CBE"/>
    <w:rsid w:val="00B65D5E"/>
    <w:rsid w:val="00B66299"/>
    <w:rsid w:val="00B67765"/>
    <w:rsid w:val="00B67F3D"/>
    <w:rsid w:val="00B70306"/>
    <w:rsid w:val="00B7040F"/>
    <w:rsid w:val="00B70C90"/>
    <w:rsid w:val="00B71826"/>
    <w:rsid w:val="00B71E11"/>
    <w:rsid w:val="00B72708"/>
    <w:rsid w:val="00B7273E"/>
    <w:rsid w:val="00B72F16"/>
    <w:rsid w:val="00B738BB"/>
    <w:rsid w:val="00B74D2D"/>
    <w:rsid w:val="00B74D89"/>
    <w:rsid w:val="00B74D96"/>
    <w:rsid w:val="00B74F0F"/>
    <w:rsid w:val="00B759D7"/>
    <w:rsid w:val="00B75AC7"/>
    <w:rsid w:val="00B75B31"/>
    <w:rsid w:val="00B77149"/>
    <w:rsid w:val="00B77745"/>
    <w:rsid w:val="00B8014B"/>
    <w:rsid w:val="00B8014C"/>
    <w:rsid w:val="00B806AE"/>
    <w:rsid w:val="00B807FD"/>
    <w:rsid w:val="00B81103"/>
    <w:rsid w:val="00B81C1D"/>
    <w:rsid w:val="00B82621"/>
    <w:rsid w:val="00B8370B"/>
    <w:rsid w:val="00B83D5C"/>
    <w:rsid w:val="00B83FA7"/>
    <w:rsid w:val="00B8490F"/>
    <w:rsid w:val="00B84BB5"/>
    <w:rsid w:val="00B84BE7"/>
    <w:rsid w:val="00B85878"/>
    <w:rsid w:val="00B85FAA"/>
    <w:rsid w:val="00B8612C"/>
    <w:rsid w:val="00B8622B"/>
    <w:rsid w:val="00B868C5"/>
    <w:rsid w:val="00B8694D"/>
    <w:rsid w:val="00B86BDA"/>
    <w:rsid w:val="00B86DCB"/>
    <w:rsid w:val="00B87739"/>
    <w:rsid w:val="00B87901"/>
    <w:rsid w:val="00B87BE6"/>
    <w:rsid w:val="00B87EF9"/>
    <w:rsid w:val="00B87FD2"/>
    <w:rsid w:val="00B90E30"/>
    <w:rsid w:val="00B90ECA"/>
    <w:rsid w:val="00B911BE"/>
    <w:rsid w:val="00B9167A"/>
    <w:rsid w:val="00B91922"/>
    <w:rsid w:val="00B91F70"/>
    <w:rsid w:val="00B922AA"/>
    <w:rsid w:val="00B92307"/>
    <w:rsid w:val="00B92A7B"/>
    <w:rsid w:val="00B92CEA"/>
    <w:rsid w:val="00B93846"/>
    <w:rsid w:val="00B939E1"/>
    <w:rsid w:val="00B94247"/>
    <w:rsid w:val="00B9484D"/>
    <w:rsid w:val="00B9504B"/>
    <w:rsid w:val="00B9516B"/>
    <w:rsid w:val="00B955A9"/>
    <w:rsid w:val="00B95941"/>
    <w:rsid w:val="00B95A59"/>
    <w:rsid w:val="00B9618F"/>
    <w:rsid w:val="00B96228"/>
    <w:rsid w:val="00B9697B"/>
    <w:rsid w:val="00B96C90"/>
    <w:rsid w:val="00B973B6"/>
    <w:rsid w:val="00B97408"/>
    <w:rsid w:val="00B97742"/>
    <w:rsid w:val="00B977B1"/>
    <w:rsid w:val="00BA0007"/>
    <w:rsid w:val="00BA09D9"/>
    <w:rsid w:val="00BA0AC9"/>
    <w:rsid w:val="00BA139B"/>
    <w:rsid w:val="00BA2092"/>
    <w:rsid w:val="00BA2218"/>
    <w:rsid w:val="00BA286B"/>
    <w:rsid w:val="00BA31B5"/>
    <w:rsid w:val="00BA31FF"/>
    <w:rsid w:val="00BA3674"/>
    <w:rsid w:val="00BA3697"/>
    <w:rsid w:val="00BA50F8"/>
    <w:rsid w:val="00BA5B2F"/>
    <w:rsid w:val="00BA5EDC"/>
    <w:rsid w:val="00BA79E5"/>
    <w:rsid w:val="00BA7CC1"/>
    <w:rsid w:val="00BB0DA9"/>
    <w:rsid w:val="00BB10E9"/>
    <w:rsid w:val="00BB1454"/>
    <w:rsid w:val="00BB1A37"/>
    <w:rsid w:val="00BB1FDA"/>
    <w:rsid w:val="00BB2C01"/>
    <w:rsid w:val="00BB2E8F"/>
    <w:rsid w:val="00BB30E8"/>
    <w:rsid w:val="00BB343E"/>
    <w:rsid w:val="00BB3473"/>
    <w:rsid w:val="00BB3578"/>
    <w:rsid w:val="00BB4558"/>
    <w:rsid w:val="00BB4D3C"/>
    <w:rsid w:val="00BB4F24"/>
    <w:rsid w:val="00BB5616"/>
    <w:rsid w:val="00BB6066"/>
    <w:rsid w:val="00BB613E"/>
    <w:rsid w:val="00BB7421"/>
    <w:rsid w:val="00BB74CD"/>
    <w:rsid w:val="00BB77C8"/>
    <w:rsid w:val="00BB7BA0"/>
    <w:rsid w:val="00BB7D21"/>
    <w:rsid w:val="00BB7D6C"/>
    <w:rsid w:val="00BC0023"/>
    <w:rsid w:val="00BC0B5B"/>
    <w:rsid w:val="00BC1763"/>
    <w:rsid w:val="00BC1774"/>
    <w:rsid w:val="00BC1951"/>
    <w:rsid w:val="00BC1C2B"/>
    <w:rsid w:val="00BC1CFA"/>
    <w:rsid w:val="00BC2166"/>
    <w:rsid w:val="00BC265F"/>
    <w:rsid w:val="00BC2C08"/>
    <w:rsid w:val="00BC3295"/>
    <w:rsid w:val="00BC3B10"/>
    <w:rsid w:val="00BC40E4"/>
    <w:rsid w:val="00BC447E"/>
    <w:rsid w:val="00BC4B0D"/>
    <w:rsid w:val="00BC4D42"/>
    <w:rsid w:val="00BC5B1F"/>
    <w:rsid w:val="00BC669E"/>
    <w:rsid w:val="00BC6B70"/>
    <w:rsid w:val="00BD0353"/>
    <w:rsid w:val="00BD0E1F"/>
    <w:rsid w:val="00BD1827"/>
    <w:rsid w:val="00BD1AA4"/>
    <w:rsid w:val="00BD1ADF"/>
    <w:rsid w:val="00BD1AE9"/>
    <w:rsid w:val="00BD1EE5"/>
    <w:rsid w:val="00BD26B0"/>
    <w:rsid w:val="00BD387F"/>
    <w:rsid w:val="00BD428E"/>
    <w:rsid w:val="00BD4353"/>
    <w:rsid w:val="00BD46E3"/>
    <w:rsid w:val="00BD4A0B"/>
    <w:rsid w:val="00BD4B6C"/>
    <w:rsid w:val="00BD5037"/>
    <w:rsid w:val="00BD64C6"/>
    <w:rsid w:val="00BD7984"/>
    <w:rsid w:val="00BD7AE5"/>
    <w:rsid w:val="00BE02C0"/>
    <w:rsid w:val="00BE0849"/>
    <w:rsid w:val="00BE1045"/>
    <w:rsid w:val="00BE1282"/>
    <w:rsid w:val="00BE1394"/>
    <w:rsid w:val="00BE1859"/>
    <w:rsid w:val="00BE26EE"/>
    <w:rsid w:val="00BE2D9D"/>
    <w:rsid w:val="00BE32ED"/>
    <w:rsid w:val="00BE343B"/>
    <w:rsid w:val="00BE374C"/>
    <w:rsid w:val="00BE3AD0"/>
    <w:rsid w:val="00BE4190"/>
    <w:rsid w:val="00BE4271"/>
    <w:rsid w:val="00BE42F7"/>
    <w:rsid w:val="00BE558A"/>
    <w:rsid w:val="00BE5621"/>
    <w:rsid w:val="00BE5F85"/>
    <w:rsid w:val="00BE6257"/>
    <w:rsid w:val="00BE632B"/>
    <w:rsid w:val="00BE67BD"/>
    <w:rsid w:val="00BE6B84"/>
    <w:rsid w:val="00BE6EA5"/>
    <w:rsid w:val="00BE71C9"/>
    <w:rsid w:val="00BE72C8"/>
    <w:rsid w:val="00BE7601"/>
    <w:rsid w:val="00BE79C7"/>
    <w:rsid w:val="00BE7B04"/>
    <w:rsid w:val="00BE7D46"/>
    <w:rsid w:val="00BE7F4E"/>
    <w:rsid w:val="00BF0211"/>
    <w:rsid w:val="00BF0415"/>
    <w:rsid w:val="00BF06E0"/>
    <w:rsid w:val="00BF0A48"/>
    <w:rsid w:val="00BF124D"/>
    <w:rsid w:val="00BF12CD"/>
    <w:rsid w:val="00BF2759"/>
    <w:rsid w:val="00BF32CA"/>
    <w:rsid w:val="00BF3303"/>
    <w:rsid w:val="00BF37E1"/>
    <w:rsid w:val="00BF3A1D"/>
    <w:rsid w:val="00BF3EA8"/>
    <w:rsid w:val="00BF4211"/>
    <w:rsid w:val="00BF4770"/>
    <w:rsid w:val="00BF5102"/>
    <w:rsid w:val="00BF5336"/>
    <w:rsid w:val="00BF6BE6"/>
    <w:rsid w:val="00BF786F"/>
    <w:rsid w:val="00C0124B"/>
    <w:rsid w:val="00C01593"/>
    <w:rsid w:val="00C02017"/>
    <w:rsid w:val="00C02DAB"/>
    <w:rsid w:val="00C030A7"/>
    <w:rsid w:val="00C03245"/>
    <w:rsid w:val="00C03784"/>
    <w:rsid w:val="00C03935"/>
    <w:rsid w:val="00C03E8B"/>
    <w:rsid w:val="00C04883"/>
    <w:rsid w:val="00C04976"/>
    <w:rsid w:val="00C04B14"/>
    <w:rsid w:val="00C04E5B"/>
    <w:rsid w:val="00C050B9"/>
    <w:rsid w:val="00C051FB"/>
    <w:rsid w:val="00C05474"/>
    <w:rsid w:val="00C05722"/>
    <w:rsid w:val="00C065D2"/>
    <w:rsid w:val="00C07002"/>
    <w:rsid w:val="00C0728E"/>
    <w:rsid w:val="00C07667"/>
    <w:rsid w:val="00C07755"/>
    <w:rsid w:val="00C07ED7"/>
    <w:rsid w:val="00C101B8"/>
    <w:rsid w:val="00C101F4"/>
    <w:rsid w:val="00C102BF"/>
    <w:rsid w:val="00C104EE"/>
    <w:rsid w:val="00C11E72"/>
    <w:rsid w:val="00C12817"/>
    <w:rsid w:val="00C1284D"/>
    <w:rsid w:val="00C129EA"/>
    <w:rsid w:val="00C12B43"/>
    <w:rsid w:val="00C12BC0"/>
    <w:rsid w:val="00C12E7F"/>
    <w:rsid w:val="00C139B0"/>
    <w:rsid w:val="00C13B61"/>
    <w:rsid w:val="00C13F13"/>
    <w:rsid w:val="00C148AD"/>
    <w:rsid w:val="00C14919"/>
    <w:rsid w:val="00C14B7E"/>
    <w:rsid w:val="00C14BFF"/>
    <w:rsid w:val="00C15309"/>
    <w:rsid w:val="00C15716"/>
    <w:rsid w:val="00C16547"/>
    <w:rsid w:val="00C167DA"/>
    <w:rsid w:val="00C16861"/>
    <w:rsid w:val="00C1696D"/>
    <w:rsid w:val="00C16F1B"/>
    <w:rsid w:val="00C174C3"/>
    <w:rsid w:val="00C177ED"/>
    <w:rsid w:val="00C17AB5"/>
    <w:rsid w:val="00C17B29"/>
    <w:rsid w:val="00C17D3D"/>
    <w:rsid w:val="00C17F83"/>
    <w:rsid w:val="00C204F0"/>
    <w:rsid w:val="00C20638"/>
    <w:rsid w:val="00C2086F"/>
    <w:rsid w:val="00C209CC"/>
    <w:rsid w:val="00C20CAF"/>
    <w:rsid w:val="00C20DB2"/>
    <w:rsid w:val="00C20F09"/>
    <w:rsid w:val="00C20FE1"/>
    <w:rsid w:val="00C21496"/>
    <w:rsid w:val="00C21836"/>
    <w:rsid w:val="00C218B0"/>
    <w:rsid w:val="00C219A2"/>
    <w:rsid w:val="00C21E54"/>
    <w:rsid w:val="00C21F54"/>
    <w:rsid w:val="00C2204A"/>
    <w:rsid w:val="00C2240C"/>
    <w:rsid w:val="00C22CA0"/>
    <w:rsid w:val="00C23743"/>
    <w:rsid w:val="00C24068"/>
    <w:rsid w:val="00C24E53"/>
    <w:rsid w:val="00C2500A"/>
    <w:rsid w:val="00C25622"/>
    <w:rsid w:val="00C2562E"/>
    <w:rsid w:val="00C25D8E"/>
    <w:rsid w:val="00C2625C"/>
    <w:rsid w:val="00C27735"/>
    <w:rsid w:val="00C27B19"/>
    <w:rsid w:val="00C27F29"/>
    <w:rsid w:val="00C30237"/>
    <w:rsid w:val="00C30EFE"/>
    <w:rsid w:val="00C31C0C"/>
    <w:rsid w:val="00C33B62"/>
    <w:rsid w:val="00C359C1"/>
    <w:rsid w:val="00C35A96"/>
    <w:rsid w:val="00C35AB7"/>
    <w:rsid w:val="00C35CCD"/>
    <w:rsid w:val="00C35F3D"/>
    <w:rsid w:val="00C3732F"/>
    <w:rsid w:val="00C376CD"/>
    <w:rsid w:val="00C376F5"/>
    <w:rsid w:val="00C379A7"/>
    <w:rsid w:val="00C37D67"/>
    <w:rsid w:val="00C40705"/>
    <w:rsid w:val="00C40D0A"/>
    <w:rsid w:val="00C40DBC"/>
    <w:rsid w:val="00C42242"/>
    <w:rsid w:val="00C431DA"/>
    <w:rsid w:val="00C43471"/>
    <w:rsid w:val="00C43A6D"/>
    <w:rsid w:val="00C44452"/>
    <w:rsid w:val="00C4486B"/>
    <w:rsid w:val="00C44A0E"/>
    <w:rsid w:val="00C44DB7"/>
    <w:rsid w:val="00C45147"/>
    <w:rsid w:val="00C4540F"/>
    <w:rsid w:val="00C45F35"/>
    <w:rsid w:val="00C47A87"/>
    <w:rsid w:val="00C47FFB"/>
    <w:rsid w:val="00C50B06"/>
    <w:rsid w:val="00C51072"/>
    <w:rsid w:val="00C510D9"/>
    <w:rsid w:val="00C516B2"/>
    <w:rsid w:val="00C518AC"/>
    <w:rsid w:val="00C52436"/>
    <w:rsid w:val="00C5244A"/>
    <w:rsid w:val="00C52973"/>
    <w:rsid w:val="00C5309B"/>
    <w:rsid w:val="00C53671"/>
    <w:rsid w:val="00C5387A"/>
    <w:rsid w:val="00C540DE"/>
    <w:rsid w:val="00C546DF"/>
    <w:rsid w:val="00C55362"/>
    <w:rsid w:val="00C55822"/>
    <w:rsid w:val="00C55D14"/>
    <w:rsid w:val="00C56BDE"/>
    <w:rsid w:val="00C56EEE"/>
    <w:rsid w:val="00C57308"/>
    <w:rsid w:val="00C57E8F"/>
    <w:rsid w:val="00C62809"/>
    <w:rsid w:val="00C62BA8"/>
    <w:rsid w:val="00C62D65"/>
    <w:rsid w:val="00C63268"/>
    <w:rsid w:val="00C63331"/>
    <w:rsid w:val="00C639BB"/>
    <w:rsid w:val="00C639C9"/>
    <w:rsid w:val="00C63C6B"/>
    <w:rsid w:val="00C64510"/>
    <w:rsid w:val="00C645C0"/>
    <w:rsid w:val="00C64A10"/>
    <w:rsid w:val="00C64E3A"/>
    <w:rsid w:val="00C64F12"/>
    <w:rsid w:val="00C65707"/>
    <w:rsid w:val="00C65C13"/>
    <w:rsid w:val="00C66585"/>
    <w:rsid w:val="00C6695A"/>
    <w:rsid w:val="00C66DA8"/>
    <w:rsid w:val="00C6700C"/>
    <w:rsid w:val="00C673D4"/>
    <w:rsid w:val="00C67996"/>
    <w:rsid w:val="00C700B7"/>
    <w:rsid w:val="00C70176"/>
    <w:rsid w:val="00C7022E"/>
    <w:rsid w:val="00C7035A"/>
    <w:rsid w:val="00C705B8"/>
    <w:rsid w:val="00C707EF"/>
    <w:rsid w:val="00C70C28"/>
    <w:rsid w:val="00C71747"/>
    <w:rsid w:val="00C71F40"/>
    <w:rsid w:val="00C7202F"/>
    <w:rsid w:val="00C729EF"/>
    <w:rsid w:val="00C72FBD"/>
    <w:rsid w:val="00C73B16"/>
    <w:rsid w:val="00C7413E"/>
    <w:rsid w:val="00C74573"/>
    <w:rsid w:val="00C748DA"/>
    <w:rsid w:val="00C74FBE"/>
    <w:rsid w:val="00C754A6"/>
    <w:rsid w:val="00C75694"/>
    <w:rsid w:val="00C75796"/>
    <w:rsid w:val="00C7588E"/>
    <w:rsid w:val="00C758FF"/>
    <w:rsid w:val="00C76023"/>
    <w:rsid w:val="00C76C9D"/>
    <w:rsid w:val="00C7784E"/>
    <w:rsid w:val="00C77A2E"/>
    <w:rsid w:val="00C80FF7"/>
    <w:rsid w:val="00C8129F"/>
    <w:rsid w:val="00C825FE"/>
    <w:rsid w:val="00C82DD6"/>
    <w:rsid w:val="00C82EA1"/>
    <w:rsid w:val="00C82FD3"/>
    <w:rsid w:val="00C837A3"/>
    <w:rsid w:val="00C840AD"/>
    <w:rsid w:val="00C84368"/>
    <w:rsid w:val="00C8454C"/>
    <w:rsid w:val="00C84B0A"/>
    <w:rsid w:val="00C858ED"/>
    <w:rsid w:val="00C859B8"/>
    <w:rsid w:val="00C85C2D"/>
    <w:rsid w:val="00C85CB5"/>
    <w:rsid w:val="00C85E1F"/>
    <w:rsid w:val="00C85ECD"/>
    <w:rsid w:val="00C86BD0"/>
    <w:rsid w:val="00C87552"/>
    <w:rsid w:val="00C90075"/>
    <w:rsid w:val="00C902D5"/>
    <w:rsid w:val="00C906F0"/>
    <w:rsid w:val="00C90855"/>
    <w:rsid w:val="00C90AC8"/>
    <w:rsid w:val="00C91104"/>
    <w:rsid w:val="00C91B8B"/>
    <w:rsid w:val="00C91EB7"/>
    <w:rsid w:val="00C932DD"/>
    <w:rsid w:val="00C93847"/>
    <w:rsid w:val="00C93BBD"/>
    <w:rsid w:val="00C9440F"/>
    <w:rsid w:val="00C94822"/>
    <w:rsid w:val="00C94B03"/>
    <w:rsid w:val="00C94EAA"/>
    <w:rsid w:val="00C95EC0"/>
    <w:rsid w:val="00C96343"/>
    <w:rsid w:val="00C964CD"/>
    <w:rsid w:val="00C96697"/>
    <w:rsid w:val="00C97012"/>
    <w:rsid w:val="00C9726A"/>
    <w:rsid w:val="00C97DD5"/>
    <w:rsid w:val="00CA004B"/>
    <w:rsid w:val="00CA00D4"/>
    <w:rsid w:val="00CA024E"/>
    <w:rsid w:val="00CA0A0B"/>
    <w:rsid w:val="00CA0D45"/>
    <w:rsid w:val="00CA1A3D"/>
    <w:rsid w:val="00CA1C98"/>
    <w:rsid w:val="00CA1C9E"/>
    <w:rsid w:val="00CA23DC"/>
    <w:rsid w:val="00CA23FF"/>
    <w:rsid w:val="00CA289B"/>
    <w:rsid w:val="00CA2A20"/>
    <w:rsid w:val="00CA2E45"/>
    <w:rsid w:val="00CA3251"/>
    <w:rsid w:val="00CA3958"/>
    <w:rsid w:val="00CA41E8"/>
    <w:rsid w:val="00CA420E"/>
    <w:rsid w:val="00CA5186"/>
    <w:rsid w:val="00CA5196"/>
    <w:rsid w:val="00CA538C"/>
    <w:rsid w:val="00CA5E6A"/>
    <w:rsid w:val="00CA693F"/>
    <w:rsid w:val="00CA6E1A"/>
    <w:rsid w:val="00CA7FD1"/>
    <w:rsid w:val="00CB02AD"/>
    <w:rsid w:val="00CB05C2"/>
    <w:rsid w:val="00CB07FF"/>
    <w:rsid w:val="00CB08CD"/>
    <w:rsid w:val="00CB0907"/>
    <w:rsid w:val="00CB0BF0"/>
    <w:rsid w:val="00CB146D"/>
    <w:rsid w:val="00CB1780"/>
    <w:rsid w:val="00CB2690"/>
    <w:rsid w:val="00CB2877"/>
    <w:rsid w:val="00CB297A"/>
    <w:rsid w:val="00CB2B60"/>
    <w:rsid w:val="00CB2D41"/>
    <w:rsid w:val="00CB30EC"/>
    <w:rsid w:val="00CB3102"/>
    <w:rsid w:val="00CB3BAB"/>
    <w:rsid w:val="00CB3CEB"/>
    <w:rsid w:val="00CB3CF2"/>
    <w:rsid w:val="00CB3FB4"/>
    <w:rsid w:val="00CB4069"/>
    <w:rsid w:val="00CB423E"/>
    <w:rsid w:val="00CB4376"/>
    <w:rsid w:val="00CB4874"/>
    <w:rsid w:val="00CB4C05"/>
    <w:rsid w:val="00CB4C4C"/>
    <w:rsid w:val="00CB4ECA"/>
    <w:rsid w:val="00CB5162"/>
    <w:rsid w:val="00CB526D"/>
    <w:rsid w:val="00CB5360"/>
    <w:rsid w:val="00CB5C1D"/>
    <w:rsid w:val="00CB5DFF"/>
    <w:rsid w:val="00CB655B"/>
    <w:rsid w:val="00CB6873"/>
    <w:rsid w:val="00CB6967"/>
    <w:rsid w:val="00CB7246"/>
    <w:rsid w:val="00CB7545"/>
    <w:rsid w:val="00CB7B02"/>
    <w:rsid w:val="00CB7C7B"/>
    <w:rsid w:val="00CB7D66"/>
    <w:rsid w:val="00CC029E"/>
    <w:rsid w:val="00CC0739"/>
    <w:rsid w:val="00CC10C6"/>
    <w:rsid w:val="00CC13DC"/>
    <w:rsid w:val="00CC149D"/>
    <w:rsid w:val="00CC1F41"/>
    <w:rsid w:val="00CC290D"/>
    <w:rsid w:val="00CC2DFB"/>
    <w:rsid w:val="00CC39BD"/>
    <w:rsid w:val="00CC3DC4"/>
    <w:rsid w:val="00CC4582"/>
    <w:rsid w:val="00CC487D"/>
    <w:rsid w:val="00CC56D9"/>
    <w:rsid w:val="00CC5A0E"/>
    <w:rsid w:val="00CC5B70"/>
    <w:rsid w:val="00CC5C2F"/>
    <w:rsid w:val="00CC6405"/>
    <w:rsid w:val="00CC6D20"/>
    <w:rsid w:val="00CC6EFE"/>
    <w:rsid w:val="00CC72AA"/>
    <w:rsid w:val="00CC7351"/>
    <w:rsid w:val="00CC7ED9"/>
    <w:rsid w:val="00CC7FDF"/>
    <w:rsid w:val="00CD044F"/>
    <w:rsid w:val="00CD0510"/>
    <w:rsid w:val="00CD0539"/>
    <w:rsid w:val="00CD1156"/>
    <w:rsid w:val="00CD205C"/>
    <w:rsid w:val="00CD21F3"/>
    <w:rsid w:val="00CD2518"/>
    <w:rsid w:val="00CD2649"/>
    <w:rsid w:val="00CD3219"/>
    <w:rsid w:val="00CD3242"/>
    <w:rsid w:val="00CD3D85"/>
    <w:rsid w:val="00CD4078"/>
    <w:rsid w:val="00CD47AE"/>
    <w:rsid w:val="00CD48AD"/>
    <w:rsid w:val="00CD52B7"/>
    <w:rsid w:val="00CD572C"/>
    <w:rsid w:val="00CD57DC"/>
    <w:rsid w:val="00CD5B43"/>
    <w:rsid w:val="00CD5B92"/>
    <w:rsid w:val="00CD6284"/>
    <w:rsid w:val="00CD63EF"/>
    <w:rsid w:val="00CD72B6"/>
    <w:rsid w:val="00CD74EB"/>
    <w:rsid w:val="00CD75EE"/>
    <w:rsid w:val="00CE0192"/>
    <w:rsid w:val="00CE02D7"/>
    <w:rsid w:val="00CE166F"/>
    <w:rsid w:val="00CE19CB"/>
    <w:rsid w:val="00CE1C81"/>
    <w:rsid w:val="00CE2272"/>
    <w:rsid w:val="00CE23F6"/>
    <w:rsid w:val="00CE2CB2"/>
    <w:rsid w:val="00CE35B7"/>
    <w:rsid w:val="00CE3978"/>
    <w:rsid w:val="00CE3B6E"/>
    <w:rsid w:val="00CE3D16"/>
    <w:rsid w:val="00CE3E31"/>
    <w:rsid w:val="00CE4587"/>
    <w:rsid w:val="00CE494E"/>
    <w:rsid w:val="00CE4C8E"/>
    <w:rsid w:val="00CE51DD"/>
    <w:rsid w:val="00CE5373"/>
    <w:rsid w:val="00CE5A87"/>
    <w:rsid w:val="00CE6068"/>
    <w:rsid w:val="00CE702C"/>
    <w:rsid w:val="00CF061D"/>
    <w:rsid w:val="00CF0847"/>
    <w:rsid w:val="00CF0B1A"/>
    <w:rsid w:val="00CF1032"/>
    <w:rsid w:val="00CF1182"/>
    <w:rsid w:val="00CF1746"/>
    <w:rsid w:val="00CF1AB4"/>
    <w:rsid w:val="00CF2C8B"/>
    <w:rsid w:val="00CF31FE"/>
    <w:rsid w:val="00CF3569"/>
    <w:rsid w:val="00CF35FF"/>
    <w:rsid w:val="00CF3E68"/>
    <w:rsid w:val="00CF44D8"/>
    <w:rsid w:val="00CF4884"/>
    <w:rsid w:val="00CF490C"/>
    <w:rsid w:val="00CF496C"/>
    <w:rsid w:val="00CF50EC"/>
    <w:rsid w:val="00CF542F"/>
    <w:rsid w:val="00CF58F7"/>
    <w:rsid w:val="00CF5BF5"/>
    <w:rsid w:val="00CF5C82"/>
    <w:rsid w:val="00CF63DE"/>
    <w:rsid w:val="00CF67D9"/>
    <w:rsid w:val="00CF6D51"/>
    <w:rsid w:val="00CF6E28"/>
    <w:rsid w:val="00CF6FF8"/>
    <w:rsid w:val="00CF722C"/>
    <w:rsid w:val="00CF791F"/>
    <w:rsid w:val="00D007FB"/>
    <w:rsid w:val="00D01166"/>
    <w:rsid w:val="00D015CB"/>
    <w:rsid w:val="00D01B7E"/>
    <w:rsid w:val="00D01E37"/>
    <w:rsid w:val="00D01FB2"/>
    <w:rsid w:val="00D02B94"/>
    <w:rsid w:val="00D02E92"/>
    <w:rsid w:val="00D0345F"/>
    <w:rsid w:val="00D037E7"/>
    <w:rsid w:val="00D04B50"/>
    <w:rsid w:val="00D05151"/>
    <w:rsid w:val="00D054CF"/>
    <w:rsid w:val="00D05A6C"/>
    <w:rsid w:val="00D05DD3"/>
    <w:rsid w:val="00D05F39"/>
    <w:rsid w:val="00D06055"/>
    <w:rsid w:val="00D06870"/>
    <w:rsid w:val="00D0693B"/>
    <w:rsid w:val="00D06B33"/>
    <w:rsid w:val="00D0704A"/>
    <w:rsid w:val="00D072B6"/>
    <w:rsid w:val="00D076FB"/>
    <w:rsid w:val="00D07A1F"/>
    <w:rsid w:val="00D07F8D"/>
    <w:rsid w:val="00D10887"/>
    <w:rsid w:val="00D109B4"/>
    <w:rsid w:val="00D11288"/>
    <w:rsid w:val="00D11506"/>
    <w:rsid w:val="00D127F1"/>
    <w:rsid w:val="00D12888"/>
    <w:rsid w:val="00D1326C"/>
    <w:rsid w:val="00D13FC5"/>
    <w:rsid w:val="00D143EE"/>
    <w:rsid w:val="00D1442D"/>
    <w:rsid w:val="00D14652"/>
    <w:rsid w:val="00D148B5"/>
    <w:rsid w:val="00D14E17"/>
    <w:rsid w:val="00D15077"/>
    <w:rsid w:val="00D15CCD"/>
    <w:rsid w:val="00D15D5F"/>
    <w:rsid w:val="00D15E50"/>
    <w:rsid w:val="00D15FB1"/>
    <w:rsid w:val="00D16043"/>
    <w:rsid w:val="00D170C4"/>
    <w:rsid w:val="00D17316"/>
    <w:rsid w:val="00D17C39"/>
    <w:rsid w:val="00D2065D"/>
    <w:rsid w:val="00D20C95"/>
    <w:rsid w:val="00D213FC"/>
    <w:rsid w:val="00D2149B"/>
    <w:rsid w:val="00D215BB"/>
    <w:rsid w:val="00D21666"/>
    <w:rsid w:val="00D217D0"/>
    <w:rsid w:val="00D21B12"/>
    <w:rsid w:val="00D223DA"/>
    <w:rsid w:val="00D2254E"/>
    <w:rsid w:val="00D2269B"/>
    <w:rsid w:val="00D227BA"/>
    <w:rsid w:val="00D22B7D"/>
    <w:rsid w:val="00D23332"/>
    <w:rsid w:val="00D23814"/>
    <w:rsid w:val="00D2402A"/>
    <w:rsid w:val="00D2496E"/>
    <w:rsid w:val="00D25FD9"/>
    <w:rsid w:val="00D263C6"/>
    <w:rsid w:val="00D269D2"/>
    <w:rsid w:val="00D26A14"/>
    <w:rsid w:val="00D272D4"/>
    <w:rsid w:val="00D278D4"/>
    <w:rsid w:val="00D27D8C"/>
    <w:rsid w:val="00D3000D"/>
    <w:rsid w:val="00D3048C"/>
    <w:rsid w:val="00D30CC1"/>
    <w:rsid w:val="00D32933"/>
    <w:rsid w:val="00D32D71"/>
    <w:rsid w:val="00D3337A"/>
    <w:rsid w:val="00D33394"/>
    <w:rsid w:val="00D336CF"/>
    <w:rsid w:val="00D33784"/>
    <w:rsid w:val="00D33842"/>
    <w:rsid w:val="00D33AD7"/>
    <w:rsid w:val="00D33F75"/>
    <w:rsid w:val="00D340D3"/>
    <w:rsid w:val="00D34EC9"/>
    <w:rsid w:val="00D35BDC"/>
    <w:rsid w:val="00D3662B"/>
    <w:rsid w:val="00D3700A"/>
    <w:rsid w:val="00D372B5"/>
    <w:rsid w:val="00D377F4"/>
    <w:rsid w:val="00D37828"/>
    <w:rsid w:val="00D403FF"/>
    <w:rsid w:val="00D405F0"/>
    <w:rsid w:val="00D40798"/>
    <w:rsid w:val="00D409E7"/>
    <w:rsid w:val="00D40FA7"/>
    <w:rsid w:val="00D411FF"/>
    <w:rsid w:val="00D41216"/>
    <w:rsid w:val="00D4133C"/>
    <w:rsid w:val="00D415F8"/>
    <w:rsid w:val="00D42758"/>
    <w:rsid w:val="00D427CA"/>
    <w:rsid w:val="00D434E7"/>
    <w:rsid w:val="00D43A3D"/>
    <w:rsid w:val="00D44B27"/>
    <w:rsid w:val="00D44FBC"/>
    <w:rsid w:val="00D450CC"/>
    <w:rsid w:val="00D459F0"/>
    <w:rsid w:val="00D45D5E"/>
    <w:rsid w:val="00D45E77"/>
    <w:rsid w:val="00D46DC9"/>
    <w:rsid w:val="00D503D7"/>
    <w:rsid w:val="00D50624"/>
    <w:rsid w:val="00D506F8"/>
    <w:rsid w:val="00D50ABE"/>
    <w:rsid w:val="00D50B4C"/>
    <w:rsid w:val="00D5100D"/>
    <w:rsid w:val="00D52593"/>
    <w:rsid w:val="00D52FC7"/>
    <w:rsid w:val="00D53202"/>
    <w:rsid w:val="00D53AE5"/>
    <w:rsid w:val="00D53BFC"/>
    <w:rsid w:val="00D540AE"/>
    <w:rsid w:val="00D542D1"/>
    <w:rsid w:val="00D54774"/>
    <w:rsid w:val="00D549EB"/>
    <w:rsid w:val="00D54E7C"/>
    <w:rsid w:val="00D54E86"/>
    <w:rsid w:val="00D5528E"/>
    <w:rsid w:val="00D55574"/>
    <w:rsid w:val="00D5561D"/>
    <w:rsid w:val="00D55825"/>
    <w:rsid w:val="00D5736F"/>
    <w:rsid w:val="00D574DC"/>
    <w:rsid w:val="00D605D3"/>
    <w:rsid w:val="00D60616"/>
    <w:rsid w:val="00D60E3A"/>
    <w:rsid w:val="00D610C7"/>
    <w:rsid w:val="00D61368"/>
    <w:rsid w:val="00D61665"/>
    <w:rsid w:val="00D619C2"/>
    <w:rsid w:val="00D61FE8"/>
    <w:rsid w:val="00D62FD5"/>
    <w:rsid w:val="00D632A1"/>
    <w:rsid w:val="00D63481"/>
    <w:rsid w:val="00D6379F"/>
    <w:rsid w:val="00D63C9E"/>
    <w:rsid w:val="00D63D1F"/>
    <w:rsid w:val="00D648C9"/>
    <w:rsid w:val="00D6534A"/>
    <w:rsid w:val="00D6574E"/>
    <w:rsid w:val="00D65A1C"/>
    <w:rsid w:val="00D6600E"/>
    <w:rsid w:val="00D6643D"/>
    <w:rsid w:val="00D6764F"/>
    <w:rsid w:val="00D678C6"/>
    <w:rsid w:val="00D67C92"/>
    <w:rsid w:val="00D67E08"/>
    <w:rsid w:val="00D70A47"/>
    <w:rsid w:val="00D70B9C"/>
    <w:rsid w:val="00D70D3E"/>
    <w:rsid w:val="00D714DD"/>
    <w:rsid w:val="00D71859"/>
    <w:rsid w:val="00D71B89"/>
    <w:rsid w:val="00D73519"/>
    <w:rsid w:val="00D735BD"/>
    <w:rsid w:val="00D7393B"/>
    <w:rsid w:val="00D739E5"/>
    <w:rsid w:val="00D73FA3"/>
    <w:rsid w:val="00D74A1C"/>
    <w:rsid w:val="00D74B26"/>
    <w:rsid w:val="00D74F9A"/>
    <w:rsid w:val="00D75291"/>
    <w:rsid w:val="00D7627D"/>
    <w:rsid w:val="00D7693E"/>
    <w:rsid w:val="00D769AD"/>
    <w:rsid w:val="00D76E81"/>
    <w:rsid w:val="00D770F3"/>
    <w:rsid w:val="00D778E9"/>
    <w:rsid w:val="00D77FE7"/>
    <w:rsid w:val="00D80059"/>
    <w:rsid w:val="00D80770"/>
    <w:rsid w:val="00D813F8"/>
    <w:rsid w:val="00D8179E"/>
    <w:rsid w:val="00D82338"/>
    <w:rsid w:val="00D8262C"/>
    <w:rsid w:val="00D82C9C"/>
    <w:rsid w:val="00D82E03"/>
    <w:rsid w:val="00D833B2"/>
    <w:rsid w:val="00D83410"/>
    <w:rsid w:val="00D83506"/>
    <w:rsid w:val="00D83A6A"/>
    <w:rsid w:val="00D83C0E"/>
    <w:rsid w:val="00D83D44"/>
    <w:rsid w:val="00D84884"/>
    <w:rsid w:val="00D849A0"/>
    <w:rsid w:val="00D85D42"/>
    <w:rsid w:val="00D86A14"/>
    <w:rsid w:val="00D86E8B"/>
    <w:rsid w:val="00D8781F"/>
    <w:rsid w:val="00D87826"/>
    <w:rsid w:val="00D8798D"/>
    <w:rsid w:val="00D87AEA"/>
    <w:rsid w:val="00D90242"/>
    <w:rsid w:val="00D9041C"/>
    <w:rsid w:val="00D90B71"/>
    <w:rsid w:val="00D90D87"/>
    <w:rsid w:val="00D91142"/>
    <w:rsid w:val="00D917B8"/>
    <w:rsid w:val="00D91B34"/>
    <w:rsid w:val="00D92295"/>
    <w:rsid w:val="00D92AE7"/>
    <w:rsid w:val="00D945B9"/>
    <w:rsid w:val="00D9481C"/>
    <w:rsid w:val="00D95970"/>
    <w:rsid w:val="00D960EB"/>
    <w:rsid w:val="00D96877"/>
    <w:rsid w:val="00D96A61"/>
    <w:rsid w:val="00D97B73"/>
    <w:rsid w:val="00DA011B"/>
    <w:rsid w:val="00DA0462"/>
    <w:rsid w:val="00DA0DF3"/>
    <w:rsid w:val="00DA1080"/>
    <w:rsid w:val="00DA10FD"/>
    <w:rsid w:val="00DA1152"/>
    <w:rsid w:val="00DA18D2"/>
    <w:rsid w:val="00DA1B82"/>
    <w:rsid w:val="00DA1D92"/>
    <w:rsid w:val="00DA1D93"/>
    <w:rsid w:val="00DA1EE7"/>
    <w:rsid w:val="00DA269D"/>
    <w:rsid w:val="00DA272E"/>
    <w:rsid w:val="00DA353A"/>
    <w:rsid w:val="00DA3F4C"/>
    <w:rsid w:val="00DA492D"/>
    <w:rsid w:val="00DA5166"/>
    <w:rsid w:val="00DA5CE0"/>
    <w:rsid w:val="00DA63B4"/>
    <w:rsid w:val="00DA6A36"/>
    <w:rsid w:val="00DA6BE3"/>
    <w:rsid w:val="00DA788D"/>
    <w:rsid w:val="00DA7ED3"/>
    <w:rsid w:val="00DA7F9A"/>
    <w:rsid w:val="00DB0C1E"/>
    <w:rsid w:val="00DB0C77"/>
    <w:rsid w:val="00DB0E98"/>
    <w:rsid w:val="00DB0EE7"/>
    <w:rsid w:val="00DB1437"/>
    <w:rsid w:val="00DB1CDB"/>
    <w:rsid w:val="00DB226A"/>
    <w:rsid w:val="00DB230C"/>
    <w:rsid w:val="00DB2AAE"/>
    <w:rsid w:val="00DB38CC"/>
    <w:rsid w:val="00DB3B0A"/>
    <w:rsid w:val="00DB433F"/>
    <w:rsid w:val="00DB45DE"/>
    <w:rsid w:val="00DB58D9"/>
    <w:rsid w:val="00DB5A79"/>
    <w:rsid w:val="00DB5FAD"/>
    <w:rsid w:val="00DB6007"/>
    <w:rsid w:val="00DB62CE"/>
    <w:rsid w:val="00DB6874"/>
    <w:rsid w:val="00DC0049"/>
    <w:rsid w:val="00DC02FA"/>
    <w:rsid w:val="00DC0467"/>
    <w:rsid w:val="00DC0898"/>
    <w:rsid w:val="00DC1081"/>
    <w:rsid w:val="00DC139E"/>
    <w:rsid w:val="00DC175F"/>
    <w:rsid w:val="00DC1B9E"/>
    <w:rsid w:val="00DC1C85"/>
    <w:rsid w:val="00DC252F"/>
    <w:rsid w:val="00DC302E"/>
    <w:rsid w:val="00DC320E"/>
    <w:rsid w:val="00DC4518"/>
    <w:rsid w:val="00DC5A3F"/>
    <w:rsid w:val="00DC6033"/>
    <w:rsid w:val="00DC689F"/>
    <w:rsid w:val="00DC6C34"/>
    <w:rsid w:val="00DC6C35"/>
    <w:rsid w:val="00DC729E"/>
    <w:rsid w:val="00DD017D"/>
    <w:rsid w:val="00DD076B"/>
    <w:rsid w:val="00DD1B31"/>
    <w:rsid w:val="00DD1DEC"/>
    <w:rsid w:val="00DD241A"/>
    <w:rsid w:val="00DD25C5"/>
    <w:rsid w:val="00DD278F"/>
    <w:rsid w:val="00DD2AA3"/>
    <w:rsid w:val="00DD31BC"/>
    <w:rsid w:val="00DD342E"/>
    <w:rsid w:val="00DD36B1"/>
    <w:rsid w:val="00DD3855"/>
    <w:rsid w:val="00DD4303"/>
    <w:rsid w:val="00DD4837"/>
    <w:rsid w:val="00DD4ED3"/>
    <w:rsid w:val="00DD531A"/>
    <w:rsid w:val="00DE06F0"/>
    <w:rsid w:val="00DE0C04"/>
    <w:rsid w:val="00DE1023"/>
    <w:rsid w:val="00DE1C67"/>
    <w:rsid w:val="00DE226A"/>
    <w:rsid w:val="00DE28E4"/>
    <w:rsid w:val="00DE2A4E"/>
    <w:rsid w:val="00DE35E3"/>
    <w:rsid w:val="00DE3780"/>
    <w:rsid w:val="00DE4868"/>
    <w:rsid w:val="00DE4AC3"/>
    <w:rsid w:val="00DE4F60"/>
    <w:rsid w:val="00DE6144"/>
    <w:rsid w:val="00DE6921"/>
    <w:rsid w:val="00DE69B0"/>
    <w:rsid w:val="00DE6BBA"/>
    <w:rsid w:val="00DE6D6B"/>
    <w:rsid w:val="00DE720B"/>
    <w:rsid w:val="00DE7440"/>
    <w:rsid w:val="00DE75D3"/>
    <w:rsid w:val="00DE796A"/>
    <w:rsid w:val="00DE7A5D"/>
    <w:rsid w:val="00DF0053"/>
    <w:rsid w:val="00DF04AC"/>
    <w:rsid w:val="00DF04CB"/>
    <w:rsid w:val="00DF050F"/>
    <w:rsid w:val="00DF0847"/>
    <w:rsid w:val="00DF0A4B"/>
    <w:rsid w:val="00DF0C41"/>
    <w:rsid w:val="00DF13B8"/>
    <w:rsid w:val="00DF1C50"/>
    <w:rsid w:val="00DF1CB6"/>
    <w:rsid w:val="00DF21DB"/>
    <w:rsid w:val="00DF2308"/>
    <w:rsid w:val="00DF2336"/>
    <w:rsid w:val="00DF2C34"/>
    <w:rsid w:val="00DF2FFF"/>
    <w:rsid w:val="00DF300F"/>
    <w:rsid w:val="00DF492A"/>
    <w:rsid w:val="00DF49F8"/>
    <w:rsid w:val="00DF51A8"/>
    <w:rsid w:val="00DF6031"/>
    <w:rsid w:val="00DF6661"/>
    <w:rsid w:val="00DF6CA0"/>
    <w:rsid w:val="00DF7AA1"/>
    <w:rsid w:val="00E000EB"/>
    <w:rsid w:val="00E001D1"/>
    <w:rsid w:val="00E0042D"/>
    <w:rsid w:val="00E00BFF"/>
    <w:rsid w:val="00E00E28"/>
    <w:rsid w:val="00E01403"/>
    <w:rsid w:val="00E01AAD"/>
    <w:rsid w:val="00E01BE1"/>
    <w:rsid w:val="00E029F8"/>
    <w:rsid w:val="00E02C32"/>
    <w:rsid w:val="00E02C66"/>
    <w:rsid w:val="00E02D5E"/>
    <w:rsid w:val="00E0350B"/>
    <w:rsid w:val="00E03EA4"/>
    <w:rsid w:val="00E05C60"/>
    <w:rsid w:val="00E063CF"/>
    <w:rsid w:val="00E068A1"/>
    <w:rsid w:val="00E0731E"/>
    <w:rsid w:val="00E07D69"/>
    <w:rsid w:val="00E07EA3"/>
    <w:rsid w:val="00E10052"/>
    <w:rsid w:val="00E10605"/>
    <w:rsid w:val="00E1089F"/>
    <w:rsid w:val="00E10F36"/>
    <w:rsid w:val="00E114C5"/>
    <w:rsid w:val="00E11576"/>
    <w:rsid w:val="00E11BDB"/>
    <w:rsid w:val="00E1213B"/>
    <w:rsid w:val="00E121F9"/>
    <w:rsid w:val="00E124A8"/>
    <w:rsid w:val="00E124CE"/>
    <w:rsid w:val="00E131F4"/>
    <w:rsid w:val="00E13DBE"/>
    <w:rsid w:val="00E1405F"/>
    <w:rsid w:val="00E14124"/>
    <w:rsid w:val="00E1463D"/>
    <w:rsid w:val="00E14A0A"/>
    <w:rsid w:val="00E14A7B"/>
    <w:rsid w:val="00E14B62"/>
    <w:rsid w:val="00E14BFB"/>
    <w:rsid w:val="00E14F63"/>
    <w:rsid w:val="00E15149"/>
    <w:rsid w:val="00E15541"/>
    <w:rsid w:val="00E15960"/>
    <w:rsid w:val="00E15D0A"/>
    <w:rsid w:val="00E161B0"/>
    <w:rsid w:val="00E16662"/>
    <w:rsid w:val="00E16692"/>
    <w:rsid w:val="00E1680A"/>
    <w:rsid w:val="00E169AD"/>
    <w:rsid w:val="00E16AFC"/>
    <w:rsid w:val="00E178F5"/>
    <w:rsid w:val="00E17974"/>
    <w:rsid w:val="00E17A9F"/>
    <w:rsid w:val="00E2005D"/>
    <w:rsid w:val="00E20259"/>
    <w:rsid w:val="00E20260"/>
    <w:rsid w:val="00E2077D"/>
    <w:rsid w:val="00E208A2"/>
    <w:rsid w:val="00E20D93"/>
    <w:rsid w:val="00E20E5D"/>
    <w:rsid w:val="00E21007"/>
    <w:rsid w:val="00E21043"/>
    <w:rsid w:val="00E21255"/>
    <w:rsid w:val="00E216FF"/>
    <w:rsid w:val="00E2193F"/>
    <w:rsid w:val="00E21E0F"/>
    <w:rsid w:val="00E21EC2"/>
    <w:rsid w:val="00E22273"/>
    <w:rsid w:val="00E22461"/>
    <w:rsid w:val="00E22596"/>
    <w:rsid w:val="00E22FE5"/>
    <w:rsid w:val="00E23948"/>
    <w:rsid w:val="00E241F6"/>
    <w:rsid w:val="00E24474"/>
    <w:rsid w:val="00E25927"/>
    <w:rsid w:val="00E25CB4"/>
    <w:rsid w:val="00E2635E"/>
    <w:rsid w:val="00E265C6"/>
    <w:rsid w:val="00E26AE1"/>
    <w:rsid w:val="00E26BAE"/>
    <w:rsid w:val="00E26CD9"/>
    <w:rsid w:val="00E26F20"/>
    <w:rsid w:val="00E2795C"/>
    <w:rsid w:val="00E305FC"/>
    <w:rsid w:val="00E30ACE"/>
    <w:rsid w:val="00E30DDF"/>
    <w:rsid w:val="00E312CF"/>
    <w:rsid w:val="00E31A2B"/>
    <w:rsid w:val="00E321B5"/>
    <w:rsid w:val="00E3233F"/>
    <w:rsid w:val="00E32948"/>
    <w:rsid w:val="00E3303C"/>
    <w:rsid w:val="00E33B38"/>
    <w:rsid w:val="00E33D8D"/>
    <w:rsid w:val="00E3444D"/>
    <w:rsid w:val="00E34AE8"/>
    <w:rsid w:val="00E3549F"/>
    <w:rsid w:val="00E359DF"/>
    <w:rsid w:val="00E359F7"/>
    <w:rsid w:val="00E35A65"/>
    <w:rsid w:val="00E36ECA"/>
    <w:rsid w:val="00E37A00"/>
    <w:rsid w:val="00E37A8F"/>
    <w:rsid w:val="00E37C5E"/>
    <w:rsid w:val="00E4004B"/>
    <w:rsid w:val="00E40B2D"/>
    <w:rsid w:val="00E4129C"/>
    <w:rsid w:val="00E413AD"/>
    <w:rsid w:val="00E41792"/>
    <w:rsid w:val="00E41B71"/>
    <w:rsid w:val="00E428E1"/>
    <w:rsid w:val="00E42F97"/>
    <w:rsid w:val="00E43847"/>
    <w:rsid w:val="00E43BB4"/>
    <w:rsid w:val="00E4406E"/>
    <w:rsid w:val="00E446C1"/>
    <w:rsid w:val="00E453CA"/>
    <w:rsid w:val="00E459CB"/>
    <w:rsid w:val="00E462A6"/>
    <w:rsid w:val="00E462D3"/>
    <w:rsid w:val="00E46A28"/>
    <w:rsid w:val="00E46D6E"/>
    <w:rsid w:val="00E47237"/>
    <w:rsid w:val="00E473E6"/>
    <w:rsid w:val="00E473F0"/>
    <w:rsid w:val="00E4747B"/>
    <w:rsid w:val="00E47584"/>
    <w:rsid w:val="00E47611"/>
    <w:rsid w:val="00E47FA6"/>
    <w:rsid w:val="00E50D71"/>
    <w:rsid w:val="00E50ED0"/>
    <w:rsid w:val="00E5108A"/>
    <w:rsid w:val="00E51199"/>
    <w:rsid w:val="00E511E9"/>
    <w:rsid w:val="00E512C1"/>
    <w:rsid w:val="00E513DE"/>
    <w:rsid w:val="00E51AAD"/>
    <w:rsid w:val="00E51B0E"/>
    <w:rsid w:val="00E52239"/>
    <w:rsid w:val="00E524EA"/>
    <w:rsid w:val="00E525CC"/>
    <w:rsid w:val="00E526BF"/>
    <w:rsid w:val="00E526CD"/>
    <w:rsid w:val="00E53309"/>
    <w:rsid w:val="00E533FB"/>
    <w:rsid w:val="00E537C9"/>
    <w:rsid w:val="00E53A3B"/>
    <w:rsid w:val="00E53CB5"/>
    <w:rsid w:val="00E540DB"/>
    <w:rsid w:val="00E54B65"/>
    <w:rsid w:val="00E55143"/>
    <w:rsid w:val="00E558B8"/>
    <w:rsid w:val="00E55BC1"/>
    <w:rsid w:val="00E55EEF"/>
    <w:rsid w:val="00E563CE"/>
    <w:rsid w:val="00E565F5"/>
    <w:rsid w:val="00E56D47"/>
    <w:rsid w:val="00E57665"/>
    <w:rsid w:val="00E57C64"/>
    <w:rsid w:val="00E602F4"/>
    <w:rsid w:val="00E603F4"/>
    <w:rsid w:val="00E604D4"/>
    <w:rsid w:val="00E60C63"/>
    <w:rsid w:val="00E60DFC"/>
    <w:rsid w:val="00E61685"/>
    <w:rsid w:val="00E61DDA"/>
    <w:rsid w:val="00E6263C"/>
    <w:rsid w:val="00E6272E"/>
    <w:rsid w:val="00E63263"/>
    <w:rsid w:val="00E635F9"/>
    <w:rsid w:val="00E636A4"/>
    <w:rsid w:val="00E63C3E"/>
    <w:rsid w:val="00E643BD"/>
    <w:rsid w:val="00E646E0"/>
    <w:rsid w:val="00E64A17"/>
    <w:rsid w:val="00E65924"/>
    <w:rsid w:val="00E65A63"/>
    <w:rsid w:val="00E66153"/>
    <w:rsid w:val="00E665CD"/>
    <w:rsid w:val="00E668BB"/>
    <w:rsid w:val="00E66BE3"/>
    <w:rsid w:val="00E67234"/>
    <w:rsid w:val="00E679A6"/>
    <w:rsid w:val="00E67DB0"/>
    <w:rsid w:val="00E67F81"/>
    <w:rsid w:val="00E70123"/>
    <w:rsid w:val="00E70155"/>
    <w:rsid w:val="00E707B6"/>
    <w:rsid w:val="00E70841"/>
    <w:rsid w:val="00E70D11"/>
    <w:rsid w:val="00E7172D"/>
    <w:rsid w:val="00E72063"/>
    <w:rsid w:val="00E72B41"/>
    <w:rsid w:val="00E72EEB"/>
    <w:rsid w:val="00E735A6"/>
    <w:rsid w:val="00E73E9D"/>
    <w:rsid w:val="00E74D14"/>
    <w:rsid w:val="00E74D70"/>
    <w:rsid w:val="00E7534D"/>
    <w:rsid w:val="00E75522"/>
    <w:rsid w:val="00E75618"/>
    <w:rsid w:val="00E76327"/>
    <w:rsid w:val="00E76788"/>
    <w:rsid w:val="00E76970"/>
    <w:rsid w:val="00E76B33"/>
    <w:rsid w:val="00E76D53"/>
    <w:rsid w:val="00E773BF"/>
    <w:rsid w:val="00E779EC"/>
    <w:rsid w:val="00E77BAC"/>
    <w:rsid w:val="00E80664"/>
    <w:rsid w:val="00E80D35"/>
    <w:rsid w:val="00E8119F"/>
    <w:rsid w:val="00E811F9"/>
    <w:rsid w:val="00E82287"/>
    <w:rsid w:val="00E82A36"/>
    <w:rsid w:val="00E82A6A"/>
    <w:rsid w:val="00E82F2E"/>
    <w:rsid w:val="00E82F4B"/>
    <w:rsid w:val="00E83484"/>
    <w:rsid w:val="00E8367C"/>
    <w:rsid w:val="00E8377A"/>
    <w:rsid w:val="00E837F4"/>
    <w:rsid w:val="00E8435C"/>
    <w:rsid w:val="00E84639"/>
    <w:rsid w:val="00E8470E"/>
    <w:rsid w:val="00E85058"/>
    <w:rsid w:val="00E8517E"/>
    <w:rsid w:val="00E857A9"/>
    <w:rsid w:val="00E85CD7"/>
    <w:rsid w:val="00E85E79"/>
    <w:rsid w:val="00E86A81"/>
    <w:rsid w:val="00E86CE6"/>
    <w:rsid w:val="00E8705D"/>
    <w:rsid w:val="00E876DA"/>
    <w:rsid w:val="00E87798"/>
    <w:rsid w:val="00E87F78"/>
    <w:rsid w:val="00E9037C"/>
    <w:rsid w:val="00E904BF"/>
    <w:rsid w:val="00E91B9A"/>
    <w:rsid w:val="00E92019"/>
    <w:rsid w:val="00E92EAC"/>
    <w:rsid w:val="00E92EDF"/>
    <w:rsid w:val="00E9300C"/>
    <w:rsid w:val="00E9327D"/>
    <w:rsid w:val="00E9331D"/>
    <w:rsid w:val="00E93CAE"/>
    <w:rsid w:val="00E940FC"/>
    <w:rsid w:val="00E94CB9"/>
    <w:rsid w:val="00E955EE"/>
    <w:rsid w:val="00E9582E"/>
    <w:rsid w:val="00E95A69"/>
    <w:rsid w:val="00E95CB3"/>
    <w:rsid w:val="00E9698F"/>
    <w:rsid w:val="00E96E94"/>
    <w:rsid w:val="00E978C8"/>
    <w:rsid w:val="00E97AA2"/>
    <w:rsid w:val="00E97C48"/>
    <w:rsid w:val="00EA0A8C"/>
    <w:rsid w:val="00EA0ED4"/>
    <w:rsid w:val="00EA16D1"/>
    <w:rsid w:val="00EA18E7"/>
    <w:rsid w:val="00EA29D0"/>
    <w:rsid w:val="00EA3461"/>
    <w:rsid w:val="00EA3547"/>
    <w:rsid w:val="00EA3ACB"/>
    <w:rsid w:val="00EA41C8"/>
    <w:rsid w:val="00EA42D9"/>
    <w:rsid w:val="00EA44DD"/>
    <w:rsid w:val="00EA475B"/>
    <w:rsid w:val="00EA4BDD"/>
    <w:rsid w:val="00EA54DC"/>
    <w:rsid w:val="00EA54F2"/>
    <w:rsid w:val="00EA59BC"/>
    <w:rsid w:val="00EA5A88"/>
    <w:rsid w:val="00EA61CA"/>
    <w:rsid w:val="00EA6A8F"/>
    <w:rsid w:val="00EA6E86"/>
    <w:rsid w:val="00EA703D"/>
    <w:rsid w:val="00EA7C8E"/>
    <w:rsid w:val="00EA7CBE"/>
    <w:rsid w:val="00EA7EAE"/>
    <w:rsid w:val="00EA7FF6"/>
    <w:rsid w:val="00EB1BC8"/>
    <w:rsid w:val="00EB204C"/>
    <w:rsid w:val="00EB26C7"/>
    <w:rsid w:val="00EB2CD5"/>
    <w:rsid w:val="00EB345B"/>
    <w:rsid w:val="00EB3723"/>
    <w:rsid w:val="00EB3A62"/>
    <w:rsid w:val="00EB3FC9"/>
    <w:rsid w:val="00EB44D8"/>
    <w:rsid w:val="00EB4F40"/>
    <w:rsid w:val="00EB5949"/>
    <w:rsid w:val="00EB5964"/>
    <w:rsid w:val="00EB611B"/>
    <w:rsid w:val="00EB6330"/>
    <w:rsid w:val="00EB66B3"/>
    <w:rsid w:val="00EB6E39"/>
    <w:rsid w:val="00EB7979"/>
    <w:rsid w:val="00EB7DC8"/>
    <w:rsid w:val="00EB7EE2"/>
    <w:rsid w:val="00EC02E8"/>
    <w:rsid w:val="00EC05E6"/>
    <w:rsid w:val="00EC0F65"/>
    <w:rsid w:val="00EC1309"/>
    <w:rsid w:val="00EC172C"/>
    <w:rsid w:val="00EC263A"/>
    <w:rsid w:val="00EC2E2A"/>
    <w:rsid w:val="00EC2EEA"/>
    <w:rsid w:val="00EC3F28"/>
    <w:rsid w:val="00EC46C0"/>
    <w:rsid w:val="00EC4DE2"/>
    <w:rsid w:val="00EC4DFF"/>
    <w:rsid w:val="00EC5550"/>
    <w:rsid w:val="00EC57F0"/>
    <w:rsid w:val="00EC585D"/>
    <w:rsid w:val="00EC61C5"/>
    <w:rsid w:val="00EC65BA"/>
    <w:rsid w:val="00EC67C5"/>
    <w:rsid w:val="00EC6B2B"/>
    <w:rsid w:val="00EC6F69"/>
    <w:rsid w:val="00EC700C"/>
    <w:rsid w:val="00EC71E6"/>
    <w:rsid w:val="00EC7852"/>
    <w:rsid w:val="00EC7A85"/>
    <w:rsid w:val="00ED0CF7"/>
    <w:rsid w:val="00ED0F4B"/>
    <w:rsid w:val="00ED118E"/>
    <w:rsid w:val="00ED14FB"/>
    <w:rsid w:val="00ED1C2C"/>
    <w:rsid w:val="00ED2AD0"/>
    <w:rsid w:val="00ED2EB0"/>
    <w:rsid w:val="00ED2F9E"/>
    <w:rsid w:val="00ED32FE"/>
    <w:rsid w:val="00ED378A"/>
    <w:rsid w:val="00ED3839"/>
    <w:rsid w:val="00ED3C61"/>
    <w:rsid w:val="00ED3F2B"/>
    <w:rsid w:val="00ED42B1"/>
    <w:rsid w:val="00ED4AE1"/>
    <w:rsid w:val="00ED509E"/>
    <w:rsid w:val="00ED5272"/>
    <w:rsid w:val="00ED569B"/>
    <w:rsid w:val="00ED5AAB"/>
    <w:rsid w:val="00ED621F"/>
    <w:rsid w:val="00ED633A"/>
    <w:rsid w:val="00ED638A"/>
    <w:rsid w:val="00ED6393"/>
    <w:rsid w:val="00ED645A"/>
    <w:rsid w:val="00ED7BFD"/>
    <w:rsid w:val="00ED7DCE"/>
    <w:rsid w:val="00EE0267"/>
    <w:rsid w:val="00EE042E"/>
    <w:rsid w:val="00EE0557"/>
    <w:rsid w:val="00EE13A3"/>
    <w:rsid w:val="00EE197E"/>
    <w:rsid w:val="00EE1EE9"/>
    <w:rsid w:val="00EE21FD"/>
    <w:rsid w:val="00EE261B"/>
    <w:rsid w:val="00EE28D2"/>
    <w:rsid w:val="00EE2C12"/>
    <w:rsid w:val="00EE2FFA"/>
    <w:rsid w:val="00EE31DE"/>
    <w:rsid w:val="00EE3865"/>
    <w:rsid w:val="00EE424F"/>
    <w:rsid w:val="00EE4276"/>
    <w:rsid w:val="00EE4379"/>
    <w:rsid w:val="00EE43CC"/>
    <w:rsid w:val="00EE46EA"/>
    <w:rsid w:val="00EE51F0"/>
    <w:rsid w:val="00EE5421"/>
    <w:rsid w:val="00EE64DF"/>
    <w:rsid w:val="00EE67F8"/>
    <w:rsid w:val="00EE6DF1"/>
    <w:rsid w:val="00EE73B6"/>
    <w:rsid w:val="00EE7850"/>
    <w:rsid w:val="00EE78C0"/>
    <w:rsid w:val="00EE7BBC"/>
    <w:rsid w:val="00EE7DB1"/>
    <w:rsid w:val="00EE7ECD"/>
    <w:rsid w:val="00EF00CE"/>
    <w:rsid w:val="00EF056A"/>
    <w:rsid w:val="00EF0CC3"/>
    <w:rsid w:val="00EF20F7"/>
    <w:rsid w:val="00EF2ADF"/>
    <w:rsid w:val="00EF2C88"/>
    <w:rsid w:val="00EF34D5"/>
    <w:rsid w:val="00EF3B0B"/>
    <w:rsid w:val="00EF3E79"/>
    <w:rsid w:val="00EF43DE"/>
    <w:rsid w:val="00EF45E0"/>
    <w:rsid w:val="00EF4DA5"/>
    <w:rsid w:val="00EF542D"/>
    <w:rsid w:val="00EF55CF"/>
    <w:rsid w:val="00EF55DD"/>
    <w:rsid w:val="00EF585E"/>
    <w:rsid w:val="00EF6007"/>
    <w:rsid w:val="00EF6070"/>
    <w:rsid w:val="00EF6B22"/>
    <w:rsid w:val="00EF77D0"/>
    <w:rsid w:val="00EF7981"/>
    <w:rsid w:val="00F00272"/>
    <w:rsid w:val="00F003C9"/>
    <w:rsid w:val="00F00779"/>
    <w:rsid w:val="00F018FB"/>
    <w:rsid w:val="00F0236B"/>
    <w:rsid w:val="00F02670"/>
    <w:rsid w:val="00F02720"/>
    <w:rsid w:val="00F0287D"/>
    <w:rsid w:val="00F02F7A"/>
    <w:rsid w:val="00F03CD6"/>
    <w:rsid w:val="00F03F40"/>
    <w:rsid w:val="00F04495"/>
    <w:rsid w:val="00F04B51"/>
    <w:rsid w:val="00F04FEB"/>
    <w:rsid w:val="00F05BED"/>
    <w:rsid w:val="00F06252"/>
    <w:rsid w:val="00F06505"/>
    <w:rsid w:val="00F0662E"/>
    <w:rsid w:val="00F0682D"/>
    <w:rsid w:val="00F06936"/>
    <w:rsid w:val="00F06C09"/>
    <w:rsid w:val="00F06EA2"/>
    <w:rsid w:val="00F071D7"/>
    <w:rsid w:val="00F07783"/>
    <w:rsid w:val="00F1010F"/>
    <w:rsid w:val="00F1047F"/>
    <w:rsid w:val="00F10970"/>
    <w:rsid w:val="00F110B3"/>
    <w:rsid w:val="00F1112A"/>
    <w:rsid w:val="00F1150C"/>
    <w:rsid w:val="00F117B3"/>
    <w:rsid w:val="00F11B8A"/>
    <w:rsid w:val="00F11BF9"/>
    <w:rsid w:val="00F11CB7"/>
    <w:rsid w:val="00F11F20"/>
    <w:rsid w:val="00F12292"/>
    <w:rsid w:val="00F138D5"/>
    <w:rsid w:val="00F138DA"/>
    <w:rsid w:val="00F14257"/>
    <w:rsid w:val="00F1435D"/>
    <w:rsid w:val="00F148F9"/>
    <w:rsid w:val="00F15245"/>
    <w:rsid w:val="00F162BA"/>
    <w:rsid w:val="00F163C3"/>
    <w:rsid w:val="00F16943"/>
    <w:rsid w:val="00F169A6"/>
    <w:rsid w:val="00F16FF5"/>
    <w:rsid w:val="00F1740A"/>
    <w:rsid w:val="00F1767B"/>
    <w:rsid w:val="00F17A9D"/>
    <w:rsid w:val="00F17B77"/>
    <w:rsid w:val="00F17C3C"/>
    <w:rsid w:val="00F17D3C"/>
    <w:rsid w:val="00F17E03"/>
    <w:rsid w:val="00F2040B"/>
    <w:rsid w:val="00F209E5"/>
    <w:rsid w:val="00F20EA2"/>
    <w:rsid w:val="00F218AB"/>
    <w:rsid w:val="00F222FB"/>
    <w:rsid w:val="00F2231A"/>
    <w:rsid w:val="00F227D1"/>
    <w:rsid w:val="00F22811"/>
    <w:rsid w:val="00F22D90"/>
    <w:rsid w:val="00F2305E"/>
    <w:rsid w:val="00F2317D"/>
    <w:rsid w:val="00F23B19"/>
    <w:rsid w:val="00F240BA"/>
    <w:rsid w:val="00F242D7"/>
    <w:rsid w:val="00F25074"/>
    <w:rsid w:val="00F252A6"/>
    <w:rsid w:val="00F252E4"/>
    <w:rsid w:val="00F25B0A"/>
    <w:rsid w:val="00F26280"/>
    <w:rsid w:val="00F2629E"/>
    <w:rsid w:val="00F2712D"/>
    <w:rsid w:val="00F30527"/>
    <w:rsid w:val="00F30565"/>
    <w:rsid w:val="00F30A88"/>
    <w:rsid w:val="00F30D25"/>
    <w:rsid w:val="00F313CD"/>
    <w:rsid w:val="00F317F4"/>
    <w:rsid w:val="00F318ED"/>
    <w:rsid w:val="00F31914"/>
    <w:rsid w:val="00F31A8D"/>
    <w:rsid w:val="00F32266"/>
    <w:rsid w:val="00F329E9"/>
    <w:rsid w:val="00F32A87"/>
    <w:rsid w:val="00F32B18"/>
    <w:rsid w:val="00F32B3B"/>
    <w:rsid w:val="00F336B7"/>
    <w:rsid w:val="00F33B03"/>
    <w:rsid w:val="00F342C4"/>
    <w:rsid w:val="00F348E7"/>
    <w:rsid w:val="00F34A5D"/>
    <w:rsid w:val="00F350A6"/>
    <w:rsid w:val="00F3567B"/>
    <w:rsid w:val="00F35A71"/>
    <w:rsid w:val="00F35B0C"/>
    <w:rsid w:val="00F35EEF"/>
    <w:rsid w:val="00F361B9"/>
    <w:rsid w:val="00F36878"/>
    <w:rsid w:val="00F3715D"/>
    <w:rsid w:val="00F373E2"/>
    <w:rsid w:val="00F376AB"/>
    <w:rsid w:val="00F37F42"/>
    <w:rsid w:val="00F37FF0"/>
    <w:rsid w:val="00F4067D"/>
    <w:rsid w:val="00F408BB"/>
    <w:rsid w:val="00F40AF5"/>
    <w:rsid w:val="00F40B75"/>
    <w:rsid w:val="00F4102E"/>
    <w:rsid w:val="00F412E3"/>
    <w:rsid w:val="00F41540"/>
    <w:rsid w:val="00F41962"/>
    <w:rsid w:val="00F41C57"/>
    <w:rsid w:val="00F41CB7"/>
    <w:rsid w:val="00F42178"/>
    <w:rsid w:val="00F4222C"/>
    <w:rsid w:val="00F423D8"/>
    <w:rsid w:val="00F4289A"/>
    <w:rsid w:val="00F4289F"/>
    <w:rsid w:val="00F42DB0"/>
    <w:rsid w:val="00F43319"/>
    <w:rsid w:val="00F439A1"/>
    <w:rsid w:val="00F43E07"/>
    <w:rsid w:val="00F43E5F"/>
    <w:rsid w:val="00F4406F"/>
    <w:rsid w:val="00F4410C"/>
    <w:rsid w:val="00F442B9"/>
    <w:rsid w:val="00F44B0E"/>
    <w:rsid w:val="00F44B58"/>
    <w:rsid w:val="00F44E00"/>
    <w:rsid w:val="00F457BC"/>
    <w:rsid w:val="00F460B0"/>
    <w:rsid w:val="00F468E2"/>
    <w:rsid w:val="00F4743F"/>
    <w:rsid w:val="00F4762E"/>
    <w:rsid w:val="00F500A1"/>
    <w:rsid w:val="00F50BF4"/>
    <w:rsid w:val="00F50DC3"/>
    <w:rsid w:val="00F5113E"/>
    <w:rsid w:val="00F51E5A"/>
    <w:rsid w:val="00F52206"/>
    <w:rsid w:val="00F536AB"/>
    <w:rsid w:val="00F53D9A"/>
    <w:rsid w:val="00F53E88"/>
    <w:rsid w:val="00F5444A"/>
    <w:rsid w:val="00F54E9C"/>
    <w:rsid w:val="00F54F3B"/>
    <w:rsid w:val="00F54F99"/>
    <w:rsid w:val="00F55A0A"/>
    <w:rsid w:val="00F55C9D"/>
    <w:rsid w:val="00F55F1F"/>
    <w:rsid w:val="00F55FAC"/>
    <w:rsid w:val="00F563CB"/>
    <w:rsid w:val="00F56C65"/>
    <w:rsid w:val="00F56D89"/>
    <w:rsid w:val="00F5721D"/>
    <w:rsid w:val="00F572BC"/>
    <w:rsid w:val="00F57975"/>
    <w:rsid w:val="00F57B7E"/>
    <w:rsid w:val="00F57DBD"/>
    <w:rsid w:val="00F6060F"/>
    <w:rsid w:val="00F606DF"/>
    <w:rsid w:val="00F6089F"/>
    <w:rsid w:val="00F60BF8"/>
    <w:rsid w:val="00F6187B"/>
    <w:rsid w:val="00F6194B"/>
    <w:rsid w:val="00F61EDD"/>
    <w:rsid w:val="00F629B5"/>
    <w:rsid w:val="00F62AC1"/>
    <w:rsid w:val="00F62B24"/>
    <w:rsid w:val="00F63BBC"/>
    <w:rsid w:val="00F64B64"/>
    <w:rsid w:val="00F64C6C"/>
    <w:rsid w:val="00F64EAB"/>
    <w:rsid w:val="00F66244"/>
    <w:rsid w:val="00F66404"/>
    <w:rsid w:val="00F666AB"/>
    <w:rsid w:val="00F66B13"/>
    <w:rsid w:val="00F66C29"/>
    <w:rsid w:val="00F6768F"/>
    <w:rsid w:val="00F67DB6"/>
    <w:rsid w:val="00F700CD"/>
    <w:rsid w:val="00F71A73"/>
    <w:rsid w:val="00F727CB"/>
    <w:rsid w:val="00F72D97"/>
    <w:rsid w:val="00F73511"/>
    <w:rsid w:val="00F73D31"/>
    <w:rsid w:val="00F745EE"/>
    <w:rsid w:val="00F7491C"/>
    <w:rsid w:val="00F74FCB"/>
    <w:rsid w:val="00F75132"/>
    <w:rsid w:val="00F75BAA"/>
    <w:rsid w:val="00F76110"/>
    <w:rsid w:val="00F7619C"/>
    <w:rsid w:val="00F7712B"/>
    <w:rsid w:val="00F772D1"/>
    <w:rsid w:val="00F77417"/>
    <w:rsid w:val="00F77B4E"/>
    <w:rsid w:val="00F77B6F"/>
    <w:rsid w:val="00F77C03"/>
    <w:rsid w:val="00F77F34"/>
    <w:rsid w:val="00F8018C"/>
    <w:rsid w:val="00F80239"/>
    <w:rsid w:val="00F808C1"/>
    <w:rsid w:val="00F808C4"/>
    <w:rsid w:val="00F80D5C"/>
    <w:rsid w:val="00F80EDF"/>
    <w:rsid w:val="00F81182"/>
    <w:rsid w:val="00F8134D"/>
    <w:rsid w:val="00F814EA"/>
    <w:rsid w:val="00F816C8"/>
    <w:rsid w:val="00F818AB"/>
    <w:rsid w:val="00F82466"/>
    <w:rsid w:val="00F827C8"/>
    <w:rsid w:val="00F82C7B"/>
    <w:rsid w:val="00F83A31"/>
    <w:rsid w:val="00F83F2F"/>
    <w:rsid w:val="00F84AE8"/>
    <w:rsid w:val="00F84E4E"/>
    <w:rsid w:val="00F8554E"/>
    <w:rsid w:val="00F85ABF"/>
    <w:rsid w:val="00F86168"/>
    <w:rsid w:val="00F8659C"/>
    <w:rsid w:val="00F86AC3"/>
    <w:rsid w:val="00F86C6B"/>
    <w:rsid w:val="00F8742D"/>
    <w:rsid w:val="00F87712"/>
    <w:rsid w:val="00F879DC"/>
    <w:rsid w:val="00F90765"/>
    <w:rsid w:val="00F90803"/>
    <w:rsid w:val="00F90DB4"/>
    <w:rsid w:val="00F9175B"/>
    <w:rsid w:val="00F91DED"/>
    <w:rsid w:val="00F92282"/>
    <w:rsid w:val="00F92290"/>
    <w:rsid w:val="00F92336"/>
    <w:rsid w:val="00F9290F"/>
    <w:rsid w:val="00F92D6D"/>
    <w:rsid w:val="00F93259"/>
    <w:rsid w:val="00F93C5E"/>
    <w:rsid w:val="00F94144"/>
    <w:rsid w:val="00F9454F"/>
    <w:rsid w:val="00F94A96"/>
    <w:rsid w:val="00F95772"/>
    <w:rsid w:val="00F95B7A"/>
    <w:rsid w:val="00F9659A"/>
    <w:rsid w:val="00F96C88"/>
    <w:rsid w:val="00F9726F"/>
    <w:rsid w:val="00FA07C8"/>
    <w:rsid w:val="00FA0801"/>
    <w:rsid w:val="00FA11FE"/>
    <w:rsid w:val="00FA1982"/>
    <w:rsid w:val="00FA1B31"/>
    <w:rsid w:val="00FA1E3C"/>
    <w:rsid w:val="00FA2649"/>
    <w:rsid w:val="00FA2892"/>
    <w:rsid w:val="00FA2A79"/>
    <w:rsid w:val="00FA3047"/>
    <w:rsid w:val="00FA351F"/>
    <w:rsid w:val="00FA4330"/>
    <w:rsid w:val="00FA4A20"/>
    <w:rsid w:val="00FA4D26"/>
    <w:rsid w:val="00FA4E5C"/>
    <w:rsid w:val="00FA4FA7"/>
    <w:rsid w:val="00FA51AC"/>
    <w:rsid w:val="00FA6AA6"/>
    <w:rsid w:val="00FA6B2D"/>
    <w:rsid w:val="00FA712C"/>
    <w:rsid w:val="00FA7362"/>
    <w:rsid w:val="00FA7601"/>
    <w:rsid w:val="00FA791F"/>
    <w:rsid w:val="00FA7F25"/>
    <w:rsid w:val="00FB03C7"/>
    <w:rsid w:val="00FB06A5"/>
    <w:rsid w:val="00FB07BD"/>
    <w:rsid w:val="00FB0931"/>
    <w:rsid w:val="00FB098B"/>
    <w:rsid w:val="00FB1408"/>
    <w:rsid w:val="00FB177C"/>
    <w:rsid w:val="00FB1FE5"/>
    <w:rsid w:val="00FB223B"/>
    <w:rsid w:val="00FB24DD"/>
    <w:rsid w:val="00FB309E"/>
    <w:rsid w:val="00FB33BA"/>
    <w:rsid w:val="00FB3941"/>
    <w:rsid w:val="00FB3AE5"/>
    <w:rsid w:val="00FB4B98"/>
    <w:rsid w:val="00FB4E03"/>
    <w:rsid w:val="00FB578B"/>
    <w:rsid w:val="00FB58B8"/>
    <w:rsid w:val="00FB5D6B"/>
    <w:rsid w:val="00FB6140"/>
    <w:rsid w:val="00FB6451"/>
    <w:rsid w:val="00FB6C22"/>
    <w:rsid w:val="00FB6C7B"/>
    <w:rsid w:val="00FB706D"/>
    <w:rsid w:val="00FB7D07"/>
    <w:rsid w:val="00FC0C53"/>
    <w:rsid w:val="00FC0E25"/>
    <w:rsid w:val="00FC1071"/>
    <w:rsid w:val="00FC147E"/>
    <w:rsid w:val="00FC21DA"/>
    <w:rsid w:val="00FC29CB"/>
    <w:rsid w:val="00FC32AD"/>
    <w:rsid w:val="00FC4198"/>
    <w:rsid w:val="00FC44D4"/>
    <w:rsid w:val="00FC5019"/>
    <w:rsid w:val="00FC62FA"/>
    <w:rsid w:val="00FC631C"/>
    <w:rsid w:val="00FC65D3"/>
    <w:rsid w:val="00FC6CA8"/>
    <w:rsid w:val="00FC70D8"/>
    <w:rsid w:val="00FC7402"/>
    <w:rsid w:val="00FC790E"/>
    <w:rsid w:val="00FC7AB4"/>
    <w:rsid w:val="00FC7D29"/>
    <w:rsid w:val="00FD0818"/>
    <w:rsid w:val="00FD0AFD"/>
    <w:rsid w:val="00FD0D01"/>
    <w:rsid w:val="00FD0E61"/>
    <w:rsid w:val="00FD1072"/>
    <w:rsid w:val="00FD1138"/>
    <w:rsid w:val="00FD15BF"/>
    <w:rsid w:val="00FD15C7"/>
    <w:rsid w:val="00FD1C4A"/>
    <w:rsid w:val="00FD1D11"/>
    <w:rsid w:val="00FD2964"/>
    <w:rsid w:val="00FD2CA4"/>
    <w:rsid w:val="00FD3864"/>
    <w:rsid w:val="00FD415D"/>
    <w:rsid w:val="00FD4710"/>
    <w:rsid w:val="00FD4F32"/>
    <w:rsid w:val="00FD558E"/>
    <w:rsid w:val="00FD5606"/>
    <w:rsid w:val="00FD5809"/>
    <w:rsid w:val="00FD58FF"/>
    <w:rsid w:val="00FD5944"/>
    <w:rsid w:val="00FD5A60"/>
    <w:rsid w:val="00FD5A67"/>
    <w:rsid w:val="00FD5AC3"/>
    <w:rsid w:val="00FD71A4"/>
    <w:rsid w:val="00FD73E7"/>
    <w:rsid w:val="00FD7429"/>
    <w:rsid w:val="00FD797B"/>
    <w:rsid w:val="00FD7B4C"/>
    <w:rsid w:val="00FE0135"/>
    <w:rsid w:val="00FE0D11"/>
    <w:rsid w:val="00FE1171"/>
    <w:rsid w:val="00FE130F"/>
    <w:rsid w:val="00FE134B"/>
    <w:rsid w:val="00FE189C"/>
    <w:rsid w:val="00FE241A"/>
    <w:rsid w:val="00FE2739"/>
    <w:rsid w:val="00FE2B33"/>
    <w:rsid w:val="00FE2F33"/>
    <w:rsid w:val="00FE3554"/>
    <w:rsid w:val="00FE37AF"/>
    <w:rsid w:val="00FE3B08"/>
    <w:rsid w:val="00FE451D"/>
    <w:rsid w:val="00FE464B"/>
    <w:rsid w:val="00FE4984"/>
    <w:rsid w:val="00FE4CA2"/>
    <w:rsid w:val="00FE4D4B"/>
    <w:rsid w:val="00FE4DE0"/>
    <w:rsid w:val="00FE50B3"/>
    <w:rsid w:val="00FE5C4A"/>
    <w:rsid w:val="00FE66C6"/>
    <w:rsid w:val="00FE6F8C"/>
    <w:rsid w:val="00FE751B"/>
    <w:rsid w:val="00FE75A0"/>
    <w:rsid w:val="00FE7B07"/>
    <w:rsid w:val="00FE7B3C"/>
    <w:rsid w:val="00FE7D0A"/>
    <w:rsid w:val="00FF0299"/>
    <w:rsid w:val="00FF0D6E"/>
    <w:rsid w:val="00FF0DBD"/>
    <w:rsid w:val="00FF13D6"/>
    <w:rsid w:val="00FF1EB5"/>
    <w:rsid w:val="00FF21D0"/>
    <w:rsid w:val="00FF22EE"/>
    <w:rsid w:val="00FF233F"/>
    <w:rsid w:val="00FF2564"/>
    <w:rsid w:val="00FF25D0"/>
    <w:rsid w:val="00FF271D"/>
    <w:rsid w:val="00FF354A"/>
    <w:rsid w:val="00FF374B"/>
    <w:rsid w:val="00FF3922"/>
    <w:rsid w:val="00FF3C16"/>
    <w:rsid w:val="00FF3D16"/>
    <w:rsid w:val="00FF3DB9"/>
    <w:rsid w:val="00FF3F4D"/>
    <w:rsid w:val="00FF4148"/>
    <w:rsid w:val="00FF43B3"/>
    <w:rsid w:val="00FF44BE"/>
    <w:rsid w:val="00FF4549"/>
    <w:rsid w:val="00FF479C"/>
    <w:rsid w:val="00FF5392"/>
    <w:rsid w:val="00FF5C3A"/>
    <w:rsid w:val="00FF5DAB"/>
    <w:rsid w:val="00FF5EC1"/>
    <w:rsid w:val="00FF61FF"/>
    <w:rsid w:val="00FF668A"/>
    <w:rsid w:val="00FF7321"/>
    <w:rsid w:val="00FF7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58DC5"/>
  <w15:docId w15:val="{A8104D19-A678-432B-B7AC-55333340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2AA"/>
    <w:pPr>
      <w:keepNext/>
      <w:keepLines/>
      <w:spacing w:after="0" w:line="360" w:lineRule="auto"/>
      <w:ind w:firstLine="720"/>
      <w:jc w:val="center"/>
      <w:outlineLvl w:val="0"/>
    </w:pPr>
    <w:rPr>
      <w:rFonts w:ascii="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fn,ALTS FOOTNOTE,Footnote Text 2,Footnote text,FOOTNOTE,fn Char Char,fn Char,Footnote Text Char2,Footnote Text Char1 Char,Footnote Text Char Char Char,Footnote Text Char2 Char Char Char,Footnote Text Char Char1 Char Char Char"/>
    <w:basedOn w:val="Normal"/>
    <w:link w:val="FootnoteTextChar"/>
    <w:uiPriority w:val="99"/>
    <w:unhideWhenUsed/>
    <w:qFormat/>
    <w:rsid w:val="00FE7D0A"/>
    <w:pPr>
      <w:spacing w:after="0" w:line="240" w:lineRule="auto"/>
    </w:pPr>
    <w:rPr>
      <w:sz w:val="20"/>
      <w:szCs w:val="20"/>
    </w:rPr>
  </w:style>
  <w:style w:type="character" w:customStyle="1" w:styleId="FootnoteTextChar">
    <w:name w:val="Footnote Text Char"/>
    <w:aliases w:val="Car Char,fn Char1,ALTS FOOTNOTE Char,Footnote Text 2 Char,Footnote text Char,FOOTNOTE Char,fn Char Char Char,fn Char Char1,Footnote Text Char2 Char,Footnote Text Char1 Char Char,Footnote Text Char Char Char Char"/>
    <w:basedOn w:val="DefaultParagraphFont"/>
    <w:link w:val="FootnoteText"/>
    <w:uiPriority w:val="99"/>
    <w:rsid w:val="00FE7D0A"/>
    <w:rPr>
      <w:sz w:val="20"/>
      <w:szCs w:val="20"/>
    </w:rPr>
  </w:style>
  <w:style w:type="character" w:styleId="FootnoteReference">
    <w:name w:val="footnote reference"/>
    <w:aliases w:val="o,fr,Style 13,Style 12,Style 28,(NECG) Footnote Reference,Style 11,Style 9,Style 16,Style 15,Style 17,Style 20,o1,fr1,o2,fr2,o3,fr3,Style 8,Style 7,Style 19,footnote text,Style 6,Appel note de bas de p,Style 3"/>
    <w:basedOn w:val="DefaultParagraphFont"/>
    <w:uiPriority w:val="99"/>
    <w:rsid w:val="00FE7D0A"/>
    <w:rPr>
      <w:vertAlign w:val="superscript"/>
    </w:rPr>
  </w:style>
  <w:style w:type="paragraph" w:styleId="Header">
    <w:name w:val="header"/>
    <w:basedOn w:val="Normal"/>
    <w:link w:val="HeaderChar"/>
    <w:uiPriority w:val="99"/>
    <w:unhideWhenUsed/>
    <w:rsid w:val="00325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1B9"/>
  </w:style>
  <w:style w:type="paragraph" w:styleId="Footer">
    <w:name w:val="footer"/>
    <w:basedOn w:val="Normal"/>
    <w:link w:val="FooterChar"/>
    <w:uiPriority w:val="99"/>
    <w:unhideWhenUsed/>
    <w:rsid w:val="00325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1B9"/>
  </w:style>
  <w:style w:type="character" w:styleId="CommentReference">
    <w:name w:val="annotation reference"/>
    <w:basedOn w:val="DefaultParagraphFont"/>
    <w:uiPriority w:val="99"/>
    <w:semiHidden/>
    <w:unhideWhenUsed/>
    <w:rsid w:val="00A07386"/>
    <w:rPr>
      <w:sz w:val="16"/>
      <w:szCs w:val="16"/>
    </w:rPr>
  </w:style>
  <w:style w:type="paragraph" w:styleId="CommentText">
    <w:name w:val="annotation text"/>
    <w:basedOn w:val="Normal"/>
    <w:link w:val="CommentTextChar"/>
    <w:uiPriority w:val="99"/>
    <w:semiHidden/>
    <w:unhideWhenUsed/>
    <w:rsid w:val="00A07386"/>
    <w:pPr>
      <w:spacing w:line="240" w:lineRule="auto"/>
    </w:pPr>
    <w:rPr>
      <w:sz w:val="20"/>
      <w:szCs w:val="20"/>
    </w:rPr>
  </w:style>
  <w:style w:type="character" w:customStyle="1" w:styleId="CommentTextChar">
    <w:name w:val="Comment Text Char"/>
    <w:basedOn w:val="DefaultParagraphFont"/>
    <w:link w:val="CommentText"/>
    <w:uiPriority w:val="99"/>
    <w:semiHidden/>
    <w:rsid w:val="00A07386"/>
    <w:rPr>
      <w:sz w:val="20"/>
      <w:szCs w:val="20"/>
    </w:rPr>
  </w:style>
  <w:style w:type="paragraph" w:styleId="CommentSubject">
    <w:name w:val="annotation subject"/>
    <w:basedOn w:val="CommentText"/>
    <w:next w:val="CommentText"/>
    <w:link w:val="CommentSubjectChar"/>
    <w:uiPriority w:val="99"/>
    <w:semiHidden/>
    <w:unhideWhenUsed/>
    <w:rsid w:val="00A07386"/>
    <w:rPr>
      <w:b/>
      <w:bCs/>
    </w:rPr>
  </w:style>
  <w:style w:type="character" w:customStyle="1" w:styleId="CommentSubjectChar">
    <w:name w:val="Comment Subject Char"/>
    <w:basedOn w:val="CommentTextChar"/>
    <w:link w:val="CommentSubject"/>
    <w:uiPriority w:val="99"/>
    <w:semiHidden/>
    <w:rsid w:val="00A07386"/>
    <w:rPr>
      <w:b/>
      <w:bCs/>
      <w:sz w:val="20"/>
      <w:szCs w:val="20"/>
    </w:rPr>
  </w:style>
  <w:style w:type="paragraph" w:styleId="BalloonText">
    <w:name w:val="Balloon Text"/>
    <w:basedOn w:val="Normal"/>
    <w:link w:val="BalloonTextChar"/>
    <w:uiPriority w:val="99"/>
    <w:semiHidden/>
    <w:unhideWhenUsed/>
    <w:rsid w:val="00A07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386"/>
    <w:rPr>
      <w:rFonts w:ascii="Segoe UI" w:hAnsi="Segoe UI" w:cs="Segoe UI"/>
      <w:sz w:val="18"/>
      <w:szCs w:val="18"/>
    </w:rPr>
  </w:style>
  <w:style w:type="paragraph" w:styleId="ListParagraph">
    <w:name w:val="List Paragraph"/>
    <w:basedOn w:val="Normal"/>
    <w:uiPriority w:val="34"/>
    <w:qFormat/>
    <w:rsid w:val="006C49CD"/>
    <w:pPr>
      <w:ind w:left="720"/>
      <w:contextualSpacing/>
    </w:pPr>
  </w:style>
  <w:style w:type="paragraph" w:customStyle="1" w:styleId="Default">
    <w:name w:val="Default"/>
    <w:rsid w:val="00A93D2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FF3D16"/>
    <w:pPr>
      <w:spacing w:after="0" w:line="360" w:lineRule="auto"/>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FF3D16"/>
    <w:rPr>
      <w:rFonts w:ascii="Times New Roman" w:eastAsia="Times New Roman" w:hAnsi="Times New Roman" w:cs="Times New Roman"/>
      <w:sz w:val="26"/>
      <w:szCs w:val="20"/>
    </w:rPr>
  </w:style>
  <w:style w:type="paragraph" w:styleId="BodyTextIndent">
    <w:name w:val="Body Text Indent"/>
    <w:basedOn w:val="Normal"/>
    <w:link w:val="BodyTextIndentChar"/>
    <w:uiPriority w:val="99"/>
    <w:unhideWhenUsed/>
    <w:rsid w:val="001B5C15"/>
    <w:pPr>
      <w:keepNext/>
      <w:keepLines/>
      <w:spacing w:after="0" w:line="360" w:lineRule="auto"/>
      <w:ind w:firstLine="1440"/>
      <w:contextualSpacing/>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uiPriority w:val="99"/>
    <w:rsid w:val="001B5C15"/>
    <w:rPr>
      <w:rFonts w:ascii="Times New Roman" w:eastAsia="Times New Roman" w:hAnsi="Times New Roman" w:cs="Times New Roman"/>
      <w:sz w:val="26"/>
      <w:szCs w:val="26"/>
    </w:rPr>
  </w:style>
  <w:style w:type="paragraph" w:customStyle="1" w:styleId="footnotedescription">
    <w:name w:val="footnote description"/>
    <w:next w:val="Normal"/>
    <w:link w:val="footnotedescriptionChar"/>
    <w:hidden/>
    <w:rsid w:val="0001313A"/>
    <w:pPr>
      <w:spacing w:after="0" w:line="259" w:lineRule="auto"/>
      <w:ind w:left="36"/>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sid w:val="0001313A"/>
    <w:rPr>
      <w:rFonts w:ascii="Times New Roman" w:eastAsia="Times New Roman" w:hAnsi="Times New Roman" w:cs="Times New Roman"/>
      <w:color w:val="000000"/>
      <w:sz w:val="24"/>
    </w:rPr>
  </w:style>
  <w:style w:type="character" w:customStyle="1" w:styleId="footnotemark">
    <w:name w:val="footnote mark"/>
    <w:hidden/>
    <w:rsid w:val="0001313A"/>
    <w:rPr>
      <w:rFonts w:ascii="Times New Roman" w:eastAsia="Times New Roman" w:hAnsi="Times New Roman" w:cs="Times New Roman"/>
      <w:color w:val="000000"/>
      <w:sz w:val="16"/>
      <w:vertAlign w:val="superscript"/>
    </w:rPr>
  </w:style>
  <w:style w:type="paragraph" w:styleId="NoSpacing">
    <w:name w:val="No Spacing"/>
    <w:uiPriority w:val="1"/>
    <w:qFormat/>
    <w:rsid w:val="00E80D35"/>
    <w:pPr>
      <w:spacing w:after="0" w:line="240" w:lineRule="auto"/>
    </w:pPr>
    <w:rPr>
      <w:rFonts w:eastAsiaTheme="minorEastAsia"/>
      <w:sz w:val="20"/>
      <w:szCs w:val="20"/>
    </w:rPr>
  </w:style>
  <w:style w:type="character" w:customStyle="1" w:styleId="Heading1Char">
    <w:name w:val="Heading 1 Char"/>
    <w:basedOn w:val="DefaultParagraphFont"/>
    <w:link w:val="Heading1"/>
    <w:uiPriority w:val="9"/>
    <w:rsid w:val="00CC72AA"/>
    <w:rPr>
      <w:rFonts w:ascii="Times New Roman" w:hAnsi="Times New Roman" w:cs="Times New Roman"/>
      <w:b/>
      <w:sz w:val="26"/>
      <w:szCs w:val="26"/>
    </w:rPr>
  </w:style>
  <w:style w:type="paragraph" w:styleId="Title">
    <w:name w:val="Title"/>
    <w:basedOn w:val="Normal"/>
    <w:next w:val="Normal"/>
    <w:link w:val="TitleChar"/>
    <w:uiPriority w:val="10"/>
    <w:qFormat/>
    <w:rsid w:val="00CC72AA"/>
    <w:pPr>
      <w:tabs>
        <w:tab w:val="center" w:pos="4680"/>
      </w:tabs>
      <w:suppressAutoHyphens/>
      <w:spacing w:after="0" w:line="240" w:lineRule="auto"/>
      <w:contextualSpacing/>
      <w:jc w:val="center"/>
      <w:outlineLvl w:val="0"/>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CC72AA"/>
    <w:rPr>
      <w:rFonts w:ascii="Times New Roman" w:eastAsia="Times New Roman" w:hAnsi="Times New Roman" w:cs="Times New Roman"/>
      <w:b/>
      <w:sz w:val="26"/>
      <w:szCs w:val="26"/>
    </w:rPr>
  </w:style>
  <w:style w:type="character" w:styleId="Hyperlink">
    <w:name w:val="Hyperlink"/>
    <w:basedOn w:val="DefaultParagraphFont"/>
    <w:uiPriority w:val="99"/>
    <w:unhideWhenUsed/>
    <w:rsid w:val="00186EEE"/>
    <w:rPr>
      <w:color w:val="0077CC"/>
      <w:u w:val="single"/>
    </w:rPr>
  </w:style>
  <w:style w:type="character" w:customStyle="1" w:styleId="sssh">
    <w:name w:val="ss_sh"/>
    <w:basedOn w:val="DefaultParagraphFont"/>
    <w:rsid w:val="00186EEE"/>
  </w:style>
  <w:style w:type="character" w:styleId="UnresolvedMention">
    <w:name w:val="Unresolved Mention"/>
    <w:basedOn w:val="DefaultParagraphFont"/>
    <w:uiPriority w:val="99"/>
    <w:semiHidden/>
    <w:unhideWhenUsed/>
    <w:rsid w:val="00186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572600">
      <w:bodyDiv w:val="1"/>
      <w:marLeft w:val="0"/>
      <w:marRight w:val="0"/>
      <w:marTop w:val="0"/>
      <w:marBottom w:val="0"/>
      <w:divBdr>
        <w:top w:val="none" w:sz="0" w:space="0" w:color="auto"/>
        <w:left w:val="none" w:sz="0" w:space="0" w:color="auto"/>
        <w:bottom w:val="none" w:sz="0" w:space="0" w:color="auto"/>
        <w:right w:val="none" w:sz="0" w:space="0" w:color="auto"/>
      </w:divBdr>
      <w:divsChild>
        <w:div w:id="88533172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746415416">
      <w:bodyDiv w:val="1"/>
      <w:marLeft w:val="0"/>
      <w:marRight w:val="0"/>
      <w:marTop w:val="0"/>
      <w:marBottom w:val="0"/>
      <w:divBdr>
        <w:top w:val="none" w:sz="0" w:space="0" w:color="auto"/>
        <w:left w:val="none" w:sz="0" w:space="0" w:color="auto"/>
        <w:bottom w:val="none" w:sz="0" w:space="0" w:color="auto"/>
        <w:right w:val="none" w:sz="0" w:space="0" w:color="auto"/>
      </w:divBdr>
      <w:divsChild>
        <w:div w:id="810831268">
          <w:marLeft w:val="0"/>
          <w:marRight w:val="0"/>
          <w:marTop w:val="0"/>
          <w:marBottom w:val="0"/>
          <w:divBdr>
            <w:top w:val="none" w:sz="0" w:space="0" w:color="auto"/>
            <w:left w:val="none" w:sz="0" w:space="0" w:color="auto"/>
            <w:bottom w:val="none" w:sz="0" w:space="0" w:color="auto"/>
            <w:right w:val="none" w:sz="0" w:space="0" w:color="auto"/>
          </w:divBdr>
          <w:divsChild>
            <w:div w:id="36665364">
              <w:marLeft w:val="0"/>
              <w:marRight w:val="0"/>
              <w:marTop w:val="0"/>
              <w:marBottom w:val="0"/>
              <w:divBdr>
                <w:top w:val="none" w:sz="0" w:space="0" w:color="auto"/>
                <w:left w:val="none" w:sz="0" w:space="0" w:color="auto"/>
                <w:bottom w:val="none" w:sz="0" w:space="0" w:color="auto"/>
                <w:right w:val="none" w:sz="0" w:space="0" w:color="auto"/>
              </w:divBdr>
              <w:divsChild>
                <w:div w:id="162161477">
                  <w:marLeft w:val="0"/>
                  <w:marRight w:val="0"/>
                  <w:marTop w:val="0"/>
                  <w:marBottom w:val="0"/>
                  <w:divBdr>
                    <w:top w:val="none" w:sz="0" w:space="0" w:color="auto"/>
                    <w:left w:val="none" w:sz="0" w:space="0" w:color="auto"/>
                    <w:bottom w:val="none" w:sz="0" w:space="0" w:color="auto"/>
                    <w:right w:val="none" w:sz="0" w:space="0" w:color="auto"/>
                  </w:divBdr>
                  <w:divsChild>
                    <w:div w:id="519204585">
                      <w:marLeft w:val="0"/>
                      <w:marRight w:val="300"/>
                      <w:marTop w:val="0"/>
                      <w:marBottom w:val="0"/>
                      <w:divBdr>
                        <w:top w:val="none" w:sz="0" w:space="0" w:color="auto"/>
                        <w:left w:val="none" w:sz="0" w:space="0" w:color="auto"/>
                        <w:bottom w:val="none" w:sz="0" w:space="0" w:color="auto"/>
                        <w:right w:val="none" w:sz="0" w:space="0" w:color="auto"/>
                      </w:divBdr>
                      <w:divsChild>
                        <w:div w:id="440076956">
                          <w:marLeft w:val="0"/>
                          <w:marRight w:val="300"/>
                          <w:marTop w:val="0"/>
                          <w:marBottom w:val="0"/>
                          <w:divBdr>
                            <w:top w:val="none" w:sz="0" w:space="0" w:color="auto"/>
                            <w:left w:val="none" w:sz="0" w:space="0" w:color="auto"/>
                            <w:bottom w:val="none" w:sz="0" w:space="0" w:color="auto"/>
                            <w:right w:val="none" w:sz="0" w:space="0" w:color="auto"/>
                          </w:divBdr>
                          <w:divsChild>
                            <w:div w:id="841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Y&amp;serNum=1951120709&amp;pubNum=0000708&amp;originatingDoc=Ib493d42434cc11d9abe5ec754599669c&amp;refType=RP&amp;originationContext=document&amp;transitionType=DocumentItem&amp;contextData=(sc.UserEnteredCit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1.next.westlaw.com/Link/Document/FullText?findType=L&amp;pubNum=1000546&amp;cite=16USCAS824&amp;originatingDoc=Ib493d42434cc11d9abe5ec754599669c&amp;refType=RB&amp;originationContext=document&amp;transitionType=DocumentItem&amp;contextData=(sc.UserEnteredCitation)"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C39EE-AC0C-453E-A1F7-379EFB191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38</Pages>
  <Words>9854</Words>
  <Characters>56169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Showers, Andrew</dc:creator>
  <cp:keywords/>
  <dc:description/>
  <cp:lastModifiedBy>Sheffer, Ryan</cp:lastModifiedBy>
  <cp:revision>25</cp:revision>
  <cp:lastPrinted>2019-05-13T23:18:00Z</cp:lastPrinted>
  <dcterms:created xsi:type="dcterms:W3CDTF">2021-06-03T11:19:00Z</dcterms:created>
  <dcterms:modified xsi:type="dcterms:W3CDTF">2021-06-17T15:56:00Z</dcterms:modified>
</cp:coreProperties>
</file>