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A146" w14:textId="77777777" w:rsidR="003A73BA" w:rsidRPr="00AF2A5C" w:rsidRDefault="003A73BA" w:rsidP="003A73BA">
      <w:pPr>
        <w:widowControl/>
        <w:tabs>
          <w:tab w:val="center" w:pos="4680"/>
        </w:tabs>
        <w:suppressAutoHyphens/>
        <w:jc w:val="center"/>
        <w:rPr>
          <w:b/>
          <w:sz w:val="26"/>
          <w:szCs w:val="26"/>
        </w:rPr>
      </w:pPr>
      <w:r w:rsidRPr="00AF2A5C">
        <w:rPr>
          <w:b/>
          <w:sz w:val="26"/>
          <w:szCs w:val="26"/>
        </w:rPr>
        <w:t>PENNSYLVANIA</w:t>
      </w:r>
    </w:p>
    <w:p w14:paraId="4A3ABDB7" w14:textId="77777777" w:rsidR="003A73BA" w:rsidRPr="00AF2A5C" w:rsidRDefault="003A73BA" w:rsidP="003A73BA">
      <w:pPr>
        <w:widowControl/>
        <w:tabs>
          <w:tab w:val="center" w:pos="4680"/>
        </w:tabs>
        <w:suppressAutoHyphens/>
        <w:jc w:val="center"/>
        <w:rPr>
          <w:sz w:val="26"/>
          <w:szCs w:val="26"/>
        </w:rPr>
      </w:pPr>
      <w:r w:rsidRPr="00AF2A5C">
        <w:rPr>
          <w:b/>
          <w:sz w:val="26"/>
          <w:szCs w:val="26"/>
        </w:rPr>
        <w:t>PUBLIC UTILITY COMMISSION</w:t>
      </w:r>
    </w:p>
    <w:p w14:paraId="4A8CF3AA" w14:textId="77777777" w:rsidR="003A73BA" w:rsidRPr="00AF2A5C" w:rsidRDefault="003A73BA" w:rsidP="003A73BA">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1C6CA6F6" w14:textId="77777777" w:rsidR="003A73BA" w:rsidRDefault="003A73BA" w:rsidP="003A73BA">
      <w:pPr>
        <w:widowControl/>
        <w:tabs>
          <w:tab w:val="left" w:pos="-720"/>
        </w:tabs>
        <w:suppressAutoHyphens/>
        <w:rPr>
          <w:sz w:val="26"/>
          <w:szCs w:val="26"/>
        </w:rPr>
      </w:pPr>
    </w:p>
    <w:p w14:paraId="0F4DFBEB" w14:textId="77777777" w:rsidR="003A73BA" w:rsidRPr="00AF2A5C" w:rsidRDefault="003A73BA" w:rsidP="003A73BA">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3A73BA" w:rsidRPr="00AF2A5C" w14:paraId="447CE47E" w14:textId="77777777" w:rsidTr="003F3F93">
        <w:tc>
          <w:tcPr>
            <w:tcW w:w="4819" w:type="dxa"/>
          </w:tcPr>
          <w:p w14:paraId="3DC623F6" w14:textId="77777777" w:rsidR="003A73BA" w:rsidRPr="00933E11" w:rsidRDefault="003A73BA" w:rsidP="003F3F93">
            <w:pPr>
              <w:widowControl/>
              <w:rPr>
                <w:rFonts w:ascii="Times New Roman" w:hAnsi="Times New Roman" w:cs="Times New Roman"/>
                <w:sz w:val="26"/>
                <w:szCs w:val="26"/>
              </w:rPr>
            </w:pPr>
          </w:p>
        </w:tc>
        <w:tc>
          <w:tcPr>
            <w:tcW w:w="4541" w:type="dxa"/>
            <w:hideMark/>
          </w:tcPr>
          <w:p w14:paraId="755E7A0B" w14:textId="77777777" w:rsidR="003A73BA" w:rsidRPr="00BA522F" w:rsidRDefault="003A73BA" w:rsidP="003F3F93">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Pr>
                <w:rFonts w:ascii="Times New Roman" w:hAnsi="Times New Roman" w:cs="Times New Roman"/>
                <w:sz w:val="26"/>
                <w:szCs w:val="26"/>
              </w:rPr>
              <w:t>June 17</w:t>
            </w:r>
            <w:r w:rsidRPr="00BA522F">
              <w:rPr>
                <w:rFonts w:ascii="Times New Roman" w:hAnsi="Times New Roman" w:cs="Times New Roman"/>
                <w:sz w:val="26"/>
                <w:szCs w:val="26"/>
              </w:rPr>
              <w:t>, 2021</w:t>
            </w:r>
          </w:p>
        </w:tc>
      </w:tr>
      <w:tr w:rsidR="003A73BA" w:rsidRPr="00AF2A5C" w14:paraId="38D7B6BC" w14:textId="77777777" w:rsidTr="003F3F93">
        <w:tc>
          <w:tcPr>
            <w:tcW w:w="4819" w:type="dxa"/>
          </w:tcPr>
          <w:p w14:paraId="06569037" w14:textId="77777777" w:rsidR="003A73BA" w:rsidRPr="00BA522F" w:rsidRDefault="003A73BA" w:rsidP="003F3F93">
            <w:pPr>
              <w:widowControl/>
              <w:rPr>
                <w:rFonts w:ascii="Times New Roman" w:hAnsi="Times New Roman" w:cs="Times New Roman"/>
                <w:sz w:val="26"/>
                <w:szCs w:val="26"/>
              </w:rPr>
            </w:pPr>
          </w:p>
          <w:p w14:paraId="41E74AAC" w14:textId="77777777" w:rsidR="003A73BA" w:rsidRDefault="003A73BA" w:rsidP="003F3F93">
            <w:pPr>
              <w:widowControl/>
              <w:rPr>
                <w:rFonts w:ascii="Times New Roman" w:hAnsi="Times New Roman" w:cs="Times New Roman"/>
                <w:sz w:val="26"/>
                <w:szCs w:val="26"/>
              </w:rPr>
            </w:pPr>
          </w:p>
          <w:p w14:paraId="61288744" w14:textId="77777777" w:rsidR="003A73BA" w:rsidRPr="00BA522F" w:rsidRDefault="003A73BA" w:rsidP="003F3F93">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6ADA3349" w14:textId="77777777" w:rsidR="003A73BA" w:rsidRPr="00BA522F" w:rsidRDefault="003A73BA" w:rsidP="003F3F93">
            <w:pPr>
              <w:widowControl/>
              <w:rPr>
                <w:rFonts w:ascii="Times New Roman" w:hAnsi="Times New Roman" w:cs="Times New Roman"/>
                <w:sz w:val="26"/>
                <w:szCs w:val="26"/>
              </w:rPr>
            </w:pPr>
          </w:p>
          <w:p w14:paraId="4FEE73D3" w14:textId="77777777" w:rsidR="003A73BA" w:rsidRPr="00BA522F" w:rsidRDefault="003A73BA" w:rsidP="003F3F93">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09DE4CAF" w14:textId="77777777" w:rsidR="003A73BA" w:rsidRPr="00BA522F" w:rsidRDefault="003A73BA" w:rsidP="003F3F93">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David W. Sweet, Vice Chairman</w:t>
            </w:r>
          </w:p>
          <w:p w14:paraId="30307FAF" w14:textId="77777777" w:rsidR="003A73BA" w:rsidRPr="00BA522F" w:rsidRDefault="003A73BA" w:rsidP="003F3F93">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John F. Coleman, Jr. </w:t>
            </w:r>
          </w:p>
          <w:p w14:paraId="4F9F398F" w14:textId="77777777" w:rsidR="003A73BA" w:rsidRPr="00BA522F" w:rsidRDefault="003A73BA" w:rsidP="003F3F93">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2A700CC0" w14:textId="77777777" w:rsidR="003A73BA" w:rsidRPr="00BA522F" w:rsidRDefault="003A73BA" w:rsidP="003F3F93">
            <w:pPr>
              <w:widowControl/>
              <w:rPr>
                <w:rFonts w:ascii="Times New Roman" w:hAnsi="Times New Roman" w:cs="Times New Roman"/>
                <w:sz w:val="26"/>
                <w:szCs w:val="26"/>
              </w:rPr>
            </w:pPr>
          </w:p>
        </w:tc>
        <w:tc>
          <w:tcPr>
            <w:tcW w:w="4541" w:type="dxa"/>
          </w:tcPr>
          <w:p w14:paraId="27A5E783" w14:textId="77777777" w:rsidR="003A73BA" w:rsidRPr="00BA522F" w:rsidRDefault="003A73BA" w:rsidP="003F3F93">
            <w:pPr>
              <w:widowControl/>
              <w:jc w:val="right"/>
              <w:rPr>
                <w:rFonts w:ascii="Times New Roman" w:hAnsi="Times New Roman" w:cs="Times New Roman"/>
                <w:sz w:val="26"/>
                <w:szCs w:val="26"/>
              </w:rPr>
            </w:pPr>
          </w:p>
          <w:p w14:paraId="22AF4430" w14:textId="77777777" w:rsidR="003A73BA" w:rsidRPr="00BA522F" w:rsidRDefault="003A73BA" w:rsidP="003F3F93">
            <w:pPr>
              <w:widowControl/>
              <w:jc w:val="right"/>
              <w:rPr>
                <w:rFonts w:ascii="Times New Roman" w:hAnsi="Times New Roman" w:cs="Times New Roman"/>
                <w:sz w:val="26"/>
                <w:szCs w:val="26"/>
              </w:rPr>
            </w:pPr>
          </w:p>
        </w:tc>
      </w:tr>
      <w:tr w:rsidR="003A73BA" w:rsidRPr="00AF2A5C" w14:paraId="3412CAE5" w14:textId="77777777" w:rsidTr="003F3F93">
        <w:tc>
          <w:tcPr>
            <w:tcW w:w="4819" w:type="dxa"/>
          </w:tcPr>
          <w:p w14:paraId="468A2735" w14:textId="77777777" w:rsidR="003A73BA" w:rsidRPr="00BA522F" w:rsidRDefault="003A73BA" w:rsidP="003F3F93">
            <w:pPr>
              <w:widowControl/>
              <w:rPr>
                <w:rFonts w:ascii="Times New Roman" w:hAnsi="Times New Roman" w:cs="Times New Roman"/>
                <w:sz w:val="26"/>
                <w:szCs w:val="26"/>
              </w:rPr>
            </w:pPr>
          </w:p>
          <w:p w14:paraId="28F3D493" w14:textId="5A4B4FC2" w:rsidR="003A73BA" w:rsidRPr="00BA522F" w:rsidRDefault="003A73BA" w:rsidP="003F3F93">
            <w:pPr>
              <w:widowControl/>
              <w:rPr>
                <w:rFonts w:ascii="Times New Roman" w:hAnsi="Times New Roman" w:cs="Times New Roman"/>
                <w:kern w:val="1"/>
                <w:sz w:val="26"/>
                <w:szCs w:val="26"/>
              </w:rPr>
            </w:pPr>
            <w:r>
              <w:rPr>
                <w:rFonts w:ascii="Times New Roman" w:hAnsi="Times New Roman" w:cs="Times New Roman"/>
                <w:kern w:val="1"/>
                <w:sz w:val="26"/>
                <w:szCs w:val="26"/>
              </w:rPr>
              <w:t>Application of Packhorse Moving LLC</w:t>
            </w:r>
            <w:r w:rsidRPr="00BA522F">
              <w:rPr>
                <w:rFonts w:ascii="Times New Roman" w:hAnsi="Times New Roman" w:cs="Times New Roman"/>
                <w:kern w:val="1"/>
                <w:sz w:val="26"/>
                <w:szCs w:val="26"/>
              </w:rPr>
              <w:t xml:space="preserve"> </w:t>
            </w:r>
          </w:p>
          <w:p w14:paraId="2D2EC5FF" w14:textId="77777777" w:rsidR="003A73BA" w:rsidRPr="00BA522F" w:rsidRDefault="003A73BA" w:rsidP="003F3F93">
            <w:pPr>
              <w:widowControl/>
              <w:rPr>
                <w:rFonts w:ascii="Times New Roman" w:hAnsi="Times New Roman" w:cs="Times New Roman"/>
                <w:sz w:val="26"/>
                <w:szCs w:val="26"/>
              </w:rPr>
            </w:pPr>
          </w:p>
        </w:tc>
        <w:tc>
          <w:tcPr>
            <w:tcW w:w="4541" w:type="dxa"/>
            <w:hideMark/>
          </w:tcPr>
          <w:p w14:paraId="766EA31F" w14:textId="77777777" w:rsidR="003A73BA" w:rsidRPr="00BA522F" w:rsidRDefault="003A73BA" w:rsidP="003F3F93">
            <w:pPr>
              <w:widowControl/>
              <w:jc w:val="right"/>
              <w:rPr>
                <w:rFonts w:ascii="Times New Roman" w:hAnsi="Times New Roman" w:cs="Times New Roman"/>
                <w:sz w:val="26"/>
                <w:szCs w:val="26"/>
              </w:rPr>
            </w:pPr>
          </w:p>
          <w:p w14:paraId="0D74D427" w14:textId="6EB005AF" w:rsidR="003A73BA" w:rsidRPr="00BA522F" w:rsidRDefault="003A73BA" w:rsidP="003F3F93">
            <w:pPr>
              <w:widowControl/>
              <w:jc w:val="right"/>
              <w:rPr>
                <w:rFonts w:ascii="Times New Roman" w:hAnsi="Times New Roman" w:cs="Times New Roman"/>
                <w:sz w:val="26"/>
                <w:szCs w:val="26"/>
              </w:rPr>
            </w:pPr>
            <w:bookmarkStart w:id="0" w:name="_Hlk67560304"/>
            <w:r>
              <w:rPr>
                <w:rFonts w:ascii="Times New Roman" w:hAnsi="Times New Roman" w:cs="Times New Roman"/>
                <w:sz w:val="26"/>
                <w:szCs w:val="26"/>
              </w:rPr>
              <w:t>A</w:t>
            </w:r>
            <w:r w:rsidRPr="00BA522F">
              <w:rPr>
                <w:rFonts w:ascii="Times New Roman" w:hAnsi="Times New Roman" w:cs="Times New Roman"/>
                <w:sz w:val="26"/>
                <w:szCs w:val="26"/>
              </w:rPr>
              <w:t>-2020-30</w:t>
            </w:r>
            <w:bookmarkEnd w:id="0"/>
            <w:r>
              <w:rPr>
                <w:rFonts w:ascii="Times New Roman" w:hAnsi="Times New Roman" w:cs="Times New Roman"/>
                <w:sz w:val="26"/>
                <w:szCs w:val="26"/>
              </w:rPr>
              <w:t>23024</w:t>
            </w:r>
          </w:p>
          <w:p w14:paraId="55FB8142" w14:textId="497F6054" w:rsidR="003A73BA" w:rsidRPr="00BA522F" w:rsidRDefault="003A73BA" w:rsidP="003F3F93">
            <w:pPr>
              <w:widowControl/>
              <w:jc w:val="right"/>
              <w:rPr>
                <w:rFonts w:ascii="Times New Roman" w:hAnsi="Times New Roman" w:cs="Times New Roman"/>
                <w:sz w:val="26"/>
                <w:szCs w:val="26"/>
              </w:rPr>
            </w:pPr>
            <w:r>
              <w:rPr>
                <w:rFonts w:ascii="Times New Roman" w:hAnsi="Times New Roman" w:cs="Times New Roman"/>
                <w:sz w:val="26"/>
                <w:szCs w:val="26"/>
              </w:rPr>
              <w:t>A-8923623</w:t>
            </w:r>
          </w:p>
          <w:p w14:paraId="2C9A9772" w14:textId="77777777" w:rsidR="003A73BA" w:rsidRPr="00BA522F" w:rsidRDefault="003A73BA" w:rsidP="003F3F93">
            <w:pPr>
              <w:widowControl/>
              <w:jc w:val="right"/>
              <w:rPr>
                <w:rFonts w:ascii="Times New Roman" w:hAnsi="Times New Roman" w:cs="Times New Roman"/>
                <w:sz w:val="26"/>
                <w:szCs w:val="26"/>
              </w:rPr>
            </w:pPr>
          </w:p>
          <w:p w14:paraId="41B0BB6B" w14:textId="77777777" w:rsidR="003A73BA" w:rsidRPr="00BA522F" w:rsidRDefault="003A73BA" w:rsidP="003F3F93">
            <w:pPr>
              <w:widowControl/>
              <w:jc w:val="right"/>
              <w:rPr>
                <w:rFonts w:ascii="Times New Roman" w:hAnsi="Times New Roman" w:cs="Times New Roman"/>
                <w:sz w:val="26"/>
                <w:szCs w:val="26"/>
              </w:rPr>
            </w:pPr>
          </w:p>
        </w:tc>
      </w:tr>
    </w:tbl>
    <w:p w14:paraId="4FFE708F" w14:textId="77777777" w:rsidR="003A73BA" w:rsidRDefault="003A73BA" w:rsidP="003A73BA">
      <w:pPr>
        <w:widowControl/>
        <w:jc w:val="center"/>
        <w:rPr>
          <w:b/>
          <w:sz w:val="26"/>
          <w:szCs w:val="26"/>
        </w:rPr>
      </w:pPr>
    </w:p>
    <w:p w14:paraId="6F30EEB8" w14:textId="77777777" w:rsidR="003A73BA" w:rsidRDefault="003A73BA" w:rsidP="003A73BA">
      <w:pPr>
        <w:widowControl/>
        <w:jc w:val="center"/>
        <w:rPr>
          <w:b/>
          <w:sz w:val="26"/>
          <w:szCs w:val="26"/>
        </w:rPr>
      </w:pPr>
    </w:p>
    <w:p w14:paraId="258FCCE8" w14:textId="77777777" w:rsidR="00A263FF" w:rsidRDefault="00A263FF" w:rsidP="003A73BA">
      <w:pPr>
        <w:widowControl/>
        <w:jc w:val="center"/>
        <w:rPr>
          <w:b/>
          <w:sz w:val="26"/>
          <w:szCs w:val="26"/>
        </w:rPr>
      </w:pPr>
    </w:p>
    <w:p w14:paraId="434301B4" w14:textId="163FB858" w:rsidR="003A73BA" w:rsidRPr="00A9787D" w:rsidRDefault="003A73BA" w:rsidP="003A73BA">
      <w:pPr>
        <w:widowControl/>
        <w:jc w:val="center"/>
        <w:rPr>
          <w:b/>
          <w:sz w:val="26"/>
          <w:szCs w:val="26"/>
        </w:rPr>
      </w:pPr>
      <w:r w:rsidRPr="00A9787D">
        <w:rPr>
          <w:b/>
          <w:sz w:val="26"/>
          <w:szCs w:val="26"/>
        </w:rPr>
        <w:t>OPINION AND ORDER</w:t>
      </w:r>
    </w:p>
    <w:p w14:paraId="7CA52FC7" w14:textId="77777777" w:rsidR="003A73BA" w:rsidRDefault="003A73BA" w:rsidP="003A73BA">
      <w:pPr>
        <w:widowControl/>
        <w:rPr>
          <w:b/>
          <w:sz w:val="26"/>
          <w:szCs w:val="26"/>
        </w:rPr>
      </w:pPr>
    </w:p>
    <w:p w14:paraId="6826D9E1" w14:textId="77777777" w:rsidR="003A73BA" w:rsidRPr="00A9787D" w:rsidRDefault="003A73BA" w:rsidP="003A73BA">
      <w:pPr>
        <w:widowControl/>
        <w:rPr>
          <w:b/>
          <w:sz w:val="26"/>
          <w:szCs w:val="26"/>
        </w:rPr>
      </w:pPr>
    </w:p>
    <w:p w14:paraId="35817EDB" w14:textId="02976FAC" w:rsidR="003A73BA" w:rsidRDefault="003A73BA" w:rsidP="00121CA8">
      <w:pPr>
        <w:widowControl/>
        <w:rPr>
          <w:b/>
          <w:sz w:val="26"/>
          <w:szCs w:val="26"/>
        </w:rPr>
      </w:pPr>
      <w:r w:rsidRPr="00A9787D">
        <w:rPr>
          <w:b/>
          <w:sz w:val="26"/>
          <w:szCs w:val="26"/>
        </w:rPr>
        <w:t>BY THE COMMISSION:</w:t>
      </w:r>
    </w:p>
    <w:p w14:paraId="06A3DB5A" w14:textId="77777777" w:rsidR="00121CA8" w:rsidRDefault="00121CA8" w:rsidP="00121CA8">
      <w:pPr>
        <w:widowControl/>
        <w:spacing w:line="360" w:lineRule="auto"/>
        <w:rPr>
          <w:b/>
          <w:sz w:val="26"/>
          <w:szCs w:val="26"/>
        </w:rPr>
      </w:pPr>
    </w:p>
    <w:p w14:paraId="43EC6389" w14:textId="020F7269" w:rsidR="003A73BA" w:rsidRDefault="003A73BA" w:rsidP="003A73BA">
      <w:pPr>
        <w:widowControl/>
        <w:spacing w:line="360" w:lineRule="auto"/>
        <w:ind w:firstLine="1440"/>
        <w:rPr>
          <w:bCs/>
          <w:sz w:val="26"/>
          <w:szCs w:val="26"/>
        </w:rPr>
      </w:pPr>
      <w:r>
        <w:rPr>
          <w:bCs/>
          <w:sz w:val="26"/>
          <w:szCs w:val="26"/>
        </w:rPr>
        <w:t xml:space="preserve">Before the Pennsylvania Public Utility Commission (Commission) for consideration and disposition is the </w:t>
      </w:r>
      <w:r>
        <w:rPr>
          <w:color w:val="000000"/>
          <w:sz w:val="26"/>
        </w:rPr>
        <w:t xml:space="preserve">Petition for Reconsideration of Staff Action (Petition) filed by Packhorse Moving </w:t>
      </w:r>
      <w:r>
        <w:rPr>
          <w:kern w:val="1"/>
          <w:sz w:val="26"/>
          <w:szCs w:val="26"/>
        </w:rPr>
        <w:t>LLC</w:t>
      </w:r>
      <w:r>
        <w:rPr>
          <w:color w:val="000000"/>
          <w:sz w:val="26"/>
        </w:rPr>
        <w:t xml:space="preserve"> (Applicant or Packhorse) on January 21, 2021.  The Petition was filed in response to the Secretarial Letter issued on January 11, 2021 (</w:t>
      </w:r>
      <w:r>
        <w:rPr>
          <w:i/>
          <w:iCs/>
          <w:color w:val="000000"/>
          <w:sz w:val="26"/>
        </w:rPr>
        <w:t>January 2021 Secretarial Letter</w:t>
      </w:r>
      <w:r>
        <w:rPr>
          <w:color w:val="000000"/>
          <w:sz w:val="26"/>
        </w:rPr>
        <w:t xml:space="preserve">), in the above-captioned docket number, which dismissed the Applicant’s Application for a Certificate of Public Convenience as a motor common carrier or motor contract carrier of household goods in use authority.  For the reasons set forth herein, </w:t>
      </w:r>
      <w:r w:rsidRPr="00181362">
        <w:rPr>
          <w:color w:val="000000"/>
          <w:sz w:val="26"/>
        </w:rPr>
        <w:t xml:space="preserve">we will </w:t>
      </w:r>
      <w:r w:rsidR="00387070">
        <w:rPr>
          <w:color w:val="000000"/>
          <w:sz w:val="26"/>
        </w:rPr>
        <w:t>grant</w:t>
      </w:r>
      <w:r>
        <w:rPr>
          <w:color w:val="000000"/>
          <w:sz w:val="26"/>
        </w:rPr>
        <w:t xml:space="preserve"> </w:t>
      </w:r>
      <w:r w:rsidRPr="00181362">
        <w:rPr>
          <w:color w:val="000000"/>
          <w:sz w:val="26"/>
        </w:rPr>
        <w:t xml:space="preserve">the Petition, </w:t>
      </w:r>
      <w:r w:rsidR="0040468F">
        <w:rPr>
          <w:color w:val="000000"/>
          <w:sz w:val="26"/>
        </w:rPr>
        <w:t xml:space="preserve">rescind the </w:t>
      </w:r>
      <w:r w:rsidR="0040468F">
        <w:rPr>
          <w:i/>
          <w:iCs/>
          <w:color w:val="000000"/>
          <w:sz w:val="26"/>
        </w:rPr>
        <w:t>January 2021 Secretarial Letter</w:t>
      </w:r>
      <w:r w:rsidR="007923E5">
        <w:rPr>
          <w:color w:val="000000"/>
          <w:sz w:val="26"/>
        </w:rPr>
        <w:t>,</w:t>
      </w:r>
      <w:r w:rsidR="0040468F">
        <w:rPr>
          <w:rFonts w:eastAsia="Calibri"/>
          <w:sz w:val="26"/>
          <w:szCs w:val="26"/>
        </w:rPr>
        <w:t xml:space="preserve"> and refer this matter to the </w:t>
      </w:r>
      <w:r w:rsidR="0040468F">
        <w:rPr>
          <w:bCs/>
          <w:sz w:val="26"/>
          <w:szCs w:val="26"/>
        </w:rPr>
        <w:t>Bureau of Technical Utility Services (</w:t>
      </w:r>
      <w:r w:rsidR="0040468F">
        <w:rPr>
          <w:rFonts w:eastAsia="Calibri"/>
          <w:sz w:val="26"/>
          <w:szCs w:val="26"/>
        </w:rPr>
        <w:t>TUS)</w:t>
      </w:r>
      <w:r w:rsidR="00596DD5">
        <w:rPr>
          <w:rFonts w:eastAsia="Calibri"/>
          <w:sz w:val="26"/>
          <w:szCs w:val="26"/>
        </w:rPr>
        <w:t xml:space="preserve"> for </w:t>
      </w:r>
      <w:r w:rsidR="00596DD5">
        <w:rPr>
          <w:sz w:val="26"/>
          <w:szCs w:val="26"/>
        </w:rPr>
        <w:t>such further action as may be deemed warranted</w:t>
      </w:r>
      <w:r w:rsidR="00596DD5">
        <w:rPr>
          <w:rFonts w:eastAsia="Calibri"/>
          <w:sz w:val="26"/>
          <w:szCs w:val="26"/>
        </w:rPr>
        <w:t>,</w:t>
      </w:r>
      <w:r w:rsidR="0040468F" w:rsidRPr="00181362">
        <w:rPr>
          <w:sz w:val="26"/>
          <w:szCs w:val="26"/>
        </w:rPr>
        <w:t xml:space="preserve"> </w:t>
      </w:r>
      <w:r w:rsidRPr="00181362">
        <w:rPr>
          <w:sz w:val="26"/>
          <w:szCs w:val="26"/>
        </w:rPr>
        <w:t>consistent with this Opinion and Order.</w:t>
      </w:r>
      <w:r>
        <w:rPr>
          <w:bCs/>
          <w:sz w:val="26"/>
          <w:szCs w:val="26"/>
        </w:rPr>
        <w:t xml:space="preserve">  </w:t>
      </w:r>
    </w:p>
    <w:p w14:paraId="3F4F2D15" w14:textId="77777777" w:rsidR="003A73BA" w:rsidRDefault="003A73BA" w:rsidP="003A73BA">
      <w:pPr>
        <w:pStyle w:val="ListParagraph"/>
        <w:widowControl/>
        <w:spacing w:line="360" w:lineRule="auto"/>
        <w:ind w:left="0"/>
        <w:jc w:val="center"/>
        <w:rPr>
          <w:b/>
          <w:sz w:val="26"/>
          <w:szCs w:val="26"/>
        </w:rPr>
      </w:pPr>
      <w:r>
        <w:rPr>
          <w:b/>
          <w:sz w:val="26"/>
          <w:szCs w:val="26"/>
        </w:rPr>
        <w:lastRenderedPageBreak/>
        <w:t>History of the Proceeding</w:t>
      </w:r>
    </w:p>
    <w:p w14:paraId="5B8149B5" w14:textId="77777777" w:rsidR="003A73BA" w:rsidRDefault="003A73BA" w:rsidP="003A73BA">
      <w:pPr>
        <w:pStyle w:val="ListParagraph"/>
        <w:widowControl/>
        <w:spacing w:line="360" w:lineRule="auto"/>
        <w:ind w:left="0"/>
        <w:jc w:val="center"/>
        <w:rPr>
          <w:b/>
          <w:sz w:val="26"/>
          <w:szCs w:val="26"/>
        </w:rPr>
      </w:pPr>
    </w:p>
    <w:p w14:paraId="252D9ED4" w14:textId="77777777" w:rsidR="0040468F" w:rsidRDefault="003A73BA" w:rsidP="003A73BA">
      <w:pPr>
        <w:pStyle w:val="ListParagraph"/>
        <w:widowControl/>
        <w:spacing w:line="360" w:lineRule="auto"/>
        <w:ind w:left="0" w:firstLine="1440"/>
        <w:rPr>
          <w:sz w:val="26"/>
          <w:szCs w:val="26"/>
        </w:rPr>
      </w:pPr>
      <w:r w:rsidRPr="00D76603">
        <w:rPr>
          <w:bCs/>
          <w:sz w:val="26"/>
          <w:szCs w:val="26"/>
        </w:rPr>
        <w:t xml:space="preserve">On </w:t>
      </w:r>
      <w:r w:rsidR="00D2380C">
        <w:rPr>
          <w:bCs/>
          <w:sz w:val="26"/>
          <w:szCs w:val="26"/>
        </w:rPr>
        <w:t>Novem</w:t>
      </w:r>
      <w:r>
        <w:rPr>
          <w:bCs/>
          <w:sz w:val="26"/>
          <w:szCs w:val="26"/>
        </w:rPr>
        <w:t>ber 2</w:t>
      </w:r>
      <w:r w:rsidR="00D2380C">
        <w:rPr>
          <w:bCs/>
          <w:sz w:val="26"/>
          <w:szCs w:val="26"/>
        </w:rPr>
        <w:t>5</w:t>
      </w:r>
      <w:r w:rsidRPr="00D76603">
        <w:rPr>
          <w:bCs/>
          <w:sz w:val="26"/>
          <w:szCs w:val="26"/>
        </w:rPr>
        <w:t xml:space="preserve">, 2020, </w:t>
      </w:r>
      <w:r w:rsidR="00D2380C">
        <w:rPr>
          <w:bCs/>
          <w:sz w:val="26"/>
          <w:szCs w:val="26"/>
        </w:rPr>
        <w:t>Packhorse</w:t>
      </w:r>
      <w:r>
        <w:rPr>
          <w:bCs/>
          <w:sz w:val="26"/>
          <w:szCs w:val="26"/>
        </w:rPr>
        <w:t xml:space="preserve"> </w:t>
      </w:r>
      <w:r w:rsidRPr="00D76603">
        <w:rPr>
          <w:bCs/>
          <w:sz w:val="26"/>
          <w:szCs w:val="26"/>
        </w:rPr>
        <w:t xml:space="preserve">filed an </w:t>
      </w:r>
      <w:r>
        <w:rPr>
          <w:bCs/>
          <w:sz w:val="26"/>
          <w:szCs w:val="26"/>
        </w:rPr>
        <w:t xml:space="preserve">Application </w:t>
      </w:r>
      <w:r>
        <w:rPr>
          <w:sz w:val="26"/>
        </w:rPr>
        <w:t>with the Commission</w:t>
      </w:r>
      <w:r w:rsidRPr="006B25A8">
        <w:rPr>
          <w:sz w:val="26"/>
        </w:rPr>
        <w:t xml:space="preserve"> </w:t>
      </w:r>
      <w:r>
        <w:rPr>
          <w:sz w:val="26"/>
        </w:rPr>
        <w:t xml:space="preserve">seeking approval to obtain </w:t>
      </w:r>
      <w:r w:rsidR="00D2380C">
        <w:rPr>
          <w:color w:val="000000"/>
          <w:sz w:val="26"/>
        </w:rPr>
        <w:t>motor common carrier or motor contract carrier of household goods in use authority</w:t>
      </w:r>
      <w:r w:rsidR="00D2380C">
        <w:rPr>
          <w:sz w:val="26"/>
        </w:rPr>
        <w:t xml:space="preserve"> to transport household goods in use</w:t>
      </w:r>
      <w:r w:rsidR="00D2380C" w:rsidRPr="006B25A8">
        <w:rPr>
          <w:sz w:val="26"/>
        </w:rPr>
        <w:t xml:space="preserve"> between points in </w:t>
      </w:r>
      <w:r w:rsidR="00D2380C">
        <w:rPr>
          <w:sz w:val="26"/>
        </w:rPr>
        <w:t>Pennsylvania</w:t>
      </w:r>
      <w:r w:rsidR="00D2380C" w:rsidRPr="006B25A8">
        <w:rPr>
          <w:sz w:val="26"/>
        </w:rPr>
        <w:t>.</w:t>
      </w:r>
      <w:r w:rsidR="00D2380C">
        <w:rPr>
          <w:sz w:val="26"/>
        </w:rPr>
        <w:t xml:space="preserve">  </w:t>
      </w:r>
      <w:r w:rsidR="00D2380C">
        <w:rPr>
          <w:i/>
          <w:iCs/>
          <w:sz w:val="26"/>
        </w:rPr>
        <w:t xml:space="preserve">See </w:t>
      </w:r>
      <w:r w:rsidR="00D2380C">
        <w:rPr>
          <w:sz w:val="26"/>
          <w:szCs w:val="26"/>
        </w:rPr>
        <w:t xml:space="preserve">52 Pa. Code § 31.1.  </w:t>
      </w:r>
    </w:p>
    <w:p w14:paraId="57DE534B" w14:textId="77777777" w:rsidR="0040468F" w:rsidRDefault="0040468F" w:rsidP="003A73BA">
      <w:pPr>
        <w:pStyle w:val="ListParagraph"/>
        <w:widowControl/>
        <w:spacing w:line="360" w:lineRule="auto"/>
        <w:ind w:left="0" w:firstLine="1440"/>
        <w:rPr>
          <w:sz w:val="26"/>
          <w:szCs w:val="26"/>
        </w:rPr>
      </w:pPr>
    </w:p>
    <w:p w14:paraId="09F57EBF" w14:textId="72CA75EF" w:rsidR="003A73BA" w:rsidRDefault="003A73BA" w:rsidP="003A73BA">
      <w:pPr>
        <w:pStyle w:val="ListParagraph"/>
        <w:widowControl/>
        <w:spacing w:line="360" w:lineRule="auto"/>
        <w:ind w:left="0" w:firstLine="1440"/>
        <w:rPr>
          <w:bCs/>
          <w:sz w:val="26"/>
          <w:szCs w:val="26"/>
        </w:rPr>
      </w:pPr>
      <w:r>
        <w:rPr>
          <w:bCs/>
          <w:sz w:val="26"/>
          <w:szCs w:val="26"/>
        </w:rPr>
        <w:t xml:space="preserve">On </w:t>
      </w:r>
      <w:r w:rsidR="00D2380C">
        <w:rPr>
          <w:bCs/>
          <w:sz w:val="26"/>
          <w:szCs w:val="26"/>
        </w:rPr>
        <w:t>December 1</w:t>
      </w:r>
      <w:r>
        <w:rPr>
          <w:bCs/>
          <w:sz w:val="26"/>
          <w:szCs w:val="26"/>
        </w:rPr>
        <w:t xml:space="preserve">, 2020, </w:t>
      </w:r>
      <w:r w:rsidR="006F1D32">
        <w:rPr>
          <w:bCs/>
          <w:sz w:val="26"/>
          <w:szCs w:val="26"/>
        </w:rPr>
        <w:t xml:space="preserve">TUS </w:t>
      </w:r>
      <w:r>
        <w:rPr>
          <w:bCs/>
          <w:sz w:val="26"/>
          <w:szCs w:val="26"/>
        </w:rPr>
        <w:t xml:space="preserve">issued a Secretarial Letter </w:t>
      </w:r>
      <w:r w:rsidR="00163199">
        <w:rPr>
          <w:bCs/>
          <w:sz w:val="26"/>
          <w:szCs w:val="26"/>
        </w:rPr>
        <w:t>(</w:t>
      </w:r>
      <w:r w:rsidR="00163199">
        <w:rPr>
          <w:bCs/>
          <w:i/>
          <w:iCs/>
          <w:sz w:val="26"/>
          <w:szCs w:val="26"/>
        </w:rPr>
        <w:t xml:space="preserve">December 2020 Secretarial </w:t>
      </w:r>
      <w:r w:rsidR="00163199" w:rsidRPr="00163199">
        <w:rPr>
          <w:bCs/>
          <w:i/>
          <w:iCs/>
          <w:sz w:val="26"/>
          <w:szCs w:val="26"/>
        </w:rPr>
        <w:t>Letter</w:t>
      </w:r>
      <w:r w:rsidR="00163199">
        <w:rPr>
          <w:bCs/>
          <w:sz w:val="26"/>
          <w:szCs w:val="26"/>
        </w:rPr>
        <w:t xml:space="preserve">) </w:t>
      </w:r>
      <w:r w:rsidRPr="00163199">
        <w:rPr>
          <w:bCs/>
          <w:sz w:val="26"/>
          <w:szCs w:val="26"/>
        </w:rPr>
        <w:t>stating</w:t>
      </w:r>
      <w:r>
        <w:rPr>
          <w:bCs/>
          <w:sz w:val="26"/>
          <w:szCs w:val="26"/>
        </w:rPr>
        <w:t xml:space="preserve"> that the Application was </w:t>
      </w:r>
      <w:r w:rsidR="00D2380C">
        <w:rPr>
          <w:bCs/>
          <w:sz w:val="26"/>
          <w:szCs w:val="26"/>
        </w:rPr>
        <w:t xml:space="preserve">accepted for filing but directed the Applicant to forward requested information to the Commission within ten days of receipt of this letter.  Specifically, the </w:t>
      </w:r>
      <w:r w:rsidR="00163199">
        <w:rPr>
          <w:bCs/>
          <w:i/>
          <w:iCs/>
          <w:sz w:val="26"/>
          <w:szCs w:val="26"/>
        </w:rPr>
        <w:t xml:space="preserve">December 2020 Secretarial </w:t>
      </w:r>
      <w:r w:rsidR="00163199" w:rsidRPr="00163199">
        <w:rPr>
          <w:bCs/>
          <w:i/>
          <w:iCs/>
          <w:sz w:val="26"/>
          <w:szCs w:val="26"/>
        </w:rPr>
        <w:t>Letter</w:t>
      </w:r>
      <w:r w:rsidR="00163199">
        <w:rPr>
          <w:bCs/>
          <w:sz w:val="26"/>
          <w:szCs w:val="26"/>
        </w:rPr>
        <w:t xml:space="preserve"> </w:t>
      </w:r>
      <w:r w:rsidR="00D2380C">
        <w:rPr>
          <w:bCs/>
          <w:sz w:val="26"/>
          <w:szCs w:val="26"/>
        </w:rPr>
        <w:t>directed Packhorse to</w:t>
      </w:r>
      <w:r w:rsidR="00163199">
        <w:rPr>
          <w:bCs/>
          <w:sz w:val="26"/>
          <w:szCs w:val="26"/>
        </w:rPr>
        <w:t xml:space="preserve">: </w:t>
      </w:r>
      <w:r w:rsidR="00AD6D1B">
        <w:rPr>
          <w:bCs/>
          <w:sz w:val="26"/>
          <w:szCs w:val="26"/>
        </w:rPr>
        <w:t xml:space="preserve"> </w:t>
      </w:r>
      <w:r w:rsidR="00163199">
        <w:rPr>
          <w:bCs/>
          <w:sz w:val="26"/>
          <w:szCs w:val="26"/>
        </w:rPr>
        <w:t>(1)</w:t>
      </w:r>
      <w:r w:rsidR="00D2380C">
        <w:rPr>
          <w:bCs/>
          <w:sz w:val="26"/>
          <w:szCs w:val="26"/>
        </w:rPr>
        <w:t xml:space="preserve"> verify its answers per 52 Pa. Code </w:t>
      </w:r>
      <w:r w:rsidR="00163199">
        <w:rPr>
          <w:sz w:val="26"/>
          <w:szCs w:val="26"/>
        </w:rPr>
        <w:t xml:space="preserve">§ 1.36 by filling in the blank provided in the </w:t>
      </w:r>
      <w:r w:rsidR="00387070">
        <w:rPr>
          <w:sz w:val="26"/>
          <w:szCs w:val="26"/>
        </w:rPr>
        <w:t>L</w:t>
      </w:r>
      <w:r w:rsidR="00163199">
        <w:rPr>
          <w:sz w:val="26"/>
          <w:szCs w:val="26"/>
        </w:rPr>
        <w:t>etter with the name of the appropriate company representative and the signature of that representative</w:t>
      </w:r>
      <w:r w:rsidR="0074355C">
        <w:rPr>
          <w:sz w:val="26"/>
          <w:szCs w:val="26"/>
        </w:rPr>
        <w:t>,</w:t>
      </w:r>
      <w:r w:rsidR="00163199">
        <w:rPr>
          <w:sz w:val="26"/>
          <w:szCs w:val="26"/>
        </w:rPr>
        <w:t xml:space="preserve"> and (2) expand on its answer to Question No. 3 of the Verified Statement relating to the Packhorse’s hiring a professional mover with more than two-years’ experience with a licensed household goods carrier.  </w:t>
      </w:r>
      <w:r w:rsidR="0061495C">
        <w:rPr>
          <w:bCs/>
          <w:i/>
          <w:iCs/>
          <w:sz w:val="26"/>
          <w:szCs w:val="26"/>
        </w:rPr>
        <w:t xml:space="preserve">December 2020 Secretarial </w:t>
      </w:r>
      <w:r w:rsidR="0061495C" w:rsidRPr="00163199">
        <w:rPr>
          <w:bCs/>
          <w:i/>
          <w:iCs/>
          <w:sz w:val="26"/>
          <w:szCs w:val="26"/>
        </w:rPr>
        <w:t>Letter</w:t>
      </w:r>
      <w:r w:rsidR="0061495C">
        <w:rPr>
          <w:sz w:val="26"/>
          <w:szCs w:val="26"/>
        </w:rPr>
        <w:t xml:space="preserve"> at</w:t>
      </w:r>
      <w:r w:rsidR="00A263FF">
        <w:rPr>
          <w:sz w:val="26"/>
          <w:szCs w:val="26"/>
        </w:rPr>
        <w:t> </w:t>
      </w:r>
      <w:r w:rsidR="0061495C">
        <w:rPr>
          <w:sz w:val="26"/>
          <w:szCs w:val="26"/>
        </w:rPr>
        <w:t xml:space="preserve">2-3.  </w:t>
      </w:r>
      <w:r w:rsidR="00163199">
        <w:rPr>
          <w:sz w:val="26"/>
          <w:szCs w:val="26"/>
        </w:rPr>
        <w:t xml:space="preserve">The </w:t>
      </w:r>
      <w:r w:rsidR="00163199">
        <w:rPr>
          <w:bCs/>
          <w:i/>
          <w:iCs/>
          <w:sz w:val="26"/>
          <w:szCs w:val="26"/>
        </w:rPr>
        <w:t xml:space="preserve">December 2020 Secretarial </w:t>
      </w:r>
      <w:r w:rsidR="00163199" w:rsidRPr="00163199">
        <w:rPr>
          <w:bCs/>
          <w:i/>
          <w:iCs/>
          <w:sz w:val="26"/>
          <w:szCs w:val="26"/>
        </w:rPr>
        <w:t>Letter</w:t>
      </w:r>
      <w:r w:rsidR="00163199">
        <w:rPr>
          <w:sz w:val="26"/>
          <w:szCs w:val="26"/>
        </w:rPr>
        <w:t xml:space="preserve"> further provided that the Applicant must “forward the [requested] information to the Secretary of the Commission at the address [provided]</w:t>
      </w:r>
      <w:r w:rsidR="00AD6D1B">
        <w:rPr>
          <w:sz w:val="26"/>
          <w:szCs w:val="26"/>
        </w:rPr>
        <w:t>”</w:t>
      </w:r>
      <w:r w:rsidR="00163199">
        <w:rPr>
          <w:sz w:val="26"/>
          <w:szCs w:val="26"/>
        </w:rPr>
        <w:t xml:space="preserve"> and that “[t]he response must be e-filed.” </w:t>
      </w:r>
      <w:r w:rsidR="0061495C">
        <w:rPr>
          <w:sz w:val="26"/>
          <w:szCs w:val="26"/>
        </w:rPr>
        <w:t xml:space="preserve"> </w:t>
      </w:r>
      <w:r w:rsidR="0061495C">
        <w:rPr>
          <w:i/>
          <w:iCs/>
          <w:sz w:val="26"/>
          <w:szCs w:val="26"/>
        </w:rPr>
        <w:t>Id.</w:t>
      </w:r>
      <w:r w:rsidR="0061495C">
        <w:rPr>
          <w:bCs/>
          <w:sz w:val="26"/>
          <w:szCs w:val="26"/>
        </w:rPr>
        <w:t xml:space="preserve"> at 1.</w:t>
      </w:r>
      <w:r>
        <w:rPr>
          <w:bCs/>
          <w:sz w:val="26"/>
          <w:szCs w:val="26"/>
        </w:rPr>
        <w:t xml:space="preserve">  </w:t>
      </w:r>
    </w:p>
    <w:p w14:paraId="2A0C1EA2" w14:textId="77777777" w:rsidR="003A73BA" w:rsidRDefault="003A73BA" w:rsidP="003A73BA">
      <w:pPr>
        <w:pStyle w:val="ListParagraph"/>
        <w:widowControl/>
        <w:spacing w:line="360" w:lineRule="auto"/>
        <w:ind w:left="0" w:firstLine="1440"/>
        <w:rPr>
          <w:bCs/>
          <w:sz w:val="26"/>
          <w:szCs w:val="26"/>
        </w:rPr>
      </w:pPr>
    </w:p>
    <w:p w14:paraId="73F17F87" w14:textId="1BE7EDBE" w:rsidR="003A73BA" w:rsidRPr="00376090" w:rsidRDefault="003A73BA" w:rsidP="00B463AA">
      <w:pPr>
        <w:spacing w:line="360" w:lineRule="auto"/>
        <w:ind w:firstLine="1440"/>
        <w:rPr>
          <w:sz w:val="26"/>
          <w:szCs w:val="26"/>
        </w:rPr>
      </w:pPr>
      <w:r>
        <w:rPr>
          <w:sz w:val="26"/>
          <w:szCs w:val="26"/>
        </w:rPr>
        <w:t xml:space="preserve">On </w:t>
      </w:r>
      <w:r w:rsidR="00387070">
        <w:rPr>
          <w:sz w:val="26"/>
          <w:szCs w:val="26"/>
        </w:rPr>
        <w:t>January 11, 2021, the Commission issued another Secretarial Letter (</w:t>
      </w:r>
      <w:r w:rsidR="00387070">
        <w:rPr>
          <w:i/>
          <w:iCs/>
          <w:sz w:val="26"/>
          <w:szCs w:val="26"/>
        </w:rPr>
        <w:t>January 2021 Secretarial Letter</w:t>
      </w:r>
      <w:r w:rsidR="00387070">
        <w:rPr>
          <w:sz w:val="26"/>
          <w:szCs w:val="26"/>
        </w:rPr>
        <w:t xml:space="preserve">) dismissing Packhorse’s Application for failure </w:t>
      </w:r>
      <w:r w:rsidR="00AD6D1B">
        <w:rPr>
          <w:sz w:val="26"/>
          <w:szCs w:val="26"/>
        </w:rPr>
        <w:t xml:space="preserve">to </w:t>
      </w:r>
      <w:r w:rsidR="00387070">
        <w:rPr>
          <w:sz w:val="26"/>
          <w:szCs w:val="26"/>
        </w:rPr>
        <w:t xml:space="preserve">adequately comply with </w:t>
      </w:r>
      <w:r w:rsidR="00B463AA">
        <w:rPr>
          <w:sz w:val="26"/>
          <w:szCs w:val="26"/>
        </w:rPr>
        <w:t xml:space="preserve">the requests for required information contained in the </w:t>
      </w:r>
      <w:r w:rsidR="00B463AA">
        <w:rPr>
          <w:i/>
          <w:iCs/>
          <w:sz w:val="26"/>
          <w:szCs w:val="26"/>
        </w:rPr>
        <w:t>December</w:t>
      </w:r>
      <w:r w:rsidR="00A263FF">
        <w:rPr>
          <w:i/>
          <w:iCs/>
          <w:sz w:val="26"/>
          <w:szCs w:val="26"/>
        </w:rPr>
        <w:t> </w:t>
      </w:r>
      <w:r w:rsidR="00B463AA">
        <w:rPr>
          <w:i/>
          <w:iCs/>
          <w:sz w:val="26"/>
          <w:szCs w:val="26"/>
        </w:rPr>
        <w:t>2020 Secretarial Letter</w:t>
      </w:r>
      <w:r w:rsidR="00B463AA">
        <w:rPr>
          <w:sz w:val="26"/>
          <w:szCs w:val="26"/>
        </w:rPr>
        <w:t xml:space="preserve">.  The </w:t>
      </w:r>
      <w:r w:rsidR="00B463AA">
        <w:rPr>
          <w:i/>
          <w:iCs/>
          <w:sz w:val="26"/>
          <w:szCs w:val="26"/>
        </w:rPr>
        <w:t xml:space="preserve">January 2021 Secretarial Letter </w:t>
      </w:r>
      <w:r w:rsidR="00B463AA">
        <w:rPr>
          <w:sz w:val="26"/>
          <w:szCs w:val="26"/>
        </w:rPr>
        <w:t xml:space="preserve">also advised that the Applicant can file a new application with the appropriate filing fee, and that it can “contact the Compliance Office of the Motor Carrier Services Division in the Bureau of Technical Utility Services . . . within thirty (30) days of the date of this letter” if </w:t>
      </w:r>
      <w:r w:rsidR="0074355C">
        <w:rPr>
          <w:sz w:val="26"/>
          <w:szCs w:val="26"/>
        </w:rPr>
        <w:t>the Applicant</w:t>
      </w:r>
      <w:r w:rsidR="00B463AA">
        <w:rPr>
          <w:sz w:val="26"/>
          <w:szCs w:val="26"/>
        </w:rPr>
        <w:t xml:space="preserve"> believes it has “received this letter in error.”  </w:t>
      </w:r>
      <w:r w:rsidR="00B463AA">
        <w:rPr>
          <w:i/>
          <w:iCs/>
          <w:sz w:val="26"/>
          <w:szCs w:val="26"/>
        </w:rPr>
        <w:t>January 2021 Secretarial Letter</w:t>
      </w:r>
      <w:r w:rsidR="00B463AA">
        <w:rPr>
          <w:sz w:val="26"/>
          <w:szCs w:val="26"/>
        </w:rPr>
        <w:t xml:space="preserve"> at 1.  </w:t>
      </w:r>
    </w:p>
    <w:p w14:paraId="4617CFC6" w14:textId="77777777" w:rsidR="004C7DFC" w:rsidRDefault="004C7DFC" w:rsidP="004C7DFC">
      <w:pPr>
        <w:spacing w:line="360" w:lineRule="auto"/>
        <w:ind w:firstLine="1440"/>
        <w:rPr>
          <w:sz w:val="26"/>
          <w:szCs w:val="26"/>
        </w:rPr>
      </w:pPr>
      <w:r>
        <w:rPr>
          <w:sz w:val="26"/>
          <w:szCs w:val="26"/>
        </w:rPr>
        <w:lastRenderedPageBreak/>
        <w:t xml:space="preserve">On January 22, 2021, Packhorse filed the instant Petition in response to the </w:t>
      </w:r>
      <w:r>
        <w:rPr>
          <w:i/>
          <w:iCs/>
          <w:sz w:val="26"/>
          <w:szCs w:val="26"/>
        </w:rPr>
        <w:t>January 2021 Secretarial Letter</w:t>
      </w:r>
      <w:r>
        <w:rPr>
          <w:sz w:val="26"/>
          <w:szCs w:val="26"/>
        </w:rPr>
        <w:t>.  In its Petition, Packhorse stated that on December 3, 2020, the company had e-mailed the requested information to staff in the Secretary’s Bureau and TUS and submitted proof of its e</w:t>
      </w:r>
      <w:r>
        <w:rPr>
          <w:sz w:val="26"/>
          <w:szCs w:val="26"/>
        </w:rPr>
        <w:noBreakHyphen/>
        <w:t>mail as an attachment to the Petition.  No response to the Petition has been filed.</w:t>
      </w:r>
    </w:p>
    <w:p w14:paraId="2743D1B9" w14:textId="77777777" w:rsidR="003A73BA" w:rsidRDefault="003A73BA" w:rsidP="003A73BA">
      <w:pPr>
        <w:widowControl/>
        <w:tabs>
          <w:tab w:val="left" w:pos="-720"/>
        </w:tabs>
        <w:suppressAutoHyphens/>
        <w:spacing w:line="360" w:lineRule="auto"/>
        <w:rPr>
          <w:sz w:val="26"/>
          <w:szCs w:val="26"/>
        </w:rPr>
      </w:pPr>
    </w:p>
    <w:p w14:paraId="6FD16DC3" w14:textId="77777777" w:rsidR="003A73BA" w:rsidRPr="00625B2B" w:rsidRDefault="003A73BA" w:rsidP="003A73BA">
      <w:pPr>
        <w:pStyle w:val="Heading1"/>
        <w:keepNext/>
        <w:numPr>
          <w:ilvl w:val="0"/>
          <w:numId w:val="0"/>
        </w:numPr>
      </w:pPr>
      <w:bookmarkStart w:id="1" w:name="_Hlk39580059"/>
      <w:r w:rsidRPr="00625B2B">
        <w:t>Discussion</w:t>
      </w:r>
    </w:p>
    <w:bookmarkEnd w:id="1"/>
    <w:p w14:paraId="506CBD96" w14:textId="77777777" w:rsidR="003A73BA" w:rsidRDefault="003A73BA" w:rsidP="003A73BA">
      <w:pPr>
        <w:keepNext/>
        <w:widowControl/>
        <w:spacing w:line="360" w:lineRule="auto"/>
        <w:rPr>
          <w:sz w:val="26"/>
          <w:szCs w:val="26"/>
        </w:rPr>
      </w:pPr>
    </w:p>
    <w:p w14:paraId="76B2051F" w14:textId="77777777" w:rsidR="003A73BA" w:rsidRPr="00A1196D" w:rsidRDefault="003A73BA" w:rsidP="003A73BA">
      <w:pPr>
        <w:keepNext/>
        <w:widowControl/>
        <w:spacing w:line="360" w:lineRule="auto"/>
        <w:rPr>
          <w:b/>
          <w:bCs/>
          <w:sz w:val="26"/>
          <w:szCs w:val="26"/>
        </w:rPr>
      </w:pPr>
      <w:r w:rsidRPr="00A1196D">
        <w:rPr>
          <w:b/>
          <w:bCs/>
          <w:sz w:val="26"/>
          <w:szCs w:val="26"/>
        </w:rPr>
        <w:t>Legal Standards</w:t>
      </w:r>
    </w:p>
    <w:p w14:paraId="267B6A1A" w14:textId="77777777" w:rsidR="003A73BA" w:rsidRDefault="003A73BA" w:rsidP="003A73BA">
      <w:pPr>
        <w:widowControl/>
        <w:spacing w:line="360" w:lineRule="auto"/>
        <w:rPr>
          <w:sz w:val="26"/>
          <w:szCs w:val="26"/>
        </w:rPr>
      </w:pPr>
    </w:p>
    <w:p w14:paraId="67A23A64" w14:textId="6C8768AF" w:rsidR="003A73BA" w:rsidRPr="00913419" w:rsidRDefault="003A73BA" w:rsidP="003A73BA">
      <w:pPr>
        <w:widowControl/>
        <w:spacing w:line="360" w:lineRule="auto"/>
        <w:ind w:firstLine="1440"/>
        <w:rPr>
          <w:sz w:val="26"/>
          <w:szCs w:val="26"/>
        </w:rPr>
      </w:pPr>
      <w:r>
        <w:rPr>
          <w:spacing w:val="-3"/>
          <w:sz w:val="26"/>
          <w:szCs w:val="26"/>
        </w:rPr>
        <w:t>Initially</w:t>
      </w:r>
      <w:r w:rsidRPr="00913419">
        <w:rPr>
          <w:spacing w:val="-3"/>
          <w:sz w:val="26"/>
          <w:szCs w:val="26"/>
        </w:rPr>
        <w:t xml:space="preserve">, </w:t>
      </w:r>
      <w:r w:rsidRPr="00913419">
        <w:rPr>
          <w:sz w:val="26"/>
          <w:szCs w:val="26"/>
        </w:rPr>
        <w:t xml:space="preserve">we </w:t>
      </w:r>
      <w:r>
        <w:rPr>
          <w:sz w:val="26"/>
          <w:szCs w:val="26"/>
        </w:rPr>
        <w:t xml:space="preserve">note that we </w:t>
      </w:r>
      <w:r w:rsidRPr="00913419">
        <w:rPr>
          <w:sz w:val="26"/>
          <w:szCs w:val="26"/>
        </w:rPr>
        <w:t xml:space="preserve">are not required to consider expressly or at length each contention or argument raised in the Petition.  </w:t>
      </w:r>
      <w:r w:rsidRPr="00913419">
        <w:rPr>
          <w:rStyle w:val="Emphasis"/>
          <w:color w:val="000000"/>
          <w:sz w:val="26"/>
          <w:szCs w:val="26"/>
        </w:rPr>
        <w:t>Consolidated Rail Corp. v. Pa. PUC</w:t>
      </w:r>
      <w:r w:rsidRPr="00A263FF">
        <w:rPr>
          <w:rStyle w:val="Emphasis"/>
          <w:i w:val="0"/>
          <w:iCs w:val="0"/>
          <w:color w:val="000000"/>
          <w:sz w:val="26"/>
          <w:szCs w:val="26"/>
        </w:rPr>
        <w:t>,</w:t>
      </w:r>
      <w:r w:rsidRPr="00913419">
        <w:rPr>
          <w:rStyle w:val="Emphasis"/>
          <w:color w:val="000000"/>
          <w:sz w:val="26"/>
          <w:szCs w:val="26"/>
        </w:rPr>
        <w:t xml:space="preserve"> </w:t>
      </w:r>
      <w:r w:rsidRPr="00913419">
        <w:rPr>
          <w:sz w:val="26"/>
          <w:szCs w:val="26"/>
        </w:rPr>
        <w:t>625 A.2d 741 (Pa. Cmwlth. 1993);</w:t>
      </w:r>
      <w:r w:rsidRPr="00913419">
        <w:rPr>
          <w:color w:val="000000"/>
          <w:sz w:val="26"/>
          <w:szCs w:val="26"/>
        </w:rPr>
        <w:t xml:space="preserve"> </w:t>
      </w:r>
      <w:r w:rsidRPr="00913419">
        <w:rPr>
          <w:i/>
          <w:iCs/>
          <w:color w:val="000000"/>
          <w:sz w:val="26"/>
          <w:szCs w:val="26"/>
        </w:rPr>
        <w:t xml:space="preserve">see </w:t>
      </w:r>
      <w:r w:rsidRPr="00913419">
        <w:rPr>
          <w:i/>
          <w:color w:val="000000"/>
          <w:sz w:val="26"/>
          <w:szCs w:val="26"/>
        </w:rPr>
        <w:t>also</w:t>
      </w:r>
      <w:r w:rsidRPr="00913419">
        <w:rPr>
          <w:rStyle w:val="Emphasis"/>
          <w:color w:val="000000"/>
          <w:sz w:val="26"/>
          <w:szCs w:val="26"/>
        </w:rPr>
        <w:t xml:space="preserve"> University of Pennsylvania v. Pa. PUC</w:t>
      </w:r>
      <w:r w:rsidRPr="00913419">
        <w:rPr>
          <w:sz w:val="26"/>
          <w:szCs w:val="26"/>
        </w:rPr>
        <w:t>, 485</w:t>
      </w:r>
      <w:r w:rsidR="00A263FF">
        <w:rPr>
          <w:sz w:val="26"/>
          <w:szCs w:val="26"/>
        </w:rPr>
        <w:t> </w:t>
      </w:r>
      <w:r w:rsidRPr="00913419">
        <w:rPr>
          <w:sz w:val="26"/>
          <w:szCs w:val="26"/>
        </w:rPr>
        <w:t>A.2d 1217 (Pa. Cmwlth. 1984).</w:t>
      </w:r>
      <w:r w:rsidRPr="00913419">
        <w:rPr>
          <w:rStyle w:val="Hyperlink"/>
          <w:color w:val="000000"/>
          <w:sz w:val="26"/>
          <w:szCs w:val="26"/>
          <w:u w:val="none"/>
        </w:rPr>
        <w:t xml:space="preserve">  Therefore,</w:t>
      </w:r>
      <w:r w:rsidRPr="00913419">
        <w:rPr>
          <w:sz w:val="26"/>
          <w:szCs w:val="26"/>
        </w:rPr>
        <w:t xml:space="preserve"> any issue that we do not specifically address or delineate in this decision shall be deemed to have been duly considered and denied without further discussion.</w:t>
      </w:r>
    </w:p>
    <w:p w14:paraId="55A6EB17" w14:textId="77777777" w:rsidR="003A73BA" w:rsidRPr="00845977" w:rsidRDefault="003A73BA" w:rsidP="003A73BA">
      <w:pPr>
        <w:widowControl/>
        <w:suppressAutoHyphens/>
        <w:spacing w:line="360" w:lineRule="auto"/>
        <w:ind w:firstLine="1440"/>
        <w:rPr>
          <w:b/>
          <w:spacing w:val="-3"/>
          <w:sz w:val="26"/>
        </w:rPr>
      </w:pPr>
    </w:p>
    <w:p w14:paraId="7F95A63F" w14:textId="77777777" w:rsidR="003A73BA" w:rsidRDefault="003A73BA" w:rsidP="003A73BA">
      <w:pPr>
        <w:widowControl/>
        <w:spacing w:line="360" w:lineRule="auto"/>
        <w:ind w:firstLine="1440"/>
        <w:rPr>
          <w:sz w:val="26"/>
          <w:szCs w:val="24"/>
        </w:rPr>
      </w:pPr>
      <w:r>
        <w:rPr>
          <w:sz w:val="26"/>
          <w:szCs w:val="24"/>
        </w:rPr>
        <w:t>Section 5.44 of the Commission’s Regulations, 52 Pa. Code § 5.44, permits a party to seek the Commission’s reconsideration of actions taken by the Commission’s staff pursuant to the staff’s delegated authority from the Commission.</w:t>
      </w:r>
      <w:r>
        <w:rPr>
          <w:rStyle w:val="FootnoteReference"/>
          <w:sz w:val="26"/>
          <w:szCs w:val="24"/>
        </w:rPr>
        <w:footnoteReference w:id="1"/>
      </w:r>
    </w:p>
    <w:p w14:paraId="2B17B75F" w14:textId="77777777" w:rsidR="003A73BA" w:rsidRDefault="003A73BA" w:rsidP="003A73BA">
      <w:pPr>
        <w:widowControl/>
        <w:spacing w:line="360" w:lineRule="auto"/>
        <w:ind w:firstLine="1440"/>
        <w:rPr>
          <w:sz w:val="26"/>
          <w:szCs w:val="24"/>
        </w:rPr>
      </w:pPr>
    </w:p>
    <w:p w14:paraId="47E29459" w14:textId="2BCF4818" w:rsidR="003A73BA" w:rsidRDefault="003A73BA" w:rsidP="00BF2C65">
      <w:pPr>
        <w:keepNext/>
        <w:widowControl/>
        <w:spacing w:line="360" w:lineRule="auto"/>
        <w:ind w:firstLine="1440"/>
        <w:rPr>
          <w:sz w:val="26"/>
          <w:szCs w:val="24"/>
        </w:rPr>
      </w:pPr>
      <w:r>
        <w:rPr>
          <w:sz w:val="26"/>
          <w:szCs w:val="24"/>
        </w:rPr>
        <w:lastRenderedPageBreak/>
        <w:t>In pertinent part, Section 5.44 of the Commission’s Regulations, 52</w:t>
      </w:r>
      <w:r w:rsidR="009F114D">
        <w:rPr>
          <w:sz w:val="26"/>
          <w:szCs w:val="24"/>
        </w:rPr>
        <w:t> </w:t>
      </w:r>
      <w:r>
        <w:rPr>
          <w:sz w:val="26"/>
          <w:szCs w:val="24"/>
        </w:rPr>
        <w:t>Pa.</w:t>
      </w:r>
      <w:r w:rsidR="009F114D">
        <w:rPr>
          <w:sz w:val="26"/>
          <w:szCs w:val="24"/>
        </w:rPr>
        <w:t> </w:t>
      </w:r>
      <w:r>
        <w:rPr>
          <w:sz w:val="26"/>
          <w:szCs w:val="24"/>
        </w:rPr>
        <w:t>Code § 5.44, provides as follows:</w:t>
      </w:r>
    </w:p>
    <w:p w14:paraId="03BD2B79" w14:textId="77777777" w:rsidR="00FC34A2" w:rsidRDefault="00FC34A2" w:rsidP="00BF2C65">
      <w:pPr>
        <w:keepNext/>
        <w:widowControl/>
        <w:ind w:firstLine="1440"/>
        <w:rPr>
          <w:sz w:val="26"/>
          <w:szCs w:val="24"/>
        </w:rPr>
      </w:pPr>
    </w:p>
    <w:p w14:paraId="5A61F631" w14:textId="04E3CB9B" w:rsidR="003A73BA" w:rsidRDefault="003A73BA" w:rsidP="00BF2C65">
      <w:pPr>
        <w:keepNext/>
        <w:widowControl/>
        <w:ind w:left="1440" w:right="1440"/>
        <w:rPr>
          <w:sz w:val="26"/>
          <w:szCs w:val="24"/>
        </w:rPr>
      </w:pPr>
      <w:r>
        <w:rPr>
          <w:sz w:val="26"/>
          <w:szCs w:val="24"/>
        </w:rPr>
        <w:t>(a)</w:t>
      </w:r>
      <w:r w:rsidR="00FC34A2">
        <w:rPr>
          <w:sz w:val="26"/>
          <w:szCs w:val="24"/>
        </w:rPr>
        <w:tab/>
      </w:r>
      <w:r w:rsidRPr="005135A7">
        <w:rPr>
          <w:sz w:val="26"/>
          <w:szCs w:val="24"/>
        </w:rPr>
        <w:t>Actions taken by staff, other than the presiding officer, under authority delegated by the Commission, will be deemed to be the final action of the Commission unless reconsideration is sought from the Commission within 20</w:t>
      </w:r>
      <w:r w:rsidR="009F114D">
        <w:rPr>
          <w:sz w:val="26"/>
          <w:szCs w:val="24"/>
        </w:rPr>
        <w:t> </w:t>
      </w:r>
      <w:r w:rsidRPr="005135A7">
        <w:rPr>
          <w:sz w:val="26"/>
          <w:szCs w:val="24"/>
        </w:rPr>
        <w:t>days after service of notice of the action</w:t>
      </w:r>
      <w:r>
        <w:rPr>
          <w:sz w:val="26"/>
          <w:szCs w:val="24"/>
        </w:rPr>
        <w:t xml:space="preserve"> . . . .</w:t>
      </w:r>
    </w:p>
    <w:p w14:paraId="7B2EAA29" w14:textId="77777777" w:rsidR="003A73BA" w:rsidRPr="005135A7" w:rsidRDefault="003A73BA" w:rsidP="003A73BA">
      <w:pPr>
        <w:widowControl/>
        <w:ind w:left="1440" w:right="1440"/>
        <w:rPr>
          <w:sz w:val="26"/>
          <w:szCs w:val="24"/>
        </w:rPr>
      </w:pPr>
    </w:p>
    <w:p w14:paraId="4842EA78" w14:textId="0F911BA2" w:rsidR="003A73BA" w:rsidRDefault="003A73BA" w:rsidP="003A73BA">
      <w:pPr>
        <w:widowControl/>
        <w:ind w:left="1440" w:right="1440"/>
        <w:rPr>
          <w:sz w:val="26"/>
          <w:szCs w:val="24"/>
        </w:rPr>
      </w:pPr>
      <w:r>
        <w:rPr>
          <w:sz w:val="26"/>
          <w:szCs w:val="24"/>
        </w:rPr>
        <w:t>(b)</w:t>
      </w:r>
      <w:r w:rsidR="00FC34A2">
        <w:rPr>
          <w:sz w:val="26"/>
          <w:szCs w:val="24"/>
        </w:rPr>
        <w:tab/>
      </w:r>
      <w:r w:rsidRPr="005135A7">
        <w:rPr>
          <w:sz w:val="26"/>
          <w:szCs w:val="24"/>
        </w:rPr>
        <w:t xml:space="preserve">An action taken by staff under delegated authority will note the parties’ right to seek reconsideration of the action under this section. </w:t>
      </w:r>
    </w:p>
    <w:p w14:paraId="4A29D5EF" w14:textId="77777777" w:rsidR="003A73BA" w:rsidRPr="005135A7" w:rsidRDefault="003A73BA" w:rsidP="003A73BA">
      <w:pPr>
        <w:widowControl/>
        <w:ind w:left="1440" w:right="1440"/>
        <w:rPr>
          <w:sz w:val="26"/>
          <w:szCs w:val="24"/>
        </w:rPr>
      </w:pPr>
    </w:p>
    <w:p w14:paraId="42011195" w14:textId="1B606720" w:rsidR="003A73BA" w:rsidRDefault="003A73BA" w:rsidP="003A73BA">
      <w:pPr>
        <w:widowControl/>
        <w:ind w:left="1440" w:right="1440"/>
        <w:rPr>
          <w:sz w:val="26"/>
          <w:szCs w:val="24"/>
        </w:rPr>
      </w:pPr>
      <w:r>
        <w:rPr>
          <w:sz w:val="26"/>
          <w:szCs w:val="24"/>
        </w:rPr>
        <w:t>(c)</w:t>
      </w:r>
      <w:r w:rsidR="00FC34A2">
        <w:rPr>
          <w:sz w:val="26"/>
          <w:szCs w:val="24"/>
        </w:rPr>
        <w:tab/>
      </w:r>
      <w:r w:rsidRPr="005135A7">
        <w:rPr>
          <w:sz w:val="26"/>
          <w:szCs w:val="24"/>
        </w:rPr>
        <w:t>Petitions for reconsideration from the action of the staff will be addressed by the Commission at public meeting.</w:t>
      </w:r>
    </w:p>
    <w:p w14:paraId="3E0C6037" w14:textId="77777777" w:rsidR="003A73BA" w:rsidRPr="005135A7" w:rsidRDefault="003A73BA" w:rsidP="003A73BA">
      <w:pPr>
        <w:widowControl/>
        <w:ind w:left="1440" w:right="1440"/>
        <w:rPr>
          <w:sz w:val="26"/>
          <w:szCs w:val="24"/>
        </w:rPr>
      </w:pPr>
    </w:p>
    <w:p w14:paraId="7BD3E4B6" w14:textId="77777777" w:rsidR="003A73BA" w:rsidRDefault="003A73BA" w:rsidP="003A73BA">
      <w:pPr>
        <w:widowControl/>
        <w:ind w:firstLine="1440"/>
        <w:rPr>
          <w:sz w:val="26"/>
          <w:szCs w:val="26"/>
        </w:rPr>
      </w:pPr>
    </w:p>
    <w:p w14:paraId="34C2B0B7" w14:textId="6EF25A1F" w:rsidR="003A73BA" w:rsidRDefault="003A73BA" w:rsidP="003A73BA">
      <w:pPr>
        <w:widowControl/>
        <w:tabs>
          <w:tab w:val="left" w:pos="2625"/>
        </w:tabs>
        <w:suppressAutoHyphens/>
        <w:spacing w:line="360" w:lineRule="auto"/>
        <w:rPr>
          <w:sz w:val="26"/>
          <w:szCs w:val="26"/>
        </w:rPr>
      </w:pPr>
      <w:r>
        <w:rPr>
          <w:sz w:val="26"/>
          <w:szCs w:val="26"/>
        </w:rPr>
        <w:t xml:space="preserve">A party seeking reconsideration of a staff action is required to file a petition, the requirements of which are governed under Section 5.41 of our Regulations, 52 Pa. Code § 5.41 (relating to petitions generally).  </w:t>
      </w:r>
      <w:r w:rsidRPr="00395BAB">
        <w:rPr>
          <w:i/>
          <w:sz w:val="26"/>
          <w:szCs w:val="26"/>
        </w:rPr>
        <w:t>See</w:t>
      </w:r>
      <w:r>
        <w:rPr>
          <w:sz w:val="26"/>
          <w:szCs w:val="26"/>
        </w:rPr>
        <w:t xml:space="preserve"> 52 Pa. Code § 5.44(c).  The Commission will address a petition for reconsideration of the delegated staff action at public meeting.  </w:t>
      </w:r>
      <w:r w:rsidRPr="00395BAB">
        <w:rPr>
          <w:i/>
          <w:sz w:val="26"/>
          <w:szCs w:val="26"/>
        </w:rPr>
        <w:t>Id</w:t>
      </w:r>
      <w:r>
        <w:rPr>
          <w:sz w:val="26"/>
          <w:szCs w:val="26"/>
        </w:rPr>
        <w:t xml:space="preserve">. </w:t>
      </w:r>
    </w:p>
    <w:p w14:paraId="2C021EDE" w14:textId="77777777" w:rsidR="003A73BA" w:rsidRDefault="003A73BA" w:rsidP="003A73BA">
      <w:pPr>
        <w:widowControl/>
        <w:tabs>
          <w:tab w:val="left" w:pos="2625"/>
        </w:tabs>
        <w:suppressAutoHyphens/>
        <w:spacing w:line="360" w:lineRule="auto"/>
        <w:rPr>
          <w:spacing w:val="-3"/>
          <w:sz w:val="26"/>
        </w:rPr>
      </w:pPr>
    </w:p>
    <w:p w14:paraId="686701F0" w14:textId="77777777" w:rsidR="003A73BA" w:rsidRDefault="003A73BA" w:rsidP="003A73BA">
      <w:pPr>
        <w:widowControl/>
        <w:tabs>
          <w:tab w:val="left" w:pos="-720"/>
        </w:tabs>
        <w:suppressAutoHyphens/>
        <w:overflowPunct w:val="0"/>
        <w:autoSpaceDE w:val="0"/>
        <w:autoSpaceDN w:val="0"/>
        <w:adjustRightInd w:val="0"/>
        <w:spacing w:line="360" w:lineRule="auto"/>
        <w:textAlignment w:val="baseline"/>
        <w:rPr>
          <w:b/>
          <w:bCs/>
          <w:sz w:val="26"/>
          <w:szCs w:val="26"/>
        </w:rPr>
      </w:pPr>
      <w:r>
        <w:rPr>
          <w:b/>
          <w:bCs/>
          <w:sz w:val="26"/>
          <w:szCs w:val="26"/>
        </w:rPr>
        <w:t>Disposition</w:t>
      </w:r>
    </w:p>
    <w:p w14:paraId="52C2457A" w14:textId="77777777" w:rsidR="003A73BA" w:rsidRDefault="003A73BA" w:rsidP="003A73BA">
      <w:pPr>
        <w:widowControl/>
        <w:tabs>
          <w:tab w:val="left" w:pos="-720"/>
        </w:tabs>
        <w:suppressAutoHyphens/>
        <w:overflowPunct w:val="0"/>
        <w:autoSpaceDE w:val="0"/>
        <w:autoSpaceDN w:val="0"/>
        <w:adjustRightInd w:val="0"/>
        <w:spacing w:line="360" w:lineRule="auto"/>
        <w:textAlignment w:val="baseline"/>
        <w:rPr>
          <w:b/>
          <w:bCs/>
          <w:sz w:val="26"/>
          <w:szCs w:val="26"/>
        </w:rPr>
      </w:pPr>
    </w:p>
    <w:p w14:paraId="29608B01" w14:textId="031EBD7C" w:rsidR="00023C30" w:rsidRDefault="003A73BA" w:rsidP="00023C30">
      <w:pPr>
        <w:tabs>
          <w:tab w:val="left" w:pos="-720"/>
        </w:tabs>
        <w:suppressAutoHyphens/>
        <w:spacing w:line="360" w:lineRule="auto"/>
        <w:ind w:firstLine="1440"/>
        <w:contextualSpacing/>
        <w:rPr>
          <w:sz w:val="26"/>
          <w:szCs w:val="26"/>
        </w:rPr>
      </w:pPr>
      <w:r>
        <w:rPr>
          <w:sz w:val="26"/>
          <w:szCs w:val="26"/>
        </w:rPr>
        <w:t xml:space="preserve">Upon review, we </w:t>
      </w:r>
      <w:r w:rsidR="00CE5D63">
        <w:rPr>
          <w:sz w:val="26"/>
          <w:szCs w:val="26"/>
        </w:rPr>
        <w:t>wil</w:t>
      </w:r>
      <w:r>
        <w:rPr>
          <w:sz w:val="26"/>
          <w:szCs w:val="26"/>
        </w:rPr>
        <w:t xml:space="preserve">l </w:t>
      </w:r>
      <w:r w:rsidR="006F1D32">
        <w:rPr>
          <w:sz w:val="26"/>
          <w:szCs w:val="26"/>
        </w:rPr>
        <w:t>grant</w:t>
      </w:r>
      <w:r>
        <w:rPr>
          <w:sz w:val="26"/>
          <w:szCs w:val="26"/>
        </w:rPr>
        <w:t xml:space="preserve"> the Applicant’s Petition.  </w:t>
      </w:r>
      <w:r w:rsidR="00C57FE2" w:rsidRPr="00B86D6A">
        <w:rPr>
          <w:bCs/>
          <w:sz w:val="26"/>
          <w:szCs w:val="26"/>
        </w:rPr>
        <w:t>In the Petition, the Applicant</w:t>
      </w:r>
      <w:r w:rsidR="00C57FE2">
        <w:rPr>
          <w:bCs/>
          <w:sz w:val="26"/>
          <w:szCs w:val="26"/>
        </w:rPr>
        <w:t xml:space="preserve">, acting in his </w:t>
      </w:r>
      <w:r w:rsidR="00C57FE2">
        <w:rPr>
          <w:bCs/>
          <w:i/>
          <w:iCs/>
          <w:sz w:val="26"/>
          <w:szCs w:val="26"/>
        </w:rPr>
        <w:t>pro se</w:t>
      </w:r>
      <w:r w:rsidR="00C57FE2">
        <w:rPr>
          <w:bCs/>
          <w:sz w:val="26"/>
          <w:szCs w:val="26"/>
        </w:rPr>
        <w:t xml:space="preserve"> capacity,</w:t>
      </w:r>
      <w:r w:rsidR="00C57FE2" w:rsidRPr="00B86D6A">
        <w:rPr>
          <w:bCs/>
          <w:sz w:val="26"/>
          <w:szCs w:val="26"/>
        </w:rPr>
        <w:t xml:space="preserve"> states</w:t>
      </w:r>
      <w:r w:rsidR="00C57FE2">
        <w:rPr>
          <w:bCs/>
          <w:sz w:val="26"/>
          <w:szCs w:val="26"/>
        </w:rPr>
        <w:t xml:space="preserve"> that the information requested in the </w:t>
      </w:r>
      <w:r w:rsidR="00C57FE2">
        <w:rPr>
          <w:bCs/>
          <w:i/>
          <w:iCs/>
          <w:sz w:val="26"/>
          <w:szCs w:val="26"/>
        </w:rPr>
        <w:t xml:space="preserve">December 2020 Secretarial Letter </w:t>
      </w:r>
      <w:r w:rsidR="00023C30">
        <w:rPr>
          <w:bCs/>
          <w:sz w:val="26"/>
          <w:szCs w:val="26"/>
        </w:rPr>
        <w:t>was sent via e-mail by the company’s owner two days after receiving t</w:t>
      </w:r>
      <w:r w:rsidR="0074355C">
        <w:rPr>
          <w:bCs/>
          <w:sz w:val="26"/>
          <w:szCs w:val="26"/>
        </w:rPr>
        <w:t>his</w:t>
      </w:r>
      <w:r w:rsidR="00023C30">
        <w:rPr>
          <w:bCs/>
          <w:sz w:val="26"/>
          <w:szCs w:val="26"/>
        </w:rPr>
        <w:t xml:space="preserve"> letter from the Commission to his contacts at the Secretary’s Bureau and TUS, and he provide</w:t>
      </w:r>
      <w:r w:rsidR="0074355C">
        <w:rPr>
          <w:bCs/>
          <w:sz w:val="26"/>
          <w:szCs w:val="26"/>
        </w:rPr>
        <w:t>d</w:t>
      </w:r>
      <w:r w:rsidR="00023C30">
        <w:rPr>
          <w:bCs/>
          <w:sz w:val="26"/>
          <w:szCs w:val="26"/>
        </w:rPr>
        <w:t xml:space="preserve"> proof of that service as well. </w:t>
      </w:r>
      <w:r w:rsidR="00E93F35">
        <w:rPr>
          <w:bCs/>
          <w:sz w:val="26"/>
          <w:szCs w:val="26"/>
        </w:rPr>
        <w:t xml:space="preserve"> B</w:t>
      </w:r>
      <w:r w:rsidR="00023C30">
        <w:rPr>
          <w:sz w:val="26"/>
          <w:szCs w:val="26"/>
        </w:rPr>
        <w:t xml:space="preserve">ased on the Applicant’s averments </w:t>
      </w:r>
      <w:r w:rsidR="00E93F35">
        <w:rPr>
          <w:sz w:val="26"/>
          <w:szCs w:val="26"/>
        </w:rPr>
        <w:t xml:space="preserve">and information provided </w:t>
      </w:r>
      <w:r w:rsidR="00023C30">
        <w:rPr>
          <w:sz w:val="26"/>
          <w:szCs w:val="26"/>
        </w:rPr>
        <w:t xml:space="preserve">in the Petition, the Applicant has made a good faith effort to answer the </w:t>
      </w:r>
      <w:r w:rsidR="00E93F35">
        <w:rPr>
          <w:sz w:val="26"/>
          <w:szCs w:val="26"/>
        </w:rPr>
        <w:t xml:space="preserve">requests contained in the </w:t>
      </w:r>
      <w:r w:rsidR="00E93F35">
        <w:rPr>
          <w:bCs/>
          <w:i/>
          <w:iCs/>
          <w:sz w:val="26"/>
          <w:szCs w:val="26"/>
        </w:rPr>
        <w:t>December 2020 Secretarial Letter</w:t>
      </w:r>
      <w:r w:rsidR="00E93F35">
        <w:rPr>
          <w:bCs/>
          <w:sz w:val="26"/>
          <w:szCs w:val="26"/>
        </w:rPr>
        <w:t>.  The fact that the information was sent by e-mail to Packhorse’s contacts at the Secretary’s Bureau and TUS</w:t>
      </w:r>
      <w:r w:rsidR="00E93F35">
        <w:rPr>
          <w:sz w:val="26"/>
          <w:szCs w:val="26"/>
        </w:rPr>
        <w:t xml:space="preserve"> rather than to the e-</w:t>
      </w:r>
      <w:r w:rsidR="0074355C">
        <w:rPr>
          <w:sz w:val="26"/>
          <w:szCs w:val="26"/>
        </w:rPr>
        <w:t xml:space="preserve">filing </w:t>
      </w:r>
      <w:r w:rsidR="00E93F35">
        <w:rPr>
          <w:sz w:val="26"/>
          <w:szCs w:val="26"/>
        </w:rPr>
        <w:t xml:space="preserve">address provided in the </w:t>
      </w:r>
      <w:r w:rsidR="00E93F35">
        <w:rPr>
          <w:bCs/>
          <w:i/>
          <w:iCs/>
          <w:sz w:val="26"/>
          <w:szCs w:val="26"/>
        </w:rPr>
        <w:t>December 2020 Secretarial Letter</w:t>
      </w:r>
      <w:r w:rsidR="00E93F35">
        <w:rPr>
          <w:sz w:val="26"/>
          <w:szCs w:val="26"/>
        </w:rPr>
        <w:t xml:space="preserve"> is of </w:t>
      </w:r>
      <w:r w:rsidR="0074355C">
        <w:rPr>
          <w:sz w:val="26"/>
          <w:szCs w:val="26"/>
        </w:rPr>
        <w:t>little</w:t>
      </w:r>
      <w:r w:rsidR="00E93F35">
        <w:rPr>
          <w:sz w:val="26"/>
          <w:szCs w:val="26"/>
        </w:rPr>
        <w:t xml:space="preserve"> significan</w:t>
      </w:r>
      <w:r w:rsidR="0074355C">
        <w:rPr>
          <w:sz w:val="26"/>
          <w:szCs w:val="26"/>
        </w:rPr>
        <w:t>ce</w:t>
      </w:r>
      <w:r w:rsidR="00E93F35">
        <w:rPr>
          <w:sz w:val="26"/>
          <w:szCs w:val="26"/>
        </w:rPr>
        <w:t xml:space="preserve">.  The </w:t>
      </w:r>
      <w:r w:rsidR="0074355C">
        <w:rPr>
          <w:sz w:val="26"/>
          <w:szCs w:val="26"/>
        </w:rPr>
        <w:t>requested</w:t>
      </w:r>
      <w:r w:rsidR="00E93F35">
        <w:rPr>
          <w:sz w:val="26"/>
          <w:szCs w:val="26"/>
        </w:rPr>
        <w:t xml:space="preserve"> information</w:t>
      </w:r>
      <w:r w:rsidR="0074355C">
        <w:rPr>
          <w:sz w:val="26"/>
          <w:szCs w:val="26"/>
        </w:rPr>
        <w:t xml:space="preserve"> was promptly provided by the </w:t>
      </w:r>
      <w:r w:rsidR="0074355C">
        <w:rPr>
          <w:sz w:val="26"/>
          <w:szCs w:val="26"/>
        </w:rPr>
        <w:lastRenderedPageBreak/>
        <w:t>Applicant, and the information</w:t>
      </w:r>
      <w:r w:rsidR="00E93F35">
        <w:rPr>
          <w:sz w:val="26"/>
          <w:szCs w:val="26"/>
        </w:rPr>
        <w:t xml:space="preserve"> could have easily been forwarded to the Secretary’s Bureau or the Applicant could have been immediately advised to re-send</w:t>
      </w:r>
      <w:r w:rsidR="0074355C">
        <w:rPr>
          <w:sz w:val="26"/>
          <w:szCs w:val="26"/>
        </w:rPr>
        <w:t xml:space="preserve"> it</w:t>
      </w:r>
      <w:r w:rsidR="00E93F35">
        <w:rPr>
          <w:sz w:val="26"/>
          <w:szCs w:val="26"/>
        </w:rPr>
        <w:t xml:space="preserve"> to the correct e-</w:t>
      </w:r>
      <w:r w:rsidR="0074355C">
        <w:rPr>
          <w:sz w:val="26"/>
          <w:szCs w:val="26"/>
        </w:rPr>
        <w:t>filing</w:t>
      </w:r>
      <w:r w:rsidR="00E93F35">
        <w:rPr>
          <w:sz w:val="26"/>
          <w:szCs w:val="26"/>
        </w:rPr>
        <w:t xml:space="preserve"> address.  </w:t>
      </w:r>
      <w:r w:rsidR="00023C30" w:rsidRPr="00C03E34">
        <w:rPr>
          <w:rFonts w:eastAsia="Calibri"/>
          <w:sz w:val="26"/>
          <w:szCs w:val="26"/>
        </w:rPr>
        <w:t xml:space="preserve">Therefore, we </w:t>
      </w:r>
      <w:r w:rsidR="00023C30">
        <w:rPr>
          <w:rFonts w:eastAsia="Calibri"/>
          <w:sz w:val="26"/>
          <w:szCs w:val="26"/>
        </w:rPr>
        <w:t xml:space="preserve">conclude that, under the circumstances, it is reasonable to refer this matter to TUS rather than to deny the Application.  </w:t>
      </w:r>
      <w:r w:rsidR="00023C30" w:rsidRPr="0068734B">
        <w:rPr>
          <w:rFonts w:eastAsia="Calibri"/>
          <w:i/>
          <w:sz w:val="26"/>
          <w:szCs w:val="26"/>
        </w:rPr>
        <w:t xml:space="preserve">See </w:t>
      </w:r>
      <w:r w:rsidR="00023C30" w:rsidRPr="0068734B">
        <w:rPr>
          <w:i/>
          <w:sz w:val="26"/>
          <w:szCs w:val="26"/>
        </w:rPr>
        <w:t xml:space="preserve">Application of </w:t>
      </w:r>
      <w:r w:rsidR="00023C30" w:rsidRPr="001B6028">
        <w:rPr>
          <w:i/>
          <w:iCs/>
          <w:sz w:val="26"/>
          <w:szCs w:val="26"/>
        </w:rPr>
        <w:t>Paragon Transportation, LLC</w:t>
      </w:r>
      <w:r w:rsidR="00023C30">
        <w:rPr>
          <w:sz w:val="26"/>
          <w:szCs w:val="26"/>
        </w:rPr>
        <w:t>, Docket No. A-2020-3022989 (Opinion and Order entered May</w:t>
      </w:r>
      <w:r w:rsidR="009F114D">
        <w:rPr>
          <w:sz w:val="26"/>
          <w:szCs w:val="26"/>
        </w:rPr>
        <w:t> </w:t>
      </w:r>
      <w:r w:rsidR="00023C30">
        <w:rPr>
          <w:sz w:val="26"/>
          <w:szCs w:val="26"/>
        </w:rPr>
        <w:t>6,</w:t>
      </w:r>
      <w:r w:rsidR="009F114D">
        <w:rPr>
          <w:sz w:val="26"/>
          <w:szCs w:val="26"/>
        </w:rPr>
        <w:t> </w:t>
      </w:r>
      <w:r w:rsidR="00023C30">
        <w:rPr>
          <w:sz w:val="26"/>
          <w:szCs w:val="26"/>
        </w:rPr>
        <w:t xml:space="preserve">2021); </w:t>
      </w:r>
      <w:r w:rsidR="00023C30" w:rsidRPr="001B6028">
        <w:rPr>
          <w:i/>
          <w:iCs/>
          <w:sz w:val="26"/>
          <w:szCs w:val="26"/>
        </w:rPr>
        <w:t>Application of Right Now Home Care, LLC</w:t>
      </w:r>
      <w:r w:rsidR="00023C30">
        <w:rPr>
          <w:sz w:val="26"/>
          <w:szCs w:val="26"/>
        </w:rPr>
        <w:t xml:space="preserve">, Docket No. </w:t>
      </w:r>
      <w:r w:rsidR="00023C30" w:rsidRPr="00816347">
        <w:rPr>
          <w:sz w:val="26"/>
          <w:szCs w:val="26"/>
        </w:rPr>
        <w:t>A-2019-3013661</w:t>
      </w:r>
      <w:r w:rsidR="00023C30">
        <w:rPr>
          <w:sz w:val="26"/>
          <w:szCs w:val="26"/>
        </w:rPr>
        <w:t xml:space="preserve"> (Opinion and Order entered July 16, 2020); </w:t>
      </w:r>
      <w:r w:rsidR="00023C30">
        <w:rPr>
          <w:i/>
          <w:iCs/>
          <w:sz w:val="26"/>
          <w:szCs w:val="26"/>
        </w:rPr>
        <w:t>Application of Sky Line Car Service, LLC</w:t>
      </w:r>
      <w:r w:rsidR="00023C30">
        <w:rPr>
          <w:sz w:val="26"/>
          <w:szCs w:val="26"/>
        </w:rPr>
        <w:t>, Docket No.</w:t>
      </w:r>
      <w:r w:rsidR="00E93F35">
        <w:rPr>
          <w:sz w:val="26"/>
          <w:szCs w:val="26"/>
        </w:rPr>
        <w:t xml:space="preserve"> </w:t>
      </w:r>
      <w:r w:rsidR="00023C30">
        <w:rPr>
          <w:sz w:val="26"/>
          <w:szCs w:val="26"/>
        </w:rPr>
        <w:t xml:space="preserve">A-2014-2401261 (Opinion and Order entered May 19, 2015).  Moreover, </w:t>
      </w:r>
      <w:r w:rsidR="00023C30" w:rsidRPr="005321E3">
        <w:rPr>
          <w:sz w:val="26"/>
          <w:szCs w:val="26"/>
        </w:rPr>
        <w:t xml:space="preserve">given the procedural posture of this Application filing, </w:t>
      </w:r>
      <w:r w:rsidR="00023C30">
        <w:rPr>
          <w:sz w:val="26"/>
          <w:szCs w:val="26"/>
        </w:rPr>
        <w:t xml:space="preserve">accepting the </w:t>
      </w:r>
      <w:r w:rsidR="00E93F35">
        <w:rPr>
          <w:sz w:val="26"/>
          <w:szCs w:val="26"/>
        </w:rPr>
        <w:t xml:space="preserve">information that was sent to Packhorse’s contacts at the Commission in response to the </w:t>
      </w:r>
      <w:r w:rsidR="00E93F35">
        <w:rPr>
          <w:bCs/>
          <w:i/>
          <w:iCs/>
          <w:sz w:val="26"/>
          <w:szCs w:val="26"/>
        </w:rPr>
        <w:t xml:space="preserve">December 2020 Secretarial Letter </w:t>
      </w:r>
      <w:r w:rsidR="00023C30" w:rsidRPr="005321E3">
        <w:rPr>
          <w:sz w:val="26"/>
          <w:szCs w:val="26"/>
        </w:rPr>
        <w:t xml:space="preserve">is a more efficient use of the Commission’s and the </w:t>
      </w:r>
      <w:r w:rsidR="00023C30">
        <w:rPr>
          <w:sz w:val="26"/>
          <w:szCs w:val="26"/>
        </w:rPr>
        <w:t>Applicant’s</w:t>
      </w:r>
      <w:r w:rsidR="00023C30" w:rsidRPr="005321E3">
        <w:rPr>
          <w:sz w:val="26"/>
          <w:szCs w:val="26"/>
        </w:rPr>
        <w:t xml:space="preserve"> resources at this stage</w:t>
      </w:r>
      <w:r w:rsidR="00023C30">
        <w:rPr>
          <w:sz w:val="26"/>
          <w:szCs w:val="26"/>
        </w:rPr>
        <w:t xml:space="preserve"> of the proceedings</w:t>
      </w:r>
      <w:r w:rsidR="00023C30" w:rsidRPr="005321E3">
        <w:rPr>
          <w:sz w:val="26"/>
          <w:szCs w:val="26"/>
        </w:rPr>
        <w:t>.</w:t>
      </w:r>
      <w:r w:rsidR="00023C30">
        <w:rPr>
          <w:sz w:val="26"/>
          <w:szCs w:val="26"/>
        </w:rPr>
        <w:t xml:space="preserve"> </w:t>
      </w:r>
    </w:p>
    <w:p w14:paraId="3646BA2F" w14:textId="77777777" w:rsidR="00E93F35" w:rsidRDefault="00E93F35" w:rsidP="00023C30">
      <w:pPr>
        <w:tabs>
          <w:tab w:val="left" w:pos="-720"/>
        </w:tabs>
        <w:suppressAutoHyphens/>
        <w:spacing w:line="360" w:lineRule="auto"/>
        <w:ind w:firstLine="1440"/>
        <w:contextualSpacing/>
        <w:rPr>
          <w:sz w:val="26"/>
          <w:szCs w:val="26"/>
        </w:rPr>
      </w:pPr>
    </w:p>
    <w:p w14:paraId="51516C91" w14:textId="77777777" w:rsidR="00023C30" w:rsidRPr="00755937" w:rsidRDefault="00023C30" w:rsidP="00023C30">
      <w:pPr>
        <w:keepNext/>
        <w:keepLines/>
        <w:spacing w:line="360" w:lineRule="auto"/>
        <w:contextualSpacing/>
        <w:jc w:val="center"/>
        <w:rPr>
          <w:b/>
          <w:sz w:val="26"/>
          <w:szCs w:val="26"/>
        </w:rPr>
      </w:pPr>
      <w:r w:rsidRPr="009F114D">
        <w:rPr>
          <w:b/>
          <w:bCs/>
          <w:sz w:val="26"/>
          <w:szCs w:val="26"/>
        </w:rPr>
        <w:t>C</w:t>
      </w:r>
      <w:r w:rsidRPr="00755937">
        <w:rPr>
          <w:b/>
          <w:sz w:val="26"/>
          <w:szCs w:val="26"/>
        </w:rPr>
        <w:t>onclusion</w:t>
      </w:r>
    </w:p>
    <w:p w14:paraId="3BBEDEE7" w14:textId="77777777" w:rsidR="00023C30" w:rsidRPr="00755937" w:rsidRDefault="00023C30" w:rsidP="00023C30">
      <w:pPr>
        <w:keepNext/>
        <w:keepLines/>
        <w:tabs>
          <w:tab w:val="left" w:pos="-720"/>
        </w:tabs>
        <w:suppressAutoHyphens/>
        <w:spacing w:line="360" w:lineRule="auto"/>
        <w:contextualSpacing/>
        <w:rPr>
          <w:sz w:val="26"/>
          <w:szCs w:val="26"/>
        </w:rPr>
      </w:pPr>
    </w:p>
    <w:p w14:paraId="247A10CC" w14:textId="33C75B89" w:rsidR="00023C30" w:rsidRPr="00755937" w:rsidRDefault="00023C30" w:rsidP="00023C30">
      <w:pPr>
        <w:tabs>
          <w:tab w:val="left" w:pos="-720"/>
        </w:tabs>
        <w:suppressAutoHyphens/>
        <w:spacing w:line="360" w:lineRule="auto"/>
        <w:ind w:firstLine="1440"/>
        <w:contextualSpacing/>
        <w:rPr>
          <w:sz w:val="26"/>
          <w:szCs w:val="26"/>
        </w:rPr>
      </w:pPr>
      <w:r>
        <w:rPr>
          <w:sz w:val="26"/>
          <w:szCs w:val="26"/>
        </w:rPr>
        <w:t>For the reasons discussed herein, we will grant the Petition</w:t>
      </w:r>
      <w:r w:rsidR="00596DD5">
        <w:rPr>
          <w:sz w:val="26"/>
          <w:szCs w:val="26"/>
        </w:rPr>
        <w:t xml:space="preserve">, </w:t>
      </w:r>
      <w:r w:rsidR="00596DD5">
        <w:rPr>
          <w:color w:val="000000"/>
          <w:sz w:val="26"/>
        </w:rPr>
        <w:t xml:space="preserve">rescind the </w:t>
      </w:r>
      <w:r w:rsidR="00596DD5">
        <w:rPr>
          <w:i/>
          <w:iCs/>
          <w:color w:val="000000"/>
          <w:sz w:val="26"/>
        </w:rPr>
        <w:t>January 2021 Secretarial Letter</w:t>
      </w:r>
      <w:r w:rsidR="007923E5">
        <w:rPr>
          <w:color w:val="000000"/>
          <w:sz w:val="26"/>
        </w:rPr>
        <w:t>,</w:t>
      </w:r>
      <w:r>
        <w:rPr>
          <w:sz w:val="26"/>
          <w:szCs w:val="26"/>
        </w:rPr>
        <w:t xml:space="preserve"> and refer this matter to TUS for such further action as may be warranted, consistent with this Opinion and Order</w:t>
      </w:r>
      <w:r w:rsidRPr="00755937">
        <w:rPr>
          <w:sz w:val="26"/>
          <w:szCs w:val="26"/>
        </w:rPr>
        <w:t xml:space="preserve">; </w:t>
      </w:r>
      <w:r w:rsidRPr="00755937">
        <w:rPr>
          <w:b/>
          <w:sz w:val="26"/>
          <w:szCs w:val="26"/>
        </w:rPr>
        <w:t>THEREFORE,</w:t>
      </w:r>
    </w:p>
    <w:p w14:paraId="79E32385" w14:textId="77777777" w:rsidR="00023C30" w:rsidRPr="00755937" w:rsidRDefault="00023C30" w:rsidP="00023C30">
      <w:pPr>
        <w:tabs>
          <w:tab w:val="left" w:pos="-720"/>
        </w:tabs>
        <w:suppressAutoHyphens/>
        <w:spacing w:line="360" w:lineRule="auto"/>
        <w:contextualSpacing/>
        <w:rPr>
          <w:sz w:val="26"/>
          <w:szCs w:val="26"/>
        </w:rPr>
      </w:pPr>
    </w:p>
    <w:p w14:paraId="19D6951D" w14:textId="77777777" w:rsidR="00023C30" w:rsidRPr="00755937" w:rsidRDefault="00023C30" w:rsidP="00023C30">
      <w:pPr>
        <w:keepNext/>
        <w:keepLines/>
        <w:tabs>
          <w:tab w:val="left" w:pos="-720"/>
        </w:tabs>
        <w:suppressAutoHyphens/>
        <w:spacing w:line="360" w:lineRule="auto"/>
        <w:ind w:firstLine="1440"/>
        <w:contextualSpacing/>
        <w:rPr>
          <w:b/>
          <w:sz w:val="26"/>
          <w:szCs w:val="26"/>
        </w:rPr>
      </w:pPr>
      <w:r w:rsidRPr="00755937">
        <w:rPr>
          <w:b/>
          <w:sz w:val="26"/>
          <w:szCs w:val="26"/>
        </w:rPr>
        <w:t>IT IS ORDERED:</w:t>
      </w:r>
    </w:p>
    <w:p w14:paraId="58232D4F" w14:textId="77777777" w:rsidR="00023C30" w:rsidRPr="00755937" w:rsidRDefault="00023C30" w:rsidP="00023C30">
      <w:pPr>
        <w:keepNext/>
        <w:keepLines/>
        <w:tabs>
          <w:tab w:val="left" w:pos="-720"/>
        </w:tabs>
        <w:suppressAutoHyphens/>
        <w:spacing w:line="360" w:lineRule="auto"/>
        <w:contextualSpacing/>
        <w:rPr>
          <w:sz w:val="26"/>
          <w:szCs w:val="26"/>
        </w:rPr>
      </w:pPr>
    </w:p>
    <w:p w14:paraId="588E1D3E" w14:textId="5449CBF1" w:rsidR="00023C30" w:rsidRDefault="00023C30" w:rsidP="00023C30">
      <w:pPr>
        <w:pStyle w:val="ListParagraph"/>
        <w:widowControl/>
        <w:numPr>
          <w:ilvl w:val="0"/>
          <w:numId w:val="3"/>
        </w:numPr>
        <w:tabs>
          <w:tab w:val="left" w:pos="-720"/>
        </w:tabs>
        <w:suppressAutoHyphens/>
        <w:spacing w:line="360" w:lineRule="auto"/>
        <w:ind w:left="0" w:firstLine="1440"/>
        <w:rPr>
          <w:sz w:val="26"/>
          <w:szCs w:val="26"/>
        </w:rPr>
      </w:pPr>
      <w:r w:rsidRPr="00755937">
        <w:rPr>
          <w:sz w:val="26"/>
          <w:szCs w:val="26"/>
        </w:rPr>
        <w:t xml:space="preserve">That the </w:t>
      </w:r>
      <w:r>
        <w:rPr>
          <w:sz w:val="26"/>
          <w:szCs w:val="26"/>
        </w:rPr>
        <w:t>Petition for Reconsideration of Staff Action, filed by Packhorse Moving LLC</w:t>
      </w:r>
      <w:r>
        <w:rPr>
          <w:color w:val="000000"/>
          <w:sz w:val="26"/>
        </w:rPr>
        <w:t xml:space="preserve"> on November 25, 2020</w:t>
      </w:r>
      <w:r w:rsidRPr="00755937">
        <w:rPr>
          <w:sz w:val="26"/>
          <w:szCs w:val="26"/>
        </w:rPr>
        <w:t xml:space="preserve">, </w:t>
      </w:r>
      <w:r w:rsidRPr="00E93A59">
        <w:rPr>
          <w:sz w:val="26"/>
          <w:szCs w:val="26"/>
        </w:rPr>
        <w:t xml:space="preserve">at Docket No. </w:t>
      </w:r>
      <w:r>
        <w:rPr>
          <w:sz w:val="26"/>
          <w:szCs w:val="26"/>
        </w:rPr>
        <w:t>A</w:t>
      </w:r>
      <w:r w:rsidRPr="00BA522F">
        <w:rPr>
          <w:sz w:val="26"/>
          <w:szCs w:val="26"/>
        </w:rPr>
        <w:t>-2020-30</w:t>
      </w:r>
      <w:r>
        <w:rPr>
          <w:sz w:val="26"/>
          <w:szCs w:val="26"/>
        </w:rPr>
        <w:t>23024</w:t>
      </w:r>
      <w:r w:rsidRPr="00E93A59">
        <w:rPr>
          <w:sz w:val="26"/>
          <w:szCs w:val="26"/>
        </w:rPr>
        <w:t>,</w:t>
      </w:r>
      <w:r>
        <w:rPr>
          <w:sz w:val="26"/>
          <w:szCs w:val="26"/>
        </w:rPr>
        <w:t xml:space="preserve"> is granted</w:t>
      </w:r>
      <w:r w:rsidRPr="00755937">
        <w:rPr>
          <w:sz w:val="26"/>
          <w:szCs w:val="26"/>
        </w:rPr>
        <w:t>, consistent with this Opinion and Order.</w:t>
      </w:r>
    </w:p>
    <w:p w14:paraId="5F04C2CA" w14:textId="77777777" w:rsidR="00023C30" w:rsidRDefault="00023C30" w:rsidP="00023C30">
      <w:pPr>
        <w:pStyle w:val="ListParagraph"/>
        <w:tabs>
          <w:tab w:val="left" w:pos="-720"/>
        </w:tabs>
        <w:suppressAutoHyphens/>
        <w:spacing w:line="360" w:lineRule="auto"/>
        <w:ind w:left="1440"/>
        <w:rPr>
          <w:sz w:val="26"/>
          <w:szCs w:val="26"/>
        </w:rPr>
      </w:pPr>
    </w:p>
    <w:p w14:paraId="54B1B578" w14:textId="16043F63" w:rsidR="00023C30" w:rsidRDefault="00023C30" w:rsidP="00023C30">
      <w:pPr>
        <w:pStyle w:val="ListParagraph"/>
        <w:widowControl/>
        <w:numPr>
          <w:ilvl w:val="0"/>
          <w:numId w:val="3"/>
        </w:numPr>
        <w:tabs>
          <w:tab w:val="left" w:pos="-720"/>
        </w:tabs>
        <w:suppressAutoHyphens/>
        <w:spacing w:line="360" w:lineRule="auto"/>
        <w:ind w:left="0" w:firstLine="1440"/>
        <w:rPr>
          <w:sz w:val="26"/>
          <w:szCs w:val="26"/>
        </w:rPr>
      </w:pPr>
      <w:r>
        <w:rPr>
          <w:sz w:val="26"/>
          <w:szCs w:val="26"/>
        </w:rPr>
        <w:t xml:space="preserve">That </w:t>
      </w:r>
      <w:r w:rsidR="0061495C">
        <w:rPr>
          <w:sz w:val="26"/>
          <w:szCs w:val="26"/>
        </w:rPr>
        <w:t>the Secretarial Letter issued</w:t>
      </w:r>
      <w:r>
        <w:rPr>
          <w:sz w:val="26"/>
          <w:szCs w:val="26"/>
        </w:rPr>
        <w:t xml:space="preserve"> on January 11, 2021, is rescinded.</w:t>
      </w:r>
    </w:p>
    <w:p w14:paraId="408BA0A0" w14:textId="77777777" w:rsidR="00023C30" w:rsidRPr="00486B40" w:rsidRDefault="00023C30" w:rsidP="00023C30">
      <w:pPr>
        <w:pStyle w:val="ListParagraph"/>
        <w:spacing w:line="360" w:lineRule="auto"/>
        <w:rPr>
          <w:sz w:val="26"/>
          <w:szCs w:val="26"/>
        </w:rPr>
      </w:pPr>
    </w:p>
    <w:p w14:paraId="479DE068" w14:textId="02FC24FD" w:rsidR="00023C30" w:rsidRDefault="00023C30" w:rsidP="009F114D">
      <w:pPr>
        <w:pStyle w:val="ListParagraph"/>
        <w:keepNext/>
        <w:keepLines/>
        <w:widowControl/>
        <w:numPr>
          <w:ilvl w:val="0"/>
          <w:numId w:val="3"/>
        </w:numPr>
        <w:tabs>
          <w:tab w:val="left" w:pos="-720"/>
        </w:tabs>
        <w:suppressAutoHyphens/>
        <w:spacing w:line="360" w:lineRule="auto"/>
        <w:ind w:left="0" w:firstLine="1440"/>
        <w:rPr>
          <w:sz w:val="26"/>
          <w:szCs w:val="26"/>
        </w:rPr>
      </w:pPr>
      <w:r>
        <w:rPr>
          <w:sz w:val="26"/>
          <w:szCs w:val="26"/>
        </w:rPr>
        <w:lastRenderedPageBreak/>
        <w:t xml:space="preserve">That this matter be referred to the Bureau of Technical Utility Services for such further action as may be </w:t>
      </w:r>
      <w:r w:rsidR="0061495C">
        <w:rPr>
          <w:sz w:val="26"/>
          <w:szCs w:val="26"/>
        </w:rPr>
        <w:t xml:space="preserve">deemed </w:t>
      </w:r>
      <w:r>
        <w:rPr>
          <w:sz w:val="26"/>
          <w:szCs w:val="26"/>
        </w:rPr>
        <w:t>warranted</w:t>
      </w:r>
      <w:r w:rsidR="0061495C">
        <w:rPr>
          <w:sz w:val="26"/>
          <w:szCs w:val="26"/>
        </w:rPr>
        <w:t>, consistent with this Opinion and Order</w:t>
      </w:r>
      <w:r>
        <w:rPr>
          <w:sz w:val="26"/>
          <w:szCs w:val="26"/>
        </w:rPr>
        <w:t>.</w:t>
      </w:r>
    </w:p>
    <w:p w14:paraId="7A965325" w14:textId="37710722" w:rsidR="003A73BA" w:rsidRDefault="003A73BA" w:rsidP="009F114D">
      <w:pPr>
        <w:keepNext/>
        <w:keepLines/>
        <w:widowControl/>
        <w:tabs>
          <w:tab w:val="left" w:pos="-720"/>
        </w:tabs>
        <w:suppressAutoHyphens/>
        <w:overflowPunct w:val="0"/>
        <w:autoSpaceDE w:val="0"/>
        <w:autoSpaceDN w:val="0"/>
        <w:adjustRightInd w:val="0"/>
        <w:spacing w:line="360" w:lineRule="auto"/>
        <w:textAlignment w:val="baseline"/>
        <w:rPr>
          <w:sz w:val="26"/>
          <w:szCs w:val="26"/>
        </w:rPr>
      </w:pPr>
    </w:p>
    <w:p w14:paraId="2BC897A9" w14:textId="3D7AEE91" w:rsidR="003A73BA" w:rsidRPr="00DC2374" w:rsidRDefault="00710121" w:rsidP="009F114D">
      <w:pPr>
        <w:keepNext/>
        <w:keepLines/>
        <w:ind w:firstLine="1440"/>
        <w:rPr>
          <w:b/>
          <w:sz w:val="26"/>
          <w:szCs w:val="26"/>
        </w:rPr>
      </w:pPr>
      <w:r w:rsidRPr="009F01BA">
        <w:rPr>
          <w:b/>
          <w:noProof/>
        </w:rPr>
        <w:drawing>
          <wp:anchor distT="0" distB="0" distL="114300" distR="114300" simplePos="0" relativeHeight="251659264" behindDoc="1" locked="0" layoutInCell="1" allowOverlap="1" wp14:anchorId="14DC1769" wp14:editId="2C761E0E">
            <wp:simplePos x="0" y="0"/>
            <wp:positionH relativeFrom="column">
              <wp:posOffset>2867025</wp:posOffset>
            </wp:positionH>
            <wp:positionV relativeFrom="paragraph">
              <wp:posOffset>132080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A73BA">
        <w:rPr>
          <w:b/>
          <w:sz w:val="26"/>
          <w:szCs w:val="26"/>
        </w:rPr>
        <w:tab/>
      </w:r>
      <w:r w:rsidR="003A73BA">
        <w:rPr>
          <w:b/>
          <w:sz w:val="26"/>
          <w:szCs w:val="26"/>
        </w:rPr>
        <w:tab/>
      </w:r>
      <w:r w:rsidR="003A73BA">
        <w:rPr>
          <w:b/>
          <w:sz w:val="26"/>
          <w:szCs w:val="26"/>
        </w:rPr>
        <w:tab/>
      </w:r>
      <w:r w:rsidR="003A73BA">
        <w:rPr>
          <w:b/>
          <w:sz w:val="26"/>
          <w:szCs w:val="26"/>
        </w:rPr>
        <w:tab/>
      </w:r>
      <w:r w:rsidR="009F114D">
        <w:rPr>
          <w:b/>
          <w:sz w:val="26"/>
          <w:szCs w:val="26"/>
        </w:rPr>
        <w:tab/>
      </w:r>
      <w:r w:rsidR="003A73BA" w:rsidRPr="000D6043">
        <w:rPr>
          <w:b/>
          <w:sz w:val="26"/>
          <w:szCs w:val="26"/>
        </w:rPr>
        <w:t>BY THE COMMISSION,</w:t>
      </w:r>
    </w:p>
    <w:p w14:paraId="496EF68D" w14:textId="36538751" w:rsidR="003A73BA" w:rsidRDefault="00710121" w:rsidP="00710121">
      <w:pPr>
        <w:keepNext/>
        <w:keepLines/>
        <w:tabs>
          <w:tab w:val="left" w:pos="5940"/>
        </w:tabs>
        <w:rPr>
          <w:sz w:val="26"/>
          <w:szCs w:val="26"/>
        </w:rPr>
      </w:pPr>
      <w:r>
        <w:rPr>
          <w:sz w:val="26"/>
          <w:szCs w:val="26"/>
        </w:rPr>
        <w:tab/>
      </w:r>
    </w:p>
    <w:p w14:paraId="40F555FD" w14:textId="77777777" w:rsidR="003A73BA" w:rsidRDefault="003A73BA" w:rsidP="009F114D">
      <w:pPr>
        <w:keepNext/>
        <w:keepLines/>
        <w:rPr>
          <w:sz w:val="26"/>
          <w:szCs w:val="26"/>
        </w:rPr>
      </w:pPr>
    </w:p>
    <w:p w14:paraId="1EF0B1CA" w14:textId="77777777" w:rsidR="003A73BA" w:rsidRDefault="003A73BA" w:rsidP="009F114D">
      <w:pPr>
        <w:keepNext/>
        <w:keepLines/>
        <w:rPr>
          <w:sz w:val="26"/>
          <w:szCs w:val="26"/>
        </w:rPr>
      </w:pPr>
    </w:p>
    <w:p w14:paraId="12E154EC" w14:textId="77777777" w:rsidR="003A73BA" w:rsidRPr="000D6043" w:rsidRDefault="003A73BA" w:rsidP="009F114D">
      <w:pPr>
        <w:keepNext/>
        <w:keepLines/>
        <w:ind w:left="4320" w:firstLine="720"/>
        <w:rPr>
          <w:sz w:val="26"/>
          <w:szCs w:val="26"/>
        </w:rPr>
      </w:pPr>
      <w:r>
        <w:rPr>
          <w:sz w:val="26"/>
          <w:szCs w:val="26"/>
        </w:rPr>
        <w:t>Rosemary Chiavetta</w:t>
      </w:r>
    </w:p>
    <w:p w14:paraId="6983A099" w14:textId="38C855CB" w:rsidR="003A73BA" w:rsidRDefault="003A73BA" w:rsidP="009F114D">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9F114D">
        <w:rPr>
          <w:sz w:val="26"/>
          <w:szCs w:val="26"/>
        </w:rPr>
        <w:tab/>
      </w:r>
      <w:r w:rsidRPr="000D6043">
        <w:rPr>
          <w:sz w:val="26"/>
          <w:szCs w:val="26"/>
        </w:rPr>
        <w:t>Secretary</w:t>
      </w:r>
    </w:p>
    <w:p w14:paraId="61F1D61A" w14:textId="77777777" w:rsidR="009547B7" w:rsidRDefault="009547B7" w:rsidP="009F114D">
      <w:pPr>
        <w:keepNext/>
        <w:keepLines/>
        <w:rPr>
          <w:sz w:val="26"/>
          <w:szCs w:val="26"/>
        </w:rPr>
      </w:pPr>
    </w:p>
    <w:p w14:paraId="0F0585E1" w14:textId="186E7E59" w:rsidR="00023C30" w:rsidRDefault="00023C30" w:rsidP="009F114D">
      <w:pPr>
        <w:keepNext/>
        <w:keepLines/>
        <w:rPr>
          <w:sz w:val="26"/>
          <w:szCs w:val="26"/>
        </w:rPr>
      </w:pPr>
      <w:r>
        <w:rPr>
          <w:sz w:val="26"/>
          <w:szCs w:val="26"/>
        </w:rPr>
        <w:t>(SEAL)</w:t>
      </w:r>
    </w:p>
    <w:p w14:paraId="2E6671A8" w14:textId="77777777" w:rsidR="003A73BA" w:rsidRDefault="003A73BA" w:rsidP="009F114D">
      <w:pPr>
        <w:keepNext/>
        <w:keepLines/>
        <w:rPr>
          <w:sz w:val="26"/>
          <w:szCs w:val="26"/>
        </w:rPr>
      </w:pPr>
    </w:p>
    <w:p w14:paraId="2B22F48D" w14:textId="77777777" w:rsidR="003A73BA" w:rsidRDefault="003A73BA" w:rsidP="009F114D">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June 17, 2021</w:t>
      </w:r>
    </w:p>
    <w:p w14:paraId="770C99BD" w14:textId="77777777" w:rsidR="003A73BA" w:rsidRDefault="003A73BA" w:rsidP="009F114D">
      <w:pPr>
        <w:keepNext/>
        <w:keepLines/>
        <w:tabs>
          <w:tab w:val="left" w:pos="-720"/>
        </w:tabs>
        <w:suppressAutoHyphens/>
        <w:rPr>
          <w:sz w:val="26"/>
          <w:szCs w:val="26"/>
        </w:rPr>
      </w:pPr>
    </w:p>
    <w:p w14:paraId="2325E21E" w14:textId="001C9C83" w:rsidR="004A6148" w:rsidRPr="00FC34A2" w:rsidRDefault="003A73BA" w:rsidP="009F114D">
      <w:pPr>
        <w:keepNext/>
        <w:keepLines/>
        <w:tabs>
          <w:tab w:val="left" w:pos="-720"/>
        </w:tabs>
        <w:suppressAutoHyphens/>
        <w:rPr>
          <w:sz w:val="26"/>
          <w:szCs w:val="26"/>
        </w:rPr>
      </w:pPr>
      <w:r w:rsidRPr="00507493">
        <w:rPr>
          <w:sz w:val="26"/>
          <w:szCs w:val="26"/>
        </w:rPr>
        <w:t>ORDER ENTERED</w:t>
      </w:r>
      <w:r w:rsidRPr="00FC34A2">
        <w:rPr>
          <w:sz w:val="26"/>
          <w:szCs w:val="26"/>
        </w:rPr>
        <w:t xml:space="preserve">:  </w:t>
      </w:r>
      <w:r w:rsidR="00710121">
        <w:rPr>
          <w:sz w:val="26"/>
          <w:szCs w:val="26"/>
        </w:rPr>
        <w:t>June 17, 2021</w:t>
      </w:r>
    </w:p>
    <w:sectPr w:rsidR="004A6148" w:rsidRPr="00FC34A2" w:rsidSect="00BB248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F53F" w14:textId="77777777" w:rsidR="002902C6" w:rsidRDefault="002902C6" w:rsidP="003A73BA">
      <w:r>
        <w:separator/>
      </w:r>
    </w:p>
  </w:endnote>
  <w:endnote w:type="continuationSeparator" w:id="0">
    <w:p w14:paraId="0E7FD433" w14:textId="77777777" w:rsidR="002902C6" w:rsidRDefault="002902C6" w:rsidP="003A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5018"/>
      <w:docPartObj>
        <w:docPartGallery w:val="Page Numbers (Bottom of Page)"/>
        <w:docPartUnique/>
      </w:docPartObj>
    </w:sdtPr>
    <w:sdtEndPr>
      <w:rPr>
        <w:noProof/>
        <w:sz w:val="26"/>
        <w:szCs w:val="26"/>
      </w:rPr>
    </w:sdtEndPr>
    <w:sdtContent>
      <w:p w14:paraId="0062E0FB" w14:textId="07472FB1" w:rsidR="00BB248A" w:rsidRPr="00FC34A2" w:rsidRDefault="001B23D3" w:rsidP="00FC34A2">
        <w:pPr>
          <w:pStyle w:val="Footer"/>
          <w:tabs>
            <w:tab w:val="clear" w:pos="4680"/>
          </w:tabs>
          <w:jc w:val="center"/>
          <w:rPr>
            <w:sz w:val="26"/>
            <w:szCs w:val="26"/>
          </w:rPr>
        </w:pPr>
        <w:r w:rsidRPr="00593D51">
          <w:rPr>
            <w:sz w:val="26"/>
            <w:szCs w:val="26"/>
          </w:rPr>
          <w:fldChar w:fldCharType="begin"/>
        </w:r>
        <w:r w:rsidRPr="00593D51">
          <w:rPr>
            <w:sz w:val="26"/>
            <w:szCs w:val="26"/>
          </w:rPr>
          <w:instrText xml:space="preserve"> PAGE   \* MERGEFORMAT </w:instrText>
        </w:r>
        <w:r w:rsidRPr="00593D51">
          <w:rPr>
            <w:sz w:val="26"/>
            <w:szCs w:val="26"/>
          </w:rPr>
          <w:fldChar w:fldCharType="separate"/>
        </w:r>
        <w:r w:rsidRPr="00593D51">
          <w:rPr>
            <w:noProof/>
            <w:sz w:val="26"/>
            <w:szCs w:val="26"/>
          </w:rPr>
          <w:t>2</w:t>
        </w:r>
        <w:r w:rsidRPr="00593D5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23F7" w14:textId="77777777" w:rsidR="002902C6" w:rsidRDefault="002902C6" w:rsidP="003A73BA">
      <w:r>
        <w:separator/>
      </w:r>
    </w:p>
  </w:footnote>
  <w:footnote w:type="continuationSeparator" w:id="0">
    <w:p w14:paraId="1DC5F118" w14:textId="77777777" w:rsidR="002902C6" w:rsidRDefault="002902C6" w:rsidP="003A73BA">
      <w:r>
        <w:continuationSeparator/>
      </w:r>
    </w:p>
  </w:footnote>
  <w:footnote w:id="1">
    <w:p w14:paraId="74AAB8BC" w14:textId="77777777" w:rsidR="003A73BA" w:rsidRDefault="003A73BA" w:rsidP="003A73BA">
      <w:pPr>
        <w:pStyle w:val="FootnoteText"/>
        <w:keepNext/>
        <w:keepLines/>
        <w:ind w:firstLine="720"/>
      </w:pPr>
      <w:r w:rsidRPr="005E7058">
        <w:rPr>
          <w:rStyle w:val="FootnoteReference"/>
          <w:sz w:val="26"/>
          <w:szCs w:val="26"/>
        </w:rPr>
        <w:footnoteRef/>
      </w:r>
      <w:r w:rsidRPr="005E7058">
        <w:rPr>
          <w:sz w:val="26"/>
          <w:szCs w:val="26"/>
        </w:rPr>
        <w:t xml:space="preserve"> </w:t>
      </w:r>
      <w:r>
        <w:tab/>
      </w:r>
      <w:r>
        <w:rPr>
          <w:sz w:val="26"/>
          <w:szCs w:val="26"/>
        </w:rPr>
        <w:t>T</w:t>
      </w:r>
      <w:r w:rsidRPr="00C64208">
        <w:rPr>
          <w:sz w:val="26"/>
          <w:szCs w:val="26"/>
        </w:rPr>
        <w:t xml:space="preserve">o deal efficiently </w:t>
      </w:r>
      <w:r>
        <w:rPr>
          <w:sz w:val="26"/>
          <w:szCs w:val="26"/>
        </w:rPr>
        <w:t>with various</w:t>
      </w:r>
      <w:r w:rsidRPr="00C64208">
        <w:rPr>
          <w:sz w:val="26"/>
          <w:szCs w:val="26"/>
        </w:rPr>
        <w:t xml:space="preserve"> routine and non-controversial matters that require </w:t>
      </w:r>
      <w:r>
        <w:rPr>
          <w:sz w:val="26"/>
          <w:szCs w:val="26"/>
        </w:rPr>
        <w:t xml:space="preserve">the </w:t>
      </w:r>
      <w:r w:rsidRPr="00C64208">
        <w:rPr>
          <w:sz w:val="26"/>
          <w:szCs w:val="26"/>
        </w:rPr>
        <w:t>Commission</w:t>
      </w:r>
      <w:r>
        <w:rPr>
          <w:sz w:val="26"/>
          <w:szCs w:val="26"/>
        </w:rPr>
        <w:t>’s</w:t>
      </w:r>
      <w:r w:rsidRPr="00C64208">
        <w:rPr>
          <w:sz w:val="26"/>
          <w:szCs w:val="26"/>
        </w:rPr>
        <w:t xml:space="preserve"> approval, the Commission has exp</w:t>
      </w:r>
      <w:r>
        <w:rPr>
          <w:sz w:val="26"/>
          <w:szCs w:val="26"/>
        </w:rPr>
        <w:t xml:space="preserve">ressly </w:t>
      </w:r>
      <w:r w:rsidRPr="00C64208">
        <w:rPr>
          <w:sz w:val="26"/>
          <w:szCs w:val="26"/>
        </w:rPr>
        <w:t xml:space="preserve">delegated its approval authority </w:t>
      </w:r>
      <w:r>
        <w:rPr>
          <w:sz w:val="26"/>
          <w:szCs w:val="26"/>
        </w:rPr>
        <w:t>to staff regarding</w:t>
      </w:r>
      <w:r w:rsidRPr="00C64208">
        <w:rPr>
          <w:sz w:val="26"/>
          <w:szCs w:val="26"/>
        </w:rPr>
        <w:t xml:space="preserve"> certain matters that are deemed to be routine, ministerial and</w:t>
      </w:r>
      <w:r>
        <w:rPr>
          <w:sz w:val="26"/>
          <w:szCs w:val="26"/>
        </w:rPr>
        <w:t xml:space="preserve"> non-policy making in nature.  Thus, for specific delegated matters</w:t>
      </w:r>
      <w:r w:rsidRPr="00C64208">
        <w:rPr>
          <w:sz w:val="26"/>
          <w:szCs w:val="26"/>
        </w:rPr>
        <w:t xml:space="preserve">, in lieu of action at public meeting, individual bureaus </w:t>
      </w:r>
      <w:r>
        <w:rPr>
          <w:sz w:val="26"/>
          <w:szCs w:val="26"/>
        </w:rPr>
        <w:t>may exercise</w:t>
      </w:r>
      <w:r w:rsidRPr="00C64208">
        <w:rPr>
          <w:sz w:val="26"/>
          <w:szCs w:val="26"/>
        </w:rPr>
        <w:t xml:space="preserve"> </w:t>
      </w:r>
      <w:r>
        <w:rPr>
          <w:sz w:val="26"/>
          <w:szCs w:val="26"/>
        </w:rPr>
        <w:t xml:space="preserve">the Commission’s </w:t>
      </w:r>
      <w:r w:rsidRPr="00C64208">
        <w:rPr>
          <w:sz w:val="26"/>
          <w:szCs w:val="26"/>
        </w:rPr>
        <w:t>authority by Secretarial Letter.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DC3"/>
    <w:multiLevelType w:val="hybridMultilevel"/>
    <w:tmpl w:val="3A5C484C"/>
    <w:lvl w:ilvl="0" w:tplc="AA0C1F52">
      <w:start w:val="1"/>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BA"/>
    <w:rsid w:val="00023C30"/>
    <w:rsid w:val="00121CA8"/>
    <w:rsid w:val="001402A2"/>
    <w:rsid w:val="00163199"/>
    <w:rsid w:val="00192790"/>
    <w:rsid w:val="001A1E8A"/>
    <w:rsid w:val="001A4CE1"/>
    <w:rsid w:val="001B23D3"/>
    <w:rsid w:val="001E233A"/>
    <w:rsid w:val="0023613D"/>
    <w:rsid w:val="002902C6"/>
    <w:rsid w:val="00387070"/>
    <w:rsid w:val="003A73BA"/>
    <w:rsid w:val="0040468F"/>
    <w:rsid w:val="004308EA"/>
    <w:rsid w:val="004A6148"/>
    <w:rsid w:val="004C7DFC"/>
    <w:rsid w:val="004E6657"/>
    <w:rsid w:val="00525885"/>
    <w:rsid w:val="0055696D"/>
    <w:rsid w:val="00593D51"/>
    <w:rsid w:val="00596DD5"/>
    <w:rsid w:val="0061495C"/>
    <w:rsid w:val="006F1D32"/>
    <w:rsid w:val="00710121"/>
    <w:rsid w:val="0074355C"/>
    <w:rsid w:val="007923E5"/>
    <w:rsid w:val="00887D4E"/>
    <w:rsid w:val="008D1E45"/>
    <w:rsid w:val="00910AE1"/>
    <w:rsid w:val="00912CD0"/>
    <w:rsid w:val="009547B7"/>
    <w:rsid w:val="00985043"/>
    <w:rsid w:val="00997C9F"/>
    <w:rsid w:val="009F114D"/>
    <w:rsid w:val="00A263FF"/>
    <w:rsid w:val="00A6593D"/>
    <w:rsid w:val="00AD6D1B"/>
    <w:rsid w:val="00AF415F"/>
    <w:rsid w:val="00B0560F"/>
    <w:rsid w:val="00B463AA"/>
    <w:rsid w:val="00BF2C65"/>
    <w:rsid w:val="00C46295"/>
    <w:rsid w:val="00C57FE2"/>
    <w:rsid w:val="00CA7971"/>
    <w:rsid w:val="00CC5111"/>
    <w:rsid w:val="00CE5D63"/>
    <w:rsid w:val="00D2380C"/>
    <w:rsid w:val="00D50B7B"/>
    <w:rsid w:val="00E27F8C"/>
    <w:rsid w:val="00E76638"/>
    <w:rsid w:val="00E93F35"/>
    <w:rsid w:val="00EE4AE9"/>
    <w:rsid w:val="00FC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078D"/>
  <w15:chartTrackingRefBased/>
  <w15:docId w15:val="{E64FAFE6-29BE-4A7A-923B-D6B9F467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BA"/>
    <w:pPr>
      <w:widowControl w:val="0"/>
    </w:pPr>
    <w:rPr>
      <w:rFonts w:eastAsia="Times New Roman"/>
      <w:sz w:val="20"/>
      <w:szCs w:val="20"/>
    </w:rPr>
  </w:style>
  <w:style w:type="paragraph" w:styleId="Heading1">
    <w:name w:val="heading 1"/>
    <w:basedOn w:val="Normal"/>
    <w:next w:val="Normal"/>
    <w:link w:val="Heading1Char"/>
    <w:qFormat/>
    <w:rsid w:val="003A73BA"/>
    <w:pPr>
      <w:widowControl/>
      <w:numPr>
        <w:numId w:val="1"/>
      </w:numPr>
      <w:spacing w:line="360" w:lineRule="auto"/>
      <w:ind w:left="720"/>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3BA"/>
    <w:rPr>
      <w:rFonts w:eastAsia="Times New Roman"/>
      <w:b/>
      <w:sz w:val="26"/>
      <w:szCs w:val="20"/>
    </w:rPr>
  </w:style>
  <w:style w:type="table" w:styleId="TableGrid">
    <w:name w:val="Table Grid"/>
    <w:basedOn w:val="TableNormal"/>
    <w:uiPriority w:val="59"/>
    <w:rsid w:val="003A73BA"/>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3BA"/>
    <w:pPr>
      <w:ind w:left="720"/>
      <w:contextualSpacing/>
    </w:pPr>
  </w:style>
  <w:style w:type="paragraph" w:styleId="FootnoteText">
    <w:name w:val="footnote text"/>
    <w:aliases w:val="Car,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qFormat/>
    <w:rsid w:val="003A73BA"/>
    <w:pPr>
      <w:widowControl/>
    </w:pPr>
  </w:style>
  <w:style w:type="character" w:customStyle="1" w:styleId="FootnoteTextChar">
    <w:name w:val="Footnote Text Char"/>
    <w:aliases w:val="Car Char,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3A73BA"/>
    <w:rPr>
      <w:rFonts w:eastAsia="Times New Roman"/>
      <w:sz w:val="20"/>
      <w:szCs w:val="20"/>
    </w:rPr>
  </w:style>
  <w:style w:type="character" w:styleId="FootnoteReference">
    <w:name w:val="footnote reference"/>
    <w:aliases w:val="o,fr,Style 6,Style 20,Appel note de bas de p,Style 8,Style 7,Style 3,Style 17,Style 19"/>
    <w:uiPriority w:val="99"/>
    <w:rsid w:val="003A73BA"/>
    <w:rPr>
      <w:vertAlign w:val="superscript"/>
    </w:rPr>
  </w:style>
  <w:style w:type="character" w:styleId="Hyperlink">
    <w:name w:val="Hyperlink"/>
    <w:basedOn w:val="DefaultParagraphFont"/>
    <w:rsid w:val="003A73BA"/>
    <w:rPr>
      <w:color w:val="0000FF"/>
      <w:u w:val="single"/>
    </w:rPr>
  </w:style>
  <w:style w:type="character" w:styleId="Emphasis">
    <w:name w:val="Emphasis"/>
    <w:basedOn w:val="DefaultParagraphFont"/>
    <w:qFormat/>
    <w:rsid w:val="003A73BA"/>
    <w:rPr>
      <w:i/>
      <w:iCs/>
    </w:rPr>
  </w:style>
  <w:style w:type="paragraph" w:styleId="Footer">
    <w:name w:val="footer"/>
    <w:basedOn w:val="Normal"/>
    <w:link w:val="FooterChar"/>
    <w:uiPriority w:val="99"/>
    <w:unhideWhenUsed/>
    <w:rsid w:val="003A73BA"/>
    <w:pPr>
      <w:tabs>
        <w:tab w:val="center" w:pos="4680"/>
        <w:tab w:val="right" w:pos="9360"/>
      </w:tabs>
    </w:pPr>
  </w:style>
  <w:style w:type="character" w:customStyle="1" w:styleId="FooterChar">
    <w:name w:val="Footer Char"/>
    <w:basedOn w:val="DefaultParagraphFont"/>
    <w:link w:val="Footer"/>
    <w:uiPriority w:val="99"/>
    <w:rsid w:val="003A73BA"/>
    <w:rPr>
      <w:rFonts w:eastAsia="Times New Roman"/>
      <w:sz w:val="20"/>
      <w:szCs w:val="20"/>
    </w:rPr>
  </w:style>
  <w:style w:type="paragraph" w:styleId="Header">
    <w:name w:val="header"/>
    <w:basedOn w:val="Normal"/>
    <w:link w:val="HeaderChar"/>
    <w:uiPriority w:val="99"/>
    <w:unhideWhenUsed/>
    <w:rsid w:val="00593D51"/>
    <w:pPr>
      <w:tabs>
        <w:tab w:val="center" w:pos="4680"/>
        <w:tab w:val="right" w:pos="9360"/>
      </w:tabs>
    </w:pPr>
  </w:style>
  <w:style w:type="character" w:customStyle="1" w:styleId="HeaderChar">
    <w:name w:val="Header Char"/>
    <w:basedOn w:val="DefaultParagraphFont"/>
    <w:link w:val="Header"/>
    <w:uiPriority w:val="99"/>
    <w:rsid w:val="00593D51"/>
    <w:rPr>
      <w:rFonts w:eastAsia="Times New Roman"/>
      <w:sz w:val="20"/>
      <w:szCs w:val="20"/>
    </w:rPr>
  </w:style>
  <w:style w:type="character" w:styleId="CommentReference">
    <w:name w:val="annotation reference"/>
    <w:basedOn w:val="DefaultParagraphFont"/>
    <w:uiPriority w:val="99"/>
    <w:semiHidden/>
    <w:unhideWhenUsed/>
    <w:rsid w:val="0040468F"/>
    <w:rPr>
      <w:sz w:val="16"/>
      <w:szCs w:val="16"/>
    </w:rPr>
  </w:style>
  <w:style w:type="paragraph" w:styleId="CommentText">
    <w:name w:val="annotation text"/>
    <w:basedOn w:val="Normal"/>
    <w:link w:val="CommentTextChar"/>
    <w:uiPriority w:val="99"/>
    <w:semiHidden/>
    <w:unhideWhenUsed/>
    <w:rsid w:val="0040468F"/>
  </w:style>
  <w:style w:type="character" w:customStyle="1" w:styleId="CommentTextChar">
    <w:name w:val="Comment Text Char"/>
    <w:basedOn w:val="DefaultParagraphFont"/>
    <w:link w:val="CommentText"/>
    <w:uiPriority w:val="99"/>
    <w:semiHidden/>
    <w:rsid w:val="0040468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0468F"/>
    <w:rPr>
      <w:b/>
      <w:bCs/>
    </w:rPr>
  </w:style>
  <w:style w:type="character" w:customStyle="1" w:styleId="CommentSubjectChar">
    <w:name w:val="Comment Subject Char"/>
    <w:basedOn w:val="CommentTextChar"/>
    <w:link w:val="CommentSubject"/>
    <w:uiPriority w:val="99"/>
    <w:semiHidden/>
    <w:rsid w:val="0040468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4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Sheffer, Ryan</cp:lastModifiedBy>
  <cp:revision>14</cp:revision>
  <cp:lastPrinted>2021-05-30T00:29:00Z</cp:lastPrinted>
  <dcterms:created xsi:type="dcterms:W3CDTF">2021-06-03T19:07:00Z</dcterms:created>
  <dcterms:modified xsi:type="dcterms:W3CDTF">2021-06-17T16:35:00Z</dcterms:modified>
</cp:coreProperties>
</file>