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9C87C" w14:textId="77777777" w:rsidR="00823916" w:rsidRPr="00C87956" w:rsidRDefault="00823916">
      <w:pPr>
        <w:tabs>
          <w:tab w:val="center" w:pos="4680"/>
        </w:tabs>
        <w:jc w:val="both"/>
        <w:rPr>
          <w:b/>
          <w:sz w:val="28"/>
          <w:szCs w:val="18"/>
        </w:rPr>
      </w:pPr>
      <w:r w:rsidRPr="00C87956">
        <w:rPr>
          <w:b/>
          <w:sz w:val="28"/>
          <w:szCs w:val="18"/>
        </w:rPr>
        <w:tab/>
      </w:r>
      <w:smartTag w:uri="urn:schemas-microsoft-com:office:smarttags" w:element="place">
        <w:smartTag w:uri="urn:schemas-microsoft-com:office:smarttags" w:element="State">
          <w:r w:rsidRPr="00C87956">
            <w:rPr>
              <w:b/>
              <w:sz w:val="28"/>
              <w:szCs w:val="18"/>
            </w:rPr>
            <w:t>PENNSYLVANIA</w:t>
          </w:r>
        </w:smartTag>
      </w:smartTag>
      <w:r w:rsidRPr="00C87956">
        <w:rPr>
          <w:b/>
          <w:sz w:val="28"/>
          <w:szCs w:val="18"/>
        </w:rPr>
        <w:t xml:space="preserve"> PUBLIC UTILITY COMMISSION</w:t>
      </w:r>
    </w:p>
    <w:p w14:paraId="7EBCEBE0" w14:textId="77777777" w:rsidR="00823916" w:rsidRPr="00C87956" w:rsidRDefault="00823916">
      <w:pPr>
        <w:jc w:val="both"/>
        <w:rPr>
          <w:b/>
          <w:sz w:val="28"/>
          <w:szCs w:val="18"/>
        </w:rPr>
      </w:pPr>
    </w:p>
    <w:p w14:paraId="30B1DE5F" w14:textId="77777777" w:rsidR="00823916" w:rsidRPr="00C87956" w:rsidRDefault="00823916">
      <w:pPr>
        <w:tabs>
          <w:tab w:val="center" w:pos="4680"/>
        </w:tabs>
        <w:jc w:val="both"/>
        <w:rPr>
          <w:b/>
          <w:sz w:val="28"/>
          <w:szCs w:val="18"/>
        </w:rPr>
      </w:pPr>
      <w:r w:rsidRPr="00C87956">
        <w:rPr>
          <w:b/>
          <w:sz w:val="28"/>
          <w:szCs w:val="18"/>
          <w:u w:val="single"/>
        </w:rPr>
        <w:t xml:space="preserve">                                       </w:t>
      </w:r>
    </w:p>
    <w:p w14:paraId="32ACAEDD" w14:textId="77777777" w:rsidR="00823916" w:rsidRPr="00C87956" w:rsidRDefault="00823916">
      <w:pPr>
        <w:jc w:val="both"/>
        <w:rPr>
          <w:b/>
          <w:sz w:val="28"/>
          <w:szCs w:val="18"/>
        </w:rPr>
      </w:pPr>
      <w:r w:rsidRPr="00C87956">
        <w:rPr>
          <w:b/>
          <w:sz w:val="28"/>
          <w:szCs w:val="18"/>
        </w:rPr>
        <w:t xml:space="preserve">                                     CERTIFICATE OF FILING</w:t>
      </w:r>
    </w:p>
    <w:p w14:paraId="25BD31A6" w14:textId="77777777" w:rsidR="00823916" w:rsidRPr="00C87956" w:rsidRDefault="00823916">
      <w:pPr>
        <w:tabs>
          <w:tab w:val="center" w:pos="4680"/>
        </w:tabs>
        <w:jc w:val="both"/>
        <w:rPr>
          <w:b/>
          <w:sz w:val="28"/>
          <w:szCs w:val="18"/>
          <w:u w:val="single"/>
        </w:rPr>
      </w:pPr>
      <w:r w:rsidRPr="00C87956">
        <w:rPr>
          <w:b/>
          <w:sz w:val="28"/>
          <w:szCs w:val="18"/>
        </w:rPr>
        <w:tab/>
      </w:r>
      <w:r w:rsidRPr="00C87956">
        <w:rPr>
          <w:b/>
          <w:sz w:val="28"/>
          <w:szCs w:val="18"/>
          <w:u w:val="single"/>
        </w:rPr>
        <w:t xml:space="preserve">                                       </w:t>
      </w:r>
    </w:p>
    <w:p w14:paraId="66266D37" w14:textId="77777777" w:rsidR="00823916" w:rsidRPr="00C87956" w:rsidRDefault="00823916">
      <w:pPr>
        <w:jc w:val="both"/>
        <w:rPr>
          <w:b/>
          <w:sz w:val="28"/>
          <w:szCs w:val="18"/>
        </w:rPr>
      </w:pPr>
    </w:p>
    <w:p w14:paraId="0D98E53E" w14:textId="2A12DA7B" w:rsidR="00C87956" w:rsidRPr="00C87956" w:rsidRDefault="00C87956" w:rsidP="00C87956">
      <w:pPr>
        <w:jc w:val="center"/>
        <w:rPr>
          <w:b/>
          <w:sz w:val="28"/>
          <w:szCs w:val="18"/>
        </w:rPr>
      </w:pPr>
      <w:r w:rsidRPr="00C87956">
        <w:rPr>
          <w:b/>
          <w:sz w:val="28"/>
          <w:szCs w:val="18"/>
        </w:rPr>
        <w:t xml:space="preserve">Structures Over Facilities Agreement dated August 25 , 2020  between Duquesne Light Company and the Pittsburgh Water and Sewer Authority relative with granting to DLC the authority to construct certain electrical improvements near existing PWSA facilities that are in, on, over, or around land owned by DLC, identified as Lot 53-A-10, situated in the 4th Ward of the City of Pittsburgh, Allegheny </w:t>
      </w:r>
    </w:p>
    <w:p w14:paraId="7E4ADBC0" w14:textId="30546FA9" w:rsidR="00823916" w:rsidRPr="00C87956" w:rsidRDefault="00C87956" w:rsidP="00C87956">
      <w:pPr>
        <w:jc w:val="center"/>
        <w:rPr>
          <w:b/>
          <w:sz w:val="28"/>
          <w:szCs w:val="18"/>
        </w:rPr>
      </w:pPr>
      <w:r w:rsidRPr="00C87956">
        <w:rPr>
          <w:b/>
          <w:sz w:val="28"/>
          <w:szCs w:val="18"/>
        </w:rPr>
        <w:t>County.</w:t>
      </w:r>
    </w:p>
    <w:p w14:paraId="324C6B1B" w14:textId="77777777" w:rsidR="00C87956" w:rsidRPr="00C87956" w:rsidRDefault="00C87956" w:rsidP="00C87956">
      <w:pPr>
        <w:jc w:val="center"/>
        <w:rPr>
          <w:b/>
          <w:sz w:val="28"/>
          <w:szCs w:val="18"/>
          <w:highlight w:val="green"/>
        </w:rPr>
      </w:pPr>
    </w:p>
    <w:p w14:paraId="0E7F1A65" w14:textId="53F2A150" w:rsidR="00823916" w:rsidRPr="00C87956" w:rsidRDefault="00C87956" w:rsidP="00C87956">
      <w:pPr>
        <w:jc w:val="center"/>
        <w:rPr>
          <w:b/>
          <w:sz w:val="28"/>
          <w:szCs w:val="18"/>
        </w:rPr>
      </w:pPr>
      <w:r w:rsidRPr="00C87956">
        <w:rPr>
          <w:b/>
          <w:sz w:val="28"/>
          <w:szCs w:val="18"/>
        </w:rPr>
        <w:t>U-2021-3025937</w:t>
      </w:r>
    </w:p>
    <w:p w14:paraId="3D244FA9" w14:textId="77777777" w:rsidR="00823916" w:rsidRPr="00C87956" w:rsidRDefault="00823916">
      <w:pPr>
        <w:jc w:val="both"/>
        <w:rPr>
          <w:b/>
          <w:sz w:val="28"/>
          <w:szCs w:val="18"/>
        </w:rPr>
      </w:pPr>
    </w:p>
    <w:p w14:paraId="3510DE5D" w14:textId="77777777" w:rsidR="00823916" w:rsidRPr="00C87956" w:rsidRDefault="00823916">
      <w:pPr>
        <w:jc w:val="both"/>
        <w:rPr>
          <w:b/>
          <w:sz w:val="24"/>
          <w:szCs w:val="18"/>
        </w:rPr>
      </w:pPr>
      <w:r w:rsidRPr="00C87956">
        <w:rPr>
          <w:b/>
          <w:sz w:val="24"/>
          <w:szCs w:val="18"/>
        </w:rPr>
        <w:t>BY THE COMMISSION:</w:t>
      </w:r>
    </w:p>
    <w:p w14:paraId="632F52B3" w14:textId="77777777" w:rsidR="00823916" w:rsidRPr="00C87956" w:rsidRDefault="00823916">
      <w:pPr>
        <w:jc w:val="both"/>
        <w:rPr>
          <w:b/>
          <w:sz w:val="24"/>
          <w:szCs w:val="18"/>
        </w:rPr>
      </w:pPr>
    </w:p>
    <w:p w14:paraId="298490B8" w14:textId="08DCD3EF" w:rsidR="00823916" w:rsidRPr="00C87956" w:rsidRDefault="00823916" w:rsidP="00F26164">
      <w:pPr>
        <w:spacing w:line="360" w:lineRule="auto"/>
        <w:ind w:firstLine="720"/>
        <w:jc w:val="both"/>
        <w:rPr>
          <w:b/>
          <w:sz w:val="24"/>
          <w:szCs w:val="18"/>
        </w:rPr>
      </w:pPr>
      <w:r w:rsidRPr="00C87956">
        <w:rPr>
          <w:b/>
          <w:sz w:val="24"/>
          <w:szCs w:val="18"/>
        </w:rPr>
        <w:t xml:space="preserve">AND NOW, </w:t>
      </w:r>
      <w:r w:rsidR="00C87956" w:rsidRPr="00C87956">
        <w:rPr>
          <w:b/>
          <w:sz w:val="24"/>
          <w:szCs w:val="18"/>
        </w:rPr>
        <w:t xml:space="preserve">July 1, 2021, </w:t>
      </w:r>
      <w:r w:rsidRPr="00C87956">
        <w:rPr>
          <w:b/>
          <w:sz w:val="24"/>
          <w:szCs w:val="18"/>
        </w:rPr>
        <w:t xml:space="preserve">the Public Utility Commission certifies that the above, captioned contract or indenture dated </w:t>
      </w:r>
      <w:r w:rsidR="00C87956" w:rsidRPr="00C87956">
        <w:rPr>
          <w:b/>
          <w:sz w:val="24"/>
          <w:szCs w:val="18"/>
        </w:rPr>
        <w:t xml:space="preserve">August 25, 2020, </w:t>
      </w:r>
      <w:r w:rsidRPr="00C87956">
        <w:rPr>
          <w:b/>
          <w:sz w:val="24"/>
          <w:szCs w:val="18"/>
        </w:rPr>
        <w:t xml:space="preserve">has been on file with the Commission since </w:t>
      </w:r>
      <w:r w:rsidR="00C87956" w:rsidRPr="00C87956">
        <w:rPr>
          <w:b/>
          <w:sz w:val="24"/>
          <w:szCs w:val="18"/>
        </w:rPr>
        <w:t>May 18, 2021,</w:t>
      </w:r>
      <w:r w:rsidRPr="00C87956">
        <w:rPr>
          <w:b/>
          <w:sz w:val="24"/>
          <w:szCs w:val="18"/>
        </w:rPr>
        <w:t xml:space="preserve"> in accordance with Section 507 of the Public Utility Code, 66 Pa. C.S. §507.</w:t>
      </w:r>
    </w:p>
    <w:p w14:paraId="5DB0A7B4" w14:textId="77777777" w:rsidR="005C26AA" w:rsidRPr="00C87956" w:rsidRDefault="005C26AA" w:rsidP="00F26164">
      <w:pPr>
        <w:spacing w:line="360" w:lineRule="auto"/>
        <w:jc w:val="both"/>
        <w:rPr>
          <w:b/>
          <w:sz w:val="24"/>
          <w:szCs w:val="18"/>
        </w:rPr>
      </w:pPr>
    </w:p>
    <w:p w14:paraId="5D1E7B75" w14:textId="77777777" w:rsidR="005C26AA" w:rsidRPr="00C87956" w:rsidRDefault="005C26AA" w:rsidP="00F26164">
      <w:pPr>
        <w:spacing w:line="360" w:lineRule="auto"/>
        <w:ind w:firstLine="720"/>
        <w:jc w:val="both"/>
        <w:rPr>
          <w:b/>
          <w:sz w:val="24"/>
          <w:szCs w:val="18"/>
        </w:rPr>
      </w:pPr>
      <w:r w:rsidRPr="00C87956">
        <w:rPr>
          <w:b/>
          <w:sz w:val="24"/>
          <w:szCs w:val="18"/>
        </w:rPr>
        <w:t>Notwithstanding the terms and conditions of the instrument, the Commission has exclusive jurisdiction over the construction, alteration, suspension, abolition and associated costs involved with public highway/rail crossings in accordance Sections 2702 and 2704 of the Public Utility Code, 66 Pa. C.S. §2702, 2704.</w:t>
      </w:r>
    </w:p>
    <w:p w14:paraId="757313E3" w14:textId="77777777" w:rsidR="00823916" w:rsidRPr="00C87956" w:rsidRDefault="00823916" w:rsidP="00F26164">
      <w:pPr>
        <w:spacing w:line="360" w:lineRule="auto"/>
        <w:jc w:val="both"/>
        <w:rPr>
          <w:b/>
          <w:sz w:val="24"/>
          <w:szCs w:val="18"/>
        </w:rPr>
      </w:pPr>
    </w:p>
    <w:p w14:paraId="5ACEEA3E" w14:textId="77777777" w:rsidR="00823916" w:rsidRPr="00C87956" w:rsidRDefault="00823916" w:rsidP="00F26164">
      <w:pPr>
        <w:spacing w:line="360" w:lineRule="auto"/>
        <w:jc w:val="both"/>
        <w:rPr>
          <w:b/>
          <w:sz w:val="24"/>
          <w:szCs w:val="18"/>
        </w:rPr>
      </w:pPr>
    </w:p>
    <w:p w14:paraId="4EFD3340" w14:textId="77777777" w:rsidR="00823916" w:rsidRPr="00C87956" w:rsidRDefault="00823916">
      <w:pPr>
        <w:jc w:val="both"/>
        <w:rPr>
          <w:b/>
          <w:sz w:val="24"/>
          <w:szCs w:val="18"/>
        </w:rPr>
      </w:pPr>
      <w:r w:rsidRPr="00C87956">
        <w:rPr>
          <w:b/>
          <w:sz w:val="24"/>
          <w:szCs w:val="18"/>
        </w:rPr>
        <w:t xml:space="preserve">           PENNSYLVANIA PUBLIC UTILITY COMMISSION</w:t>
      </w:r>
    </w:p>
    <w:p w14:paraId="62A3F936" w14:textId="77777777" w:rsidR="00823916" w:rsidRPr="00C87956" w:rsidRDefault="00823916">
      <w:pPr>
        <w:jc w:val="both"/>
        <w:rPr>
          <w:b/>
          <w:sz w:val="24"/>
          <w:szCs w:val="18"/>
        </w:rPr>
      </w:pPr>
    </w:p>
    <w:p w14:paraId="479C7A16" w14:textId="77777777" w:rsidR="00823916" w:rsidRPr="00C87956" w:rsidRDefault="00823916">
      <w:pPr>
        <w:jc w:val="both"/>
        <w:rPr>
          <w:b/>
          <w:sz w:val="24"/>
          <w:szCs w:val="18"/>
        </w:rPr>
      </w:pPr>
    </w:p>
    <w:p w14:paraId="5904864B" w14:textId="456D8CE7" w:rsidR="00823916" w:rsidRPr="00C87956" w:rsidRDefault="00C87956">
      <w:pPr>
        <w:jc w:val="both"/>
        <w:rPr>
          <w:b/>
          <w:sz w:val="24"/>
          <w:szCs w:val="18"/>
        </w:rPr>
      </w:pPr>
      <w:r w:rsidRPr="00C87956">
        <w:rPr>
          <w:noProof/>
          <w:sz w:val="18"/>
          <w:szCs w:val="18"/>
        </w:rPr>
        <w:drawing>
          <wp:anchor distT="0" distB="0" distL="114300" distR="114300" simplePos="0" relativeHeight="251659264" behindDoc="1" locked="0" layoutInCell="1" allowOverlap="1" wp14:anchorId="226A502F" wp14:editId="050900BA">
            <wp:simplePos x="0" y="0"/>
            <wp:positionH relativeFrom="column">
              <wp:posOffset>3248025</wp:posOffset>
            </wp:positionH>
            <wp:positionV relativeFrom="paragraph">
              <wp:posOffset>-266700</wp:posOffset>
            </wp:positionV>
            <wp:extent cx="2200275" cy="8382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A0BF18" w14:textId="77777777" w:rsidR="00823916" w:rsidRPr="00C87956" w:rsidRDefault="00F62788">
      <w:pPr>
        <w:tabs>
          <w:tab w:val="center" w:pos="4680"/>
        </w:tabs>
        <w:jc w:val="both"/>
        <w:rPr>
          <w:b/>
          <w:sz w:val="24"/>
          <w:szCs w:val="18"/>
        </w:rPr>
      </w:pPr>
      <w:r w:rsidRPr="00C87956">
        <w:rPr>
          <w:b/>
          <w:sz w:val="24"/>
          <w:szCs w:val="18"/>
        </w:rPr>
        <w:tab/>
      </w:r>
      <w:r w:rsidRPr="00C87956">
        <w:rPr>
          <w:b/>
          <w:sz w:val="24"/>
          <w:szCs w:val="18"/>
        </w:rPr>
        <w:tab/>
      </w:r>
      <w:r w:rsidR="00823916" w:rsidRPr="00C87956">
        <w:rPr>
          <w:b/>
          <w:sz w:val="24"/>
          <w:szCs w:val="18"/>
        </w:rPr>
        <w:t xml:space="preserve"> </w:t>
      </w:r>
    </w:p>
    <w:p w14:paraId="3ACFB903" w14:textId="77777777" w:rsidR="00823916" w:rsidRPr="00C87956" w:rsidRDefault="00F62788" w:rsidP="00F62788">
      <w:pPr>
        <w:tabs>
          <w:tab w:val="center" w:pos="4680"/>
        </w:tabs>
        <w:rPr>
          <w:b/>
          <w:sz w:val="24"/>
          <w:szCs w:val="18"/>
        </w:rPr>
      </w:pPr>
      <w:r w:rsidRPr="00C87956">
        <w:rPr>
          <w:b/>
          <w:sz w:val="24"/>
          <w:szCs w:val="18"/>
        </w:rPr>
        <w:tab/>
      </w:r>
      <w:r w:rsidRPr="00C87956">
        <w:rPr>
          <w:b/>
          <w:sz w:val="24"/>
          <w:szCs w:val="18"/>
        </w:rPr>
        <w:tab/>
      </w:r>
      <w:r w:rsidR="00823916" w:rsidRPr="00C87956">
        <w:rPr>
          <w:b/>
          <w:sz w:val="24"/>
          <w:szCs w:val="18"/>
        </w:rPr>
        <w:t>Secretary</w:t>
      </w:r>
    </w:p>
    <w:p w14:paraId="4DF971E5" w14:textId="77777777" w:rsidR="00823916" w:rsidRPr="00C87956" w:rsidRDefault="00823916">
      <w:pPr>
        <w:jc w:val="both"/>
        <w:rPr>
          <w:b/>
          <w:sz w:val="24"/>
          <w:szCs w:val="18"/>
        </w:rPr>
      </w:pPr>
    </w:p>
    <w:sectPr w:rsidR="00823916" w:rsidRPr="00C87956">
      <w:endnotePr>
        <w:numFmt w:val="decimal"/>
      </w:endnotePr>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textFile"/>
    <w:connectString w:val=""/>
    <w:query w:val="SELECT * FROM C:\Documents and Settings\lmilletics\Desktop\fran\PUMC.doc"/>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916"/>
    <w:rsid w:val="005C26AA"/>
    <w:rsid w:val="0066542A"/>
    <w:rsid w:val="006D5CD2"/>
    <w:rsid w:val="00823916"/>
    <w:rsid w:val="00903F08"/>
    <w:rsid w:val="00A33841"/>
    <w:rsid w:val="00C87956"/>
    <w:rsid w:val="00F26164"/>
    <w:rsid w:val="00F62788"/>
    <w:rsid w:val="00F90A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14:docId w14:val="2B5DC224"/>
  <w15:chartTrackingRefBased/>
  <w15:docId w15:val="{67D56FC7-F869-4849-AF25-42107300D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1090</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CERTIFICATE OF FILING-PUMC</vt:lpstr>
    </vt:vector>
  </TitlesOfParts>
  <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FILING-PUMC</dc:title>
  <dc:subject/>
  <dc:creator>GORSKI</dc:creator>
  <cp:keywords/>
  <cp:lastModifiedBy>Wagner, Nathan R</cp:lastModifiedBy>
  <cp:revision>2</cp:revision>
  <cp:lastPrinted>2004-04-14T14:18:00Z</cp:lastPrinted>
  <dcterms:created xsi:type="dcterms:W3CDTF">2021-07-01T16:00:00Z</dcterms:created>
  <dcterms:modified xsi:type="dcterms:W3CDTF">2021-07-01T16:00:00Z</dcterms:modified>
</cp:coreProperties>
</file>