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EEA05E" w14:textId="77777777" w:rsidR="004B6C98" w:rsidRPr="00AF2A5C" w:rsidRDefault="004B6C98" w:rsidP="004B6C98">
      <w:pPr>
        <w:widowControl/>
        <w:tabs>
          <w:tab w:val="center" w:pos="4680"/>
        </w:tabs>
        <w:suppressAutoHyphens/>
        <w:jc w:val="center"/>
        <w:rPr>
          <w:b/>
          <w:sz w:val="26"/>
          <w:szCs w:val="26"/>
        </w:rPr>
      </w:pPr>
      <w:r w:rsidRPr="00AF2A5C">
        <w:rPr>
          <w:b/>
          <w:sz w:val="26"/>
          <w:szCs w:val="26"/>
        </w:rPr>
        <w:t>PENNSYLVANIA</w:t>
      </w:r>
    </w:p>
    <w:p w14:paraId="278B2801" w14:textId="77777777" w:rsidR="004B6C98" w:rsidRPr="00AF2A5C" w:rsidRDefault="004B6C98" w:rsidP="004B6C98">
      <w:pPr>
        <w:widowControl/>
        <w:tabs>
          <w:tab w:val="center" w:pos="4680"/>
        </w:tabs>
        <w:suppressAutoHyphens/>
        <w:jc w:val="center"/>
        <w:rPr>
          <w:sz w:val="26"/>
          <w:szCs w:val="26"/>
        </w:rPr>
      </w:pPr>
      <w:r w:rsidRPr="00AF2A5C">
        <w:rPr>
          <w:b/>
          <w:sz w:val="26"/>
          <w:szCs w:val="26"/>
        </w:rPr>
        <w:t>PUBLIC UTILITY COMMISSION</w:t>
      </w:r>
    </w:p>
    <w:p w14:paraId="208A7519" w14:textId="77777777" w:rsidR="004B6C98" w:rsidRPr="00AF2A5C" w:rsidRDefault="004B6C98" w:rsidP="004B6C98">
      <w:pPr>
        <w:widowControl/>
        <w:tabs>
          <w:tab w:val="center" w:pos="4680"/>
        </w:tabs>
        <w:suppressAutoHyphens/>
        <w:jc w:val="center"/>
        <w:rPr>
          <w:sz w:val="26"/>
          <w:szCs w:val="26"/>
        </w:rPr>
      </w:pPr>
      <w:r w:rsidRPr="00AF2A5C">
        <w:rPr>
          <w:b/>
          <w:sz w:val="26"/>
          <w:szCs w:val="26"/>
        </w:rPr>
        <w:t>Harrisburg, PA</w:t>
      </w:r>
      <w:r>
        <w:rPr>
          <w:b/>
          <w:sz w:val="26"/>
          <w:szCs w:val="26"/>
        </w:rPr>
        <w:t xml:space="preserve"> </w:t>
      </w:r>
      <w:r w:rsidRPr="00AF2A5C">
        <w:rPr>
          <w:b/>
          <w:sz w:val="26"/>
          <w:szCs w:val="26"/>
        </w:rPr>
        <w:t xml:space="preserve"> 171</w:t>
      </w:r>
      <w:r>
        <w:rPr>
          <w:b/>
          <w:sz w:val="26"/>
          <w:szCs w:val="26"/>
        </w:rPr>
        <w:t>20</w:t>
      </w:r>
    </w:p>
    <w:p w14:paraId="7ABB058A" w14:textId="77777777" w:rsidR="004B6C98" w:rsidRDefault="004B6C98" w:rsidP="004B6C98">
      <w:pPr>
        <w:widowControl/>
        <w:tabs>
          <w:tab w:val="left" w:pos="-720"/>
        </w:tabs>
        <w:suppressAutoHyphens/>
        <w:rPr>
          <w:sz w:val="26"/>
          <w:szCs w:val="26"/>
        </w:rPr>
      </w:pPr>
    </w:p>
    <w:p w14:paraId="73D06794" w14:textId="77777777" w:rsidR="004B6C98" w:rsidRPr="00AF2A5C" w:rsidRDefault="004B6C98" w:rsidP="004B6C98">
      <w:pPr>
        <w:widowControl/>
        <w:tabs>
          <w:tab w:val="left" w:pos="-720"/>
        </w:tabs>
        <w:suppressAutoHyphens/>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541"/>
      </w:tblGrid>
      <w:tr w:rsidR="004B6C98" w:rsidRPr="00AF2A5C" w14:paraId="3FAD4BA8" w14:textId="77777777" w:rsidTr="000739FB">
        <w:tc>
          <w:tcPr>
            <w:tcW w:w="4819" w:type="dxa"/>
          </w:tcPr>
          <w:p w14:paraId="1D22A110" w14:textId="77777777" w:rsidR="004B6C98" w:rsidRPr="00933E11" w:rsidRDefault="004B6C98" w:rsidP="000739FB">
            <w:pPr>
              <w:widowControl/>
              <w:rPr>
                <w:rFonts w:ascii="Times New Roman" w:hAnsi="Times New Roman" w:cs="Times New Roman"/>
                <w:sz w:val="26"/>
                <w:szCs w:val="26"/>
              </w:rPr>
            </w:pPr>
          </w:p>
        </w:tc>
        <w:tc>
          <w:tcPr>
            <w:tcW w:w="4541" w:type="dxa"/>
            <w:hideMark/>
          </w:tcPr>
          <w:p w14:paraId="5489A5DF" w14:textId="4746FC13" w:rsidR="004B6C98" w:rsidRPr="00BA522F" w:rsidRDefault="004B6C98" w:rsidP="000739FB">
            <w:pPr>
              <w:widowControl/>
              <w:jc w:val="right"/>
              <w:rPr>
                <w:rFonts w:ascii="Times New Roman" w:hAnsi="Times New Roman" w:cs="Times New Roman"/>
                <w:sz w:val="26"/>
                <w:szCs w:val="26"/>
              </w:rPr>
            </w:pPr>
            <w:r w:rsidRPr="00BA522F">
              <w:rPr>
                <w:rFonts w:ascii="Times New Roman" w:hAnsi="Times New Roman" w:cs="Times New Roman"/>
                <w:sz w:val="26"/>
                <w:szCs w:val="26"/>
              </w:rPr>
              <w:t xml:space="preserve">Public Meeting held </w:t>
            </w:r>
            <w:r>
              <w:rPr>
                <w:rFonts w:ascii="Times New Roman" w:hAnsi="Times New Roman" w:cs="Times New Roman"/>
                <w:sz w:val="26"/>
                <w:szCs w:val="26"/>
              </w:rPr>
              <w:t>July</w:t>
            </w:r>
            <w:r w:rsidRPr="00BA522F">
              <w:rPr>
                <w:rFonts w:ascii="Times New Roman" w:hAnsi="Times New Roman" w:cs="Times New Roman"/>
                <w:sz w:val="26"/>
                <w:szCs w:val="26"/>
              </w:rPr>
              <w:t xml:space="preserve"> </w:t>
            </w:r>
            <w:r>
              <w:rPr>
                <w:rFonts w:ascii="Times New Roman" w:hAnsi="Times New Roman" w:cs="Times New Roman"/>
                <w:sz w:val="26"/>
                <w:szCs w:val="26"/>
              </w:rPr>
              <w:t>15</w:t>
            </w:r>
            <w:r w:rsidRPr="00BA522F">
              <w:rPr>
                <w:rFonts w:ascii="Times New Roman" w:hAnsi="Times New Roman" w:cs="Times New Roman"/>
                <w:sz w:val="26"/>
                <w:szCs w:val="26"/>
              </w:rPr>
              <w:t>, 2021</w:t>
            </w:r>
          </w:p>
        </w:tc>
      </w:tr>
      <w:tr w:rsidR="004B6C98" w:rsidRPr="00AF2A5C" w14:paraId="43147FD1" w14:textId="77777777" w:rsidTr="000739FB">
        <w:tc>
          <w:tcPr>
            <w:tcW w:w="4819" w:type="dxa"/>
          </w:tcPr>
          <w:p w14:paraId="763C383B" w14:textId="77777777" w:rsidR="004B6C98" w:rsidRPr="00BA522F" w:rsidRDefault="004B6C98" w:rsidP="000739FB">
            <w:pPr>
              <w:widowControl/>
              <w:rPr>
                <w:rFonts w:ascii="Times New Roman" w:hAnsi="Times New Roman" w:cs="Times New Roman"/>
                <w:sz w:val="26"/>
                <w:szCs w:val="26"/>
              </w:rPr>
            </w:pPr>
          </w:p>
          <w:p w14:paraId="7F462538" w14:textId="77777777" w:rsidR="004B6C98" w:rsidRDefault="004B6C98" w:rsidP="000739FB">
            <w:pPr>
              <w:widowControl/>
              <w:rPr>
                <w:rFonts w:ascii="Times New Roman" w:hAnsi="Times New Roman" w:cs="Times New Roman"/>
                <w:sz w:val="26"/>
                <w:szCs w:val="26"/>
              </w:rPr>
            </w:pPr>
          </w:p>
          <w:p w14:paraId="410EC3DD" w14:textId="77777777" w:rsidR="004B6C98" w:rsidRPr="00BA522F" w:rsidRDefault="004B6C98" w:rsidP="000739FB">
            <w:pPr>
              <w:widowControl/>
              <w:rPr>
                <w:rFonts w:ascii="Times New Roman" w:hAnsi="Times New Roman" w:cs="Times New Roman"/>
                <w:sz w:val="26"/>
                <w:szCs w:val="26"/>
              </w:rPr>
            </w:pPr>
            <w:r w:rsidRPr="00BA522F">
              <w:rPr>
                <w:rFonts w:ascii="Times New Roman" w:hAnsi="Times New Roman" w:cs="Times New Roman"/>
                <w:sz w:val="26"/>
                <w:szCs w:val="26"/>
              </w:rPr>
              <w:t>Commissioners Present:</w:t>
            </w:r>
          </w:p>
          <w:p w14:paraId="6E7CCC20" w14:textId="77777777" w:rsidR="004B6C98" w:rsidRPr="00BA522F" w:rsidRDefault="004B6C98" w:rsidP="000739FB">
            <w:pPr>
              <w:widowControl/>
              <w:rPr>
                <w:rFonts w:ascii="Times New Roman" w:hAnsi="Times New Roman" w:cs="Times New Roman"/>
                <w:sz w:val="26"/>
                <w:szCs w:val="26"/>
              </w:rPr>
            </w:pPr>
          </w:p>
          <w:p w14:paraId="44AFD578" w14:textId="77777777" w:rsidR="004B6C98" w:rsidRPr="00BA522F" w:rsidRDefault="004B6C98" w:rsidP="000739FB">
            <w:pPr>
              <w:widowControl/>
              <w:tabs>
                <w:tab w:val="left" w:pos="-720"/>
              </w:tabs>
              <w:ind w:left="720"/>
              <w:rPr>
                <w:rFonts w:ascii="Times New Roman" w:hAnsi="Times New Roman" w:cs="Times New Roman"/>
                <w:sz w:val="26"/>
                <w:szCs w:val="26"/>
              </w:rPr>
            </w:pPr>
            <w:r w:rsidRPr="00BA522F">
              <w:rPr>
                <w:rFonts w:ascii="Times New Roman" w:hAnsi="Times New Roman" w:cs="Times New Roman"/>
                <w:sz w:val="26"/>
                <w:szCs w:val="26"/>
              </w:rPr>
              <w:t>Gladys Brown Dutrieuille, Chairman</w:t>
            </w:r>
          </w:p>
          <w:p w14:paraId="289D4186" w14:textId="77777777" w:rsidR="004B6C98" w:rsidRPr="00BA522F" w:rsidRDefault="004B6C98" w:rsidP="000739FB">
            <w:pPr>
              <w:widowControl/>
              <w:tabs>
                <w:tab w:val="left" w:pos="-720"/>
              </w:tabs>
              <w:ind w:left="720"/>
              <w:rPr>
                <w:rFonts w:ascii="Times New Roman" w:hAnsi="Times New Roman" w:cs="Times New Roman"/>
                <w:sz w:val="26"/>
                <w:szCs w:val="26"/>
              </w:rPr>
            </w:pPr>
            <w:r w:rsidRPr="00BA522F">
              <w:rPr>
                <w:rFonts w:ascii="Times New Roman" w:hAnsi="Times New Roman" w:cs="Times New Roman"/>
                <w:sz w:val="26"/>
                <w:szCs w:val="26"/>
              </w:rPr>
              <w:t>David W. Sweet, Vice Chairman</w:t>
            </w:r>
          </w:p>
          <w:p w14:paraId="33E77EDB" w14:textId="77777777" w:rsidR="004B6C98" w:rsidRPr="00BA522F" w:rsidRDefault="004B6C98" w:rsidP="000739FB">
            <w:pPr>
              <w:widowControl/>
              <w:tabs>
                <w:tab w:val="left" w:pos="-720"/>
              </w:tabs>
              <w:ind w:left="720"/>
              <w:rPr>
                <w:rFonts w:ascii="Times New Roman" w:hAnsi="Times New Roman" w:cs="Times New Roman"/>
                <w:sz w:val="26"/>
                <w:szCs w:val="26"/>
              </w:rPr>
            </w:pPr>
            <w:r w:rsidRPr="00BA522F">
              <w:rPr>
                <w:rFonts w:ascii="Times New Roman" w:hAnsi="Times New Roman" w:cs="Times New Roman"/>
                <w:sz w:val="26"/>
                <w:szCs w:val="26"/>
              </w:rPr>
              <w:t xml:space="preserve">John F. Coleman, Jr. </w:t>
            </w:r>
          </w:p>
          <w:p w14:paraId="52FA74D8" w14:textId="77777777" w:rsidR="004B6C98" w:rsidRPr="00BA522F" w:rsidRDefault="004B6C98" w:rsidP="000739FB">
            <w:pPr>
              <w:widowControl/>
              <w:tabs>
                <w:tab w:val="left" w:pos="-720"/>
              </w:tabs>
              <w:ind w:left="720"/>
              <w:rPr>
                <w:rFonts w:ascii="Times New Roman" w:hAnsi="Times New Roman" w:cs="Times New Roman"/>
                <w:sz w:val="26"/>
                <w:szCs w:val="26"/>
              </w:rPr>
            </w:pPr>
            <w:r w:rsidRPr="00BA522F">
              <w:rPr>
                <w:rFonts w:ascii="Times New Roman" w:hAnsi="Times New Roman" w:cs="Times New Roman"/>
                <w:sz w:val="26"/>
                <w:szCs w:val="26"/>
              </w:rPr>
              <w:t>Ralph V. Yanora</w:t>
            </w:r>
          </w:p>
          <w:p w14:paraId="6D6161C6" w14:textId="77777777" w:rsidR="004B6C98" w:rsidRPr="00BA522F" w:rsidRDefault="004B6C98" w:rsidP="000739FB">
            <w:pPr>
              <w:widowControl/>
              <w:rPr>
                <w:rFonts w:ascii="Times New Roman" w:hAnsi="Times New Roman" w:cs="Times New Roman"/>
                <w:sz w:val="26"/>
                <w:szCs w:val="26"/>
              </w:rPr>
            </w:pPr>
          </w:p>
        </w:tc>
        <w:tc>
          <w:tcPr>
            <w:tcW w:w="4541" w:type="dxa"/>
          </w:tcPr>
          <w:p w14:paraId="4BF0EAEE" w14:textId="77777777" w:rsidR="004B6C98" w:rsidRPr="00BA522F" w:rsidRDefault="004B6C98" w:rsidP="000739FB">
            <w:pPr>
              <w:widowControl/>
              <w:jc w:val="right"/>
              <w:rPr>
                <w:rFonts w:ascii="Times New Roman" w:hAnsi="Times New Roman" w:cs="Times New Roman"/>
                <w:sz w:val="26"/>
                <w:szCs w:val="26"/>
              </w:rPr>
            </w:pPr>
          </w:p>
          <w:p w14:paraId="74718BFE" w14:textId="77777777" w:rsidR="004B6C98" w:rsidRPr="00BA522F" w:rsidRDefault="004B6C98" w:rsidP="000739FB">
            <w:pPr>
              <w:widowControl/>
              <w:jc w:val="right"/>
              <w:rPr>
                <w:rFonts w:ascii="Times New Roman" w:hAnsi="Times New Roman" w:cs="Times New Roman"/>
                <w:sz w:val="26"/>
                <w:szCs w:val="26"/>
              </w:rPr>
            </w:pPr>
          </w:p>
        </w:tc>
      </w:tr>
      <w:tr w:rsidR="004B6C98" w:rsidRPr="00AF2A5C" w14:paraId="24C217B2" w14:textId="77777777" w:rsidTr="000739FB">
        <w:tc>
          <w:tcPr>
            <w:tcW w:w="4819" w:type="dxa"/>
          </w:tcPr>
          <w:p w14:paraId="0478482D" w14:textId="77777777" w:rsidR="004B6C98" w:rsidRPr="00BA522F" w:rsidRDefault="004B6C98" w:rsidP="000739FB">
            <w:pPr>
              <w:widowControl/>
              <w:rPr>
                <w:rFonts w:ascii="Times New Roman" w:hAnsi="Times New Roman" w:cs="Times New Roman"/>
                <w:sz w:val="26"/>
                <w:szCs w:val="26"/>
              </w:rPr>
            </w:pPr>
          </w:p>
          <w:p w14:paraId="15759242" w14:textId="5B4F1677" w:rsidR="004B6C98" w:rsidRPr="00BA522F" w:rsidRDefault="004B6C98" w:rsidP="000739FB">
            <w:pPr>
              <w:widowControl/>
              <w:rPr>
                <w:rFonts w:ascii="Times New Roman" w:hAnsi="Times New Roman" w:cs="Times New Roman"/>
                <w:kern w:val="1"/>
                <w:sz w:val="26"/>
                <w:szCs w:val="26"/>
              </w:rPr>
            </w:pPr>
            <w:r>
              <w:rPr>
                <w:rFonts w:ascii="Times New Roman" w:hAnsi="Times New Roman" w:cs="Times New Roman"/>
                <w:kern w:val="1"/>
                <w:sz w:val="26"/>
                <w:szCs w:val="26"/>
              </w:rPr>
              <w:t>LaCretia Fluellen</w:t>
            </w:r>
          </w:p>
          <w:p w14:paraId="5A78B263" w14:textId="77777777" w:rsidR="004B6C98" w:rsidRPr="00BA522F" w:rsidRDefault="004B6C98" w:rsidP="000739FB">
            <w:pPr>
              <w:widowControl/>
              <w:rPr>
                <w:rFonts w:ascii="Times New Roman" w:hAnsi="Times New Roman" w:cs="Times New Roman"/>
                <w:kern w:val="1"/>
                <w:sz w:val="26"/>
                <w:szCs w:val="26"/>
              </w:rPr>
            </w:pPr>
          </w:p>
          <w:p w14:paraId="63605395" w14:textId="77777777" w:rsidR="004B6C98" w:rsidRPr="00BA522F" w:rsidRDefault="004B6C98" w:rsidP="000739FB">
            <w:pPr>
              <w:widowControl/>
              <w:rPr>
                <w:rFonts w:ascii="Times New Roman" w:hAnsi="Times New Roman" w:cs="Times New Roman"/>
                <w:kern w:val="1"/>
                <w:sz w:val="26"/>
                <w:szCs w:val="26"/>
              </w:rPr>
            </w:pPr>
            <w:r>
              <w:rPr>
                <w:rFonts w:ascii="Times New Roman" w:hAnsi="Times New Roman" w:cs="Times New Roman"/>
                <w:kern w:val="1"/>
                <w:sz w:val="26"/>
                <w:szCs w:val="26"/>
              </w:rPr>
              <w:tab/>
              <w:t>v.</w:t>
            </w:r>
          </w:p>
          <w:p w14:paraId="0173703F" w14:textId="77777777" w:rsidR="004B6C98" w:rsidRPr="00BA522F" w:rsidRDefault="004B6C98" w:rsidP="000739FB">
            <w:pPr>
              <w:widowControl/>
              <w:rPr>
                <w:rFonts w:ascii="Times New Roman" w:hAnsi="Times New Roman" w:cs="Times New Roman"/>
                <w:kern w:val="1"/>
                <w:sz w:val="26"/>
                <w:szCs w:val="26"/>
              </w:rPr>
            </w:pPr>
          </w:p>
          <w:p w14:paraId="44A5D0B1" w14:textId="6474904C" w:rsidR="004B6C98" w:rsidRPr="00BA522F" w:rsidRDefault="004B6C98" w:rsidP="000739FB">
            <w:pPr>
              <w:widowControl/>
              <w:rPr>
                <w:rFonts w:ascii="Times New Roman" w:hAnsi="Times New Roman" w:cs="Times New Roman"/>
                <w:kern w:val="1"/>
                <w:sz w:val="26"/>
                <w:szCs w:val="26"/>
              </w:rPr>
            </w:pPr>
            <w:r>
              <w:rPr>
                <w:rFonts w:ascii="Times New Roman" w:hAnsi="Times New Roman" w:cs="Times New Roman"/>
                <w:kern w:val="1"/>
                <w:sz w:val="26"/>
                <w:szCs w:val="26"/>
              </w:rPr>
              <w:t>PECO Energy Company</w:t>
            </w:r>
          </w:p>
          <w:p w14:paraId="2843EBCC" w14:textId="77777777" w:rsidR="004B6C98" w:rsidRPr="00BA522F" w:rsidRDefault="004B6C98" w:rsidP="000739FB">
            <w:pPr>
              <w:widowControl/>
              <w:rPr>
                <w:rFonts w:ascii="Times New Roman" w:hAnsi="Times New Roman" w:cs="Times New Roman"/>
                <w:sz w:val="26"/>
                <w:szCs w:val="26"/>
              </w:rPr>
            </w:pPr>
          </w:p>
        </w:tc>
        <w:tc>
          <w:tcPr>
            <w:tcW w:w="4541" w:type="dxa"/>
            <w:hideMark/>
          </w:tcPr>
          <w:p w14:paraId="50B9B9B7" w14:textId="77777777" w:rsidR="004B6C98" w:rsidRPr="00BA522F" w:rsidRDefault="004B6C98" w:rsidP="000739FB">
            <w:pPr>
              <w:widowControl/>
              <w:jc w:val="right"/>
              <w:rPr>
                <w:rFonts w:ascii="Times New Roman" w:hAnsi="Times New Roman" w:cs="Times New Roman"/>
                <w:sz w:val="26"/>
                <w:szCs w:val="26"/>
              </w:rPr>
            </w:pPr>
          </w:p>
          <w:p w14:paraId="00167BB3" w14:textId="42334F9B" w:rsidR="004B6C98" w:rsidRPr="00BA522F" w:rsidRDefault="004B6C98" w:rsidP="000739FB">
            <w:pPr>
              <w:widowControl/>
              <w:jc w:val="right"/>
              <w:rPr>
                <w:rFonts w:ascii="Times New Roman" w:hAnsi="Times New Roman" w:cs="Times New Roman"/>
                <w:sz w:val="26"/>
                <w:szCs w:val="26"/>
              </w:rPr>
            </w:pPr>
            <w:bookmarkStart w:id="0" w:name="_Hlk67560304"/>
            <w:r>
              <w:rPr>
                <w:rFonts w:ascii="Times New Roman" w:hAnsi="Times New Roman" w:cs="Times New Roman"/>
                <w:sz w:val="26"/>
                <w:szCs w:val="26"/>
              </w:rPr>
              <w:t>F</w:t>
            </w:r>
            <w:r w:rsidRPr="00BA522F">
              <w:rPr>
                <w:rFonts w:ascii="Times New Roman" w:hAnsi="Times New Roman" w:cs="Times New Roman"/>
                <w:sz w:val="26"/>
                <w:szCs w:val="26"/>
              </w:rPr>
              <w:t>-2020-30</w:t>
            </w:r>
            <w:bookmarkEnd w:id="0"/>
            <w:r>
              <w:rPr>
                <w:rFonts w:ascii="Times New Roman" w:hAnsi="Times New Roman" w:cs="Times New Roman"/>
                <w:sz w:val="26"/>
                <w:szCs w:val="26"/>
              </w:rPr>
              <w:t>21486</w:t>
            </w:r>
          </w:p>
          <w:p w14:paraId="799429D0" w14:textId="77777777" w:rsidR="004B6C98" w:rsidRPr="00BA522F" w:rsidRDefault="004B6C98" w:rsidP="000739FB">
            <w:pPr>
              <w:widowControl/>
              <w:jc w:val="right"/>
              <w:rPr>
                <w:rFonts w:ascii="Times New Roman" w:hAnsi="Times New Roman" w:cs="Times New Roman"/>
                <w:sz w:val="26"/>
                <w:szCs w:val="26"/>
              </w:rPr>
            </w:pPr>
          </w:p>
          <w:p w14:paraId="4414FBB6" w14:textId="77777777" w:rsidR="004B6C98" w:rsidRPr="00BA522F" w:rsidRDefault="004B6C98" w:rsidP="000739FB">
            <w:pPr>
              <w:widowControl/>
              <w:jc w:val="right"/>
              <w:rPr>
                <w:rFonts w:ascii="Times New Roman" w:hAnsi="Times New Roman" w:cs="Times New Roman"/>
                <w:sz w:val="26"/>
                <w:szCs w:val="26"/>
              </w:rPr>
            </w:pPr>
          </w:p>
          <w:p w14:paraId="74095300" w14:textId="77777777" w:rsidR="004B6C98" w:rsidRPr="00BA522F" w:rsidRDefault="004B6C98" w:rsidP="000739FB">
            <w:pPr>
              <w:widowControl/>
              <w:jc w:val="right"/>
              <w:rPr>
                <w:rFonts w:ascii="Times New Roman" w:hAnsi="Times New Roman" w:cs="Times New Roman"/>
                <w:sz w:val="26"/>
                <w:szCs w:val="26"/>
              </w:rPr>
            </w:pPr>
          </w:p>
        </w:tc>
      </w:tr>
    </w:tbl>
    <w:p w14:paraId="4513C255" w14:textId="77777777" w:rsidR="004B6C98" w:rsidRDefault="004B6C98" w:rsidP="004B6C98">
      <w:pPr>
        <w:widowControl/>
        <w:jc w:val="center"/>
        <w:rPr>
          <w:b/>
          <w:sz w:val="26"/>
          <w:szCs w:val="26"/>
        </w:rPr>
      </w:pPr>
    </w:p>
    <w:p w14:paraId="22131956" w14:textId="77777777" w:rsidR="004B6C98" w:rsidRDefault="004B6C98" w:rsidP="004B6C98">
      <w:pPr>
        <w:widowControl/>
        <w:jc w:val="center"/>
        <w:rPr>
          <w:b/>
          <w:sz w:val="26"/>
          <w:szCs w:val="26"/>
        </w:rPr>
      </w:pPr>
    </w:p>
    <w:p w14:paraId="51BFC5A4" w14:textId="77777777" w:rsidR="004B6C98" w:rsidRPr="00A9787D" w:rsidRDefault="004B6C98" w:rsidP="004B6C98">
      <w:pPr>
        <w:widowControl/>
        <w:jc w:val="center"/>
        <w:rPr>
          <w:b/>
          <w:sz w:val="26"/>
          <w:szCs w:val="26"/>
        </w:rPr>
      </w:pPr>
      <w:r w:rsidRPr="00A9787D">
        <w:rPr>
          <w:b/>
          <w:sz w:val="26"/>
          <w:szCs w:val="26"/>
        </w:rPr>
        <w:t>OPINION AND ORDER</w:t>
      </w:r>
    </w:p>
    <w:p w14:paraId="450E16C5" w14:textId="77777777" w:rsidR="004B6C98" w:rsidRDefault="004B6C98" w:rsidP="004B6C98">
      <w:pPr>
        <w:widowControl/>
        <w:rPr>
          <w:b/>
          <w:sz w:val="26"/>
          <w:szCs w:val="26"/>
        </w:rPr>
      </w:pPr>
    </w:p>
    <w:p w14:paraId="488C5683" w14:textId="77777777" w:rsidR="004B6C98" w:rsidRPr="00A9787D" w:rsidRDefault="004B6C98" w:rsidP="004B6C98">
      <w:pPr>
        <w:widowControl/>
        <w:rPr>
          <w:b/>
          <w:sz w:val="26"/>
          <w:szCs w:val="26"/>
        </w:rPr>
      </w:pPr>
    </w:p>
    <w:p w14:paraId="4ADFBC5A" w14:textId="00A9E4DF" w:rsidR="004B6C98" w:rsidRDefault="004B6C98" w:rsidP="00D47D1D">
      <w:pPr>
        <w:widowControl/>
        <w:spacing w:line="360" w:lineRule="auto"/>
        <w:rPr>
          <w:b/>
          <w:sz w:val="26"/>
          <w:szCs w:val="26"/>
        </w:rPr>
      </w:pPr>
      <w:r w:rsidRPr="00A9787D">
        <w:rPr>
          <w:b/>
          <w:sz w:val="26"/>
          <w:szCs w:val="26"/>
        </w:rPr>
        <w:t>BY THE COMMISSION:</w:t>
      </w:r>
    </w:p>
    <w:p w14:paraId="7BD42184" w14:textId="77777777" w:rsidR="0062794F" w:rsidRDefault="0062794F" w:rsidP="0062794F">
      <w:pPr>
        <w:widowControl/>
        <w:ind w:firstLine="1440"/>
        <w:rPr>
          <w:bCs/>
          <w:sz w:val="26"/>
          <w:szCs w:val="26"/>
        </w:rPr>
      </w:pPr>
    </w:p>
    <w:p w14:paraId="04499D98" w14:textId="07A35D08" w:rsidR="004B6C98" w:rsidRDefault="004B6C98" w:rsidP="004B6C98">
      <w:pPr>
        <w:widowControl/>
        <w:spacing w:line="360" w:lineRule="auto"/>
        <w:ind w:firstLine="1440"/>
        <w:rPr>
          <w:bCs/>
          <w:sz w:val="26"/>
          <w:szCs w:val="26"/>
        </w:rPr>
      </w:pPr>
      <w:r>
        <w:rPr>
          <w:bCs/>
          <w:sz w:val="26"/>
          <w:szCs w:val="26"/>
        </w:rPr>
        <w:t xml:space="preserve">Before the Pennsylvania Public Utility Commission (Commission) for consideration and disposition are the Exceptions of LaCretia Fluellen </w:t>
      </w:r>
      <w:r>
        <w:rPr>
          <w:color w:val="000000"/>
          <w:sz w:val="26"/>
        </w:rPr>
        <w:t>(Complainant or Ms. Fluellen) filed on June 2, 2021,</w:t>
      </w:r>
      <w:r w:rsidR="00605A36">
        <w:rPr>
          <w:rStyle w:val="FootnoteReference"/>
          <w:color w:val="000000"/>
          <w:sz w:val="26"/>
        </w:rPr>
        <w:footnoteReference w:id="1"/>
      </w:r>
      <w:r>
        <w:rPr>
          <w:color w:val="000000"/>
          <w:sz w:val="26"/>
        </w:rPr>
        <w:t xml:space="preserve"> to the Initial Decision of Administrative Law Judge (ALJ) Eranda Vero, issued on May 12, 2021, in the above-captioned proceeding.  Replies to Exceptions were filed by PECO Energy Company (PECO or Company) on June</w:t>
      </w:r>
      <w:r w:rsidR="0062794F">
        <w:rPr>
          <w:color w:val="000000"/>
          <w:sz w:val="26"/>
        </w:rPr>
        <w:t> </w:t>
      </w:r>
      <w:r>
        <w:rPr>
          <w:color w:val="000000"/>
          <w:sz w:val="26"/>
        </w:rPr>
        <w:t>9,</w:t>
      </w:r>
      <w:r w:rsidR="0062794F">
        <w:rPr>
          <w:color w:val="000000"/>
          <w:sz w:val="26"/>
        </w:rPr>
        <w:t> </w:t>
      </w:r>
      <w:r>
        <w:rPr>
          <w:color w:val="000000"/>
          <w:sz w:val="26"/>
        </w:rPr>
        <w:t xml:space="preserve">2021.  For the reasons stated below, we will deny the Exceptions and adopt the Initial Decision, </w:t>
      </w:r>
      <w:r w:rsidRPr="00181362">
        <w:rPr>
          <w:sz w:val="26"/>
          <w:szCs w:val="26"/>
        </w:rPr>
        <w:t>consistent with this Opinion and Order.</w:t>
      </w:r>
      <w:r>
        <w:rPr>
          <w:bCs/>
          <w:sz w:val="26"/>
          <w:szCs w:val="26"/>
        </w:rPr>
        <w:t xml:space="preserve">  </w:t>
      </w:r>
    </w:p>
    <w:p w14:paraId="3F64AE5C" w14:textId="63DB41E9" w:rsidR="00D91054" w:rsidRDefault="00D91054" w:rsidP="00D91054">
      <w:pPr>
        <w:pStyle w:val="ListParagraph"/>
        <w:widowControl/>
        <w:spacing w:line="360" w:lineRule="auto"/>
        <w:ind w:left="0"/>
        <w:jc w:val="center"/>
        <w:rPr>
          <w:b/>
          <w:sz w:val="26"/>
          <w:szCs w:val="26"/>
        </w:rPr>
      </w:pPr>
      <w:r>
        <w:rPr>
          <w:b/>
          <w:sz w:val="26"/>
          <w:szCs w:val="26"/>
        </w:rPr>
        <w:lastRenderedPageBreak/>
        <w:t>History of the Proceeding</w:t>
      </w:r>
    </w:p>
    <w:p w14:paraId="1481D657" w14:textId="77777777" w:rsidR="00D91054" w:rsidRDefault="00D91054" w:rsidP="00D91054">
      <w:pPr>
        <w:pStyle w:val="ListParagraph"/>
        <w:widowControl/>
        <w:spacing w:line="360" w:lineRule="auto"/>
        <w:ind w:left="0"/>
        <w:jc w:val="center"/>
        <w:rPr>
          <w:b/>
          <w:sz w:val="26"/>
          <w:szCs w:val="26"/>
        </w:rPr>
      </w:pPr>
    </w:p>
    <w:p w14:paraId="5408960E" w14:textId="0B9ABE7D" w:rsidR="00D91054" w:rsidRDefault="00D91054" w:rsidP="00D91054">
      <w:pPr>
        <w:widowControl/>
        <w:spacing w:line="360" w:lineRule="auto"/>
        <w:ind w:firstLine="1440"/>
        <w:rPr>
          <w:bCs/>
          <w:sz w:val="26"/>
          <w:szCs w:val="26"/>
        </w:rPr>
      </w:pPr>
      <w:r w:rsidRPr="00D76603">
        <w:rPr>
          <w:bCs/>
          <w:sz w:val="26"/>
          <w:szCs w:val="26"/>
        </w:rPr>
        <w:t xml:space="preserve">On </w:t>
      </w:r>
      <w:r w:rsidR="001D31AF">
        <w:rPr>
          <w:bCs/>
          <w:sz w:val="26"/>
          <w:szCs w:val="26"/>
        </w:rPr>
        <w:t>July 8, 202</w:t>
      </w:r>
      <w:r w:rsidR="00BC2AA3">
        <w:rPr>
          <w:bCs/>
          <w:sz w:val="26"/>
          <w:szCs w:val="26"/>
        </w:rPr>
        <w:t>0</w:t>
      </w:r>
      <w:r w:rsidR="001D31AF">
        <w:rPr>
          <w:bCs/>
          <w:sz w:val="26"/>
          <w:szCs w:val="26"/>
        </w:rPr>
        <w:t xml:space="preserve">, </w:t>
      </w:r>
      <w:r>
        <w:rPr>
          <w:bCs/>
          <w:sz w:val="26"/>
          <w:szCs w:val="26"/>
        </w:rPr>
        <w:t xml:space="preserve">Ms. </w:t>
      </w:r>
      <w:r w:rsidR="001D31AF">
        <w:rPr>
          <w:bCs/>
          <w:sz w:val="26"/>
          <w:szCs w:val="26"/>
        </w:rPr>
        <w:t>Fluellen</w:t>
      </w:r>
      <w:r>
        <w:rPr>
          <w:bCs/>
          <w:sz w:val="26"/>
          <w:szCs w:val="26"/>
        </w:rPr>
        <w:t xml:space="preserve"> </w:t>
      </w:r>
      <w:r w:rsidRPr="00D76603">
        <w:rPr>
          <w:bCs/>
          <w:sz w:val="26"/>
          <w:szCs w:val="26"/>
        </w:rPr>
        <w:t>filed a</w:t>
      </w:r>
      <w:r>
        <w:rPr>
          <w:bCs/>
          <w:sz w:val="26"/>
          <w:szCs w:val="26"/>
        </w:rPr>
        <w:t xml:space="preserve"> Formal Complaint (Complaint)</w:t>
      </w:r>
      <w:r w:rsidRPr="00D76603">
        <w:rPr>
          <w:bCs/>
          <w:sz w:val="26"/>
          <w:szCs w:val="26"/>
        </w:rPr>
        <w:t xml:space="preserve"> </w:t>
      </w:r>
      <w:r>
        <w:rPr>
          <w:bCs/>
          <w:sz w:val="26"/>
          <w:szCs w:val="26"/>
        </w:rPr>
        <w:t>against P</w:t>
      </w:r>
      <w:r w:rsidR="001D31AF">
        <w:rPr>
          <w:bCs/>
          <w:sz w:val="26"/>
          <w:szCs w:val="26"/>
        </w:rPr>
        <w:t xml:space="preserve">ECO </w:t>
      </w:r>
      <w:r>
        <w:rPr>
          <w:bCs/>
          <w:sz w:val="26"/>
          <w:szCs w:val="26"/>
        </w:rPr>
        <w:t>alleging that</w:t>
      </w:r>
      <w:r w:rsidR="00B015DA">
        <w:rPr>
          <w:bCs/>
          <w:sz w:val="26"/>
          <w:szCs w:val="26"/>
        </w:rPr>
        <w:t>:</w:t>
      </w:r>
      <w:r>
        <w:rPr>
          <w:bCs/>
          <w:sz w:val="26"/>
          <w:szCs w:val="26"/>
        </w:rPr>
        <w:t xml:space="preserve"> </w:t>
      </w:r>
      <w:r w:rsidR="004168EC">
        <w:rPr>
          <w:bCs/>
          <w:sz w:val="26"/>
          <w:szCs w:val="26"/>
        </w:rPr>
        <w:t xml:space="preserve"> </w:t>
      </w:r>
      <w:r w:rsidR="001D31AF">
        <w:rPr>
          <w:bCs/>
          <w:sz w:val="26"/>
          <w:szCs w:val="26"/>
        </w:rPr>
        <w:t xml:space="preserve">(1) </w:t>
      </w:r>
      <w:r>
        <w:rPr>
          <w:bCs/>
          <w:sz w:val="26"/>
          <w:szCs w:val="26"/>
        </w:rPr>
        <w:t>the</w:t>
      </w:r>
      <w:r w:rsidR="001D31AF">
        <w:rPr>
          <w:bCs/>
          <w:sz w:val="26"/>
          <w:szCs w:val="26"/>
        </w:rPr>
        <w:t xml:space="preserve"> Company </w:t>
      </w:r>
      <w:r w:rsidR="004F51C0">
        <w:rPr>
          <w:bCs/>
          <w:sz w:val="26"/>
          <w:szCs w:val="26"/>
        </w:rPr>
        <w:t>wa</w:t>
      </w:r>
      <w:r w:rsidR="001D31AF">
        <w:rPr>
          <w:bCs/>
          <w:sz w:val="26"/>
          <w:szCs w:val="26"/>
        </w:rPr>
        <w:t>s threatening to shut off her service;</w:t>
      </w:r>
      <w:r w:rsidR="004F51C0">
        <w:rPr>
          <w:bCs/>
          <w:sz w:val="26"/>
          <w:szCs w:val="26"/>
        </w:rPr>
        <w:t xml:space="preserve"> </w:t>
      </w:r>
      <w:r w:rsidR="001D31AF">
        <w:rPr>
          <w:bCs/>
          <w:sz w:val="26"/>
          <w:szCs w:val="26"/>
        </w:rPr>
        <w:t>(2)</w:t>
      </w:r>
      <w:r w:rsidR="0062794F">
        <w:rPr>
          <w:bCs/>
          <w:sz w:val="26"/>
          <w:szCs w:val="26"/>
        </w:rPr>
        <w:t> </w:t>
      </w:r>
      <w:r w:rsidR="001D31AF">
        <w:rPr>
          <w:bCs/>
          <w:sz w:val="26"/>
          <w:szCs w:val="26"/>
        </w:rPr>
        <w:t xml:space="preserve">there </w:t>
      </w:r>
      <w:r w:rsidR="004F51C0">
        <w:rPr>
          <w:bCs/>
          <w:sz w:val="26"/>
          <w:szCs w:val="26"/>
        </w:rPr>
        <w:t>were</w:t>
      </w:r>
      <w:r w:rsidR="001D31AF">
        <w:rPr>
          <w:bCs/>
          <w:sz w:val="26"/>
          <w:szCs w:val="26"/>
        </w:rPr>
        <w:t xml:space="preserve"> incorrect charges on her electric bills</w:t>
      </w:r>
      <w:r w:rsidR="004F51C0">
        <w:rPr>
          <w:bCs/>
          <w:sz w:val="26"/>
          <w:szCs w:val="26"/>
        </w:rPr>
        <w:t xml:space="preserve"> relating to budget billing</w:t>
      </w:r>
      <w:r w:rsidR="00B015DA">
        <w:rPr>
          <w:bCs/>
          <w:sz w:val="26"/>
          <w:szCs w:val="26"/>
        </w:rPr>
        <w:t>;</w:t>
      </w:r>
      <w:r w:rsidR="001D31AF">
        <w:rPr>
          <w:bCs/>
          <w:sz w:val="26"/>
          <w:szCs w:val="26"/>
        </w:rPr>
        <w:t xml:space="preserve"> </w:t>
      </w:r>
      <w:r w:rsidR="00B015DA">
        <w:rPr>
          <w:bCs/>
          <w:sz w:val="26"/>
          <w:szCs w:val="26"/>
        </w:rPr>
        <w:t>(3)</w:t>
      </w:r>
      <w:r w:rsidR="001D31AF">
        <w:rPr>
          <w:bCs/>
          <w:sz w:val="26"/>
          <w:szCs w:val="26"/>
        </w:rPr>
        <w:t xml:space="preserve"> she </w:t>
      </w:r>
      <w:r w:rsidR="004F51C0">
        <w:rPr>
          <w:bCs/>
          <w:sz w:val="26"/>
          <w:szCs w:val="26"/>
        </w:rPr>
        <w:t>was</w:t>
      </w:r>
      <w:r w:rsidR="001D31AF">
        <w:rPr>
          <w:bCs/>
          <w:sz w:val="26"/>
          <w:szCs w:val="26"/>
        </w:rPr>
        <w:t xml:space="preserve"> having a reliability, safety, or quality problem with her utility service</w:t>
      </w:r>
      <w:r w:rsidR="00B015DA">
        <w:rPr>
          <w:bCs/>
          <w:sz w:val="26"/>
          <w:szCs w:val="26"/>
        </w:rPr>
        <w:t>;</w:t>
      </w:r>
      <w:r w:rsidR="004F51C0">
        <w:rPr>
          <w:bCs/>
          <w:sz w:val="26"/>
          <w:szCs w:val="26"/>
        </w:rPr>
        <w:t xml:space="preserve"> and</w:t>
      </w:r>
      <w:r w:rsidR="00B015DA">
        <w:rPr>
          <w:bCs/>
          <w:sz w:val="26"/>
          <w:szCs w:val="26"/>
        </w:rPr>
        <w:t xml:space="preserve"> (4) PECO enrolled her with an electric generation supplier (EGS) without her consent</w:t>
      </w:r>
      <w:r w:rsidR="001D31AF">
        <w:rPr>
          <w:bCs/>
          <w:sz w:val="26"/>
          <w:szCs w:val="26"/>
        </w:rPr>
        <w:t xml:space="preserve">. </w:t>
      </w:r>
      <w:r w:rsidR="004919D2">
        <w:rPr>
          <w:bCs/>
          <w:sz w:val="26"/>
          <w:szCs w:val="26"/>
        </w:rPr>
        <w:t xml:space="preserve"> </w:t>
      </w:r>
      <w:r>
        <w:rPr>
          <w:bCs/>
          <w:sz w:val="26"/>
          <w:szCs w:val="26"/>
        </w:rPr>
        <w:t xml:space="preserve">As relief, the Complainant </w:t>
      </w:r>
      <w:r w:rsidR="00B015DA">
        <w:rPr>
          <w:bCs/>
          <w:sz w:val="26"/>
          <w:szCs w:val="26"/>
        </w:rPr>
        <w:t>request</w:t>
      </w:r>
      <w:r w:rsidR="004F51C0">
        <w:rPr>
          <w:bCs/>
          <w:sz w:val="26"/>
          <w:szCs w:val="26"/>
        </w:rPr>
        <w:t>ed</w:t>
      </w:r>
      <w:r w:rsidR="00B015DA">
        <w:rPr>
          <w:bCs/>
          <w:sz w:val="26"/>
          <w:szCs w:val="26"/>
        </w:rPr>
        <w:t xml:space="preserve"> that the Commission order a review of her outstanding balance and order PECO to provide a complete explanation of all her electric charges and payments that appear on her account.  She also request</w:t>
      </w:r>
      <w:r w:rsidR="004F51C0">
        <w:rPr>
          <w:bCs/>
          <w:sz w:val="26"/>
          <w:szCs w:val="26"/>
        </w:rPr>
        <w:t>ed</w:t>
      </w:r>
      <w:r w:rsidR="00B015DA">
        <w:rPr>
          <w:bCs/>
          <w:sz w:val="26"/>
          <w:szCs w:val="26"/>
        </w:rPr>
        <w:t xml:space="preserve"> the removal of all unauthorized payment agreements with PECO from her </w:t>
      </w:r>
      <w:r w:rsidR="00E0254E">
        <w:rPr>
          <w:bCs/>
          <w:sz w:val="26"/>
          <w:szCs w:val="26"/>
        </w:rPr>
        <w:t>“</w:t>
      </w:r>
      <w:r w:rsidR="002B4A16">
        <w:rPr>
          <w:bCs/>
          <w:sz w:val="26"/>
          <w:szCs w:val="26"/>
        </w:rPr>
        <w:t>A</w:t>
      </w:r>
      <w:r w:rsidR="00B015DA">
        <w:rPr>
          <w:bCs/>
          <w:sz w:val="26"/>
          <w:szCs w:val="26"/>
        </w:rPr>
        <w:t xml:space="preserve">ccount </w:t>
      </w:r>
      <w:r w:rsidR="002B4A16">
        <w:rPr>
          <w:bCs/>
          <w:sz w:val="26"/>
          <w:szCs w:val="26"/>
        </w:rPr>
        <w:t>H</w:t>
      </w:r>
      <w:r w:rsidR="00B015DA">
        <w:rPr>
          <w:bCs/>
          <w:sz w:val="26"/>
          <w:szCs w:val="26"/>
        </w:rPr>
        <w:t>istory</w:t>
      </w:r>
      <w:r w:rsidR="00E0254E">
        <w:rPr>
          <w:bCs/>
          <w:sz w:val="26"/>
          <w:szCs w:val="26"/>
        </w:rPr>
        <w:t>”</w:t>
      </w:r>
      <w:r w:rsidR="00B015DA">
        <w:rPr>
          <w:bCs/>
          <w:sz w:val="26"/>
          <w:szCs w:val="26"/>
        </w:rPr>
        <w:t xml:space="preserve"> as well as a written letter confirming receipt of Ms. Fluellen’s earlier informal complaint and an alleged offer of settlement by PECO in the amount of $7,500.</w:t>
      </w:r>
    </w:p>
    <w:p w14:paraId="07DB14F6" w14:textId="7ABFCC99" w:rsidR="00BC2AA3" w:rsidRPr="00BC2AA3" w:rsidRDefault="00BC2AA3" w:rsidP="00D91054">
      <w:pPr>
        <w:widowControl/>
        <w:spacing w:line="360" w:lineRule="auto"/>
        <w:ind w:firstLine="1440"/>
        <w:rPr>
          <w:bCs/>
          <w:sz w:val="26"/>
          <w:szCs w:val="26"/>
        </w:rPr>
      </w:pPr>
    </w:p>
    <w:p w14:paraId="3D72AD84" w14:textId="55BDDE20" w:rsidR="00BC2AA3" w:rsidRDefault="00BC2AA3" w:rsidP="00BC2AA3">
      <w:pPr>
        <w:kinsoku w:val="0"/>
        <w:overflowPunct w:val="0"/>
        <w:spacing w:line="360" w:lineRule="auto"/>
        <w:ind w:firstLine="1440"/>
        <w:textAlignment w:val="baseline"/>
        <w:rPr>
          <w:bCs/>
          <w:sz w:val="26"/>
          <w:szCs w:val="26"/>
        </w:rPr>
      </w:pPr>
      <w:r w:rsidRPr="00BC2AA3">
        <w:rPr>
          <w:spacing w:val="-1"/>
          <w:sz w:val="26"/>
          <w:szCs w:val="26"/>
        </w:rPr>
        <w:t xml:space="preserve">This </w:t>
      </w:r>
      <w:r>
        <w:rPr>
          <w:spacing w:val="-1"/>
          <w:sz w:val="26"/>
          <w:szCs w:val="26"/>
        </w:rPr>
        <w:t>F</w:t>
      </w:r>
      <w:r w:rsidRPr="00BC2AA3">
        <w:rPr>
          <w:spacing w:val="-1"/>
          <w:sz w:val="26"/>
          <w:szCs w:val="26"/>
        </w:rPr>
        <w:t>ormal Complaint</w:t>
      </w:r>
      <w:r w:rsidR="004F51C0">
        <w:rPr>
          <w:spacing w:val="-1"/>
          <w:sz w:val="26"/>
          <w:szCs w:val="26"/>
        </w:rPr>
        <w:t>, which was served on PECO on August 24, 2020,</w:t>
      </w:r>
      <w:r w:rsidRPr="00BC2AA3">
        <w:rPr>
          <w:spacing w:val="-1"/>
          <w:sz w:val="26"/>
          <w:szCs w:val="26"/>
        </w:rPr>
        <w:t xml:space="preserve"> is a timely appeal to a decision issued by the Commission’s Bureau of Consumer Services (BCS) </w:t>
      </w:r>
      <w:r>
        <w:rPr>
          <w:spacing w:val="-1"/>
          <w:sz w:val="26"/>
          <w:szCs w:val="26"/>
        </w:rPr>
        <w:t xml:space="preserve">on March 13, 2020, </w:t>
      </w:r>
      <w:r w:rsidRPr="00BC2AA3">
        <w:rPr>
          <w:spacing w:val="-1"/>
          <w:sz w:val="26"/>
          <w:szCs w:val="26"/>
        </w:rPr>
        <w:t>at BCS Case No. 003718499</w:t>
      </w:r>
      <w:r>
        <w:rPr>
          <w:spacing w:val="-1"/>
          <w:sz w:val="26"/>
          <w:szCs w:val="26"/>
        </w:rPr>
        <w:t xml:space="preserve"> dismissing the Complainant’s informal complaint previously filed on July 18, 2019, regarding her budget billing</w:t>
      </w:r>
      <w:r w:rsidRPr="00BC2AA3">
        <w:rPr>
          <w:spacing w:val="-1"/>
          <w:sz w:val="26"/>
          <w:szCs w:val="26"/>
        </w:rPr>
        <w:t>.</w:t>
      </w:r>
      <w:r>
        <w:rPr>
          <w:spacing w:val="-1"/>
          <w:sz w:val="26"/>
          <w:szCs w:val="26"/>
        </w:rPr>
        <w:t xml:space="preserve">  </w:t>
      </w:r>
      <w:r w:rsidRPr="00BC2AA3">
        <w:rPr>
          <w:sz w:val="26"/>
          <w:szCs w:val="26"/>
        </w:rPr>
        <w:t xml:space="preserve">On September 14, 2020, PECO filed </w:t>
      </w:r>
      <w:r>
        <w:rPr>
          <w:sz w:val="26"/>
          <w:szCs w:val="26"/>
        </w:rPr>
        <w:t xml:space="preserve">its </w:t>
      </w:r>
      <w:r w:rsidRPr="00BC2AA3">
        <w:rPr>
          <w:sz w:val="26"/>
          <w:szCs w:val="26"/>
        </w:rPr>
        <w:t xml:space="preserve">Answer denying the material allegations of the </w:t>
      </w:r>
      <w:r>
        <w:rPr>
          <w:sz w:val="26"/>
          <w:szCs w:val="26"/>
        </w:rPr>
        <w:t xml:space="preserve">Formal Complaint </w:t>
      </w:r>
      <w:r>
        <w:rPr>
          <w:bCs/>
          <w:sz w:val="26"/>
          <w:szCs w:val="26"/>
        </w:rPr>
        <w:t>and asking that the Complaint be dismissed.</w:t>
      </w:r>
    </w:p>
    <w:p w14:paraId="6FFF6802" w14:textId="77777777" w:rsidR="003118B9" w:rsidRPr="00BC2AA3" w:rsidRDefault="003118B9" w:rsidP="00BC2AA3">
      <w:pPr>
        <w:kinsoku w:val="0"/>
        <w:overflowPunct w:val="0"/>
        <w:spacing w:line="360" w:lineRule="auto"/>
        <w:ind w:firstLine="1440"/>
        <w:textAlignment w:val="baseline"/>
        <w:rPr>
          <w:spacing w:val="-1"/>
          <w:sz w:val="26"/>
          <w:szCs w:val="26"/>
        </w:rPr>
      </w:pPr>
    </w:p>
    <w:p w14:paraId="1541A507" w14:textId="5FFAFDAB" w:rsidR="00BC2AA3" w:rsidRPr="00BC2AA3" w:rsidRDefault="004F51C0" w:rsidP="003118B9">
      <w:pPr>
        <w:kinsoku w:val="0"/>
        <w:overflowPunct w:val="0"/>
        <w:spacing w:line="360" w:lineRule="auto"/>
        <w:ind w:firstLine="1440"/>
        <w:textAlignment w:val="baseline"/>
        <w:rPr>
          <w:sz w:val="26"/>
          <w:szCs w:val="26"/>
        </w:rPr>
      </w:pPr>
      <w:r>
        <w:rPr>
          <w:bCs/>
          <w:sz w:val="26"/>
          <w:szCs w:val="26"/>
        </w:rPr>
        <w:t>A</w:t>
      </w:r>
      <w:r w:rsidR="006F5B32">
        <w:rPr>
          <w:bCs/>
          <w:sz w:val="26"/>
          <w:szCs w:val="26"/>
        </w:rPr>
        <w:t xml:space="preserve"> telephonic</w:t>
      </w:r>
      <w:r>
        <w:rPr>
          <w:bCs/>
          <w:sz w:val="26"/>
          <w:szCs w:val="26"/>
        </w:rPr>
        <w:t xml:space="preserve"> hearing was held on </w:t>
      </w:r>
      <w:r w:rsidR="006F5B32">
        <w:rPr>
          <w:bCs/>
          <w:sz w:val="26"/>
          <w:szCs w:val="26"/>
        </w:rPr>
        <w:t>January 7</w:t>
      </w:r>
      <w:r>
        <w:rPr>
          <w:bCs/>
          <w:sz w:val="26"/>
          <w:szCs w:val="26"/>
        </w:rPr>
        <w:t>, 202</w:t>
      </w:r>
      <w:r w:rsidR="006F5B32">
        <w:rPr>
          <w:bCs/>
          <w:sz w:val="26"/>
          <w:szCs w:val="26"/>
        </w:rPr>
        <w:t>1</w:t>
      </w:r>
      <w:r>
        <w:rPr>
          <w:bCs/>
          <w:sz w:val="26"/>
          <w:szCs w:val="26"/>
        </w:rPr>
        <w:t xml:space="preserve">, before ALJ Vero and the Complainant appeared </w:t>
      </w:r>
      <w:r>
        <w:rPr>
          <w:bCs/>
          <w:i/>
          <w:iCs/>
          <w:sz w:val="26"/>
          <w:szCs w:val="26"/>
        </w:rPr>
        <w:t xml:space="preserve">pro se </w:t>
      </w:r>
      <w:r>
        <w:rPr>
          <w:bCs/>
          <w:sz w:val="26"/>
          <w:szCs w:val="26"/>
        </w:rPr>
        <w:t>and testified</w:t>
      </w:r>
      <w:r w:rsidR="006F5B32">
        <w:rPr>
          <w:bCs/>
          <w:sz w:val="26"/>
          <w:szCs w:val="26"/>
        </w:rPr>
        <w:t xml:space="preserve"> on her behalf</w:t>
      </w:r>
      <w:r>
        <w:rPr>
          <w:bCs/>
          <w:sz w:val="26"/>
          <w:szCs w:val="26"/>
        </w:rPr>
        <w:t xml:space="preserve">.  </w:t>
      </w:r>
      <w:r w:rsidR="003118B9">
        <w:rPr>
          <w:bCs/>
          <w:sz w:val="26"/>
          <w:szCs w:val="26"/>
        </w:rPr>
        <w:t>Twenty-three</w:t>
      </w:r>
      <w:r w:rsidR="006F5B32" w:rsidRPr="006F5B32">
        <w:rPr>
          <w:sz w:val="26"/>
          <w:szCs w:val="26"/>
        </w:rPr>
        <w:t xml:space="preserve"> exhibits were admitted into evidence by the Complainant. </w:t>
      </w:r>
      <w:r w:rsidR="004919D2">
        <w:rPr>
          <w:sz w:val="26"/>
          <w:szCs w:val="26"/>
        </w:rPr>
        <w:t xml:space="preserve"> </w:t>
      </w:r>
      <w:r w:rsidR="006F5B32" w:rsidRPr="006F5B32">
        <w:rPr>
          <w:sz w:val="26"/>
          <w:szCs w:val="26"/>
        </w:rPr>
        <w:t>PECO’s business analyst</w:t>
      </w:r>
      <w:r w:rsidR="003118B9">
        <w:rPr>
          <w:sz w:val="26"/>
          <w:szCs w:val="26"/>
        </w:rPr>
        <w:t xml:space="preserve"> in charge of preparing written reports for BCS</w:t>
      </w:r>
      <w:r w:rsidR="006F5B32" w:rsidRPr="006F5B32">
        <w:rPr>
          <w:sz w:val="26"/>
          <w:szCs w:val="26"/>
        </w:rPr>
        <w:t xml:space="preserve">, Kelli Jefferson, and senior regulatory assessor, Renee Tarpley, testified on PECO’s behalf. </w:t>
      </w:r>
      <w:r w:rsidR="003118B9">
        <w:rPr>
          <w:sz w:val="26"/>
          <w:szCs w:val="26"/>
        </w:rPr>
        <w:t xml:space="preserve"> </w:t>
      </w:r>
      <w:r w:rsidR="006F5B32" w:rsidRPr="006F5B32">
        <w:rPr>
          <w:sz w:val="26"/>
          <w:szCs w:val="26"/>
        </w:rPr>
        <w:t>Eight exhibits were admitted into evidence by PECO.</w:t>
      </w:r>
      <w:r w:rsidR="003118B9">
        <w:rPr>
          <w:sz w:val="26"/>
          <w:szCs w:val="26"/>
        </w:rPr>
        <w:t xml:space="preserve">  </w:t>
      </w:r>
      <w:r w:rsidR="00BC2AA3" w:rsidRPr="00BC2AA3">
        <w:rPr>
          <w:sz w:val="26"/>
          <w:szCs w:val="26"/>
        </w:rPr>
        <w:t>The record closed on February 6, 2021</w:t>
      </w:r>
      <w:r w:rsidR="00FE4582">
        <w:rPr>
          <w:sz w:val="26"/>
          <w:szCs w:val="26"/>
        </w:rPr>
        <w:t>,</w:t>
      </w:r>
      <w:r w:rsidR="00FE4582" w:rsidRPr="00FE4582">
        <w:rPr>
          <w:bCs/>
          <w:sz w:val="26"/>
          <w:szCs w:val="26"/>
        </w:rPr>
        <w:t xml:space="preserve"> </w:t>
      </w:r>
      <w:r w:rsidR="00FE4582">
        <w:rPr>
          <w:bCs/>
          <w:sz w:val="26"/>
          <w:szCs w:val="26"/>
        </w:rPr>
        <w:t>when the transcript was received by the ALJ.</w:t>
      </w:r>
    </w:p>
    <w:p w14:paraId="2B19025E" w14:textId="77777777" w:rsidR="00BC2AA3" w:rsidRDefault="00BC2AA3" w:rsidP="00D91054">
      <w:pPr>
        <w:widowControl/>
        <w:spacing w:line="360" w:lineRule="auto"/>
        <w:ind w:firstLine="1440"/>
        <w:rPr>
          <w:bCs/>
          <w:sz w:val="26"/>
          <w:szCs w:val="26"/>
        </w:rPr>
      </w:pPr>
    </w:p>
    <w:p w14:paraId="07BF54E8" w14:textId="3852F0C7" w:rsidR="00D91054" w:rsidRDefault="00D91054" w:rsidP="00D91054">
      <w:pPr>
        <w:widowControl/>
        <w:spacing w:line="360" w:lineRule="auto"/>
        <w:ind w:firstLine="1440"/>
        <w:rPr>
          <w:bCs/>
          <w:sz w:val="26"/>
          <w:szCs w:val="26"/>
        </w:rPr>
      </w:pPr>
      <w:r>
        <w:rPr>
          <w:bCs/>
          <w:sz w:val="26"/>
          <w:szCs w:val="26"/>
        </w:rPr>
        <w:lastRenderedPageBreak/>
        <w:t>On Ma</w:t>
      </w:r>
      <w:r w:rsidR="00FE4582">
        <w:rPr>
          <w:bCs/>
          <w:sz w:val="26"/>
          <w:szCs w:val="26"/>
        </w:rPr>
        <w:t>y 12</w:t>
      </w:r>
      <w:r>
        <w:rPr>
          <w:bCs/>
          <w:sz w:val="26"/>
          <w:szCs w:val="26"/>
        </w:rPr>
        <w:t xml:space="preserve">, 2021, the ALJ issued her Initial Decision, which dismissed the Complaint, finding that the Complainant did not meet her burden of establishing </w:t>
      </w:r>
      <w:r w:rsidR="006C63B9">
        <w:rPr>
          <w:bCs/>
          <w:sz w:val="26"/>
          <w:szCs w:val="26"/>
        </w:rPr>
        <w:t xml:space="preserve">any of the allegations contained in her Formal Complaint, including the claims </w:t>
      </w:r>
      <w:r>
        <w:rPr>
          <w:bCs/>
          <w:sz w:val="26"/>
          <w:szCs w:val="26"/>
        </w:rPr>
        <w:t xml:space="preserve">that </w:t>
      </w:r>
      <w:r w:rsidR="00FE4582">
        <w:rPr>
          <w:bCs/>
          <w:sz w:val="26"/>
          <w:szCs w:val="26"/>
        </w:rPr>
        <w:t>there were incorrect charges on her electric bill</w:t>
      </w:r>
      <w:r w:rsidR="002B4A16">
        <w:rPr>
          <w:bCs/>
          <w:sz w:val="26"/>
          <w:szCs w:val="26"/>
        </w:rPr>
        <w:t xml:space="preserve"> relating to budget billing</w:t>
      </w:r>
      <w:r w:rsidR="006C63B9">
        <w:rPr>
          <w:bCs/>
          <w:sz w:val="26"/>
          <w:szCs w:val="26"/>
        </w:rPr>
        <w:t>, that PECO had offered the Complainant a $7,500 settlement,</w:t>
      </w:r>
      <w:r w:rsidR="00FE4582">
        <w:rPr>
          <w:bCs/>
          <w:sz w:val="26"/>
          <w:szCs w:val="26"/>
        </w:rPr>
        <w:t xml:space="preserve"> or that </w:t>
      </w:r>
      <w:r>
        <w:rPr>
          <w:bCs/>
          <w:sz w:val="26"/>
          <w:szCs w:val="26"/>
        </w:rPr>
        <w:t>P</w:t>
      </w:r>
      <w:r w:rsidR="00FE4582">
        <w:rPr>
          <w:bCs/>
          <w:sz w:val="26"/>
          <w:szCs w:val="26"/>
        </w:rPr>
        <w:t xml:space="preserve">ECO enrolled the Complainant with an EGS without proper authorization in </w:t>
      </w:r>
      <w:r>
        <w:rPr>
          <w:bCs/>
          <w:sz w:val="26"/>
          <w:szCs w:val="26"/>
        </w:rPr>
        <w:t>violat</w:t>
      </w:r>
      <w:r w:rsidR="00FE4582">
        <w:rPr>
          <w:bCs/>
          <w:sz w:val="26"/>
          <w:szCs w:val="26"/>
        </w:rPr>
        <w:t>ion of</w:t>
      </w:r>
      <w:r>
        <w:rPr>
          <w:bCs/>
          <w:sz w:val="26"/>
          <w:szCs w:val="26"/>
        </w:rPr>
        <w:t xml:space="preserve"> the Public Utility Code (Code)</w:t>
      </w:r>
      <w:r w:rsidR="00FE4582">
        <w:rPr>
          <w:bCs/>
          <w:sz w:val="26"/>
          <w:szCs w:val="26"/>
        </w:rPr>
        <w:t xml:space="preserve"> or the</w:t>
      </w:r>
      <w:r>
        <w:rPr>
          <w:bCs/>
          <w:sz w:val="26"/>
          <w:szCs w:val="26"/>
        </w:rPr>
        <w:t xml:space="preserve"> Commission</w:t>
      </w:r>
      <w:r w:rsidR="00FE4582">
        <w:rPr>
          <w:bCs/>
          <w:sz w:val="26"/>
          <w:szCs w:val="26"/>
        </w:rPr>
        <w:t>’s</w:t>
      </w:r>
      <w:r>
        <w:rPr>
          <w:bCs/>
          <w:sz w:val="26"/>
          <w:szCs w:val="26"/>
        </w:rPr>
        <w:t xml:space="preserve"> Regulations.  </w:t>
      </w:r>
    </w:p>
    <w:p w14:paraId="5228ED72" w14:textId="77777777" w:rsidR="00D91054" w:rsidRDefault="00D91054" w:rsidP="00D91054">
      <w:pPr>
        <w:widowControl/>
        <w:spacing w:line="360" w:lineRule="auto"/>
        <w:ind w:firstLine="1440"/>
        <w:rPr>
          <w:bCs/>
          <w:sz w:val="26"/>
          <w:szCs w:val="26"/>
        </w:rPr>
      </w:pPr>
    </w:p>
    <w:p w14:paraId="072A0BDA" w14:textId="07DF0CEB" w:rsidR="00D91054" w:rsidRDefault="00D91054" w:rsidP="00D91054">
      <w:pPr>
        <w:widowControl/>
        <w:spacing w:line="360" w:lineRule="auto"/>
        <w:ind w:firstLine="1440"/>
        <w:rPr>
          <w:bCs/>
          <w:sz w:val="26"/>
          <w:szCs w:val="26"/>
        </w:rPr>
      </w:pPr>
      <w:r>
        <w:rPr>
          <w:bCs/>
          <w:sz w:val="26"/>
          <w:szCs w:val="26"/>
        </w:rPr>
        <w:t xml:space="preserve">As previously noted, the Complainant filed Exceptions to the Initial Decision on </w:t>
      </w:r>
      <w:r w:rsidR="00FE4582">
        <w:rPr>
          <w:bCs/>
          <w:sz w:val="26"/>
          <w:szCs w:val="26"/>
        </w:rPr>
        <w:t>June 2</w:t>
      </w:r>
      <w:r>
        <w:rPr>
          <w:bCs/>
          <w:sz w:val="26"/>
          <w:szCs w:val="26"/>
        </w:rPr>
        <w:t>, 2021, and P</w:t>
      </w:r>
      <w:r w:rsidR="00FE4582">
        <w:rPr>
          <w:bCs/>
          <w:sz w:val="26"/>
          <w:szCs w:val="26"/>
        </w:rPr>
        <w:t>ECO</w:t>
      </w:r>
      <w:r>
        <w:rPr>
          <w:bCs/>
          <w:sz w:val="26"/>
          <w:szCs w:val="26"/>
        </w:rPr>
        <w:t xml:space="preserve"> filed Replies to Exceptions on </w:t>
      </w:r>
      <w:r w:rsidR="00FE4582">
        <w:rPr>
          <w:bCs/>
          <w:sz w:val="26"/>
          <w:szCs w:val="26"/>
        </w:rPr>
        <w:t>June 9</w:t>
      </w:r>
      <w:r>
        <w:rPr>
          <w:bCs/>
          <w:sz w:val="26"/>
          <w:szCs w:val="26"/>
        </w:rPr>
        <w:t xml:space="preserve">, 2021.  </w:t>
      </w:r>
    </w:p>
    <w:p w14:paraId="73157113" w14:textId="77777777" w:rsidR="00D91054" w:rsidRDefault="00D91054" w:rsidP="00D91054">
      <w:pPr>
        <w:widowControl/>
        <w:spacing w:line="360" w:lineRule="auto"/>
        <w:ind w:firstLine="1440"/>
        <w:rPr>
          <w:bCs/>
          <w:sz w:val="26"/>
          <w:szCs w:val="26"/>
        </w:rPr>
      </w:pPr>
    </w:p>
    <w:p w14:paraId="189FDFAA" w14:textId="77777777" w:rsidR="00D91054" w:rsidRDefault="00D91054" w:rsidP="00D91054">
      <w:pPr>
        <w:keepNext/>
        <w:spacing w:line="360" w:lineRule="auto"/>
        <w:jc w:val="center"/>
        <w:rPr>
          <w:b/>
          <w:sz w:val="26"/>
          <w:szCs w:val="26"/>
        </w:rPr>
      </w:pPr>
      <w:r w:rsidRPr="00882750">
        <w:rPr>
          <w:b/>
          <w:sz w:val="26"/>
          <w:szCs w:val="26"/>
        </w:rPr>
        <w:t>Discussion</w:t>
      </w:r>
    </w:p>
    <w:p w14:paraId="485436AD" w14:textId="77777777" w:rsidR="00D91054" w:rsidRDefault="00D91054" w:rsidP="00D91054">
      <w:pPr>
        <w:keepNext/>
        <w:spacing w:line="360" w:lineRule="auto"/>
        <w:jc w:val="center"/>
        <w:rPr>
          <w:sz w:val="26"/>
          <w:szCs w:val="26"/>
        </w:rPr>
      </w:pPr>
    </w:p>
    <w:p w14:paraId="61C27458" w14:textId="77777777" w:rsidR="00D91054" w:rsidRPr="00F85C72" w:rsidRDefault="00D91054" w:rsidP="00D91054">
      <w:pPr>
        <w:pStyle w:val="ListParagraph"/>
        <w:keepNext/>
        <w:keepLines/>
        <w:numPr>
          <w:ilvl w:val="0"/>
          <w:numId w:val="1"/>
        </w:numPr>
        <w:tabs>
          <w:tab w:val="left" w:pos="-720"/>
        </w:tabs>
        <w:suppressAutoHyphens/>
        <w:spacing w:line="360" w:lineRule="auto"/>
        <w:ind w:hanging="720"/>
        <w:rPr>
          <w:b/>
          <w:sz w:val="26"/>
        </w:rPr>
      </w:pPr>
      <w:r w:rsidRPr="00F85C72">
        <w:rPr>
          <w:b/>
          <w:sz w:val="26"/>
        </w:rPr>
        <w:t>Legal Standards</w:t>
      </w:r>
    </w:p>
    <w:p w14:paraId="7BF64A94" w14:textId="77777777" w:rsidR="00D91054" w:rsidRPr="00247E83" w:rsidRDefault="00D91054" w:rsidP="00D91054">
      <w:pPr>
        <w:keepNext/>
        <w:keepLines/>
        <w:tabs>
          <w:tab w:val="left" w:pos="1440"/>
        </w:tabs>
        <w:spacing w:line="360" w:lineRule="auto"/>
        <w:rPr>
          <w:sz w:val="26"/>
          <w:szCs w:val="26"/>
        </w:rPr>
      </w:pPr>
      <w:r w:rsidRPr="00247E83">
        <w:rPr>
          <w:sz w:val="26"/>
          <w:szCs w:val="26"/>
        </w:rPr>
        <w:tab/>
      </w:r>
    </w:p>
    <w:p w14:paraId="3297FE36" w14:textId="5918126E" w:rsidR="00D91054" w:rsidRDefault="00D91054" w:rsidP="00D91054">
      <w:pPr>
        <w:spacing w:line="360" w:lineRule="auto"/>
        <w:ind w:firstLine="1440"/>
        <w:rPr>
          <w:color w:val="000000"/>
          <w:sz w:val="26"/>
          <w:szCs w:val="26"/>
        </w:rPr>
      </w:pPr>
      <w:r w:rsidRPr="00247E83">
        <w:rPr>
          <w:rFonts w:ascii="Times New (W1)" w:hAnsi="Times New (W1)"/>
          <w:sz w:val="26"/>
        </w:rPr>
        <w:t xml:space="preserve">Before addressing the </w:t>
      </w:r>
      <w:r>
        <w:rPr>
          <w:rFonts w:ascii="Times New (W1)" w:hAnsi="Times New (W1)"/>
          <w:sz w:val="26"/>
        </w:rPr>
        <w:t>Exceptions</w:t>
      </w:r>
      <w:r w:rsidRPr="00247E83">
        <w:rPr>
          <w:rFonts w:ascii="Times New (W1)" w:hAnsi="Times New (W1)"/>
          <w:sz w:val="26"/>
        </w:rPr>
        <w:t xml:space="preserve">, we note that any issue not specifically discussed shall be deemed to have been duly considered and denied without further discussion.  The Commission is not required to consider expressly or at length each contention or argument raised by the parties.  </w:t>
      </w:r>
      <w:r w:rsidRPr="00247E83">
        <w:rPr>
          <w:rFonts w:ascii="Times New (W1)" w:hAnsi="Times New (W1)"/>
          <w:i/>
          <w:sz w:val="26"/>
        </w:rPr>
        <w:t>Consolidated Rail Corp. v. P</w:t>
      </w:r>
      <w:r>
        <w:rPr>
          <w:rFonts w:ascii="Times New (W1)" w:hAnsi="Times New (W1)"/>
          <w:i/>
          <w:sz w:val="26"/>
        </w:rPr>
        <w:t>a. PUC</w:t>
      </w:r>
      <w:r w:rsidRPr="0062794F">
        <w:rPr>
          <w:rFonts w:ascii="Times New (W1)" w:hAnsi="Times New (W1)"/>
          <w:iCs/>
          <w:sz w:val="26"/>
        </w:rPr>
        <w:t>,</w:t>
      </w:r>
      <w:r w:rsidRPr="00247E83">
        <w:rPr>
          <w:rFonts w:ascii="Times New (W1)" w:hAnsi="Times New (W1)"/>
          <w:i/>
          <w:sz w:val="26"/>
        </w:rPr>
        <w:t xml:space="preserve"> </w:t>
      </w:r>
      <w:r w:rsidRPr="00247E83">
        <w:rPr>
          <w:rFonts w:ascii="Times New (W1)" w:hAnsi="Times New (W1)"/>
          <w:sz w:val="26"/>
        </w:rPr>
        <w:t>625</w:t>
      </w:r>
      <w:r w:rsidR="0062794F">
        <w:rPr>
          <w:rFonts w:ascii="Times New (W1)" w:hAnsi="Times New (W1)"/>
          <w:sz w:val="26"/>
        </w:rPr>
        <w:t> </w:t>
      </w:r>
      <w:r w:rsidRPr="00247E83">
        <w:rPr>
          <w:rFonts w:ascii="Times New (W1)" w:hAnsi="Times New (W1)"/>
          <w:sz w:val="26"/>
        </w:rPr>
        <w:t>A.2d 741 (Pa. Cmwlth. 1993)</w:t>
      </w:r>
      <w:r>
        <w:rPr>
          <w:rFonts w:ascii="Times New (W1)" w:hAnsi="Times New (W1)"/>
          <w:sz w:val="26"/>
        </w:rPr>
        <w:t xml:space="preserve">; </w:t>
      </w:r>
      <w:r w:rsidRPr="002E6E55">
        <w:rPr>
          <w:i/>
          <w:iCs/>
          <w:color w:val="000000"/>
          <w:sz w:val="26"/>
          <w:szCs w:val="26"/>
        </w:rPr>
        <w:t>see</w:t>
      </w:r>
      <w:r>
        <w:rPr>
          <w:i/>
          <w:iCs/>
          <w:color w:val="000000"/>
          <w:sz w:val="26"/>
          <w:szCs w:val="26"/>
        </w:rPr>
        <w:t xml:space="preserve"> also</w:t>
      </w:r>
      <w:r w:rsidRPr="002E6E55">
        <w:rPr>
          <w:i/>
          <w:iCs/>
          <w:color w:val="000000"/>
          <w:sz w:val="26"/>
          <w:szCs w:val="26"/>
        </w:rPr>
        <w:t xml:space="preserve"> </w:t>
      </w:r>
      <w:hyperlink r:id="rId8" w:history="1">
        <w:r w:rsidRPr="002E6E55">
          <w:rPr>
            <w:i/>
            <w:iCs/>
            <w:color w:val="000000"/>
            <w:sz w:val="26"/>
            <w:szCs w:val="26"/>
          </w:rPr>
          <w:t>University of Pennsylvania v. Pa. PUC</w:t>
        </w:r>
        <w:r w:rsidRPr="002E6E55">
          <w:rPr>
            <w:color w:val="000000"/>
            <w:sz w:val="26"/>
            <w:szCs w:val="26"/>
          </w:rPr>
          <w:t>, 485</w:t>
        </w:r>
        <w:r w:rsidR="0062794F">
          <w:rPr>
            <w:color w:val="000000"/>
            <w:sz w:val="26"/>
            <w:szCs w:val="26"/>
          </w:rPr>
          <w:t> </w:t>
        </w:r>
        <w:r w:rsidRPr="002E6E55">
          <w:rPr>
            <w:color w:val="000000"/>
            <w:sz w:val="26"/>
            <w:szCs w:val="26"/>
          </w:rPr>
          <w:t>A.2d 1217 (Pa. Cmwlth. 1984).</w:t>
        </w:r>
      </w:hyperlink>
      <w:r>
        <w:rPr>
          <w:color w:val="000000"/>
          <w:sz w:val="26"/>
          <w:szCs w:val="26"/>
        </w:rPr>
        <w:t xml:space="preserve">  </w:t>
      </w:r>
      <w:r w:rsidRPr="00AF592F">
        <w:rPr>
          <w:rStyle w:val="Hyperlink"/>
          <w:color w:val="000000"/>
          <w:sz w:val="26"/>
          <w:szCs w:val="26"/>
          <w:u w:val="none"/>
        </w:rPr>
        <w:t>Therefore,</w:t>
      </w:r>
      <w:r w:rsidRPr="00913419">
        <w:rPr>
          <w:sz w:val="26"/>
          <w:szCs w:val="26"/>
        </w:rPr>
        <w:t xml:space="preserve"> any issue that we do not specifically address or delineate in this decision shall be deemed to have been duly considered and denied without further discussion.</w:t>
      </w:r>
    </w:p>
    <w:p w14:paraId="0C002D92" w14:textId="77777777" w:rsidR="00D91054" w:rsidRDefault="00D91054" w:rsidP="00D91054">
      <w:pPr>
        <w:spacing w:line="360" w:lineRule="auto"/>
        <w:ind w:firstLine="1440"/>
        <w:rPr>
          <w:color w:val="000000"/>
          <w:sz w:val="26"/>
          <w:szCs w:val="26"/>
        </w:rPr>
      </w:pPr>
    </w:p>
    <w:p w14:paraId="7DE0E63E" w14:textId="05B4637F" w:rsidR="00D91054" w:rsidRPr="00F85C72" w:rsidRDefault="00D91054" w:rsidP="00D91054">
      <w:pPr>
        <w:spacing w:line="360" w:lineRule="auto"/>
        <w:ind w:firstLine="1440"/>
        <w:rPr>
          <w:sz w:val="26"/>
          <w:szCs w:val="26"/>
        </w:rPr>
      </w:pPr>
      <w:r w:rsidRPr="00F85C72">
        <w:rPr>
          <w:sz w:val="26"/>
          <w:szCs w:val="26"/>
        </w:rPr>
        <w:t>As the proponent of a rule or order, the Complainant in this proceeding bears the burden of proof pursuant to Section 332(a) of the Code.  66 Pa. C.S. § 332(a).  To establish a sufficient case and satisfy the burden of proof, the Complainant must show that P</w:t>
      </w:r>
      <w:r w:rsidR="00AF592F">
        <w:rPr>
          <w:sz w:val="26"/>
          <w:szCs w:val="26"/>
        </w:rPr>
        <w:t>ECO</w:t>
      </w:r>
      <w:r w:rsidRPr="00F85C72">
        <w:rPr>
          <w:sz w:val="26"/>
          <w:szCs w:val="26"/>
        </w:rPr>
        <w:t xml:space="preserve"> is responsible or accountable for the problem described in the Complaint.  </w:t>
      </w:r>
      <w:r w:rsidRPr="00F85C72">
        <w:rPr>
          <w:i/>
          <w:sz w:val="26"/>
          <w:szCs w:val="26"/>
        </w:rPr>
        <w:t>Patterson v. The Bell Telephone Company of Pennsylvania</w:t>
      </w:r>
      <w:r w:rsidRPr="00F85C72">
        <w:rPr>
          <w:sz w:val="26"/>
          <w:szCs w:val="26"/>
        </w:rPr>
        <w:t xml:space="preserve">, 72 Pa. P.U.C. 196 (1990).  </w:t>
      </w:r>
      <w:r w:rsidRPr="00F85C72">
        <w:rPr>
          <w:sz w:val="26"/>
          <w:szCs w:val="26"/>
        </w:rPr>
        <w:lastRenderedPageBreak/>
        <w:t xml:space="preserve">Such a showing must be by a preponderance of the evidence.  </w:t>
      </w:r>
      <w:r w:rsidRPr="00F85C72">
        <w:rPr>
          <w:i/>
          <w:iCs/>
          <w:sz w:val="26"/>
          <w:szCs w:val="26"/>
        </w:rPr>
        <w:t>Samuel J. Lansberry, Inc. v. Pa. PUC</w:t>
      </w:r>
      <w:r w:rsidRPr="00F85C72">
        <w:rPr>
          <w:sz w:val="26"/>
          <w:szCs w:val="26"/>
        </w:rPr>
        <w:t xml:space="preserve">, 578 A.2d 600 (Pa. Cmwlth. 1990), </w:t>
      </w:r>
      <w:r w:rsidRPr="00F85C72">
        <w:rPr>
          <w:i/>
          <w:sz w:val="26"/>
          <w:szCs w:val="26"/>
        </w:rPr>
        <w:t>alloc. denied,</w:t>
      </w:r>
      <w:r w:rsidRPr="00F85C72">
        <w:rPr>
          <w:sz w:val="26"/>
          <w:szCs w:val="26"/>
        </w:rPr>
        <w:t xml:space="preserve"> 529 Pa. 654, 602</w:t>
      </w:r>
      <w:r w:rsidR="0062794F">
        <w:rPr>
          <w:sz w:val="26"/>
          <w:szCs w:val="26"/>
        </w:rPr>
        <w:t> </w:t>
      </w:r>
      <w:r w:rsidRPr="00F85C72">
        <w:rPr>
          <w:sz w:val="26"/>
          <w:szCs w:val="26"/>
        </w:rPr>
        <w:t>A.2d</w:t>
      </w:r>
      <w:r w:rsidR="0062794F">
        <w:rPr>
          <w:sz w:val="26"/>
          <w:szCs w:val="26"/>
        </w:rPr>
        <w:t> </w:t>
      </w:r>
      <w:r w:rsidRPr="00F85C72">
        <w:rPr>
          <w:sz w:val="26"/>
          <w:szCs w:val="26"/>
        </w:rPr>
        <w:t>863 (1992).  That is, the Complainant’s evidence must be more convincing, by even the smallest amount, than that presented by P</w:t>
      </w:r>
      <w:r w:rsidR="00AF592F">
        <w:rPr>
          <w:sz w:val="26"/>
          <w:szCs w:val="26"/>
        </w:rPr>
        <w:t>ECO.</w:t>
      </w:r>
      <w:r w:rsidRPr="00F85C72">
        <w:rPr>
          <w:sz w:val="26"/>
          <w:szCs w:val="26"/>
        </w:rPr>
        <w:t xml:space="preserve">  </w:t>
      </w:r>
      <w:r w:rsidRPr="00F85C72">
        <w:rPr>
          <w:i/>
          <w:sz w:val="26"/>
          <w:szCs w:val="26"/>
        </w:rPr>
        <w:t>Se-Ling Hosiery, Inc. v. Margulies</w:t>
      </w:r>
      <w:r w:rsidRPr="00F85C72">
        <w:rPr>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F85C72">
        <w:rPr>
          <w:i/>
          <w:sz w:val="26"/>
          <w:szCs w:val="26"/>
        </w:rPr>
        <w:t>Norfolk &amp; Western Ry. Co. v. Pa. PUC</w:t>
      </w:r>
      <w:r w:rsidRPr="0062794F">
        <w:rPr>
          <w:iCs/>
          <w:sz w:val="26"/>
          <w:szCs w:val="26"/>
        </w:rPr>
        <w:t>,</w:t>
      </w:r>
      <w:r w:rsidRPr="00F85C72">
        <w:rPr>
          <w:i/>
          <w:sz w:val="26"/>
          <w:szCs w:val="26"/>
        </w:rPr>
        <w:t xml:space="preserve"> </w:t>
      </w:r>
      <w:r w:rsidRPr="00F85C72">
        <w:rPr>
          <w:sz w:val="26"/>
          <w:szCs w:val="26"/>
        </w:rPr>
        <w:t>489 Pa. 109, 413 A.2d 1037 (1980).</w:t>
      </w:r>
    </w:p>
    <w:p w14:paraId="37EDDF2C" w14:textId="77777777" w:rsidR="00D91054" w:rsidRPr="00F85C72" w:rsidRDefault="00D91054" w:rsidP="00D91054">
      <w:pPr>
        <w:spacing w:line="360" w:lineRule="auto"/>
        <w:ind w:firstLine="1440"/>
        <w:rPr>
          <w:sz w:val="26"/>
          <w:szCs w:val="26"/>
        </w:rPr>
      </w:pPr>
    </w:p>
    <w:p w14:paraId="3B975E32" w14:textId="291C217D" w:rsidR="00D91054" w:rsidRPr="00F85C72" w:rsidRDefault="00D91054" w:rsidP="00D91054">
      <w:pPr>
        <w:spacing w:line="360" w:lineRule="auto"/>
        <w:ind w:firstLine="1440"/>
        <w:rPr>
          <w:sz w:val="26"/>
          <w:szCs w:val="26"/>
        </w:rPr>
      </w:pPr>
      <w:r w:rsidRPr="00F85C72">
        <w:rPr>
          <w:sz w:val="26"/>
          <w:szCs w:val="26"/>
        </w:rPr>
        <w:t>Upon the presentation by the Complainant of evidence sufficient initially</w:t>
      </w:r>
      <w:r>
        <w:rPr>
          <w:sz w:val="26"/>
          <w:szCs w:val="26"/>
        </w:rPr>
        <w:t xml:space="preserve"> to</w:t>
      </w:r>
      <w:r w:rsidRPr="00F85C72">
        <w:rPr>
          <w:sz w:val="26"/>
          <w:szCs w:val="26"/>
        </w:rPr>
        <w:t xml:space="preserve"> satisfy the burden of proof, the burden of going forward with the evidence (burden of persuasion) to rebut the evidence of the Complainant shifts to P</w:t>
      </w:r>
      <w:r w:rsidR="00AF592F">
        <w:rPr>
          <w:sz w:val="26"/>
          <w:szCs w:val="26"/>
        </w:rPr>
        <w:t>ECO</w:t>
      </w:r>
      <w:r w:rsidRPr="00F85C72">
        <w:rPr>
          <w:sz w:val="26"/>
          <w:szCs w:val="26"/>
        </w:rPr>
        <w:t>.  If the evidence presented by P</w:t>
      </w:r>
      <w:r w:rsidR="00AF592F">
        <w:rPr>
          <w:sz w:val="26"/>
          <w:szCs w:val="26"/>
        </w:rPr>
        <w:t xml:space="preserve">ECO </w:t>
      </w:r>
      <w:r w:rsidRPr="00F85C72">
        <w:rPr>
          <w:sz w:val="26"/>
          <w:szCs w:val="26"/>
        </w:rPr>
        <w:t>is of co-equal weight, the Complainant</w:t>
      </w:r>
      <w:r>
        <w:rPr>
          <w:sz w:val="26"/>
          <w:szCs w:val="26"/>
        </w:rPr>
        <w:t>’s burden of proof</w:t>
      </w:r>
      <w:r w:rsidRPr="00F85C72">
        <w:rPr>
          <w:sz w:val="26"/>
          <w:szCs w:val="26"/>
        </w:rPr>
        <w:t xml:space="preserve"> has not </w:t>
      </w:r>
      <w:r>
        <w:rPr>
          <w:sz w:val="26"/>
          <w:szCs w:val="26"/>
        </w:rPr>
        <w:t xml:space="preserve">been </w:t>
      </w:r>
      <w:r w:rsidRPr="00F85C72">
        <w:rPr>
          <w:sz w:val="26"/>
          <w:szCs w:val="26"/>
        </w:rPr>
        <w:t xml:space="preserve">satisfied.  The Complainant would be required to provide additional evidence to rebut </w:t>
      </w:r>
      <w:r>
        <w:rPr>
          <w:sz w:val="26"/>
          <w:szCs w:val="26"/>
        </w:rPr>
        <w:t>P</w:t>
      </w:r>
      <w:r w:rsidR="00AF592F">
        <w:rPr>
          <w:sz w:val="26"/>
          <w:szCs w:val="26"/>
        </w:rPr>
        <w:t>ECO</w:t>
      </w:r>
      <w:r>
        <w:rPr>
          <w:sz w:val="26"/>
          <w:szCs w:val="26"/>
        </w:rPr>
        <w:t xml:space="preserve">’s </w:t>
      </w:r>
      <w:r w:rsidRPr="00F85C72">
        <w:rPr>
          <w:sz w:val="26"/>
          <w:szCs w:val="26"/>
        </w:rPr>
        <w:t>evidence</w:t>
      </w:r>
      <w:r>
        <w:rPr>
          <w:sz w:val="26"/>
          <w:szCs w:val="26"/>
        </w:rPr>
        <w:t>.</w:t>
      </w:r>
      <w:r w:rsidRPr="00F85C72">
        <w:rPr>
          <w:sz w:val="26"/>
          <w:szCs w:val="26"/>
        </w:rPr>
        <w:t xml:space="preserve">  </w:t>
      </w:r>
      <w:r w:rsidRPr="00F85C72">
        <w:rPr>
          <w:i/>
          <w:iCs/>
          <w:sz w:val="26"/>
          <w:szCs w:val="26"/>
        </w:rPr>
        <w:t>Burleson v. Pa. P</w:t>
      </w:r>
      <w:r>
        <w:rPr>
          <w:i/>
          <w:iCs/>
          <w:sz w:val="26"/>
          <w:szCs w:val="26"/>
        </w:rPr>
        <w:t>UC</w:t>
      </w:r>
      <w:r w:rsidRPr="00F85C72">
        <w:rPr>
          <w:sz w:val="26"/>
          <w:szCs w:val="26"/>
        </w:rPr>
        <w:t xml:space="preserve">, 443 A.2d 1373 (Pa. Cmwlth. 1982), </w:t>
      </w:r>
      <w:r w:rsidRPr="00F85C72">
        <w:rPr>
          <w:i/>
          <w:iCs/>
          <w:sz w:val="26"/>
          <w:szCs w:val="26"/>
        </w:rPr>
        <w:t>aff’d</w:t>
      </w:r>
      <w:r w:rsidRPr="00F85C72">
        <w:rPr>
          <w:sz w:val="26"/>
          <w:szCs w:val="26"/>
        </w:rPr>
        <w:t>, 501 Pa. 433, 461 A.2d 1234 (1983).</w:t>
      </w:r>
    </w:p>
    <w:p w14:paraId="39057B62" w14:textId="77777777" w:rsidR="00D91054" w:rsidRPr="00F85C72" w:rsidRDefault="00D91054" w:rsidP="00D91054">
      <w:pPr>
        <w:spacing w:line="360" w:lineRule="auto"/>
        <w:ind w:firstLine="1440"/>
        <w:rPr>
          <w:sz w:val="26"/>
          <w:szCs w:val="26"/>
        </w:rPr>
      </w:pPr>
    </w:p>
    <w:p w14:paraId="225B2290" w14:textId="77777777" w:rsidR="00D91054" w:rsidRPr="00F85C72" w:rsidRDefault="00D91054" w:rsidP="00D91054">
      <w:pPr>
        <w:spacing w:line="360" w:lineRule="auto"/>
        <w:ind w:firstLine="1440"/>
        <w:rPr>
          <w:sz w:val="26"/>
          <w:szCs w:val="26"/>
        </w:rPr>
      </w:pPr>
      <w:r w:rsidRPr="00F85C72">
        <w:rPr>
          <w:sz w:val="26"/>
          <w:szCs w:val="26"/>
        </w:rPr>
        <w:t xml:space="preserve">While the </w:t>
      </w:r>
      <w:r w:rsidRPr="00F85C72">
        <w:rPr>
          <w:bCs/>
          <w:sz w:val="26"/>
          <w:szCs w:val="26"/>
        </w:rPr>
        <w:t>burden of persuasion</w:t>
      </w:r>
      <w:r w:rsidRPr="00F85C72">
        <w:rPr>
          <w:sz w:val="26"/>
          <w:szCs w:val="26"/>
        </w:rPr>
        <w:t xml:space="preserve"> may shift back and forth during a proceeding, the burden of proof never shifts.  The burden of proof always remains on the party seeking affirmative relief from the Commission.  </w:t>
      </w:r>
      <w:r w:rsidRPr="00F85C72">
        <w:rPr>
          <w:i/>
          <w:iCs/>
          <w:sz w:val="26"/>
          <w:szCs w:val="26"/>
        </w:rPr>
        <w:t>Milkie v. Pa. P</w:t>
      </w:r>
      <w:r>
        <w:rPr>
          <w:i/>
          <w:iCs/>
          <w:sz w:val="26"/>
          <w:szCs w:val="26"/>
        </w:rPr>
        <w:t>UC</w:t>
      </w:r>
      <w:r w:rsidRPr="00F85C72">
        <w:rPr>
          <w:sz w:val="26"/>
          <w:szCs w:val="26"/>
        </w:rPr>
        <w:t>, 768 A.2d 1217 (Pa. Cmwlth. 2001).</w:t>
      </w:r>
    </w:p>
    <w:p w14:paraId="1D49BE7D" w14:textId="66976255" w:rsidR="00D91054" w:rsidRDefault="00D91054" w:rsidP="00D91054">
      <w:pPr>
        <w:spacing w:line="360" w:lineRule="auto"/>
        <w:ind w:firstLine="1440"/>
        <w:rPr>
          <w:sz w:val="26"/>
          <w:szCs w:val="26"/>
        </w:rPr>
      </w:pPr>
    </w:p>
    <w:p w14:paraId="32A23E54" w14:textId="77777777" w:rsidR="00C826BB" w:rsidRPr="00F85C72" w:rsidRDefault="00C826BB" w:rsidP="00C826BB">
      <w:pPr>
        <w:keepNext/>
        <w:rPr>
          <w:b/>
          <w:sz w:val="26"/>
          <w:szCs w:val="26"/>
        </w:rPr>
      </w:pPr>
      <w:r w:rsidRPr="00F85C72">
        <w:rPr>
          <w:b/>
          <w:sz w:val="26"/>
          <w:szCs w:val="26"/>
        </w:rPr>
        <w:t>B.</w:t>
      </w:r>
      <w:r w:rsidRPr="00F85C72">
        <w:rPr>
          <w:b/>
          <w:sz w:val="26"/>
          <w:szCs w:val="26"/>
        </w:rPr>
        <w:tab/>
        <w:t xml:space="preserve">ALJ’s Initial Decision </w:t>
      </w:r>
    </w:p>
    <w:p w14:paraId="2F0D27EF" w14:textId="77777777" w:rsidR="00A40BE5" w:rsidRDefault="00A40BE5" w:rsidP="00C826BB">
      <w:pPr>
        <w:spacing w:line="360" w:lineRule="auto"/>
        <w:ind w:firstLine="1440"/>
        <w:rPr>
          <w:sz w:val="26"/>
          <w:szCs w:val="26"/>
        </w:rPr>
      </w:pPr>
    </w:p>
    <w:p w14:paraId="05013428" w14:textId="3BA72F8B" w:rsidR="00C826BB" w:rsidRDefault="00C826BB" w:rsidP="00C826BB">
      <w:pPr>
        <w:spacing w:line="360" w:lineRule="auto"/>
        <w:ind w:firstLine="1440"/>
        <w:rPr>
          <w:sz w:val="26"/>
          <w:szCs w:val="26"/>
        </w:rPr>
      </w:pPr>
      <w:r w:rsidRPr="00F85C72">
        <w:rPr>
          <w:sz w:val="26"/>
          <w:szCs w:val="26"/>
        </w:rPr>
        <w:t xml:space="preserve">In this proceeding, the ALJ made </w:t>
      </w:r>
      <w:r>
        <w:rPr>
          <w:sz w:val="26"/>
          <w:szCs w:val="26"/>
        </w:rPr>
        <w:t xml:space="preserve">thirty-eight </w:t>
      </w:r>
      <w:r w:rsidRPr="00F85C72">
        <w:rPr>
          <w:sz w:val="26"/>
          <w:szCs w:val="26"/>
        </w:rPr>
        <w:t xml:space="preserve">Findings of Fact and reached </w:t>
      </w:r>
      <w:r>
        <w:rPr>
          <w:sz w:val="26"/>
          <w:szCs w:val="26"/>
        </w:rPr>
        <w:t>nine</w:t>
      </w:r>
      <w:r w:rsidRPr="00F85C72">
        <w:rPr>
          <w:sz w:val="26"/>
          <w:szCs w:val="26"/>
        </w:rPr>
        <w:t xml:space="preserve"> Conclusions of Law.  I.D. at </w:t>
      </w:r>
      <w:r>
        <w:rPr>
          <w:sz w:val="26"/>
          <w:szCs w:val="26"/>
        </w:rPr>
        <w:t>3-7</w:t>
      </w:r>
      <w:r w:rsidRPr="00F85C72">
        <w:rPr>
          <w:sz w:val="26"/>
          <w:szCs w:val="26"/>
        </w:rPr>
        <w:t xml:space="preserve">, </w:t>
      </w:r>
      <w:r>
        <w:rPr>
          <w:sz w:val="26"/>
          <w:szCs w:val="26"/>
        </w:rPr>
        <w:t>15-16</w:t>
      </w:r>
      <w:r w:rsidRPr="00F85C72">
        <w:rPr>
          <w:sz w:val="26"/>
          <w:szCs w:val="26"/>
        </w:rPr>
        <w:t>.  The Findings of Fact and Conclusions of Law are incorporated herein by reference and are adopted without comment unless they are either expressly or by necessary implication rejected or modified by this Opinion and Order.</w:t>
      </w:r>
    </w:p>
    <w:p w14:paraId="1E024D92" w14:textId="60A9E852" w:rsidR="006B77BF" w:rsidRDefault="00321532" w:rsidP="00C826BB">
      <w:pPr>
        <w:pStyle w:val="BodyText"/>
        <w:rPr>
          <w:rFonts w:eastAsia="Batang"/>
          <w:szCs w:val="26"/>
        </w:rPr>
      </w:pPr>
      <w:r>
        <w:rPr>
          <w:rFonts w:eastAsia="Batang"/>
          <w:szCs w:val="26"/>
        </w:rPr>
        <w:lastRenderedPageBreak/>
        <w:t xml:space="preserve">The </w:t>
      </w:r>
      <w:r w:rsidR="00C826BB" w:rsidRPr="0014129F">
        <w:rPr>
          <w:rFonts w:eastAsia="Batang"/>
          <w:szCs w:val="26"/>
        </w:rPr>
        <w:t xml:space="preserve">ALJ </w:t>
      </w:r>
      <w:r w:rsidR="00C826BB">
        <w:rPr>
          <w:rFonts w:eastAsia="Batang"/>
          <w:szCs w:val="26"/>
        </w:rPr>
        <w:t xml:space="preserve">determined that the Complaint should be dismissed because she did not find that the Complainant met her burden of proof in establishing that </w:t>
      </w:r>
      <w:r w:rsidR="00A1206B">
        <w:rPr>
          <w:rFonts w:eastAsia="Batang"/>
          <w:szCs w:val="26"/>
        </w:rPr>
        <w:t xml:space="preserve">there were incorrect charges on her PECO electric bills.  </w:t>
      </w:r>
      <w:r w:rsidR="00376CA1">
        <w:rPr>
          <w:rFonts w:eastAsia="Batang"/>
          <w:szCs w:val="26"/>
        </w:rPr>
        <w:t xml:space="preserve">Specifically, </w:t>
      </w:r>
      <w:r>
        <w:rPr>
          <w:rFonts w:eastAsia="Batang"/>
          <w:szCs w:val="26"/>
        </w:rPr>
        <w:t xml:space="preserve">the </w:t>
      </w:r>
      <w:r w:rsidR="00376CA1">
        <w:rPr>
          <w:rFonts w:eastAsia="Batang"/>
          <w:szCs w:val="26"/>
        </w:rPr>
        <w:t xml:space="preserve">ALJ found that the Complainant failed to provide any persuasive evidence that PECO ever offered the Complainant a $7,500 credit or even a reason for PECO to have made such an offer to the Complainant.  </w:t>
      </w:r>
      <w:r w:rsidR="00C826BB">
        <w:rPr>
          <w:rFonts w:eastAsia="Batang"/>
          <w:szCs w:val="26"/>
        </w:rPr>
        <w:t xml:space="preserve">I.D. at </w:t>
      </w:r>
      <w:r w:rsidR="00FD721F">
        <w:rPr>
          <w:rFonts w:eastAsia="Batang"/>
          <w:szCs w:val="26"/>
        </w:rPr>
        <w:t>12</w:t>
      </w:r>
      <w:r w:rsidR="00C826BB">
        <w:rPr>
          <w:rFonts w:eastAsia="Batang"/>
          <w:szCs w:val="26"/>
        </w:rPr>
        <w:t>.</w:t>
      </w:r>
      <w:r w:rsidR="00FD721F">
        <w:rPr>
          <w:rFonts w:eastAsia="Batang"/>
          <w:szCs w:val="26"/>
        </w:rPr>
        <w:t xml:space="preserve">  Rather, </w:t>
      </w:r>
      <w:r>
        <w:rPr>
          <w:rFonts w:eastAsia="Batang"/>
          <w:szCs w:val="26"/>
        </w:rPr>
        <w:t xml:space="preserve">the </w:t>
      </w:r>
      <w:r w:rsidR="00FD721F">
        <w:rPr>
          <w:rFonts w:eastAsia="Batang"/>
          <w:szCs w:val="26"/>
        </w:rPr>
        <w:t xml:space="preserve">ALJ concluded that the two credit transactions in Ms. Fluellen’s Account Statement dated August 15, 2019, in the amounts of $3,476.28 described as “Payment Arrangement (new)” and of $1,563.20 described as “Miscellaneous” were similar to transactions </w:t>
      </w:r>
      <w:r w:rsidR="005F66BE">
        <w:rPr>
          <w:rFonts w:eastAsia="Batang"/>
          <w:szCs w:val="26"/>
        </w:rPr>
        <w:t xml:space="preserve">appearing in her Account History in association with new payment arrangements processed in her account with PECO in the amounts of </w:t>
      </w:r>
      <w:r w:rsidR="00FD721F">
        <w:rPr>
          <w:rFonts w:eastAsia="Batang"/>
          <w:szCs w:val="26"/>
        </w:rPr>
        <w:t xml:space="preserve">$3,576.40 </w:t>
      </w:r>
      <w:r w:rsidR="005F66BE">
        <w:rPr>
          <w:rFonts w:eastAsia="Batang"/>
          <w:szCs w:val="26"/>
        </w:rPr>
        <w:t xml:space="preserve">and $3,848.24 </w:t>
      </w:r>
      <w:r w:rsidR="00FD721F">
        <w:rPr>
          <w:rFonts w:eastAsia="Batang"/>
          <w:szCs w:val="26"/>
        </w:rPr>
        <w:t xml:space="preserve">on </w:t>
      </w:r>
      <w:r w:rsidR="005F66BE">
        <w:rPr>
          <w:rFonts w:eastAsia="Batang"/>
          <w:szCs w:val="26"/>
        </w:rPr>
        <w:t>February 26, 2020, and M</w:t>
      </w:r>
      <w:r w:rsidR="00FD721F">
        <w:rPr>
          <w:rFonts w:eastAsia="Batang"/>
          <w:szCs w:val="26"/>
        </w:rPr>
        <w:t xml:space="preserve">ay 14, 2020, </w:t>
      </w:r>
      <w:r w:rsidR="005F66BE">
        <w:rPr>
          <w:rFonts w:eastAsia="Batang"/>
          <w:szCs w:val="26"/>
        </w:rPr>
        <w:t xml:space="preserve">respectively.  </w:t>
      </w:r>
      <w:r w:rsidR="005F66BE">
        <w:rPr>
          <w:rFonts w:eastAsia="Batang"/>
          <w:i/>
          <w:iCs/>
          <w:szCs w:val="26"/>
        </w:rPr>
        <w:t>Id</w:t>
      </w:r>
      <w:r w:rsidR="005F66BE">
        <w:rPr>
          <w:rFonts w:eastAsia="Batang"/>
          <w:szCs w:val="26"/>
        </w:rPr>
        <w:t xml:space="preserve">. at 12-13.  In so finding, </w:t>
      </w:r>
      <w:r>
        <w:rPr>
          <w:rFonts w:eastAsia="Batang"/>
          <w:szCs w:val="26"/>
        </w:rPr>
        <w:t xml:space="preserve">the </w:t>
      </w:r>
      <w:r w:rsidR="005F66BE">
        <w:rPr>
          <w:rFonts w:eastAsia="Batang"/>
          <w:szCs w:val="26"/>
        </w:rPr>
        <w:t xml:space="preserve">ALJ stated that the existence of these transactions was consistent with the testimony of PECO’s Ms. Tarpley that the sums represent “internal cancellation of charges to put the new </w:t>
      </w:r>
      <w:r w:rsidR="00893A71">
        <w:rPr>
          <w:rFonts w:eastAsia="Batang"/>
          <w:szCs w:val="26"/>
        </w:rPr>
        <w:t xml:space="preserve">[payment arrangement] </w:t>
      </w:r>
      <w:r w:rsidR="005F66BE">
        <w:rPr>
          <w:rFonts w:eastAsia="Batang"/>
          <w:szCs w:val="26"/>
        </w:rPr>
        <w:t>agreement in effect</w:t>
      </w:r>
      <w:r w:rsidR="00893A71">
        <w:rPr>
          <w:rFonts w:eastAsia="Batang"/>
          <w:szCs w:val="26"/>
        </w:rPr>
        <w:t xml:space="preserve">” and are neither payments nor credits that appear in Ms. Fluellen’s </w:t>
      </w:r>
      <w:r w:rsidR="006B77BF">
        <w:rPr>
          <w:rFonts w:eastAsia="Batang"/>
          <w:szCs w:val="26"/>
        </w:rPr>
        <w:t xml:space="preserve">actual </w:t>
      </w:r>
      <w:r w:rsidR="00893A71">
        <w:rPr>
          <w:rFonts w:eastAsia="Batang"/>
          <w:szCs w:val="26"/>
        </w:rPr>
        <w:t xml:space="preserve">electric bills.  </w:t>
      </w:r>
      <w:r w:rsidR="00893A71">
        <w:rPr>
          <w:rFonts w:eastAsia="Batang"/>
          <w:i/>
          <w:iCs/>
          <w:szCs w:val="26"/>
        </w:rPr>
        <w:t>Id.</w:t>
      </w:r>
      <w:r w:rsidR="00893A71">
        <w:rPr>
          <w:rFonts w:eastAsia="Batang"/>
          <w:szCs w:val="26"/>
        </w:rPr>
        <w:t xml:space="preserve"> at 13.  </w:t>
      </w:r>
      <w:r w:rsidR="005F66BE">
        <w:rPr>
          <w:rFonts w:eastAsia="Batang"/>
          <w:szCs w:val="26"/>
        </w:rPr>
        <w:t xml:space="preserve"> </w:t>
      </w:r>
    </w:p>
    <w:p w14:paraId="50CB160B" w14:textId="77777777" w:rsidR="006B77BF" w:rsidRDefault="006B77BF" w:rsidP="00C826BB">
      <w:pPr>
        <w:pStyle w:val="BodyText"/>
        <w:rPr>
          <w:rFonts w:eastAsia="Batang"/>
          <w:szCs w:val="26"/>
        </w:rPr>
      </w:pPr>
    </w:p>
    <w:p w14:paraId="35347792" w14:textId="1339960D" w:rsidR="00DB6B62" w:rsidRDefault="006B77BF" w:rsidP="006B77BF">
      <w:pPr>
        <w:pStyle w:val="BodyText"/>
        <w:rPr>
          <w:rFonts w:eastAsia="Batang"/>
          <w:szCs w:val="26"/>
        </w:rPr>
      </w:pPr>
      <w:r>
        <w:rPr>
          <w:rFonts w:eastAsia="Batang"/>
          <w:szCs w:val="26"/>
        </w:rPr>
        <w:t xml:space="preserve">Further, </w:t>
      </w:r>
      <w:r w:rsidR="00321532">
        <w:rPr>
          <w:rFonts w:eastAsia="Batang"/>
          <w:szCs w:val="26"/>
        </w:rPr>
        <w:t xml:space="preserve">the </w:t>
      </w:r>
      <w:r>
        <w:rPr>
          <w:rFonts w:eastAsia="Batang"/>
          <w:szCs w:val="26"/>
        </w:rPr>
        <w:t xml:space="preserve">ALJ found that the Complainant failed to carry her burden of proving that PECO improperly enrolled her with an EGS without her consent in retaliation for filing an informal complaint with the Commission.  </w:t>
      </w:r>
      <w:r w:rsidR="00321532">
        <w:rPr>
          <w:rFonts w:eastAsia="Batang"/>
          <w:szCs w:val="26"/>
        </w:rPr>
        <w:t xml:space="preserve">The </w:t>
      </w:r>
      <w:r w:rsidR="002B2006">
        <w:rPr>
          <w:rFonts w:eastAsia="Batang"/>
          <w:szCs w:val="26"/>
        </w:rPr>
        <w:t xml:space="preserve">ALJ concluded that Ms. Fluellen did not “present a scintilla of evidence that it was PECO who enrolled her with Alpha Gas and Electric” as her new EGS.  I.D. 13.  Instead, </w:t>
      </w:r>
      <w:r w:rsidR="00DB6B62">
        <w:rPr>
          <w:rFonts w:eastAsia="Batang"/>
          <w:szCs w:val="26"/>
        </w:rPr>
        <w:t>the Complainant relied solely on the coincidence of the PECO notification letter</w:t>
      </w:r>
      <w:r w:rsidR="002B2006">
        <w:rPr>
          <w:rFonts w:eastAsia="Batang"/>
          <w:szCs w:val="26"/>
        </w:rPr>
        <w:t xml:space="preserve"> </w:t>
      </w:r>
      <w:r w:rsidR="00DB6B62">
        <w:rPr>
          <w:rFonts w:eastAsia="Batang"/>
          <w:szCs w:val="26"/>
        </w:rPr>
        <w:t xml:space="preserve">of August 22, 2019, advising Ms. Fluellen of the EGS switch that was sent just a few days after Ms. Fluellen visited PECO’s offices to complain about PECO representative Kelli Jefferson.  </w:t>
      </w:r>
      <w:r w:rsidR="00DB6B62">
        <w:rPr>
          <w:rFonts w:eastAsia="Batang"/>
          <w:i/>
          <w:iCs/>
          <w:szCs w:val="26"/>
        </w:rPr>
        <w:t xml:space="preserve">Id. </w:t>
      </w:r>
      <w:r w:rsidR="00DB6B62">
        <w:rPr>
          <w:rFonts w:eastAsia="Batang"/>
          <w:szCs w:val="26"/>
        </w:rPr>
        <w:t xml:space="preserve"> </w:t>
      </w:r>
    </w:p>
    <w:p w14:paraId="65C5B4D4" w14:textId="77777777" w:rsidR="00DB6B62" w:rsidRDefault="00DB6B62" w:rsidP="006B77BF">
      <w:pPr>
        <w:pStyle w:val="BodyText"/>
        <w:rPr>
          <w:rFonts w:eastAsia="Batang"/>
          <w:szCs w:val="26"/>
        </w:rPr>
      </w:pPr>
    </w:p>
    <w:p w14:paraId="0CE67DA4" w14:textId="67144AF0" w:rsidR="004933B6" w:rsidRDefault="00321532" w:rsidP="006B77BF">
      <w:pPr>
        <w:pStyle w:val="BodyText"/>
        <w:rPr>
          <w:rFonts w:eastAsia="Batang"/>
          <w:szCs w:val="26"/>
        </w:rPr>
      </w:pPr>
      <w:r>
        <w:rPr>
          <w:rFonts w:eastAsia="Batang"/>
          <w:szCs w:val="26"/>
        </w:rPr>
        <w:t xml:space="preserve">The </w:t>
      </w:r>
      <w:r w:rsidR="004933B6">
        <w:rPr>
          <w:rFonts w:eastAsia="Batang"/>
          <w:szCs w:val="26"/>
        </w:rPr>
        <w:t xml:space="preserve">ALJ also found that </w:t>
      </w:r>
      <w:r w:rsidR="00DB6B62">
        <w:rPr>
          <w:rFonts w:eastAsia="Batang"/>
          <w:szCs w:val="26"/>
        </w:rPr>
        <w:t xml:space="preserve">PECO, on the other hand, produced </w:t>
      </w:r>
      <w:r w:rsidR="00A123ED">
        <w:rPr>
          <w:rFonts w:eastAsia="Batang"/>
          <w:szCs w:val="26"/>
        </w:rPr>
        <w:t>credible evidence that it had both properly notified Ms. Fluellen of the change in her EGS and promptly returned her back to PECO</w:t>
      </w:r>
      <w:r w:rsidR="00FD721F">
        <w:rPr>
          <w:rFonts w:eastAsia="Batang"/>
          <w:szCs w:val="26"/>
        </w:rPr>
        <w:t xml:space="preserve"> </w:t>
      </w:r>
      <w:r w:rsidR="00A123ED">
        <w:rPr>
          <w:rFonts w:eastAsia="Batang"/>
          <w:szCs w:val="26"/>
        </w:rPr>
        <w:t xml:space="preserve">once she advised PECO that she had not requested </w:t>
      </w:r>
      <w:r w:rsidR="00A123ED">
        <w:rPr>
          <w:rFonts w:eastAsia="Batang"/>
          <w:szCs w:val="26"/>
        </w:rPr>
        <w:lastRenderedPageBreak/>
        <w:t xml:space="preserve">the change.  </w:t>
      </w:r>
      <w:r w:rsidR="00A123ED">
        <w:rPr>
          <w:rFonts w:eastAsia="Batang"/>
          <w:i/>
          <w:iCs/>
          <w:szCs w:val="26"/>
        </w:rPr>
        <w:t>Id.</w:t>
      </w:r>
      <w:r w:rsidR="00A123ED">
        <w:rPr>
          <w:rFonts w:eastAsia="Batang"/>
          <w:szCs w:val="26"/>
        </w:rPr>
        <w:t xml:space="preserve">  These actions are consistent with both the requirements under the Electricity Generation Customer Choice and Competition Act at 66 Pa. C.S. </w:t>
      </w:r>
      <w:r w:rsidR="00A123ED" w:rsidRPr="004933B6">
        <w:rPr>
          <w:spacing w:val="-2"/>
          <w:szCs w:val="26"/>
        </w:rPr>
        <w:t>§§ 2801</w:t>
      </w:r>
      <w:r w:rsidR="00D27B2F">
        <w:rPr>
          <w:spacing w:val="-2"/>
          <w:szCs w:val="26"/>
        </w:rPr>
        <w:t>-12</w:t>
      </w:r>
      <w:r w:rsidR="00A123ED" w:rsidRPr="004933B6">
        <w:rPr>
          <w:i/>
          <w:iCs/>
          <w:spacing w:val="-2"/>
          <w:szCs w:val="26"/>
        </w:rPr>
        <w:t xml:space="preserve"> </w:t>
      </w:r>
      <w:r w:rsidR="00A123ED" w:rsidRPr="004933B6">
        <w:rPr>
          <w:spacing w:val="-2"/>
          <w:szCs w:val="26"/>
        </w:rPr>
        <w:t>and the Commission’s Regulations at 52 Pa. Code §§ 57.172 and 57.173</w:t>
      </w:r>
      <w:r w:rsidR="004933B6">
        <w:rPr>
          <w:spacing w:val="-2"/>
          <w:szCs w:val="26"/>
        </w:rPr>
        <w:t>, and not those of someone trying to retaliate for filing a complaint.</w:t>
      </w:r>
      <w:r w:rsidR="0023562F">
        <w:rPr>
          <w:rFonts w:eastAsia="Batang"/>
          <w:szCs w:val="26"/>
        </w:rPr>
        <w:t xml:space="preserve">  </w:t>
      </w:r>
      <w:r w:rsidR="0023562F">
        <w:rPr>
          <w:rFonts w:eastAsia="Batang"/>
          <w:i/>
          <w:iCs/>
          <w:szCs w:val="26"/>
        </w:rPr>
        <w:t>Id.</w:t>
      </w:r>
      <w:r w:rsidR="0023562F">
        <w:rPr>
          <w:rFonts w:eastAsia="Batang"/>
          <w:szCs w:val="26"/>
        </w:rPr>
        <w:t xml:space="preserve">  </w:t>
      </w:r>
    </w:p>
    <w:p w14:paraId="0E705A3E" w14:textId="77777777" w:rsidR="004933B6" w:rsidRDefault="004933B6" w:rsidP="006B77BF">
      <w:pPr>
        <w:pStyle w:val="BodyText"/>
        <w:rPr>
          <w:rFonts w:eastAsia="Batang"/>
          <w:szCs w:val="26"/>
        </w:rPr>
      </w:pPr>
    </w:p>
    <w:p w14:paraId="62FA9879" w14:textId="64DEF46A" w:rsidR="00CD0D7E" w:rsidRDefault="004933B6" w:rsidP="006B77BF">
      <w:pPr>
        <w:pStyle w:val="BodyText"/>
        <w:rPr>
          <w:rFonts w:eastAsia="Batang"/>
          <w:szCs w:val="26"/>
        </w:rPr>
      </w:pPr>
      <w:r>
        <w:rPr>
          <w:rFonts w:eastAsia="Batang"/>
          <w:szCs w:val="26"/>
        </w:rPr>
        <w:t xml:space="preserve">In addition, </w:t>
      </w:r>
      <w:r w:rsidR="00321532">
        <w:rPr>
          <w:rFonts w:eastAsia="Batang"/>
          <w:szCs w:val="26"/>
        </w:rPr>
        <w:t xml:space="preserve">the </w:t>
      </w:r>
      <w:r>
        <w:rPr>
          <w:rFonts w:eastAsia="Batang"/>
          <w:szCs w:val="26"/>
        </w:rPr>
        <w:t xml:space="preserve">ALJ </w:t>
      </w:r>
      <w:r w:rsidR="00D27B2F">
        <w:rPr>
          <w:rFonts w:eastAsia="Batang"/>
          <w:szCs w:val="26"/>
        </w:rPr>
        <w:t>determined</w:t>
      </w:r>
      <w:r>
        <w:rPr>
          <w:rFonts w:eastAsia="Batang"/>
          <w:szCs w:val="26"/>
        </w:rPr>
        <w:t xml:space="preserve"> that Ms. Fluellen failed to carry her burden of proving that PECO was remiss in its duty to provide Ms. Fluellen with reasonable, safe, and adequate service pursuant to 66 Pa. C.S. </w:t>
      </w:r>
      <w:r w:rsidRPr="004933B6">
        <w:rPr>
          <w:spacing w:val="-2"/>
          <w:szCs w:val="26"/>
        </w:rPr>
        <w:t>§</w:t>
      </w:r>
      <w:r>
        <w:rPr>
          <w:spacing w:val="-2"/>
          <w:szCs w:val="26"/>
        </w:rPr>
        <w:t xml:space="preserve"> 1501,</w:t>
      </w:r>
      <w:r>
        <w:rPr>
          <w:rFonts w:eastAsia="Batang"/>
          <w:szCs w:val="26"/>
        </w:rPr>
        <w:t xml:space="preserve"> as the claim relates to Ms. Fluellen’s dealings with Ms. Jefferson.  </w:t>
      </w:r>
      <w:r w:rsidR="00D27B2F">
        <w:rPr>
          <w:rFonts w:eastAsia="Batang"/>
          <w:szCs w:val="26"/>
        </w:rPr>
        <w:t xml:space="preserve">This conclusion was based on a finding that the testimony provided by Ms. Fluellen in support of her claim that the communications of Ms. Jefferson in August 2019 amounted to harassment was successfully rebutted by PECO’s evidence showing that Ms. Jefferson’s communications were both professional and within the scope of the informal complaint filed with BCS and that they also occurred within PECO’s business hours.  </w:t>
      </w:r>
      <w:r w:rsidR="00D27B2F">
        <w:rPr>
          <w:rFonts w:eastAsia="Batang"/>
          <w:i/>
          <w:iCs/>
          <w:szCs w:val="26"/>
        </w:rPr>
        <w:t>Id.</w:t>
      </w:r>
      <w:r w:rsidR="00D27B2F">
        <w:rPr>
          <w:rFonts w:eastAsia="Batang"/>
          <w:szCs w:val="26"/>
        </w:rPr>
        <w:t xml:space="preserve"> at 14. </w:t>
      </w:r>
      <w:r w:rsidR="00FD721F" w:rsidRPr="004933B6">
        <w:rPr>
          <w:rFonts w:eastAsia="Batang"/>
          <w:szCs w:val="26"/>
        </w:rPr>
        <w:t xml:space="preserve"> </w:t>
      </w:r>
    </w:p>
    <w:p w14:paraId="31C17299" w14:textId="77777777" w:rsidR="00CD0D7E" w:rsidRDefault="00CD0D7E" w:rsidP="006B77BF">
      <w:pPr>
        <w:pStyle w:val="BodyText"/>
        <w:rPr>
          <w:rFonts w:eastAsia="Batang"/>
          <w:szCs w:val="26"/>
        </w:rPr>
      </w:pPr>
    </w:p>
    <w:p w14:paraId="686F7BEA" w14:textId="31CB8C93" w:rsidR="00CD0D7E" w:rsidRDefault="00CD0D7E" w:rsidP="0057584B">
      <w:pPr>
        <w:pStyle w:val="BodyText"/>
        <w:rPr>
          <w:rFonts w:eastAsia="Batang"/>
          <w:szCs w:val="26"/>
        </w:rPr>
      </w:pPr>
      <w:r>
        <w:rPr>
          <w:rFonts w:eastAsia="Batang"/>
          <w:szCs w:val="26"/>
        </w:rPr>
        <w:t xml:space="preserve">Finally, </w:t>
      </w:r>
      <w:r w:rsidR="00321532">
        <w:rPr>
          <w:rFonts w:eastAsia="Batang"/>
          <w:szCs w:val="26"/>
        </w:rPr>
        <w:t xml:space="preserve">the </w:t>
      </w:r>
      <w:r>
        <w:rPr>
          <w:rFonts w:eastAsia="Batang"/>
          <w:szCs w:val="26"/>
        </w:rPr>
        <w:t>ALJ addressed the Complainant’s request for the removal of all unauthorized payment agreements from her Account History with PECO.  The testimony at the hearing confirm</w:t>
      </w:r>
      <w:r w:rsidR="002B4A16">
        <w:rPr>
          <w:rFonts w:eastAsia="Batang"/>
          <w:szCs w:val="26"/>
        </w:rPr>
        <w:t>ed</w:t>
      </w:r>
      <w:r>
        <w:rPr>
          <w:rFonts w:eastAsia="Batang"/>
          <w:szCs w:val="26"/>
        </w:rPr>
        <w:t xml:space="preserve"> that Ms. Fluellen did decline Ms. Jefferson’s offer of an amended payment arrangement on August 14, 2019, and PECO’s offered evidence confirmed this statement.  However, </w:t>
      </w:r>
      <w:r w:rsidR="0057584B">
        <w:rPr>
          <w:rFonts w:eastAsia="Batang"/>
          <w:szCs w:val="26"/>
        </w:rPr>
        <w:t>because</w:t>
      </w:r>
      <w:r>
        <w:rPr>
          <w:rFonts w:eastAsia="Batang"/>
          <w:szCs w:val="26"/>
        </w:rPr>
        <w:t xml:space="preserve"> the Complainant had failed to show by a preponderance of the evidence that her outstanding balance of $1,738.14 on August</w:t>
      </w:r>
      <w:r w:rsidR="00974576">
        <w:rPr>
          <w:rFonts w:eastAsia="Batang"/>
          <w:szCs w:val="26"/>
        </w:rPr>
        <w:t> </w:t>
      </w:r>
      <w:r>
        <w:rPr>
          <w:rFonts w:eastAsia="Batang"/>
          <w:szCs w:val="26"/>
        </w:rPr>
        <w:t>15,</w:t>
      </w:r>
      <w:r w:rsidR="00974576">
        <w:rPr>
          <w:rFonts w:eastAsia="Batang"/>
          <w:szCs w:val="26"/>
        </w:rPr>
        <w:t> </w:t>
      </w:r>
      <w:r>
        <w:rPr>
          <w:rFonts w:eastAsia="Batang"/>
          <w:szCs w:val="26"/>
        </w:rPr>
        <w:t xml:space="preserve">2109, was incorrect, and because the installment amount of $42.40 per month remained unchanged from </w:t>
      </w:r>
      <w:r w:rsidR="0057584B">
        <w:rPr>
          <w:rFonts w:eastAsia="Batang"/>
          <w:szCs w:val="26"/>
        </w:rPr>
        <w:t>Ms. Fluellen’s pre</w:t>
      </w:r>
      <w:r>
        <w:rPr>
          <w:rFonts w:eastAsia="Batang"/>
          <w:szCs w:val="26"/>
        </w:rPr>
        <w:t>vious payment arrangement</w:t>
      </w:r>
      <w:r w:rsidR="0057584B">
        <w:rPr>
          <w:rFonts w:eastAsia="Batang"/>
          <w:szCs w:val="26"/>
        </w:rPr>
        <w:t xml:space="preserve">, </w:t>
      </w:r>
      <w:r w:rsidR="00321532">
        <w:rPr>
          <w:rFonts w:eastAsia="Batang"/>
          <w:szCs w:val="26"/>
        </w:rPr>
        <w:t xml:space="preserve">the </w:t>
      </w:r>
      <w:r w:rsidR="0057584B">
        <w:rPr>
          <w:rFonts w:eastAsia="Batang"/>
          <w:szCs w:val="26"/>
        </w:rPr>
        <w:t>ALJ concluded that the August 15, 2019</w:t>
      </w:r>
      <w:r w:rsidR="00C13E6A">
        <w:rPr>
          <w:rFonts w:eastAsia="Batang"/>
          <w:szCs w:val="26"/>
        </w:rPr>
        <w:t>,</w:t>
      </w:r>
      <w:r w:rsidR="0057584B">
        <w:rPr>
          <w:rFonts w:eastAsia="Batang"/>
          <w:szCs w:val="26"/>
        </w:rPr>
        <w:t xml:space="preserve"> renegotiated payment arrangement was actually beneficial to Ms. Fluellen and should not be removed from her Account History with PECO.</w:t>
      </w:r>
      <w:r w:rsidR="007E228B">
        <w:rPr>
          <w:rFonts w:eastAsia="Batang"/>
          <w:szCs w:val="26"/>
        </w:rPr>
        <w:t xml:space="preserve">  </w:t>
      </w:r>
      <w:r w:rsidR="007E228B">
        <w:rPr>
          <w:rFonts w:eastAsia="Batang"/>
          <w:i/>
          <w:iCs/>
          <w:szCs w:val="26"/>
        </w:rPr>
        <w:t>Id.</w:t>
      </w:r>
      <w:r w:rsidR="007E228B">
        <w:rPr>
          <w:rFonts w:eastAsia="Batang"/>
          <w:szCs w:val="26"/>
        </w:rPr>
        <w:t xml:space="preserve"> at 14-15.</w:t>
      </w:r>
    </w:p>
    <w:p w14:paraId="21194FC7" w14:textId="77777777" w:rsidR="00321532" w:rsidRDefault="00321532" w:rsidP="0057584B">
      <w:pPr>
        <w:pStyle w:val="BodyText"/>
        <w:rPr>
          <w:sz w:val="24"/>
          <w:szCs w:val="24"/>
        </w:rPr>
      </w:pPr>
    </w:p>
    <w:p w14:paraId="53C34E6C" w14:textId="77777777" w:rsidR="00321532" w:rsidRPr="00113750" w:rsidRDefault="00321532" w:rsidP="00321532">
      <w:pPr>
        <w:keepNext/>
        <w:spacing w:line="360" w:lineRule="auto"/>
        <w:rPr>
          <w:b/>
          <w:sz w:val="26"/>
          <w:szCs w:val="26"/>
        </w:rPr>
      </w:pPr>
      <w:r w:rsidRPr="00113750">
        <w:rPr>
          <w:b/>
          <w:sz w:val="26"/>
          <w:szCs w:val="26"/>
        </w:rPr>
        <w:lastRenderedPageBreak/>
        <w:t>C.</w:t>
      </w:r>
      <w:r w:rsidRPr="00113750">
        <w:rPr>
          <w:b/>
          <w:sz w:val="26"/>
          <w:szCs w:val="26"/>
        </w:rPr>
        <w:tab/>
        <w:t>Exceptions and Replies</w:t>
      </w:r>
    </w:p>
    <w:p w14:paraId="06A46658" w14:textId="77777777" w:rsidR="00321532" w:rsidRPr="00E22869" w:rsidRDefault="00321532" w:rsidP="0062794F">
      <w:pPr>
        <w:keepNext/>
        <w:spacing w:line="360" w:lineRule="auto"/>
        <w:rPr>
          <w:rFonts w:ascii="Times New (W1)" w:hAnsi="Times New (W1)"/>
          <w:szCs w:val="26"/>
        </w:rPr>
      </w:pPr>
    </w:p>
    <w:p w14:paraId="6BF70107" w14:textId="7E7907A8" w:rsidR="00321532" w:rsidRDefault="00321532" w:rsidP="00321532">
      <w:pPr>
        <w:pStyle w:val="BodyText"/>
        <w:rPr>
          <w:szCs w:val="26"/>
        </w:rPr>
      </w:pPr>
      <w:r w:rsidRPr="00773271">
        <w:rPr>
          <w:szCs w:val="26"/>
        </w:rPr>
        <w:t xml:space="preserve">In </w:t>
      </w:r>
      <w:r>
        <w:rPr>
          <w:szCs w:val="26"/>
        </w:rPr>
        <w:t>her Exceptions</w:t>
      </w:r>
      <w:r w:rsidRPr="00773271">
        <w:rPr>
          <w:szCs w:val="26"/>
        </w:rPr>
        <w:t xml:space="preserve">, </w:t>
      </w:r>
      <w:r>
        <w:rPr>
          <w:szCs w:val="26"/>
        </w:rPr>
        <w:t xml:space="preserve">the Complainant argues that </w:t>
      </w:r>
      <w:r w:rsidR="006704B6">
        <w:rPr>
          <w:szCs w:val="26"/>
        </w:rPr>
        <w:t xml:space="preserve">PECO was unable to give any reason for the credited amounts in her payment history and further argues that PECO’s own exhibit shows all payments to her account as credits.  </w:t>
      </w:r>
      <w:r w:rsidR="00A45066">
        <w:rPr>
          <w:szCs w:val="26"/>
        </w:rPr>
        <w:t xml:space="preserve">The Complainant again argues that she did have a settlement agreement with PECO that any offered funds would be credited to her account.  </w:t>
      </w:r>
      <w:r>
        <w:rPr>
          <w:szCs w:val="26"/>
        </w:rPr>
        <w:t xml:space="preserve">Exc. at 1.  </w:t>
      </w:r>
      <w:r w:rsidR="00A45066">
        <w:rPr>
          <w:szCs w:val="26"/>
        </w:rPr>
        <w:t xml:space="preserve">The Complainant reiterates that she visited PECO’s office on August 19, 2019, and </w:t>
      </w:r>
      <w:r w:rsidR="002B4A16">
        <w:rPr>
          <w:szCs w:val="26"/>
        </w:rPr>
        <w:t xml:space="preserve">she </w:t>
      </w:r>
      <w:r w:rsidR="00A45066">
        <w:rPr>
          <w:szCs w:val="26"/>
        </w:rPr>
        <w:t>then received notice three days later about her EGS switch.  T</w:t>
      </w:r>
      <w:r>
        <w:rPr>
          <w:szCs w:val="26"/>
        </w:rPr>
        <w:t xml:space="preserve">he Complainant states that </w:t>
      </w:r>
      <w:r w:rsidR="00A45066">
        <w:rPr>
          <w:szCs w:val="26"/>
        </w:rPr>
        <w:t xml:space="preserve">this transfer of service allowed PECO to remove credits from her account </w:t>
      </w:r>
      <w:r w:rsidR="002B4A16">
        <w:rPr>
          <w:szCs w:val="26"/>
        </w:rPr>
        <w:t xml:space="preserve">and </w:t>
      </w:r>
      <w:r w:rsidR="00A45066">
        <w:rPr>
          <w:szCs w:val="26"/>
        </w:rPr>
        <w:t xml:space="preserve">then reinstate them as a deferred payment agreement.  </w:t>
      </w:r>
      <w:r w:rsidR="00A45066">
        <w:rPr>
          <w:i/>
          <w:iCs/>
          <w:szCs w:val="26"/>
        </w:rPr>
        <w:t>Id.</w:t>
      </w:r>
      <w:r w:rsidR="00A45066">
        <w:rPr>
          <w:szCs w:val="26"/>
        </w:rPr>
        <w:t xml:space="preserve"> at 2.  The Complainant asserts, therefore, that she proved her retaliation claim by the documents presented at the hearing.  </w:t>
      </w:r>
      <w:r>
        <w:rPr>
          <w:i/>
          <w:iCs/>
          <w:szCs w:val="26"/>
        </w:rPr>
        <w:t>Id.</w:t>
      </w:r>
    </w:p>
    <w:p w14:paraId="78715EC5" w14:textId="304DACE5" w:rsidR="006704B6" w:rsidRDefault="006704B6" w:rsidP="00321532">
      <w:pPr>
        <w:pStyle w:val="BodyText"/>
        <w:rPr>
          <w:szCs w:val="26"/>
        </w:rPr>
      </w:pPr>
    </w:p>
    <w:p w14:paraId="60CD7D03" w14:textId="108BB461" w:rsidR="007B7692" w:rsidRDefault="00321532" w:rsidP="007B7692">
      <w:pPr>
        <w:spacing w:line="360" w:lineRule="auto"/>
        <w:ind w:firstLine="1440"/>
        <w:rPr>
          <w:sz w:val="26"/>
          <w:szCs w:val="26"/>
        </w:rPr>
      </w:pPr>
      <w:r w:rsidRPr="00ED6F2D">
        <w:rPr>
          <w:sz w:val="26"/>
          <w:szCs w:val="26"/>
        </w:rPr>
        <w:t>In its Repl</w:t>
      </w:r>
      <w:r>
        <w:rPr>
          <w:sz w:val="26"/>
          <w:szCs w:val="26"/>
        </w:rPr>
        <w:t>ies to</w:t>
      </w:r>
      <w:r w:rsidRPr="00ED6F2D">
        <w:rPr>
          <w:sz w:val="26"/>
          <w:szCs w:val="26"/>
        </w:rPr>
        <w:t xml:space="preserve"> Exceptions, P</w:t>
      </w:r>
      <w:r w:rsidR="00A45066">
        <w:rPr>
          <w:sz w:val="26"/>
          <w:szCs w:val="26"/>
        </w:rPr>
        <w:t>ECO</w:t>
      </w:r>
      <w:r w:rsidRPr="00ED6F2D">
        <w:rPr>
          <w:sz w:val="26"/>
          <w:szCs w:val="26"/>
        </w:rPr>
        <w:t xml:space="preserve"> avers that </w:t>
      </w:r>
      <w:r>
        <w:rPr>
          <w:sz w:val="26"/>
          <w:szCs w:val="26"/>
        </w:rPr>
        <w:t xml:space="preserve">the Complainant </w:t>
      </w:r>
      <w:r w:rsidRPr="00ED6F2D">
        <w:rPr>
          <w:sz w:val="26"/>
          <w:szCs w:val="26"/>
        </w:rPr>
        <w:t xml:space="preserve">failed to present any reliable evidence to </w:t>
      </w:r>
      <w:r>
        <w:rPr>
          <w:sz w:val="26"/>
          <w:szCs w:val="26"/>
        </w:rPr>
        <w:t xml:space="preserve">support a finding that she </w:t>
      </w:r>
      <w:r w:rsidR="009A5C94">
        <w:rPr>
          <w:sz w:val="26"/>
          <w:szCs w:val="26"/>
        </w:rPr>
        <w:t xml:space="preserve">had incorrect charges on her electric bill and is not entitled to an account credit.  </w:t>
      </w:r>
      <w:r>
        <w:rPr>
          <w:sz w:val="26"/>
          <w:szCs w:val="26"/>
        </w:rPr>
        <w:t xml:space="preserve">R. Exc. at </w:t>
      </w:r>
      <w:r w:rsidR="009A5C94">
        <w:rPr>
          <w:sz w:val="26"/>
          <w:szCs w:val="26"/>
        </w:rPr>
        <w:t>4</w:t>
      </w:r>
      <w:r>
        <w:rPr>
          <w:sz w:val="26"/>
          <w:szCs w:val="26"/>
        </w:rPr>
        <w:t>.  P</w:t>
      </w:r>
      <w:r w:rsidR="009A5C94">
        <w:rPr>
          <w:sz w:val="26"/>
          <w:szCs w:val="26"/>
        </w:rPr>
        <w:t>ECO</w:t>
      </w:r>
      <w:r>
        <w:rPr>
          <w:sz w:val="26"/>
          <w:szCs w:val="26"/>
        </w:rPr>
        <w:t xml:space="preserve"> states that the</w:t>
      </w:r>
      <w:r w:rsidR="009A5C94">
        <w:rPr>
          <w:sz w:val="26"/>
          <w:szCs w:val="26"/>
        </w:rPr>
        <w:t xml:space="preserve"> Complainant’s claim that she is owed an account credit of $7,500 because of a settlement with PECO is without merit.  PECO never entered into a settlement with the Complainant for any amount, and PECO asserts that even the Complainant does not dispute that at </w:t>
      </w:r>
      <w:r w:rsidR="00A43B9A">
        <w:rPr>
          <w:sz w:val="26"/>
          <w:szCs w:val="26"/>
        </w:rPr>
        <w:t>no</w:t>
      </w:r>
      <w:r w:rsidR="009A5C94">
        <w:rPr>
          <w:sz w:val="26"/>
          <w:szCs w:val="26"/>
        </w:rPr>
        <w:t xml:space="preserve"> time did she ever have an outstanding balance owed of $7,500 on her account.  </w:t>
      </w:r>
      <w:r w:rsidR="009A5C94">
        <w:rPr>
          <w:i/>
          <w:iCs/>
          <w:sz w:val="26"/>
          <w:szCs w:val="26"/>
        </w:rPr>
        <w:t>Id.</w:t>
      </w:r>
      <w:r w:rsidR="009A5C94">
        <w:rPr>
          <w:sz w:val="26"/>
          <w:szCs w:val="26"/>
        </w:rPr>
        <w:t xml:space="preserve">  As PECO summarizes in its Repl</w:t>
      </w:r>
      <w:r w:rsidR="00CB7D1F">
        <w:rPr>
          <w:sz w:val="26"/>
          <w:szCs w:val="26"/>
        </w:rPr>
        <w:t>ies to</w:t>
      </w:r>
      <w:r w:rsidR="009A5C94">
        <w:rPr>
          <w:sz w:val="26"/>
          <w:szCs w:val="26"/>
        </w:rPr>
        <w:t xml:space="preserve"> Exceptions, “PECO</w:t>
      </w:r>
      <w:r>
        <w:rPr>
          <w:sz w:val="26"/>
          <w:szCs w:val="26"/>
        </w:rPr>
        <w:t xml:space="preserve"> </w:t>
      </w:r>
      <w:r w:rsidR="009A5C94">
        <w:rPr>
          <w:sz w:val="26"/>
          <w:szCs w:val="26"/>
        </w:rPr>
        <w:t xml:space="preserve">Energy had no reason to contact the Complainant at all, let alone offer her a $7,500 settlement, on a complaint that she lost, when her bill at the time was under $2,000.”  </w:t>
      </w:r>
      <w:r w:rsidR="009A5C94">
        <w:rPr>
          <w:i/>
          <w:iCs/>
          <w:sz w:val="26"/>
          <w:szCs w:val="26"/>
        </w:rPr>
        <w:t xml:space="preserve">Id.  </w:t>
      </w:r>
      <w:r w:rsidR="007B7692">
        <w:rPr>
          <w:sz w:val="26"/>
          <w:szCs w:val="26"/>
        </w:rPr>
        <w:t>Further, PECO argues that the Complainant is misinterpreting t</w:t>
      </w:r>
      <w:r w:rsidR="00A303CA">
        <w:rPr>
          <w:sz w:val="26"/>
          <w:szCs w:val="26"/>
        </w:rPr>
        <w:t>wo</w:t>
      </w:r>
      <w:r w:rsidR="007B7692">
        <w:rPr>
          <w:sz w:val="26"/>
          <w:szCs w:val="26"/>
        </w:rPr>
        <w:t xml:space="preserve"> internal accounting activity statement line items as “credits” that PECO entered on her account towards the alleged $7,500 settlement, </w:t>
      </w:r>
      <w:r w:rsidR="00A303CA">
        <w:rPr>
          <w:sz w:val="26"/>
          <w:szCs w:val="26"/>
        </w:rPr>
        <w:t>which,</w:t>
      </w:r>
      <w:r w:rsidR="007B7692">
        <w:rPr>
          <w:sz w:val="26"/>
          <w:szCs w:val="26"/>
        </w:rPr>
        <w:t xml:space="preserve"> the Company </w:t>
      </w:r>
      <w:r w:rsidR="00A303CA">
        <w:rPr>
          <w:sz w:val="26"/>
          <w:szCs w:val="26"/>
        </w:rPr>
        <w:t xml:space="preserve">allegedly </w:t>
      </w:r>
      <w:r w:rsidR="007B7692">
        <w:rPr>
          <w:sz w:val="26"/>
          <w:szCs w:val="26"/>
        </w:rPr>
        <w:t>later retracted.  PECO’s own evidence presented shows that these two miscellaneous credits on her Account History were nothing more than internal accounting transactions that are part of the process to allow the Company to provide the Complainant with a payment arrangement.</w:t>
      </w:r>
      <w:r>
        <w:rPr>
          <w:sz w:val="26"/>
          <w:szCs w:val="26"/>
        </w:rPr>
        <w:t xml:space="preserve">  </w:t>
      </w:r>
      <w:r>
        <w:rPr>
          <w:i/>
          <w:iCs/>
          <w:sz w:val="26"/>
          <w:szCs w:val="26"/>
        </w:rPr>
        <w:t>Id</w:t>
      </w:r>
      <w:r>
        <w:rPr>
          <w:sz w:val="26"/>
          <w:szCs w:val="26"/>
        </w:rPr>
        <w:t>.</w:t>
      </w:r>
    </w:p>
    <w:p w14:paraId="5F17F8B7" w14:textId="323ECCB9" w:rsidR="00B0562A" w:rsidRDefault="007B7692" w:rsidP="00974576">
      <w:pPr>
        <w:spacing w:line="360" w:lineRule="auto"/>
        <w:ind w:firstLine="1440"/>
        <w:rPr>
          <w:sz w:val="26"/>
          <w:szCs w:val="26"/>
        </w:rPr>
      </w:pPr>
      <w:r>
        <w:rPr>
          <w:sz w:val="26"/>
          <w:szCs w:val="26"/>
        </w:rPr>
        <w:lastRenderedPageBreak/>
        <w:t>Additionally, PECO avers that the Complainant failed to prove that she was enrolled with an EGS without authorization by PECO as an act of retaliation by a PECO employee.</w:t>
      </w:r>
      <w:r w:rsidR="009F5CEF">
        <w:rPr>
          <w:sz w:val="26"/>
          <w:szCs w:val="26"/>
        </w:rPr>
        <w:t xml:space="preserve">  R. Exc. at 7-8.</w:t>
      </w:r>
      <w:r>
        <w:rPr>
          <w:sz w:val="26"/>
          <w:szCs w:val="26"/>
        </w:rPr>
        <w:t xml:space="preserve">  PECO states that </w:t>
      </w:r>
      <w:r w:rsidR="009F5CEF">
        <w:rPr>
          <w:sz w:val="26"/>
          <w:szCs w:val="26"/>
        </w:rPr>
        <w:t xml:space="preserve">the evidence shows that </w:t>
      </w:r>
      <w:r>
        <w:rPr>
          <w:sz w:val="26"/>
          <w:szCs w:val="26"/>
        </w:rPr>
        <w:t xml:space="preserve">it acted properly pursuant to the Commission’s Regulations and PECO’s own tariff </w:t>
      </w:r>
      <w:r w:rsidR="00605A36">
        <w:rPr>
          <w:sz w:val="26"/>
          <w:szCs w:val="26"/>
        </w:rPr>
        <w:t>relating</w:t>
      </w:r>
      <w:r>
        <w:rPr>
          <w:sz w:val="26"/>
          <w:szCs w:val="26"/>
        </w:rPr>
        <w:t xml:space="preserve"> to the Company’s responsibility when it receives notification from an EGS about a customer switch, and that it acted properly and promptly to switch the Complainant back to PECO when the Complainant notified PECO </w:t>
      </w:r>
      <w:r w:rsidR="009F5CEF">
        <w:rPr>
          <w:sz w:val="26"/>
          <w:szCs w:val="26"/>
        </w:rPr>
        <w:t xml:space="preserve">that she did not authorize the switch in suppliers.  </w:t>
      </w:r>
      <w:r w:rsidR="009F5CEF">
        <w:rPr>
          <w:i/>
          <w:iCs/>
          <w:sz w:val="26"/>
          <w:szCs w:val="26"/>
        </w:rPr>
        <w:t xml:space="preserve">Id. </w:t>
      </w:r>
      <w:r w:rsidR="009F5CEF">
        <w:rPr>
          <w:sz w:val="26"/>
          <w:szCs w:val="26"/>
        </w:rPr>
        <w:t xml:space="preserve">at 8-11.  PECO concludes that the Complainant’s claim on this issue should be filed against the EGS who improperly enrolled her account, and not against PECO.  </w:t>
      </w:r>
      <w:r w:rsidR="009F5CEF">
        <w:rPr>
          <w:i/>
          <w:iCs/>
          <w:sz w:val="26"/>
          <w:szCs w:val="26"/>
        </w:rPr>
        <w:t xml:space="preserve">Id. </w:t>
      </w:r>
      <w:r w:rsidR="009F5CEF">
        <w:rPr>
          <w:sz w:val="26"/>
          <w:szCs w:val="26"/>
        </w:rPr>
        <w:t>at 11.</w:t>
      </w:r>
    </w:p>
    <w:p w14:paraId="591929AA" w14:textId="77777777" w:rsidR="00B0562A" w:rsidRDefault="00B0562A" w:rsidP="00974576">
      <w:pPr>
        <w:spacing w:line="360" w:lineRule="auto"/>
        <w:ind w:firstLine="1440"/>
        <w:rPr>
          <w:sz w:val="26"/>
          <w:szCs w:val="26"/>
        </w:rPr>
      </w:pPr>
    </w:p>
    <w:p w14:paraId="48AFC883" w14:textId="77777777" w:rsidR="00B0562A" w:rsidRPr="00C4572D" w:rsidRDefault="00B0562A" w:rsidP="00974576">
      <w:pPr>
        <w:keepNext/>
        <w:spacing w:line="360" w:lineRule="auto"/>
        <w:rPr>
          <w:b/>
          <w:sz w:val="26"/>
          <w:szCs w:val="26"/>
        </w:rPr>
      </w:pPr>
      <w:r w:rsidRPr="00C4572D">
        <w:rPr>
          <w:b/>
          <w:sz w:val="26"/>
          <w:szCs w:val="26"/>
        </w:rPr>
        <w:t>D.</w:t>
      </w:r>
      <w:r w:rsidRPr="00C4572D">
        <w:rPr>
          <w:b/>
          <w:sz w:val="26"/>
          <w:szCs w:val="26"/>
        </w:rPr>
        <w:tab/>
        <w:t>Disposition</w:t>
      </w:r>
    </w:p>
    <w:p w14:paraId="1AAC198A" w14:textId="77777777" w:rsidR="00B0562A" w:rsidRPr="00C4572D" w:rsidRDefault="00B0562A" w:rsidP="00974576">
      <w:pPr>
        <w:keepNext/>
        <w:spacing w:line="360" w:lineRule="auto"/>
        <w:rPr>
          <w:b/>
          <w:sz w:val="26"/>
          <w:szCs w:val="26"/>
        </w:rPr>
      </w:pPr>
    </w:p>
    <w:p w14:paraId="575C95B4" w14:textId="0AC5D212" w:rsidR="00B0562A" w:rsidRDefault="00B0562A" w:rsidP="00974576">
      <w:pPr>
        <w:keepNext/>
        <w:spacing w:line="360" w:lineRule="auto"/>
        <w:ind w:firstLine="1440"/>
        <w:rPr>
          <w:sz w:val="26"/>
          <w:szCs w:val="26"/>
        </w:rPr>
      </w:pPr>
      <w:r w:rsidRPr="00C4572D">
        <w:rPr>
          <w:sz w:val="26"/>
          <w:szCs w:val="26"/>
        </w:rPr>
        <w:t>Based upon our review</w:t>
      </w:r>
      <w:r w:rsidR="00FF2FB3" w:rsidRPr="00FF2FB3">
        <w:rPr>
          <w:sz w:val="26"/>
          <w:szCs w:val="26"/>
        </w:rPr>
        <w:t xml:space="preserve"> </w:t>
      </w:r>
      <w:r w:rsidR="00FF2FB3">
        <w:rPr>
          <w:sz w:val="26"/>
          <w:szCs w:val="26"/>
        </w:rPr>
        <w:t xml:space="preserve">of the </w:t>
      </w:r>
      <w:r w:rsidR="00FF2FB3" w:rsidRPr="00C4572D">
        <w:rPr>
          <w:sz w:val="26"/>
          <w:szCs w:val="26"/>
        </w:rPr>
        <w:t>Exceptions, Repl</w:t>
      </w:r>
      <w:r w:rsidR="00FF2FB3">
        <w:rPr>
          <w:sz w:val="26"/>
          <w:szCs w:val="26"/>
        </w:rPr>
        <w:t>ies to</w:t>
      </w:r>
      <w:r w:rsidR="00FF2FB3" w:rsidRPr="00C4572D">
        <w:rPr>
          <w:sz w:val="26"/>
          <w:szCs w:val="26"/>
        </w:rPr>
        <w:t xml:space="preserve"> Exception</w:t>
      </w:r>
      <w:r w:rsidR="00FF2FB3">
        <w:rPr>
          <w:sz w:val="26"/>
          <w:szCs w:val="26"/>
        </w:rPr>
        <w:t>s</w:t>
      </w:r>
      <w:r w:rsidR="00FF2FB3" w:rsidRPr="00C4572D">
        <w:rPr>
          <w:sz w:val="26"/>
          <w:szCs w:val="26"/>
        </w:rPr>
        <w:t>, the Initial Decision, and the record in this proceeding,</w:t>
      </w:r>
      <w:r w:rsidRPr="00C4572D">
        <w:rPr>
          <w:sz w:val="26"/>
          <w:szCs w:val="26"/>
        </w:rPr>
        <w:t xml:space="preserve"> we find that the Complainant failed to satisfy h</w:t>
      </w:r>
      <w:r>
        <w:rPr>
          <w:sz w:val="26"/>
          <w:szCs w:val="26"/>
        </w:rPr>
        <w:t>er</w:t>
      </w:r>
      <w:r w:rsidRPr="00C4572D">
        <w:rPr>
          <w:sz w:val="26"/>
          <w:szCs w:val="26"/>
        </w:rPr>
        <w:t xml:space="preserve"> burden of proof to demonstrate that P</w:t>
      </w:r>
      <w:r>
        <w:rPr>
          <w:sz w:val="26"/>
          <w:szCs w:val="26"/>
        </w:rPr>
        <w:t xml:space="preserve">ECO had included any </w:t>
      </w:r>
      <w:r>
        <w:rPr>
          <w:bCs/>
          <w:sz w:val="26"/>
          <w:szCs w:val="26"/>
        </w:rPr>
        <w:t>incorrect charges on her electric bill</w:t>
      </w:r>
      <w:r w:rsidR="00B36D8E">
        <w:rPr>
          <w:bCs/>
          <w:sz w:val="26"/>
          <w:szCs w:val="26"/>
        </w:rPr>
        <w:t xml:space="preserve"> relating to budget billing</w:t>
      </w:r>
      <w:r>
        <w:rPr>
          <w:bCs/>
          <w:sz w:val="26"/>
          <w:szCs w:val="26"/>
        </w:rPr>
        <w:t>, that PECO had offered the Complainant a $7,500 settlement</w:t>
      </w:r>
      <w:r w:rsidR="00717D7A">
        <w:rPr>
          <w:bCs/>
          <w:sz w:val="26"/>
          <w:szCs w:val="26"/>
        </w:rPr>
        <w:t xml:space="preserve"> to resolve her informal complaint filed with BCS</w:t>
      </w:r>
      <w:r>
        <w:rPr>
          <w:bCs/>
          <w:sz w:val="26"/>
          <w:szCs w:val="26"/>
        </w:rPr>
        <w:t>, or that PECO enrolled the Complainant with an EGS without proper authorization in violation of the Code or the Commission’s Regulations</w:t>
      </w:r>
      <w:r w:rsidR="00717D7A">
        <w:rPr>
          <w:bCs/>
          <w:sz w:val="26"/>
          <w:szCs w:val="26"/>
        </w:rPr>
        <w:t xml:space="preserve"> in retaliation for filing the </w:t>
      </w:r>
      <w:r w:rsidR="00A303CA">
        <w:rPr>
          <w:bCs/>
          <w:sz w:val="26"/>
          <w:szCs w:val="26"/>
        </w:rPr>
        <w:t xml:space="preserve">earlier </w:t>
      </w:r>
      <w:r w:rsidR="00717D7A">
        <w:rPr>
          <w:bCs/>
          <w:sz w:val="26"/>
          <w:szCs w:val="26"/>
        </w:rPr>
        <w:t>informal complaint</w:t>
      </w:r>
      <w:r>
        <w:rPr>
          <w:bCs/>
          <w:sz w:val="26"/>
          <w:szCs w:val="26"/>
        </w:rPr>
        <w:t>.</w:t>
      </w:r>
      <w:r>
        <w:rPr>
          <w:sz w:val="26"/>
          <w:szCs w:val="26"/>
        </w:rPr>
        <w:t xml:space="preserve">  </w:t>
      </w:r>
    </w:p>
    <w:p w14:paraId="6218AE37" w14:textId="77777777" w:rsidR="00974576" w:rsidRPr="00C4572D" w:rsidRDefault="00974576" w:rsidP="00974576">
      <w:pPr>
        <w:keepNext/>
        <w:spacing w:line="360" w:lineRule="auto"/>
        <w:ind w:firstLine="1440"/>
        <w:rPr>
          <w:sz w:val="26"/>
          <w:szCs w:val="26"/>
        </w:rPr>
      </w:pPr>
    </w:p>
    <w:p w14:paraId="7CDF6D6E" w14:textId="337B7D04" w:rsidR="0023544F" w:rsidRDefault="00B0562A" w:rsidP="00974576">
      <w:pPr>
        <w:kinsoku w:val="0"/>
        <w:overflowPunct w:val="0"/>
        <w:spacing w:line="360" w:lineRule="auto"/>
        <w:ind w:right="432" w:firstLine="1512"/>
        <w:textAlignment w:val="baseline"/>
        <w:rPr>
          <w:sz w:val="26"/>
          <w:szCs w:val="26"/>
        </w:rPr>
      </w:pPr>
      <w:r w:rsidRPr="00C4572D">
        <w:rPr>
          <w:sz w:val="26"/>
          <w:szCs w:val="26"/>
        </w:rPr>
        <w:t>Only if the Complainant carries that burden initially does the burden of persuasion (</w:t>
      </w:r>
      <w:r w:rsidRPr="00C4572D">
        <w:rPr>
          <w:i/>
          <w:sz w:val="26"/>
          <w:szCs w:val="26"/>
        </w:rPr>
        <w:t>i.e.</w:t>
      </w:r>
      <w:r w:rsidRPr="00C4572D">
        <w:rPr>
          <w:sz w:val="26"/>
          <w:szCs w:val="26"/>
        </w:rPr>
        <w:t xml:space="preserve">, the burden of going forward with the evidence) shift to the utility to defend its actions.  In this case, the ALJ stated in her Initial Decision that the Complainant </w:t>
      </w:r>
      <w:r w:rsidR="0023544F">
        <w:rPr>
          <w:sz w:val="26"/>
          <w:szCs w:val="26"/>
        </w:rPr>
        <w:t xml:space="preserve">failed to carry her burden of proving any of her claims against PECO.  The ALJ, therefore, dismissed the Formal Complaint in its entirety with prejudice.  </w:t>
      </w:r>
    </w:p>
    <w:p w14:paraId="2377C8AA" w14:textId="77777777" w:rsidR="00974576" w:rsidRDefault="00974576" w:rsidP="00974576">
      <w:pPr>
        <w:kinsoku w:val="0"/>
        <w:overflowPunct w:val="0"/>
        <w:spacing w:line="360" w:lineRule="auto"/>
        <w:ind w:right="432" w:firstLine="1512"/>
        <w:textAlignment w:val="baseline"/>
        <w:rPr>
          <w:sz w:val="24"/>
          <w:szCs w:val="24"/>
        </w:rPr>
      </w:pPr>
    </w:p>
    <w:p w14:paraId="6EDD583D" w14:textId="625285E8" w:rsidR="00805F57" w:rsidRDefault="00DD59D9" w:rsidP="00974576">
      <w:pPr>
        <w:keepNext/>
        <w:spacing w:line="360" w:lineRule="auto"/>
        <w:ind w:firstLine="1440"/>
        <w:rPr>
          <w:sz w:val="26"/>
          <w:szCs w:val="26"/>
        </w:rPr>
      </w:pPr>
      <w:r>
        <w:rPr>
          <w:sz w:val="26"/>
          <w:szCs w:val="26"/>
        </w:rPr>
        <w:t xml:space="preserve">In regard to the Complainant’s claim that there were incorrect charges on her bill and that PECO </w:t>
      </w:r>
      <w:r w:rsidR="00DD6B92">
        <w:rPr>
          <w:sz w:val="26"/>
          <w:szCs w:val="26"/>
        </w:rPr>
        <w:t xml:space="preserve">had </w:t>
      </w:r>
      <w:r>
        <w:rPr>
          <w:sz w:val="26"/>
          <w:szCs w:val="26"/>
        </w:rPr>
        <w:t xml:space="preserve">agreed to a $7,500 settlement to resolve </w:t>
      </w:r>
      <w:r w:rsidR="00805F57">
        <w:rPr>
          <w:sz w:val="26"/>
          <w:szCs w:val="26"/>
        </w:rPr>
        <w:t>her informal complaint</w:t>
      </w:r>
      <w:r>
        <w:rPr>
          <w:sz w:val="26"/>
          <w:szCs w:val="26"/>
        </w:rPr>
        <w:t>, t</w:t>
      </w:r>
      <w:r w:rsidRPr="00DD59D9">
        <w:rPr>
          <w:sz w:val="26"/>
          <w:szCs w:val="26"/>
        </w:rPr>
        <w:t xml:space="preserve">he record is devoid of any evidence of the </w:t>
      </w:r>
      <w:r>
        <w:rPr>
          <w:sz w:val="26"/>
          <w:szCs w:val="26"/>
        </w:rPr>
        <w:t xml:space="preserve">$7,500 </w:t>
      </w:r>
      <w:r w:rsidRPr="00DD59D9">
        <w:rPr>
          <w:sz w:val="26"/>
          <w:szCs w:val="26"/>
        </w:rPr>
        <w:t xml:space="preserve">offer or of a reason for </w:t>
      </w:r>
      <w:r w:rsidRPr="00DD59D9">
        <w:rPr>
          <w:sz w:val="26"/>
          <w:szCs w:val="26"/>
        </w:rPr>
        <w:lastRenderedPageBreak/>
        <w:t>PECO to have made the offer to Ms. Fluellen.</w:t>
      </w:r>
      <w:r w:rsidR="00DD6B92">
        <w:rPr>
          <w:sz w:val="26"/>
          <w:szCs w:val="26"/>
        </w:rPr>
        <w:t xml:space="preserve">  Further, the record evidence d</w:t>
      </w:r>
      <w:r w:rsidR="00805F57">
        <w:rPr>
          <w:sz w:val="26"/>
          <w:szCs w:val="26"/>
        </w:rPr>
        <w:t>oes</w:t>
      </w:r>
      <w:r w:rsidR="00DD6B92">
        <w:rPr>
          <w:sz w:val="26"/>
          <w:szCs w:val="26"/>
        </w:rPr>
        <w:t xml:space="preserve"> not support a finding that </w:t>
      </w:r>
      <w:r w:rsidR="00200DD4">
        <w:rPr>
          <w:sz w:val="26"/>
          <w:szCs w:val="26"/>
        </w:rPr>
        <w:t>the Complainant’s</w:t>
      </w:r>
      <w:r w:rsidR="00DD6B92">
        <w:rPr>
          <w:sz w:val="26"/>
          <w:szCs w:val="26"/>
        </w:rPr>
        <w:t xml:space="preserve"> electric charges were incorrect or otherwise too high because of any equipment malfunctions or other actions created by PECO.  Instead, the credible evidence presented at the hearing show</w:t>
      </w:r>
      <w:r w:rsidR="00805F57">
        <w:rPr>
          <w:sz w:val="26"/>
          <w:szCs w:val="26"/>
        </w:rPr>
        <w:t>s</w:t>
      </w:r>
      <w:r w:rsidR="00DD6B92">
        <w:rPr>
          <w:sz w:val="26"/>
          <w:szCs w:val="26"/>
        </w:rPr>
        <w:t xml:space="preserve"> that from September 2017 until March 2019, Ms. Fluellen’s budget billing amount ranged between $79 and $147 per month, Tr. </w:t>
      </w:r>
      <w:r w:rsidR="00200DD4">
        <w:rPr>
          <w:sz w:val="26"/>
          <w:szCs w:val="26"/>
        </w:rPr>
        <w:t xml:space="preserve">at </w:t>
      </w:r>
      <w:r w:rsidR="00DD6B92">
        <w:rPr>
          <w:sz w:val="26"/>
          <w:szCs w:val="26"/>
        </w:rPr>
        <w:t>9-10, PECO Exh</w:t>
      </w:r>
      <w:r w:rsidR="00390528">
        <w:rPr>
          <w:sz w:val="26"/>
          <w:szCs w:val="26"/>
        </w:rPr>
        <w:t>.</w:t>
      </w:r>
      <w:r w:rsidR="00DD6B92">
        <w:rPr>
          <w:sz w:val="26"/>
          <w:szCs w:val="26"/>
        </w:rPr>
        <w:t xml:space="preserve"> 1; that during the winter of 2018-2019, Ms. Fluellen had a broken thermostat at the Service Address, Tr. </w:t>
      </w:r>
      <w:r w:rsidR="00200DD4">
        <w:rPr>
          <w:sz w:val="26"/>
          <w:szCs w:val="26"/>
        </w:rPr>
        <w:t xml:space="preserve">at </w:t>
      </w:r>
      <w:r w:rsidR="00DD6B92">
        <w:rPr>
          <w:sz w:val="26"/>
          <w:szCs w:val="26"/>
        </w:rPr>
        <w:t>56; and that during the same winter, Ms. Fluellen used five electric space heaters to heat her residence, Tr.</w:t>
      </w:r>
      <w:r w:rsidR="00004977">
        <w:rPr>
          <w:sz w:val="26"/>
          <w:szCs w:val="26"/>
        </w:rPr>
        <w:t xml:space="preserve"> at </w:t>
      </w:r>
      <w:r w:rsidR="00DD6B92">
        <w:rPr>
          <w:sz w:val="26"/>
          <w:szCs w:val="26"/>
        </w:rPr>
        <w:t xml:space="preserve">38.  </w:t>
      </w:r>
      <w:r w:rsidR="00390528">
        <w:rPr>
          <w:sz w:val="26"/>
          <w:szCs w:val="26"/>
        </w:rPr>
        <w:t xml:space="preserve">Subsequently, as of April 8, 2019, the </w:t>
      </w:r>
      <w:r w:rsidR="00805F57">
        <w:rPr>
          <w:sz w:val="26"/>
          <w:szCs w:val="26"/>
        </w:rPr>
        <w:t xml:space="preserve">record evidence shows that because of this increased usage, </w:t>
      </w:r>
      <w:r w:rsidR="00390528">
        <w:rPr>
          <w:sz w:val="26"/>
          <w:szCs w:val="26"/>
        </w:rPr>
        <w:t>Complainant’s budget billing amount increased from $147 per month to $502 per month.  Tr.</w:t>
      </w:r>
      <w:r w:rsidR="00004977">
        <w:rPr>
          <w:sz w:val="26"/>
          <w:szCs w:val="26"/>
        </w:rPr>
        <w:t xml:space="preserve"> at</w:t>
      </w:r>
      <w:r w:rsidR="00390528">
        <w:rPr>
          <w:sz w:val="26"/>
          <w:szCs w:val="26"/>
        </w:rPr>
        <w:t xml:space="preserve"> 9-10</w:t>
      </w:r>
      <w:r w:rsidR="00E74E93">
        <w:rPr>
          <w:sz w:val="26"/>
          <w:szCs w:val="26"/>
        </w:rPr>
        <w:t>;</w:t>
      </w:r>
      <w:r w:rsidR="00390528">
        <w:rPr>
          <w:sz w:val="26"/>
          <w:szCs w:val="26"/>
        </w:rPr>
        <w:t xml:space="preserve"> PECO Exh. 1.  </w:t>
      </w:r>
    </w:p>
    <w:p w14:paraId="57740239" w14:textId="77777777" w:rsidR="00805F57" w:rsidRDefault="00805F57" w:rsidP="00974576">
      <w:pPr>
        <w:keepNext/>
        <w:spacing w:line="360" w:lineRule="auto"/>
        <w:ind w:firstLine="1440"/>
        <w:rPr>
          <w:sz w:val="26"/>
          <w:szCs w:val="26"/>
        </w:rPr>
      </w:pPr>
    </w:p>
    <w:p w14:paraId="6E5CBADD" w14:textId="49D9CCD0" w:rsidR="00805F57" w:rsidRDefault="00B0562A" w:rsidP="00974576">
      <w:pPr>
        <w:keepNext/>
        <w:spacing w:line="360" w:lineRule="auto"/>
        <w:ind w:firstLine="1440"/>
        <w:rPr>
          <w:sz w:val="26"/>
          <w:szCs w:val="26"/>
        </w:rPr>
      </w:pPr>
      <w:r w:rsidRPr="00C4572D">
        <w:rPr>
          <w:sz w:val="26"/>
          <w:szCs w:val="26"/>
        </w:rPr>
        <w:t>Based on this evidence, we find that the Complainant failed to meet h</w:t>
      </w:r>
      <w:r>
        <w:rPr>
          <w:sz w:val="26"/>
          <w:szCs w:val="26"/>
        </w:rPr>
        <w:t>er</w:t>
      </w:r>
      <w:r w:rsidRPr="00C4572D">
        <w:rPr>
          <w:sz w:val="26"/>
          <w:szCs w:val="26"/>
        </w:rPr>
        <w:t xml:space="preserve"> initial burden of proof to demonstrate that </w:t>
      </w:r>
      <w:r>
        <w:rPr>
          <w:sz w:val="26"/>
          <w:szCs w:val="26"/>
        </w:rPr>
        <w:t>s</w:t>
      </w:r>
      <w:r w:rsidRPr="00C4572D">
        <w:rPr>
          <w:sz w:val="26"/>
          <w:szCs w:val="26"/>
        </w:rPr>
        <w:t xml:space="preserve">he </w:t>
      </w:r>
      <w:r w:rsidR="00805F57">
        <w:rPr>
          <w:sz w:val="26"/>
          <w:szCs w:val="26"/>
        </w:rPr>
        <w:t xml:space="preserve">had incorrect charges on her electric bill </w:t>
      </w:r>
      <w:r w:rsidR="00A303CA">
        <w:rPr>
          <w:sz w:val="26"/>
          <w:szCs w:val="26"/>
        </w:rPr>
        <w:t xml:space="preserve">relating to budget billing </w:t>
      </w:r>
      <w:r w:rsidR="00805F57">
        <w:rPr>
          <w:sz w:val="26"/>
          <w:szCs w:val="26"/>
        </w:rPr>
        <w:t xml:space="preserve">or that PECO had reneged on a $7,500 settlement offer.  </w:t>
      </w:r>
      <w:r>
        <w:rPr>
          <w:sz w:val="26"/>
          <w:szCs w:val="26"/>
        </w:rPr>
        <w:t>Further, e</w:t>
      </w:r>
      <w:r w:rsidRPr="00C4572D">
        <w:rPr>
          <w:sz w:val="26"/>
          <w:szCs w:val="26"/>
        </w:rPr>
        <w:t>ven if the Complainant’s testimony w</w:t>
      </w:r>
      <w:r>
        <w:rPr>
          <w:sz w:val="26"/>
          <w:szCs w:val="26"/>
        </w:rPr>
        <w:t>as</w:t>
      </w:r>
      <w:r w:rsidRPr="00C4572D">
        <w:rPr>
          <w:sz w:val="26"/>
          <w:szCs w:val="26"/>
        </w:rPr>
        <w:t xml:space="preserve"> sufficient to carry the burden of proof initially, P</w:t>
      </w:r>
      <w:r w:rsidR="00805F57">
        <w:rPr>
          <w:sz w:val="26"/>
          <w:szCs w:val="26"/>
        </w:rPr>
        <w:t>ECO</w:t>
      </w:r>
      <w:r w:rsidRPr="00C4572D">
        <w:rPr>
          <w:sz w:val="26"/>
          <w:szCs w:val="26"/>
        </w:rPr>
        <w:t xml:space="preserve"> rebutted this testimony with: </w:t>
      </w:r>
      <w:r w:rsidR="00BC56FE">
        <w:rPr>
          <w:sz w:val="26"/>
          <w:szCs w:val="26"/>
        </w:rPr>
        <w:t xml:space="preserve"> </w:t>
      </w:r>
      <w:r w:rsidRPr="00C4572D">
        <w:rPr>
          <w:sz w:val="26"/>
          <w:szCs w:val="26"/>
        </w:rPr>
        <w:t xml:space="preserve">(1) </w:t>
      </w:r>
      <w:r w:rsidR="00805F57">
        <w:rPr>
          <w:sz w:val="26"/>
          <w:szCs w:val="26"/>
        </w:rPr>
        <w:t>testimony from Ms. Tarpley that confirmed that only formal complaints are served on</w:t>
      </w:r>
      <w:r w:rsidR="00717D7A">
        <w:rPr>
          <w:sz w:val="26"/>
          <w:szCs w:val="26"/>
        </w:rPr>
        <w:t xml:space="preserve"> PECO’s legal department</w:t>
      </w:r>
      <w:r w:rsidR="00BB3539">
        <w:rPr>
          <w:sz w:val="26"/>
          <w:szCs w:val="26"/>
        </w:rPr>
        <w:t>, the alleged credit charges on Ms. Fluellen’s Account History represented internal documentation to put the new payment arrangement into effect and did not represent payments or credits on Ms. Fluellen’s actual bills, and PECO has no business records of any communications between any PECO employee and Ms. Fluellen regarding a $7,500 credit to her account; and (2)</w:t>
      </w:r>
      <w:r w:rsidR="00805F57">
        <w:rPr>
          <w:sz w:val="26"/>
          <w:szCs w:val="26"/>
        </w:rPr>
        <w:t xml:space="preserve"> </w:t>
      </w:r>
      <w:r>
        <w:rPr>
          <w:sz w:val="26"/>
          <w:szCs w:val="26"/>
        </w:rPr>
        <w:t xml:space="preserve">testimony from the Complainant </w:t>
      </w:r>
      <w:r w:rsidR="00BB3539">
        <w:rPr>
          <w:sz w:val="26"/>
          <w:szCs w:val="26"/>
        </w:rPr>
        <w:t xml:space="preserve">herself </w:t>
      </w:r>
      <w:r>
        <w:rPr>
          <w:sz w:val="26"/>
          <w:szCs w:val="26"/>
        </w:rPr>
        <w:t xml:space="preserve">acknowledging that </w:t>
      </w:r>
      <w:r w:rsidR="00BB3539">
        <w:rPr>
          <w:sz w:val="26"/>
          <w:szCs w:val="26"/>
        </w:rPr>
        <w:t>her balance owed never came close to $7,500</w:t>
      </w:r>
      <w:r w:rsidR="006B255C">
        <w:rPr>
          <w:sz w:val="26"/>
          <w:szCs w:val="26"/>
        </w:rPr>
        <w:t xml:space="preserve">. </w:t>
      </w:r>
      <w:r w:rsidR="00BB3539">
        <w:rPr>
          <w:sz w:val="26"/>
          <w:szCs w:val="26"/>
        </w:rPr>
        <w:t xml:space="preserve"> I.D. at 11</w:t>
      </w:r>
      <w:r w:rsidR="006B255C">
        <w:rPr>
          <w:sz w:val="26"/>
          <w:szCs w:val="26"/>
        </w:rPr>
        <w:t>-13</w:t>
      </w:r>
      <w:r w:rsidR="00BB3539">
        <w:rPr>
          <w:sz w:val="26"/>
          <w:szCs w:val="26"/>
        </w:rPr>
        <w:t>.</w:t>
      </w:r>
      <w:r>
        <w:rPr>
          <w:sz w:val="26"/>
          <w:szCs w:val="26"/>
        </w:rPr>
        <w:t xml:space="preserve"> </w:t>
      </w:r>
      <w:r w:rsidR="006B255C">
        <w:rPr>
          <w:sz w:val="26"/>
          <w:szCs w:val="26"/>
        </w:rPr>
        <w:t xml:space="preserve"> </w:t>
      </w:r>
      <w:r w:rsidR="00BB3539">
        <w:rPr>
          <w:sz w:val="26"/>
          <w:szCs w:val="26"/>
        </w:rPr>
        <w:t xml:space="preserve">Further, </w:t>
      </w:r>
      <w:r w:rsidR="00805F57">
        <w:rPr>
          <w:sz w:val="26"/>
          <w:szCs w:val="26"/>
        </w:rPr>
        <w:t>Ms. Fluellen’s Exceptions d</w:t>
      </w:r>
      <w:r w:rsidR="00BB3539">
        <w:rPr>
          <w:sz w:val="26"/>
          <w:szCs w:val="26"/>
        </w:rPr>
        <w:t>o</w:t>
      </w:r>
      <w:r w:rsidR="00805F57">
        <w:rPr>
          <w:sz w:val="26"/>
          <w:szCs w:val="26"/>
        </w:rPr>
        <w:t xml:space="preserve"> not p</w:t>
      </w:r>
      <w:r w:rsidR="00F10025">
        <w:rPr>
          <w:sz w:val="26"/>
          <w:szCs w:val="26"/>
        </w:rPr>
        <w:t>rovide</w:t>
      </w:r>
      <w:r w:rsidR="00805F57">
        <w:rPr>
          <w:sz w:val="26"/>
          <w:szCs w:val="26"/>
        </w:rPr>
        <w:t xml:space="preserve"> any other evidence overlooked that support her claims</w:t>
      </w:r>
      <w:r w:rsidR="00BB3539">
        <w:rPr>
          <w:sz w:val="26"/>
          <w:szCs w:val="26"/>
        </w:rPr>
        <w:t xml:space="preserve"> of incorrect charges or </w:t>
      </w:r>
      <w:r w:rsidR="00F10025">
        <w:rPr>
          <w:sz w:val="26"/>
          <w:szCs w:val="26"/>
        </w:rPr>
        <w:t xml:space="preserve">of </w:t>
      </w:r>
      <w:r w:rsidR="00BB3539">
        <w:rPr>
          <w:sz w:val="26"/>
          <w:szCs w:val="26"/>
        </w:rPr>
        <w:t>a $7,500 settlement</w:t>
      </w:r>
      <w:r w:rsidR="00805F57">
        <w:rPr>
          <w:sz w:val="26"/>
          <w:szCs w:val="26"/>
        </w:rPr>
        <w:t xml:space="preserve">.  </w:t>
      </w:r>
    </w:p>
    <w:p w14:paraId="26C70A44" w14:textId="767996C9" w:rsidR="00B0562A" w:rsidRDefault="00B0562A" w:rsidP="00974576">
      <w:pPr>
        <w:keepNext/>
        <w:spacing w:line="360" w:lineRule="auto"/>
        <w:ind w:firstLine="1440"/>
        <w:rPr>
          <w:sz w:val="26"/>
          <w:szCs w:val="26"/>
        </w:rPr>
      </w:pPr>
    </w:p>
    <w:p w14:paraId="382F4779" w14:textId="49B10CF7" w:rsidR="00B0562A" w:rsidRDefault="00B0562A" w:rsidP="00974576">
      <w:pPr>
        <w:keepNext/>
        <w:spacing w:line="360" w:lineRule="auto"/>
        <w:ind w:firstLine="1440"/>
        <w:rPr>
          <w:sz w:val="26"/>
          <w:szCs w:val="26"/>
        </w:rPr>
      </w:pPr>
      <w:r>
        <w:rPr>
          <w:sz w:val="26"/>
          <w:szCs w:val="26"/>
        </w:rPr>
        <w:t>A</w:t>
      </w:r>
      <w:r w:rsidR="00F762EB">
        <w:rPr>
          <w:sz w:val="26"/>
          <w:szCs w:val="26"/>
        </w:rPr>
        <w:t xml:space="preserve">s to Ms. Fluellen’s other claim that PECO switched energy suppliers on her account without her permission in retaliation for Ms. Fluellen’s filing an informal </w:t>
      </w:r>
      <w:r w:rsidR="00F762EB">
        <w:rPr>
          <w:sz w:val="26"/>
          <w:szCs w:val="26"/>
        </w:rPr>
        <w:lastRenderedPageBreak/>
        <w:t xml:space="preserve">complaint with BCS, the </w:t>
      </w:r>
      <w:r>
        <w:rPr>
          <w:sz w:val="26"/>
          <w:szCs w:val="26"/>
        </w:rPr>
        <w:t xml:space="preserve">ALJ </w:t>
      </w:r>
      <w:r w:rsidR="00F762EB">
        <w:rPr>
          <w:sz w:val="26"/>
          <w:szCs w:val="26"/>
        </w:rPr>
        <w:t xml:space="preserve">did not find any evidence </w:t>
      </w:r>
      <w:r w:rsidR="00F10025">
        <w:rPr>
          <w:sz w:val="26"/>
          <w:szCs w:val="26"/>
        </w:rPr>
        <w:t xml:space="preserve">in the record </w:t>
      </w:r>
      <w:r w:rsidR="00F762EB">
        <w:rPr>
          <w:sz w:val="26"/>
          <w:szCs w:val="26"/>
        </w:rPr>
        <w:t xml:space="preserve">to support this claim </w:t>
      </w:r>
      <w:r w:rsidR="00F10025">
        <w:rPr>
          <w:sz w:val="26"/>
          <w:szCs w:val="26"/>
        </w:rPr>
        <w:t>as well</w:t>
      </w:r>
      <w:r w:rsidR="00F762EB">
        <w:rPr>
          <w:sz w:val="26"/>
          <w:szCs w:val="26"/>
        </w:rPr>
        <w:t>.  Instead, the ALJ found credible evidence that PECO followed its established procedures relating to enrolling Ms. Fluellen with an alternative EGS and for returning her to PECO as her default service provider after notifying PECO that she did not want to enroll with the alternative EGS</w:t>
      </w:r>
      <w:r w:rsidR="006B255C">
        <w:rPr>
          <w:sz w:val="26"/>
          <w:szCs w:val="26"/>
        </w:rPr>
        <w:t>.</w:t>
      </w:r>
      <w:r w:rsidR="00F762EB">
        <w:rPr>
          <w:sz w:val="26"/>
          <w:szCs w:val="26"/>
        </w:rPr>
        <w:t xml:space="preserve">  I.D. at </w:t>
      </w:r>
      <w:r w:rsidR="006B255C">
        <w:rPr>
          <w:sz w:val="26"/>
          <w:szCs w:val="26"/>
        </w:rPr>
        <w:t>11-14.  Again, Ms. Fluellen’s Exceptions do not point to any other evidence missed that would support this claim.</w:t>
      </w:r>
      <w:r>
        <w:rPr>
          <w:sz w:val="26"/>
          <w:szCs w:val="26"/>
        </w:rPr>
        <w:t xml:space="preserve">   </w:t>
      </w:r>
    </w:p>
    <w:p w14:paraId="08D5AF7F" w14:textId="77777777" w:rsidR="00B0562A" w:rsidRDefault="00B0562A" w:rsidP="00974576">
      <w:pPr>
        <w:keepNext/>
        <w:spacing w:line="360" w:lineRule="auto"/>
        <w:ind w:firstLine="1440"/>
        <w:rPr>
          <w:sz w:val="26"/>
          <w:szCs w:val="26"/>
        </w:rPr>
      </w:pPr>
    </w:p>
    <w:p w14:paraId="08BA5A01" w14:textId="73CBB407" w:rsidR="00B0562A" w:rsidRPr="00C4572D" w:rsidRDefault="00B0562A" w:rsidP="00974576">
      <w:pPr>
        <w:keepNext/>
        <w:spacing w:line="360" w:lineRule="auto"/>
        <w:ind w:firstLine="1440"/>
        <w:rPr>
          <w:sz w:val="26"/>
          <w:szCs w:val="26"/>
        </w:rPr>
      </w:pPr>
      <w:r w:rsidRPr="00C4572D">
        <w:rPr>
          <w:sz w:val="26"/>
          <w:szCs w:val="26"/>
        </w:rPr>
        <w:t>Accordingly, we find that</w:t>
      </w:r>
      <w:r w:rsidR="006B255C">
        <w:rPr>
          <w:sz w:val="26"/>
          <w:szCs w:val="26"/>
        </w:rPr>
        <w:t>, even assuming the burden of persuasion shifted to PECO,</w:t>
      </w:r>
      <w:r w:rsidRPr="00C4572D">
        <w:rPr>
          <w:sz w:val="26"/>
          <w:szCs w:val="26"/>
        </w:rPr>
        <w:t xml:space="preserve"> </w:t>
      </w:r>
      <w:r w:rsidR="006B255C">
        <w:rPr>
          <w:sz w:val="26"/>
          <w:szCs w:val="26"/>
        </w:rPr>
        <w:t>PECO</w:t>
      </w:r>
      <w:r w:rsidRPr="00C4572D">
        <w:rPr>
          <w:sz w:val="26"/>
          <w:szCs w:val="26"/>
        </w:rPr>
        <w:t xml:space="preserve"> credibly carried its burden of persuasion, which shifted the burden back to the Complainant to rebut.  As no further </w:t>
      </w:r>
      <w:r>
        <w:rPr>
          <w:sz w:val="26"/>
          <w:szCs w:val="26"/>
        </w:rPr>
        <w:t xml:space="preserve">credible </w:t>
      </w:r>
      <w:r w:rsidRPr="00C4572D">
        <w:rPr>
          <w:sz w:val="26"/>
          <w:szCs w:val="26"/>
        </w:rPr>
        <w:t>evidence was admitted by the Complainant in this matter, we find that the Complainant failed to carry this burden, and in doing so, failed to carry h</w:t>
      </w:r>
      <w:r>
        <w:rPr>
          <w:sz w:val="26"/>
          <w:szCs w:val="26"/>
        </w:rPr>
        <w:t>er</w:t>
      </w:r>
      <w:r w:rsidRPr="00C4572D">
        <w:rPr>
          <w:sz w:val="26"/>
          <w:szCs w:val="26"/>
        </w:rPr>
        <w:t xml:space="preserve"> burden of proof.  </w:t>
      </w:r>
    </w:p>
    <w:p w14:paraId="701B9B0C" w14:textId="77777777" w:rsidR="00B0562A" w:rsidRPr="00C4572D" w:rsidRDefault="00B0562A" w:rsidP="00974576">
      <w:pPr>
        <w:spacing w:line="360" w:lineRule="auto"/>
        <w:ind w:firstLine="1440"/>
        <w:rPr>
          <w:sz w:val="26"/>
          <w:szCs w:val="26"/>
        </w:rPr>
      </w:pPr>
    </w:p>
    <w:p w14:paraId="6E180E86" w14:textId="7EC53038" w:rsidR="00B0562A" w:rsidRPr="00C4572D" w:rsidRDefault="00B0562A" w:rsidP="00974576">
      <w:pPr>
        <w:spacing w:line="360" w:lineRule="auto"/>
        <w:ind w:firstLine="1440"/>
        <w:rPr>
          <w:sz w:val="26"/>
          <w:szCs w:val="26"/>
        </w:rPr>
      </w:pPr>
      <w:r w:rsidRPr="00C4572D">
        <w:rPr>
          <w:sz w:val="26"/>
          <w:szCs w:val="26"/>
        </w:rPr>
        <w:t xml:space="preserve">Based on the foregoing, we shall </w:t>
      </w:r>
      <w:r>
        <w:rPr>
          <w:sz w:val="26"/>
          <w:szCs w:val="26"/>
        </w:rPr>
        <w:t>grant</w:t>
      </w:r>
      <w:r w:rsidRPr="00C4572D">
        <w:rPr>
          <w:sz w:val="26"/>
          <w:szCs w:val="26"/>
        </w:rPr>
        <w:t xml:space="preserve"> the ALJ’s Initial Decision determin</w:t>
      </w:r>
      <w:r>
        <w:rPr>
          <w:sz w:val="26"/>
          <w:szCs w:val="26"/>
        </w:rPr>
        <w:t>ing</w:t>
      </w:r>
      <w:r w:rsidRPr="00C4572D">
        <w:rPr>
          <w:sz w:val="26"/>
          <w:szCs w:val="26"/>
        </w:rPr>
        <w:t xml:space="preserve"> that </w:t>
      </w:r>
      <w:r w:rsidR="002B0E80" w:rsidRPr="00C4572D">
        <w:rPr>
          <w:sz w:val="26"/>
          <w:szCs w:val="26"/>
        </w:rPr>
        <w:t>the Complainant failed to satisfy h</w:t>
      </w:r>
      <w:r w:rsidR="002B0E80">
        <w:rPr>
          <w:sz w:val="26"/>
          <w:szCs w:val="26"/>
        </w:rPr>
        <w:t>er</w:t>
      </w:r>
      <w:r w:rsidR="002B0E80" w:rsidRPr="00C4572D">
        <w:rPr>
          <w:sz w:val="26"/>
          <w:szCs w:val="26"/>
        </w:rPr>
        <w:t xml:space="preserve"> burden of proof to demonstrate that P</w:t>
      </w:r>
      <w:r w:rsidR="002B0E80">
        <w:rPr>
          <w:sz w:val="26"/>
          <w:szCs w:val="26"/>
        </w:rPr>
        <w:t xml:space="preserve">ECO had included any </w:t>
      </w:r>
      <w:r w:rsidR="002B0E80">
        <w:rPr>
          <w:bCs/>
          <w:sz w:val="26"/>
          <w:szCs w:val="26"/>
        </w:rPr>
        <w:t>incorrect charges on her electric bill</w:t>
      </w:r>
      <w:r w:rsidR="00B36D8E">
        <w:rPr>
          <w:bCs/>
          <w:sz w:val="26"/>
          <w:szCs w:val="26"/>
        </w:rPr>
        <w:t xml:space="preserve"> relating to budget billing</w:t>
      </w:r>
      <w:r w:rsidR="002B0E80">
        <w:rPr>
          <w:bCs/>
          <w:sz w:val="26"/>
          <w:szCs w:val="26"/>
        </w:rPr>
        <w:t xml:space="preserve">, that PECO had offered the Complainant a $7,500 settlement to resolve her informal complaint filed with BCS, or that PECO enrolled the Complainant with an EGS without proper authorization in retaliation for filing the informal complaint.  </w:t>
      </w:r>
      <w:r w:rsidRPr="00C4572D">
        <w:rPr>
          <w:sz w:val="26"/>
          <w:szCs w:val="26"/>
        </w:rPr>
        <w:t>Accordingly, the Complaint is dismissed in its entirety.</w:t>
      </w:r>
    </w:p>
    <w:p w14:paraId="623D52CA" w14:textId="35AD6C1B" w:rsidR="00321532" w:rsidRPr="00ED6F2D" w:rsidRDefault="009F5CEF" w:rsidP="00974576">
      <w:pPr>
        <w:spacing w:line="360" w:lineRule="auto"/>
        <w:ind w:firstLine="1440"/>
        <w:rPr>
          <w:sz w:val="26"/>
          <w:szCs w:val="26"/>
        </w:rPr>
      </w:pPr>
      <w:r>
        <w:rPr>
          <w:sz w:val="26"/>
          <w:szCs w:val="26"/>
        </w:rPr>
        <w:t xml:space="preserve">  </w:t>
      </w:r>
      <w:r w:rsidR="007B7692">
        <w:rPr>
          <w:sz w:val="26"/>
          <w:szCs w:val="26"/>
        </w:rPr>
        <w:t xml:space="preserve">   </w:t>
      </w:r>
      <w:r w:rsidR="00321532">
        <w:rPr>
          <w:sz w:val="26"/>
          <w:szCs w:val="26"/>
        </w:rPr>
        <w:t xml:space="preserve"> </w:t>
      </w:r>
    </w:p>
    <w:p w14:paraId="602907E1" w14:textId="77777777" w:rsidR="00DC4A4E" w:rsidRPr="00C4572D" w:rsidRDefault="00DC4A4E" w:rsidP="00974576">
      <w:pPr>
        <w:keepNext/>
        <w:keepLines/>
        <w:spacing w:line="360" w:lineRule="auto"/>
        <w:ind w:hanging="90"/>
        <w:jc w:val="center"/>
        <w:rPr>
          <w:b/>
          <w:sz w:val="26"/>
          <w:szCs w:val="26"/>
        </w:rPr>
      </w:pPr>
      <w:r w:rsidRPr="00C4572D">
        <w:rPr>
          <w:b/>
          <w:sz w:val="26"/>
          <w:szCs w:val="26"/>
        </w:rPr>
        <w:t>Conclusion</w:t>
      </w:r>
    </w:p>
    <w:p w14:paraId="212025A5" w14:textId="77777777" w:rsidR="00DC4A4E" w:rsidRPr="00C4572D" w:rsidRDefault="00DC4A4E" w:rsidP="00974576">
      <w:pPr>
        <w:keepNext/>
        <w:keepLines/>
        <w:spacing w:line="360" w:lineRule="auto"/>
        <w:ind w:firstLine="1440"/>
        <w:jc w:val="center"/>
        <w:rPr>
          <w:sz w:val="26"/>
          <w:szCs w:val="26"/>
        </w:rPr>
      </w:pPr>
    </w:p>
    <w:p w14:paraId="6950FBC9" w14:textId="12E8072D" w:rsidR="00DC4A4E" w:rsidRPr="00C4572D" w:rsidRDefault="00DC4A4E" w:rsidP="00974576">
      <w:pPr>
        <w:spacing w:line="360" w:lineRule="auto"/>
        <w:ind w:firstLine="1440"/>
        <w:rPr>
          <w:b/>
          <w:sz w:val="26"/>
          <w:szCs w:val="26"/>
        </w:rPr>
      </w:pPr>
      <w:r w:rsidRPr="00C4572D">
        <w:rPr>
          <w:sz w:val="26"/>
          <w:szCs w:val="26"/>
        </w:rPr>
        <w:t>Based upon our review of the Exceptions, Repl</w:t>
      </w:r>
      <w:r>
        <w:rPr>
          <w:sz w:val="26"/>
          <w:szCs w:val="26"/>
        </w:rPr>
        <w:t>ies to</w:t>
      </w:r>
      <w:r w:rsidRPr="00C4572D">
        <w:rPr>
          <w:sz w:val="26"/>
          <w:szCs w:val="26"/>
        </w:rPr>
        <w:t xml:space="preserve"> Exception</w:t>
      </w:r>
      <w:r>
        <w:rPr>
          <w:sz w:val="26"/>
          <w:szCs w:val="26"/>
        </w:rPr>
        <w:t>s</w:t>
      </w:r>
      <w:r w:rsidRPr="00C4572D">
        <w:rPr>
          <w:sz w:val="26"/>
          <w:szCs w:val="26"/>
        </w:rPr>
        <w:t xml:space="preserve">, the Initial Decision, and the record in this proceeding, we shall </w:t>
      </w:r>
      <w:r>
        <w:rPr>
          <w:sz w:val="26"/>
          <w:szCs w:val="26"/>
        </w:rPr>
        <w:t xml:space="preserve">reject the Complainant’s </w:t>
      </w:r>
      <w:r w:rsidRPr="00C4572D">
        <w:rPr>
          <w:sz w:val="26"/>
          <w:szCs w:val="26"/>
        </w:rPr>
        <w:t xml:space="preserve">Exceptions and </w:t>
      </w:r>
      <w:r>
        <w:rPr>
          <w:sz w:val="26"/>
          <w:szCs w:val="26"/>
        </w:rPr>
        <w:t>a</w:t>
      </w:r>
      <w:r w:rsidR="004828BD">
        <w:rPr>
          <w:sz w:val="26"/>
          <w:szCs w:val="26"/>
        </w:rPr>
        <w:t>dopt</w:t>
      </w:r>
      <w:r w:rsidRPr="00C4572D">
        <w:rPr>
          <w:sz w:val="26"/>
          <w:szCs w:val="26"/>
        </w:rPr>
        <w:t xml:space="preserve"> the ALJ’s Initial Decision, consistent with this Opinion and Order; </w:t>
      </w:r>
      <w:r w:rsidRPr="00C4572D">
        <w:rPr>
          <w:b/>
          <w:sz w:val="26"/>
          <w:szCs w:val="26"/>
        </w:rPr>
        <w:t>THEREFORE,</w:t>
      </w:r>
    </w:p>
    <w:p w14:paraId="62D84DD8" w14:textId="77777777" w:rsidR="00DC4A4E" w:rsidRPr="00C4572D" w:rsidRDefault="00DC4A4E" w:rsidP="00974576">
      <w:pPr>
        <w:spacing w:line="360" w:lineRule="auto"/>
        <w:ind w:firstLine="720"/>
        <w:rPr>
          <w:b/>
          <w:sz w:val="26"/>
          <w:szCs w:val="26"/>
        </w:rPr>
      </w:pPr>
    </w:p>
    <w:p w14:paraId="1F2F5307" w14:textId="77777777" w:rsidR="00DC4A4E" w:rsidRPr="00C4572D" w:rsidRDefault="00DC4A4E" w:rsidP="00CE26BE">
      <w:pPr>
        <w:keepNext/>
        <w:keepLines/>
        <w:spacing w:line="360" w:lineRule="auto"/>
        <w:ind w:firstLine="1440"/>
        <w:rPr>
          <w:sz w:val="26"/>
          <w:szCs w:val="26"/>
        </w:rPr>
      </w:pPr>
      <w:r w:rsidRPr="00C4572D">
        <w:rPr>
          <w:b/>
          <w:sz w:val="26"/>
          <w:szCs w:val="26"/>
        </w:rPr>
        <w:lastRenderedPageBreak/>
        <w:t>IT IS ORDERED:</w:t>
      </w:r>
    </w:p>
    <w:p w14:paraId="7590FB2C" w14:textId="77777777" w:rsidR="00DC4A4E" w:rsidRPr="00C4572D" w:rsidRDefault="00DC4A4E" w:rsidP="00CE26BE">
      <w:pPr>
        <w:keepNext/>
        <w:keepLines/>
        <w:tabs>
          <w:tab w:val="left" w:pos="-720"/>
        </w:tabs>
        <w:spacing w:line="360" w:lineRule="auto"/>
        <w:rPr>
          <w:sz w:val="26"/>
          <w:szCs w:val="26"/>
        </w:rPr>
      </w:pPr>
    </w:p>
    <w:p w14:paraId="5600B9B3" w14:textId="4702C466" w:rsidR="00DC4A4E" w:rsidRPr="00C4572D" w:rsidRDefault="00DC4A4E" w:rsidP="00CE26BE">
      <w:pPr>
        <w:widowControl/>
        <w:numPr>
          <w:ilvl w:val="0"/>
          <w:numId w:val="2"/>
        </w:numPr>
        <w:tabs>
          <w:tab w:val="left" w:pos="-720"/>
        </w:tabs>
        <w:suppressAutoHyphens/>
        <w:spacing w:line="360" w:lineRule="auto"/>
        <w:ind w:left="0" w:firstLine="1440"/>
        <w:rPr>
          <w:sz w:val="26"/>
          <w:szCs w:val="26"/>
        </w:rPr>
      </w:pPr>
      <w:r w:rsidRPr="00C4572D">
        <w:rPr>
          <w:sz w:val="26"/>
          <w:szCs w:val="26"/>
        </w:rPr>
        <w:t xml:space="preserve">That the Exceptions of </w:t>
      </w:r>
      <w:r>
        <w:rPr>
          <w:sz w:val="26"/>
          <w:szCs w:val="26"/>
        </w:rPr>
        <w:t>LaCretia Fluellen</w:t>
      </w:r>
      <w:r w:rsidRPr="00C4572D">
        <w:rPr>
          <w:sz w:val="26"/>
          <w:szCs w:val="26"/>
        </w:rPr>
        <w:t xml:space="preserve"> filed on </w:t>
      </w:r>
      <w:r>
        <w:rPr>
          <w:sz w:val="26"/>
          <w:szCs w:val="26"/>
        </w:rPr>
        <w:t>June 2</w:t>
      </w:r>
      <w:r w:rsidRPr="00C4572D">
        <w:rPr>
          <w:sz w:val="26"/>
          <w:szCs w:val="26"/>
        </w:rPr>
        <w:t>, 20</w:t>
      </w:r>
      <w:r>
        <w:rPr>
          <w:sz w:val="26"/>
          <w:szCs w:val="26"/>
        </w:rPr>
        <w:t>21</w:t>
      </w:r>
      <w:r w:rsidRPr="00C4572D">
        <w:rPr>
          <w:sz w:val="26"/>
          <w:szCs w:val="26"/>
        </w:rPr>
        <w:t xml:space="preserve">, to the Initial Decision of Administrative Law Judge </w:t>
      </w:r>
      <w:r>
        <w:rPr>
          <w:sz w:val="26"/>
          <w:szCs w:val="26"/>
        </w:rPr>
        <w:t>Eranda Vero</w:t>
      </w:r>
      <w:r w:rsidRPr="00C4572D">
        <w:rPr>
          <w:sz w:val="26"/>
          <w:szCs w:val="26"/>
        </w:rPr>
        <w:t xml:space="preserve"> issued on </w:t>
      </w:r>
      <w:r>
        <w:rPr>
          <w:sz w:val="26"/>
          <w:szCs w:val="26"/>
        </w:rPr>
        <w:t>May 12</w:t>
      </w:r>
      <w:r w:rsidRPr="00C4572D">
        <w:rPr>
          <w:sz w:val="26"/>
          <w:szCs w:val="26"/>
        </w:rPr>
        <w:t>, 20</w:t>
      </w:r>
      <w:r>
        <w:rPr>
          <w:sz w:val="26"/>
          <w:szCs w:val="26"/>
        </w:rPr>
        <w:t>21</w:t>
      </w:r>
      <w:r w:rsidRPr="00C4572D">
        <w:rPr>
          <w:sz w:val="26"/>
          <w:szCs w:val="26"/>
        </w:rPr>
        <w:t xml:space="preserve">, are </w:t>
      </w:r>
      <w:r>
        <w:rPr>
          <w:sz w:val="26"/>
          <w:szCs w:val="26"/>
        </w:rPr>
        <w:t>denied</w:t>
      </w:r>
      <w:r w:rsidRPr="00C4572D">
        <w:rPr>
          <w:sz w:val="26"/>
          <w:szCs w:val="26"/>
        </w:rPr>
        <w:t>, consistent with this Opinion and Order.</w:t>
      </w:r>
    </w:p>
    <w:p w14:paraId="74E0E576" w14:textId="77777777" w:rsidR="00DC4A4E" w:rsidRPr="00C4572D" w:rsidRDefault="00DC4A4E" w:rsidP="00CE26BE">
      <w:pPr>
        <w:tabs>
          <w:tab w:val="left" w:pos="-720"/>
        </w:tabs>
        <w:suppressAutoHyphens/>
        <w:spacing w:line="360" w:lineRule="auto"/>
        <w:ind w:left="1440"/>
        <w:rPr>
          <w:sz w:val="26"/>
          <w:szCs w:val="26"/>
        </w:rPr>
      </w:pPr>
    </w:p>
    <w:p w14:paraId="72CFCD1C" w14:textId="45AB8176" w:rsidR="00DC4A4E" w:rsidRPr="00C4572D" w:rsidRDefault="00DC4A4E" w:rsidP="00CE26BE">
      <w:pPr>
        <w:widowControl/>
        <w:numPr>
          <w:ilvl w:val="0"/>
          <w:numId w:val="2"/>
        </w:numPr>
        <w:tabs>
          <w:tab w:val="left" w:pos="-720"/>
        </w:tabs>
        <w:suppressAutoHyphens/>
        <w:spacing w:line="360" w:lineRule="auto"/>
        <w:ind w:left="0" w:firstLine="1440"/>
        <w:rPr>
          <w:sz w:val="26"/>
          <w:szCs w:val="26"/>
        </w:rPr>
      </w:pPr>
      <w:r w:rsidRPr="00C4572D">
        <w:rPr>
          <w:sz w:val="26"/>
          <w:szCs w:val="26"/>
        </w:rPr>
        <w:t xml:space="preserve">That the Initial Decision of Administrative Law Judge </w:t>
      </w:r>
      <w:r>
        <w:rPr>
          <w:sz w:val="26"/>
          <w:szCs w:val="26"/>
        </w:rPr>
        <w:t>Eranda Vero is adopted</w:t>
      </w:r>
      <w:r w:rsidRPr="00C4572D">
        <w:rPr>
          <w:sz w:val="26"/>
          <w:szCs w:val="26"/>
        </w:rPr>
        <w:t>, consistent with this Opinion and Order.</w:t>
      </w:r>
    </w:p>
    <w:p w14:paraId="28FCA515" w14:textId="77777777" w:rsidR="00DC4A4E" w:rsidRPr="00C4572D" w:rsidRDefault="00DC4A4E" w:rsidP="00CE26BE">
      <w:pPr>
        <w:tabs>
          <w:tab w:val="left" w:pos="-720"/>
        </w:tabs>
        <w:suppressAutoHyphens/>
        <w:spacing w:line="360" w:lineRule="auto"/>
        <w:ind w:left="1440"/>
        <w:rPr>
          <w:sz w:val="26"/>
          <w:szCs w:val="26"/>
        </w:rPr>
      </w:pPr>
    </w:p>
    <w:p w14:paraId="7F55DE7B" w14:textId="719240E2" w:rsidR="00DC4A4E" w:rsidRPr="00C4572D" w:rsidRDefault="00DC4A4E" w:rsidP="00CE26BE">
      <w:pPr>
        <w:widowControl/>
        <w:numPr>
          <w:ilvl w:val="0"/>
          <w:numId w:val="2"/>
        </w:numPr>
        <w:tabs>
          <w:tab w:val="left" w:pos="-720"/>
        </w:tabs>
        <w:suppressAutoHyphens/>
        <w:spacing w:line="360" w:lineRule="auto"/>
        <w:ind w:left="0" w:firstLine="1440"/>
        <w:rPr>
          <w:sz w:val="26"/>
          <w:szCs w:val="26"/>
        </w:rPr>
      </w:pPr>
      <w:r w:rsidRPr="00C4572D">
        <w:rPr>
          <w:sz w:val="26"/>
          <w:szCs w:val="26"/>
        </w:rPr>
        <w:t xml:space="preserve">That the Formal Complaint filed by </w:t>
      </w:r>
      <w:r>
        <w:rPr>
          <w:sz w:val="26"/>
          <w:szCs w:val="26"/>
        </w:rPr>
        <w:t>LaCretia Fluellen</w:t>
      </w:r>
      <w:r w:rsidRPr="00C4572D">
        <w:rPr>
          <w:sz w:val="26"/>
          <w:szCs w:val="26"/>
        </w:rPr>
        <w:t xml:space="preserve"> against P</w:t>
      </w:r>
      <w:r>
        <w:rPr>
          <w:sz w:val="26"/>
          <w:szCs w:val="26"/>
        </w:rPr>
        <w:t>ECO Energy Company</w:t>
      </w:r>
      <w:r w:rsidRPr="00C4572D">
        <w:rPr>
          <w:sz w:val="26"/>
          <w:szCs w:val="26"/>
        </w:rPr>
        <w:t xml:space="preserve"> at Docket No. </w:t>
      </w:r>
      <w:r>
        <w:rPr>
          <w:sz w:val="26"/>
          <w:szCs w:val="26"/>
        </w:rPr>
        <w:t>F</w:t>
      </w:r>
      <w:r w:rsidRPr="00C4572D">
        <w:rPr>
          <w:sz w:val="26"/>
          <w:szCs w:val="26"/>
        </w:rPr>
        <w:t>-20</w:t>
      </w:r>
      <w:r>
        <w:rPr>
          <w:sz w:val="26"/>
          <w:szCs w:val="26"/>
        </w:rPr>
        <w:t>20</w:t>
      </w:r>
      <w:r w:rsidRPr="00C4572D">
        <w:rPr>
          <w:sz w:val="26"/>
          <w:szCs w:val="26"/>
        </w:rPr>
        <w:t>-</w:t>
      </w:r>
      <w:r>
        <w:rPr>
          <w:sz w:val="26"/>
          <w:szCs w:val="26"/>
        </w:rPr>
        <w:t>3021486</w:t>
      </w:r>
      <w:r w:rsidRPr="00C4572D">
        <w:rPr>
          <w:sz w:val="26"/>
          <w:szCs w:val="26"/>
        </w:rPr>
        <w:t xml:space="preserve"> is dismissed, consistent with this Opinion and Order.</w:t>
      </w:r>
    </w:p>
    <w:p w14:paraId="1C451C4E" w14:textId="77777777" w:rsidR="00DC4A4E" w:rsidRPr="00C4572D" w:rsidRDefault="00DC4A4E" w:rsidP="00974576">
      <w:pPr>
        <w:tabs>
          <w:tab w:val="left" w:pos="-720"/>
        </w:tabs>
        <w:suppressAutoHyphens/>
        <w:spacing w:line="360" w:lineRule="auto"/>
        <w:rPr>
          <w:sz w:val="26"/>
          <w:szCs w:val="26"/>
        </w:rPr>
      </w:pPr>
    </w:p>
    <w:p w14:paraId="321B3D06" w14:textId="4C9DD3E8" w:rsidR="00DC4A4E" w:rsidRPr="00C4572D" w:rsidRDefault="00DC4A4E" w:rsidP="00974576">
      <w:pPr>
        <w:keepNext/>
        <w:keepLines/>
        <w:widowControl/>
        <w:numPr>
          <w:ilvl w:val="0"/>
          <w:numId w:val="2"/>
        </w:numPr>
        <w:tabs>
          <w:tab w:val="left" w:pos="-720"/>
        </w:tabs>
        <w:suppressAutoHyphens/>
        <w:spacing w:line="360" w:lineRule="auto"/>
        <w:ind w:left="0" w:firstLine="1440"/>
        <w:rPr>
          <w:sz w:val="26"/>
          <w:szCs w:val="26"/>
        </w:rPr>
      </w:pPr>
      <w:r w:rsidRPr="00C4572D">
        <w:rPr>
          <w:sz w:val="26"/>
          <w:szCs w:val="26"/>
        </w:rPr>
        <w:t xml:space="preserve">That the proceeding docketed at </w:t>
      </w:r>
      <w:r>
        <w:rPr>
          <w:sz w:val="26"/>
          <w:szCs w:val="26"/>
        </w:rPr>
        <w:t>F</w:t>
      </w:r>
      <w:r w:rsidRPr="00C4572D">
        <w:rPr>
          <w:sz w:val="26"/>
          <w:szCs w:val="26"/>
        </w:rPr>
        <w:t>-20</w:t>
      </w:r>
      <w:r>
        <w:rPr>
          <w:sz w:val="26"/>
          <w:szCs w:val="26"/>
        </w:rPr>
        <w:t>20</w:t>
      </w:r>
      <w:r w:rsidRPr="00C4572D">
        <w:rPr>
          <w:sz w:val="26"/>
          <w:szCs w:val="26"/>
        </w:rPr>
        <w:t>-</w:t>
      </w:r>
      <w:r>
        <w:rPr>
          <w:sz w:val="26"/>
          <w:szCs w:val="26"/>
        </w:rPr>
        <w:t>3021486</w:t>
      </w:r>
      <w:r w:rsidRPr="00C4572D">
        <w:rPr>
          <w:sz w:val="26"/>
          <w:szCs w:val="26"/>
        </w:rPr>
        <w:t xml:space="preserve"> is marked closed.</w:t>
      </w:r>
    </w:p>
    <w:p w14:paraId="5A00D3E3" w14:textId="77777777" w:rsidR="00DC4A4E" w:rsidRDefault="00DC4A4E" w:rsidP="0062794F">
      <w:pPr>
        <w:keepNext/>
        <w:keepLines/>
        <w:tabs>
          <w:tab w:val="left" w:pos="-720"/>
        </w:tabs>
        <w:suppressAutoHyphens/>
        <w:spacing w:line="360" w:lineRule="auto"/>
        <w:ind w:left="1440"/>
        <w:rPr>
          <w:szCs w:val="26"/>
        </w:rPr>
      </w:pPr>
    </w:p>
    <w:p w14:paraId="6CCD9AF5" w14:textId="5497A135" w:rsidR="00DC4A4E" w:rsidRPr="00DC2374" w:rsidRDefault="00DC4A4E" w:rsidP="00DC4A4E">
      <w:pPr>
        <w:ind w:firstLine="1440"/>
        <w:rPr>
          <w:b/>
          <w:sz w:val="26"/>
          <w:szCs w:val="26"/>
        </w:rPr>
      </w:pPr>
      <w:r>
        <w:rPr>
          <w:b/>
          <w:sz w:val="26"/>
          <w:szCs w:val="26"/>
        </w:rPr>
        <w:tab/>
      </w:r>
      <w:r>
        <w:rPr>
          <w:b/>
          <w:sz w:val="26"/>
          <w:szCs w:val="26"/>
        </w:rPr>
        <w:tab/>
      </w:r>
      <w:r>
        <w:rPr>
          <w:b/>
          <w:sz w:val="26"/>
          <w:szCs w:val="26"/>
        </w:rPr>
        <w:tab/>
      </w:r>
      <w:r>
        <w:rPr>
          <w:b/>
          <w:sz w:val="26"/>
          <w:szCs w:val="26"/>
        </w:rPr>
        <w:tab/>
      </w:r>
      <w:r w:rsidR="00974576">
        <w:rPr>
          <w:b/>
          <w:sz w:val="26"/>
          <w:szCs w:val="26"/>
        </w:rPr>
        <w:tab/>
      </w:r>
      <w:r w:rsidRPr="000D6043">
        <w:rPr>
          <w:b/>
          <w:sz w:val="26"/>
          <w:szCs w:val="26"/>
        </w:rPr>
        <w:t>BY THE COMMISSION,</w:t>
      </w:r>
    </w:p>
    <w:p w14:paraId="26BE8DA2" w14:textId="250F91A0" w:rsidR="00DC4A4E" w:rsidRDefault="00085219" w:rsidP="00DC4A4E">
      <w:pPr>
        <w:keepNext/>
        <w:keepLines/>
        <w:rPr>
          <w:sz w:val="26"/>
          <w:szCs w:val="26"/>
        </w:rPr>
      </w:pPr>
      <w:r w:rsidRPr="009F01BA">
        <w:rPr>
          <w:b/>
          <w:noProof/>
        </w:rPr>
        <w:drawing>
          <wp:anchor distT="0" distB="0" distL="114300" distR="114300" simplePos="0" relativeHeight="251659264" behindDoc="1" locked="0" layoutInCell="1" allowOverlap="1" wp14:anchorId="57212B71" wp14:editId="31DD3B6D">
            <wp:simplePos x="0" y="0"/>
            <wp:positionH relativeFrom="column">
              <wp:posOffset>3076575</wp:posOffset>
            </wp:positionH>
            <wp:positionV relativeFrom="paragraph">
              <wp:posOffset>8890</wp:posOffset>
            </wp:positionV>
            <wp:extent cx="2200275" cy="838200"/>
            <wp:effectExtent l="0" t="0" r="952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p>
    <w:p w14:paraId="0E3AC73E" w14:textId="369C4BAA" w:rsidR="00974576" w:rsidRDefault="00085219" w:rsidP="00085219">
      <w:pPr>
        <w:keepNext/>
        <w:keepLines/>
        <w:tabs>
          <w:tab w:val="left" w:pos="6045"/>
        </w:tabs>
        <w:rPr>
          <w:sz w:val="26"/>
          <w:szCs w:val="26"/>
        </w:rPr>
      </w:pPr>
      <w:r>
        <w:rPr>
          <w:sz w:val="26"/>
          <w:szCs w:val="26"/>
        </w:rPr>
        <w:tab/>
      </w:r>
    </w:p>
    <w:p w14:paraId="774C5797" w14:textId="77777777" w:rsidR="00DC4A4E" w:rsidRDefault="00DC4A4E" w:rsidP="00DC4A4E">
      <w:pPr>
        <w:keepNext/>
        <w:keepLines/>
        <w:rPr>
          <w:sz w:val="26"/>
          <w:szCs w:val="26"/>
        </w:rPr>
      </w:pPr>
    </w:p>
    <w:p w14:paraId="46C93098" w14:textId="77777777" w:rsidR="00DC4A4E" w:rsidRDefault="00DC4A4E" w:rsidP="00DC4A4E">
      <w:pPr>
        <w:keepNext/>
        <w:keepLines/>
        <w:rPr>
          <w:sz w:val="26"/>
          <w:szCs w:val="26"/>
        </w:rPr>
      </w:pPr>
    </w:p>
    <w:p w14:paraId="2F5A110F" w14:textId="77777777" w:rsidR="00DC4A4E" w:rsidRPr="000D6043" w:rsidRDefault="00DC4A4E" w:rsidP="00974576">
      <w:pPr>
        <w:keepNext/>
        <w:keepLines/>
        <w:ind w:left="4320" w:firstLine="720"/>
        <w:rPr>
          <w:sz w:val="26"/>
          <w:szCs w:val="26"/>
        </w:rPr>
      </w:pPr>
      <w:r>
        <w:rPr>
          <w:sz w:val="26"/>
          <w:szCs w:val="26"/>
        </w:rPr>
        <w:t>Rosemary Chiavetta</w:t>
      </w:r>
    </w:p>
    <w:p w14:paraId="2D4D3E1F" w14:textId="581054C1" w:rsidR="00DC4A4E" w:rsidRDefault="00DC4A4E" w:rsidP="00DC4A4E">
      <w:pPr>
        <w:keepNext/>
        <w:keepLines/>
        <w:rPr>
          <w:sz w:val="26"/>
          <w:szCs w:val="26"/>
        </w:rPr>
      </w:pP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00974576">
        <w:rPr>
          <w:sz w:val="26"/>
          <w:szCs w:val="26"/>
        </w:rPr>
        <w:tab/>
      </w:r>
      <w:r w:rsidRPr="000D6043">
        <w:rPr>
          <w:sz w:val="26"/>
          <w:szCs w:val="26"/>
        </w:rPr>
        <w:t>Secretary</w:t>
      </w:r>
    </w:p>
    <w:p w14:paraId="075504A8" w14:textId="77777777" w:rsidR="00DC4A4E" w:rsidRDefault="00DC4A4E" w:rsidP="00DC4A4E">
      <w:pPr>
        <w:keepNext/>
        <w:keepLines/>
        <w:rPr>
          <w:sz w:val="26"/>
          <w:szCs w:val="26"/>
        </w:rPr>
      </w:pPr>
    </w:p>
    <w:p w14:paraId="171944F2" w14:textId="77777777" w:rsidR="00DC4A4E" w:rsidRDefault="00DC4A4E" w:rsidP="00DC4A4E">
      <w:pPr>
        <w:keepNext/>
        <w:keepLines/>
        <w:rPr>
          <w:sz w:val="26"/>
          <w:szCs w:val="26"/>
        </w:rPr>
      </w:pPr>
      <w:r>
        <w:rPr>
          <w:sz w:val="26"/>
          <w:szCs w:val="26"/>
        </w:rPr>
        <w:t>(SEAL)</w:t>
      </w:r>
    </w:p>
    <w:p w14:paraId="3F76C3E4" w14:textId="77777777" w:rsidR="00DC4A4E" w:rsidRDefault="00DC4A4E" w:rsidP="00DC4A4E">
      <w:pPr>
        <w:keepNext/>
        <w:keepLines/>
        <w:rPr>
          <w:sz w:val="26"/>
          <w:szCs w:val="26"/>
        </w:rPr>
      </w:pPr>
    </w:p>
    <w:p w14:paraId="295D9A1A" w14:textId="77777777" w:rsidR="001014C4" w:rsidRDefault="00DC4A4E" w:rsidP="001014C4">
      <w:pPr>
        <w:keepNext/>
        <w:keepLines/>
        <w:tabs>
          <w:tab w:val="left" w:pos="-720"/>
        </w:tabs>
        <w:suppressAutoHyphens/>
        <w:rPr>
          <w:sz w:val="26"/>
          <w:szCs w:val="26"/>
        </w:rPr>
      </w:pPr>
      <w:r w:rsidRPr="00AD292A">
        <w:rPr>
          <w:sz w:val="26"/>
          <w:szCs w:val="26"/>
        </w:rPr>
        <w:t>ORDER ADOPTED:</w:t>
      </w:r>
      <w:r w:rsidRPr="001B2BFB">
        <w:rPr>
          <w:sz w:val="26"/>
          <w:szCs w:val="26"/>
        </w:rPr>
        <w:t xml:space="preserve"> </w:t>
      </w:r>
      <w:r>
        <w:rPr>
          <w:sz w:val="26"/>
          <w:szCs w:val="26"/>
        </w:rPr>
        <w:t xml:space="preserve"> July 15, 2021</w:t>
      </w:r>
    </w:p>
    <w:p w14:paraId="680D4B4F" w14:textId="77777777" w:rsidR="001014C4" w:rsidRDefault="001014C4" w:rsidP="001014C4">
      <w:pPr>
        <w:keepNext/>
        <w:keepLines/>
        <w:tabs>
          <w:tab w:val="left" w:pos="-720"/>
        </w:tabs>
        <w:suppressAutoHyphens/>
        <w:rPr>
          <w:sz w:val="26"/>
          <w:szCs w:val="26"/>
        </w:rPr>
      </w:pPr>
    </w:p>
    <w:p w14:paraId="2084A569" w14:textId="5BC1F6B6" w:rsidR="004933B6" w:rsidRPr="001014C4" w:rsidRDefault="00DC4A4E" w:rsidP="001014C4">
      <w:pPr>
        <w:keepNext/>
        <w:keepLines/>
        <w:tabs>
          <w:tab w:val="left" w:pos="-720"/>
        </w:tabs>
        <w:suppressAutoHyphens/>
        <w:rPr>
          <w:sz w:val="26"/>
          <w:szCs w:val="26"/>
        </w:rPr>
      </w:pPr>
      <w:r w:rsidRPr="00507493">
        <w:rPr>
          <w:sz w:val="26"/>
          <w:szCs w:val="26"/>
        </w:rPr>
        <w:t xml:space="preserve">ORDER ENTERED: </w:t>
      </w:r>
      <w:r>
        <w:rPr>
          <w:sz w:val="26"/>
          <w:szCs w:val="26"/>
        </w:rPr>
        <w:t xml:space="preserve"> </w:t>
      </w:r>
      <w:r w:rsidR="00085219">
        <w:rPr>
          <w:sz w:val="26"/>
          <w:szCs w:val="26"/>
        </w:rPr>
        <w:t>July 15, 2021</w:t>
      </w:r>
    </w:p>
    <w:p w14:paraId="1DFFCAEF" w14:textId="77777777" w:rsidR="00C826BB" w:rsidRDefault="00C826BB" w:rsidP="00C826BB">
      <w:pPr>
        <w:pStyle w:val="BodyText"/>
        <w:rPr>
          <w:rFonts w:eastAsia="Batang"/>
          <w:szCs w:val="26"/>
        </w:rPr>
      </w:pPr>
    </w:p>
    <w:sectPr w:rsidR="00C826BB" w:rsidSect="001D1F91">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AD196D" w14:textId="77777777" w:rsidR="00282200" w:rsidRDefault="00282200" w:rsidP="001D1F91">
      <w:r>
        <w:separator/>
      </w:r>
    </w:p>
  </w:endnote>
  <w:endnote w:type="continuationSeparator" w:id="0">
    <w:p w14:paraId="2BC53FC3" w14:textId="77777777" w:rsidR="00282200" w:rsidRDefault="00282200" w:rsidP="001D1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W1)">
    <w:altName w:val="Times New Roman"/>
    <w:charset w:val="00"/>
    <w:family w:val="roman"/>
    <w:pitch w:val="variable"/>
    <w:sig w:usb0="00000000" w:usb1="80000000" w:usb2="00000008"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48133195"/>
      <w:docPartObj>
        <w:docPartGallery w:val="Page Numbers (Bottom of Page)"/>
        <w:docPartUnique/>
      </w:docPartObj>
    </w:sdtPr>
    <w:sdtEndPr>
      <w:rPr>
        <w:noProof/>
        <w:sz w:val="26"/>
        <w:szCs w:val="26"/>
      </w:rPr>
    </w:sdtEndPr>
    <w:sdtContent>
      <w:p w14:paraId="44441DBE" w14:textId="26F8C2B2" w:rsidR="001D1F91" w:rsidRPr="0062794F" w:rsidRDefault="001D1F91" w:rsidP="0062794F">
        <w:pPr>
          <w:pStyle w:val="Footer"/>
          <w:jc w:val="center"/>
          <w:rPr>
            <w:sz w:val="26"/>
            <w:szCs w:val="26"/>
          </w:rPr>
        </w:pPr>
        <w:r w:rsidRPr="002B4A16">
          <w:rPr>
            <w:sz w:val="26"/>
            <w:szCs w:val="26"/>
          </w:rPr>
          <w:fldChar w:fldCharType="begin"/>
        </w:r>
        <w:r w:rsidRPr="002B4A16">
          <w:rPr>
            <w:sz w:val="26"/>
            <w:szCs w:val="26"/>
          </w:rPr>
          <w:instrText xml:space="preserve"> PAGE   \* MERGEFORMAT </w:instrText>
        </w:r>
        <w:r w:rsidRPr="002B4A16">
          <w:rPr>
            <w:sz w:val="26"/>
            <w:szCs w:val="26"/>
          </w:rPr>
          <w:fldChar w:fldCharType="separate"/>
        </w:r>
        <w:r w:rsidRPr="002B4A16">
          <w:rPr>
            <w:noProof/>
            <w:sz w:val="26"/>
            <w:szCs w:val="26"/>
          </w:rPr>
          <w:t>2</w:t>
        </w:r>
        <w:r w:rsidRPr="002B4A16">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ED5F35" w14:textId="77777777" w:rsidR="00282200" w:rsidRDefault="00282200" w:rsidP="001D1F91">
      <w:r>
        <w:separator/>
      </w:r>
    </w:p>
  </w:footnote>
  <w:footnote w:type="continuationSeparator" w:id="0">
    <w:p w14:paraId="36946D57" w14:textId="77777777" w:rsidR="00282200" w:rsidRDefault="00282200" w:rsidP="001D1F91">
      <w:r>
        <w:continuationSeparator/>
      </w:r>
    </w:p>
  </w:footnote>
  <w:footnote w:id="1">
    <w:p w14:paraId="7A0B1802" w14:textId="420C76D7" w:rsidR="00605A36" w:rsidRPr="00605A36" w:rsidRDefault="00605A36" w:rsidP="0062794F">
      <w:pPr>
        <w:pStyle w:val="FootnoteText"/>
        <w:spacing w:line="240" w:lineRule="auto"/>
        <w:ind w:firstLine="720"/>
        <w:rPr>
          <w:sz w:val="26"/>
          <w:szCs w:val="26"/>
        </w:rPr>
      </w:pPr>
      <w:r w:rsidRPr="00605A36">
        <w:rPr>
          <w:rStyle w:val="FootnoteReference"/>
          <w:sz w:val="26"/>
          <w:szCs w:val="26"/>
        </w:rPr>
        <w:footnoteRef/>
      </w:r>
      <w:r w:rsidRPr="00605A36">
        <w:rPr>
          <w:sz w:val="26"/>
          <w:szCs w:val="26"/>
        </w:rPr>
        <w:t xml:space="preserve"> </w:t>
      </w:r>
      <w:r>
        <w:rPr>
          <w:sz w:val="26"/>
          <w:szCs w:val="26"/>
        </w:rPr>
        <w:tab/>
        <w:t>We note that the Exceptions were filed one day late; however, for purposes of this Opinion and Order we will treat them as being filed on time.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1C592"/>
    <w:multiLevelType w:val="singleLevel"/>
    <w:tmpl w:val="203DADC8"/>
    <w:lvl w:ilvl="0">
      <w:start w:val="1"/>
      <w:numFmt w:val="decimal"/>
      <w:lvlText w:val="%1."/>
      <w:lvlJc w:val="left"/>
      <w:pPr>
        <w:tabs>
          <w:tab w:val="num" w:pos="2160"/>
        </w:tabs>
        <w:ind w:firstLine="1512"/>
      </w:pPr>
      <w:rPr>
        <w:snapToGrid/>
        <w:sz w:val="24"/>
        <w:szCs w:val="24"/>
      </w:rPr>
    </w:lvl>
  </w:abstractNum>
  <w:abstractNum w:abstractNumId="1" w15:restartNumberingAfterBreak="0">
    <w:nsid w:val="12BF5D13"/>
    <w:multiLevelType w:val="hybridMultilevel"/>
    <w:tmpl w:val="B3881E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207CE9"/>
    <w:multiLevelType w:val="hybridMultilevel"/>
    <w:tmpl w:val="853A6642"/>
    <w:lvl w:ilvl="0" w:tplc="188030D0">
      <w:start w:val="1"/>
      <w:numFmt w:val="decimal"/>
      <w:lvlText w:val="%1."/>
      <w:lvlJc w:val="left"/>
      <w:pPr>
        <w:ind w:left="720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C98"/>
    <w:rsid w:val="00004977"/>
    <w:rsid w:val="00004BF3"/>
    <w:rsid w:val="00085219"/>
    <w:rsid w:val="001014C4"/>
    <w:rsid w:val="0013294B"/>
    <w:rsid w:val="00184AF3"/>
    <w:rsid w:val="001D1F91"/>
    <w:rsid w:val="001D31AF"/>
    <w:rsid w:val="00200DD4"/>
    <w:rsid w:val="00227974"/>
    <w:rsid w:val="00230808"/>
    <w:rsid w:val="0023544F"/>
    <w:rsid w:val="0023562F"/>
    <w:rsid w:val="0024023B"/>
    <w:rsid w:val="00275F66"/>
    <w:rsid w:val="00282200"/>
    <w:rsid w:val="002B0E80"/>
    <w:rsid w:val="002B2006"/>
    <w:rsid w:val="002B44AB"/>
    <w:rsid w:val="002B4A16"/>
    <w:rsid w:val="002F1BB4"/>
    <w:rsid w:val="003118B9"/>
    <w:rsid w:val="00321532"/>
    <w:rsid w:val="003230D9"/>
    <w:rsid w:val="00376CA1"/>
    <w:rsid w:val="00390528"/>
    <w:rsid w:val="003E6A83"/>
    <w:rsid w:val="004168EC"/>
    <w:rsid w:val="0044336C"/>
    <w:rsid w:val="00450CBE"/>
    <w:rsid w:val="004828BD"/>
    <w:rsid w:val="004919D2"/>
    <w:rsid w:val="004933B6"/>
    <w:rsid w:val="004A6148"/>
    <w:rsid w:val="004B6C98"/>
    <w:rsid w:val="004F51C0"/>
    <w:rsid w:val="005414BF"/>
    <w:rsid w:val="0057584B"/>
    <w:rsid w:val="005D756D"/>
    <w:rsid w:val="005F66BE"/>
    <w:rsid w:val="00605A36"/>
    <w:rsid w:val="0062794F"/>
    <w:rsid w:val="00645593"/>
    <w:rsid w:val="00647337"/>
    <w:rsid w:val="006704B6"/>
    <w:rsid w:val="006903D0"/>
    <w:rsid w:val="006A27C7"/>
    <w:rsid w:val="006B255C"/>
    <w:rsid w:val="006B77BF"/>
    <w:rsid w:val="006C3CAC"/>
    <w:rsid w:val="006C63B9"/>
    <w:rsid w:val="006F5B32"/>
    <w:rsid w:val="00707D4B"/>
    <w:rsid w:val="00717D7A"/>
    <w:rsid w:val="00720E60"/>
    <w:rsid w:val="007349AD"/>
    <w:rsid w:val="007A3072"/>
    <w:rsid w:val="007B7692"/>
    <w:rsid w:val="007D5D66"/>
    <w:rsid w:val="007E228B"/>
    <w:rsid w:val="00805A0B"/>
    <w:rsid w:val="00805F57"/>
    <w:rsid w:val="00893A71"/>
    <w:rsid w:val="00974576"/>
    <w:rsid w:val="009A5C94"/>
    <w:rsid w:val="009C0A4B"/>
    <w:rsid w:val="009F5CEF"/>
    <w:rsid w:val="00A1187F"/>
    <w:rsid w:val="00A1206B"/>
    <w:rsid w:val="00A123ED"/>
    <w:rsid w:val="00A303CA"/>
    <w:rsid w:val="00A40BE5"/>
    <w:rsid w:val="00A43B9A"/>
    <w:rsid w:val="00A45066"/>
    <w:rsid w:val="00A97878"/>
    <w:rsid w:val="00AF592F"/>
    <w:rsid w:val="00B015DA"/>
    <w:rsid w:val="00B0562A"/>
    <w:rsid w:val="00B36D8E"/>
    <w:rsid w:val="00BB21E9"/>
    <w:rsid w:val="00BB3539"/>
    <w:rsid w:val="00BC2AA3"/>
    <w:rsid w:val="00BC56FE"/>
    <w:rsid w:val="00BF3BAB"/>
    <w:rsid w:val="00C13E6A"/>
    <w:rsid w:val="00C826BB"/>
    <w:rsid w:val="00C9310E"/>
    <w:rsid w:val="00CA52A2"/>
    <w:rsid w:val="00CB7D1F"/>
    <w:rsid w:val="00CD0D7E"/>
    <w:rsid w:val="00CD5B92"/>
    <w:rsid w:val="00CE26BE"/>
    <w:rsid w:val="00D27B2F"/>
    <w:rsid w:val="00D47D1D"/>
    <w:rsid w:val="00D91054"/>
    <w:rsid w:val="00DB6B62"/>
    <w:rsid w:val="00DC2E7F"/>
    <w:rsid w:val="00DC4A4E"/>
    <w:rsid w:val="00DD59D9"/>
    <w:rsid w:val="00DD6B92"/>
    <w:rsid w:val="00E0254E"/>
    <w:rsid w:val="00E74E93"/>
    <w:rsid w:val="00E77FF6"/>
    <w:rsid w:val="00F10025"/>
    <w:rsid w:val="00F54085"/>
    <w:rsid w:val="00F762EB"/>
    <w:rsid w:val="00FD721F"/>
    <w:rsid w:val="00FE4582"/>
    <w:rsid w:val="00FF2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96C044"/>
  <w15:chartTrackingRefBased/>
  <w15:docId w15:val="{18514350-5531-462B-A852-D98F66E3B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C98"/>
    <w:pPr>
      <w:widowControl w:val="0"/>
    </w:pPr>
    <w:rPr>
      <w:rFonts w:eastAsia="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B6C98"/>
    <w:rPr>
      <w:rFonts w:ascii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91054"/>
    <w:pPr>
      <w:ind w:left="720"/>
      <w:contextualSpacing/>
    </w:pPr>
  </w:style>
  <w:style w:type="character" w:styleId="Hyperlink">
    <w:name w:val="Hyperlink"/>
    <w:basedOn w:val="DefaultParagraphFont"/>
    <w:rsid w:val="00D91054"/>
    <w:rPr>
      <w:color w:val="0000FF"/>
      <w:u w:val="single"/>
    </w:rPr>
  </w:style>
  <w:style w:type="paragraph" w:styleId="BodyText">
    <w:name w:val="Body Text"/>
    <w:basedOn w:val="Normal"/>
    <w:link w:val="BodyTextChar"/>
    <w:rsid w:val="00C826BB"/>
    <w:pPr>
      <w:widowControl/>
      <w:spacing w:line="360" w:lineRule="auto"/>
      <w:ind w:firstLine="1440"/>
    </w:pPr>
    <w:rPr>
      <w:sz w:val="26"/>
    </w:rPr>
  </w:style>
  <w:style w:type="character" w:customStyle="1" w:styleId="BodyTextChar">
    <w:name w:val="Body Text Char"/>
    <w:basedOn w:val="DefaultParagraphFont"/>
    <w:link w:val="BodyText"/>
    <w:rsid w:val="00C826BB"/>
    <w:rPr>
      <w:rFonts w:eastAsia="Times New Roman"/>
      <w:sz w:val="26"/>
      <w:szCs w:val="20"/>
    </w:rPr>
  </w:style>
  <w:style w:type="paragraph" w:styleId="Header">
    <w:name w:val="header"/>
    <w:basedOn w:val="Normal"/>
    <w:link w:val="HeaderChar"/>
    <w:uiPriority w:val="99"/>
    <w:unhideWhenUsed/>
    <w:rsid w:val="001D1F91"/>
    <w:pPr>
      <w:tabs>
        <w:tab w:val="center" w:pos="4680"/>
        <w:tab w:val="right" w:pos="9360"/>
      </w:tabs>
    </w:pPr>
  </w:style>
  <w:style w:type="character" w:customStyle="1" w:styleId="HeaderChar">
    <w:name w:val="Header Char"/>
    <w:basedOn w:val="DefaultParagraphFont"/>
    <w:link w:val="Header"/>
    <w:uiPriority w:val="99"/>
    <w:rsid w:val="001D1F91"/>
    <w:rPr>
      <w:rFonts w:eastAsia="Times New Roman"/>
      <w:sz w:val="20"/>
      <w:szCs w:val="20"/>
    </w:rPr>
  </w:style>
  <w:style w:type="paragraph" w:styleId="Footer">
    <w:name w:val="footer"/>
    <w:basedOn w:val="Normal"/>
    <w:link w:val="FooterChar"/>
    <w:uiPriority w:val="99"/>
    <w:unhideWhenUsed/>
    <w:rsid w:val="001D1F91"/>
    <w:pPr>
      <w:tabs>
        <w:tab w:val="center" w:pos="4680"/>
        <w:tab w:val="right" w:pos="9360"/>
      </w:tabs>
    </w:pPr>
  </w:style>
  <w:style w:type="character" w:customStyle="1" w:styleId="FooterChar">
    <w:name w:val="Footer Char"/>
    <w:basedOn w:val="DefaultParagraphFont"/>
    <w:link w:val="Footer"/>
    <w:uiPriority w:val="99"/>
    <w:rsid w:val="001D1F91"/>
    <w:rPr>
      <w:rFonts w:eastAsia="Times New Roman"/>
      <w:sz w:val="20"/>
      <w:szCs w:val="20"/>
    </w:rPr>
  </w:style>
  <w:style w:type="paragraph" w:styleId="FootnoteText">
    <w:name w:val="footnote text"/>
    <w:aliases w:val="Footnote Text Char2 Char,Footnote Text Char Char1 Char,Footnote Text Char1 Char Char Char,Footnote Text Char Char Char Char Char,Footnote Text Char1 Char Char Char Char Char,Footnote Text Char1,fn,ALTS FOOTNOTE,FOOTNOTE"/>
    <w:basedOn w:val="Normal"/>
    <w:link w:val="FootnoteTextChar2"/>
    <w:uiPriority w:val="99"/>
    <w:qFormat/>
    <w:rsid w:val="00B0562A"/>
    <w:pPr>
      <w:autoSpaceDE w:val="0"/>
      <w:autoSpaceDN w:val="0"/>
      <w:adjustRightInd w:val="0"/>
      <w:spacing w:line="360" w:lineRule="auto"/>
      <w:ind w:firstLine="1440"/>
    </w:pPr>
  </w:style>
  <w:style w:type="character" w:customStyle="1" w:styleId="FootnoteTextChar">
    <w:name w:val="Footnote Text Char"/>
    <w:basedOn w:val="DefaultParagraphFont"/>
    <w:uiPriority w:val="99"/>
    <w:semiHidden/>
    <w:rsid w:val="00B0562A"/>
    <w:rPr>
      <w:rFonts w:eastAsia="Times New Roman"/>
      <w:sz w:val="20"/>
      <w:szCs w:val="20"/>
    </w:rPr>
  </w:style>
  <w:style w:type="character" w:customStyle="1" w:styleId="FootnoteTextChar2">
    <w:name w:val="Footnote Text Char2"/>
    <w:aliases w:val="Footnote Text Char2 Char Char,Footnote Text Char Char1 Char Char,Footnote Text Char1 Char Char Char Char,Footnote Text Char Char Char Char Char Char,Footnote Text Char1 Char Char Char Char Char Char,Footnote Text Char1 Char,fn Char"/>
    <w:basedOn w:val="DefaultParagraphFont"/>
    <w:link w:val="FootnoteText"/>
    <w:uiPriority w:val="99"/>
    <w:rsid w:val="00B0562A"/>
    <w:rPr>
      <w:rFonts w:eastAsia="Times New Roman"/>
      <w:sz w:val="20"/>
      <w:szCs w:val="20"/>
    </w:rPr>
  </w:style>
  <w:style w:type="character" w:styleId="FootnoteReference">
    <w:name w:val="footnote reference"/>
    <w:aliases w:val="fr,o,Style 6,Style 20,Style 9,footnote text"/>
    <w:basedOn w:val="DefaultParagraphFont"/>
    <w:uiPriority w:val="99"/>
    <w:rsid w:val="00B0562A"/>
    <w:rPr>
      <w:vertAlign w:val="superscript"/>
    </w:rPr>
  </w:style>
  <w:style w:type="character" w:styleId="CommentReference">
    <w:name w:val="annotation reference"/>
    <w:basedOn w:val="DefaultParagraphFont"/>
    <w:uiPriority w:val="99"/>
    <w:semiHidden/>
    <w:unhideWhenUsed/>
    <w:rsid w:val="004919D2"/>
    <w:rPr>
      <w:sz w:val="16"/>
      <w:szCs w:val="16"/>
    </w:rPr>
  </w:style>
  <w:style w:type="paragraph" w:styleId="CommentText">
    <w:name w:val="annotation text"/>
    <w:basedOn w:val="Normal"/>
    <w:link w:val="CommentTextChar"/>
    <w:uiPriority w:val="99"/>
    <w:unhideWhenUsed/>
    <w:rsid w:val="004919D2"/>
  </w:style>
  <w:style w:type="character" w:customStyle="1" w:styleId="CommentTextChar">
    <w:name w:val="Comment Text Char"/>
    <w:basedOn w:val="DefaultParagraphFont"/>
    <w:link w:val="CommentText"/>
    <w:uiPriority w:val="99"/>
    <w:rsid w:val="004919D2"/>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4919D2"/>
    <w:rPr>
      <w:b/>
      <w:bCs/>
    </w:rPr>
  </w:style>
  <w:style w:type="character" w:customStyle="1" w:styleId="CommentSubjectChar">
    <w:name w:val="Comment Subject Char"/>
    <w:basedOn w:val="CommentTextChar"/>
    <w:link w:val="CommentSubject"/>
    <w:uiPriority w:val="99"/>
    <w:semiHidden/>
    <w:rsid w:val="004919D2"/>
    <w:rPr>
      <w:rFonts w:eastAsia="Times New Roman"/>
      <w:b/>
      <w:bCs/>
      <w:sz w:val="20"/>
      <w:szCs w:val="20"/>
    </w:rPr>
  </w:style>
  <w:style w:type="paragraph" w:styleId="BalloonText">
    <w:name w:val="Balloon Text"/>
    <w:basedOn w:val="Normal"/>
    <w:link w:val="BalloonTextChar"/>
    <w:uiPriority w:val="99"/>
    <w:semiHidden/>
    <w:unhideWhenUsed/>
    <w:rsid w:val="006279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94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DD04A-24AE-4242-8D13-9D9B7FBC0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Pages>
  <Words>2937</Words>
  <Characters>16741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Hisiro</dc:creator>
  <cp:keywords/>
  <dc:description/>
  <cp:lastModifiedBy>Sheffer, Ryan</cp:lastModifiedBy>
  <cp:revision>10</cp:revision>
  <dcterms:created xsi:type="dcterms:W3CDTF">2021-06-30T22:21:00Z</dcterms:created>
  <dcterms:modified xsi:type="dcterms:W3CDTF">2021-07-15T15:34:00Z</dcterms:modified>
</cp:coreProperties>
</file>