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4FC81" w14:textId="77777777" w:rsidR="006A4A64" w:rsidRPr="00AF2A5C" w:rsidRDefault="006A4A64" w:rsidP="002E09E5">
      <w:pPr>
        <w:widowControl/>
        <w:tabs>
          <w:tab w:val="center" w:pos="4680"/>
        </w:tabs>
        <w:suppressAutoHyphens/>
        <w:jc w:val="center"/>
        <w:rPr>
          <w:b/>
          <w:sz w:val="26"/>
          <w:szCs w:val="26"/>
        </w:rPr>
      </w:pPr>
      <w:r w:rsidRPr="00AF2A5C">
        <w:rPr>
          <w:b/>
          <w:sz w:val="26"/>
          <w:szCs w:val="26"/>
        </w:rPr>
        <w:t>PENNSYLVANIA</w:t>
      </w:r>
    </w:p>
    <w:p w14:paraId="1787ECE8" w14:textId="77777777" w:rsidR="006A4A64" w:rsidRPr="00AF2A5C" w:rsidRDefault="006A4A64" w:rsidP="002E09E5">
      <w:pPr>
        <w:widowControl/>
        <w:tabs>
          <w:tab w:val="center" w:pos="4680"/>
        </w:tabs>
        <w:suppressAutoHyphens/>
        <w:jc w:val="center"/>
        <w:rPr>
          <w:sz w:val="26"/>
          <w:szCs w:val="26"/>
        </w:rPr>
      </w:pPr>
      <w:r w:rsidRPr="00AF2A5C">
        <w:rPr>
          <w:b/>
          <w:sz w:val="26"/>
          <w:szCs w:val="26"/>
        </w:rPr>
        <w:t>PUBLIC UTILITY COMMISSION</w:t>
      </w:r>
    </w:p>
    <w:p w14:paraId="5498467D" w14:textId="77777777" w:rsidR="006A4A64" w:rsidRPr="00AF2A5C" w:rsidRDefault="006A4A64" w:rsidP="002E09E5">
      <w:pPr>
        <w:widowControl/>
        <w:tabs>
          <w:tab w:val="center" w:pos="4680"/>
        </w:tabs>
        <w:suppressAutoHyphens/>
        <w:jc w:val="center"/>
        <w:rPr>
          <w:sz w:val="26"/>
          <w:szCs w:val="26"/>
        </w:rPr>
      </w:pPr>
      <w:r w:rsidRPr="00AF2A5C">
        <w:rPr>
          <w:b/>
          <w:sz w:val="26"/>
          <w:szCs w:val="26"/>
        </w:rPr>
        <w:t>Harrisburg, PA</w:t>
      </w:r>
      <w:r>
        <w:rPr>
          <w:b/>
          <w:sz w:val="26"/>
          <w:szCs w:val="26"/>
        </w:rPr>
        <w:t xml:space="preserve"> </w:t>
      </w:r>
      <w:r w:rsidRPr="00AF2A5C">
        <w:rPr>
          <w:b/>
          <w:sz w:val="26"/>
          <w:szCs w:val="26"/>
        </w:rPr>
        <w:t xml:space="preserve"> 171</w:t>
      </w:r>
      <w:r>
        <w:rPr>
          <w:b/>
          <w:sz w:val="26"/>
          <w:szCs w:val="26"/>
        </w:rPr>
        <w:t>20</w:t>
      </w:r>
    </w:p>
    <w:p w14:paraId="70D50AD0" w14:textId="77777777" w:rsidR="006A4A64" w:rsidRDefault="006A4A64" w:rsidP="002E09E5">
      <w:pPr>
        <w:widowControl/>
        <w:tabs>
          <w:tab w:val="left" w:pos="-720"/>
        </w:tabs>
        <w:suppressAutoHyphens/>
        <w:rPr>
          <w:sz w:val="26"/>
          <w:szCs w:val="26"/>
        </w:rPr>
      </w:pPr>
    </w:p>
    <w:p w14:paraId="380CD2DC" w14:textId="77777777" w:rsidR="006A4A64" w:rsidRPr="00AF2A5C" w:rsidRDefault="006A4A64" w:rsidP="002E09E5">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6A4A64" w:rsidRPr="00AF2A5C" w14:paraId="0646181C" w14:textId="77777777" w:rsidTr="00C743DD">
        <w:tc>
          <w:tcPr>
            <w:tcW w:w="4819" w:type="dxa"/>
          </w:tcPr>
          <w:p w14:paraId="5F022127" w14:textId="77777777" w:rsidR="006A4A64" w:rsidRPr="00933E11" w:rsidRDefault="006A4A64" w:rsidP="002E09E5">
            <w:pPr>
              <w:widowControl/>
              <w:rPr>
                <w:rFonts w:ascii="Times New Roman" w:hAnsi="Times New Roman" w:cs="Times New Roman"/>
                <w:sz w:val="26"/>
                <w:szCs w:val="26"/>
              </w:rPr>
            </w:pPr>
          </w:p>
        </w:tc>
        <w:tc>
          <w:tcPr>
            <w:tcW w:w="4541" w:type="dxa"/>
            <w:hideMark/>
          </w:tcPr>
          <w:p w14:paraId="6FBED033" w14:textId="37E4617A" w:rsidR="006A4A64" w:rsidRPr="00BA522F" w:rsidRDefault="006A4A64" w:rsidP="002E09E5">
            <w:pPr>
              <w:widowControl/>
              <w:jc w:val="right"/>
              <w:rPr>
                <w:rFonts w:ascii="Times New Roman" w:hAnsi="Times New Roman" w:cs="Times New Roman"/>
                <w:sz w:val="26"/>
                <w:szCs w:val="26"/>
              </w:rPr>
            </w:pPr>
            <w:r w:rsidRPr="00BA522F">
              <w:rPr>
                <w:rFonts w:ascii="Times New Roman" w:hAnsi="Times New Roman" w:cs="Times New Roman"/>
                <w:sz w:val="26"/>
                <w:szCs w:val="26"/>
              </w:rPr>
              <w:t xml:space="preserve">Public Meeting held </w:t>
            </w:r>
            <w:r>
              <w:rPr>
                <w:rFonts w:ascii="Times New Roman" w:hAnsi="Times New Roman" w:cs="Times New Roman"/>
                <w:sz w:val="26"/>
                <w:szCs w:val="26"/>
              </w:rPr>
              <w:t>Ju</w:t>
            </w:r>
            <w:r w:rsidR="00F25787">
              <w:rPr>
                <w:rFonts w:ascii="Times New Roman" w:hAnsi="Times New Roman" w:cs="Times New Roman"/>
                <w:sz w:val="26"/>
                <w:szCs w:val="26"/>
              </w:rPr>
              <w:t xml:space="preserve">ly </w:t>
            </w:r>
            <w:r w:rsidR="00516A0E">
              <w:rPr>
                <w:rFonts w:ascii="Times New Roman" w:hAnsi="Times New Roman" w:cs="Times New Roman"/>
                <w:sz w:val="26"/>
                <w:szCs w:val="26"/>
              </w:rPr>
              <w:t>1</w:t>
            </w:r>
            <w:r w:rsidR="00F25787">
              <w:rPr>
                <w:rFonts w:ascii="Times New Roman" w:hAnsi="Times New Roman" w:cs="Times New Roman"/>
                <w:sz w:val="26"/>
                <w:szCs w:val="26"/>
              </w:rPr>
              <w:t>5</w:t>
            </w:r>
            <w:r w:rsidR="003833D5">
              <w:rPr>
                <w:rFonts w:ascii="Times New Roman" w:hAnsi="Times New Roman" w:cs="Times New Roman"/>
                <w:sz w:val="26"/>
                <w:szCs w:val="26"/>
              </w:rPr>
              <w:t>,</w:t>
            </w:r>
            <w:r w:rsidRPr="00BA522F">
              <w:rPr>
                <w:rFonts w:ascii="Times New Roman" w:hAnsi="Times New Roman" w:cs="Times New Roman"/>
                <w:sz w:val="26"/>
                <w:szCs w:val="26"/>
              </w:rPr>
              <w:t xml:space="preserve"> 2021</w:t>
            </w:r>
          </w:p>
        </w:tc>
      </w:tr>
      <w:tr w:rsidR="006A4A64" w:rsidRPr="00AF2A5C" w14:paraId="77747DB2" w14:textId="77777777" w:rsidTr="00C743DD">
        <w:tc>
          <w:tcPr>
            <w:tcW w:w="4819" w:type="dxa"/>
          </w:tcPr>
          <w:p w14:paraId="4A17AD15" w14:textId="77777777" w:rsidR="006A4A64" w:rsidRPr="00BA522F" w:rsidRDefault="006A4A64" w:rsidP="002E09E5">
            <w:pPr>
              <w:widowControl/>
              <w:rPr>
                <w:rFonts w:ascii="Times New Roman" w:hAnsi="Times New Roman" w:cs="Times New Roman"/>
                <w:sz w:val="26"/>
                <w:szCs w:val="26"/>
              </w:rPr>
            </w:pPr>
          </w:p>
          <w:p w14:paraId="0957E057" w14:textId="77777777" w:rsidR="006A4A64" w:rsidRDefault="006A4A64" w:rsidP="002E09E5">
            <w:pPr>
              <w:widowControl/>
              <w:rPr>
                <w:rFonts w:ascii="Times New Roman" w:hAnsi="Times New Roman" w:cs="Times New Roman"/>
                <w:sz w:val="26"/>
                <w:szCs w:val="26"/>
              </w:rPr>
            </w:pPr>
          </w:p>
          <w:p w14:paraId="0B4617B1" w14:textId="77777777" w:rsidR="006A4A64" w:rsidRPr="00BA522F" w:rsidRDefault="006A4A64" w:rsidP="002E09E5">
            <w:pPr>
              <w:widowControl/>
              <w:rPr>
                <w:rFonts w:ascii="Times New Roman" w:hAnsi="Times New Roman" w:cs="Times New Roman"/>
                <w:sz w:val="26"/>
                <w:szCs w:val="26"/>
              </w:rPr>
            </w:pPr>
            <w:r w:rsidRPr="00BA522F">
              <w:rPr>
                <w:rFonts w:ascii="Times New Roman" w:hAnsi="Times New Roman" w:cs="Times New Roman"/>
                <w:sz w:val="26"/>
                <w:szCs w:val="26"/>
              </w:rPr>
              <w:t>Commissioners Present:</w:t>
            </w:r>
          </w:p>
          <w:p w14:paraId="1B07899D" w14:textId="77777777" w:rsidR="006A4A64" w:rsidRPr="00BA522F" w:rsidRDefault="006A4A64" w:rsidP="002E09E5">
            <w:pPr>
              <w:widowControl/>
              <w:rPr>
                <w:rFonts w:ascii="Times New Roman" w:hAnsi="Times New Roman" w:cs="Times New Roman"/>
                <w:sz w:val="26"/>
                <w:szCs w:val="26"/>
              </w:rPr>
            </w:pPr>
          </w:p>
          <w:p w14:paraId="0B371B3D" w14:textId="77777777" w:rsidR="006A4A64" w:rsidRPr="00BA522F" w:rsidRDefault="006A4A64" w:rsidP="002E09E5">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Gladys Brown Dutrieuille, Chairman</w:t>
            </w:r>
          </w:p>
          <w:p w14:paraId="5C1CA669" w14:textId="77777777" w:rsidR="006A4A64" w:rsidRPr="00BA522F" w:rsidRDefault="006A4A64" w:rsidP="002E09E5">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David W. Sweet, Vice Chairman</w:t>
            </w:r>
          </w:p>
          <w:p w14:paraId="5228ED46" w14:textId="77777777" w:rsidR="006A4A64" w:rsidRPr="00BA522F" w:rsidRDefault="006A4A64" w:rsidP="002E09E5">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 xml:space="preserve">John F. Coleman, Jr. </w:t>
            </w:r>
          </w:p>
          <w:p w14:paraId="07237C30" w14:textId="77777777" w:rsidR="006A4A64" w:rsidRPr="00BA522F" w:rsidRDefault="006A4A64" w:rsidP="002E09E5">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Ralph V. Yanora</w:t>
            </w:r>
          </w:p>
          <w:p w14:paraId="775FE42C" w14:textId="77777777" w:rsidR="006A4A64" w:rsidRPr="00BA522F" w:rsidRDefault="006A4A64" w:rsidP="002E09E5">
            <w:pPr>
              <w:widowControl/>
              <w:rPr>
                <w:rFonts w:ascii="Times New Roman" w:hAnsi="Times New Roman" w:cs="Times New Roman"/>
                <w:sz w:val="26"/>
                <w:szCs w:val="26"/>
              </w:rPr>
            </w:pPr>
          </w:p>
        </w:tc>
        <w:tc>
          <w:tcPr>
            <w:tcW w:w="4541" w:type="dxa"/>
          </w:tcPr>
          <w:p w14:paraId="34C168AB" w14:textId="77777777" w:rsidR="006A4A64" w:rsidRPr="00BA522F" w:rsidRDefault="006A4A64" w:rsidP="002E09E5">
            <w:pPr>
              <w:widowControl/>
              <w:jc w:val="right"/>
              <w:rPr>
                <w:rFonts w:ascii="Times New Roman" w:hAnsi="Times New Roman" w:cs="Times New Roman"/>
                <w:sz w:val="26"/>
                <w:szCs w:val="26"/>
              </w:rPr>
            </w:pPr>
          </w:p>
          <w:p w14:paraId="7AD9252F" w14:textId="77777777" w:rsidR="006A4A64" w:rsidRPr="00BA522F" w:rsidRDefault="006A4A64" w:rsidP="002E09E5">
            <w:pPr>
              <w:widowControl/>
              <w:jc w:val="right"/>
              <w:rPr>
                <w:rFonts w:ascii="Times New Roman" w:hAnsi="Times New Roman" w:cs="Times New Roman"/>
                <w:sz w:val="26"/>
                <w:szCs w:val="26"/>
              </w:rPr>
            </w:pPr>
          </w:p>
        </w:tc>
      </w:tr>
      <w:tr w:rsidR="006A4A64" w:rsidRPr="00AF2A5C" w14:paraId="78D510F2" w14:textId="77777777" w:rsidTr="00C743DD">
        <w:tc>
          <w:tcPr>
            <w:tcW w:w="4819" w:type="dxa"/>
          </w:tcPr>
          <w:p w14:paraId="4B071F28" w14:textId="77777777" w:rsidR="006A4A64" w:rsidRPr="00BA522F" w:rsidRDefault="006A4A64" w:rsidP="002E09E5">
            <w:pPr>
              <w:widowControl/>
              <w:rPr>
                <w:rFonts w:ascii="Times New Roman" w:hAnsi="Times New Roman" w:cs="Times New Roman"/>
                <w:sz w:val="26"/>
                <w:szCs w:val="26"/>
              </w:rPr>
            </w:pPr>
          </w:p>
          <w:p w14:paraId="6B43275B" w14:textId="4DDF8FDF" w:rsidR="006A4A64" w:rsidRPr="00BA522F" w:rsidRDefault="006A4A64" w:rsidP="002E09E5">
            <w:pPr>
              <w:widowControl/>
              <w:rPr>
                <w:rFonts w:ascii="Times New Roman" w:hAnsi="Times New Roman" w:cs="Times New Roman"/>
                <w:kern w:val="1"/>
                <w:sz w:val="26"/>
                <w:szCs w:val="26"/>
              </w:rPr>
            </w:pPr>
            <w:r>
              <w:rPr>
                <w:rFonts w:ascii="Times New Roman" w:hAnsi="Times New Roman" w:cs="Times New Roman"/>
                <w:kern w:val="1"/>
                <w:sz w:val="26"/>
                <w:szCs w:val="26"/>
              </w:rPr>
              <w:t>Leslie Griggs</w:t>
            </w:r>
          </w:p>
          <w:p w14:paraId="0A49C87F" w14:textId="77777777" w:rsidR="006A4A64" w:rsidRPr="00BA522F" w:rsidRDefault="006A4A64" w:rsidP="002E09E5">
            <w:pPr>
              <w:widowControl/>
              <w:rPr>
                <w:rFonts w:ascii="Times New Roman" w:hAnsi="Times New Roman" w:cs="Times New Roman"/>
                <w:kern w:val="1"/>
                <w:sz w:val="26"/>
                <w:szCs w:val="26"/>
              </w:rPr>
            </w:pPr>
          </w:p>
          <w:p w14:paraId="4B9D5C1F" w14:textId="39850B02" w:rsidR="006A4A64" w:rsidRPr="00BA522F" w:rsidRDefault="006A4A64" w:rsidP="002E09E5">
            <w:pPr>
              <w:widowControl/>
              <w:rPr>
                <w:rFonts w:ascii="Times New Roman" w:hAnsi="Times New Roman" w:cs="Times New Roman"/>
                <w:kern w:val="1"/>
                <w:sz w:val="26"/>
                <w:szCs w:val="26"/>
              </w:rPr>
            </w:pPr>
            <w:r>
              <w:rPr>
                <w:rFonts w:ascii="Times New Roman" w:hAnsi="Times New Roman" w:cs="Times New Roman"/>
                <w:kern w:val="1"/>
                <w:sz w:val="26"/>
                <w:szCs w:val="26"/>
              </w:rPr>
              <w:tab/>
              <w:t>v.</w:t>
            </w:r>
          </w:p>
          <w:p w14:paraId="6EE3DCA3" w14:textId="77777777" w:rsidR="006A4A64" w:rsidRPr="00BA522F" w:rsidRDefault="006A4A64" w:rsidP="002E09E5">
            <w:pPr>
              <w:widowControl/>
              <w:rPr>
                <w:rFonts w:ascii="Times New Roman" w:hAnsi="Times New Roman" w:cs="Times New Roman"/>
                <w:kern w:val="1"/>
                <w:sz w:val="26"/>
                <w:szCs w:val="26"/>
              </w:rPr>
            </w:pPr>
          </w:p>
          <w:p w14:paraId="36944F14" w14:textId="20067B4B" w:rsidR="006A4A64" w:rsidRPr="00BA522F" w:rsidRDefault="006A4A64" w:rsidP="002E09E5">
            <w:pPr>
              <w:widowControl/>
              <w:rPr>
                <w:rFonts w:ascii="Times New Roman" w:hAnsi="Times New Roman" w:cs="Times New Roman"/>
                <w:kern w:val="1"/>
                <w:sz w:val="26"/>
                <w:szCs w:val="26"/>
              </w:rPr>
            </w:pPr>
            <w:r>
              <w:rPr>
                <w:rFonts w:ascii="Times New Roman" w:hAnsi="Times New Roman" w:cs="Times New Roman"/>
                <w:kern w:val="1"/>
                <w:sz w:val="26"/>
                <w:szCs w:val="26"/>
              </w:rPr>
              <w:t>Philadelphia Gas Works</w:t>
            </w:r>
          </w:p>
          <w:p w14:paraId="72AA8176" w14:textId="77777777" w:rsidR="006A4A64" w:rsidRPr="00BA522F" w:rsidRDefault="006A4A64" w:rsidP="002E09E5">
            <w:pPr>
              <w:widowControl/>
              <w:rPr>
                <w:rFonts w:ascii="Times New Roman" w:hAnsi="Times New Roman" w:cs="Times New Roman"/>
                <w:sz w:val="26"/>
                <w:szCs w:val="26"/>
              </w:rPr>
            </w:pPr>
          </w:p>
        </w:tc>
        <w:tc>
          <w:tcPr>
            <w:tcW w:w="4541" w:type="dxa"/>
            <w:hideMark/>
          </w:tcPr>
          <w:p w14:paraId="12358BD9" w14:textId="77777777" w:rsidR="006A4A64" w:rsidRPr="00BA522F" w:rsidRDefault="006A4A64" w:rsidP="002E09E5">
            <w:pPr>
              <w:widowControl/>
              <w:jc w:val="right"/>
              <w:rPr>
                <w:rFonts w:ascii="Times New Roman" w:hAnsi="Times New Roman" w:cs="Times New Roman"/>
                <w:sz w:val="26"/>
                <w:szCs w:val="26"/>
              </w:rPr>
            </w:pPr>
          </w:p>
          <w:p w14:paraId="2B42C09A" w14:textId="1D93ACFB" w:rsidR="006A4A64" w:rsidRPr="00BA522F" w:rsidRDefault="006A4A64" w:rsidP="002E09E5">
            <w:pPr>
              <w:widowControl/>
              <w:jc w:val="right"/>
              <w:rPr>
                <w:rFonts w:ascii="Times New Roman" w:hAnsi="Times New Roman" w:cs="Times New Roman"/>
                <w:sz w:val="26"/>
                <w:szCs w:val="26"/>
              </w:rPr>
            </w:pPr>
            <w:bookmarkStart w:id="0" w:name="_Hlk67560304"/>
            <w:r>
              <w:rPr>
                <w:rFonts w:ascii="Times New Roman" w:hAnsi="Times New Roman" w:cs="Times New Roman"/>
                <w:sz w:val="26"/>
                <w:szCs w:val="26"/>
              </w:rPr>
              <w:t>F</w:t>
            </w:r>
            <w:r w:rsidRPr="00BA522F">
              <w:rPr>
                <w:rFonts w:ascii="Times New Roman" w:hAnsi="Times New Roman" w:cs="Times New Roman"/>
                <w:sz w:val="26"/>
                <w:szCs w:val="26"/>
              </w:rPr>
              <w:t>-2020-30</w:t>
            </w:r>
            <w:bookmarkEnd w:id="0"/>
            <w:r>
              <w:rPr>
                <w:rFonts w:ascii="Times New Roman" w:hAnsi="Times New Roman" w:cs="Times New Roman"/>
                <w:sz w:val="26"/>
                <w:szCs w:val="26"/>
              </w:rPr>
              <w:t>21754</w:t>
            </w:r>
          </w:p>
          <w:p w14:paraId="3AE39356" w14:textId="77777777" w:rsidR="006A4A64" w:rsidRPr="00BA522F" w:rsidRDefault="006A4A64" w:rsidP="002E09E5">
            <w:pPr>
              <w:widowControl/>
              <w:jc w:val="right"/>
              <w:rPr>
                <w:rFonts w:ascii="Times New Roman" w:hAnsi="Times New Roman" w:cs="Times New Roman"/>
                <w:sz w:val="26"/>
                <w:szCs w:val="26"/>
              </w:rPr>
            </w:pPr>
          </w:p>
          <w:p w14:paraId="47981758" w14:textId="77777777" w:rsidR="006A4A64" w:rsidRPr="00BA522F" w:rsidRDefault="006A4A64" w:rsidP="002E09E5">
            <w:pPr>
              <w:widowControl/>
              <w:jc w:val="right"/>
              <w:rPr>
                <w:rFonts w:ascii="Times New Roman" w:hAnsi="Times New Roman" w:cs="Times New Roman"/>
                <w:sz w:val="26"/>
                <w:szCs w:val="26"/>
              </w:rPr>
            </w:pPr>
          </w:p>
          <w:p w14:paraId="30C4614A" w14:textId="77777777" w:rsidR="006A4A64" w:rsidRPr="00BA522F" w:rsidRDefault="006A4A64" w:rsidP="002E09E5">
            <w:pPr>
              <w:widowControl/>
              <w:jc w:val="right"/>
              <w:rPr>
                <w:rFonts w:ascii="Times New Roman" w:hAnsi="Times New Roman" w:cs="Times New Roman"/>
                <w:sz w:val="26"/>
                <w:szCs w:val="26"/>
              </w:rPr>
            </w:pPr>
          </w:p>
        </w:tc>
      </w:tr>
    </w:tbl>
    <w:p w14:paraId="20F8158B" w14:textId="77777777" w:rsidR="006A4A64" w:rsidRDefault="006A4A64" w:rsidP="002E09E5">
      <w:pPr>
        <w:widowControl/>
        <w:jc w:val="center"/>
        <w:rPr>
          <w:b/>
          <w:sz w:val="26"/>
          <w:szCs w:val="26"/>
        </w:rPr>
      </w:pPr>
    </w:p>
    <w:p w14:paraId="685F3243" w14:textId="77777777" w:rsidR="006A4A64" w:rsidRDefault="006A4A64" w:rsidP="002E09E5">
      <w:pPr>
        <w:widowControl/>
        <w:jc w:val="center"/>
        <w:rPr>
          <w:b/>
          <w:sz w:val="26"/>
          <w:szCs w:val="26"/>
        </w:rPr>
      </w:pPr>
    </w:p>
    <w:p w14:paraId="27181A18" w14:textId="77777777" w:rsidR="006A4A64" w:rsidRPr="00A9787D" w:rsidRDefault="006A4A64" w:rsidP="002E09E5">
      <w:pPr>
        <w:widowControl/>
        <w:jc w:val="center"/>
        <w:rPr>
          <w:b/>
          <w:sz w:val="26"/>
          <w:szCs w:val="26"/>
        </w:rPr>
      </w:pPr>
      <w:r w:rsidRPr="00A9787D">
        <w:rPr>
          <w:b/>
          <w:sz w:val="26"/>
          <w:szCs w:val="26"/>
        </w:rPr>
        <w:t>OPINION AND ORDER</w:t>
      </w:r>
    </w:p>
    <w:p w14:paraId="62ADD7D1" w14:textId="77777777" w:rsidR="006A4A64" w:rsidRDefault="006A4A64" w:rsidP="002E09E5">
      <w:pPr>
        <w:widowControl/>
        <w:rPr>
          <w:b/>
          <w:sz w:val="26"/>
          <w:szCs w:val="26"/>
        </w:rPr>
      </w:pPr>
    </w:p>
    <w:p w14:paraId="423D699B" w14:textId="77777777" w:rsidR="006A4A64" w:rsidRPr="00A9787D" w:rsidRDefault="006A4A64" w:rsidP="002E09E5">
      <w:pPr>
        <w:widowControl/>
        <w:rPr>
          <w:b/>
          <w:sz w:val="26"/>
          <w:szCs w:val="26"/>
        </w:rPr>
      </w:pPr>
    </w:p>
    <w:p w14:paraId="490942BD" w14:textId="69881B2B" w:rsidR="006A4A64" w:rsidRDefault="006A4A64" w:rsidP="002E09E5">
      <w:pPr>
        <w:widowControl/>
        <w:spacing w:line="480" w:lineRule="auto"/>
        <w:rPr>
          <w:b/>
          <w:sz w:val="26"/>
          <w:szCs w:val="26"/>
        </w:rPr>
      </w:pPr>
      <w:r w:rsidRPr="00A9787D">
        <w:rPr>
          <w:b/>
          <w:sz w:val="26"/>
          <w:szCs w:val="26"/>
        </w:rPr>
        <w:t>BY THE COMMISSION:</w:t>
      </w:r>
    </w:p>
    <w:p w14:paraId="25873057" w14:textId="77777777" w:rsidR="00E100F3" w:rsidRDefault="00E100F3" w:rsidP="00E100F3">
      <w:pPr>
        <w:widowControl/>
        <w:rPr>
          <w:b/>
          <w:sz w:val="26"/>
          <w:szCs w:val="26"/>
        </w:rPr>
      </w:pPr>
    </w:p>
    <w:p w14:paraId="035227ED" w14:textId="1B8C5A3B" w:rsidR="006A4A64" w:rsidRDefault="006A4A64" w:rsidP="002E09E5">
      <w:pPr>
        <w:widowControl/>
        <w:spacing w:line="360" w:lineRule="auto"/>
        <w:ind w:firstLine="1440"/>
        <w:rPr>
          <w:bCs/>
          <w:sz w:val="26"/>
          <w:szCs w:val="26"/>
        </w:rPr>
      </w:pPr>
      <w:r>
        <w:rPr>
          <w:bCs/>
          <w:sz w:val="26"/>
          <w:szCs w:val="26"/>
        </w:rPr>
        <w:t xml:space="preserve">Before the Pennsylvania Public Utility Commission (Commission) for consideration and disposition are the Exceptions of Leslie Griggs </w:t>
      </w:r>
      <w:r>
        <w:rPr>
          <w:color w:val="000000"/>
          <w:sz w:val="26"/>
        </w:rPr>
        <w:t>(Complainant</w:t>
      </w:r>
      <w:r w:rsidR="00B92BD7">
        <w:rPr>
          <w:color w:val="000000"/>
          <w:sz w:val="26"/>
        </w:rPr>
        <w:t xml:space="preserve"> or Ms. Griggs)</w:t>
      </w:r>
      <w:r>
        <w:rPr>
          <w:color w:val="000000"/>
          <w:sz w:val="26"/>
        </w:rPr>
        <w:t xml:space="preserve"> filed on </w:t>
      </w:r>
      <w:r w:rsidR="00B92BD7">
        <w:rPr>
          <w:color w:val="000000"/>
          <w:sz w:val="26"/>
        </w:rPr>
        <w:t>March 23</w:t>
      </w:r>
      <w:r>
        <w:rPr>
          <w:color w:val="000000"/>
          <w:sz w:val="26"/>
        </w:rPr>
        <w:t xml:space="preserve">, 2021, to the Initial Decision of Administrative Law Judge (ALJ) Marta Guhl, issued on March </w:t>
      </w:r>
      <w:r w:rsidR="00071CFF">
        <w:rPr>
          <w:color w:val="000000"/>
          <w:sz w:val="26"/>
        </w:rPr>
        <w:t>3</w:t>
      </w:r>
      <w:r>
        <w:rPr>
          <w:color w:val="000000"/>
          <w:sz w:val="26"/>
        </w:rPr>
        <w:t>, 2021, in the above-captioned proceeding.  Repl</w:t>
      </w:r>
      <w:r w:rsidR="00B92BD7">
        <w:rPr>
          <w:color w:val="000000"/>
          <w:sz w:val="26"/>
        </w:rPr>
        <w:t>ies</w:t>
      </w:r>
      <w:r>
        <w:rPr>
          <w:color w:val="000000"/>
          <w:sz w:val="26"/>
        </w:rPr>
        <w:t xml:space="preserve"> to Exceptions were filed by </w:t>
      </w:r>
      <w:r w:rsidR="00CC0F33">
        <w:rPr>
          <w:color w:val="000000"/>
          <w:sz w:val="26"/>
        </w:rPr>
        <w:t>Philadelphia Gas Works (PGW</w:t>
      </w:r>
      <w:r w:rsidR="003A2E7B">
        <w:rPr>
          <w:color w:val="000000"/>
          <w:sz w:val="26"/>
        </w:rPr>
        <w:t xml:space="preserve"> or Company</w:t>
      </w:r>
      <w:r w:rsidR="00CC0F33">
        <w:rPr>
          <w:color w:val="000000"/>
          <w:sz w:val="26"/>
        </w:rPr>
        <w:t>) on April</w:t>
      </w:r>
      <w:r w:rsidR="00933121">
        <w:rPr>
          <w:color w:val="000000"/>
          <w:sz w:val="26"/>
        </w:rPr>
        <w:t> </w:t>
      </w:r>
      <w:r w:rsidR="00B92BD7">
        <w:rPr>
          <w:color w:val="000000"/>
          <w:sz w:val="26"/>
        </w:rPr>
        <w:t>2</w:t>
      </w:r>
      <w:r w:rsidR="00CC0F33">
        <w:rPr>
          <w:color w:val="000000"/>
          <w:sz w:val="26"/>
        </w:rPr>
        <w:t>,</w:t>
      </w:r>
      <w:r w:rsidR="00933121">
        <w:rPr>
          <w:color w:val="000000"/>
          <w:sz w:val="26"/>
        </w:rPr>
        <w:t> </w:t>
      </w:r>
      <w:r w:rsidR="00CC0F33">
        <w:rPr>
          <w:color w:val="000000"/>
          <w:sz w:val="26"/>
        </w:rPr>
        <w:t xml:space="preserve">2021.  For the reasons stated below, we will deny </w:t>
      </w:r>
      <w:r w:rsidR="00B92BD7">
        <w:rPr>
          <w:color w:val="000000"/>
          <w:sz w:val="26"/>
        </w:rPr>
        <w:t>the</w:t>
      </w:r>
      <w:r w:rsidR="00CC0F33">
        <w:rPr>
          <w:color w:val="000000"/>
          <w:sz w:val="26"/>
        </w:rPr>
        <w:t xml:space="preserve"> Exceptions and adopt the Initial Decision</w:t>
      </w:r>
      <w:r w:rsidR="00B80E1E">
        <w:rPr>
          <w:color w:val="000000"/>
          <w:sz w:val="26"/>
        </w:rPr>
        <w:t xml:space="preserve">, </w:t>
      </w:r>
      <w:r w:rsidRPr="00181362">
        <w:rPr>
          <w:sz w:val="26"/>
          <w:szCs w:val="26"/>
        </w:rPr>
        <w:t>consistent with this Opinion and Order.</w:t>
      </w:r>
      <w:r>
        <w:rPr>
          <w:bCs/>
          <w:sz w:val="26"/>
          <w:szCs w:val="26"/>
        </w:rPr>
        <w:t xml:space="preserve">  </w:t>
      </w:r>
    </w:p>
    <w:p w14:paraId="28FAC42F" w14:textId="77777777" w:rsidR="00B80E1E" w:rsidRDefault="00B80E1E" w:rsidP="002E09E5">
      <w:pPr>
        <w:widowControl/>
        <w:spacing w:line="360" w:lineRule="auto"/>
        <w:ind w:firstLine="1440"/>
        <w:rPr>
          <w:bCs/>
          <w:sz w:val="26"/>
          <w:szCs w:val="26"/>
        </w:rPr>
      </w:pPr>
    </w:p>
    <w:p w14:paraId="374514CB" w14:textId="77777777" w:rsidR="00B80E1E" w:rsidRDefault="00B80E1E" w:rsidP="002E09E5">
      <w:pPr>
        <w:pStyle w:val="ListParagraph"/>
        <w:keepNext/>
        <w:widowControl/>
        <w:spacing w:line="360" w:lineRule="auto"/>
        <w:ind w:left="0"/>
        <w:jc w:val="center"/>
        <w:rPr>
          <w:b/>
          <w:sz w:val="26"/>
          <w:szCs w:val="26"/>
        </w:rPr>
      </w:pPr>
      <w:r>
        <w:rPr>
          <w:b/>
          <w:sz w:val="26"/>
          <w:szCs w:val="26"/>
        </w:rPr>
        <w:lastRenderedPageBreak/>
        <w:t>History of the Proceeding</w:t>
      </w:r>
    </w:p>
    <w:p w14:paraId="703B81CA" w14:textId="77777777" w:rsidR="00B80E1E" w:rsidRDefault="00B80E1E" w:rsidP="002E09E5">
      <w:pPr>
        <w:pStyle w:val="ListParagraph"/>
        <w:keepNext/>
        <w:widowControl/>
        <w:spacing w:line="360" w:lineRule="auto"/>
        <w:ind w:left="0"/>
        <w:jc w:val="center"/>
        <w:rPr>
          <w:b/>
          <w:sz w:val="26"/>
          <w:szCs w:val="26"/>
        </w:rPr>
      </w:pPr>
    </w:p>
    <w:p w14:paraId="223010A1" w14:textId="60ED885C" w:rsidR="00B80E1E" w:rsidRDefault="00B80E1E" w:rsidP="002E09E5">
      <w:pPr>
        <w:keepNext/>
        <w:widowControl/>
        <w:spacing w:line="360" w:lineRule="auto"/>
        <w:ind w:firstLine="1440"/>
        <w:rPr>
          <w:bCs/>
          <w:sz w:val="26"/>
          <w:szCs w:val="26"/>
        </w:rPr>
      </w:pPr>
      <w:r w:rsidRPr="00D76603">
        <w:rPr>
          <w:bCs/>
          <w:sz w:val="26"/>
          <w:szCs w:val="26"/>
        </w:rPr>
        <w:t xml:space="preserve">On </w:t>
      </w:r>
      <w:r w:rsidR="00166568">
        <w:rPr>
          <w:bCs/>
          <w:sz w:val="26"/>
          <w:szCs w:val="26"/>
        </w:rPr>
        <w:t>July 30</w:t>
      </w:r>
      <w:r w:rsidRPr="00D76603">
        <w:rPr>
          <w:bCs/>
          <w:sz w:val="26"/>
          <w:szCs w:val="26"/>
        </w:rPr>
        <w:t xml:space="preserve">, 2020, </w:t>
      </w:r>
      <w:r w:rsidR="00B92BD7">
        <w:rPr>
          <w:bCs/>
          <w:sz w:val="26"/>
          <w:szCs w:val="26"/>
        </w:rPr>
        <w:t xml:space="preserve">Ms. </w:t>
      </w:r>
      <w:r w:rsidR="0099355A">
        <w:rPr>
          <w:bCs/>
          <w:sz w:val="26"/>
          <w:szCs w:val="26"/>
        </w:rPr>
        <w:t xml:space="preserve">Griggs </w:t>
      </w:r>
      <w:r w:rsidRPr="00D76603">
        <w:rPr>
          <w:bCs/>
          <w:sz w:val="26"/>
          <w:szCs w:val="26"/>
        </w:rPr>
        <w:t>filed a</w:t>
      </w:r>
      <w:r w:rsidR="0099355A">
        <w:rPr>
          <w:bCs/>
          <w:sz w:val="26"/>
          <w:szCs w:val="26"/>
        </w:rPr>
        <w:t xml:space="preserve"> Formal Complaint (Complaint)</w:t>
      </w:r>
      <w:r w:rsidRPr="00D76603">
        <w:rPr>
          <w:bCs/>
          <w:sz w:val="26"/>
          <w:szCs w:val="26"/>
        </w:rPr>
        <w:t xml:space="preserve"> </w:t>
      </w:r>
      <w:r w:rsidR="003A2E7B">
        <w:rPr>
          <w:bCs/>
          <w:sz w:val="26"/>
          <w:szCs w:val="26"/>
        </w:rPr>
        <w:t>against PGW alleging that there were incorrect charges on her bill for utility service.  Specifically, the Complainant contends that she did not reside at the service address in question</w:t>
      </w:r>
      <w:r w:rsidR="002738F5">
        <w:rPr>
          <w:bCs/>
          <w:sz w:val="26"/>
          <w:szCs w:val="26"/>
        </w:rPr>
        <w:t>, 7120 Lawndale Avenue, Philadelphia, PA 19111</w:t>
      </w:r>
      <w:r w:rsidR="003C1B69">
        <w:rPr>
          <w:bCs/>
          <w:sz w:val="26"/>
          <w:szCs w:val="26"/>
        </w:rPr>
        <w:t xml:space="preserve"> (Service Address)</w:t>
      </w:r>
      <w:r w:rsidR="002738F5">
        <w:rPr>
          <w:bCs/>
          <w:sz w:val="26"/>
          <w:szCs w:val="26"/>
        </w:rPr>
        <w:t>, during the applicable time</w:t>
      </w:r>
      <w:r w:rsidR="003A2E7B">
        <w:rPr>
          <w:bCs/>
          <w:sz w:val="26"/>
          <w:szCs w:val="26"/>
        </w:rPr>
        <w:t xml:space="preserve"> </w:t>
      </w:r>
      <w:r w:rsidR="002738F5">
        <w:rPr>
          <w:bCs/>
          <w:sz w:val="26"/>
          <w:szCs w:val="26"/>
        </w:rPr>
        <w:t>period</w:t>
      </w:r>
      <w:r w:rsidR="00D03967">
        <w:rPr>
          <w:bCs/>
          <w:sz w:val="26"/>
          <w:szCs w:val="26"/>
        </w:rPr>
        <w:t xml:space="preserve"> from January 2016 through November 2019</w:t>
      </w:r>
      <w:r w:rsidR="002738F5">
        <w:rPr>
          <w:bCs/>
          <w:sz w:val="26"/>
          <w:szCs w:val="26"/>
        </w:rPr>
        <w:t xml:space="preserve">; </w:t>
      </w:r>
      <w:r w:rsidR="003A2E7B">
        <w:rPr>
          <w:bCs/>
          <w:sz w:val="26"/>
          <w:szCs w:val="26"/>
        </w:rPr>
        <w:t xml:space="preserve">and, therefore, she should not be responsible </w:t>
      </w:r>
      <w:r w:rsidR="002738F5">
        <w:rPr>
          <w:bCs/>
          <w:sz w:val="26"/>
          <w:szCs w:val="26"/>
        </w:rPr>
        <w:t xml:space="preserve">for any outstanding balance.  The Complainant is disputing an account balance of $2,514.58 that was transferred to her </w:t>
      </w:r>
      <w:r w:rsidR="003313EF">
        <w:rPr>
          <w:bCs/>
          <w:sz w:val="26"/>
          <w:szCs w:val="26"/>
        </w:rPr>
        <w:t xml:space="preserve">on December 19, 2019, when PGW transferred service at the </w:t>
      </w:r>
      <w:r w:rsidR="00166568">
        <w:rPr>
          <w:bCs/>
          <w:sz w:val="26"/>
          <w:szCs w:val="26"/>
        </w:rPr>
        <w:t xml:space="preserve">Service Address </w:t>
      </w:r>
      <w:r w:rsidR="003313EF">
        <w:rPr>
          <w:bCs/>
          <w:sz w:val="26"/>
          <w:szCs w:val="26"/>
        </w:rPr>
        <w:t>to her name</w:t>
      </w:r>
      <w:r w:rsidR="006B13AC">
        <w:rPr>
          <w:bCs/>
          <w:sz w:val="26"/>
          <w:szCs w:val="26"/>
        </w:rPr>
        <w:t xml:space="preserve"> from her deceased husband’s account who had lived at and owned the </w:t>
      </w:r>
      <w:r w:rsidR="00905CAE">
        <w:rPr>
          <w:bCs/>
          <w:sz w:val="26"/>
          <w:szCs w:val="26"/>
        </w:rPr>
        <w:t>S</w:t>
      </w:r>
      <w:r w:rsidR="006B13AC">
        <w:rPr>
          <w:bCs/>
          <w:sz w:val="26"/>
          <w:szCs w:val="26"/>
        </w:rPr>
        <w:t xml:space="preserve">ervice </w:t>
      </w:r>
      <w:r w:rsidR="00905CAE">
        <w:rPr>
          <w:bCs/>
          <w:sz w:val="26"/>
          <w:szCs w:val="26"/>
        </w:rPr>
        <w:t>A</w:t>
      </w:r>
      <w:r w:rsidR="006B13AC">
        <w:rPr>
          <w:bCs/>
          <w:sz w:val="26"/>
          <w:szCs w:val="26"/>
        </w:rPr>
        <w:t>ddress</w:t>
      </w:r>
      <w:r w:rsidR="003313EF">
        <w:rPr>
          <w:bCs/>
          <w:sz w:val="26"/>
          <w:szCs w:val="26"/>
        </w:rPr>
        <w:t xml:space="preserve">.  Tr. </w:t>
      </w:r>
      <w:r w:rsidR="00B92BD7">
        <w:rPr>
          <w:bCs/>
          <w:sz w:val="26"/>
          <w:szCs w:val="26"/>
        </w:rPr>
        <w:t xml:space="preserve">at </w:t>
      </w:r>
      <w:r w:rsidR="003313EF">
        <w:rPr>
          <w:bCs/>
          <w:sz w:val="26"/>
          <w:szCs w:val="26"/>
        </w:rPr>
        <w:t>50, 52; PGW Exhs. 1</w:t>
      </w:r>
      <w:r w:rsidR="00B92BD7">
        <w:rPr>
          <w:bCs/>
          <w:sz w:val="26"/>
          <w:szCs w:val="26"/>
        </w:rPr>
        <w:t>,</w:t>
      </w:r>
      <w:r w:rsidR="003313EF">
        <w:rPr>
          <w:bCs/>
          <w:sz w:val="26"/>
          <w:szCs w:val="26"/>
        </w:rPr>
        <w:t xml:space="preserve"> 3.  </w:t>
      </w:r>
      <w:r w:rsidR="00DD0B4A">
        <w:rPr>
          <w:bCs/>
          <w:sz w:val="26"/>
          <w:szCs w:val="26"/>
        </w:rPr>
        <w:t xml:space="preserve">The Complainant’s husband died on November 5, 2019.  Tr. </w:t>
      </w:r>
      <w:r w:rsidR="00B92BD7">
        <w:rPr>
          <w:bCs/>
          <w:sz w:val="26"/>
          <w:szCs w:val="26"/>
        </w:rPr>
        <w:t xml:space="preserve">at </w:t>
      </w:r>
      <w:r w:rsidR="00DD0B4A">
        <w:rPr>
          <w:bCs/>
          <w:sz w:val="26"/>
          <w:szCs w:val="26"/>
        </w:rPr>
        <w:t xml:space="preserve">12.  </w:t>
      </w:r>
      <w:r w:rsidR="006B13AC">
        <w:rPr>
          <w:bCs/>
          <w:sz w:val="26"/>
          <w:szCs w:val="26"/>
        </w:rPr>
        <w:t xml:space="preserve">The Complainant states in her Complaint that she was living with her son </w:t>
      </w:r>
      <w:r w:rsidR="00DD0B4A">
        <w:rPr>
          <w:bCs/>
          <w:sz w:val="26"/>
          <w:szCs w:val="26"/>
        </w:rPr>
        <w:t>prior to her husband’s passing</w:t>
      </w:r>
      <w:r w:rsidR="006B13AC">
        <w:rPr>
          <w:bCs/>
          <w:sz w:val="26"/>
          <w:szCs w:val="26"/>
        </w:rPr>
        <w:t xml:space="preserve"> and should not have </w:t>
      </w:r>
      <w:r w:rsidR="00A926AD">
        <w:rPr>
          <w:bCs/>
          <w:sz w:val="26"/>
          <w:szCs w:val="26"/>
        </w:rPr>
        <w:t>any responsibility for her deceased husband’s account balance prior to the switch</w:t>
      </w:r>
      <w:r w:rsidR="006B13AC">
        <w:rPr>
          <w:bCs/>
          <w:sz w:val="26"/>
          <w:szCs w:val="26"/>
        </w:rPr>
        <w:t>.</w:t>
      </w:r>
      <w:r w:rsidR="003313EF">
        <w:rPr>
          <w:bCs/>
          <w:sz w:val="26"/>
          <w:szCs w:val="26"/>
        </w:rPr>
        <w:t xml:space="preserve">  As relief, the Complainant asserts that she should be able to establish a new account in her name with no </w:t>
      </w:r>
      <w:r w:rsidR="00FD0149">
        <w:rPr>
          <w:bCs/>
          <w:sz w:val="26"/>
          <w:szCs w:val="26"/>
        </w:rPr>
        <w:t xml:space="preserve">outstanding </w:t>
      </w:r>
      <w:r w:rsidR="003313EF">
        <w:rPr>
          <w:bCs/>
          <w:sz w:val="26"/>
          <w:szCs w:val="26"/>
        </w:rPr>
        <w:t>balance.</w:t>
      </w:r>
    </w:p>
    <w:p w14:paraId="2151F209" w14:textId="5FBF0AAD" w:rsidR="006B13AC" w:rsidRDefault="006B13AC" w:rsidP="002E09E5">
      <w:pPr>
        <w:widowControl/>
        <w:spacing w:line="360" w:lineRule="auto"/>
        <w:ind w:firstLine="1440"/>
        <w:rPr>
          <w:bCs/>
          <w:sz w:val="26"/>
          <w:szCs w:val="26"/>
        </w:rPr>
      </w:pPr>
    </w:p>
    <w:p w14:paraId="6784C5B0" w14:textId="13952A0F" w:rsidR="00194311" w:rsidRDefault="006B13AC" w:rsidP="002E09E5">
      <w:pPr>
        <w:widowControl/>
        <w:spacing w:line="360" w:lineRule="auto"/>
        <w:ind w:firstLine="1440"/>
        <w:rPr>
          <w:bCs/>
          <w:sz w:val="26"/>
          <w:szCs w:val="26"/>
        </w:rPr>
      </w:pPr>
      <w:r>
        <w:rPr>
          <w:bCs/>
          <w:sz w:val="26"/>
          <w:szCs w:val="26"/>
        </w:rPr>
        <w:t>On September 2</w:t>
      </w:r>
      <w:r w:rsidR="00B6709B">
        <w:rPr>
          <w:bCs/>
          <w:sz w:val="26"/>
          <w:szCs w:val="26"/>
        </w:rPr>
        <w:t>4</w:t>
      </w:r>
      <w:r>
        <w:rPr>
          <w:bCs/>
          <w:sz w:val="26"/>
          <w:szCs w:val="26"/>
        </w:rPr>
        <w:t>, 2020, PGW filed its Answer to the Complaint denying the material allegations of the Complaint</w:t>
      </w:r>
      <w:r w:rsidR="00A926AD">
        <w:rPr>
          <w:bCs/>
          <w:sz w:val="26"/>
          <w:szCs w:val="26"/>
        </w:rPr>
        <w:t xml:space="preserve"> and asking that the Complaint be dismissed</w:t>
      </w:r>
      <w:r>
        <w:rPr>
          <w:bCs/>
          <w:sz w:val="26"/>
          <w:szCs w:val="26"/>
        </w:rPr>
        <w:t xml:space="preserve">.  </w:t>
      </w:r>
      <w:r w:rsidR="00A926AD">
        <w:rPr>
          <w:bCs/>
          <w:sz w:val="26"/>
          <w:szCs w:val="26"/>
        </w:rPr>
        <w:t xml:space="preserve">An initial hearing was held on November 18, 2020, before ALJ Guhl and the Complainant appeared </w:t>
      </w:r>
      <w:r w:rsidR="00A926AD">
        <w:rPr>
          <w:bCs/>
          <w:i/>
          <w:iCs/>
          <w:sz w:val="26"/>
          <w:szCs w:val="26"/>
        </w:rPr>
        <w:t xml:space="preserve">pro se </w:t>
      </w:r>
      <w:r w:rsidR="00A926AD">
        <w:rPr>
          <w:bCs/>
          <w:sz w:val="26"/>
          <w:szCs w:val="26"/>
        </w:rPr>
        <w:t xml:space="preserve">and testified.  The Complainant also offered the testimony of her daughter, Amanda Griggs.  PGW </w:t>
      </w:r>
      <w:r w:rsidR="00194311">
        <w:rPr>
          <w:bCs/>
          <w:sz w:val="26"/>
          <w:szCs w:val="26"/>
        </w:rPr>
        <w:t xml:space="preserve">was represented by counsel who </w:t>
      </w:r>
      <w:r w:rsidR="00A926AD">
        <w:rPr>
          <w:bCs/>
          <w:sz w:val="26"/>
          <w:szCs w:val="26"/>
        </w:rPr>
        <w:t xml:space="preserve">presented the testimony of Jessica Glace, a senior </w:t>
      </w:r>
      <w:r w:rsidR="00194311">
        <w:rPr>
          <w:bCs/>
          <w:sz w:val="26"/>
          <w:szCs w:val="26"/>
        </w:rPr>
        <w:t xml:space="preserve">PGW </w:t>
      </w:r>
      <w:r w:rsidR="00A926AD">
        <w:rPr>
          <w:bCs/>
          <w:sz w:val="26"/>
          <w:szCs w:val="26"/>
        </w:rPr>
        <w:t>customer review officer</w:t>
      </w:r>
      <w:r w:rsidR="00194311">
        <w:rPr>
          <w:bCs/>
          <w:sz w:val="26"/>
          <w:szCs w:val="26"/>
        </w:rPr>
        <w:t xml:space="preserve">.  PGW also offered four exhibits; all of which were entered into the record. </w:t>
      </w:r>
    </w:p>
    <w:p w14:paraId="15AF3905" w14:textId="77777777" w:rsidR="00194311" w:rsidRDefault="00194311" w:rsidP="002E09E5">
      <w:pPr>
        <w:widowControl/>
        <w:spacing w:line="360" w:lineRule="auto"/>
        <w:ind w:firstLine="1440"/>
        <w:rPr>
          <w:bCs/>
          <w:sz w:val="26"/>
          <w:szCs w:val="26"/>
        </w:rPr>
      </w:pPr>
    </w:p>
    <w:p w14:paraId="45EC7B01" w14:textId="0AA43A0F" w:rsidR="00265ECD" w:rsidRDefault="00194311" w:rsidP="002E09E5">
      <w:pPr>
        <w:widowControl/>
        <w:spacing w:line="360" w:lineRule="auto"/>
        <w:ind w:firstLine="1440"/>
        <w:rPr>
          <w:bCs/>
          <w:sz w:val="26"/>
          <w:szCs w:val="26"/>
        </w:rPr>
      </w:pPr>
      <w:r>
        <w:rPr>
          <w:bCs/>
          <w:sz w:val="26"/>
          <w:szCs w:val="26"/>
        </w:rPr>
        <w:t>During the hearing, the ALJ requested late</w:t>
      </w:r>
      <w:r w:rsidR="00BB2620">
        <w:rPr>
          <w:bCs/>
          <w:sz w:val="26"/>
          <w:szCs w:val="26"/>
        </w:rPr>
        <w:t>-</w:t>
      </w:r>
      <w:r>
        <w:rPr>
          <w:bCs/>
          <w:sz w:val="26"/>
          <w:szCs w:val="26"/>
        </w:rPr>
        <w:t xml:space="preserve">filed exhibits from both </w:t>
      </w:r>
      <w:r w:rsidR="00B92BD7">
        <w:rPr>
          <w:bCs/>
          <w:sz w:val="26"/>
          <w:szCs w:val="26"/>
        </w:rPr>
        <w:t>P</w:t>
      </w:r>
      <w:r>
        <w:rPr>
          <w:bCs/>
          <w:sz w:val="26"/>
          <w:szCs w:val="26"/>
        </w:rPr>
        <w:t>arties be submitted by November 23, 2020, and any objections to the late</w:t>
      </w:r>
      <w:r w:rsidR="00BB2620">
        <w:rPr>
          <w:bCs/>
          <w:sz w:val="26"/>
          <w:szCs w:val="26"/>
        </w:rPr>
        <w:t>-</w:t>
      </w:r>
      <w:r>
        <w:rPr>
          <w:bCs/>
          <w:sz w:val="26"/>
          <w:szCs w:val="26"/>
        </w:rPr>
        <w:t>filed exhibits would be due by November 30, 2020.  Timely late</w:t>
      </w:r>
      <w:r w:rsidR="002B6E1E">
        <w:rPr>
          <w:bCs/>
          <w:sz w:val="26"/>
          <w:szCs w:val="26"/>
        </w:rPr>
        <w:t>-</w:t>
      </w:r>
      <w:r>
        <w:rPr>
          <w:bCs/>
          <w:sz w:val="26"/>
          <w:szCs w:val="26"/>
        </w:rPr>
        <w:t xml:space="preserve">filed exhibits were submitted by both </w:t>
      </w:r>
      <w:r w:rsidR="00B92BD7">
        <w:rPr>
          <w:bCs/>
          <w:sz w:val="26"/>
          <w:szCs w:val="26"/>
        </w:rPr>
        <w:t>P</w:t>
      </w:r>
      <w:r>
        <w:rPr>
          <w:bCs/>
          <w:sz w:val="26"/>
          <w:szCs w:val="26"/>
        </w:rPr>
        <w:t>arties without any objections being filed.  The ALJ admitted all such late</w:t>
      </w:r>
      <w:r w:rsidR="002B6E1E">
        <w:rPr>
          <w:bCs/>
          <w:sz w:val="26"/>
          <w:szCs w:val="26"/>
        </w:rPr>
        <w:t>-</w:t>
      </w:r>
      <w:r>
        <w:rPr>
          <w:bCs/>
          <w:sz w:val="26"/>
          <w:szCs w:val="26"/>
        </w:rPr>
        <w:t xml:space="preserve">filed exhibits through </w:t>
      </w:r>
      <w:r>
        <w:rPr>
          <w:bCs/>
          <w:sz w:val="26"/>
          <w:szCs w:val="26"/>
        </w:rPr>
        <w:lastRenderedPageBreak/>
        <w:t xml:space="preserve">her Initial Decision.  </w:t>
      </w:r>
      <w:r w:rsidR="00265ECD">
        <w:rPr>
          <w:bCs/>
          <w:sz w:val="26"/>
          <w:szCs w:val="26"/>
        </w:rPr>
        <w:t xml:space="preserve">The hearing generated a transcript of </w:t>
      </w:r>
      <w:r w:rsidR="00B92BD7">
        <w:rPr>
          <w:bCs/>
          <w:sz w:val="26"/>
          <w:szCs w:val="26"/>
        </w:rPr>
        <w:t>eight-two</w:t>
      </w:r>
      <w:r w:rsidR="00265ECD">
        <w:rPr>
          <w:bCs/>
          <w:sz w:val="26"/>
          <w:szCs w:val="26"/>
        </w:rPr>
        <w:t xml:space="preserve"> pages.  The record closed on December 2, 2020, when the transcript was received by the ALJ.  </w:t>
      </w:r>
    </w:p>
    <w:p w14:paraId="1F6E8DE2" w14:textId="77777777" w:rsidR="00265ECD" w:rsidRDefault="00265ECD" w:rsidP="002E09E5">
      <w:pPr>
        <w:widowControl/>
        <w:spacing w:line="360" w:lineRule="auto"/>
        <w:ind w:firstLine="1440"/>
        <w:rPr>
          <w:bCs/>
          <w:sz w:val="26"/>
          <w:szCs w:val="26"/>
        </w:rPr>
      </w:pPr>
    </w:p>
    <w:p w14:paraId="390F0B31" w14:textId="08CEF872" w:rsidR="002F029A" w:rsidRDefault="00265ECD" w:rsidP="002E09E5">
      <w:pPr>
        <w:widowControl/>
        <w:spacing w:line="360" w:lineRule="auto"/>
        <w:ind w:firstLine="1440"/>
        <w:rPr>
          <w:bCs/>
          <w:sz w:val="26"/>
          <w:szCs w:val="26"/>
        </w:rPr>
      </w:pPr>
      <w:r>
        <w:rPr>
          <w:bCs/>
          <w:sz w:val="26"/>
          <w:szCs w:val="26"/>
        </w:rPr>
        <w:t xml:space="preserve">On March </w:t>
      </w:r>
      <w:r w:rsidR="00071CFF">
        <w:rPr>
          <w:bCs/>
          <w:sz w:val="26"/>
          <w:szCs w:val="26"/>
        </w:rPr>
        <w:t>3</w:t>
      </w:r>
      <w:r>
        <w:rPr>
          <w:bCs/>
          <w:sz w:val="26"/>
          <w:szCs w:val="26"/>
        </w:rPr>
        <w:t xml:space="preserve">, 2021, the ALJ issued her Initial Decision, which dismissed the Complaint, finding that the Complainant did not meet her burden of establishing that PGW violated the Public Utility Code (Code), Commission Regulations, or a Commission Order regarding the opening of the account in the Complainant’s name and transferring the balance from her deceased husband’s account for the </w:t>
      </w:r>
      <w:r w:rsidR="004D401A">
        <w:rPr>
          <w:bCs/>
          <w:sz w:val="26"/>
          <w:szCs w:val="26"/>
        </w:rPr>
        <w:t>S</w:t>
      </w:r>
      <w:r>
        <w:rPr>
          <w:bCs/>
          <w:sz w:val="26"/>
          <w:szCs w:val="26"/>
        </w:rPr>
        <w:t xml:space="preserve">ervice </w:t>
      </w:r>
      <w:r w:rsidR="004D401A">
        <w:rPr>
          <w:bCs/>
          <w:sz w:val="26"/>
          <w:szCs w:val="26"/>
        </w:rPr>
        <w:t>A</w:t>
      </w:r>
      <w:r>
        <w:rPr>
          <w:bCs/>
          <w:sz w:val="26"/>
          <w:szCs w:val="26"/>
        </w:rPr>
        <w:t xml:space="preserve">ddress in question.  </w:t>
      </w:r>
    </w:p>
    <w:p w14:paraId="0AAA3C08" w14:textId="77777777" w:rsidR="002F029A" w:rsidRDefault="002F029A" w:rsidP="002E09E5">
      <w:pPr>
        <w:widowControl/>
        <w:spacing w:line="360" w:lineRule="auto"/>
        <w:ind w:firstLine="1440"/>
        <w:rPr>
          <w:bCs/>
          <w:sz w:val="26"/>
          <w:szCs w:val="26"/>
        </w:rPr>
      </w:pPr>
    </w:p>
    <w:p w14:paraId="0B3FD4BF" w14:textId="04A1814C" w:rsidR="002F029A" w:rsidRDefault="002F029A" w:rsidP="002E09E5">
      <w:pPr>
        <w:widowControl/>
        <w:spacing w:line="360" w:lineRule="auto"/>
        <w:ind w:firstLine="1440"/>
        <w:rPr>
          <w:bCs/>
          <w:sz w:val="26"/>
          <w:szCs w:val="26"/>
        </w:rPr>
      </w:pPr>
      <w:r>
        <w:rPr>
          <w:bCs/>
          <w:sz w:val="26"/>
          <w:szCs w:val="26"/>
        </w:rPr>
        <w:t xml:space="preserve">As previously noted, the Complainant filed Exceptions to the Initial Decision on </w:t>
      </w:r>
      <w:r w:rsidR="00B92BD7">
        <w:rPr>
          <w:bCs/>
          <w:sz w:val="26"/>
          <w:szCs w:val="26"/>
        </w:rPr>
        <w:t>March 23</w:t>
      </w:r>
      <w:r>
        <w:rPr>
          <w:bCs/>
          <w:sz w:val="26"/>
          <w:szCs w:val="26"/>
        </w:rPr>
        <w:t>, 2021, and PGW filed Repl</w:t>
      </w:r>
      <w:r w:rsidR="00B92BD7">
        <w:rPr>
          <w:bCs/>
          <w:sz w:val="26"/>
          <w:szCs w:val="26"/>
        </w:rPr>
        <w:t>ies</w:t>
      </w:r>
      <w:r>
        <w:rPr>
          <w:bCs/>
          <w:sz w:val="26"/>
          <w:szCs w:val="26"/>
        </w:rPr>
        <w:t xml:space="preserve"> </w:t>
      </w:r>
      <w:r w:rsidR="00DD0B4A">
        <w:rPr>
          <w:bCs/>
          <w:sz w:val="26"/>
          <w:szCs w:val="26"/>
        </w:rPr>
        <w:t xml:space="preserve">to Exceptions </w:t>
      </w:r>
      <w:r>
        <w:rPr>
          <w:bCs/>
          <w:sz w:val="26"/>
          <w:szCs w:val="26"/>
        </w:rPr>
        <w:t xml:space="preserve">on </w:t>
      </w:r>
      <w:r w:rsidR="00B92BD7">
        <w:rPr>
          <w:bCs/>
          <w:sz w:val="26"/>
          <w:szCs w:val="26"/>
        </w:rPr>
        <w:t>April 2, 2021</w:t>
      </w:r>
      <w:r>
        <w:rPr>
          <w:bCs/>
          <w:sz w:val="26"/>
          <w:szCs w:val="26"/>
        </w:rPr>
        <w:t xml:space="preserve">.  </w:t>
      </w:r>
    </w:p>
    <w:p w14:paraId="3A8E3E83" w14:textId="77777777" w:rsidR="002F029A" w:rsidRDefault="002F029A" w:rsidP="002E09E5">
      <w:pPr>
        <w:widowControl/>
        <w:spacing w:line="360" w:lineRule="auto"/>
        <w:ind w:firstLine="1440"/>
        <w:rPr>
          <w:bCs/>
          <w:sz w:val="26"/>
          <w:szCs w:val="26"/>
        </w:rPr>
      </w:pPr>
    </w:p>
    <w:p w14:paraId="7E00F763" w14:textId="77777777" w:rsidR="002F029A" w:rsidRDefault="002F029A" w:rsidP="002E09E5">
      <w:pPr>
        <w:keepNext/>
        <w:widowControl/>
        <w:spacing w:line="360" w:lineRule="auto"/>
        <w:jc w:val="center"/>
        <w:rPr>
          <w:b/>
          <w:sz w:val="26"/>
          <w:szCs w:val="26"/>
        </w:rPr>
      </w:pPr>
      <w:r w:rsidRPr="00882750">
        <w:rPr>
          <w:b/>
          <w:sz w:val="26"/>
          <w:szCs w:val="26"/>
        </w:rPr>
        <w:t>Discussion</w:t>
      </w:r>
    </w:p>
    <w:p w14:paraId="061F7BF7" w14:textId="77777777" w:rsidR="002F029A" w:rsidRDefault="002F029A" w:rsidP="002E09E5">
      <w:pPr>
        <w:keepNext/>
        <w:widowControl/>
        <w:spacing w:line="360" w:lineRule="auto"/>
        <w:jc w:val="center"/>
        <w:rPr>
          <w:sz w:val="26"/>
          <w:szCs w:val="26"/>
        </w:rPr>
      </w:pPr>
    </w:p>
    <w:p w14:paraId="00E374E5" w14:textId="3CB54FB5" w:rsidR="002F029A" w:rsidRPr="00F85C72" w:rsidRDefault="002F029A" w:rsidP="002E09E5">
      <w:pPr>
        <w:pStyle w:val="ListParagraph"/>
        <w:keepNext/>
        <w:keepLines/>
        <w:widowControl/>
        <w:numPr>
          <w:ilvl w:val="0"/>
          <w:numId w:val="2"/>
        </w:numPr>
        <w:tabs>
          <w:tab w:val="left" w:pos="-720"/>
        </w:tabs>
        <w:suppressAutoHyphens/>
        <w:spacing w:line="360" w:lineRule="auto"/>
        <w:ind w:hanging="720"/>
        <w:rPr>
          <w:b/>
          <w:sz w:val="26"/>
        </w:rPr>
      </w:pPr>
      <w:r w:rsidRPr="00F85C72">
        <w:rPr>
          <w:b/>
          <w:sz w:val="26"/>
        </w:rPr>
        <w:t>Legal Standards</w:t>
      </w:r>
    </w:p>
    <w:p w14:paraId="31083794" w14:textId="77777777" w:rsidR="002F029A" w:rsidRPr="00247E83" w:rsidRDefault="002F029A" w:rsidP="002E09E5">
      <w:pPr>
        <w:keepNext/>
        <w:keepLines/>
        <w:widowControl/>
        <w:tabs>
          <w:tab w:val="left" w:pos="1440"/>
        </w:tabs>
        <w:spacing w:line="360" w:lineRule="auto"/>
        <w:rPr>
          <w:sz w:val="26"/>
          <w:szCs w:val="26"/>
        </w:rPr>
      </w:pPr>
      <w:r w:rsidRPr="00247E83">
        <w:rPr>
          <w:sz w:val="26"/>
          <w:szCs w:val="26"/>
        </w:rPr>
        <w:tab/>
      </w:r>
    </w:p>
    <w:p w14:paraId="2349000F" w14:textId="70BC5CFF" w:rsidR="002F029A" w:rsidRDefault="002F029A" w:rsidP="002E09E5">
      <w:pPr>
        <w:widowControl/>
        <w:spacing w:line="360" w:lineRule="auto"/>
        <w:ind w:firstLine="1440"/>
        <w:rPr>
          <w:color w:val="000000"/>
          <w:sz w:val="26"/>
          <w:szCs w:val="26"/>
        </w:rPr>
      </w:pPr>
      <w:r w:rsidRPr="00247E83">
        <w:rPr>
          <w:rFonts w:ascii="Times New (W1)" w:hAnsi="Times New (W1)"/>
          <w:sz w:val="26"/>
        </w:rPr>
        <w:t xml:space="preserve">Before addressing the </w:t>
      </w:r>
      <w:r>
        <w:rPr>
          <w:rFonts w:ascii="Times New (W1)" w:hAnsi="Times New (W1)"/>
          <w:sz w:val="26"/>
        </w:rPr>
        <w:t>Exceptions</w:t>
      </w:r>
      <w:r w:rsidRPr="00247E83">
        <w:rPr>
          <w:rFonts w:ascii="Times New (W1)" w:hAnsi="Times New (W1)"/>
          <w:sz w:val="26"/>
        </w:rPr>
        <w:t xml:space="preserve">, we note that any issue not specifically discussed shall be deemed to have been duly considered and denied without further discussion.  The Commission is not required to consider expressly or at length each contention or argument raised by the parties.  </w:t>
      </w:r>
      <w:r w:rsidRPr="00247E83">
        <w:rPr>
          <w:rFonts w:ascii="Times New (W1)" w:hAnsi="Times New (W1)"/>
          <w:i/>
          <w:sz w:val="26"/>
        </w:rPr>
        <w:t>Consolidated Rail Corp. v. P</w:t>
      </w:r>
      <w:r w:rsidR="00DD0B4A">
        <w:rPr>
          <w:rFonts w:ascii="Times New (W1)" w:hAnsi="Times New (W1)"/>
          <w:i/>
          <w:sz w:val="26"/>
        </w:rPr>
        <w:t>a. PUC</w:t>
      </w:r>
      <w:r w:rsidRPr="00933121">
        <w:rPr>
          <w:rFonts w:ascii="Times New (W1)" w:hAnsi="Times New (W1)"/>
          <w:iCs/>
          <w:sz w:val="26"/>
        </w:rPr>
        <w:t>,</w:t>
      </w:r>
      <w:r w:rsidRPr="00247E83">
        <w:rPr>
          <w:rFonts w:ascii="Times New (W1)" w:hAnsi="Times New (W1)"/>
          <w:i/>
          <w:sz w:val="26"/>
        </w:rPr>
        <w:t xml:space="preserve"> </w:t>
      </w:r>
      <w:r w:rsidRPr="00247E83">
        <w:rPr>
          <w:rFonts w:ascii="Times New (W1)" w:hAnsi="Times New (W1)"/>
          <w:sz w:val="26"/>
        </w:rPr>
        <w:t>625</w:t>
      </w:r>
      <w:r w:rsidR="00933121">
        <w:rPr>
          <w:rFonts w:ascii="Times New (W1)" w:hAnsi="Times New (W1)"/>
          <w:sz w:val="26"/>
        </w:rPr>
        <w:t> </w:t>
      </w:r>
      <w:r w:rsidRPr="00247E83">
        <w:rPr>
          <w:rFonts w:ascii="Times New (W1)" w:hAnsi="Times New (W1)"/>
          <w:sz w:val="26"/>
        </w:rPr>
        <w:t>A.2d 741 (Pa. Cmwlth. 1993)</w:t>
      </w:r>
      <w:r>
        <w:rPr>
          <w:rFonts w:ascii="Times New (W1)" w:hAnsi="Times New (W1)"/>
          <w:sz w:val="26"/>
        </w:rPr>
        <w:t xml:space="preserve">; </w:t>
      </w:r>
      <w:r w:rsidRPr="002E6E55">
        <w:rPr>
          <w:i/>
          <w:iCs/>
          <w:color w:val="000000"/>
          <w:sz w:val="26"/>
          <w:szCs w:val="26"/>
        </w:rPr>
        <w:t>see</w:t>
      </w:r>
      <w:r w:rsidR="00DD0B4A">
        <w:rPr>
          <w:i/>
          <w:iCs/>
          <w:color w:val="000000"/>
          <w:sz w:val="26"/>
          <w:szCs w:val="26"/>
        </w:rPr>
        <w:t xml:space="preserve"> also</w:t>
      </w:r>
      <w:r w:rsidRPr="002E6E55">
        <w:rPr>
          <w:i/>
          <w:iCs/>
          <w:color w:val="000000"/>
          <w:sz w:val="26"/>
          <w:szCs w:val="26"/>
        </w:rPr>
        <w:t xml:space="preserve"> </w:t>
      </w:r>
      <w:hyperlink r:id="rId7" w:history="1">
        <w:r w:rsidRPr="002E6E55">
          <w:rPr>
            <w:i/>
            <w:iCs/>
            <w:color w:val="000000"/>
            <w:sz w:val="26"/>
            <w:szCs w:val="26"/>
          </w:rPr>
          <w:t>University of Pennsylvania v. Pa. PUC</w:t>
        </w:r>
        <w:r w:rsidRPr="002E6E55">
          <w:rPr>
            <w:color w:val="000000"/>
            <w:sz w:val="26"/>
            <w:szCs w:val="26"/>
          </w:rPr>
          <w:t>, 485</w:t>
        </w:r>
        <w:r w:rsidR="00933121">
          <w:rPr>
            <w:color w:val="000000"/>
            <w:sz w:val="26"/>
            <w:szCs w:val="26"/>
          </w:rPr>
          <w:t> </w:t>
        </w:r>
        <w:r w:rsidRPr="002E6E55">
          <w:rPr>
            <w:color w:val="000000"/>
            <w:sz w:val="26"/>
            <w:szCs w:val="26"/>
          </w:rPr>
          <w:t>A.2d 1217 (Pa. Cmwlth. 1984).</w:t>
        </w:r>
      </w:hyperlink>
      <w:r w:rsidR="00DD0B4A">
        <w:rPr>
          <w:color w:val="000000"/>
          <w:sz w:val="26"/>
          <w:szCs w:val="26"/>
        </w:rPr>
        <w:t xml:space="preserve">  </w:t>
      </w:r>
      <w:r w:rsidR="00DD0B4A" w:rsidRPr="00DD0B4A">
        <w:rPr>
          <w:rStyle w:val="Hyperlink"/>
          <w:color w:val="000000"/>
          <w:sz w:val="26"/>
          <w:szCs w:val="26"/>
          <w:u w:val="none"/>
        </w:rPr>
        <w:t>Therefore,</w:t>
      </w:r>
      <w:r w:rsidR="00DD0B4A" w:rsidRPr="00913419">
        <w:rPr>
          <w:sz w:val="26"/>
          <w:szCs w:val="26"/>
        </w:rPr>
        <w:t xml:space="preserve"> any issue that we do not specifically address or delineate in this decision shall be deemed to have been duly considered and denied without further discussion.</w:t>
      </w:r>
    </w:p>
    <w:p w14:paraId="7C23B90E" w14:textId="017F418E" w:rsidR="00F85C72" w:rsidRDefault="00F85C72" w:rsidP="002E09E5">
      <w:pPr>
        <w:widowControl/>
        <w:spacing w:line="360" w:lineRule="auto"/>
        <w:ind w:firstLine="1440"/>
        <w:rPr>
          <w:color w:val="000000"/>
          <w:sz w:val="26"/>
          <w:szCs w:val="26"/>
        </w:rPr>
      </w:pPr>
    </w:p>
    <w:p w14:paraId="629E1482" w14:textId="22288FB6" w:rsidR="00F85C72" w:rsidRPr="00F85C72" w:rsidRDefault="00F85C72" w:rsidP="002E09E5">
      <w:pPr>
        <w:widowControl/>
        <w:spacing w:line="360" w:lineRule="auto"/>
        <w:ind w:firstLine="1440"/>
        <w:rPr>
          <w:sz w:val="26"/>
          <w:szCs w:val="26"/>
        </w:rPr>
      </w:pPr>
      <w:r w:rsidRPr="00F85C72">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w:t>
      </w:r>
      <w:r w:rsidRPr="00F85C72">
        <w:rPr>
          <w:sz w:val="26"/>
          <w:szCs w:val="26"/>
        </w:rPr>
        <w:lastRenderedPageBreak/>
        <w:t xml:space="preserve">that PGW is responsible or accountable for the problem described in the Complaint.  </w:t>
      </w:r>
      <w:r w:rsidRPr="00F85C72">
        <w:rPr>
          <w:i/>
          <w:sz w:val="26"/>
          <w:szCs w:val="26"/>
        </w:rPr>
        <w:t>Patterson v. The Bell Telephone Company of Pennsylvania</w:t>
      </w:r>
      <w:r w:rsidRPr="00F85C72">
        <w:rPr>
          <w:sz w:val="26"/>
          <w:szCs w:val="26"/>
        </w:rPr>
        <w:t xml:space="preserve">, 72 Pa. P.U.C. 196 (1990).  Such a showing must be by a preponderance of the evidence.  </w:t>
      </w:r>
      <w:r w:rsidRPr="00F85C72">
        <w:rPr>
          <w:i/>
          <w:iCs/>
          <w:sz w:val="26"/>
          <w:szCs w:val="26"/>
        </w:rPr>
        <w:t>Samuel J. Lansberry, Inc. v. Pa. PUC</w:t>
      </w:r>
      <w:r w:rsidRPr="00F85C72">
        <w:rPr>
          <w:sz w:val="26"/>
          <w:szCs w:val="26"/>
        </w:rPr>
        <w:t xml:space="preserve">, 578 A.2d 600 (Pa. Cmwlth. 1990), </w:t>
      </w:r>
      <w:r w:rsidRPr="00F85C72">
        <w:rPr>
          <w:i/>
          <w:sz w:val="26"/>
          <w:szCs w:val="26"/>
        </w:rPr>
        <w:t>alloc. denied</w:t>
      </w:r>
      <w:r w:rsidRPr="00933121">
        <w:rPr>
          <w:iCs/>
          <w:sz w:val="26"/>
          <w:szCs w:val="26"/>
        </w:rPr>
        <w:t>,</w:t>
      </w:r>
      <w:r w:rsidRPr="00F85C72">
        <w:rPr>
          <w:sz w:val="26"/>
          <w:szCs w:val="26"/>
        </w:rPr>
        <w:t xml:space="preserve"> 529 Pa. 654, 602</w:t>
      </w:r>
      <w:r w:rsidR="00933121">
        <w:rPr>
          <w:sz w:val="26"/>
          <w:szCs w:val="26"/>
        </w:rPr>
        <w:t> </w:t>
      </w:r>
      <w:r w:rsidRPr="00F85C72">
        <w:rPr>
          <w:sz w:val="26"/>
          <w:szCs w:val="26"/>
        </w:rPr>
        <w:t>A.2d</w:t>
      </w:r>
      <w:r w:rsidR="00933121">
        <w:rPr>
          <w:sz w:val="26"/>
          <w:szCs w:val="26"/>
        </w:rPr>
        <w:t> </w:t>
      </w:r>
      <w:r w:rsidRPr="00F85C72">
        <w:rPr>
          <w:sz w:val="26"/>
          <w:szCs w:val="26"/>
        </w:rPr>
        <w:t xml:space="preserve">863 (1992).  That is, the Complainant’s evidence must be more convincing, by even the smallest amount, than that presented by PGW.  </w:t>
      </w:r>
      <w:r w:rsidRPr="00F85C72">
        <w:rPr>
          <w:i/>
          <w:sz w:val="26"/>
          <w:szCs w:val="26"/>
        </w:rPr>
        <w:t>Se-Ling Hosiery, Inc. v. Margulies</w:t>
      </w:r>
      <w:r w:rsidRPr="00F85C72">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F85C72">
        <w:rPr>
          <w:i/>
          <w:sz w:val="26"/>
          <w:szCs w:val="26"/>
        </w:rPr>
        <w:t>Norfolk &amp; Western Ry. Co. v. Pa. PUC</w:t>
      </w:r>
      <w:r w:rsidRPr="00EE3FC0">
        <w:rPr>
          <w:iCs/>
          <w:sz w:val="26"/>
          <w:szCs w:val="26"/>
        </w:rPr>
        <w:t>,</w:t>
      </w:r>
      <w:r w:rsidRPr="00F85C72">
        <w:rPr>
          <w:i/>
          <w:sz w:val="26"/>
          <w:szCs w:val="26"/>
        </w:rPr>
        <w:t xml:space="preserve"> </w:t>
      </w:r>
      <w:r w:rsidRPr="00F85C72">
        <w:rPr>
          <w:sz w:val="26"/>
          <w:szCs w:val="26"/>
        </w:rPr>
        <w:t>489 Pa. 109, 413 A.2d 1037 (1980).</w:t>
      </w:r>
    </w:p>
    <w:p w14:paraId="6585B65C" w14:textId="77777777" w:rsidR="00F85C72" w:rsidRPr="00F85C72" w:rsidRDefault="00F85C72" w:rsidP="002E09E5">
      <w:pPr>
        <w:widowControl/>
        <w:spacing w:line="360" w:lineRule="auto"/>
        <w:ind w:firstLine="1440"/>
        <w:rPr>
          <w:sz w:val="26"/>
          <w:szCs w:val="26"/>
        </w:rPr>
      </w:pPr>
    </w:p>
    <w:p w14:paraId="55B1E048" w14:textId="47E07AD9" w:rsidR="00F85C72" w:rsidRPr="00F85C72" w:rsidRDefault="00F85C72" w:rsidP="002E09E5">
      <w:pPr>
        <w:widowControl/>
        <w:spacing w:line="360" w:lineRule="auto"/>
        <w:ind w:firstLine="1440"/>
        <w:rPr>
          <w:sz w:val="26"/>
          <w:szCs w:val="26"/>
        </w:rPr>
      </w:pPr>
      <w:r w:rsidRPr="00F85C72">
        <w:rPr>
          <w:sz w:val="26"/>
          <w:szCs w:val="26"/>
        </w:rPr>
        <w:t>Upon the presentation by the Complainant of evidence sufficient initially</w:t>
      </w:r>
      <w:r>
        <w:rPr>
          <w:sz w:val="26"/>
          <w:szCs w:val="26"/>
        </w:rPr>
        <w:t xml:space="preserve"> to</w:t>
      </w:r>
      <w:r w:rsidRPr="00F85C72">
        <w:rPr>
          <w:sz w:val="26"/>
          <w:szCs w:val="26"/>
        </w:rPr>
        <w:t xml:space="preserve"> satisfy the burden of proof, the burden of going forward with the evidence (burden of persuasion) to rebut the evidence of the Complainant shifts to PGW.  If the evidence presented by PGW is of co-equal weight, the Complainant</w:t>
      </w:r>
      <w:r>
        <w:rPr>
          <w:sz w:val="26"/>
          <w:szCs w:val="26"/>
        </w:rPr>
        <w:t>’s burden of proof</w:t>
      </w:r>
      <w:r w:rsidRPr="00F85C72">
        <w:rPr>
          <w:sz w:val="26"/>
          <w:szCs w:val="26"/>
        </w:rPr>
        <w:t xml:space="preserve"> has not </w:t>
      </w:r>
      <w:r>
        <w:rPr>
          <w:sz w:val="26"/>
          <w:szCs w:val="26"/>
        </w:rPr>
        <w:t xml:space="preserve">been </w:t>
      </w:r>
      <w:r w:rsidRPr="00F85C72">
        <w:rPr>
          <w:sz w:val="26"/>
          <w:szCs w:val="26"/>
        </w:rPr>
        <w:t xml:space="preserve">satisfied.  The Complainant would be required to provide additional evidence to rebut </w:t>
      </w:r>
      <w:r>
        <w:rPr>
          <w:sz w:val="26"/>
          <w:szCs w:val="26"/>
        </w:rPr>
        <w:t xml:space="preserve">PGW’s </w:t>
      </w:r>
      <w:r w:rsidRPr="00F85C72">
        <w:rPr>
          <w:sz w:val="26"/>
          <w:szCs w:val="26"/>
        </w:rPr>
        <w:t>evidence</w:t>
      </w:r>
      <w:r>
        <w:rPr>
          <w:sz w:val="26"/>
          <w:szCs w:val="26"/>
        </w:rPr>
        <w:t>.</w:t>
      </w:r>
      <w:r w:rsidRPr="00F85C72">
        <w:rPr>
          <w:sz w:val="26"/>
          <w:szCs w:val="26"/>
        </w:rPr>
        <w:t xml:space="preserve">  </w:t>
      </w:r>
      <w:r w:rsidRPr="00F85C72">
        <w:rPr>
          <w:i/>
          <w:iCs/>
          <w:sz w:val="26"/>
          <w:szCs w:val="26"/>
        </w:rPr>
        <w:t>Burleson v. Pa. P</w:t>
      </w:r>
      <w:r w:rsidR="00D96915">
        <w:rPr>
          <w:i/>
          <w:iCs/>
          <w:sz w:val="26"/>
          <w:szCs w:val="26"/>
        </w:rPr>
        <w:t>UC</w:t>
      </w:r>
      <w:r w:rsidRPr="00F85C72">
        <w:rPr>
          <w:sz w:val="26"/>
          <w:szCs w:val="26"/>
        </w:rPr>
        <w:t xml:space="preserve">, 443 A.2d 1373 (Pa. Cmwlth. 1982), </w:t>
      </w:r>
      <w:r w:rsidRPr="00F85C72">
        <w:rPr>
          <w:i/>
          <w:iCs/>
          <w:sz w:val="26"/>
          <w:szCs w:val="26"/>
        </w:rPr>
        <w:t>aff’d</w:t>
      </w:r>
      <w:r w:rsidRPr="00F85C72">
        <w:rPr>
          <w:sz w:val="26"/>
          <w:szCs w:val="26"/>
        </w:rPr>
        <w:t>, 501</w:t>
      </w:r>
      <w:r w:rsidR="00EE3FC0">
        <w:rPr>
          <w:sz w:val="26"/>
          <w:szCs w:val="26"/>
        </w:rPr>
        <w:t> </w:t>
      </w:r>
      <w:r w:rsidRPr="00F85C72">
        <w:rPr>
          <w:sz w:val="26"/>
          <w:szCs w:val="26"/>
        </w:rPr>
        <w:t>Pa. 433, 461 A.2d 1234 (1983).</w:t>
      </w:r>
    </w:p>
    <w:p w14:paraId="23F60379" w14:textId="77777777" w:rsidR="00F85C72" w:rsidRPr="00F85C72" w:rsidRDefault="00F85C72" w:rsidP="002E09E5">
      <w:pPr>
        <w:widowControl/>
        <w:spacing w:line="360" w:lineRule="auto"/>
        <w:ind w:firstLine="1440"/>
        <w:rPr>
          <w:sz w:val="26"/>
          <w:szCs w:val="26"/>
        </w:rPr>
      </w:pPr>
    </w:p>
    <w:p w14:paraId="2FF00037" w14:textId="08B57E44" w:rsidR="00F85C72" w:rsidRPr="00F85C72" w:rsidRDefault="00F85C72" w:rsidP="002E09E5">
      <w:pPr>
        <w:widowControl/>
        <w:spacing w:line="360" w:lineRule="auto"/>
        <w:ind w:firstLine="1440"/>
        <w:rPr>
          <w:sz w:val="26"/>
          <w:szCs w:val="26"/>
        </w:rPr>
      </w:pPr>
      <w:r w:rsidRPr="00F85C72">
        <w:rPr>
          <w:sz w:val="26"/>
          <w:szCs w:val="26"/>
        </w:rPr>
        <w:t xml:space="preserve">While the </w:t>
      </w:r>
      <w:r w:rsidRPr="00F85C72">
        <w:rPr>
          <w:bCs/>
          <w:sz w:val="26"/>
          <w:szCs w:val="26"/>
        </w:rPr>
        <w:t>burden of persuasion</w:t>
      </w:r>
      <w:r w:rsidRPr="00F85C72">
        <w:rPr>
          <w:sz w:val="26"/>
          <w:szCs w:val="26"/>
        </w:rPr>
        <w:t xml:space="preserve"> may shift back and forth during a proceeding, the burden of proof never shifts.  The burden of proof always remains on the party seeking affirmative relief from the Commission.  </w:t>
      </w:r>
      <w:r w:rsidRPr="00F85C72">
        <w:rPr>
          <w:i/>
          <w:iCs/>
          <w:sz w:val="26"/>
          <w:szCs w:val="26"/>
        </w:rPr>
        <w:t>Milkie v. Pa. P</w:t>
      </w:r>
      <w:r w:rsidR="00D96915">
        <w:rPr>
          <w:i/>
          <w:iCs/>
          <w:sz w:val="26"/>
          <w:szCs w:val="26"/>
        </w:rPr>
        <w:t>UC</w:t>
      </w:r>
      <w:r w:rsidRPr="00F85C72">
        <w:rPr>
          <w:sz w:val="26"/>
          <w:szCs w:val="26"/>
        </w:rPr>
        <w:t>, 768 A.2d 1217 (Pa. Cmwlth. 2001).</w:t>
      </w:r>
    </w:p>
    <w:p w14:paraId="25450DDB" w14:textId="77777777" w:rsidR="00F85C72" w:rsidRPr="00F85C72" w:rsidRDefault="00F85C72" w:rsidP="002E09E5">
      <w:pPr>
        <w:widowControl/>
        <w:spacing w:line="360" w:lineRule="auto"/>
        <w:ind w:firstLine="1440"/>
        <w:rPr>
          <w:sz w:val="26"/>
          <w:szCs w:val="26"/>
        </w:rPr>
      </w:pPr>
    </w:p>
    <w:p w14:paraId="7C025B10" w14:textId="7C78D6F5" w:rsidR="00F85C72" w:rsidRPr="00F85C72" w:rsidRDefault="00F85C72" w:rsidP="002E09E5">
      <w:pPr>
        <w:widowControl/>
        <w:spacing w:line="360" w:lineRule="auto"/>
        <w:ind w:firstLine="1440"/>
        <w:rPr>
          <w:color w:val="000000"/>
          <w:sz w:val="26"/>
          <w:szCs w:val="26"/>
        </w:rPr>
      </w:pPr>
      <w:r w:rsidRPr="00F85C72">
        <w:rPr>
          <w:color w:val="000000"/>
          <w:sz w:val="26"/>
          <w:szCs w:val="26"/>
        </w:rPr>
        <w:t xml:space="preserve">A public utility is entitled to full payment for service provided to customers and all customers are obligated to pay for the utility service provided to them.  Otherwise, a customer’s unpaid bills are included in the utility’s uncollectible expenses and ultimately paid for by other utility customers.  </w:t>
      </w:r>
      <w:r w:rsidRPr="00F85C72">
        <w:rPr>
          <w:i/>
          <w:color w:val="000000"/>
          <w:sz w:val="26"/>
          <w:szCs w:val="26"/>
        </w:rPr>
        <w:t>Scaccia v. West Penn Power Co.</w:t>
      </w:r>
      <w:r w:rsidRPr="00F85C72">
        <w:rPr>
          <w:color w:val="000000"/>
          <w:sz w:val="26"/>
          <w:szCs w:val="26"/>
        </w:rPr>
        <w:t xml:space="preserve">, </w:t>
      </w:r>
      <w:r w:rsidRPr="00F85C72">
        <w:rPr>
          <w:color w:val="000000"/>
          <w:sz w:val="26"/>
          <w:szCs w:val="26"/>
        </w:rPr>
        <w:lastRenderedPageBreak/>
        <w:t>55</w:t>
      </w:r>
      <w:r w:rsidR="00EE3FC0">
        <w:rPr>
          <w:color w:val="000000"/>
          <w:sz w:val="26"/>
          <w:szCs w:val="26"/>
        </w:rPr>
        <w:t> </w:t>
      </w:r>
      <w:r w:rsidRPr="00F85C72">
        <w:rPr>
          <w:color w:val="000000"/>
          <w:sz w:val="26"/>
          <w:szCs w:val="26"/>
        </w:rPr>
        <w:t>Pa.</w:t>
      </w:r>
      <w:r w:rsidR="00EE3FC0">
        <w:rPr>
          <w:color w:val="000000"/>
          <w:sz w:val="26"/>
          <w:szCs w:val="26"/>
        </w:rPr>
        <w:t> </w:t>
      </w:r>
      <w:r w:rsidRPr="00F85C72">
        <w:rPr>
          <w:color w:val="000000"/>
          <w:sz w:val="26"/>
          <w:szCs w:val="26"/>
        </w:rPr>
        <w:t xml:space="preserve">P.U.C. 637 (1982); </w:t>
      </w:r>
      <w:r w:rsidRPr="00F85C72">
        <w:rPr>
          <w:i/>
          <w:color w:val="000000"/>
          <w:sz w:val="26"/>
          <w:szCs w:val="26"/>
        </w:rPr>
        <w:t>Mill v. Pa. P</w:t>
      </w:r>
      <w:r w:rsidR="00D96915">
        <w:rPr>
          <w:i/>
          <w:color w:val="000000"/>
          <w:sz w:val="26"/>
          <w:szCs w:val="26"/>
        </w:rPr>
        <w:t>UC</w:t>
      </w:r>
      <w:r w:rsidRPr="00F85C72">
        <w:rPr>
          <w:color w:val="000000"/>
          <w:sz w:val="26"/>
          <w:szCs w:val="26"/>
        </w:rPr>
        <w:t>, 447 A.2d 1100 (</w:t>
      </w:r>
      <w:r w:rsidR="00B92BD7">
        <w:rPr>
          <w:color w:val="000000"/>
          <w:sz w:val="26"/>
          <w:szCs w:val="26"/>
        </w:rPr>
        <w:t xml:space="preserve">Pa. Cmwlth. </w:t>
      </w:r>
      <w:r w:rsidRPr="00F85C72">
        <w:rPr>
          <w:color w:val="000000"/>
          <w:sz w:val="26"/>
          <w:szCs w:val="26"/>
        </w:rPr>
        <w:t xml:space="preserve">1982); </w:t>
      </w:r>
      <w:r w:rsidRPr="00F85C72">
        <w:rPr>
          <w:i/>
          <w:color w:val="000000"/>
          <w:sz w:val="26"/>
          <w:szCs w:val="26"/>
        </w:rPr>
        <w:t>Bolt</w:t>
      </w:r>
      <w:r w:rsidR="00EE3FC0">
        <w:rPr>
          <w:i/>
          <w:color w:val="000000"/>
          <w:sz w:val="26"/>
          <w:szCs w:val="26"/>
        </w:rPr>
        <w:t> </w:t>
      </w:r>
      <w:r w:rsidRPr="00F85C72">
        <w:rPr>
          <w:i/>
          <w:color w:val="000000"/>
          <w:sz w:val="26"/>
          <w:szCs w:val="26"/>
        </w:rPr>
        <w:t>v.</w:t>
      </w:r>
      <w:r w:rsidR="00EE3FC0">
        <w:rPr>
          <w:i/>
          <w:color w:val="000000"/>
          <w:sz w:val="26"/>
          <w:szCs w:val="26"/>
        </w:rPr>
        <w:t> </w:t>
      </w:r>
      <w:r w:rsidRPr="00F85C72">
        <w:rPr>
          <w:i/>
          <w:color w:val="000000"/>
          <w:sz w:val="26"/>
          <w:szCs w:val="26"/>
        </w:rPr>
        <w:t>Duquesne Light Co</w:t>
      </w:r>
      <w:r w:rsidR="00D96915">
        <w:rPr>
          <w:i/>
          <w:color w:val="000000"/>
          <w:sz w:val="26"/>
          <w:szCs w:val="26"/>
        </w:rPr>
        <w:t>.</w:t>
      </w:r>
      <w:r w:rsidRPr="00F85C72">
        <w:rPr>
          <w:color w:val="000000"/>
          <w:sz w:val="26"/>
          <w:szCs w:val="26"/>
        </w:rPr>
        <w:t>, Docket No. Z-8712758 (Order entered April 8, 1988).</w:t>
      </w:r>
    </w:p>
    <w:p w14:paraId="016C77DE" w14:textId="77777777" w:rsidR="00F85C72" w:rsidRPr="00F85C72" w:rsidRDefault="00F85C72" w:rsidP="002E09E5">
      <w:pPr>
        <w:widowControl/>
        <w:spacing w:line="360" w:lineRule="auto"/>
        <w:ind w:firstLine="1440"/>
        <w:rPr>
          <w:color w:val="000000"/>
          <w:sz w:val="26"/>
          <w:szCs w:val="26"/>
        </w:rPr>
      </w:pPr>
    </w:p>
    <w:p w14:paraId="393F2749" w14:textId="77777777" w:rsidR="00F85C72" w:rsidRPr="00F85C72" w:rsidRDefault="00F85C72" w:rsidP="002E09E5">
      <w:pPr>
        <w:widowControl/>
        <w:spacing w:line="360" w:lineRule="auto"/>
        <w:ind w:firstLine="1440"/>
        <w:rPr>
          <w:sz w:val="26"/>
          <w:szCs w:val="26"/>
        </w:rPr>
      </w:pPr>
      <w:r w:rsidRPr="00F85C72">
        <w:rPr>
          <w:sz w:val="26"/>
          <w:szCs w:val="26"/>
        </w:rPr>
        <w:t>When a person applies to have utility service in their name, Section 56.35 of the Commission’s Regulations provides that a utility can require a person to pay an outstanding account balance if they resided at the service address when the account was in the name of another person as follows:</w:t>
      </w:r>
    </w:p>
    <w:p w14:paraId="46D2F8BB" w14:textId="77777777" w:rsidR="00F85C72" w:rsidRPr="00F85C72" w:rsidRDefault="00F85C72" w:rsidP="002E09E5">
      <w:pPr>
        <w:widowControl/>
        <w:rPr>
          <w:sz w:val="26"/>
          <w:szCs w:val="26"/>
        </w:rPr>
      </w:pPr>
    </w:p>
    <w:p w14:paraId="269D01BD" w14:textId="203415E6" w:rsidR="00F85C72" w:rsidRPr="00F85C72" w:rsidRDefault="00F85C72" w:rsidP="002E09E5">
      <w:pPr>
        <w:widowControl/>
        <w:ind w:left="1440" w:right="1440"/>
        <w:rPr>
          <w:sz w:val="26"/>
          <w:szCs w:val="26"/>
        </w:rPr>
      </w:pPr>
      <w:r w:rsidRPr="00F85C72">
        <w:rPr>
          <w:sz w:val="26"/>
          <w:szCs w:val="26"/>
        </w:rPr>
        <w:t>(a)</w:t>
      </w:r>
      <w:r w:rsidR="002E09E5">
        <w:rPr>
          <w:sz w:val="26"/>
          <w:szCs w:val="26"/>
        </w:rPr>
        <w:tab/>
      </w:r>
      <w:r w:rsidRPr="00F85C72">
        <w:rPr>
          <w:sz w:val="26"/>
          <w:szCs w:val="26"/>
        </w:rPr>
        <w:t xml:space="preserve">A public utility may require, as a condition of the furnishing of residential service to an applicant, the payment of any outstanding residential account with the public utility which accrued within the past 4 years for which the applicant is legally responsible and for which the applicant was billed properly. </w:t>
      </w:r>
    </w:p>
    <w:p w14:paraId="70588766" w14:textId="77777777" w:rsidR="00F85C72" w:rsidRPr="00F85C72" w:rsidRDefault="00F85C72" w:rsidP="002E09E5">
      <w:pPr>
        <w:widowControl/>
        <w:ind w:left="1440" w:right="1440"/>
        <w:rPr>
          <w:sz w:val="26"/>
          <w:szCs w:val="26"/>
        </w:rPr>
      </w:pPr>
    </w:p>
    <w:p w14:paraId="0F4F48CC" w14:textId="42DB5DDE" w:rsidR="00F85C72" w:rsidRPr="00F85C72" w:rsidRDefault="00F85C72" w:rsidP="002E09E5">
      <w:pPr>
        <w:widowControl/>
        <w:ind w:left="1440" w:right="1440"/>
        <w:rPr>
          <w:sz w:val="26"/>
          <w:szCs w:val="26"/>
        </w:rPr>
      </w:pPr>
      <w:r w:rsidRPr="00F85C72">
        <w:rPr>
          <w:sz w:val="26"/>
          <w:szCs w:val="26"/>
        </w:rPr>
        <w:t>(b)</w:t>
      </w:r>
      <w:r w:rsidR="002E09E5">
        <w:rPr>
          <w:sz w:val="26"/>
          <w:szCs w:val="26"/>
        </w:rPr>
        <w:tab/>
      </w:r>
      <w:r w:rsidRPr="00F85C72">
        <w:rPr>
          <w:sz w:val="26"/>
          <w:szCs w:val="26"/>
        </w:rPr>
        <w:t xml:space="preserve">A public utility may not require, as a condition of the furnishing of residential service, payment for residential service previously furnished under an account in the name of a person other than the applicant, except as provided for in paragraphs (1) and (2). </w:t>
      </w:r>
    </w:p>
    <w:p w14:paraId="6FA86D95" w14:textId="77777777" w:rsidR="00F85C72" w:rsidRPr="00F85C72" w:rsidRDefault="00F85C72" w:rsidP="002E09E5">
      <w:pPr>
        <w:widowControl/>
        <w:ind w:left="1440" w:right="1440"/>
        <w:rPr>
          <w:sz w:val="26"/>
          <w:szCs w:val="26"/>
        </w:rPr>
      </w:pPr>
    </w:p>
    <w:p w14:paraId="2B80E52A" w14:textId="40A56736" w:rsidR="00F85C72" w:rsidRPr="00F85C72" w:rsidRDefault="00F85C72" w:rsidP="002E09E5">
      <w:pPr>
        <w:keepNext/>
        <w:keepLines/>
        <w:widowControl/>
        <w:tabs>
          <w:tab w:val="left" w:pos="2160"/>
        </w:tabs>
        <w:ind w:left="2160" w:right="1440"/>
        <w:rPr>
          <w:sz w:val="26"/>
          <w:szCs w:val="26"/>
        </w:rPr>
      </w:pPr>
      <w:r w:rsidRPr="00F85C72">
        <w:rPr>
          <w:sz w:val="26"/>
          <w:szCs w:val="26"/>
        </w:rPr>
        <w:t>(1)</w:t>
      </w:r>
      <w:r w:rsidR="002E09E5">
        <w:rPr>
          <w:sz w:val="26"/>
          <w:szCs w:val="26"/>
        </w:rPr>
        <w:tab/>
      </w:r>
      <w:r w:rsidRPr="00F85C72">
        <w:rPr>
          <w:sz w:val="26"/>
          <w:szCs w:val="26"/>
        </w:rPr>
        <w:t xml:space="preserve">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request. The 4-year limit does not apply if the balance includes amounts that the utility was not aware of because of fraud or theft on the part of the applicant. </w:t>
      </w:r>
    </w:p>
    <w:p w14:paraId="0AE455CD" w14:textId="77777777" w:rsidR="00F85C72" w:rsidRPr="00F85C72" w:rsidRDefault="00F85C72" w:rsidP="002E09E5">
      <w:pPr>
        <w:widowControl/>
        <w:tabs>
          <w:tab w:val="left" w:pos="2160"/>
        </w:tabs>
        <w:ind w:left="2160" w:right="1440"/>
        <w:rPr>
          <w:sz w:val="26"/>
          <w:szCs w:val="26"/>
        </w:rPr>
      </w:pPr>
    </w:p>
    <w:p w14:paraId="74BC4F45" w14:textId="5D8A619A" w:rsidR="00F85C72" w:rsidRPr="00F85C72" w:rsidRDefault="00F85C72" w:rsidP="002E09E5">
      <w:pPr>
        <w:widowControl/>
        <w:tabs>
          <w:tab w:val="left" w:pos="2160"/>
        </w:tabs>
        <w:ind w:left="2160" w:right="1440"/>
        <w:rPr>
          <w:sz w:val="26"/>
          <w:szCs w:val="26"/>
        </w:rPr>
      </w:pPr>
      <w:r w:rsidRPr="00F85C72">
        <w:rPr>
          <w:sz w:val="26"/>
          <w:szCs w:val="26"/>
        </w:rPr>
        <w:t>(2)</w:t>
      </w:r>
      <w:r w:rsidR="002E09E5">
        <w:rPr>
          <w:sz w:val="26"/>
          <w:szCs w:val="26"/>
        </w:rPr>
        <w:tab/>
      </w:r>
      <w:r w:rsidRPr="00F85C72">
        <w:rPr>
          <w:sz w:val="26"/>
          <w:szCs w:val="26"/>
        </w:rPr>
        <w:t xml:space="preserve">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Public utilities shall include in their tariffs filed with the Commission </w:t>
      </w:r>
      <w:r w:rsidRPr="00F85C72">
        <w:rPr>
          <w:sz w:val="26"/>
          <w:szCs w:val="26"/>
        </w:rPr>
        <w:lastRenderedPageBreak/>
        <w:t xml:space="preserve">the methods, other than those specifically mentioned in this paragraph, used to determine the applicant’s liability for any outstanding balance. </w:t>
      </w:r>
    </w:p>
    <w:p w14:paraId="7739F3F0" w14:textId="77777777" w:rsidR="00F85C72" w:rsidRPr="00F85C72" w:rsidRDefault="00F85C72" w:rsidP="002E09E5">
      <w:pPr>
        <w:widowControl/>
        <w:tabs>
          <w:tab w:val="left" w:pos="2160"/>
        </w:tabs>
        <w:ind w:left="2160" w:right="1440"/>
        <w:rPr>
          <w:sz w:val="26"/>
          <w:szCs w:val="26"/>
        </w:rPr>
      </w:pPr>
    </w:p>
    <w:p w14:paraId="0550315B" w14:textId="7D47EC8F" w:rsidR="00F85C72" w:rsidRPr="00F85C72" w:rsidRDefault="00F85C72" w:rsidP="002E09E5">
      <w:pPr>
        <w:widowControl/>
        <w:tabs>
          <w:tab w:val="left" w:pos="2160"/>
        </w:tabs>
        <w:ind w:left="2160" w:right="1440"/>
        <w:rPr>
          <w:sz w:val="26"/>
          <w:szCs w:val="26"/>
        </w:rPr>
      </w:pPr>
      <w:r w:rsidRPr="00F85C72">
        <w:rPr>
          <w:sz w:val="26"/>
          <w:szCs w:val="26"/>
        </w:rPr>
        <w:t>(3)</w:t>
      </w:r>
      <w:r w:rsidR="002E09E5">
        <w:rPr>
          <w:sz w:val="26"/>
          <w:szCs w:val="26"/>
        </w:rPr>
        <w:tab/>
      </w:r>
      <w:r w:rsidRPr="00F85C72">
        <w:rPr>
          <w:sz w:val="26"/>
          <w:szCs w:val="26"/>
        </w:rPr>
        <w:t xml:space="preserve">Any outstanding residential account with the public utility may be amortized in accordance with </w:t>
      </w:r>
      <w:r w:rsidR="009E4CAB">
        <w:rPr>
          <w:sz w:val="26"/>
          <w:szCs w:val="26"/>
        </w:rPr>
        <w:t xml:space="preserve">       </w:t>
      </w:r>
      <w:r w:rsidRPr="00F85C72">
        <w:rPr>
          <w:sz w:val="26"/>
          <w:szCs w:val="26"/>
        </w:rPr>
        <w:t xml:space="preserve">§ 56.191 (relating to payment and timing). </w:t>
      </w:r>
    </w:p>
    <w:p w14:paraId="70822A93" w14:textId="77777777" w:rsidR="00F85C72" w:rsidRPr="00F85C72" w:rsidRDefault="00F85C72" w:rsidP="002E09E5">
      <w:pPr>
        <w:widowControl/>
        <w:tabs>
          <w:tab w:val="left" w:pos="2160"/>
        </w:tabs>
        <w:ind w:left="2160" w:right="1440"/>
        <w:rPr>
          <w:sz w:val="26"/>
          <w:szCs w:val="26"/>
        </w:rPr>
      </w:pPr>
    </w:p>
    <w:p w14:paraId="4CA84449" w14:textId="74ACDC3F" w:rsidR="00F85C72" w:rsidRPr="00F85C72" w:rsidRDefault="00F85C72" w:rsidP="002E09E5">
      <w:pPr>
        <w:widowControl/>
        <w:ind w:left="1440" w:right="1440"/>
        <w:rPr>
          <w:sz w:val="26"/>
          <w:szCs w:val="26"/>
        </w:rPr>
      </w:pPr>
      <w:r w:rsidRPr="00F85C72">
        <w:rPr>
          <w:sz w:val="26"/>
          <w:szCs w:val="26"/>
        </w:rPr>
        <w:t>(c)</w:t>
      </w:r>
      <w:r w:rsidR="002E09E5">
        <w:rPr>
          <w:sz w:val="26"/>
          <w:szCs w:val="26"/>
        </w:rPr>
        <w:tab/>
      </w:r>
      <w:r w:rsidRPr="00F85C72">
        <w:rPr>
          <w:sz w:val="26"/>
          <w:szCs w:val="26"/>
        </w:rPr>
        <w:t>This section does not affect the creditor rights and remedies of a public utility otherwise permitted by law.</w:t>
      </w:r>
    </w:p>
    <w:p w14:paraId="13636E9D" w14:textId="77777777" w:rsidR="001B651C" w:rsidRDefault="001B651C" w:rsidP="009A0065">
      <w:pPr>
        <w:widowControl/>
        <w:spacing w:line="360" w:lineRule="auto"/>
        <w:ind w:left="1440" w:right="1440" w:hanging="1440"/>
        <w:rPr>
          <w:sz w:val="26"/>
          <w:szCs w:val="26"/>
        </w:rPr>
      </w:pPr>
    </w:p>
    <w:p w14:paraId="206B6857" w14:textId="2AF4FB8F" w:rsidR="00F85C72" w:rsidRPr="00F85C72" w:rsidRDefault="00F85C72" w:rsidP="009A0065">
      <w:pPr>
        <w:widowControl/>
        <w:spacing w:line="360" w:lineRule="auto"/>
        <w:ind w:left="1440" w:right="1440" w:hanging="1440"/>
        <w:rPr>
          <w:sz w:val="26"/>
          <w:szCs w:val="26"/>
        </w:rPr>
      </w:pPr>
      <w:r w:rsidRPr="00F85C72">
        <w:rPr>
          <w:sz w:val="26"/>
          <w:szCs w:val="26"/>
        </w:rPr>
        <w:t>52 Pa. Code § 56.35.</w:t>
      </w:r>
    </w:p>
    <w:p w14:paraId="538E8561" w14:textId="77777777" w:rsidR="00F85C72" w:rsidRPr="00F85C72" w:rsidRDefault="00F85C72" w:rsidP="009A0065">
      <w:pPr>
        <w:widowControl/>
        <w:spacing w:line="360" w:lineRule="auto"/>
        <w:rPr>
          <w:sz w:val="26"/>
          <w:szCs w:val="26"/>
        </w:rPr>
      </w:pPr>
    </w:p>
    <w:p w14:paraId="1D9FC7C9" w14:textId="77777777" w:rsidR="00F85C72" w:rsidRPr="00F85C72" w:rsidRDefault="00F85C72" w:rsidP="009A0065">
      <w:pPr>
        <w:keepNext/>
        <w:widowControl/>
        <w:spacing w:line="360" w:lineRule="auto"/>
        <w:rPr>
          <w:b/>
          <w:sz w:val="26"/>
          <w:szCs w:val="26"/>
        </w:rPr>
      </w:pPr>
      <w:r w:rsidRPr="00F85C72">
        <w:rPr>
          <w:b/>
          <w:sz w:val="26"/>
          <w:szCs w:val="26"/>
        </w:rPr>
        <w:t>B.</w:t>
      </w:r>
      <w:r w:rsidRPr="00F85C72">
        <w:rPr>
          <w:b/>
          <w:sz w:val="26"/>
          <w:szCs w:val="26"/>
        </w:rPr>
        <w:tab/>
        <w:t xml:space="preserve">ALJ’s Initial Decision </w:t>
      </w:r>
    </w:p>
    <w:p w14:paraId="15C032ED" w14:textId="77777777" w:rsidR="00F85C72" w:rsidRPr="00F85C72" w:rsidRDefault="00F85C72" w:rsidP="009A0065">
      <w:pPr>
        <w:keepNext/>
        <w:widowControl/>
        <w:spacing w:line="360" w:lineRule="auto"/>
        <w:rPr>
          <w:sz w:val="26"/>
          <w:szCs w:val="26"/>
        </w:rPr>
      </w:pPr>
    </w:p>
    <w:p w14:paraId="096E7DD3" w14:textId="0058453D" w:rsidR="00F85C72" w:rsidRPr="00F85C72" w:rsidRDefault="00F85C72" w:rsidP="009A0065">
      <w:pPr>
        <w:widowControl/>
        <w:spacing w:line="360" w:lineRule="auto"/>
        <w:ind w:firstLine="1440"/>
        <w:rPr>
          <w:sz w:val="26"/>
          <w:szCs w:val="26"/>
        </w:rPr>
      </w:pPr>
      <w:r w:rsidRPr="00F85C72">
        <w:rPr>
          <w:sz w:val="26"/>
          <w:szCs w:val="26"/>
        </w:rPr>
        <w:t xml:space="preserve">In this proceeding, the ALJ made </w:t>
      </w:r>
      <w:r w:rsidR="00002376">
        <w:rPr>
          <w:sz w:val="26"/>
          <w:szCs w:val="26"/>
        </w:rPr>
        <w:t>six</w:t>
      </w:r>
      <w:r w:rsidRPr="00F85C72">
        <w:rPr>
          <w:sz w:val="26"/>
          <w:szCs w:val="26"/>
        </w:rPr>
        <w:t xml:space="preserve">teen Findings of Fact and reached </w:t>
      </w:r>
      <w:r w:rsidR="00002376">
        <w:rPr>
          <w:sz w:val="26"/>
          <w:szCs w:val="26"/>
        </w:rPr>
        <w:t>nine</w:t>
      </w:r>
      <w:r w:rsidRPr="00F85C72">
        <w:rPr>
          <w:sz w:val="26"/>
          <w:szCs w:val="26"/>
        </w:rPr>
        <w:t xml:space="preserve"> Conclusions of Law.  I.D. at </w:t>
      </w:r>
      <w:r w:rsidR="00002376">
        <w:rPr>
          <w:sz w:val="26"/>
          <w:szCs w:val="26"/>
        </w:rPr>
        <w:t>3-5</w:t>
      </w:r>
      <w:r w:rsidRPr="00F85C72">
        <w:rPr>
          <w:sz w:val="26"/>
          <w:szCs w:val="26"/>
        </w:rPr>
        <w:t xml:space="preserve">, </w:t>
      </w:r>
      <w:r w:rsidR="00002376">
        <w:rPr>
          <w:sz w:val="26"/>
          <w:szCs w:val="26"/>
        </w:rPr>
        <w:t>9-10</w:t>
      </w:r>
      <w:r w:rsidRPr="00F85C72">
        <w:rPr>
          <w:sz w:val="26"/>
          <w:szCs w:val="26"/>
        </w:rPr>
        <w:t>.  The Findings of Fact and Conclusions of Law are incorporated herein by reference and are adopted without comment unless they are either expressly or by necessary implication rejected or modified by this Opinion and Order.</w:t>
      </w:r>
    </w:p>
    <w:p w14:paraId="0A02949E" w14:textId="77777777" w:rsidR="00F85C72" w:rsidRPr="002E6E55" w:rsidRDefault="00F85C72" w:rsidP="009A0065">
      <w:pPr>
        <w:widowControl/>
        <w:spacing w:line="360" w:lineRule="auto"/>
        <w:ind w:firstLine="1440"/>
        <w:rPr>
          <w:color w:val="000000"/>
          <w:sz w:val="26"/>
          <w:szCs w:val="26"/>
        </w:rPr>
      </w:pPr>
    </w:p>
    <w:p w14:paraId="2370354E" w14:textId="37646ED4" w:rsidR="004164D4" w:rsidRDefault="00002376" w:rsidP="009A0065">
      <w:pPr>
        <w:pStyle w:val="BodyText"/>
        <w:rPr>
          <w:rFonts w:eastAsia="Batang"/>
          <w:szCs w:val="26"/>
        </w:rPr>
      </w:pPr>
      <w:r w:rsidRPr="0014129F">
        <w:rPr>
          <w:rFonts w:eastAsia="Batang"/>
          <w:szCs w:val="26"/>
        </w:rPr>
        <w:t xml:space="preserve">ALJ </w:t>
      </w:r>
      <w:r>
        <w:rPr>
          <w:rFonts w:eastAsia="Batang"/>
          <w:szCs w:val="26"/>
        </w:rPr>
        <w:t xml:space="preserve">Guhl </w:t>
      </w:r>
      <w:r w:rsidR="004164D4">
        <w:rPr>
          <w:rFonts w:eastAsia="Batang"/>
          <w:szCs w:val="26"/>
        </w:rPr>
        <w:t xml:space="preserve">determined that the Complaint should be dismissed because </w:t>
      </w:r>
      <w:r w:rsidR="007F6994">
        <w:rPr>
          <w:rFonts w:eastAsia="Batang"/>
          <w:szCs w:val="26"/>
        </w:rPr>
        <w:t>s</w:t>
      </w:r>
      <w:r w:rsidR="004164D4">
        <w:rPr>
          <w:rFonts w:eastAsia="Batang"/>
          <w:szCs w:val="26"/>
        </w:rPr>
        <w:t xml:space="preserve">he did not find that the Complainant met her burden of proof in establishing that her residence </w:t>
      </w:r>
      <w:r w:rsidR="004D4DE5">
        <w:rPr>
          <w:rFonts w:eastAsia="Batang"/>
          <w:szCs w:val="26"/>
        </w:rPr>
        <w:t>was at</w:t>
      </w:r>
      <w:r w:rsidR="004164D4">
        <w:rPr>
          <w:rFonts w:eastAsia="Batang"/>
          <w:szCs w:val="26"/>
        </w:rPr>
        <w:t xml:space="preserve"> another location during the relevant time period.  While the Complainant provided a written statement from her son which stated that she </w:t>
      </w:r>
      <w:r w:rsidR="004164D4" w:rsidRPr="00F25787">
        <w:rPr>
          <w:rFonts w:eastAsia="Batang"/>
          <w:szCs w:val="26"/>
        </w:rPr>
        <w:t>resided with him in 2018</w:t>
      </w:r>
      <w:r w:rsidR="009A0065">
        <w:rPr>
          <w:rFonts w:eastAsia="Batang"/>
          <w:szCs w:val="26"/>
        </w:rPr>
        <w:noBreakHyphen/>
      </w:r>
      <w:r w:rsidR="004164D4" w:rsidRPr="00F25787">
        <w:rPr>
          <w:rFonts w:eastAsia="Batang"/>
          <w:szCs w:val="26"/>
        </w:rPr>
        <w:t>2019, the ALJ did not find this evidence persuasive because</w:t>
      </w:r>
      <w:r w:rsidR="00546202">
        <w:rPr>
          <w:rFonts w:eastAsia="Batang"/>
          <w:szCs w:val="26"/>
        </w:rPr>
        <w:t>:</w:t>
      </w:r>
      <w:r w:rsidR="004164D4" w:rsidRPr="00F25787">
        <w:rPr>
          <w:rFonts w:eastAsia="Batang"/>
          <w:szCs w:val="26"/>
        </w:rPr>
        <w:t xml:space="preserve"> </w:t>
      </w:r>
      <w:r w:rsidR="001B6B35">
        <w:rPr>
          <w:rFonts w:eastAsia="Batang"/>
          <w:szCs w:val="26"/>
        </w:rPr>
        <w:t xml:space="preserve"> </w:t>
      </w:r>
      <w:r w:rsidR="00546202">
        <w:rPr>
          <w:rFonts w:eastAsia="Batang"/>
          <w:szCs w:val="26"/>
        </w:rPr>
        <w:t xml:space="preserve">(1) </w:t>
      </w:r>
      <w:r w:rsidR="004164D4" w:rsidRPr="00F25787">
        <w:rPr>
          <w:rFonts w:eastAsia="Batang"/>
          <w:szCs w:val="26"/>
        </w:rPr>
        <w:t xml:space="preserve">the statement was not clear as to the specific time when she resided with her son, </w:t>
      </w:r>
      <w:r w:rsidR="00093150">
        <w:rPr>
          <w:rFonts w:eastAsia="Batang"/>
          <w:szCs w:val="26"/>
        </w:rPr>
        <w:t xml:space="preserve">(2) </w:t>
      </w:r>
      <w:r w:rsidR="004164D4" w:rsidRPr="00F25787">
        <w:rPr>
          <w:rFonts w:eastAsia="Batang"/>
          <w:szCs w:val="26"/>
        </w:rPr>
        <w:t>the Co</w:t>
      </w:r>
      <w:r w:rsidR="004164D4">
        <w:rPr>
          <w:rFonts w:eastAsia="Batang"/>
          <w:szCs w:val="26"/>
        </w:rPr>
        <w:t xml:space="preserve">mplainant requested that service be placed in her name immediately after her husband’s death, and </w:t>
      </w:r>
      <w:r w:rsidR="00093150">
        <w:rPr>
          <w:rFonts w:eastAsia="Batang"/>
          <w:szCs w:val="26"/>
        </w:rPr>
        <w:t xml:space="preserve">(3) </w:t>
      </w:r>
      <w:r w:rsidR="004164D4">
        <w:rPr>
          <w:rFonts w:eastAsia="Batang"/>
          <w:szCs w:val="26"/>
        </w:rPr>
        <w:t xml:space="preserve">she </w:t>
      </w:r>
      <w:r w:rsidR="007F6994">
        <w:rPr>
          <w:rFonts w:eastAsia="Batang"/>
          <w:szCs w:val="26"/>
        </w:rPr>
        <w:t xml:space="preserve">was </w:t>
      </w:r>
      <w:r w:rsidR="004164D4">
        <w:rPr>
          <w:rFonts w:eastAsia="Batang"/>
          <w:szCs w:val="26"/>
        </w:rPr>
        <w:t>us</w:t>
      </w:r>
      <w:r w:rsidR="007F6994">
        <w:rPr>
          <w:rFonts w:eastAsia="Batang"/>
          <w:szCs w:val="26"/>
        </w:rPr>
        <w:t>ing</w:t>
      </w:r>
      <w:r w:rsidR="004164D4">
        <w:rPr>
          <w:rFonts w:eastAsia="Batang"/>
          <w:szCs w:val="26"/>
        </w:rPr>
        <w:t xml:space="preserve"> the </w:t>
      </w:r>
      <w:r w:rsidR="00093150">
        <w:rPr>
          <w:rFonts w:eastAsia="Batang"/>
          <w:szCs w:val="26"/>
        </w:rPr>
        <w:t>S</w:t>
      </w:r>
      <w:r w:rsidR="004164D4">
        <w:rPr>
          <w:rFonts w:eastAsia="Batang"/>
          <w:szCs w:val="26"/>
        </w:rPr>
        <w:t xml:space="preserve">ervice </w:t>
      </w:r>
      <w:r w:rsidR="00093150">
        <w:rPr>
          <w:rFonts w:eastAsia="Batang"/>
          <w:szCs w:val="26"/>
        </w:rPr>
        <w:t>A</w:t>
      </w:r>
      <w:r w:rsidR="004164D4">
        <w:rPr>
          <w:rFonts w:eastAsia="Batang"/>
          <w:szCs w:val="26"/>
        </w:rPr>
        <w:t xml:space="preserve">ddress for her current driver’s license.  I.D. at 7.  </w:t>
      </w:r>
    </w:p>
    <w:p w14:paraId="499532F9" w14:textId="77777777" w:rsidR="004164D4" w:rsidRDefault="004164D4" w:rsidP="002E09E5">
      <w:pPr>
        <w:pStyle w:val="BodyText"/>
        <w:rPr>
          <w:rFonts w:eastAsia="Batang"/>
          <w:szCs w:val="26"/>
        </w:rPr>
      </w:pPr>
    </w:p>
    <w:p w14:paraId="5A67A149" w14:textId="2A0F1E63" w:rsidR="00293A24" w:rsidRDefault="004164D4" w:rsidP="002E09E5">
      <w:pPr>
        <w:pStyle w:val="BodyText"/>
        <w:rPr>
          <w:rFonts w:eastAsia="Batang"/>
          <w:szCs w:val="26"/>
        </w:rPr>
      </w:pPr>
      <w:r>
        <w:rPr>
          <w:rFonts w:eastAsia="Batang"/>
          <w:szCs w:val="26"/>
        </w:rPr>
        <w:t xml:space="preserve">Further, the ALJ found that PGW presented </w:t>
      </w:r>
      <w:r w:rsidR="004D4DE5">
        <w:rPr>
          <w:rFonts w:eastAsia="Batang"/>
          <w:szCs w:val="26"/>
        </w:rPr>
        <w:t>additional</w:t>
      </w:r>
      <w:r>
        <w:rPr>
          <w:rFonts w:eastAsia="Batang"/>
          <w:szCs w:val="26"/>
        </w:rPr>
        <w:t xml:space="preserve"> evidence that showed that the Complainant “was associated” with the </w:t>
      </w:r>
      <w:r w:rsidR="00080B20">
        <w:rPr>
          <w:rFonts w:eastAsia="Batang"/>
          <w:szCs w:val="26"/>
        </w:rPr>
        <w:t>S</w:t>
      </w:r>
      <w:r>
        <w:rPr>
          <w:rFonts w:eastAsia="Batang"/>
          <w:szCs w:val="26"/>
        </w:rPr>
        <w:t xml:space="preserve">ervice </w:t>
      </w:r>
      <w:r w:rsidR="00080B20">
        <w:rPr>
          <w:rFonts w:eastAsia="Batang"/>
          <w:szCs w:val="26"/>
        </w:rPr>
        <w:t>A</w:t>
      </w:r>
      <w:r>
        <w:rPr>
          <w:rFonts w:eastAsia="Batang"/>
          <w:szCs w:val="26"/>
        </w:rPr>
        <w:t xml:space="preserve">ddress.  </w:t>
      </w:r>
      <w:r>
        <w:rPr>
          <w:rFonts w:eastAsia="Batang"/>
          <w:i/>
          <w:iCs/>
          <w:szCs w:val="26"/>
        </w:rPr>
        <w:t>Id.</w:t>
      </w:r>
      <w:r>
        <w:rPr>
          <w:rFonts w:eastAsia="Batang"/>
          <w:szCs w:val="26"/>
        </w:rPr>
        <w:t xml:space="preserve">  </w:t>
      </w:r>
      <w:r w:rsidR="004D4DE5">
        <w:rPr>
          <w:rFonts w:eastAsia="Batang"/>
          <w:szCs w:val="26"/>
        </w:rPr>
        <w:t xml:space="preserve">For example, the Complainant herself acknowledged that she has lived at the </w:t>
      </w:r>
      <w:r w:rsidR="00080B20">
        <w:rPr>
          <w:rFonts w:eastAsia="Batang"/>
          <w:szCs w:val="26"/>
        </w:rPr>
        <w:t>S</w:t>
      </w:r>
      <w:r w:rsidR="004D4DE5">
        <w:rPr>
          <w:rFonts w:eastAsia="Batang"/>
          <w:szCs w:val="26"/>
        </w:rPr>
        <w:t xml:space="preserve">ervice </w:t>
      </w:r>
      <w:r w:rsidR="00080B20">
        <w:rPr>
          <w:rFonts w:eastAsia="Batang"/>
          <w:szCs w:val="26"/>
        </w:rPr>
        <w:t>A</w:t>
      </w:r>
      <w:r w:rsidR="004D4DE5">
        <w:rPr>
          <w:rFonts w:eastAsia="Batang"/>
          <w:szCs w:val="26"/>
        </w:rPr>
        <w:t xml:space="preserve">ddress </w:t>
      </w:r>
      <w:r w:rsidR="004D4DE5">
        <w:rPr>
          <w:rFonts w:eastAsia="Batang"/>
          <w:szCs w:val="26"/>
        </w:rPr>
        <w:lastRenderedPageBreak/>
        <w:t xml:space="preserve">in the past, and a credit check performed by PGW found that the Complainant’s driver’s license listed the 7120 Lawndale Avenue address as her </w:t>
      </w:r>
      <w:r w:rsidR="007F6994">
        <w:rPr>
          <w:rFonts w:eastAsia="Batang"/>
          <w:szCs w:val="26"/>
        </w:rPr>
        <w:t xml:space="preserve">current </w:t>
      </w:r>
      <w:r w:rsidR="004D4DE5">
        <w:rPr>
          <w:rFonts w:eastAsia="Batang"/>
          <w:szCs w:val="26"/>
        </w:rPr>
        <w:t xml:space="preserve">residence.  </w:t>
      </w:r>
      <w:r w:rsidR="004D4DE5">
        <w:rPr>
          <w:rFonts w:eastAsia="Batang"/>
          <w:i/>
          <w:iCs/>
          <w:szCs w:val="26"/>
        </w:rPr>
        <w:t>Id</w:t>
      </w:r>
      <w:r w:rsidR="004D4DE5">
        <w:rPr>
          <w:rFonts w:eastAsia="Batang"/>
          <w:szCs w:val="26"/>
        </w:rPr>
        <w:t xml:space="preserve">.  On December 19, 2019, PGW transferred service to the Complainant’s name and also transferred the outstanding balance of $2,514.58 as well from her late husband’s </w:t>
      </w:r>
      <w:r w:rsidR="007F6994">
        <w:rPr>
          <w:rFonts w:eastAsia="Batang"/>
          <w:szCs w:val="26"/>
        </w:rPr>
        <w:t xml:space="preserve">previous </w:t>
      </w:r>
      <w:r w:rsidR="004D4DE5">
        <w:rPr>
          <w:rFonts w:eastAsia="Batang"/>
          <w:szCs w:val="26"/>
        </w:rPr>
        <w:t xml:space="preserve">account.  In making these transfers, PGW found that the gas service at the service residence was on and being used at the residence at the time of the transfers.  </w:t>
      </w:r>
      <w:r w:rsidR="00293A24">
        <w:rPr>
          <w:rFonts w:eastAsia="Batang"/>
          <w:i/>
          <w:iCs/>
          <w:szCs w:val="26"/>
        </w:rPr>
        <w:t>Id.</w:t>
      </w:r>
      <w:r w:rsidR="00293A24">
        <w:rPr>
          <w:rFonts w:eastAsia="Batang"/>
          <w:szCs w:val="26"/>
        </w:rPr>
        <w:t xml:space="preserve"> at 7-8.  </w:t>
      </w:r>
    </w:p>
    <w:p w14:paraId="19D824DC" w14:textId="77777777" w:rsidR="00293A24" w:rsidRDefault="00293A24" w:rsidP="002E09E5">
      <w:pPr>
        <w:pStyle w:val="BodyText"/>
        <w:rPr>
          <w:rFonts w:eastAsia="Batang"/>
          <w:szCs w:val="26"/>
        </w:rPr>
      </w:pPr>
    </w:p>
    <w:p w14:paraId="3F096CA9" w14:textId="1F16AA15" w:rsidR="006B13AC" w:rsidRPr="009A0065" w:rsidRDefault="00293A24" w:rsidP="009A0065">
      <w:pPr>
        <w:pStyle w:val="BodyText"/>
        <w:rPr>
          <w:bCs/>
          <w:szCs w:val="26"/>
        </w:rPr>
      </w:pPr>
      <w:r>
        <w:rPr>
          <w:rFonts w:eastAsia="Batang"/>
          <w:szCs w:val="26"/>
        </w:rPr>
        <w:t>The Complainant tried to rebut PGW’s evidence</w:t>
      </w:r>
      <w:r w:rsidR="007F6994">
        <w:rPr>
          <w:rFonts w:eastAsia="Batang"/>
          <w:szCs w:val="26"/>
        </w:rPr>
        <w:t>,</w:t>
      </w:r>
      <w:r>
        <w:rPr>
          <w:rFonts w:eastAsia="Batang"/>
          <w:szCs w:val="26"/>
        </w:rPr>
        <w:t xml:space="preserve"> in part</w:t>
      </w:r>
      <w:r w:rsidR="007F6994">
        <w:rPr>
          <w:rFonts w:eastAsia="Batang"/>
          <w:szCs w:val="26"/>
        </w:rPr>
        <w:t>,</w:t>
      </w:r>
      <w:r>
        <w:rPr>
          <w:rFonts w:eastAsia="Batang"/>
          <w:szCs w:val="26"/>
        </w:rPr>
        <w:t xml:space="preserve"> by arguing that a gas leak at the house was the cause of the usage that PGW detected, and not because she was in the residence at the time of death.  However, based on the evidence presented, the ALJ found that PGW did not receive any calls for service for a gas leak at the </w:t>
      </w:r>
      <w:r w:rsidR="00801C24">
        <w:rPr>
          <w:rFonts w:eastAsia="Batang"/>
          <w:szCs w:val="26"/>
        </w:rPr>
        <w:t>S</w:t>
      </w:r>
      <w:r>
        <w:rPr>
          <w:rFonts w:eastAsia="Batang"/>
          <w:szCs w:val="26"/>
        </w:rPr>
        <w:t xml:space="preserve">ervice </w:t>
      </w:r>
      <w:r w:rsidR="00801C24">
        <w:rPr>
          <w:rFonts w:eastAsia="Batang"/>
          <w:szCs w:val="26"/>
        </w:rPr>
        <w:t>A</w:t>
      </w:r>
      <w:r>
        <w:rPr>
          <w:rFonts w:eastAsia="Batang"/>
          <w:szCs w:val="26"/>
        </w:rPr>
        <w:t xml:space="preserve">ddress; and, in any event, under PGW’s policy, a gas leak from within the home is the </w:t>
      </w:r>
      <w:r w:rsidRPr="009A0065">
        <w:rPr>
          <w:rFonts w:eastAsia="Batang"/>
          <w:szCs w:val="26"/>
        </w:rPr>
        <w:t>customer’s responsibility and not the utility’s</w:t>
      </w:r>
      <w:r w:rsidR="00113750" w:rsidRPr="009A0065">
        <w:rPr>
          <w:rFonts w:eastAsia="Batang"/>
          <w:szCs w:val="26"/>
        </w:rPr>
        <w:t xml:space="preserve"> responsibility</w:t>
      </w:r>
      <w:r w:rsidRPr="009A0065">
        <w:rPr>
          <w:rFonts w:eastAsia="Batang"/>
          <w:szCs w:val="26"/>
        </w:rPr>
        <w:t xml:space="preserve">.  </w:t>
      </w:r>
      <w:r w:rsidRPr="009A0065">
        <w:rPr>
          <w:rFonts w:eastAsia="Batang"/>
          <w:i/>
          <w:iCs/>
          <w:szCs w:val="26"/>
        </w:rPr>
        <w:t xml:space="preserve">Id. </w:t>
      </w:r>
      <w:r w:rsidRPr="009A0065">
        <w:rPr>
          <w:rFonts w:eastAsia="Batang"/>
          <w:szCs w:val="26"/>
        </w:rPr>
        <w:t>at 8.</w:t>
      </w:r>
      <w:r w:rsidR="00265ECD" w:rsidRPr="009A0065">
        <w:rPr>
          <w:bCs/>
          <w:szCs w:val="26"/>
        </w:rPr>
        <w:t xml:space="preserve"> </w:t>
      </w:r>
      <w:r w:rsidR="00113750" w:rsidRPr="009A0065">
        <w:rPr>
          <w:bCs/>
          <w:szCs w:val="26"/>
        </w:rPr>
        <w:t xml:space="preserve"> The ALJ concluded that the Complainant was not able to establish that she resided at another location during the </w:t>
      </w:r>
      <w:proofErr w:type="gramStart"/>
      <w:r w:rsidR="007F6994" w:rsidRPr="009A0065">
        <w:rPr>
          <w:bCs/>
          <w:szCs w:val="26"/>
        </w:rPr>
        <w:t>t</w:t>
      </w:r>
      <w:r w:rsidR="00113750" w:rsidRPr="009A0065">
        <w:rPr>
          <w:bCs/>
          <w:szCs w:val="26"/>
        </w:rPr>
        <w:t>ime period</w:t>
      </w:r>
      <w:proofErr w:type="gramEnd"/>
      <w:r w:rsidR="007F6994" w:rsidRPr="009A0065">
        <w:rPr>
          <w:bCs/>
          <w:szCs w:val="26"/>
        </w:rPr>
        <w:t xml:space="preserve"> in question</w:t>
      </w:r>
      <w:r w:rsidR="00113750" w:rsidRPr="009A0065">
        <w:rPr>
          <w:bCs/>
          <w:szCs w:val="26"/>
        </w:rPr>
        <w:t xml:space="preserve">.  </w:t>
      </w:r>
      <w:r w:rsidR="00113750" w:rsidRPr="009A0065">
        <w:rPr>
          <w:bCs/>
          <w:i/>
          <w:iCs/>
          <w:szCs w:val="26"/>
        </w:rPr>
        <w:t>Id</w:t>
      </w:r>
      <w:r w:rsidR="00113750" w:rsidRPr="009A0065">
        <w:rPr>
          <w:bCs/>
          <w:szCs w:val="26"/>
        </w:rPr>
        <w:t>.</w:t>
      </w:r>
    </w:p>
    <w:p w14:paraId="2AD64E8C" w14:textId="7A9007DA" w:rsidR="00113750" w:rsidRPr="009A0065" w:rsidRDefault="00113750" w:rsidP="009A0065">
      <w:pPr>
        <w:pStyle w:val="BodyText"/>
        <w:rPr>
          <w:bCs/>
          <w:szCs w:val="26"/>
        </w:rPr>
      </w:pPr>
    </w:p>
    <w:p w14:paraId="31AB250D" w14:textId="77777777" w:rsidR="00113750" w:rsidRPr="009A0065" w:rsidRDefault="00113750" w:rsidP="009A0065">
      <w:pPr>
        <w:keepNext/>
        <w:widowControl/>
        <w:spacing w:line="360" w:lineRule="auto"/>
        <w:rPr>
          <w:b/>
          <w:sz w:val="26"/>
          <w:szCs w:val="26"/>
        </w:rPr>
      </w:pPr>
      <w:r w:rsidRPr="009A0065">
        <w:rPr>
          <w:b/>
          <w:sz w:val="26"/>
          <w:szCs w:val="26"/>
        </w:rPr>
        <w:t>C.</w:t>
      </w:r>
      <w:r w:rsidRPr="009A0065">
        <w:rPr>
          <w:b/>
          <w:sz w:val="26"/>
          <w:szCs w:val="26"/>
        </w:rPr>
        <w:tab/>
        <w:t>Exceptions and Replies</w:t>
      </w:r>
    </w:p>
    <w:p w14:paraId="0DB92CDB" w14:textId="77777777" w:rsidR="00113750" w:rsidRPr="009A0065" w:rsidRDefault="00113750" w:rsidP="009A0065">
      <w:pPr>
        <w:keepNext/>
        <w:widowControl/>
        <w:spacing w:line="360" w:lineRule="auto"/>
        <w:rPr>
          <w:rFonts w:ascii="Times New (W1)" w:hAnsi="Times New (W1)"/>
          <w:sz w:val="26"/>
          <w:szCs w:val="26"/>
        </w:rPr>
      </w:pPr>
    </w:p>
    <w:p w14:paraId="028A42D7" w14:textId="1366CCBA" w:rsidR="00113750" w:rsidRDefault="00113750" w:rsidP="009A0065">
      <w:pPr>
        <w:pStyle w:val="BodyText"/>
        <w:rPr>
          <w:szCs w:val="26"/>
        </w:rPr>
      </w:pPr>
      <w:r w:rsidRPr="009A0065">
        <w:rPr>
          <w:szCs w:val="26"/>
        </w:rPr>
        <w:t xml:space="preserve">In her Exceptions, the Complainant argues that the ALJ erred in finding that </w:t>
      </w:r>
      <w:r w:rsidR="00341696" w:rsidRPr="009A0065">
        <w:rPr>
          <w:szCs w:val="26"/>
        </w:rPr>
        <w:t xml:space="preserve">she resided at the </w:t>
      </w:r>
      <w:r w:rsidR="005340E6" w:rsidRPr="009A0065">
        <w:rPr>
          <w:szCs w:val="26"/>
        </w:rPr>
        <w:t>S</w:t>
      </w:r>
      <w:r w:rsidR="00341696" w:rsidRPr="009A0065">
        <w:rPr>
          <w:szCs w:val="26"/>
        </w:rPr>
        <w:t xml:space="preserve">ervice </w:t>
      </w:r>
      <w:r w:rsidR="005340E6" w:rsidRPr="009A0065">
        <w:rPr>
          <w:szCs w:val="26"/>
        </w:rPr>
        <w:t>A</w:t>
      </w:r>
      <w:r w:rsidR="00341696" w:rsidRPr="009A0065">
        <w:rPr>
          <w:szCs w:val="26"/>
        </w:rPr>
        <w:t xml:space="preserve">ddress prior to November 2019 and in transferring the account balance of $2,514.58 from her deceased husband’s account to her.  Instead, the Complainant argues that she did not call PGW to open an account in her name and that she did not want the transfer of the balance of her </w:t>
      </w:r>
      <w:r w:rsidR="0019447C" w:rsidRPr="009A0065">
        <w:rPr>
          <w:szCs w:val="26"/>
        </w:rPr>
        <w:t>late</w:t>
      </w:r>
      <w:r w:rsidR="00341696" w:rsidRPr="009A0065">
        <w:rPr>
          <w:szCs w:val="26"/>
        </w:rPr>
        <w:t xml:space="preserve"> husband’s account transferred to her because she did not live at the residence during the time</w:t>
      </w:r>
      <w:r w:rsidR="007F6994" w:rsidRPr="009A0065">
        <w:rPr>
          <w:szCs w:val="26"/>
        </w:rPr>
        <w:t xml:space="preserve"> period</w:t>
      </w:r>
      <w:r w:rsidR="00341696" w:rsidRPr="009A0065">
        <w:rPr>
          <w:szCs w:val="26"/>
        </w:rPr>
        <w:t xml:space="preserve"> in question.</w:t>
      </w:r>
      <w:r w:rsidR="007A1586" w:rsidRPr="009A0065">
        <w:rPr>
          <w:szCs w:val="26"/>
        </w:rPr>
        <w:t xml:space="preserve">  Exc.</w:t>
      </w:r>
      <w:r w:rsidR="009A0065">
        <w:rPr>
          <w:szCs w:val="26"/>
        </w:rPr>
        <w:t> </w:t>
      </w:r>
      <w:r w:rsidR="007A1586" w:rsidRPr="009A0065">
        <w:rPr>
          <w:szCs w:val="26"/>
        </w:rPr>
        <w:t>at</w:t>
      </w:r>
      <w:r w:rsidR="009A0065">
        <w:rPr>
          <w:szCs w:val="26"/>
        </w:rPr>
        <w:t> </w:t>
      </w:r>
      <w:r w:rsidR="007A1586" w:rsidRPr="009A0065">
        <w:rPr>
          <w:szCs w:val="26"/>
        </w:rPr>
        <w:t>1</w:t>
      </w:r>
      <w:r w:rsidR="009A0065">
        <w:rPr>
          <w:szCs w:val="26"/>
        </w:rPr>
        <w:noBreakHyphen/>
      </w:r>
      <w:r w:rsidR="007A1586" w:rsidRPr="009A0065">
        <w:rPr>
          <w:szCs w:val="26"/>
        </w:rPr>
        <w:t>2.</w:t>
      </w:r>
      <w:r w:rsidR="00341696" w:rsidRPr="009A0065">
        <w:rPr>
          <w:szCs w:val="26"/>
        </w:rPr>
        <w:t xml:space="preserve">  Rather, the Complainant states that she provided PECO </w:t>
      </w:r>
      <w:r w:rsidR="008B3079" w:rsidRPr="009A0065">
        <w:rPr>
          <w:szCs w:val="26"/>
        </w:rPr>
        <w:t xml:space="preserve">Energy Company </w:t>
      </w:r>
      <w:r w:rsidR="00BE27D4" w:rsidRPr="009A0065">
        <w:rPr>
          <w:szCs w:val="26"/>
        </w:rPr>
        <w:t xml:space="preserve">(PECO) </w:t>
      </w:r>
      <w:r w:rsidR="00341696" w:rsidRPr="009A0065">
        <w:rPr>
          <w:szCs w:val="26"/>
        </w:rPr>
        <w:t>bills for three different</w:t>
      </w:r>
      <w:r w:rsidR="00341696">
        <w:rPr>
          <w:szCs w:val="26"/>
        </w:rPr>
        <w:t xml:space="preserve"> dates in 2016 and 2017 for three different addresses where she was residing at the time and a </w:t>
      </w:r>
      <w:r w:rsidR="007A1586">
        <w:rPr>
          <w:szCs w:val="26"/>
        </w:rPr>
        <w:t xml:space="preserve">written </w:t>
      </w:r>
      <w:r w:rsidR="00341696">
        <w:rPr>
          <w:szCs w:val="26"/>
        </w:rPr>
        <w:t>statement from her son</w:t>
      </w:r>
      <w:r w:rsidR="007A1586">
        <w:rPr>
          <w:szCs w:val="26"/>
        </w:rPr>
        <w:t xml:space="preserve"> stating that she lived with him at another address between 2018-2019</w:t>
      </w:r>
      <w:r w:rsidR="00341696">
        <w:rPr>
          <w:szCs w:val="26"/>
        </w:rPr>
        <w:t xml:space="preserve">.  </w:t>
      </w:r>
      <w:r w:rsidR="007A1586">
        <w:rPr>
          <w:i/>
          <w:iCs/>
          <w:szCs w:val="26"/>
        </w:rPr>
        <w:t xml:space="preserve">Id. </w:t>
      </w:r>
      <w:r w:rsidR="007A1586">
        <w:rPr>
          <w:szCs w:val="26"/>
        </w:rPr>
        <w:t>a</w:t>
      </w:r>
      <w:r w:rsidR="00341696">
        <w:rPr>
          <w:szCs w:val="26"/>
        </w:rPr>
        <w:t xml:space="preserve">t </w:t>
      </w:r>
      <w:r w:rsidR="007A1586">
        <w:rPr>
          <w:szCs w:val="26"/>
        </w:rPr>
        <w:t>5-6.</w:t>
      </w:r>
    </w:p>
    <w:p w14:paraId="27DBC549" w14:textId="352C5511" w:rsidR="007A1586" w:rsidRDefault="007A1586" w:rsidP="002E09E5">
      <w:pPr>
        <w:pStyle w:val="BodyText"/>
        <w:rPr>
          <w:szCs w:val="26"/>
        </w:rPr>
      </w:pPr>
    </w:p>
    <w:p w14:paraId="1C211131" w14:textId="5529576C" w:rsidR="00ED6F2D" w:rsidRPr="00ED6F2D" w:rsidRDefault="007A1586" w:rsidP="009A0065">
      <w:pPr>
        <w:widowControl/>
        <w:spacing w:line="360" w:lineRule="auto"/>
        <w:ind w:firstLine="1440"/>
        <w:rPr>
          <w:sz w:val="26"/>
          <w:szCs w:val="26"/>
        </w:rPr>
      </w:pPr>
      <w:r w:rsidRPr="00ED6F2D">
        <w:rPr>
          <w:sz w:val="26"/>
          <w:szCs w:val="26"/>
        </w:rPr>
        <w:lastRenderedPageBreak/>
        <w:t>In its Repl</w:t>
      </w:r>
      <w:r w:rsidR="00B92BD7">
        <w:rPr>
          <w:sz w:val="26"/>
          <w:szCs w:val="26"/>
        </w:rPr>
        <w:t>ies to</w:t>
      </w:r>
      <w:r w:rsidRPr="00ED6F2D">
        <w:rPr>
          <w:sz w:val="26"/>
          <w:szCs w:val="26"/>
        </w:rPr>
        <w:t xml:space="preserve"> Exceptions, PGW</w:t>
      </w:r>
      <w:r w:rsidR="00ED6F2D" w:rsidRPr="00ED6F2D">
        <w:rPr>
          <w:sz w:val="26"/>
          <w:szCs w:val="26"/>
        </w:rPr>
        <w:t xml:space="preserve"> avers that </w:t>
      </w:r>
      <w:r w:rsidR="00ED6F2D">
        <w:rPr>
          <w:sz w:val="26"/>
          <w:szCs w:val="26"/>
        </w:rPr>
        <w:t>the C</w:t>
      </w:r>
      <w:r w:rsidR="00231927">
        <w:rPr>
          <w:sz w:val="26"/>
          <w:szCs w:val="26"/>
        </w:rPr>
        <w:t xml:space="preserve">omplainant </w:t>
      </w:r>
      <w:r w:rsidR="00ED6F2D" w:rsidRPr="00ED6F2D">
        <w:rPr>
          <w:sz w:val="26"/>
          <w:szCs w:val="26"/>
        </w:rPr>
        <w:t xml:space="preserve">failed to present any reliable evidence to </w:t>
      </w:r>
      <w:r w:rsidR="00231927">
        <w:rPr>
          <w:sz w:val="26"/>
          <w:szCs w:val="26"/>
        </w:rPr>
        <w:t xml:space="preserve">support a finding that she did not reside at the </w:t>
      </w:r>
      <w:r w:rsidR="00B84FE3">
        <w:rPr>
          <w:sz w:val="26"/>
          <w:szCs w:val="26"/>
        </w:rPr>
        <w:t>S</w:t>
      </w:r>
      <w:r w:rsidR="00231927">
        <w:rPr>
          <w:sz w:val="26"/>
          <w:szCs w:val="26"/>
        </w:rPr>
        <w:t xml:space="preserve">ervice </w:t>
      </w:r>
      <w:r w:rsidR="00B84FE3">
        <w:rPr>
          <w:sz w:val="26"/>
          <w:szCs w:val="26"/>
        </w:rPr>
        <w:t>A</w:t>
      </w:r>
      <w:r w:rsidR="00231927">
        <w:rPr>
          <w:sz w:val="26"/>
          <w:szCs w:val="26"/>
        </w:rPr>
        <w:t>ddress during the disputed period from January 2016 until November 2019.  R</w:t>
      </w:r>
      <w:r w:rsidR="00B92BD7">
        <w:rPr>
          <w:sz w:val="26"/>
          <w:szCs w:val="26"/>
        </w:rPr>
        <w:t>.</w:t>
      </w:r>
      <w:r w:rsidR="00231927">
        <w:rPr>
          <w:sz w:val="26"/>
          <w:szCs w:val="26"/>
        </w:rPr>
        <w:t xml:space="preserve"> Exc. at</w:t>
      </w:r>
      <w:r w:rsidR="009A0065">
        <w:rPr>
          <w:sz w:val="26"/>
          <w:szCs w:val="26"/>
        </w:rPr>
        <w:t> </w:t>
      </w:r>
      <w:r w:rsidR="00231927">
        <w:rPr>
          <w:sz w:val="26"/>
          <w:szCs w:val="26"/>
        </w:rPr>
        <w:t xml:space="preserve">3.  PGW states that the record evidence supports a finding that the Complainant is associated with the </w:t>
      </w:r>
      <w:r w:rsidR="0054077E">
        <w:rPr>
          <w:sz w:val="26"/>
          <w:szCs w:val="26"/>
        </w:rPr>
        <w:t>S</w:t>
      </w:r>
      <w:r w:rsidR="00231927">
        <w:rPr>
          <w:sz w:val="26"/>
          <w:szCs w:val="26"/>
        </w:rPr>
        <w:t xml:space="preserve">ervice </w:t>
      </w:r>
      <w:r w:rsidR="0054077E">
        <w:rPr>
          <w:sz w:val="26"/>
          <w:szCs w:val="26"/>
        </w:rPr>
        <w:t>A</w:t>
      </w:r>
      <w:r w:rsidR="00231927">
        <w:rPr>
          <w:sz w:val="26"/>
          <w:szCs w:val="26"/>
        </w:rPr>
        <w:t xml:space="preserve">ddress.  Additionally, </w:t>
      </w:r>
      <w:r w:rsidR="0019447C">
        <w:rPr>
          <w:sz w:val="26"/>
          <w:szCs w:val="26"/>
        </w:rPr>
        <w:t xml:space="preserve">PGW asserts </w:t>
      </w:r>
      <w:r w:rsidR="00231927">
        <w:rPr>
          <w:sz w:val="26"/>
          <w:szCs w:val="26"/>
        </w:rPr>
        <w:t xml:space="preserve">that the Complainant’s statements in her Exceptions seeking to rebut PGW’s </w:t>
      </w:r>
      <w:r w:rsidR="0019447C">
        <w:rPr>
          <w:sz w:val="26"/>
          <w:szCs w:val="26"/>
        </w:rPr>
        <w:t xml:space="preserve">business documents and witness testimony have no bearing on the issue concerning PGW’s ability to transfer the balance of her deceased husband’s account to the Complainant’s account for the same </w:t>
      </w:r>
      <w:r w:rsidR="00833A73">
        <w:rPr>
          <w:sz w:val="26"/>
          <w:szCs w:val="26"/>
        </w:rPr>
        <w:t>S</w:t>
      </w:r>
      <w:r w:rsidR="0019447C">
        <w:rPr>
          <w:sz w:val="26"/>
          <w:szCs w:val="26"/>
        </w:rPr>
        <w:t xml:space="preserve">ervice </w:t>
      </w:r>
      <w:r w:rsidR="00833A73">
        <w:rPr>
          <w:sz w:val="26"/>
          <w:szCs w:val="26"/>
        </w:rPr>
        <w:t>A</w:t>
      </w:r>
      <w:r w:rsidR="0019447C">
        <w:rPr>
          <w:sz w:val="26"/>
          <w:szCs w:val="26"/>
        </w:rPr>
        <w:t xml:space="preserve">ddress.  </w:t>
      </w:r>
      <w:r w:rsidR="0019447C">
        <w:rPr>
          <w:i/>
          <w:iCs/>
          <w:sz w:val="26"/>
          <w:szCs w:val="26"/>
        </w:rPr>
        <w:t>Id</w:t>
      </w:r>
      <w:r w:rsidR="0019447C">
        <w:rPr>
          <w:sz w:val="26"/>
          <w:szCs w:val="26"/>
        </w:rPr>
        <w:t>.</w:t>
      </w:r>
      <w:r w:rsidR="00231927">
        <w:rPr>
          <w:sz w:val="26"/>
          <w:szCs w:val="26"/>
        </w:rPr>
        <w:t xml:space="preserve"> </w:t>
      </w:r>
    </w:p>
    <w:p w14:paraId="00C834F6" w14:textId="3B9D4B89" w:rsidR="007A1586" w:rsidRPr="00113750" w:rsidRDefault="007A1586" w:rsidP="009A0065">
      <w:pPr>
        <w:pStyle w:val="BodyText"/>
        <w:rPr>
          <w:bCs/>
          <w:szCs w:val="26"/>
        </w:rPr>
      </w:pPr>
    </w:p>
    <w:p w14:paraId="59B0F7FA" w14:textId="0A8EA9FE" w:rsidR="00C4572D" w:rsidRDefault="00C4572D" w:rsidP="009A0065">
      <w:pPr>
        <w:keepNext/>
        <w:widowControl/>
        <w:spacing w:line="360" w:lineRule="auto"/>
        <w:rPr>
          <w:b/>
          <w:sz w:val="26"/>
          <w:szCs w:val="26"/>
        </w:rPr>
      </w:pPr>
      <w:r w:rsidRPr="00C4572D">
        <w:rPr>
          <w:b/>
          <w:sz w:val="26"/>
          <w:szCs w:val="26"/>
        </w:rPr>
        <w:t>D.</w:t>
      </w:r>
      <w:r w:rsidRPr="00C4572D">
        <w:rPr>
          <w:b/>
          <w:sz w:val="26"/>
          <w:szCs w:val="26"/>
        </w:rPr>
        <w:tab/>
        <w:t>Disposition</w:t>
      </w:r>
    </w:p>
    <w:p w14:paraId="1E1C2CF3" w14:textId="77777777" w:rsidR="00316E68" w:rsidRDefault="00316E68" w:rsidP="009A0065">
      <w:pPr>
        <w:keepNext/>
        <w:widowControl/>
        <w:spacing w:line="360" w:lineRule="auto"/>
        <w:rPr>
          <w:b/>
          <w:sz w:val="26"/>
          <w:szCs w:val="26"/>
        </w:rPr>
      </w:pPr>
    </w:p>
    <w:p w14:paraId="5077911C" w14:textId="436B35A5" w:rsidR="00C4572D" w:rsidRPr="00C4572D" w:rsidRDefault="00C4572D" w:rsidP="009A0065">
      <w:pPr>
        <w:keepNext/>
        <w:widowControl/>
        <w:spacing w:line="360" w:lineRule="auto"/>
        <w:ind w:firstLine="1440"/>
        <w:rPr>
          <w:sz w:val="26"/>
          <w:szCs w:val="26"/>
        </w:rPr>
      </w:pPr>
      <w:r w:rsidRPr="00C4572D">
        <w:rPr>
          <w:sz w:val="26"/>
          <w:szCs w:val="26"/>
        </w:rPr>
        <w:t>Based upon our review, we find that the Complainant failed to satisfy h</w:t>
      </w:r>
      <w:r w:rsidR="0034321E">
        <w:rPr>
          <w:sz w:val="26"/>
          <w:szCs w:val="26"/>
        </w:rPr>
        <w:t>er</w:t>
      </w:r>
      <w:r w:rsidRPr="00C4572D">
        <w:rPr>
          <w:sz w:val="26"/>
          <w:szCs w:val="26"/>
        </w:rPr>
        <w:t xml:space="preserve"> burden of proof to demonstrate that PGW improperly transferred the outstanding balance, which accrued at the </w:t>
      </w:r>
      <w:r w:rsidR="004D1533">
        <w:rPr>
          <w:sz w:val="26"/>
          <w:szCs w:val="26"/>
        </w:rPr>
        <w:t>S</w:t>
      </w:r>
      <w:r w:rsidRPr="00C4572D">
        <w:rPr>
          <w:sz w:val="26"/>
          <w:szCs w:val="26"/>
        </w:rPr>
        <w:t xml:space="preserve">ervice </w:t>
      </w:r>
      <w:r w:rsidR="004D1533">
        <w:rPr>
          <w:sz w:val="26"/>
          <w:szCs w:val="26"/>
        </w:rPr>
        <w:t>A</w:t>
      </w:r>
      <w:r w:rsidRPr="00C4572D">
        <w:rPr>
          <w:sz w:val="26"/>
          <w:szCs w:val="26"/>
        </w:rPr>
        <w:t xml:space="preserve">ddress from </w:t>
      </w:r>
      <w:r w:rsidR="0034321E">
        <w:rPr>
          <w:sz w:val="26"/>
          <w:szCs w:val="26"/>
        </w:rPr>
        <w:t xml:space="preserve">January </w:t>
      </w:r>
      <w:r w:rsidRPr="00C4572D">
        <w:rPr>
          <w:sz w:val="26"/>
          <w:szCs w:val="26"/>
        </w:rPr>
        <w:t>201</w:t>
      </w:r>
      <w:r w:rsidR="0034321E">
        <w:rPr>
          <w:sz w:val="26"/>
          <w:szCs w:val="26"/>
        </w:rPr>
        <w:t>6</w:t>
      </w:r>
      <w:r w:rsidRPr="00C4572D">
        <w:rPr>
          <w:sz w:val="26"/>
          <w:szCs w:val="26"/>
        </w:rPr>
        <w:t xml:space="preserve"> to </w:t>
      </w:r>
      <w:r w:rsidR="0034321E">
        <w:rPr>
          <w:sz w:val="26"/>
          <w:szCs w:val="26"/>
        </w:rPr>
        <w:t>Nov</w:t>
      </w:r>
      <w:r w:rsidRPr="00C4572D">
        <w:rPr>
          <w:sz w:val="26"/>
          <w:szCs w:val="26"/>
        </w:rPr>
        <w:t>ember 201</w:t>
      </w:r>
      <w:r w:rsidR="0034321E">
        <w:rPr>
          <w:sz w:val="26"/>
          <w:szCs w:val="26"/>
        </w:rPr>
        <w:t>9</w:t>
      </w:r>
      <w:r w:rsidRPr="00C4572D">
        <w:rPr>
          <w:sz w:val="26"/>
          <w:szCs w:val="26"/>
        </w:rPr>
        <w:t>, to h</w:t>
      </w:r>
      <w:r w:rsidR="0034321E">
        <w:rPr>
          <w:sz w:val="26"/>
          <w:szCs w:val="26"/>
        </w:rPr>
        <w:t>er</w:t>
      </w:r>
      <w:r w:rsidRPr="00C4572D">
        <w:rPr>
          <w:sz w:val="26"/>
          <w:szCs w:val="26"/>
        </w:rPr>
        <w:t xml:space="preserve"> name.  While a utility must ensure that its action of requiring payment of an outstanding residential account is justified under 52 Pa. Code § 56.35(b)(2), once the utility has assigned the arrearage to a customer or potential customer, and that customer wishes to contest the assignment in a formal complaint before the Commission, the </w:t>
      </w:r>
      <w:r w:rsidR="0063044C">
        <w:rPr>
          <w:sz w:val="26"/>
          <w:szCs w:val="26"/>
        </w:rPr>
        <w:t>c</w:t>
      </w:r>
      <w:r w:rsidRPr="00C4572D">
        <w:rPr>
          <w:sz w:val="26"/>
          <w:szCs w:val="26"/>
        </w:rPr>
        <w:t>omplainant has the burden of proving that the utility acted in violation of a statute, regulation, or order that the Commission has responsibility for administering.</w:t>
      </w:r>
      <w:r w:rsidRPr="00C4572D">
        <w:rPr>
          <w:rStyle w:val="FootnoteReference"/>
          <w:sz w:val="26"/>
          <w:szCs w:val="26"/>
        </w:rPr>
        <w:footnoteReference w:id="1"/>
      </w:r>
      <w:r w:rsidRPr="00C4572D">
        <w:rPr>
          <w:sz w:val="26"/>
          <w:szCs w:val="26"/>
        </w:rPr>
        <w:t xml:space="preserve">  Therefore, the Complainant had the burden of proving that PGW incorrectly assigned the arrearage, which accrued at the </w:t>
      </w:r>
      <w:r w:rsidR="00C67DA7">
        <w:rPr>
          <w:sz w:val="26"/>
          <w:szCs w:val="26"/>
        </w:rPr>
        <w:t>S</w:t>
      </w:r>
      <w:r w:rsidRPr="00C4572D">
        <w:rPr>
          <w:sz w:val="26"/>
          <w:szCs w:val="26"/>
        </w:rPr>
        <w:t xml:space="preserve">ervice </w:t>
      </w:r>
      <w:r w:rsidR="00C67DA7">
        <w:rPr>
          <w:sz w:val="26"/>
          <w:szCs w:val="26"/>
        </w:rPr>
        <w:t>A</w:t>
      </w:r>
      <w:r w:rsidRPr="00C4572D">
        <w:rPr>
          <w:sz w:val="26"/>
          <w:szCs w:val="26"/>
        </w:rPr>
        <w:t xml:space="preserve">ddress from </w:t>
      </w:r>
      <w:r w:rsidR="0034321E">
        <w:rPr>
          <w:sz w:val="26"/>
          <w:szCs w:val="26"/>
        </w:rPr>
        <w:t xml:space="preserve">January </w:t>
      </w:r>
      <w:r w:rsidRPr="00C4572D">
        <w:rPr>
          <w:sz w:val="26"/>
          <w:szCs w:val="26"/>
        </w:rPr>
        <w:t>201</w:t>
      </w:r>
      <w:r w:rsidR="0034321E">
        <w:rPr>
          <w:sz w:val="26"/>
          <w:szCs w:val="26"/>
        </w:rPr>
        <w:t>6</w:t>
      </w:r>
      <w:r w:rsidRPr="00C4572D">
        <w:rPr>
          <w:sz w:val="26"/>
          <w:szCs w:val="26"/>
        </w:rPr>
        <w:t xml:space="preserve"> to </w:t>
      </w:r>
      <w:r w:rsidR="0034321E">
        <w:rPr>
          <w:sz w:val="26"/>
          <w:szCs w:val="26"/>
        </w:rPr>
        <w:t>Nov</w:t>
      </w:r>
      <w:r w:rsidRPr="00C4572D">
        <w:rPr>
          <w:sz w:val="26"/>
          <w:szCs w:val="26"/>
        </w:rPr>
        <w:t>ember 201</w:t>
      </w:r>
      <w:r w:rsidR="0034321E">
        <w:rPr>
          <w:sz w:val="26"/>
          <w:szCs w:val="26"/>
        </w:rPr>
        <w:t>9</w:t>
      </w:r>
      <w:r w:rsidRPr="00C4572D">
        <w:rPr>
          <w:sz w:val="26"/>
          <w:szCs w:val="26"/>
        </w:rPr>
        <w:t>, to h</w:t>
      </w:r>
      <w:r w:rsidR="0034321E">
        <w:rPr>
          <w:sz w:val="26"/>
          <w:szCs w:val="26"/>
        </w:rPr>
        <w:t>er</w:t>
      </w:r>
      <w:r w:rsidRPr="00C4572D">
        <w:rPr>
          <w:sz w:val="26"/>
          <w:szCs w:val="26"/>
        </w:rPr>
        <w:t>.</w:t>
      </w:r>
    </w:p>
    <w:p w14:paraId="1606CB99" w14:textId="77777777" w:rsidR="00C4572D" w:rsidRPr="00C4572D" w:rsidRDefault="00C4572D" w:rsidP="002E09E5">
      <w:pPr>
        <w:keepNext/>
        <w:widowControl/>
        <w:spacing w:line="360" w:lineRule="auto"/>
        <w:ind w:firstLine="1440"/>
        <w:rPr>
          <w:sz w:val="26"/>
          <w:szCs w:val="26"/>
        </w:rPr>
      </w:pPr>
    </w:p>
    <w:p w14:paraId="427EA538" w14:textId="4EC9FA40" w:rsidR="000548F3" w:rsidRDefault="00C4572D" w:rsidP="002E09E5">
      <w:pPr>
        <w:keepNext/>
        <w:widowControl/>
        <w:spacing w:line="360" w:lineRule="auto"/>
        <w:ind w:firstLine="1440"/>
        <w:rPr>
          <w:sz w:val="26"/>
          <w:szCs w:val="26"/>
        </w:rPr>
      </w:pPr>
      <w:r w:rsidRPr="00C4572D">
        <w:rPr>
          <w:sz w:val="26"/>
          <w:szCs w:val="26"/>
        </w:rPr>
        <w:t xml:space="preserve">Only if the </w:t>
      </w:r>
      <w:r w:rsidR="00166568">
        <w:rPr>
          <w:sz w:val="26"/>
          <w:szCs w:val="26"/>
        </w:rPr>
        <w:t>c</w:t>
      </w:r>
      <w:r w:rsidRPr="00C4572D">
        <w:rPr>
          <w:sz w:val="26"/>
          <w:szCs w:val="26"/>
        </w:rPr>
        <w:t>omplainant carries that burden initially does the burden of persuasion (</w:t>
      </w:r>
      <w:r w:rsidRPr="00C4572D">
        <w:rPr>
          <w:i/>
          <w:sz w:val="26"/>
          <w:szCs w:val="26"/>
        </w:rPr>
        <w:t>i.e.</w:t>
      </w:r>
      <w:r w:rsidRPr="00C4572D">
        <w:rPr>
          <w:sz w:val="26"/>
          <w:szCs w:val="26"/>
        </w:rPr>
        <w:t xml:space="preserve">, the burden of going forward with the evidence) shift to the utility to defend its actions.  In this case, the ALJ stated in her Initial Decision that the </w:t>
      </w:r>
      <w:r w:rsidRPr="00C4572D">
        <w:rPr>
          <w:sz w:val="26"/>
          <w:szCs w:val="26"/>
        </w:rPr>
        <w:lastRenderedPageBreak/>
        <w:t xml:space="preserve">Complainant </w:t>
      </w:r>
      <w:r w:rsidR="00A023F7">
        <w:rPr>
          <w:sz w:val="26"/>
          <w:szCs w:val="26"/>
        </w:rPr>
        <w:t xml:space="preserve">was associated with the </w:t>
      </w:r>
      <w:r w:rsidR="00B53901">
        <w:rPr>
          <w:sz w:val="26"/>
          <w:szCs w:val="26"/>
        </w:rPr>
        <w:t>S</w:t>
      </w:r>
      <w:r w:rsidR="00A023F7">
        <w:rPr>
          <w:sz w:val="26"/>
          <w:szCs w:val="26"/>
        </w:rPr>
        <w:t xml:space="preserve">ervice </w:t>
      </w:r>
      <w:r w:rsidR="00B53901">
        <w:rPr>
          <w:sz w:val="26"/>
          <w:szCs w:val="26"/>
        </w:rPr>
        <w:t>A</w:t>
      </w:r>
      <w:r w:rsidR="00A023F7">
        <w:rPr>
          <w:sz w:val="26"/>
          <w:szCs w:val="26"/>
        </w:rPr>
        <w:t xml:space="preserve">ddress based on a credit check conducted by PGW and through the Complainant’s own driver’s license, which listed the </w:t>
      </w:r>
      <w:r w:rsidR="00BE27D4">
        <w:rPr>
          <w:sz w:val="26"/>
          <w:szCs w:val="26"/>
        </w:rPr>
        <w:t>S</w:t>
      </w:r>
      <w:r w:rsidR="00A023F7">
        <w:rPr>
          <w:sz w:val="26"/>
          <w:szCs w:val="26"/>
        </w:rPr>
        <w:t xml:space="preserve">ervice </w:t>
      </w:r>
      <w:r w:rsidR="00BE27D4">
        <w:rPr>
          <w:sz w:val="26"/>
          <w:szCs w:val="26"/>
        </w:rPr>
        <w:t>A</w:t>
      </w:r>
      <w:r w:rsidR="00A023F7">
        <w:rPr>
          <w:sz w:val="26"/>
          <w:szCs w:val="26"/>
        </w:rPr>
        <w:t>ddress as her residence.  While the Complainant had provided PECO bills for three different dates in 2016 and 2017 for three different addresses and a writ</w:t>
      </w:r>
      <w:r w:rsidR="000548F3">
        <w:rPr>
          <w:sz w:val="26"/>
          <w:szCs w:val="26"/>
        </w:rPr>
        <w:t xml:space="preserve">ten statement from her son which stated that she lived with him at yet another location sometime between 2018 and 2019, the ALJ did not find this evidence persuasive because the Complainant </w:t>
      </w:r>
      <w:r w:rsidRPr="00C4572D">
        <w:rPr>
          <w:sz w:val="26"/>
          <w:szCs w:val="26"/>
        </w:rPr>
        <w:t xml:space="preserve">had </w:t>
      </w:r>
      <w:r w:rsidR="000548F3">
        <w:rPr>
          <w:sz w:val="26"/>
          <w:szCs w:val="26"/>
        </w:rPr>
        <w:t xml:space="preserve">requested that service be placed in her name immediately after her husband’s death and she used the </w:t>
      </w:r>
      <w:r w:rsidR="00083A31">
        <w:rPr>
          <w:sz w:val="26"/>
          <w:szCs w:val="26"/>
        </w:rPr>
        <w:t>S</w:t>
      </w:r>
      <w:r w:rsidR="000548F3">
        <w:rPr>
          <w:sz w:val="26"/>
          <w:szCs w:val="26"/>
        </w:rPr>
        <w:t xml:space="preserve">ervice </w:t>
      </w:r>
      <w:r w:rsidR="00083A31">
        <w:rPr>
          <w:sz w:val="26"/>
          <w:szCs w:val="26"/>
        </w:rPr>
        <w:t>A</w:t>
      </w:r>
      <w:r w:rsidR="000548F3">
        <w:rPr>
          <w:sz w:val="26"/>
          <w:szCs w:val="26"/>
        </w:rPr>
        <w:t xml:space="preserve">ddress on her </w:t>
      </w:r>
      <w:r w:rsidR="001D4A09">
        <w:rPr>
          <w:sz w:val="26"/>
          <w:szCs w:val="26"/>
        </w:rPr>
        <w:t xml:space="preserve">current </w:t>
      </w:r>
      <w:r w:rsidR="000548F3">
        <w:rPr>
          <w:sz w:val="26"/>
          <w:szCs w:val="26"/>
        </w:rPr>
        <w:t xml:space="preserve">driver’s license.  </w:t>
      </w:r>
    </w:p>
    <w:p w14:paraId="6B77A63D" w14:textId="77777777" w:rsidR="000548F3" w:rsidRDefault="000548F3" w:rsidP="002E09E5">
      <w:pPr>
        <w:keepNext/>
        <w:widowControl/>
        <w:spacing w:line="360" w:lineRule="auto"/>
        <w:ind w:firstLine="1440"/>
        <w:rPr>
          <w:sz w:val="26"/>
          <w:szCs w:val="26"/>
        </w:rPr>
      </w:pPr>
    </w:p>
    <w:p w14:paraId="0C579FFE" w14:textId="55FDDFA5" w:rsidR="009A22B8" w:rsidRDefault="00C4572D" w:rsidP="002E09E5">
      <w:pPr>
        <w:keepNext/>
        <w:widowControl/>
        <w:spacing w:line="360" w:lineRule="auto"/>
        <w:ind w:firstLine="1440"/>
        <w:rPr>
          <w:sz w:val="26"/>
          <w:szCs w:val="26"/>
        </w:rPr>
      </w:pPr>
      <w:r w:rsidRPr="00C4572D">
        <w:rPr>
          <w:sz w:val="26"/>
          <w:szCs w:val="26"/>
        </w:rPr>
        <w:t>Based on this evidence, we find that the Complainant failed to meet h</w:t>
      </w:r>
      <w:r w:rsidR="000548F3">
        <w:rPr>
          <w:sz w:val="26"/>
          <w:szCs w:val="26"/>
        </w:rPr>
        <w:t>er</w:t>
      </w:r>
      <w:r w:rsidRPr="00C4572D">
        <w:rPr>
          <w:sz w:val="26"/>
          <w:szCs w:val="26"/>
        </w:rPr>
        <w:t xml:space="preserve"> initial burden of proof to demonstrate that </w:t>
      </w:r>
      <w:r w:rsidR="000548F3">
        <w:rPr>
          <w:sz w:val="26"/>
          <w:szCs w:val="26"/>
        </w:rPr>
        <w:t>s</w:t>
      </w:r>
      <w:r w:rsidRPr="00C4572D">
        <w:rPr>
          <w:sz w:val="26"/>
          <w:szCs w:val="26"/>
        </w:rPr>
        <w:t xml:space="preserve">he did not live </w:t>
      </w:r>
      <w:r w:rsidR="000548F3">
        <w:rPr>
          <w:sz w:val="26"/>
          <w:szCs w:val="26"/>
        </w:rPr>
        <w:t xml:space="preserve">or was otherwise associated with </w:t>
      </w:r>
      <w:r w:rsidRPr="00C4572D">
        <w:rPr>
          <w:sz w:val="26"/>
          <w:szCs w:val="26"/>
        </w:rPr>
        <w:t xml:space="preserve">the </w:t>
      </w:r>
      <w:r w:rsidR="001A6DCF">
        <w:rPr>
          <w:sz w:val="26"/>
          <w:szCs w:val="26"/>
        </w:rPr>
        <w:t>S</w:t>
      </w:r>
      <w:r w:rsidRPr="00C4572D">
        <w:rPr>
          <w:sz w:val="26"/>
          <w:szCs w:val="26"/>
        </w:rPr>
        <w:t xml:space="preserve">ervice </w:t>
      </w:r>
      <w:r w:rsidR="001A6DCF">
        <w:rPr>
          <w:sz w:val="26"/>
          <w:szCs w:val="26"/>
        </w:rPr>
        <w:t>A</w:t>
      </w:r>
      <w:r w:rsidRPr="00C4572D">
        <w:rPr>
          <w:sz w:val="26"/>
          <w:szCs w:val="26"/>
        </w:rPr>
        <w:t xml:space="preserve">ddress during the time the disputed arrearage accrued.  </w:t>
      </w:r>
      <w:r w:rsidR="000548F3">
        <w:rPr>
          <w:sz w:val="26"/>
          <w:szCs w:val="26"/>
        </w:rPr>
        <w:t>Further, e</w:t>
      </w:r>
      <w:r w:rsidRPr="00C4572D">
        <w:rPr>
          <w:sz w:val="26"/>
          <w:szCs w:val="26"/>
        </w:rPr>
        <w:t>ven if the Complainant’s testimony w</w:t>
      </w:r>
      <w:r w:rsidR="000548F3">
        <w:rPr>
          <w:sz w:val="26"/>
          <w:szCs w:val="26"/>
        </w:rPr>
        <w:t>as</w:t>
      </w:r>
      <w:r w:rsidRPr="00C4572D">
        <w:rPr>
          <w:sz w:val="26"/>
          <w:szCs w:val="26"/>
        </w:rPr>
        <w:t xml:space="preserve"> sufficient to carry the burden of proof initially, PGW rebutted this testimony with:</w:t>
      </w:r>
      <w:r w:rsidR="002C5212">
        <w:rPr>
          <w:sz w:val="26"/>
          <w:szCs w:val="26"/>
        </w:rPr>
        <w:t xml:space="preserve"> </w:t>
      </w:r>
      <w:r w:rsidRPr="00C4572D">
        <w:rPr>
          <w:sz w:val="26"/>
          <w:szCs w:val="26"/>
        </w:rPr>
        <w:t xml:space="preserve"> (1) </w:t>
      </w:r>
      <w:r w:rsidR="00037D0B">
        <w:rPr>
          <w:sz w:val="26"/>
          <w:szCs w:val="26"/>
        </w:rPr>
        <w:t xml:space="preserve">testimony from the Complainant acknowledging that she had lived at the address at some point in time and </w:t>
      </w:r>
      <w:r w:rsidRPr="00C4572D">
        <w:rPr>
          <w:sz w:val="26"/>
          <w:szCs w:val="26"/>
        </w:rPr>
        <w:t>(2) a</w:t>
      </w:r>
      <w:r w:rsidR="00037D0B">
        <w:rPr>
          <w:sz w:val="26"/>
          <w:szCs w:val="26"/>
        </w:rPr>
        <w:t xml:space="preserve"> credit check performed by PGW show</w:t>
      </w:r>
      <w:r w:rsidR="001D4A09">
        <w:rPr>
          <w:sz w:val="26"/>
          <w:szCs w:val="26"/>
        </w:rPr>
        <w:t>ing</w:t>
      </w:r>
      <w:r w:rsidR="00037D0B">
        <w:rPr>
          <w:sz w:val="26"/>
          <w:szCs w:val="26"/>
        </w:rPr>
        <w:t xml:space="preserve"> that the address on the Complainant’s current driver’s license lists 7120 Lawndale Avenue address as her residence.  </w:t>
      </w:r>
    </w:p>
    <w:p w14:paraId="05AA5D39" w14:textId="77777777" w:rsidR="009A22B8" w:rsidRDefault="009A22B8" w:rsidP="002E09E5">
      <w:pPr>
        <w:keepNext/>
        <w:widowControl/>
        <w:spacing w:line="360" w:lineRule="auto"/>
        <w:ind w:firstLine="1440"/>
        <w:rPr>
          <w:sz w:val="26"/>
          <w:szCs w:val="26"/>
        </w:rPr>
      </w:pPr>
    </w:p>
    <w:p w14:paraId="3401380B" w14:textId="1EE9870C" w:rsidR="009A22B8" w:rsidRDefault="006F0FA4" w:rsidP="002E09E5">
      <w:pPr>
        <w:keepNext/>
        <w:widowControl/>
        <w:spacing w:line="360" w:lineRule="auto"/>
        <w:ind w:firstLine="1440"/>
        <w:rPr>
          <w:sz w:val="26"/>
          <w:szCs w:val="26"/>
        </w:rPr>
      </w:pPr>
      <w:r>
        <w:rPr>
          <w:sz w:val="26"/>
          <w:szCs w:val="26"/>
        </w:rPr>
        <w:t>Additionally, a</w:t>
      </w:r>
      <w:r w:rsidR="00037D0B">
        <w:rPr>
          <w:sz w:val="26"/>
          <w:szCs w:val="26"/>
        </w:rPr>
        <w:t xml:space="preserve">s already noted, the ALJ found suspect the fact that the Complainant wanted to put the gas service in her name at the </w:t>
      </w:r>
      <w:r w:rsidR="00474288">
        <w:rPr>
          <w:sz w:val="26"/>
          <w:szCs w:val="26"/>
        </w:rPr>
        <w:t>S</w:t>
      </w:r>
      <w:r w:rsidR="00037D0B">
        <w:rPr>
          <w:sz w:val="26"/>
          <w:szCs w:val="26"/>
        </w:rPr>
        <w:t xml:space="preserve">ervice </w:t>
      </w:r>
      <w:r w:rsidR="00474288">
        <w:rPr>
          <w:sz w:val="26"/>
          <w:szCs w:val="26"/>
        </w:rPr>
        <w:t>A</w:t>
      </w:r>
      <w:r w:rsidR="00037D0B">
        <w:rPr>
          <w:sz w:val="26"/>
          <w:szCs w:val="26"/>
        </w:rPr>
        <w:t xml:space="preserve">ddress immediately after her husband’s death, but was told that she would have to assume </w:t>
      </w:r>
      <w:r>
        <w:rPr>
          <w:sz w:val="26"/>
          <w:szCs w:val="26"/>
        </w:rPr>
        <w:t xml:space="preserve">her </w:t>
      </w:r>
      <w:r w:rsidR="009A22B8">
        <w:rPr>
          <w:sz w:val="26"/>
          <w:szCs w:val="26"/>
        </w:rPr>
        <w:t>late</w:t>
      </w:r>
      <w:r>
        <w:rPr>
          <w:sz w:val="26"/>
          <w:szCs w:val="26"/>
        </w:rPr>
        <w:t xml:space="preserve"> </w:t>
      </w:r>
      <w:r w:rsidR="00037D0B">
        <w:rPr>
          <w:sz w:val="26"/>
          <w:szCs w:val="26"/>
        </w:rPr>
        <w:t xml:space="preserve">husband’s outstanding balance.  PGW’s witness </w:t>
      </w:r>
      <w:r>
        <w:rPr>
          <w:sz w:val="26"/>
          <w:szCs w:val="26"/>
        </w:rPr>
        <w:t xml:space="preserve">testified </w:t>
      </w:r>
      <w:r w:rsidR="00037D0B">
        <w:rPr>
          <w:sz w:val="26"/>
          <w:szCs w:val="26"/>
        </w:rPr>
        <w:t>that the gas service was on and being used at the residence when the request was made to transfer service to the Complainant</w:t>
      </w:r>
      <w:r>
        <w:rPr>
          <w:sz w:val="26"/>
          <w:szCs w:val="26"/>
        </w:rPr>
        <w:t xml:space="preserve"> and </w:t>
      </w:r>
      <w:r w:rsidR="00037D0B">
        <w:rPr>
          <w:sz w:val="26"/>
          <w:szCs w:val="26"/>
        </w:rPr>
        <w:t xml:space="preserve">that the paperwork </w:t>
      </w:r>
      <w:r>
        <w:rPr>
          <w:sz w:val="26"/>
          <w:szCs w:val="26"/>
        </w:rPr>
        <w:t>submitted</w:t>
      </w:r>
      <w:r w:rsidR="00037D0B">
        <w:rPr>
          <w:sz w:val="26"/>
          <w:szCs w:val="26"/>
        </w:rPr>
        <w:t xml:space="preserve"> by the Complainant </w:t>
      </w:r>
      <w:r>
        <w:rPr>
          <w:sz w:val="26"/>
          <w:szCs w:val="26"/>
        </w:rPr>
        <w:t xml:space="preserve">regarding her residence elsewhere was rejected as inadequate.  I.D. at 7-8.  Finally, the Complainant’s contention that a gas leak at the </w:t>
      </w:r>
      <w:r w:rsidR="008F25CF">
        <w:rPr>
          <w:sz w:val="26"/>
          <w:szCs w:val="26"/>
        </w:rPr>
        <w:t>S</w:t>
      </w:r>
      <w:r>
        <w:rPr>
          <w:sz w:val="26"/>
          <w:szCs w:val="26"/>
        </w:rPr>
        <w:t xml:space="preserve">ervice </w:t>
      </w:r>
      <w:r w:rsidR="008F25CF">
        <w:rPr>
          <w:sz w:val="26"/>
          <w:szCs w:val="26"/>
        </w:rPr>
        <w:t>A</w:t>
      </w:r>
      <w:r>
        <w:rPr>
          <w:sz w:val="26"/>
          <w:szCs w:val="26"/>
        </w:rPr>
        <w:t xml:space="preserve">ddress was the cause for the gas usage after her husband’s death was found unpersuasive by the ALJ because a service call was never </w:t>
      </w:r>
      <w:r>
        <w:rPr>
          <w:sz w:val="26"/>
          <w:szCs w:val="26"/>
        </w:rPr>
        <w:lastRenderedPageBreak/>
        <w:t xml:space="preserve">requested to investigate the alleged gas leak; and, in any event, PGW’s policy is that the customer is responsible for any such leaks inside a home.  </w:t>
      </w:r>
      <w:r w:rsidR="009A22B8">
        <w:rPr>
          <w:sz w:val="26"/>
          <w:szCs w:val="26"/>
        </w:rPr>
        <w:t xml:space="preserve">I.D. at 8.  </w:t>
      </w:r>
      <w:r>
        <w:rPr>
          <w:sz w:val="26"/>
          <w:szCs w:val="26"/>
        </w:rPr>
        <w:t xml:space="preserve"> </w:t>
      </w:r>
    </w:p>
    <w:p w14:paraId="16DA9DF9" w14:textId="77777777" w:rsidR="009A22B8" w:rsidRDefault="009A22B8" w:rsidP="002E09E5">
      <w:pPr>
        <w:keepNext/>
        <w:widowControl/>
        <w:spacing w:line="360" w:lineRule="auto"/>
        <w:ind w:firstLine="1440"/>
        <w:rPr>
          <w:sz w:val="26"/>
          <w:szCs w:val="26"/>
        </w:rPr>
      </w:pPr>
    </w:p>
    <w:p w14:paraId="583FE2F2" w14:textId="770E9475" w:rsidR="00C4572D" w:rsidRPr="00C4572D" w:rsidRDefault="00C4572D" w:rsidP="002E09E5">
      <w:pPr>
        <w:keepNext/>
        <w:widowControl/>
        <w:spacing w:line="360" w:lineRule="auto"/>
        <w:ind w:firstLine="1440"/>
        <w:rPr>
          <w:sz w:val="26"/>
          <w:szCs w:val="26"/>
        </w:rPr>
      </w:pPr>
      <w:r w:rsidRPr="00C4572D">
        <w:rPr>
          <w:sz w:val="26"/>
          <w:szCs w:val="26"/>
        </w:rPr>
        <w:t xml:space="preserve">Accordingly, we find that PGW credibly carried its burden of persuasion, which shifted the burden back to the Complainant to rebut.  As no further </w:t>
      </w:r>
      <w:r w:rsidR="009A22B8">
        <w:rPr>
          <w:sz w:val="26"/>
          <w:szCs w:val="26"/>
        </w:rPr>
        <w:t xml:space="preserve">credible </w:t>
      </w:r>
      <w:r w:rsidRPr="00C4572D">
        <w:rPr>
          <w:sz w:val="26"/>
          <w:szCs w:val="26"/>
        </w:rPr>
        <w:t>evidence was admitted by the Complainant in this matter, we find that the Complainant failed to carry this burden, and in doing so, failed to carry h</w:t>
      </w:r>
      <w:r w:rsidR="009A22B8">
        <w:rPr>
          <w:sz w:val="26"/>
          <w:szCs w:val="26"/>
        </w:rPr>
        <w:t>er</w:t>
      </w:r>
      <w:r w:rsidRPr="00C4572D">
        <w:rPr>
          <w:sz w:val="26"/>
          <w:szCs w:val="26"/>
        </w:rPr>
        <w:t xml:space="preserve"> burden of proof.  </w:t>
      </w:r>
    </w:p>
    <w:p w14:paraId="25F232A9" w14:textId="77777777" w:rsidR="00C4572D" w:rsidRPr="00C4572D" w:rsidRDefault="00C4572D" w:rsidP="002E09E5">
      <w:pPr>
        <w:widowControl/>
        <w:spacing w:line="360" w:lineRule="auto"/>
        <w:ind w:firstLine="1440"/>
        <w:rPr>
          <w:sz w:val="26"/>
          <w:szCs w:val="26"/>
        </w:rPr>
      </w:pPr>
    </w:p>
    <w:p w14:paraId="578E4194" w14:textId="1C5C1B43" w:rsidR="00C4572D" w:rsidRPr="00C4572D" w:rsidRDefault="00C4572D" w:rsidP="002E09E5">
      <w:pPr>
        <w:widowControl/>
        <w:spacing w:line="360" w:lineRule="auto"/>
        <w:ind w:firstLine="1440"/>
        <w:rPr>
          <w:sz w:val="26"/>
          <w:szCs w:val="26"/>
        </w:rPr>
      </w:pPr>
      <w:r w:rsidRPr="00C4572D">
        <w:rPr>
          <w:sz w:val="26"/>
          <w:szCs w:val="26"/>
        </w:rPr>
        <w:t xml:space="preserve">Based on the foregoing, we shall </w:t>
      </w:r>
      <w:r w:rsidR="009A22B8">
        <w:rPr>
          <w:sz w:val="26"/>
          <w:szCs w:val="26"/>
        </w:rPr>
        <w:t>grant</w:t>
      </w:r>
      <w:r w:rsidRPr="00C4572D">
        <w:rPr>
          <w:sz w:val="26"/>
          <w:szCs w:val="26"/>
        </w:rPr>
        <w:t xml:space="preserve"> the ALJ’s Initial Decision determin</w:t>
      </w:r>
      <w:r w:rsidR="009A22B8">
        <w:rPr>
          <w:sz w:val="26"/>
          <w:szCs w:val="26"/>
        </w:rPr>
        <w:t>ing</w:t>
      </w:r>
      <w:r w:rsidRPr="00C4572D">
        <w:rPr>
          <w:sz w:val="26"/>
          <w:szCs w:val="26"/>
        </w:rPr>
        <w:t xml:space="preserve"> that PGW properly transfer</w:t>
      </w:r>
      <w:r w:rsidR="009A22B8">
        <w:rPr>
          <w:sz w:val="26"/>
          <w:szCs w:val="26"/>
        </w:rPr>
        <w:t>red</w:t>
      </w:r>
      <w:r w:rsidRPr="00C4572D">
        <w:rPr>
          <w:sz w:val="26"/>
          <w:szCs w:val="26"/>
        </w:rPr>
        <w:t xml:space="preserve"> the </w:t>
      </w:r>
      <w:r w:rsidR="001D4A09">
        <w:rPr>
          <w:sz w:val="26"/>
          <w:szCs w:val="26"/>
        </w:rPr>
        <w:t xml:space="preserve">outstanding </w:t>
      </w:r>
      <w:r w:rsidRPr="00C4572D">
        <w:rPr>
          <w:sz w:val="26"/>
          <w:szCs w:val="26"/>
        </w:rPr>
        <w:t xml:space="preserve">balance of </w:t>
      </w:r>
      <w:r w:rsidR="001D4A09">
        <w:rPr>
          <w:sz w:val="26"/>
          <w:szCs w:val="26"/>
        </w:rPr>
        <w:t xml:space="preserve">her late husband </w:t>
      </w:r>
      <w:r w:rsidRPr="00C4572D">
        <w:rPr>
          <w:sz w:val="26"/>
          <w:szCs w:val="26"/>
        </w:rPr>
        <w:t xml:space="preserve">at the </w:t>
      </w:r>
      <w:r w:rsidR="00064F62">
        <w:rPr>
          <w:sz w:val="26"/>
          <w:szCs w:val="26"/>
        </w:rPr>
        <w:t>S</w:t>
      </w:r>
      <w:r w:rsidRPr="00C4572D">
        <w:rPr>
          <w:sz w:val="26"/>
          <w:szCs w:val="26"/>
        </w:rPr>
        <w:t xml:space="preserve">ervice </w:t>
      </w:r>
      <w:r w:rsidR="00064F62">
        <w:rPr>
          <w:sz w:val="26"/>
          <w:szCs w:val="26"/>
        </w:rPr>
        <w:t>A</w:t>
      </w:r>
      <w:r w:rsidRPr="00C4572D">
        <w:rPr>
          <w:sz w:val="26"/>
          <w:szCs w:val="26"/>
        </w:rPr>
        <w:t>ddress, which accrued from January 201</w:t>
      </w:r>
      <w:r w:rsidR="009A22B8">
        <w:rPr>
          <w:sz w:val="26"/>
          <w:szCs w:val="26"/>
        </w:rPr>
        <w:t>6</w:t>
      </w:r>
      <w:r w:rsidRPr="00C4572D">
        <w:rPr>
          <w:sz w:val="26"/>
          <w:szCs w:val="26"/>
        </w:rPr>
        <w:t xml:space="preserve"> to </w:t>
      </w:r>
      <w:r w:rsidR="009A22B8">
        <w:rPr>
          <w:sz w:val="26"/>
          <w:szCs w:val="26"/>
        </w:rPr>
        <w:t>Nov</w:t>
      </w:r>
      <w:r w:rsidRPr="00C4572D">
        <w:rPr>
          <w:sz w:val="26"/>
          <w:szCs w:val="26"/>
        </w:rPr>
        <w:t>ember 201</w:t>
      </w:r>
      <w:r w:rsidR="009A22B8">
        <w:rPr>
          <w:sz w:val="26"/>
          <w:szCs w:val="26"/>
        </w:rPr>
        <w:t>9</w:t>
      </w:r>
      <w:r w:rsidRPr="00C4572D">
        <w:rPr>
          <w:sz w:val="26"/>
          <w:szCs w:val="26"/>
        </w:rPr>
        <w:t xml:space="preserve">, to the Complainant.  Thus, we conclude that the Complainant is responsible for the payment of </w:t>
      </w:r>
      <w:r w:rsidR="001D4A09">
        <w:rPr>
          <w:sz w:val="26"/>
          <w:szCs w:val="26"/>
        </w:rPr>
        <w:t>her late husband’s outstanding</w:t>
      </w:r>
      <w:r w:rsidRPr="00C4572D">
        <w:rPr>
          <w:sz w:val="26"/>
          <w:szCs w:val="26"/>
        </w:rPr>
        <w:t xml:space="preserve"> balance </w:t>
      </w:r>
      <w:r w:rsidR="001D4A09">
        <w:rPr>
          <w:sz w:val="26"/>
          <w:szCs w:val="26"/>
        </w:rPr>
        <w:t xml:space="preserve">of $2,514.58 </w:t>
      </w:r>
      <w:r w:rsidRPr="00C4572D">
        <w:rPr>
          <w:sz w:val="26"/>
          <w:szCs w:val="26"/>
        </w:rPr>
        <w:t>from January 201</w:t>
      </w:r>
      <w:r w:rsidR="009A22B8">
        <w:rPr>
          <w:sz w:val="26"/>
          <w:szCs w:val="26"/>
        </w:rPr>
        <w:t>6</w:t>
      </w:r>
      <w:r w:rsidRPr="00C4572D">
        <w:rPr>
          <w:sz w:val="26"/>
          <w:szCs w:val="26"/>
        </w:rPr>
        <w:t xml:space="preserve"> to </w:t>
      </w:r>
      <w:r w:rsidR="009A22B8">
        <w:rPr>
          <w:sz w:val="26"/>
          <w:szCs w:val="26"/>
        </w:rPr>
        <w:t>Nov</w:t>
      </w:r>
      <w:r w:rsidRPr="00C4572D">
        <w:rPr>
          <w:sz w:val="26"/>
          <w:szCs w:val="26"/>
        </w:rPr>
        <w:t>ember</w:t>
      </w:r>
      <w:r w:rsidR="006138E8">
        <w:rPr>
          <w:sz w:val="26"/>
          <w:szCs w:val="26"/>
        </w:rPr>
        <w:t> </w:t>
      </w:r>
      <w:r w:rsidRPr="00C4572D">
        <w:rPr>
          <w:sz w:val="26"/>
          <w:szCs w:val="26"/>
        </w:rPr>
        <w:t>201</w:t>
      </w:r>
      <w:r w:rsidR="004F4745">
        <w:rPr>
          <w:sz w:val="26"/>
          <w:szCs w:val="26"/>
        </w:rPr>
        <w:t>9.</w:t>
      </w:r>
      <w:r w:rsidRPr="00C4572D">
        <w:rPr>
          <w:sz w:val="26"/>
          <w:szCs w:val="26"/>
        </w:rPr>
        <w:t xml:space="preserve">  Accordingly, the Complaint is dismissed in its entirety.</w:t>
      </w:r>
    </w:p>
    <w:p w14:paraId="0776AFD9" w14:textId="77777777" w:rsidR="00C4572D" w:rsidRPr="00C4572D" w:rsidRDefault="00C4572D" w:rsidP="002E09E5">
      <w:pPr>
        <w:widowControl/>
        <w:spacing w:line="360" w:lineRule="auto"/>
        <w:ind w:firstLine="1440"/>
        <w:rPr>
          <w:sz w:val="26"/>
          <w:szCs w:val="26"/>
        </w:rPr>
      </w:pPr>
    </w:p>
    <w:p w14:paraId="6F44CC94" w14:textId="77777777" w:rsidR="00C4572D" w:rsidRPr="00C4572D" w:rsidRDefault="00C4572D" w:rsidP="002E09E5">
      <w:pPr>
        <w:keepNext/>
        <w:keepLines/>
        <w:widowControl/>
        <w:spacing w:line="360" w:lineRule="auto"/>
        <w:ind w:hanging="90"/>
        <w:jc w:val="center"/>
        <w:rPr>
          <w:b/>
          <w:sz w:val="26"/>
          <w:szCs w:val="26"/>
        </w:rPr>
      </w:pPr>
      <w:r w:rsidRPr="00C4572D">
        <w:rPr>
          <w:b/>
          <w:sz w:val="26"/>
          <w:szCs w:val="26"/>
        </w:rPr>
        <w:t>Conclusion</w:t>
      </w:r>
    </w:p>
    <w:p w14:paraId="3D69452C" w14:textId="77777777" w:rsidR="00C4572D" w:rsidRPr="00C4572D" w:rsidRDefault="00C4572D" w:rsidP="002E09E5">
      <w:pPr>
        <w:keepNext/>
        <w:keepLines/>
        <w:widowControl/>
        <w:spacing w:line="360" w:lineRule="auto"/>
        <w:ind w:firstLine="1440"/>
        <w:jc w:val="center"/>
        <w:rPr>
          <w:sz w:val="26"/>
          <w:szCs w:val="26"/>
        </w:rPr>
      </w:pPr>
    </w:p>
    <w:p w14:paraId="0A8F891F" w14:textId="60DFC023" w:rsidR="00C4572D" w:rsidRPr="00C4572D" w:rsidRDefault="00C4572D" w:rsidP="006138E8">
      <w:pPr>
        <w:widowControl/>
        <w:spacing w:line="360" w:lineRule="auto"/>
        <w:ind w:firstLine="1440"/>
        <w:rPr>
          <w:b/>
          <w:sz w:val="26"/>
          <w:szCs w:val="26"/>
        </w:rPr>
      </w:pPr>
      <w:r w:rsidRPr="00C4572D">
        <w:rPr>
          <w:sz w:val="26"/>
          <w:szCs w:val="26"/>
        </w:rPr>
        <w:t>Based upon our review of the Exceptions, Repl</w:t>
      </w:r>
      <w:r w:rsidR="00B92BD7">
        <w:rPr>
          <w:sz w:val="26"/>
          <w:szCs w:val="26"/>
        </w:rPr>
        <w:t>ies to</w:t>
      </w:r>
      <w:r w:rsidRPr="00C4572D">
        <w:rPr>
          <w:sz w:val="26"/>
          <w:szCs w:val="26"/>
        </w:rPr>
        <w:t xml:space="preserve"> Exception</w:t>
      </w:r>
      <w:r w:rsidR="00B92BD7">
        <w:rPr>
          <w:sz w:val="26"/>
          <w:szCs w:val="26"/>
        </w:rPr>
        <w:t>s</w:t>
      </w:r>
      <w:r w:rsidRPr="00C4572D">
        <w:rPr>
          <w:sz w:val="26"/>
          <w:szCs w:val="26"/>
        </w:rPr>
        <w:t xml:space="preserve">, the Initial Decision, and the record in this proceeding, we shall </w:t>
      </w:r>
      <w:r w:rsidR="004F4745">
        <w:rPr>
          <w:sz w:val="26"/>
          <w:szCs w:val="26"/>
        </w:rPr>
        <w:t xml:space="preserve">reject the Complainant’s </w:t>
      </w:r>
      <w:r w:rsidRPr="00C4572D">
        <w:rPr>
          <w:sz w:val="26"/>
          <w:szCs w:val="26"/>
        </w:rPr>
        <w:t xml:space="preserve">Exceptions and </w:t>
      </w:r>
      <w:r w:rsidR="004F4745">
        <w:rPr>
          <w:sz w:val="26"/>
          <w:szCs w:val="26"/>
        </w:rPr>
        <w:t>affirm</w:t>
      </w:r>
      <w:r w:rsidRPr="00C4572D">
        <w:rPr>
          <w:sz w:val="26"/>
          <w:szCs w:val="26"/>
        </w:rPr>
        <w:t xml:space="preserve"> the ALJ’s Initial Decision, consistent with this Opinion and Order; </w:t>
      </w:r>
      <w:r w:rsidRPr="00C4572D">
        <w:rPr>
          <w:b/>
          <w:sz w:val="26"/>
          <w:szCs w:val="26"/>
        </w:rPr>
        <w:t>THEREFORE,</w:t>
      </w:r>
    </w:p>
    <w:p w14:paraId="3F8C1F76" w14:textId="77777777" w:rsidR="00C4572D" w:rsidRPr="00C4572D" w:rsidRDefault="00C4572D" w:rsidP="006138E8">
      <w:pPr>
        <w:widowControl/>
        <w:spacing w:line="360" w:lineRule="auto"/>
        <w:ind w:firstLine="720"/>
        <w:rPr>
          <w:b/>
          <w:sz w:val="26"/>
          <w:szCs w:val="26"/>
        </w:rPr>
      </w:pPr>
    </w:p>
    <w:p w14:paraId="7D9FCA5B" w14:textId="77777777" w:rsidR="00C4572D" w:rsidRPr="00C4572D" w:rsidRDefault="00C4572D" w:rsidP="006138E8">
      <w:pPr>
        <w:keepNext/>
        <w:keepLines/>
        <w:widowControl/>
        <w:spacing w:line="360" w:lineRule="auto"/>
        <w:ind w:firstLine="1440"/>
        <w:rPr>
          <w:sz w:val="26"/>
          <w:szCs w:val="26"/>
        </w:rPr>
      </w:pPr>
      <w:r w:rsidRPr="00C4572D">
        <w:rPr>
          <w:b/>
          <w:sz w:val="26"/>
          <w:szCs w:val="26"/>
        </w:rPr>
        <w:t>IT IS ORDERED:</w:t>
      </w:r>
    </w:p>
    <w:p w14:paraId="7622F2C0" w14:textId="77777777" w:rsidR="00C4572D" w:rsidRPr="00C4572D" w:rsidRDefault="00C4572D" w:rsidP="006138E8">
      <w:pPr>
        <w:keepNext/>
        <w:keepLines/>
        <w:widowControl/>
        <w:tabs>
          <w:tab w:val="left" w:pos="-720"/>
        </w:tabs>
        <w:spacing w:line="360" w:lineRule="auto"/>
        <w:rPr>
          <w:sz w:val="26"/>
          <w:szCs w:val="26"/>
        </w:rPr>
      </w:pPr>
    </w:p>
    <w:p w14:paraId="35C7ACF5" w14:textId="1BF412B8" w:rsidR="00C4572D" w:rsidRPr="00C4572D" w:rsidRDefault="00C4572D" w:rsidP="006138E8">
      <w:pPr>
        <w:widowControl/>
        <w:numPr>
          <w:ilvl w:val="0"/>
          <w:numId w:val="3"/>
        </w:numPr>
        <w:tabs>
          <w:tab w:val="left" w:pos="-720"/>
        </w:tabs>
        <w:suppressAutoHyphens/>
        <w:spacing w:line="360" w:lineRule="auto"/>
        <w:ind w:left="0" w:firstLine="1440"/>
        <w:rPr>
          <w:sz w:val="26"/>
          <w:szCs w:val="26"/>
        </w:rPr>
      </w:pPr>
      <w:r w:rsidRPr="00C4572D">
        <w:rPr>
          <w:sz w:val="26"/>
          <w:szCs w:val="26"/>
        </w:rPr>
        <w:t xml:space="preserve">That the Exceptions of </w:t>
      </w:r>
      <w:r w:rsidR="004F4745">
        <w:rPr>
          <w:sz w:val="26"/>
          <w:szCs w:val="26"/>
        </w:rPr>
        <w:t>Leslie Griggs</w:t>
      </w:r>
      <w:r w:rsidRPr="00C4572D">
        <w:rPr>
          <w:sz w:val="26"/>
          <w:szCs w:val="26"/>
        </w:rPr>
        <w:t xml:space="preserve"> filed on </w:t>
      </w:r>
      <w:r w:rsidR="00B92BD7">
        <w:rPr>
          <w:sz w:val="26"/>
          <w:szCs w:val="26"/>
        </w:rPr>
        <w:t>March 23</w:t>
      </w:r>
      <w:r w:rsidRPr="00C4572D">
        <w:rPr>
          <w:sz w:val="26"/>
          <w:szCs w:val="26"/>
        </w:rPr>
        <w:t>, 20</w:t>
      </w:r>
      <w:r w:rsidR="004F4745">
        <w:rPr>
          <w:sz w:val="26"/>
          <w:szCs w:val="26"/>
        </w:rPr>
        <w:t>21</w:t>
      </w:r>
      <w:r w:rsidRPr="00C4572D">
        <w:rPr>
          <w:sz w:val="26"/>
          <w:szCs w:val="26"/>
        </w:rPr>
        <w:t xml:space="preserve">, to the Initial Decision of Administrative Law Judge </w:t>
      </w:r>
      <w:r w:rsidR="004F4745">
        <w:rPr>
          <w:sz w:val="26"/>
          <w:szCs w:val="26"/>
        </w:rPr>
        <w:t>Marta Guhl</w:t>
      </w:r>
      <w:r w:rsidRPr="00C4572D">
        <w:rPr>
          <w:sz w:val="26"/>
          <w:szCs w:val="26"/>
        </w:rPr>
        <w:t xml:space="preserve"> issued on </w:t>
      </w:r>
      <w:r w:rsidR="004F4745">
        <w:rPr>
          <w:sz w:val="26"/>
          <w:szCs w:val="26"/>
        </w:rPr>
        <w:t>March 3</w:t>
      </w:r>
      <w:r w:rsidRPr="00C4572D">
        <w:rPr>
          <w:sz w:val="26"/>
          <w:szCs w:val="26"/>
        </w:rPr>
        <w:t>, 20</w:t>
      </w:r>
      <w:r w:rsidR="004F4745">
        <w:rPr>
          <w:sz w:val="26"/>
          <w:szCs w:val="26"/>
        </w:rPr>
        <w:t>21</w:t>
      </w:r>
      <w:r w:rsidRPr="00C4572D">
        <w:rPr>
          <w:sz w:val="26"/>
          <w:szCs w:val="26"/>
        </w:rPr>
        <w:t xml:space="preserve">, are </w:t>
      </w:r>
      <w:r w:rsidR="004F4745">
        <w:rPr>
          <w:sz w:val="26"/>
          <w:szCs w:val="26"/>
        </w:rPr>
        <w:t>denied</w:t>
      </w:r>
      <w:r w:rsidRPr="00C4572D">
        <w:rPr>
          <w:sz w:val="26"/>
          <w:szCs w:val="26"/>
        </w:rPr>
        <w:t>, consistent with this Opinion and Order.</w:t>
      </w:r>
    </w:p>
    <w:p w14:paraId="4842FA8F" w14:textId="77777777" w:rsidR="00C4572D" w:rsidRPr="00C4572D" w:rsidRDefault="00C4572D" w:rsidP="006138E8">
      <w:pPr>
        <w:widowControl/>
        <w:tabs>
          <w:tab w:val="left" w:pos="-720"/>
        </w:tabs>
        <w:suppressAutoHyphens/>
        <w:spacing w:line="360" w:lineRule="auto"/>
        <w:ind w:left="1440"/>
        <w:rPr>
          <w:sz w:val="26"/>
          <w:szCs w:val="26"/>
        </w:rPr>
      </w:pPr>
    </w:p>
    <w:p w14:paraId="4C932BB2" w14:textId="5CC217D5" w:rsidR="00C4572D" w:rsidRPr="00C4572D" w:rsidRDefault="00C4572D" w:rsidP="006138E8">
      <w:pPr>
        <w:widowControl/>
        <w:numPr>
          <w:ilvl w:val="0"/>
          <w:numId w:val="3"/>
        </w:numPr>
        <w:tabs>
          <w:tab w:val="left" w:pos="-720"/>
        </w:tabs>
        <w:suppressAutoHyphens/>
        <w:spacing w:line="360" w:lineRule="auto"/>
        <w:ind w:left="0" w:firstLine="1440"/>
        <w:rPr>
          <w:sz w:val="26"/>
          <w:szCs w:val="26"/>
        </w:rPr>
      </w:pPr>
      <w:r w:rsidRPr="00C4572D">
        <w:rPr>
          <w:sz w:val="26"/>
          <w:szCs w:val="26"/>
        </w:rPr>
        <w:lastRenderedPageBreak/>
        <w:t xml:space="preserve">That the Initial Decision of Administrative Law Judge </w:t>
      </w:r>
      <w:r w:rsidR="004F4745">
        <w:rPr>
          <w:sz w:val="26"/>
          <w:szCs w:val="26"/>
        </w:rPr>
        <w:t>Marta Guhl is a</w:t>
      </w:r>
      <w:r w:rsidR="00B92BD7">
        <w:rPr>
          <w:sz w:val="26"/>
          <w:szCs w:val="26"/>
        </w:rPr>
        <w:t>dopted</w:t>
      </w:r>
      <w:r w:rsidRPr="00C4572D">
        <w:rPr>
          <w:sz w:val="26"/>
          <w:szCs w:val="26"/>
        </w:rPr>
        <w:t>, consistent with this Opinion and Order.</w:t>
      </w:r>
    </w:p>
    <w:p w14:paraId="45002D25" w14:textId="77777777" w:rsidR="00C4572D" w:rsidRPr="00C4572D" w:rsidRDefault="00C4572D" w:rsidP="006138E8">
      <w:pPr>
        <w:widowControl/>
        <w:tabs>
          <w:tab w:val="left" w:pos="-720"/>
        </w:tabs>
        <w:suppressAutoHyphens/>
        <w:spacing w:line="360" w:lineRule="auto"/>
        <w:ind w:left="1440"/>
        <w:rPr>
          <w:sz w:val="26"/>
          <w:szCs w:val="26"/>
        </w:rPr>
      </w:pPr>
    </w:p>
    <w:p w14:paraId="32D0CA58" w14:textId="6B36D346" w:rsidR="00C4572D" w:rsidRPr="006138E8" w:rsidRDefault="00C4572D" w:rsidP="006138E8">
      <w:pPr>
        <w:widowControl/>
        <w:numPr>
          <w:ilvl w:val="0"/>
          <w:numId w:val="3"/>
        </w:numPr>
        <w:tabs>
          <w:tab w:val="left" w:pos="-720"/>
        </w:tabs>
        <w:suppressAutoHyphens/>
        <w:spacing w:line="360" w:lineRule="auto"/>
        <w:ind w:left="0" w:firstLine="1440"/>
        <w:rPr>
          <w:sz w:val="26"/>
          <w:szCs w:val="26"/>
        </w:rPr>
      </w:pPr>
      <w:r w:rsidRPr="00C4572D">
        <w:rPr>
          <w:sz w:val="26"/>
          <w:szCs w:val="26"/>
        </w:rPr>
        <w:t xml:space="preserve">That the Formal </w:t>
      </w:r>
      <w:r w:rsidRPr="006138E8">
        <w:rPr>
          <w:sz w:val="26"/>
          <w:szCs w:val="26"/>
        </w:rPr>
        <w:t xml:space="preserve">Complaint filed by </w:t>
      </w:r>
      <w:r w:rsidR="004F4745" w:rsidRPr="006138E8">
        <w:rPr>
          <w:sz w:val="26"/>
          <w:szCs w:val="26"/>
        </w:rPr>
        <w:t>Leslie Griggs</w:t>
      </w:r>
      <w:r w:rsidRPr="006138E8">
        <w:rPr>
          <w:sz w:val="26"/>
          <w:szCs w:val="26"/>
        </w:rPr>
        <w:t xml:space="preserve"> against Philadelphia Gas Works at Docket No. </w:t>
      </w:r>
      <w:r w:rsidR="004F4745" w:rsidRPr="006138E8">
        <w:rPr>
          <w:sz w:val="26"/>
          <w:szCs w:val="26"/>
        </w:rPr>
        <w:t>F</w:t>
      </w:r>
      <w:r w:rsidRPr="006138E8">
        <w:rPr>
          <w:sz w:val="26"/>
          <w:szCs w:val="26"/>
        </w:rPr>
        <w:t>-20</w:t>
      </w:r>
      <w:r w:rsidR="004F4745" w:rsidRPr="006138E8">
        <w:rPr>
          <w:sz w:val="26"/>
          <w:szCs w:val="26"/>
        </w:rPr>
        <w:t>20</w:t>
      </w:r>
      <w:r w:rsidRPr="006138E8">
        <w:rPr>
          <w:sz w:val="26"/>
          <w:szCs w:val="26"/>
        </w:rPr>
        <w:t>-</w:t>
      </w:r>
      <w:r w:rsidR="004F4745" w:rsidRPr="006138E8">
        <w:rPr>
          <w:sz w:val="26"/>
          <w:szCs w:val="26"/>
        </w:rPr>
        <w:t>3021754</w:t>
      </w:r>
      <w:r w:rsidRPr="006138E8">
        <w:rPr>
          <w:sz w:val="26"/>
          <w:szCs w:val="26"/>
        </w:rPr>
        <w:t xml:space="preserve"> is dismissed, consistent with this Opinion and Order.</w:t>
      </w:r>
    </w:p>
    <w:p w14:paraId="0EEF6D03" w14:textId="77777777" w:rsidR="00C4572D" w:rsidRPr="006138E8" w:rsidRDefault="00C4572D" w:rsidP="006138E8">
      <w:pPr>
        <w:widowControl/>
        <w:tabs>
          <w:tab w:val="left" w:pos="-720"/>
        </w:tabs>
        <w:suppressAutoHyphens/>
        <w:spacing w:line="360" w:lineRule="auto"/>
        <w:rPr>
          <w:sz w:val="26"/>
          <w:szCs w:val="26"/>
        </w:rPr>
      </w:pPr>
    </w:p>
    <w:p w14:paraId="1235B3CE" w14:textId="72C31D55" w:rsidR="00C4572D" w:rsidRPr="006138E8" w:rsidRDefault="00C4572D" w:rsidP="006138E8">
      <w:pPr>
        <w:keepNext/>
        <w:keepLines/>
        <w:widowControl/>
        <w:numPr>
          <w:ilvl w:val="0"/>
          <w:numId w:val="3"/>
        </w:numPr>
        <w:tabs>
          <w:tab w:val="left" w:pos="-720"/>
        </w:tabs>
        <w:suppressAutoHyphens/>
        <w:spacing w:line="360" w:lineRule="auto"/>
        <w:ind w:left="0" w:firstLine="1440"/>
        <w:rPr>
          <w:sz w:val="26"/>
          <w:szCs w:val="26"/>
        </w:rPr>
      </w:pPr>
      <w:r w:rsidRPr="006138E8">
        <w:rPr>
          <w:sz w:val="26"/>
          <w:szCs w:val="26"/>
        </w:rPr>
        <w:t xml:space="preserve">That the proceeding docketed at </w:t>
      </w:r>
      <w:r w:rsidR="004F4745" w:rsidRPr="006138E8">
        <w:rPr>
          <w:sz w:val="26"/>
          <w:szCs w:val="26"/>
        </w:rPr>
        <w:t>F</w:t>
      </w:r>
      <w:r w:rsidRPr="006138E8">
        <w:rPr>
          <w:sz w:val="26"/>
          <w:szCs w:val="26"/>
        </w:rPr>
        <w:t>-20</w:t>
      </w:r>
      <w:r w:rsidR="004F4745" w:rsidRPr="006138E8">
        <w:rPr>
          <w:sz w:val="26"/>
          <w:szCs w:val="26"/>
        </w:rPr>
        <w:t>20</w:t>
      </w:r>
      <w:r w:rsidRPr="006138E8">
        <w:rPr>
          <w:sz w:val="26"/>
          <w:szCs w:val="26"/>
        </w:rPr>
        <w:t>-</w:t>
      </w:r>
      <w:r w:rsidR="004F4745" w:rsidRPr="006138E8">
        <w:rPr>
          <w:sz w:val="26"/>
          <w:szCs w:val="26"/>
        </w:rPr>
        <w:t>3021754</w:t>
      </w:r>
      <w:r w:rsidRPr="006138E8">
        <w:rPr>
          <w:sz w:val="26"/>
          <w:szCs w:val="26"/>
        </w:rPr>
        <w:t xml:space="preserve"> is marked closed.</w:t>
      </w:r>
    </w:p>
    <w:p w14:paraId="313FA3A7" w14:textId="77777777" w:rsidR="00C4572D" w:rsidRPr="006138E8" w:rsidRDefault="00C4572D" w:rsidP="006138E8">
      <w:pPr>
        <w:keepNext/>
        <w:keepLines/>
        <w:widowControl/>
        <w:tabs>
          <w:tab w:val="left" w:pos="-720"/>
        </w:tabs>
        <w:suppressAutoHyphens/>
        <w:spacing w:line="360" w:lineRule="auto"/>
        <w:ind w:left="1440"/>
        <w:rPr>
          <w:sz w:val="26"/>
          <w:szCs w:val="26"/>
        </w:rPr>
      </w:pPr>
    </w:p>
    <w:p w14:paraId="4BF929DA" w14:textId="529EC661" w:rsidR="00C4572D" w:rsidRPr="006138E8" w:rsidRDefault="00AD0098" w:rsidP="002E09E5">
      <w:pPr>
        <w:widowControl/>
        <w:ind w:firstLine="1440"/>
        <w:rPr>
          <w:b/>
          <w:sz w:val="26"/>
          <w:szCs w:val="26"/>
        </w:rPr>
      </w:pPr>
      <w:r w:rsidRPr="009F01BA">
        <w:rPr>
          <w:b/>
          <w:noProof/>
        </w:rPr>
        <w:drawing>
          <wp:anchor distT="0" distB="0" distL="114300" distR="114300" simplePos="0" relativeHeight="251659264" behindDoc="1" locked="0" layoutInCell="1" allowOverlap="1" wp14:anchorId="4E142CFE" wp14:editId="23310958">
            <wp:simplePos x="0" y="0"/>
            <wp:positionH relativeFrom="column">
              <wp:posOffset>3095625</wp:posOffset>
            </wp:positionH>
            <wp:positionV relativeFrom="paragraph">
              <wp:posOffset>151130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72BBA" w:rsidRPr="006138E8">
        <w:rPr>
          <w:b/>
          <w:sz w:val="26"/>
          <w:szCs w:val="26"/>
        </w:rPr>
        <w:tab/>
      </w:r>
      <w:r w:rsidR="00C72BBA" w:rsidRPr="006138E8">
        <w:rPr>
          <w:b/>
          <w:sz w:val="26"/>
          <w:szCs w:val="26"/>
        </w:rPr>
        <w:tab/>
      </w:r>
      <w:r w:rsidR="00C4572D" w:rsidRPr="006138E8">
        <w:rPr>
          <w:b/>
          <w:sz w:val="26"/>
          <w:szCs w:val="26"/>
        </w:rPr>
        <w:tab/>
      </w:r>
      <w:r w:rsidR="00C4572D" w:rsidRPr="006138E8">
        <w:rPr>
          <w:b/>
          <w:sz w:val="26"/>
          <w:szCs w:val="26"/>
        </w:rPr>
        <w:tab/>
      </w:r>
      <w:r w:rsidR="00C4572D" w:rsidRPr="006138E8">
        <w:rPr>
          <w:b/>
          <w:sz w:val="26"/>
          <w:szCs w:val="26"/>
        </w:rPr>
        <w:tab/>
        <w:t>BY THE COMMISSION,</w:t>
      </w:r>
    </w:p>
    <w:p w14:paraId="30C780AA" w14:textId="6E87A384" w:rsidR="00C4572D" w:rsidRPr="006138E8" w:rsidRDefault="00C4572D" w:rsidP="002E09E5">
      <w:pPr>
        <w:keepNext/>
        <w:keepLines/>
        <w:widowControl/>
        <w:rPr>
          <w:sz w:val="26"/>
          <w:szCs w:val="26"/>
        </w:rPr>
      </w:pPr>
    </w:p>
    <w:p w14:paraId="709FC5E2" w14:textId="26422554" w:rsidR="00C4572D" w:rsidRPr="006138E8" w:rsidRDefault="00AD0098" w:rsidP="00AD0098">
      <w:pPr>
        <w:keepNext/>
        <w:keepLines/>
        <w:widowControl/>
        <w:tabs>
          <w:tab w:val="left" w:pos="5880"/>
        </w:tabs>
        <w:rPr>
          <w:sz w:val="26"/>
          <w:szCs w:val="26"/>
        </w:rPr>
      </w:pPr>
      <w:r>
        <w:rPr>
          <w:sz w:val="26"/>
          <w:szCs w:val="26"/>
        </w:rPr>
        <w:tab/>
      </w:r>
    </w:p>
    <w:p w14:paraId="3C775DEC" w14:textId="4839263A" w:rsidR="00C4572D" w:rsidRDefault="00C4572D" w:rsidP="002E09E5">
      <w:pPr>
        <w:keepNext/>
        <w:keepLines/>
        <w:widowControl/>
        <w:rPr>
          <w:sz w:val="26"/>
          <w:szCs w:val="26"/>
        </w:rPr>
      </w:pPr>
    </w:p>
    <w:p w14:paraId="537C6340" w14:textId="77777777" w:rsidR="006138E8" w:rsidRPr="006138E8" w:rsidRDefault="006138E8" w:rsidP="002E09E5">
      <w:pPr>
        <w:keepNext/>
        <w:keepLines/>
        <w:widowControl/>
        <w:rPr>
          <w:sz w:val="26"/>
          <w:szCs w:val="26"/>
        </w:rPr>
      </w:pPr>
    </w:p>
    <w:p w14:paraId="4A5AF316" w14:textId="77777777" w:rsidR="00C4572D" w:rsidRPr="006138E8" w:rsidRDefault="00C4572D" w:rsidP="002E09E5">
      <w:pPr>
        <w:keepNext/>
        <w:keepLines/>
        <w:widowControl/>
        <w:ind w:left="4320" w:firstLine="720"/>
        <w:rPr>
          <w:sz w:val="26"/>
          <w:szCs w:val="26"/>
        </w:rPr>
      </w:pPr>
      <w:r w:rsidRPr="006138E8">
        <w:rPr>
          <w:sz w:val="26"/>
          <w:szCs w:val="26"/>
        </w:rPr>
        <w:t>Rosemary Chiavetta</w:t>
      </w:r>
    </w:p>
    <w:p w14:paraId="1E2C705B" w14:textId="7441BA7E" w:rsidR="00C4572D" w:rsidRPr="006138E8" w:rsidRDefault="00C4572D" w:rsidP="002E09E5">
      <w:pPr>
        <w:keepNext/>
        <w:keepLines/>
        <w:widowControl/>
        <w:rPr>
          <w:sz w:val="26"/>
          <w:szCs w:val="26"/>
        </w:rPr>
      </w:pPr>
      <w:r w:rsidRPr="006138E8">
        <w:rPr>
          <w:sz w:val="26"/>
          <w:szCs w:val="26"/>
        </w:rPr>
        <w:tab/>
      </w:r>
      <w:r w:rsidRPr="006138E8">
        <w:rPr>
          <w:sz w:val="26"/>
          <w:szCs w:val="26"/>
        </w:rPr>
        <w:tab/>
      </w:r>
      <w:r w:rsidRPr="006138E8">
        <w:rPr>
          <w:sz w:val="26"/>
          <w:szCs w:val="26"/>
        </w:rPr>
        <w:tab/>
      </w:r>
      <w:r w:rsidRPr="006138E8">
        <w:rPr>
          <w:sz w:val="26"/>
          <w:szCs w:val="26"/>
        </w:rPr>
        <w:tab/>
      </w:r>
      <w:r w:rsidRPr="006138E8">
        <w:rPr>
          <w:sz w:val="26"/>
          <w:szCs w:val="26"/>
        </w:rPr>
        <w:tab/>
      </w:r>
      <w:r w:rsidRPr="006138E8">
        <w:rPr>
          <w:sz w:val="26"/>
          <w:szCs w:val="26"/>
        </w:rPr>
        <w:tab/>
      </w:r>
      <w:r w:rsidR="00C72BBA" w:rsidRPr="006138E8">
        <w:rPr>
          <w:sz w:val="26"/>
          <w:szCs w:val="26"/>
        </w:rPr>
        <w:tab/>
      </w:r>
      <w:r w:rsidRPr="006138E8">
        <w:rPr>
          <w:sz w:val="26"/>
          <w:szCs w:val="26"/>
        </w:rPr>
        <w:t>Secretary</w:t>
      </w:r>
    </w:p>
    <w:p w14:paraId="15FE5BDF" w14:textId="5A172D43" w:rsidR="00C4572D" w:rsidRPr="006138E8" w:rsidRDefault="00C4572D" w:rsidP="002E09E5">
      <w:pPr>
        <w:keepNext/>
        <w:keepLines/>
        <w:widowControl/>
        <w:rPr>
          <w:sz w:val="26"/>
          <w:szCs w:val="26"/>
        </w:rPr>
      </w:pPr>
    </w:p>
    <w:p w14:paraId="69FD5D48" w14:textId="77777777" w:rsidR="00C4572D" w:rsidRPr="006138E8" w:rsidRDefault="00C4572D" w:rsidP="002E09E5">
      <w:pPr>
        <w:keepNext/>
        <w:keepLines/>
        <w:widowControl/>
        <w:rPr>
          <w:sz w:val="26"/>
          <w:szCs w:val="26"/>
        </w:rPr>
      </w:pPr>
    </w:p>
    <w:p w14:paraId="46304678" w14:textId="4F5E26A5" w:rsidR="00C4572D" w:rsidRPr="006138E8" w:rsidRDefault="00C4572D" w:rsidP="002E09E5">
      <w:pPr>
        <w:keepNext/>
        <w:keepLines/>
        <w:widowControl/>
        <w:rPr>
          <w:sz w:val="26"/>
          <w:szCs w:val="26"/>
        </w:rPr>
      </w:pPr>
      <w:r w:rsidRPr="006138E8">
        <w:rPr>
          <w:sz w:val="26"/>
          <w:szCs w:val="26"/>
        </w:rPr>
        <w:t>(SEAL)</w:t>
      </w:r>
    </w:p>
    <w:p w14:paraId="6DE7B1F9" w14:textId="77777777" w:rsidR="00C4572D" w:rsidRPr="006138E8" w:rsidRDefault="00C4572D" w:rsidP="002E09E5">
      <w:pPr>
        <w:keepNext/>
        <w:keepLines/>
        <w:widowControl/>
        <w:rPr>
          <w:sz w:val="26"/>
          <w:szCs w:val="26"/>
        </w:rPr>
      </w:pPr>
    </w:p>
    <w:p w14:paraId="6CA37D4A" w14:textId="63950639" w:rsidR="00C4572D" w:rsidRPr="006138E8" w:rsidRDefault="00C4572D" w:rsidP="002E09E5">
      <w:pPr>
        <w:keepNext/>
        <w:keepLines/>
        <w:widowControl/>
        <w:tabs>
          <w:tab w:val="left" w:pos="-720"/>
        </w:tabs>
        <w:suppressAutoHyphens/>
        <w:rPr>
          <w:sz w:val="26"/>
          <w:szCs w:val="26"/>
        </w:rPr>
      </w:pPr>
      <w:r w:rsidRPr="006138E8">
        <w:rPr>
          <w:sz w:val="26"/>
          <w:szCs w:val="26"/>
        </w:rPr>
        <w:t xml:space="preserve">ORDER ADOPTED:  </w:t>
      </w:r>
      <w:r w:rsidR="000B05DF" w:rsidRPr="006138E8">
        <w:rPr>
          <w:sz w:val="26"/>
          <w:szCs w:val="26"/>
        </w:rPr>
        <w:t>July 15</w:t>
      </w:r>
      <w:r w:rsidRPr="006138E8">
        <w:rPr>
          <w:sz w:val="26"/>
          <w:szCs w:val="26"/>
        </w:rPr>
        <w:t>, 2021</w:t>
      </w:r>
    </w:p>
    <w:p w14:paraId="570A6602" w14:textId="77777777" w:rsidR="00C4572D" w:rsidRPr="006138E8" w:rsidRDefault="00C4572D" w:rsidP="002E09E5">
      <w:pPr>
        <w:keepNext/>
        <w:keepLines/>
        <w:widowControl/>
        <w:tabs>
          <w:tab w:val="left" w:pos="-720"/>
        </w:tabs>
        <w:suppressAutoHyphens/>
        <w:rPr>
          <w:sz w:val="26"/>
          <w:szCs w:val="26"/>
        </w:rPr>
      </w:pPr>
    </w:p>
    <w:p w14:paraId="717611E2" w14:textId="3443F20B" w:rsidR="00C4572D" w:rsidRPr="006138E8" w:rsidRDefault="00C4572D" w:rsidP="002E09E5">
      <w:pPr>
        <w:keepNext/>
        <w:keepLines/>
        <w:widowControl/>
        <w:tabs>
          <w:tab w:val="left" w:pos="-720"/>
        </w:tabs>
        <w:suppressAutoHyphens/>
        <w:rPr>
          <w:sz w:val="26"/>
          <w:szCs w:val="26"/>
        </w:rPr>
      </w:pPr>
      <w:r w:rsidRPr="006138E8">
        <w:rPr>
          <w:sz w:val="26"/>
          <w:szCs w:val="26"/>
        </w:rPr>
        <w:t xml:space="preserve">ORDER ENTERED:  </w:t>
      </w:r>
      <w:r w:rsidR="00AD0098">
        <w:rPr>
          <w:sz w:val="26"/>
          <w:szCs w:val="26"/>
        </w:rPr>
        <w:t>July 15, 2021</w:t>
      </w:r>
    </w:p>
    <w:sectPr w:rsidR="00C4572D" w:rsidRPr="006138E8" w:rsidSect="004F474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D8B2E" w14:textId="77777777" w:rsidR="00FC578B" w:rsidRDefault="00FC578B" w:rsidP="00C4572D">
      <w:r>
        <w:separator/>
      </w:r>
    </w:p>
  </w:endnote>
  <w:endnote w:type="continuationSeparator" w:id="0">
    <w:p w14:paraId="7319C9FD" w14:textId="77777777" w:rsidR="00FC578B" w:rsidRDefault="00FC578B" w:rsidP="00C4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5138911"/>
      <w:docPartObj>
        <w:docPartGallery w:val="Page Numbers (Bottom of Page)"/>
        <w:docPartUnique/>
      </w:docPartObj>
    </w:sdtPr>
    <w:sdtEndPr>
      <w:rPr>
        <w:noProof/>
        <w:sz w:val="26"/>
        <w:szCs w:val="26"/>
      </w:rPr>
    </w:sdtEndPr>
    <w:sdtContent>
      <w:p w14:paraId="410F8AA6" w14:textId="6CEC2365" w:rsidR="004F4745" w:rsidRPr="002E09E5" w:rsidRDefault="004F4745" w:rsidP="002E09E5">
        <w:pPr>
          <w:pStyle w:val="Footer"/>
          <w:jc w:val="center"/>
          <w:rPr>
            <w:sz w:val="26"/>
            <w:szCs w:val="26"/>
          </w:rPr>
        </w:pPr>
        <w:r w:rsidRPr="002E09E5">
          <w:rPr>
            <w:sz w:val="26"/>
            <w:szCs w:val="26"/>
          </w:rPr>
          <w:fldChar w:fldCharType="begin"/>
        </w:r>
        <w:r w:rsidRPr="002E09E5">
          <w:rPr>
            <w:sz w:val="26"/>
            <w:szCs w:val="26"/>
          </w:rPr>
          <w:instrText xml:space="preserve"> PAGE   \* MERGEFORMAT </w:instrText>
        </w:r>
        <w:r w:rsidRPr="002E09E5">
          <w:rPr>
            <w:sz w:val="26"/>
            <w:szCs w:val="26"/>
          </w:rPr>
          <w:fldChar w:fldCharType="separate"/>
        </w:r>
        <w:r w:rsidRPr="002E09E5">
          <w:rPr>
            <w:noProof/>
            <w:sz w:val="26"/>
            <w:szCs w:val="26"/>
          </w:rPr>
          <w:t>2</w:t>
        </w:r>
        <w:r w:rsidRPr="002E09E5">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EFC98" w14:textId="77777777" w:rsidR="00FC578B" w:rsidRDefault="00FC578B" w:rsidP="00C4572D">
      <w:r>
        <w:separator/>
      </w:r>
    </w:p>
  </w:footnote>
  <w:footnote w:type="continuationSeparator" w:id="0">
    <w:p w14:paraId="47BF861D" w14:textId="77777777" w:rsidR="00FC578B" w:rsidRDefault="00FC578B" w:rsidP="00C4572D">
      <w:r>
        <w:continuationSeparator/>
      </w:r>
    </w:p>
  </w:footnote>
  <w:footnote w:id="1">
    <w:p w14:paraId="1C2B7AE1" w14:textId="77777777" w:rsidR="00C4572D" w:rsidRPr="004939E7" w:rsidRDefault="00C4572D" w:rsidP="00C4572D">
      <w:pPr>
        <w:pStyle w:val="FootnoteText"/>
        <w:spacing w:line="240" w:lineRule="auto"/>
        <w:ind w:firstLine="720"/>
        <w:rPr>
          <w:sz w:val="26"/>
          <w:szCs w:val="26"/>
        </w:rPr>
      </w:pPr>
      <w:r w:rsidRPr="004939E7">
        <w:rPr>
          <w:rStyle w:val="FootnoteReference"/>
          <w:sz w:val="26"/>
          <w:szCs w:val="26"/>
        </w:rPr>
        <w:footnoteRef/>
      </w:r>
      <w:r w:rsidRPr="004939E7">
        <w:rPr>
          <w:sz w:val="26"/>
          <w:szCs w:val="26"/>
        </w:rPr>
        <w:t xml:space="preserve"> </w:t>
      </w:r>
      <w:r w:rsidRPr="004939E7">
        <w:rPr>
          <w:sz w:val="26"/>
          <w:szCs w:val="26"/>
        </w:rPr>
        <w:tab/>
        <w:t>66 Pa. C.S. § 332(a).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F5D13"/>
    <w:multiLevelType w:val="hybridMultilevel"/>
    <w:tmpl w:val="B3881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2B7AD4"/>
    <w:multiLevelType w:val="hybridMultilevel"/>
    <w:tmpl w:val="0032C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207CE9"/>
    <w:multiLevelType w:val="hybridMultilevel"/>
    <w:tmpl w:val="853A6642"/>
    <w:lvl w:ilvl="0" w:tplc="188030D0">
      <w:start w:val="1"/>
      <w:numFmt w:val="decimal"/>
      <w:lvlText w:val="%1."/>
      <w:lvlJc w:val="left"/>
      <w:pPr>
        <w:ind w:left="72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64"/>
    <w:rsid w:val="00002376"/>
    <w:rsid w:val="00037D0B"/>
    <w:rsid w:val="000548F3"/>
    <w:rsid w:val="00064F62"/>
    <w:rsid w:val="00071CFF"/>
    <w:rsid w:val="00080B20"/>
    <w:rsid w:val="00083A31"/>
    <w:rsid w:val="00093150"/>
    <w:rsid w:val="000B05DF"/>
    <w:rsid w:val="00113750"/>
    <w:rsid w:val="00166568"/>
    <w:rsid w:val="00167D2A"/>
    <w:rsid w:val="00190861"/>
    <w:rsid w:val="00194311"/>
    <w:rsid w:val="0019447C"/>
    <w:rsid w:val="001A6DCF"/>
    <w:rsid w:val="001B651C"/>
    <w:rsid w:val="001B6B35"/>
    <w:rsid w:val="001D0FA6"/>
    <w:rsid w:val="001D4A09"/>
    <w:rsid w:val="00231927"/>
    <w:rsid w:val="00265ECD"/>
    <w:rsid w:val="002733C9"/>
    <w:rsid w:val="002738F5"/>
    <w:rsid w:val="00293A24"/>
    <w:rsid w:val="002B6E1E"/>
    <w:rsid w:val="002C5212"/>
    <w:rsid w:val="002E09E5"/>
    <w:rsid w:val="002F029A"/>
    <w:rsid w:val="00316E68"/>
    <w:rsid w:val="00320A9F"/>
    <w:rsid w:val="003313EF"/>
    <w:rsid w:val="00341696"/>
    <w:rsid w:val="0034321E"/>
    <w:rsid w:val="00354737"/>
    <w:rsid w:val="003833D5"/>
    <w:rsid w:val="003A2E7B"/>
    <w:rsid w:val="003B1393"/>
    <w:rsid w:val="003C1B69"/>
    <w:rsid w:val="004164D4"/>
    <w:rsid w:val="00436273"/>
    <w:rsid w:val="00474288"/>
    <w:rsid w:val="004A6148"/>
    <w:rsid w:val="004D1533"/>
    <w:rsid w:val="004D401A"/>
    <w:rsid w:val="004D4DE5"/>
    <w:rsid w:val="004F4745"/>
    <w:rsid w:val="00516A0E"/>
    <w:rsid w:val="005340E6"/>
    <w:rsid w:val="0054077E"/>
    <w:rsid w:val="00546202"/>
    <w:rsid w:val="006138E8"/>
    <w:rsid w:val="0063044C"/>
    <w:rsid w:val="006A4A64"/>
    <w:rsid w:val="006B13AC"/>
    <w:rsid w:val="006F0FA4"/>
    <w:rsid w:val="00701501"/>
    <w:rsid w:val="0077162D"/>
    <w:rsid w:val="007A1586"/>
    <w:rsid w:val="007F6994"/>
    <w:rsid w:val="00801C24"/>
    <w:rsid w:val="00833A73"/>
    <w:rsid w:val="00844833"/>
    <w:rsid w:val="008B3079"/>
    <w:rsid w:val="008F25CF"/>
    <w:rsid w:val="00905CAE"/>
    <w:rsid w:val="00933121"/>
    <w:rsid w:val="0099355A"/>
    <w:rsid w:val="009A0065"/>
    <w:rsid w:val="009A22B8"/>
    <w:rsid w:val="009C65D1"/>
    <w:rsid w:val="009E4CAB"/>
    <w:rsid w:val="009F6FDD"/>
    <w:rsid w:val="00A023F7"/>
    <w:rsid w:val="00A926AD"/>
    <w:rsid w:val="00AD0098"/>
    <w:rsid w:val="00B06AA4"/>
    <w:rsid w:val="00B3648A"/>
    <w:rsid w:val="00B53901"/>
    <w:rsid w:val="00B6709B"/>
    <w:rsid w:val="00B710FC"/>
    <w:rsid w:val="00B80E1E"/>
    <w:rsid w:val="00B84FE3"/>
    <w:rsid w:val="00B92BD7"/>
    <w:rsid w:val="00BA2AD8"/>
    <w:rsid w:val="00BB2620"/>
    <w:rsid w:val="00BC6066"/>
    <w:rsid w:val="00BE27D4"/>
    <w:rsid w:val="00C4572D"/>
    <w:rsid w:val="00C67DA7"/>
    <w:rsid w:val="00C72BBA"/>
    <w:rsid w:val="00CC0F33"/>
    <w:rsid w:val="00CE4AEC"/>
    <w:rsid w:val="00D03967"/>
    <w:rsid w:val="00D47021"/>
    <w:rsid w:val="00D866EE"/>
    <w:rsid w:val="00D96915"/>
    <w:rsid w:val="00DD0B4A"/>
    <w:rsid w:val="00E100F3"/>
    <w:rsid w:val="00E966B9"/>
    <w:rsid w:val="00E97BAF"/>
    <w:rsid w:val="00EB3C9C"/>
    <w:rsid w:val="00ED0B61"/>
    <w:rsid w:val="00ED6F2D"/>
    <w:rsid w:val="00EE3FC0"/>
    <w:rsid w:val="00F25787"/>
    <w:rsid w:val="00F85C72"/>
    <w:rsid w:val="00F93018"/>
    <w:rsid w:val="00FC578B"/>
    <w:rsid w:val="00FD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6AE4"/>
  <w15:chartTrackingRefBased/>
  <w15:docId w15:val="{0CC6E343-3872-436D-A57D-ECF1606B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A64"/>
    <w:pPr>
      <w:widowControl w:val="0"/>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A6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80E1E"/>
    <w:pPr>
      <w:ind w:left="720"/>
      <w:contextualSpacing/>
    </w:pPr>
  </w:style>
  <w:style w:type="paragraph" w:styleId="BodyText">
    <w:name w:val="Body Text"/>
    <w:basedOn w:val="Normal"/>
    <w:link w:val="BodyTextChar"/>
    <w:rsid w:val="00002376"/>
    <w:pPr>
      <w:widowControl/>
      <w:spacing w:line="360" w:lineRule="auto"/>
      <w:ind w:firstLine="1440"/>
    </w:pPr>
    <w:rPr>
      <w:sz w:val="26"/>
    </w:rPr>
  </w:style>
  <w:style w:type="character" w:customStyle="1" w:styleId="BodyTextChar">
    <w:name w:val="Body Text Char"/>
    <w:basedOn w:val="DefaultParagraphFont"/>
    <w:link w:val="BodyText"/>
    <w:rsid w:val="00002376"/>
    <w:rPr>
      <w:rFonts w:eastAsia="Times New Roman"/>
      <w:sz w:val="26"/>
      <w:szCs w:val="20"/>
    </w:rPr>
  </w:style>
  <w:style w:type="paragraph" w:customStyle="1" w:styleId="TxBrc2">
    <w:name w:val="TxBr_c2"/>
    <w:basedOn w:val="Normal"/>
    <w:rsid w:val="00113750"/>
    <w:pPr>
      <w:autoSpaceDE w:val="0"/>
      <w:autoSpaceDN w:val="0"/>
      <w:adjustRightInd w:val="0"/>
      <w:spacing w:line="240" w:lineRule="atLeast"/>
      <w:ind w:firstLine="1440"/>
      <w:jc w:val="center"/>
    </w:pPr>
    <w:rPr>
      <w:sz w:val="26"/>
      <w:szCs w:val="24"/>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1,fn,ALTS FOOTNOTE,FOOTNOTE"/>
    <w:basedOn w:val="Normal"/>
    <w:link w:val="FootnoteTextChar2"/>
    <w:uiPriority w:val="99"/>
    <w:qFormat/>
    <w:rsid w:val="00C4572D"/>
    <w:pPr>
      <w:autoSpaceDE w:val="0"/>
      <w:autoSpaceDN w:val="0"/>
      <w:adjustRightInd w:val="0"/>
      <w:spacing w:line="360" w:lineRule="auto"/>
      <w:ind w:firstLine="1440"/>
    </w:pPr>
  </w:style>
  <w:style w:type="character" w:customStyle="1" w:styleId="FootnoteTextChar">
    <w:name w:val="Footnote Text Char"/>
    <w:basedOn w:val="DefaultParagraphFont"/>
    <w:uiPriority w:val="99"/>
    <w:semiHidden/>
    <w:rsid w:val="00C4572D"/>
    <w:rPr>
      <w:rFonts w:eastAsia="Times New Roman"/>
      <w:sz w:val="20"/>
      <w:szCs w:val="20"/>
    </w:rPr>
  </w:style>
  <w:style w:type="character" w:customStyle="1" w:styleId="FootnoteTextChar2">
    <w:name w:val="Footnote Text Char2"/>
    <w:aliases w:val="Footnote Text Char2 Char Char,Footnote Text Char Char1 Char Char,Footnote Text Char1 Char Char Char Char,Footnote Text Char Char Char Char Char Char,Footnote Text Char1 Char Char Char Char Char Char,Footnote Text Char1 Char,fn Char"/>
    <w:basedOn w:val="DefaultParagraphFont"/>
    <w:link w:val="FootnoteText"/>
    <w:uiPriority w:val="99"/>
    <w:rsid w:val="00C4572D"/>
    <w:rPr>
      <w:rFonts w:eastAsia="Times New Roman"/>
      <w:sz w:val="20"/>
      <w:szCs w:val="20"/>
    </w:rPr>
  </w:style>
  <w:style w:type="character" w:styleId="FootnoteReference">
    <w:name w:val="footnote reference"/>
    <w:aliases w:val="fr,o,Style 6,Style 20,Style 9,footnote text"/>
    <w:basedOn w:val="DefaultParagraphFont"/>
    <w:uiPriority w:val="99"/>
    <w:rsid w:val="00C4572D"/>
    <w:rPr>
      <w:vertAlign w:val="superscript"/>
    </w:rPr>
  </w:style>
  <w:style w:type="paragraph" w:styleId="Header">
    <w:name w:val="header"/>
    <w:basedOn w:val="Normal"/>
    <w:link w:val="HeaderChar"/>
    <w:uiPriority w:val="99"/>
    <w:unhideWhenUsed/>
    <w:rsid w:val="004F4745"/>
    <w:pPr>
      <w:tabs>
        <w:tab w:val="center" w:pos="4680"/>
        <w:tab w:val="right" w:pos="9360"/>
      </w:tabs>
    </w:pPr>
  </w:style>
  <w:style w:type="character" w:customStyle="1" w:styleId="HeaderChar">
    <w:name w:val="Header Char"/>
    <w:basedOn w:val="DefaultParagraphFont"/>
    <w:link w:val="Header"/>
    <w:uiPriority w:val="99"/>
    <w:rsid w:val="004F4745"/>
    <w:rPr>
      <w:rFonts w:eastAsia="Times New Roman"/>
      <w:sz w:val="20"/>
      <w:szCs w:val="20"/>
    </w:rPr>
  </w:style>
  <w:style w:type="paragraph" w:styleId="Footer">
    <w:name w:val="footer"/>
    <w:basedOn w:val="Normal"/>
    <w:link w:val="FooterChar"/>
    <w:uiPriority w:val="99"/>
    <w:unhideWhenUsed/>
    <w:rsid w:val="004F4745"/>
    <w:pPr>
      <w:tabs>
        <w:tab w:val="center" w:pos="4680"/>
        <w:tab w:val="right" w:pos="9360"/>
      </w:tabs>
    </w:pPr>
  </w:style>
  <w:style w:type="character" w:customStyle="1" w:styleId="FooterChar">
    <w:name w:val="Footer Char"/>
    <w:basedOn w:val="DefaultParagraphFont"/>
    <w:link w:val="Footer"/>
    <w:uiPriority w:val="99"/>
    <w:rsid w:val="004F4745"/>
    <w:rPr>
      <w:rFonts w:eastAsia="Times New Roman"/>
      <w:sz w:val="20"/>
      <w:szCs w:val="20"/>
    </w:rPr>
  </w:style>
  <w:style w:type="character" w:styleId="Hyperlink">
    <w:name w:val="Hyperlink"/>
    <w:basedOn w:val="DefaultParagraphFont"/>
    <w:rsid w:val="00DD0B4A"/>
    <w:rPr>
      <w:color w:val="0000FF"/>
      <w:u w:val="single"/>
    </w:rPr>
  </w:style>
  <w:style w:type="character" w:styleId="CommentReference">
    <w:name w:val="annotation reference"/>
    <w:basedOn w:val="DefaultParagraphFont"/>
    <w:uiPriority w:val="99"/>
    <w:semiHidden/>
    <w:unhideWhenUsed/>
    <w:rsid w:val="00E966B9"/>
    <w:rPr>
      <w:sz w:val="16"/>
      <w:szCs w:val="16"/>
    </w:rPr>
  </w:style>
  <w:style w:type="paragraph" w:styleId="CommentText">
    <w:name w:val="annotation text"/>
    <w:basedOn w:val="Normal"/>
    <w:link w:val="CommentTextChar"/>
    <w:uiPriority w:val="99"/>
    <w:unhideWhenUsed/>
    <w:rsid w:val="00E966B9"/>
  </w:style>
  <w:style w:type="character" w:customStyle="1" w:styleId="CommentTextChar">
    <w:name w:val="Comment Text Char"/>
    <w:basedOn w:val="DefaultParagraphFont"/>
    <w:link w:val="CommentText"/>
    <w:uiPriority w:val="99"/>
    <w:rsid w:val="00E966B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966B9"/>
    <w:rPr>
      <w:b/>
      <w:bCs/>
    </w:rPr>
  </w:style>
  <w:style w:type="character" w:customStyle="1" w:styleId="CommentSubjectChar">
    <w:name w:val="Comment Subject Char"/>
    <w:basedOn w:val="CommentTextChar"/>
    <w:link w:val="CommentSubject"/>
    <w:uiPriority w:val="99"/>
    <w:semiHidden/>
    <w:rsid w:val="00E966B9"/>
    <w:rPr>
      <w:rFonts w:eastAsia="Times New Roman"/>
      <w:b/>
      <w:bCs/>
      <w:sz w:val="20"/>
      <w:szCs w:val="20"/>
    </w:rPr>
  </w:style>
  <w:style w:type="paragraph" w:styleId="BalloonText">
    <w:name w:val="Balloon Text"/>
    <w:basedOn w:val="Normal"/>
    <w:link w:val="BalloonTextChar"/>
    <w:uiPriority w:val="99"/>
    <w:semiHidden/>
    <w:unhideWhenUsed/>
    <w:rsid w:val="00166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5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Hisiro</dc:creator>
  <cp:keywords/>
  <dc:description/>
  <cp:lastModifiedBy>Sheffer, Ryan</cp:lastModifiedBy>
  <cp:revision>11</cp:revision>
  <dcterms:created xsi:type="dcterms:W3CDTF">2021-07-01T15:40:00Z</dcterms:created>
  <dcterms:modified xsi:type="dcterms:W3CDTF">2021-07-15T15:36:00Z</dcterms:modified>
</cp:coreProperties>
</file>