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D850D4" w:rsidRPr="00C0451E" w14:paraId="36E43BB5" w14:textId="77777777">
        <w:tblPrEx>
          <w:tblCellMar>
            <w:top w:w="0" w:type="dxa"/>
            <w:bottom w:w="0" w:type="dxa"/>
          </w:tblCellMar>
        </w:tblPrEx>
        <w:tc>
          <w:tcPr>
            <w:tcW w:w="2448" w:type="dxa"/>
          </w:tcPr>
          <w:p w14:paraId="72230AE3" w14:textId="77777777" w:rsidR="00D850D4" w:rsidRPr="00306E10" w:rsidRDefault="00D850D4" w:rsidP="00306E10">
            <w:pPr>
              <w:pStyle w:val="Heading3"/>
            </w:pPr>
          </w:p>
        </w:tc>
        <w:tc>
          <w:tcPr>
            <w:tcW w:w="5130" w:type="dxa"/>
          </w:tcPr>
          <w:p w14:paraId="456597AE" w14:textId="77777777" w:rsidR="00D850D4" w:rsidRPr="00C0451E" w:rsidRDefault="00D850D4">
            <w:pPr>
              <w:jc w:val="center"/>
              <w:rPr>
                <w:b/>
                <w:sz w:val="26"/>
                <w:szCs w:val="26"/>
              </w:rPr>
            </w:pPr>
            <w:r w:rsidRPr="00C0451E">
              <w:rPr>
                <w:b/>
                <w:sz w:val="26"/>
                <w:szCs w:val="26"/>
              </w:rPr>
              <w:t>PENNSYLVANIA</w:t>
            </w:r>
          </w:p>
          <w:p w14:paraId="6578D9BB" w14:textId="77777777" w:rsidR="00D850D4" w:rsidRPr="00C0451E" w:rsidRDefault="00D850D4">
            <w:pPr>
              <w:jc w:val="center"/>
              <w:rPr>
                <w:b/>
                <w:sz w:val="26"/>
                <w:szCs w:val="26"/>
              </w:rPr>
            </w:pPr>
            <w:r w:rsidRPr="00C0451E">
              <w:rPr>
                <w:b/>
                <w:sz w:val="26"/>
                <w:szCs w:val="26"/>
              </w:rPr>
              <w:t>PUBLIC UTILITY COMMISSION</w:t>
            </w:r>
          </w:p>
          <w:p w14:paraId="6845CDDF"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58F7D647" w14:textId="77777777" w:rsidR="00D850D4" w:rsidRPr="00C0451E" w:rsidRDefault="00D850D4">
            <w:pPr>
              <w:rPr>
                <w:sz w:val="26"/>
                <w:szCs w:val="26"/>
              </w:rPr>
            </w:pPr>
          </w:p>
        </w:tc>
      </w:tr>
    </w:tbl>
    <w:p w14:paraId="6CD36764"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408DC311" w14:textId="77777777">
        <w:tblPrEx>
          <w:tblCellMar>
            <w:top w:w="0" w:type="dxa"/>
            <w:bottom w:w="0" w:type="dxa"/>
          </w:tblCellMar>
        </w:tblPrEx>
        <w:tc>
          <w:tcPr>
            <w:tcW w:w="5148" w:type="dxa"/>
          </w:tcPr>
          <w:p w14:paraId="053262F7" w14:textId="77777777" w:rsidR="00D850D4" w:rsidRPr="00C0451E" w:rsidRDefault="00D850D4">
            <w:pPr>
              <w:rPr>
                <w:sz w:val="26"/>
                <w:szCs w:val="26"/>
              </w:rPr>
            </w:pPr>
          </w:p>
        </w:tc>
        <w:tc>
          <w:tcPr>
            <w:tcW w:w="5148" w:type="dxa"/>
          </w:tcPr>
          <w:p w14:paraId="790B461D" w14:textId="77777777" w:rsidR="00D850D4" w:rsidRPr="00C0451E" w:rsidRDefault="00D850D4">
            <w:pPr>
              <w:ind w:firstLine="612"/>
              <w:rPr>
                <w:sz w:val="26"/>
                <w:szCs w:val="26"/>
              </w:rPr>
            </w:pPr>
            <w:r w:rsidRPr="00C0451E">
              <w:rPr>
                <w:sz w:val="26"/>
                <w:szCs w:val="26"/>
              </w:rPr>
              <w:t xml:space="preserve">Public Meeting held </w:t>
            </w:r>
            <w:r w:rsidR="003E22F5">
              <w:rPr>
                <w:sz w:val="26"/>
                <w:szCs w:val="26"/>
              </w:rPr>
              <w:t>Ju</w:t>
            </w:r>
            <w:r w:rsidR="00E20C28">
              <w:rPr>
                <w:sz w:val="26"/>
                <w:szCs w:val="26"/>
              </w:rPr>
              <w:t>ly</w:t>
            </w:r>
            <w:r w:rsidR="003E22F5">
              <w:rPr>
                <w:sz w:val="26"/>
                <w:szCs w:val="26"/>
              </w:rPr>
              <w:t xml:space="preserve"> 15</w:t>
            </w:r>
            <w:r w:rsidR="004554D0">
              <w:rPr>
                <w:sz w:val="26"/>
                <w:szCs w:val="26"/>
              </w:rPr>
              <w:t>, 2021</w:t>
            </w:r>
          </w:p>
        </w:tc>
      </w:tr>
      <w:tr w:rsidR="00D850D4" w:rsidRPr="00C0451E" w14:paraId="40EE3F23" w14:textId="77777777">
        <w:tblPrEx>
          <w:tblCellMar>
            <w:top w:w="0" w:type="dxa"/>
            <w:bottom w:w="0" w:type="dxa"/>
          </w:tblCellMar>
        </w:tblPrEx>
        <w:tc>
          <w:tcPr>
            <w:tcW w:w="5148" w:type="dxa"/>
          </w:tcPr>
          <w:p w14:paraId="198138D2" w14:textId="77777777" w:rsidR="00D850D4" w:rsidRPr="00C0451E" w:rsidRDefault="00D850D4">
            <w:pPr>
              <w:rPr>
                <w:sz w:val="26"/>
                <w:szCs w:val="26"/>
              </w:rPr>
            </w:pPr>
            <w:r w:rsidRPr="00C0451E">
              <w:rPr>
                <w:sz w:val="26"/>
                <w:szCs w:val="26"/>
              </w:rPr>
              <w:t>Commissioners Present:</w:t>
            </w:r>
          </w:p>
        </w:tc>
        <w:tc>
          <w:tcPr>
            <w:tcW w:w="5148" w:type="dxa"/>
          </w:tcPr>
          <w:p w14:paraId="0D6D9B5F" w14:textId="77777777" w:rsidR="00D850D4" w:rsidRPr="00C0451E" w:rsidRDefault="00D850D4">
            <w:pPr>
              <w:rPr>
                <w:sz w:val="26"/>
                <w:szCs w:val="26"/>
              </w:rPr>
            </w:pPr>
          </w:p>
        </w:tc>
      </w:tr>
    </w:tbl>
    <w:p w14:paraId="0EF90154" w14:textId="77777777"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0929BEF3" w14:textId="77777777" w:rsidTr="00075AC0">
        <w:tblPrEx>
          <w:tblCellMar>
            <w:top w:w="0" w:type="dxa"/>
            <w:bottom w:w="0" w:type="dxa"/>
          </w:tblCellMar>
        </w:tblPrEx>
        <w:tc>
          <w:tcPr>
            <w:tcW w:w="10296" w:type="dxa"/>
            <w:gridSpan w:val="3"/>
          </w:tcPr>
          <w:p w14:paraId="01B49E4E" w14:textId="56F865D3" w:rsidR="00E72D6C" w:rsidRPr="00C0451E" w:rsidRDefault="00E72D6C" w:rsidP="00E72D6C">
            <w:pPr>
              <w:tabs>
                <w:tab w:val="left" w:pos="720"/>
              </w:tabs>
              <w:rPr>
                <w:sz w:val="26"/>
                <w:szCs w:val="26"/>
              </w:rPr>
            </w:pPr>
            <w:r>
              <w:rPr>
                <w:sz w:val="26"/>
                <w:szCs w:val="26"/>
              </w:rPr>
              <w:tab/>
              <w:t>Gladys Brown</w:t>
            </w:r>
            <w:r w:rsidR="007D2A0F">
              <w:rPr>
                <w:sz w:val="26"/>
                <w:szCs w:val="26"/>
              </w:rPr>
              <w:t xml:space="preserve"> </w:t>
            </w:r>
            <w:r w:rsidR="007D2A0F" w:rsidRPr="007D2A0F">
              <w:rPr>
                <w:sz w:val="26"/>
                <w:szCs w:val="26"/>
              </w:rPr>
              <w:t>Dutrieuille</w:t>
            </w:r>
            <w:r>
              <w:rPr>
                <w:sz w:val="26"/>
                <w:szCs w:val="26"/>
              </w:rPr>
              <w:t>, Chairman</w:t>
            </w:r>
            <w:r w:rsidR="008C66C4">
              <w:rPr>
                <w:sz w:val="26"/>
                <w:szCs w:val="26"/>
              </w:rPr>
              <w:t>, Statement</w:t>
            </w:r>
          </w:p>
        </w:tc>
      </w:tr>
      <w:tr w:rsidR="00E72D6C" w:rsidRPr="00C0451E" w14:paraId="0DF0AE0A" w14:textId="77777777" w:rsidTr="00075AC0">
        <w:tblPrEx>
          <w:tblCellMar>
            <w:top w:w="0" w:type="dxa"/>
            <w:bottom w:w="0" w:type="dxa"/>
          </w:tblCellMar>
        </w:tblPrEx>
        <w:tc>
          <w:tcPr>
            <w:tcW w:w="10296" w:type="dxa"/>
            <w:gridSpan w:val="3"/>
          </w:tcPr>
          <w:p w14:paraId="218F34FE" w14:textId="77777777" w:rsidR="00E72D6C" w:rsidRPr="00C0451E" w:rsidRDefault="00E72D6C" w:rsidP="00E72D6C">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p>
        </w:tc>
      </w:tr>
      <w:tr w:rsidR="00E72D6C" w:rsidRPr="00C0451E" w14:paraId="7D33502F" w14:textId="77777777" w:rsidTr="00075AC0">
        <w:tblPrEx>
          <w:tblCellMar>
            <w:top w:w="0" w:type="dxa"/>
            <w:bottom w:w="0" w:type="dxa"/>
          </w:tblCellMar>
        </w:tblPrEx>
        <w:trPr>
          <w:gridAfter w:val="1"/>
          <w:wAfter w:w="18" w:type="dxa"/>
        </w:trPr>
        <w:tc>
          <w:tcPr>
            <w:tcW w:w="10278" w:type="dxa"/>
            <w:gridSpan w:val="2"/>
          </w:tcPr>
          <w:p w14:paraId="65515B95" w14:textId="77777777" w:rsidR="00E72D6C" w:rsidRPr="00C0451E" w:rsidRDefault="00E72D6C" w:rsidP="00E72D6C">
            <w:pPr>
              <w:tabs>
                <w:tab w:val="left" w:pos="720"/>
              </w:tabs>
              <w:rPr>
                <w:sz w:val="26"/>
                <w:szCs w:val="26"/>
              </w:rPr>
            </w:pPr>
            <w:r>
              <w:rPr>
                <w:sz w:val="26"/>
                <w:szCs w:val="26"/>
              </w:rPr>
              <w:tab/>
            </w:r>
            <w:r w:rsidR="005C2527" w:rsidRPr="005C2527">
              <w:rPr>
                <w:sz w:val="26"/>
                <w:szCs w:val="26"/>
              </w:rPr>
              <w:t>John F. Coleman, Jr.</w:t>
            </w:r>
          </w:p>
        </w:tc>
      </w:tr>
      <w:tr w:rsidR="00E72D6C" w:rsidRPr="00C0451E" w14:paraId="49A62C9D" w14:textId="77777777" w:rsidTr="00075AC0">
        <w:tblPrEx>
          <w:tblCellMar>
            <w:top w:w="0" w:type="dxa"/>
            <w:bottom w:w="0" w:type="dxa"/>
          </w:tblCellMar>
        </w:tblPrEx>
        <w:trPr>
          <w:gridAfter w:val="1"/>
          <w:wAfter w:w="18" w:type="dxa"/>
        </w:trPr>
        <w:tc>
          <w:tcPr>
            <w:tcW w:w="10278" w:type="dxa"/>
            <w:gridSpan w:val="2"/>
          </w:tcPr>
          <w:p w14:paraId="3498168F" w14:textId="77777777" w:rsidR="00E72D6C" w:rsidRPr="00C0451E" w:rsidRDefault="00E72D6C" w:rsidP="00E72D6C">
            <w:pPr>
              <w:tabs>
                <w:tab w:val="left" w:pos="720"/>
              </w:tabs>
              <w:rPr>
                <w:sz w:val="26"/>
                <w:szCs w:val="26"/>
              </w:rPr>
            </w:pPr>
            <w:r>
              <w:rPr>
                <w:sz w:val="26"/>
                <w:szCs w:val="26"/>
              </w:rPr>
              <w:tab/>
            </w:r>
            <w:r w:rsidR="005C2527" w:rsidRPr="005C2527">
              <w:rPr>
                <w:sz w:val="26"/>
                <w:szCs w:val="26"/>
              </w:rPr>
              <w:t>Ralph V. Yanora</w:t>
            </w:r>
          </w:p>
        </w:tc>
      </w:tr>
      <w:tr w:rsidR="00350758" w:rsidRPr="00C0451E" w14:paraId="5647246A" w14:textId="77777777" w:rsidTr="00E72D6C">
        <w:tblPrEx>
          <w:tblCellMar>
            <w:top w:w="0" w:type="dxa"/>
            <w:bottom w:w="0" w:type="dxa"/>
          </w:tblCellMar>
        </w:tblPrEx>
        <w:trPr>
          <w:gridAfter w:val="1"/>
          <w:wAfter w:w="18" w:type="dxa"/>
        </w:trPr>
        <w:tc>
          <w:tcPr>
            <w:tcW w:w="5958" w:type="dxa"/>
          </w:tcPr>
          <w:p w14:paraId="070A5383" w14:textId="77777777" w:rsidR="00090078" w:rsidRDefault="00090078" w:rsidP="00350758">
            <w:pPr>
              <w:ind w:right="342"/>
              <w:rPr>
                <w:sz w:val="26"/>
                <w:szCs w:val="26"/>
              </w:rPr>
            </w:pPr>
          </w:p>
        </w:tc>
        <w:tc>
          <w:tcPr>
            <w:tcW w:w="4320" w:type="dxa"/>
          </w:tcPr>
          <w:p w14:paraId="32327F37" w14:textId="77777777" w:rsidR="00350758" w:rsidRDefault="00350758" w:rsidP="00350758">
            <w:pPr>
              <w:jc w:val="center"/>
              <w:rPr>
                <w:sz w:val="26"/>
                <w:szCs w:val="26"/>
              </w:rPr>
            </w:pPr>
          </w:p>
        </w:tc>
      </w:tr>
      <w:tr w:rsidR="00350758" w:rsidRPr="00C0451E" w14:paraId="4D3DF4B0" w14:textId="77777777" w:rsidTr="00E72D6C">
        <w:tblPrEx>
          <w:tblCellMar>
            <w:top w:w="0" w:type="dxa"/>
            <w:bottom w:w="0" w:type="dxa"/>
          </w:tblCellMar>
        </w:tblPrEx>
        <w:trPr>
          <w:gridAfter w:val="1"/>
          <w:wAfter w:w="18" w:type="dxa"/>
        </w:trPr>
        <w:tc>
          <w:tcPr>
            <w:tcW w:w="5958" w:type="dxa"/>
          </w:tcPr>
          <w:p w14:paraId="024CE2A2" w14:textId="77777777" w:rsidR="00350758" w:rsidRDefault="004554D0" w:rsidP="00350758">
            <w:pPr>
              <w:ind w:right="342"/>
              <w:rPr>
                <w:sz w:val="26"/>
                <w:szCs w:val="26"/>
              </w:rPr>
            </w:pPr>
            <w:r>
              <w:rPr>
                <w:sz w:val="26"/>
                <w:szCs w:val="26"/>
              </w:rPr>
              <w:t>Public Utility Service Termination Moratorium</w:t>
            </w:r>
            <w:r w:rsidR="008F781E">
              <w:rPr>
                <w:sz w:val="26"/>
                <w:szCs w:val="26"/>
              </w:rPr>
              <w:t xml:space="preserve">; </w:t>
            </w:r>
          </w:p>
          <w:p w14:paraId="5A9F1872" w14:textId="77777777" w:rsidR="003E22F5" w:rsidRDefault="003E22F5" w:rsidP="00350758">
            <w:pPr>
              <w:ind w:right="342"/>
              <w:rPr>
                <w:sz w:val="26"/>
                <w:szCs w:val="26"/>
              </w:rPr>
            </w:pPr>
            <w:r w:rsidRPr="00090078">
              <w:rPr>
                <w:sz w:val="26"/>
                <w:szCs w:val="26"/>
              </w:rPr>
              <w:t xml:space="preserve">COVID-19 </w:t>
            </w:r>
            <w:r w:rsidR="008F781E">
              <w:rPr>
                <w:sz w:val="26"/>
                <w:szCs w:val="26"/>
              </w:rPr>
              <w:t>Cost Tracking and Creation of Regulatory Asset</w:t>
            </w:r>
          </w:p>
        </w:tc>
        <w:tc>
          <w:tcPr>
            <w:tcW w:w="4320" w:type="dxa"/>
          </w:tcPr>
          <w:p w14:paraId="2479C514" w14:textId="77777777" w:rsidR="003E22F5" w:rsidRDefault="004554D0" w:rsidP="003E22F5">
            <w:pPr>
              <w:jc w:val="center"/>
              <w:rPr>
                <w:sz w:val="26"/>
                <w:szCs w:val="26"/>
              </w:rPr>
            </w:pPr>
            <w:r>
              <w:rPr>
                <w:sz w:val="26"/>
                <w:szCs w:val="26"/>
              </w:rPr>
              <w:t>M-2020-3019244</w:t>
            </w:r>
          </w:p>
          <w:p w14:paraId="6E8A5DD0" w14:textId="77777777" w:rsidR="00350758" w:rsidRPr="00C0451E" w:rsidRDefault="003E22F5" w:rsidP="00350758">
            <w:pPr>
              <w:jc w:val="center"/>
              <w:rPr>
                <w:sz w:val="26"/>
                <w:szCs w:val="26"/>
              </w:rPr>
            </w:pPr>
            <w:r w:rsidRPr="00090078">
              <w:rPr>
                <w:sz w:val="26"/>
                <w:szCs w:val="26"/>
              </w:rPr>
              <w:t>M-2020-3019775</w:t>
            </w:r>
          </w:p>
        </w:tc>
      </w:tr>
    </w:tbl>
    <w:p w14:paraId="5CE0F527" w14:textId="77777777" w:rsidR="00D850D4" w:rsidRDefault="00D850D4">
      <w:pPr>
        <w:jc w:val="center"/>
        <w:rPr>
          <w:b/>
          <w:sz w:val="26"/>
          <w:szCs w:val="26"/>
        </w:rPr>
      </w:pPr>
    </w:p>
    <w:p w14:paraId="3D29C49E" w14:textId="77777777" w:rsidR="0037498A" w:rsidRPr="00C0451E" w:rsidRDefault="0037498A">
      <w:pPr>
        <w:jc w:val="center"/>
        <w:rPr>
          <w:b/>
          <w:sz w:val="26"/>
          <w:szCs w:val="26"/>
        </w:rPr>
      </w:pPr>
      <w:r>
        <w:rPr>
          <w:b/>
          <w:sz w:val="26"/>
          <w:szCs w:val="26"/>
        </w:rPr>
        <w:t>ORDER</w:t>
      </w:r>
    </w:p>
    <w:p w14:paraId="0668A703" w14:textId="77777777" w:rsidR="004554D0" w:rsidRDefault="004554D0" w:rsidP="00DF0470">
      <w:pPr>
        <w:pStyle w:val="p3"/>
        <w:spacing w:line="360" w:lineRule="auto"/>
        <w:rPr>
          <w:b/>
          <w:sz w:val="26"/>
          <w:szCs w:val="26"/>
        </w:rPr>
      </w:pPr>
    </w:p>
    <w:p w14:paraId="77DBC7BF" w14:textId="77777777" w:rsidR="00DF0470" w:rsidRPr="00C0451E" w:rsidRDefault="00DF0470" w:rsidP="00DF0470">
      <w:pPr>
        <w:pStyle w:val="p3"/>
        <w:spacing w:line="360" w:lineRule="auto"/>
        <w:rPr>
          <w:b/>
          <w:sz w:val="26"/>
          <w:szCs w:val="26"/>
        </w:rPr>
      </w:pPr>
      <w:r w:rsidRPr="00C0451E">
        <w:rPr>
          <w:b/>
          <w:sz w:val="26"/>
          <w:szCs w:val="26"/>
        </w:rPr>
        <w:t>BY THE COMMISSION:</w:t>
      </w:r>
    </w:p>
    <w:p w14:paraId="458AEA4A" w14:textId="77777777" w:rsidR="00090078" w:rsidRDefault="004554D0" w:rsidP="004E2933">
      <w:pPr>
        <w:spacing w:line="360" w:lineRule="auto"/>
        <w:rPr>
          <w:sz w:val="26"/>
          <w:szCs w:val="26"/>
        </w:rPr>
      </w:pPr>
      <w:r>
        <w:rPr>
          <w:b/>
        </w:rPr>
        <w:tab/>
      </w:r>
      <w:r w:rsidRPr="00306E10">
        <w:rPr>
          <w:sz w:val="26"/>
          <w:szCs w:val="26"/>
        </w:rPr>
        <w:t xml:space="preserve">On March 6, 2020, Governor Tom Wolf issued a </w:t>
      </w:r>
      <w:r w:rsidRPr="00306E10">
        <w:rPr>
          <w:i/>
          <w:iCs/>
          <w:sz w:val="26"/>
          <w:szCs w:val="26"/>
        </w:rPr>
        <w:t>Proclamation of Disaster</w:t>
      </w:r>
      <w:r w:rsidR="00043599" w:rsidRPr="00306E10">
        <w:rPr>
          <w:i/>
          <w:iCs/>
          <w:sz w:val="26"/>
          <w:szCs w:val="26"/>
        </w:rPr>
        <w:t xml:space="preserve"> </w:t>
      </w:r>
      <w:r w:rsidRPr="00306E10">
        <w:rPr>
          <w:i/>
          <w:iCs/>
          <w:sz w:val="26"/>
          <w:szCs w:val="26"/>
        </w:rPr>
        <w:t>Emergency (Proclamation</w:t>
      </w:r>
      <w:r w:rsidRPr="00306E10">
        <w:rPr>
          <w:sz w:val="26"/>
          <w:szCs w:val="26"/>
        </w:rPr>
        <w:t>) that identified the COVID-19 pandemic as a disaster emergency affecting the entire Commonwealth.  On March 13, 2020, relying on both the</w:t>
      </w:r>
      <w:r w:rsidR="00090078" w:rsidRPr="00306E10">
        <w:rPr>
          <w:sz w:val="26"/>
          <w:szCs w:val="26"/>
        </w:rPr>
        <w:t> </w:t>
      </w:r>
      <w:r w:rsidRPr="00306E10">
        <w:rPr>
          <w:i/>
          <w:iCs/>
          <w:sz w:val="26"/>
          <w:szCs w:val="26"/>
        </w:rPr>
        <w:t>Proclamation</w:t>
      </w:r>
      <w:r w:rsidRPr="00306E10">
        <w:rPr>
          <w:sz w:val="26"/>
          <w:szCs w:val="26"/>
        </w:rPr>
        <w:t xml:space="preserve"> and the Commission’s authority under the provisions of Section 1501 of the Public Utility Code, Chairman Gladys Brown Dutrieuille issued an Emergency Order (March 13 Emergency Order</w:t>
      </w:r>
      <w:r w:rsidR="00EA513D">
        <w:rPr>
          <w:sz w:val="26"/>
          <w:szCs w:val="26"/>
        </w:rPr>
        <w:t>)</w:t>
      </w:r>
      <w:r w:rsidR="00E37602" w:rsidRPr="00306E10">
        <w:rPr>
          <w:sz w:val="26"/>
          <w:szCs w:val="26"/>
        </w:rPr>
        <w:t>, Docket No. M-2020-3019244</w:t>
      </w:r>
      <w:r w:rsidRPr="00306E10">
        <w:rPr>
          <w:sz w:val="26"/>
          <w:szCs w:val="26"/>
        </w:rPr>
        <w:t>, establishing a prohibition on the termination of public utility service and directing the reconnection of service to customers previously terminated, to the extent it could be done safely, for the duration of</w:t>
      </w:r>
      <w:r w:rsidR="00090078" w:rsidRPr="00306E10">
        <w:rPr>
          <w:sz w:val="26"/>
          <w:szCs w:val="26"/>
        </w:rPr>
        <w:t> </w:t>
      </w:r>
      <w:r w:rsidRPr="00306E10">
        <w:rPr>
          <w:sz w:val="26"/>
          <w:szCs w:val="26"/>
        </w:rPr>
        <w:t>the Proclamation, or until a time otherwise established by the Commission.</w:t>
      </w:r>
      <w:r w:rsidR="00F945A8" w:rsidRPr="00306E10">
        <w:rPr>
          <w:sz w:val="26"/>
          <w:szCs w:val="26"/>
        </w:rPr>
        <w:t xml:space="preserve">  The</w:t>
      </w:r>
      <w:r w:rsidR="00F77E00">
        <w:rPr>
          <w:sz w:val="26"/>
          <w:szCs w:val="26"/>
        </w:rPr>
        <w:t xml:space="preserve"> </w:t>
      </w:r>
      <w:r w:rsidR="00F945A8" w:rsidRPr="00306E10">
        <w:rPr>
          <w:sz w:val="26"/>
          <w:szCs w:val="26"/>
        </w:rPr>
        <w:t xml:space="preserve">Commission ratified the March 13 Emergency Order </w:t>
      </w:r>
      <w:r w:rsidR="0057343E" w:rsidRPr="00306E10">
        <w:rPr>
          <w:sz w:val="26"/>
          <w:szCs w:val="26"/>
        </w:rPr>
        <w:t xml:space="preserve">by unanimous vote </w:t>
      </w:r>
      <w:r w:rsidR="00F945A8" w:rsidRPr="00306E10">
        <w:rPr>
          <w:sz w:val="26"/>
          <w:szCs w:val="26"/>
        </w:rPr>
        <w:t>at its March</w:t>
      </w:r>
      <w:r w:rsidR="00F77E00">
        <w:rPr>
          <w:sz w:val="26"/>
          <w:szCs w:val="26"/>
        </w:rPr>
        <w:t> </w:t>
      </w:r>
      <w:r w:rsidR="00F945A8" w:rsidRPr="00306E10">
        <w:rPr>
          <w:sz w:val="26"/>
          <w:szCs w:val="26"/>
        </w:rPr>
        <w:t xml:space="preserve">26, </w:t>
      </w:r>
      <w:r w:rsidR="00880F92" w:rsidRPr="00306E10">
        <w:rPr>
          <w:sz w:val="26"/>
          <w:szCs w:val="26"/>
        </w:rPr>
        <w:t>2020,</w:t>
      </w:r>
      <w:r w:rsidR="00F945A8" w:rsidRPr="00306E10">
        <w:rPr>
          <w:sz w:val="26"/>
          <w:szCs w:val="26"/>
        </w:rPr>
        <w:t xml:space="preserve"> Public</w:t>
      </w:r>
      <w:r w:rsidR="00F77E00">
        <w:rPr>
          <w:sz w:val="26"/>
          <w:szCs w:val="26"/>
        </w:rPr>
        <w:t xml:space="preserve"> </w:t>
      </w:r>
      <w:r w:rsidR="00090078" w:rsidRPr="00306E10">
        <w:rPr>
          <w:sz w:val="26"/>
          <w:szCs w:val="26"/>
        </w:rPr>
        <w:t>M</w:t>
      </w:r>
      <w:r w:rsidR="00F945A8" w:rsidRPr="00306E10">
        <w:rPr>
          <w:sz w:val="26"/>
          <w:szCs w:val="26"/>
        </w:rPr>
        <w:t>eeting.</w:t>
      </w:r>
    </w:p>
    <w:p w14:paraId="7D4AF51E" w14:textId="77777777" w:rsidR="004E2933" w:rsidRPr="00306E10" w:rsidRDefault="004E2933" w:rsidP="004E2933">
      <w:pPr>
        <w:spacing w:line="360" w:lineRule="auto"/>
        <w:rPr>
          <w:sz w:val="26"/>
          <w:szCs w:val="26"/>
        </w:rPr>
      </w:pPr>
    </w:p>
    <w:p w14:paraId="3FAA70BE" w14:textId="77777777" w:rsidR="00C52231" w:rsidRDefault="004554D0" w:rsidP="00C52231">
      <w:pPr>
        <w:spacing w:line="360" w:lineRule="auto"/>
        <w:ind w:firstLine="720"/>
        <w:rPr>
          <w:sz w:val="26"/>
          <w:szCs w:val="26"/>
        </w:rPr>
      </w:pPr>
      <w:r w:rsidRPr="00306E10">
        <w:rPr>
          <w:sz w:val="26"/>
          <w:szCs w:val="26"/>
        </w:rPr>
        <w:t>On October 13, 2020, the Commission entered an Order modifying the March</w:t>
      </w:r>
      <w:r w:rsidR="00F77E00">
        <w:rPr>
          <w:sz w:val="26"/>
          <w:szCs w:val="26"/>
        </w:rPr>
        <w:t> </w:t>
      </w:r>
      <w:r w:rsidRPr="00306E10">
        <w:rPr>
          <w:sz w:val="26"/>
          <w:szCs w:val="26"/>
        </w:rPr>
        <w:t xml:space="preserve">13 Emergency Order by initiating Phase 2 of the public utility service termination moratorium (October 13 Order).  The October 13 Order continued the termination </w:t>
      </w:r>
      <w:r w:rsidRPr="00306E10">
        <w:rPr>
          <w:sz w:val="26"/>
          <w:szCs w:val="26"/>
        </w:rPr>
        <w:lastRenderedPageBreak/>
        <w:t xml:space="preserve">moratorium for “protected customers” at or below 300% of the federal poverty income guideline (FPIG), under certain conditions, and established </w:t>
      </w:r>
      <w:r w:rsidR="0057343E" w:rsidRPr="00306E10">
        <w:rPr>
          <w:sz w:val="26"/>
          <w:szCs w:val="26"/>
        </w:rPr>
        <w:t xml:space="preserve">additional </w:t>
      </w:r>
      <w:r w:rsidRPr="00306E10">
        <w:rPr>
          <w:sz w:val="26"/>
          <w:szCs w:val="26"/>
        </w:rPr>
        <w:t>protections for certain residential and small business customers.  Th</w:t>
      </w:r>
      <w:r w:rsidR="00AE73AA" w:rsidRPr="00306E10">
        <w:rPr>
          <w:sz w:val="26"/>
          <w:szCs w:val="26"/>
        </w:rPr>
        <w:t xml:space="preserve">at </w:t>
      </w:r>
      <w:r w:rsidRPr="00306E10">
        <w:rPr>
          <w:sz w:val="26"/>
          <w:szCs w:val="26"/>
        </w:rPr>
        <w:t xml:space="preserve">termination moratorium and </w:t>
      </w:r>
      <w:r w:rsidR="0057343E" w:rsidRPr="00306E10">
        <w:rPr>
          <w:sz w:val="26"/>
          <w:szCs w:val="26"/>
        </w:rPr>
        <w:t xml:space="preserve">customer </w:t>
      </w:r>
      <w:r w:rsidRPr="00306E10">
        <w:rPr>
          <w:sz w:val="26"/>
          <w:szCs w:val="26"/>
        </w:rPr>
        <w:t xml:space="preserve">protections established by the October 13 Order </w:t>
      </w:r>
      <w:r w:rsidR="00AE73AA" w:rsidRPr="00306E10">
        <w:rPr>
          <w:sz w:val="26"/>
          <w:szCs w:val="26"/>
        </w:rPr>
        <w:t xml:space="preserve">were set to </w:t>
      </w:r>
      <w:r w:rsidRPr="00306E10">
        <w:rPr>
          <w:sz w:val="26"/>
          <w:szCs w:val="26"/>
        </w:rPr>
        <w:t>expire on March</w:t>
      </w:r>
      <w:r w:rsidR="00F77E00">
        <w:rPr>
          <w:sz w:val="26"/>
          <w:szCs w:val="26"/>
        </w:rPr>
        <w:t> </w:t>
      </w:r>
      <w:r w:rsidRPr="00306E10">
        <w:rPr>
          <w:sz w:val="26"/>
          <w:szCs w:val="26"/>
        </w:rPr>
        <w:t>31, 2021.</w:t>
      </w:r>
    </w:p>
    <w:p w14:paraId="08B3F1C8" w14:textId="77777777" w:rsidR="00C52231" w:rsidRPr="00306E10" w:rsidRDefault="00C52231" w:rsidP="00C52231">
      <w:pPr>
        <w:spacing w:line="360" w:lineRule="auto"/>
        <w:ind w:firstLine="720"/>
        <w:rPr>
          <w:sz w:val="26"/>
          <w:szCs w:val="26"/>
        </w:rPr>
      </w:pPr>
    </w:p>
    <w:p w14:paraId="7A4F4771" w14:textId="77777777" w:rsidR="00E37602" w:rsidRPr="00306E10" w:rsidRDefault="00537E12" w:rsidP="00E37602">
      <w:pPr>
        <w:pStyle w:val="Default"/>
        <w:spacing w:line="360" w:lineRule="auto"/>
        <w:rPr>
          <w:i/>
          <w:iCs/>
          <w:sz w:val="26"/>
          <w:szCs w:val="26"/>
        </w:rPr>
      </w:pPr>
      <w:r w:rsidRPr="00306E10">
        <w:rPr>
          <w:sz w:val="26"/>
          <w:szCs w:val="26"/>
        </w:rPr>
        <w:tab/>
      </w:r>
      <w:r w:rsidR="00AE73AA" w:rsidRPr="00306E10">
        <w:rPr>
          <w:sz w:val="26"/>
          <w:szCs w:val="26"/>
        </w:rPr>
        <w:t xml:space="preserve">On March 18, 2021, </w:t>
      </w:r>
      <w:r w:rsidR="00600CCF">
        <w:rPr>
          <w:sz w:val="26"/>
          <w:szCs w:val="26"/>
        </w:rPr>
        <w:t>the Commission</w:t>
      </w:r>
      <w:r w:rsidR="00600CCF" w:rsidRPr="00306E10">
        <w:rPr>
          <w:sz w:val="26"/>
          <w:szCs w:val="26"/>
        </w:rPr>
        <w:t xml:space="preserve"> </w:t>
      </w:r>
      <w:r w:rsidR="00AE73AA" w:rsidRPr="00306E10">
        <w:rPr>
          <w:sz w:val="26"/>
          <w:szCs w:val="26"/>
        </w:rPr>
        <w:t>issued another Order lifting t</w:t>
      </w:r>
      <w:r w:rsidR="00765B74" w:rsidRPr="00306E10">
        <w:rPr>
          <w:sz w:val="26"/>
          <w:szCs w:val="26"/>
        </w:rPr>
        <w:t xml:space="preserve">he utility service termination moratorium and </w:t>
      </w:r>
      <w:r w:rsidR="00AE73AA" w:rsidRPr="00306E10">
        <w:rPr>
          <w:sz w:val="26"/>
          <w:szCs w:val="26"/>
        </w:rPr>
        <w:t xml:space="preserve">providing that </w:t>
      </w:r>
      <w:r w:rsidR="00765B74" w:rsidRPr="00306E10">
        <w:rPr>
          <w:sz w:val="26"/>
          <w:szCs w:val="26"/>
        </w:rPr>
        <w:t xml:space="preserve">disconnections </w:t>
      </w:r>
      <w:r w:rsidR="00AE73AA" w:rsidRPr="00306E10">
        <w:rPr>
          <w:sz w:val="26"/>
          <w:szCs w:val="26"/>
        </w:rPr>
        <w:t>could</w:t>
      </w:r>
      <w:r w:rsidR="00765B74" w:rsidRPr="00306E10">
        <w:rPr>
          <w:sz w:val="26"/>
          <w:szCs w:val="26"/>
        </w:rPr>
        <w:t xml:space="preserve"> commence effective April 1, 2021.</w:t>
      </w:r>
      <w:r w:rsidRPr="00306E10">
        <w:rPr>
          <w:sz w:val="26"/>
          <w:szCs w:val="26"/>
        </w:rPr>
        <w:t xml:space="preserve">  </w:t>
      </w:r>
      <w:r w:rsidR="00AE73AA" w:rsidRPr="00306E10">
        <w:rPr>
          <w:sz w:val="26"/>
          <w:szCs w:val="26"/>
        </w:rPr>
        <w:t xml:space="preserve">Additionally, </w:t>
      </w:r>
      <w:r w:rsidR="00600CCF">
        <w:rPr>
          <w:sz w:val="26"/>
          <w:szCs w:val="26"/>
        </w:rPr>
        <w:t>the Commission</w:t>
      </w:r>
      <w:r w:rsidR="00600CCF" w:rsidRPr="00306E10">
        <w:rPr>
          <w:sz w:val="26"/>
          <w:szCs w:val="26"/>
        </w:rPr>
        <w:t xml:space="preserve"> </w:t>
      </w:r>
      <w:r w:rsidR="00AE73AA" w:rsidRPr="00306E10">
        <w:rPr>
          <w:sz w:val="26"/>
          <w:szCs w:val="26"/>
        </w:rPr>
        <w:t xml:space="preserve">ordered </w:t>
      </w:r>
      <w:r w:rsidR="00983729" w:rsidRPr="00306E10">
        <w:rPr>
          <w:sz w:val="26"/>
          <w:szCs w:val="26"/>
        </w:rPr>
        <w:t xml:space="preserve">certain </w:t>
      </w:r>
      <w:r w:rsidR="0057343E" w:rsidRPr="00306E10">
        <w:rPr>
          <w:sz w:val="26"/>
          <w:szCs w:val="26"/>
        </w:rPr>
        <w:t xml:space="preserve">additional </w:t>
      </w:r>
      <w:r w:rsidR="00765B74" w:rsidRPr="00306E10">
        <w:rPr>
          <w:sz w:val="26"/>
          <w:szCs w:val="26"/>
        </w:rPr>
        <w:t>modifications</w:t>
      </w:r>
      <w:r w:rsidR="0057343E" w:rsidRPr="00306E10">
        <w:rPr>
          <w:sz w:val="26"/>
          <w:szCs w:val="26"/>
        </w:rPr>
        <w:t xml:space="preserve"> and customer </w:t>
      </w:r>
      <w:r w:rsidR="008E0B1F" w:rsidRPr="00306E10">
        <w:rPr>
          <w:sz w:val="26"/>
          <w:szCs w:val="26"/>
        </w:rPr>
        <w:t>protections</w:t>
      </w:r>
      <w:r w:rsidR="00765B74" w:rsidRPr="00306E10">
        <w:rPr>
          <w:sz w:val="26"/>
          <w:szCs w:val="26"/>
        </w:rPr>
        <w:t xml:space="preserve"> to existing collection policies </w:t>
      </w:r>
      <w:r w:rsidR="00983729" w:rsidRPr="00306E10">
        <w:rPr>
          <w:sz w:val="26"/>
          <w:szCs w:val="26"/>
        </w:rPr>
        <w:t>for</w:t>
      </w:r>
      <w:r w:rsidR="00765B74" w:rsidRPr="00306E10">
        <w:rPr>
          <w:sz w:val="26"/>
          <w:szCs w:val="26"/>
        </w:rPr>
        <w:t xml:space="preserve"> all electric,</w:t>
      </w:r>
      <w:r w:rsidR="008E6118" w:rsidRPr="00306E10">
        <w:rPr>
          <w:sz w:val="26"/>
          <w:szCs w:val="26"/>
        </w:rPr>
        <w:t xml:space="preserve"> n</w:t>
      </w:r>
      <w:r w:rsidR="00765B74" w:rsidRPr="00306E10">
        <w:rPr>
          <w:sz w:val="26"/>
          <w:szCs w:val="26"/>
        </w:rPr>
        <w:t xml:space="preserve">atural gas, water, wastewater, telecommunications, and steam utilities subject to the Commission’s jurisdiction </w:t>
      </w:r>
      <w:r w:rsidR="00765B74" w:rsidRPr="00306E10">
        <w:rPr>
          <w:i/>
          <w:iCs/>
          <w:sz w:val="26"/>
          <w:szCs w:val="26"/>
        </w:rPr>
        <w:t>until December 31, 2021</w:t>
      </w:r>
      <w:r w:rsidR="00983729" w:rsidRPr="00306E10">
        <w:rPr>
          <w:i/>
          <w:iCs/>
          <w:sz w:val="26"/>
          <w:szCs w:val="26"/>
        </w:rPr>
        <w:t xml:space="preserve">.  </w:t>
      </w:r>
      <w:r w:rsidR="00983729" w:rsidRPr="00306E10">
        <w:rPr>
          <w:sz w:val="26"/>
          <w:szCs w:val="26"/>
        </w:rPr>
        <w:t xml:space="preserve">The Commission </w:t>
      </w:r>
      <w:r w:rsidR="0089189C" w:rsidRPr="00306E10">
        <w:rPr>
          <w:sz w:val="26"/>
          <w:szCs w:val="26"/>
        </w:rPr>
        <w:t xml:space="preserve">authorized </w:t>
      </w:r>
      <w:r w:rsidR="00983729" w:rsidRPr="00306E10">
        <w:rPr>
          <w:sz w:val="26"/>
          <w:szCs w:val="26"/>
        </w:rPr>
        <w:t xml:space="preserve">extended </w:t>
      </w:r>
      <w:r w:rsidR="0089189C" w:rsidRPr="00306E10">
        <w:rPr>
          <w:sz w:val="26"/>
          <w:szCs w:val="26"/>
        </w:rPr>
        <w:t xml:space="preserve">and additional </w:t>
      </w:r>
      <w:r w:rsidR="00983729" w:rsidRPr="00306E10">
        <w:rPr>
          <w:sz w:val="26"/>
          <w:szCs w:val="26"/>
        </w:rPr>
        <w:t xml:space="preserve">repayment </w:t>
      </w:r>
      <w:r w:rsidR="0089189C" w:rsidRPr="00306E10">
        <w:rPr>
          <w:sz w:val="26"/>
          <w:szCs w:val="26"/>
        </w:rPr>
        <w:t>arrangements</w:t>
      </w:r>
      <w:r w:rsidR="00983729" w:rsidRPr="00306E10">
        <w:rPr>
          <w:sz w:val="26"/>
          <w:szCs w:val="26"/>
        </w:rPr>
        <w:t xml:space="preserve"> under the </w:t>
      </w:r>
      <w:r w:rsidR="0089189C" w:rsidRPr="00306E10">
        <w:rPr>
          <w:sz w:val="26"/>
          <w:szCs w:val="26"/>
        </w:rPr>
        <w:t>Proclamation</w:t>
      </w:r>
      <w:r w:rsidR="00E37602" w:rsidRPr="00306E10">
        <w:rPr>
          <w:sz w:val="26"/>
          <w:szCs w:val="26"/>
        </w:rPr>
        <w:t xml:space="preserve">.  </w:t>
      </w:r>
    </w:p>
    <w:p w14:paraId="4E74A652" w14:textId="77777777" w:rsidR="00907BEB" w:rsidRPr="00306E10" w:rsidRDefault="00907BEB" w:rsidP="00E37602">
      <w:pPr>
        <w:pStyle w:val="Default"/>
        <w:spacing w:line="360" w:lineRule="auto"/>
        <w:rPr>
          <w:i/>
          <w:iCs/>
          <w:sz w:val="26"/>
          <w:szCs w:val="26"/>
        </w:rPr>
      </w:pPr>
    </w:p>
    <w:p w14:paraId="6C1D83C2" w14:textId="77777777" w:rsidR="00907BEB" w:rsidRDefault="00907BEB" w:rsidP="00907BEB">
      <w:pPr>
        <w:spacing w:line="360" w:lineRule="auto"/>
        <w:rPr>
          <w:sz w:val="26"/>
          <w:szCs w:val="26"/>
        </w:rPr>
      </w:pPr>
      <w:r w:rsidRPr="00306E10">
        <w:rPr>
          <w:sz w:val="26"/>
          <w:szCs w:val="26"/>
        </w:rPr>
        <w:tab/>
      </w:r>
      <w:r w:rsidR="008F781E" w:rsidRPr="00306E10">
        <w:rPr>
          <w:sz w:val="26"/>
          <w:szCs w:val="26"/>
        </w:rPr>
        <w:t>Finally, i</w:t>
      </w:r>
      <w:r w:rsidRPr="00306E10">
        <w:rPr>
          <w:sz w:val="26"/>
          <w:szCs w:val="26"/>
        </w:rPr>
        <w:t xml:space="preserve">n </w:t>
      </w:r>
      <w:r w:rsidR="00101998">
        <w:rPr>
          <w:sz w:val="26"/>
          <w:szCs w:val="26"/>
        </w:rPr>
        <w:t>the</w:t>
      </w:r>
      <w:r w:rsidRPr="00306E10">
        <w:rPr>
          <w:sz w:val="26"/>
          <w:szCs w:val="26"/>
        </w:rPr>
        <w:t xml:space="preserve"> March 18, </w:t>
      </w:r>
      <w:r w:rsidR="0004737B" w:rsidRPr="00306E10">
        <w:rPr>
          <w:sz w:val="26"/>
          <w:szCs w:val="26"/>
        </w:rPr>
        <w:t>2021,</w:t>
      </w:r>
      <w:r w:rsidRPr="00306E10">
        <w:rPr>
          <w:sz w:val="26"/>
          <w:szCs w:val="26"/>
        </w:rPr>
        <w:t xml:space="preserve"> Order, </w:t>
      </w:r>
      <w:r w:rsidR="00600CCF">
        <w:rPr>
          <w:sz w:val="26"/>
          <w:szCs w:val="26"/>
        </w:rPr>
        <w:t>the Commission</w:t>
      </w:r>
      <w:r w:rsidRPr="00306E10">
        <w:rPr>
          <w:sz w:val="26"/>
          <w:szCs w:val="26"/>
        </w:rPr>
        <w:t xml:space="preserve"> recognized that compliance with the March 13 Emergency Order, the October 13 Order, and that Order, may increase expenses for utilities.  Consistent with </w:t>
      </w:r>
      <w:r w:rsidR="00600CCF">
        <w:rPr>
          <w:sz w:val="26"/>
          <w:szCs w:val="26"/>
        </w:rPr>
        <w:t>the</w:t>
      </w:r>
      <w:r w:rsidRPr="00306E10">
        <w:rPr>
          <w:sz w:val="26"/>
          <w:szCs w:val="26"/>
        </w:rPr>
        <w:t xml:space="preserve"> May 13, </w:t>
      </w:r>
      <w:r w:rsidR="0004737B" w:rsidRPr="00306E10">
        <w:rPr>
          <w:sz w:val="26"/>
          <w:szCs w:val="26"/>
        </w:rPr>
        <w:t>2020,</w:t>
      </w:r>
      <w:r w:rsidRPr="00306E10">
        <w:rPr>
          <w:sz w:val="26"/>
          <w:szCs w:val="26"/>
        </w:rPr>
        <w:t xml:space="preserve"> Secretarial letter at Docket No. M-2020-3019775, </w:t>
      </w:r>
      <w:r w:rsidR="00600CCF">
        <w:rPr>
          <w:sz w:val="26"/>
          <w:szCs w:val="26"/>
        </w:rPr>
        <w:t xml:space="preserve">the Commission </w:t>
      </w:r>
      <w:r w:rsidRPr="00306E10">
        <w:rPr>
          <w:sz w:val="26"/>
          <w:szCs w:val="26"/>
        </w:rPr>
        <w:t>directed that utilities shall continue tracking extraordinary, nonrecurring incremental COVID-19 related expenses and shall maintain detailed accounting records of such expenses.  Additionally, the Commission authorized electric, natural gas, water, wastewater, steam, and all rate base/rate of return telecommunications utilities to create a regulatory asset for any incremental expenses incurred above those embedded in rates resulting from the directives contained in th</w:t>
      </w:r>
      <w:r w:rsidR="00EA513D">
        <w:rPr>
          <w:sz w:val="26"/>
          <w:szCs w:val="26"/>
        </w:rPr>
        <w:t>at</w:t>
      </w:r>
      <w:r w:rsidRPr="00306E10">
        <w:rPr>
          <w:sz w:val="26"/>
          <w:szCs w:val="26"/>
        </w:rPr>
        <w:t xml:space="preserve"> Order.  We noted that to be eligible for inclusion in a utility’s COVID-19 designated regulatory asset, the utility must maintain detailed records of the incremental extraordinary, nonrecurring expenses incurred as a result of compliance with the Commission’s March 13 Emergency Order, the October 13 Order, and the March 18 Order.</w:t>
      </w:r>
    </w:p>
    <w:p w14:paraId="43549FDD" w14:textId="77777777" w:rsidR="00C52231" w:rsidRDefault="00C52231" w:rsidP="00C52231">
      <w:pPr>
        <w:spacing w:line="360" w:lineRule="auto"/>
        <w:rPr>
          <w:sz w:val="26"/>
          <w:szCs w:val="26"/>
        </w:rPr>
      </w:pPr>
    </w:p>
    <w:p w14:paraId="2085BAD4" w14:textId="77777777" w:rsidR="00FD2CD6" w:rsidRPr="00306E10" w:rsidRDefault="00983729" w:rsidP="00FD2CD6">
      <w:pPr>
        <w:pStyle w:val="Default"/>
        <w:spacing w:line="360" w:lineRule="auto"/>
        <w:rPr>
          <w:sz w:val="26"/>
          <w:szCs w:val="26"/>
        </w:rPr>
      </w:pPr>
      <w:r w:rsidRPr="00306E10">
        <w:rPr>
          <w:sz w:val="26"/>
          <w:szCs w:val="26"/>
        </w:rPr>
        <w:lastRenderedPageBreak/>
        <w:tab/>
      </w:r>
      <w:r w:rsidR="00FD2CD6" w:rsidRPr="00306E10">
        <w:rPr>
          <w:sz w:val="26"/>
          <w:szCs w:val="26"/>
        </w:rPr>
        <w:t>On June 10, 2021, the P</w:t>
      </w:r>
      <w:r w:rsidR="00EA513D">
        <w:rPr>
          <w:sz w:val="26"/>
          <w:szCs w:val="26"/>
        </w:rPr>
        <w:t>ennsylvania</w:t>
      </w:r>
      <w:r w:rsidR="00FD2CD6" w:rsidRPr="00306E10">
        <w:rPr>
          <w:sz w:val="26"/>
          <w:szCs w:val="26"/>
        </w:rPr>
        <w:t xml:space="preserve"> Legislature passed a Concurrent Resolution (HR106) which terminate</w:t>
      </w:r>
      <w:r w:rsidR="00600CCF">
        <w:rPr>
          <w:sz w:val="26"/>
          <w:szCs w:val="26"/>
        </w:rPr>
        <w:t>d</w:t>
      </w:r>
      <w:r w:rsidR="00FD2CD6" w:rsidRPr="00306E10">
        <w:rPr>
          <w:sz w:val="26"/>
          <w:szCs w:val="26"/>
        </w:rPr>
        <w:t xml:space="preserve"> the Governor’s Proclamation of Disaster Emergency originally declared on March 6, 2020, and as amended and renewed, in response to COVID-19. In a related action, </w:t>
      </w:r>
      <w:r w:rsidR="00873FB6" w:rsidRPr="00306E10">
        <w:rPr>
          <w:sz w:val="26"/>
          <w:szCs w:val="26"/>
        </w:rPr>
        <w:t xml:space="preserve">Governor Wolf signed into law HB 854 </w:t>
      </w:r>
      <w:r w:rsidR="00EA513D">
        <w:rPr>
          <w:sz w:val="26"/>
          <w:szCs w:val="26"/>
        </w:rPr>
        <w:t>o</w:t>
      </w:r>
      <w:r w:rsidR="00873FB6" w:rsidRPr="00306E10">
        <w:rPr>
          <w:sz w:val="26"/>
          <w:szCs w:val="26"/>
        </w:rPr>
        <w:t xml:space="preserve">n June 11, 2021, </w:t>
      </w:r>
      <w:r w:rsidR="00FD2CD6" w:rsidRPr="00306E10">
        <w:rPr>
          <w:sz w:val="26"/>
          <w:szCs w:val="26"/>
        </w:rPr>
        <w:t xml:space="preserve">which provides “temporary </w:t>
      </w:r>
      <w:r w:rsidR="00EA513D">
        <w:rPr>
          <w:sz w:val="26"/>
          <w:szCs w:val="26"/>
        </w:rPr>
        <w:t xml:space="preserve">regulatory </w:t>
      </w:r>
      <w:r w:rsidR="00FD2CD6" w:rsidRPr="00306E10">
        <w:rPr>
          <w:sz w:val="26"/>
          <w:szCs w:val="26"/>
        </w:rPr>
        <w:t xml:space="preserve">flexibility authority” to “Commonwealth agencies” which issued an Order suspending a regulatory statute prescribing the procedures for conduct of Commonwealth business, or an Order, rule or Regulation which was suspended under the authority of the Governor. Such Orders are extended </w:t>
      </w:r>
      <w:r w:rsidR="00FD2CD6" w:rsidRPr="00306E10">
        <w:rPr>
          <w:i/>
          <w:iCs/>
          <w:sz w:val="26"/>
          <w:szCs w:val="26"/>
        </w:rPr>
        <w:t>until September 30, 2021, unless sooner terminated by the authority initially authorizing them</w:t>
      </w:r>
      <w:r w:rsidR="00FD2CD6" w:rsidRPr="00306E10">
        <w:rPr>
          <w:sz w:val="26"/>
          <w:szCs w:val="26"/>
        </w:rPr>
        <w:t xml:space="preserve">. </w:t>
      </w:r>
    </w:p>
    <w:p w14:paraId="455D0CD0" w14:textId="77777777" w:rsidR="00FD2CD6" w:rsidRPr="00306E10" w:rsidRDefault="00FD2CD6" w:rsidP="00FD2CD6">
      <w:pPr>
        <w:pStyle w:val="Default"/>
        <w:spacing w:line="360" w:lineRule="auto"/>
        <w:rPr>
          <w:sz w:val="26"/>
          <w:szCs w:val="26"/>
        </w:rPr>
      </w:pPr>
    </w:p>
    <w:p w14:paraId="1DC17170" w14:textId="77777777" w:rsidR="00A11E42" w:rsidRPr="00306E10" w:rsidRDefault="00FD2CD6" w:rsidP="00052117">
      <w:pPr>
        <w:spacing w:line="360" w:lineRule="auto"/>
        <w:ind w:firstLine="720"/>
        <w:rPr>
          <w:sz w:val="26"/>
          <w:szCs w:val="26"/>
        </w:rPr>
      </w:pPr>
      <w:r w:rsidRPr="00306E10">
        <w:rPr>
          <w:sz w:val="26"/>
          <w:szCs w:val="26"/>
        </w:rPr>
        <w:t xml:space="preserve">In light of the termination of the Proclamation of Disaster Emergency </w:t>
      </w:r>
      <w:r w:rsidR="0089189C" w:rsidRPr="00306E10">
        <w:rPr>
          <w:sz w:val="26"/>
          <w:szCs w:val="26"/>
        </w:rPr>
        <w:t xml:space="preserve">and </w:t>
      </w:r>
      <w:r w:rsidRPr="00306E10">
        <w:rPr>
          <w:sz w:val="26"/>
          <w:szCs w:val="26"/>
        </w:rPr>
        <w:t xml:space="preserve">the </w:t>
      </w:r>
      <w:r w:rsidR="00BE3030" w:rsidRPr="00306E10">
        <w:rPr>
          <w:sz w:val="26"/>
          <w:szCs w:val="26"/>
        </w:rPr>
        <w:t xml:space="preserve">“temporary </w:t>
      </w:r>
      <w:r w:rsidR="00EA513D">
        <w:rPr>
          <w:sz w:val="26"/>
          <w:szCs w:val="26"/>
        </w:rPr>
        <w:t xml:space="preserve">regulatory </w:t>
      </w:r>
      <w:r w:rsidR="00BE3030" w:rsidRPr="00306E10">
        <w:rPr>
          <w:sz w:val="26"/>
          <w:szCs w:val="26"/>
        </w:rPr>
        <w:t xml:space="preserve">flexibility authority” provided in HB 854, the Commission hereby revises </w:t>
      </w:r>
      <w:r w:rsidRPr="00306E10">
        <w:rPr>
          <w:sz w:val="26"/>
          <w:szCs w:val="26"/>
        </w:rPr>
        <w:t xml:space="preserve">the March </w:t>
      </w:r>
      <w:r w:rsidR="00BE3030" w:rsidRPr="00306E10">
        <w:rPr>
          <w:sz w:val="26"/>
          <w:szCs w:val="26"/>
        </w:rPr>
        <w:t>1</w:t>
      </w:r>
      <w:r w:rsidRPr="00306E10">
        <w:rPr>
          <w:sz w:val="26"/>
          <w:szCs w:val="26"/>
        </w:rPr>
        <w:t xml:space="preserve">8, </w:t>
      </w:r>
      <w:r w:rsidR="0004737B" w:rsidRPr="00306E10">
        <w:rPr>
          <w:sz w:val="26"/>
          <w:szCs w:val="26"/>
        </w:rPr>
        <w:t>2021,</w:t>
      </w:r>
      <w:r w:rsidR="00BE3030" w:rsidRPr="00306E10">
        <w:rPr>
          <w:sz w:val="26"/>
          <w:szCs w:val="26"/>
        </w:rPr>
        <w:t xml:space="preserve"> </w:t>
      </w:r>
      <w:r w:rsidRPr="00306E10">
        <w:rPr>
          <w:sz w:val="26"/>
          <w:szCs w:val="26"/>
        </w:rPr>
        <w:t>Order.  Specifically,</w:t>
      </w:r>
      <w:r w:rsidR="00873FB6" w:rsidRPr="00306E10">
        <w:rPr>
          <w:sz w:val="26"/>
          <w:szCs w:val="26"/>
        </w:rPr>
        <w:t xml:space="preserve"> to conform with the requirements of HB 854, </w:t>
      </w:r>
      <w:r w:rsidR="00BE3030" w:rsidRPr="00306E10">
        <w:rPr>
          <w:sz w:val="26"/>
          <w:szCs w:val="26"/>
        </w:rPr>
        <w:t xml:space="preserve">the Commission </w:t>
      </w:r>
      <w:r w:rsidR="00C549A4" w:rsidRPr="00306E10">
        <w:rPr>
          <w:sz w:val="26"/>
          <w:szCs w:val="26"/>
        </w:rPr>
        <w:t xml:space="preserve">revises </w:t>
      </w:r>
      <w:r w:rsidR="00BE3030" w:rsidRPr="00306E10">
        <w:rPr>
          <w:sz w:val="26"/>
          <w:szCs w:val="26"/>
        </w:rPr>
        <w:t>the expiration date of th</w:t>
      </w:r>
      <w:r w:rsidR="00C549A4" w:rsidRPr="00306E10">
        <w:rPr>
          <w:sz w:val="26"/>
          <w:szCs w:val="26"/>
        </w:rPr>
        <w:t xml:space="preserve">e March 18, </w:t>
      </w:r>
      <w:r w:rsidR="0004737B" w:rsidRPr="00306E10">
        <w:rPr>
          <w:sz w:val="26"/>
          <w:szCs w:val="26"/>
        </w:rPr>
        <w:t>2021,</w:t>
      </w:r>
      <w:r w:rsidR="00C549A4" w:rsidRPr="00306E10">
        <w:rPr>
          <w:sz w:val="26"/>
          <w:szCs w:val="26"/>
        </w:rPr>
        <w:t xml:space="preserve"> O</w:t>
      </w:r>
      <w:r w:rsidR="00BE3030" w:rsidRPr="00306E10">
        <w:rPr>
          <w:sz w:val="26"/>
          <w:szCs w:val="26"/>
        </w:rPr>
        <w:t xml:space="preserve">rder </w:t>
      </w:r>
      <w:r w:rsidR="00C549A4" w:rsidRPr="00306E10">
        <w:rPr>
          <w:sz w:val="26"/>
          <w:szCs w:val="26"/>
        </w:rPr>
        <w:t xml:space="preserve">from December 31, </w:t>
      </w:r>
      <w:r w:rsidR="003E37BC" w:rsidRPr="00306E10">
        <w:rPr>
          <w:sz w:val="26"/>
          <w:szCs w:val="26"/>
        </w:rPr>
        <w:t>2021,</w:t>
      </w:r>
      <w:r w:rsidR="00C549A4" w:rsidRPr="00306E10">
        <w:rPr>
          <w:sz w:val="26"/>
          <w:szCs w:val="26"/>
        </w:rPr>
        <w:t xml:space="preserve"> to September 30, 2021</w:t>
      </w:r>
      <w:r w:rsidR="002551B7">
        <w:rPr>
          <w:sz w:val="26"/>
          <w:szCs w:val="26"/>
        </w:rPr>
        <w:t>.</w:t>
      </w:r>
      <w:r w:rsidR="00873FB6" w:rsidRPr="00306E10">
        <w:rPr>
          <w:sz w:val="26"/>
          <w:szCs w:val="26"/>
        </w:rPr>
        <w:t xml:space="preserve"> </w:t>
      </w:r>
    </w:p>
    <w:p w14:paraId="2129A26B" w14:textId="77777777" w:rsidR="00E20C28" w:rsidRPr="00306E10" w:rsidRDefault="00E20C28" w:rsidP="00052117">
      <w:pPr>
        <w:spacing w:line="360" w:lineRule="auto"/>
        <w:ind w:firstLine="720"/>
        <w:rPr>
          <w:sz w:val="26"/>
          <w:szCs w:val="26"/>
        </w:rPr>
      </w:pPr>
    </w:p>
    <w:p w14:paraId="55489659" w14:textId="77777777" w:rsidR="008A4F72" w:rsidRPr="00306E10" w:rsidRDefault="00A11E42" w:rsidP="00052117">
      <w:pPr>
        <w:spacing w:line="360" w:lineRule="auto"/>
        <w:ind w:firstLine="720"/>
        <w:rPr>
          <w:sz w:val="26"/>
          <w:szCs w:val="26"/>
        </w:rPr>
      </w:pPr>
      <w:r>
        <w:rPr>
          <w:sz w:val="26"/>
          <w:szCs w:val="26"/>
        </w:rPr>
        <w:t xml:space="preserve">Individual </w:t>
      </w:r>
      <w:r w:rsidR="008A4F72" w:rsidRPr="00306E10">
        <w:rPr>
          <w:sz w:val="26"/>
          <w:szCs w:val="26"/>
        </w:rPr>
        <w:t xml:space="preserve">Commission Orders issued </w:t>
      </w:r>
      <w:r>
        <w:rPr>
          <w:sz w:val="26"/>
          <w:szCs w:val="26"/>
        </w:rPr>
        <w:t xml:space="preserve">pursuant to the </w:t>
      </w:r>
      <w:r w:rsidR="00750971">
        <w:rPr>
          <w:sz w:val="26"/>
          <w:szCs w:val="26"/>
        </w:rPr>
        <w:t>October 13, 2020</w:t>
      </w:r>
      <w:r w:rsidR="00004CB4">
        <w:rPr>
          <w:sz w:val="26"/>
          <w:szCs w:val="26"/>
        </w:rPr>
        <w:t>,</w:t>
      </w:r>
      <w:r w:rsidR="00750971">
        <w:rPr>
          <w:sz w:val="26"/>
          <w:szCs w:val="26"/>
        </w:rPr>
        <w:t xml:space="preserve"> and </w:t>
      </w:r>
      <w:r>
        <w:rPr>
          <w:sz w:val="26"/>
          <w:szCs w:val="26"/>
        </w:rPr>
        <w:t>March 18, 2021, Order</w:t>
      </w:r>
      <w:r w:rsidR="00750971">
        <w:rPr>
          <w:sz w:val="26"/>
          <w:szCs w:val="26"/>
        </w:rPr>
        <w:t>s</w:t>
      </w:r>
      <w:r w:rsidR="008A4F72" w:rsidRPr="00306E10">
        <w:rPr>
          <w:sz w:val="26"/>
          <w:szCs w:val="26"/>
        </w:rPr>
        <w:t xml:space="preserve"> will have the full force and effect of </w:t>
      </w:r>
      <w:r>
        <w:rPr>
          <w:sz w:val="26"/>
          <w:szCs w:val="26"/>
        </w:rPr>
        <w:t>law</w:t>
      </w:r>
      <w:r w:rsidR="00873FB6" w:rsidRPr="00306E10">
        <w:rPr>
          <w:sz w:val="26"/>
          <w:szCs w:val="26"/>
        </w:rPr>
        <w:t xml:space="preserve"> and </w:t>
      </w:r>
      <w:r w:rsidR="00D06B89">
        <w:rPr>
          <w:sz w:val="26"/>
          <w:szCs w:val="26"/>
        </w:rPr>
        <w:t xml:space="preserve">will </w:t>
      </w:r>
      <w:r w:rsidR="00873FB6" w:rsidRPr="00306E10">
        <w:rPr>
          <w:sz w:val="26"/>
          <w:szCs w:val="26"/>
        </w:rPr>
        <w:t>remain viable</w:t>
      </w:r>
      <w:r>
        <w:rPr>
          <w:sz w:val="26"/>
          <w:szCs w:val="26"/>
        </w:rPr>
        <w:t>, even if they address obligations and actions that extend beyond September 30, 2021</w:t>
      </w:r>
      <w:r w:rsidR="00873FB6" w:rsidRPr="00306E10">
        <w:rPr>
          <w:sz w:val="26"/>
          <w:szCs w:val="26"/>
        </w:rPr>
        <w:t xml:space="preserve">.  </w:t>
      </w:r>
    </w:p>
    <w:p w14:paraId="5CBCA601" w14:textId="77777777" w:rsidR="00BE3030" w:rsidRPr="00306E10" w:rsidRDefault="008A4F72" w:rsidP="00306E10">
      <w:pPr>
        <w:spacing w:line="360" w:lineRule="auto"/>
        <w:ind w:firstLine="720"/>
        <w:rPr>
          <w:sz w:val="26"/>
          <w:szCs w:val="26"/>
        </w:rPr>
      </w:pPr>
      <w:r w:rsidRPr="00306E10">
        <w:rPr>
          <w:sz w:val="26"/>
          <w:szCs w:val="26"/>
        </w:rPr>
        <w:t xml:space="preserve"> </w:t>
      </w:r>
    </w:p>
    <w:p w14:paraId="4C394DC1" w14:textId="77777777" w:rsidR="00BE3030" w:rsidRPr="00306E10" w:rsidRDefault="008A4F72" w:rsidP="00FC66DD">
      <w:pPr>
        <w:spacing w:line="360" w:lineRule="auto"/>
        <w:ind w:firstLine="720"/>
        <w:jc w:val="center"/>
        <w:rPr>
          <w:b/>
          <w:bCs/>
          <w:sz w:val="26"/>
          <w:szCs w:val="26"/>
        </w:rPr>
      </w:pPr>
      <w:r w:rsidRPr="00C24295">
        <w:rPr>
          <w:b/>
          <w:bCs/>
          <w:sz w:val="26"/>
          <w:szCs w:val="26"/>
        </w:rPr>
        <w:t>PAYMENT A</w:t>
      </w:r>
      <w:r w:rsidRPr="00306E10">
        <w:rPr>
          <w:b/>
          <w:bCs/>
          <w:sz w:val="26"/>
          <w:szCs w:val="26"/>
        </w:rPr>
        <w:t>RRANGEMENTS</w:t>
      </w:r>
    </w:p>
    <w:p w14:paraId="4D68B357" w14:textId="77777777" w:rsidR="0029426A" w:rsidRDefault="00E20C28" w:rsidP="00C52231">
      <w:pPr>
        <w:pStyle w:val="Heading1"/>
        <w:shd w:val="clear" w:color="auto" w:fill="FFFFFF"/>
        <w:spacing w:before="0" w:after="0" w:line="360" w:lineRule="auto"/>
        <w:ind w:firstLine="720"/>
        <w:rPr>
          <w:rFonts w:ascii="Times New Roman" w:hAnsi="Times New Roman" w:cs="Times New Roman"/>
          <w:b w:val="0"/>
          <w:bCs w:val="0"/>
          <w:sz w:val="26"/>
          <w:szCs w:val="26"/>
        </w:rPr>
      </w:pPr>
      <w:r w:rsidRPr="00306E10">
        <w:rPr>
          <w:rFonts w:ascii="Times New Roman" w:hAnsi="Times New Roman" w:cs="Times New Roman"/>
          <w:b w:val="0"/>
          <w:bCs w:val="0"/>
          <w:sz w:val="26"/>
          <w:szCs w:val="26"/>
        </w:rPr>
        <w:t>As noted, a</w:t>
      </w:r>
      <w:r w:rsidR="0029426A" w:rsidRPr="00306E10">
        <w:rPr>
          <w:rFonts w:ascii="Times New Roman" w:hAnsi="Times New Roman" w:cs="Times New Roman"/>
          <w:b w:val="0"/>
          <w:bCs w:val="0"/>
          <w:sz w:val="26"/>
          <w:szCs w:val="26"/>
        </w:rPr>
        <w:t>ll p</w:t>
      </w:r>
      <w:r w:rsidR="008A4F72" w:rsidRPr="00306E10">
        <w:rPr>
          <w:rFonts w:ascii="Times New Roman" w:hAnsi="Times New Roman" w:cs="Times New Roman"/>
          <w:b w:val="0"/>
          <w:bCs w:val="0"/>
          <w:sz w:val="26"/>
          <w:szCs w:val="26"/>
        </w:rPr>
        <w:t xml:space="preserve">ayment arrangements </w:t>
      </w:r>
      <w:r w:rsidR="0029426A" w:rsidRPr="00306E10">
        <w:rPr>
          <w:rFonts w:ascii="Times New Roman" w:hAnsi="Times New Roman" w:cs="Times New Roman"/>
          <w:b w:val="0"/>
          <w:bCs w:val="0"/>
          <w:sz w:val="26"/>
          <w:szCs w:val="26"/>
        </w:rPr>
        <w:t xml:space="preserve">for residential customers and small business customers established before September 30, </w:t>
      </w:r>
      <w:r w:rsidR="003E37BC" w:rsidRPr="00306E10">
        <w:rPr>
          <w:rFonts w:ascii="Times New Roman" w:hAnsi="Times New Roman" w:cs="Times New Roman"/>
          <w:b w:val="0"/>
          <w:bCs w:val="0"/>
          <w:sz w:val="26"/>
          <w:szCs w:val="26"/>
        </w:rPr>
        <w:t>2021,</w:t>
      </w:r>
      <w:r w:rsidR="0029426A" w:rsidRPr="00306E10">
        <w:rPr>
          <w:rFonts w:ascii="Times New Roman" w:hAnsi="Times New Roman" w:cs="Times New Roman"/>
          <w:b w:val="0"/>
          <w:bCs w:val="0"/>
          <w:sz w:val="26"/>
          <w:szCs w:val="26"/>
        </w:rPr>
        <w:t xml:space="preserve"> pursuant to provisions of the </w:t>
      </w:r>
      <w:r w:rsidR="00766283">
        <w:rPr>
          <w:rFonts w:ascii="Times New Roman" w:hAnsi="Times New Roman" w:cs="Times New Roman"/>
          <w:b w:val="0"/>
          <w:bCs w:val="0"/>
          <w:sz w:val="26"/>
          <w:szCs w:val="26"/>
        </w:rPr>
        <w:t>October 13, 2020</w:t>
      </w:r>
      <w:r w:rsidR="00004CB4">
        <w:rPr>
          <w:rFonts w:ascii="Times New Roman" w:hAnsi="Times New Roman" w:cs="Times New Roman"/>
          <w:b w:val="0"/>
          <w:bCs w:val="0"/>
          <w:sz w:val="26"/>
          <w:szCs w:val="26"/>
        </w:rPr>
        <w:t>,</w:t>
      </w:r>
      <w:r w:rsidR="00766283">
        <w:rPr>
          <w:rFonts w:ascii="Times New Roman" w:hAnsi="Times New Roman" w:cs="Times New Roman"/>
          <w:b w:val="0"/>
          <w:bCs w:val="0"/>
          <w:sz w:val="26"/>
          <w:szCs w:val="26"/>
        </w:rPr>
        <w:t xml:space="preserve"> and </w:t>
      </w:r>
      <w:r w:rsidR="0029426A" w:rsidRPr="00306E10">
        <w:rPr>
          <w:rFonts w:ascii="Times New Roman" w:hAnsi="Times New Roman" w:cs="Times New Roman"/>
          <w:b w:val="0"/>
          <w:bCs w:val="0"/>
          <w:sz w:val="26"/>
          <w:szCs w:val="26"/>
        </w:rPr>
        <w:t>March</w:t>
      </w:r>
      <w:r w:rsidR="00F77E00">
        <w:rPr>
          <w:rFonts w:ascii="Times New Roman" w:hAnsi="Times New Roman" w:cs="Times New Roman"/>
          <w:b w:val="0"/>
          <w:bCs w:val="0"/>
          <w:sz w:val="26"/>
          <w:szCs w:val="26"/>
        </w:rPr>
        <w:t> </w:t>
      </w:r>
      <w:r w:rsidR="0029426A" w:rsidRPr="00306E10">
        <w:rPr>
          <w:rFonts w:ascii="Times New Roman" w:hAnsi="Times New Roman" w:cs="Times New Roman"/>
          <w:b w:val="0"/>
          <w:bCs w:val="0"/>
          <w:sz w:val="26"/>
          <w:szCs w:val="26"/>
        </w:rPr>
        <w:t>18, 2021</w:t>
      </w:r>
      <w:r w:rsidR="00A11E42">
        <w:rPr>
          <w:rFonts w:ascii="Times New Roman" w:hAnsi="Times New Roman" w:cs="Times New Roman"/>
          <w:b w:val="0"/>
          <w:bCs w:val="0"/>
          <w:sz w:val="26"/>
          <w:szCs w:val="26"/>
        </w:rPr>
        <w:t>,</w:t>
      </w:r>
      <w:r w:rsidR="0029426A" w:rsidRPr="00306E10">
        <w:rPr>
          <w:rFonts w:ascii="Times New Roman" w:hAnsi="Times New Roman" w:cs="Times New Roman"/>
          <w:b w:val="0"/>
          <w:bCs w:val="0"/>
          <w:sz w:val="26"/>
          <w:szCs w:val="26"/>
        </w:rPr>
        <w:t xml:space="preserve"> Order</w:t>
      </w:r>
      <w:r w:rsidR="00766283">
        <w:rPr>
          <w:rFonts w:ascii="Times New Roman" w:hAnsi="Times New Roman" w:cs="Times New Roman"/>
          <w:b w:val="0"/>
          <w:bCs w:val="0"/>
          <w:sz w:val="26"/>
          <w:szCs w:val="26"/>
        </w:rPr>
        <w:t>s</w:t>
      </w:r>
      <w:r w:rsidRPr="00306E10">
        <w:rPr>
          <w:rFonts w:ascii="Times New Roman" w:hAnsi="Times New Roman" w:cs="Times New Roman"/>
          <w:b w:val="0"/>
          <w:bCs w:val="0"/>
          <w:sz w:val="26"/>
          <w:szCs w:val="26"/>
        </w:rPr>
        <w:t>,</w:t>
      </w:r>
      <w:r w:rsidR="0029426A" w:rsidRPr="00306E10">
        <w:rPr>
          <w:rFonts w:ascii="Times New Roman" w:hAnsi="Times New Roman" w:cs="Times New Roman"/>
          <w:b w:val="0"/>
          <w:bCs w:val="0"/>
          <w:sz w:val="26"/>
          <w:szCs w:val="26"/>
        </w:rPr>
        <w:t xml:space="preserve"> </w:t>
      </w:r>
      <w:r w:rsidRPr="00306E10">
        <w:rPr>
          <w:rFonts w:ascii="Times New Roman" w:hAnsi="Times New Roman" w:cs="Times New Roman"/>
          <w:b w:val="0"/>
          <w:bCs w:val="0"/>
          <w:sz w:val="26"/>
          <w:szCs w:val="26"/>
        </w:rPr>
        <w:t xml:space="preserve">shall </w:t>
      </w:r>
      <w:r w:rsidR="0029426A" w:rsidRPr="00306E10">
        <w:rPr>
          <w:rFonts w:ascii="Times New Roman" w:hAnsi="Times New Roman" w:cs="Times New Roman"/>
          <w:b w:val="0"/>
          <w:bCs w:val="0"/>
          <w:sz w:val="26"/>
          <w:szCs w:val="26"/>
        </w:rPr>
        <w:t xml:space="preserve">continue </w:t>
      </w:r>
      <w:r w:rsidR="00907BEB" w:rsidRPr="00306E10">
        <w:rPr>
          <w:rFonts w:ascii="Times New Roman" w:hAnsi="Times New Roman" w:cs="Times New Roman"/>
          <w:b w:val="0"/>
          <w:bCs w:val="0"/>
          <w:sz w:val="26"/>
          <w:szCs w:val="26"/>
        </w:rPr>
        <w:t xml:space="preserve">for the duration of the arrangement </w:t>
      </w:r>
      <w:r w:rsidR="0029426A" w:rsidRPr="00306E10">
        <w:rPr>
          <w:rFonts w:ascii="Times New Roman" w:hAnsi="Times New Roman" w:cs="Times New Roman"/>
          <w:b w:val="0"/>
          <w:bCs w:val="0"/>
          <w:sz w:val="26"/>
          <w:szCs w:val="26"/>
        </w:rPr>
        <w:t xml:space="preserve">under the terms and conditions outlined </w:t>
      </w:r>
      <w:r w:rsidR="00F31A9B" w:rsidRPr="00306E10">
        <w:rPr>
          <w:rFonts w:ascii="Times New Roman" w:hAnsi="Times New Roman" w:cs="Times New Roman"/>
          <w:b w:val="0"/>
          <w:bCs w:val="0"/>
          <w:sz w:val="26"/>
          <w:szCs w:val="26"/>
        </w:rPr>
        <w:t xml:space="preserve">in </w:t>
      </w:r>
      <w:r w:rsidR="0029426A" w:rsidRPr="00306E10">
        <w:rPr>
          <w:rFonts w:ascii="Times New Roman" w:hAnsi="Times New Roman" w:cs="Times New Roman"/>
          <w:b w:val="0"/>
          <w:bCs w:val="0"/>
          <w:sz w:val="26"/>
          <w:szCs w:val="26"/>
        </w:rPr>
        <w:t>the March 18, 2021</w:t>
      </w:r>
      <w:r w:rsidR="00A11E42">
        <w:rPr>
          <w:rFonts w:ascii="Times New Roman" w:hAnsi="Times New Roman" w:cs="Times New Roman"/>
          <w:b w:val="0"/>
          <w:bCs w:val="0"/>
          <w:sz w:val="26"/>
          <w:szCs w:val="26"/>
        </w:rPr>
        <w:t>,</w:t>
      </w:r>
      <w:r w:rsidR="0029426A" w:rsidRPr="00306E10">
        <w:rPr>
          <w:rFonts w:ascii="Times New Roman" w:hAnsi="Times New Roman" w:cs="Times New Roman"/>
          <w:b w:val="0"/>
          <w:bCs w:val="0"/>
          <w:sz w:val="26"/>
          <w:szCs w:val="26"/>
        </w:rPr>
        <w:t xml:space="preserve"> Order.</w:t>
      </w:r>
      <w:r w:rsidR="00F31A9B" w:rsidRPr="00306E10">
        <w:rPr>
          <w:rFonts w:ascii="Times New Roman" w:hAnsi="Times New Roman" w:cs="Times New Roman"/>
          <w:b w:val="0"/>
          <w:bCs w:val="0"/>
          <w:sz w:val="26"/>
          <w:szCs w:val="26"/>
        </w:rPr>
        <w:t xml:space="preserve">  </w:t>
      </w:r>
      <w:r w:rsidR="006A36F9" w:rsidRPr="00306E10">
        <w:rPr>
          <w:rFonts w:ascii="Times New Roman" w:hAnsi="Times New Roman" w:cs="Times New Roman"/>
          <w:b w:val="0"/>
          <w:bCs w:val="0"/>
          <w:sz w:val="26"/>
          <w:szCs w:val="26"/>
        </w:rPr>
        <w:t xml:space="preserve">After September 30, 2021, payment arrangements must adhere to the provisions of the Public Utility Code and Commission regulations.  </w:t>
      </w:r>
    </w:p>
    <w:p w14:paraId="44B4DC5C" w14:textId="77777777" w:rsidR="00C52231" w:rsidRPr="00C52231" w:rsidRDefault="00C52231" w:rsidP="00C52231"/>
    <w:p w14:paraId="69768166" w14:textId="77777777" w:rsidR="001C1656" w:rsidRPr="00306E10" w:rsidRDefault="001C1656" w:rsidP="0004737B">
      <w:pPr>
        <w:spacing w:line="360" w:lineRule="auto"/>
        <w:ind w:firstLine="720"/>
        <w:jc w:val="center"/>
        <w:rPr>
          <w:b/>
          <w:bCs/>
          <w:caps/>
          <w:sz w:val="26"/>
          <w:szCs w:val="26"/>
        </w:rPr>
      </w:pPr>
      <w:r w:rsidRPr="00306E10">
        <w:rPr>
          <w:b/>
          <w:bCs/>
          <w:caps/>
          <w:sz w:val="26"/>
          <w:szCs w:val="26"/>
        </w:rPr>
        <w:lastRenderedPageBreak/>
        <w:t>Extraordinary Expenses Incurred by Utilities</w:t>
      </w:r>
    </w:p>
    <w:p w14:paraId="024F06F1" w14:textId="77777777" w:rsidR="00E62D1E" w:rsidRPr="00306E10" w:rsidRDefault="008E6118" w:rsidP="00306E10">
      <w:pPr>
        <w:spacing w:line="360" w:lineRule="auto"/>
        <w:rPr>
          <w:i/>
          <w:iCs/>
          <w:sz w:val="26"/>
          <w:szCs w:val="26"/>
        </w:rPr>
      </w:pPr>
      <w:r w:rsidRPr="00306E10">
        <w:rPr>
          <w:sz w:val="26"/>
          <w:szCs w:val="26"/>
        </w:rPr>
        <w:tab/>
      </w:r>
      <w:r w:rsidR="00F57740" w:rsidRPr="00306E10">
        <w:rPr>
          <w:sz w:val="26"/>
          <w:szCs w:val="26"/>
        </w:rPr>
        <w:t xml:space="preserve">The Commission </w:t>
      </w:r>
      <w:r w:rsidR="008579A7" w:rsidRPr="00306E10">
        <w:rPr>
          <w:sz w:val="26"/>
          <w:szCs w:val="26"/>
        </w:rPr>
        <w:t xml:space="preserve">acknowledged in its </w:t>
      </w:r>
      <w:r w:rsidR="00F57740" w:rsidRPr="00306E10">
        <w:rPr>
          <w:sz w:val="26"/>
          <w:szCs w:val="26"/>
        </w:rPr>
        <w:t>March 1</w:t>
      </w:r>
      <w:r w:rsidR="008579A7" w:rsidRPr="00306E10">
        <w:rPr>
          <w:sz w:val="26"/>
          <w:szCs w:val="26"/>
        </w:rPr>
        <w:t>8, 2021</w:t>
      </w:r>
      <w:r w:rsidR="00F77E00">
        <w:rPr>
          <w:sz w:val="26"/>
          <w:szCs w:val="26"/>
        </w:rPr>
        <w:t>,</w:t>
      </w:r>
      <w:r w:rsidR="008579A7" w:rsidRPr="00306E10">
        <w:rPr>
          <w:sz w:val="26"/>
          <w:szCs w:val="26"/>
        </w:rPr>
        <w:t xml:space="preserve"> </w:t>
      </w:r>
      <w:r w:rsidR="001F1FA2" w:rsidRPr="00306E10">
        <w:rPr>
          <w:sz w:val="26"/>
          <w:szCs w:val="26"/>
        </w:rPr>
        <w:t>Order</w:t>
      </w:r>
      <w:r w:rsidR="008579A7" w:rsidRPr="00306E10">
        <w:rPr>
          <w:sz w:val="26"/>
          <w:szCs w:val="26"/>
        </w:rPr>
        <w:t xml:space="preserve"> that its COVID-19 related Orders </w:t>
      </w:r>
      <w:r w:rsidR="00F57740" w:rsidRPr="00306E10">
        <w:rPr>
          <w:sz w:val="26"/>
          <w:szCs w:val="26"/>
        </w:rPr>
        <w:t xml:space="preserve">may </w:t>
      </w:r>
      <w:r w:rsidR="008579A7" w:rsidRPr="00306E10">
        <w:rPr>
          <w:sz w:val="26"/>
          <w:szCs w:val="26"/>
        </w:rPr>
        <w:t xml:space="preserve">benefit customers and </w:t>
      </w:r>
      <w:r w:rsidR="00F57740" w:rsidRPr="00306E10">
        <w:rPr>
          <w:sz w:val="26"/>
          <w:szCs w:val="26"/>
        </w:rPr>
        <w:t xml:space="preserve">increase expenses for utilities. </w:t>
      </w:r>
      <w:r w:rsidR="006A4E31" w:rsidRPr="00306E10">
        <w:rPr>
          <w:sz w:val="26"/>
          <w:szCs w:val="26"/>
        </w:rPr>
        <w:t xml:space="preserve"> </w:t>
      </w:r>
      <w:r w:rsidR="00F57740" w:rsidRPr="00306E10">
        <w:rPr>
          <w:sz w:val="26"/>
          <w:szCs w:val="26"/>
        </w:rPr>
        <w:t>Consistent with our May 13</w:t>
      </w:r>
      <w:r w:rsidR="00C00931" w:rsidRPr="00306E10">
        <w:rPr>
          <w:sz w:val="26"/>
          <w:szCs w:val="26"/>
        </w:rPr>
        <w:t>, 2020</w:t>
      </w:r>
      <w:r w:rsidR="00F77E00">
        <w:rPr>
          <w:sz w:val="26"/>
          <w:szCs w:val="26"/>
        </w:rPr>
        <w:t>,</w:t>
      </w:r>
      <w:r w:rsidR="00F57740" w:rsidRPr="00306E10">
        <w:rPr>
          <w:sz w:val="26"/>
          <w:szCs w:val="26"/>
        </w:rPr>
        <w:t xml:space="preserve"> Secretarial letter </w:t>
      </w:r>
      <w:r w:rsidR="00023296" w:rsidRPr="00306E10">
        <w:rPr>
          <w:sz w:val="26"/>
          <w:szCs w:val="26"/>
        </w:rPr>
        <w:t xml:space="preserve">at Docket No. M-2020-3019775, </w:t>
      </w:r>
      <w:r w:rsidR="004E1D99" w:rsidRPr="00306E10">
        <w:rPr>
          <w:sz w:val="26"/>
          <w:szCs w:val="26"/>
        </w:rPr>
        <w:t xml:space="preserve">the Commission hereby confirms that </w:t>
      </w:r>
      <w:r w:rsidR="00F57740" w:rsidRPr="00306E10">
        <w:rPr>
          <w:sz w:val="26"/>
          <w:szCs w:val="26"/>
        </w:rPr>
        <w:t xml:space="preserve">utilities shall continue tracking extraordinary, nonrecurring incremental COVID-19 related expenses and shall maintain detailed accounting records of such expenses. </w:t>
      </w:r>
      <w:r w:rsidR="006A4E31" w:rsidRPr="00306E10">
        <w:rPr>
          <w:sz w:val="26"/>
          <w:szCs w:val="26"/>
        </w:rPr>
        <w:t xml:space="preserve"> </w:t>
      </w:r>
      <w:r w:rsidR="00F57740" w:rsidRPr="00306E10">
        <w:rPr>
          <w:sz w:val="26"/>
          <w:szCs w:val="26"/>
        </w:rPr>
        <w:t xml:space="preserve">Additionally, the Commission </w:t>
      </w:r>
      <w:r w:rsidR="004E1D99" w:rsidRPr="00306E10">
        <w:rPr>
          <w:sz w:val="26"/>
          <w:szCs w:val="26"/>
        </w:rPr>
        <w:t xml:space="preserve">hereby confirms that </w:t>
      </w:r>
      <w:r w:rsidR="00F57740" w:rsidRPr="00306E10">
        <w:rPr>
          <w:sz w:val="26"/>
          <w:szCs w:val="26"/>
        </w:rPr>
        <w:t xml:space="preserve">electric, natural gas, water, wastewater, </w:t>
      </w:r>
      <w:r w:rsidR="006A4E31" w:rsidRPr="00306E10">
        <w:rPr>
          <w:sz w:val="26"/>
          <w:szCs w:val="26"/>
        </w:rPr>
        <w:t>steam,</w:t>
      </w:r>
      <w:r w:rsidR="00F57740" w:rsidRPr="00306E10">
        <w:rPr>
          <w:sz w:val="26"/>
          <w:szCs w:val="26"/>
        </w:rPr>
        <w:t xml:space="preserve"> and all rate base/rate of return </w:t>
      </w:r>
      <w:r w:rsidR="006A4E31" w:rsidRPr="00306E10">
        <w:rPr>
          <w:sz w:val="26"/>
          <w:szCs w:val="26"/>
        </w:rPr>
        <w:t>t</w:t>
      </w:r>
      <w:r w:rsidR="00F57740" w:rsidRPr="00306E10">
        <w:rPr>
          <w:sz w:val="26"/>
          <w:szCs w:val="26"/>
        </w:rPr>
        <w:t xml:space="preserve">elecommunications utilities </w:t>
      </w:r>
      <w:r w:rsidR="004E1D99" w:rsidRPr="00306E10">
        <w:rPr>
          <w:sz w:val="26"/>
          <w:szCs w:val="26"/>
        </w:rPr>
        <w:t xml:space="preserve">are authorized </w:t>
      </w:r>
      <w:r w:rsidR="00F57740" w:rsidRPr="00306E10">
        <w:rPr>
          <w:sz w:val="26"/>
          <w:szCs w:val="26"/>
        </w:rPr>
        <w:t xml:space="preserve">to create a regulatory asset for any incremental expenses incurred above those embedded in rates resulting from the directives contained in this Order. </w:t>
      </w:r>
      <w:r w:rsidR="006A4E31" w:rsidRPr="00306E10">
        <w:rPr>
          <w:sz w:val="26"/>
          <w:szCs w:val="26"/>
        </w:rPr>
        <w:t xml:space="preserve"> </w:t>
      </w:r>
      <w:r w:rsidR="00F57740" w:rsidRPr="00306E10">
        <w:rPr>
          <w:sz w:val="26"/>
          <w:szCs w:val="26"/>
        </w:rPr>
        <w:t xml:space="preserve">To be eligible for inclusion in a utility’s COVID-19 designated regulatory asset, the utility must maintain detailed records of the incremental extraordinary, nonrecurring expenses incurred as a result of compliance with the Commission’s March </w:t>
      </w:r>
      <w:r w:rsidR="001F1FA2" w:rsidRPr="00306E10">
        <w:rPr>
          <w:sz w:val="26"/>
          <w:szCs w:val="26"/>
        </w:rPr>
        <w:t>13 Emergency Order</w:t>
      </w:r>
      <w:r w:rsidR="00912073" w:rsidRPr="00306E10">
        <w:rPr>
          <w:sz w:val="26"/>
          <w:szCs w:val="26"/>
        </w:rPr>
        <w:t>,</w:t>
      </w:r>
      <w:r w:rsidR="0079206A" w:rsidRPr="00306E10">
        <w:rPr>
          <w:sz w:val="26"/>
          <w:szCs w:val="26"/>
        </w:rPr>
        <w:t xml:space="preserve"> the</w:t>
      </w:r>
      <w:r w:rsidR="00912073" w:rsidRPr="00306E10">
        <w:rPr>
          <w:sz w:val="26"/>
          <w:szCs w:val="26"/>
        </w:rPr>
        <w:t xml:space="preserve"> </w:t>
      </w:r>
      <w:r w:rsidR="00F57740" w:rsidRPr="00306E10">
        <w:rPr>
          <w:sz w:val="26"/>
          <w:szCs w:val="26"/>
        </w:rPr>
        <w:t>October 13</w:t>
      </w:r>
      <w:r w:rsidR="001F1FA2" w:rsidRPr="00306E10">
        <w:rPr>
          <w:sz w:val="26"/>
          <w:szCs w:val="26"/>
        </w:rPr>
        <w:t xml:space="preserve"> </w:t>
      </w:r>
      <w:r w:rsidR="00F57740" w:rsidRPr="00306E10">
        <w:rPr>
          <w:sz w:val="26"/>
          <w:szCs w:val="26"/>
        </w:rPr>
        <w:t xml:space="preserve">Order, </w:t>
      </w:r>
      <w:r w:rsidR="004E1D99" w:rsidRPr="00306E10">
        <w:rPr>
          <w:sz w:val="26"/>
          <w:szCs w:val="26"/>
        </w:rPr>
        <w:t>the Ma</w:t>
      </w:r>
      <w:r w:rsidR="00E62D1E" w:rsidRPr="00306E10">
        <w:rPr>
          <w:sz w:val="26"/>
          <w:szCs w:val="26"/>
        </w:rPr>
        <w:t>rch</w:t>
      </w:r>
      <w:r w:rsidR="004E1D99" w:rsidRPr="00306E10">
        <w:rPr>
          <w:sz w:val="26"/>
          <w:szCs w:val="26"/>
        </w:rPr>
        <w:t xml:space="preserve"> 18, </w:t>
      </w:r>
      <w:r w:rsidR="0004737B" w:rsidRPr="00306E10">
        <w:rPr>
          <w:sz w:val="26"/>
          <w:szCs w:val="26"/>
        </w:rPr>
        <w:t>2021,</w:t>
      </w:r>
      <w:r w:rsidR="004E1D99" w:rsidRPr="00306E10">
        <w:rPr>
          <w:sz w:val="26"/>
          <w:szCs w:val="26"/>
        </w:rPr>
        <w:t xml:space="preserve"> Order </w:t>
      </w:r>
      <w:r w:rsidR="00F57740" w:rsidRPr="00306E10">
        <w:rPr>
          <w:sz w:val="26"/>
          <w:szCs w:val="26"/>
        </w:rPr>
        <w:t>and this Order.</w:t>
      </w:r>
      <w:r w:rsidR="00E62D1E" w:rsidRPr="00306E10">
        <w:rPr>
          <w:sz w:val="26"/>
          <w:szCs w:val="26"/>
        </w:rPr>
        <w:t xml:space="preserve">  </w:t>
      </w:r>
    </w:p>
    <w:p w14:paraId="2CC9F9B5" w14:textId="77777777" w:rsidR="00090078" w:rsidRPr="00306E10" w:rsidRDefault="00090078" w:rsidP="00325317">
      <w:pPr>
        <w:spacing w:line="360" w:lineRule="auto"/>
        <w:rPr>
          <w:sz w:val="26"/>
          <w:szCs w:val="26"/>
        </w:rPr>
      </w:pPr>
    </w:p>
    <w:p w14:paraId="5B7D6A66" w14:textId="77777777" w:rsidR="00090078" w:rsidRPr="00306E10" w:rsidRDefault="001C1656" w:rsidP="00B03CCC">
      <w:pPr>
        <w:spacing w:line="360" w:lineRule="auto"/>
        <w:ind w:firstLine="720"/>
        <w:jc w:val="center"/>
        <w:rPr>
          <w:b/>
          <w:bCs/>
          <w:caps/>
          <w:sz w:val="26"/>
          <w:szCs w:val="26"/>
        </w:rPr>
      </w:pPr>
      <w:r w:rsidRPr="00306E10">
        <w:rPr>
          <w:b/>
          <w:bCs/>
          <w:caps/>
          <w:sz w:val="26"/>
          <w:szCs w:val="26"/>
        </w:rPr>
        <w:t xml:space="preserve">Additional Utility </w:t>
      </w:r>
      <w:r w:rsidR="00292D5E" w:rsidRPr="00306E10">
        <w:rPr>
          <w:b/>
          <w:bCs/>
          <w:caps/>
          <w:sz w:val="26"/>
          <w:szCs w:val="26"/>
        </w:rPr>
        <w:t xml:space="preserve">Quarterly </w:t>
      </w:r>
      <w:r w:rsidRPr="00306E10">
        <w:rPr>
          <w:b/>
          <w:bCs/>
          <w:caps/>
          <w:sz w:val="26"/>
          <w:szCs w:val="26"/>
        </w:rPr>
        <w:t>Reporting Requirements</w:t>
      </w:r>
    </w:p>
    <w:p w14:paraId="7567AD22" w14:textId="77777777" w:rsidR="003D257E" w:rsidRDefault="004E1D99" w:rsidP="00C52231">
      <w:pPr>
        <w:pStyle w:val="Heading1"/>
        <w:shd w:val="clear" w:color="auto" w:fill="FFFFFF"/>
        <w:spacing w:before="0" w:after="0" w:line="360" w:lineRule="auto"/>
        <w:ind w:firstLine="720"/>
        <w:rPr>
          <w:rFonts w:ascii="Times New Roman" w:hAnsi="Times New Roman" w:cs="Times New Roman"/>
          <w:b w:val="0"/>
          <w:bCs w:val="0"/>
          <w:sz w:val="26"/>
          <w:szCs w:val="26"/>
        </w:rPr>
      </w:pPr>
      <w:r w:rsidRPr="00306E10">
        <w:rPr>
          <w:rFonts w:ascii="Times New Roman" w:hAnsi="Times New Roman" w:cs="Times New Roman"/>
          <w:b w:val="0"/>
          <w:bCs w:val="0"/>
          <w:sz w:val="26"/>
          <w:szCs w:val="26"/>
        </w:rPr>
        <w:t xml:space="preserve">Pursuant to the March 18, </w:t>
      </w:r>
      <w:r w:rsidR="00296D3B" w:rsidRPr="00306E10">
        <w:rPr>
          <w:rFonts w:ascii="Times New Roman" w:hAnsi="Times New Roman" w:cs="Times New Roman"/>
          <w:b w:val="0"/>
          <w:bCs w:val="0"/>
          <w:sz w:val="26"/>
          <w:szCs w:val="26"/>
        </w:rPr>
        <w:t>2021</w:t>
      </w:r>
      <w:r w:rsidR="00F77E00">
        <w:rPr>
          <w:rFonts w:ascii="Times New Roman" w:hAnsi="Times New Roman" w:cs="Times New Roman"/>
          <w:b w:val="0"/>
          <w:bCs w:val="0"/>
          <w:sz w:val="26"/>
          <w:szCs w:val="26"/>
        </w:rPr>
        <w:t>,</w:t>
      </w:r>
      <w:r w:rsidRPr="00306E10">
        <w:rPr>
          <w:rFonts w:ascii="Times New Roman" w:hAnsi="Times New Roman" w:cs="Times New Roman"/>
          <w:b w:val="0"/>
          <w:bCs w:val="0"/>
          <w:sz w:val="26"/>
          <w:szCs w:val="26"/>
        </w:rPr>
        <w:t xml:space="preserve"> Order </w:t>
      </w:r>
      <w:r w:rsidR="008E6118" w:rsidRPr="00306E10">
        <w:rPr>
          <w:rFonts w:ascii="Times New Roman" w:hAnsi="Times New Roman" w:cs="Times New Roman"/>
          <w:b w:val="0"/>
          <w:bCs w:val="0"/>
          <w:sz w:val="26"/>
          <w:szCs w:val="26"/>
        </w:rPr>
        <w:t xml:space="preserve">all electric, natural gas, water, wastewater, telecommunications, and steam </w:t>
      </w:r>
      <w:r w:rsidR="00F57740" w:rsidRPr="00306E10">
        <w:rPr>
          <w:rFonts w:ascii="Times New Roman" w:hAnsi="Times New Roman" w:cs="Times New Roman"/>
          <w:b w:val="0"/>
          <w:bCs w:val="0"/>
          <w:sz w:val="26"/>
          <w:szCs w:val="26"/>
        </w:rPr>
        <w:t xml:space="preserve">utilities </w:t>
      </w:r>
      <w:r w:rsidR="008E6118" w:rsidRPr="00306E10">
        <w:rPr>
          <w:rFonts w:ascii="Times New Roman" w:hAnsi="Times New Roman" w:cs="Times New Roman"/>
          <w:b w:val="0"/>
          <w:bCs w:val="0"/>
          <w:sz w:val="26"/>
          <w:szCs w:val="26"/>
        </w:rPr>
        <w:t xml:space="preserve">subject to the Commission’s jurisdiction </w:t>
      </w:r>
      <w:r w:rsidRPr="00306E10">
        <w:rPr>
          <w:rFonts w:ascii="Times New Roman" w:hAnsi="Times New Roman" w:cs="Times New Roman"/>
          <w:b w:val="0"/>
          <w:bCs w:val="0"/>
          <w:sz w:val="26"/>
          <w:szCs w:val="26"/>
        </w:rPr>
        <w:t xml:space="preserve">have </w:t>
      </w:r>
      <w:r w:rsidR="009E2723" w:rsidRPr="00306E10">
        <w:rPr>
          <w:rFonts w:ascii="Times New Roman" w:hAnsi="Times New Roman" w:cs="Times New Roman"/>
          <w:b w:val="0"/>
          <w:bCs w:val="0"/>
          <w:sz w:val="26"/>
          <w:szCs w:val="26"/>
        </w:rPr>
        <w:t xml:space="preserve">been </w:t>
      </w:r>
      <w:r w:rsidR="00515CC1" w:rsidRPr="00306E10">
        <w:rPr>
          <w:rFonts w:ascii="Times New Roman" w:hAnsi="Times New Roman" w:cs="Times New Roman"/>
          <w:b w:val="0"/>
          <w:bCs w:val="0"/>
          <w:sz w:val="26"/>
          <w:szCs w:val="26"/>
        </w:rPr>
        <w:t xml:space="preserve">directed to </w:t>
      </w:r>
      <w:r w:rsidR="00F57740" w:rsidRPr="00306E10">
        <w:rPr>
          <w:rFonts w:ascii="Times New Roman" w:hAnsi="Times New Roman" w:cs="Times New Roman"/>
          <w:b w:val="0"/>
          <w:bCs w:val="0"/>
          <w:sz w:val="26"/>
          <w:szCs w:val="26"/>
        </w:rPr>
        <w:t>report</w:t>
      </w:r>
      <w:r w:rsidRPr="00306E10">
        <w:rPr>
          <w:rFonts w:ascii="Times New Roman" w:hAnsi="Times New Roman" w:cs="Times New Roman"/>
          <w:b w:val="0"/>
          <w:bCs w:val="0"/>
          <w:sz w:val="26"/>
          <w:szCs w:val="26"/>
        </w:rPr>
        <w:t xml:space="preserve"> </w:t>
      </w:r>
      <w:r w:rsidR="00F57740" w:rsidRPr="00306E10">
        <w:rPr>
          <w:rFonts w:ascii="Times New Roman" w:hAnsi="Times New Roman" w:cs="Times New Roman"/>
          <w:b w:val="0"/>
          <w:bCs w:val="0"/>
          <w:sz w:val="26"/>
          <w:szCs w:val="26"/>
        </w:rPr>
        <w:t xml:space="preserve">information to the Commission quarterly </w:t>
      </w:r>
      <w:r w:rsidRPr="00306E10">
        <w:rPr>
          <w:rFonts w:ascii="Times New Roman" w:hAnsi="Times New Roman" w:cs="Times New Roman"/>
          <w:b w:val="0"/>
          <w:bCs w:val="0"/>
          <w:sz w:val="26"/>
          <w:szCs w:val="26"/>
        </w:rPr>
        <w:t>concerning accounts at risk of termination, aggregate dollars of arrears</w:t>
      </w:r>
      <w:r w:rsidR="009E2723" w:rsidRPr="00306E10">
        <w:rPr>
          <w:rFonts w:ascii="Times New Roman" w:hAnsi="Times New Roman" w:cs="Times New Roman"/>
          <w:b w:val="0"/>
          <w:bCs w:val="0"/>
          <w:sz w:val="26"/>
          <w:szCs w:val="26"/>
        </w:rPr>
        <w:t xml:space="preserve"> and the number of accounts disconnected for non-payment with dollar amounts owed, including CAP and non-CAP low-income accounts.  The remaining reports under the March 18, </w:t>
      </w:r>
      <w:r w:rsidR="0037272A" w:rsidRPr="00306E10">
        <w:rPr>
          <w:rFonts w:ascii="Times New Roman" w:hAnsi="Times New Roman" w:cs="Times New Roman"/>
          <w:b w:val="0"/>
          <w:bCs w:val="0"/>
          <w:sz w:val="26"/>
          <w:szCs w:val="26"/>
        </w:rPr>
        <w:t>2021,</w:t>
      </w:r>
      <w:r w:rsidR="009E2723" w:rsidRPr="00306E10">
        <w:rPr>
          <w:rFonts w:ascii="Times New Roman" w:hAnsi="Times New Roman" w:cs="Times New Roman"/>
          <w:b w:val="0"/>
          <w:bCs w:val="0"/>
          <w:sz w:val="26"/>
          <w:szCs w:val="26"/>
        </w:rPr>
        <w:t xml:space="preserve"> Order are to </w:t>
      </w:r>
      <w:r w:rsidR="00F57740" w:rsidRPr="00306E10">
        <w:rPr>
          <w:rFonts w:ascii="Times New Roman" w:hAnsi="Times New Roman" w:cs="Times New Roman"/>
          <w:b w:val="0"/>
          <w:bCs w:val="0"/>
          <w:sz w:val="26"/>
          <w:szCs w:val="26"/>
        </w:rPr>
        <w:t xml:space="preserve">be filed </w:t>
      </w:r>
      <w:r w:rsidR="00515CC1" w:rsidRPr="00306E10">
        <w:rPr>
          <w:rFonts w:ascii="Times New Roman" w:hAnsi="Times New Roman" w:cs="Times New Roman"/>
          <w:b w:val="0"/>
          <w:bCs w:val="0"/>
          <w:sz w:val="26"/>
          <w:szCs w:val="26"/>
        </w:rPr>
        <w:t xml:space="preserve">with the Commission </w:t>
      </w:r>
      <w:r w:rsidR="00F57740" w:rsidRPr="00306E10">
        <w:rPr>
          <w:rFonts w:ascii="Times New Roman" w:hAnsi="Times New Roman" w:cs="Times New Roman"/>
          <w:b w:val="0"/>
          <w:bCs w:val="0"/>
          <w:sz w:val="26"/>
          <w:szCs w:val="26"/>
        </w:rPr>
        <w:t>by the 15</w:t>
      </w:r>
      <w:r w:rsidR="00F57740" w:rsidRPr="00306E10">
        <w:rPr>
          <w:rFonts w:ascii="Times New Roman" w:hAnsi="Times New Roman" w:cs="Times New Roman"/>
          <w:b w:val="0"/>
          <w:bCs w:val="0"/>
          <w:sz w:val="26"/>
          <w:szCs w:val="26"/>
          <w:vertAlign w:val="superscript"/>
        </w:rPr>
        <w:t>th</w:t>
      </w:r>
      <w:r w:rsidR="00F57740" w:rsidRPr="00306E10">
        <w:rPr>
          <w:rFonts w:ascii="Times New Roman" w:hAnsi="Times New Roman" w:cs="Times New Roman"/>
          <w:b w:val="0"/>
          <w:bCs w:val="0"/>
          <w:sz w:val="26"/>
          <w:szCs w:val="26"/>
        </w:rPr>
        <w:t xml:space="preserve"> of July 2021, relevant to the 2</w:t>
      </w:r>
      <w:r w:rsidR="00F57740" w:rsidRPr="00306E10">
        <w:rPr>
          <w:rFonts w:ascii="Times New Roman" w:hAnsi="Times New Roman" w:cs="Times New Roman"/>
          <w:b w:val="0"/>
          <w:bCs w:val="0"/>
          <w:sz w:val="26"/>
          <w:szCs w:val="26"/>
          <w:vertAlign w:val="superscript"/>
        </w:rPr>
        <w:t>nd</w:t>
      </w:r>
      <w:r w:rsidR="00F57740" w:rsidRPr="00306E10">
        <w:rPr>
          <w:rFonts w:ascii="Times New Roman" w:hAnsi="Times New Roman" w:cs="Times New Roman"/>
          <w:b w:val="0"/>
          <w:bCs w:val="0"/>
          <w:sz w:val="26"/>
          <w:szCs w:val="26"/>
        </w:rPr>
        <w:t xml:space="preserve"> quarter of 2021</w:t>
      </w:r>
      <w:r w:rsidR="00515CC1" w:rsidRPr="00306E10">
        <w:rPr>
          <w:rFonts w:ascii="Times New Roman" w:hAnsi="Times New Roman" w:cs="Times New Roman"/>
          <w:b w:val="0"/>
          <w:bCs w:val="0"/>
          <w:sz w:val="26"/>
          <w:szCs w:val="26"/>
        </w:rPr>
        <w:t>;</w:t>
      </w:r>
      <w:r w:rsidR="009E2723" w:rsidRPr="00306E10">
        <w:rPr>
          <w:rFonts w:ascii="Times New Roman" w:hAnsi="Times New Roman" w:cs="Times New Roman"/>
          <w:b w:val="0"/>
          <w:bCs w:val="0"/>
          <w:sz w:val="26"/>
          <w:szCs w:val="26"/>
        </w:rPr>
        <w:t xml:space="preserve"> </w:t>
      </w:r>
      <w:r w:rsidR="00515CC1" w:rsidRPr="00306E10">
        <w:rPr>
          <w:rFonts w:ascii="Times New Roman" w:hAnsi="Times New Roman" w:cs="Times New Roman"/>
          <w:b w:val="0"/>
          <w:bCs w:val="0"/>
          <w:sz w:val="26"/>
          <w:szCs w:val="26"/>
        </w:rPr>
        <w:t xml:space="preserve">by </w:t>
      </w:r>
      <w:r w:rsidR="009E2723" w:rsidRPr="00306E10">
        <w:rPr>
          <w:rFonts w:ascii="Times New Roman" w:hAnsi="Times New Roman" w:cs="Times New Roman"/>
          <w:b w:val="0"/>
          <w:bCs w:val="0"/>
          <w:sz w:val="26"/>
          <w:szCs w:val="26"/>
        </w:rPr>
        <w:t>the 15</w:t>
      </w:r>
      <w:r w:rsidR="009E2723" w:rsidRPr="00306E10">
        <w:rPr>
          <w:rFonts w:ascii="Times New Roman" w:hAnsi="Times New Roman" w:cs="Times New Roman"/>
          <w:b w:val="0"/>
          <w:bCs w:val="0"/>
          <w:sz w:val="26"/>
          <w:szCs w:val="26"/>
          <w:vertAlign w:val="superscript"/>
        </w:rPr>
        <w:t>th</w:t>
      </w:r>
      <w:r w:rsidR="009E2723" w:rsidRPr="00306E10">
        <w:rPr>
          <w:rFonts w:ascii="Times New Roman" w:hAnsi="Times New Roman" w:cs="Times New Roman"/>
          <w:b w:val="0"/>
          <w:bCs w:val="0"/>
          <w:sz w:val="26"/>
          <w:szCs w:val="26"/>
        </w:rPr>
        <w:t xml:space="preserve"> of October, relevant to the 3</w:t>
      </w:r>
      <w:r w:rsidR="00442823">
        <w:rPr>
          <w:rFonts w:ascii="Times New Roman" w:hAnsi="Times New Roman" w:cs="Times New Roman"/>
          <w:b w:val="0"/>
          <w:bCs w:val="0"/>
          <w:sz w:val="26"/>
          <w:szCs w:val="26"/>
        </w:rPr>
        <w:t>rd</w:t>
      </w:r>
      <w:r w:rsidR="009E2723" w:rsidRPr="00306E10">
        <w:rPr>
          <w:rFonts w:ascii="Times New Roman" w:hAnsi="Times New Roman" w:cs="Times New Roman"/>
          <w:b w:val="0"/>
          <w:bCs w:val="0"/>
          <w:sz w:val="26"/>
          <w:szCs w:val="26"/>
        </w:rPr>
        <w:t xml:space="preserve"> quarter of 2021; </w:t>
      </w:r>
      <w:r w:rsidR="00F57740" w:rsidRPr="00306E10">
        <w:rPr>
          <w:rFonts w:ascii="Times New Roman" w:hAnsi="Times New Roman" w:cs="Times New Roman"/>
          <w:b w:val="0"/>
          <w:bCs w:val="0"/>
          <w:sz w:val="26"/>
          <w:szCs w:val="26"/>
        </w:rPr>
        <w:t xml:space="preserve">and </w:t>
      </w:r>
      <w:r w:rsidR="00515CC1" w:rsidRPr="00306E10">
        <w:rPr>
          <w:rFonts w:ascii="Times New Roman" w:hAnsi="Times New Roman" w:cs="Times New Roman"/>
          <w:b w:val="0"/>
          <w:bCs w:val="0"/>
          <w:sz w:val="26"/>
          <w:szCs w:val="26"/>
        </w:rPr>
        <w:t xml:space="preserve">by </w:t>
      </w:r>
      <w:r w:rsidR="009E2723" w:rsidRPr="00306E10">
        <w:rPr>
          <w:rFonts w:ascii="Times New Roman" w:hAnsi="Times New Roman" w:cs="Times New Roman"/>
          <w:b w:val="0"/>
          <w:bCs w:val="0"/>
          <w:sz w:val="26"/>
          <w:szCs w:val="26"/>
        </w:rPr>
        <w:t>the 15</w:t>
      </w:r>
      <w:r w:rsidR="009E2723" w:rsidRPr="00306E10">
        <w:rPr>
          <w:rFonts w:ascii="Times New Roman" w:hAnsi="Times New Roman" w:cs="Times New Roman"/>
          <w:b w:val="0"/>
          <w:bCs w:val="0"/>
          <w:sz w:val="26"/>
          <w:szCs w:val="26"/>
          <w:vertAlign w:val="superscript"/>
        </w:rPr>
        <w:t>th</w:t>
      </w:r>
      <w:r w:rsidR="009E2723" w:rsidRPr="00306E10">
        <w:rPr>
          <w:rFonts w:ascii="Times New Roman" w:hAnsi="Times New Roman" w:cs="Times New Roman"/>
          <w:b w:val="0"/>
          <w:bCs w:val="0"/>
          <w:sz w:val="26"/>
          <w:szCs w:val="26"/>
        </w:rPr>
        <w:t xml:space="preserve"> of January, relevant to the 4</w:t>
      </w:r>
      <w:r w:rsidR="009E2723" w:rsidRPr="00306E10">
        <w:rPr>
          <w:rFonts w:ascii="Times New Roman" w:hAnsi="Times New Roman" w:cs="Times New Roman"/>
          <w:b w:val="0"/>
          <w:bCs w:val="0"/>
          <w:sz w:val="26"/>
          <w:szCs w:val="26"/>
          <w:vertAlign w:val="superscript"/>
        </w:rPr>
        <w:t>th</w:t>
      </w:r>
      <w:r w:rsidR="009E2723" w:rsidRPr="00306E10">
        <w:rPr>
          <w:rFonts w:ascii="Times New Roman" w:hAnsi="Times New Roman" w:cs="Times New Roman"/>
          <w:b w:val="0"/>
          <w:bCs w:val="0"/>
          <w:sz w:val="26"/>
          <w:szCs w:val="26"/>
        </w:rPr>
        <w:t xml:space="preserve"> quarter of 2021.  </w:t>
      </w:r>
      <w:r w:rsidR="00E9457D">
        <w:rPr>
          <w:rFonts w:ascii="Times New Roman" w:hAnsi="Times New Roman" w:cs="Times New Roman"/>
          <w:b w:val="0"/>
          <w:bCs w:val="0"/>
          <w:sz w:val="26"/>
          <w:szCs w:val="26"/>
        </w:rPr>
        <w:t>Pursuant to Section 504 of the Code</w:t>
      </w:r>
      <w:r w:rsidR="00766283">
        <w:rPr>
          <w:rFonts w:ascii="Times New Roman" w:hAnsi="Times New Roman" w:cs="Times New Roman"/>
          <w:b w:val="0"/>
          <w:bCs w:val="0"/>
          <w:sz w:val="26"/>
          <w:szCs w:val="26"/>
        </w:rPr>
        <w:t xml:space="preserve">, 66 Pa. C.S. </w:t>
      </w:r>
      <w:r w:rsidR="00766283" w:rsidRPr="00C24295">
        <w:rPr>
          <w:rFonts w:ascii="Times New Roman" w:hAnsi="Times New Roman" w:cs="Times New Roman"/>
          <w:b w:val="0"/>
          <w:bCs w:val="0"/>
          <w:sz w:val="26"/>
          <w:szCs w:val="26"/>
        </w:rPr>
        <w:t>§</w:t>
      </w:r>
      <w:r w:rsidR="00766283">
        <w:rPr>
          <w:rFonts w:ascii="Times New Roman" w:hAnsi="Times New Roman" w:cs="Times New Roman"/>
          <w:b w:val="0"/>
          <w:bCs w:val="0"/>
          <w:sz w:val="26"/>
          <w:szCs w:val="26"/>
        </w:rPr>
        <w:t>504</w:t>
      </w:r>
      <w:r w:rsidR="003B4929">
        <w:rPr>
          <w:rFonts w:ascii="Times New Roman" w:hAnsi="Times New Roman" w:cs="Times New Roman"/>
          <w:b w:val="0"/>
          <w:bCs w:val="0"/>
          <w:sz w:val="26"/>
          <w:szCs w:val="26"/>
        </w:rPr>
        <w:t xml:space="preserve">, </w:t>
      </w:r>
      <w:r w:rsidR="009E2723" w:rsidRPr="00306E10">
        <w:rPr>
          <w:rFonts w:ascii="Times New Roman" w:hAnsi="Times New Roman" w:cs="Times New Roman"/>
          <w:b w:val="0"/>
          <w:bCs w:val="0"/>
          <w:sz w:val="26"/>
          <w:szCs w:val="26"/>
        </w:rPr>
        <w:t xml:space="preserve">utilities </w:t>
      </w:r>
      <w:r w:rsidR="00515CC1" w:rsidRPr="00306E10">
        <w:rPr>
          <w:rFonts w:ascii="Times New Roman" w:hAnsi="Times New Roman" w:cs="Times New Roman"/>
          <w:b w:val="0"/>
          <w:bCs w:val="0"/>
          <w:sz w:val="26"/>
          <w:szCs w:val="26"/>
        </w:rPr>
        <w:t xml:space="preserve">shall </w:t>
      </w:r>
      <w:r w:rsidR="009E2723" w:rsidRPr="00306E10">
        <w:rPr>
          <w:rFonts w:ascii="Times New Roman" w:hAnsi="Times New Roman" w:cs="Times New Roman"/>
          <w:b w:val="0"/>
          <w:bCs w:val="0"/>
          <w:sz w:val="26"/>
          <w:szCs w:val="26"/>
        </w:rPr>
        <w:t xml:space="preserve">continue to provide </w:t>
      </w:r>
      <w:r w:rsidR="00515CC1" w:rsidRPr="00306E10">
        <w:rPr>
          <w:rFonts w:ascii="Times New Roman" w:hAnsi="Times New Roman" w:cs="Times New Roman"/>
          <w:b w:val="0"/>
          <w:bCs w:val="0"/>
          <w:sz w:val="26"/>
          <w:szCs w:val="26"/>
        </w:rPr>
        <w:t>the outstanding reports through the fourth quarter of 2021.</w:t>
      </w:r>
    </w:p>
    <w:p w14:paraId="2569E8A4" w14:textId="77777777" w:rsidR="00C52231" w:rsidRPr="00C52231" w:rsidRDefault="00C52231" w:rsidP="00C52231"/>
    <w:p w14:paraId="6B0E95A5" w14:textId="77777777" w:rsidR="003D257E" w:rsidRPr="00306E10" w:rsidRDefault="00914B87" w:rsidP="00DA138D">
      <w:pPr>
        <w:keepNext/>
        <w:keepLines/>
        <w:spacing w:line="360" w:lineRule="auto"/>
        <w:ind w:firstLine="720"/>
        <w:jc w:val="center"/>
        <w:rPr>
          <w:b/>
          <w:bCs/>
          <w:caps/>
          <w:sz w:val="26"/>
          <w:szCs w:val="26"/>
        </w:rPr>
      </w:pPr>
      <w:r w:rsidRPr="00306E10">
        <w:rPr>
          <w:b/>
          <w:bCs/>
          <w:caps/>
          <w:sz w:val="26"/>
          <w:szCs w:val="26"/>
        </w:rPr>
        <w:lastRenderedPageBreak/>
        <w:t>Commission-Approved COVID-19 Protection Plans</w:t>
      </w:r>
    </w:p>
    <w:p w14:paraId="298FD261" w14:textId="77777777" w:rsidR="00FA40BB" w:rsidRPr="00306E10" w:rsidRDefault="00E851D1" w:rsidP="00DA138D">
      <w:pPr>
        <w:keepNext/>
        <w:keepLines/>
        <w:spacing w:line="360" w:lineRule="auto"/>
        <w:ind w:firstLine="720"/>
        <w:rPr>
          <w:b/>
          <w:sz w:val="26"/>
          <w:szCs w:val="26"/>
        </w:rPr>
      </w:pPr>
      <w:r w:rsidRPr="00306E10">
        <w:rPr>
          <w:sz w:val="26"/>
          <w:szCs w:val="26"/>
        </w:rPr>
        <w:t>All</w:t>
      </w:r>
      <w:r w:rsidR="00F57740" w:rsidRPr="00306E10">
        <w:rPr>
          <w:sz w:val="26"/>
          <w:szCs w:val="26"/>
        </w:rPr>
        <w:t xml:space="preserve"> Commission-approved COVID-19 customer protection plans</w:t>
      </w:r>
      <w:r w:rsidRPr="00306E10">
        <w:rPr>
          <w:sz w:val="26"/>
          <w:szCs w:val="26"/>
        </w:rPr>
        <w:t xml:space="preserve"> submitted by utili</w:t>
      </w:r>
      <w:r w:rsidR="00B03CCC">
        <w:rPr>
          <w:sz w:val="26"/>
          <w:szCs w:val="26"/>
        </w:rPr>
        <w:t>ties</w:t>
      </w:r>
      <w:r w:rsidRPr="00306E10">
        <w:rPr>
          <w:sz w:val="26"/>
          <w:szCs w:val="26"/>
        </w:rPr>
        <w:t xml:space="preserve"> before September 30, </w:t>
      </w:r>
      <w:r w:rsidR="0037272A" w:rsidRPr="00306E10">
        <w:rPr>
          <w:sz w:val="26"/>
          <w:szCs w:val="26"/>
        </w:rPr>
        <w:t>2021,</w:t>
      </w:r>
      <w:r w:rsidRPr="00306E10">
        <w:rPr>
          <w:sz w:val="26"/>
          <w:szCs w:val="26"/>
        </w:rPr>
        <w:t xml:space="preserve"> shall remain in full force and effect </w:t>
      </w:r>
      <w:r w:rsidR="00F57740" w:rsidRPr="00306E10">
        <w:rPr>
          <w:sz w:val="26"/>
          <w:szCs w:val="26"/>
        </w:rPr>
        <w:t>according to their individual terms</w:t>
      </w:r>
      <w:r w:rsidR="00A25E4C" w:rsidRPr="00306E10">
        <w:rPr>
          <w:sz w:val="26"/>
          <w:szCs w:val="26"/>
        </w:rPr>
        <w:t>;</w:t>
      </w:r>
      <w:r w:rsidR="0004737B">
        <w:rPr>
          <w:sz w:val="26"/>
          <w:szCs w:val="26"/>
        </w:rPr>
        <w:t xml:space="preserve"> </w:t>
      </w:r>
      <w:r w:rsidR="00FA40BB" w:rsidRPr="00306E10">
        <w:rPr>
          <w:b/>
          <w:sz w:val="26"/>
          <w:szCs w:val="26"/>
        </w:rPr>
        <w:t>THEREFORE</w:t>
      </w:r>
      <w:r w:rsidR="006B1962" w:rsidRPr="00306E10">
        <w:rPr>
          <w:b/>
          <w:sz w:val="26"/>
          <w:szCs w:val="26"/>
        </w:rPr>
        <w:t>,</w:t>
      </w:r>
    </w:p>
    <w:p w14:paraId="0D869B66" w14:textId="77777777" w:rsidR="00622AFA" w:rsidRPr="00306E10" w:rsidRDefault="00622AFA" w:rsidP="003D257E">
      <w:pPr>
        <w:rPr>
          <w:sz w:val="26"/>
          <w:szCs w:val="26"/>
        </w:rPr>
      </w:pPr>
    </w:p>
    <w:p w14:paraId="00044876" w14:textId="77777777" w:rsidR="00DF0470" w:rsidRPr="00306E10" w:rsidRDefault="002B18E0" w:rsidP="00DF0470">
      <w:pPr>
        <w:spacing w:line="360" w:lineRule="auto"/>
        <w:rPr>
          <w:b/>
          <w:bCs/>
          <w:sz w:val="26"/>
          <w:szCs w:val="26"/>
        </w:rPr>
      </w:pPr>
      <w:r w:rsidRPr="00306E10">
        <w:rPr>
          <w:b/>
          <w:bCs/>
          <w:sz w:val="26"/>
          <w:szCs w:val="26"/>
        </w:rPr>
        <w:tab/>
      </w:r>
      <w:r w:rsidR="006B1962" w:rsidRPr="00306E10">
        <w:rPr>
          <w:b/>
          <w:bCs/>
          <w:sz w:val="26"/>
          <w:szCs w:val="26"/>
        </w:rPr>
        <w:t>I</w:t>
      </w:r>
      <w:r w:rsidR="00DF0470" w:rsidRPr="00306E10">
        <w:rPr>
          <w:b/>
          <w:bCs/>
          <w:sz w:val="26"/>
          <w:szCs w:val="26"/>
        </w:rPr>
        <w:t>T IS ORDERED:</w:t>
      </w:r>
    </w:p>
    <w:p w14:paraId="3F5C9761" w14:textId="77777777" w:rsidR="00BE7FEF" w:rsidRPr="00306E10" w:rsidRDefault="00BE7FEF" w:rsidP="003D257E">
      <w:pPr>
        <w:rPr>
          <w:sz w:val="26"/>
          <w:szCs w:val="26"/>
        </w:rPr>
      </w:pPr>
    </w:p>
    <w:p w14:paraId="5E284D23" w14:textId="77777777" w:rsidR="00A22587" w:rsidRPr="00306E10" w:rsidRDefault="00C00931" w:rsidP="008E6118">
      <w:pPr>
        <w:pStyle w:val="ListParagraph"/>
        <w:overflowPunct/>
        <w:autoSpaceDE/>
        <w:autoSpaceDN/>
        <w:adjustRightInd/>
        <w:spacing w:line="360" w:lineRule="auto"/>
        <w:ind w:left="0" w:firstLine="720"/>
        <w:contextualSpacing/>
        <w:textAlignment w:val="auto"/>
        <w:rPr>
          <w:sz w:val="26"/>
          <w:szCs w:val="26"/>
        </w:rPr>
      </w:pPr>
      <w:r w:rsidRPr="00306E10">
        <w:rPr>
          <w:sz w:val="26"/>
          <w:szCs w:val="26"/>
        </w:rPr>
        <w:t>1.</w:t>
      </w:r>
      <w:r w:rsidRPr="00306E10">
        <w:rPr>
          <w:sz w:val="26"/>
          <w:szCs w:val="26"/>
        </w:rPr>
        <w:tab/>
      </w:r>
      <w:r w:rsidR="00BE7FEF" w:rsidRPr="00306E10">
        <w:rPr>
          <w:sz w:val="26"/>
          <w:szCs w:val="26"/>
        </w:rPr>
        <w:t>That t</w:t>
      </w:r>
      <w:r w:rsidR="00A22587" w:rsidRPr="00306E10">
        <w:rPr>
          <w:sz w:val="26"/>
          <w:szCs w:val="26"/>
        </w:rPr>
        <w:t xml:space="preserve">he Commission’s </w:t>
      </w:r>
      <w:r w:rsidR="00E851D1" w:rsidRPr="00306E10">
        <w:rPr>
          <w:sz w:val="26"/>
          <w:szCs w:val="26"/>
        </w:rPr>
        <w:t>March 18, 2021</w:t>
      </w:r>
      <w:r w:rsidR="003210ED" w:rsidRPr="00306E10">
        <w:rPr>
          <w:sz w:val="26"/>
          <w:szCs w:val="26"/>
        </w:rPr>
        <w:t xml:space="preserve">, Order </w:t>
      </w:r>
      <w:r w:rsidR="00A22587" w:rsidRPr="00306E10">
        <w:rPr>
          <w:sz w:val="26"/>
          <w:szCs w:val="26"/>
        </w:rPr>
        <w:t>is hereby modified</w:t>
      </w:r>
      <w:r w:rsidR="00BE7FEF" w:rsidRPr="00306E10">
        <w:rPr>
          <w:sz w:val="26"/>
          <w:szCs w:val="26"/>
        </w:rPr>
        <w:t xml:space="preserve"> </w:t>
      </w:r>
      <w:r w:rsidR="00A22587" w:rsidRPr="00306E10">
        <w:rPr>
          <w:sz w:val="26"/>
          <w:szCs w:val="26"/>
        </w:rPr>
        <w:t>consistent with this Order.</w:t>
      </w:r>
      <w:r w:rsidR="0010646B" w:rsidRPr="00306E10">
        <w:rPr>
          <w:sz w:val="26"/>
          <w:szCs w:val="26"/>
        </w:rPr>
        <w:t xml:space="preserve">  </w:t>
      </w:r>
    </w:p>
    <w:p w14:paraId="4B242ACE" w14:textId="77777777" w:rsidR="008E6118" w:rsidRPr="00306E10" w:rsidRDefault="008E6118" w:rsidP="003D257E">
      <w:pPr>
        <w:rPr>
          <w:sz w:val="26"/>
          <w:szCs w:val="26"/>
        </w:rPr>
      </w:pPr>
    </w:p>
    <w:p w14:paraId="458AFAAD" w14:textId="77777777" w:rsidR="00A22587" w:rsidRPr="00306E10" w:rsidRDefault="006F63D7" w:rsidP="00A22587">
      <w:pPr>
        <w:spacing w:line="360" w:lineRule="auto"/>
        <w:ind w:firstLine="720"/>
        <w:rPr>
          <w:bCs/>
          <w:sz w:val="26"/>
          <w:szCs w:val="26"/>
        </w:rPr>
      </w:pPr>
      <w:r w:rsidRPr="00306E10">
        <w:rPr>
          <w:sz w:val="26"/>
          <w:szCs w:val="26"/>
        </w:rPr>
        <w:t>2</w:t>
      </w:r>
      <w:r w:rsidR="00A22587" w:rsidRPr="00306E10">
        <w:rPr>
          <w:sz w:val="26"/>
          <w:szCs w:val="26"/>
        </w:rPr>
        <w:t>.</w:t>
      </w:r>
      <w:r w:rsidR="00A22587" w:rsidRPr="00306E10">
        <w:rPr>
          <w:sz w:val="26"/>
          <w:szCs w:val="26"/>
        </w:rPr>
        <w:tab/>
      </w:r>
      <w:r w:rsidR="00A22587" w:rsidRPr="00306E10">
        <w:rPr>
          <w:bCs/>
          <w:sz w:val="26"/>
          <w:szCs w:val="26"/>
        </w:rPr>
        <w:t>That the Law Bureau</w:t>
      </w:r>
      <w:r w:rsidR="00E5315F" w:rsidRPr="00306E10">
        <w:rPr>
          <w:bCs/>
          <w:sz w:val="26"/>
          <w:szCs w:val="26"/>
        </w:rPr>
        <w:t xml:space="preserve"> shall</w:t>
      </w:r>
      <w:r w:rsidR="00A22587" w:rsidRPr="00306E10">
        <w:rPr>
          <w:bCs/>
          <w:sz w:val="26"/>
          <w:szCs w:val="26"/>
        </w:rPr>
        <w:t xml:space="preserve"> publish a copy of this Order in the </w:t>
      </w:r>
      <w:r w:rsidR="00A22587" w:rsidRPr="00306E10">
        <w:rPr>
          <w:bCs/>
          <w:sz w:val="26"/>
          <w:szCs w:val="26"/>
        </w:rPr>
        <w:br/>
      </w:r>
      <w:r w:rsidR="00A22587" w:rsidRPr="00306E10">
        <w:rPr>
          <w:bCs/>
          <w:i/>
          <w:sz w:val="26"/>
          <w:szCs w:val="26"/>
        </w:rPr>
        <w:t>Pennsylvania Bulletin</w:t>
      </w:r>
      <w:r w:rsidR="00A22587" w:rsidRPr="00306E10">
        <w:rPr>
          <w:bCs/>
          <w:sz w:val="26"/>
          <w:szCs w:val="26"/>
        </w:rPr>
        <w:t xml:space="preserve">. </w:t>
      </w:r>
    </w:p>
    <w:p w14:paraId="7FBF9084" w14:textId="77777777" w:rsidR="00A22587" w:rsidRPr="00306E10" w:rsidRDefault="00A22587" w:rsidP="003D257E">
      <w:pPr>
        <w:rPr>
          <w:sz w:val="26"/>
          <w:szCs w:val="26"/>
        </w:rPr>
      </w:pPr>
    </w:p>
    <w:p w14:paraId="731817B4" w14:textId="77777777" w:rsidR="00F57740" w:rsidRPr="00306E10" w:rsidRDefault="00A22587" w:rsidP="0004737B">
      <w:pPr>
        <w:keepNext/>
        <w:keepLines/>
        <w:spacing w:line="360" w:lineRule="auto"/>
        <w:rPr>
          <w:sz w:val="26"/>
          <w:szCs w:val="26"/>
        </w:rPr>
      </w:pPr>
      <w:r w:rsidRPr="00306E10">
        <w:rPr>
          <w:sz w:val="26"/>
          <w:szCs w:val="26"/>
        </w:rPr>
        <w:tab/>
      </w:r>
      <w:r w:rsidR="006F63D7" w:rsidRPr="00306E10">
        <w:rPr>
          <w:sz w:val="26"/>
          <w:szCs w:val="26"/>
        </w:rPr>
        <w:t>3</w:t>
      </w:r>
      <w:r w:rsidRPr="00306E10">
        <w:rPr>
          <w:sz w:val="26"/>
          <w:szCs w:val="26"/>
        </w:rPr>
        <w:t>.</w:t>
      </w:r>
      <w:r w:rsidRPr="00306E10">
        <w:rPr>
          <w:sz w:val="26"/>
          <w:szCs w:val="26"/>
        </w:rPr>
        <w:tab/>
      </w:r>
      <w:r w:rsidR="00BE7FEF" w:rsidRPr="00306E10">
        <w:rPr>
          <w:sz w:val="26"/>
          <w:szCs w:val="26"/>
        </w:rPr>
        <w:t>That t</w:t>
      </w:r>
      <w:r w:rsidR="00F57740" w:rsidRPr="00306E10">
        <w:rPr>
          <w:sz w:val="26"/>
          <w:szCs w:val="26"/>
        </w:rPr>
        <w:t>his docket shall be marked closed upon the filing of the last quarterly</w:t>
      </w:r>
      <w:r w:rsidR="00292D5E" w:rsidRPr="00306E10">
        <w:rPr>
          <w:sz w:val="26"/>
          <w:szCs w:val="26"/>
        </w:rPr>
        <w:t xml:space="preserve"> utility </w:t>
      </w:r>
      <w:r w:rsidR="00F57740" w:rsidRPr="00306E10">
        <w:rPr>
          <w:sz w:val="26"/>
          <w:szCs w:val="26"/>
        </w:rPr>
        <w:t xml:space="preserve">report required by </w:t>
      </w:r>
      <w:r w:rsidR="002F338C" w:rsidRPr="00306E10">
        <w:rPr>
          <w:sz w:val="26"/>
          <w:szCs w:val="26"/>
        </w:rPr>
        <w:t>this Order</w:t>
      </w:r>
      <w:r w:rsidR="00F57740" w:rsidRPr="00306E10">
        <w:rPr>
          <w:sz w:val="26"/>
          <w:szCs w:val="26"/>
        </w:rPr>
        <w:t>, but no later than January 31, 2022.</w:t>
      </w:r>
      <w:r w:rsidR="00F57740" w:rsidRPr="00306E10">
        <w:rPr>
          <w:sz w:val="26"/>
          <w:szCs w:val="26"/>
        </w:rPr>
        <w:cr/>
      </w:r>
    </w:p>
    <w:p w14:paraId="7E52490D" w14:textId="5D2C2836" w:rsidR="00DF0470" w:rsidRPr="00306E10" w:rsidRDefault="00DF0470" w:rsidP="0004737B">
      <w:pPr>
        <w:keepNext/>
        <w:keepLines/>
        <w:rPr>
          <w:sz w:val="26"/>
          <w:szCs w:val="26"/>
        </w:rPr>
      </w:pPr>
    </w:p>
    <w:p w14:paraId="35C970E2" w14:textId="0E7E0DA3" w:rsidR="00DF0470" w:rsidRPr="00306E10" w:rsidRDefault="008C66C4" w:rsidP="0004737B">
      <w:pPr>
        <w:pStyle w:val="p17"/>
        <w:keepNext/>
        <w:keepLines/>
        <w:ind w:left="5057"/>
        <w:rPr>
          <w:b/>
          <w:bCs/>
          <w:sz w:val="26"/>
          <w:szCs w:val="26"/>
        </w:rPr>
      </w:pPr>
      <w:r>
        <w:rPr>
          <w:noProof/>
        </w:rPr>
        <w:drawing>
          <wp:anchor distT="0" distB="0" distL="114300" distR="114300" simplePos="0" relativeHeight="251659264" behindDoc="1" locked="0" layoutInCell="1" allowOverlap="1" wp14:anchorId="244CE5ED" wp14:editId="58AA0B3D">
            <wp:simplePos x="0" y="0"/>
            <wp:positionH relativeFrom="column">
              <wp:posOffset>3228975</wp:posOffset>
            </wp:positionH>
            <wp:positionV relativeFrom="paragraph">
              <wp:posOffset>105410</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470" w:rsidRPr="00306E10">
        <w:rPr>
          <w:b/>
          <w:bCs/>
          <w:sz w:val="26"/>
          <w:szCs w:val="26"/>
        </w:rPr>
        <w:t>BY THE COMMISSION</w:t>
      </w:r>
    </w:p>
    <w:p w14:paraId="0BFC5D01" w14:textId="77777777" w:rsidR="00DF0470" w:rsidRPr="00306E10" w:rsidRDefault="00DF0470" w:rsidP="0004737B">
      <w:pPr>
        <w:keepNext/>
        <w:keepLines/>
        <w:tabs>
          <w:tab w:val="left" w:pos="5057"/>
        </w:tabs>
        <w:rPr>
          <w:b/>
          <w:bCs/>
          <w:sz w:val="26"/>
          <w:szCs w:val="26"/>
        </w:rPr>
      </w:pPr>
    </w:p>
    <w:p w14:paraId="6B88AD1A" w14:textId="77777777" w:rsidR="00191D86" w:rsidRPr="00306E10" w:rsidRDefault="00191D86" w:rsidP="0004737B">
      <w:pPr>
        <w:keepNext/>
        <w:keepLines/>
        <w:rPr>
          <w:sz w:val="26"/>
          <w:szCs w:val="26"/>
        </w:rPr>
      </w:pPr>
    </w:p>
    <w:p w14:paraId="7565B20F" w14:textId="77777777" w:rsidR="00191D86" w:rsidRPr="00306E10" w:rsidRDefault="00191D86" w:rsidP="0004737B">
      <w:pPr>
        <w:keepNext/>
        <w:keepLines/>
        <w:rPr>
          <w:sz w:val="26"/>
          <w:szCs w:val="26"/>
        </w:rPr>
      </w:pPr>
    </w:p>
    <w:p w14:paraId="596CCDC7" w14:textId="77777777" w:rsidR="0022503C" w:rsidRPr="00306E10" w:rsidRDefault="0022503C" w:rsidP="0004737B">
      <w:pPr>
        <w:pStyle w:val="p18"/>
        <w:keepNext/>
        <w:keepLines/>
        <w:ind w:left="5062"/>
        <w:rPr>
          <w:sz w:val="26"/>
          <w:szCs w:val="26"/>
        </w:rPr>
      </w:pPr>
      <w:r w:rsidRPr="00306E10">
        <w:rPr>
          <w:sz w:val="26"/>
          <w:szCs w:val="26"/>
        </w:rPr>
        <w:t>Rosemary Chiavetta</w:t>
      </w:r>
    </w:p>
    <w:p w14:paraId="3E1F2D86" w14:textId="77777777" w:rsidR="00DF0470" w:rsidRPr="00306E10" w:rsidRDefault="00DF0470" w:rsidP="0004737B">
      <w:pPr>
        <w:pStyle w:val="p18"/>
        <w:keepNext/>
        <w:keepLines/>
        <w:ind w:left="5062"/>
        <w:rPr>
          <w:sz w:val="26"/>
          <w:szCs w:val="26"/>
        </w:rPr>
      </w:pPr>
      <w:r w:rsidRPr="00306E10">
        <w:rPr>
          <w:sz w:val="26"/>
          <w:szCs w:val="26"/>
        </w:rPr>
        <w:t>Secretary</w:t>
      </w:r>
    </w:p>
    <w:p w14:paraId="4D224C8A" w14:textId="77777777" w:rsidR="00DF0470" w:rsidRPr="00306E10" w:rsidRDefault="00DF0470" w:rsidP="0004737B">
      <w:pPr>
        <w:keepNext/>
        <w:keepLines/>
        <w:tabs>
          <w:tab w:val="left" w:pos="5062"/>
        </w:tabs>
        <w:rPr>
          <w:sz w:val="26"/>
          <w:szCs w:val="26"/>
        </w:rPr>
      </w:pPr>
    </w:p>
    <w:p w14:paraId="37DF2253" w14:textId="77777777" w:rsidR="00DF0470" w:rsidRPr="00306E10" w:rsidRDefault="00DF0470" w:rsidP="0004737B">
      <w:pPr>
        <w:pStyle w:val="p14"/>
        <w:keepNext/>
        <w:keepLines/>
        <w:rPr>
          <w:sz w:val="26"/>
          <w:szCs w:val="26"/>
        </w:rPr>
      </w:pPr>
      <w:r w:rsidRPr="00306E10">
        <w:rPr>
          <w:sz w:val="26"/>
          <w:szCs w:val="26"/>
        </w:rPr>
        <w:t>(SEAL)</w:t>
      </w:r>
    </w:p>
    <w:p w14:paraId="06349BFA" w14:textId="77777777" w:rsidR="00DF0470" w:rsidRPr="00306E10" w:rsidRDefault="00DF0470" w:rsidP="0004737B">
      <w:pPr>
        <w:keepNext/>
        <w:keepLines/>
        <w:tabs>
          <w:tab w:val="left" w:pos="204"/>
        </w:tabs>
        <w:rPr>
          <w:sz w:val="26"/>
          <w:szCs w:val="26"/>
        </w:rPr>
      </w:pPr>
    </w:p>
    <w:p w14:paraId="2B5086C9" w14:textId="77777777" w:rsidR="00DF0470" w:rsidRPr="00306E10" w:rsidRDefault="00DF0470" w:rsidP="0004737B">
      <w:pPr>
        <w:pStyle w:val="p14"/>
        <w:keepNext/>
        <w:keepLines/>
        <w:rPr>
          <w:sz w:val="26"/>
          <w:szCs w:val="26"/>
        </w:rPr>
      </w:pPr>
      <w:r w:rsidRPr="00306E10">
        <w:rPr>
          <w:sz w:val="26"/>
          <w:szCs w:val="26"/>
        </w:rPr>
        <w:t xml:space="preserve">ORDER ADOPTED:  </w:t>
      </w:r>
      <w:r w:rsidR="00E851D1" w:rsidRPr="00306E10">
        <w:rPr>
          <w:sz w:val="26"/>
          <w:szCs w:val="26"/>
        </w:rPr>
        <w:t>Ju</w:t>
      </w:r>
      <w:r w:rsidR="008F781E" w:rsidRPr="00306E10">
        <w:rPr>
          <w:sz w:val="26"/>
          <w:szCs w:val="26"/>
        </w:rPr>
        <w:t>ly</w:t>
      </w:r>
      <w:r w:rsidR="00E851D1" w:rsidRPr="00306E10">
        <w:rPr>
          <w:sz w:val="26"/>
          <w:szCs w:val="26"/>
        </w:rPr>
        <w:t xml:space="preserve"> 15</w:t>
      </w:r>
      <w:r w:rsidR="006A4E31" w:rsidRPr="00306E10">
        <w:rPr>
          <w:sz w:val="26"/>
          <w:szCs w:val="26"/>
        </w:rPr>
        <w:t>, 2021</w:t>
      </w:r>
    </w:p>
    <w:p w14:paraId="4B4F9301" w14:textId="77777777" w:rsidR="00BE499A" w:rsidRPr="00306E10" w:rsidRDefault="00BE499A" w:rsidP="00BE499A">
      <w:pPr>
        <w:pStyle w:val="p14"/>
        <w:rPr>
          <w:sz w:val="26"/>
          <w:szCs w:val="26"/>
        </w:rPr>
      </w:pPr>
    </w:p>
    <w:p w14:paraId="46C759DD" w14:textId="12673E2D" w:rsidR="00CD6C97" w:rsidRPr="00306E10" w:rsidRDefault="00DF0470" w:rsidP="005A7356">
      <w:pPr>
        <w:pStyle w:val="p14"/>
        <w:rPr>
          <w:sz w:val="26"/>
          <w:szCs w:val="26"/>
        </w:rPr>
      </w:pPr>
      <w:r w:rsidRPr="00306E10">
        <w:rPr>
          <w:sz w:val="26"/>
          <w:szCs w:val="26"/>
        </w:rPr>
        <w:t xml:space="preserve">ORDER ENTERED:  </w:t>
      </w:r>
      <w:r w:rsidR="008C66C4">
        <w:rPr>
          <w:sz w:val="26"/>
          <w:szCs w:val="26"/>
        </w:rPr>
        <w:t>July 15, 2021</w:t>
      </w:r>
    </w:p>
    <w:sectPr w:rsidR="00CD6C97" w:rsidRPr="00306E10" w:rsidSect="00C24295">
      <w:footerReference w:type="defaul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14C3" w14:textId="77777777" w:rsidR="006B2205" w:rsidRDefault="006B2205">
      <w:r>
        <w:separator/>
      </w:r>
    </w:p>
  </w:endnote>
  <w:endnote w:type="continuationSeparator" w:id="0">
    <w:p w14:paraId="2EF6F255" w14:textId="77777777" w:rsidR="006B2205" w:rsidRDefault="006B2205">
      <w:r>
        <w:continuationSeparator/>
      </w:r>
    </w:p>
  </w:endnote>
  <w:endnote w:type="continuationNotice" w:id="1">
    <w:p w14:paraId="7D03F2FF" w14:textId="77777777" w:rsidR="006B2205" w:rsidRDefault="006B2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688F" w14:textId="77777777" w:rsidR="005968A7" w:rsidRDefault="005968A7">
    <w:pPr>
      <w:pStyle w:val="Footer"/>
      <w:jc w:val="center"/>
    </w:pPr>
    <w:r>
      <w:fldChar w:fldCharType="begin"/>
    </w:r>
    <w:r>
      <w:instrText xml:space="preserve"> PAGE   \* MERGEFORMAT </w:instrText>
    </w:r>
    <w:r>
      <w:fldChar w:fldCharType="separate"/>
    </w:r>
    <w:r>
      <w:rPr>
        <w:noProof/>
      </w:rPr>
      <w:t>2</w:t>
    </w:r>
    <w:r>
      <w:rPr>
        <w:noProof/>
      </w:rPr>
      <w:fldChar w:fldCharType="end"/>
    </w:r>
  </w:p>
  <w:p w14:paraId="68D71375" w14:textId="77777777" w:rsidR="005968A7" w:rsidRDefault="00596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591E" w14:textId="77777777" w:rsidR="005968A7" w:rsidRDefault="005968A7">
    <w:pPr>
      <w:pStyle w:val="Footer"/>
      <w:jc w:val="center"/>
    </w:pPr>
  </w:p>
  <w:p w14:paraId="03CFB47C" w14:textId="77777777" w:rsidR="005968A7" w:rsidRDefault="00596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5E95" w14:textId="77777777" w:rsidR="006B2205" w:rsidRDefault="006B2205">
      <w:r>
        <w:separator/>
      </w:r>
    </w:p>
  </w:footnote>
  <w:footnote w:type="continuationSeparator" w:id="0">
    <w:p w14:paraId="357F1B86" w14:textId="77777777" w:rsidR="006B2205" w:rsidRDefault="006B2205">
      <w:r>
        <w:continuationSeparator/>
      </w:r>
    </w:p>
  </w:footnote>
  <w:footnote w:type="continuationNotice" w:id="1">
    <w:p w14:paraId="5603EA8A" w14:textId="77777777" w:rsidR="006B2205" w:rsidRDefault="006B22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06254"/>
    <w:multiLevelType w:val="hybridMultilevel"/>
    <w:tmpl w:val="9DFAA9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D34E0F48"/>
    <w:lvl w:ilvl="0">
      <w:numFmt w:val="bullet"/>
      <w:lvlText w:val="*"/>
      <w:lvlJc w:val="left"/>
      <w:pPr>
        <w:ind w:left="0" w:firstLine="0"/>
      </w:pPr>
    </w:lvl>
  </w:abstractNum>
  <w:abstractNum w:abstractNumId="2" w15:restartNumberingAfterBreak="0">
    <w:nsid w:val="18EF4BF4"/>
    <w:multiLevelType w:val="hybridMultilevel"/>
    <w:tmpl w:val="15A0ECB6"/>
    <w:lvl w:ilvl="0" w:tplc="E5A0D09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601BA5"/>
    <w:multiLevelType w:val="hybridMultilevel"/>
    <w:tmpl w:val="4CA015D6"/>
    <w:lvl w:ilvl="0" w:tplc="106A0D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22062C"/>
    <w:multiLevelType w:val="hybridMultilevel"/>
    <w:tmpl w:val="35184BCA"/>
    <w:lvl w:ilvl="0" w:tplc="E19A7990">
      <w:start w:val="1"/>
      <w:numFmt w:val="lowerLetter"/>
      <w:lvlText w:val="%1."/>
      <w:lvlJc w:val="left"/>
      <w:pPr>
        <w:ind w:left="2160" w:hanging="72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5000272"/>
    <w:multiLevelType w:val="hybridMultilevel"/>
    <w:tmpl w:val="837E11B8"/>
    <w:lvl w:ilvl="0" w:tplc="2D2449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13B344A"/>
    <w:multiLevelType w:val="hybridMultilevel"/>
    <w:tmpl w:val="D5A4B248"/>
    <w:lvl w:ilvl="0" w:tplc="3C247E9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9B31D87"/>
    <w:multiLevelType w:val="hybridMultilevel"/>
    <w:tmpl w:val="A51EFEB4"/>
    <w:lvl w:ilvl="0" w:tplc="0409000F">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8" w15:restartNumberingAfterBreak="0">
    <w:nsid w:val="7E611EEE"/>
    <w:multiLevelType w:val="hybridMultilevel"/>
    <w:tmpl w:val="EF88E628"/>
    <w:lvl w:ilvl="0" w:tplc="7B840F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lvl w:ilvl="0">
        <w:numFmt w:val="bullet"/>
        <w:lvlText w:val=""/>
        <w:legacy w:legacy="1" w:legacySpace="0" w:legacyIndent="0"/>
        <w:lvlJc w:val="left"/>
        <w:pPr>
          <w:ind w:left="0" w:firstLine="0"/>
        </w:pPr>
        <w:rPr>
          <w:rFonts w:ascii="Symbol" w:hAnsi="Symbol" w:hint="default"/>
        </w:rPr>
      </w:lvl>
    </w:lvlOverride>
  </w:num>
  <w:num w:numId="2">
    <w:abstractNumId w:val="3"/>
  </w:num>
  <w:num w:numId="3">
    <w:abstractNumId w:val="6"/>
  </w:num>
  <w:num w:numId="4">
    <w:abstractNumId w:val="2"/>
  </w:num>
  <w:num w:numId="5">
    <w:abstractNumId w:val="7"/>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186B"/>
    <w:rsid w:val="000027A1"/>
    <w:rsid w:val="00004A88"/>
    <w:rsid w:val="00004CB4"/>
    <w:rsid w:val="00023296"/>
    <w:rsid w:val="00043599"/>
    <w:rsid w:val="0004737B"/>
    <w:rsid w:val="00052117"/>
    <w:rsid w:val="00061E62"/>
    <w:rsid w:val="00061ECE"/>
    <w:rsid w:val="0006429C"/>
    <w:rsid w:val="000675A4"/>
    <w:rsid w:val="00075AC0"/>
    <w:rsid w:val="000811B9"/>
    <w:rsid w:val="00090078"/>
    <w:rsid w:val="00092C0A"/>
    <w:rsid w:val="000A532D"/>
    <w:rsid w:val="000A6AC7"/>
    <w:rsid w:val="000B20C0"/>
    <w:rsid w:val="000C55AE"/>
    <w:rsid w:val="000D2086"/>
    <w:rsid w:val="000E3ECD"/>
    <w:rsid w:val="001017FD"/>
    <w:rsid w:val="00101998"/>
    <w:rsid w:val="00105A8E"/>
    <w:rsid w:val="0010646B"/>
    <w:rsid w:val="00107AB8"/>
    <w:rsid w:val="001106C8"/>
    <w:rsid w:val="001119EF"/>
    <w:rsid w:val="00112E07"/>
    <w:rsid w:val="001225E4"/>
    <w:rsid w:val="00131543"/>
    <w:rsid w:val="001339A3"/>
    <w:rsid w:val="00142828"/>
    <w:rsid w:val="0015549B"/>
    <w:rsid w:val="00175D64"/>
    <w:rsid w:val="00191D86"/>
    <w:rsid w:val="001A7CF3"/>
    <w:rsid w:val="001B47D5"/>
    <w:rsid w:val="001B6DC1"/>
    <w:rsid w:val="001B7588"/>
    <w:rsid w:val="001C1656"/>
    <w:rsid w:val="001C7483"/>
    <w:rsid w:val="001E3846"/>
    <w:rsid w:val="001F1FA2"/>
    <w:rsid w:val="00201075"/>
    <w:rsid w:val="00214C36"/>
    <w:rsid w:val="00217EF7"/>
    <w:rsid w:val="00223465"/>
    <w:rsid w:val="0022503C"/>
    <w:rsid w:val="00240F45"/>
    <w:rsid w:val="00250087"/>
    <w:rsid w:val="00251C6E"/>
    <w:rsid w:val="002551B7"/>
    <w:rsid w:val="002605F8"/>
    <w:rsid w:val="002652F9"/>
    <w:rsid w:val="002811E8"/>
    <w:rsid w:val="00290A3D"/>
    <w:rsid w:val="00292D5E"/>
    <w:rsid w:val="0029426A"/>
    <w:rsid w:val="00296D3B"/>
    <w:rsid w:val="002A23AC"/>
    <w:rsid w:val="002B18E0"/>
    <w:rsid w:val="002B49E8"/>
    <w:rsid w:val="002C30F7"/>
    <w:rsid w:val="002C7630"/>
    <w:rsid w:val="002E2B14"/>
    <w:rsid w:val="002F338C"/>
    <w:rsid w:val="002F7691"/>
    <w:rsid w:val="002F7B23"/>
    <w:rsid w:val="00304809"/>
    <w:rsid w:val="00306E10"/>
    <w:rsid w:val="003210ED"/>
    <w:rsid w:val="00325317"/>
    <w:rsid w:val="0035040B"/>
    <w:rsid w:val="00350758"/>
    <w:rsid w:val="0035330F"/>
    <w:rsid w:val="00353A13"/>
    <w:rsid w:val="003637E8"/>
    <w:rsid w:val="003664CD"/>
    <w:rsid w:val="0037272A"/>
    <w:rsid w:val="0037498A"/>
    <w:rsid w:val="003A6228"/>
    <w:rsid w:val="003B4929"/>
    <w:rsid w:val="003D257E"/>
    <w:rsid w:val="003D3563"/>
    <w:rsid w:val="003D5A1D"/>
    <w:rsid w:val="003E05BE"/>
    <w:rsid w:val="003E22F5"/>
    <w:rsid w:val="003E37BC"/>
    <w:rsid w:val="003F617A"/>
    <w:rsid w:val="0041594C"/>
    <w:rsid w:val="00421B84"/>
    <w:rsid w:val="00432646"/>
    <w:rsid w:val="0044124F"/>
    <w:rsid w:val="00442823"/>
    <w:rsid w:val="00443D16"/>
    <w:rsid w:val="004465AE"/>
    <w:rsid w:val="004554D0"/>
    <w:rsid w:val="004768B5"/>
    <w:rsid w:val="004A217A"/>
    <w:rsid w:val="004A7812"/>
    <w:rsid w:val="004B69D5"/>
    <w:rsid w:val="004C4A77"/>
    <w:rsid w:val="004E1D99"/>
    <w:rsid w:val="004E2933"/>
    <w:rsid w:val="004E58A5"/>
    <w:rsid w:val="004F370A"/>
    <w:rsid w:val="00515CC1"/>
    <w:rsid w:val="00520427"/>
    <w:rsid w:val="00523A8C"/>
    <w:rsid w:val="00524B6D"/>
    <w:rsid w:val="0052639C"/>
    <w:rsid w:val="00527668"/>
    <w:rsid w:val="00537E12"/>
    <w:rsid w:val="005430BC"/>
    <w:rsid w:val="00545899"/>
    <w:rsid w:val="005529E9"/>
    <w:rsid w:val="00571027"/>
    <w:rsid w:val="00572CCC"/>
    <w:rsid w:val="0057343E"/>
    <w:rsid w:val="005768E3"/>
    <w:rsid w:val="005968A7"/>
    <w:rsid w:val="005A69BA"/>
    <w:rsid w:val="005A6FCE"/>
    <w:rsid w:val="005A7356"/>
    <w:rsid w:val="005C2527"/>
    <w:rsid w:val="005D03E0"/>
    <w:rsid w:val="005F1C61"/>
    <w:rsid w:val="005F3889"/>
    <w:rsid w:val="00600A17"/>
    <w:rsid w:val="00600CCF"/>
    <w:rsid w:val="006027A7"/>
    <w:rsid w:val="006048E2"/>
    <w:rsid w:val="006050C3"/>
    <w:rsid w:val="00613CD5"/>
    <w:rsid w:val="00621EEE"/>
    <w:rsid w:val="00622AFA"/>
    <w:rsid w:val="00647BD2"/>
    <w:rsid w:val="006542F9"/>
    <w:rsid w:val="00664271"/>
    <w:rsid w:val="00690777"/>
    <w:rsid w:val="00697266"/>
    <w:rsid w:val="006A01F9"/>
    <w:rsid w:val="006A19BC"/>
    <w:rsid w:val="006A36F9"/>
    <w:rsid w:val="006A412F"/>
    <w:rsid w:val="006A4E31"/>
    <w:rsid w:val="006B1962"/>
    <w:rsid w:val="006B2205"/>
    <w:rsid w:val="006B2984"/>
    <w:rsid w:val="006B77BE"/>
    <w:rsid w:val="006C2376"/>
    <w:rsid w:val="006E0600"/>
    <w:rsid w:val="006E5824"/>
    <w:rsid w:val="006F63D7"/>
    <w:rsid w:val="006F6C79"/>
    <w:rsid w:val="007143DD"/>
    <w:rsid w:val="00714A57"/>
    <w:rsid w:val="00715820"/>
    <w:rsid w:val="00747283"/>
    <w:rsid w:val="00750971"/>
    <w:rsid w:val="007632B0"/>
    <w:rsid w:val="00765B74"/>
    <w:rsid w:val="00766283"/>
    <w:rsid w:val="00776F80"/>
    <w:rsid w:val="00781A24"/>
    <w:rsid w:val="0079206A"/>
    <w:rsid w:val="007A4B41"/>
    <w:rsid w:val="007B1961"/>
    <w:rsid w:val="007B2569"/>
    <w:rsid w:val="007B4B85"/>
    <w:rsid w:val="007B6F08"/>
    <w:rsid w:val="007B744C"/>
    <w:rsid w:val="007D2A0F"/>
    <w:rsid w:val="007D368E"/>
    <w:rsid w:val="007D5EA3"/>
    <w:rsid w:val="007E6598"/>
    <w:rsid w:val="007F20F0"/>
    <w:rsid w:val="007F37C1"/>
    <w:rsid w:val="00806E34"/>
    <w:rsid w:val="00812F31"/>
    <w:rsid w:val="00815ECB"/>
    <w:rsid w:val="00816287"/>
    <w:rsid w:val="00835BE7"/>
    <w:rsid w:val="00841152"/>
    <w:rsid w:val="008447A7"/>
    <w:rsid w:val="008579A7"/>
    <w:rsid w:val="00865A6D"/>
    <w:rsid w:val="008661C5"/>
    <w:rsid w:val="00873FB6"/>
    <w:rsid w:val="00880F92"/>
    <w:rsid w:val="008844AF"/>
    <w:rsid w:val="0089189C"/>
    <w:rsid w:val="008A4F72"/>
    <w:rsid w:val="008B5653"/>
    <w:rsid w:val="008C09CF"/>
    <w:rsid w:val="008C66C4"/>
    <w:rsid w:val="008C7ABF"/>
    <w:rsid w:val="008E0B1F"/>
    <w:rsid w:val="008E1236"/>
    <w:rsid w:val="008E6118"/>
    <w:rsid w:val="008F0313"/>
    <w:rsid w:val="008F781E"/>
    <w:rsid w:val="00904E76"/>
    <w:rsid w:val="00907BEB"/>
    <w:rsid w:val="00912073"/>
    <w:rsid w:val="00914B87"/>
    <w:rsid w:val="009205C7"/>
    <w:rsid w:val="00923535"/>
    <w:rsid w:val="009248F5"/>
    <w:rsid w:val="00940AD4"/>
    <w:rsid w:val="00941451"/>
    <w:rsid w:val="00951CFE"/>
    <w:rsid w:val="0097140B"/>
    <w:rsid w:val="00971475"/>
    <w:rsid w:val="00976012"/>
    <w:rsid w:val="00981EE0"/>
    <w:rsid w:val="009827ED"/>
    <w:rsid w:val="00983729"/>
    <w:rsid w:val="0098393E"/>
    <w:rsid w:val="00985472"/>
    <w:rsid w:val="00987517"/>
    <w:rsid w:val="009922BD"/>
    <w:rsid w:val="00993805"/>
    <w:rsid w:val="009B3177"/>
    <w:rsid w:val="009D5F04"/>
    <w:rsid w:val="009E2723"/>
    <w:rsid w:val="009F034D"/>
    <w:rsid w:val="00A112EB"/>
    <w:rsid w:val="00A11E42"/>
    <w:rsid w:val="00A13935"/>
    <w:rsid w:val="00A172FF"/>
    <w:rsid w:val="00A20BE8"/>
    <w:rsid w:val="00A22587"/>
    <w:rsid w:val="00A25E4C"/>
    <w:rsid w:val="00A31D2D"/>
    <w:rsid w:val="00A508B3"/>
    <w:rsid w:val="00A82B74"/>
    <w:rsid w:val="00A82FC9"/>
    <w:rsid w:val="00A9040A"/>
    <w:rsid w:val="00AB2CF1"/>
    <w:rsid w:val="00AB738E"/>
    <w:rsid w:val="00AC6AAA"/>
    <w:rsid w:val="00AD5F40"/>
    <w:rsid w:val="00AE3E24"/>
    <w:rsid w:val="00AE73AA"/>
    <w:rsid w:val="00AF69D4"/>
    <w:rsid w:val="00B03CCC"/>
    <w:rsid w:val="00B10F16"/>
    <w:rsid w:val="00B3246D"/>
    <w:rsid w:val="00B34A9F"/>
    <w:rsid w:val="00B36196"/>
    <w:rsid w:val="00B363B0"/>
    <w:rsid w:val="00B37217"/>
    <w:rsid w:val="00B43320"/>
    <w:rsid w:val="00B51997"/>
    <w:rsid w:val="00B57B62"/>
    <w:rsid w:val="00B61B17"/>
    <w:rsid w:val="00B840BF"/>
    <w:rsid w:val="00B9643A"/>
    <w:rsid w:val="00BB02BC"/>
    <w:rsid w:val="00BD5037"/>
    <w:rsid w:val="00BD7C30"/>
    <w:rsid w:val="00BE2339"/>
    <w:rsid w:val="00BE3030"/>
    <w:rsid w:val="00BE499A"/>
    <w:rsid w:val="00BE7FEF"/>
    <w:rsid w:val="00BF2D67"/>
    <w:rsid w:val="00C00931"/>
    <w:rsid w:val="00C01D96"/>
    <w:rsid w:val="00C0451E"/>
    <w:rsid w:val="00C05186"/>
    <w:rsid w:val="00C1494E"/>
    <w:rsid w:val="00C14B6E"/>
    <w:rsid w:val="00C24295"/>
    <w:rsid w:val="00C35950"/>
    <w:rsid w:val="00C410FE"/>
    <w:rsid w:val="00C52231"/>
    <w:rsid w:val="00C5353F"/>
    <w:rsid w:val="00C549A4"/>
    <w:rsid w:val="00C91143"/>
    <w:rsid w:val="00C97143"/>
    <w:rsid w:val="00CC027F"/>
    <w:rsid w:val="00CC1FD3"/>
    <w:rsid w:val="00CD563A"/>
    <w:rsid w:val="00CD6C97"/>
    <w:rsid w:val="00D050FF"/>
    <w:rsid w:val="00D06B89"/>
    <w:rsid w:val="00D21FD0"/>
    <w:rsid w:val="00D41CE8"/>
    <w:rsid w:val="00D53CF7"/>
    <w:rsid w:val="00D5619D"/>
    <w:rsid w:val="00D60DD4"/>
    <w:rsid w:val="00D61F9F"/>
    <w:rsid w:val="00D7140B"/>
    <w:rsid w:val="00D83182"/>
    <w:rsid w:val="00D84EFF"/>
    <w:rsid w:val="00D850D4"/>
    <w:rsid w:val="00D90089"/>
    <w:rsid w:val="00DA138D"/>
    <w:rsid w:val="00DA4F7F"/>
    <w:rsid w:val="00DA5B65"/>
    <w:rsid w:val="00DA626F"/>
    <w:rsid w:val="00DB623A"/>
    <w:rsid w:val="00DC457C"/>
    <w:rsid w:val="00DC7F2D"/>
    <w:rsid w:val="00DE520F"/>
    <w:rsid w:val="00DF0470"/>
    <w:rsid w:val="00DF2E56"/>
    <w:rsid w:val="00E14CDE"/>
    <w:rsid w:val="00E15458"/>
    <w:rsid w:val="00E20C28"/>
    <w:rsid w:val="00E20E18"/>
    <w:rsid w:val="00E33435"/>
    <w:rsid w:val="00E35B85"/>
    <w:rsid w:val="00E36544"/>
    <w:rsid w:val="00E37602"/>
    <w:rsid w:val="00E441EC"/>
    <w:rsid w:val="00E52E18"/>
    <w:rsid w:val="00E5315F"/>
    <w:rsid w:val="00E61949"/>
    <w:rsid w:val="00E62D1E"/>
    <w:rsid w:val="00E72D6C"/>
    <w:rsid w:val="00E822EF"/>
    <w:rsid w:val="00E851D1"/>
    <w:rsid w:val="00E87FE1"/>
    <w:rsid w:val="00E9457D"/>
    <w:rsid w:val="00E96680"/>
    <w:rsid w:val="00EA513D"/>
    <w:rsid w:val="00EA5B39"/>
    <w:rsid w:val="00EA78E6"/>
    <w:rsid w:val="00EC7BD8"/>
    <w:rsid w:val="00ED0344"/>
    <w:rsid w:val="00ED7D4C"/>
    <w:rsid w:val="00EF270F"/>
    <w:rsid w:val="00F00ABF"/>
    <w:rsid w:val="00F017DE"/>
    <w:rsid w:val="00F15A31"/>
    <w:rsid w:val="00F207CB"/>
    <w:rsid w:val="00F27679"/>
    <w:rsid w:val="00F30DF2"/>
    <w:rsid w:val="00F31A9B"/>
    <w:rsid w:val="00F37F97"/>
    <w:rsid w:val="00F46269"/>
    <w:rsid w:val="00F55B91"/>
    <w:rsid w:val="00F56249"/>
    <w:rsid w:val="00F570A5"/>
    <w:rsid w:val="00F5714E"/>
    <w:rsid w:val="00F57740"/>
    <w:rsid w:val="00F649E4"/>
    <w:rsid w:val="00F67342"/>
    <w:rsid w:val="00F77E00"/>
    <w:rsid w:val="00F80429"/>
    <w:rsid w:val="00F90DC1"/>
    <w:rsid w:val="00F91611"/>
    <w:rsid w:val="00F945A8"/>
    <w:rsid w:val="00FA29A2"/>
    <w:rsid w:val="00FA40BB"/>
    <w:rsid w:val="00FA58EC"/>
    <w:rsid w:val="00FB01FA"/>
    <w:rsid w:val="00FC4B69"/>
    <w:rsid w:val="00FC66DD"/>
    <w:rsid w:val="00FD2CD6"/>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73E8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Footnote Text Char Char1,Footnote Text Char1 Char Char,Footnote Text Char Char1 Char Char,Footnote Text Char2 Char Char1 Char Char,Footnote Text Char1 Char Char Char Char Char1,Car,fn,ALTS FOOTNOTE,Footnote Text 2"/>
    <w:basedOn w:val="Normal"/>
    <w:link w:val="FootnoteTextChar"/>
    <w:uiPriority w:val="99"/>
    <w:qFormat/>
    <w:rsid w:val="009248F5"/>
    <w:rPr>
      <w:sz w:val="20"/>
    </w:rPr>
  </w:style>
  <w:style w:type="character" w:styleId="FootnoteReference">
    <w:name w:val="footnote reference"/>
    <w:aliases w:val="o,fr,footnote text,Style 42,Footnote_Reference,Style 13,Style 12,Style 28,(NECG) Footnote Reference,Style 11,Style 9,Style 16,Style 15,Style 17,Style 20,o1,fr1,o2,fr2,o3,fr3,Style 8,Style 7,Style 19"/>
    <w:uiPriority w:val="99"/>
    <w:qFormat/>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Hyperlink">
    <w:name w:val="Hyperlink"/>
    <w:rsid w:val="006A19BC"/>
    <w:rPr>
      <w:color w:val="0563C1"/>
      <w:u w:val="single"/>
    </w:rPr>
  </w:style>
  <w:style w:type="character" w:styleId="UnresolvedMention">
    <w:name w:val="Unresolved Mention"/>
    <w:uiPriority w:val="99"/>
    <w:semiHidden/>
    <w:unhideWhenUsed/>
    <w:rsid w:val="006A19BC"/>
    <w:rPr>
      <w:color w:val="605E5C"/>
      <w:shd w:val="clear" w:color="auto" w:fill="E1DFDD"/>
    </w:rPr>
  </w:style>
  <w:style w:type="character" w:styleId="FollowedHyperlink">
    <w:name w:val="FollowedHyperlink"/>
    <w:rsid w:val="006A19BC"/>
    <w:rPr>
      <w:color w:val="954F72"/>
      <w:u w:val="single"/>
    </w:rPr>
  </w:style>
  <w:style w:type="paragraph" w:styleId="ListParagraph">
    <w:name w:val="List Paragraph"/>
    <w:basedOn w:val="Normal"/>
    <w:uiPriority w:val="34"/>
    <w:qFormat/>
    <w:rsid w:val="00F57740"/>
    <w:pPr>
      <w:ind w:left="720"/>
    </w:pPr>
  </w:style>
  <w:style w:type="character" w:styleId="CommentReference">
    <w:name w:val="annotation reference"/>
    <w:rsid w:val="00BE7FEF"/>
    <w:rPr>
      <w:sz w:val="16"/>
      <w:szCs w:val="16"/>
    </w:rPr>
  </w:style>
  <w:style w:type="paragraph" w:styleId="CommentText">
    <w:name w:val="annotation text"/>
    <w:basedOn w:val="Normal"/>
    <w:link w:val="CommentTextChar"/>
    <w:rsid w:val="00BE7FEF"/>
    <w:rPr>
      <w:sz w:val="20"/>
    </w:rPr>
  </w:style>
  <w:style w:type="character" w:customStyle="1" w:styleId="CommentTextChar">
    <w:name w:val="Comment Text Char"/>
    <w:basedOn w:val="DefaultParagraphFont"/>
    <w:link w:val="CommentText"/>
    <w:rsid w:val="00BE7FEF"/>
  </w:style>
  <w:style w:type="paragraph" w:styleId="CommentSubject">
    <w:name w:val="annotation subject"/>
    <w:basedOn w:val="CommentText"/>
    <w:next w:val="CommentText"/>
    <w:link w:val="CommentSubjectChar"/>
    <w:rsid w:val="00BE7FEF"/>
    <w:rPr>
      <w:b/>
      <w:bCs/>
    </w:rPr>
  </w:style>
  <w:style w:type="character" w:customStyle="1" w:styleId="CommentSubjectChar">
    <w:name w:val="Comment Subject Char"/>
    <w:link w:val="CommentSubject"/>
    <w:rsid w:val="00BE7FEF"/>
    <w:rPr>
      <w:b/>
      <w:bCs/>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fn Char"/>
    <w:link w:val="FootnoteText"/>
    <w:uiPriority w:val="99"/>
    <w:rsid w:val="002605F8"/>
  </w:style>
  <w:style w:type="paragraph" w:customStyle="1" w:styleId="Default">
    <w:name w:val="Default"/>
    <w:rsid w:val="00983729"/>
    <w:pPr>
      <w:autoSpaceDE w:val="0"/>
      <w:autoSpaceDN w:val="0"/>
      <w:adjustRightInd w:val="0"/>
    </w:pPr>
    <w:rPr>
      <w:color w:val="000000"/>
      <w:sz w:val="24"/>
      <w:szCs w:val="24"/>
    </w:rPr>
  </w:style>
  <w:style w:type="character" w:customStyle="1" w:styleId="FooterChar">
    <w:name w:val="Footer Char"/>
    <w:link w:val="Footer"/>
    <w:uiPriority w:val="99"/>
    <w:rsid w:val="005968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0303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9B0F-E615-4F2F-BB31-C57C92F4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2021-07-15T17:15:00Z</dcterms:created>
  <dcterms:modified xsi:type="dcterms:W3CDTF">2021-07-15T17:15:00Z</dcterms:modified>
</cp:coreProperties>
</file>