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7B051" w14:textId="77777777" w:rsidR="0038698E" w:rsidRPr="00F56D54" w:rsidRDefault="0038698E" w:rsidP="00F56D54">
      <w:pPr>
        <w:widowControl/>
        <w:suppressAutoHyphens/>
        <w:jc w:val="center"/>
        <w:rPr>
          <w:b/>
          <w:sz w:val="26"/>
          <w:szCs w:val="26"/>
        </w:rPr>
      </w:pPr>
      <w:r w:rsidRPr="00F56D54">
        <w:rPr>
          <w:b/>
          <w:sz w:val="26"/>
          <w:szCs w:val="26"/>
        </w:rPr>
        <w:t>PENNSYLVANIA</w:t>
      </w:r>
    </w:p>
    <w:p w14:paraId="1223F68F" w14:textId="77777777" w:rsidR="0038698E" w:rsidRPr="00F56D54" w:rsidRDefault="0038698E" w:rsidP="00F56D54">
      <w:pPr>
        <w:widowControl/>
        <w:suppressAutoHyphens/>
        <w:jc w:val="center"/>
        <w:rPr>
          <w:sz w:val="26"/>
          <w:szCs w:val="26"/>
        </w:rPr>
      </w:pPr>
      <w:r w:rsidRPr="00F56D54">
        <w:rPr>
          <w:b/>
          <w:sz w:val="26"/>
          <w:szCs w:val="26"/>
        </w:rPr>
        <w:t>PUBLIC UTILITY COMMISSION</w:t>
      </w:r>
    </w:p>
    <w:p w14:paraId="08B68B58" w14:textId="0A7FB5CC" w:rsidR="0038698E" w:rsidRPr="00F56D54" w:rsidRDefault="0038698E" w:rsidP="00F56D54">
      <w:pPr>
        <w:widowControl/>
        <w:suppressAutoHyphens/>
        <w:jc w:val="center"/>
        <w:rPr>
          <w:b/>
          <w:sz w:val="26"/>
          <w:szCs w:val="26"/>
        </w:rPr>
      </w:pPr>
      <w:r w:rsidRPr="00F56D54">
        <w:rPr>
          <w:b/>
          <w:sz w:val="26"/>
          <w:szCs w:val="26"/>
        </w:rPr>
        <w:t xml:space="preserve">Harrisburg, PA </w:t>
      </w:r>
      <w:r w:rsidR="00FE2A75" w:rsidRPr="00F56D54">
        <w:rPr>
          <w:b/>
          <w:sz w:val="26"/>
          <w:szCs w:val="26"/>
        </w:rPr>
        <w:t xml:space="preserve"> </w:t>
      </w:r>
      <w:r w:rsidRPr="00F56D54">
        <w:rPr>
          <w:b/>
          <w:sz w:val="26"/>
          <w:szCs w:val="26"/>
        </w:rPr>
        <w:t>171</w:t>
      </w:r>
      <w:r w:rsidR="00F148E4" w:rsidRPr="00F56D54">
        <w:rPr>
          <w:b/>
          <w:sz w:val="26"/>
          <w:szCs w:val="26"/>
        </w:rPr>
        <w:t>20</w:t>
      </w:r>
    </w:p>
    <w:p w14:paraId="1A40D713" w14:textId="22D40D63" w:rsidR="0038698E" w:rsidRPr="00F56D54" w:rsidRDefault="0038698E" w:rsidP="00F56D54">
      <w:pPr>
        <w:widowControl/>
        <w:suppressAutoHyphens/>
        <w:rPr>
          <w:sz w:val="26"/>
          <w:szCs w:val="26"/>
        </w:rPr>
      </w:pPr>
    </w:p>
    <w:p w14:paraId="3C124AFC" w14:textId="77777777" w:rsidR="00CC5420" w:rsidRPr="00F56D54" w:rsidRDefault="00CC5420" w:rsidP="00F56D54">
      <w:pPr>
        <w:widowControl/>
        <w:suppressAutoHyphens/>
        <w:rPr>
          <w:sz w:val="26"/>
          <w:szCs w:val="26"/>
        </w:rPr>
      </w:pPr>
    </w:p>
    <w:p w14:paraId="4487B0F8" w14:textId="6322D664" w:rsidR="0038698E" w:rsidRPr="00F56D54" w:rsidRDefault="0038698E" w:rsidP="00F56D54">
      <w:pPr>
        <w:widowControl/>
        <w:suppressAutoHyphens/>
        <w:jc w:val="right"/>
        <w:rPr>
          <w:sz w:val="26"/>
          <w:szCs w:val="26"/>
        </w:rPr>
      </w:pPr>
      <w:r w:rsidRPr="00F56D54">
        <w:rPr>
          <w:sz w:val="26"/>
          <w:szCs w:val="26"/>
        </w:rPr>
        <w:t xml:space="preserve">Public Meeting held </w:t>
      </w:r>
      <w:r w:rsidR="003F1B34" w:rsidRPr="00F56D54">
        <w:rPr>
          <w:sz w:val="26"/>
          <w:szCs w:val="26"/>
        </w:rPr>
        <w:t>July 15</w:t>
      </w:r>
      <w:r w:rsidRPr="00F56D54">
        <w:rPr>
          <w:sz w:val="26"/>
          <w:szCs w:val="26"/>
        </w:rPr>
        <w:t>, 20</w:t>
      </w:r>
      <w:r w:rsidR="00B104A2" w:rsidRPr="00F56D54">
        <w:rPr>
          <w:sz w:val="26"/>
          <w:szCs w:val="26"/>
        </w:rPr>
        <w:t>2</w:t>
      </w:r>
      <w:r w:rsidR="00E46FB4" w:rsidRPr="00F56D54">
        <w:rPr>
          <w:sz w:val="26"/>
          <w:szCs w:val="26"/>
        </w:rPr>
        <w:t>1</w:t>
      </w:r>
    </w:p>
    <w:p w14:paraId="4EB26273" w14:textId="596E1B0C" w:rsidR="0038698E" w:rsidRPr="00F56D54" w:rsidRDefault="0038698E" w:rsidP="00F56D54">
      <w:pPr>
        <w:widowControl/>
        <w:suppressAutoHyphens/>
        <w:rPr>
          <w:sz w:val="26"/>
          <w:szCs w:val="26"/>
        </w:rPr>
      </w:pPr>
    </w:p>
    <w:p w14:paraId="7010854E" w14:textId="77777777" w:rsidR="00FE2807" w:rsidRPr="00F56D54" w:rsidRDefault="00FE2807" w:rsidP="00F56D54">
      <w:pPr>
        <w:widowControl/>
        <w:suppressAutoHyphens/>
        <w:rPr>
          <w:sz w:val="26"/>
          <w:szCs w:val="26"/>
        </w:rPr>
      </w:pPr>
    </w:p>
    <w:p w14:paraId="2C77AB1F" w14:textId="77777777" w:rsidR="0038698E" w:rsidRPr="00F56D54" w:rsidRDefault="0038698E" w:rsidP="00F56D54">
      <w:pPr>
        <w:widowControl/>
        <w:suppressAutoHyphens/>
        <w:rPr>
          <w:sz w:val="26"/>
          <w:szCs w:val="26"/>
        </w:rPr>
      </w:pPr>
      <w:r w:rsidRPr="00F56D54">
        <w:rPr>
          <w:sz w:val="26"/>
          <w:szCs w:val="26"/>
        </w:rPr>
        <w:t>Commissioners Present:</w:t>
      </w:r>
    </w:p>
    <w:p w14:paraId="05EC99D5" w14:textId="77777777" w:rsidR="0038698E" w:rsidRPr="00F56D54" w:rsidRDefault="0038698E" w:rsidP="00F56D54">
      <w:pPr>
        <w:widowControl/>
        <w:suppressAutoHyphens/>
        <w:rPr>
          <w:sz w:val="26"/>
          <w:szCs w:val="26"/>
        </w:rPr>
      </w:pPr>
    </w:p>
    <w:p w14:paraId="60D6447D" w14:textId="08750E88" w:rsidR="0038698E" w:rsidRPr="00F56D54" w:rsidRDefault="000D7B91" w:rsidP="00F56D54">
      <w:pPr>
        <w:widowControl/>
        <w:ind w:firstLine="720"/>
        <w:rPr>
          <w:sz w:val="26"/>
          <w:szCs w:val="26"/>
        </w:rPr>
      </w:pPr>
      <w:r w:rsidRPr="00F56D54">
        <w:rPr>
          <w:sz w:val="26"/>
          <w:szCs w:val="26"/>
        </w:rPr>
        <w:t xml:space="preserve">Gladys Brown Dutrieuille, Chairman </w:t>
      </w:r>
    </w:p>
    <w:p w14:paraId="708DE3E4" w14:textId="5B04D773" w:rsidR="0038698E" w:rsidRPr="00F56D54" w:rsidRDefault="0038698E" w:rsidP="00F56D54">
      <w:pPr>
        <w:widowControl/>
        <w:ind w:firstLine="720"/>
        <w:rPr>
          <w:sz w:val="26"/>
          <w:szCs w:val="26"/>
        </w:rPr>
      </w:pPr>
      <w:r w:rsidRPr="00F56D54">
        <w:rPr>
          <w:sz w:val="26"/>
          <w:szCs w:val="26"/>
        </w:rPr>
        <w:t>David W. Sweet, Vice Chairman</w:t>
      </w:r>
    </w:p>
    <w:p w14:paraId="0E6C8569" w14:textId="42238E2E" w:rsidR="0038698E" w:rsidRPr="00F56D54" w:rsidRDefault="0038698E" w:rsidP="00F56D54">
      <w:pPr>
        <w:widowControl/>
        <w:ind w:firstLine="720"/>
        <w:rPr>
          <w:sz w:val="26"/>
          <w:szCs w:val="26"/>
        </w:rPr>
      </w:pPr>
      <w:r w:rsidRPr="00F56D54">
        <w:rPr>
          <w:sz w:val="26"/>
          <w:szCs w:val="26"/>
        </w:rPr>
        <w:t>John F. Coleman, Jr.</w:t>
      </w:r>
    </w:p>
    <w:p w14:paraId="7446D00D" w14:textId="11B0AD5A" w:rsidR="0038698E" w:rsidRPr="00F56D54" w:rsidRDefault="00B01567" w:rsidP="00F56D54">
      <w:pPr>
        <w:widowControl/>
        <w:ind w:firstLine="720"/>
        <w:rPr>
          <w:sz w:val="26"/>
          <w:szCs w:val="26"/>
        </w:rPr>
      </w:pPr>
      <w:r w:rsidRPr="00F56D54">
        <w:rPr>
          <w:sz w:val="26"/>
          <w:szCs w:val="26"/>
        </w:rPr>
        <w:t>Ralph V. Yanora</w:t>
      </w:r>
    </w:p>
    <w:p w14:paraId="6BE16230" w14:textId="44D6FB65" w:rsidR="0038698E" w:rsidRPr="00F56D54" w:rsidRDefault="0038698E" w:rsidP="00F56D54">
      <w:pPr>
        <w:widowControl/>
        <w:suppressAutoHyphens/>
        <w:rPr>
          <w:sz w:val="26"/>
          <w:szCs w:val="26"/>
        </w:rPr>
      </w:pPr>
    </w:p>
    <w:p w14:paraId="0677277D" w14:textId="77777777" w:rsidR="00FE2807" w:rsidRPr="00F56D54" w:rsidRDefault="00FE2807" w:rsidP="00F56D54">
      <w:pPr>
        <w:widowControl/>
        <w:suppressAutoHyphens/>
        <w:rPr>
          <w:sz w:val="26"/>
          <w:szCs w:val="26"/>
        </w:rPr>
      </w:pPr>
    </w:p>
    <w:p w14:paraId="17A2EC8C" w14:textId="3659A720" w:rsidR="005A12E2" w:rsidRPr="00F56D54" w:rsidRDefault="005A12E2" w:rsidP="00F56D54">
      <w:pPr>
        <w:widowControl/>
        <w:tabs>
          <w:tab w:val="center" w:pos="5761"/>
          <w:tab w:val="left" w:pos="7200"/>
        </w:tabs>
        <w:spacing w:after="5" w:line="259" w:lineRule="auto"/>
        <w:ind w:left="-15"/>
        <w:rPr>
          <w:color w:val="000000"/>
          <w:sz w:val="26"/>
          <w:szCs w:val="26"/>
        </w:rPr>
      </w:pPr>
      <w:r w:rsidRPr="00F56D54">
        <w:rPr>
          <w:color w:val="000000"/>
          <w:sz w:val="26"/>
          <w:szCs w:val="26"/>
        </w:rPr>
        <w:t xml:space="preserve">Pennsylvania Public Utility Commission </w:t>
      </w:r>
      <w:r w:rsidRPr="00F56D54">
        <w:rPr>
          <w:color w:val="000000"/>
          <w:sz w:val="26"/>
          <w:szCs w:val="26"/>
        </w:rPr>
        <w:tab/>
        <w:t>:</w:t>
      </w:r>
      <w:r w:rsidRPr="00F56D54">
        <w:rPr>
          <w:color w:val="000000"/>
          <w:sz w:val="26"/>
          <w:szCs w:val="26"/>
        </w:rPr>
        <w:tab/>
        <w:t xml:space="preserve">R-2020-3022135 </w:t>
      </w:r>
    </w:p>
    <w:p w14:paraId="60597BB8" w14:textId="058C4D35" w:rsidR="005A12E2" w:rsidRPr="00F56D54" w:rsidRDefault="005A12E2" w:rsidP="00F56D54">
      <w:pPr>
        <w:widowControl/>
        <w:tabs>
          <w:tab w:val="center" w:pos="5761"/>
          <w:tab w:val="left" w:pos="7200"/>
        </w:tabs>
        <w:spacing w:after="5" w:line="259" w:lineRule="auto"/>
        <w:ind w:left="-15"/>
        <w:rPr>
          <w:color w:val="000000"/>
          <w:sz w:val="26"/>
          <w:szCs w:val="26"/>
        </w:rPr>
      </w:pPr>
      <w:r w:rsidRPr="00F56D54">
        <w:rPr>
          <w:color w:val="000000"/>
          <w:sz w:val="26"/>
          <w:szCs w:val="26"/>
        </w:rPr>
        <w:t xml:space="preserve">Office of Small Business Advocate </w:t>
      </w:r>
      <w:r w:rsidRPr="00F56D54">
        <w:rPr>
          <w:color w:val="000000"/>
          <w:sz w:val="26"/>
          <w:szCs w:val="26"/>
        </w:rPr>
        <w:tab/>
        <w:t>:</w:t>
      </w:r>
      <w:r w:rsidRPr="00F56D54">
        <w:rPr>
          <w:color w:val="000000"/>
          <w:sz w:val="26"/>
          <w:szCs w:val="26"/>
        </w:rPr>
        <w:tab/>
        <w:t xml:space="preserve">C-2020-3022858 </w:t>
      </w:r>
    </w:p>
    <w:p w14:paraId="63EC18E9" w14:textId="649D4521" w:rsidR="005A12E2" w:rsidRPr="00F56D54" w:rsidRDefault="005A12E2" w:rsidP="00F56D54">
      <w:pPr>
        <w:widowControl/>
        <w:tabs>
          <w:tab w:val="center" w:pos="5761"/>
          <w:tab w:val="left" w:pos="7200"/>
        </w:tabs>
        <w:spacing w:after="5" w:line="259" w:lineRule="auto"/>
        <w:ind w:left="-15"/>
        <w:rPr>
          <w:color w:val="000000"/>
          <w:sz w:val="26"/>
          <w:szCs w:val="26"/>
        </w:rPr>
      </w:pPr>
      <w:r w:rsidRPr="00F56D54">
        <w:rPr>
          <w:color w:val="000000"/>
          <w:sz w:val="26"/>
          <w:szCs w:val="26"/>
        </w:rPr>
        <w:t xml:space="preserve">Office of Consumer Advocate </w:t>
      </w:r>
      <w:r w:rsidRPr="00F56D54">
        <w:rPr>
          <w:color w:val="000000"/>
          <w:sz w:val="26"/>
          <w:szCs w:val="26"/>
        </w:rPr>
        <w:tab/>
        <w:t>:</w:t>
      </w:r>
      <w:r w:rsidRPr="00F56D54">
        <w:rPr>
          <w:color w:val="000000"/>
          <w:sz w:val="26"/>
          <w:szCs w:val="26"/>
        </w:rPr>
        <w:tab/>
        <w:t xml:space="preserve">C-2020-3022887 </w:t>
      </w:r>
    </w:p>
    <w:p w14:paraId="73847F07" w14:textId="2F815107" w:rsidR="005A12E2" w:rsidRPr="00F56D54" w:rsidRDefault="005A12E2" w:rsidP="00F56D54">
      <w:pPr>
        <w:widowControl/>
        <w:tabs>
          <w:tab w:val="center" w:pos="5761"/>
          <w:tab w:val="left" w:pos="7200"/>
        </w:tabs>
        <w:spacing w:after="5" w:line="259" w:lineRule="auto"/>
        <w:ind w:left="-15"/>
        <w:rPr>
          <w:color w:val="000000"/>
          <w:sz w:val="26"/>
          <w:szCs w:val="26"/>
        </w:rPr>
      </w:pPr>
      <w:r w:rsidRPr="00F56D54">
        <w:rPr>
          <w:color w:val="000000"/>
          <w:sz w:val="26"/>
          <w:szCs w:val="26"/>
        </w:rPr>
        <w:t xml:space="preserve">Shelley Saul </w:t>
      </w:r>
      <w:r w:rsidRPr="00F56D54">
        <w:rPr>
          <w:color w:val="000000"/>
          <w:sz w:val="26"/>
          <w:szCs w:val="26"/>
        </w:rPr>
        <w:tab/>
        <w:t>:</w:t>
      </w:r>
      <w:r w:rsidRPr="00F56D54">
        <w:rPr>
          <w:color w:val="000000"/>
          <w:sz w:val="26"/>
          <w:szCs w:val="26"/>
        </w:rPr>
        <w:tab/>
        <w:t xml:space="preserve">C-2020-3022921 </w:t>
      </w:r>
    </w:p>
    <w:p w14:paraId="3D0A2E52" w14:textId="3220851B" w:rsidR="005A12E2" w:rsidRPr="00F56D54" w:rsidRDefault="005A12E2" w:rsidP="00F56D54">
      <w:pPr>
        <w:widowControl/>
        <w:tabs>
          <w:tab w:val="center" w:pos="5761"/>
          <w:tab w:val="left" w:pos="7200"/>
        </w:tabs>
        <w:spacing w:after="5" w:line="259" w:lineRule="auto"/>
        <w:ind w:left="-15"/>
        <w:rPr>
          <w:color w:val="000000"/>
          <w:sz w:val="26"/>
          <w:szCs w:val="26"/>
        </w:rPr>
      </w:pPr>
      <w:r w:rsidRPr="00F56D54">
        <w:rPr>
          <w:color w:val="000000"/>
          <w:sz w:val="26"/>
          <w:szCs w:val="26"/>
        </w:rPr>
        <w:t xml:space="preserve">Dawn Metzger </w:t>
      </w:r>
      <w:r w:rsidRPr="00F56D54">
        <w:rPr>
          <w:color w:val="000000"/>
          <w:sz w:val="26"/>
          <w:szCs w:val="26"/>
        </w:rPr>
        <w:tab/>
        <w:t>:</w:t>
      </w:r>
      <w:r w:rsidRPr="00F56D54">
        <w:rPr>
          <w:color w:val="000000"/>
          <w:sz w:val="26"/>
          <w:szCs w:val="26"/>
        </w:rPr>
        <w:tab/>
        <w:t xml:space="preserve">C-2020-3022987 </w:t>
      </w:r>
    </w:p>
    <w:p w14:paraId="4A9FE684" w14:textId="09A5EF90" w:rsidR="005A12E2" w:rsidRPr="00F56D54" w:rsidRDefault="005A12E2" w:rsidP="00F56D54">
      <w:pPr>
        <w:widowControl/>
        <w:tabs>
          <w:tab w:val="center" w:pos="5761"/>
          <w:tab w:val="left" w:pos="7200"/>
        </w:tabs>
        <w:spacing w:after="5" w:line="259" w:lineRule="auto"/>
        <w:ind w:left="-15"/>
        <w:rPr>
          <w:color w:val="000000"/>
          <w:sz w:val="26"/>
          <w:szCs w:val="26"/>
        </w:rPr>
      </w:pPr>
      <w:r w:rsidRPr="00F56D54">
        <w:rPr>
          <w:color w:val="000000"/>
          <w:sz w:val="26"/>
          <w:szCs w:val="26"/>
        </w:rPr>
        <w:t xml:space="preserve">Anthony </w:t>
      </w:r>
      <w:proofErr w:type="spellStart"/>
      <w:r w:rsidRPr="00F56D54">
        <w:rPr>
          <w:color w:val="000000"/>
          <w:sz w:val="26"/>
          <w:szCs w:val="26"/>
        </w:rPr>
        <w:t>Pinkala</w:t>
      </w:r>
      <w:proofErr w:type="spellEnd"/>
      <w:r w:rsidRPr="00F56D54">
        <w:rPr>
          <w:color w:val="000000"/>
          <w:sz w:val="26"/>
          <w:szCs w:val="26"/>
        </w:rPr>
        <w:t xml:space="preserve"> </w:t>
      </w:r>
      <w:r w:rsidRPr="00F56D54">
        <w:rPr>
          <w:color w:val="000000"/>
          <w:sz w:val="26"/>
          <w:szCs w:val="26"/>
        </w:rPr>
        <w:tab/>
        <w:t>:</w:t>
      </w:r>
      <w:r w:rsidRPr="00F56D54">
        <w:rPr>
          <w:color w:val="000000"/>
          <w:sz w:val="26"/>
          <w:szCs w:val="26"/>
        </w:rPr>
        <w:tab/>
        <w:t xml:space="preserve">C-2020-3023020 </w:t>
      </w:r>
    </w:p>
    <w:p w14:paraId="735B30EA" w14:textId="75613C68" w:rsidR="005A12E2" w:rsidRPr="00F56D54" w:rsidRDefault="005A12E2" w:rsidP="00F56D54">
      <w:pPr>
        <w:widowControl/>
        <w:tabs>
          <w:tab w:val="center" w:pos="5761"/>
          <w:tab w:val="left" w:pos="7200"/>
        </w:tabs>
        <w:spacing w:after="5" w:line="259" w:lineRule="auto"/>
        <w:ind w:left="-15"/>
        <w:rPr>
          <w:color w:val="000000"/>
          <w:sz w:val="26"/>
          <w:szCs w:val="26"/>
        </w:rPr>
      </w:pPr>
      <w:r w:rsidRPr="00F56D54">
        <w:rPr>
          <w:color w:val="000000"/>
          <w:sz w:val="26"/>
          <w:szCs w:val="26"/>
        </w:rPr>
        <w:t xml:space="preserve">William H. </w:t>
      </w:r>
      <w:proofErr w:type="spellStart"/>
      <w:r w:rsidRPr="00F56D54">
        <w:rPr>
          <w:color w:val="000000"/>
          <w:sz w:val="26"/>
          <w:szCs w:val="26"/>
        </w:rPr>
        <w:t>Yennie</w:t>
      </w:r>
      <w:proofErr w:type="spellEnd"/>
      <w:r w:rsidRPr="00F56D54">
        <w:rPr>
          <w:color w:val="000000"/>
          <w:sz w:val="26"/>
          <w:szCs w:val="26"/>
        </w:rPr>
        <w:t xml:space="preserve">, III </w:t>
      </w:r>
      <w:r w:rsidRPr="00F56D54">
        <w:rPr>
          <w:color w:val="000000"/>
          <w:sz w:val="26"/>
          <w:szCs w:val="26"/>
        </w:rPr>
        <w:tab/>
        <w:t>:</w:t>
      </w:r>
      <w:r w:rsidRPr="00F56D54">
        <w:rPr>
          <w:color w:val="000000"/>
          <w:sz w:val="26"/>
          <w:szCs w:val="26"/>
        </w:rPr>
        <w:tab/>
        <w:t xml:space="preserve">C-2020-3023035 </w:t>
      </w:r>
    </w:p>
    <w:p w14:paraId="0C706E7B" w14:textId="679386AC" w:rsidR="005A12E2" w:rsidRPr="00F56D54" w:rsidRDefault="005A12E2" w:rsidP="00F56D54">
      <w:pPr>
        <w:widowControl/>
        <w:tabs>
          <w:tab w:val="center" w:pos="5761"/>
          <w:tab w:val="left" w:pos="7200"/>
        </w:tabs>
        <w:spacing w:after="5" w:line="259" w:lineRule="auto"/>
        <w:ind w:left="-15"/>
        <w:rPr>
          <w:color w:val="000000"/>
          <w:sz w:val="26"/>
          <w:szCs w:val="26"/>
        </w:rPr>
      </w:pPr>
      <w:r w:rsidRPr="00F56D54">
        <w:rPr>
          <w:color w:val="000000"/>
          <w:sz w:val="26"/>
          <w:szCs w:val="26"/>
        </w:rPr>
        <w:t xml:space="preserve">John W. Dalton, Jr. </w:t>
      </w:r>
      <w:r w:rsidRPr="00F56D54">
        <w:rPr>
          <w:color w:val="000000"/>
          <w:sz w:val="26"/>
          <w:szCs w:val="26"/>
        </w:rPr>
        <w:tab/>
        <w:t>:</w:t>
      </w:r>
      <w:r w:rsidRPr="00F56D54">
        <w:rPr>
          <w:color w:val="000000"/>
          <w:sz w:val="26"/>
          <w:szCs w:val="26"/>
        </w:rPr>
        <w:tab/>
        <w:t xml:space="preserve">C-2020-3023239 </w:t>
      </w:r>
    </w:p>
    <w:p w14:paraId="504B26B2" w14:textId="6BE2A977" w:rsidR="005A12E2" w:rsidRPr="00F56D54" w:rsidRDefault="005A12E2" w:rsidP="00F56D54">
      <w:pPr>
        <w:widowControl/>
        <w:tabs>
          <w:tab w:val="center" w:pos="5761"/>
          <w:tab w:val="left" w:pos="7200"/>
        </w:tabs>
        <w:spacing w:after="5" w:line="259" w:lineRule="auto"/>
        <w:ind w:left="-15"/>
        <w:rPr>
          <w:color w:val="000000"/>
          <w:sz w:val="26"/>
          <w:szCs w:val="26"/>
        </w:rPr>
      </w:pPr>
      <w:r w:rsidRPr="00F56D54">
        <w:rPr>
          <w:color w:val="000000"/>
          <w:sz w:val="26"/>
          <w:szCs w:val="26"/>
        </w:rPr>
        <w:t xml:space="preserve">Charles </w:t>
      </w:r>
      <w:proofErr w:type="spellStart"/>
      <w:r w:rsidRPr="00F56D54">
        <w:rPr>
          <w:color w:val="000000"/>
          <w:sz w:val="26"/>
          <w:szCs w:val="26"/>
        </w:rPr>
        <w:t>Gillinder</w:t>
      </w:r>
      <w:proofErr w:type="spellEnd"/>
      <w:r w:rsidRPr="00F56D54">
        <w:rPr>
          <w:color w:val="000000"/>
          <w:sz w:val="26"/>
          <w:szCs w:val="26"/>
        </w:rPr>
        <w:t xml:space="preserve"> </w:t>
      </w:r>
      <w:r w:rsidRPr="00F56D54">
        <w:rPr>
          <w:color w:val="000000"/>
          <w:sz w:val="26"/>
          <w:szCs w:val="26"/>
        </w:rPr>
        <w:tab/>
        <w:t>:</w:t>
      </w:r>
      <w:r w:rsidRPr="00F56D54">
        <w:rPr>
          <w:color w:val="000000"/>
          <w:sz w:val="26"/>
          <w:szCs w:val="26"/>
        </w:rPr>
        <w:tab/>
        <w:t xml:space="preserve">C-2020-3023416 </w:t>
      </w:r>
    </w:p>
    <w:p w14:paraId="6E18557A" w14:textId="2C0961BB" w:rsidR="005A12E2" w:rsidRPr="00F56D54" w:rsidRDefault="005A12E2" w:rsidP="00F56D54">
      <w:pPr>
        <w:widowControl/>
        <w:tabs>
          <w:tab w:val="center" w:pos="5761"/>
          <w:tab w:val="left" w:pos="7200"/>
        </w:tabs>
        <w:spacing w:after="5" w:line="259" w:lineRule="auto"/>
        <w:ind w:left="-15"/>
        <w:rPr>
          <w:color w:val="000000"/>
          <w:sz w:val="26"/>
          <w:szCs w:val="26"/>
        </w:rPr>
      </w:pPr>
      <w:r w:rsidRPr="00F56D54">
        <w:rPr>
          <w:color w:val="000000"/>
          <w:sz w:val="26"/>
          <w:szCs w:val="26"/>
        </w:rPr>
        <w:t xml:space="preserve">Carol </w:t>
      </w:r>
      <w:proofErr w:type="spellStart"/>
      <w:r w:rsidRPr="00F56D54">
        <w:rPr>
          <w:color w:val="000000"/>
          <w:sz w:val="26"/>
          <w:szCs w:val="26"/>
        </w:rPr>
        <w:t>Losee</w:t>
      </w:r>
      <w:proofErr w:type="spellEnd"/>
      <w:r w:rsidRPr="00F56D54">
        <w:rPr>
          <w:color w:val="000000"/>
          <w:sz w:val="26"/>
          <w:szCs w:val="26"/>
        </w:rPr>
        <w:t xml:space="preserve"> </w:t>
      </w:r>
      <w:r w:rsidRPr="00F56D54">
        <w:rPr>
          <w:color w:val="000000"/>
          <w:sz w:val="26"/>
          <w:szCs w:val="26"/>
        </w:rPr>
        <w:tab/>
        <w:t>:</w:t>
      </w:r>
      <w:r w:rsidRPr="00F56D54">
        <w:rPr>
          <w:color w:val="000000"/>
          <w:sz w:val="26"/>
          <w:szCs w:val="26"/>
        </w:rPr>
        <w:tab/>
        <w:t xml:space="preserve">C-2020-3023152 </w:t>
      </w:r>
    </w:p>
    <w:p w14:paraId="369408DB" w14:textId="65E74E54" w:rsidR="005A12E2" w:rsidRPr="00F56D54" w:rsidRDefault="005A12E2" w:rsidP="00F56D54">
      <w:pPr>
        <w:widowControl/>
        <w:tabs>
          <w:tab w:val="center" w:pos="5761"/>
          <w:tab w:val="left" w:pos="7200"/>
        </w:tabs>
        <w:spacing w:after="5" w:line="259" w:lineRule="auto"/>
        <w:ind w:left="-15"/>
        <w:rPr>
          <w:color w:val="000000"/>
          <w:sz w:val="26"/>
          <w:szCs w:val="26"/>
        </w:rPr>
      </w:pPr>
      <w:r w:rsidRPr="00F56D54">
        <w:rPr>
          <w:color w:val="000000"/>
          <w:sz w:val="26"/>
          <w:szCs w:val="26"/>
        </w:rPr>
        <w:t xml:space="preserve">Marla J. Hulse </w:t>
      </w:r>
      <w:r w:rsidRPr="00F56D54">
        <w:rPr>
          <w:color w:val="000000"/>
          <w:sz w:val="26"/>
          <w:szCs w:val="26"/>
        </w:rPr>
        <w:tab/>
        <w:t>:</w:t>
      </w:r>
      <w:r w:rsidRPr="00F56D54">
        <w:rPr>
          <w:color w:val="000000"/>
          <w:sz w:val="26"/>
          <w:szCs w:val="26"/>
        </w:rPr>
        <w:tab/>
        <w:t xml:space="preserve">C-2020-3023418 </w:t>
      </w:r>
    </w:p>
    <w:p w14:paraId="682483CF" w14:textId="360A41A0" w:rsidR="005A12E2" w:rsidRPr="00F56D54" w:rsidRDefault="005A12E2" w:rsidP="00F56D54">
      <w:pPr>
        <w:widowControl/>
        <w:tabs>
          <w:tab w:val="center" w:pos="5761"/>
          <w:tab w:val="left" w:pos="7200"/>
        </w:tabs>
        <w:spacing w:after="5" w:line="259" w:lineRule="auto"/>
        <w:ind w:left="-15"/>
        <w:rPr>
          <w:color w:val="000000"/>
          <w:sz w:val="26"/>
          <w:szCs w:val="26"/>
        </w:rPr>
      </w:pPr>
      <w:r w:rsidRPr="00F56D54">
        <w:rPr>
          <w:color w:val="000000"/>
          <w:sz w:val="26"/>
          <w:szCs w:val="26"/>
        </w:rPr>
        <w:t xml:space="preserve">Candace Howard </w:t>
      </w:r>
      <w:r w:rsidRPr="00F56D54">
        <w:rPr>
          <w:color w:val="000000"/>
          <w:sz w:val="26"/>
          <w:szCs w:val="26"/>
        </w:rPr>
        <w:tab/>
        <w:t>:</w:t>
      </w:r>
      <w:r w:rsidRPr="00F56D54">
        <w:rPr>
          <w:color w:val="000000"/>
          <w:sz w:val="26"/>
          <w:szCs w:val="26"/>
        </w:rPr>
        <w:tab/>
        <w:t xml:space="preserve">C-2020-3023490 </w:t>
      </w:r>
    </w:p>
    <w:p w14:paraId="5BE19CA0" w14:textId="03D4921B" w:rsidR="005A12E2" w:rsidRPr="00F56D54" w:rsidRDefault="005A12E2" w:rsidP="00F56D54">
      <w:pPr>
        <w:widowControl/>
        <w:tabs>
          <w:tab w:val="left" w:pos="5760"/>
        </w:tabs>
        <w:spacing w:after="5" w:line="259" w:lineRule="auto"/>
        <w:ind w:left="-15"/>
        <w:rPr>
          <w:color w:val="000000"/>
          <w:sz w:val="26"/>
          <w:szCs w:val="26"/>
        </w:rPr>
      </w:pPr>
      <w:r w:rsidRPr="00F56D54">
        <w:rPr>
          <w:b/>
          <w:color w:val="000000"/>
          <w:sz w:val="26"/>
          <w:szCs w:val="26"/>
        </w:rPr>
        <w:tab/>
      </w:r>
      <w:r w:rsidR="00F56D54" w:rsidRPr="00F56D54">
        <w:rPr>
          <w:color w:val="000000"/>
          <w:sz w:val="26"/>
          <w:szCs w:val="26"/>
        </w:rPr>
        <w:t>:</w:t>
      </w:r>
    </w:p>
    <w:p w14:paraId="79428CB3" w14:textId="72221259" w:rsidR="005A12E2" w:rsidRPr="00F56D54" w:rsidRDefault="00F56D54" w:rsidP="00F56D54">
      <w:pPr>
        <w:widowControl/>
        <w:tabs>
          <w:tab w:val="left" w:pos="720"/>
          <w:tab w:val="left" w:pos="5760"/>
        </w:tabs>
        <w:spacing w:line="252" w:lineRule="auto"/>
        <w:ind w:left="10" w:hanging="10"/>
        <w:rPr>
          <w:color w:val="000000"/>
          <w:sz w:val="26"/>
          <w:szCs w:val="26"/>
        </w:rPr>
      </w:pPr>
      <w:r w:rsidRPr="00F56D54">
        <w:rPr>
          <w:color w:val="000000"/>
          <w:sz w:val="26"/>
          <w:szCs w:val="26"/>
        </w:rPr>
        <w:tab/>
      </w:r>
      <w:r w:rsidR="005A12E2" w:rsidRPr="00F56D54">
        <w:rPr>
          <w:color w:val="000000"/>
          <w:sz w:val="26"/>
          <w:szCs w:val="26"/>
        </w:rPr>
        <w:tab/>
        <w:t>v.</w:t>
      </w:r>
      <w:r w:rsidRPr="00F56D54">
        <w:rPr>
          <w:color w:val="000000"/>
          <w:sz w:val="26"/>
          <w:szCs w:val="26"/>
        </w:rPr>
        <w:tab/>
        <w:t>:</w:t>
      </w:r>
    </w:p>
    <w:p w14:paraId="2026E09D" w14:textId="270D807B" w:rsidR="00F56D54" w:rsidRPr="00F56D54" w:rsidRDefault="00F56D54" w:rsidP="00F56D54">
      <w:pPr>
        <w:widowControl/>
        <w:tabs>
          <w:tab w:val="left" w:pos="5760"/>
        </w:tabs>
        <w:spacing w:line="252" w:lineRule="auto"/>
        <w:ind w:left="10" w:hanging="10"/>
        <w:rPr>
          <w:color w:val="000000"/>
          <w:sz w:val="26"/>
          <w:szCs w:val="26"/>
        </w:rPr>
      </w:pPr>
      <w:r w:rsidRPr="00F56D54">
        <w:rPr>
          <w:color w:val="000000"/>
          <w:sz w:val="26"/>
          <w:szCs w:val="26"/>
        </w:rPr>
        <w:tab/>
      </w:r>
      <w:r w:rsidRPr="00F56D54">
        <w:rPr>
          <w:color w:val="000000"/>
          <w:sz w:val="26"/>
          <w:szCs w:val="26"/>
        </w:rPr>
        <w:tab/>
        <w:t>:</w:t>
      </w:r>
    </w:p>
    <w:p w14:paraId="091CA26C" w14:textId="6914B370" w:rsidR="005A12E2" w:rsidRPr="00F56D54" w:rsidRDefault="005A12E2" w:rsidP="00F56D54">
      <w:pPr>
        <w:widowControl/>
        <w:spacing w:after="5" w:line="259" w:lineRule="auto"/>
        <w:ind w:left="-15"/>
        <w:rPr>
          <w:color w:val="000000"/>
          <w:sz w:val="26"/>
          <w:szCs w:val="26"/>
        </w:rPr>
      </w:pPr>
      <w:r w:rsidRPr="00F56D54">
        <w:rPr>
          <w:color w:val="000000"/>
          <w:sz w:val="26"/>
          <w:szCs w:val="26"/>
        </w:rPr>
        <w:t xml:space="preserve">Pike County Light </w:t>
      </w:r>
      <w:r w:rsidR="00E60BD3">
        <w:rPr>
          <w:color w:val="000000"/>
          <w:sz w:val="26"/>
          <w:szCs w:val="26"/>
        </w:rPr>
        <w:t>&amp;</w:t>
      </w:r>
      <w:r w:rsidR="00E60BD3" w:rsidRPr="00F56D54">
        <w:rPr>
          <w:color w:val="000000"/>
          <w:sz w:val="26"/>
          <w:szCs w:val="26"/>
        </w:rPr>
        <w:t xml:space="preserve"> </w:t>
      </w:r>
      <w:r w:rsidRPr="00F56D54">
        <w:rPr>
          <w:color w:val="000000"/>
          <w:sz w:val="26"/>
          <w:szCs w:val="26"/>
        </w:rPr>
        <w:t xml:space="preserve">Power </w:t>
      </w:r>
      <w:r w:rsidR="00897964" w:rsidRPr="00F56D54">
        <w:rPr>
          <w:color w:val="000000"/>
          <w:sz w:val="26"/>
          <w:szCs w:val="26"/>
        </w:rPr>
        <w:t>Company -</w:t>
      </w:r>
      <w:r w:rsidRPr="00F56D54">
        <w:rPr>
          <w:color w:val="000000"/>
          <w:sz w:val="26"/>
          <w:szCs w:val="26"/>
        </w:rPr>
        <w:t xml:space="preserve"> Electric </w:t>
      </w:r>
      <w:r w:rsidR="00F56D54" w:rsidRPr="00F56D54">
        <w:rPr>
          <w:color w:val="000000"/>
          <w:sz w:val="26"/>
          <w:szCs w:val="26"/>
        </w:rPr>
        <w:tab/>
      </w:r>
      <w:r w:rsidRPr="00F56D54">
        <w:rPr>
          <w:color w:val="000000"/>
          <w:sz w:val="26"/>
          <w:szCs w:val="26"/>
        </w:rPr>
        <w:t>:</w:t>
      </w:r>
    </w:p>
    <w:p w14:paraId="2A8FB239" w14:textId="77777777" w:rsidR="005A12E2" w:rsidRPr="00F56D54" w:rsidRDefault="005A12E2" w:rsidP="00F56D54">
      <w:pPr>
        <w:widowControl/>
        <w:spacing w:line="259" w:lineRule="auto"/>
        <w:rPr>
          <w:color w:val="000000"/>
          <w:sz w:val="26"/>
          <w:szCs w:val="26"/>
        </w:rPr>
      </w:pPr>
      <w:r w:rsidRPr="00F56D54">
        <w:rPr>
          <w:color w:val="000000"/>
          <w:sz w:val="26"/>
          <w:szCs w:val="26"/>
        </w:rPr>
        <w:t xml:space="preserve"> </w:t>
      </w:r>
    </w:p>
    <w:p w14:paraId="729FE3FA" w14:textId="23212715" w:rsidR="00401247" w:rsidRPr="00F56D54" w:rsidRDefault="00401247" w:rsidP="00F56D54">
      <w:pPr>
        <w:widowControl/>
        <w:tabs>
          <w:tab w:val="left" w:pos="-720"/>
        </w:tabs>
        <w:suppressAutoHyphens/>
        <w:jc w:val="both"/>
        <w:rPr>
          <w:sz w:val="26"/>
          <w:szCs w:val="26"/>
        </w:rPr>
      </w:pPr>
    </w:p>
    <w:p w14:paraId="33E469C3" w14:textId="49F5355B" w:rsidR="00344C68" w:rsidRPr="00F56D54" w:rsidRDefault="00344C68" w:rsidP="00F56D54">
      <w:pPr>
        <w:widowControl/>
        <w:rPr>
          <w:b/>
          <w:sz w:val="26"/>
          <w:szCs w:val="26"/>
        </w:rPr>
      </w:pPr>
    </w:p>
    <w:p w14:paraId="5F0CBB59" w14:textId="067C36A1" w:rsidR="00865783" w:rsidRPr="00F56D54" w:rsidRDefault="00865783" w:rsidP="00F56D54">
      <w:pPr>
        <w:widowControl/>
        <w:rPr>
          <w:b/>
          <w:sz w:val="26"/>
          <w:szCs w:val="26"/>
        </w:rPr>
      </w:pPr>
    </w:p>
    <w:p w14:paraId="6648642D" w14:textId="0237FA34" w:rsidR="00865783" w:rsidRPr="00F56D54" w:rsidRDefault="00865783" w:rsidP="00F56D54">
      <w:pPr>
        <w:widowControl/>
        <w:rPr>
          <w:b/>
          <w:sz w:val="26"/>
          <w:szCs w:val="26"/>
        </w:rPr>
      </w:pPr>
    </w:p>
    <w:p w14:paraId="388646ED" w14:textId="7F90CB11" w:rsidR="00865783" w:rsidRPr="00F56D54" w:rsidRDefault="00865783" w:rsidP="00F56D54">
      <w:pPr>
        <w:widowControl/>
        <w:jc w:val="center"/>
        <w:rPr>
          <w:b/>
          <w:sz w:val="26"/>
          <w:szCs w:val="26"/>
        </w:rPr>
      </w:pPr>
      <w:r w:rsidRPr="00F56D54">
        <w:rPr>
          <w:b/>
          <w:sz w:val="26"/>
          <w:szCs w:val="26"/>
        </w:rPr>
        <w:t>OPINION AND ORDER</w:t>
      </w:r>
    </w:p>
    <w:p w14:paraId="0DACE716" w14:textId="5FF5408D" w:rsidR="00865783" w:rsidRPr="00F56D54" w:rsidRDefault="00865783" w:rsidP="00F56D54">
      <w:pPr>
        <w:widowControl/>
        <w:rPr>
          <w:b/>
          <w:sz w:val="26"/>
          <w:szCs w:val="26"/>
        </w:rPr>
      </w:pPr>
    </w:p>
    <w:p w14:paraId="296BC070" w14:textId="1A57AB9A" w:rsidR="005B7603" w:rsidRPr="00F56D54" w:rsidRDefault="005B7603" w:rsidP="00F56D54">
      <w:pPr>
        <w:widowControl/>
        <w:spacing w:before="480" w:line="360" w:lineRule="auto"/>
        <w:rPr>
          <w:b/>
          <w:bCs/>
          <w:sz w:val="26"/>
          <w:szCs w:val="26"/>
          <w:lang w:eastAsia="ja-JP"/>
        </w:rPr>
      </w:pPr>
    </w:p>
    <w:p w14:paraId="7A0F3CB7" w14:textId="693522CD" w:rsidR="00CE01AD" w:rsidRPr="00F56D54" w:rsidRDefault="00CE01AD" w:rsidP="00F56D54">
      <w:pPr>
        <w:widowControl/>
        <w:spacing w:line="360" w:lineRule="auto"/>
        <w:rPr>
          <w:b/>
          <w:sz w:val="26"/>
          <w:szCs w:val="26"/>
        </w:rPr>
      </w:pPr>
      <w:r w:rsidRPr="00F56D54">
        <w:rPr>
          <w:b/>
          <w:sz w:val="26"/>
          <w:szCs w:val="26"/>
        </w:rPr>
        <w:lastRenderedPageBreak/>
        <w:t>BY THE COMMISSION:</w:t>
      </w:r>
    </w:p>
    <w:p w14:paraId="467B9228" w14:textId="77777777" w:rsidR="00275807" w:rsidRPr="00F56D54" w:rsidRDefault="00275807" w:rsidP="00F56D54">
      <w:pPr>
        <w:widowControl/>
        <w:spacing w:line="360" w:lineRule="auto"/>
        <w:rPr>
          <w:b/>
          <w:sz w:val="26"/>
          <w:szCs w:val="26"/>
        </w:rPr>
      </w:pPr>
    </w:p>
    <w:p w14:paraId="2E6E3A84" w14:textId="42D83D38" w:rsidR="00584FED" w:rsidRPr="00F56D54" w:rsidRDefault="000F1318" w:rsidP="00F56D54">
      <w:pPr>
        <w:widowControl/>
        <w:tabs>
          <w:tab w:val="left" w:pos="-720"/>
        </w:tabs>
        <w:suppressAutoHyphens/>
        <w:spacing w:line="360" w:lineRule="auto"/>
        <w:ind w:firstLine="1440"/>
        <w:rPr>
          <w:sz w:val="26"/>
          <w:szCs w:val="26"/>
        </w:rPr>
      </w:pPr>
      <w:r w:rsidRPr="00F56D54">
        <w:rPr>
          <w:sz w:val="26"/>
          <w:szCs w:val="26"/>
        </w:rPr>
        <w:t xml:space="preserve">Before the </w:t>
      </w:r>
      <w:r w:rsidR="005C7928" w:rsidRPr="00F56D54">
        <w:rPr>
          <w:sz w:val="26"/>
          <w:szCs w:val="26"/>
        </w:rPr>
        <w:t xml:space="preserve">Pennsylvania Public Utility </w:t>
      </w:r>
      <w:r w:rsidRPr="00F56D54">
        <w:rPr>
          <w:sz w:val="26"/>
          <w:szCs w:val="26"/>
        </w:rPr>
        <w:t xml:space="preserve">Commission </w:t>
      </w:r>
      <w:r w:rsidR="005C7928" w:rsidRPr="00F56D54">
        <w:rPr>
          <w:sz w:val="26"/>
          <w:szCs w:val="26"/>
        </w:rPr>
        <w:t xml:space="preserve">(Commission) </w:t>
      </w:r>
      <w:r w:rsidRPr="00F56D54">
        <w:rPr>
          <w:sz w:val="26"/>
          <w:szCs w:val="26"/>
        </w:rPr>
        <w:t>for co</w:t>
      </w:r>
      <w:r w:rsidR="00893951" w:rsidRPr="00F56D54">
        <w:rPr>
          <w:sz w:val="26"/>
          <w:szCs w:val="26"/>
        </w:rPr>
        <w:t xml:space="preserve">nsideration and </w:t>
      </w:r>
      <w:bookmarkStart w:id="0" w:name="_Hlk37835909"/>
      <w:r w:rsidR="00893951" w:rsidRPr="00F56D54">
        <w:rPr>
          <w:sz w:val="26"/>
          <w:szCs w:val="26"/>
        </w:rPr>
        <w:t>disposition</w:t>
      </w:r>
      <w:r w:rsidR="00D340F2" w:rsidRPr="00F56D54">
        <w:rPr>
          <w:sz w:val="26"/>
          <w:szCs w:val="26"/>
        </w:rPr>
        <w:t xml:space="preserve"> </w:t>
      </w:r>
      <w:r w:rsidR="00584FED" w:rsidRPr="00F56D54">
        <w:rPr>
          <w:sz w:val="26"/>
          <w:szCs w:val="26"/>
        </w:rPr>
        <w:t xml:space="preserve">is the Recommended Decision (R.D.) of Administrative Law Judge (ALJ) </w:t>
      </w:r>
      <w:r w:rsidR="00B542EC" w:rsidRPr="00F56D54">
        <w:rPr>
          <w:sz w:val="26"/>
          <w:szCs w:val="26"/>
        </w:rPr>
        <w:t>Mary D. Long</w:t>
      </w:r>
      <w:r w:rsidR="00584FED" w:rsidRPr="00F56D54">
        <w:rPr>
          <w:sz w:val="26"/>
          <w:szCs w:val="26"/>
        </w:rPr>
        <w:t xml:space="preserve">, issued on </w:t>
      </w:r>
      <w:r w:rsidR="00E04B5E" w:rsidRPr="00F56D54">
        <w:rPr>
          <w:sz w:val="26"/>
          <w:szCs w:val="26"/>
        </w:rPr>
        <w:t>May 5</w:t>
      </w:r>
      <w:r w:rsidR="00584FED" w:rsidRPr="00F56D54">
        <w:rPr>
          <w:sz w:val="26"/>
          <w:szCs w:val="26"/>
        </w:rPr>
        <w:t xml:space="preserve">, 2021, and the Exceptions and Reply Exceptions filed thereto, in the above-captioned proceeding.  </w:t>
      </w:r>
    </w:p>
    <w:p w14:paraId="67271CFD" w14:textId="77777777" w:rsidR="00584FED" w:rsidRPr="00F56D54" w:rsidRDefault="00584FED" w:rsidP="00F56D54">
      <w:pPr>
        <w:widowControl/>
        <w:tabs>
          <w:tab w:val="left" w:pos="-720"/>
        </w:tabs>
        <w:suppressAutoHyphens/>
        <w:spacing w:line="360" w:lineRule="auto"/>
        <w:ind w:firstLine="1440"/>
        <w:rPr>
          <w:sz w:val="26"/>
          <w:szCs w:val="26"/>
        </w:rPr>
      </w:pPr>
    </w:p>
    <w:p w14:paraId="7E5381FA" w14:textId="0A79CDDC" w:rsidR="0050244F" w:rsidRPr="00F56D54" w:rsidRDefault="00656A3C" w:rsidP="00F56D54">
      <w:pPr>
        <w:widowControl/>
        <w:tabs>
          <w:tab w:val="left" w:pos="-720"/>
        </w:tabs>
        <w:suppressAutoHyphens/>
        <w:spacing w:line="360" w:lineRule="auto"/>
        <w:ind w:firstLine="1440"/>
        <w:rPr>
          <w:sz w:val="26"/>
          <w:szCs w:val="26"/>
        </w:rPr>
      </w:pPr>
      <w:r w:rsidRPr="00F56D54">
        <w:rPr>
          <w:sz w:val="26"/>
          <w:szCs w:val="26"/>
        </w:rPr>
        <w:t>Exceptions</w:t>
      </w:r>
      <w:r w:rsidR="00584FED" w:rsidRPr="00F56D54">
        <w:rPr>
          <w:sz w:val="26"/>
          <w:szCs w:val="26"/>
        </w:rPr>
        <w:t xml:space="preserve"> to the Recommended Decision were filed by</w:t>
      </w:r>
      <w:r w:rsidR="003C6715" w:rsidRPr="00F56D54">
        <w:rPr>
          <w:sz w:val="26"/>
          <w:szCs w:val="26"/>
        </w:rPr>
        <w:t xml:space="preserve"> the Office of </w:t>
      </w:r>
      <w:r w:rsidR="0012351D" w:rsidRPr="00F56D54">
        <w:rPr>
          <w:sz w:val="26"/>
          <w:szCs w:val="26"/>
        </w:rPr>
        <w:t>Small Business</w:t>
      </w:r>
      <w:r w:rsidR="003C6715" w:rsidRPr="00F56D54">
        <w:rPr>
          <w:sz w:val="26"/>
          <w:szCs w:val="26"/>
        </w:rPr>
        <w:t xml:space="preserve"> Advocate (O</w:t>
      </w:r>
      <w:r w:rsidR="0012351D" w:rsidRPr="00F56D54">
        <w:rPr>
          <w:sz w:val="26"/>
          <w:szCs w:val="26"/>
        </w:rPr>
        <w:t>SBA</w:t>
      </w:r>
      <w:r w:rsidR="003C6715" w:rsidRPr="00F56D54">
        <w:rPr>
          <w:sz w:val="26"/>
          <w:szCs w:val="26"/>
        </w:rPr>
        <w:t>)</w:t>
      </w:r>
      <w:r w:rsidR="00584FED" w:rsidRPr="00F56D54">
        <w:rPr>
          <w:sz w:val="26"/>
          <w:szCs w:val="26"/>
        </w:rPr>
        <w:t xml:space="preserve"> </w:t>
      </w:r>
      <w:r w:rsidRPr="00F56D54">
        <w:rPr>
          <w:sz w:val="26"/>
          <w:szCs w:val="26"/>
        </w:rPr>
        <w:t>on</w:t>
      </w:r>
      <w:r w:rsidR="005E028C" w:rsidRPr="00F56D54">
        <w:rPr>
          <w:sz w:val="26"/>
          <w:szCs w:val="26"/>
        </w:rPr>
        <w:t xml:space="preserve"> </w:t>
      </w:r>
      <w:r w:rsidR="00492FC4" w:rsidRPr="00F56D54">
        <w:rPr>
          <w:sz w:val="26"/>
          <w:szCs w:val="26"/>
        </w:rPr>
        <w:t xml:space="preserve">May 20, </w:t>
      </w:r>
      <w:r w:rsidR="005E028C" w:rsidRPr="00F56D54">
        <w:rPr>
          <w:sz w:val="26"/>
          <w:szCs w:val="26"/>
        </w:rPr>
        <w:t>2021</w:t>
      </w:r>
      <w:r w:rsidR="00584FED" w:rsidRPr="00F56D54">
        <w:rPr>
          <w:sz w:val="26"/>
          <w:szCs w:val="26"/>
        </w:rPr>
        <w:t xml:space="preserve">.  </w:t>
      </w:r>
      <w:r w:rsidRPr="00F56D54">
        <w:rPr>
          <w:sz w:val="26"/>
          <w:szCs w:val="26"/>
        </w:rPr>
        <w:t xml:space="preserve">Replies to Exceptions were filed by </w:t>
      </w:r>
      <w:r w:rsidR="0012351D" w:rsidRPr="00F56D54">
        <w:rPr>
          <w:sz w:val="26"/>
          <w:szCs w:val="26"/>
        </w:rPr>
        <w:t xml:space="preserve">Pike County Power </w:t>
      </w:r>
      <w:r w:rsidR="00E60BD3">
        <w:rPr>
          <w:sz w:val="26"/>
          <w:szCs w:val="26"/>
        </w:rPr>
        <w:t>&amp;</w:t>
      </w:r>
      <w:r w:rsidR="0012351D" w:rsidRPr="00F56D54">
        <w:rPr>
          <w:sz w:val="26"/>
          <w:szCs w:val="26"/>
        </w:rPr>
        <w:t xml:space="preserve"> Light</w:t>
      </w:r>
      <w:r w:rsidR="00742CC8" w:rsidRPr="00F56D54">
        <w:rPr>
          <w:sz w:val="26"/>
          <w:szCs w:val="26"/>
        </w:rPr>
        <w:t xml:space="preserve"> Company </w:t>
      </w:r>
      <w:r w:rsidR="00E60BD3">
        <w:rPr>
          <w:sz w:val="26"/>
          <w:szCs w:val="26"/>
        </w:rPr>
        <w:t>-</w:t>
      </w:r>
      <w:r w:rsidR="001376F4">
        <w:rPr>
          <w:sz w:val="26"/>
          <w:szCs w:val="26"/>
        </w:rPr>
        <w:t xml:space="preserve"> </w:t>
      </w:r>
      <w:r w:rsidR="00742CC8" w:rsidRPr="00F56D54">
        <w:rPr>
          <w:sz w:val="26"/>
          <w:szCs w:val="26"/>
        </w:rPr>
        <w:t>Electric (</w:t>
      </w:r>
      <w:r w:rsidR="00011F39" w:rsidRPr="00F56D54">
        <w:rPr>
          <w:sz w:val="26"/>
          <w:szCs w:val="26"/>
        </w:rPr>
        <w:t>PCLPC</w:t>
      </w:r>
      <w:r w:rsidR="00742CC8" w:rsidRPr="00F56D54">
        <w:rPr>
          <w:sz w:val="26"/>
          <w:szCs w:val="26"/>
        </w:rPr>
        <w:t>)</w:t>
      </w:r>
      <w:r w:rsidR="00A66FEB" w:rsidRPr="00F56D54">
        <w:rPr>
          <w:sz w:val="26"/>
          <w:szCs w:val="26"/>
        </w:rPr>
        <w:t>, the Commission’s Bureau of Investigation and Enforcement (I&amp;E)</w:t>
      </w:r>
      <w:r w:rsidR="00EE5AD0" w:rsidRPr="00F56D54">
        <w:rPr>
          <w:sz w:val="26"/>
          <w:szCs w:val="26"/>
        </w:rPr>
        <w:t>, and the Office of Consumer Advocate</w:t>
      </w:r>
      <w:r w:rsidR="008A757A">
        <w:rPr>
          <w:sz w:val="26"/>
          <w:szCs w:val="26"/>
        </w:rPr>
        <w:t xml:space="preserve"> (OCA)</w:t>
      </w:r>
      <w:r w:rsidRPr="00F56D54">
        <w:rPr>
          <w:sz w:val="26"/>
          <w:szCs w:val="26"/>
        </w:rPr>
        <w:t xml:space="preserve"> on</w:t>
      </w:r>
      <w:r w:rsidR="005E028C" w:rsidRPr="00F56D54">
        <w:rPr>
          <w:sz w:val="26"/>
          <w:szCs w:val="26"/>
        </w:rPr>
        <w:t xml:space="preserve"> </w:t>
      </w:r>
      <w:r w:rsidR="00EE5AD0" w:rsidRPr="00F56D54">
        <w:rPr>
          <w:sz w:val="26"/>
          <w:szCs w:val="26"/>
        </w:rPr>
        <w:t xml:space="preserve">May </w:t>
      </w:r>
      <w:r w:rsidR="00E4023C" w:rsidRPr="00F56D54">
        <w:rPr>
          <w:sz w:val="26"/>
          <w:szCs w:val="26"/>
        </w:rPr>
        <w:t xml:space="preserve">27, </w:t>
      </w:r>
      <w:r w:rsidR="005E028C" w:rsidRPr="00F56D54">
        <w:rPr>
          <w:sz w:val="26"/>
          <w:szCs w:val="26"/>
        </w:rPr>
        <w:t>2021</w:t>
      </w:r>
      <w:r w:rsidRPr="00F56D54">
        <w:rPr>
          <w:sz w:val="26"/>
          <w:szCs w:val="26"/>
        </w:rPr>
        <w:t>.</w:t>
      </w:r>
    </w:p>
    <w:p w14:paraId="2A29A94F" w14:textId="63C36E64" w:rsidR="00584FED" w:rsidRPr="00F56D54" w:rsidRDefault="00584FED" w:rsidP="00F56D54">
      <w:pPr>
        <w:widowControl/>
        <w:tabs>
          <w:tab w:val="left" w:pos="-720"/>
        </w:tabs>
        <w:suppressAutoHyphens/>
        <w:spacing w:line="360" w:lineRule="auto"/>
        <w:ind w:firstLine="1440"/>
        <w:rPr>
          <w:sz w:val="26"/>
          <w:szCs w:val="26"/>
        </w:rPr>
      </w:pPr>
    </w:p>
    <w:p w14:paraId="5B6EDC5A" w14:textId="5BC40B42" w:rsidR="00584FED" w:rsidRPr="00F56D54" w:rsidRDefault="00584FED" w:rsidP="00F56D54">
      <w:pPr>
        <w:widowControl/>
        <w:tabs>
          <w:tab w:val="left" w:pos="-720"/>
        </w:tabs>
        <w:suppressAutoHyphens/>
        <w:spacing w:line="360" w:lineRule="auto"/>
        <w:ind w:firstLine="1440"/>
        <w:rPr>
          <w:sz w:val="26"/>
          <w:szCs w:val="26"/>
        </w:rPr>
      </w:pPr>
      <w:r w:rsidRPr="00F56D54">
        <w:rPr>
          <w:sz w:val="26"/>
          <w:szCs w:val="26"/>
        </w:rPr>
        <w:t xml:space="preserve">Also, before the Commission </w:t>
      </w:r>
      <w:r w:rsidR="002C742F" w:rsidRPr="00F56D54">
        <w:rPr>
          <w:sz w:val="26"/>
          <w:szCs w:val="26"/>
        </w:rPr>
        <w:t xml:space="preserve">are two petitions for </w:t>
      </w:r>
      <w:r w:rsidR="00E557EA" w:rsidRPr="00F56D54">
        <w:rPr>
          <w:sz w:val="26"/>
          <w:szCs w:val="26"/>
        </w:rPr>
        <w:t>s</w:t>
      </w:r>
      <w:r w:rsidR="002C742F" w:rsidRPr="00F56D54">
        <w:rPr>
          <w:sz w:val="26"/>
          <w:szCs w:val="26"/>
        </w:rPr>
        <w:t xml:space="preserve">ettlement </w:t>
      </w:r>
      <w:r w:rsidR="009855DC" w:rsidRPr="00F56D54">
        <w:rPr>
          <w:sz w:val="26"/>
          <w:szCs w:val="26"/>
        </w:rPr>
        <w:t xml:space="preserve">pertaining to </w:t>
      </w:r>
      <w:r w:rsidR="008517D2" w:rsidRPr="00F56D54">
        <w:rPr>
          <w:sz w:val="26"/>
          <w:szCs w:val="26"/>
        </w:rPr>
        <w:t>this rate proceeding</w:t>
      </w:r>
      <w:r w:rsidR="00E557EA" w:rsidRPr="00F56D54">
        <w:rPr>
          <w:sz w:val="26"/>
          <w:szCs w:val="26"/>
        </w:rPr>
        <w:t xml:space="preserve">: </w:t>
      </w:r>
      <w:r w:rsidR="00E60BD3">
        <w:rPr>
          <w:sz w:val="26"/>
          <w:szCs w:val="26"/>
        </w:rPr>
        <w:t xml:space="preserve">(1) </w:t>
      </w:r>
      <w:r w:rsidR="00E557EA" w:rsidRPr="00F56D54">
        <w:rPr>
          <w:sz w:val="26"/>
          <w:szCs w:val="26"/>
        </w:rPr>
        <w:t xml:space="preserve">the </w:t>
      </w:r>
      <w:r w:rsidRPr="00F56D54">
        <w:rPr>
          <w:sz w:val="26"/>
          <w:szCs w:val="26"/>
        </w:rPr>
        <w:t>Joint Petition for Approval of Partial Settlement</w:t>
      </w:r>
      <w:r w:rsidR="002E4ECB" w:rsidRPr="00F56D54">
        <w:rPr>
          <w:sz w:val="26"/>
          <w:szCs w:val="26"/>
        </w:rPr>
        <w:t xml:space="preserve"> of Rate Investigation</w:t>
      </w:r>
      <w:r w:rsidRPr="00F56D54">
        <w:rPr>
          <w:sz w:val="26"/>
          <w:szCs w:val="26"/>
        </w:rPr>
        <w:t xml:space="preserve"> (Joint Petition</w:t>
      </w:r>
      <w:r w:rsidR="0062710F" w:rsidRPr="00F56D54">
        <w:rPr>
          <w:sz w:val="26"/>
          <w:szCs w:val="26"/>
        </w:rPr>
        <w:t xml:space="preserve">-Revenue </w:t>
      </w:r>
      <w:r w:rsidRPr="00F56D54">
        <w:rPr>
          <w:sz w:val="26"/>
          <w:szCs w:val="26"/>
        </w:rPr>
        <w:t xml:space="preserve">or </w:t>
      </w:r>
      <w:r w:rsidR="0062710F" w:rsidRPr="00F56D54">
        <w:rPr>
          <w:sz w:val="26"/>
          <w:szCs w:val="26"/>
        </w:rPr>
        <w:t xml:space="preserve">Revenue </w:t>
      </w:r>
      <w:r w:rsidRPr="00F56D54">
        <w:rPr>
          <w:sz w:val="26"/>
          <w:szCs w:val="26"/>
        </w:rPr>
        <w:t xml:space="preserve">Settlement) between </w:t>
      </w:r>
      <w:r w:rsidR="00836604" w:rsidRPr="00F56D54">
        <w:rPr>
          <w:sz w:val="26"/>
          <w:szCs w:val="26"/>
        </w:rPr>
        <w:t xml:space="preserve">the active parties to the proceeding, </w:t>
      </w:r>
      <w:r w:rsidR="00011F39" w:rsidRPr="00F56D54">
        <w:rPr>
          <w:sz w:val="26"/>
          <w:szCs w:val="26"/>
        </w:rPr>
        <w:t>PCLPC</w:t>
      </w:r>
      <w:r w:rsidR="008F1648" w:rsidRPr="00F56D54">
        <w:rPr>
          <w:sz w:val="26"/>
          <w:szCs w:val="26"/>
        </w:rPr>
        <w:t>,</w:t>
      </w:r>
      <w:r w:rsidRPr="00F56D54">
        <w:rPr>
          <w:sz w:val="26"/>
          <w:szCs w:val="26"/>
        </w:rPr>
        <w:t xml:space="preserve"> I&amp;E</w:t>
      </w:r>
      <w:r w:rsidR="008F1648" w:rsidRPr="00F56D54">
        <w:rPr>
          <w:sz w:val="26"/>
          <w:szCs w:val="26"/>
        </w:rPr>
        <w:t>, the OCA and</w:t>
      </w:r>
      <w:r w:rsidR="00BE60B9" w:rsidRPr="00F56D54">
        <w:rPr>
          <w:sz w:val="26"/>
          <w:szCs w:val="26"/>
        </w:rPr>
        <w:t>, the OSBA</w:t>
      </w:r>
      <w:r w:rsidR="00C747A4" w:rsidRPr="00F56D54">
        <w:rPr>
          <w:sz w:val="26"/>
          <w:szCs w:val="26"/>
        </w:rPr>
        <w:t xml:space="preserve"> (</w:t>
      </w:r>
      <w:r w:rsidR="005049DE">
        <w:rPr>
          <w:sz w:val="26"/>
          <w:szCs w:val="26"/>
        </w:rPr>
        <w:t>Active Parties</w:t>
      </w:r>
      <w:r w:rsidR="00AE0324">
        <w:rPr>
          <w:sz w:val="26"/>
          <w:szCs w:val="26"/>
        </w:rPr>
        <w:t>,</w:t>
      </w:r>
      <w:r w:rsidR="005049DE">
        <w:rPr>
          <w:sz w:val="26"/>
          <w:szCs w:val="26"/>
        </w:rPr>
        <w:t xml:space="preserve"> </w:t>
      </w:r>
      <w:r w:rsidR="00C747A4" w:rsidRPr="00F56D54">
        <w:rPr>
          <w:sz w:val="26"/>
          <w:szCs w:val="26"/>
        </w:rPr>
        <w:t>Joint</w:t>
      </w:r>
      <w:r w:rsidR="00AE0324">
        <w:rPr>
          <w:sz w:val="26"/>
          <w:szCs w:val="26"/>
        </w:rPr>
        <w:t xml:space="preserve"> </w:t>
      </w:r>
      <w:r w:rsidR="00C747A4" w:rsidRPr="00F56D54">
        <w:rPr>
          <w:sz w:val="26"/>
          <w:szCs w:val="26"/>
        </w:rPr>
        <w:t>Petitioners</w:t>
      </w:r>
      <w:r w:rsidR="00BE60B9" w:rsidRPr="00F56D54">
        <w:rPr>
          <w:sz w:val="26"/>
          <w:szCs w:val="26"/>
        </w:rPr>
        <w:t>-Revenue</w:t>
      </w:r>
      <w:r w:rsidR="00C747A4" w:rsidRPr="00F56D54">
        <w:rPr>
          <w:sz w:val="26"/>
          <w:szCs w:val="26"/>
        </w:rPr>
        <w:t xml:space="preserve"> or Settling Parties</w:t>
      </w:r>
      <w:r w:rsidR="00BE60B9" w:rsidRPr="00F56D54">
        <w:rPr>
          <w:sz w:val="26"/>
          <w:szCs w:val="26"/>
        </w:rPr>
        <w:t>-R</w:t>
      </w:r>
      <w:r w:rsidR="00AD6F59" w:rsidRPr="00F56D54">
        <w:rPr>
          <w:sz w:val="26"/>
          <w:szCs w:val="26"/>
        </w:rPr>
        <w:t>evenue</w:t>
      </w:r>
      <w:r w:rsidR="00C747A4" w:rsidRPr="00F56D54">
        <w:rPr>
          <w:sz w:val="26"/>
          <w:szCs w:val="26"/>
        </w:rPr>
        <w:t>), filed on</w:t>
      </w:r>
      <w:r w:rsidR="00AD6F59" w:rsidRPr="00F56D54">
        <w:rPr>
          <w:sz w:val="26"/>
          <w:szCs w:val="26"/>
        </w:rPr>
        <w:t xml:space="preserve"> April 9, 2021</w:t>
      </w:r>
      <w:r w:rsidR="00284265" w:rsidRPr="00F56D54">
        <w:rPr>
          <w:sz w:val="26"/>
          <w:szCs w:val="26"/>
        </w:rPr>
        <w:t xml:space="preserve">; and </w:t>
      </w:r>
      <w:r w:rsidR="00E60BD3">
        <w:rPr>
          <w:sz w:val="26"/>
          <w:szCs w:val="26"/>
        </w:rPr>
        <w:t xml:space="preserve">(2) </w:t>
      </w:r>
      <w:r w:rsidR="00284265" w:rsidRPr="00F56D54">
        <w:rPr>
          <w:sz w:val="26"/>
          <w:szCs w:val="26"/>
        </w:rPr>
        <w:t xml:space="preserve">the Joint Petition for </w:t>
      </w:r>
      <w:r w:rsidR="00B4494A">
        <w:rPr>
          <w:sz w:val="26"/>
          <w:szCs w:val="26"/>
        </w:rPr>
        <w:t xml:space="preserve">Settlement on </w:t>
      </w:r>
      <w:r w:rsidR="00284265" w:rsidRPr="00F56D54">
        <w:rPr>
          <w:sz w:val="26"/>
          <w:szCs w:val="26"/>
        </w:rPr>
        <w:t>Rate Structure and Rate Design</w:t>
      </w:r>
      <w:r w:rsidR="008C4517" w:rsidRPr="00F56D54">
        <w:rPr>
          <w:sz w:val="26"/>
          <w:szCs w:val="26"/>
        </w:rPr>
        <w:t xml:space="preserve"> (Joint Petition -Rate Design</w:t>
      </w:r>
      <w:r w:rsidR="007D4C8E" w:rsidRPr="00F56D54">
        <w:rPr>
          <w:sz w:val="26"/>
          <w:szCs w:val="26"/>
        </w:rPr>
        <w:t xml:space="preserve"> or Rate Design Settlement)</w:t>
      </w:r>
      <w:r w:rsidR="00905FC7" w:rsidRPr="00F56D54">
        <w:rPr>
          <w:sz w:val="26"/>
          <w:szCs w:val="26"/>
        </w:rPr>
        <w:t xml:space="preserve">, between </w:t>
      </w:r>
      <w:r w:rsidR="00011F39" w:rsidRPr="00F56D54">
        <w:rPr>
          <w:sz w:val="26"/>
          <w:szCs w:val="26"/>
        </w:rPr>
        <w:t>PCLPC</w:t>
      </w:r>
      <w:r w:rsidR="00905FC7" w:rsidRPr="00F56D54">
        <w:rPr>
          <w:sz w:val="26"/>
          <w:szCs w:val="26"/>
        </w:rPr>
        <w:t>, I&amp;E and the OCA</w:t>
      </w:r>
      <w:r w:rsidR="00F10E28" w:rsidRPr="00F56D54">
        <w:rPr>
          <w:sz w:val="26"/>
          <w:szCs w:val="26"/>
        </w:rPr>
        <w:t xml:space="preserve"> (Joint Petitioners-Rate Design, or Settling Parties-Rate Design</w:t>
      </w:r>
      <w:r w:rsidR="001335ED" w:rsidRPr="00F56D54">
        <w:rPr>
          <w:sz w:val="26"/>
          <w:szCs w:val="26"/>
        </w:rPr>
        <w:t>)</w:t>
      </w:r>
      <w:r w:rsidR="00735F78" w:rsidRPr="00F56D54">
        <w:rPr>
          <w:sz w:val="26"/>
          <w:szCs w:val="26"/>
        </w:rPr>
        <w:t xml:space="preserve"> filed on April 16, 2021.</w:t>
      </w:r>
      <w:r w:rsidR="00C747A4" w:rsidRPr="00F56D54">
        <w:rPr>
          <w:rStyle w:val="FootnoteReference"/>
          <w:sz w:val="26"/>
          <w:szCs w:val="26"/>
        </w:rPr>
        <w:footnoteReference w:id="2"/>
      </w:r>
      <w:r w:rsidR="00C747A4" w:rsidRPr="00F56D54">
        <w:rPr>
          <w:sz w:val="26"/>
          <w:szCs w:val="26"/>
        </w:rPr>
        <w:t xml:space="preserve">  </w:t>
      </w:r>
    </w:p>
    <w:bookmarkEnd w:id="0"/>
    <w:p w14:paraId="75A59337" w14:textId="0B41B7A5" w:rsidR="00326EBF" w:rsidRPr="00F56D54" w:rsidRDefault="00326EBF" w:rsidP="00F56D54">
      <w:pPr>
        <w:widowControl/>
        <w:tabs>
          <w:tab w:val="left" w:pos="-720"/>
        </w:tabs>
        <w:suppressAutoHyphens/>
        <w:spacing w:line="360" w:lineRule="auto"/>
        <w:rPr>
          <w:sz w:val="26"/>
          <w:szCs w:val="26"/>
        </w:rPr>
      </w:pPr>
    </w:p>
    <w:p w14:paraId="2BA113F9" w14:textId="55314591" w:rsidR="00317685" w:rsidRPr="00F56D54" w:rsidRDefault="00317685" w:rsidP="00F56D54">
      <w:pPr>
        <w:widowControl/>
        <w:spacing w:line="360" w:lineRule="auto"/>
        <w:ind w:firstLine="1440"/>
        <w:rPr>
          <w:sz w:val="26"/>
          <w:szCs w:val="26"/>
        </w:rPr>
      </w:pPr>
      <w:r w:rsidRPr="00F56D54">
        <w:rPr>
          <w:sz w:val="26"/>
          <w:szCs w:val="26"/>
        </w:rPr>
        <w:lastRenderedPageBreak/>
        <w:t xml:space="preserve">For the reasons stated, </w:t>
      </w:r>
      <w:r w:rsidRPr="00F56D54">
        <w:rPr>
          <w:i/>
          <w:sz w:val="26"/>
          <w:szCs w:val="26"/>
        </w:rPr>
        <w:t>infra</w:t>
      </w:r>
      <w:r w:rsidRPr="00F56D54">
        <w:rPr>
          <w:sz w:val="26"/>
          <w:szCs w:val="26"/>
        </w:rPr>
        <w:t xml:space="preserve">, we </w:t>
      </w:r>
      <w:r w:rsidR="00471425" w:rsidRPr="00F56D54">
        <w:rPr>
          <w:sz w:val="26"/>
          <w:szCs w:val="26"/>
        </w:rPr>
        <w:t>shall</w:t>
      </w:r>
      <w:r w:rsidR="00BD66D4" w:rsidRPr="00F56D54">
        <w:rPr>
          <w:sz w:val="26"/>
          <w:szCs w:val="26"/>
        </w:rPr>
        <w:t xml:space="preserve"> adopt </w:t>
      </w:r>
      <w:r w:rsidR="00821387" w:rsidRPr="00F56D54">
        <w:rPr>
          <w:sz w:val="26"/>
          <w:szCs w:val="26"/>
        </w:rPr>
        <w:t xml:space="preserve">both the </w:t>
      </w:r>
      <w:r w:rsidR="00150A72" w:rsidRPr="00F56D54">
        <w:rPr>
          <w:sz w:val="26"/>
          <w:szCs w:val="26"/>
        </w:rPr>
        <w:t>Revenue Settlement and the Rate Design Settlement</w:t>
      </w:r>
      <w:r w:rsidR="00BD66D4" w:rsidRPr="00F56D54">
        <w:rPr>
          <w:sz w:val="26"/>
          <w:szCs w:val="26"/>
        </w:rPr>
        <w:t xml:space="preserve">, and approve the </w:t>
      </w:r>
      <w:r w:rsidR="00E7071A" w:rsidRPr="00F56D54">
        <w:rPr>
          <w:sz w:val="26"/>
          <w:szCs w:val="26"/>
        </w:rPr>
        <w:t xml:space="preserve">terms and provisions of each </w:t>
      </w:r>
      <w:r w:rsidR="00BD66D4" w:rsidRPr="00F56D54">
        <w:rPr>
          <w:sz w:val="26"/>
          <w:szCs w:val="26"/>
        </w:rPr>
        <w:t>Settlement</w:t>
      </w:r>
      <w:r w:rsidR="00FB58BA" w:rsidRPr="00F56D54">
        <w:rPr>
          <w:sz w:val="26"/>
          <w:szCs w:val="26"/>
        </w:rPr>
        <w:t xml:space="preserve">, without modification, as in the public interest.  Additionally, we shall: </w:t>
      </w:r>
      <w:r w:rsidR="00471425" w:rsidRPr="00F56D54">
        <w:rPr>
          <w:sz w:val="26"/>
          <w:szCs w:val="26"/>
        </w:rPr>
        <w:t>(1)</w:t>
      </w:r>
      <w:r w:rsidR="00785139">
        <w:rPr>
          <w:sz w:val="26"/>
          <w:szCs w:val="26"/>
        </w:rPr>
        <w:t> </w:t>
      </w:r>
      <w:r w:rsidR="00BD66D4" w:rsidRPr="00F56D54">
        <w:rPr>
          <w:sz w:val="26"/>
          <w:szCs w:val="26"/>
        </w:rPr>
        <w:t>deny</w:t>
      </w:r>
      <w:r w:rsidRPr="00F56D54">
        <w:rPr>
          <w:sz w:val="26"/>
          <w:szCs w:val="26"/>
        </w:rPr>
        <w:t xml:space="preserve"> the Exceptions</w:t>
      </w:r>
      <w:r w:rsidR="00BD66D4" w:rsidRPr="00F56D54">
        <w:rPr>
          <w:sz w:val="26"/>
          <w:szCs w:val="26"/>
        </w:rPr>
        <w:t xml:space="preserve"> of the O</w:t>
      </w:r>
      <w:r w:rsidR="00D16C68" w:rsidRPr="00F56D54">
        <w:rPr>
          <w:sz w:val="26"/>
          <w:szCs w:val="26"/>
        </w:rPr>
        <w:t>SBA</w:t>
      </w:r>
      <w:r w:rsidR="006E66CC" w:rsidRPr="00F56D54">
        <w:rPr>
          <w:sz w:val="26"/>
          <w:szCs w:val="26"/>
        </w:rPr>
        <w:t>;</w:t>
      </w:r>
      <w:r w:rsidR="00FB58BA" w:rsidRPr="00F56D54">
        <w:rPr>
          <w:sz w:val="26"/>
          <w:szCs w:val="26"/>
        </w:rPr>
        <w:t xml:space="preserve"> and</w:t>
      </w:r>
      <w:r w:rsidR="00471425" w:rsidRPr="00F56D54">
        <w:rPr>
          <w:sz w:val="26"/>
          <w:szCs w:val="26"/>
        </w:rPr>
        <w:t xml:space="preserve"> (2)</w:t>
      </w:r>
      <w:r w:rsidRPr="00F56D54">
        <w:rPr>
          <w:sz w:val="26"/>
          <w:szCs w:val="26"/>
        </w:rPr>
        <w:t xml:space="preserve"> adopt the ALJ</w:t>
      </w:r>
      <w:r w:rsidR="00BC1D33" w:rsidRPr="00F56D54">
        <w:rPr>
          <w:sz w:val="26"/>
          <w:szCs w:val="26"/>
        </w:rPr>
        <w:t>’s</w:t>
      </w:r>
      <w:r w:rsidRPr="00F56D54">
        <w:rPr>
          <w:sz w:val="26"/>
          <w:szCs w:val="26"/>
        </w:rPr>
        <w:t xml:space="preserve"> Recommended Decision</w:t>
      </w:r>
      <w:r w:rsidR="00380FDB">
        <w:rPr>
          <w:sz w:val="26"/>
          <w:szCs w:val="26"/>
        </w:rPr>
        <w:t>,</w:t>
      </w:r>
      <w:r w:rsidRPr="00F56D54">
        <w:rPr>
          <w:sz w:val="26"/>
          <w:szCs w:val="26"/>
        </w:rPr>
        <w:t xml:space="preserve"> consistent with this Opinion and Order</w:t>
      </w:r>
      <w:r w:rsidR="00FB58BA" w:rsidRPr="00F56D54">
        <w:rPr>
          <w:sz w:val="26"/>
          <w:szCs w:val="26"/>
        </w:rPr>
        <w:t>.</w:t>
      </w:r>
    </w:p>
    <w:p w14:paraId="61E9E883" w14:textId="77777777" w:rsidR="00317685" w:rsidRPr="00F56D54" w:rsidRDefault="00317685" w:rsidP="00F56D54">
      <w:pPr>
        <w:widowControl/>
        <w:tabs>
          <w:tab w:val="left" w:pos="-720"/>
        </w:tabs>
        <w:suppressAutoHyphens/>
        <w:spacing w:line="360" w:lineRule="auto"/>
        <w:rPr>
          <w:sz w:val="26"/>
          <w:szCs w:val="26"/>
        </w:rPr>
      </w:pPr>
    </w:p>
    <w:p w14:paraId="5A9B353E" w14:textId="5867FDB1" w:rsidR="00501DE0" w:rsidRPr="00F56D54" w:rsidRDefault="00326EBF" w:rsidP="00F56D54">
      <w:pPr>
        <w:widowControl/>
        <w:spacing w:line="360" w:lineRule="auto"/>
        <w:ind w:firstLine="1440"/>
        <w:rPr>
          <w:color w:val="000000"/>
          <w:sz w:val="26"/>
          <w:szCs w:val="26"/>
        </w:rPr>
      </w:pPr>
      <w:r w:rsidRPr="00F56D54">
        <w:rPr>
          <w:sz w:val="26"/>
          <w:szCs w:val="26"/>
        </w:rPr>
        <w:t xml:space="preserve">As discussed below, </w:t>
      </w:r>
      <w:r w:rsidR="00DC4B6F" w:rsidRPr="00F56D54">
        <w:rPr>
          <w:sz w:val="26"/>
          <w:szCs w:val="26"/>
        </w:rPr>
        <w:t xml:space="preserve">the genesis of this proceeding </w:t>
      </w:r>
      <w:r w:rsidR="00147C6F" w:rsidRPr="00F56D54">
        <w:rPr>
          <w:sz w:val="26"/>
          <w:szCs w:val="26"/>
        </w:rPr>
        <w:t>is</w:t>
      </w:r>
      <w:r w:rsidR="00DC4B6F" w:rsidRPr="00F56D54">
        <w:rPr>
          <w:sz w:val="26"/>
          <w:szCs w:val="26"/>
        </w:rPr>
        <w:t xml:space="preserve"> a general rate increase in which </w:t>
      </w:r>
      <w:r w:rsidR="006C3FF6" w:rsidRPr="00F56D54">
        <w:rPr>
          <w:sz w:val="26"/>
          <w:szCs w:val="26"/>
        </w:rPr>
        <w:t xml:space="preserve">the </w:t>
      </w:r>
      <w:r w:rsidR="00147C6F" w:rsidRPr="00F56D54">
        <w:rPr>
          <w:sz w:val="26"/>
          <w:szCs w:val="26"/>
        </w:rPr>
        <w:t>PCLP</w:t>
      </w:r>
      <w:r w:rsidR="0053590C" w:rsidRPr="00F56D54">
        <w:rPr>
          <w:sz w:val="26"/>
          <w:szCs w:val="26"/>
        </w:rPr>
        <w:t xml:space="preserve">C </w:t>
      </w:r>
      <w:r w:rsidR="00260CDE" w:rsidRPr="00F56D54">
        <w:rPr>
          <w:sz w:val="26"/>
          <w:szCs w:val="26"/>
        </w:rPr>
        <w:t xml:space="preserve">proposed </w:t>
      </w:r>
      <w:r w:rsidR="006C3FF6" w:rsidRPr="00F56D54">
        <w:rPr>
          <w:sz w:val="26"/>
          <w:szCs w:val="26"/>
        </w:rPr>
        <w:t xml:space="preserve">base </w:t>
      </w:r>
      <w:r w:rsidR="00260CDE" w:rsidRPr="00F56D54">
        <w:rPr>
          <w:sz w:val="26"/>
          <w:szCs w:val="26"/>
        </w:rPr>
        <w:t>rate change</w:t>
      </w:r>
      <w:r w:rsidR="00A170D9" w:rsidRPr="00F56D54">
        <w:rPr>
          <w:sz w:val="26"/>
          <w:szCs w:val="26"/>
        </w:rPr>
        <w:t>s</w:t>
      </w:r>
      <w:r w:rsidR="00260CDE" w:rsidRPr="00F56D54">
        <w:rPr>
          <w:sz w:val="26"/>
          <w:szCs w:val="26"/>
        </w:rPr>
        <w:t xml:space="preserve"> that would have increased its annual</w:t>
      </w:r>
      <w:r w:rsidR="0092534F" w:rsidRPr="00F56D54">
        <w:rPr>
          <w:sz w:val="26"/>
          <w:szCs w:val="26"/>
        </w:rPr>
        <w:t xml:space="preserve"> operating</w:t>
      </w:r>
      <w:r w:rsidR="00260CDE" w:rsidRPr="00F56D54">
        <w:rPr>
          <w:sz w:val="26"/>
          <w:szCs w:val="26"/>
        </w:rPr>
        <w:t xml:space="preserve"> revenues by </w:t>
      </w:r>
      <w:r w:rsidR="00501DE0" w:rsidRPr="00F56D54">
        <w:rPr>
          <w:color w:val="000000"/>
          <w:sz w:val="26"/>
          <w:szCs w:val="26"/>
        </w:rPr>
        <w:t xml:space="preserve">$1,933,600 </w:t>
      </w:r>
      <w:r w:rsidR="00C90280" w:rsidRPr="00F56D54">
        <w:rPr>
          <w:color w:val="000000"/>
          <w:sz w:val="26"/>
          <w:szCs w:val="26"/>
        </w:rPr>
        <w:t xml:space="preserve">(1.9 million), </w:t>
      </w:r>
      <w:r w:rsidR="00690580" w:rsidRPr="00F56D54">
        <w:rPr>
          <w:color w:val="000000"/>
          <w:sz w:val="26"/>
          <w:szCs w:val="26"/>
        </w:rPr>
        <w:t>or</w:t>
      </w:r>
      <w:r w:rsidR="00C90280" w:rsidRPr="00F56D54">
        <w:rPr>
          <w:color w:val="000000"/>
          <w:sz w:val="26"/>
          <w:szCs w:val="26"/>
        </w:rPr>
        <w:t xml:space="preserve"> an increase of </w:t>
      </w:r>
      <w:r w:rsidR="00501DE0" w:rsidRPr="00F56D54">
        <w:rPr>
          <w:color w:val="000000"/>
          <w:sz w:val="26"/>
          <w:szCs w:val="26"/>
        </w:rPr>
        <w:t>24.7% in additional annual revenues.</w:t>
      </w:r>
      <w:r w:rsidR="00F56D54" w:rsidRPr="00F56D54">
        <w:rPr>
          <w:color w:val="000000"/>
          <w:sz w:val="26"/>
          <w:szCs w:val="26"/>
        </w:rPr>
        <w:t xml:space="preserve">  </w:t>
      </w:r>
    </w:p>
    <w:p w14:paraId="68041778" w14:textId="77777777" w:rsidR="003830F2" w:rsidRPr="00F56D54" w:rsidRDefault="003830F2" w:rsidP="00F56D54">
      <w:pPr>
        <w:widowControl/>
        <w:tabs>
          <w:tab w:val="left" w:pos="-720"/>
        </w:tabs>
        <w:spacing w:line="360" w:lineRule="auto"/>
        <w:ind w:firstLine="1440"/>
        <w:rPr>
          <w:sz w:val="26"/>
          <w:szCs w:val="26"/>
        </w:rPr>
      </w:pPr>
    </w:p>
    <w:p w14:paraId="1166E40B" w14:textId="0A375154" w:rsidR="003C2AB5" w:rsidRPr="00F56D54" w:rsidRDefault="00842ACE" w:rsidP="00F56D54">
      <w:pPr>
        <w:widowControl/>
        <w:tabs>
          <w:tab w:val="left" w:pos="-720"/>
        </w:tabs>
        <w:spacing w:line="360" w:lineRule="auto"/>
        <w:ind w:firstLine="1440"/>
        <w:rPr>
          <w:color w:val="000000"/>
          <w:sz w:val="26"/>
          <w:szCs w:val="26"/>
        </w:rPr>
      </w:pPr>
      <w:r w:rsidRPr="00F56D54">
        <w:rPr>
          <w:sz w:val="26"/>
          <w:szCs w:val="26"/>
        </w:rPr>
        <w:t xml:space="preserve">As discussed </w:t>
      </w:r>
      <w:r w:rsidRPr="00F56D54">
        <w:rPr>
          <w:i/>
          <w:iCs/>
          <w:sz w:val="26"/>
          <w:szCs w:val="26"/>
        </w:rPr>
        <w:t>infra</w:t>
      </w:r>
      <w:r w:rsidRPr="00F56D54">
        <w:rPr>
          <w:sz w:val="26"/>
          <w:szCs w:val="26"/>
        </w:rPr>
        <w:t>, i</w:t>
      </w:r>
      <w:r w:rsidR="00202635" w:rsidRPr="00F56D54">
        <w:rPr>
          <w:sz w:val="26"/>
          <w:szCs w:val="26"/>
        </w:rPr>
        <w:t xml:space="preserve">n this Opinion and Order, </w:t>
      </w:r>
      <w:r w:rsidR="001D2313" w:rsidRPr="00F56D54">
        <w:rPr>
          <w:sz w:val="26"/>
          <w:szCs w:val="26"/>
        </w:rPr>
        <w:t>both the Revenue Settlement and the Rate Design Settl</w:t>
      </w:r>
      <w:r w:rsidRPr="00F56D54">
        <w:rPr>
          <w:sz w:val="26"/>
          <w:szCs w:val="26"/>
        </w:rPr>
        <w:t>e</w:t>
      </w:r>
      <w:r w:rsidR="001D2313" w:rsidRPr="00F56D54">
        <w:rPr>
          <w:sz w:val="26"/>
          <w:szCs w:val="26"/>
        </w:rPr>
        <w:t>ment</w:t>
      </w:r>
      <w:r w:rsidR="00760DC9" w:rsidRPr="00F56D54">
        <w:rPr>
          <w:sz w:val="26"/>
          <w:szCs w:val="26"/>
        </w:rPr>
        <w:t xml:space="preserve"> </w:t>
      </w:r>
      <w:r w:rsidR="00202635" w:rsidRPr="00F56D54">
        <w:rPr>
          <w:sz w:val="26"/>
          <w:szCs w:val="26"/>
        </w:rPr>
        <w:t>embod</w:t>
      </w:r>
      <w:r w:rsidR="001D2313" w:rsidRPr="00F56D54">
        <w:rPr>
          <w:sz w:val="26"/>
          <w:szCs w:val="26"/>
        </w:rPr>
        <w:t>y</w:t>
      </w:r>
      <w:r w:rsidR="00202635" w:rsidRPr="00F56D54">
        <w:rPr>
          <w:sz w:val="26"/>
          <w:szCs w:val="26"/>
        </w:rPr>
        <w:t xml:space="preserve"> a “black box” settlement</w:t>
      </w:r>
      <w:r w:rsidR="00B94B0C" w:rsidRPr="00F56D54">
        <w:rPr>
          <w:sz w:val="26"/>
          <w:szCs w:val="26"/>
        </w:rPr>
        <w:t xml:space="preserve">.  </w:t>
      </w:r>
      <w:r w:rsidR="00AD0925" w:rsidRPr="00F56D54">
        <w:rPr>
          <w:sz w:val="26"/>
          <w:szCs w:val="26"/>
        </w:rPr>
        <w:t xml:space="preserve">Under the terms of the Revenue Settlement, the approved increase to </w:t>
      </w:r>
      <w:r w:rsidR="00011F39" w:rsidRPr="00F56D54">
        <w:rPr>
          <w:sz w:val="26"/>
          <w:szCs w:val="26"/>
        </w:rPr>
        <w:t>PCLPC</w:t>
      </w:r>
      <w:r w:rsidR="003C2AB5" w:rsidRPr="00F56D54">
        <w:rPr>
          <w:sz w:val="26"/>
          <w:szCs w:val="26"/>
        </w:rPr>
        <w:t>’</w:t>
      </w:r>
      <w:r w:rsidR="00AD0925" w:rsidRPr="00F56D54">
        <w:rPr>
          <w:sz w:val="26"/>
          <w:szCs w:val="26"/>
        </w:rPr>
        <w:t>s annual operating revenues from jurisdictional service is proposed to be $ 1.4 million, which reflects a substantial decrease from the originally requested $ 1.9 million rate increase</w:t>
      </w:r>
      <w:r w:rsidR="00E60BD3">
        <w:rPr>
          <w:sz w:val="26"/>
          <w:szCs w:val="26"/>
        </w:rPr>
        <w:t xml:space="preserve"> or an increase of 13.8% in overall electric revenues</w:t>
      </w:r>
      <w:r w:rsidR="00AD0925" w:rsidRPr="00F56D54">
        <w:rPr>
          <w:sz w:val="26"/>
          <w:szCs w:val="26"/>
        </w:rPr>
        <w:t>.  The approved revenue increase will be allocated among PCLPC’s customers per the terms of the Rate Design Settlement</w:t>
      </w:r>
      <w:r w:rsidR="003C2AB5" w:rsidRPr="00F56D54">
        <w:rPr>
          <w:sz w:val="26"/>
          <w:szCs w:val="26"/>
        </w:rPr>
        <w:t>,</w:t>
      </w:r>
      <w:r w:rsidR="008425A6" w:rsidRPr="00F56D54">
        <w:rPr>
          <w:sz w:val="26"/>
          <w:szCs w:val="26"/>
        </w:rPr>
        <w:t xml:space="preserve"> </w:t>
      </w:r>
      <w:r w:rsidR="008425A6" w:rsidRPr="00F56D54">
        <w:rPr>
          <w:color w:val="000000"/>
          <w:sz w:val="26"/>
          <w:szCs w:val="26"/>
        </w:rPr>
        <w:t>which distributes the revenue increase among P</w:t>
      </w:r>
      <w:r w:rsidR="00D45899">
        <w:rPr>
          <w:color w:val="000000"/>
          <w:sz w:val="26"/>
          <w:szCs w:val="26"/>
        </w:rPr>
        <w:t>CLPC</w:t>
      </w:r>
      <w:r w:rsidR="008425A6" w:rsidRPr="00F56D54">
        <w:rPr>
          <w:color w:val="000000"/>
          <w:sz w:val="26"/>
          <w:szCs w:val="26"/>
        </w:rPr>
        <w:t xml:space="preserve">’s customer classes.  </w:t>
      </w:r>
    </w:p>
    <w:p w14:paraId="50658190" w14:textId="77777777" w:rsidR="003C2AB5" w:rsidRPr="00F56D54" w:rsidRDefault="003C2AB5" w:rsidP="00F56D54">
      <w:pPr>
        <w:widowControl/>
        <w:tabs>
          <w:tab w:val="left" w:pos="-720"/>
        </w:tabs>
        <w:spacing w:line="360" w:lineRule="auto"/>
        <w:ind w:firstLine="1440"/>
        <w:rPr>
          <w:color w:val="000000"/>
          <w:sz w:val="26"/>
          <w:szCs w:val="26"/>
        </w:rPr>
      </w:pPr>
    </w:p>
    <w:p w14:paraId="4F1A3656" w14:textId="2DB4C982" w:rsidR="00C127AE" w:rsidRPr="00F56D54" w:rsidRDefault="008425A6" w:rsidP="00F56D54">
      <w:pPr>
        <w:widowControl/>
        <w:tabs>
          <w:tab w:val="left" w:pos="-720"/>
        </w:tabs>
        <w:spacing w:line="360" w:lineRule="auto"/>
        <w:ind w:firstLine="1440"/>
        <w:rPr>
          <w:sz w:val="26"/>
          <w:szCs w:val="26"/>
        </w:rPr>
      </w:pPr>
      <w:r w:rsidRPr="00F56D54">
        <w:rPr>
          <w:color w:val="000000"/>
          <w:sz w:val="26"/>
          <w:szCs w:val="26"/>
        </w:rPr>
        <w:t xml:space="preserve">The result of the </w:t>
      </w:r>
      <w:r w:rsidR="00847600">
        <w:rPr>
          <w:color w:val="000000"/>
          <w:sz w:val="26"/>
          <w:szCs w:val="26"/>
        </w:rPr>
        <w:t>r</w:t>
      </w:r>
      <w:r w:rsidRPr="00F56D54">
        <w:rPr>
          <w:color w:val="000000"/>
          <w:sz w:val="26"/>
          <w:szCs w:val="26"/>
        </w:rPr>
        <w:t xml:space="preserve">ate </w:t>
      </w:r>
      <w:r w:rsidR="00847600">
        <w:rPr>
          <w:color w:val="000000"/>
          <w:sz w:val="26"/>
          <w:szCs w:val="26"/>
        </w:rPr>
        <w:t>s</w:t>
      </w:r>
      <w:r w:rsidRPr="00F56D54">
        <w:rPr>
          <w:color w:val="000000"/>
          <w:sz w:val="26"/>
          <w:szCs w:val="26"/>
        </w:rPr>
        <w:t xml:space="preserve">tructure </w:t>
      </w:r>
      <w:r w:rsidR="00E72599" w:rsidRPr="00F56D54">
        <w:rPr>
          <w:color w:val="000000"/>
          <w:sz w:val="26"/>
          <w:szCs w:val="26"/>
        </w:rPr>
        <w:t xml:space="preserve">under the </w:t>
      </w:r>
      <w:r w:rsidR="00847600">
        <w:rPr>
          <w:color w:val="000000"/>
          <w:sz w:val="26"/>
          <w:szCs w:val="26"/>
        </w:rPr>
        <w:t>t</w:t>
      </w:r>
      <w:r w:rsidR="00E72599" w:rsidRPr="00F56D54">
        <w:rPr>
          <w:color w:val="000000"/>
          <w:sz w:val="26"/>
          <w:szCs w:val="26"/>
        </w:rPr>
        <w:t xml:space="preserve">erms of the Rate Design Settlement </w:t>
      </w:r>
      <w:r w:rsidRPr="00F56D54">
        <w:rPr>
          <w:color w:val="000000"/>
          <w:sz w:val="26"/>
          <w:szCs w:val="26"/>
        </w:rPr>
        <w:t xml:space="preserve">is that the average residential customer will </w:t>
      </w:r>
      <w:r w:rsidR="001137FA">
        <w:rPr>
          <w:color w:val="000000"/>
          <w:sz w:val="26"/>
          <w:szCs w:val="26"/>
        </w:rPr>
        <w:t xml:space="preserve">experience </w:t>
      </w:r>
      <w:r w:rsidRPr="00F56D54">
        <w:rPr>
          <w:color w:val="000000"/>
          <w:sz w:val="26"/>
          <w:szCs w:val="26"/>
        </w:rPr>
        <w:t>an estimated 12.1% increase, or roughly $12.59 increase in their monthly electric</w:t>
      </w:r>
      <w:r w:rsidR="001137FA">
        <w:rPr>
          <w:color w:val="000000"/>
          <w:sz w:val="26"/>
          <w:szCs w:val="26"/>
        </w:rPr>
        <w:t xml:space="preserve"> distribution</w:t>
      </w:r>
      <w:r w:rsidRPr="00F56D54">
        <w:rPr>
          <w:color w:val="000000"/>
          <w:sz w:val="26"/>
          <w:szCs w:val="26"/>
        </w:rPr>
        <w:t xml:space="preserve"> costs.</w:t>
      </w:r>
      <w:r w:rsidR="00C863FA">
        <w:rPr>
          <w:color w:val="000000"/>
          <w:sz w:val="26"/>
          <w:szCs w:val="26"/>
        </w:rPr>
        <w:t xml:space="preserve"> </w:t>
      </w:r>
      <w:r w:rsidRPr="00F56D54">
        <w:rPr>
          <w:color w:val="000000"/>
          <w:sz w:val="26"/>
          <w:szCs w:val="26"/>
        </w:rPr>
        <w:t xml:space="preserve"> Similarly, the average commercial – demand (SC2-Secondary - Demand) customer will </w:t>
      </w:r>
      <w:r w:rsidR="003D59C8">
        <w:rPr>
          <w:color w:val="000000"/>
          <w:sz w:val="26"/>
          <w:szCs w:val="26"/>
        </w:rPr>
        <w:t>experience</w:t>
      </w:r>
      <w:r w:rsidRPr="00F56D54">
        <w:rPr>
          <w:color w:val="000000"/>
          <w:sz w:val="26"/>
          <w:szCs w:val="26"/>
        </w:rPr>
        <w:t xml:space="preserve"> an estimated 17.3% increase, or roughly $77.91 increase in their monthly electric</w:t>
      </w:r>
      <w:r w:rsidR="00FE1734">
        <w:rPr>
          <w:color w:val="000000"/>
          <w:sz w:val="26"/>
          <w:szCs w:val="26"/>
        </w:rPr>
        <w:t xml:space="preserve"> distribution</w:t>
      </w:r>
      <w:r w:rsidRPr="00F56D54">
        <w:rPr>
          <w:color w:val="000000"/>
          <w:sz w:val="26"/>
          <w:szCs w:val="26"/>
        </w:rPr>
        <w:t xml:space="preserve"> costs.</w:t>
      </w:r>
      <w:r w:rsidR="00C863FA">
        <w:rPr>
          <w:color w:val="000000"/>
          <w:sz w:val="26"/>
          <w:szCs w:val="26"/>
        </w:rPr>
        <w:t xml:space="preserve"> </w:t>
      </w:r>
      <w:r w:rsidRPr="00F56D54">
        <w:rPr>
          <w:color w:val="000000"/>
          <w:sz w:val="26"/>
          <w:szCs w:val="26"/>
        </w:rPr>
        <w:t xml:space="preserve"> Finally, the average commercial non-demand (SC2</w:t>
      </w:r>
      <w:r w:rsidR="0000615F">
        <w:rPr>
          <w:color w:val="000000"/>
          <w:sz w:val="26"/>
          <w:szCs w:val="26"/>
        </w:rPr>
        <w:noBreakHyphen/>
      </w:r>
      <w:r w:rsidRPr="00F56D54">
        <w:rPr>
          <w:color w:val="000000"/>
          <w:sz w:val="26"/>
          <w:szCs w:val="26"/>
        </w:rPr>
        <w:t xml:space="preserve">Secondary – </w:t>
      </w:r>
      <w:r w:rsidR="00FE1734">
        <w:rPr>
          <w:color w:val="000000"/>
          <w:sz w:val="26"/>
          <w:szCs w:val="26"/>
        </w:rPr>
        <w:t>N</w:t>
      </w:r>
      <w:r w:rsidRPr="00F56D54">
        <w:rPr>
          <w:color w:val="000000"/>
          <w:sz w:val="26"/>
          <w:szCs w:val="26"/>
        </w:rPr>
        <w:t>on-</w:t>
      </w:r>
      <w:r w:rsidR="00FE1734">
        <w:rPr>
          <w:color w:val="000000"/>
          <w:sz w:val="26"/>
          <w:szCs w:val="26"/>
        </w:rPr>
        <w:t>D</w:t>
      </w:r>
      <w:r w:rsidRPr="00F56D54">
        <w:rPr>
          <w:color w:val="000000"/>
          <w:sz w:val="26"/>
          <w:szCs w:val="26"/>
        </w:rPr>
        <w:t xml:space="preserve">emand) will </w:t>
      </w:r>
      <w:r w:rsidR="003D59C8">
        <w:rPr>
          <w:color w:val="000000"/>
          <w:sz w:val="26"/>
          <w:szCs w:val="26"/>
        </w:rPr>
        <w:t xml:space="preserve">experience </w:t>
      </w:r>
      <w:r w:rsidRPr="00F56D54">
        <w:rPr>
          <w:color w:val="000000"/>
          <w:sz w:val="26"/>
          <w:szCs w:val="26"/>
        </w:rPr>
        <w:t>an estimated 18.9% increase, or roughly $13.35 in their monthly electric</w:t>
      </w:r>
      <w:r w:rsidR="0087662D">
        <w:rPr>
          <w:color w:val="000000"/>
          <w:sz w:val="26"/>
          <w:szCs w:val="26"/>
        </w:rPr>
        <w:t xml:space="preserve"> distribution</w:t>
      </w:r>
      <w:r w:rsidRPr="00F56D54">
        <w:rPr>
          <w:color w:val="000000"/>
          <w:sz w:val="26"/>
          <w:szCs w:val="26"/>
        </w:rPr>
        <w:t xml:space="preserve"> costs</w:t>
      </w:r>
      <w:r w:rsidR="00FE3DDA" w:rsidRPr="00F56D54">
        <w:rPr>
          <w:sz w:val="26"/>
          <w:szCs w:val="26"/>
        </w:rPr>
        <w:t xml:space="preserve"> </w:t>
      </w:r>
    </w:p>
    <w:p w14:paraId="436E8D39" w14:textId="50239BBE" w:rsidR="009D2596" w:rsidRPr="00F56D54" w:rsidRDefault="009D2596" w:rsidP="00F56D54">
      <w:pPr>
        <w:widowControl/>
        <w:tabs>
          <w:tab w:val="left" w:pos="-720"/>
        </w:tabs>
        <w:spacing w:line="360" w:lineRule="auto"/>
        <w:ind w:firstLine="1440"/>
        <w:rPr>
          <w:sz w:val="26"/>
          <w:szCs w:val="26"/>
        </w:rPr>
      </w:pPr>
    </w:p>
    <w:p w14:paraId="325EB4EB" w14:textId="68271B75" w:rsidR="00507E9B" w:rsidRPr="00F56D54" w:rsidRDefault="00B522AE" w:rsidP="00F56D54">
      <w:pPr>
        <w:widowControl/>
        <w:tabs>
          <w:tab w:val="left" w:pos="-720"/>
        </w:tabs>
        <w:spacing w:line="360" w:lineRule="auto"/>
        <w:ind w:firstLine="1440"/>
        <w:rPr>
          <w:sz w:val="26"/>
          <w:szCs w:val="26"/>
        </w:rPr>
      </w:pPr>
      <w:r w:rsidRPr="00F56D54">
        <w:rPr>
          <w:sz w:val="26"/>
          <w:szCs w:val="26"/>
        </w:rPr>
        <w:lastRenderedPageBreak/>
        <w:t>Taken together, the Revenue Settlement and the Rate Design Settl</w:t>
      </w:r>
      <w:r w:rsidR="002246AD" w:rsidRPr="00F56D54">
        <w:rPr>
          <w:sz w:val="26"/>
          <w:szCs w:val="26"/>
        </w:rPr>
        <w:t>e</w:t>
      </w:r>
      <w:r w:rsidRPr="00F56D54">
        <w:rPr>
          <w:sz w:val="26"/>
          <w:szCs w:val="26"/>
        </w:rPr>
        <w:t xml:space="preserve">ment </w:t>
      </w:r>
      <w:r w:rsidR="009D2596" w:rsidRPr="00F56D54">
        <w:rPr>
          <w:sz w:val="26"/>
          <w:szCs w:val="26"/>
        </w:rPr>
        <w:t>reflect a reasonable compromise</w:t>
      </w:r>
      <w:r w:rsidR="002246AD" w:rsidRPr="00F56D54">
        <w:rPr>
          <w:sz w:val="26"/>
          <w:szCs w:val="26"/>
        </w:rPr>
        <w:t xml:space="preserve"> to </w:t>
      </w:r>
      <w:r w:rsidR="000075C0" w:rsidRPr="00F56D54">
        <w:rPr>
          <w:sz w:val="26"/>
          <w:szCs w:val="26"/>
        </w:rPr>
        <w:t>achieve</w:t>
      </w:r>
      <w:r w:rsidR="002246AD" w:rsidRPr="00F56D54">
        <w:rPr>
          <w:sz w:val="26"/>
          <w:szCs w:val="26"/>
        </w:rPr>
        <w:t xml:space="preserve"> just and reasonable rates, which also </w:t>
      </w:r>
      <w:r w:rsidR="009D2596" w:rsidRPr="00F56D54">
        <w:rPr>
          <w:sz w:val="26"/>
          <w:szCs w:val="26"/>
        </w:rPr>
        <w:t xml:space="preserve">mitigates </w:t>
      </w:r>
      <w:r w:rsidR="002246AD" w:rsidRPr="00F56D54">
        <w:rPr>
          <w:sz w:val="26"/>
          <w:szCs w:val="26"/>
        </w:rPr>
        <w:t xml:space="preserve">the </w:t>
      </w:r>
      <w:r w:rsidR="00736463" w:rsidRPr="00F56D54">
        <w:rPr>
          <w:sz w:val="26"/>
          <w:szCs w:val="26"/>
        </w:rPr>
        <w:t xml:space="preserve">original requested </w:t>
      </w:r>
      <w:r w:rsidR="009D2596" w:rsidRPr="00F56D54">
        <w:rPr>
          <w:sz w:val="26"/>
          <w:szCs w:val="26"/>
        </w:rPr>
        <w:t xml:space="preserve">rate increase at a time in which many ratepayers </w:t>
      </w:r>
      <w:r w:rsidR="00736463" w:rsidRPr="00F56D54">
        <w:rPr>
          <w:sz w:val="26"/>
          <w:szCs w:val="26"/>
        </w:rPr>
        <w:t xml:space="preserve">continue to suffer </w:t>
      </w:r>
      <w:r w:rsidR="009D2596" w:rsidRPr="00F56D54">
        <w:rPr>
          <w:sz w:val="26"/>
          <w:szCs w:val="26"/>
        </w:rPr>
        <w:t xml:space="preserve">economic hardship due to the 2019 Coronavirus (COVID-19) pandemic emergency, while providing PCLPC with a level of revenue </w:t>
      </w:r>
      <w:r w:rsidR="00006C68">
        <w:rPr>
          <w:sz w:val="26"/>
          <w:szCs w:val="26"/>
        </w:rPr>
        <w:t xml:space="preserve">sufficient </w:t>
      </w:r>
      <w:r w:rsidR="009D2596" w:rsidRPr="00F56D54">
        <w:rPr>
          <w:sz w:val="26"/>
          <w:szCs w:val="26"/>
        </w:rPr>
        <w:t xml:space="preserve">to </w:t>
      </w:r>
      <w:r w:rsidR="00006C68">
        <w:rPr>
          <w:sz w:val="26"/>
          <w:szCs w:val="26"/>
        </w:rPr>
        <w:t xml:space="preserve">provide an opportunity to </w:t>
      </w:r>
      <w:r w:rsidR="009D2596" w:rsidRPr="00F56D54">
        <w:rPr>
          <w:sz w:val="26"/>
          <w:szCs w:val="26"/>
        </w:rPr>
        <w:t>earn a</w:t>
      </w:r>
      <w:r w:rsidR="0088304A">
        <w:rPr>
          <w:sz w:val="26"/>
          <w:szCs w:val="26"/>
        </w:rPr>
        <w:t xml:space="preserve">n adequate </w:t>
      </w:r>
      <w:r w:rsidR="009D2596" w:rsidRPr="00F56D54">
        <w:rPr>
          <w:sz w:val="26"/>
          <w:szCs w:val="26"/>
        </w:rPr>
        <w:t>return</w:t>
      </w:r>
      <w:r w:rsidR="0088304A">
        <w:rPr>
          <w:sz w:val="26"/>
          <w:szCs w:val="26"/>
        </w:rPr>
        <w:t xml:space="preserve"> of and on its investment such that </w:t>
      </w:r>
      <w:r w:rsidR="00B179F4">
        <w:rPr>
          <w:sz w:val="26"/>
          <w:szCs w:val="26"/>
        </w:rPr>
        <w:t>PCLPC may</w:t>
      </w:r>
      <w:r w:rsidR="009D2596" w:rsidRPr="00F56D54">
        <w:rPr>
          <w:sz w:val="26"/>
          <w:szCs w:val="26"/>
        </w:rPr>
        <w:t xml:space="preserve"> continue</w:t>
      </w:r>
      <w:r w:rsidR="00B179F4">
        <w:rPr>
          <w:sz w:val="26"/>
          <w:szCs w:val="26"/>
        </w:rPr>
        <w:t xml:space="preserve"> the</w:t>
      </w:r>
      <w:r w:rsidR="009D2596" w:rsidRPr="00F56D54">
        <w:rPr>
          <w:sz w:val="26"/>
          <w:szCs w:val="26"/>
        </w:rPr>
        <w:t xml:space="preserve"> provision of safe </w:t>
      </w:r>
      <w:r w:rsidR="001B4657">
        <w:rPr>
          <w:sz w:val="26"/>
          <w:szCs w:val="26"/>
        </w:rPr>
        <w:t xml:space="preserve">and </w:t>
      </w:r>
      <w:r w:rsidR="009D2596" w:rsidRPr="00F56D54">
        <w:rPr>
          <w:sz w:val="26"/>
          <w:szCs w:val="26"/>
        </w:rPr>
        <w:t>reliable electric service within the Commonwealth.</w:t>
      </w:r>
      <w:r w:rsidR="000075C0" w:rsidRPr="00F56D54">
        <w:rPr>
          <w:sz w:val="26"/>
          <w:szCs w:val="26"/>
        </w:rPr>
        <w:t xml:space="preserve">  </w:t>
      </w:r>
    </w:p>
    <w:p w14:paraId="62280096" w14:textId="77777777" w:rsidR="00507E9B" w:rsidRPr="00F56D54" w:rsidRDefault="00507E9B" w:rsidP="00F56D54">
      <w:pPr>
        <w:widowControl/>
        <w:tabs>
          <w:tab w:val="left" w:pos="-720"/>
        </w:tabs>
        <w:spacing w:line="360" w:lineRule="auto"/>
        <w:ind w:firstLine="1440"/>
        <w:rPr>
          <w:sz w:val="26"/>
          <w:szCs w:val="26"/>
        </w:rPr>
      </w:pPr>
    </w:p>
    <w:p w14:paraId="011AB2F3" w14:textId="4E2A375A" w:rsidR="009D2596" w:rsidRPr="00F56D54" w:rsidRDefault="000075C0" w:rsidP="00F56D54">
      <w:pPr>
        <w:widowControl/>
        <w:tabs>
          <w:tab w:val="left" w:pos="-720"/>
        </w:tabs>
        <w:spacing w:line="360" w:lineRule="auto"/>
        <w:ind w:firstLine="1440"/>
        <w:rPr>
          <w:sz w:val="26"/>
          <w:szCs w:val="26"/>
        </w:rPr>
      </w:pPr>
      <w:r w:rsidRPr="00F56D54">
        <w:rPr>
          <w:sz w:val="26"/>
          <w:szCs w:val="26"/>
        </w:rPr>
        <w:t xml:space="preserve">Accordingly, </w:t>
      </w:r>
      <w:r w:rsidR="00F96059" w:rsidRPr="00F56D54">
        <w:rPr>
          <w:sz w:val="26"/>
          <w:szCs w:val="26"/>
        </w:rPr>
        <w:t xml:space="preserve">by this Opinion and Order, </w:t>
      </w:r>
      <w:r w:rsidRPr="00F56D54">
        <w:rPr>
          <w:sz w:val="26"/>
          <w:szCs w:val="26"/>
        </w:rPr>
        <w:t xml:space="preserve">we </w:t>
      </w:r>
      <w:r w:rsidR="00507E9B" w:rsidRPr="00F56D54">
        <w:rPr>
          <w:sz w:val="26"/>
          <w:szCs w:val="26"/>
        </w:rPr>
        <w:t xml:space="preserve">shall </w:t>
      </w:r>
      <w:r w:rsidR="00C87CC9" w:rsidRPr="00F56D54">
        <w:rPr>
          <w:sz w:val="26"/>
          <w:szCs w:val="26"/>
        </w:rPr>
        <w:t xml:space="preserve">approve both the Revenue Settlement and the Rate </w:t>
      </w:r>
      <w:r w:rsidR="00173833">
        <w:rPr>
          <w:sz w:val="26"/>
          <w:szCs w:val="26"/>
        </w:rPr>
        <w:t>D</w:t>
      </w:r>
      <w:r w:rsidR="00C87CC9" w:rsidRPr="00F56D54">
        <w:rPr>
          <w:sz w:val="26"/>
          <w:szCs w:val="26"/>
        </w:rPr>
        <w:t>esign Settlement</w:t>
      </w:r>
      <w:r w:rsidR="00F96059" w:rsidRPr="00F56D54">
        <w:rPr>
          <w:sz w:val="26"/>
          <w:szCs w:val="26"/>
        </w:rPr>
        <w:t>, without modification,</w:t>
      </w:r>
      <w:r w:rsidR="00C87CC9" w:rsidRPr="00F56D54">
        <w:rPr>
          <w:sz w:val="26"/>
          <w:szCs w:val="26"/>
        </w:rPr>
        <w:t xml:space="preserve"> as</w:t>
      </w:r>
      <w:r w:rsidRPr="00F56D54">
        <w:rPr>
          <w:sz w:val="26"/>
          <w:szCs w:val="26"/>
        </w:rPr>
        <w:t xml:space="preserve"> </w:t>
      </w:r>
      <w:r w:rsidR="002619A9">
        <w:rPr>
          <w:sz w:val="26"/>
          <w:szCs w:val="26"/>
        </w:rPr>
        <w:t xml:space="preserve">reasonable and necessary, supported by substantial evidence and </w:t>
      </w:r>
      <w:r w:rsidRPr="00F56D54">
        <w:rPr>
          <w:sz w:val="26"/>
          <w:szCs w:val="26"/>
        </w:rPr>
        <w:t>in the public interest.</w:t>
      </w:r>
      <w:r w:rsidR="00F56D54" w:rsidRPr="00F56D54">
        <w:rPr>
          <w:sz w:val="26"/>
          <w:szCs w:val="26"/>
        </w:rPr>
        <w:t xml:space="preserve">  </w:t>
      </w:r>
    </w:p>
    <w:p w14:paraId="7C91E0C0" w14:textId="77777777" w:rsidR="00442E47" w:rsidRPr="00F56D54" w:rsidRDefault="00442E47" w:rsidP="00F56D54">
      <w:pPr>
        <w:widowControl/>
        <w:tabs>
          <w:tab w:val="left" w:pos="-720"/>
        </w:tabs>
        <w:spacing w:line="360" w:lineRule="auto"/>
        <w:ind w:firstLine="1440"/>
        <w:rPr>
          <w:sz w:val="26"/>
          <w:szCs w:val="26"/>
        </w:rPr>
      </w:pPr>
    </w:p>
    <w:p w14:paraId="6422F3F1" w14:textId="00C76E24" w:rsidR="00B00BC3" w:rsidRPr="00F56D54" w:rsidRDefault="007357EB" w:rsidP="00F56D54">
      <w:pPr>
        <w:pStyle w:val="Heading1"/>
      </w:pPr>
      <w:bookmarkStart w:id="1" w:name="_Toc68586942"/>
      <w:r w:rsidRPr="00F56D54">
        <w:t>Background</w:t>
      </w:r>
      <w:bookmarkEnd w:id="1"/>
    </w:p>
    <w:p w14:paraId="0A156998" w14:textId="5028C22A" w:rsidR="008175BD" w:rsidRPr="00F56D54" w:rsidRDefault="008175BD" w:rsidP="00F56D54">
      <w:pPr>
        <w:widowControl/>
        <w:spacing w:line="360" w:lineRule="auto"/>
        <w:ind w:firstLine="1440"/>
        <w:rPr>
          <w:sz w:val="26"/>
          <w:szCs w:val="26"/>
        </w:rPr>
      </w:pPr>
    </w:p>
    <w:p w14:paraId="5F025498" w14:textId="717D7C84" w:rsidR="006C087D" w:rsidRPr="00F56D54" w:rsidRDefault="006C087D" w:rsidP="00F56D54">
      <w:pPr>
        <w:widowControl/>
        <w:tabs>
          <w:tab w:val="center" w:pos="720"/>
          <w:tab w:val="center" w:pos="4847"/>
        </w:tabs>
        <w:spacing w:line="360" w:lineRule="auto"/>
        <w:ind w:firstLine="1440"/>
        <w:rPr>
          <w:color w:val="000000"/>
          <w:sz w:val="26"/>
          <w:szCs w:val="26"/>
        </w:rPr>
      </w:pPr>
      <w:r w:rsidRPr="00F56D54">
        <w:rPr>
          <w:color w:val="000000"/>
          <w:sz w:val="26"/>
          <w:szCs w:val="26"/>
        </w:rPr>
        <w:t>PCLP</w:t>
      </w:r>
      <w:r w:rsidR="002819D2">
        <w:rPr>
          <w:color w:val="000000"/>
          <w:sz w:val="26"/>
          <w:szCs w:val="26"/>
        </w:rPr>
        <w:t>C</w:t>
      </w:r>
      <w:r w:rsidRPr="00F56D54">
        <w:rPr>
          <w:color w:val="000000"/>
          <w:sz w:val="26"/>
          <w:szCs w:val="26"/>
        </w:rPr>
        <w:t xml:space="preserve"> is an electric utility serving approximately 4,800 electric customers, of which 960 are commercial, 3,810 are residential and 90 are lighting.</w:t>
      </w:r>
      <w:r w:rsidRPr="00F56D54">
        <w:rPr>
          <w:color w:val="000000"/>
          <w:sz w:val="26"/>
          <w:szCs w:val="26"/>
          <w:vertAlign w:val="superscript"/>
        </w:rPr>
        <w:footnoteReference w:id="3"/>
      </w:r>
      <w:r w:rsidRPr="00F56D54">
        <w:rPr>
          <w:color w:val="000000"/>
          <w:sz w:val="26"/>
          <w:szCs w:val="26"/>
        </w:rPr>
        <w:t xml:space="preserve">  In</w:t>
      </w:r>
      <w:r w:rsidR="004D76F7">
        <w:rPr>
          <w:color w:val="000000"/>
          <w:sz w:val="26"/>
          <w:szCs w:val="26"/>
        </w:rPr>
        <w:t> </w:t>
      </w:r>
      <w:r w:rsidRPr="00F56D54">
        <w:rPr>
          <w:color w:val="000000"/>
          <w:sz w:val="26"/>
          <w:szCs w:val="26"/>
        </w:rPr>
        <w:t>2016, Corning Natural Gas Holding Company acquired PCLP</w:t>
      </w:r>
      <w:r w:rsidR="002819D2">
        <w:rPr>
          <w:color w:val="000000"/>
          <w:sz w:val="26"/>
          <w:szCs w:val="26"/>
        </w:rPr>
        <w:t>C</w:t>
      </w:r>
      <w:r w:rsidRPr="00F56D54">
        <w:rPr>
          <w:color w:val="000000"/>
          <w:sz w:val="26"/>
          <w:szCs w:val="26"/>
        </w:rPr>
        <w:t xml:space="preserve"> from Orange and Rockland Utilities.</w:t>
      </w:r>
      <w:r w:rsidRPr="00F56D54">
        <w:rPr>
          <w:color w:val="000000"/>
          <w:sz w:val="26"/>
          <w:szCs w:val="26"/>
          <w:vertAlign w:val="superscript"/>
        </w:rPr>
        <w:footnoteReference w:id="4"/>
      </w:r>
      <w:r w:rsidRPr="00F56D54">
        <w:rPr>
          <w:color w:val="000000"/>
          <w:sz w:val="26"/>
          <w:szCs w:val="26"/>
        </w:rPr>
        <w:t xml:space="preserve">  PCLP</w:t>
      </w:r>
      <w:r w:rsidR="002819D2">
        <w:rPr>
          <w:color w:val="000000"/>
          <w:sz w:val="26"/>
          <w:szCs w:val="26"/>
        </w:rPr>
        <w:t>C</w:t>
      </w:r>
      <w:r w:rsidRPr="00F56D54">
        <w:rPr>
          <w:color w:val="000000"/>
          <w:sz w:val="26"/>
          <w:szCs w:val="26"/>
        </w:rPr>
        <w:t xml:space="preserve"> has been operating under electric rates that went into effect in September 2014.</w:t>
      </w:r>
      <w:r w:rsidRPr="00F56D54">
        <w:rPr>
          <w:color w:val="000000"/>
          <w:sz w:val="26"/>
          <w:szCs w:val="26"/>
          <w:vertAlign w:val="superscript"/>
        </w:rPr>
        <w:footnoteReference w:id="5"/>
      </w:r>
      <w:r w:rsidRPr="00F56D54">
        <w:rPr>
          <w:color w:val="000000"/>
          <w:sz w:val="26"/>
          <w:szCs w:val="26"/>
        </w:rPr>
        <w:t xml:space="preserve">  </w:t>
      </w:r>
    </w:p>
    <w:p w14:paraId="3F6ACEDA" w14:textId="77777777" w:rsidR="006C087D" w:rsidRPr="00F56D54" w:rsidRDefault="006C087D" w:rsidP="00F56D54">
      <w:pPr>
        <w:widowControl/>
        <w:tabs>
          <w:tab w:val="center" w:pos="720"/>
          <w:tab w:val="center" w:pos="4847"/>
        </w:tabs>
        <w:spacing w:line="360" w:lineRule="auto"/>
        <w:rPr>
          <w:color w:val="000000"/>
          <w:sz w:val="26"/>
          <w:szCs w:val="26"/>
        </w:rPr>
      </w:pPr>
    </w:p>
    <w:p w14:paraId="0EBA624B" w14:textId="0AF0CBE1" w:rsidR="009503DC" w:rsidRPr="00F56D54" w:rsidRDefault="006C087D" w:rsidP="00F56D54">
      <w:pPr>
        <w:widowControl/>
        <w:tabs>
          <w:tab w:val="center" w:pos="720"/>
          <w:tab w:val="center" w:pos="4847"/>
        </w:tabs>
        <w:spacing w:line="360" w:lineRule="auto"/>
        <w:ind w:firstLine="1440"/>
        <w:rPr>
          <w:color w:val="000000"/>
          <w:sz w:val="26"/>
          <w:szCs w:val="26"/>
        </w:rPr>
      </w:pPr>
      <w:r w:rsidRPr="00F56D54">
        <w:rPr>
          <w:color w:val="000000"/>
          <w:sz w:val="26"/>
          <w:szCs w:val="26"/>
        </w:rPr>
        <w:lastRenderedPageBreak/>
        <w:t>PCLP</w:t>
      </w:r>
      <w:r w:rsidR="002819D2">
        <w:rPr>
          <w:color w:val="000000"/>
          <w:sz w:val="26"/>
          <w:szCs w:val="26"/>
        </w:rPr>
        <w:t>C</w:t>
      </w:r>
      <w:r w:rsidRPr="00F56D54">
        <w:rPr>
          <w:color w:val="000000"/>
          <w:sz w:val="26"/>
          <w:szCs w:val="26"/>
        </w:rPr>
        <w:t xml:space="preserve"> requests a rate increase </w:t>
      </w:r>
      <w:r w:rsidR="00D61493" w:rsidRPr="00F56D54">
        <w:rPr>
          <w:color w:val="000000"/>
          <w:sz w:val="26"/>
          <w:szCs w:val="26"/>
        </w:rPr>
        <w:t>to</w:t>
      </w:r>
      <w:r w:rsidRPr="00F56D54">
        <w:rPr>
          <w:color w:val="000000"/>
          <w:sz w:val="26"/>
          <w:szCs w:val="26"/>
        </w:rPr>
        <w:t xml:space="preserve"> meet increased costs, particularly related to plant additions, including some projects identified in PCLP</w:t>
      </w:r>
      <w:r w:rsidR="002819D2">
        <w:rPr>
          <w:color w:val="000000"/>
          <w:sz w:val="26"/>
          <w:szCs w:val="26"/>
        </w:rPr>
        <w:t>C</w:t>
      </w:r>
      <w:r w:rsidRPr="00F56D54">
        <w:rPr>
          <w:color w:val="000000"/>
          <w:sz w:val="26"/>
          <w:szCs w:val="26"/>
        </w:rPr>
        <w:t>’s Long</w:t>
      </w:r>
      <w:r w:rsidR="00557520">
        <w:rPr>
          <w:color w:val="000000"/>
          <w:sz w:val="26"/>
          <w:szCs w:val="26"/>
        </w:rPr>
        <w:t>-</w:t>
      </w:r>
      <w:r w:rsidRPr="00F56D54">
        <w:rPr>
          <w:color w:val="000000"/>
          <w:sz w:val="26"/>
          <w:szCs w:val="26"/>
        </w:rPr>
        <w:t>Term Infrastructure Improvement Plan, which was recently approved by the Commission.</w:t>
      </w:r>
      <w:r w:rsidRPr="00F56D54">
        <w:rPr>
          <w:color w:val="000000"/>
          <w:sz w:val="26"/>
          <w:szCs w:val="26"/>
          <w:vertAlign w:val="superscript"/>
        </w:rPr>
        <w:footnoteReference w:id="6"/>
      </w:r>
      <w:r w:rsidRPr="00F56D54">
        <w:rPr>
          <w:color w:val="000000"/>
          <w:sz w:val="26"/>
          <w:szCs w:val="26"/>
        </w:rPr>
        <w:t xml:space="preserve">  </w:t>
      </w:r>
    </w:p>
    <w:p w14:paraId="4F2A4AA5" w14:textId="77777777" w:rsidR="009519CE" w:rsidRPr="00F56D54" w:rsidRDefault="009519CE" w:rsidP="00F56D54">
      <w:pPr>
        <w:widowControl/>
        <w:tabs>
          <w:tab w:val="center" w:pos="720"/>
          <w:tab w:val="center" w:pos="4847"/>
        </w:tabs>
        <w:spacing w:line="360" w:lineRule="auto"/>
        <w:rPr>
          <w:color w:val="000000"/>
          <w:sz w:val="26"/>
          <w:szCs w:val="26"/>
        </w:rPr>
      </w:pPr>
    </w:p>
    <w:p w14:paraId="57ACE3E3" w14:textId="6B115EF1" w:rsidR="002B0C7E" w:rsidRPr="00F56D54" w:rsidRDefault="007357EB" w:rsidP="00F56D54">
      <w:pPr>
        <w:pStyle w:val="Heading1"/>
        <w:keepNext/>
        <w:keepLines/>
      </w:pPr>
      <w:bookmarkStart w:id="2" w:name="_Toc68586943"/>
      <w:r w:rsidRPr="00F56D54">
        <w:t>History of Proceeding</w:t>
      </w:r>
      <w:bookmarkEnd w:id="2"/>
    </w:p>
    <w:p w14:paraId="147421E3" w14:textId="77777777" w:rsidR="00C21766" w:rsidRPr="00F56D54" w:rsidRDefault="00C21766" w:rsidP="00F56D54">
      <w:pPr>
        <w:keepNext/>
        <w:keepLines/>
        <w:widowControl/>
        <w:spacing w:line="360" w:lineRule="auto"/>
        <w:rPr>
          <w:sz w:val="26"/>
          <w:szCs w:val="26"/>
        </w:rPr>
      </w:pPr>
    </w:p>
    <w:p w14:paraId="1CFF8A62" w14:textId="0001999A" w:rsidR="00BF6B5C" w:rsidRPr="00F56D54" w:rsidRDefault="00BF6B5C" w:rsidP="00F56D54">
      <w:pPr>
        <w:widowControl/>
        <w:spacing w:line="360" w:lineRule="auto"/>
        <w:ind w:firstLine="1440"/>
        <w:rPr>
          <w:color w:val="000000"/>
          <w:sz w:val="26"/>
          <w:szCs w:val="26"/>
        </w:rPr>
      </w:pPr>
      <w:r w:rsidRPr="00F56D54">
        <w:rPr>
          <w:color w:val="000000"/>
          <w:sz w:val="26"/>
          <w:szCs w:val="26"/>
        </w:rPr>
        <w:t>On October 26, 2020, PCLP</w:t>
      </w:r>
      <w:r w:rsidR="009519CE">
        <w:rPr>
          <w:color w:val="000000"/>
          <w:sz w:val="26"/>
          <w:szCs w:val="26"/>
        </w:rPr>
        <w:t>C</w:t>
      </w:r>
      <w:r w:rsidRPr="00F56D54">
        <w:rPr>
          <w:color w:val="000000"/>
          <w:sz w:val="26"/>
          <w:szCs w:val="26"/>
        </w:rPr>
        <w:t xml:space="preserve"> filed with the Commission</w:t>
      </w:r>
      <w:r w:rsidR="00CB3981" w:rsidRPr="00F56D54">
        <w:rPr>
          <w:color w:val="000000"/>
          <w:sz w:val="26"/>
          <w:szCs w:val="26"/>
        </w:rPr>
        <w:t>,</w:t>
      </w:r>
      <w:r w:rsidRPr="00F56D54">
        <w:rPr>
          <w:color w:val="000000"/>
          <w:sz w:val="26"/>
          <w:szCs w:val="26"/>
        </w:rPr>
        <w:t xml:space="preserve"> Supplement No.</w:t>
      </w:r>
      <w:r w:rsidR="0072354C">
        <w:rPr>
          <w:color w:val="000000"/>
          <w:sz w:val="26"/>
          <w:szCs w:val="26"/>
        </w:rPr>
        <w:t> </w:t>
      </w:r>
      <w:r w:rsidRPr="00F56D54">
        <w:rPr>
          <w:color w:val="000000"/>
          <w:sz w:val="26"/>
          <w:szCs w:val="26"/>
        </w:rPr>
        <w:t>82 to Tariff Electric - Pa. P.U.C. No. 8 (Tariff No. 8) to become effective December</w:t>
      </w:r>
      <w:r w:rsidR="0072354C">
        <w:rPr>
          <w:color w:val="000000"/>
          <w:sz w:val="26"/>
          <w:szCs w:val="26"/>
        </w:rPr>
        <w:t> </w:t>
      </w:r>
      <w:r w:rsidRPr="00F56D54">
        <w:rPr>
          <w:color w:val="000000"/>
          <w:sz w:val="26"/>
          <w:szCs w:val="26"/>
        </w:rPr>
        <w:t xml:space="preserve">28, 2020 and docketed at R-2020-3022135 (Electric Filing).  Tariff No. 8 contains proposed changes in rates, rules, and regulations calculated to produce an increase of $1,933,600 </w:t>
      </w:r>
      <w:r w:rsidR="00CB3981" w:rsidRPr="00F56D54">
        <w:rPr>
          <w:color w:val="000000"/>
          <w:sz w:val="26"/>
          <w:szCs w:val="26"/>
        </w:rPr>
        <w:t xml:space="preserve">or </w:t>
      </w:r>
      <w:r w:rsidRPr="00F56D54">
        <w:rPr>
          <w:color w:val="000000"/>
          <w:sz w:val="26"/>
          <w:szCs w:val="26"/>
        </w:rPr>
        <w:t>(24.7%) in additional annual revenues.</w:t>
      </w:r>
      <w:r w:rsidR="00F56D54" w:rsidRPr="00F56D54">
        <w:rPr>
          <w:color w:val="000000"/>
          <w:sz w:val="26"/>
          <w:szCs w:val="26"/>
        </w:rPr>
        <w:t xml:space="preserve">  </w:t>
      </w:r>
    </w:p>
    <w:p w14:paraId="689FF7B8" w14:textId="5BEF3FBC" w:rsidR="00AA3D38" w:rsidRPr="00F56D54" w:rsidRDefault="00AA3D38" w:rsidP="00F56D54">
      <w:pPr>
        <w:widowControl/>
        <w:spacing w:line="360" w:lineRule="auto"/>
        <w:ind w:hanging="10"/>
        <w:rPr>
          <w:color w:val="000000"/>
          <w:sz w:val="26"/>
          <w:szCs w:val="26"/>
        </w:rPr>
      </w:pPr>
    </w:p>
    <w:p w14:paraId="6C992B04" w14:textId="3D98A7B8" w:rsidR="00AA3D38" w:rsidRPr="00F56D54" w:rsidRDefault="009519CE" w:rsidP="00784196">
      <w:pPr>
        <w:widowControl/>
        <w:spacing w:line="360" w:lineRule="auto"/>
        <w:ind w:firstLine="1440"/>
        <w:rPr>
          <w:color w:val="000000"/>
          <w:sz w:val="26"/>
          <w:szCs w:val="26"/>
        </w:rPr>
      </w:pPr>
      <w:r>
        <w:rPr>
          <w:color w:val="000000"/>
          <w:sz w:val="26"/>
          <w:szCs w:val="26"/>
        </w:rPr>
        <w:t xml:space="preserve">On </w:t>
      </w:r>
      <w:r w:rsidRPr="00F56D54">
        <w:rPr>
          <w:color w:val="000000"/>
          <w:sz w:val="26"/>
          <w:szCs w:val="26"/>
        </w:rPr>
        <w:t>November 3, 2020</w:t>
      </w:r>
      <w:r>
        <w:rPr>
          <w:color w:val="000000"/>
          <w:sz w:val="26"/>
          <w:szCs w:val="26"/>
        </w:rPr>
        <w:t xml:space="preserve">, </w:t>
      </w:r>
      <w:r w:rsidR="00AA3D38" w:rsidRPr="00F56D54">
        <w:rPr>
          <w:color w:val="000000"/>
          <w:sz w:val="26"/>
          <w:szCs w:val="26"/>
        </w:rPr>
        <w:t xml:space="preserve">I&amp;E entered an appearance </w:t>
      </w:r>
      <w:r w:rsidR="008037CE">
        <w:rPr>
          <w:color w:val="000000"/>
          <w:sz w:val="26"/>
          <w:szCs w:val="26"/>
        </w:rPr>
        <w:t>in this proceeding</w:t>
      </w:r>
      <w:r w:rsidR="00AA3D38" w:rsidRPr="00F56D54">
        <w:rPr>
          <w:color w:val="000000"/>
          <w:sz w:val="26"/>
          <w:szCs w:val="26"/>
        </w:rPr>
        <w:t>.  The OCA</w:t>
      </w:r>
      <w:r w:rsidR="000E4E37" w:rsidRPr="00F56D54">
        <w:rPr>
          <w:color w:val="000000"/>
          <w:sz w:val="26"/>
          <w:szCs w:val="26"/>
        </w:rPr>
        <w:t xml:space="preserve"> and </w:t>
      </w:r>
      <w:r w:rsidR="008037CE">
        <w:rPr>
          <w:color w:val="000000"/>
          <w:sz w:val="26"/>
          <w:szCs w:val="26"/>
        </w:rPr>
        <w:t xml:space="preserve">the </w:t>
      </w:r>
      <w:r w:rsidR="00AA3D38" w:rsidRPr="00F56D54">
        <w:rPr>
          <w:color w:val="000000"/>
          <w:sz w:val="26"/>
          <w:szCs w:val="26"/>
        </w:rPr>
        <w:t>OSBA, each filed complaints on November 1</w:t>
      </w:r>
      <w:r w:rsidR="000E4E37" w:rsidRPr="00F56D54">
        <w:rPr>
          <w:color w:val="000000"/>
          <w:sz w:val="26"/>
          <w:szCs w:val="26"/>
        </w:rPr>
        <w:t>6</w:t>
      </w:r>
      <w:r w:rsidR="00AA3D38" w:rsidRPr="00F56D54">
        <w:rPr>
          <w:color w:val="000000"/>
          <w:sz w:val="26"/>
          <w:szCs w:val="26"/>
        </w:rPr>
        <w:t>, and November 1</w:t>
      </w:r>
      <w:r w:rsidR="000E4E37" w:rsidRPr="00F56D54">
        <w:rPr>
          <w:color w:val="000000"/>
          <w:sz w:val="26"/>
          <w:szCs w:val="26"/>
        </w:rPr>
        <w:t>3</w:t>
      </w:r>
      <w:r w:rsidR="00AA3D38" w:rsidRPr="00F56D54">
        <w:rPr>
          <w:color w:val="000000"/>
          <w:sz w:val="26"/>
          <w:szCs w:val="26"/>
        </w:rPr>
        <w:t xml:space="preserve">, 2020, respectively.  Additionally, several ratepayers filed </w:t>
      </w:r>
      <w:r w:rsidR="00F50E63" w:rsidRPr="00F56D54">
        <w:rPr>
          <w:color w:val="000000"/>
          <w:sz w:val="26"/>
          <w:szCs w:val="26"/>
        </w:rPr>
        <w:t>F</w:t>
      </w:r>
      <w:r w:rsidR="00AA3D38" w:rsidRPr="00F56D54">
        <w:rPr>
          <w:color w:val="000000"/>
          <w:sz w:val="26"/>
          <w:szCs w:val="26"/>
        </w:rPr>
        <w:t xml:space="preserve">ormal </w:t>
      </w:r>
      <w:r w:rsidR="00F50E63" w:rsidRPr="00F56D54">
        <w:rPr>
          <w:color w:val="000000"/>
          <w:sz w:val="26"/>
          <w:szCs w:val="26"/>
        </w:rPr>
        <w:t>C</w:t>
      </w:r>
      <w:r w:rsidR="00AA3D38" w:rsidRPr="00F56D54">
        <w:rPr>
          <w:color w:val="000000"/>
          <w:sz w:val="26"/>
          <w:szCs w:val="26"/>
        </w:rPr>
        <w:t xml:space="preserve">omplaints: </w:t>
      </w:r>
      <w:r w:rsidR="003D2323">
        <w:rPr>
          <w:color w:val="000000"/>
          <w:sz w:val="26"/>
          <w:szCs w:val="26"/>
        </w:rPr>
        <w:t xml:space="preserve"> </w:t>
      </w:r>
      <w:r w:rsidR="00AA3D38" w:rsidRPr="00F56D54">
        <w:rPr>
          <w:color w:val="000000"/>
          <w:sz w:val="26"/>
          <w:szCs w:val="26"/>
        </w:rPr>
        <w:t xml:space="preserve">Shelly Saul, Dawn Metzger, Anthony </w:t>
      </w:r>
      <w:proofErr w:type="spellStart"/>
      <w:r w:rsidR="00AA3D38" w:rsidRPr="00F56D54">
        <w:rPr>
          <w:color w:val="000000"/>
          <w:sz w:val="26"/>
          <w:szCs w:val="26"/>
        </w:rPr>
        <w:t>Pinkala</w:t>
      </w:r>
      <w:proofErr w:type="spellEnd"/>
      <w:r w:rsidR="00AA3D38" w:rsidRPr="00F56D54">
        <w:rPr>
          <w:color w:val="000000"/>
          <w:sz w:val="26"/>
          <w:szCs w:val="26"/>
        </w:rPr>
        <w:t xml:space="preserve">, William H. </w:t>
      </w:r>
      <w:proofErr w:type="spellStart"/>
      <w:r w:rsidR="00AA3D38" w:rsidRPr="00F56D54">
        <w:rPr>
          <w:color w:val="000000"/>
          <w:sz w:val="26"/>
          <w:szCs w:val="26"/>
        </w:rPr>
        <w:t>Yennie</w:t>
      </w:r>
      <w:proofErr w:type="spellEnd"/>
      <w:r w:rsidR="00AA3D38" w:rsidRPr="00F56D54">
        <w:rPr>
          <w:color w:val="000000"/>
          <w:sz w:val="26"/>
          <w:szCs w:val="26"/>
        </w:rPr>
        <w:t xml:space="preserve"> III, John W. Dalton, Jr., Charles </w:t>
      </w:r>
      <w:proofErr w:type="spellStart"/>
      <w:r w:rsidR="00AA3D38" w:rsidRPr="00F56D54">
        <w:rPr>
          <w:color w:val="000000"/>
          <w:sz w:val="26"/>
          <w:szCs w:val="26"/>
        </w:rPr>
        <w:t>Gillinder</w:t>
      </w:r>
      <w:proofErr w:type="spellEnd"/>
      <w:r w:rsidR="00AA3D38" w:rsidRPr="00F56D54">
        <w:rPr>
          <w:color w:val="000000"/>
          <w:sz w:val="26"/>
          <w:szCs w:val="26"/>
        </w:rPr>
        <w:t xml:space="preserve">, Carol </w:t>
      </w:r>
      <w:proofErr w:type="spellStart"/>
      <w:r w:rsidR="00AA3D38" w:rsidRPr="00F56D54">
        <w:rPr>
          <w:color w:val="000000"/>
          <w:sz w:val="26"/>
          <w:szCs w:val="26"/>
        </w:rPr>
        <w:t>Losee</w:t>
      </w:r>
      <w:proofErr w:type="spellEnd"/>
      <w:r w:rsidR="00AA3D38" w:rsidRPr="00F56D54">
        <w:rPr>
          <w:color w:val="000000"/>
          <w:sz w:val="26"/>
          <w:szCs w:val="26"/>
        </w:rPr>
        <w:t xml:space="preserve">, Marla J. Hulse, and Candace Howard. </w:t>
      </w:r>
    </w:p>
    <w:p w14:paraId="4B141AFC" w14:textId="77777777" w:rsidR="00AA3D38" w:rsidRPr="00F56D54" w:rsidRDefault="00AA3D38" w:rsidP="00F56D54">
      <w:pPr>
        <w:widowControl/>
        <w:spacing w:line="360" w:lineRule="auto"/>
        <w:rPr>
          <w:color w:val="000000"/>
          <w:sz w:val="26"/>
          <w:szCs w:val="26"/>
        </w:rPr>
      </w:pPr>
      <w:r w:rsidRPr="00F56D54">
        <w:rPr>
          <w:color w:val="000000"/>
          <w:sz w:val="26"/>
          <w:szCs w:val="26"/>
        </w:rPr>
        <w:t xml:space="preserve"> </w:t>
      </w:r>
    </w:p>
    <w:p w14:paraId="2EF823F3" w14:textId="0CAECBA7" w:rsidR="00AA3D38" w:rsidRPr="00F56D54" w:rsidRDefault="00AA3D38" w:rsidP="0072354C">
      <w:pPr>
        <w:widowControl/>
        <w:tabs>
          <w:tab w:val="center" w:pos="720"/>
          <w:tab w:val="center" w:pos="5173"/>
        </w:tabs>
        <w:spacing w:line="360" w:lineRule="auto"/>
        <w:rPr>
          <w:color w:val="000000"/>
          <w:sz w:val="26"/>
          <w:szCs w:val="26"/>
        </w:rPr>
      </w:pPr>
      <w:r w:rsidRPr="00F56D54">
        <w:rPr>
          <w:rFonts w:eastAsia="Calibri"/>
          <w:color w:val="000000"/>
          <w:sz w:val="26"/>
          <w:szCs w:val="26"/>
        </w:rPr>
        <w:tab/>
      </w:r>
      <w:r w:rsidRPr="00F56D54">
        <w:rPr>
          <w:color w:val="000000"/>
          <w:sz w:val="26"/>
          <w:szCs w:val="26"/>
        </w:rPr>
        <w:tab/>
        <w:t xml:space="preserve">By order entered December 17, 2020, the Commission suspended the Electric </w:t>
      </w:r>
      <w:r w:rsidR="00C26939" w:rsidRPr="00F56D54">
        <w:rPr>
          <w:color w:val="000000"/>
          <w:sz w:val="26"/>
          <w:szCs w:val="26"/>
        </w:rPr>
        <w:t xml:space="preserve">Filing </w:t>
      </w:r>
      <w:r w:rsidR="00C26939">
        <w:rPr>
          <w:color w:val="000000"/>
          <w:sz w:val="26"/>
          <w:szCs w:val="26"/>
        </w:rPr>
        <w:t>until</w:t>
      </w:r>
      <w:r w:rsidRPr="00F56D54">
        <w:rPr>
          <w:color w:val="000000"/>
          <w:sz w:val="26"/>
          <w:szCs w:val="26"/>
        </w:rPr>
        <w:t xml:space="preserve"> July 28, 2021, and instituted an investigation to determine the lawfulness, justness and reasonableness of the rates rules and regulations contained in </w:t>
      </w:r>
      <w:r w:rsidR="00833E3A">
        <w:rPr>
          <w:color w:val="000000"/>
          <w:sz w:val="26"/>
          <w:szCs w:val="26"/>
        </w:rPr>
        <w:t>PCL</w:t>
      </w:r>
      <w:r w:rsidR="006477D5">
        <w:rPr>
          <w:color w:val="000000"/>
          <w:sz w:val="26"/>
          <w:szCs w:val="26"/>
        </w:rPr>
        <w:t xml:space="preserve">PC’s Tariff No. 8. </w:t>
      </w:r>
      <w:r w:rsidRPr="00F56D54">
        <w:rPr>
          <w:color w:val="000000"/>
          <w:sz w:val="26"/>
          <w:szCs w:val="26"/>
        </w:rPr>
        <w:t xml:space="preserve"> </w:t>
      </w:r>
    </w:p>
    <w:p w14:paraId="046CECBD" w14:textId="61C2AF2D" w:rsidR="00AA3D38" w:rsidRPr="00F56D54" w:rsidRDefault="00AA3D38" w:rsidP="00F56D54">
      <w:pPr>
        <w:widowControl/>
        <w:spacing w:line="360" w:lineRule="auto"/>
        <w:ind w:hanging="10"/>
        <w:rPr>
          <w:color w:val="000000"/>
          <w:sz w:val="26"/>
          <w:szCs w:val="26"/>
        </w:rPr>
      </w:pPr>
    </w:p>
    <w:p w14:paraId="04073583" w14:textId="557CF829" w:rsidR="00A12790" w:rsidRPr="00F56D54" w:rsidRDefault="00A12790" w:rsidP="00784196">
      <w:pPr>
        <w:widowControl/>
        <w:spacing w:line="360" w:lineRule="auto"/>
        <w:ind w:firstLine="1440"/>
        <w:rPr>
          <w:color w:val="000000"/>
          <w:sz w:val="26"/>
          <w:szCs w:val="26"/>
        </w:rPr>
      </w:pPr>
      <w:r w:rsidRPr="00F56D54">
        <w:rPr>
          <w:color w:val="000000"/>
          <w:sz w:val="26"/>
          <w:szCs w:val="26"/>
        </w:rPr>
        <w:t xml:space="preserve">By hearing notice dated December 18, 2020, the filings were assigned to </w:t>
      </w:r>
      <w:r w:rsidR="00383C9D" w:rsidRPr="00F56D54">
        <w:rPr>
          <w:color w:val="000000"/>
          <w:sz w:val="26"/>
          <w:szCs w:val="26"/>
        </w:rPr>
        <w:t>ALJ L</w:t>
      </w:r>
      <w:r w:rsidR="007A2F53" w:rsidRPr="00F56D54">
        <w:rPr>
          <w:color w:val="000000"/>
          <w:sz w:val="26"/>
          <w:szCs w:val="26"/>
        </w:rPr>
        <w:t xml:space="preserve">ong </w:t>
      </w:r>
      <w:r w:rsidRPr="00F56D54">
        <w:rPr>
          <w:color w:val="000000"/>
          <w:sz w:val="26"/>
          <w:szCs w:val="26"/>
        </w:rPr>
        <w:t xml:space="preserve">and a prehearing conference was scheduled for January 11, 2021. </w:t>
      </w:r>
      <w:r w:rsidR="00E13884">
        <w:rPr>
          <w:color w:val="000000"/>
          <w:sz w:val="26"/>
          <w:szCs w:val="26"/>
        </w:rPr>
        <w:t xml:space="preserve"> </w:t>
      </w:r>
      <w:r w:rsidRPr="00F56D54">
        <w:rPr>
          <w:color w:val="000000"/>
          <w:sz w:val="26"/>
          <w:szCs w:val="26"/>
        </w:rPr>
        <w:t>The prehearing conference convened as scheduled.  Counsel for PCLP</w:t>
      </w:r>
      <w:r w:rsidR="006477D5">
        <w:rPr>
          <w:color w:val="000000"/>
          <w:sz w:val="26"/>
          <w:szCs w:val="26"/>
        </w:rPr>
        <w:t>C</w:t>
      </w:r>
      <w:r w:rsidRPr="00F56D54">
        <w:rPr>
          <w:color w:val="000000"/>
          <w:sz w:val="26"/>
          <w:szCs w:val="26"/>
        </w:rPr>
        <w:t xml:space="preserve">, I&amp;E, OCA and </w:t>
      </w:r>
      <w:r w:rsidRPr="00F56D54">
        <w:rPr>
          <w:color w:val="000000"/>
          <w:sz w:val="26"/>
          <w:szCs w:val="26"/>
        </w:rPr>
        <w:lastRenderedPageBreak/>
        <w:t xml:space="preserve">OSBA appeared.  Additionally, three of the ratepayer complainants, Charles </w:t>
      </w:r>
      <w:proofErr w:type="spellStart"/>
      <w:r w:rsidRPr="00F56D54">
        <w:rPr>
          <w:color w:val="000000"/>
          <w:sz w:val="26"/>
          <w:szCs w:val="26"/>
        </w:rPr>
        <w:t>Gillinder</w:t>
      </w:r>
      <w:proofErr w:type="spellEnd"/>
      <w:r w:rsidRPr="00F56D54">
        <w:rPr>
          <w:color w:val="000000"/>
          <w:sz w:val="26"/>
          <w:szCs w:val="26"/>
        </w:rPr>
        <w:t xml:space="preserve">, John Dalton, and Shelly Saul, appeared and participated.  The </w:t>
      </w:r>
      <w:r w:rsidR="005D4A8F">
        <w:rPr>
          <w:color w:val="000000"/>
          <w:sz w:val="26"/>
          <w:szCs w:val="26"/>
        </w:rPr>
        <w:t>P</w:t>
      </w:r>
      <w:r w:rsidRPr="00F56D54">
        <w:rPr>
          <w:color w:val="000000"/>
          <w:sz w:val="26"/>
          <w:szCs w:val="26"/>
        </w:rPr>
        <w:t xml:space="preserve">arties agreed to a schedule for the filing of written testimony.  Evidentiary hearings were scheduled to begin on March 9, 2021, by telephone.  </w:t>
      </w:r>
    </w:p>
    <w:p w14:paraId="239CA162" w14:textId="77777777" w:rsidR="00A12790" w:rsidRPr="00F56D54" w:rsidRDefault="00A12790" w:rsidP="00F56D54">
      <w:pPr>
        <w:widowControl/>
        <w:spacing w:line="360" w:lineRule="auto"/>
        <w:rPr>
          <w:color w:val="000000"/>
          <w:sz w:val="26"/>
          <w:szCs w:val="26"/>
        </w:rPr>
      </w:pPr>
      <w:r w:rsidRPr="00F56D54">
        <w:rPr>
          <w:color w:val="000000"/>
          <w:sz w:val="26"/>
          <w:szCs w:val="26"/>
        </w:rPr>
        <w:t xml:space="preserve"> </w:t>
      </w:r>
    </w:p>
    <w:p w14:paraId="4AE7E852" w14:textId="56CE4A5E" w:rsidR="00A12790" w:rsidRPr="00F56D54" w:rsidRDefault="00A12790" w:rsidP="00F56D54">
      <w:pPr>
        <w:widowControl/>
        <w:spacing w:line="360" w:lineRule="auto"/>
        <w:ind w:firstLine="720"/>
        <w:rPr>
          <w:color w:val="000000"/>
          <w:sz w:val="26"/>
          <w:szCs w:val="26"/>
        </w:rPr>
      </w:pPr>
      <w:r w:rsidRPr="00F56D54">
        <w:rPr>
          <w:color w:val="000000"/>
          <w:sz w:val="26"/>
          <w:szCs w:val="26"/>
        </w:rPr>
        <w:tab/>
        <w:t>Two public input hearings were also scheduled for February 8, 2021</w:t>
      </w:r>
      <w:r w:rsidR="002B068E" w:rsidRPr="00F56D54">
        <w:rPr>
          <w:color w:val="000000"/>
          <w:sz w:val="26"/>
          <w:szCs w:val="26"/>
        </w:rPr>
        <w:t>,</w:t>
      </w:r>
      <w:r w:rsidRPr="00F56D54">
        <w:rPr>
          <w:color w:val="000000"/>
          <w:sz w:val="26"/>
          <w:szCs w:val="26"/>
        </w:rPr>
        <w:t xml:space="preserve"> and were conducted by telephone at 1:00 p.m. and 6:00 p.m.  Fifteen witnesses testified at the 1:00 p.m. hearing and ten witnesses testified at the 6:00 p.m. hearing</w:t>
      </w:r>
      <w:r w:rsidR="00770B36">
        <w:rPr>
          <w:color w:val="000000"/>
          <w:sz w:val="26"/>
          <w:szCs w:val="26"/>
        </w:rPr>
        <w:t>.</w:t>
      </w:r>
      <w:r w:rsidR="00AA2732" w:rsidRPr="00F56D54">
        <w:rPr>
          <w:rStyle w:val="FootnoteReference"/>
          <w:color w:val="000000"/>
          <w:sz w:val="26"/>
          <w:szCs w:val="26"/>
        </w:rPr>
        <w:footnoteReference w:id="7"/>
      </w:r>
    </w:p>
    <w:p w14:paraId="3DC862B6" w14:textId="4307D476" w:rsidR="00A12790" w:rsidRPr="00F56D54" w:rsidRDefault="00A12790" w:rsidP="00F56D54">
      <w:pPr>
        <w:widowControl/>
        <w:spacing w:line="360" w:lineRule="auto"/>
        <w:rPr>
          <w:color w:val="000000"/>
          <w:sz w:val="26"/>
          <w:szCs w:val="26"/>
        </w:rPr>
      </w:pPr>
    </w:p>
    <w:p w14:paraId="4B7FC08D" w14:textId="2FA61D31" w:rsidR="00A12790" w:rsidRPr="00F56D54" w:rsidRDefault="00A12790" w:rsidP="00F56D54">
      <w:pPr>
        <w:widowControl/>
        <w:spacing w:line="360" w:lineRule="auto"/>
        <w:ind w:firstLine="1440"/>
        <w:rPr>
          <w:color w:val="000000"/>
          <w:sz w:val="26"/>
          <w:szCs w:val="26"/>
        </w:rPr>
      </w:pPr>
      <w:r w:rsidRPr="00F56D54">
        <w:rPr>
          <w:color w:val="000000"/>
          <w:sz w:val="26"/>
          <w:szCs w:val="26"/>
        </w:rPr>
        <w:t xml:space="preserve">By email dated March 5, 2021, the Active Parties notified </w:t>
      </w:r>
      <w:r w:rsidR="00DD32C8" w:rsidRPr="00F56D54">
        <w:rPr>
          <w:color w:val="000000"/>
          <w:sz w:val="26"/>
          <w:szCs w:val="26"/>
        </w:rPr>
        <w:t xml:space="preserve">ALJ Long </w:t>
      </w:r>
      <w:r w:rsidRPr="00F56D54">
        <w:rPr>
          <w:color w:val="000000"/>
          <w:sz w:val="26"/>
          <w:szCs w:val="26"/>
        </w:rPr>
        <w:t>that they had reached an agreement in principle to resolve the issues raised in the Electric Filing and had agreed to waive cross examination of all witnesses.  The hearings were cancelled, and the Active Parties filed a Joint Stipulation for Admission of Testimony and Exhibits into the Evidentiary Record on March 12, 2021.  The motion was granted by Interim Order dated March 15, 2021, and the</w:t>
      </w:r>
      <w:r w:rsidR="006154EE">
        <w:rPr>
          <w:color w:val="000000"/>
          <w:sz w:val="26"/>
          <w:szCs w:val="26"/>
        </w:rPr>
        <w:t xml:space="preserve"> Active Parties</w:t>
      </w:r>
      <w:r w:rsidRPr="00F56D54">
        <w:rPr>
          <w:color w:val="000000"/>
          <w:sz w:val="26"/>
          <w:szCs w:val="26"/>
        </w:rPr>
        <w:t xml:space="preserve"> were directed to file the admitted testimony and exhibits with the Secretary’s Bureau as provided by 52 Pa.</w:t>
      </w:r>
      <w:r w:rsidR="00DB34C3">
        <w:rPr>
          <w:color w:val="000000"/>
          <w:sz w:val="26"/>
          <w:szCs w:val="26"/>
        </w:rPr>
        <w:t xml:space="preserve"> </w:t>
      </w:r>
      <w:r w:rsidRPr="00F56D54">
        <w:rPr>
          <w:color w:val="000000"/>
          <w:sz w:val="26"/>
          <w:szCs w:val="26"/>
        </w:rPr>
        <w:t>Code §</w:t>
      </w:r>
      <w:r w:rsidR="006B6AF4">
        <w:rPr>
          <w:color w:val="000000"/>
          <w:sz w:val="26"/>
          <w:szCs w:val="26"/>
        </w:rPr>
        <w:t> </w:t>
      </w:r>
      <w:r w:rsidRPr="00F56D54">
        <w:rPr>
          <w:color w:val="000000"/>
          <w:sz w:val="26"/>
          <w:szCs w:val="26"/>
        </w:rPr>
        <w:t xml:space="preserve">5.412. </w:t>
      </w:r>
    </w:p>
    <w:p w14:paraId="7F0AB24B" w14:textId="6F4EA1BD" w:rsidR="00A12790" w:rsidRPr="00F56D54" w:rsidRDefault="00A12790" w:rsidP="00F56D54">
      <w:pPr>
        <w:widowControl/>
        <w:spacing w:line="360" w:lineRule="auto"/>
        <w:rPr>
          <w:color w:val="000000"/>
          <w:sz w:val="26"/>
          <w:szCs w:val="26"/>
        </w:rPr>
      </w:pPr>
    </w:p>
    <w:p w14:paraId="5866D59D" w14:textId="6F7BA384" w:rsidR="00A12790" w:rsidRDefault="00F9759B" w:rsidP="00F56D54">
      <w:pPr>
        <w:widowControl/>
        <w:spacing w:line="360" w:lineRule="auto"/>
        <w:ind w:firstLine="1440"/>
        <w:rPr>
          <w:color w:val="000000"/>
          <w:sz w:val="26"/>
          <w:szCs w:val="26"/>
        </w:rPr>
      </w:pPr>
      <w:r w:rsidRPr="00F56D54">
        <w:rPr>
          <w:color w:val="000000"/>
          <w:sz w:val="26"/>
          <w:szCs w:val="26"/>
        </w:rPr>
        <w:t>By March</w:t>
      </w:r>
      <w:r w:rsidR="00A12790" w:rsidRPr="00F56D54">
        <w:rPr>
          <w:color w:val="000000"/>
          <w:sz w:val="26"/>
          <w:szCs w:val="26"/>
        </w:rPr>
        <w:t xml:space="preserve"> 10, 2021</w:t>
      </w:r>
      <w:r w:rsidR="006B6AF4">
        <w:rPr>
          <w:color w:val="000000"/>
          <w:sz w:val="26"/>
          <w:szCs w:val="26"/>
        </w:rPr>
        <w:t>,</w:t>
      </w:r>
      <w:r w:rsidRPr="00F56D54">
        <w:rPr>
          <w:color w:val="000000"/>
          <w:sz w:val="26"/>
          <w:szCs w:val="26"/>
        </w:rPr>
        <w:t xml:space="preserve"> Interim Order, </w:t>
      </w:r>
      <w:r w:rsidR="0022138A" w:rsidRPr="00F56D54">
        <w:rPr>
          <w:color w:val="000000"/>
          <w:sz w:val="26"/>
          <w:szCs w:val="26"/>
        </w:rPr>
        <w:t>the Active Parties were instructed to</w:t>
      </w:r>
      <w:r w:rsidR="00A12790" w:rsidRPr="00F56D54">
        <w:rPr>
          <w:color w:val="000000"/>
          <w:sz w:val="26"/>
          <w:szCs w:val="26"/>
        </w:rPr>
        <w:t xml:space="preserve"> file a joint stipulation for settlement along with statements in support by April 9, 2021.  That order also directed the remaining parties to file comments, if any, on or before April</w:t>
      </w:r>
      <w:r w:rsidR="00F23308">
        <w:rPr>
          <w:color w:val="000000"/>
          <w:sz w:val="26"/>
          <w:szCs w:val="26"/>
        </w:rPr>
        <w:t> </w:t>
      </w:r>
      <w:r w:rsidR="00A12790" w:rsidRPr="00F56D54">
        <w:rPr>
          <w:color w:val="000000"/>
          <w:sz w:val="26"/>
          <w:szCs w:val="26"/>
        </w:rPr>
        <w:t>19,</w:t>
      </w:r>
      <w:r w:rsidR="00F23308">
        <w:rPr>
          <w:color w:val="000000"/>
          <w:sz w:val="26"/>
          <w:szCs w:val="26"/>
        </w:rPr>
        <w:t> </w:t>
      </w:r>
      <w:r w:rsidR="00A12790" w:rsidRPr="00F56D54">
        <w:rPr>
          <w:color w:val="000000"/>
          <w:sz w:val="26"/>
          <w:szCs w:val="26"/>
        </w:rPr>
        <w:t xml:space="preserve">2021.  </w:t>
      </w:r>
    </w:p>
    <w:p w14:paraId="753CF004" w14:textId="77777777" w:rsidR="00F23308" w:rsidRPr="00F56D54" w:rsidRDefault="00F23308" w:rsidP="00F56D54">
      <w:pPr>
        <w:widowControl/>
        <w:spacing w:line="360" w:lineRule="auto"/>
        <w:ind w:firstLine="1440"/>
        <w:rPr>
          <w:color w:val="000000"/>
          <w:sz w:val="26"/>
          <w:szCs w:val="26"/>
        </w:rPr>
      </w:pPr>
    </w:p>
    <w:p w14:paraId="1FD99B10" w14:textId="1E6E8451" w:rsidR="00A12790" w:rsidRPr="00F56D54" w:rsidRDefault="00A12790" w:rsidP="00FD7BE9">
      <w:pPr>
        <w:widowControl/>
        <w:spacing w:line="360" w:lineRule="auto"/>
        <w:ind w:firstLine="1440"/>
        <w:rPr>
          <w:color w:val="000000"/>
          <w:sz w:val="26"/>
          <w:szCs w:val="26"/>
        </w:rPr>
      </w:pPr>
      <w:r w:rsidRPr="00F56D54">
        <w:rPr>
          <w:color w:val="000000"/>
          <w:sz w:val="26"/>
          <w:szCs w:val="26"/>
        </w:rPr>
        <w:lastRenderedPageBreak/>
        <w:t xml:space="preserve">By email dated March 29, 2021, the Active Parties notified </w:t>
      </w:r>
      <w:r w:rsidR="00B03C85" w:rsidRPr="00F56D54">
        <w:rPr>
          <w:color w:val="000000"/>
          <w:sz w:val="26"/>
          <w:szCs w:val="26"/>
        </w:rPr>
        <w:t xml:space="preserve">ALJ Long </w:t>
      </w:r>
      <w:r w:rsidRPr="00F56D54">
        <w:rPr>
          <w:color w:val="000000"/>
          <w:sz w:val="26"/>
          <w:szCs w:val="26"/>
        </w:rPr>
        <w:t xml:space="preserve">that they had failed to reach a </w:t>
      </w:r>
      <w:r w:rsidR="00F907DC" w:rsidRPr="00F56D54">
        <w:rPr>
          <w:color w:val="000000"/>
          <w:sz w:val="26"/>
          <w:szCs w:val="26"/>
        </w:rPr>
        <w:t xml:space="preserve">unanimous </w:t>
      </w:r>
      <w:r w:rsidRPr="00F56D54">
        <w:rPr>
          <w:color w:val="000000"/>
          <w:sz w:val="26"/>
          <w:szCs w:val="26"/>
        </w:rPr>
        <w:t>resolution of the</w:t>
      </w:r>
      <w:r w:rsidR="00F907DC" w:rsidRPr="00F56D54">
        <w:rPr>
          <w:color w:val="000000"/>
          <w:sz w:val="26"/>
          <w:szCs w:val="26"/>
        </w:rPr>
        <w:t xml:space="preserve"> issue of</w:t>
      </w:r>
      <w:r w:rsidRPr="00F56D54">
        <w:rPr>
          <w:color w:val="000000"/>
          <w:sz w:val="26"/>
          <w:szCs w:val="26"/>
        </w:rPr>
        <w:t xml:space="preserve"> allocation of revenue </w:t>
      </w:r>
      <w:r w:rsidR="009774F8" w:rsidRPr="00F56D54">
        <w:rPr>
          <w:color w:val="000000"/>
          <w:sz w:val="26"/>
          <w:szCs w:val="26"/>
        </w:rPr>
        <w:t xml:space="preserve">among customer classes </w:t>
      </w:r>
      <w:r w:rsidRPr="00F56D54">
        <w:rPr>
          <w:color w:val="000000"/>
          <w:sz w:val="26"/>
          <w:szCs w:val="26"/>
        </w:rPr>
        <w:t xml:space="preserve">and requested leave to file main briefs on April 5, 2021.  </w:t>
      </w:r>
    </w:p>
    <w:p w14:paraId="7A1E727A" w14:textId="369FBEDB" w:rsidR="00A12790" w:rsidRPr="00F56D54" w:rsidRDefault="00A12790" w:rsidP="00F56D54">
      <w:pPr>
        <w:widowControl/>
        <w:spacing w:line="360" w:lineRule="auto"/>
        <w:rPr>
          <w:color w:val="000000"/>
          <w:sz w:val="26"/>
          <w:szCs w:val="26"/>
        </w:rPr>
      </w:pPr>
    </w:p>
    <w:p w14:paraId="7D1A9EF7" w14:textId="1D441D88" w:rsidR="00A12790" w:rsidRPr="00F56D54" w:rsidRDefault="00A12790" w:rsidP="00F56D54">
      <w:pPr>
        <w:widowControl/>
        <w:spacing w:line="360" w:lineRule="auto"/>
        <w:ind w:left="-14" w:firstLine="1440"/>
        <w:rPr>
          <w:color w:val="000000"/>
          <w:sz w:val="26"/>
          <w:szCs w:val="26"/>
        </w:rPr>
      </w:pPr>
      <w:r w:rsidRPr="00F56D54">
        <w:rPr>
          <w:color w:val="000000"/>
          <w:sz w:val="26"/>
          <w:szCs w:val="26"/>
        </w:rPr>
        <w:t xml:space="preserve">By Interim Order entered March 29, 2021, the </w:t>
      </w:r>
      <w:r w:rsidR="001E17F1">
        <w:rPr>
          <w:color w:val="000000"/>
          <w:sz w:val="26"/>
          <w:szCs w:val="26"/>
        </w:rPr>
        <w:t>P</w:t>
      </w:r>
      <w:r w:rsidRPr="00F56D54">
        <w:rPr>
          <w:color w:val="000000"/>
          <w:sz w:val="26"/>
          <w:szCs w:val="26"/>
        </w:rPr>
        <w:t>arties were granted leave to file main briefs by noon on April 5, 2021.  Reply briefs were due by April 9, 2021.</w:t>
      </w:r>
      <w:r w:rsidR="00F56D54" w:rsidRPr="00F56D54">
        <w:rPr>
          <w:color w:val="000000"/>
          <w:sz w:val="26"/>
          <w:szCs w:val="26"/>
        </w:rPr>
        <w:t xml:space="preserve">  </w:t>
      </w:r>
      <w:r w:rsidRPr="00F56D54">
        <w:rPr>
          <w:color w:val="000000"/>
          <w:sz w:val="26"/>
          <w:szCs w:val="26"/>
        </w:rPr>
        <w:t xml:space="preserve">Ratepayer complainants were permitted to file comments regarding the litigated issue no later than Wednesday, April 15, 2021.  Comments to the settled issues remained due on April 19, 2021. </w:t>
      </w:r>
    </w:p>
    <w:p w14:paraId="01515242" w14:textId="2969A051" w:rsidR="00A12790" w:rsidRPr="00F56D54" w:rsidRDefault="00A12790" w:rsidP="00F56D54">
      <w:pPr>
        <w:widowControl/>
        <w:spacing w:line="360" w:lineRule="auto"/>
        <w:rPr>
          <w:color w:val="000000"/>
          <w:sz w:val="26"/>
          <w:szCs w:val="26"/>
        </w:rPr>
      </w:pPr>
    </w:p>
    <w:p w14:paraId="27CD7071" w14:textId="4EBA279F" w:rsidR="00A12790" w:rsidRPr="00F56D54" w:rsidRDefault="00A12790" w:rsidP="00F56D54">
      <w:pPr>
        <w:widowControl/>
        <w:spacing w:line="360" w:lineRule="auto"/>
        <w:ind w:firstLine="720"/>
        <w:rPr>
          <w:color w:val="000000"/>
          <w:sz w:val="26"/>
          <w:szCs w:val="26"/>
        </w:rPr>
      </w:pPr>
      <w:r w:rsidRPr="00F56D54">
        <w:rPr>
          <w:color w:val="000000"/>
          <w:sz w:val="26"/>
          <w:szCs w:val="26"/>
        </w:rPr>
        <w:tab/>
        <w:t xml:space="preserve">The Active Parties filed main briefs addressing cost allocation, the allocation of revenue to the various rate classes and rate design on April 5, 2021.  The </w:t>
      </w:r>
      <w:r w:rsidR="006D6848">
        <w:rPr>
          <w:color w:val="000000"/>
          <w:sz w:val="26"/>
          <w:szCs w:val="26"/>
        </w:rPr>
        <w:t>P</w:t>
      </w:r>
      <w:r w:rsidRPr="00F56D54">
        <w:rPr>
          <w:color w:val="000000"/>
          <w:sz w:val="26"/>
          <w:szCs w:val="26"/>
        </w:rPr>
        <w:t xml:space="preserve">arties filed reply briefs on April 9, 2021.  The reply briefs noted that the Active Parties had reached an additional agreement on customer charges for each rate class, which was addressed in the </w:t>
      </w:r>
      <w:r w:rsidR="00320257">
        <w:rPr>
          <w:color w:val="000000"/>
          <w:sz w:val="26"/>
          <w:szCs w:val="26"/>
        </w:rPr>
        <w:t>Revenue Sett</w:t>
      </w:r>
      <w:r w:rsidR="00F70853">
        <w:rPr>
          <w:color w:val="000000"/>
          <w:sz w:val="26"/>
          <w:szCs w:val="26"/>
        </w:rPr>
        <w:t>lement</w:t>
      </w:r>
      <w:r w:rsidRPr="00F56D54">
        <w:rPr>
          <w:color w:val="000000"/>
          <w:sz w:val="26"/>
          <w:szCs w:val="26"/>
        </w:rPr>
        <w:t xml:space="preserve">. </w:t>
      </w:r>
    </w:p>
    <w:p w14:paraId="0F5F56F4" w14:textId="54380536" w:rsidR="00A12790" w:rsidRPr="00F56D54" w:rsidRDefault="00A12790" w:rsidP="00F56D54">
      <w:pPr>
        <w:widowControl/>
        <w:spacing w:line="360" w:lineRule="auto"/>
        <w:rPr>
          <w:color w:val="000000"/>
          <w:sz w:val="26"/>
          <w:szCs w:val="26"/>
        </w:rPr>
      </w:pPr>
    </w:p>
    <w:p w14:paraId="0FB2B59C" w14:textId="18085701" w:rsidR="00EB5BD0" w:rsidRPr="00F56D54" w:rsidRDefault="00A12790" w:rsidP="006764CC">
      <w:pPr>
        <w:widowControl/>
        <w:spacing w:line="360" w:lineRule="auto"/>
        <w:ind w:firstLine="720"/>
        <w:rPr>
          <w:color w:val="000000"/>
          <w:sz w:val="26"/>
          <w:szCs w:val="26"/>
        </w:rPr>
      </w:pPr>
      <w:r w:rsidRPr="00F56D54">
        <w:rPr>
          <w:color w:val="000000"/>
          <w:sz w:val="26"/>
          <w:szCs w:val="26"/>
        </w:rPr>
        <w:tab/>
        <w:t xml:space="preserve">Also on April 9, 2021, </w:t>
      </w:r>
      <w:r w:rsidR="005A42C0">
        <w:rPr>
          <w:color w:val="000000"/>
          <w:sz w:val="26"/>
          <w:szCs w:val="26"/>
        </w:rPr>
        <w:t xml:space="preserve">the Active Parties filed the </w:t>
      </w:r>
      <w:r w:rsidRPr="00F56D54">
        <w:rPr>
          <w:color w:val="000000"/>
          <w:sz w:val="26"/>
          <w:szCs w:val="26"/>
        </w:rPr>
        <w:t xml:space="preserve">Revenue Settlement which included, among other things, the </w:t>
      </w:r>
      <w:r w:rsidR="00001E2B" w:rsidRPr="00F56D54">
        <w:rPr>
          <w:color w:val="000000"/>
          <w:sz w:val="26"/>
          <w:szCs w:val="26"/>
        </w:rPr>
        <w:t xml:space="preserve">unanimous </w:t>
      </w:r>
      <w:r w:rsidRPr="00F56D54">
        <w:rPr>
          <w:color w:val="000000"/>
          <w:sz w:val="26"/>
          <w:szCs w:val="26"/>
        </w:rPr>
        <w:t xml:space="preserve">Active Parties’ agreement to </w:t>
      </w:r>
      <w:r w:rsidR="00A919C0">
        <w:rPr>
          <w:color w:val="000000"/>
          <w:sz w:val="26"/>
          <w:szCs w:val="26"/>
        </w:rPr>
        <w:t>an annual revenue inc</w:t>
      </w:r>
      <w:r w:rsidRPr="00F56D54">
        <w:rPr>
          <w:color w:val="000000"/>
          <w:sz w:val="26"/>
          <w:szCs w:val="26"/>
        </w:rPr>
        <w:t xml:space="preserve">rease </w:t>
      </w:r>
      <w:r w:rsidR="0083612C">
        <w:rPr>
          <w:color w:val="000000"/>
          <w:sz w:val="26"/>
          <w:szCs w:val="26"/>
        </w:rPr>
        <w:t xml:space="preserve">of </w:t>
      </w:r>
      <w:r w:rsidRPr="00F56D54">
        <w:rPr>
          <w:color w:val="000000"/>
          <w:sz w:val="26"/>
          <w:szCs w:val="26"/>
        </w:rPr>
        <w:t>$1.4 million.  The Active Parties also stated that they had agreed to customer charges</w:t>
      </w:r>
      <w:r w:rsidR="0083612C">
        <w:rPr>
          <w:color w:val="000000"/>
          <w:sz w:val="26"/>
          <w:szCs w:val="26"/>
        </w:rPr>
        <w:t xml:space="preserve">.  However, the Active Parties indicated </w:t>
      </w:r>
      <w:r w:rsidRPr="00F56D54">
        <w:rPr>
          <w:color w:val="000000"/>
          <w:sz w:val="26"/>
          <w:szCs w:val="26"/>
        </w:rPr>
        <w:t xml:space="preserve">that the allocation of revenue and remaining elements of rate design remained unresolved.  </w:t>
      </w:r>
    </w:p>
    <w:p w14:paraId="2352BF3C" w14:textId="77777777" w:rsidR="00EB5BD0" w:rsidRPr="00F56D54" w:rsidRDefault="00EB5BD0" w:rsidP="006764CC">
      <w:pPr>
        <w:widowControl/>
        <w:spacing w:line="360" w:lineRule="auto"/>
        <w:rPr>
          <w:color w:val="000000"/>
          <w:sz w:val="26"/>
          <w:szCs w:val="26"/>
        </w:rPr>
      </w:pPr>
    </w:p>
    <w:p w14:paraId="57977A96" w14:textId="09FFD5AC" w:rsidR="00A12790" w:rsidRDefault="00EB5BD0" w:rsidP="006764CC">
      <w:pPr>
        <w:widowControl/>
        <w:spacing w:line="360" w:lineRule="auto"/>
        <w:ind w:firstLine="1440"/>
        <w:rPr>
          <w:color w:val="000000"/>
          <w:sz w:val="26"/>
          <w:szCs w:val="26"/>
        </w:rPr>
      </w:pPr>
      <w:r w:rsidRPr="00F56D54">
        <w:rPr>
          <w:color w:val="000000"/>
          <w:sz w:val="26"/>
          <w:szCs w:val="26"/>
        </w:rPr>
        <w:t xml:space="preserve">Upon review of the filings, the ALJ </w:t>
      </w:r>
      <w:r w:rsidR="00A12790" w:rsidRPr="00F56D54">
        <w:rPr>
          <w:color w:val="000000"/>
          <w:sz w:val="26"/>
          <w:szCs w:val="26"/>
        </w:rPr>
        <w:t>determined that the analysis provided by the Active Parties on revenue allocation and rate design w</w:t>
      </w:r>
      <w:r w:rsidR="00E42D00">
        <w:rPr>
          <w:color w:val="000000"/>
          <w:sz w:val="26"/>
          <w:szCs w:val="26"/>
        </w:rPr>
        <w:t xml:space="preserve">as lacking </w:t>
      </w:r>
      <w:r w:rsidR="00A12790" w:rsidRPr="00F56D54">
        <w:rPr>
          <w:color w:val="000000"/>
          <w:sz w:val="26"/>
          <w:szCs w:val="26"/>
        </w:rPr>
        <w:t xml:space="preserve">and did not provide sufficient evidence regarding the rates that would be produced by each </w:t>
      </w:r>
      <w:r w:rsidR="00856EAE">
        <w:rPr>
          <w:color w:val="000000"/>
          <w:sz w:val="26"/>
          <w:szCs w:val="26"/>
        </w:rPr>
        <w:t>P</w:t>
      </w:r>
      <w:r w:rsidR="00A12790" w:rsidRPr="00F56D54">
        <w:rPr>
          <w:color w:val="000000"/>
          <w:sz w:val="26"/>
          <w:szCs w:val="26"/>
        </w:rPr>
        <w:t xml:space="preserve">arties’ </w:t>
      </w:r>
      <w:r w:rsidR="00E42D00">
        <w:rPr>
          <w:color w:val="000000"/>
          <w:sz w:val="26"/>
          <w:szCs w:val="26"/>
        </w:rPr>
        <w:t xml:space="preserve">respective </w:t>
      </w:r>
      <w:r w:rsidR="00A12790" w:rsidRPr="00F56D54">
        <w:rPr>
          <w:color w:val="000000"/>
          <w:sz w:val="26"/>
          <w:szCs w:val="26"/>
        </w:rPr>
        <w:t xml:space="preserve">position.  </w:t>
      </w:r>
    </w:p>
    <w:p w14:paraId="36B4EF44" w14:textId="77777777" w:rsidR="001135B4" w:rsidRPr="00F56D54" w:rsidRDefault="001135B4" w:rsidP="006764CC">
      <w:pPr>
        <w:widowControl/>
        <w:spacing w:line="360" w:lineRule="auto"/>
        <w:ind w:firstLine="1440"/>
        <w:rPr>
          <w:color w:val="000000"/>
          <w:sz w:val="26"/>
          <w:szCs w:val="26"/>
        </w:rPr>
      </w:pPr>
    </w:p>
    <w:p w14:paraId="56974A61" w14:textId="5C2ADA3B" w:rsidR="00A12790" w:rsidRPr="00F56D54" w:rsidRDefault="00A12790" w:rsidP="006764CC">
      <w:pPr>
        <w:widowControl/>
        <w:spacing w:line="360" w:lineRule="auto"/>
        <w:rPr>
          <w:color w:val="000000"/>
          <w:sz w:val="26"/>
          <w:szCs w:val="26"/>
        </w:rPr>
      </w:pPr>
      <w:r w:rsidRPr="00F56D54">
        <w:rPr>
          <w:color w:val="000000"/>
          <w:sz w:val="26"/>
          <w:szCs w:val="26"/>
        </w:rPr>
        <w:t xml:space="preserve"> </w:t>
      </w:r>
      <w:r w:rsidRPr="00F56D54">
        <w:rPr>
          <w:color w:val="000000"/>
          <w:sz w:val="26"/>
          <w:szCs w:val="26"/>
        </w:rPr>
        <w:tab/>
      </w:r>
      <w:r w:rsidR="0013476B">
        <w:rPr>
          <w:color w:val="000000"/>
          <w:sz w:val="26"/>
          <w:szCs w:val="26"/>
        </w:rPr>
        <w:tab/>
      </w:r>
      <w:r w:rsidRPr="00F56D54">
        <w:rPr>
          <w:color w:val="000000"/>
          <w:sz w:val="26"/>
          <w:szCs w:val="26"/>
        </w:rPr>
        <w:t xml:space="preserve">On April 12, 2021, a conference was held, and the Active Parties were directed to convene a settlement conference and attempt to reach a comprehensive </w:t>
      </w:r>
      <w:r w:rsidRPr="00F56D54">
        <w:rPr>
          <w:color w:val="000000"/>
          <w:sz w:val="26"/>
          <w:szCs w:val="26"/>
        </w:rPr>
        <w:lastRenderedPageBreak/>
        <w:t xml:space="preserve">agreement, to be filed by April 16, 2021.  An Interim Order was issued </w:t>
      </w:r>
      <w:r w:rsidR="00602D4B">
        <w:rPr>
          <w:color w:val="000000"/>
          <w:sz w:val="26"/>
          <w:szCs w:val="26"/>
        </w:rPr>
        <w:t xml:space="preserve">that </w:t>
      </w:r>
      <w:r w:rsidRPr="00F56D54">
        <w:rPr>
          <w:color w:val="000000"/>
          <w:sz w:val="26"/>
          <w:szCs w:val="26"/>
        </w:rPr>
        <w:t xml:space="preserve">extended the deadlines for comments and responsive comments. </w:t>
      </w:r>
    </w:p>
    <w:p w14:paraId="050D49E0" w14:textId="0338C059" w:rsidR="00A12790" w:rsidRPr="00F56D54" w:rsidRDefault="00A12790" w:rsidP="00F56D54">
      <w:pPr>
        <w:widowControl/>
        <w:spacing w:line="360" w:lineRule="auto"/>
        <w:rPr>
          <w:color w:val="000000"/>
          <w:sz w:val="26"/>
          <w:szCs w:val="26"/>
        </w:rPr>
      </w:pPr>
    </w:p>
    <w:p w14:paraId="69D7D9A9" w14:textId="39A93D1F" w:rsidR="00A12790" w:rsidRPr="00F56D54" w:rsidRDefault="00A12790" w:rsidP="00F56D54">
      <w:pPr>
        <w:widowControl/>
        <w:tabs>
          <w:tab w:val="center" w:pos="720"/>
          <w:tab w:val="center" w:pos="5211"/>
        </w:tabs>
        <w:spacing w:line="360" w:lineRule="auto"/>
        <w:ind w:firstLine="1440"/>
        <w:rPr>
          <w:color w:val="000000"/>
          <w:sz w:val="26"/>
          <w:szCs w:val="26"/>
        </w:rPr>
      </w:pPr>
      <w:r w:rsidRPr="00F56D54">
        <w:rPr>
          <w:color w:val="000000"/>
          <w:sz w:val="26"/>
          <w:szCs w:val="26"/>
        </w:rPr>
        <w:t>On April 16, 2021, PCLP</w:t>
      </w:r>
      <w:r w:rsidR="00395E12">
        <w:rPr>
          <w:color w:val="000000"/>
          <w:sz w:val="26"/>
          <w:szCs w:val="26"/>
        </w:rPr>
        <w:t>C</w:t>
      </w:r>
      <w:r w:rsidRPr="00F56D54">
        <w:rPr>
          <w:color w:val="000000"/>
          <w:sz w:val="26"/>
          <w:szCs w:val="26"/>
        </w:rPr>
        <w:t xml:space="preserve">, I&amp;E and </w:t>
      </w:r>
      <w:r w:rsidR="001771D8">
        <w:rPr>
          <w:color w:val="000000"/>
          <w:sz w:val="26"/>
          <w:szCs w:val="26"/>
        </w:rPr>
        <w:t xml:space="preserve">the </w:t>
      </w:r>
      <w:r w:rsidRPr="00F56D54">
        <w:rPr>
          <w:color w:val="000000"/>
          <w:sz w:val="26"/>
          <w:szCs w:val="26"/>
        </w:rPr>
        <w:t xml:space="preserve">OCA filed </w:t>
      </w:r>
      <w:r w:rsidR="00223D8F">
        <w:rPr>
          <w:color w:val="000000"/>
          <w:sz w:val="26"/>
          <w:szCs w:val="26"/>
        </w:rPr>
        <w:t xml:space="preserve">the </w:t>
      </w:r>
      <w:r w:rsidRPr="00F56D54">
        <w:rPr>
          <w:color w:val="000000"/>
          <w:sz w:val="26"/>
          <w:szCs w:val="26"/>
        </w:rPr>
        <w:t xml:space="preserve">Rate Design Settlement, along with statements in support.  Charles </w:t>
      </w:r>
      <w:proofErr w:type="spellStart"/>
      <w:r w:rsidRPr="00F56D54">
        <w:rPr>
          <w:color w:val="000000"/>
          <w:sz w:val="26"/>
          <w:szCs w:val="26"/>
        </w:rPr>
        <w:t>Gillinder</w:t>
      </w:r>
      <w:proofErr w:type="spellEnd"/>
      <w:r w:rsidRPr="00F56D54">
        <w:rPr>
          <w:color w:val="000000"/>
          <w:sz w:val="26"/>
          <w:szCs w:val="26"/>
        </w:rPr>
        <w:t>, by email dated April</w:t>
      </w:r>
      <w:r w:rsidR="006764CC">
        <w:rPr>
          <w:color w:val="000000"/>
          <w:sz w:val="26"/>
          <w:szCs w:val="26"/>
        </w:rPr>
        <w:t> </w:t>
      </w:r>
      <w:r w:rsidRPr="00F56D54">
        <w:rPr>
          <w:color w:val="000000"/>
          <w:sz w:val="26"/>
          <w:szCs w:val="26"/>
        </w:rPr>
        <w:t>18,</w:t>
      </w:r>
      <w:r w:rsidR="006764CC">
        <w:rPr>
          <w:color w:val="000000"/>
          <w:sz w:val="26"/>
          <w:szCs w:val="26"/>
        </w:rPr>
        <w:t> </w:t>
      </w:r>
      <w:r w:rsidRPr="00F56D54">
        <w:rPr>
          <w:color w:val="000000"/>
          <w:sz w:val="26"/>
          <w:szCs w:val="26"/>
        </w:rPr>
        <w:t>2021, opposed the settlements.</w:t>
      </w:r>
      <w:r w:rsidRPr="00F56D54">
        <w:rPr>
          <w:color w:val="000000"/>
          <w:sz w:val="26"/>
          <w:szCs w:val="26"/>
          <w:vertAlign w:val="superscript"/>
        </w:rPr>
        <w:footnoteReference w:id="8"/>
      </w:r>
      <w:r w:rsidRPr="00F56D54">
        <w:rPr>
          <w:color w:val="000000"/>
          <w:sz w:val="26"/>
          <w:szCs w:val="26"/>
        </w:rPr>
        <w:t xml:space="preserve">  </w:t>
      </w:r>
      <w:r w:rsidR="00653355">
        <w:rPr>
          <w:color w:val="000000"/>
          <w:sz w:val="26"/>
          <w:szCs w:val="26"/>
        </w:rPr>
        <w:t xml:space="preserve">The </w:t>
      </w:r>
      <w:r w:rsidRPr="00F56D54">
        <w:rPr>
          <w:color w:val="000000"/>
          <w:sz w:val="26"/>
          <w:szCs w:val="26"/>
        </w:rPr>
        <w:t xml:space="preserve">OSBA, which did not join the </w:t>
      </w:r>
      <w:r w:rsidR="00414410">
        <w:rPr>
          <w:color w:val="000000"/>
          <w:sz w:val="26"/>
          <w:szCs w:val="26"/>
        </w:rPr>
        <w:t>Rate Design S</w:t>
      </w:r>
      <w:r w:rsidRPr="00F56D54">
        <w:rPr>
          <w:color w:val="000000"/>
          <w:sz w:val="26"/>
          <w:szCs w:val="26"/>
        </w:rPr>
        <w:t xml:space="preserve">ettlement, filed comments opposing </w:t>
      </w:r>
      <w:r w:rsidR="00414410">
        <w:rPr>
          <w:color w:val="000000"/>
          <w:sz w:val="26"/>
          <w:szCs w:val="26"/>
        </w:rPr>
        <w:t>it</w:t>
      </w:r>
      <w:r w:rsidRPr="00F56D54">
        <w:rPr>
          <w:color w:val="000000"/>
          <w:sz w:val="26"/>
          <w:szCs w:val="26"/>
        </w:rPr>
        <w:t xml:space="preserve"> on April 20, 2021.  PCLP</w:t>
      </w:r>
      <w:r w:rsidR="00984669">
        <w:rPr>
          <w:color w:val="000000"/>
          <w:sz w:val="26"/>
          <w:szCs w:val="26"/>
        </w:rPr>
        <w:t>C</w:t>
      </w:r>
      <w:r w:rsidRPr="00F56D54">
        <w:rPr>
          <w:color w:val="000000"/>
          <w:sz w:val="26"/>
          <w:szCs w:val="26"/>
        </w:rPr>
        <w:t xml:space="preserve">, I&amp;E and </w:t>
      </w:r>
      <w:r w:rsidR="001771D8">
        <w:rPr>
          <w:color w:val="000000"/>
          <w:sz w:val="26"/>
          <w:szCs w:val="26"/>
        </w:rPr>
        <w:t xml:space="preserve">the </w:t>
      </w:r>
      <w:r w:rsidRPr="00F56D54">
        <w:rPr>
          <w:color w:val="000000"/>
          <w:sz w:val="26"/>
          <w:szCs w:val="26"/>
        </w:rPr>
        <w:t xml:space="preserve">OCA filed responsive comments on April 22, 2021.  </w:t>
      </w:r>
    </w:p>
    <w:p w14:paraId="18C60695" w14:textId="77777777" w:rsidR="00A12790" w:rsidRPr="00F56D54" w:rsidRDefault="00A12790" w:rsidP="00F56D54">
      <w:pPr>
        <w:widowControl/>
        <w:spacing w:line="360" w:lineRule="auto"/>
        <w:rPr>
          <w:color w:val="000000"/>
          <w:sz w:val="26"/>
          <w:szCs w:val="26"/>
        </w:rPr>
      </w:pPr>
      <w:r w:rsidRPr="00F56D54">
        <w:rPr>
          <w:color w:val="000000"/>
          <w:sz w:val="26"/>
          <w:szCs w:val="26"/>
        </w:rPr>
        <w:t xml:space="preserve"> </w:t>
      </w:r>
    </w:p>
    <w:p w14:paraId="7FF741F7" w14:textId="3337DA5E" w:rsidR="00A12790" w:rsidRPr="00F56D54" w:rsidRDefault="00A12790" w:rsidP="00F56D54">
      <w:pPr>
        <w:widowControl/>
        <w:spacing w:line="360" w:lineRule="auto"/>
        <w:rPr>
          <w:color w:val="000000"/>
          <w:sz w:val="26"/>
          <w:szCs w:val="26"/>
        </w:rPr>
      </w:pPr>
      <w:r w:rsidRPr="00F56D54">
        <w:rPr>
          <w:rFonts w:eastAsia="Calibri"/>
          <w:color w:val="000000"/>
          <w:sz w:val="26"/>
          <w:szCs w:val="26"/>
        </w:rPr>
        <w:tab/>
      </w:r>
      <w:r w:rsidRPr="00F56D54">
        <w:rPr>
          <w:color w:val="000000"/>
          <w:sz w:val="26"/>
          <w:szCs w:val="26"/>
        </w:rPr>
        <w:tab/>
        <w:t xml:space="preserve">The record closed on April 23, 2021. </w:t>
      </w:r>
    </w:p>
    <w:p w14:paraId="2A44B360" w14:textId="77777777" w:rsidR="005E1055" w:rsidRPr="00F56D54" w:rsidRDefault="005E1055" w:rsidP="00F56D54">
      <w:pPr>
        <w:widowControl/>
        <w:spacing w:line="360" w:lineRule="auto"/>
        <w:ind w:hanging="10"/>
        <w:rPr>
          <w:color w:val="000000"/>
          <w:sz w:val="26"/>
          <w:szCs w:val="26"/>
        </w:rPr>
      </w:pPr>
    </w:p>
    <w:p w14:paraId="2C5664A2" w14:textId="6F4FE0D9" w:rsidR="00A47804" w:rsidRPr="00F56D54" w:rsidRDefault="007B62A9" w:rsidP="00F56D54">
      <w:pPr>
        <w:widowControl/>
        <w:spacing w:line="360" w:lineRule="auto"/>
        <w:ind w:firstLine="1440"/>
        <w:rPr>
          <w:sz w:val="26"/>
          <w:szCs w:val="26"/>
        </w:rPr>
      </w:pPr>
      <w:r w:rsidRPr="00F56D54">
        <w:rPr>
          <w:sz w:val="26"/>
          <w:szCs w:val="26"/>
        </w:rPr>
        <w:t>In the Recommended Decision, issued on</w:t>
      </w:r>
      <w:r w:rsidR="00004CAD" w:rsidRPr="00F56D54">
        <w:rPr>
          <w:sz w:val="26"/>
          <w:szCs w:val="26"/>
        </w:rPr>
        <w:t xml:space="preserve"> May 5, 2021</w:t>
      </w:r>
      <w:r w:rsidR="00292FC9" w:rsidRPr="00F56D54">
        <w:rPr>
          <w:sz w:val="26"/>
          <w:szCs w:val="26"/>
        </w:rPr>
        <w:t>,</w:t>
      </w:r>
      <w:r w:rsidRPr="00F56D54">
        <w:rPr>
          <w:sz w:val="26"/>
          <w:szCs w:val="26"/>
        </w:rPr>
        <w:t xml:space="preserve"> ALJ </w:t>
      </w:r>
      <w:r w:rsidR="00AE393A" w:rsidRPr="00F56D54">
        <w:rPr>
          <w:sz w:val="26"/>
          <w:szCs w:val="26"/>
        </w:rPr>
        <w:t>Long</w:t>
      </w:r>
      <w:r w:rsidRPr="00F56D54">
        <w:rPr>
          <w:sz w:val="26"/>
          <w:szCs w:val="26"/>
        </w:rPr>
        <w:t xml:space="preserve"> recommended </w:t>
      </w:r>
      <w:r w:rsidR="00827BC5" w:rsidRPr="00F56D54">
        <w:rPr>
          <w:sz w:val="26"/>
          <w:szCs w:val="26"/>
        </w:rPr>
        <w:t xml:space="preserve">approval of </w:t>
      </w:r>
      <w:r w:rsidR="00AE393A" w:rsidRPr="00F56D54">
        <w:rPr>
          <w:sz w:val="26"/>
          <w:szCs w:val="26"/>
        </w:rPr>
        <w:t>both the Revenue Settlement and the Rate Design</w:t>
      </w:r>
      <w:r w:rsidR="00827BC5" w:rsidRPr="00F56D54">
        <w:rPr>
          <w:sz w:val="26"/>
          <w:szCs w:val="26"/>
        </w:rPr>
        <w:t xml:space="preserve"> Settlement, without modification, finding that </w:t>
      </w:r>
      <w:r w:rsidR="00254F2A" w:rsidRPr="00F56D54">
        <w:rPr>
          <w:sz w:val="26"/>
          <w:szCs w:val="26"/>
        </w:rPr>
        <w:t>each was</w:t>
      </w:r>
      <w:r w:rsidR="00827BC5" w:rsidRPr="00F56D54">
        <w:rPr>
          <w:sz w:val="26"/>
          <w:szCs w:val="26"/>
        </w:rPr>
        <w:t xml:space="preserve"> supported by substantial evidence </w:t>
      </w:r>
      <w:r w:rsidR="00F56D54" w:rsidRPr="00F56D54">
        <w:rPr>
          <w:sz w:val="26"/>
          <w:szCs w:val="26"/>
        </w:rPr>
        <w:t>and in</w:t>
      </w:r>
      <w:r w:rsidR="00827BC5" w:rsidRPr="00F56D54">
        <w:rPr>
          <w:sz w:val="26"/>
          <w:szCs w:val="26"/>
        </w:rPr>
        <w:t xml:space="preserve"> the public interest</w:t>
      </w:r>
      <w:r w:rsidR="00001E2B" w:rsidRPr="00F56D54">
        <w:rPr>
          <w:sz w:val="26"/>
          <w:szCs w:val="26"/>
        </w:rPr>
        <w:t xml:space="preserve">, and that together </w:t>
      </w:r>
      <w:r w:rsidR="00DF790D" w:rsidRPr="00F56D54">
        <w:rPr>
          <w:sz w:val="26"/>
          <w:szCs w:val="26"/>
        </w:rPr>
        <w:t xml:space="preserve">the Settlements </w:t>
      </w:r>
      <w:r w:rsidR="00001E2B" w:rsidRPr="00F56D54">
        <w:rPr>
          <w:sz w:val="26"/>
          <w:szCs w:val="26"/>
        </w:rPr>
        <w:t>result in just and reasonable rates</w:t>
      </w:r>
      <w:r w:rsidR="00314C99" w:rsidRPr="00F56D54">
        <w:rPr>
          <w:sz w:val="26"/>
          <w:szCs w:val="26"/>
        </w:rPr>
        <w:t xml:space="preserve"> for P</w:t>
      </w:r>
      <w:r w:rsidR="00DF790D" w:rsidRPr="00F56D54">
        <w:rPr>
          <w:sz w:val="26"/>
          <w:szCs w:val="26"/>
        </w:rPr>
        <w:t>CLPC</w:t>
      </w:r>
      <w:r w:rsidR="00827BC5" w:rsidRPr="00F56D54">
        <w:rPr>
          <w:sz w:val="26"/>
          <w:szCs w:val="26"/>
        </w:rPr>
        <w:t xml:space="preserve">.  R.D. at </w:t>
      </w:r>
      <w:r w:rsidR="00591839" w:rsidRPr="00F56D54">
        <w:rPr>
          <w:sz w:val="26"/>
          <w:szCs w:val="26"/>
        </w:rPr>
        <w:t>1-2</w:t>
      </w:r>
      <w:r w:rsidR="00827BC5" w:rsidRPr="00F56D54">
        <w:rPr>
          <w:sz w:val="26"/>
          <w:szCs w:val="26"/>
        </w:rPr>
        <w:t xml:space="preserve">.  </w:t>
      </w:r>
    </w:p>
    <w:p w14:paraId="1A69DF21" w14:textId="77777777" w:rsidR="00642F8C" w:rsidRPr="00F56D54" w:rsidRDefault="00642F8C" w:rsidP="00F56D54">
      <w:pPr>
        <w:widowControl/>
        <w:spacing w:line="360" w:lineRule="auto"/>
        <w:rPr>
          <w:sz w:val="26"/>
          <w:szCs w:val="26"/>
          <w:highlight w:val="yellow"/>
        </w:rPr>
      </w:pPr>
    </w:p>
    <w:p w14:paraId="0CAA285C" w14:textId="1F29D361" w:rsidR="00F148E4" w:rsidRPr="00F56D54" w:rsidRDefault="007B62A9" w:rsidP="00F56D54">
      <w:pPr>
        <w:widowControl/>
        <w:spacing w:line="360" w:lineRule="auto"/>
        <w:ind w:firstLine="1440"/>
        <w:rPr>
          <w:sz w:val="26"/>
          <w:szCs w:val="26"/>
        </w:rPr>
      </w:pPr>
      <w:r w:rsidRPr="00F56D54">
        <w:rPr>
          <w:sz w:val="26"/>
          <w:szCs w:val="26"/>
        </w:rPr>
        <w:t xml:space="preserve">As previously noted, </w:t>
      </w:r>
      <w:r w:rsidR="004B0BB9" w:rsidRPr="00F56D54">
        <w:rPr>
          <w:sz w:val="26"/>
          <w:szCs w:val="26"/>
        </w:rPr>
        <w:t xml:space="preserve">the </w:t>
      </w:r>
      <w:r w:rsidR="00A2015E" w:rsidRPr="00F56D54">
        <w:rPr>
          <w:sz w:val="26"/>
          <w:szCs w:val="26"/>
        </w:rPr>
        <w:t xml:space="preserve">OSBA </w:t>
      </w:r>
      <w:r w:rsidR="00153AE6" w:rsidRPr="00F56D54">
        <w:rPr>
          <w:sz w:val="26"/>
          <w:szCs w:val="26"/>
        </w:rPr>
        <w:t xml:space="preserve">filed </w:t>
      </w:r>
      <w:r w:rsidRPr="00F56D54">
        <w:rPr>
          <w:sz w:val="26"/>
          <w:szCs w:val="26"/>
        </w:rPr>
        <w:t>Exceptions to the Recommended Decision on</w:t>
      </w:r>
      <w:r w:rsidR="00DB0BFB" w:rsidRPr="00F56D54">
        <w:rPr>
          <w:sz w:val="26"/>
          <w:szCs w:val="26"/>
        </w:rPr>
        <w:t xml:space="preserve"> </w:t>
      </w:r>
      <w:r w:rsidR="00F96059" w:rsidRPr="00F56D54">
        <w:rPr>
          <w:sz w:val="26"/>
          <w:szCs w:val="26"/>
        </w:rPr>
        <w:t xml:space="preserve">May </w:t>
      </w:r>
      <w:r w:rsidR="00C31E4B" w:rsidRPr="00F56D54">
        <w:rPr>
          <w:sz w:val="26"/>
          <w:szCs w:val="26"/>
        </w:rPr>
        <w:t>20, 2021</w:t>
      </w:r>
      <w:r w:rsidR="00153AE6" w:rsidRPr="00F56D54">
        <w:rPr>
          <w:sz w:val="26"/>
          <w:szCs w:val="26"/>
        </w:rPr>
        <w:t>.  On</w:t>
      </w:r>
      <w:r w:rsidR="00DB0BFB" w:rsidRPr="00F56D54">
        <w:rPr>
          <w:sz w:val="26"/>
          <w:szCs w:val="26"/>
        </w:rPr>
        <w:t xml:space="preserve"> </w:t>
      </w:r>
      <w:r w:rsidR="00C31E4B" w:rsidRPr="00F56D54">
        <w:rPr>
          <w:sz w:val="26"/>
          <w:szCs w:val="26"/>
        </w:rPr>
        <w:t>May 27, 2021,</w:t>
      </w:r>
      <w:r w:rsidR="00153AE6" w:rsidRPr="00F56D54">
        <w:rPr>
          <w:sz w:val="26"/>
          <w:szCs w:val="26"/>
        </w:rPr>
        <w:t xml:space="preserve"> </w:t>
      </w:r>
      <w:r w:rsidR="00011F39" w:rsidRPr="00F56D54">
        <w:rPr>
          <w:sz w:val="26"/>
          <w:szCs w:val="26"/>
        </w:rPr>
        <w:t>PCLPC</w:t>
      </w:r>
      <w:r w:rsidR="00A66FEB" w:rsidRPr="00F56D54">
        <w:rPr>
          <w:sz w:val="26"/>
          <w:szCs w:val="26"/>
        </w:rPr>
        <w:t>,</w:t>
      </w:r>
      <w:r w:rsidR="004B0BB9" w:rsidRPr="00F56D54">
        <w:rPr>
          <w:sz w:val="26"/>
          <w:szCs w:val="26"/>
        </w:rPr>
        <w:t xml:space="preserve"> </w:t>
      </w:r>
      <w:r w:rsidR="00A2015E" w:rsidRPr="00F56D54">
        <w:rPr>
          <w:sz w:val="26"/>
          <w:szCs w:val="26"/>
        </w:rPr>
        <w:t xml:space="preserve">I&amp;E and </w:t>
      </w:r>
      <w:r w:rsidR="004B0BB9" w:rsidRPr="00F56D54">
        <w:rPr>
          <w:sz w:val="26"/>
          <w:szCs w:val="26"/>
        </w:rPr>
        <w:t>the OCA</w:t>
      </w:r>
      <w:r w:rsidR="00A66FEB" w:rsidRPr="00F56D54">
        <w:rPr>
          <w:sz w:val="26"/>
          <w:szCs w:val="26"/>
        </w:rPr>
        <w:t xml:space="preserve">, </w:t>
      </w:r>
      <w:r w:rsidR="00153AE6" w:rsidRPr="00F56D54">
        <w:rPr>
          <w:sz w:val="26"/>
          <w:szCs w:val="26"/>
        </w:rPr>
        <w:t>filed their Replies to Exceptions.</w:t>
      </w:r>
    </w:p>
    <w:p w14:paraId="05432282" w14:textId="7B8F907E" w:rsidR="00A2015E" w:rsidRPr="00F56D54" w:rsidRDefault="00A2015E" w:rsidP="00F56D54">
      <w:pPr>
        <w:widowControl/>
        <w:spacing w:line="360" w:lineRule="auto"/>
        <w:ind w:firstLine="1440"/>
        <w:rPr>
          <w:sz w:val="26"/>
          <w:szCs w:val="26"/>
        </w:rPr>
      </w:pPr>
    </w:p>
    <w:p w14:paraId="55591110" w14:textId="77F5C143" w:rsidR="003B3F33" w:rsidRPr="00F56D54" w:rsidRDefault="00DA2034" w:rsidP="00F56D54">
      <w:pPr>
        <w:pStyle w:val="Heading1"/>
        <w:keepNext/>
        <w:keepLines/>
      </w:pPr>
      <w:bookmarkStart w:id="3" w:name="_Hlk35439594"/>
      <w:bookmarkStart w:id="4" w:name="_Toc68586944"/>
      <w:r w:rsidRPr="00F56D54">
        <w:lastRenderedPageBreak/>
        <w:t>Legal Standards</w:t>
      </w:r>
      <w:bookmarkEnd w:id="3"/>
      <w:bookmarkEnd w:id="4"/>
    </w:p>
    <w:p w14:paraId="2A04297E" w14:textId="77777777" w:rsidR="003B3F33" w:rsidRPr="00F56D54" w:rsidRDefault="003B3F33" w:rsidP="00F56D54">
      <w:pPr>
        <w:keepNext/>
        <w:keepLines/>
        <w:widowControl/>
        <w:spacing w:line="360" w:lineRule="auto"/>
        <w:rPr>
          <w:sz w:val="26"/>
          <w:szCs w:val="26"/>
        </w:rPr>
      </w:pPr>
    </w:p>
    <w:p w14:paraId="1BC0FE9F" w14:textId="4208595D" w:rsidR="003B3F33" w:rsidRPr="00F56D54" w:rsidRDefault="003B3F33" w:rsidP="00F56D54">
      <w:pPr>
        <w:pStyle w:val="Heading2"/>
        <w:widowControl/>
        <w:ind w:hanging="720"/>
      </w:pPr>
      <w:bookmarkStart w:id="5" w:name="_Toc68586945"/>
      <w:r w:rsidRPr="00F56D54">
        <w:t>Justness and Reasonableness of Rates</w:t>
      </w:r>
      <w:bookmarkEnd w:id="5"/>
    </w:p>
    <w:p w14:paraId="09E1A4B2" w14:textId="77777777" w:rsidR="003B3F33" w:rsidRPr="00F56D54" w:rsidRDefault="003B3F33" w:rsidP="00F56D54">
      <w:pPr>
        <w:keepNext/>
        <w:widowControl/>
        <w:spacing w:line="360" w:lineRule="auto"/>
        <w:rPr>
          <w:sz w:val="26"/>
          <w:szCs w:val="26"/>
        </w:rPr>
      </w:pPr>
    </w:p>
    <w:p w14:paraId="13711EAE" w14:textId="7EB30792" w:rsidR="00155774" w:rsidRPr="00F56D54" w:rsidRDefault="00155774" w:rsidP="00F56D54">
      <w:pPr>
        <w:keepNext/>
        <w:widowControl/>
        <w:tabs>
          <w:tab w:val="left" w:pos="-720"/>
        </w:tabs>
        <w:spacing w:line="360" w:lineRule="auto"/>
        <w:ind w:firstLine="1440"/>
        <w:contextualSpacing/>
        <w:rPr>
          <w:rFonts w:eastAsia="Calibri"/>
          <w:sz w:val="26"/>
          <w:szCs w:val="26"/>
        </w:rPr>
      </w:pPr>
      <w:r w:rsidRPr="00F56D54">
        <w:rPr>
          <w:rFonts w:eastAsia="Calibri"/>
          <w:sz w:val="26"/>
          <w:szCs w:val="26"/>
        </w:rPr>
        <w:t xml:space="preserve">In deciding this or any other general rate increase case brought under Section 1308(d) of the </w:t>
      </w:r>
      <w:r w:rsidR="007477BC" w:rsidRPr="00F56D54">
        <w:rPr>
          <w:rFonts w:eastAsia="Calibri"/>
          <w:sz w:val="26"/>
          <w:szCs w:val="26"/>
        </w:rPr>
        <w:t>Public Utility Code (</w:t>
      </w:r>
      <w:r w:rsidRPr="00F56D54">
        <w:rPr>
          <w:rFonts w:eastAsia="Calibri"/>
          <w:sz w:val="26"/>
          <w:szCs w:val="26"/>
        </w:rPr>
        <w:t>Code</w:t>
      </w:r>
      <w:r w:rsidR="007477BC" w:rsidRPr="00F56D54">
        <w:rPr>
          <w:rFonts w:eastAsia="Calibri"/>
          <w:sz w:val="26"/>
          <w:szCs w:val="26"/>
        </w:rPr>
        <w:t>)</w:t>
      </w:r>
      <w:r w:rsidRPr="00F56D54">
        <w:rPr>
          <w:rFonts w:eastAsia="Calibri"/>
          <w:sz w:val="26"/>
          <w:szCs w:val="26"/>
        </w:rPr>
        <w:t xml:space="preserve">, 66 Pa. C.S. § 1308(d), certain general principles always apply.  A public utility is entitled to an opportunity to earn a fair rate of return on the value of the property dedicated to public service.  </w:t>
      </w:r>
      <w:r w:rsidRPr="00F56D54">
        <w:rPr>
          <w:rFonts w:eastAsia="Calibri"/>
          <w:i/>
          <w:sz w:val="26"/>
          <w:szCs w:val="26"/>
        </w:rPr>
        <w:t>Pa. PUC v.</w:t>
      </w:r>
      <w:r w:rsidRPr="00F56D54">
        <w:rPr>
          <w:rFonts w:eastAsia="Calibri"/>
          <w:sz w:val="26"/>
          <w:szCs w:val="26"/>
        </w:rPr>
        <w:t xml:space="preserve"> </w:t>
      </w:r>
      <w:r w:rsidRPr="00F56D54">
        <w:rPr>
          <w:rFonts w:eastAsia="Calibri"/>
          <w:i/>
          <w:sz w:val="26"/>
          <w:szCs w:val="26"/>
        </w:rPr>
        <w:t>Pennsylvania Gas and Water Co.</w:t>
      </w:r>
      <w:r w:rsidRPr="00F56D54">
        <w:rPr>
          <w:rFonts w:eastAsia="Calibri"/>
          <w:iCs/>
          <w:sz w:val="26"/>
          <w:szCs w:val="26"/>
        </w:rPr>
        <w:t>,</w:t>
      </w:r>
      <w:r w:rsidRPr="00F56D54">
        <w:rPr>
          <w:rFonts w:eastAsia="Calibri"/>
          <w:sz w:val="26"/>
          <w:szCs w:val="26"/>
        </w:rPr>
        <w:t xml:space="preserve"> 341 A.2d 239, 251 (Pa. Cmwlth. 1975).  In determining a fair rate of return, the Commission is guided by the criteria provided by the United States Supreme Court in the landmark cases of </w:t>
      </w:r>
      <w:r w:rsidRPr="00F56D54">
        <w:rPr>
          <w:rFonts w:eastAsia="Calibri"/>
          <w:i/>
          <w:sz w:val="26"/>
          <w:szCs w:val="26"/>
        </w:rPr>
        <w:t>Bluefield Water Works and Improvement Co. v. Public Service Comm’n of West Virginia</w:t>
      </w:r>
      <w:r w:rsidRPr="00F56D54">
        <w:rPr>
          <w:rFonts w:eastAsia="Calibri"/>
          <w:sz w:val="26"/>
          <w:szCs w:val="26"/>
        </w:rPr>
        <w:t xml:space="preserve">, 262 U.S. 679 (1923) </w:t>
      </w:r>
      <w:r w:rsidRPr="00F56D54">
        <w:rPr>
          <w:rFonts w:eastAsia="Calibri"/>
          <w:i/>
          <w:iCs/>
          <w:sz w:val="26"/>
          <w:szCs w:val="26"/>
        </w:rPr>
        <w:t xml:space="preserve">(Bluefield) </w:t>
      </w:r>
      <w:r w:rsidRPr="00F56D54">
        <w:rPr>
          <w:rFonts w:eastAsia="Calibri"/>
          <w:sz w:val="26"/>
          <w:szCs w:val="26"/>
        </w:rPr>
        <w:t xml:space="preserve">and </w:t>
      </w:r>
      <w:r w:rsidRPr="00F56D54">
        <w:rPr>
          <w:rFonts w:eastAsia="Calibri"/>
          <w:i/>
          <w:sz w:val="26"/>
          <w:szCs w:val="26"/>
        </w:rPr>
        <w:t>Federal Power Comm’n v. Hope Natural Gas Co.</w:t>
      </w:r>
      <w:r w:rsidRPr="00F56D54">
        <w:rPr>
          <w:rFonts w:eastAsia="Calibri"/>
          <w:sz w:val="26"/>
          <w:szCs w:val="26"/>
        </w:rPr>
        <w:t xml:space="preserve">, 320 U.S. 591 (1944) </w:t>
      </w:r>
      <w:r w:rsidRPr="00F56D54">
        <w:rPr>
          <w:rFonts w:eastAsia="Calibri"/>
          <w:i/>
          <w:iCs/>
          <w:sz w:val="26"/>
          <w:szCs w:val="26"/>
        </w:rPr>
        <w:t>(Hope Natural Gas)</w:t>
      </w:r>
      <w:r w:rsidRPr="00F56D54">
        <w:rPr>
          <w:rFonts w:eastAsia="Calibri"/>
          <w:sz w:val="26"/>
          <w:szCs w:val="26"/>
        </w:rPr>
        <w:t xml:space="preserve">.  In </w:t>
      </w:r>
      <w:r w:rsidRPr="00F56D54">
        <w:rPr>
          <w:rFonts w:eastAsia="Calibri"/>
          <w:i/>
          <w:sz w:val="26"/>
          <w:szCs w:val="26"/>
        </w:rPr>
        <w:t>Bluefield</w:t>
      </w:r>
      <w:r w:rsidRPr="00F56D54">
        <w:rPr>
          <w:rFonts w:eastAsia="Calibri"/>
          <w:sz w:val="26"/>
          <w:szCs w:val="26"/>
        </w:rPr>
        <w:t>, the Court stated:</w:t>
      </w:r>
    </w:p>
    <w:p w14:paraId="75B2AC62" w14:textId="77777777" w:rsidR="00155774" w:rsidRPr="00F56D54" w:rsidRDefault="00155774" w:rsidP="00F56D54">
      <w:pPr>
        <w:widowControl/>
        <w:tabs>
          <w:tab w:val="left" w:pos="-720"/>
        </w:tabs>
        <w:ind w:firstLine="1440"/>
        <w:contextualSpacing/>
        <w:rPr>
          <w:rFonts w:eastAsia="Calibri"/>
          <w:sz w:val="26"/>
          <w:szCs w:val="26"/>
        </w:rPr>
      </w:pPr>
    </w:p>
    <w:p w14:paraId="628C2E20" w14:textId="77777777" w:rsidR="00155774" w:rsidRPr="00F56D54" w:rsidRDefault="00155774" w:rsidP="00F56D54">
      <w:pPr>
        <w:keepNext/>
        <w:widowControl/>
        <w:ind w:left="1440" w:right="1440"/>
        <w:contextualSpacing/>
        <w:rPr>
          <w:rFonts w:eastAsia="Calibri"/>
          <w:sz w:val="26"/>
          <w:szCs w:val="26"/>
        </w:rPr>
      </w:pPr>
      <w:r w:rsidRPr="00F56D54">
        <w:rPr>
          <w:rFonts w:eastAsia="Calibri"/>
          <w:sz w:val="26"/>
          <w:szCs w:val="26"/>
        </w:rPr>
        <w:t>A public utility is entitled to such rates as will permit it to earn a return on the value of the property which it employs for the convenience of the public equal to that generally being made at the same time and in the same general part of the country on investments in other business undertakings which are attended by corresponding risks and uncertainties; but it has no constitutional right to profits such as are realized or anticipated in highly profitable enterprises or speculative ventures.  The return should be reasonably sufficient to assure confidence in the financial soundness of the utility and should be adequate, under efficient and economical management, to maintain and support its credit and enable it to raise the money necessary for the proper discharge of its public duties.  A rate of return may be too high or too low by changes affecting opportunities for investment, the money market and business conditions generally.</w:t>
      </w:r>
    </w:p>
    <w:p w14:paraId="36D26BA6" w14:textId="5B2A536B" w:rsidR="00155774" w:rsidRPr="00F56D54" w:rsidRDefault="00155774" w:rsidP="00F56D54">
      <w:pPr>
        <w:keepNext/>
        <w:widowControl/>
        <w:spacing w:line="360" w:lineRule="auto"/>
        <w:ind w:left="1440" w:right="1440"/>
        <w:contextualSpacing/>
        <w:rPr>
          <w:rFonts w:eastAsia="Calibri"/>
          <w:sz w:val="26"/>
          <w:szCs w:val="26"/>
        </w:rPr>
      </w:pPr>
    </w:p>
    <w:p w14:paraId="417899F8" w14:textId="4B6C1159" w:rsidR="00155774" w:rsidRPr="00F56D54" w:rsidRDefault="00155774" w:rsidP="00F56D54">
      <w:pPr>
        <w:keepNext/>
        <w:widowControl/>
        <w:spacing w:line="360" w:lineRule="auto"/>
        <w:ind w:right="1440"/>
        <w:contextualSpacing/>
        <w:rPr>
          <w:rFonts w:eastAsia="Calibri"/>
          <w:sz w:val="26"/>
          <w:szCs w:val="26"/>
        </w:rPr>
      </w:pPr>
      <w:r w:rsidRPr="00F56D54">
        <w:rPr>
          <w:rFonts w:eastAsia="Calibri"/>
          <w:i/>
          <w:sz w:val="26"/>
          <w:szCs w:val="26"/>
        </w:rPr>
        <w:t>Bluefield</w:t>
      </w:r>
      <w:r w:rsidRPr="00F56D54">
        <w:rPr>
          <w:rFonts w:eastAsia="Calibri"/>
          <w:sz w:val="26"/>
          <w:szCs w:val="26"/>
        </w:rPr>
        <w:t>, 262 U.S. at 692-693.</w:t>
      </w:r>
    </w:p>
    <w:p w14:paraId="0BE26C89" w14:textId="77777777" w:rsidR="00155774" w:rsidRPr="00F56D54" w:rsidRDefault="00155774" w:rsidP="00F56D54">
      <w:pPr>
        <w:widowControl/>
        <w:spacing w:line="360" w:lineRule="auto"/>
        <w:ind w:right="1440"/>
        <w:contextualSpacing/>
        <w:rPr>
          <w:rFonts w:eastAsia="Calibri"/>
          <w:sz w:val="26"/>
          <w:szCs w:val="26"/>
        </w:rPr>
      </w:pPr>
    </w:p>
    <w:p w14:paraId="4AB790B1" w14:textId="56D6425A" w:rsidR="00155774" w:rsidRPr="00F56D54" w:rsidRDefault="00155774" w:rsidP="00F56D54">
      <w:pPr>
        <w:widowControl/>
        <w:tabs>
          <w:tab w:val="left" w:pos="-720"/>
        </w:tabs>
        <w:spacing w:line="360" w:lineRule="auto"/>
        <w:ind w:firstLine="1440"/>
        <w:contextualSpacing/>
        <w:rPr>
          <w:sz w:val="26"/>
          <w:szCs w:val="26"/>
        </w:rPr>
      </w:pPr>
      <w:r w:rsidRPr="00F56D54">
        <w:rPr>
          <w:sz w:val="26"/>
          <w:szCs w:val="26"/>
        </w:rPr>
        <w:lastRenderedPageBreak/>
        <w:t>Section 1301(a) of the Code mandates that “[e]very rate made, demanded, or received by any public utility ... shall be just and reasonable, and in conformity with [the] regulations or orders of the [C]</w:t>
      </w:r>
      <w:proofErr w:type="spellStart"/>
      <w:r w:rsidRPr="00F56D54">
        <w:rPr>
          <w:sz w:val="26"/>
          <w:szCs w:val="26"/>
        </w:rPr>
        <w:t>ommission</w:t>
      </w:r>
      <w:proofErr w:type="spellEnd"/>
      <w:r w:rsidRPr="00F56D54">
        <w:rPr>
          <w:sz w:val="26"/>
          <w:szCs w:val="26"/>
        </w:rPr>
        <w:t>.”  66 Pa. C.S. § 1301(a).  Pursuant to the just and reasonable standard, a utility may obtain “a rate that allows it to recover those expenses that are reasonably necessary to provide service to its customers [,] as well as a reasonable rate of return on its investment.”</w:t>
      </w:r>
      <w:r w:rsidR="009925DD">
        <w:rPr>
          <w:sz w:val="26"/>
          <w:szCs w:val="26"/>
        </w:rPr>
        <w:t xml:space="preserve"> </w:t>
      </w:r>
      <w:r w:rsidRPr="00F56D54">
        <w:rPr>
          <w:sz w:val="26"/>
          <w:szCs w:val="26"/>
        </w:rPr>
        <w:t xml:space="preserve"> </w:t>
      </w:r>
      <w:r w:rsidRPr="00F56D54">
        <w:rPr>
          <w:i/>
          <w:iCs/>
          <w:sz w:val="26"/>
          <w:szCs w:val="26"/>
        </w:rPr>
        <w:t>City of Lancaster Sewer Fund v. Pa. PUC</w:t>
      </w:r>
      <w:r w:rsidRPr="00F56D54">
        <w:rPr>
          <w:sz w:val="26"/>
          <w:szCs w:val="26"/>
        </w:rPr>
        <w:t>, 793 A.2d 978, 982 (Pa. Cmwlth. 2002) (</w:t>
      </w:r>
      <w:r w:rsidRPr="00F56D54">
        <w:rPr>
          <w:i/>
          <w:iCs/>
          <w:sz w:val="26"/>
          <w:szCs w:val="26"/>
        </w:rPr>
        <w:t>City of Lancaster</w:t>
      </w:r>
      <w:r w:rsidRPr="00F56D54">
        <w:rPr>
          <w:sz w:val="26"/>
          <w:szCs w:val="26"/>
        </w:rPr>
        <w:t xml:space="preserve">).  There is no single way to arrive at just and reasonable rates, and “[t]he [Commission] has broad discretion in determining whether rates are reasonable” and “is vested with discretion to decide what factors it will consider in setting or evaluating a utility’s rates.”  </w:t>
      </w:r>
      <w:r w:rsidRPr="00F56D54">
        <w:rPr>
          <w:i/>
          <w:iCs/>
          <w:sz w:val="26"/>
          <w:szCs w:val="26"/>
        </w:rPr>
        <w:t>Popowsky v. Pa. PUC</w:t>
      </w:r>
      <w:r w:rsidRPr="00F56D54">
        <w:rPr>
          <w:sz w:val="26"/>
          <w:szCs w:val="26"/>
        </w:rPr>
        <w:t>, 683 A.2d 958, 961 (Pa. Cmwlth. 1996) (</w:t>
      </w:r>
      <w:r w:rsidRPr="00F56D54">
        <w:rPr>
          <w:i/>
          <w:iCs/>
          <w:sz w:val="26"/>
          <w:szCs w:val="26"/>
        </w:rPr>
        <w:t>Popowsky II</w:t>
      </w:r>
      <w:r w:rsidRPr="00F56D54">
        <w:rPr>
          <w:sz w:val="26"/>
          <w:szCs w:val="26"/>
        </w:rPr>
        <w:t xml:space="preserve">). </w:t>
      </w:r>
    </w:p>
    <w:p w14:paraId="7F36A8B8" w14:textId="77777777" w:rsidR="00155774" w:rsidRPr="00F56D54" w:rsidRDefault="00155774" w:rsidP="00F56D54">
      <w:pPr>
        <w:widowControl/>
        <w:tabs>
          <w:tab w:val="left" w:pos="-720"/>
        </w:tabs>
        <w:spacing w:line="360" w:lineRule="auto"/>
        <w:ind w:firstLine="1440"/>
        <w:contextualSpacing/>
        <w:rPr>
          <w:sz w:val="26"/>
          <w:szCs w:val="26"/>
        </w:rPr>
      </w:pPr>
    </w:p>
    <w:p w14:paraId="6EF3938D" w14:textId="77777777" w:rsidR="00155774" w:rsidRPr="00F56D54" w:rsidRDefault="00155774" w:rsidP="00F56D54">
      <w:pPr>
        <w:widowControl/>
        <w:spacing w:line="360" w:lineRule="auto"/>
        <w:ind w:firstLine="1440"/>
        <w:contextualSpacing/>
        <w:rPr>
          <w:rFonts w:eastAsia="Calibri"/>
          <w:sz w:val="26"/>
          <w:szCs w:val="26"/>
        </w:rPr>
      </w:pPr>
      <w:r w:rsidRPr="00F56D54">
        <w:rPr>
          <w:rFonts w:eastAsia="Calibri"/>
          <w:sz w:val="26"/>
          <w:szCs w:val="26"/>
        </w:rPr>
        <w:t>The burden of proof to establish the justness and reasonableness of every element of a public utility’s rate increase request rests solely upon the public utility in all proceedings filed under Section 1308(d) of the Code.  The standard to be met by the public utility is set forth in Section 315(a) of the Code, 66 Pa. C.S. § 315(a), as follows:</w:t>
      </w:r>
    </w:p>
    <w:p w14:paraId="11707A0B" w14:textId="77777777" w:rsidR="00155774" w:rsidRPr="00F56D54" w:rsidRDefault="00155774" w:rsidP="00F56D54">
      <w:pPr>
        <w:widowControl/>
        <w:ind w:left="1440" w:right="1440"/>
        <w:contextualSpacing/>
        <w:rPr>
          <w:rFonts w:eastAsia="Calibri"/>
          <w:b/>
          <w:sz w:val="26"/>
          <w:szCs w:val="26"/>
        </w:rPr>
      </w:pPr>
    </w:p>
    <w:p w14:paraId="2306A82D" w14:textId="77777777" w:rsidR="00155774" w:rsidRPr="00F56D54" w:rsidRDefault="00155774" w:rsidP="00F56D54">
      <w:pPr>
        <w:widowControl/>
        <w:ind w:left="1440" w:right="1440"/>
        <w:contextualSpacing/>
        <w:rPr>
          <w:rFonts w:eastAsia="Calibri"/>
          <w:sz w:val="26"/>
          <w:szCs w:val="26"/>
        </w:rPr>
      </w:pPr>
      <w:r w:rsidRPr="00F56D54">
        <w:rPr>
          <w:rFonts w:eastAsia="Calibri"/>
          <w:b/>
          <w:sz w:val="26"/>
          <w:szCs w:val="26"/>
        </w:rPr>
        <w:t>Reasonableness of rates.</w:t>
      </w:r>
      <w:r w:rsidRPr="00F56D54">
        <w:rPr>
          <w:rFonts w:eastAsia="Calibri"/>
          <w:sz w:val="26"/>
          <w:szCs w:val="26"/>
        </w:rPr>
        <w:t xml:space="preserve"> – In any proceeding upon the motion of the commission, involving any proposed or existing rate of any public utility, or in any proceedings upon complaint involving any proposed increase in rates, the burden of proof to show that the rate involved is just and reasonable shall be upon the public utility.</w:t>
      </w:r>
    </w:p>
    <w:p w14:paraId="516E9852" w14:textId="77777777" w:rsidR="00155774" w:rsidRPr="00F56D54" w:rsidRDefault="00155774" w:rsidP="00F56D54">
      <w:pPr>
        <w:widowControl/>
        <w:spacing w:line="480" w:lineRule="auto"/>
        <w:ind w:left="1440" w:right="1440"/>
        <w:contextualSpacing/>
        <w:rPr>
          <w:rFonts w:eastAsia="Calibri"/>
          <w:sz w:val="26"/>
          <w:szCs w:val="26"/>
        </w:rPr>
      </w:pPr>
    </w:p>
    <w:p w14:paraId="1AD650B1" w14:textId="77777777" w:rsidR="00155774" w:rsidRPr="00F56D54" w:rsidRDefault="00155774" w:rsidP="00F56D54">
      <w:pPr>
        <w:widowControl/>
        <w:spacing w:line="360" w:lineRule="auto"/>
        <w:ind w:firstLine="1440"/>
        <w:contextualSpacing/>
        <w:rPr>
          <w:rFonts w:eastAsia="Calibri"/>
          <w:sz w:val="26"/>
          <w:szCs w:val="26"/>
        </w:rPr>
      </w:pPr>
      <w:r w:rsidRPr="00F56D54">
        <w:rPr>
          <w:rFonts w:eastAsia="Calibri"/>
          <w:sz w:val="26"/>
          <w:szCs w:val="26"/>
        </w:rPr>
        <w:t>In reviewing Section 315(a) of the Code, the Pennsylvania Commonwealth Court interpreted a public utility’s burden of proof in a rate proceeding as follows:</w:t>
      </w:r>
    </w:p>
    <w:p w14:paraId="2AE2540B" w14:textId="77777777" w:rsidR="00155774" w:rsidRPr="00F56D54" w:rsidRDefault="00155774" w:rsidP="00F56D54">
      <w:pPr>
        <w:widowControl/>
        <w:ind w:firstLine="1440"/>
        <w:contextualSpacing/>
        <w:rPr>
          <w:rFonts w:eastAsia="Calibri"/>
          <w:sz w:val="26"/>
          <w:szCs w:val="26"/>
        </w:rPr>
      </w:pPr>
    </w:p>
    <w:p w14:paraId="47BEF73F" w14:textId="12870DEF" w:rsidR="00155774" w:rsidRPr="00F56D54" w:rsidRDefault="00155774" w:rsidP="00F56D54">
      <w:pPr>
        <w:widowControl/>
        <w:ind w:left="1440" w:right="1440"/>
        <w:contextualSpacing/>
        <w:rPr>
          <w:rFonts w:eastAsia="Calibri"/>
          <w:sz w:val="26"/>
          <w:szCs w:val="26"/>
        </w:rPr>
      </w:pPr>
      <w:r w:rsidRPr="00F56D54">
        <w:rPr>
          <w:rFonts w:eastAsia="Calibri"/>
          <w:sz w:val="26"/>
          <w:szCs w:val="26"/>
        </w:rPr>
        <w:t>Section 315(a) of the Public Utility Code, 66 Pa. C.S. §</w:t>
      </w:r>
      <w:r w:rsidR="00FE7E7B" w:rsidRPr="00F56D54">
        <w:rPr>
          <w:rFonts w:eastAsia="Calibri"/>
          <w:sz w:val="26"/>
          <w:szCs w:val="26"/>
        </w:rPr>
        <w:t> </w:t>
      </w:r>
      <w:r w:rsidRPr="00F56D54">
        <w:rPr>
          <w:rFonts w:eastAsia="Calibri"/>
          <w:sz w:val="26"/>
          <w:szCs w:val="26"/>
        </w:rPr>
        <w:t xml:space="preserve">315(a), places the burden of proving the justness and reasonableness of a proposed rate hike squarely on the public utility.  </w:t>
      </w:r>
      <w:r w:rsidRPr="00F56D54">
        <w:rPr>
          <w:rFonts w:eastAsia="Calibri"/>
          <w:i/>
          <w:sz w:val="26"/>
          <w:szCs w:val="26"/>
        </w:rPr>
        <w:t>It is well-established that the evidence adduced by a utility to meet this burden must be substantial</w:t>
      </w:r>
      <w:r w:rsidRPr="00F56D54">
        <w:rPr>
          <w:rFonts w:eastAsia="Calibri"/>
          <w:sz w:val="26"/>
          <w:szCs w:val="26"/>
        </w:rPr>
        <w:t>.</w:t>
      </w:r>
    </w:p>
    <w:p w14:paraId="04201025" w14:textId="77777777" w:rsidR="00155774" w:rsidRPr="00F56D54" w:rsidRDefault="00155774" w:rsidP="00F56D54">
      <w:pPr>
        <w:widowControl/>
        <w:spacing w:line="360" w:lineRule="auto"/>
        <w:ind w:right="1296"/>
        <w:contextualSpacing/>
        <w:rPr>
          <w:rFonts w:eastAsia="Calibri"/>
          <w:sz w:val="26"/>
          <w:szCs w:val="26"/>
        </w:rPr>
      </w:pPr>
    </w:p>
    <w:p w14:paraId="5D181044" w14:textId="77777777" w:rsidR="00155774" w:rsidRPr="00F56D54" w:rsidRDefault="00155774" w:rsidP="00F56D54">
      <w:pPr>
        <w:widowControl/>
        <w:spacing w:line="360" w:lineRule="auto"/>
        <w:contextualSpacing/>
        <w:rPr>
          <w:rFonts w:eastAsia="Calibri"/>
          <w:sz w:val="26"/>
          <w:szCs w:val="26"/>
        </w:rPr>
      </w:pPr>
      <w:r w:rsidRPr="00F56D54">
        <w:rPr>
          <w:rFonts w:eastAsia="Calibri"/>
          <w:i/>
          <w:sz w:val="26"/>
          <w:szCs w:val="26"/>
        </w:rPr>
        <w:lastRenderedPageBreak/>
        <w:t>Lower Frederick Twp. Water Co. v. Pa. PUC</w:t>
      </w:r>
      <w:r w:rsidRPr="00F56D54">
        <w:rPr>
          <w:rFonts w:eastAsia="Calibri"/>
          <w:sz w:val="26"/>
          <w:szCs w:val="26"/>
        </w:rPr>
        <w:t xml:space="preserve">, 409 A.2d 505, 507 (Pa. Cmwlth. 1980) (emphasis added).  </w:t>
      </w:r>
      <w:r w:rsidRPr="00F56D54">
        <w:rPr>
          <w:rFonts w:eastAsia="Calibri"/>
          <w:i/>
          <w:sz w:val="26"/>
          <w:szCs w:val="26"/>
        </w:rPr>
        <w:t>See also</w:t>
      </w:r>
      <w:r w:rsidRPr="00F56D54">
        <w:rPr>
          <w:rFonts w:eastAsia="Calibri"/>
          <w:sz w:val="26"/>
          <w:szCs w:val="26"/>
        </w:rPr>
        <w:t xml:space="preserve">, </w:t>
      </w:r>
      <w:r w:rsidRPr="00F56D54">
        <w:rPr>
          <w:rFonts w:eastAsia="Calibri"/>
          <w:i/>
          <w:sz w:val="26"/>
          <w:szCs w:val="26"/>
        </w:rPr>
        <w:t>Brockway Glass Co. v. Pa. PUC</w:t>
      </w:r>
      <w:r w:rsidRPr="00F56D54">
        <w:rPr>
          <w:rFonts w:eastAsia="Calibri"/>
          <w:sz w:val="26"/>
          <w:szCs w:val="26"/>
        </w:rPr>
        <w:t>, 437 A.2d 1067 (Pa. Cmwlth. 1981).</w:t>
      </w:r>
    </w:p>
    <w:p w14:paraId="7F34DCB6" w14:textId="77777777" w:rsidR="00155774" w:rsidRPr="00F56D54" w:rsidRDefault="00155774" w:rsidP="00F56D54">
      <w:pPr>
        <w:widowControl/>
        <w:spacing w:line="360" w:lineRule="auto"/>
        <w:contextualSpacing/>
        <w:rPr>
          <w:rFonts w:eastAsia="Calibri"/>
          <w:sz w:val="26"/>
          <w:szCs w:val="26"/>
        </w:rPr>
      </w:pPr>
    </w:p>
    <w:p w14:paraId="2A04346B" w14:textId="77777777" w:rsidR="00155774" w:rsidRPr="00F56D54" w:rsidRDefault="00155774" w:rsidP="00F56D54">
      <w:pPr>
        <w:widowControl/>
        <w:spacing w:line="360" w:lineRule="auto"/>
        <w:ind w:firstLine="1440"/>
        <w:contextualSpacing/>
        <w:rPr>
          <w:rFonts w:eastAsia="Calibri"/>
          <w:sz w:val="26"/>
          <w:szCs w:val="26"/>
        </w:rPr>
      </w:pPr>
      <w:r w:rsidRPr="00F56D54">
        <w:rPr>
          <w:rFonts w:eastAsia="Calibri"/>
          <w:sz w:val="26"/>
          <w:szCs w:val="26"/>
        </w:rPr>
        <w:t>In general rate increase proceedings, it is well established that the burden of proof does not shift to parties challenging a requested rate increase.  Rather, the utility’s burden of establishing the justness and reasonableness of every component of its rate request is an affirmative one, and that burden remains with the public utility throughout the course of the rate proceeding.  There is no similar burden placed on parties to justify a proposed adjustment to the Company’s filing.  The Pennsylvania Supreme Court has held:</w:t>
      </w:r>
    </w:p>
    <w:p w14:paraId="7E5BC1E9" w14:textId="77777777" w:rsidR="00155774" w:rsidRPr="00F56D54" w:rsidRDefault="00155774" w:rsidP="00F56D54">
      <w:pPr>
        <w:widowControl/>
        <w:ind w:firstLine="1440"/>
        <w:contextualSpacing/>
        <w:rPr>
          <w:rFonts w:eastAsia="Calibri"/>
          <w:sz w:val="26"/>
          <w:szCs w:val="26"/>
        </w:rPr>
      </w:pPr>
    </w:p>
    <w:p w14:paraId="212B0E11" w14:textId="77777777" w:rsidR="00155774" w:rsidRPr="00F56D54" w:rsidRDefault="00155774" w:rsidP="00F56D54">
      <w:pPr>
        <w:widowControl/>
        <w:ind w:left="1440" w:right="1440"/>
        <w:contextualSpacing/>
        <w:rPr>
          <w:rFonts w:eastAsia="Calibri"/>
          <w:sz w:val="26"/>
          <w:szCs w:val="26"/>
        </w:rPr>
      </w:pPr>
      <w:r w:rsidRPr="00F56D54">
        <w:rPr>
          <w:rFonts w:eastAsia="Calibri"/>
          <w:sz w:val="26"/>
          <w:szCs w:val="26"/>
        </w:rPr>
        <w:t>[T]he appellants did not have the burden of proving that the plant additions were improper, unnecessary or too costly; on the contrary, that burden is, by statute, on the utility to demonstrate the reasonable necessity and cost of the installations, and that is the burden which the utility patently failed to carry.</w:t>
      </w:r>
    </w:p>
    <w:p w14:paraId="0BC776EC" w14:textId="028F95D3" w:rsidR="00155774" w:rsidRPr="00F56D54" w:rsidRDefault="00155774" w:rsidP="00F56D54">
      <w:pPr>
        <w:keepNext/>
        <w:widowControl/>
        <w:spacing w:line="360" w:lineRule="auto"/>
        <w:ind w:left="1440" w:right="1296"/>
        <w:contextualSpacing/>
        <w:rPr>
          <w:rFonts w:eastAsia="Calibri"/>
          <w:sz w:val="26"/>
          <w:szCs w:val="26"/>
        </w:rPr>
      </w:pPr>
    </w:p>
    <w:p w14:paraId="7E29FFEA" w14:textId="77777777" w:rsidR="00155774" w:rsidRPr="00F56D54" w:rsidRDefault="00155774" w:rsidP="00F56D54">
      <w:pPr>
        <w:keepNext/>
        <w:widowControl/>
        <w:spacing w:line="360" w:lineRule="auto"/>
        <w:ind w:right="1440"/>
        <w:contextualSpacing/>
        <w:rPr>
          <w:rFonts w:eastAsia="Calibri"/>
          <w:sz w:val="26"/>
          <w:szCs w:val="26"/>
        </w:rPr>
      </w:pPr>
      <w:r w:rsidRPr="00F56D54">
        <w:rPr>
          <w:rFonts w:eastAsia="Calibri"/>
          <w:i/>
          <w:sz w:val="26"/>
          <w:szCs w:val="26"/>
        </w:rPr>
        <w:t>Berner v. Pa. PUC</w:t>
      </w:r>
      <w:r w:rsidRPr="00F56D54">
        <w:rPr>
          <w:rFonts w:eastAsia="Calibri"/>
          <w:sz w:val="26"/>
          <w:szCs w:val="26"/>
        </w:rPr>
        <w:t>, 116 A.2d 738, 744 (Pa. 1955).</w:t>
      </w:r>
    </w:p>
    <w:p w14:paraId="2C4BBF73" w14:textId="77777777" w:rsidR="00155774" w:rsidRPr="00F56D54" w:rsidRDefault="00155774" w:rsidP="00F56D54">
      <w:pPr>
        <w:widowControl/>
        <w:spacing w:line="360" w:lineRule="auto"/>
        <w:ind w:right="1440"/>
        <w:contextualSpacing/>
        <w:rPr>
          <w:rFonts w:eastAsia="Calibri"/>
          <w:sz w:val="26"/>
          <w:szCs w:val="26"/>
        </w:rPr>
      </w:pPr>
    </w:p>
    <w:p w14:paraId="70FC79F6" w14:textId="77777777" w:rsidR="00155774" w:rsidRPr="00F56D54" w:rsidRDefault="00155774" w:rsidP="00F56D54">
      <w:pPr>
        <w:widowControl/>
        <w:tabs>
          <w:tab w:val="left" w:pos="-720"/>
        </w:tabs>
        <w:spacing w:line="360" w:lineRule="auto"/>
        <w:ind w:firstLine="1440"/>
        <w:contextualSpacing/>
        <w:rPr>
          <w:rFonts w:eastAsia="Calibri"/>
          <w:sz w:val="26"/>
          <w:szCs w:val="26"/>
        </w:rPr>
      </w:pPr>
      <w:r w:rsidRPr="00F56D54">
        <w:rPr>
          <w:rFonts w:eastAsia="Calibri"/>
          <w:sz w:val="26"/>
          <w:szCs w:val="26"/>
        </w:rPr>
        <w:t>This does not mean, however, that in proving that its proposed rates are just and reasonable, a public utility must affirmatively defend every claim it has made in its filing, even those which no other party has questioned.  As the Pennsylvania Commonwealth Court has held:</w:t>
      </w:r>
    </w:p>
    <w:p w14:paraId="20DFD4BF" w14:textId="77777777" w:rsidR="00155774" w:rsidRPr="00F56D54" w:rsidRDefault="00155774" w:rsidP="00F56D54">
      <w:pPr>
        <w:widowControl/>
        <w:ind w:left="1440" w:right="1296"/>
        <w:contextualSpacing/>
        <w:rPr>
          <w:rFonts w:eastAsia="Calibri"/>
          <w:sz w:val="26"/>
          <w:szCs w:val="26"/>
        </w:rPr>
      </w:pPr>
    </w:p>
    <w:p w14:paraId="45F158F6" w14:textId="77777777" w:rsidR="00155774" w:rsidRPr="00F56D54" w:rsidRDefault="00155774" w:rsidP="00F56D54">
      <w:pPr>
        <w:widowControl/>
        <w:ind w:left="1440" w:right="1440"/>
        <w:contextualSpacing/>
        <w:rPr>
          <w:rFonts w:eastAsia="Calibri"/>
          <w:sz w:val="26"/>
          <w:szCs w:val="26"/>
        </w:rPr>
      </w:pPr>
      <w:r w:rsidRPr="00F56D54">
        <w:rPr>
          <w:rFonts w:eastAsia="Calibri"/>
          <w:sz w:val="26"/>
          <w:szCs w:val="26"/>
        </w:rPr>
        <w:t>While it is axiomatic that a utility has the burden of proving the justness and reasonableness of its proposed rates, it cannot be called upon to account for every action absent prior notice that such action is to be challenged.</w:t>
      </w:r>
    </w:p>
    <w:p w14:paraId="56EEAA56" w14:textId="77777777" w:rsidR="00155774" w:rsidRPr="00F56D54" w:rsidRDefault="00155774" w:rsidP="00F56D54">
      <w:pPr>
        <w:widowControl/>
        <w:spacing w:line="360" w:lineRule="auto"/>
        <w:ind w:left="1440" w:right="1296"/>
        <w:contextualSpacing/>
        <w:rPr>
          <w:rFonts w:eastAsia="Calibri"/>
          <w:sz w:val="26"/>
          <w:szCs w:val="26"/>
        </w:rPr>
      </w:pPr>
    </w:p>
    <w:p w14:paraId="778FFC01" w14:textId="4629D7DB" w:rsidR="00155774" w:rsidRPr="00F56D54" w:rsidRDefault="00155774" w:rsidP="00F56D54">
      <w:pPr>
        <w:widowControl/>
        <w:spacing w:line="360" w:lineRule="auto"/>
        <w:contextualSpacing/>
        <w:rPr>
          <w:rFonts w:eastAsia="Calibri"/>
          <w:sz w:val="26"/>
          <w:szCs w:val="26"/>
        </w:rPr>
      </w:pPr>
      <w:r w:rsidRPr="00F56D54">
        <w:rPr>
          <w:rFonts w:eastAsia="Calibri"/>
          <w:i/>
          <w:sz w:val="26"/>
          <w:szCs w:val="26"/>
        </w:rPr>
        <w:t>Allegheny Center Assocs. v. Pa. PUC</w:t>
      </w:r>
      <w:r w:rsidRPr="00F56D54">
        <w:rPr>
          <w:rFonts w:eastAsia="Calibri"/>
          <w:sz w:val="26"/>
          <w:szCs w:val="26"/>
        </w:rPr>
        <w:t xml:space="preserve">, 570 A.2d 149, 153 (Pa. Cmwlth. 1990) (citation omitted).  </w:t>
      </w:r>
      <w:r w:rsidRPr="00F56D54">
        <w:rPr>
          <w:rFonts w:eastAsia="Calibri"/>
          <w:i/>
          <w:sz w:val="26"/>
          <w:szCs w:val="26"/>
        </w:rPr>
        <w:t>See also, Pa. PUC v. Equitable Gas Co.</w:t>
      </w:r>
      <w:r w:rsidRPr="00F56D54">
        <w:rPr>
          <w:rFonts w:eastAsia="Calibri"/>
          <w:sz w:val="26"/>
          <w:szCs w:val="26"/>
        </w:rPr>
        <w:t>, 73 Pa. P.U.C. 310, 359-360 (1990).</w:t>
      </w:r>
    </w:p>
    <w:p w14:paraId="10405B99" w14:textId="627C7C95" w:rsidR="00155774" w:rsidRPr="00F56D54" w:rsidRDefault="00155774" w:rsidP="00F56D54">
      <w:pPr>
        <w:widowControl/>
        <w:spacing w:line="360" w:lineRule="auto"/>
        <w:ind w:firstLine="1440"/>
        <w:contextualSpacing/>
        <w:rPr>
          <w:rFonts w:eastAsia="Calibri"/>
          <w:sz w:val="26"/>
          <w:szCs w:val="26"/>
        </w:rPr>
      </w:pPr>
      <w:r w:rsidRPr="00F56D54">
        <w:rPr>
          <w:rFonts w:eastAsia="Calibri"/>
          <w:sz w:val="26"/>
          <w:szCs w:val="26"/>
        </w:rPr>
        <w:lastRenderedPageBreak/>
        <w:t>Additionally, Section 315(a) of the Code, 66 Pa. C.S. § 315(a), cannot reasonably be read to place the burden of proof on the utility with respect to an issue the utility did not include in its general rate case filing and which, frequently, the utility would oppose.  Inasmuch as the Legislature is not presumed to intend an absurd result in interpretation of its enactments,</w:t>
      </w:r>
      <w:r w:rsidRPr="00F56D54">
        <w:rPr>
          <w:rFonts w:eastAsia="Calibri"/>
          <w:sz w:val="26"/>
          <w:szCs w:val="26"/>
          <w:vertAlign w:val="superscript"/>
        </w:rPr>
        <w:footnoteReference w:id="9"/>
      </w:r>
      <w:r w:rsidRPr="00F56D54">
        <w:rPr>
          <w:rFonts w:eastAsia="Calibri"/>
          <w:sz w:val="26"/>
          <w:szCs w:val="26"/>
        </w:rPr>
        <w:t xml:space="preserve"> the burden of proof must be on the party who proposes a rate increase beyond that sought by the utility.  The mere rejection of evidence contrary to that adduced by the public utility is not an impermissible shifting of the evidentiary burden.  </w:t>
      </w:r>
      <w:r w:rsidRPr="00F56D54">
        <w:rPr>
          <w:rFonts w:eastAsia="Calibri"/>
          <w:i/>
          <w:sz w:val="26"/>
          <w:szCs w:val="26"/>
        </w:rPr>
        <w:t>United States Steel Corp. v. Pa. PUC</w:t>
      </w:r>
      <w:r w:rsidRPr="00F56D54">
        <w:rPr>
          <w:rFonts w:eastAsia="Calibri"/>
          <w:sz w:val="26"/>
          <w:szCs w:val="26"/>
        </w:rPr>
        <w:t>, 456 A.2d 686 (Pa. Cmwlth. 1983).</w:t>
      </w:r>
    </w:p>
    <w:p w14:paraId="1006B275" w14:textId="77777777" w:rsidR="00155774" w:rsidRPr="00F56D54" w:rsidRDefault="00155774" w:rsidP="00F56D54">
      <w:pPr>
        <w:widowControl/>
        <w:tabs>
          <w:tab w:val="left" w:pos="-720"/>
        </w:tabs>
        <w:spacing w:line="360" w:lineRule="auto"/>
        <w:ind w:firstLine="1440"/>
        <w:contextualSpacing/>
        <w:rPr>
          <w:rFonts w:eastAsia="Calibri"/>
          <w:sz w:val="26"/>
          <w:szCs w:val="26"/>
        </w:rPr>
      </w:pPr>
    </w:p>
    <w:p w14:paraId="6BF8FCFB" w14:textId="77777777" w:rsidR="00155774" w:rsidRPr="00F56D54" w:rsidRDefault="00155774" w:rsidP="00F56D54">
      <w:pPr>
        <w:widowControl/>
        <w:tabs>
          <w:tab w:val="left" w:pos="-720"/>
        </w:tabs>
        <w:spacing w:line="360" w:lineRule="auto"/>
        <w:ind w:firstLine="1440"/>
        <w:contextualSpacing/>
        <w:rPr>
          <w:rFonts w:eastAsia="Calibri"/>
          <w:sz w:val="26"/>
          <w:szCs w:val="26"/>
        </w:rPr>
      </w:pPr>
      <w:r w:rsidRPr="00F56D54">
        <w:rPr>
          <w:rFonts w:eastAsia="Calibri"/>
          <w:sz w:val="26"/>
          <w:szCs w:val="26"/>
        </w:rPr>
        <w:t xml:space="preserve">In analyzing a proposed general rate increase, the Commission determines a rate of return to be applied to a rate base measured by the aggregate value of all the utility’s property used and useful in the public service.  The Commission determines a proper rate of return by calculating the utility’s capital structure and the cost of the different types of capital during the period in issue.  The Commission is granted wide discretion, because of its administrative expertise, in determining the cost of capital.  </w:t>
      </w:r>
      <w:r w:rsidRPr="00F56D54">
        <w:rPr>
          <w:rFonts w:eastAsia="Calibri"/>
          <w:i/>
          <w:sz w:val="26"/>
          <w:szCs w:val="26"/>
        </w:rPr>
        <w:t>Equitable Gas Co. v. Pa. PUC</w:t>
      </w:r>
      <w:r w:rsidRPr="00F56D54">
        <w:rPr>
          <w:rFonts w:eastAsia="Calibri"/>
          <w:sz w:val="26"/>
          <w:szCs w:val="26"/>
        </w:rPr>
        <w:t>, 405 A.2d 1055, 1059 (Pa. Cmwlth. 1979) (determination of cost of capital is basically a matter of judgment which should be left to the regulatory agency and not disturbed absent an abuse of discretion).</w:t>
      </w:r>
    </w:p>
    <w:p w14:paraId="4AC36CF1" w14:textId="5CBC47A0" w:rsidR="002863A0" w:rsidRPr="00F56D54" w:rsidRDefault="002863A0" w:rsidP="00F56D54">
      <w:pPr>
        <w:keepNext/>
        <w:keepLines/>
        <w:widowControl/>
        <w:spacing w:line="360" w:lineRule="auto"/>
        <w:contextualSpacing/>
        <w:rPr>
          <w:b/>
          <w:sz w:val="26"/>
          <w:szCs w:val="26"/>
        </w:rPr>
      </w:pPr>
    </w:p>
    <w:p w14:paraId="3E149BBE" w14:textId="41486DFD" w:rsidR="003B3F33" w:rsidRPr="00F56D54" w:rsidRDefault="003B3F33" w:rsidP="00F56D54">
      <w:pPr>
        <w:pStyle w:val="Heading2"/>
        <w:widowControl/>
        <w:ind w:hanging="720"/>
      </w:pPr>
      <w:bookmarkStart w:id="6" w:name="_Toc68586946"/>
      <w:r w:rsidRPr="00F56D54">
        <w:t>Settlements Must Serve the Public Interest</w:t>
      </w:r>
      <w:bookmarkEnd w:id="6"/>
    </w:p>
    <w:p w14:paraId="007B4A7D" w14:textId="6D610133" w:rsidR="003B3F33" w:rsidRPr="00F56D54" w:rsidRDefault="003B3F33" w:rsidP="00F56D54">
      <w:pPr>
        <w:keepNext/>
        <w:keepLines/>
        <w:widowControl/>
        <w:spacing w:line="360" w:lineRule="auto"/>
        <w:contextualSpacing/>
        <w:rPr>
          <w:b/>
          <w:sz w:val="26"/>
          <w:szCs w:val="26"/>
        </w:rPr>
      </w:pPr>
    </w:p>
    <w:p w14:paraId="7DC5CEBC" w14:textId="34EA88BB" w:rsidR="003B3F33" w:rsidRPr="00F56D54" w:rsidRDefault="003B3F33" w:rsidP="00F56D54">
      <w:pPr>
        <w:keepNext/>
        <w:widowControl/>
        <w:spacing w:line="360" w:lineRule="auto"/>
        <w:ind w:firstLine="1440"/>
        <w:contextualSpacing/>
        <w:rPr>
          <w:sz w:val="26"/>
          <w:szCs w:val="26"/>
        </w:rPr>
      </w:pPr>
      <w:r w:rsidRPr="00F56D54">
        <w:rPr>
          <w:sz w:val="26"/>
          <w:szCs w:val="26"/>
        </w:rPr>
        <w:t>The policy of the Commission is to encourage settlements, and the Commission has stated that settlement rates are often preferable to those achieved at the conclusion of a fully litigated proceeding.  52 Pa. Code §§ 5.231, 69.401.  A full settlement of all the issues in a proceeding eliminates the time, effort</w:t>
      </w:r>
      <w:r w:rsidR="00717142" w:rsidRPr="00F56D54">
        <w:rPr>
          <w:sz w:val="26"/>
          <w:szCs w:val="26"/>
        </w:rPr>
        <w:t>,</w:t>
      </w:r>
      <w:r w:rsidRPr="00F56D54">
        <w:rPr>
          <w:sz w:val="26"/>
          <w:szCs w:val="26"/>
        </w:rPr>
        <w:t xml:space="preserve"> and expense that otherwise would have been used in litigating the proceeding, while a partial settlement </w:t>
      </w:r>
      <w:r w:rsidRPr="00F56D54">
        <w:rPr>
          <w:sz w:val="26"/>
          <w:szCs w:val="26"/>
        </w:rPr>
        <w:lastRenderedPageBreak/>
        <w:t>may significantly reduce the time, effort</w:t>
      </w:r>
      <w:r w:rsidR="00717142" w:rsidRPr="00F56D54">
        <w:rPr>
          <w:sz w:val="26"/>
          <w:szCs w:val="26"/>
        </w:rPr>
        <w:t>,</w:t>
      </w:r>
      <w:r w:rsidRPr="00F56D54">
        <w:rPr>
          <w:sz w:val="26"/>
          <w:szCs w:val="26"/>
        </w:rPr>
        <w:t xml:space="preserve"> and expense of litigating a case.  A settlement, whether whole or partial, benefits not only the named parties directly, but, indirectly, all customers of the public utility.  </w:t>
      </w:r>
    </w:p>
    <w:p w14:paraId="2898F11E" w14:textId="77777777" w:rsidR="003B3F33" w:rsidRPr="00F56D54" w:rsidRDefault="003B3F33" w:rsidP="00F56D54">
      <w:pPr>
        <w:widowControl/>
        <w:suppressAutoHyphens/>
        <w:spacing w:line="360" w:lineRule="auto"/>
        <w:ind w:firstLine="1440"/>
        <w:contextualSpacing/>
        <w:rPr>
          <w:sz w:val="26"/>
          <w:szCs w:val="26"/>
        </w:rPr>
      </w:pPr>
    </w:p>
    <w:p w14:paraId="0E66D841" w14:textId="0A970726" w:rsidR="003B3F33" w:rsidRPr="00F56D54" w:rsidRDefault="00406DF0" w:rsidP="00F56D54">
      <w:pPr>
        <w:widowControl/>
        <w:spacing w:line="360" w:lineRule="auto"/>
        <w:ind w:firstLine="1440"/>
        <w:contextualSpacing/>
        <w:rPr>
          <w:sz w:val="26"/>
          <w:szCs w:val="26"/>
        </w:rPr>
      </w:pPr>
      <w:r w:rsidRPr="00F56D54">
        <w:rPr>
          <w:sz w:val="26"/>
          <w:szCs w:val="26"/>
        </w:rPr>
        <w:t xml:space="preserve">In this case, both the Revenue Settlement and the Rate Design Settlement are </w:t>
      </w:r>
      <w:r w:rsidR="003B3F33" w:rsidRPr="00F56D54">
        <w:rPr>
          <w:sz w:val="26"/>
          <w:szCs w:val="26"/>
        </w:rPr>
        <w:t>“black box” settlement</w:t>
      </w:r>
      <w:r w:rsidR="00C56B26" w:rsidRPr="00F56D54">
        <w:rPr>
          <w:sz w:val="26"/>
          <w:szCs w:val="26"/>
        </w:rPr>
        <w:t>s</w:t>
      </w:r>
      <w:r w:rsidR="003B3F33" w:rsidRPr="00F56D54">
        <w:rPr>
          <w:sz w:val="26"/>
          <w:szCs w:val="26"/>
        </w:rPr>
        <w:t xml:space="preserve">.  This means that the </w:t>
      </w:r>
      <w:r w:rsidR="00F20CCE">
        <w:rPr>
          <w:sz w:val="26"/>
          <w:szCs w:val="26"/>
        </w:rPr>
        <w:t xml:space="preserve">Active </w:t>
      </w:r>
      <w:r w:rsidR="00CF0CD9" w:rsidRPr="00F56D54">
        <w:rPr>
          <w:sz w:val="26"/>
          <w:szCs w:val="26"/>
        </w:rPr>
        <w:t>Parti</w:t>
      </w:r>
      <w:r w:rsidR="00CF0CD9">
        <w:rPr>
          <w:sz w:val="26"/>
          <w:szCs w:val="26"/>
        </w:rPr>
        <w:t>es</w:t>
      </w:r>
      <w:r w:rsidR="003B3F33" w:rsidRPr="00F56D54">
        <w:rPr>
          <w:sz w:val="26"/>
          <w:szCs w:val="26"/>
        </w:rPr>
        <w:t xml:space="preserve"> were not able to agree on every element of the revenue requirement calculation.  The Commission has recognized that “black box” settlements can serve an important purpose in reaching consensus in rate cases:</w:t>
      </w:r>
    </w:p>
    <w:p w14:paraId="1A82EC9D" w14:textId="77777777" w:rsidR="003B3F33" w:rsidRPr="00F56D54" w:rsidRDefault="003B3F33" w:rsidP="00F56D54">
      <w:pPr>
        <w:widowControl/>
        <w:ind w:left="1440" w:right="1440"/>
        <w:contextualSpacing/>
        <w:rPr>
          <w:sz w:val="26"/>
          <w:szCs w:val="26"/>
        </w:rPr>
      </w:pPr>
    </w:p>
    <w:p w14:paraId="2BBC02F3" w14:textId="187B84DB" w:rsidR="003B3F33" w:rsidRPr="00F56D54" w:rsidRDefault="003B3F33" w:rsidP="00F56D54">
      <w:pPr>
        <w:widowControl/>
        <w:ind w:left="1440" w:right="1440"/>
        <w:contextualSpacing/>
        <w:rPr>
          <w:sz w:val="26"/>
          <w:szCs w:val="26"/>
        </w:rPr>
      </w:pPr>
      <w:r w:rsidRPr="00F56D54">
        <w:rPr>
          <w:sz w:val="26"/>
          <w:szCs w:val="26"/>
        </w:rPr>
        <w:t xml:space="preserve">We have historically permitted the use of “black box” settlements as a means of promoting settlement among the parties in contentious base rate proceedings.  Settlement of rate cases saves a significant amount of time and expense for customers, companies, and the Commission and often results in alternatives that may not have been realized during the litigation process.  Determining a company’s revenue requirement is a calculation involving many complex and interrelated adjustments that affect expenses, depreciation, rate base, </w:t>
      </w:r>
      <w:proofErr w:type="gramStart"/>
      <w:r w:rsidRPr="00F56D54">
        <w:rPr>
          <w:sz w:val="26"/>
          <w:szCs w:val="26"/>
        </w:rPr>
        <w:t>taxes</w:t>
      </w:r>
      <w:proofErr w:type="gramEnd"/>
      <w:r w:rsidRPr="00F56D54">
        <w:rPr>
          <w:sz w:val="26"/>
          <w:szCs w:val="26"/>
        </w:rPr>
        <w:t xml:space="preserve"> and the company’s cost of capital.  Reaching an agreement between various parties on each component of a rate increase can be difficult and impractical in many cases.  </w:t>
      </w:r>
    </w:p>
    <w:p w14:paraId="3EEE66C6" w14:textId="77777777" w:rsidR="007477BC" w:rsidRPr="00F56D54" w:rsidRDefault="007477BC" w:rsidP="00A93048">
      <w:pPr>
        <w:widowControl/>
        <w:spacing w:line="360" w:lineRule="auto"/>
        <w:ind w:left="1440" w:right="1440"/>
        <w:contextualSpacing/>
        <w:rPr>
          <w:sz w:val="26"/>
          <w:szCs w:val="26"/>
        </w:rPr>
      </w:pPr>
    </w:p>
    <w:p w14:paraId="6DCD7A94" w14:textId="3589B83F" w:rsidR="003B3F33" w:rsidRPr="00F56D54" w:rsidRDefault="003B3F33" w:rsidP="00F56D54">
      <w:pPr>
        <w:widowControl/>
        <w:spacing w:line="360" w:lineRule="auto"/>
        <w:rPr>
          <w:rFonts w:eastAsiaTheme="minorHAnsi"/>
          <w:color w:val="000000"/>
          <w:sz w:val="26"/>
          <w:szCs w:val="26"/>
        </w:rPr>
      </w:pPr>
      <w:r w:rsidRPr="00F56D54">
        <w:rPr>
          <w:rFonts w:eastAsiaTheme="minorHAnsi"/>
          <w:i/>
          <w:color w:val="000000"/>
          <w:sz w:val="26"/>
          <w:szCs w:val="26"/>
        </w:rPr>
        <w:t>Pa.</w:t>
      </w:r>
      <w:r w:rsidRPr="00F56D54">
        <w:rPr>
          <w:rFonts w:eastAsiaTheme="minorHAnsi"/>
          <w:color w:val="000000"/>
          <w:sz w:val="26"/>
          <w:szCs w:val="26"/>
        </w:rPr>
        <w:t xml:space="preserve"> </w:t>
      </w:r>
      <w:r w:rsidRPr="00F56D54">
        <w:rPr>
          <w:rFonts w:eastAsiaTheme="minorHAnsi"/>
          <w:i/>
          <w:color w:val="000000"/>
          <w:sz w:val="26"/>
          <w:szCs w:val="26"/>
        </w:rPr>
        <w:t>PUC v. Peoples TWP LLC</w:t>
      </w:r>
      <w:r w:rsidRPr="00F56D54">
        <w:rPr>
          <w:rFonts w:eastAsiaTheme="minorHAnsi"/>
          <w:color w:val="000000"/>
          <w:sz w:val="26"/>
          <w:szCs w:val="26"/>
        </w:rPr>
        <w:t>, Docket No. R-2013-2355886 (Order entered December</w:t>
      </w:r>
      <w:r w:rsidR="00FE7E7B" w:rsidRPr="00F56D54">
        <w:rPr>
          <w:rFonts w:eastAsiaTheme="minorHAnsi"/>
          <w:color w:val="000000"/>
          <w:sz w:val="26"/>
          <w:szCs w:val="26"/>
        </w:rPr>
        <w:t> </w:t>
      </w:r>
      <w:r w:rsidRPr="00F56D54">
        <w:rPr>
          <w:rFonts w:eastAsiaTheme="minorHAnsi"/>
          <w:color w:val="000000"/>
          <w:sz w:val="26"/>
          <w:szCs w:val="26"/>
        </w:rPr>
        <w:t>19, 2013)</w:t>
      </w:r>
      <w:r w:rsidR="00DF516E" w:rsidRPr="00F56D54">
        <w:rPr>
          <w:rFonts w:eastAsiaTheme="minorHAnsi"/>
          <w:color w:val="000000"/>
          <w:sz w:val="26"/>
          <w:szCs w:val="26"/>
        </w:rPr>
        <w:t xml:space="preserve"> (</w:t>
      </w:r>
      <w:r w:rsidR="00DF516E" w:rsidRPr="00F56D54">
        <w:rPr>
          <w:rFonts w:eastAsiaTheme="minorHAnsi"/>
          <w:i/>
          <w:iCs/>
          <w:color w:val="000000"/>
          <w:sz w:val="26"/>
          <w:szCs w:val="26"/>
        </w:rPr>
        <w:t>Peoples TWP</w:t>
      </w:r>
      <w:r w:rsidR="00DF516E" w:rsidRPr="00F56D54">
        <w:rPr>
          <w:rFonts w:eastAsiaTheme="minorHAnsi"/>
          <w:color w:val="000000"/>
          <w:sz w:val="26"/>
          <w:szCs w:val="26"/>
        </w:rPr>
        <w:t>)</w:t>
      </w:r>
      <w:r w:rsidRPr="00F56D54">
        <w:rPr>
          <w:rFonts w:eastAsiaTheme="minorHAnsi"/>
          <w:color w:val="000000"/>
          <w:sz w:val="26"/>
          <w:szCs w:val="26"/>
        </w:rPr>
        <w:t>, at 28 (citations omitted).</w:t>
      </w:r>
    </w:p>
    <w:p w14:paraId="7EE465D1" w14:textId="77777777" w:rsidR="003B3F33" w:rsidRPr="00F56D54" w:rsidRDefault="003B3F33" w:rsidP="00F56D54">
      <w:pPr>
        <w:widowControl/>
        <w:suppressAutoHyphens/>
        <w:spacing w:line="360" w:lineRule="auto"/>
        <w:contextualSpacing/>
        <w:rPr>
          <w:sz w:val="26"/>
          <w:szCs w:val="26"/>
        </w:rPr>
      </w:pPr>
    </w:p>
    <w:p w14:paraId="1B22EC0E" w14:textId="77777777" w:rsidR="003B3F33" w:rsidRPr="00F56D54" w:rsidRDefault="003B3F33" w:rsidP="00F56D54">
      <w:pPr>
        <w:widowControl/>
        <w:suppressAutoHyphens/>
        <w:spacing w:line="360" w:lineRule="auto"/>
        <w:ind w:firstLine="1440"/>
        <w:contextualSpacing/>
        <w:rPr>
          <w:sz w:val="26"/>
          <w:szCs w:val="26"/>
        </w:rPr>
      </w:pPr>
      <w:r w:rsidRPr="00F56D54">
        <w:rPr>
          <w:sz w:val="26"/>
          <w:szCs w:val="26"/>
        </w:rPr>
        <w:t xml:space="preserve">Rate increase proceedings are expensive to litigate, and the reasonable cost of such litigation is an operating expense recovered in the rates approved by the Commission.  Partial or full settlements allow the parties to avoid the substantial costs of preparing and serving testimony and the cross-examination of witnesses in lengthy hearings, the preparation and service of briefs, reply briefs, exceptions and replies to exceptions, together with the briefs and reply briefs necessitated by any appeal of the Commission’s decision, yielding significant expense savings for the company’s </w:t>
      </w:r>
      <w:r w:rsidRPr="00F56D54">
        <w:rPr>
          <w:sz w:val="26"/>
          <w:szCs w:val="26"/>
        </w:rPr>
        <w:lastRenderedPageBreak/>
        <w:t>customers.  For this and other sound reasons, settlements are encouraged by long-standing Commission policy.</w:t>
      </w:r>
    </w:p>
    <w:p w14:paraId="25C68292" w14:textId="77777777" w:rsidR="003B3F33" w:rsidRPr="00F56D54" w:rsidRDefault="003B3F33" w:rsidP="00F56D54">
      <w:pPr>
        <w:widowControl/>
        <w:suppressAutoHyphens/>
        <w:spacing w:line="360" w:lineRule="auto"/>
        <w:ind w:firstLine="1440"/>
        <w:contextualSpacing/>
        <w:rPr>
          <w:sz w:val="26"/>
          <w:szCs w:val="26"/>
        </w:rPr>
      </w:pPr>
    </w:p>
    <w:p w14:paraId="4B8BD854" w14:textId="6395C9D7" w:rsidR="003B3F33" w:rsidRPr="00F56D54" w:rsidRDefault="003B3F33" w:rsidP="00F56D54">
      <w:pPr>
        <w:widowControl/>
        <w:tabs>
          <w:tab w:val="left" w:pos="-720"/>
        </w:tabs>
        <w:spacing w:line="360" w:lineRule="auto"/>
        <w:ind w:firstLine="1440"/>
        <w:rPr>
          <w:rFonts w:eastAsia="Calibri"/>
          <w:snapToGrid w:val="0"/>
          <w:sz w:val="26"/>
          <w:szCs w:val="26"/>
        </w:rPr>
      </w:pPr>
      <w:r w:rsidRPr="00F56D54">
        <w:rPr>
          <w:sz w:val="26"/>
          <w:szCs w:val="26"/>
        </w:rPr>
        <w:t xml:space="preserve">Despite the policy favoring settlements, the Commission does not simply rubber stamp settlements without further inquiry.  </w:t>
      </w:r>
      <w:proofErr w:type="gramStart"/>
      <w:r w:rsidRPr="00F56D54">
        <w:rPr>
          <w:sz w:val="26"/>
          <w:szCs w:val="26"/>
        </w:rPr>
        <w:t>In order to</w:t>
      </w:r>
      <w:proofErr w:type="gramEnd"/>
      <w:r w:rsidRPr="00F56D54">
        <w:rPr>
          <w:sz w:val="26"/>
          <w:szCs w:val="26"/>
        </w:rPr>
        <w:t xml:space="preserve"> accept a settlement such as th</w:t>
      </w:r>
      <w:r w:rsidR="008D3AA9">
        <w:rPr>
          <w:sz w:val="26"/>
          <w:szCs w:val="26"/>
        </w:rPr>
        <w:t>at</w:t>
      </w:r>
      <w:r w:rsidRPr="00F56D54">
        <w:rPr>
          <w:sz w:val="26"/>
          <w:szCs w:val="26"/>
        </w:rPr>
        <w:t xml:space="preserve"> proposed here, the Commission must determine that the proposed terms and conditions are in the public interest.  </w:t>
      </w:r>
      <w:r w:rsidRPr="00F56D54">
        <w:rPr>
          <w:i/>
          <w:sz w:val="26"/>
          <w:szCs w:val="26"/>
        </w:rPr>
        <w:t>Pa. PUC v. York Water Co.</w:t>
      </w:r>
      <w:r w:rsidRPr="00F56D54">
        <w:rPr>
          <w:sz w:val="26"/>
          <w:szCs w:val="26"/>
        </w:rPr>
        <w:t>, Docket No. R</w:t>
      </w:r>
      <w:r w:rsidRPr="00F56D54">
        <w:rPr>
          <w:sz w:val="26"/>
          <w:szCs w:val="26"/>
        </w:rPr>
        <w:noBreakHyphen/>
        <w:t xml:space="preserve">00049165 (Order entered October 4, 2004); </w:t>
      </w:r>
      <w:r w:rsidRPr="00F56D54">
        <w:rPr>
          <w:i/>
          <w:sz w:val="26"/>
          <w:szCs w:val="26"/>
        </w:rPr>
        <w:t>Pa. PUC v. C. S. Water and Sewer Assoc.</w:t>
      </w:r>
      <w:r w:rsidRPr="00F56D54">
        <w:rPr>
          <w:sz w:val="26"/>
          <w:szCs w:val="26"/>
        </w:rPr>
        <w:t>, 74 Pa. P.U.C. 767 (1991)</w:t>
      </w:r>
      <w:r w:rsidR="00893E22" w:rsidRPr="00F56D54">
        <w:rPr>
          <w:sz w:val="26"/>
          <w:szCs w:val="26"/>
        </w:rPr>
        <w:t xml:space="preserve"> (</w:t>
      </w:r>
      <w:bookmarkStart w:id="7" w:name="_Hlk67038413"/>
      <w:r w:rsidR="00893E22" w:rsidRPr="00F56D54">
        <w:rPr>
          <w:i/>
          <w:iCs/>
          <w:sz w:val="26"/>
          <w:szCs w:val="26"/>
        </w:rPr>
        <w:t>CS Water and Sewer</w:t>
      </w:r>
      <w:bookmarkEnd w:id="7"/>
      <w:r w:rsidR="00893E22" w:rsidRPr="00F56D54">
        <w:rPr>
          <w:sz w:val="26"/>
          <w:szCs w:val="26"/>
        </w:rPr>
        <w:t>)</w:t>
      </w:r>
      <w:r w:rsidRPr="00F56D54">
        <w:rPr>
          <w:sz w:val="26"/>
          <w:szCs w:val="26"/>
        </w:rPr>
        <w:t>.  The focus of the inquiry for determining whether a proposed settlement should be approved by the Commission is whether the proposed terms and conditions foster, promote</w:t>
      </w:r>
      <w:r w:rsidR="00717142" w:rsidRPr="00F56D54">
        <w:rPr>
          <w:sz w:val="26"/>
          <w:szCs w:val="26"/>
        </w:rPr>
        <w:t>,</w:t>
      </w:r>
      <w:r w:rsidRPr="00F56D54">
        <w:rPr>
          <w:sz w:val="26"/>
          <w:szCs w:val="26"/>
        </w:rPr>
        <w:t xml:space="preserve"> and serve the public interest.  </w:t>
      </w:r>
      <w:r w:rsidRPr="00F56D54">
        <w:rPr>
          <w:i/>
          <w:sz w:val="26"/>
          <w:szCs w:val="26"/>
        </w:rPr>
        <w:t>Pa. PUC, et al. v. City of Lancaster – Bureau of Water</w:t>
      </w:r>
      <w:r w:rsidRPr="00F56D54">
        <w:rPr>
          <w:sz w:val="26"/>
          <w:szCs w:val="26"/>
        </w:rPr>
        <w:t xml:space="preserve">, Docket Nos. R-2010-2179103, </w:t>
      </w:r>
      <w:r w:rsidRPr="00F56D54">
        <w:rPr>
          <w:i/>
          <w:sz w:val="26"/>
          <w:szCs w:val="26"/>
        </w:rPr>
        <w:t>et</w:t>
      </w:r>
      <w:r w:rsidR="00FE7E7B" w:rsidRPr="00F56D54">
        <w:rPr>
          <w:i/>
          <w:sz w:val="26"/>
          <w:szCs w:val="26"/>
        </w:rPr>
        <w:t> </w:t>
      </w:r>
      <w:r w:rsidRPr="00F56D54">
        <w:rPr>
          <w:i/>
          <w:sz w:val="26"/>
          <w:szCs w:val="26"/>
        </w:rPr>
        <w:t>al</w:t>
      </w:r>
      <w:r w:rsidRPr="00F56D54">
        <w:rPr>
          <w:sz w:val="26"/>
          <w:szCs w:val="26"/>
        </w:rPr>
        <w:t xml:space="preserve">. (Order entered July 14, 2011), citing </w:t>
      </w:r>
      <w:r w:rsidRPr="00F56D54">
        <w:rPr>
          <w:i/>
          <w:sz w:val="26"/>
          <w:szCs w:val="26"/>
        </w:rPr>
        <w:t>Warner v. GTE North, Inc</w:t>
      </w:r>
      <w:r w:rsidRPr="00F56D54">
        <w:rPr>
          <w:sz w:val="26"/>
          <w:szCs w:val="26"/>
        </w:rPr>
        <w:t>., Docket No. C</w:t>
      </w:r>
      <w:r w:rsidRPr="00F56D54">
        <w:rPr>
          <w:sz w:val="26"/>
          <w:szCs w:val="26"/>
        </w:rPr>
        <w:noBreakHyphen/>
        <w:t xml:space="preserve">00902815 (Order entered April 1, 1996) and </w:t>
      </w:r>
      <w:bookmarkStart w:id="8" w:name="_Hlk66353704"/>
      <w:r w:rsidRPr="00F56D54">
        <w:rPr>
          <w:i/>
          <w:sz w:val="26"/>
          <w:szCs w:val="26"/>
        </w:rPr>
        <w:t>CS Water and Sewer</w:t>
      </w:r>
      <w:bookmarkEnd w:id="8"/>
      <w:r w:rsidRPr="00F56D54">
        <w:rPr>
          <w:i/>
          <w:sz w:val="26"/>
          <w:szCs w:val="26"/>
        </w:rPr>
        <w:t xml:space="preserve">.  </w:t>
      </w:r>
      <w:r w:rsidR="00D03820" w:rsidRPr="00F56D54">
        <w:rPr>
          <w:iCs/>
          <w:sz w:val="26"/>
          <w:szCs w:val="26"/>
        </w:rPr>
        <w:t>To the extent</w:t>
      </w:r>
      <w:r w:rsidR="002943BB">
        <w:rPr>
          <w:iCs/>
          <w:sz w:val="26"/>
          <w:szCs w:val="26"/>
        </w:rPr>
        <w:t xml:space="preserve"> the J</w:t>
      </w:r>
      <w:r w:rsidRPr="00F56D54">
        <w:rPr>
          <w:rFonts w:eastAsia="Calibri"/>
          <w:snapToGrid w:val="0"/>
          <w:sz w:val="26"/>
          <w:szCs w:val="26"/>
        </w:rPr>
        <w:t xml:space="preserve">oint </w:t>
      </w:r>
      <w:r w:rsidR="000B12E8">
        <w:rPr>
          <w:rFonts w:eastAsia="Calibri"/>
          <w:snapToGrid w:val="0"/>
          <w:sz w:val="26"/>
          <w:szCs w:val="26"/>
        </w:rPr>
        <w:t>P</w:t>
      </w:r>
      <w:r w:rsidRPr="00F56D54">
        <w:rPr>
          <w:rFonts w:eastAsia="Calibri"/>
          <w:snapToGrid w:val="0"/>
          <w:sz w:val="26"/>
          <w:szCs w:val="26"/>
        </w:rPr>
        <w:t>etitioners request</w:t>
      </w:r>
      <w:r w:rsidR="007477BC" w:rsidRPr="00F56D54">
        <w:rPr>
          <w:rFonts w:eastAsia="Calibri"/>
          <w:snapToGrid w:val="0"/>
          <w:sz w:val="26"/>
          <w:szCs w:val="26"/>
        </w:rPr>
        <w:t xml:space="preserve"> that</w:t>
      </w:r>
      <w:r w:rsidRPr="00F56D54">
        <w:rPr>
          <w:rFonts w:eastAsia="Calibri"/>
          <w:snapToGrid w:val="0"/>
          <w:sz w:val="26"/>
          <w:szCs w:val="26"/>
        </w:rPr>
        <w:t xml:space="preserve"> the Commission enter </w:t>
      </w:r>
      <w:r w:rsidRPr="00F56D54">
        <w:rPr>
          <w:bCs/>
          <w:sz w:val="26"/>
          <w:szCs w:val="26"/>
        </w:rPr>
        <w:t xml:space="preserve">an order in this proceeding approving </w:t>
      </w:r>
      <w:r w:rsidR="00AA3BE3" w:rsidRPr="00F56D54">
        <w:rPr>
          <w:bCs/>
          <w:sz w:val="26"/>
          <w:szCs w:val="26"/>
        </w:rPr>
        <w:t xml:space="preserve">the Revenue Settlement and the Rate Design Settlement </w:t>
      </w:r>
      <w:r w:rsidRPr="00F56D54">
        <w:rPr>
          <w:bCs/>
          <w:sz w:val="26"/>
          <w:szCs w:val="26"/>
        </w:rPr>
        <w:t>without modification, they share</w:t>
      </w:r>
      <w:r w:rsidRPr="00F56D54">
        <w:rPr>
          <w:sz w:val="26"/>
          <w:szCs w:val="26"/>
        </w:rPr>
        <w:t xml:space="preserve"> the burden of proof to show that the terms and conditions of the </w:t>
      </w:r>
      <w:r w:rsidR="00D9219F" w:rsidRPr="00F56D54">
        <w:rPr>
          <w:sz w:val="26"/>
          <w:szCs w:val="26"/>
        </w:rPr>
        <w:t xml:space="preserve">proposed settlements </w:t>
      </w:r>
      <w:r w:rsidRPr="00F56D54">
        <w:rPr>
          <w:sz w:val="26"/>
          <w:szCs w:val="26"/>
        </w:rPr>
        <w:t xml:space="preserve">are in the public interest.  </w:t>
      </w:r>
      <w:r w:rsidRPr="00F56D54">
        <w:rPr>
          <w:i/>
          <w:iCs/>
          <w:sz w:val="26"/>
          <w:szCs w:val="26"/>
        </w:rPr>
        <w:t>See</w:t>
      </w:r>
      <w:r w:rsidRPr="00F56D54">
        <w:rPr>
          <w:sz w:val="26"/>
          <w:szCs w:val="26"/>
        </w:rPr>
        <w:t xml:space="preserve"> </w:t>
      </w:r>
      <w:r w:rsidRPr="00F56D54">
        <w:rPr>
          <w:rFonts w:eastAsia="Calibri"/>
          <w:snapToGrid w:val="0"/>
          <w:sz w:val="26"/>
          <w:szCs w:val="26"/>
        </w:rPr>
        <w:t>66 Pa. C.S. § 332(a) (“Except as may be otherwise provided in section 315…or other provisions of this part . . . the proponent of a rule or order has the burden of proof.”)</w:t>
      </w:r>
    </w:p>
    <w:p w14:paraId="7127D7D3" w14:textId="390D42DB" w:rsidR="001D314E" w:rsidRPr="00F56D54" w:rsidRDefault="001D314E" w:rsidP="00F56D54">
      <w:pPr>
        <w:widowControl/>
        <w:tabs>
          <w:tab w:val="left" w:pos="-720"/>
        </w:tabs>
        <w:spacing w:line="360" w:lineRule="auto"/>
        <w:ind w:firstLine="1440"/>
        <w:rPr>
          <w:rFonts w:eastAsia="Calibri"/>
          <w:snapToGrid w:val="0"/>
          <w:sz w:val="26"/>
          <w:szCs w:val="26"/>
        </w:rPr>
      </w:pPr>
    </w:p>
    <w:p w14:paraId="4CCA9104" w14:textId="309A3A7D" w:rsidR="001D314E" w:rsidRPr="00F56D54" w:rsidRDefault="001D314E" w:rsidP="00F56D54">
      <w:pPr>
        <w:pStyle w:val="Heading2"/>
        <w:widowControl/>
        <w:ind w:hanging="720"/>
      </w:pPr>
      <w:r w:rsidRPr="00F56D54">
        <w:t xml:space="preserve">Other </w:t>
      </w:r>
      <w:r w:rsidR="00D767EE" w:rsidRPr="00F56D54">
        <w:t>A</w:t>
      </w:r>
      <w:r w:rsidRPr="00F56D54">
        <w:t>p</w:t>
      </w:r>
      <w:r w:rsidR="00D767EE" w:rsidRPr="00F56D54">
        <w:t>plicable Legal Standards</w:t>
      </w:r>
    </w:p>
    <w:p w14:paraId="34D6EE83" w14:textId="77777777" w:rsidR="003B3F33" w:rsidRPr="00F56D54" w:rsidRDefault="003B3F33" w:rsidP="00F56D54">
      <w:pPr>
        <w:keepNext/>
        <w:keepLines/>
        <w:widowControl/>
        <w:spacing w:line="360" w:lineRule="auto"/>
        <w:contextualSpacing/>
        <w:rPr>
          <w:b/>
          <w:sz w:val="26"/>
          <w:szCs w:val="26"/>
        </w:rPr>
      </w:pPr>
    </w:p>
    <w:p w14:paraId="25C26552" w14:textId="30D26194" w:rsidR="00155774" w:rsidRPr="00F56D54" w:rsidRDefault="00155774" w:rsidP="00F56D54">
      <w:pPr>
        <w:widowControl/>
        <w:spacing w:line="360" w:lineRule="auto"/>
        <w:ind w:firstLine="1440"/>
        <w:contextualSpacing/>
        <w:rPr>
          <w:sz w:val="26"/>
          <w:szCs w:val="26"/>
        </w:rPr>
      </w:pPr>
      <w:r w:rsidRPr="00F56D54">
        <w:rPr>
          <w:sz w:val="26"/>
          <w:szCs w:val="26"/>
        </w:rPr>
        <w:t xml:space="preserve">As a preliminary matter, we note that any issue or exception that we do not specifically delineate shall be deemed to have been duly considered and denied without further discussion.  We are not required to consider expressly or at length each contention or argument raised by the parties.  </w:t>
      </w:r>
      <w:r w:rsidRPr="00F56D54">
        <w:rPr>
          <w:i/>
          <w:sz w:val="26"/>
          <w:szCs w:val="26"/>
        </w:rPr>
        <w:t>Consolidated Rail Corp. v. Pa. PUC</w:t>
      </w:r>
      <w:r w:rsidRPr="00F56D54">
        <w:rPr>
          <w:sz w:val="26"/>
          <w:szCs w:val="26"/>
        </w:rPr>
        <w:t xml:space="preserve">, 625 A.2d 741 (Pa. Cmwlth. 1993); </w:t>
      </w:r>
      <w:r w:rsidRPr="00F56D54">
        <w:rPr>
          <w:i/>
          <w:sz w:val="26"/>
          <w:szCs w:val="26"/>
        </w:rPr>
        <w:t>also see,</w:t>
      </w:r>
      <w:r w:rsidRPr="00F56D54">
        <w:rPr>
          <w:sz w:val="26"/>
          <w:szCs w:val="26"/>
        </w:rPr>
        <w:t xml:space="preserve"> </w:t>
      </w:r>
      <w:r w:rsidRPr="00F56D54">
        <w:rPr>
          <w:i/>
          <w:sz w:val="26"/>
          <w:szCs w:val="26"/>
        </w:rPr>
        <w:t>generally</w:t>
      </w:r>
      <w:r w:rsidRPr="00F56D54">
        <w:rPr>
          <w:sz w:val="26"/>
          <w:szCs w:val="26"/>
        </w:rPr>
        <w:t xml:space="preserve">, </w:t>
      </w:r>
      <w:r w:rsidRPr="00F56D54">
        <w:rPr>
          <w:i/>
          <w:sz w:val="26"/>
          <w:szCs w:val="26"/>
        </w:rPr>
        <w:t>University of Pennsylvania v. Pa. PUC</w:t>
      </w:r>
      <w:r w:rsidRPr="00F56D54">
        <w:rPr>
          <w:sz w:val="26"/>
          <w:szCs w:val="26"/>
        </w:rPr>
        <w:t>, 485</w:t>
      </w:r>
      <w:r w:rsidR="00FE7E7B" w:rsidRPr="00F56D54">
        <w:rPr>
          <w:sz w:val="26"/>
          <w:szCs w:val="26"/>
        </w:rPr>
        <w:t> </w:t>
      </w:r>
      <w:r w:rsidRPr="00F56D54">
        <w:rPr>
          <w:sz w:val="26"/>
          <w:szCs w:val="26"/>
        </w:rPr>
        <w:t>A.2d 1217 (Pa. Cmwlth. 1984).</w:t>
      </w:r>
    </w:p>
    <w:p w14:paraId="2798C1EB" w14:textId="47DBC11D" w:rsidR="004B66E5" w:rsidRPr="00F56D54" w:rsidRDefault="004B66E5" w:rsidP="001F6BA9">
      <w:pPr>
        <w:widowControl/>
        <w:spacing w:line="360" w:lineRule="auto"/>
        <w:ind w:firstLine="1440"/>
        <w:rPr>
          <w:sz w:val="26"/>
          <w:szCs w:val="26"/>
        </w:rPr>
      </w:pPr>
      <w:r w:rsidRPr="00F56D54">
        <w:rPr>
          <w:sz w:val="26"/>
          <w:szCs w:val="26"/>
        </w:rPr>
        <w:lastRenderedPageBreak/>
        <w:t xml:space="preserve">In </w:t>
      </w:r>
      <w:r w:rsidR="007C5D70" w:rsidRPr="00F56D54">
        <w:rPr>
          <w:sz w:val="26"/>
          <w:szCs w:val="26"/>
        </w:rPr>
        <w:t>the</w:t>
      </w:r>
      <w:r w:rsidRPr="00F56D54">
        <w:rPr>
          <w:sz w:val="26"/>
          <w:szCs w:val="26"/>
        </w:rPr>
        <w:t xml:space="preserve"> Recommended Decision, the ALJ reached </w:t>
      </w:r>
      <w:r w:rsidR="00B05869" w:rsidRPr="00F56D54">
        <w:rPr>
          <w:sz w:val="26"/>
          <w:szCs w:val="26"/>
        </w:rPr>
        <w:t>six</w:t>
      </w:r>
      <w:r w:rsidR="002A6456" w:rsidRPr="00F56D54">
        <w:rPr>
          <w:sz w:val="26"/>
          <w:szCs w:val="26"/>
        </w:rPr>
        <w:t xml:space="preserve"> </w:t>
      </w:r>
      <w:r w:rsidRPr="00F56D54">
        <w:rPr>
          <w:sz w:val="26"/>
          <w:szCs w:val="26"/>
        </w:rPr>
        <w:t xml:space="preserve">Conclusions of Law.  R.D. at </w:t>
      </w:r>
      <w:r w:rsidR="00552853" w:rsidRPr="00F56D54">
        <w:rPr>
          <w:sz w:val="26"/>
          <w:szCs w:val="26"/>
        </w:rPr>
        <w:t>42-43</w:t>
      </w:r>
      <w:r w:rsidRPr="00F56D54">
        <w:rPr>
          <w:sz w:val="26"/>
          <w:szCs w:val="26"/>
        </w:rPr>
        <w:t>.  The Conclusions of Law are incorporated herein by reference and are adopted without comment unless they are either expressly or by necessary implication rejected or modified by this Opinion and Order.</w:t>
      </w:r>
    </w:p>
    <w:p w14:paraId="66E42EA7" w14:textId="77777777" w:rsidR="00155774" w:rsidRPr="00F56D54" w:rsidRDefault="00155774" w:rsidP="001F6BA9">
      <w:pPr>
        <w:keepNext/>
        <w:keepLines/>
        <w:widowControl/>
        <w:spacing w:line="360" w:lineRule="auto"/>
        <w:rPr>
          <w:b/>
          <w:sz w:val="26"/>
          <w:szCs w:val="26"/>
        </w:rPr>
      </w:pPr>
    </w:p>
    <w:p w14:paraId="65C7281D" w14:textId="364EF98D" w:rsidR="00D046DE" w:rsidRPr="00F56D54" w:rsidRDefault="0024751F" w:rsidP="001F6BA9">
      <w:pPr>
        <w:pStyle w:val="Heading1"/>
        <w:keepNext/>
      </w:pPr>
      <w:bookmarkStart w:id="9" w:name="_Toc68586947"/>
      <w:r w:rsidRPr="00F56D54">
        <w:t>Joint Petition</w:t>
      </w:r>
      <w:r w:rsidR="006624AA" w:rsidRPr="00F56D54">
        <w:t>s</w:t>
      </w:r>
      <w:r w:rsidRPr="00F56D54">
        <w:t xml:space="preserve"> for Settlement</w:t>
      </w:r>
      <w:bookmarkEnd w:id="9"/>
    </w:p>
    <w:p w14:paraId="59720AA3" w14:textId="4EF546D2" w:rsidR="00E25A00" w:rsidRPr="00F56D54" w:rsidRDefault="00E25A00" w:rsidP="001F6BA9">
      <w:pPr>
        <w:keepNext/>
        <w:keepLines/>
        <w:widowControl/>
        <w:spacing w:line="360" w:lineRule="auto"/>
        <w:rPr>
          <w:b/>
          <w:sz w:val="26"/>
          <w:szCs w:val="26"/>
        </w:rPr>
      </w:pPr>
    </w:p>
    <w:p w14:paraId="3F6E1236" w14:textId="502999FA" w:rsidR="002A6456" w:rsidRPr="00F56D54" w:rsidRDefault="00271B2D" w:rsidP="001F6BA9">
      <w:pPr>
        <w:pStyle w:val="Heading2"/>
        <w:widowControl/>
        <w:numPr>
          <w:ilvl w:val="0"/>
          <w:numId w:val="40"/>
        </w:numPr>
        <w:ind w:hanging="720"/>
      </w:pPr>
      <w:bookmarkStart w:id="10" w:name="_Toc55888187"/>
      <w:bookmarkStart w:id="11" w:name="_Toc68586948"/>
      <w:bookmarkStart w:id="12" w:name="_Hlk54185476"/>
      <w:r w:rsidRPr="00F56D54">
        <w:t xml:space="preserve">Revenue </w:t>
      </w:r>
      <w:bookmarkEnd w:id="10"/>
      <w:bookmarkEnd w:id="11"/>
      <w:r w:rsidR="00D126B1" w:rsidRPr="00F56D54">
        <w:t>Settlement</w:t>
      </w:r>
    </w:p>
    <w:p w14:paraId="2D15D28D" w14:textId="6E3C6596" w:rsidR="002A6456" w:rsidRPr="00F56D54" w:rsidRDefault="002A6456" w:rsidP="001F6BA9">
      <w:pPr>
        <w:widowControl/>
        <w:spacing w:line="360" w:lineRule="auto"/>
        <w:rPr>
          <w:sz w:val="26"/>
          <w:szCs w:val="26"/>
        </w:rPr>
      </w:pPr>
    </w:p>
    <w:p w14:paraId="2A740800" w14:textId="4238F293" w:rsidR="00B15DE2" w:rsidRPr="00F56D54" w:rsidRDefault="00E0772C" w:rsidP="001F6BA9">
      <w:pPr>
        <w:widowControl/>
        <w:spacing w:line="360" w:lineRule="auto"/>
        <w:ind w:left="720"/>
        <w:rPr>
          <w:sz w:val="26"/>
          <w:szCs w:val="26"/>
        </w:rPr>
      </w:pPr>
      <w:r w:rsidRPr="00F56D54">
        <w:rPr>
          <w:rFonts w:eastAsiaTheme="majorEastAsia"/>
          <w:b/>
          <w:bCs/>
          <w:sz w:val="26"/>
          <w:szCs w:val="26"/>
        </w:rPr>
        <w:t>1.</w:t>
      </w:r>
      <w:r w:rsidR="00F56D54" w:rsidRPr="00F56D54">
        <w:rPr>
          <w:rFonts w:eastAsiaTheme="majorEastAsia"/>
          <w:b/>
          <w:bCs/>
          <w:sz w:val="26"/>
          <w:szCs w:val="26"/>
        </w:rPr>
        <w:tab/>
      </w:r>
      <w:r w:rsidRPr="00F56D54">
        <w:rPr>
          <w:rFonts w:eastAsiaTheme="majorEastAsia"/>
          <w:b/>
          <w:bCs/>
          <w:sz w:val="26"/>
          <w:szCs w:val="26"/>
        </w:rPr>
        <w:t xml:space="preserve">Terms and Conditions of the Revenue </w:t>
      </w:r>
      <w:r w:rsidR="00CE79D6" w:rsidRPr="00F56D54">
        <w:rPr>
          <w:rFonts w:eastAsiaTheme="majorEastAsia"/>
          <w:b/>
          <w:bCs/>
          <w:sz w:val="26"/>
          <w:szCs w:val="26"/>
        </w:rPr>
        <w:t xml:space="preserve">Settlement </w:t>
      </w:r>
      <w:r w:rsidR="00B15DE2" w:rsidRPr="00F56D54">
        <w:rPr>
          <w:rFonts w:eastAsiaTheme="majorEastAsia"/>
          <w:b/>
          <w:bCs/>
          <w:sz w:val="26"/>
          <w:szCs w:val="26"/>
        </w:rPr>
        <w:t xml:space="preserve"> </w:t>
      </w:r>
    </w:p>
    <w:bookmarkEnd w:id="12"/>
    <w:p w14:paraId="32AAC78C" w14:textId="2A1DF7E9" w:rsidR="0024751F" w:rsidRPr="00F56D54" w:rsidRDefault="0024751F" w:rsidP="001F6BA9">
      <w:pPr>
        <w:keepNext/>
        <w:keepLines/>
        <w:widowControl/>
        <w:spacing w:line="360" w:lineRule="auto"/>
        <w:rPr>
          <w:b/>
          <w:sz w:val="26"/>
          <w:szCs w:val="26"/>
        </w:rPr>
      </w:pPr>
    </w:p>
    <w:p w14:paraId="1FD833DB" w14:textId="5C839BE3" w:rsidR="00D87054" w:rsidRPr="00F56D54" w:rsidRDefault="009235EB" w:rsidP="001F6BA9">
      <w:pPr>
        <w:widowControl/>
        <w:tabs>
          <w:tab w:val="center" w:pos="720"/>
          <w:tab w:val="center" w:pos="5306"/>
        </w:tabs>
        <w:spacing w:line="360" w:lineRule="auto"/>
        <w:ind w:firstLine="1440"/>
        <w:rPr>
          <w:color w:val="000000"/>
          <w:sz w:val="26"/>
          <w:szCs w:val="26"/>
        </w:rPr>
      </w:pPr>
      <w:r w:rsidRPr="00F56D54">
        <w:rPr>
          <w:rFonts w:eastAsiaTheme="minorHAnsi"/>
          <w:sz w:val="26"/>
          <w:szCs w:val="26"/>
        </w:rPr>
        <w:t xml:space="preserve">As previously indicated, the </w:t>
      </w:r>
      <w:r w:rsidR="00271B2D" w:rsidRPr="00F56D54">
        <w:rPr>
          <w:rFonts w:eastAsiaTheme="minorHAnsi"/>
          <w:sz w:val="26"/>
          <w:szCs w:val="26"/>
        </w:rPr>
        <w:t xml:space="preserve">Revenue </w:t>
      </w:r>
      <w:r w:rsidRPr="00F56D54">
        <w:rPr>
          <w:rFonts w:eastAsiaTheme="minorHAnsi"/>
          <w:sz w:val="26"/>
          <w:szCs w:val="26"/>
        </w:rPr>
        <w:t xml:space="preserve">Settlement is a “black box” agreement, which </w:t>
      </w:r>
      <w:r w:rsidR="00B63D91" w:rsidRPr="00F56D54">
        <w:rPr>
          <w:rFonts w:eastAsiaTheme="minorHAnsi"/>
          <w:sz w:val="26"/>
          <w:szCs w:val="26"/>
        </w:rPr>
        <w:t xml:space="preserve">means that </w:t>
      </w:r>
      <w:r w:rsidR="007628C8" w:rsidRPr="00F56D54">
        <w:rPr>
          <w:rFonts w:eastAsiaTheme="minorHAnsi"/>
          <w:sz w:val="26"/>
          <w:szCs w:val="26"/>
        </w:rPr>
        <w:t>it does not reflect a specific resolution of every element of the revenue requirement, including rate of return, but rather represents the Settling Parties</w:t>
      </w:r>
      <w:r w:rsidR="00B92E00">
        <w:rPr>
          <w:rFonts w:eastAsiaTheme="minorHAnsi"/>
          <w:sz w:val="26"/>
          <w:szCs w:val="26"/>
        </w:rPr>
        <w:t>’</w:t>
      </w:r>
      <w:r w:rsidR="00B86338">
        <w:rPr>
          <w:rFonts w:eastAsiaTheme="minorHAnsi"/>
          <w:sz w:val="26"/>
          <w:szCs w:val="26"/>
        </w:rPr>
        <w:t>-Revenue</w:t>
      </w:r>
      <w:r w:rsidR="007628C8" w:rsidRPr="00F56D54">
        <w:rPr>
          <w:rFonts w:eastAsiaTheme="minorHAnsi"/>
          <w:sz w:val="26"/>
          <w:szCs w:val="26"/>
        </w:rPr>
        <w:t xml:space="preserve"> agreed upon final revenue increase amount based on their respective individual analyses of the various revenue and expense items.</w:t>
      </w:r>
      <w:r w:rsidR="00A66E40" w:rsidRPr="00F56D54">
        <w:rPr>
          <w:rFonts w:eastAsiaTheme="minorHAnsi"/>
          <w:sz w:val="26"/>
          <w:szCs w:val="26"/>
        </w:rPr>
        <w:t xml:space="preserve">  </w:t>
      </w:r>
      <w:r w:rsidR="00736367" w:rsidRPr="00F56D54">
        <w:rPr>
          <w:color w:val="000000"/>
          <w:sz w:val="26"/>
          <w:szCs w:val="26"/>
        </w:rPr>
        <w:t>The primary element of the Revenue Settlement is the agreement of PCLP</w:t>
      </w:r>
      <w:r w:rsidR="00BE206F">
        <w:rPr>
          <w:color w:val="000000"/>
          <w:sz w:val="26"/>
          <w:szCs w:val="26"/>
        </w:rPr>
        <w:t>C</w:t>
      </w:r>
      <w:r w:rsidR="00736367" w:rsidRPr="00F56D54">
        <w:rPr>
          <w:color w:val="000000"/>
          <w:sz w:val="26"/>
          <w:szCs w:val="26"/>
        </w:rPr>
        <w:t xml:space="preserve">, I&amp;E, </w:t>
      </w:r>
      <w:r w:rsidR="005D1778">
        <w:rPr>
          <w:color w:val="000000"/>
          <w:sz w:val="26"/>
          <w:szCs w:val="26"/>
        </w:rPr>
        <w:t xml:space="preserve">the </w:t>
      </w:r>
      <w:r w:rsidR="00736367" w:rsidRPr="00F56D54">
        <w:rPr>
          <w:color w:val="000000"/>
          <w:sz w:val="26"/>
          <w:szCs w:val="26"/>
        </w:rPr>
        <w:t xml:space="preserve">OCA and </w:t>
      </w:r>
      <w:r w:rsidR="005D1778">
        <w:rPr>
          <w:color w:val="000000"/>
          <w:sz w:val="26"/>
          <w:szCs w:val="26"/>
        </w:rPr>
        <w:t xml:space="preserve">the </w:t>
      </w:r>
      <w:r w:rsidR="00736367" w:rsidRPr="00F56D54">
        <w:rPr>
          <w:color w:val="000000"/>
          <w:sz w:val="26"/>
          <w:szCs w:val="26"/>
        </w:rPr>
        <w:t>OSBA to the overall revenue requirement and to customers charges.</w:t>
      </w:r>
      <w:r w:rsidR="001E0DE8" w:rsidRPr="00F56D54">
        <w:rPr>
          <w:color w:val="000000"/>
          <w:sz w:val="26"/>
          <w:szCs w:val="26"/>
        </w:rPr>
        <w:t xml:space="preserve">  </w:t>
      </w:r>
      <w:r w:rsidR="00A66E40" w:rsidRPr="00F56D54">
        <w:rPr>
          <w:rFonts w:eastAsiaTheme="minorHAnsi"/>
          <w:sz w:val="26"/>
          <w:szCs w:val="26"/>
        </w:rPr>
        <w:t xml:space="preserve">The </w:t>
      </w:r>
      <w:r w:rsidR="00271B2D" w:rsidRPr="00F56D54">
        <w:rPr>
          <w:rFonts w:eastAsiaTheme="minorHAnsi"/>
          <w:sz w:val="26"/>
          <w:szCs w:val="26"/>
        </w:rPr>
        <w:t xml:space="preserve">Revenue </w:t>
      </w:r>
      <w:r w:rsidR="00A66E40" w:rsidRPr="00F56D54">
        <w:rPr>
          <w:rFonts w:eastAsiaTheme="minorHAnsi"/>
          <w:sz w:val="26"/>
          <w:szCs w:val="26"/>
        </w:rPr>
        <w:t>Settlement, if approved, will result in rates designed to produce</w:t>
      </w:r>
      <w:r w:rsidR="00C63458" w:rsidRPr="00F56D54">
        <w:rPr>
          <w:rFonts w:eastAsiaTheme="minorHAnsi"/>
          <w:sz w:val="26"/>
          <w:szCs w:val="26"/>
        </w:rPr>
        <w:t xml:space="preserve"> an overall increase in annual electric </w:t>
      </w:r>
      <w:r w:rsidR="00275EFE" w:rsidRPr="00F56D54">
        <w:rPr>
          <w:rFonts w:eastAsiaTheme="minorHAnsi"/>
          <w:sz w:val="26"/>
          <w:szCs w:val="26"/>
        </w:rPr>
        <w:t xml:space="preserve">distribution </w:t>
      </w:r>
      <w:r w:rsidR="00DF0FA6" w:rsidRPr="00F56D54">
        <w:rPr>
          <w:color w:val="000000"/>
          <w:sz w:val="26"/>
          <w:szCs w:val="26"/>
        </w:rPr>
        <w:t xml:space="preserve">operating revenues of approximately $1.4 million, </w:t>
      </w:r>
      <w:r w:rsidR="00275EFE" w:rsidRPr="00F56D54">
        <w:rPr>
          <w:color w:val="000000"/>
          <w:sz w:val="26"/>
          <w:szCs w:val="26"/>
        </w:rPr>
        <w:t xml:space="preserve">reflecting </w:t>
      </w:r>
      <w:r w:rsidR="00DF0FA6" w:rsidRPr="00F56D54">
        <w:rPr>
          <w:color w:val="000000"/>
          <w:sz w:val="26"/>
          <w:szCs w:val="26"/>
        </w:rPr>
        <w:t xml:space="preserve">an increase of 13.8% in overall electric revenues, and 26.9% in electric distribution revenues.  This compromise represents </w:t>
      </w:r>
      <w:r w:rsidR="00441B78">
        <w:rPr>
          <w:color w:val="000000"/>
          <w:sz w:val="26"/>
          <w:szCs w:val="26"/>
        </w:rPr>
        <w:t xml:space="preserve">an </w:t>
      </w:r>
      <w:r w:rsidR="00DF0FA6" w:rsidRPr="00F56D54">
        <w:rPr>
          <w:color w:val="000000"/>
          <w:sz w:val="26"/>
          <w:szCs w:val="26"/>
        </w:rPr>
        <w:t xml:space="preserve">approximately 28% reduction in </w:t>
      </w:r>
      <w:r w:rsidR="00441B78">
        <w:rPr>
          <w:color w:val="000000"/>
          <w:sz w:val="26"/>
          <w:szCs w:val="26"/>
        </w:rPr>
        <w:t xml:space="preserve">the </w:t>
      </w:r>
      <w:r w:rsidR="00DF0FA6" w:rsidRPr="00F56D54">
        <w:rPr>
          <w:color w:val="000000"/>
          <w:sz w:val="26"/>
          <w:szCs w:val="26"/>
        </w:rPr>
        <w:t>overall electric revenue requested by PCLP</w:t>
      </w:r>
      <w:r w:rsidR="00441B78">
        <w:rPr>
          <w:color w:val="000000"/>
          <w:sz w:val="26"/>
          <w:szCs w:val="26"/>
        </w:rPr>
        <w:t>C</w:t>
      </w:r>
      <w:r w:rsidR="00DF0FA6" w:rsidRPr="00F56D54">
        <w:rPr>
          <w:color w:val="000000"/>
          <w:sz w:val="26"/>
          <w:szCs w:val="26"/>
        </w:rPr>
        <w:t xml:space="preserve"> in its original filing</w:t>
      </w:r>
      <w:r w:rsidR="00736367" w:rsidRPr="00F56D54">
        <w:rPr>
          <w:color w:val="000000"/>
          <w:sz w:val="26"/>
          <w:szCs w:val="26"/>
        </w:rPr>
        <w:t>.</w:t>
      </w:r>
      <w:r w:rsidR="002A6456" w:rsidRPr="00F56D54">
        <w:rPr>
          <w:rFonts w:eastAsiaTheme="minorHAnsi"/>
          <w:sz w:val="26"/>
          <w:szCs w:val="26"/>
        </w:rPr>
        <w:t xml:space="preserve">  </w:t>
      </w:r>
    </w:p>
    <w:p w14:paraId="6A126C0A" w14:textId="5FC7AE32" w:rsidR="00D87054" w:rsidRPr="00F56D54" w:rsidRDefault="00D87054" w:rsidP="00F56D54">
      <w:pPr>
        <w:keepNext/>
        <w:keepLines/>
        <w:widowControl/>
        <w:spacing w:line="360" w:lineRule="auto"/>
        <w:ind w:firstLine="1440"/>
        <w:contextualSpacing/>
        <w:rPr>
          <w:rFonts w:eastAsiaTheme="minorHAnsi"/>
          <w:sz w:val="26"/>
          <w:szCs w:val="26"/>
        </w:rPr>
      </w:pPr>
    </w:p>
    <w:p w14:paraId="3CE0893F" w14:textId="23A98C25" w:rsidR="008772A6" w:rsidRPr="00F56D54" w:rsidRDefault="008772A6" w:rsidP="00F56D54">
      <w:pPr>
        <w:widowControl/>
        <w:spacing w:line="360" w:lineRule="auto"/>
        <w:ind w:left="-14" w:firstLine="1440"/>
        <w:rPr>
          <w:color w:val="000000"/>
          <w:sz w:val="26"/>
          <w:szCs w:val="26"/>
        </w:rPr>
      </w:pPr>
      <w:r w:rsidRPr="00F56D54">
        <w:rPr>
          <w:color w:val="000000"/>
          <w:sz w:val="26"/>
          <w:szCs w:val="26"/>
        </w:rPr>
        <w:t xml:space="preserve">The Revenue Settlement, filed on April 9, 2021, includes the terms </w:t>
      </w:r>
      <w:r w:rsidR="003B796D">
        <w:rPr>
          <w:color w:val="000000"/>
          <w:sz w:val="26"/>
          <w:szCs w:val="26"/>
        </w:rPr>
        <w:t xml:space="preserve">unanimously </w:t>
      </w:r>
      <w:r w:rsidRPr="00F56D54">
        <w:rPr>
          <w:color w:val="000000"/>
          <w:sz w:val="26"/>
          <w:szCs w:val="26"/>
        </w:rPr>
        <w:t>agreed upon by the Active Parties, as well as Depreciation/Amortization Rates (Appendix A); the statements in support of the Joint Petitioners (Appendices B-E); and Proposed Findings of Fact, Conclusions of Law and Ordering Paragraphs (Appendix</w:t>
      </w:r>
      <w:r w:rsidR="001F6BA9">
        <w:rPr>
          <w:color w:val="000000"/>
          <w:sz w:val="26"/>
          <w:szCs w:val="26"/>
        </w:rPr>
        <w:t> </w:t>
      </w:r>
      <w:r w:rsidRPr="00F56D54">
        <w:rPr>
          <w:color w:val="000000"/>
          <w:sz w:val="26"/>
          <w:szCs w:val="26"/>
        </w:rPr>
        <w:t xml:space="preserve">F). </w:t>
      </w:r>
    </w:p>
    <w:p w14:paraId="06A0476C" w14:textId="6183E114" w:rsidR="008772A6" w:rsidRPr="00F56D54" w:rsidRDefault="008772A6" w:rsidP="001C5320">
      <w:pPr>
        <w:widowControl/>
        <w:ind w:left="-15" w:firstLine="1455"/>
        <w:rPr>
          <w:color w:val="000000"/>
          <w:sz w:val="26"/>
          <w:szCs w:val="26"/>
        </w:rPr>
      </w:pPr>
      <w:r w:rsidRPr="00F56D54">
        <w:rPr>
          <w:color w:val="000000"/>
          <w:sz w:val="26"/>
          <w:szCs w:val="26"/>
        </w:rPr>
        <w:lastRenderedPageBreak/>
        <w:t>The Active Parties agreed to the following settlement terms:</w:t>
      </w:r>
      <w:r w:rsidRPr="00F56D54">
        <w:rPr>
          <w:color w:val="000000"/>
          <w:sz w:val="26"/>
          <w:szCs w:val="26"/>
          <w:vertAlign w:val="superscript"/>
        </w:rPr>
        <w:t xml:space="preserve"> </w:t>
      </w:r>
      <w:r w:rsidRPr="00F56D54">
        <w:rPr>
          <w:color w:val="000000"/>
          <w:sz w:val="26"/>
          <w:szCs w:val="26"/>
          <w:vertAlign w:val="superscript"/>
        </w:rPr>
        <w:footnoteReference w:id="10"/>
      </w:r>
      <w:r w:rsidRPr="00F56D54">
        <w:rPr>
          <w:color w:val="000000"/>
          <w:sz w:val="26"/>
          <w:szCs w:val="26"/>
        </w:rPr>
        <w:t xml:space="preserve"> </w:t>
      </w:r>
    </w:p>
    <w:p w14:paraId="2021BCA3" w14:textId="77777777" w:rsidR="000304C2" w:rsidRPr="00F56D54" w:rsidRDefault="000304C2" w:rsidP="00AC4D48">
      <w:pPr>
        <w:widowControl/>
        <w:spacing w:line="360" w:lineRule="auto"/>
        <w:rPr>
          <w:color w:val="000000"/>
          <w:sz w:val="26"/>
          <w:szCs w:val="26"/>
        </w:rPr>
      </w:pPr>
    </w:p>
    <w:p w14:paraId="647B0821" w14:textId="6C5F61F7" w:rsidR="000304C2" w:rsidRPr="00F56D54" w:rsidRDefault="000304C2" w:rsidP="00F56D54">
      <w:pPr>
        <w:widowControl/>
        <w:numPr>
          <w:ilvl w:val="0"/>
          <w:numId w:val="48"/>
        </w:numPr>
        <w:spacing w:after="5"/>
        <w:ind w:right="1432" w:hanging="10"/>
        <w:rPr>
          <w:color w:val="000000"/>
          <w:sz w:val="26"/>
          <w:szCs w:val="26"/>
        </w:rPr>
      </w:pPr>
      <w:r w:rsidRPr="00F56D54">
        <w:rPr>
          <w:color w:val="000000"/>
          <w:sz w:val="26"/>
          <w:szCs w:val="26"/>
        </w:rPr>
        <w:t>Under the terms of the Partial Settlement</w:t>
      </w:r>
      <w:r w:rsidR="00F56D54" w:rsidRPr="00F56D54">
        <w:rPr>
          <w:color w:val="000000"/>
          <w:sz w:val="26"/>
          <w:szCs w:val="26"/>
        </w:rPr>
        <w:t xml:space="preserve">.  </w:t>
      </w:r>
      <w:r w:rsidRPr="00F56D54">
        <w:rPr>
          <w:color w:val="000000"/>
          <w:sz w:val="26"/>
          <w:szCs w:val="26"/>
        </w:rPr>
        <w:t xml:space="preserve">Pike (Electric) will be permitted to establish rates which will produce an overall increase in annual electric distribution operating revenues of approximately $1.4 million, an increase of 13.8% in overall electric </w:t>
      </w:r>
      <w:r w:rsidR="00F56D54" w:rsidRPr="00F56D54">
        <w:rPr>
          <w:color w:val="000000"/>
          <w:sz w:val="26"/>
          <w:szCs w:val="26"/>
        </w:rPr>
        <w:t>revenues,</w:t>
      </w:r>
      <w:r w:rsidRPr="00F56D54">
        <w:rPr>
          <w:color w:val="000000"/>
          <w:sz w:val="26"/>
          <w:szCs w:val="26"/>
        </w:rPr>
        <w:t xml:space="preserve"> and 26.9% in electric distribution revenues.</w:t>
      </w:r>
      <w:r w:rsidR="00F56D54" w:rsidRPr="00F56D54">
        <w:rPr>
          <w:color w:val="000000"/>
          <w:sz w:val="26"/>
          <w:szCs w:val="26"/>
        </w:rPr>
        <w:t xml:space="preserve">  </w:t>
      </w:r>
    </w:p>
    <w:p w14:paraId="5EF3C9C8" w14:textId="6EDDD679" w:rsidR="000304C2" w:rsidRPr="00F56D54" w:rsidRDefault="000304C2" w:rsidP="00F56D54">
      <w:pPr>
        <w:widowControl/>
        <w:rPr>
          <w:color w:val="000000"/>
          <w:sz w:val="26"/>
          <w:szCs w:val="26"/>
        </w:rPr>
      </w:pPr>
    </w:p>
    <w:p w14:paraId="4990D7CB" w14:textId="77777777" w:rsidR="000304C2" w:rsidRPr="00F56D54" w:rsidRDefault="000304C2" w:rsidP="00F56D54">
      <w:pPr>
        <w:widowControl/>
        <w:numPr>
          <w:ilvl w:val="0"/>
          <w:numId w:val="48"/>
        </w:numPr>
        <w:spacing w:after="5"/>
        <w:ind w:right="1432" w:hanging="10"/>
        <w:rPr>
          <w:color w:val="000000"/>
          <w:sz w:val="26"/>
          <w:szCs w:val="26"/>
        </w:rPr>
      </w:pPr>
      <w:r w:rsidRPr="00F56D54">
        <w:rPr>
          <w:color w:val="000000"/>
          <w:sz w:val="26"/>
          <w:szCs w:val="26"/>
        </w:rPr>
        <w:t xml:space="preserve">Rates will be effective on one day's notice for service rendered no sooner than July 28, 2021. </w:t>
      </w:r>
    </w:p>
    <w:p w14:paraId="54B3744A" w14:textId="1BF21ACF" w:rsidR="000304C2" w:rsidRPr="00F56D54" w:rsidRDefault="000304C2" w:rsidP="00F56D54">
      <w:pPr>
        <w:widowControl/>
        <w:ind w:left="1440"/>
        <w:rPr>
          <w:color w:val="000000"/>
          <w:sz w:val="26"/>
          <w:szCs w:val="26"/>
        </w:rPr>
      </w:pPr>
    </w:p>
    <w:p w14:paraId="03812A28" w14:textId="77777777" w:rsidR="000304C2" w:rsidRPr="004220EE" w:rsidRDefault="000304C2" w:rsidP="00F56D54">
      <w:pPr>
        <w:widowControl/>
        <w:numPr>
          <w:ilvl w:val="0"/>
          <w:numId w:val="48"/>
        </w:numPr>
        <w:spacing w:after="5"/>
        <w:ind w:right="1432" w:hanging="10"/>
        <w:rPr>
          <w:color w:val="000000"/>
          <w:sz w:val="26"/>
          <w:szCs w:val="26"/>
        </w:rPr>
      </w:pPr>
      <w:r w:rsidRPr="00F56D54">
        <w:rPr>
          <w:color w:val="000000"/>
          <w:sz w:val="26"/>
          <w:szCs w:val="26"/>
        </w:rPr>
        <w:t xml:space="preserve">In addition to, and in consideration of, the agreed-upon overall increase in operating revenues, Joint Petitioners agree to the </w:t>
      </w:r>
      <w:r w:rsidRPr="004220EE">
        <w:rPr>
          <w:color w:val="000000"/>
          <w:sz w:val="26"/>
          <w:szCs w:val="26"/>
        </w:rPr>
        <w:t xml:space="preserve">terms and conditions set forth as follows: </w:t>
      </w:r>
    </w:p>
    <w:p w14:paraId="0D3AE9E5" w14:textId="4F79C9FB" w:rsidR="000304C2" w:rsidRPr="004220EE" w:rsidRDefault="000304C2" w:rsidP="00F56D54">
      <w:pPr>
        <w:widowControl/>
        <w:ind w:left="1440"/>
        <w:rPr>
          <w:color w:val="000000"/>
          <w:sz w:val="26"/>
          <w:szCs w:val="26"/>
        </w:rPr>
      </w:pPr>
    </w:p>
    <w:p w14:paraId="2F9FC535" w14:textId="06F5C71B" w:rsidR="000304C2" w:rsidRPr="00F56D54" w:rsidRDefault="000304C2" w:rsidP="00F56D54">
      <w:pPr>
        <w:widowControl/>
        <w:numPr>
          <w:ilvl w:val="1"/>
          <w:numId w:val="48"/>
        </w:numPr>
        <w:spacing w:after="5" w:line="238" w:lineRule="auto"/>
        <w:ind w:right="1362" w:hanging="10"/>
        <w:rPr>
          <w:color w:val="000000"/>
          <w:sz w:val="26"/>
          <w:szCs w:val="26"/>
        </w:rPr>
      </w:pPr>
      <w:r w:rsidRPr="004220EE">
        <w:rPr>
          <w:color w:val="000000"/>
          <w:sz w:val="26"/>
          <w:szCs w:val="26"/>
        </w:rPr>
        <w:t>Effective Date - The rates reflecting the increase set forth above will become effective no sooner than July 28, 2021.  Pike (Electric) agrees that it will not file for a Distribution System Improvement Charge (“DSIC”) with an effective date that is prior to July</w:t>
      </w:r>
      <w:r w:rsidR="001C5320">
        <w:rPr>
          <w:color w:val="000000"/>
          <w:sz w:val="26"/>
          <w:szCs w:val="26"/>
        </w:rPr>
        <w:t> </w:t>
      </w:r>
      <w:r w:rsidRPr="004220EE">
        <w:rPr>
          <w:color w:val="000000"/>
          <w:sz w:val="26"/>
          <w:szCs w:val="26"/>
        </w:rPr>
        <w:t>1,</w:t>
      </w:r>
      <w:r w:rsidR="001C5320">
        <w:rPr>
          <w:color w:val="000000"/>
          <w:sz w:val="26"/>
          <w:szCs w:val="26"/>
        </w:rPr>
        <w:t> </w:t>
      </w:r>
      <w:r w:rsidRPr="004220EE">
        <w:rPr>
          <w:color w:val="000000"/>
          <w:sz w:val="26"/>
          <w:szCs w:val="26"/>
        </w:rPr>
        <w:t>2022.  Pike (Electric) is allowed to file a tariff or tariff supplement proposing changes in its State Tax Adjustment Surcharge, System Benefits Charge, Tax Cuts and</w:t>
      </w:r>
      <w:r w:rsidRPr="00F56D54">
        <w:rPr>
          <w:color w:val="000000"/>
          <w:sz w:val="26"/>
          <w:szCs w:val="26"/>
        </w:rPr>
        <w:t xml:space="preserve"> Jobs Act Surcharge, Default Service rates, including the Market Price for Electric Supply, Electric Supply Adjustment Charge, and any successor charges.  In addition, Pike (Electric) is allowed to file for the recovery and / or refund of costs resulting from legislative changes and / or mandates (e.g., changes to federal income tax rates).  Nothing in this paragraph is intended to limit Pike (Electric) rights under Section 1308(e) (governing extraordinary rate relief). </w:t>
      </w:r>
    </w:p>
    <w:p w14:paraId="1F5D4445" w14:textId="77777777" w:rsidR="000304C2" w:rsidRPr="00F56D54" w:rsidRDefault="000304C2" w:rsidP="00F56D54">
      <w:pPr>
        <w:widowControl/>
        <w:spacing w:line="259" w:lineRule="auto"/>
        <w:ind w:left="2160"/>
        <w:rPr>
          <w:color w:val="000000"/>
          <w:sz w:val="26"/>
          <w:szCs w:val="26"/>
        </w:rPr>
      </w:pPr>
      <w:r w:rsidRPr="00F56D54">
        <w:rPr>
          <w:color w:val="000000"/>
          <w:sz w:val="26"/>
          <w:szCs w:val="26"/>
        </w:rPr>
        <w:t xml:space="preserve"> </w:t>
      </w:r>
    </w:p>
    <w:p w14:paraId="5810BF84" w14:textId="37ABAEF6" w:rsidR="000304C2" w:rsidRPr="00F56D54" w:rsidRDefault="000304C2" w:rsidP="00F56D54">
      <w:pPr>
        <w:widowControl/>
        <w:numPr>
          <w:ilvl w:val="1"/>
          <w:numId w:val="48"/>
        </w:numPr>
        <w:spacing w:after="5" w:line="244" w:lineRule="auto"/>
        <w:ind w:right="1320" w:hanging="10"/>
        <w:rPr>
          <w:color w:val="000000"/>
          <w:sz w:val="26"/>
          <w:szCs w:val="26"/>
        </w:rPr>
      </w:pPr>
      <w:r w:rsidRPr="00F56D54">
        <w:rPr>
          <w:color w:val="000000"/>
          <w:sz w:val="26"/>
          <w:szCs w:val="26"/>
        </w:rPr>
        <w:t>Revenue Allocation/Rate Structure/Rate Design — Reserved for Litigation</w:t>
      </w:r>
      <w:r w:rsidR="00F56D54" w:rsidRPr="00F56D54">
        <w:rPr>
          <w:color w:val="000000"/>
          <w:sz w:val="26"/>
          <w:szCs w:val="26"/>
        </w:rPr>
        <w:t xml:space="preserve">  </w:t>
      </w:r>
    </w:p>
    <w:p w14:paraId="15900A7D" w14:textId="77777777" w:rsidR="000304C2" w:rsidRPr="00F56D54" w:rsidRDefault="000304C2" w:rsidP="00F56D54">
      <w:pPr>
        <w:widowControl/>
        <w:spacing w:line="259" w:lineRule="auto"/>
        <w:ind w:left="2160"/>
        <w:rPr>
          <w:color w:val="000000"/>
          <w:sz w:val="26"/>
          <w:szCs w:val="26"/>
        </w:rPr>
      </w:pPr>
      <w:r w:rsidRPr="00F56D54">
        <w:rPr>
          <w:color w:val="000000"/>
          <w:sz w:val="26"/>
          <w:szCs w:val="26"/>
        </w:rPr>
        <w:t xml:space="preserve"> </w:t>
      </w:r>
    </w:p>
    <w:p w14:paraId="51EF2797" w14:textId="77777777" w:rsidR="000304C2" w:rsidRPr="00F56D54" w:rsidRDefault="000304C2" w:rsidP="004220EE">
      <w:pPr>
        <w:keepNext/>
        <w:widowControl/>
        <w:numPr>
          <w:ilvl w:val="1"/>
          <w:numId w:val="48"/>
        </w:numPr>
        <w:spacing w:after="5" w:line="244" w:lineRule="auto"/>
        <w:ind w:right="1320" w:hanging="10"/>
        <w:rPr>
          <w:color w:val="000000"/>
          <w:sz w:val="26"/>
          <w:szCs w:val="26"/>
        </w:rPr>
      </w:pPr>
      <w:r w:rsidRPr="00F56D54">
        <w:rPr>
          <w:color w:val="000000"/>
          <w:sz w:val="26"/>
          <w:szCs w:val="26"/>
        </w:rPr>
        <w:lastRenderedPageBreak/>
        <w:t xml:space="preserve">Customer Charge – Joint Petitioners have agreed to the following Customer Charges: </w:t>
      </w:r>
    </w:p>
    <w:p w14:paraId="5ECE9EF3" w14:textId="77777777" w:rsidR="000304C2" w:rsidRPr="00F56D54" w:rsidRDefault="000304C2" w:rsidP="00C16E36">
      <w:pPr>
        <w:keepNext/>
        <w:widowControl/>
        <w:ind w:left="2160"/>
        <w:rPr>
          <w:color w:val="000000"/>
          <w:sz w:val="26"/>
          <w:szCs w:val="26"/>
        </w:rPr>
      </w:pPr>
      <w:r w:rsidRPr="00F56D54">
        <w:rPr>
          <w:color w:val="000000"/>
          <w:sz w:val="26"/>
          <w:szCs w:val="26"/>
        </w:rPr>
        <w:t xml:space="preserve"> </w:t>
      </w:r>
    </w:p>
    <w:p w14:paraId="37B4BAFA" w14:textId="77777777" w:rsidR="000304C2" w:rsidRPr="00F56D54" w:rsidRDefault="000304C2" w:rsidP="00C16E36">
      <w:pPr>
        <w:keepNext/>
        <w:widowControl/>
        <w:spacing w:after="5" w:line="276" w:lineRule="auto"/>
        <w:ind w:left="2160" w:right="-90" w:hanging="10"/>
        <w:rPr>
          <w:color w:val="000000"/>
          <w:sz w:val="26"/>
          <w:szCs w:val="26"/>
        </w:rPr>
      </w:pPr>
      <w:r w:rsidRPr="00F56D54">
        <w:rPr>
          <w:color w:val="000000"/>
          <w:sz w:val="26"/>
          <w:szCs w:val="26"/>
        </w:rPr>
        <w:t xml:space="preserve">SC1 – Residential Heating &amp; Non-Heating: $8.80 </w:t>
      </w:r>
    </w:p>
    <w:p w14:paraId="2B75D579" w14:textId="77777777" w:rsidR="000304C2" w:rsidRPr="00F56D54" w:rsidRDefault="000304C2" w:rsidP="00C16E36">
      <w:pPr>
        <w:widowControl/>
        <w:spacing w:after="5" w:line="276" w:lineRule="auto"/>
        <w:ind w:left="2160" w:right="-90" w:hanging="10"/>
        <w:rPr>
          <w:color w:val="000000"/>
          <w:sz w:val="26"/>
          <w:szCs w:val="26"/>
        </w:rPr>
      </w:pPr>
      <w:r w:rsidRPr="00F56D54">
        <w:rPr>
          <w:color w:val="000000"/>
          <w:sz w:val="26"/>
          <w:szCs w:val="26"/>
        </w:rPr>
        <w:t xml:space="preserve">SC2 – Small Commercial &amp; Industrial (Secondary): $17.26 </w:t>
      </w:r>
    </w:p>
    <w:p w14:paraId="628B55D3" w14:textId="5BDBAF43" w:rsidR="000304C2" w:rsidRPr="00F56D54" w:rsidRDefault="000304C2" w:rsidP="00C16E36">
      <w:pPr>
        <w:widowControl/>
        <w:spacing w:after="5" w:line="276" w:lineRule="auto"/>
        <w:ind w:left="2160" w:right="-90" w:hanging="10"/>
        <w:rPr>
          <w:color w:val="000000"/>
          <w:sz w:val="26"/>
          <w:szCs w:val="26"/>
        </w:rPr>
      </w:pPr>
      <w:r w:rsidRPr="00F56D54">
        <w:rPr>
          <w:color w:val="000000"/>
          <w:sz w:val="26"/>
          <w:szCs w:val="26"/>
        </w:rPr>
        <w:t>SC2</w:t>
      </w:r>
      <w:r w:rsidR="00631224" w:rsidRPr="00F56D54">
        <w:rPr>
          <w:color w:val="000000"/>
          <w:sz w:val="26"/>
          <w:szCs w:val="26"/>
        </w:rPr>
        <w:t xml:space="preserve"> </w:t>
      </w:r>
      <w:r w:rsidR="006A0EA4">
        <w:rPr>
          <w:color w:val="000000"/>
          <w:sz w:val="26"/>
          <w:szCs w:val="26"/>
        </w:rPr>
        <w:t>–</w:t>
      </w:r>
      <w:r w:rsidR="00631224" w:rsidRPr="00F56D54">
        <w:rPr>
          <w:color w:val="000000"/>
          <w:sz w:val="26"/>
          <w:szCs w:val="26"/>
        </w:rPr>
        <w:t xml:space="preserve"> </w:t>
      </w:r>
      <w:r w:rsidRPr="00F56D54">
        <w:rPr>
          <w:color w:val="000000"/>
          <w:sz w:val="26"/>
          <w:szCs w:val="26"/>
        </w:rPr>
        <w:t xml:space="preserve">Large Commercial &amp; Industrial (Primary): $140.00 </w:t>
      </w:r>
    </w:p>
    <w:p w14:paraId="16687BD0" w14:textId="77777777" w:rsidR="000304C2" w:rsidRPr="00F56D54" w:rsidRDefault="000304C2" w:rsidP="00C16E36">
      <w:pPr>
        <w:widowControl/>
        <w:ind w:left="2160"/>
        <w:rPr>
          <w:color w:val="000000"/>
          <w:sz w:val="26"/>
          <w:szCs w:val="26"/>
        </w:rPr>
      </w:pPr>
      <w:r w:rsidRPr="00F56D54">
        <w:rPr>
          <w:color w:val="000000"/>
          <w:sz w:val="26"/>
          <w:szCs w:val="26"/>
        </w:rPr>
        <w:t xml:space="preserve"> </w:t>
      </w:r>
    </w:p>
    <w:p w14:paraId="41628D37" w14:textId="0878B576" w:rsidR="000304C2" w:rsidRPr="00F56D54" w:rsidRDefault="000304C2" w:rsidP="00C16E36">
      <w:pPr>
        <w:widowControl/>
        <w:numPr>
          <w:ilvl w:val="1"/>
          <w:numId w:val="48"/>
        </w:numPr>
        <w:spacing w:after="5"/>
        <w:ind w:right="1320" w:hanging="10"/>
        <w:rPr>
          <w:color w:val="000000"/>
          <w:sz w:val="26"/>
          <w:szCs w:val="26"/>
        </w:rPr>
      </w:pPr>
      <w:r w:rsidRPr="00F56D54">
        <w:rPr>
          <w:color w:val="000000"/>
          <w:sz w:val="26"/>
          <w:szCs w:val="26"/>
        </w:rPr>
        <w:t xml:space="preserve">Other Tariff Changes – Pike (Electric) introduced eight new LED Street light and two LED flood light luminaries and the associated charges for SC-3, Municipal Street lights.  Induction Street light and Incandescent flood light luminaries and the associated charges for SC-3, municipal </w:t>
      </w:r>
      <w:r w:rsidR="00F56D54" w:rsidRPr="00F56D54">
        <w:rPr>
          <w:color w:val="000000"/>
          <w:sz w:val="26"/>
          <w:szCs w:val="26"/>
        </w:rPr>
        <w:t>streetlights</w:t>
      </w:r>
      <w:r w:rsidRPr="00F56D54">
        <w:rPr>
          <w:color w:val="000000"/>
          <w:sz w:val="26"/>
          <w:szCs w:val="26"/>
        </w:rPr>
        <w:t xml:space="preserve"> have been eliminated.  The Company also introduced four new LED lighting and two LED flood lighting luminaries and the associated charges for SC-4, private lighting.  Mercury Vapor lighting luminaries and the associated charges for SC-4, private lighting have been eliminated.  </w:t>
      </w:r>
    </w:p>
    <w:p w14:paraId="7CD048B9" w14:textId="77777777" w:rsidR="000304C2" w:rsidRPr="00F56D54" w:rsidRDefault="000304C2" w:rsidP="00F56D54">
      <w:pPr>
        <w:widowControl/>
        <w:spacing w:line="259" w:lineRule="auto"/>
        <w:ind w:left="2160"/>
        <w:rPr>
          <w:color w:val="000000"/>
          <w:sz w:val="26"/>
          <w:szCs w:val="26"/>
        </w:rPr>
      </w:pPr>
      <w:r w:rsidRPr="00F56D54">
        <w:rPr>
          <w:color w:val="000000"/>
          <w:sz w:val="26"/>
          <w:szCs w:val="26"/>
        </w:rPr>
        <w:t xml:space="preserve"> </w:t>
      </w:r>
    </w:p>
    <w:p w14:paraId="5D82E7ED" w14:textId="77777777" w:rsidR="000304C2" w:rsidRPr="00F56D54" w:rsidRDefault="000304C2" w:rsidP="00F56D54">
      <w:pPr>
        <w:widowControl/>
        <w:numPr>
          <w:ilvl w:val="1"/>
          <w:numId w:val="48"/>
        </w:numPr>
        <w:spacing w:after="5" w:line="241" w:lineRule="auto"/>
        <w:ind w:right="1320" w:hanging="10"/>
        <w:rPr>
          <w:color w:val="000000"/>
          <w:sz w:val="26"/>
          <w:szCs w:val="26"/>
        </w:rPr>
      </w:pPr>
      <w:r w:rsidRPr="00F56D54">
        <w:rPr>
          <w:color w:val="000000"/>
          <w:sz w:val="26"/>
          <w:szCs w:val="26"/>
        </w:rPr>
        <w:t xml:space="preserve">Storm Expense - Deferred storm expenses of $977,630 will be amortized over five-years at the rate of $195,526 per annum. </w:t>
      </w:r>
    </w:p>
    <w:p w14:paraId="02085FB8" w14:textId="77777777" w:rsidR="000304C2" w:rsidRPr="00F56D54" w:rsidRDefault="000304C2" w:rsidP="00F56D54">
      <w:pPr>
        <w:widowControl/>
        <w:spacing w:after="21" w:line="259" w:lineRule="auto"/>
        <w:ind w:left="2160"/>
        <w:rPr>
          <w:color w:val="000000"/>
          <w:sz w:val="26"/>
          <w:szCs w:val="26"/>
        </w:rPr>
      </w:pPr>
      <w:r w:rsidRPr="00F56D54">
        <w:rPr>
          <w:color w:val="000000"/>
          <w:sz w:val="26"/>
          <w:szCs w:val="26"/>
        </w:rPr>
        <w:t xml:space="preserve"> </w:t>
      </w:r>
    </w:p>
    <w:p w14:paraId="1ADCC014" w14:textId="5B8BA9AB" w:rsidR="000304C2" w:rsidRPr="004220EE" w:rsidRDefault="000304C2" w:rsidP="004220EE">
      <w:pPr>
        <w:widowControl/>
        <w:numPr>
          <w:ilvl w:val="1"/>
          <w:numId w:val="48"/>
        </w:numPr>
        <w:spacing w:after="5" w:line="259" w:lineRule="auto"/>
        <w:ind w:right="1260" w:hanging="10"/>
        <w:rPr>
          <w:color w:val="000000"/>
          <w:sz w:val="26"/>
          <w:szCs w:val="26"/>
        </w:rPr>
      </w:pPr>
      <w:r w:rsidRPr="004220EE">
        <w:rPr>
          <w:color w:val="000000"/>
          <w:sz w:val="26"/>
          <w:szCs w:val="26"/>
        </w:rPr>
        <w:t xml:space="preserve">Tax Cuts and Jobs Act (“TCJA”) Surcharge Credit – The Company will pass back TCJA credits deferred during the current and stub periods of approximately $180,700 on June 30, 2021, using the current TCJA temporary surcharge </w:t>
      </w:r>
      <w:r w:rsidR="00F56D54" w:rsidRPr="004220EE">
        <w:rPr>
          <w:color w:val="000000"/>
          <w:sz w:val="26"/>
          <w:szCs w:val="26"/>
        </w:rPr>
        <w:t>credit mechanism</w:t>
      </w:r>
      <w:r w:rsidRPr="004220EE">
        <w:rPr>
          <w:color w:val="000000"/>
          <w:sz w:val="26"/>
          <w:szCs w:val="26"/>
        </w:rPr>
        <w:t xml:space="preserve"> over a period of six-months with interest using the residential mortgage lending rate specified by the Secretary of Banking in accordance with the Loan Interest Protection Law (41</w:t>
      </w:r>
      <w:r w:rsidR="00F56D54" w:rsidRPr="004220EE">
        <w:rPr>
          <w:color w:val="000000"/>
          <w:sz w:val="26"/>
          <w:szCs w:val="26"/>
        </w:rPr>
        <w:t xml:space="preserve">. </w:t>
      </w:r>
      <w:r w:rsidRPr="004220EE">
        <w:rPr>
          <w:color w:val="000000"/>
          <w:sz w:val="26"/>
          <w:szCs w:val="26"/>
        </w:rPr>
        <w:t xml:space="preserve">P.S. §§ 101, et seq.). </w:t>
      </w:r>
    </w:p>
    <w:p w14:paraId="21C17CEF" w14:textId="77777777" w:rsidR="000304C2" w:rsidRPr="00F56D54" w:rsidRDefault="000304C2" w:rsidP="00F56D54">
      <w:pPr>
        <w:widowControl/>
        <w:spacing w:after="15" w:line="259" w:lineRule="auto"/>
        <w:ind w:left="2160"/>
        <w:rPr>
          <w:color w:val="000000"/>
          <w:sz w:val="26"/>
          <w:szCs w:val="26"/>
        </w:rPr>
      </w:pPr>
      <w:r w:rsidRPr="00F56D54">
        <w:rPr>
          <w:color w:val="000000"/>
          <w:sz w:val="26"/>
          <w:szCs w:val="26"/>
        </w:rPr>
        <w:t xml:space="preserve"> </w:t>
      </w:r>
    </w:p>
    <w:p w14:paraId="16E2A31C" w14:textId="4500CD56" w:rsidR="000304C2" w:rsidRPr="00F56D54" w:rsidRDefault="000304C2" w:rsidP="00F56D54">
      <w:pPr>
        <w:widowControl/>
        <w:numPr>
          <w:ilvl w:val="0"/>
          <w:numId w:val="49"/>
        </w:numPr>
        <w:spacing w:after="5" w:line="239" w:lineRule="auto"/>
        <w:ind w:left="2160" w:right="1387"/>
        <w:rPr>
          <w:color w:val="000000"/>
          <w:sz w:val="26"/>
          <w:szCs w:val="26"/>
        </w:rPr>
      </w:pPr>
      <w:r w:rsidRPr="00F56D54">
        <w:rPr>
          <w:color w:val="000000"/>
          <w:sz w:val="26"/>
          <w:szCs w:val="26"/>
        </w:rPr>
        <w:t>Deferred TCJA “Protected” Balances – The Protected TCJA credit balance of $110,645 as of June</w:t>
      </w:r>
      <w:r w:rsidR="005E3C41">
        <w:rPr>
          <w:color w:val="000000"/>
          <w:sz w:val="26"/>
          <w:szCs w:val="26"/>
        </w:rPr>
        <w:t> </w:t>
      </w:r>
      <w:r w:rsidRPr="00F56D54">
        <w:rPr>
          <w:color w:val="000000"/>
          <w:sz w:val="26"/>
          <w:szCs w:val="26"/>
        </w:rPr>
        <w:t xml:space="preserve">30, 2021 is reflected as a rate base deduction and the unamortized balance will continue to reduce rate base in future proceedings until the balance is fully returned to ratepayers.  The Company will amortize the </w:t>
      </w:r>
      <w:r w:rsidRPr="00F56D54">
        <w:rPr>
          <w:color w:val="000000"/>
          <w:sz w:val="26"/>
          <w:szCs w:val="26"/>
        </w:rPr>
        <w:lastRenderedPageBreak/>
        <w:t xml:space="preserve">Protected TCJA balance over forty-years as a credit to expense at the rate of $2,766 per annum. </w:t>
      </w:r>
    </w:p>
    <w:p w14:paraId="0F982B30" w14:textId="77777777" w:rsidR="000304C2" w:rsidRPr="00F56D54" w:rsidRDefault="000304C2" w:rsidP="00F56D54">
      <w:pPr>
        <w:widowControl/>
        <w:spacing w:after="15" w:line="259" w:lineRule="auto"/>
        <w:ind w:left="2160"/>
        <w:rPr>
          <w:color w:val="000000"/>
          <w:sz w:val="26"/>
          <w:szCs w:val="26"/>
        </w:rPr>
      </w:pPr>
      <w:r w:rsidRPr="00F56D54">
        <w:rPr>
          <w:color w:val="000000"/>
          <w:sz w:val="26"/>
          <w:szCs w:val="26"/>
        </w:rPr>
        <w:t xml:space="preserve"> </w:t>
      </w:r>
    </w:p>
    <w:p w14:paraId="5BBD84E3" w14:textId="77777777" w:rsidR="000304C2" w:rsidRPr="00F56D54" w:rsidRDefault="000304C2" w:rsidP="00F56D54">
      <w:pPr>
        <w:widowControl/>
        <w:numPr>
          <w:ilvl w:val="0"/>
          <w:numId w:val="49"/>
        </w:numPr>
        <w:spacing w:after="5" w:line="239" w:lineRule="auto"/>
        <w:ind w:left="2160" w:right="1387"/>
        <w:rPr>
          <w:color w:val="000000"/>
          <w:sz w:val="26"/>
          <w:szCs w:val="26"/>
        </w:rPr>
      </w:pPr>
      <w:r w:rsidRPr="00F56D54">
        <w:rPr>
          <w:color w:val="000000"/>
          <w:sz w:val="26"/>
          <w:szCs w:val="26"/>
        </w:rPr>
        <w:t xml:space="preserve">Deferred TCJA “Non-Protected” Balances – The Non-Protected TCJA credit balance of $73,270 as of June 30, 2021 is reflected as a rate base deduction and the unamortized balance will continue to reduce rate base in future proceedings until the balance is fully returned to ratepayers.  The Company will amortize the Non-Protected TCJA balance over five-years as a credit to expense at the rate of $14,654 per annum. </w:t>
      </w:r>
    </w:p>
    <w:p w14:paraId="109FD800" w14:textId="77777777" w:rsidR="000304C2" w:rsidRPr="00F56D54" w:rsidRDefault="000304C2" w:rsidP="00F56D54">
      <w:pPr>
        <w:widowControl/>
        <w:spacing w:line="259" w:lineRule="auto"/>
        <w:ind w:left="2160"/>
        <w:rPr>
          <w:color w:val="000000"/>
          <w:sz w:val="26"/>
          <w:szCs w:val="26"/>
        </w:rPr>
      </w:pPr>
      <w:r w:rsidRPr="00F56D54">
        <w:rPr>
          <w:color w:val="000000"/>
          <w:sz w:val="26"/>
          <w:szCs w:val="26"/>
        </w:rPr>
        <w:t xml:space="preserve"> </w:t>
      </w:r>
    </w:p>
    <w:p w14:paraId="5F2E422D" w14:textId="3A512C56" w:rsidR="000304C2" w:rsidRPr="00F56D54" w:rsidRDefault="000304C2" w:rsidP="00F56D54">
      <w:pPr>
        <w:widowControl/>
        <w:numPr>
          <w:ilvl w:val="0"/>
          <w:numId w:val="49"/>
        </w:numPr>
        <w:spacing w:after="5" w:line="239" w:lineRule="auto"/>
        <w:ind w:left="2160" w:right="1387"/>
        <w:rPr>
          <w:color w:val="000000"/>
          <w:sz w:val="26"/>
          <w:szCs w:val="26"/>
        </w:rPr>
      </w:pPr>
      <w:r w:rsidRPr="00F56D54">
        <w:rPr>
          <w:color w:val="000000"/>
          <w:sz w:val="26"/>
          <w:szCs w:val="26"/>
        </w:rPr>
        <w:t xml:space="preserve">DSIC Surcharge – LTIIP Projects approved by the PAPUC in Docket No. P-2020-3022285 will not include plant claimed in this rate case for the July 1, 2021 through December 31, 2021 period of $275,000 and all plant placed in service prior to June 30, 2021.  The Company will be permitted to include the Civil portion of the 34.5 </w:t>
      </w:r>
      <w:proofErr w:type="spellStart"/>
      <w:r w:rsidRPr="00F56D54">
        <w:rPr>
          <w:color w:val="000000"/>
          <w:sz w:val="26"/>
          <w:szCs w:val="26"/>
        </w:rPr>
        <w:t>Kv</w:t>
      </w:r>
      <w:proofErr w:type="spellEnd"/>
      <w:r w:rsidRPr="00F56D54">
        <w:rPr>
          <w:color w:val="000000"/>
          <w:sz w:val="26"/>
          <w:szCs w:val="26"/>
        </w:rPr>
        <w:t xml:space="preserve"> underground project estimated at $450,000 in the </w:t>
      </w:r>
      <w:r w:rsidR="00F56D54" w:rsidRPr="00F56D54">
        <w:rPr>
          <w:color w:val="000000"/>
          <w:sz w:val="26"/>
          <w:szCs w:val="26"/>
        </w:rPr>
        <w:t>DSIC after</w:t>
      </w:r>
      <w:r w:rsidRPr="00F56D54">
        <w:rPr>
          <w:color w:val="000000"/>
          <w:sz w:val="26"/>
          <w:szCs w:val="26"/>
        </w:rPr>
        <w:t xml:space="preserve"> that project is placed into service.  For purposes of calculating its DSIC, Pike (Electric) shall use the equity return rate for electric utilities contained in the Commission’s most recent Quarterly Report on the Earnings of Jurisdictional Utilities as updated each quarter consistent with any changes to the equity return rate for electric utilities contained in the most recent Quarterly Earnings Report, consistent with 66 Pa. C.S. § 1357(b)(3), until such time as the DSIC is reset pursuant to the provisions of 66 Pa. C.S. § 1358(b)(1).</w:t>
      </w:r>
      <w:r w:rsidR="00F56D54" w:rsidRPr="00F56D54">
        <w:rPr>
          <w:color w:val="000000"/>
          <w:sz w:val="26"/>
          <w:szCs w:val="26"/>
        </w:rPr>
        <w:t xml:space="preserve">  </w:t>
      </w:r>
    </w:p>
    <w:p w14:paraId="0CADB1CF" w14:textId="77777777" w:rsidR="000304C2" w:rsidRPr="00F56D54" w:rsidRDefault="000304C2" w:rsidP="00F56D54">
      <w:pPr>
        <w:widowControl/>
        <w:spacing w:line="259" w:lineRule="auto"/>
        <w:ind w:left="2160"/>
        <w:rPr>
          <w:color w:val="000000"/>
          <w:sz w:val="26"/>
          <w:szCs w:val="26"/>
        </w:rPr>
      </w:pPr>
      <w:r w:rsidRPr="00F56D54">
        <w:rPr>
          <w:color w:val="000000"/>
          <w:sz w:val="26"/>
          <w:szCs w:val="26"/>
        </w:rPr>
        <w:t xml:space="preserve"> </w:t>
      </w:r>
    </w:p>
    <w:p w14:paraId="38EC526C" w14:textId="245D4EDF" w:rsidR="000304C2" w:rsidRPr="00405240" w:rsidRDefault="000304C2" w:rsidP="007A2F74">
      <w:pPr>
        <w:widowControl/>
        <w:numPr>
          <w:ilvl w:val="0"/>
          <w:numId w:val="49"/>
        </w:numPr>
        <w:spacing w:after="5" w:line="238" w:lineRule="auto"/>
        <w:ind w:left="2170" w:right="1120" w:hanging="10"/>
        <w:rPr>
          <w:color w:val="000000"/>
          <w:sz w:val="26"/>
          <w:szCs w:val="26"/>
        </w:rPr>
      </w:pPr>
      <w:r w:rsidRPr="00405240">
        <w:rPr>
          <w:color w:val="000000"/>
          <w:sz w:val="26"/>
          <w:szCs w:val="26"/>
        </w:rPr>
        <w:t xml:space="preserve">Depreciation Rates – No party objected to the Company’s proposed plant depreciation and amortization rates.  The depreciation / amortization rates are contained in Appendix A. </w:t>
      </w:r>
    </w:p>
    <w:p w14:paraId="5D22CC2E" w14:textId="77777777" w:rsidR="000304C2" w:rsidRPr="00F56D54" w:rsidRDefault="000304C2" w:rsidP="00F56D54">
      <w:pPr>
        <w:widowControl/>
        <w:spacing w:line="259" w:lineRule="auto"/>
        <w:rPr>
          <w:color w:val="000000"/>
          <w:sz w:val="26"/>
          <w:szCs w:val="26"/>
        </w:rPr>
      </w:pPr>
      <w:r w:rsidRPr="00F56D54">
        <w:rPr>
          <w:color w:val="000000"/>
          <w:sz w:val="26"/>
          <w:szCs w:val="26"/>
        </w:rPr>
        <w:t xml:space="preserve"> </w:t>
      </w:r>
    </w:p>
    <w:p w14:paraId="1AFFDD7A" w14:textId="77777777" w:rsidR="000304C2" w:rsidRPr="00F56D54" w:rsidRDefault="000304C2" w:rsidP="00F56D54">
      <w:pPr>
        <w:widowControl/>
        <w:tabs>
          <w:tab w:val="center" w:pos="720"/>
          <w:tab w:val="center" w:pos="1680"/>
        </w:tabs>
        <w:spacing w:after="5" w:line="259" w:lineRule="auto"/>
        <w:ind w:left="-15"/>
        <w:rPr>
          <w:color w:val="000000"/>
          <w:sz w:val="26"/>
          <w:szCs w:val="26"/>
        </w:rPr>
      </w:pPr>
      <w:r w:rsidRPr="00F56D54">
        <w:rPr>
          <w:color w:val="000000"/>
          <w:sz w:val="26"/>
          <w:szCs w:val="26"/>
        </w:rPr>
        <w:t xml:space="preserve"> </w:t>
      </w:r>
      <w:r w:rsidRPr="00F56D54">
        <w:rPr>
          <w:color w:val="000000"/>
          <w:sz w:val="26"/>
          <w:szCs w:val="26"/>
        </w:rPr>
        <w:tab/>
        <w:t xml:space="preserve"> </w:t>
      </w:r>
      <w:r w:rsidRPr="00F56D54">
        <w:rPr>
          <w:color w:val="000000"/>
          <w:sz w:val="26"/>
          <w:szCs w:val="26"/>
        </w:rPr>
        <w:tab/>
        <w:t xml:space="preserve">* * * </w:t>
      </w:r>
    </w:p>
    <w:p w14:paraId="64E03FD9" w14:textId="77777777" w:rsidR="000304C2" w:rsidRPr="00F56D54" w:rsidRDefault="000304C2" w:rsidP="00F56D54">
      <w:pPr>
        <w:widowControl/>
        <w:spacing w:line="259" w:lineRule="auto"/>
        <w:rPr>
          <w:color w:val="000000"/>
          <w:sz w:val="26"/>
          <w:szCs w:val="26"/>
        </w:rPr>
      </w:pPr>
      <w:r w:rsidRPr="00F56D54">
        <w:rPr>
          <w:color w:val="000000"/>
          <w:sz w:val="26"/>
          <w:szCs w:val="26"/>
        </w:rPr>
        <w:t xml:space="preserve"> </w:t>
      </w:r>
    </w:p>
    <w:p w14:paraId="09FE6052" w14:textId="77777777" w:rsidR="000304C2" w:rsidRPr="00F56D54" w:rsidRDefault="000304C2" w:rsidP="00F56D54">
      <w:pPr>
        <w:widowControl/>
        <w:numPr>
          <w:ilvl w:val="1"/>
          <w:numId w:val="49"/>
        </w:numPr>
        <w:spacing w:after="5" w:line="239" w:lineRule="auto"/>
        <w:ind w:left="2160" w:right="907"/>
        <w:rPr>
          <w:color w:val="000000"/>
          <w:sz w:val="26"/>
          <w:szCs w:val="26"/>
        </w:rPr>
      </w:pPr>
      <w:r w:rsidRPr="00F56D54">
        <w:rPr>
          <w:color w:val="000000"/>
          <w:sz w:val="26"/>
          <w:szCs w:val="26"/>
        </w:rPr>
        <w:t xml:space="preserve">Joint Petitioners agree that adoption and approval of this Petition for Partial Settlement by the ALJ and the Commission is in the public interest. While the revenue allocation of the $1,400,000 settlement revenue requirement </w:t>
      </w:r>
      <w:r w:rsidRPr="00F56D54">
        <w:rPr>
          <w:color w:val="000000"/>
          <w:sz w:val="26"/>
          <w:szCs w:val="26"/>
        </w:rPr>
        <w:lastRenderedPageBreak/>
        <w:t xml:space="preserve">was not settled, the Joint Petitioners have settled on customer charges, and the comparison of those impacts are provided below: </w:t>
      </w:r>
    </w:p>
    <w:p w14:paraId="7EC1E042" w14:textId="1305C00A" w:rsidR="000304C2" w:rsidRDefault="000304C2" w:rsidP="00F56D54">
      <w:pPr>
        <w:widowControl/>
        <w:spacing w:line="259" w:lineRule="auto"/>
        <w:ind w:left="2160"/>
        <w:rPr>
          <w:color w:val="000000"/>
          <w:sz w:val="26"/>
          <w:szCs w:val="26"/>
        </w:rPr>
      </w:pPr>
    </w:p>
    <w:tbl>
      <w:tblPr>
        <w:tblStyle w:val="TableGrid0"/>
        <w:tblW w:w="8476" w:type="dxa"/>
        <w:jc w:val="center"/>
        <w:tblInd w:w="0" w:type="dxa"/>
        <w:tblLayout w:type="fixed"/>
        <w:tblCellMar>
          <w:top w:w="17" w:type="dxa"/>
          <w:left w:w="106" w:type="dxa"/>
          <w:bottom w:w="6" w:type="dxa"/>
        </w:tblCellMar>
        <w:tblLook w:val="04A0" w:firstRow="1" w:lastRow="0" w:firstColumn="1" w:lastColumn="0" w:noHBand="0" w:noVBand="1"/>
      </w:tblPr>
      <w:tblGrid>
        <w:gridCol w:w="2700"/>
        <w:gridCol w:w="1170"/>
        <w:gridCol w:w="990"/>
        <w:gridCol w:w="1260"/>
        <w:gridCol w:w="1080"/>
        <w:gridCol w:w="1276"/>
      </w:tblGrid>
      <w:tr w:rsidR="000304C2" w:rsidRPr="00F56D54" w14:paraId="57D1F5DB" w14:textId="77777777" w:rsidTr="00D70A37">
        <w:trPr>
          <w:trHeight w:val="298"/>
          <w:jc w:val="center"/>
        </w:trPr>
        <w:tc>
          <w:tcPr>
            <w:tcW w:w="270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6EC54633" w14:textId="77777777" w:rsidR="000304C2" w:rsidRPr="00F56D54" w:rsidRDefault="000304C2" w:rsidP="00F56D54">
            <w:pPr>
              <w:widowControl/>
              <w:spacing w:line="259" w:lineRule="auto"/>
              <w:rPr>
                <w:rFonts w:ascii="Times New Roman" w:hAnsi="Times New Roman"/>
                <w:color w:val="000000"/>
                <w:sz w:val="26"/>
                <w:szCs w:val="26"/>
              </w:rPr>
            </w:pPr>
            <w:r w:rsidRPr="00F56D54">
              <w:rPr>
                <w:rFonts w:ascii="Times New Roman" w:hAnsi="Times New Roman"/>
                <w:color w:val="000000"/>
                <w:sz w:val="26"/>
                <w:szCs w:val="26"/>
              </w:rPr>
              <w:t xml:space="preserve">  </w:t>
            </w:r>
          </w:p>
        </w:tc>
        <w:tc>
          <w:tcPr>
            <w:tcW w:w="5776" w:type="dxa"/>
            <w:gridSpan w:val="5"/>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2123070B" w14:textId="77777777" w:rsidR="000304C2" w:rsidRPr="00F56D54" w:rsidRDefault="000304C2" w:rsidP="00F56D54">
            <w:pPr>
              <w:widowControl/>
              <w:tabs>
                <w:tab w:val="center" w:pos="2176"/>
                <w:tab w:val="center" w:pos="4573"/>
              </w:tabs>
              <w:spacing w:line="259" w:lineRule="auto"/>
              <w:rPr>
                <w:rFonts w:ascii="Times New Roman" w:hAnsi="Times New Roman"/>
                <w:color w:val="000000"/>
                <w:sz w:val="26"/>
                <w:szCs w:val="26"/>
              </w:rPr>
            </w:pPr>
            <w:r w:rsidRPr="00F56D54">
              <w:rPr>
                <w:rFonts w:ascii="Times New Roman" w:eastAsia="Calibri" w:hAnsi="Times New Roman"/>
                <w:color w:val="000000"/>
                <w:sz w:val="26"/>
                <w:szCs w:val="26"/>
              </w:rPr>
              <w:tab/>
            </w:r>
            <w:r w:rsidRPr="00F56D54">
              <w:rPr>
                <w:rFonts w:ascii="Times New Roman" w:hAnsi="Times New Roman"/>
                <w:b/>
                <w:color w:val="000000"/>
                <w:sz w:val="26"/>
                <w:szCs w:val="26"/>
              </w:rPr>
              <w:t xml:space="preserve">Pike County Light &amp; Power Company </w:t>
            </w:r>
            <w:r w:rsidRPr="00F56D54">
              <w:rPr>
                <w:rFonts w:ascii="Times New Roman" w:hAnsi="Times New Roman"/>
                <w:b/>
                <w:color w:val="000000"/>
                <w:sz w:val="26"/>
                <w:szCs w:val="26"/>
              </w:rPr>
              <w:tab/>
            </w:r>
            <w:r w:rsidRPr="00F56D54">
              <w:rPr>
                <w:rFonts w:ascii="Times New Roman" w:hAnsi="Times New Roman"/>
                <w:color w:val="000000"/>
                <w:sz w:val="26"/>
                <w:szCs w:val="26"/>
              </w:rPr>
              <w:t xml:space="preserve">  </w:t>
            </w:r>
          </w:p>
        </w:tc>
      </w:tr>
      <w:tr w:rsidR="000304C2" w:rsidRPr="00F56D54" w14:paraId="00A8E902" w14:textId="77777777" w:rsidTr="00D70A37">
        <w:trPr>
          <w:trHeight w:val="300"/>
          <w:jc w:val="center"/>
        </w:trPr>
        <w:tc>
          <w:tcPr>
            <w:tcW w:w="270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2CD1A9A0" w14:textId="77777777" w:rsidR="000304C2" w:rsidRPr="00F56D54" w:rsidRDefault="000304C2" w:rsidP="00F56D54">
            <w:pPr>
              <w:widowControl/>
              <w:spacing w:line="259" w:lineRule="auto"/>
              <w:rPr>
                <w:rFonts w:ascii="Times New Roman" w:hAnsi="Times New Roman"/>
                <w:color w:val="000000"/>
                <w:sz w:val="26"/>
                <w:szCs w:val="26"/>
              </w:rPr>
            </w:pPr>
            <w:r w:rsidRPr="00F56D54">
              <w:rPr>
                <w:rFonts w:ascii="Times New Roman" w:hAnsi="Times New Roman"/>
                <w:color w:val="000000"/>
                <w:sz w:val="26"/>
                <w:szCs w:val="26"/>
              </w:rPr>
              <w:t xml:space="preserve">  </w:t>
            </w:r>
          </w:p>
        </w:tc>
        <w:tc>
          <w:tcPr>
            <w:tcW w:w="5776" w:type="dxa"/>
            <w:gridSpan w:val="5"/>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02653B84" w14:textId="77777777" w:rsidR="000304C2" w:rsidRPr="00F56D54" w:rsidRDefault="000304C2" w:rsidP="00F56D54">
            <w:pPr>
              <w:widowControl/>
              <w:tabs>
                <w:tab w:val="center" w:pos="1603"/>
                <w:tab w:val="center" w:pos="3428"/>
                <w:tab w:val="center" w:pos="4573"/>
              </w:tabs>
              <w:spacing w:line="259" w:lineRule="auto"/>
              <w:rPr>
                <w:rFonts w:ascii="Times New Roman" w:hAnsi="Times New Roman"/>
                <w:color w:val="000000"/>
                <w:sz w:val="26"/>
                <w:szCs w:val="26"/>
              </w:rPr>
            </w:pPr>
            <w:r w:rsidRPr="00F56D54">
              <w:rPr>
                <w:rFonts w:ascii="Times New Roman" w:eastAsia="Calibri" w:hAnsi="Times New Roman"/>
                <w:color w:val="000000"/>
                <w:sz w:val="26"/>
                <w:szCs w:val="26"/>
              </w:rPr>
              <w:tab/>
            </w:r>
            <w:r w:rsidRPr="00F56D54">
              <w:rPr>
                <w:rFonts w:ascii="Times New Roman" w:hAnsi="Times New Roman"/>
                <w:color w:val="000000"/>
                <w:sz w:val="26"/>
                <w:szCs w:val="26"/>
              </w:rPr>
              <w:t xml:space="preserve">Electric Rate Case Filing </w:t>
            </w:r>
            <w:r w:rsidRPr="00F56D54">
              <w:rPr>
                <w:rFonts w:ascii="Times New Roman" w:hAnsi="Times New Roman"/>
                <w:color w:val="000000"/>
                <w:sz w:val="26"/>
                <w:szCs w:val="26"/>
              </w:rPr>
              <w:tab/>
              <w:t xml:space="preserve">  </w:t>
            </w:r>
            <w:r w:rsidRPr="00F56D54">
              <w:rPr>
                <w:rFonts w:ascii="Times New Roman" w:hAnsi="Times New Roman"/>
                <w:color w:val="000000"/>
                <w:sz w:val="26"/>
                <w:szCs w:val="26"/>
              </w:rPr>
              <w:tab/>
              <w:t xml:space="preserve">  </w:t>
            </w:r>
          </w:p>
        </w:tc>
      </w:tr>
      <w:tr w:rsidR="000304C2" w:rsidRPr="00F56D54" w14:paraId="76120AB8" w14:textId="77777777" w:rsidTr="00D70A37">
        <w:trPr>
          <w:trHeight w:val="298"/>
          <w:jc w:val="center"/>
        </w:trPr>
        <w:tc>
          <w:tcPr>
            <w:tcW w:w="270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6AFFB217" w14:textId="77777777" w:rsidR="000304C2" w:rsidRPr="00F56D54" w:rsidRDefault="000304C2" w:rsidP="00F56D54">
            <w:pPr>
              <w:widowControl/>
              <w:spacing w:line="259" w:lineRule="auto"/>
              <w:rPr>
                <w:rFonts w:ascii="Times New Roman" w:hAnsi="Times New Roman"/>
                <w:color w:val="000000"/>
                <w:sz w:val="26"/>
                <w:szCs w:val="26"/>
              </w:rPr>
            </w:pPr>
            <w:r w:rsidRPr="00F56D54">
              <w:rPr>
                <w:rFonts w:ascii="Times New Roman" w:hAnsi="Times New Roman"/>
                <w:color w:val="000000"/>
                <w:sz w:val="26"/>
                <w:szCs w:val="26"/>
              </w:rPr>
              <w:t xml:space="preserve">  </w:t>
            </w:r>
          </w:p>
        </w:tc>
        <w:tc>
          <w:tcPr>
            <w:tcW w:w="5776" w:type="dxa"/>
            <w:gridSpan w:val="5"/>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6E600E50" w14:textId="77777777" w:rsidR="000304C2" w:rsidRPr="00F56D54" w:rsidRDefault="000304C2" w:rsidP="00F56D54">
            <w:pPr>
              <w:widowControl/>
              <w:tabs>
                <w:tab w:val="center" w:pos="1605"/>
                <w:tab w:val="center" w:pos="3428"/>
                <w:tab w:val="center" w:pos="4573"/>
              </w:tabs>
              <w:spacing w:line="259" w:lineRule="auto"/>
              <w:rPr>
                <w:rFonts w:ascii="Times New Roman" w:hAnsi="Times New Roman"/>
                <w:color w:val="000000"/>
                <w:sz w:val="26"/>
                <w:szCs w:val="26"/>
              </w:rPr>
            </w:pPr>
            <w:r w:rsidRPr="00F56D54">
              <w:rPr>
                <w:rFonts w:ascii="Times New Roman" w:eastAsia="Calibri" w:hAnsi="Times New Roman"/>
                <w:color w:val="000000"/>
                <w:sz w:val="26"/>
                <w:szCs w:val="26"/>
              </w:rPr>
              <w:tab/>
            </w:r>
            <w:r w:rsidRPr="00F56D54">
              <w:rPr>
                <w:rFonts w:ascii="Times New Roman" w:hAnsi="Times New Roman"/>
                <w:color w:val="000000"/>
                <w:sz w:val="26"/>
                <w:szCs w:val="26"/>
              </w:rPr>
              <w:t xml:space="preserve">Docket No. R-2020-3022135 </w:t>
            </w:r>
            <w:r w:rsidRPr="00F56D54">
              <w:rPr>
                <w:rFonts w:ascii="Times New Roman" w:hAnsi="Times New Roman"/>
                <w:color w:val="000000"/>
                <w:sz w:val="26"/>
                <w:szCs w:val="26"/>
              </w:rPr>
              <w:tab/>
              <w:t xml:space="preserve">  </w:t>
            </w:r>
            <w:r w:rsidRPr="00F56D54">
              <w:rPr>
                <w:rFonts w:ascii="Times New Roman" w:hAnsi="Times New Roman"/>
                <w:color w:val="000000"/>
                <w:sz w:val="26"/>
                <w:szCs w:val="26"/>
              </w:rPr>
              <w:tab/>
              <w:t xml:space="preserve">  </w:t>
            </w:r>
          </w:p>
        </w:tc>
      </w:tr>
      <w:tr w:rsidR="000304C2" w:rsidRPr="00F56D54" w14:paraId="4AEE4E93" w14:textId="77777777" w:rsidTr="00D70A37">
        <w:trPr>
          <w:trHeight w:val="298"/>
          <w:jc w:val="center"/>
        </w:trPr>
        <w:tc>
          <w:tcPr>
            <w:tcW w:w="270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2D323832" w14:textId="77777777" w:rsidR="000304C2" w:rsidRPr="00F56D54" w:rsidRDefault="000304C2" w:rsidP="00F56D54">
            <w:pPr>
              <w:widowControl/>
              <w:spacing w:line="259" w:lineRule="auto"/>
              <w:rPr>
                <w:rFonts w:ascii="Times New Roman" w:hAnsi="Times New Roman"/>
                <w:color w:val="000000"/>
                <w:sz w:val="26"/>
                <w:szCs w:val="26"/>
              </w:rPr>
            </w:pPr>
            <w:r w:rsidRPr="00F56D54">
              <w:rPr>
                <w:rFonts w:ascii="Times New Roman" w:hAnsi="Times New Roman"/>
                <w:color w:val="000000"/>
                <w:sz w:val="26"/>
                <w:szCs w:val="26"/>
              </w:rPr>
              <w:t xml:space="preserve">  </w:t>
            </w:r>
          </w:p>
        </w:tc>
        <w:tc>
          <w:tcPr>
            <w:tcW w:w="5776" w:type="dxa"/>
            <w:gridSpan w:val="5"/>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7AA299AC" w14:textId="77777777" w:rsidR="000304C2" w:rsidRPr="00F56D54" w:rsidRDefault="000304C2" w:rsidP="00F56D54">
            <w:pPr>
              <w:widowControl/>
              <w:spacing w:line="259" w:lineRule="auto"/>
              <w:ind w:left="2"/>
              <w:rPr>
                <w:rFonts w:ascii="Times New Roman" w:hAnsi="Times New Roman"/>
                <w:color w:val="000000"/>
                <w:sz w:val="26"/>
                <w:szCs w:val="26"/>
              </w:rPr>
            </w:pPr>
            <w:r w:rsidRPr="00F56D54">
              <w:rPr>
                <w:rFonts w:ascii="Times New Roman" w:hAnsi="Times New Roman"/>
                <w:color w:val="000000"/>
                <w:sz w:val="26"/>
                <w:szCs w:val="26"/>
              </w:rPr>
              <w:t xml:space="preserve">  </w:t>
            </w:r>
            <w:r w:rsidRPr="00F56D54">
              <w:rPr>
                <w:rFonts w:ascii="Times New Roman" w:hAnsi="Times New Roman"/>
                <w:color w:val="000000"/>
                <w:sz w:val="26"/>
                <w:szCs w:val="26"/>
              </w:rPr>
              <w:tab/>
              <w:t xml:space="preserve">  </w:t>
            </w:r>
            <w:r w:rsidRPr="00F56D54">
              <w:rPr>
                <w:rFonts w:ascii="Times New Roman" w:hAnsi="Times New Roman"/>
                <w:color w:val="000000"/>
                <w:sz w:val="26"/>
                <w:szCs w:val="26"/>
              </w:rPr>
              <w:tab/>
              <w:t xml:space="preserve">  </w:t>
            </w:r>
            <w:r w:rsidRPr="00F56D54">
              <w:rPr>
                <w:rFonts w:ascii="Times New Roman" w:hAnsi="Times New Roman"/>
                <w:color w:val="000000"/>
                <w:sz w:val="26"/>
                <w:szCs w:val="26"/>
              </w:rPr>
              <w:tab/>
              <w:t xml:space="preserve">  </w:t>
            </w:r>
            <w:r w:rsidRPr="00F56D54">
              <w:rPr>
                <w:rFonts w:ascii="Times New Roman" w:hAnsi="Times New Roman"/>
                <w:color w:val="000000"/>
                <w:sz w:val="26"/>
                <w:szCs w:val="26"/>
              </w:rPr>
              <w:tab/>
              <w:t xml:space="preserve">  </w:t>
            </w:r>
          </w:p>
        </w:tc>
      </w:tr>
      <w:tr w:rsidR="000304C2" w:rsidRPr="00F56D54" w14:paraId="4B145A51" w14:textId="77777777" w:rsidTr="00D70A37">
        <w:trPr>
          <w:trHeight w:val="298"/>
          <w:jc w:val="center"/>
        </w:trPr>
        <w:tc>
          <w:tcPr>
            <w:tcW w:w="27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000000"/>
            </w:tcBorders>
          </w:tcPr>
          <w:p w14:paraId="3349373E" w14:textId="77777777" w:rsidR="000304C2" w:rsidRPr="007E325B" w:rsidRDefault="000304C2" w:rsidP="00F56D54">
            <w:pPr>
              <w:widowControl/>
              <w:spacing w:line="259" w:lineRule="auto"/>
              <w:rPr>
                <w:rFonts w:ascii="Times New Roman" w:hAnsi="Times New Roman"/>
                <w:color w:val="000000"/>
                <w:sz w:val="25"/>
                <w:szCs w:val="25"/>
              </w:rPr>
            </w:pPr>
            <w:r w:rsidRPr="007E325B">
              <w:rPr>
                <w:rFonts w:ascii="Times New Roman" w:hAnsi="Times New Roman"/>
                <w:color w:val="000000"/>
                <w:sz w:val="25"/>
                <w:szCs w:val="25"/>
              </w:rPr>
              <w:t xml:space="preserve">  </w:t>
            </w:r>
          </w:p>
        </w:tc>
        <w:tc>
          <w:tcPr>
            <w:tcW w:w="11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tcPr>
          <w:p w14:paraId="1AD91733" w14:textId="77777777" w:rsidR="000304C2" w:rsidRPr="007E325B" w:rsidRDefault="000304C2" w:rsidP="00F56D54">
            <w:pPr>
              <w:widowControl/>
              <w:spacing w:line="259" w:lineRule="auto"/>
              <w:ind w:left="2"/>
              <w:rPr>
                <w:rFonts w:ascii="Times New Roman" w:hAnsi="Times New Roman"/>
                <w:color w:val="000000"/>
                <w:sz w:val="25"/>
                <w:szCs w:val="25"/>
              </w:rPr>
            </w:pPr>
            <w:r w:rsidRPr="007E325B">
              <w:rPr>
                <w:rFonts w:ascii="Times New Roman" w:hAnsi="Times New Roman"/>
                <w:color w:val="000000"/>
                <w:sz w:val="25"/>
                <w:szCs w:val="25"/>
              </w:rPr>
              <w:t xml:space="preserve">  </w:t>
            </w:r>
          </w:p>
        </w:tc>
        <w:tc>
          <w:tcPr>
            <w:tcW w:w="2250" w:type="dxa"/>
            <w:gridSpan w:val="2"/>
            <w:tcBorders>
              <w:top w:val="single" w:sz="4" w:space="0" w:color="A6A6A6" w:themeColor="background1" w:themeShade="A6"/>
              <w:left w:val="single" w:sz="4" w:space="0" w:color="000000"/>
              <w:bottom w:val="single" w:sz="4" w:space="0" w:color="A6A6A6" w:themeColor="background1" w:themeShade="A6"/>
              <w:right w:val="single" w:sz="4" w:space="0" w:color="000000"/>
            </w:tcBorders>
          </w:tcPr>
          <w:p w14:paraId="155BB28E" w14:textId="77777777" w:rsidR="000304C2" w:rsidRPr="007E325B" w:rsidRDefault="000304C2" w:rsidP="00F56D54">
            <w:pPr>
              <w:widowControl/>
              <w:spacing w:line="259" w:lineRule="auto"/>
              <w:ind w:right="111"/>
              <w:jc w:val="center"/>
              <w:rPr>
                <w:rFonts w:ascii="Times New Roman" w:hAnsi="Times New Roman"/>
                <w:color w:val="000000"/>
                <w:sz w:val="25"/>
                <w:szCs w:val="25"/>
              </w:rPr>
            </w:pPr>
            <w:r w:rsidRPr="007E325B">
              <w:rPr>
                <w:rFonts w:ascii="Times New Roman" w:hAnsi="Times New Roman"/>
                <w:color w:val="000000"/>
                <w:sz w:val="25"/>
                <w:szCs w:val="25"/>
                <w:u w:val="single" w:color="000000"/>
              </w:rPr>
              <w:t>As Filed</w:t>
            </w:r>
            <w:r w:rsidRPr="007E325B">
              <w:rPr>
                <w:rFonts w:ascii="Times New Roman" w:hAnsi="Times New Roman"/>
                <w:color w:val="000000"/>
                <w:sz w:val="25"/>
                <w:szCs w:val="25"/>
              </w:rPr>
              <w:t xml:space="preserve"> </w:t>
            </w:r>
          </w:p>
        </w:tc>
        <w:tc>
          <w:tcPr>
            <w:tcW w:w="2356" w:type="dxa"/>
            <w:gridSpan w:val="2"/>
            <w:tcBorders>
              <w:top w:val="single" w:sz="4" w:space="0" w:color="A6A6A6" w:themeColor="background1" w:themeShade="A6"/>
              <w:left w:val="single" w:sz="4" w:space="0" w:color="000000"/>
              <w:bottom w:val="single" w:sz="4" w:space="0" w:color="A6A6A6" w:themeColor="background1" w:themeShade="A6"/>
              <w:right w:val="single" w:sz="4" w:space="0" w:color="A6A6A6" w:themeColor="background1" w:themeShade="A6"/>
            </w:tcBorders>
          </w:tcPr>
          <w:p w14:paraId="79DDBFCF" w14:textId="77777777" w:rsidR="000304C2" w:rsidRPr="007E325B" w:rsidRDefault="000304C2" w:rsidP="00F56D54">
            <w:pPr>
              <w:widowControl/>
              <w:spacing w:line="259" w:lineRule="auto"/>
              <w:ind w:right="107"/>
              <w:jc w:val="center"/>
              <w:rPr>
                <w:rFonts w:ascii="Times New Roman" w:hAnsi="Times New Roman"/>
                <w:color w:val="000000"/>
                <w:sz w:val="25"/>
                <w:szCs w:val="25"/>
              </w:rPr>
            </w:pPr>
            <w:r w:rsidRPr="007E325B">
              <w:rPr>
                <w:rFonts w:ascii="Times New Roman" w:hAnsi="Times New Roman"/>
                <w:color w:val="000000"/>
                <w:sz w:val="25"/>
                <w:szCs w:val="25"/>
                <w:u w:val="single" w:color="000000"/>
              </w:rPr>
              <w:t>Proposed Settlement</w:t>
            </w:r>
            <w:r w:rsidRPr="007E325B">
              <w:rPr>
                <w:rFonts w:ascii="Times New Roman" w:hAnsi="Times New Roman"/>
                <w:color w:val="000000"/>
                <w:sz w:val="25"/>
                <w:szCs w:val="25"/>
              </w:rPr>
              <w:t xml:space="preserve"> </w:t>
            </w:r>
          </w:p>
        </w:tc>
      </w:tr>
      <w:tr w:rsidR="000304C2" w:rsidRPr="00F56D54" w14:paraId="5CE64977" w14:textId="77777777" w:rsidTr="00D70A37">
        <w:trPr>
          <w:trHeight w:val="720"/>
          <w:jc w:val="center"/>
        </w:trPr>
        <w:tc>
          <w:tcPr>
            <w:tcW w:w="27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000000"/>
            </w:tcBorders>
            <w:vAlign w:val="bottom"/>
          </w:tcPr>
          <w:p w14:paraId="66D9A17A" w14:textId="77777777" w:rsidR="000304C2" w:rsidRPr="007E325B" w:rsidRDefault="000304C2" w:rsidP="00F56D54">
            <w:pPr>
              <w:widowControl/>
              <w:spacing w:line="259" w:lineRule="auto"/>
              <w:rPr>
                <w:rFonts w:ascii="Times New Roman" w:hAnsi="Times New Roman"/>
                <w:color w:val="000000"/>
                <w:sz w:val="25"/>
                <w:szCs w:val="25"/>
              </w:rPr>
            </w:pPr>
            <w:r w:rsidRPr="007E325B">
              <w:rPr>
                <w:rFonts w:ascii="Times New Roman" w:hAnsi="Times New Roman"/>
                <w:color w:val="000000"/>
                <w:sz w:val="25"/>
                <w:szCs w:val="25"/>
                <w:u w:val="single" w:color="000000"/>
              </w:rPr>
              <w:t>Customer Charge</w:t>
            </w:r>
            <w:r w:rsidRPr="007E325B">
              <w:rPr>
                <w:rFonts w:ascii="Times New Roman" w:hAnsi="Times New Roman"/>
                <w:color w:val="000000"/>
                <w:sz w:val="25"/>
                <w:szCs w:val="25"/>
              </w:rPr>
              <w:t xml:space="preserve"> </w:t>
            </w:r>
          </w:p>
        </w:tc>
        <w:tc>
          <w:tcPr>
            <w:tcW w:w="11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bottom"/>
          </w:tcPr>
          <w:p w14:paraId="4614AD2C" w14:textId="77777777" w:rsidR="000304C2" w:rsidRPr="007E325B" w:rsidRDefault="000304C2" w:rsidP="00F56D54">
            <w:pPr>
              <w:widowControl/>
              <w:spacing w:line="259" w:lineRule="auto"/>
              <w:ind w:left="2"/>
              <w:rPr>
                <w:rFonts w:ascii="Times New Roman" w:hAnsi="Times New Roman"/>
                <w:color w:val="000000"/>
                <w:sz w:val="25"/>
                <w:szCs w:val="25"/>
              </w:rPr>
            </w:pPr>
            <w:r w:rsidRPr="007E325B">
              <w:rPr>
                <w:rFonts w:ascii="Times New Roman" w:hAnsi="Times New Roman"/>
                <w:color w:val="000000"/>
                <w:sz w:val="25"/>
                <w:szCs w:val="25"/>
                <w:u w:val="single" w:color="000000"/>
              </w:rPr>
              <w:t>Present</w:t>
            </w:r>
            <w:r w:rsidRPr="007E325B">
              <w:rPr>
                <w:rFonts w:ascii="Times New Roman" w:hAnsi="Times New Roman"/>
                <w:color w:val="000000"/>
                <w:sz w:val="25"/>
                <w:szCs w:val="25"/>
              </w:rPr>
              <w:t xml:space="preserve"> </w:t>
            </w:r>
            <w:r w:rsidRPr="007E325B">
              <w:rPr>
                <w:rFonts w:ascii="Times New Roman" w:hAnsi="Times New Roman"/>
                <w:color w:val="000000"/>
                <w:sz w:val="25"/>
                <w:szCs w:val="25"/>
                <w:u w:val="single" w:color="000000"/>
              </w:rPr>
              <w:t>Rates</w:t>
            </w:r>
            <w:r w:rsidRPr="007E325B">
              <w:rPr>
                <w:rFonts w:ascii="Times New Roman" w:hAnsi="Times New Roman"/>
                <w:color w:val="000000"/>
                <w:sz w:val="25"/>
                <w:szCs w:val="25"/>
              </w:rPr>
              <w:t xml:space="preserve"> </w:t>
            </w:r>
          </w:p>
        </w:tc>
        <w:tc>
          <w:tcPr>
            <w:tcW w:w="99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bottom"/>
          </w:tcPr>
          <w:p w14:paraId="22444162" w14:textId="77777777" w:rsidR="000304C2" w:rsidRPr="007E325B" w:rsidRDefault="000304C2" w:rsidP="00F56D54">
            <w:pPr>
              <w:widowControl/>
              <w:spacing w:line="259" w:lineRule="auto"/>
              <w:ind w:left="2"/>
              <w:jc w:val="both"/>
              <w:rPr>
                <w:rFonts w:ascii="Times New Roman" w:hAnsi="Times New Roman"/>
                <w:color w:val="000000"/>
                <w:sz w:val="25"/>
                <w:szCs w:val="25"/>
              </w:rPr>
            </w:pPr>
            <w:r w:rsidRPr="007E325B">
              <w:rPr>
                <w:rFonts w:ascii="Times New Roman" w:hAnsi="Times New Roman"/>
                <w:color w:val="000000"/>
                <w:sz w:val="25"/>
                <w:szCs w:val="25"/>
                <w:u w:val="single" w:color="000000"/>
              </w:rPr>
              <w:t>Amount</w:t>
            </w:r>
            <w:r w:rsidRPr="007E325B">
              <w:rPr>
                <w:rFonts w:ascii="Times New Roman" w:hAnsi="Times New Roman"/>
                <w:color w:val="000000"/>
                <w:sz w:val="25"/>
                <w:szCs w:val="25"/>
              </w:rPr>
              <w:t xml:space="preserve"> </w:t>
            </w:r>
          </w:p>
        </w:tc>
        <w:tc>
          <w:tcPr>
            <w:tcW w:w="126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bottom"/>
          </w:tcPr>
          <w:p w14:paraId="2F8D229F" w14:textId="77777777" w:rsidR="000304C2" w:rsidRPr="007E325B" w:rsidRDefault="000304C2" w:rsidP="00F56D54">
            <w:pPr>
              <w:widowControl/>
              <w:spacing w:line="259" w:lineRule="auto"/>
              <w:ind w:left="2"/>
              <w:rPr>
                <w:rFonts w:ascii="Times New Roman" w:hAnsi="Times New Roman"/>
                <w:color w:val="000000"/>
                <w:sz w:val="25"/>
                <w:szCs w:val="25"/>
              </w:rPr>
            </w:pPr>
            <w:r w:rsidRPr="007E325B">
              <w:rPr>
                <w:rFonts w:ascii="Times New Roman" w:hAnsi="Times New Roman"/>
                <w:color w:val="000000"/>
                <w:sz w:val="25"/>
                <w:szCs w:val="25"/>
                <w:u w:val="single" w:color="000000"/>
              </w:rPr>
              <w:t>% Increase</w:t>
            </w:r>
            <w:r w:rsidRPr="007E325B">
              <w:rPr>
                <w:rFonts w:ascii="Times New Roman" w:hAnsi="Times New Roman"/>
                <w:color w:val="000000"/>
                <w:sz w:val="25"/>
                <w:szCs w:val="25"/>
              </w:rPr>
              <w:t xml:space="preserve"> </w:t>
            </w:r>
          </w:p>
        </w:tc>
        <w:tc>
          <w:tcPr>
            <w:tcW w:w="108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bottom"/>
          </w:tcPr>
          <w:p w14:paraId="5475F551" w14:textId="77777777" w:rsidR="000304C2" w:rsidRPr="007E325B" w:rsidRDefault="000304C2" w:rsidP="00F56D54">
            <w:pPr>
              <w:widowControl/>
              <w:spacing w:line="259" w:lineRule="auto"/>
              <w:ind w:left="2"/>
              <w:rPr>
                <w:rFonts w:ascii="Times New Roman" w:hAnsi="Times New Roman"/>
                <w:color w:val="000000"/>
                <w:sz w:val="25"/>
                <w:szCs w:val="25"/>
              </w:rPr>
            </w:pPr>
            <w:r w:rsidRPr="007E325B">
              <w:rPr>
                <w:rFonts w:ascii="Times New Roman" w:hAnsi="Times New Roman"/>
                <w:color w:val="000000"/>
                <w:sz w:val="25"/>
                <w:szCs w:val="25"/>
                <w:u w:val="single" w:color="000000"/>
              </w:rPr>
              <w:t>Amount</w:t>
            </w:r>
            <w:r w:rsidRPr="007E325B">
              <w:rPr>
                <w:rFonts w:ascii="Times New Roman" w:hAnsi="Times New Roman"/>
                <w:color w:val="000000"/>
                <w:sz w:val="25"/>
                <w:szCs w:val="25"/>
              </w:rPr>
              <w:t xml:space="preserve"> </w:t>
            </w:r>
          </w:p>
        </w:tc>
        <w:tc>
          <w:tcPr>
            <w:tcW w:w="1276" w:type="dxa"/>
            <w:tcBorders>
              <w:top w:val="single" w:sz="4" w:space="0" w:color="A6A6A6" w:themeColor="background1" w:themeShade="A6"/>
              <w:left w:val="single" w:sz="4" w:space="0" w:color="000000"/>
              <w:bottom w:val="single" w:sz="4" w:space="0" w:color="A6A6A6" w:themeColor="background1" w:themeShade="A6"/>
              <w:right w:val="single" w:sz="4" w:space="0" w:color="A6A6A6" w:themeColor="background1" w:themeShade="A6"/>
            </w:tcBorders>
            <w:vAlign w:val="bottom"/>
          </w:tcPr>
          <w:p w14:paraId="4C51102C" w14:textId="77777777" w:rsidR="000304C2" w:rsidRPr="007E325B" w:rsidRDefault="000304C2" w:rsidP="00F56D54">
            <w:pPr>
              <w:widowControl/>
              <w:spacing w:line="259" w:lineRule="auto"/>
              <w:ind w:left="2"/>
              <w:rPr>
                <w:rFonts w:ascii="Times New Roman" w:hAnsi="Times New Roman"/>
                <w:color w:val="000000"/>
                <w:sz w:val="25"/>
                <w:szCs w:val="25"/>
              </w:rPr>
            </w:pPr>
            <w:r w:rsidRPr="007E325B">
              <w:rPr>
                <w:rFonts w:ascii="Times New Roman" w:hAnsi="Times New Roman"/>
                <w:color w:val="000000"/>
                <w:sz w:val="25"/>
                <w:szCs w:val="25"/>
                <w:u w:val="single" w:color="000000"/>
              </w:rPr>
              <w:t>% Increase</w:t>
            </w:r>
            <w:r w:rsidRPr="007E325B">
              <w:rPr>
                <w:rFonts w:ascii="Times New Roman" w:hAnsi="Times New Roman"/>
                <w:color w:val="000000"/>
                <w:sz w:val="25"/>
                <w:szCs w:val="25"/>
              </w:rPr>
              <w:t xml:space="preserve"> </w:t>
            </w:r>
          </w:p>
        </w:tc>
      </w:tr>
      <w:tr w:rsidR="000304C2" w:rsidRPr="00F56D54" w14:paraId="5750C071" w14:textId="77777777" w:rsidTr="00D70A37">
        <w:trPr>
          <w:trHeight w:val="874"/>
          <w:jc w:val="center"/>
        </w:trPr>
        <w:tc>
          <w:tcPr>
            <w:tcW w:w="27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000000"/>
            </w:tcBorders>
            <w:vAlign w:val="bottom"/>
          </w:tcPr>
          <w:p w14:paraId="099D4023" w14:textId="77777777" w:rsidR="000304C2" w:rsidRPr="007E325B" w:rsidRDefault="000304C2" w:rsidP="00E40798">
            <w:pPr>
              <w:widowControl/>
              <w:spacing w:line="259" w:lineRule="auto"/>
              <w:rPr>
                <w:rFonts w:ascii="Times New Roman" w:hAnsi="Times New Roman"/>
                <w:color w:val="000000"/>
                <w:sz w:val="25"/>
                <w:szCs w:val="25"/>
              </w:rPr>
            </w:pPr>
            <w:r w:rsidRPr="007E325B">
              <w:rPr>
                <w:rFonts w:ascii="Times New Roman" w:hAnsi="Times New Roman"/>
                <w:color w:val="000000"/>
                <w:sz w:val="25"/>
                <w:szCs w:val="25"/>
              </w:rPr>
              <w:t xml:space="preserve">SC1-Residential </w:t>
            </w:r>
          </w:p>
          <w:p w14:paraId="70B23363" w14:textId="77777777" w:rsidR="000304C2" w:rsidRPr="007E325B" w:rsidRDefault="000304C2" w:rsidP="00E40798">
            <w:pPr>
              <w:widowControl/>
              <w:spacing w:line="259" w:lineRule="auto"/>
              <w:rPr>
                <w:rFonts w:ascii="Times New Roman" w:hAnsi="Times New Roman"/>
                <w:color w:val="000000"/>
                <w:sz w:val="25"/>
                <w:szCs w:val="25"/>
              </w:rPr>
            </w:pPr>
            <w:r w:rsidRPr="007E325B">
              <w:rPr>
                <w:rFonts w:ascii="Times New Roman" w:hAnsi="Times New Roman"/>
                <w:color w:val="000000"/>
                <w:sz w:val="25"/>
                <w:szCs w:val="25"/>
              </w:rPr>
              <w:t xml:space="preserve">Heating &amp; Non-Heating </w:t>
            </w:r>
          </w:p>
        </w:tc>
        <w:tc>
          <w:tcPr>
            <w:tcW w:w="11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bottom"/>
          </w:tcPr>
          <w:p w14:paraId="7F6A5166" w14:textId="77777777" w:rsidR="000304C2" w:rsidRPr="007E325B" w:rsidRDefault="000304C2" w:rsidP="00F56D54">
            <w:pPr>
              <w:widowControl/>
              <w:spacing w:line="259" w:lineRule="auto"/>
              <w:ind w:right="108"/>
              <w:jc w:val="right"/>
              <w:rPr>
                <w:rFonts w:ascii="Times New Roman" w:hAnsi="Times New Roman"/>
                <w:color w:val="000000"/>
                <w:sz w:val="25"/>
                <w:szCs w:val="25"/>
              </w:rPr>
            </w:pPr>
            <w:r w:rsidRPr="007E325B">
              <w:rPr>
                <w:rFonts w:ascii="Times New Roman" w:hAnsi="Times New Roman"/>
                <w:color w:val="000000"/>
                <w:sz w:val="25"/>
                <w:szCs w:val="25"/>
              </w:rPr>
              <w:t xml:space="preserve">$8.50  </w:t>
            </w:r>
          </w:p>
        </w:tc>
        <w:tc>
          <w:tcPr>
            <w:tcW w:w="99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bottom"/>
          </w:tcPr>
          <w:p w14:paraId="2CC1C0C0" w14:textId="77777777" w:rsidR="000304C2" w:rsidRPr="007E325B" w:rsidRDefault="000304C2" w:rsidP="00F56D54">
            <w:pPr>
              <w:widowControl/>
              <w:spacing w:line="259" w:lineRule="auto"/>
              <w:ind w:right="108"/>
              <w:jc w:val="right"/>
              <w:rPr>
                <w:rFonts w:ascii="Times New Roman" w:hAnsi="Times New Roman"/>
                <w:color w:val="000000"/>
                <w:sz w:val="25"/>
                <w:szCs w:val="25"/>
              </w:rPr>
            </w:pPr>
            <w:r w:rsidRPr="007E325B">
              <w:rPr>
                <w:rFonts w:ascii="Times New Roman" w:hAnsi="Times New Roman"/>
                <w:color w:val="000000"/>
                <w:sz w:val="25"/>
                <w:szCs w:val="25"/>
              </w:rPr>
              <w:t xml:space="preserve">$11.70  </w:t>
            </w:r>
          </w:p>
        </w:tc>
        <w:tc>
          <w:tcPr>
            <w:tcW w:w="126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bottom"/>
          </w:tcPr>
          <w:p w14:paraId="200C419F" w14:textId="77777777" w:rsidR="000304C2" w:rsidRPr="007E325B" w:rsidRDefault="000304C2" w:rsidP="00F56D54">
            <w:pPr>
              <w:widowControl/>
              <w:spacing w:line="259" w:lineRule="auto"/>
              <w:ind w:right="107"/>
              <w:jc w:val="right"/>
              <w:rPr>
                <w:rFonts w:ascii="Times New Roman" w:hAnsi="Times New Roman"/>
                <w:color w:val="000000"/>
                <w:sz w:val="25"/>
                <w:szCs w:val="25"/>
              </w:rPr>
            </w:pPr>
            <w:r w:rsidRPr="007E325B">
              <w:rPr>
                <w:rFonts w:ascii="Times New Roman" w:hAnsi="Times New Roman"/>
                <w:color w:val="000000"/>
                <w:sz w:val="25"/>
                <w:szCs w:val="25"/>
              </w:rPr>
              <w:t xml:space="preserve">37.6% </w:t>
            </w:r>
          </w:p>
        </w:tc>
        <w:tc>
          <w:tcPr>
            <w:tcW w:w="108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bottom"/>
          </w:tcPr>
          <w:p w14:paraId="113E2943" w14:textId="77777777" w:rsidR="000304C2" w:rsidRPr="007E325B" w:rsidRDefault="000304C2" w:rsidP="00F56D54">
            <w:pPr>
              <w:widowControl/>
              <w:spacing w:line="259" w:lineRule="auto"/>
              <w:ind w:right="109"/>
              <w:jc w:val="right"/>
              <w:rPr>
                <w:rFonts w:ascii="Times New Roman" w:hAnsi="Times New Roman"/>
                <w:color w:val="000000"/>
                <w:sz w:val="25"/>
                <w:szCs w:val="25"/>
              </w:rPr>
            </w:pPr>
            <w:r w:rsidRPr="007E325B">
              <w:rPr>
                <w:rFonts w:ascii="Times New Roman" w:hAnsi="Times New Roman"/>
                <w:color w:val="000000"/>
                <w:sz w:val="25"/>
                <w:szCs w:val="25"/>
              </w:rPr>
              <w:t xml:space="preserve">$8.80  </w:t>
            </w:r>
          </w:p>
        </w:tc>
        <w:tc>
          <w:tcPr>
            <w:tcW w:w="1276" w:type="dxa"/>
            <w:tcBorders>
              <w:top w:val="single" w:sz="4" w:space="0" w:color="A6A6A6" w:themeColor="background1" w:themeShade="A6"/>
              <w:left w:val="single" w:sz="4" w:space="0" w:color="000000"/>
              <w:bottom w:val="single" w:sz="4" w:space="0" w:color="A6A6A6" w:themeColor="background1" w:themeShade="A6"/>
              <w:right w:val="single" w:sz="4" w:space="0" w:color="A6A6A6" w:themeColor="background1" w:themeShade="A6"/>
            </w:tcBorders>
            <w:vAlign w:val="bottom"/>
          </w:tcPr>
          <w:p w14:paraId="18C1A12B" w14:textId="77777777" w:rsidR="000304C2" w:rsidRPr="007E325B" w:rsidRDefault="000304C2" w:rsidP="00F56D54">
            <w:pPr>
              <w:widowControl/>
              <w:spacing w:line="259" w:lineRule="auto"/>
              <w:ind w:right="107"/>
              <w:jc w:val="right"/>
              <w:rPr>
                <w:rFonts w:ascii="Times New Roman" w:hAnsi="Times New Roman"/>
                <w:color w:val="000000"/>
                <w:sz w:val="25"/>
                <w:szCs w:val="25"/>
              </w:rPr>
            </w:pPr>
            <w:r w:rsidRPr="007E325B">
              <w:rPr>
                <w:rFonts w:ascii="Times New Roman" w:hAnsi="Times New Roman"/>
                <w:color w:val="000000"/>
                <w:sz w:val="25"/>
                <w:szCs w:val="25"/>
              </w:rPr>
              <w:t xml:space="preserve">3.5% </w:t>
            </w:r>
          </w:p>
        </w:tc>
      </w:tr>
      <w:tr w:rsidR="000304C2" w:rsidRPr="00F56D54" w14:paraId="32E2A243" w14:textId="77777777" w:rsidTr="00D70A37">
        <w:trPr>
          <w:trHeight w:val="298"/>
          <w:jc w:val="center"/>
        </w:trPr>
        <w:tc>
          <w:tcPr>
            <w:tcW w:w="27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000000"/>
            </w:tcBorders>
          </w:tcPr>
          <w:p w14:paraId="4FF39660" w14:textId="77777777" w:rsidR="000304C2" w:rsidRPr="007E325B" w:rsidRDefault="000304C2" w:rsidP="00E40798">
            <w:pPr>
              <w:widowControl/>
              <w:spacing w:line="259" w:lineRule="auto"/>
              <w:rPr>
                <w:rFonts w:ascii="Times New Roman" w:hAnsi="Times New Roman"/>
                <w:color w:val="000000"/>
                <w:sz w:val="25"/>
                <w:szCs w:val="25"/>
              </w:rPr>
            </w:pPr>
            <w:r w:rsidRPr="007E325B">
              <w:rPr>
                <w:rFonts w:ascii="Times New Roman" w:hAnsi="Times New Roman"/>
                <w:color w:val="000000"/>
                <w:sz w:val="25"/>
                <w:szCs w:val="25"/>
              </w:rPr>
              <w:t xml:space="preserve">  </w:t>
            </w:r>
          </w:p>
        </w:tc>
        <w:tc>
          <w:tcPr>
            <w:tcW w:w="11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tcPr>
          <w:p w14:paraId="4EDCCD39" w14:textId="77777777" w:rsidR="000304C2" w:rsidRPr="007E325B" w:rsidRDefault="000304C2" w:rsidP="00F56D54">
            <w:pPr>
              <w:widowControl/>
              <w:spacing w:line="259" w:lineRule="auto"/>
              <w:ind w:left="2"/>
              <w:rPr>
                <w:rFonts w:ascii="Times New Roman" w:hAnsi="Times New Roman"/>
                <w:color w:val="000000"/>
                <w:sz w:val="25"/>
                <w:szCs w:val="25"/>
              </w:rPr>
            </w:pPr>
            <w:r w:rsidRPr="007E325B">
              <w:rPr>
                <w:rFonts w:ascii="Times New Roman" w:hAnsi="Times New Roman"/>
                <w:color w:val="000000"/>
                <w:sz w:val="25"/>
                <w:szCs w:val="25"/>
              </w:rPr>
              <w:t xml:space="preserve">  </w:t>
            </w:r>
          </w:p>
        </w:tc>
        <w:tc>
          <w:tcPr>
            <w:tcW w:w="99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tcPr>
          <w:p w14:paraId="07B9D036" w14:textId="77777777" w:rsidR="000304C2" w:rsidRPr="007E325B" w:rsidRDefault="000304C2" w:rsidP="00F56D54">
            <w:pPr>
              <w:widowControl/>
              <w:spacing w:line="259" w:lineRule="auto"/>
              <w:ind w:left="2"/>
              <w:rPr>
                <w:rFonts w:ascii="Times New Roman" w:hAnsi="Times New Roman"/>
                <w:color w:val="000000"/>
                <w:sz w:val="25"/>
                <w:szCs w:val="25"/>
              </w:rPr>
            </w:pPr>
            <w:r w:rsidRPr="007E325B">
              <w:rPr>
                <w:rFonts w:ascii="Times New Roman" w:hAnsi="Times New Roman"/>
                <w:color w:val="000000"/>
                <w:sz w:val="25"/>
                <w:szCs w:val="25"/>
              </w:rPr>
              <w:t xml:space="preserve">  </w:t>
            </w:r>
          </w:p>
        </w:tc>
        <w:tc>
          <w:tcPr>
            <w:tcW w:w="126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tcPr>
          <w:p w14:paraId="7E756C8C" w14:textId="77777777" w:rsidR="000304C2" w:rsidRPr="007E325B" w:rsidRDefault="000304C2" w:rsidP="00F56D54">
            <w:pPr>
              <w:widowControl/>
              <w:spacing w:line="259" w:lineRule="auto"/>
              <w:ind w:left="2"/>
              <w:rPr>
                <w:rFonts w:ascii="Times New Roman" w:hAnsi="Times New Roman"/>
                <w:color w:val="000000"/>
                <w:sz w:val="25"/>
                <w:szCs w:val="25"/>
              </w:rPr>
            </w:pPr>
            <w:r w:rsidRPr="007E325B">
              <w:rPr>
                <w:rFonts w:ascii="Times New Roman" w:hAnsi="Times New Roman"/>
                <w:color w:val="000000"/>
                <w:sz w:val="25"/>
                <w:szCs w:val="25"/>
              </w:rPr>
              <w:t xml:space="preserve">  </w:t>
            </w:r>
          </w:p>
        </w:tc>
        <w:tc>
          <w:tcPr>
            <w:tcW w:w="108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tcPr>
          <w:p w14:paraId="79D23B41" w14:textId="77777777" w:rsidR="000304C2" w:rsidRPr="007E325B" w:rsidRDefault="000304C2" w:rsidP="00F56D54">
            <w:pPr>
              <w:widowControl/>
              <w:spacing w:line="259" w:lineRule="auto"/>
              <w:ind w:left="2"/>
              <w:rPr>
                <w:rFonts w:ascii="Times New Roman" w:hAnsi="Times New Roman"/>
                <w:color w:val="000000"/>
                <w:sz w:val="25"/>
                <w:szCs w:val="25"/>
              </w:rPr>
            </w:pPr>
            <w:r w:rsidRPr="007E325B">
              <w:rPr>
                <w:rFonts w:ascii="Times New Roman" w:hAnsi="Times New Roman"/>
                <w:color w:val="000000"/>
                <w:sz w:val="25"/>
                <w:szCs w:val="25"/>
              </w:rPr>
              <w:t xml:space="preserve">  </w:t>
            </w:r>
          </w:p>
        </w:tc>
        <w:tc>
          <w:tcPr>
            <w:tcW w:w="1276" w:type="dxa"/>
            <w:tcBorders>
              <w:top w:val="single" w:sz="4" w:space="0" w:color="A6A6A6" w:themeColor="background1" w:themeShade="A6"/>
              <w:left w:val="single" w:sz="4" w:space="0" w:color="000000"/>
              <w:bottom w:val="single" w:sz="4" w:space="0" w:color="A6A6A6" w:themeColor="background1" w:themeShade="A6"/>
              <w:right w:val="single" w:sz="4" w:space="0" w:color="A6A6A6" w:themeColor="background1" w:themeShade="A6"/>
            </w:tcBorders>
          </w:tcPr>
          <w:p w14:paraId="11382B52" w14:textId="77777777" w:rsidR="000304C2" w:rsidRPr="007E325B" w:rsidRDefault="000304C2" w:rsidP="00F56D54">
            <w:pPr>
              <w:widowControl/>
              <w:spacing w:line="259" w:lineRule="auto"/>
              <w:ind w:left="2"/>
              <w:rPr>
                <w:rFonts w:ascii="Times New Roman" w:hAnsi="Times New Roman"/>
                <w:color w:val="000000"/>
                <w:sz w:val="25"/>
                <w:szCs w:val="25"/>
              </w:rPr>
            </w:pPr>
            <w:r w:rsidRPr="007E325B">
              <w:rPr>
                <w:rFonts w:ascii="Times New Roman" w:hAnsi="Times New Roman"/>
                <w:color w:val="000000"/>
                <w:sz w:val="25"/>
                <w:szCs w:val="25"/>
              </w:rPr>
              <w:t xml:space="preserve">  </w:t>
            </w:r>
          </w:p>
        </w:tc>
      </w:tr>
      <w:tr w:rsidR="000304C2" w:rsidRPr="00F56D54" w14:paraId="4B07F25C" w14:textId="77777777" w:rsidTr="00D70A37">
        <w:trPr>
          <w:trHeight w:val="840"/>
          <w:jc w:val="center"/>
        </w:trPr>
        <w:tc>
          <w:tcPr>
            <w:tcW w:w="27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000000"/>
            </w:tcBorders>
          </w:tcPr>
          <w:p w14:paraId="3B77A408" w14:textId="77777777" w:rsidR="000304C2" w:rsidRPr="007E325B" w:rsidRDefault="000304C2" w:rsidP="00E40798">
            <w:pPr>
              <w:widowControl/>
              <w:spacing w:line="259" w:lineRule="auto"/>
              <w:rPr>
                <w:rFonts w:ascii="Times New Roman" w:hAnsi="Times New Roman"/>
                <w:color w:val="000000"/>
                <w:sz w:val="25"/>
                <w:szCs w:val="25"/>
              </w:rPr>
            </w:pPr>
            <w:r w:rsidRPr="007E325B">
              <w:rPr>
                <w:rFonts w:ascii="Times New Roman" w:hAnsi="Times New Roman"/>
                <w:color w:val="000000"/>
                <w:sz w:val="25"/>
                <w:szCs w:val="25"/>
              </w:rPr>
              <w:t xml:space="preserve">SC2- Small Commercial </w:t>
            </w:r>
          </w:p>
          <w:p w14:paraId="77DC8984" w14:textId="77777777" w:rsidR="000304C2" w:rsidRPr="007E325B" w:rsidRDefault="000304C2" w:rsidP="00E40798">
            <w:pPr>
              <w:widowControl/>
              <w:spacing w:line="259" w:lineRule="auto"/>
              <w:rPr>
                <w:rFonts w:ascii="Times New Roman" w:hAnsi="Times New Roman"/>
                <w:color w:val="000000"/>
                <w:sz w:val="25"/>
                <w:szCs w:val="25"/>
              </w:rPr>
            </w:pPr>
            <w:r w:rsidRPr="007E325B">
              <w:rPr>
                <w:rFonts w:ascii="Times New Roman" w:hAnsi="Times New Roman"/>
                <w:color w:val="000000"/>
                <w:sz w:val="25"/>
                <w:szCs w:val="25"/>
              </w:rPr>
              <w:t xml:space="preserve">&amp; Industrial </w:t>
            </w:r>
          </w:p>
          <w:p w14:paraId="62947926" w14:textId="77777777" w:rsidR="000304C2" w:rsidRPr="007E325B" w:rsidRDefault="000304C2" w:rsidP="00E40798">
            <w:pPr>
              <w:widowControl/>
              <w:spacing w:line="259" w:lineRule="auto"/>
              <w:rPr>
                <w:rFonts w:ascii="Times New Roman" w:hAnsi="Times New Roman"/>
                <w:color w:val="000000"/>
                <w:sz w:val="25"/>
                <w:szCs w:val="25"/>
              </w:rPr>
            </w:pPr>
            <w:r w:rsidRPr="007E325B">
              <w:rPr>
                <w:rFonts w:ascii="Times New Roman" w:hAnsi="Times New Roman"/>
                <w:color w:val="000000"/>
                <w:sz w:val="25"/>
                <w:szCs w:val="25"/>
              </w:rPr>
              <w:t xml:space="preserve">(Secondary) </w:t>
            </w:r>
          </w:p>
        </w:tc>
        <w:tc>
          <w:tcPr>
            <w:tcW w:w="11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bottom"/>
          </w:tcPr>
          <w:p w14:paraId="74F88BBB" w14:textId="77777777" w:rsidR="000304C2" w:rsidRPr="007E325B" w:rsidRDefault="000304C2" w:rsidP="00F56D54">
            <w:pPr>
              <w:widowControl/>
              <w:spacing w:line="259" w:lineRule="auto"/>
              <w:ind w:right="108"/>
              <w:jc w:val="right"/>
              <w:rPr>
                <w:rFonts w:ascii="Times New Roman" w:hAnsi="Times New Roman"/>
                <w:color w:val="000000"/>
                <w:sz w:val="25"/>
                <w:szCs w:val="25"/>
              </w:rPr>
            </w:pPr>
            <w:r w:rsidRPr="007E325B">
              <w:rPr>
                <w:rFonts w:ascii="Times New Roman" w:hAnsi="Times New Roman"/>
                <w:color w:val="000000"/>
                <w:sz w:val="25"/>
                <w:szCs w:val="25"/>
              </w:rPr>
              <w:t xml:space="preserve">$13.60  </w:t>
            </w:r>
          </w:p>
        </w:tc>
        <w:tc>
          <w:tcPr>
            <w:tcW w:w="99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bottom"/>
          </w:tcPr>
          <w:p w14:paraId="7E157878" w14:textId="77777777" w:rsidR="000304C2" w:rsidRPr="007E325B" w:rsidRDefault="000304C2" w:rsidP="00F56D54">
            <w:pPr>
              <w:widowControl/>
              <w:spacing w:line="259" w:lineRule="auto"/>
              <w:ind w:right="108"/>
              <w:jc w:val="right"/>
              <w:rPr>
                <w:rFonts w:ascii="Times New Roman" w:hAnsi="Times New Roman"/>
                <w:color w:val="000000"/>
                <w:sz w:val="25"/>
                <w:szCs w:val="25"/>
              </w:rPr>
            </w:pPr>
            <w:r w:rsidRPr="007E325B">
              <w:rPr>
                <w:rFonts w:ascii="Times New Roman" w:hAnsi="Times New Roman"/>
                <w:color w:val="000000"/>
                <w:sz w:val="25"/>
                <w:szCs w:val="25"/>
              </w:rPr>
              <w:t xml:space="preserve">$18.73  </w:t>
            </w:r>
          </w:p>
        </w:tc>
        <w:tc>
          <w:tcPr>
            <w:tcW w:w="126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bottom"/>
          </w:tcPr>
          <w:p w14:paraId="18BB9765" w14:textId="77777777" w:rsidR="000304C2" w:rsidRPr="007E325B" w:rsidRDefault="000304C2" w:rsidP="00F56D54">
            <w:pPr>
              <w:widowControl/>
              <w:spacing w:line="259" w:lineRule="auto"/>
              <w:ind w:right="107"/>
              <w:jc w:val="right"/>
              <w:rPr>
                <w:rFonts w:ascii="Times New Roman" w:hAnsi="Times New Roman"/>
                <w:color w:val="000000"/>
                <w:sz w:val="25"/>
                <w:szCs w:val="25"/>
              </w:rPr>
            </w:pPr>
            <w:r w:rsidRPr="007E325B">
              <w:rPr>
                <w:rFonts w:ascii="Times New Roman" w:hAnsi="Times New Roman"/>
                <w:color w:val="000000"/>
                <w:sz w:val="25"/>
                <w:szCs w:val="25"/>
              </w:rPr>
              <w:t xml:space="preserve">37.7% </w:t>
            </w:r>
          </w:p>
        </w:tc>
        <w:tc>
          <w:tcPr>
            <w:tcW w:w="108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bottom"/>
          </w:tcPr>
          <w:p w14:paraId="6FABC4A5" w14:textId="77777777" w:rsidR="000304C2" w:rsidRPr="007E325B" w:rsidRDefault="000304C2" w:rsidP="00F56D54">
            <w:pPr>
              <w:widowControl/>
              <w:spacing w:line="259" w:lineRule="auto"/>
              <w:ind w:right="109"/>
              <w:jc w:val="right"/>
              <w:rPr>
                <w:rFonts w:ascii="Times New Roman" w:hAnsi="Times New Roman"/>
                <w:color w:val="000000"/>
                <w:sz w:val="25"/>
                <w:szCs w:val="25"/>
              </w:rPr>
            </w:pPr>
            <w:r w:rsidRPr="007E325B">
              <w:rPr>
                <w:rFonts w:ascii="Times New Roman" w:hAnsi="Times New Roman"/>
                <w:color w:val="000000"/>
                <w:sz w:val="25"/>
                <w:szCs w:val="25"/>
              </w:rPr>
              <w:t xml:space="preserve">$17.26  </w:t>
            </w:r>
          </w:p>
        </w:tc>
        <w:tc>
          <w:tcPr>
            <w:tcW w:w="1276" w:type="dxa"/>
            <w:tcBorders>
              <w:top w:val="single" w:sz="4" w:space="0" w:color="A6A6A6" w:themeColor="background1" w:themeShade="A6"/>
              <w:left w:val="single" w:sz="4" w:space="0" w:color="000000"/>
              <w:bottom w:val="single" w:sz="4" w:space="0" w:color="A6A6A6" w:themeColor="background1" w:themeShade="A6"/>
              <w:right w:val="single" w:sz="4" w:space="0" w:color="A6A6A6" w:themeColor="background1" w:themeShade="A6"/>
            </w:tcBorders>
            <w:vAlign w:val="bottom"/>
          </w:tcPr>
          <w:p w14:paraId="2BA3EEAB" w14:textId="77777777" w:rsidR="000304C2" w:rsidRPr="007E325B" w:rsidRDefault="000304C2" w:rsidP="00F56D54">
            <w:pPr>
              <w:widowControl/>
              <w:spacing w:line="259" w:lineRule="auto"/>
              <w:ind w:right="107"/>
              <w:jc w:val="right"/>
              <w:rPr>
                <w:rFonts w:ascii="Times New Roman" w:hAnsi="Times New Roman"/>
                <w:color w:val="000000"/>
                <w:sz w:val="25"/>
                <w:szCs w:val="25"/>
              </w:rPr>
            </w:pPr>
            <w:r w:rsidRPr="007E325B">
              <w:rPr>
                <w:rFonts w:ascii="Times New Roman" w:hAnsi="Times New Roman"/>
                <w:color w:val="000000"/>
                <w:sz w:val="25"/>
                <w:szCs w:val="25"/>
              </w:rPr>
              <w:t xml:space="preserve">26.9% </w:t>
            </w:r>
          </w:p>
        </w:tc>
      </w:tr>
      <w:tr w:rsidR="000304C2" w:rsidRPr="00F56D54" w14:paraId="379F23DE" w14:textId="77777777" w:rsidTr="00D70A37">
        <w:trPr>
          <w:trHeight w:val="298"/>
          <w:jc w:val="center"/>
        </w:trPr>
        <w:tc>
          <w:tcPr>
            <w:tcW w:w="27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000000"/>
            </w:tcBorders>
          </w:tcPr>
          <w:p w14:paraId="0AE97DE7" w14:textId="77777777" w:rsidR="000304C2" w:rsidRPr="007E325B" w:rsidRDefault="000304C2" w:rsidP="00E40798">
            <w:pPr>
              <w:widowControl/>
              <w:spacing w:line="259" w:lineRule="auto"/>
              <w:rPr>
                <w:rFonts w:ascii="Times New Roman" w:hAnsi="Times New Roman"/>
                <w:color w:val="000000"/>
                <w:sz w:val="25"/>
                <w:szCs w:val="25"/>
              </w:rPr>
            </w:pPr>
            <w:r w:rsidRPr="007E325B">
              <w:rPr>
                <w:rFonts w:ascii="Times New Roman" w:hAnsi="Times New Roman"/>
                <w:color w:val="000000"/>
                <w:sz w:val="25"/>
                <w:szCs w:val="25"/>
              </w:rPr>
              <w:t xml:space="preserve">  </w:t>
            </w:r>
          </w:p>
        </w:tc>
        <w:tc>
          <w:tcPr>
            <w:tcW w:w="11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tcPr>
          <w:p w14:paraId="3A8FCF86" w14:textId="77777777" w:rsidR="000304C2" w:rsidRPr="007E325B" w:rsidRDefault="000304C2" w:rsidP="00F56D54">
            <w:pPr>
              <w:widowControl/>
              <w:spacing w:line="259" w:lineRule="auto"/>
              <w:ind w:left="2"/>
              <w:rPr>
                <w:rFonts w:ascii="Times New Roman" w:hAnsi="Times New Roman"/>
                <w:color w:val="000000"/>
                <w:sz w:val="25"/>
                <w:szCs w:val="25"/>
              </w:rPr>
            </w:pPr>
            <w:r w:rsidRPr="007E325B">
              <w:rPr>
                <w:rFonts w:ascii="Times New Roman" w:hAnsi="Times New Roman"/>
                <w:color w:val="000000"/>
                <w:sz w:val="25"/>
                <w:szCs w:val="25"/>
              </w:rPr>
              <w:t xml:space="preserve">  </w:t>
            </w:r>
          </w:p>
        </w:tc>
        <w:tc>
          <w:tcPr>
            <w:tcW w:w="99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tcPr>
          <w:p w14:paraId="3A1921E5" w14:textId="77777777" w:rsidR="000304C2" w:rsidRPr="007E325B" w:rsidRDefault="000304C2" w:rsidP="00F56D54">
            <w:pPr>
              <w:widowControl/>
              <w:spacing w:line="259" w:lineRule="auto"/>
              <w:ind w:left="2"/>
              <w:rPr>
                <w:rFonts w:ascii="Times New Roman" w:hAnsi="Times New Roman"/>
                <w:color w:val="000000"/>
                <w:sz w:val="25"/>
                <w:szCs w:val="25"/>
              </w:rPr>
            </w:pPr>
            <w:r w:rsidRPr="007E325B">
              <w:rPr>
                <w:rFonts w:ascii="Times New Roman" w:hAnsi="Times New Roman"/>
                <w:color w:val="000000"/>
                <w:sz w:val="25"/>
                <w:szCs w:val="25"/>
              </w:rPr>
              <w:t xml:space="preserve">  </w:t>
            </w:r>
          </w:p>
        </w:tc>
        <w:tc>
          <w:tcPr>
            <w:tcW w:w="126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tcPr>
          <w:p w14:paraId="71361C57" w14:textId="77777777" w:rsidR="000304C2" w:rsidRPr="007E325B" w:rsidRDefault="000304C2" w:rsidP="00F56D54">
            <w:pPr>
              <w:widowControl/>
              <w:spacing w:line="259" w:lineRule="auto"/>
              <w:ind w:left="2"/>
              <w:rPr>
                <w:rFonts w:ascii="Times New Roman" w:hAnsi="Times New Roman"/>
                <w:color w:val="000000"/>
                <w:sz w:val="25"/>
                <w:szCs w:val="25"/>
              </w:rPr>
            </w:pPr>
            <w:r w:rsidRPr="007E325B">
              <w:rPr>
                <w:rFonts w:ascii="Times New Roman" w:hAnsi="Times New Roman"/>
                <w:color w:val="000000"/>
                <w:sz w:val="25"/>
                <w:szCs w:val="25"/>
              </w:rPr>
              <w:t xml:space="preserve">  </w:t>
            </w:r>
          </w:p>
        </w:tc>
        <w:tc>
          <w:tcPr>
            <w:tcW w:w="108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tcPr>
          <w:p w14:paraId="43EA20C1" w14:textId="77777777" w:rsidR="000304C2" w:rsidRPr="007E325B" w:rsidRDefault="000304C2" w:rsidP="00F56D54">
            <w:pPr>
              <w:widowControl/>
              <w:spacing w:line="259" w:lineRule="auto"/>
              <w:ind w:left="2"/>
              <w:rPr>
                <w:rFonts w:ascii="Times New Roman" w:hAnsi="Times New Roman"/>
                <w:color w:val="000000"/>
                <w:sz w:val="25"/>
                <w:szCs w:val="25"/>
              </w:rPr>
            </w:pPr>
            <w:r w:rsidRPr="007E325B">
              <w:rPr>
                <w:rFonts w:ascii="Times New Roman" w:hAnsi="Times New Roman"/>
                <w:color w:val="000000"/>
                <w:sz w:val="25"/>
                <w:szCs w:val="25"/>
              </w:rPr>
              <w:t xml:space="preserve">  </w:t>
            </w:r>
          </w:p>
        </w:tc>
        <w:tc>
          <w:tcPr>
            <w:tcW w:w="1276" w:type="dxa"/>
            <w:tcBorders>
              <w:top w:val="single" w:sz="4" w:space="0" w:color="A6A6A6" w:themeColor="background1" w:themeShade="A6"/>
              <w:left w:val="single" w:sz="4" w:space="0" w:color="000000"/>
              <w:bottom w:val="single" w:sz="4" w:space="0" w:color="A6A6A6" w:themeColor="background1" w:themeShade="A6"/>
              <w:right w:val="single" w:sz="4" w:space="0" w:color="A6A6A6" w:themeColor="background1" w:themeShade="A6"/>
            </w:tcBorders>
          </w:tcPr>
          <w:p w14:paraId="07F75C5D" w14:textId="77777777" w:rsidR="000304C2" w:rsidRPr="007E325B" w:rsidRDefault="000304C2" w:rsidP="00F56D54">
            <w:pPr>
              <w:widowControl/>
              <w:spacing w:line="259" w:lineRule="auto"/>
              <w:ind w:left="2"/>
              <w:rPr>
                <w:rFonts w:ascii="Times New Roman" w:hAnsi="Times New Roman"/>
                <w:color w:val="000000"/>
                <w:sz w:val="25"/>
                <w:szCs w:val="25"/>
              </w:rPr>
            </w:pPr>
            <w:r w:rsidRPr="007E325B">
              <w:rPr>
                <w:rFonts w:ascii="Times New Roman" w:hAnsi="Times New Roman"/>
                <w:color w:val="000000"/>
                <w:sz w:val="25"/>
                <w:szCs w:val="25"/>
              </w:rPr>
              <w:t xml:space="preserve">  </w:t>
            </w:r>
          </w:p>
        </w:tc>
      </w:tr>
      <w:tr w:rsidR="000304C2" w:rsidRPr="00F56D54" w14:paraId="5A989068" w14:textId="77777777" w:rsidTr="00D70A37">
        <w:trPr>
          <w:trHeight w:val="612"/>
          <w:jc w:val="center"/>
        </w:trPr>
        <w:tc>
          <w:tcPr>
            <w:tcW w:w="27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000000"/>
            </w:tcBorders>
          </w:tcPr>
          <w:p w14:paraId="6F2FCB72" w14:textId="4E08CAD2" w:rsidR="000304C2" w:rsidRPr="007E325B" w:rsidRDefault="000304C2" w:rsidP="00E40798">
            <w:pPr>
              <w:widowControl/>
              <w:spacing w:line="259" w:lineRule="auto"/>
              <w:rPr>
                <w:rFonts w:ascii="Times New Roman" w:hAnsi="Times New Roman"/>
                <w:color w:val="000000"/>
                <w:sz w:val="25"/>
                <w:szCs w:val="25"/>
              </w:rPr>
            </w:pPr>
            <w:r w:rsidRPr="007E325B">
              <w:rPr>
                <w:rFonts w:ascii="Times New Roman" w:hAnsi="Times New Roman"/>
                <w:color w:val="000000"/>
                <w:sz w:val="25"/>
                <w:szCs w:val="25"/>
              </w:rPr>
              <w:t xml:space="preserve">SC2- Large </w:t>
            </w:r>
            <w:r w:rsidR="00F56D54" w:rsidRPr="007E325B">
              <w:rPr>
                <w:rFonts w:ascii="Times New Roman" w:hAnsi="Times New Roman"/>
                <w:color w:val="000000"/>
                <w:sz w:val="25"/>
                <w:szCs w:val="25"/>
              </w:rPr>
              <w:t>Commercial &amp;</w:t>
            </w:r>
            <w:r w:rsidRPr="007E325B">
              <w:rPr>
                <w:rFonts w:ascii="Times New Roman" w:hAnsi="Times New Roman"/>
                <w:color w:val="000000"/>
                <w:sz w:val="25"/>
                <w:szCs w:val="25"/>
              </w:rPr>
              <w:t xml:space="preserve"> Industrial (Primary) </w:t>
            </w:r>
          </w:p>
        </w:tc>
        <w:tc>
          <w:tcPr>
            <w:tcW w:w="11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bottom"/>
          </w:tcPr>
          <w:p w14:paraId="179CBF6A" w14:textId="77777777" w:rsidR="000304C2" w:rsidRPr="007E325B" w:rsidRDefault="000304C2" w:rsidP="00F56D54">
            <w:pPr>
              <w:widowControl/>
              <w:spacing w:line="259" w:lineRule="auto"/>
              <w:ind w:right="108"/>
              <w:jc w:val="right"/>
              <w:rPr>
                <w:rFonts w:ascii="Times New Roman" w:hAnsi="Times New Roman"/>
                <w:color w:val="000000"/>
                <w:sz w:val="25"/>
                <w:szCs w:val="25"/>
              </w:rPr>
            </w:pPr>
            <w:r w:rsidRPr="007E325B">
              <w:rPr>
                <w:rFonts w:ascii="Times New Roman" w:hAnsi="Times New Roman"/>
                <w:color w:val="000000"/>
                <w:sz w:val="25"/>
                <w:szCs w:val="25"/>
              </w:rPr>
              <w:t xml:space="preserve">$110.90  </w:t>
            </w:r>
          </w:p>
        </w:tc>
        <w:tc>
          <w:tcPr>
            <w:tcW w:w="99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bottom"/>
          </w:tcPr>
          <w:p w14:paraId="736807AB" w14:textId="77777777" w:rsidR="000304C2" w:rsidRPr="007E325B" w:rsidRDefault="000304C2" w:rsidP="00F56D54">
            <w:pPr>
              <w:widowControl/>
              <w:spacing w:line="259" w:lineRule="auto"/>
              <w:ind w:left="10"/>
              <w:rPr>
                <w:rFonts w:ascii="Times New Roman" w:hAnsi="Times New Roman"/>
                <w:color w:val="000000"/>
                <w:sz w:val="25"/>
                <w:szCs w:val="25"/>
              </w:rPr>
            </w:pPr>
            <w:r w:rsidRPr="007E325B">
              <w:rPr>
                <w:rFonts w:ascii="Times New Roman" w:hAnsi="Times New Roman"/>
                <w:color w:val="000000"/>
                <w:sz w:val="25"/>
                <w:szCs w:val="25"/>
              </w:rPr>
              <w:t xml:space="preserve">$152.00  </w:t>
            </w:r>
          </w:p>
        </w:tc>
        <w:tc>
          <w:tcPr>
            <w:tcW w:w="126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bottom"/>
          </w:tcPr>
          <w:p w14:paraId="78FB13DE" w14:textId="77777777" w:rsidR="000304C2" w:rsidRPr="007E325B" w:rsidRDefault="000304C2" w:rsidP="00F56D54">
            <w:pPr>
              <w:widowControl/>
              <w:spacing w:line="259" w:lineRule="auto"/>
              <w:ind w:right="107"/>
              <w:jc w:val="right"/>
              <w:rPr>
                <w:rFonts w:ascii="Times New Roman" w:hAnsi="Times New Roman"/>
                <w:color w:val="000000"/>
                <w:sz w:val="25"/>
                <w:szCs w:val="25"/>
              </w:rPr>
            </w:pPr>
            <w:r w:rsidRPr="007E325B">
              <w:rPr>
                <w:rFonts w:ascii="Times New Roman" w:hAnsi="Times New Roman"/>
                <w:color w:val="000000"/>
                <w:sz w:val="25"/>
                <w:szCs w:val="25"/>
              </w:rPr>
              <w:t xml:space="preserve">37.1% </w:t>
            </w:r>
          </w:p>
        </w:tc>
        <w:tc>
          <w:tcPr>
            <w:tcW w:w="108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bottom"/>
          </w:tcPr>
          <w:p w14:paraId="53362974" w14:textId="77777777" w:rsidR="000304C2" w:rsidRPr="007E325B" w:rsidRDefault="000304C2" w:rsidP="00F56D54">
            <w:pPr>
              <w:widowControl/>
              <w:spacing w:line="259" w:lineRule="auto"/>
              <w:ind w:right="109"/>
              <w:jc w:val="right"/>
              <w:rPr>
                <w:rFonts w:ascii="Times New Roman" w:hAnsi="Times New Roman"/>
                <w:color w:val="000000"/>
                <w:sz w:val="25"/>
                <w:szCs w:val="25"/>
              </w:rPr>
            </w:pPr>
            <w:r w:rsidRPr="007E325B">
              <w:rPr>
                <w:rFonts w:ascii="Times New Roman" w:hAnsi="Times New Roman"/>
                <w:color w:val="000000"/>
                <w:sz w:val="25"/>
                <w:szCs w:val="25"/>
              </w:rPr>
              <w:t xml:space="preserve">$140.00  </w:t>
            </w:r>
          </w:p>
        </w:tc>
        <w:tc>
          <w:tcPr>
            <w:tcW w:w="1276" w:type="dxa"/>
            <w:tcBorders>
              <w:top w:val="single" w:sz="4" w:space="0" w:color="A6A6A6" w:themeColor="background1" w:themeShade="A6"/>
              <w:left w:val="single" w:sz="4" w:space="0" w:color="000000"/>
              <w:bottom w:val="single" w:sz="4" w:space="0" w:color="A6A6A6" w:themeColor="background1" w:themeShade="A6"/>
              <w:right w:val="single" w:sz="4" w:space="0" w:color="A6A6A6" w:themeColor="background1" w:themeShade="A6"/>
            </w:tcBorders>
            <w:vAlign w:val="bottom"/>
          </w:tcPr>
          <w:p w14:paraId="5FE12014" w14:textId="77777777" w:rsidR="000304C2" w:rsidRPr="007E325B" w:rsidRDefault="000304C2" w:rsidP="00F56D54">
            <w:pPr>
              <w:widowControl/>
              <w:spacing w:line="259" w:lineRule="auto"/>
              <w:ind w:right="107"/>
              <w:jc w:val="right"/>
              <w:rPr>
                <w:rFonts w:ascii="Times New Roman" w:hAnsi="Times New Roman"/>
                <w:color w:val="000000"/>
                <w:sz w:val="25"/>
                <w:szCs w:val="25"/>
              </w:rPr>
            </w:pPr>
            <w:r w:rsidRPr="007E325B">
              <w:rPr>
                <w:rFonts w:ascii="Times New Roman" w:hAnsi="Times New Roman"/>
                <w:color w:val="000000"/>
                <w:sz w:val="25"/>
                <w:szCs w:val="25"/>
              </w:rPr>
              <w:t xml:space="preserve">26.2% </w:t>
            </w:r>
          </w:p>
        </w:tc>
      </w:tr>
    </w:tbl>
    <w:p w14:paraId="29E8CA43" w14:textId="77777777" w:rsidR="000304C2" w:rsidRPr="00F56D54" w:rsidRDefault="000304C2" w:rsidP="00F56D54">
      <w:pPr>
        <w:widowControl/>
        <w:spacing w:after="112" w:line="259" w:lineRule="auto"/>
        <w:ind w:left="2160"/>
        <w:rPr>
          <w:color w:val="000000"/>
          <w:sz w:val="26"/>
          <w:szCs w:val="26"/>
        </w:rPr>
      </w:pPr>
      <w:r w:rsidRPr="00F56D54">
        <w:rPr>
          <w:color w:val="000000"/>
          <w:sz w:val="26"/>
          <w:szCs w:val="26"/>
        </w:rPr>
        <w:t xml:space="preserve"> </w:t>
      </w:r>
    </w:p>
    <w:p w14:paraId="62A43611" w14:textId="77777777" w:rsidR="000304C2" w:rsidRPr="00F56D54" w:rsidRDefault="000304C2" w:rsidP="00F56D54">
      <w:pPr>
        <w:widowControl/>
        <w:numPr>
          <w:ilvl w:val="1"/>
          <w:numId w:val="49"/>
        </w:numPr>
        <w:spacing w:after="5" w:line="239" w:lineRule="auto"/>
        <w:ind w:left="2160" w:right="907"/>
        <w:rPr>
          <w:color w:val="000000"/>
          <w:sz w:val="26"/>
          <w:szCs w:val="26"/>
        </w:rPr>
      </w:pPr>
      <w:r w:rsidRPr="00F56D54">
        <w:rPr>
          <w:color w:val="000000"/>
          <w:sz w:val="26"/>
          <w:szCs w:val="26"/>
        </w:rPr>
        <w:t xml:space="preserve">This Partial Settlement provides for a sound and reasonable revenue requirement and appropriately balances the interests of Pike (Electric) and its customers.  In addition, adoption and approval of this Petition for Partial Settlement will avoid the need for the evidentiary hearings and the cross-examination of witnesses, for briefing, and for continued litigation of the settled issues, thereby eliminating substantial costs. </w:t>
      </w:r>
    </w:p>
    <w:p w14:paraId="50BB2030" w14:textId="77777777" w:rsidR="000304C2" w:rsidRPr="00F56D54" w:rsidRDefault="000304C2" w:rsidP="00F56D54">
      <w:pPr>
        <w:widowControl/>
        <w:spacing w:line="259" w:lineRule="auto"/>
        <w:ind w:left="2160"/>
        <w:rPr>
          <w:color w:val="000000"/>
          <w:sz w:val="26"/>
          <w:szCs w:val="26"/>
        </w:rPr>
      </w:pPr>
      <w:r w:rsidRPr="00F56D54">
        <w:rPr>
          <w:color w:val="000000"/>
          <w:sz w:val="26"/>
          <w:szCs w:val="26"/>
        </w:rPr>
        <w:t xml:space="preserve"> </w:t>
      </w:r>
    </w:p>
    <w:p w14:paraId="35CEAE80" w14:textId="77777777" w:rsidR="000304C2" w:rsidRPr="00F56D54" w:rsidRDefault="000304C2" w:rsidP="00F56D54">
      <w:pPr>
        <w:widowControl/>
        <w:numPr>
          <w:ilvl w:val="1"/>
          <w:numId w:val="49"/>
        </w:numPr>
        <w:spacing w:after="5" w:line="239" w:lineRule="auto"/>
        <w:ind w:left="2160" w:right="907"/>
        <w:rPr>
          <w:color w:val="000000"/>
          <w:sz w:val="26"/>
          <w:szCs w:val="26"/>
        </w:rPr>
      </w:pPr>
      <w:r w:rsidRPr="00F56D54">
        <w:rPr>
          <w:color w:val="000000"/>
          <w:sz w:val="26"/>
          <w:szCs w:val="26"/>
        </w:rPr>
        <w:t xml:space="preserve">This Petition for Partial Settlement arises from extensive discovery, testimony and discussions and reflects compromises by all sides.  It is being proposed to partially settle the instant case.  Accordingly, this Petition for Partial Settlement is made without any admission against, or prejudice to, any positions which any Joint Petitioner might adopt during any subsequent litigation of this proceeding (should this Petition for Partial Settlement be rejected or modified), or in any other proceeding. </w:t>
      </w:r>
    </w:p>
    <w:p w14:paraId="55092EE7" w14:textId="77777777" w:rsidR="000304C2" w:rsidRPr="00F56D54" w:rsidRDefault="000304C2" w:rsidP="00F56D54">
      <w:pPr>
        <w:widowControl/>
        <w:spacing w:line="259" w:lineRule="auto"/>
        <w:ind w:left="1440"/>
        <w:rPr>
          <w:color w:val="000000"/>
          <w:sz w:val="26"/>
          <w:szCs w:val="26"/>
        </w:rPr>
      </w:pPr>
      <w:r w:rsidRPr="00F56D54">
        <w:rPr>
          <w:color w:val="000000"/>
          <w:sz w:val="26"/>
          <w:szCs w:val="26"/>
        </w:rPr>
        <w:lastRenderedPageBreak/>
        <w:t xml:space="preserve"> </w:t>
      </w:r>
    </w:p>
    <w:p w14:paraId="5C593BEB" w14:textId="77777777" w:rsidR="000304C2" w:rsidRPr="00F56D54" w:rsidRDefault="000304C2" w:rsidP="00F56D54">
      <w:pPr>
        <w:widowControl/>
        <w:numPr>
          <w:ilvl w:val="1"/>
          <w:numId w:val="49"/>
        </w:numPr>
        <w:spacing w:after="5" w:line="239" w:lineRule="auto"/>
        <w:ind w:left="2160" w:right="907"/>
        <w:rPr>
          <w:color w:val="000000"/>
          <w:sz w:val="26"/>
          <w:szCs w:val="26"/>
        </w:rPr>
      </w:pPr>
      <w:r w:rsidRPr="00F56D54">
        <w:rPr>
          <w:color w:val="000000"/>
          <w:sz w:val="26"/>
          <w:szCs w:val="26"/>
        </w:rPr>
        <w:t xml:space="preserve">If the Commission withholds approval of this Petition for Partial Settlement as to any of the terms and conditions, or alters any of the terms and conditions, any Joint Petitioner may withdraw from this settlement upon written notice of its intent to the Commission and the remaining parties within three (3) business days of the date of entry of the Commission's Order and may resume with the litigation of this proceeding within ten days of the entry of the Order making any such modifications. </w:t>
      </w:r>
    </w:p>
    <w:p w14:paraId="665C84B4" w14:textId="77777777" w:rsidR="000304C2" w:rsidRPr="00F56D54" w:rsidRDefault="000304C2" w:rsidP="00F56D54">
      <w:pPr>
        <w:widowControl/>
        <w:spacing w:line="259" w:lineRule="auto"/>
        <w:ind w:left="2160"/>
        <w:rPr>
          <w:color w:val="000000"/>
          <w:sz w:val="26"/>
          <w:szCs w:val="26"/>
        </w:rPr>
      </w:pPr>
      <w:r w:rsidRPr="00F56D54">
        <w:rPr>
          <w:color w:val="000000"/>
          <w:sz w:val="26"/>
          <w:szCs w:val="26"/>
        </w:rPr>
        <w:t xml:space="preserve"> </w:t>
      </w:r>
    </w:p>
    <w:p w14:paraId="065BE189" w14:textId="77777777" w:rsidR="000304C2" w:rsidRPr="00F56D54" w:rsidRDefault="000304C2" w:rsidP="00F56D54">
      <w:pPr>
        <w:widowControl/>
        <w:numPr>
          <w:ilvl w:val="1"/>
          <w:numId w:val="49"/>
        </w:numPr>
        <w:spacing w:after="5"/>
        <w:ind w:left="2160" w:right="907"/>
        <w:rPr>
          <w:color w:val="000000"/>
          <w:sz w:val="26"/>
          <w:szCs w:val="26"/>
        </w:rPr>
      </w:pPr>
      <w:r w:rsidRPr="00F56D54">
        <w:rPr>
          <w:color w:val="000000"/>
          <w:sz w:val="26"/>
          <w:szCs w:val="26"/>
        </w:rPr>
        <w:t xml:space="preserve">Joint Petitioners agree that Commission approval of this Petition for Partial Settlement without modification shall be considered to have the same effect as full litigation of the instant proceeding resulting in the establishment of rates that are Commission-made rates. </w:t>
      </w:r>
    </w:p>
    <w:p w14:paraId="0DE7E6B7" w14:textId="77777777" w:rsidR="000304C2" w:rsidRPr="00F56D54" w:rsidRDefault="000304C2" w:rsidP="00F56D54">
      <w:pPr>
        <w:widowControl/>
        <w:spacing w:line="259" w:lineRule="auto"/>
        <w:ind w:left="2160"/>
        <w:rPr>
          <w:color w:val="000000"/>
          <w:sz w:val="26"/>
          <w:szCs w:val="26"/>
        </w:rPr>
      </w:pPr>
      <w:r w:rsidRPr="00F56D54">
        <w:rPr>
          <w:color w:val="000000"/>
          <w:sz w:val="26"/>
          <w:szCs w:val="26"/>
        </w:rPr>
        <w:t xml:space="preserve"> </w:t>
      </w:r>
    </w:p>
    <w:p w14:paraId="148AB8D3" w14:textId="77777777" w:rsidR="000304C2" w:rsidRPr="00F56D54" w:rsidRDefault="000304C2" w:rsidP="00F56D54">
      <w:pPr>
        <w:widowControl/>
        <w:numPr>
          <w:ilvl w:val="1"/>
          <w:numId w:val="49"/>
        </w:numPr>
        <w:spacing w:after="5" w:line="239" w:lineRule="auto"/>
        <w:ind w:left="2160" w:right="907"/>
        <w:rPr>
          <w:color w:val="000000"/>
          <w:sz w:val="26"/>
          <w:szCs w:val="26"/>
        </w:rPr>
      </w:pPr>
      <w:proofErr w:type="gramStart"/>
      <w:r w:rsidRPr="00F56D54">
        <w:rPr>
          <w:color w:val="000000"/>
          <w:sz w:val="26"/>
          <w:szCs w:val="26"/>
        </w:rPr>
        <w:t>In the event that</w:t>
      </w:r>
      <w:proofErr w:type="gramEnd"/>
      <w:r w:rsidRPr="00F56D54">
        <w:rPr>
          <w:color w:val="000000"/>
          <w:sz w:val="26"/>
          <w:szCs w:val="26"/>
        </w:rPr>
        <w:t xml:space="preserve"> the Commission does not approve this Petition for Partial Settlement, the Joint Petitioners reserve their respective rights to resume litigation.  If the ALJ, in her Recommended Decision, recommends that the Commission adopt this Petition for Partial Settlement as herein proposed, Joint Petitioners agree to waive the filing of Exceptions on the matters settled in this Petition.  However, Joint Petitioners do not waive their rights to file Exceptions with respect to the litigated issue on Rate Structure and Design, any additional matters dealt with, or any modifications to the terms and conditions of this Petition for Partial Settlement recommended by the ALJ in her Recommended Decision. </w:t>
      </w:r>
    </w:p>
    <w:p w14:paraId="28E12EED" w14:textId="77777777" w:rsidR="000304C2" w:rsidRPr="00F56D54" w:rsidRDefault="000304C2" w:rsidP="00F56D54">
      <w:pPr>
        <w:widowControl/>
        <w:spacing w:line="259" w:lineRule="auto"/>
        <w:ind w:left="1440"/>
        <w:rPr>
          <w:color w:val="000000"/>
          <w:sz w:val="26"/>
          <w:szCs w:val="26"/>
        </w:rPr>
      </w:pPr>
      <w:r w:rsidRPr="00F56D54">
        <w:rPr>
          <w:color w:val="000000"/>
          <w:sz w:val="26"/>
          <w:szCs w:val="26"/>
        </w:rPr>
        <w:t xml:space="preserve"> </w:t>
      </w:r>
    </w:p>
    <w:p w14:paraId="61D1FD62" w14:textId="77777777" w:rsidR="000304C2" w:rsidRPr="00F56D54" w:rsidRDefault="000304C2" w:rsidP="00F56D54">
      <w:pPr>
        <w:widowControl/>
        <w:numPr>
          <w:ilvl w:val="1"/>
          <w:numId w:val="49"/>
        </w:numPr>
        <w:spacing w:after="5" w:line="241" w:lineRule="auto"/>
        <w:ind w:left="2160" w:right="907"/>
        <w:rPr>
          <w:color w:val="000000"/>
          <w:sz w:val="26"/>
          <w:szCs w:val="26"/>
        </w:rPr>
      </w:pPr>
      <w:r w:rsidRPr="00F56D54">
        <w:rPr>
          <w:color w:val="000000"/>
          <w:sz w:val="26"/>
          <w:szCs w:val="26"/>
        </w:rPr>
        <w:t xml:space="preserve">The Joint Petitioners recognize that this Petition for Partial Settlement does not bind formal complainants who have not joined herein.  </w:t>
      </w:r>
    </w:p>
    <w:p w14:paraId="4FF276C9" w14:textId="77777777" w:rsidR="000304C2" w:rsidRPr="00F56D54" w:rsidRDefault="000304C2" w:rsidP="00F56D54">
      <w:pPr>
        <w:widowControl/>
        <w:spacing w:line="259" w:lineRule="auto"/>
        <w:ind w:left="2160"/>
        <w:rPr>
          <w:color w:val="000000"/>
          <w:sz w:val="26"/>
          <w:szCs w:val="26"/>
        </w:rPr>
      </w:pPr>
      <w:r w:rsidRPr="00F56D54">
        <w:rPr>
          <w:color w:val="000000"/>
          <w:sz w:val="26"/>
          <w:szCs w:val="26"/>
        </w:rPr>
        <w:t xml:space="preserve"> </w:t>
      </w:r>
    </w:p>
    <w:p w14:paraId="23C3E339" w14:textId="77777777" w:rsidR="000304C2" w:rsidRPr="00F56D54" w:rsidRDefault="000304C2" w:rsidP="00F56D54">
      <w:pPr>
        <w:widowControl/>
        <w:numPr>
          <w:ilvl w:val="1"/>
          <w:numId w:val="49"/>
        </w:numPr>
        <w:spacing w:after="5"/>
        <w:ind w:left="2160" w:right="907"/>
        <w:rPr>
          <w:color w:val="000000"/>
          <w:sz w:val="26"/>
          <w:szCs w:val="26"/>
        </w:rPr>
      </w:pPr>
      <w:r w:rsidRPr="00F56D54">
        <w:rPr>
          <w:color w:val="000000"/>
          <w:sz w:val="26"/>
          <w:szCs w:val="26"/>
        </w:rPr>
        <w:t xml:space="preserve">Pike (Electric), I&amp;E, OCA, and OSBA have attached to this Petition for Partial Settlement, as Appendices "B", "C", "D", and "E", respectively, Statements of Support setting forth the bases upon which they believe the Partial Settlement is fair, just and reasonable and is, therefore, in the public interest. </w:t>
      </w:r>
    </w:p>
    <w:p w14:paraId="2CF0D242" w14:textId="77777777" w:rsidR="000304C2" w:rsidRPr="00F56D54" w:rsidRDefault="000304C2" w:rsidP="00F56D54">
      <w:pPr>
        <w:widowControl/>
        <w:spacing w:line="259" w:lineRule="auto"/>
        <w:ind w:left="2160"/>
        <w:rPr>
          <w:color w:val="000000"/>
          <w:sz w:val="26"/>
          <w:szCs w:val="26"/>
        </w:rPr>
      </w:pPr>
      <w:r w:rsidRPr="00F56D54">
        <w:rPr>
          <w:color w:val="000000"/>
          <w:sz w:val="26"/>
          <w:szCs w:val="26"/>
        </w:rPr>
        <w:t xml:space="preserve"> </w:t>
      </w:r>
    </w:p>
    <w:p w14:paraId="105FFF5B" w14:textId="250C0434" w:rsidR="000304C2" w:rsidRPr="00F56D54" w:rsidRDefault="000304C2" w:rsidP="00F56D54">
      <w:pPr>
        <w:widowControl/>
        <w:numPr>
          <w:ilvl w:val="1"/>
          <w:numId w:val="49"/>
        </w:numPr>
        <w:spacing w:after="5" w:line="238" w:lineRule="auto"/>
        <w:ind w:left="2160" w:right="1037"/>
        <w:rPr>
          <w:color w:val="000000"/>
          <w:sz w:val="26"/>
          <w:szCs w:val="26"/>
        </w:rPr>
      </w:pPr>
      <w:r w:rsidRPr="00F56D54">
        <w:rPr>
          <w:color w:val="000000"/>
          <w:sz w:val="26"/>
          <w:szCs w:val="26"/>
        </w:rPr>
        <w:lastRenderedPageBreak/>
        <w:t xml:space="preserve">In compliance with the ALJ’s March 10, 2021 Order at Ordering paragraph 6, the parties have attached to this Petition for Partial Settlement Appendix F, the proposed finding of fact conclusions of law, and ordering paragraphs. </w:t>
      </w:r>
    </w:p>
    <w:p w14:paraId="4DD40C31" w14:textId="77777777" w:rsidR="000304C2" w:rsidRPr="00F56D54" w:rsidRDefault="000304C2" w:rsidP="00F56D54">
      <w:pPr>
        <w:widowControl/>
        <w:spacing w:line="259" w:lineRule="auto"/>
        <w:ind w:left="2160"/>
        <w:rPr>
          <w:color w:val="000000"/>
          <w:sz w:val="26"/>
          <w:szCs w:val="26"/>
        </w:rPr>
      </w:pPr>
      <w:r w:rsidRPr="00F56D54">
        <w:rPr>
          <w:color w:val="000000"/>
          <w:sz w:val="26"/>
          <w:szCs w:val="26"/>
        </w:rPr>
        <w:t xml:space="preserve"> </w:t>
      </w:r>
    </w:p>
    <w:p w14:paraId="5AE48E3D" w14:textId="77777777" w:rsidR="000304C2" w:rsidRPr="00F56D54" w:rsidRDefault="000304C2" w:rsidP="00F56D54">
      <w:pPr>
        <w:widowControl/>
        <w:numPr>
          <w:ilvl w:val="1"/>
          <w:numId w:val="49"/>
        </w:numPr>
        <w:spacing w:after="5" w:line="241" w:lineRule="auto"/>
        <w:ind w:left="2160" w:right="907"/>
        <w:rPr>
          <w:color w:val="000000"/>
          <w:sz w:val="26"/>
          <w:szCs w:val="26"/>
        </w:rPr>
      </w:pPr>
      <w:r w:rsidRPr="00F56D54">
        <w:rPr>
          <w:color w:val="000000"/>
          <w:sz w:val="26"/>
          <w:szCs w:val="26"/>
        </w:rPr>
        <w:t xml:space="preserve">The Joint Petitioners agree that this Partial Settlement shall not constitute or be cited as controlling precedent in this or any other jurisdiction. </w:t>
      </w:r>
    </w:p>
    <w:p w14:paraId="62AE0F02" w14:textId="0A1F92B7" w:rsidR="007D3105" w:rsidRDefault="007D3105" w:rsidP="00676F53">
      <w:pPr>
        <w:widowControl/>
        <w:spacing w:line="360" w:lineRule="auto"/>
        <w:contextualSpacing/>
        <w:rPr>
          <w:bCs/>
          <w:sz w:val="26"/>
          <w:szCs w:val="26"/>
        </w:rPr>
      </w:pPr>
    </w:p>
    <w:p w14:paraId="784C2229" w14:textId="200E776A" w:rsidR="00676F53" w:rsidRDefault="00AA146D" w:rsidP="00676F53">
      <w:pPr>
        <w:widowControl/>
        <w:spacing w:line="360" w:lineRule="auto"/>
        <w:contextualSpacing/>
        <w:rPr>
          <w:bCs/>
          <w:sz w:val="26"/>
          <w:szCs w:val="26"/>
        </w:rPr>
      </w:pPr>
      <w:r>
        <w:rPr>
          <w:bCs/>
          <w:sz w:val="26"/>
          <w:szCs w:val="26"/>
        </w:rPr>
        <w:t xml:space="preserve">Revenue </w:t>
      </w:r>
      <w:r w:rsidR="005A1ED5">
        <w:rPr>
          <w:bCs/>
          <w:sz w:val="26"/>
          <w:szCs w:val="26"/>
        </w:rPr>
        <w:t xml:space="preserve">Settlement </w:t>
      </w:r>
      <w:r w:rsidR="00676F53">
        <w:rPr>
          <w:bCs/>
          <w:sz w:val="26"/>
          <w:szCs w:val="26"/>
        </w:rPr>
        <w:t>at 3-</w:t>
      </w:r>
      <w:r w:rsidR="00567271">
        <w:rPr>
          <w:bCs/>
          <w:sz w:val="26"/>
          <w:szCs w:val="26"/>
        </w:rPr>
        <w:t>11.</w:t>
      </w:r>
    </w:p>
    <w:p w14:paraId="6121E999" w14:textId="77777777" w:rsidR="00DA470C" w:rsidRPr="00F56D54" w:rsidRDefault="00DA470C" w:rsidP="00CF0CD9">
      <w:pPr>
        <w:widowControl/>
        <w:spacing w:line="360" w:lineRule="auto"/>
        <w:contextualSpacing/>
        <w:rPr>
          <w:bCs/>
          <w:sz w:val="26"/>
          <w:szCs w:val="26"/>
        </w:rPr>
      </w:pPr>
    </w:p>
    <w:p w14:paraId="31B8A07B" w14:textId="5FC29889" w:rsidR="007514D5" w:rsidRPr="00F56D54" w:rsidRDefault="007514D5" w:rsidP="00F56D54">
      <w:pPr>
        <w:widowControl/>
        <w:spacing w:line="360" w:lineRule="auto"/>
        <w:ind w:firstLine="1440"/>
        <w:contextualSpacing/>
        <w:rPr>
          <w:rFonts w:eastAsia="Calibri"/>
          <w:sz w:val="26"/>
          <w:szCs w:val="26"/>
        </w:rPr>
      </w:pPr>
      <w:r w:rsidRPr="00F56D54">
        <w:rPr>
          <w:color w:val="000000"/>
          <w:sz w:val="26"/>
          <w:szCs w:val="26"/>
        </w:rPr>
        <w:t xml:space="preserve">The Joint Petitioners </w:t>
      </w:r>
      <w:r w:rsidR="001E0DE8" w:rsidRPr="00F56D54">
        <w:rPr>
          <w:color w:val="000000"/>
          <w:sz w:val="26"/>
          <w:szCs w:val="26"/>
        </w:rPr>
        <w:t xml:space="preserve">further </w:t>
      </w:r>
      <w:r w:rsidRPr="00F56D54">
        <w:rPr>
          <w:color w:val="000000"/>
          <w:sz w:val="26"/>
          <w:szCs w:val="26"/>
        </w:rPr>
        <w:t>requested that the Commission</w:t>
      </w:r>
      <w:r w:rsidR="007477BC" w:rsidRPr="00F56D54">
        <w:rPr>
          <w:color w:val="000000"/>
          <w:sz w:val="26"/>
          <w:szCs w:val="26"/>
        </w:rPr>
        <w:t>:</w:t>
      </w:r>
      <w:r w:rsidR="00A061DB" w:rsidRPr="00F56D54">
        <w:rPr>
          <w:color w:val="000000"/>
          <w:sz w:val="26"/>
          <w:szCs w:val="26"/>
        </w:rPr>
        <w:t xml:space="preserve"> </w:t>
      </w:r>
      <w:r w:rsidRPr="00F56D54">
        <w:rPr>
          <w:color w:val="000000"/>
          <w:sz w:val="26"/>
          <w:szCs w:val="26"/>
        </w:rPr>
        <w:t xml:space="preserve">(1) approve the </w:t>
      </w:r>
      <w:r w:rsidR="004360C6" w:rsidRPr="00F56D54">
        <w:rPr>
          <w:color w:val="000000"/>
          <w:sz w:val="26"/>
          <w:szCs w:val="26"/>
        </w:rPr>
        <w:t xml:space="preserve">Revenue </w:t>
      </w:r>
      <w:r w:rsidRPr="00F56D54">
        <w:rPr>
          <w:color w:val="000000"/>
          <w:sz w:val="26"/>
          <w:szCs w:val="26"/>
        </w:rPr>
        <w:t xml:space="preserve">Settlement; (2) grant </w:t>
      </w:r>
      <w:r w:rsidR="00FA6F29" w:rsidRPr="00F56D54">
        <w:rPr>
          <w:color w:val="000000"/>
          <w:sz w:val="26"/>
          <w:szCs w:val="26"/>
        </w:rPr>
        <w:t>PC</w:t>
      </w:r>
      <w:r w:rsidR="00201FFF" w:rsidRPr="00F56D54">
        <w:rPr>
          <w:color w:val="000000"/>
          <w:sz w:val="26"/>
          <w:szCs w:val="26"/>
        </w:rPr>
        <w:t>LPC</w:t>
      </w:r>
      <w:r w:rsidRPr="00F56D54">
        <w:rPr>
          <w:color w:val="000000"/>
          <w:sz w:val="26"/>
          <w:szCs w:val="26"/>
        </w:rPr>
        <w:t xml:space="preserve"> permission to file a tariff supplement consistent with</w:t>
      </w:r>
      <w:r w:rsidR="00F1727E" w:rsidRPr="00F56D54">
        <w:rPr>
          <w:color w:val="000000"/>
          <w:sz w:val="26"/>
          <w:szCs w:val="26"/>
        </w:rPr>
        <w:t xml:space="preserve"> the Revenue Settlement</w:t>
      </w:r>
      <w:r w:rsidRPr="00F56D54">
        <w:rPr>
          <w:color w:val="000000"/>
          <w:sz w:val="26"/>
          <w:szCs w:val="26"/>
        </w:rPr>
        <w:t>;</w:t>
      </w:r>
      <w:r w:rsidR="007477BC" w:rsidRPr="00F56D54">
        <w:rPr>
          <w:color w:val="000000"/>
          <w:sz w:val="26"/>
          <w:szCs w:val="26"/>
        </w:rPr>
        <w:t xml:space="preserve"> </w:t>
      </w:r>
      <w:r w:rsidRPr="00F56D54">
        <w:rPr>
          <w:color w:val="000000"/>
          <w:sz w:val="26"/>
          <w:szCs w:val="26"/>
        </w:rPr>
        <w:t xml:space="preserve">(3) </w:t>
      </w:r>
      <w:r w:rsidR="00150ACB" w:rsidRPr="00F56D54">
        <w:rPr>
          <w:color w:val="000000"/>
          <w:sz w:val="26"/>
          <w:szCs w:val="26"/>
        </w:rPr>
        <w:t>deem</w:t>
      </w:r>
      <w:r w:rsidRPr="00F56D54">
        <w:rPr>
          <w:color w:val="000000"/>
          <w:sz w:val="26"/>
          <w:szCs w:val="26"/>
        </w:rPr>
        <w:t xml:space="preserve"> the Formal Complaint</w:t>
      </w:r>
      <w:r w:rsidR="00150ACB" w:rsidRPr="00F56D54">
        <w:rPr>
          <w:color w:val="000000"/>
          <w:sz w:val="26"/>
          <w:szCs w:val="26"/>
        </w:rPr>
        <w:t xml:space="preserve"> of the OCA to be satisfied and marked closed</w:t>
      </w:r>
      <w:r w:rsidR="009942E0">
        <w:rPr>
          <w:color w:val="000000"/>
          <w:sz w:val="26"/>
          <w:szCs w:val="26"/>
        </w:rPr>
        <w:t>;</w:t>
      </w:r>
      <w:r w:rsidRPr="00F56D54">
        <w:rPr>
          <w:color w:val="000000"/>
          <w:sz w:val="26"/>
          <w:szCs w:val="26"/>
        </w:rPr>
        <w:t xml:space="preserve"> </w:t>
      </w:r>
      <w:r w:rsidR="004B4584" w:rsidRPr="00F56D54">
        <w:rPr>
          <w:color w:val="000000"/>
          <w:sz w:val="26"/>
          <w:szCs w:val="26"/>
        </w:rPr>
        <w:t xml:space="preserve">and </w:t>
      </w:r>
      <w:r w:rsidR="008E12CE">
        <w:rPr>
          <w:color w:val="000000"/>
          <w:sz w:val="26"/>
          <w:szCs w:val="26"/>
        </w:rPr>
        <w:t xml:space="preserve">(4) </w:t>
      </w:r>
      <w:r w:rsidR="004B4584" w:rsidRPr="00F56D54">
        <w:rPr>
          <w:color w:val="000000"/>
          <w:sz w:val="26"/>
          <w:szCs w:val="26"/>
        </w:rPr>
        <w:t xml:space="preserve">deem the Formal Complaint </w:t>
      </w:r>
      <w:r w:rsidRPr="00F56D54">
        <w:rPr>
          <w:color w:val="000000"/>
          <w:sz w:val="26"/>
          <w:szCs w:val="26"/>
        </w:rPr>
        <w:t xml:space="preserve">of the OSBA </w:t>
      </w:r>
      <w:r w:rsidR="004B4584" w:rsidRPr="00F56D54">
        <w:rPr>
          <w:color w:val="000000"/>
          <w:sz w:val="26"/>
          <w:szCs w:val="26"/>
        </w:rPr>
        <w:t>to be satisfied, in part,</w:t>
      </w:r>
      <w:r w:rsidR="00941F8F" w:rsidRPr="00F56D54">
        <w:rPr>
          <w:color w:val="000000"/>
          <w:sz w:val="26"/>
          <w:szCs w:val="26"/>
        </w:rPr>
        <w:t xml:space="preserve"> with respect to the </w:t>
      </w:r>
      <w:r w:rsidR="009B76CB" w:rsidRPr="00F56D54">
        <w:rPr>
          <w:color w:val="000000"/>
          <w:sz w:val="26"/>
          <w:szCs w:val="26"/>
        </w:rPr>
        <w:t>revenue terms</w:t>
      </w:r>
      <w:r w:rsidRPr="00F56D54">
        <w:rPr>
          <w:color w:val="000000"/>
          <w:sz w:val="26"/>
          <w:szCs w:val="26"/>
        </w:rPr>
        <w:t>.  Joint Petition</w:t>
      </w:r>
      <w:r w:rsidR="00E12624" w:rsidRPr="00F56D54">
        <w:rPr>
          <w:color w:val="000000"/>
          <w:sz w:val="26"/>
          <w:szCs w:val="26"/>
        </w:rPr>
        <w:t xml:space="preserve">-Revenue </w:t>
      </w:r>
      <w:r w:rsidRPr="00F56D54">
        <w:rPr>
          <w:color w:val="000000"/>
          <w:sz w:val="26"/>
          <w:szCs w:val="26"/>
        </w:rPr>
        <w:t xml:space="preserve">at </w:t>
      </w:r>
      <w:r w:rsidR="00FE43C0">
        <w:rPr>
          <w:color w:val="000000"/>
          <w:sz w:val="26"/>
          <w:szCs w:val="26"/>
        </w:rPr>
        <w:t>Appendix F</w:t>
      </w:r>
      <w:r w:rsidR="00765BAD">
        <w:rPr>
          <w:color w:val="000000"/>
          <w:sz w:val="26"/>
          <w:szCs w:val="26"/>
        </w:rPr>
        <w:t xml:space="preserve">, </w:t>
      </w:r>
      <w:r w:rsidR="00A2426D">
        <w:rPr>
          <w:color w:val="000000"/>
          <w:sz w:val="26"/>
          <w:szCs w:val="26"/>
        </w:rPr>
        <w:t xml:space="preserve">pp. </w:t>
      </w:r>
      <w:r w:rsidR="00765BAD">
        <w:rPr>
          <w:color w:val="000000"/>
          <w:sz w:val="26"/>
          <w:szCs w:val="26"/>
        </w:rPr>
        <w:t>1-</w:t>
      </w:r>
      <w:r w:rsidR="00765BAD" w:rsidRPr="00765BAD">
        <w:rPr>
          <w:color w:val="000000"/>
          <w:sz w:val="26"/>
          <w:szCs w:val="26"/>
        </w:rPr>
        <w:t>7</w:t>
      </w:r>
      <w:r w:rsidRPr="00765BAD">
        <w:rPr>
          <w:color w:val="000000"/>
          <w:sz w:val="26"/>
          <w:szCs w:val="26"/>
        </w:rPr>
        <w:t>.</w:t>
      </w:r>
    </w:p>
    <w:p w14:paraId="3638862F" w14:textId="40665357" w:rsidR="000142D5" w:rsidRPr="00F56D54" w:rsidRDefault="000142D5" w:rsidP="00F56D54">
      <w:pPr>
        <w:widowControl/>
        <w:spacing w:line="360" w:lineRule="auto"/>
        <w:contextualSpacing/>
        <w:rPr>
          <w:b/>
          <w:sz w:val="26"/>
          <w:szCs w:val="26"/>
        </w:rPr>
      </w:pPr>
    </w:p>
    <w:p w14:paraId="247165C6" w14:textId="1ECA73B1" w:rsidR="00E54CFF" w:rsidRPr="00F56D54" w:rsidRDefault="00CE79D6" w:rsidP="00F56D54">
      <w:pPr>
        <w:pStyle w:val="Heading2"/>
        <w:widowControl/>
        <w:numPr>
          <w:ilvl w:val="0"/>
          <w:numId w:val="0"/>
        </w:numPr>
        <w:ind w:left="720"/>
      </w:pPr>
      <w:bookmarkStart w:id="13" w:name="_Toc68586949"/>
      <w:r w:rsidRPr="00F56D54">
        <w:t>2.</w:t>
      </w:r>
      <w:r w:rsidRPr="00F56D54">
        <w:tab/>
      </w:r>
      <w:r w:rsidR="00E54CFF" w:rsidRPr="00F56D54">
        <w:t>Positions of the Parties</w:t>
      </w:r>
      <w:bookmarkEnd w:id="13"/>
    </w:p>
    <w:p w14:paraId="309803DA" w14:textId="77777777" w:rsidR="00E54CFF" w:rsidRPr="00F56D54" w:rsidRDefault="00E54CFF" w:rsidP="00F56D54">
      <w:pPr>
        <w:keepNext/>
        <w:widowControl/>
        <w:spacing w:line="360" w:lineRule="auto"/>
        <w:contextualSpacing/>
        <w:rPr>
          <w:b/>
          <w:sz w:val="26"/>
          <w:szCs w:val="26"/>
        </w:rPr>
      </w:pPr>
    </w:p>
    <w:p w14:paraId="07C40C22" w14:textId="426DB07B" w:rsidR="007514D5" w:rsidRPr="00F56D54" w:rsidRDefault="00F641D6" w:rsidP="00F56D54">
      <w:pPr>
        <w:pStyle w:val="Heading3"/>
        <w:keepNext/>
        <w:numPr>
          <w:ilvl w:val="0"/>
          <w:numId w:val="0"/>
        </w:numPr>
        <w:ind w:left="1440"/>
      </w:pPr>
      <w:bookmarkStart w:id="14" w:name="_Toc68586950"/>
      <w:r w:rsidRPr="00F56D54">
        <w:t>a.</w:t>
      </w:r>
      <w:r w:rsidR="00F56D54" w:rsidRPr="00F56D54">
        <w:tab/>
      </w:r>
      <w:r w:rsidR="00E54CFF" w:rsidRPr="00F56D54">
        <w:t>Statements in Support of the</w:t>
      </w:r>
      <w:bookmarkEnd w:id="14"/>
      <w:r w:rsidR="0002468F" w:rsidRPr="00F56D54">
        <w:t xml:space="preserve"> </w:t>
      </w:r>
      <w:r w:rsidR="008B7C38" w:rsidRPr="00F56D54">
        <w:t>Revenue</w:t>
      </w:r>
      <w:r w:rsidR="0002468F" w:rsidRPr="00F56D54">
        <w:t xml:space="preserve"> Settlement </w:t>
      </w:r>
      <w:r w:rsidR="008B7C38" w:rsidRPr="00F56D54">
        <w:t xml:space="preserve"> </w:t>
      </w:r>
    </w:p>
    <w:p w14:paraId="70500C32" w14:textId="2C01BFBB" w:rsidR="000142D5" w:rsidRPr="00F56D54" w:rsidRDefault="000142D5" w:rsidP="00F56D54">
      <w:pPr>
        <w:keepNext/>
        <w:widowControl/>
        <w:spacing w:line="360" w:lineRule="auto"/>
        <w:contextualSpacing/>
        <w:rPr>
          <w:b/>
          <w:sz w:val="26"/>
          <w:szCs w:val="26"/>
        </w:rPr>
      </w:pPr>
    </w:p>
    <w:p w14:paraId="525B8329" w14:textId="0FA0EAC7" w:rsidR="00842568" w:rsidRPr="00F56D54" w:rsidRDefault="00842568" w:rsidP="00F56D54">
      <w:pPr>
        <w:keepNext/>
        <w:widowControl/>
        <w:spacing w:line="360" w:lineRule="auto"/>
        <w:ind w:firstLine="1440"/>
        <w:contextualSpacing/>
        <w:rPr>
          <w:bCs/>
          <w:sz w:val="26"/>
          <w:szCs w:val="26"/>
        </w:rPr>
      </w:pPr>
      <w:r w:rsidRPr="00F56D54">
        <w:rPr>
          <w:bCs/>
          <w:sz w:val="26"/>
          <w:szCs w:val="26"/>
        </w:rPr>
        <w:t xml:space="preserve">The Statements in Support from </w:t>
      </w:r>
      <w:r w:rsidR="00011F39" w:rsidRPr="00F56D54">
        <w:rPr>
          <w:bCs/>
          <w:sz w:val="26"/>
          <w:szCs w:val="26"/>
        </w:rPr>
        <w:t>PCLPC</w:t>
      </w:r>
      <w:r w:rsidR="005805A0" w:rsidRPr="00F56D54">
        <w:rPr>
          <w:bCs/>
          <w:sz w:val="26"/>
          <w:szCs w:val="26"/>
        </w:rPr>
        <w:t>, I&amp;E, the OCA and the OSBA</w:t>
      </w:r>
      <w:r w:rsidR="00D345EF" w:rsidRPr="00F56D54">
        <w:rPr>
          <w:bCs/>
          <w:sz w:val="26"/>
          <w:szCs w:val="26"/>
        </w:rPr>
        <w:t>,</w:t>
      </w:r>
      <w:r w:rsidRPr="00F56D54">
        <w:rPr>
          <w:bCs/>
          <w:sz w:val="26"/>
          <w:szCs w:val="26"/>
        </w:rPr>
        <w:t xml:space="preserve"> included with the Joint Petition</w:t>
      </w:r>
      <w:r w:rsidR="00D345EF" w:rsidRPr="00F56D54">
        <w:rPr>
          <w:bCs/>
          <w:sz w:val="26"/>
          <w:szCs w:val="26"/>
        </w:rPr>
        <w:t>-Revenue</w:t>
      </w:r>
      <w:r w:rsidRPr="00F56D54">
        <w:rPr>
          <w:bCs/>
          <w:sz w:val="26"/>
          <w:szCs w:val="26"/>
        </w:rPr>
        <w:t xml:space="preserve">, address how the </w:t>
      </w:r>
      <w:r w:rsidR="00487B7D">
        <w:rPr>
          <w:bCs/>
          <w:sz w:val="26"/>
          <w:szCs w:val="26"/>
        </w:rPr>
        <w:t xml:space="preserve">Revenue </w:t>
      </w:r>
      <w:r w:rsidRPr="00F56D54">
        <w:rPr>
          <w:bCs/>
          <w:sz w:val="26"/>
          <w:szCs w:val="26"/>
        </w:rPr>
        <w:t xml:space="preserve">Settlement is consistent with Commission policy encouraging settlements as a means of reducing the time and expense that would otherwise be expended by the Parties in fully litigated proceedings.  </w:t>
      </w:r>
      <w:r w:rsidR="00011F39" w:rsidRPr="00AA30E3">
        <w:rPr>
          <w:bCs/>
          <w:sz w:val="26"/>
          <w:szCs w:val="26"/>
        </w:rPr>
        <w:t>PCLPC</w:t>
      </w:r>
      <w:r w:rsidRPr="00AA30E3">
        <w:rPr>
          <w:bCs/>
          <w:sz w:val="26"/>
          <w:szCs w:val="26"/>
        </w:rPr>
        <w:t xml:space="preserve"> Statement</w:t>
      </w:r>
      <w:r w:rsidRPr="00F56D54">
        <w:rPr>
          <w:bCs/>
          <w:sz w:val="26"/>
          <w:szCs w:val="26"/>
        </w:rPr>
        <w:t xml:space="preserve"> in Support at </w:t>
      </w:r>
      <w:r w:rsidR="00A54E99">
        <w:rPr>
          <w:bCs/>
          <w:sz w:val="26"/>
          <w:szCs w:val="26"/>
        </w:rPr>
        <w:t>1-</w:t>
      </w:r>
      <w:r w:rsidR="00A54E99" w:rsidRPr="00A54E99">
        <w:rPr>
          <w:bCs/>
          <w:sz w:val="26"/>
          <w:szCs w:val="26"/>
        </w:rPr>
        <w:t>6</w:t>
      </w:r>
      <w:r w:rsidRPr="00A54E99">
        <w:rPr>
          <w:bCs/>
          <w:sz w:val="26"/>
          <w:szCs w:val="26"/>
        </w:rPr>
        <w:t>; I&amp;E Statement</w:t>
      </w:r>
      <w:r w:rsidRPr="00F56D54">
        <w:rPr>
          <w:bCs/>
          <w:sz w:val="26"/>
          <w:szCs w:val="26"/>
        </w:rPr>
        <w:t xml:space="preserve"> in Support at</w:t>
      </w:r>
      <w:r w:rsidR="00A54E99">
        <w:rPr>
          <w:bCs/>
          <w:sz w:val="26"/>
          <w:szCs w:val="26"/>
        </w:rPr>
        <w:t xml:space="preserve"> 1-9</w:t>
      </w:r>
      <w:r w:rsidRPr="00F56D54">
        <w:rPr>
          <w:bCs/>
          <w:sz w:val="26"/>
          <w:szCs w:val="26"/>
          <w:highlight w:val="yellow"/>
        </w:rPr>
        <w:t xml:space="preserve"> </w:t>
      </w:r>
      <w:r w:rsidRPr="00261E49">
        <w:rPr>
          <w:bCs/>
          <w:sz w:val="26"/>
          <w:szCs w:val="26"/>
        </w:rPr>
        <w:t>(cit</w:t>
      </w:r>
      <w:r w:rsidRPr="00F56D54">
        <w:rPr>
          <w:bCs/>
          <w:sz w:val="26"/>
          <w:szCs w:val="26"/>
        </w:rPr>
        <w:t xml:space="preserve">ing 52 Pa. Code § 5.231(a)).  The </w:t>
      </w:r>
      <w:r w:rsidRPr="00CF0CD9">
        <w:rPr>
          <w:bCs/>
          <w:sz w:val="26"/>
          <w:szCs w:val="26"/>
        </w:rPr>
        <w:t>Settling Parties</w:t>
      </w:r>
      <w:r w:rsidR="004D6912">
        <w:rPr>
          <w:bCs/>
          <w:sz w:val="26"/>
          <w:szCs w:val="26"/>
        </w:rPr>
        <w:t>-Revenue</w:t>
      </w:r>
      <w:r w:rsidRPr="00F56D54">
        <w:rPr>
          <w:bCs/>
          <w:sz w:val="26"/>
          <w:szCs w:val="26"/>
        </w:rPr>
        <w:t xml:space="preserve"> submit that the Settlement reflects a compromise of positions, and therefore satisfies the public interest review</w:t>
      </w:r>
      <w:r w:rsidR="0036309B" w:rsidRPr="00F56D54">
        <w:rPr>
          <w:bCs/>
          <w:sz w:val="26"/>
          <w:szCs w:val="26"/>
        </w:rPr>
        <w:t xml:space="preserve"> when</w:t>
      </w:r>
      <w:r w:rsidRPr="00F56D54">
        <w:rPr>
          <w:bCs/>
          <w:sz w:val="26"/>
          <w:szCs w:val="26"/>
        </w:rPr>
        <w:t xml:space="preserve"> </w:t>
      </w:r>
      <w:r w:rsidRPr="00F56D54">
        <w:rPr>
          <w:bCs/>
          <w:sz w:val="26"/>
          <w:szCs w:val="26"/>
        </w:rPr>
        <w:lastRenderedPageBreak/>
        <w:t xml:space="preserve">evaluating partial settlements.  </w:t>
      </w:r>
      <w:r w:rsidR="009834BA" w:rsidRPr="00CF0CD9">
        <w:rPr>
          <w:bCs/>
          <w:i/>
          <w:iCs/>
          <w:sz w:val="26"/>
          <w:szCs w:val="26"/>
        </w:rPr>
        <w:t>See</w:t>
      </w:r>
      <w:r w:rsidR="009834BA">
        <w:rPr>
          <w:bCs/>
          <w:sz w:val="26"/>
          <w:szCs w:val="26"/>
        </w:rPr>
        <w:t xml:space="preserve">, </w:t>
      </w:r>
      <w:r w:rsidR="00011F39" w:rsidRPr="00F56D54">
        <w:rPr>
          <w:bCs/>
          <w:sz w:val="26"/>
          <w:szCs w:val="26"/>
        </w:rPr>
        <w:t>PCLPC</w:t>
      </w:r>
      <w:r w:rsidRPr="00F56D54">
        <w:rPr>
          <w:bCs/>
          <w:sz w:val="26"/>
          <w:szCs w:val="26"/>
        </w:rPr>
        <w:t xml:space="preserve"> Statement in Support at</w:t>
      </w:r>
      <w:r w:rsidR="009834BA">
        <w:rPr>
          <w:bCs/>
          <w:sz w:val="26"/>
          <w:szCs w:val="26"/>
        </w:rPr>
        <w:t xml:space="preserve"> </w:t>
      </w:r>
      <w:r w:rsidR="009834BA" w:rsidRPr="009834BA">
        <w:rPr>
          <w:bCs/>
          <w:sz w:val="26"/>
          <w:szCs w:val="26"/>
        </w:rPr>
        <w:t>2</w:t>
      </w:r>
      <w:r w:rsidRPr="009834BA">
        <w:rPr>
          <w:bCs/>
          <w:sz w:val="26"/>
          <w:szCs w:val="26"/>
        </w:rPr>
        <w:t>; I</w:t>
      </w:r>
      <w:r w:rsidRPr="00F56D54">
        <w:rPr>
          <w:bCs/>
          <w:sz w:val="26"/>
          <w:szCs w:val="26"/>
        </w:rPr>
        <w:t xml:space="preserve">&amp;E Statement in Support at </w:t>
      </w:r>
      <w:r w:rsidR="004E488E">
        <w:rPr>
          <w:bCs/>
          <w:sz w:val="26"/>
          <w:szCs w:val="26"/>
        </w:rPr>
        <w:t>5.</w:t>
      </w:r>
    </w:p>
    <w:p w14:paraId="7BE57B06" w14:textId="2DAD9023" w:rsidR="005F3390" w:rsidRPr="00F56D54" w:rsidRDefault="005F3390" w:rsidP="00F56D54">
      <w:pPr>
        <w:widowControl/>
        <w:spacing w:line="360" w:lineRule="auto"/>
        <w:ind w:firstLine="1440"/>
        <w:contextualSpacing/>
        <w:rPr>
          <w:bCs/>
          <w:sz w:val="26"/>
          <w:szCs w:val="26"/>
        </w:rPr>
      </w:pPr>
    </w:p>
    <w:p w14:paraId="767F6B66" w14:textId="3E78E028" w:rsidR="005F3390" w:rsidRPr="00F56D54" w:rsidRDefault="00E8673C" w:rsidP="00F56D54">
      <w:pPr>
        <w:widowControl/>
        <w:spacing w:line="360" w:lineRule="auto"/>
        <w:ind w:firstLine="1440"/>
        <w:rPr>
          <w:color w:val="000000"/>
          <w:sz w:val="26"/>
          <w:szCs w:val="26"/>
        </w:rPr>
      </w:pPr>
      <w:r w:rsidRPr="00F56D54">
        <w:rPr>
          <w:bCs/>
          <w:sz w:val="26"/>
          <w:szCs w:val="26"/>
        </w:rPr>
        <w:t xml:space="preserve">Specifically, </w:t>
      </w:r>
      <w:r w:rsidR="0092143D" w:rsidRPr="00F56D54">
        <w:rPr>
          <w:color w:val="000000"/>
          <w:sz w:val="26"/>
          <w:szCs w:val="26"/>
        </w:rPr>
        <w:t xml:space="preserve">in support of the Revenue Settlement, </w:t>
      </w:r>
      <w:r w:rsidR="00011F39" w:rsidRPr="00F56D54">
        <w:rPr>
          <w:color w:val="000000"/>
          <w:sz w:val="26"/>
          <w:szCs w:val="26"/>
        </w:rPr>
        <w:t>PCLPC</w:t>
      </w:r>
      <w:r w:rsidR="00A95BFE" w:rsidRPr="00F56D54">
        <w:rPr>
          <w:color w:val="000000"/>
          <w:sz w:val="26"/>
          <w:szCs w:val="26"/>
        </w:rPr>
        <w:t xml:space="preserve"> </w:t>
      </w:r>
      <w:r w:rsidR="00B1642B" w:rsidRPr="00F56D54">
        <w:rPr>
          <w:color w:val="000000"/>
          <w:sz w:val="26"/>
          <w:szCs w:val="26"/>
        </w:rPr>
        <w:t xml:space="preserve">argued that </w:t>
      </w:r>
      <w:r w:rsidR="00BB633C">
        <w:rPr>
          <w:color w:val="000000"/>
          <w:sz w:val="26"/>
          <w:szCs w:val="26"/>
        </w:rPr>
        <w:t xml:space="preserve">the </w:t>
      </w:r>
      <w:r w:rsidR="00143515" w:rsidRPr="00F56D54">
        <w:rPr>
          <w:color w:val="000000"/>
          <w:sz w:val="26"/>
          <w:szCs w:val="26"/>
        </w:rPr>
        <w:t xml:space="preserve">compromise </w:t>
      </w:r>
      <w:r w:rsidR="0092143D" w:rsidRPr="00F56D54">
        <w:rPr>
          <w:color w:val="000000"/>
          <w:sz w:val="26"/>
          <w:szCs w:val="26"/>
        </w:rPr>
        <w:t xml:space="preserve">rate and revenue levels outlined in the </w:t>
      </w:r>
      <w:r w:rsidR="00143515" w:rsidRPr="00F56D54">
        <w:rPr>
          <w:color w:val="000000"/>
          <w:sz w:val="26"/>
          <w:szCs w:val="26"/>
        </w:rPr>
        <w:t xml:space="preserve">Revenue Settlement </w:t>
      </w:r>
      <w:r w:rsidR="0092143D" w:rsidRPr="00F56D54">
        <w:rPr>
          <w:color w:val="000000"/>
          <w:sz w:val="26"/>
          <w:szCs w:val="26"/>
        </w:rPr>
        <w:t>will produce an adequate return on PCLP</w:t>
      </w:r>
      <w:r w:rsidR="00AA30E3">
        <w:rPr>
          <w:color w:val="000000"/>
          <w:sz w:val="26"/>
          <w:szCs w:val="26"/>
        </w:rPr>
        <w:t>C</w:t>
      </w:r>
      <w:r w:rsidR="0092143D" w:rsidRPr="00F56D54">
        <w:rPr>
          <w:color w:val="000000"/>
          <w:sz w:val="26"/>
          <w:szCs w:val="26"/>
        </w:rPr>
        <w:t xml:space="preserve">'s invested capital </w:t>
      </w:r>
      <w:r w:rsidR="005A6233" w:rsidRPr="00F56D54">
        <w:rPr>
          <w:color w:val="000000"/>
          <w:sz w:val="26"/>
          <w:szCs w:val="26"/>
        </w:rPr>
        <w:t xml:space="preserve">to ensure </w:t>
      </w:r>
      <w:r w:rsidR="00011F39" w:rsidRPr="00F56D54">
        <w:rPr>
          <w:color w:val="000000"/>
          <w:sz w:val="26"/>
          <w:szCs w:val="26"/>
        </w:rPr>
        <w:t>PCLPC</w:t>
      </w:r>
      <w:r w:rsidR="005A6233" w:rsidRPr="00F56D54">
        <w:rPr>
          <w:color w:val="000000"/>
          <w:sz w:val="26"/>
          <w:szCs w:val="26"/>
        </w:rPr>
        <w:t>’s ability to</w:t>
      </w:r>
      <w:r w:rsidR="00544D3A">
        <w:rPr>
          <w:color w:val="000000"/>
          <w:sz w:val="26"/>
          <w:szCs w:val="26"/>
        </w:rPr>
        <w:t>:</w:t>
      </w:r>
      <w:r w:rsidR="008C5CEA">
        <w:rPr>
          <w:color w:val="000000"/>
          <w:sz w:val="26"/>
          <w:szCs w:val="26"/>
        </w:rPr>
        <w:t xml:space="preserve"> </w:t>
      </w:r>
      <w:r w:rsidR="005A6233" w:rsidRPr="00F56D54">
        <w:rPr>
          <w:color w:val="000000"/>
          <w:sz w:val="26"/>
          <w:szCs w:val="26"/>
        </w:rPr>
        <w:t xml:space="preserve"> </w:t>
      </w:r>
      <w:r w:rsidR="00544D3A">
        <w:rPr>
          <w:color w:val="000000"/>
          <w:sz w:val="26"/>
          <w:szCs w:val="26"/>
        </w:rPr>
        <w:t xml:space="preserve">(1) </w:t>
      </w:r>
      <w:r w:rsidR="00045A57" w:rsidRPr="00F56D54">
        <w:rPr>
          <w:color w:val="000000"/>
          <w:sz w:val="26"/>
          <w:szCs w:val="26"/>
        </w:rPr>
        <w:t>deliver safe and reliable electric service to its customers</w:t>
      </w:r>
      <w:r w:rsidR="00BB633C">
        <w:rPr>
          <w:color w:val="000000"/>
          <w:sz w:val="26"/>
          <w:szCs w:val="26"/>
        </w:rPr>
        <w:t>;</w:t>
      </w:r>
      <w:r w:rsidR="0092143D" w:rsidRPr="00F56D54">
        <w:rPr>
          <w:color w:val="000000"/>
          <w:sz w:val="26"/>
          <w:szCs w:val="26"/>
        </w:rPr>
        <w:t xml:space="preserve"> </w:t>
      </w:r>
      <w:r w:rsidR="00544D3A">
        <w:rPr>
          <w:color w:val="000000"/>
          <w:sz w:val="26"/>
          <w:szCs w:val="26"/>
        </w:rPr>
        <w:t xml:space="preserve">(2) </w:t>
      </w:r>
      <w:r w:rsidR="0092143D" w:rsidRPr="00F56D54">
        <w:rPr>
          <w:color w:val="000000"/>
          <w:sz w:val="26"/>
          <w:szCs w:val="26"/>
        </w:rPr>
        <w:t>provide sufficient operating revenues to meet operating expenses, taxes and other charges</w:t>
      </w:r>
      <w:r w:rsidR="00E16409">
        <w:rPr>
          <w:color w:val="000000"/>
          <w:sz w:val="26"/>
          <w:szCs w:val="26"/>
        </w:rPr>
        <w:t>;</w:t>
      </w:r>
      <w:r w:rsidR="0092143D" w:rsidRPr="00F56D54">
        <w:rPr>
          <w:color w:val="000000"/>
          <w:sz w:val="26"/>
          <w:szCs w:val="26"/>
        </w:rPr>
        <w:t xml:space="preserve"> </w:t>
      </w:r>
      <w:r w:rsidR="00540023" w:rsidRPr="00F56D54">
        <w:rPr>
          <w:color w:val="000000"/>
          <w:sz w:val="26"/>
          <w:szCs w:val="26"/>
        </w:rPr>
        <w:t xml:space="preserve">and </w:t>
      </w:r>
      <w:r w:rsidR="00544D3A">
        <w:rPr>
          <w:color w:val="000000"/>
          <w:sz w:val="26"/>
          <w:szCs w:val="26"/>
        </w:rPr>
        <w:t xml:space="preserve">(3) </w:t>
      </w:r>
      <w:r w:rsidR="0092143D" w:rsidRPr="00F56D54">
        <w:rPr>
          <w:color w:val="000000"/>
          <w:sz w:val="26"/>
          <w:szCs w:val="26"/>
        </w:rPr>
        <w:t>enable PCLP</w:t>
      </w:r>
      <w:r w:rsidR="00AA30E3">
        <w:rPr>
          <w:color w:val="000000"/>
          <w:sz w:val="26"/>
          <w:szCs w:val="26"/>
        </w:rPr>
        <w:t>C</w:t>
      </w:r>
      <w:r w:rsidR="0092143D" w:rsidRPr="00F56D54">
        <w:rPr>
          <w:color w:val="000000"/>
          <w:sz w:val="26"/>
          <w:szCs w:val="26"/>
        </w:rPr>
        <w:t xml:space="preserve"> to maintain its creditworthiness at a level sufficient to raise </w:t>
      </w:r>
      <w:r w:rsidR="005A6233" w:rsidRPr="00F56D54">
        <w:rPr>
          <w:color w:val="000000"/>
          <w:sz w:val="26"/>
          <w:szCs w:val="26"/>
        </w:rPr>
        <w:t xml:space="preserve">necessary </w:t>
      </w:r>
      <w:r w:rsidR="0092143D" w:rsidRPr="00F56D54">
        <w:rPr>
          <w:color w:val="000000"/>
          <w:sz w:val="26"/>
          <w:szCs w:val="26"/>
        </w:rPr>
        <w:t xml:space="preserve">capital, </w:t>
      </w:r>
      <w:r w:rsidR="005A6233" w:rsidRPr="00F56D54">
        <w:rPr>
          <w:color w:val="000000"/>
          <w:sz w:val="26"/>
          <w:szCs w:val="26"/>
        </w:rPr>
        <w:t xml:space="preserve">while also providing </w:t>
      </w:r>
      <w:r w:rsidR="0092143D" w:rsidRPr="00F56D54">
        <w:rPr>
          <w:color w:val="000000"/>
          <w:sz w:val="26"/>
          <w:szCs w:val="26"/>
        </w:rPr>
        <w:t>a reasonable rate of return on PCLP</w:t>
      </w:r>
      <w:r w:rsidR="00AA30E3">
        <w:rPr>
          <w:color w:val="000000"/>
          <w:sz w:val="26"/>
          <w:szCs w:val="26"/>
        </w:rPr>
        <w:t>C</w:t>
      </w:r>
      <w:r w:rsidR="0092143D" w:rsidRPr="00F56D54">
        <w:rPr>
          <w:color w:val="000000"/>
          <w:sz w:val="26"/>
          <w:szCs w:val="26"/>
        </w:rPr>
        <w:t>'s investment in electric property.  PCLP</w:t>
      </w:r>
      <w:r w:rsidR="00AA30E3">
        <w:rPr>
          <w:color w:val="000000"/>
          <w:sz w:val="26"/>
          <w:szCs w:val="26"/>
        </w:rPr>
        <w:t>C</w:t>
      </w:r>
      <w:r w:rsidR="0092143D" w:rsidRPr="00F56D54">
        <w:rPr>
          <w:color w:val="000000"/>
          <w:sz w:val="26"/>
          <w:szCs w:val="26"/>
        </w:rPr>
        <w:t xml:space="preserve"> </w:t>
      </w:r>
      <w:r w:rsidR="007B64B9" w:rsidRPr="00F56D54">
        <w:rPr>
          <w:color w:val="000000"/>
          <w:sz w:val="26"/>
          <w:szCs w:val="26"/>
        </w:rPr>
        <w:t xml:space="preserve">further argued that the </w:t>
      </w:r>
      <w:r w:rsidR="00127A12" w:rsidRPr="00F56D54">
        <w:rPr>
          <w:color w:val="000000"/>
          <w:sz w:val="26"/>
          <w:szCs w:val="26"/>
        </w:rPr>
        <w:t>Revenue Settlement will</w:t>
      </w:r>
      <w:r w:rsidR="00EC205C" w:rsidRPr="00F56D54">
        <w:rPr>
          <w:color w:val="000000"/>
          <w:sz w:val="26"/>
          <w:szCs w:val="26"/>
        </w:rPr>
        <w:t xml:space="preserve"> enable PCLPC to </w:t>
      </w:r>
      <w:r w:rsidR="0092143D" w:rsidRPr="00F56D54">
        <w:rPr>
          <w:color w:val="000000"/>
          <w:sz w:val="26"/>
          <w:szCs w:val="26"/>
        </w:rPr>
        <w:t>adequately address system reliability and other operational issues</w:t>
      </w:r>
      <w:r w:rsidR="009C2DBF" w:rsidRPr="00F56D54">
        <w:rPr>
          <w:color w:val="000000"/>
          <w:sz w:val="26"/>
          <w:szCs w:val="26"/>
        </w:rPr>
        <w:t xml:space="preserve">, raised by </w:t>
      </w:r>
      <w:r w:rsidR="0092143D" w:rsidRPr="00F56D54">
        <w:rPr>
          <w:color w:val="000000"/>
          <w:sz w:val="26"/>
          <w:szCs w:val="26"/>
        </w:rPr>
        <w:t>witnesses in the public input hearing</w:t>
      </w:r>
      <w:r w:rsidR="009C2DBF" w:rsidRPr="00F56D54">
        <w:rPr>
          <w:color w:val="000000"/>
          <w:sz w:val="26"/>
          <w:szCs w:val="26"/>
        </w:rPr>
        <w:t>, by providing revenues ne</w:t>
      </w:r>
      <w:r w:rsidR="00CA7045" w:rsidRPr="00F56D54">
        <w:rPr>
          <w:color w:val="000000"/>
          <w:sz w:val="26"/>
          <w:szCs w:val="26"/>
        </w:rPr>
        <w:t xml:space="preserve">cessary to address </w:t>
      </w:r>
      <w:r w:rsidR="00AA30E3">
        <w:rPr>
          <w:color w:val="000000"/>
          <w:sz w:val="26"/>
          <w:szCs w:val="26"/>
        </w:rPr>
        <w:t>certain</w:t>
      </w:r>
      <w:r w:rsidR="00CA7045" w:rsidRPr="00F56D54">
        <w:rPr>
          <w:color w:val="000000"/>
          <w:sz w:val="26"/>
          <w:szCs w:val="26"/>
        </w:rPr>
        <w:t xml:space="preserve"> system and operational issues.</w:t>
      </w:r>
      <w:r w:rsidR="0092143D" w:rsidRPr="00F56D54">
        <w:rPr>
          <w:color w:val="000000"/>
          <w:sz w:val="26"/>
          <w:szCs w:val="26"/>
        </w:rPr>
        <w:t xml:space="preserve">  </w:t>
      </w:r>
      <w:r w:rsidR="00011F39" w:rsidRPr="00F56D54">
        <w:rPr>
          <w:bCs/>
          <w:sz w:val="26"/>
          <w:szCs w:val="26"/>
        </w:rPr>
        <w:t>PCLPC</w:t>
      </w:r>
      <w:r w:rsidR="00CD74A3" w:rsidRPr="00F56D54">
        <w:rPr>
          <w:bCs/>
          <w:sz w:val="26"/>
          <w:szCs w:val="26"/>
        </w:rPr>
        <w:t xml:space="preserve"> Statement in Support at </w:t>
      </w:r>
      <w:r w:rsidR="00A12B84">
        <w:rPr>
          <w:bCs/>
          <w:sz w:val="26"/>
          <w:szCs w:val="26"/>
        </w:rPr>
        <w:t>1-3</w:t>
      </w:r>
      <w:r w:rsidR="00904595" w:rsidRPr="00F56D54">
        <w:rPr>
          <w:bCs/>
          <w:sz w:val="26"/>
          <w:szCs w:val="26"/>
        </w:rPr>
        <w:t xml:space="preserve">. </w:t>
      </w:r>
    </w:p>
    <w:p w14:paraId="5DAF6DF5" w14:textId="2E1A286C" w:rsidR="00BA7ECD" w:rsidRPr="00F56D54" w:rsidRDefault="00BA7ECD" w:rsidP="00F56D54">
      <w:pPr>
        <w:widowControl/>
        <w:spacing w:line="360" w:lineRule="auto"/>
        <w:ind w:firstLine="1440"/>
        <w:rPr>
          <w:color w:val="000000"/>
          <w:sz w:val="26"/>
          <w:szCs w:val="26"/>
        </w:rPr>
      </w:pPr>
    </w:p>
    <w:p w14:paraId="1A32038C" w14:textId="07C895F3" w:rsidR="00BA7ECD" w:rsidRDefault="00BA7ECD" w:rsidP="00F56D54">
      <w:pPr>
        <w:widowControl/>
        <w:spacing w:line="360" w:lineRule="auto"/>
        <w:ind w:left="-14" w:firstLine="1440"/>
        <w:rPr>
          <w:bCs/>
          <w:sz w:val="26"/>
          <w:szCs w:val="26"/>
        </w:rPr>
      </w:pPr>
      <w:r w:rsidRPr="00F56D54">
        <w:rPr>
          <w:color w:val="000000"/>
          <w:sz w:val="26"/>
          <w:szCs w:val="26"/>
        </w:rPr>
        <w:t xml:space="preserve">I&amp;E </w:t>
      </w:r>
      <w:r w:rsidR="00646B7F" w:rsidRPr="00F56D54">
        <w:rPr>
          <w:color w:val="000000"/>
          <w:sz w:val="26"/>
          <w:szCs w:val="26"/>
        </w:rPr>
        <w:t xml:space="preserve">and the OCA asserted </w:t>
      </w:r>
      <w:r w:rsidR="00AA30E3">
        <w:rPr>
          <w:color w:val="000000"/>
          <w:sz w:val="26"/>
          <w:szCs w:val="26"/>
        </w:rPr>
        <w:t>in their Statements in Sup</w:t>
      </w:r>
      <w:r w:rsidR="00A8000F">
        <w:rPr>
          <w:color w:val="000000"/>
          <w:sz w:val="26"/>
          <w:szCs w:val="26"/>
        </w:rPr>
        <w:t>p</w:t>
      </w:r>
      <w:r w:rsidR="00AA30E3">
        <w:rPr>
          <w:color w:val="000000"/>
          <w:sz w:val="26"/>
          <w:szCs w:val="26"/>
        </w:rPr>
        <w:t xml:space="preserve">ort </w:t>
      </w:r>
      <w:r w:rsidR="00A8000F">
        <w:rPr>
          <w:color w:val="000000"/>
          <w:sz w:val="26"/>
          <w:szCs w:val="26"/>
        </w:rPr>
        <w:t xml:space="preserve">of the Revenue Settlement </w:t>
      </w:r>
      <w:r w:rsidR="00646B7F" w:rsidRPr="00F56D54">
        <w:rPr>
          <w:color w:val="000000"/>
          <w:sz w:val="26"/>
          <w:szCs w:val="26"/>
        </w:rPr>
        <w:t>that</w:t>
      </w:r>
      <w:r w:rsidR="00882283">
        <w:rPr>
          <w:color w:val="000000"/>
          <w:sz w:val="26"/>
          <w:szCs w:val="26"/>
        </w:rPr>
        <w:t>,</w:t>
      </w:r>
      <w:r w:rsidR="00646B7F" w:rsidRPr="00F56D54">
        <w:rPr>
          <w:color w:val="000000"/>
          <w:sz w:val="26"/>
          <w:szCs w:val="26"/>
        </w:rPr>
        <w:t xml:space="preserve"> </w:t>
      </w:r>
      <w:r w:rsidRPr="00F56D54">
        <w:rPr>
          <w:color w:val="000000"/>
          <w:sz w:val="26"/>
          <w:szCs w:val="26"/>
        </w:rPr>
        <w:t xml:space="preserve">through discovery and negotiation, the </w:t>
      </w:r>
      <w:r w:rsidR="00430714" w:rsidRPr="00F56D54">
        <w:rPr>
          <w:color w:val="000000"/>
          <w:sz w:val="26"/>
          <w:szCs w:val="26"/>
        </w:rPr>
        <w:t xml:space="preserve">compromise </w:t>
      </w:r>
      <w:r w:rsidRPr="00F56D54">
        <w:rPr>
          <w:color w:val="000000"/>
          <w:sz w:val="26"/>
          <w:szCs w:val="26"/>
        </w:rPr>
        <w:t>revenue increase balances the interests of PCLP</w:t>
      </w:r>
      <w:r w:rsidR="00A8000F">
        <w:rPr>
          <w:color w:val="000000"/>
          <w:sz w:val="26"/>
          <w:szCs w:val="26"/>
        </w:rPr>
        <w:t>C</w:t>
      </w:r>
      <w:r w:rsidRPr="00F56D54">
        <w:rPr>
          <w:color w:val="000000"/>
          <w:sz w:val="26"/>
          <w:szCs w:val="26"/>
        </w:rPr>
        <w:t xml:space="preserve"> and its customers.  I&amp;E</w:t>
      </w:r>
      <w:r w:rsidR="00430714" w:rsidRPr="00F56D54">
        <w:rPr>
          <w:color w:val="000000"/>
          <w:sz w:val="26"/>
          <w:szCs w:val="26"/>
        </w:rPr>
        <w:t xml:space="preserve"> noted </w:t>
      </w:r>
      <w:r w:rsidR="00830F6F">
        <w:rPr>
          <w:color w:val="000000"/>
          <w:sz w:val="26"/>
          <w:szCs w:val="26"/>
        </w:rPr>
        <w:t xml:space="preserve">that </w:t>
      </w:r>
      <w:r w:rsidR="00011F39" w:rsidRPr="00F56D54">
        <w:rPr>
          <w:color w:val="000000"/>
          <w:sz w:val="26"/>
          <w:szCs w:val="26"/>
        </w:rPr>
        <w:t>PCLPC</w:t>
      </w:r>
      <w:r w:rsidR="00430714" w:rsidRPr="00F56D54">
        <w:rPr>
          <w:color w:val="000000"/>
          <w:sz w:val="26"/>
          <w:szCs w:val="26"/>
        </w:rPr>
        <w:t xml:space="preserve"> </w:t>
      </w:r>
      <w:r w:rsidRPr="00F56D54">
        <w:rPr>
          <w:color w:val="000000"/>
          <w:sz w:val="26"/>
          <w:szCs w:val="26"/>
        </w:rPr>
        <w:t xml:space="preserve">will receive sufficient operating funds to provide safe and adequate service while ratepayers </w:t>
      </w:r>
      <w:r w:rsidR="002124EE" w:rsidRPr="00F56D54">
        <w:rPr>
          <w:color w:val="000000"/>
          <w:sz w:val="26"/>
          <w:szCs w:val="26"/>
        </w:rPr>
        <w:t xml:space="preserve">benefit </w:t>
      </w:r>
      <w:r w:rsidR="00757B86">
        <w:rPr>
          <w:color w:val="000000"/>
          <w:sz w:val="26"/>
          <w:szCs w:val="26"/>
        </w:rPr>
        <w:t xml:space="preserve">from a reduction in </w:t>
      </w:r>
      <w:r w:rsidR="00011F39" w:rsidRPr="00F56D54">
        <w:rPr>
          <w:color w:val="000000"/>
          <w:sz w:val="26"/>
          <w:szCs w:val="26"/>
        </w:rPr>
        <w:t>PCLPC</w:t>
      </w:r>
      <w:r w:rsidR="00670BE5" w:rsidRPr="00F56D54">
        <w:rPr>
          <w:color w:val="000000"/>
          <w:sz w:val="26"/>
          <w:szCs w:val="26"/>
        </w:rPr>
        <w:t xml:space="preserve">’s </w:t>
      </w:r>
      <w:r w:rsidRPr="00F56D54">
        <w:rPr>
          <w:color w:val="000000"/>
          <w:sz w:val="26"/>
          <w:szCs w:val="26"/>
        </w:rPr>
        <w:t xml:space="preserve">initial </w:t>
      </w:r>
      <w:r w:rsidR="0046771B">
        <w:rPr>
          <w:color w:val="000000"/>
          <w:sz w:val="26"/>
          <w:szCs w:val="26"/>
        </w:rPr>
        <w:t xml:space="preserve">rate increase </w:t>
      </w:r>
      <w:r w:rsidRPr="00F56D54">
        <w:rPr>
          <w:color w:val="000000"/>
          <w:sz w:val="26"/>
          <w:szCs w:val="26"/>
        </w:rPr>
        <w:t xml:space="preserve">request.  </w:t>
      </w:r>
      <w:r w:rsidR="00670BE5" w:rsidRPr="00F56D54">
        <w:rPr>
          <w:color w:val="000000"/>
          <w:sz w:val="26"/>
          <w:szCs w:val="26"/>
        </w:rPr>
        <w:t>The OCA noted th</w:t>
      </w:r>
      <w:r w:rsidR="004033E5" w:rsidRPr="00F56D54">
        <w:rPr>
          <w:color w:val="000000"/>
          <w:sz w:val="26"/>
          <w:szCs w:val="26"/>
        </w:rPr>
        <w:t>at the compromise revenue reflects a difficult but</w:t>
      </w:r>
      <w:r w:rsidR="005B23BE" w:rsidRPr="00F56D54">
        <w:rPr>
          <w:color w:val="000000"/>
          <w:sz w:val="26"/>
          <w:szCs w:val="26"/>
        </w:rPr>
        <w:t xml:space="preserve"> </w:t>
      </w:r>
      <w:r w:rsidR="004033E5" w:rsidRPr="00F56D54">
        <w:rPr>
          <w:color w:val="000000"/>
          <w:sz w:val="26"/>
          <w:szCs w:val="26"/>
        </w:rPr>
        <w:t>reasonable compromise in the context of the extraor</w:t>
      </w:r>
      <w:r w:rsidR="005B23BE" w:rsidRPr="00F56D54">
        <w:rPr>
          <w:color w:val="000000"/>
          <w:sz w:val="26"/>
          <w:szCs w:val="26"/>
        </w:rPr>
        <w:t xml:space="preserve">dinary </w:t>
      </w:r>
      <w:r w:rsidR="004033E5" w:rsidRPr="00F56D54">
        <w:rPr>
          <w:color w:val="000000"/>
          <w:sz w:val="26"/>
          <w:szCs w:val="26"/>
        </w:rPr>
        <w:t>circumstances of the Covi</w:t>
      </w:r>
      <w:r w:rsidR="00955423" w:rsidRPr="00F56D54">
        <w:rPr>
          <w:color w:val="000000"/>
          <w:sz w:val="26"/>
          <w:szCs w:val="26"/>
        </w:rPr>
        <w:t xml:space="preserve">d-19 pandemic and in view of the extended period since </w:t>
      </w:r>
      <w:r w:rsidR="00011F39" w:rsidRPr="00F56D54">
        <w:rPr>
          <w:color w:val="000000"/>
          <w:sz w:val="26"/>
          <w:szCs w:val="26"/>
        </w:rPr>
        <w:t>PCLPC</w:t>
      </w:r>
      <w:r w:rsidR="00955423" w:rsidRPr="00F56D54">
        <w:rPr>
          <w:color w:val="000000"/>
          <w:sz w:val="26"/>
          <w:szCs w:val="26"/>
        </w:rPr>
        <w:t>’s last base rate proceeding.</w:t>
      </w:r>
      <w:r w:rsidR="00F56D54" w:rsidRPr="00F56D54">
        <w:rPr>
          <w:color w:val="000000"/>
          <w:sz w:val="26"/>
          <w:szCs w:val="26"/>
        </w:rPr>
        <w:t xml:space="preserve">  </w:t>
      </w:r>
      <w:r w:rsidR="00290C61" w:rsidRPr="00F56D54">
        <w:rPr>
          <w:color w:val="000000"/>
          <w:sz w:val="26"/>
          <w:szCs w:val="26"/>
        </w:rPr>
        <w:t xml:space="preserve">Both I&amp;E and the OCA concluded that the Revenue Settlement as </w:t>
      </w:r>
      <w:r w:rsidR="00F60AD2" w:rsidRPr="00F56D54">
        <w:rPr>
          <w:color w:val="000000"/>
          <w:sz w:val="26"/>
          <w:szCs w:val="26"/>
        </w:rPr>
        <w:t xml:space="preserve">a whole, achieves rates which are just and reasonable and necessary for </w:t>
      </w:r>
      <w:r w:rsidR="00011F39" w:rsidRPr="00F56D54">
        <w:rPr>
          <w:color w:val="000000"/>
          <w:sz w:val="26"/>
          <w:szCs w:val="26"/>
        </w:rPr>
        <w:t>PCLPC</w:t>
      </w:r>
      <w:r w:rsidR="00F60AD2" w:rsidRPr="00F56D54">
        <w:rPr>
          <w:color w:val="000000"/>
          <w:sz w:val="26"/>
          <w:szCs w:val="26"/>
        </w:rPr>
        <w:t xml:space="preserve"> to provide safe and adequate service to its customers, </w:t>
      </w:r>
      <w:r w:rsidR="000A2974" w:rsidRPr="00F56D54">
        <w:rPr>
          <w:color w:val="000000"/>
          <w:sz w:val="26"/>
          <w:szCs w:val="26"/>
        </w:rPr>
        <w:t xml:space="preserve">and therefore, </w:t>
      </w:r>
      <w:r w:rsidR="00795A54" w:rsidRPr="00F56D54">
        <w:rPr>
          <w:color w:val="000000"/>
          <w:sz w:val="26"/>
          <w:szCs w:val="26"/>
        </w:rPr>
        <w:t xml:space="preserve">is </w:t>
      </w:r>
      <w:r w:rsidR="000A2974" w:rsidRPr="00F56D54">
        <w:rPr>
          <w:color w:val="000000"/>
          <w:sz w:val="26"/>
          <w:szCs w:val="26"/>
        </w:rPr>
        <w:t>in the public interest.</w:t>
      </w:r>
      <w:r w:rsidR="00F56D54" w:rsidRPr="00F56D54">
        <w:rPr>
          <w:color w:val="000000"/>
          <w:sz w:val="26"/>
          <w:szCs w:val="26"/>
        </w:rPr>
        <w:t xml:space="preserve">  </w:t>
      </w:r>
      <w:r w:rsidR="002A62BD" w:rsidRPr="00CF0CD9">
        <w:rPr>
          <w:i/>
          <w:iCs/>
          <w:color w:val="000000"/>
          <w:sz w:val="26"/>
          <w:szCs w:val="26"/>
        </w:rPr>
        <w:t>See</w:t>
      </w:r>
      <w:r w:rsidR="002A62BD" w:rsidRPr="00E46AEF">
        <w:rPr>
          <w:color w:val="000000"/>
          <w:sz w:val="26"/>
          <w:szCs w:val="26"/>
        </w:rPr>
        <w:t>,</w:t>
      </w:r>
      <w:r w:rsidR="002A62BD">
        <w:rPr>
          <w:color w:val="000000"/>
          <w:sz w:val="26"/>
          <w:szCs w:val="26"/>
        </w:rPr>
        <w:t xml:space="preserve"> </w:t>
      </w:r>
      <w:r w:rsidR="00904595" w:rsidRPr="00F56D54">
        <w:rPr>
          <w:bCs/>
          <w:sz w:val="26"/>
          <w:szCs w:val="26"/>
        </w:rPr>
        <w:t>I&amp;E Statement in Support at</w:t>
      </w:r>
      <w:r w:rsidR="00F56D54" w:rsidRPr="00F56D54">
        <w:rPr>
          <w:bCs/>
          <w:sz w:val="26"/>
          <w:szCs w:val="26"/>
        </w:rPr>
        <w:t xml:space="preserve"> </w:t>
      </w:r>
      <w:r w:rsidR="002A62BD">
        <w:rPr>
          <w:bCs/>
          <w:sz w:val="26"/>
          <w:szCs w:val="26"/>
        </w:rPr>
        <w:t>1-9;</w:t>
      </w:r>
      <w:r w:rsidR="00904595" w:rsidRPr="00F56D54">
        <w:rPr>
          <w:bCs/>
          <w:sz w:val="26"/>
          <w:szCs w:val="26"/>
        </w:rPr>
        <w:t xml:space="preserve"> OCA Statement in Support </w:t>
      </w:r>
      <w:r w:rsidR="00904595" w:rsidRPr="002A62BD">
        <w:rPr>
          <w:bCs/>
          <w:sz w:val="26"/>
          <w:szCs w:val="26"/>
        </w:rPr>
        <w:t xml:space="preserve">at </w:t>
      </w:r>
      <w:r w:rsidR="002A62BD" w:rsidRPr="002A62BD">
        <w:rPr>
          <w:bCs/>
          <w:sz w:val="26"/>
          <w:szCs w:val="26"/>
        </w:rPr>
        <w:t>1-5</w:t>
      </w:r>
      <w:r w:rsidR="00904595" w:rsidRPr="002A62BD">
        <w:rPr>
          <w:bCs/>
          <w:sz w:val="26"/>
          <w:szCs w:val="26"/>
        </w:rPr>
        <w:t>.</w:t>
      </w:r>
      <w:r w:rsidR="00904595" w:rsidRPr="00F56D54">
        <w:rPr>
          <w:bCs/>
          <w:sz w:val="26"/>
          <w:szCs w:val="26"/>
        </w:rPr>
        <w:t xml:space="preserve"> </w:t>
      </w:r>
    </w:p>
    <w:p w14:paraId="19CD7D85" w14:textId="7B552517" w:rsidR="002A62BD" w:rsidRDefault="002A62BD" w:rsidP="00F56D54">
      <w:pPr>
        <w:widowControl/>
        <w:spacing w:line="360" w:lineRule="auto"/>
        <w:ind w:left="-14" w:firstLine="1440"/>
        <w:rPr>
          <w:color w:val="000000"/>
          <w:sz w:val="26"/>
          <w:szCs w:val="26"/>
        </w:rPr>
      </w:pPr>
    </w:p>
    <w:p w14:paraId="0C7CD207" w14:textId="389087F5" w:rsidR="002A62BD" w:rsidRPr="00F56D54" w:rsidRDefault="002A62BD" w:rsidP="00F56D54">
      <w:pPr>
        <w:widowControl/>
        <w:spacing w:line="360" w:lineRule="auto"/>
        <w:ind w:left="-14" w:firstLine="1440"/>
        <w:rPr>
          <w:color w:val="000000"/>
          <w:sz w:val="26"/>
          <w:szCs w:val="26"/>
        </w:rPr>
      </w:pPr>
      <w:r>
        <w:rPr>
          <w:color w:val="000000"/>
          <w:sz w:val="26"/>
          <w:szCs w:val="26"/>
        </w:rPr>
        <w:lastRenderedPageBreak/>
        <w:t xml:space="preserve">Finally, the OSBA’s Statement in Support of the Revenue Settlement acknowledged the benefit </w:t>
      </w:r>
      <w:r w:rsidR="00240CCC">
        <w:rPr>
          <w:color w:val="000000"/>
          <w:sz w:val="26"/>
          <w:szCs w:val="26"/>
        </w:rPr>
        <w:t>to it</w:t>
      </w:r>
      <w:r w:rsidR="00144273">
        <w:rPr>
          <w:color w:val="000000"/>
          <w:sz w:val="26"/>
          <w:szCs w:val="26"/>
        </w:rPr>
        <w:t xml:space="preserve">s constituency that the Revenue Settlement </w:t>
      </w:r>
      <w:r w:rsidR="00557A2A">
        <w:rPr>
          <w:color w:val="000000"/>
          <w:sz w:val="26"/>
          <w:szCs w:val="26"/>
        </w:rPr>
        <w:t xml:space="preserve">resolved the issue of the respective customer charge, noting that the issue was of special </w:t>
      </w:r>
      <w:r w:rsidR="000E04D5">
        <w:rPr>
          <w:color w:val="000000"/>
          <w:sz w:val="26"/>
          <w:szCs w:val="26"/>
        </w:rPr>
        <w:t>importance to the OSBA, and in the best interests of PCLPC’s small business customers.  OSBA Statement in Sup</w:t>
      </w:r>
      <w:r w:rsidR="009945E6">
        <w:rPr>
          <w:color w:val="000000"/>
          <w:sz w:val="26"/>
          <w:szCs w:val="26"/>
        </w:rPr>
        <w:t>port at 1-4</w:t>
      </w:r>
      <w:r w:rsidR="000E04D5">
        <w:rPr>
          <w:color w:val="000000"/>
          <w:sz w:val="26"/>
          <w:szCs w:val="26"/>
        </w:rPr>
        <w:t xml:space="preserve">. </w:t>
      </w:r>
    </w:p>
    <w:p w14:paraId="7124E4EA" w14:textId="77777777" w:rsidR="00842568" w:rsidRPr="00F56D54" w:rsidRDefault="00842568" w:rsidP="00F56D54">
      <w:pPr>
        <w:widowControl/>
        <w:spacing w:line="360" w:lineRule="auto"/>
        <w:contextualSpacing/>
        <w:rPr>
          <w:b/>
          <w:sz w:val="26"/>
          <w:szCs w:val="26"/>
        </w:rPr>
      </w:pPr>
    </w:p>
    <w:p w14:paraId="51F9C780" w14:textId="4A72ACBC" w:rsidR="00DE0F58" w:rsidRPr="00F56D54" w:rsidRDefault="007E62C3" w:rsidP="00F56D54">
      <w:pPr>
        <w:pStyle w:val="Heading4"/>
        <w:widowControl/>
        <w:numPr>
          <w:ilvl w:val="0"/>
          <w:numId w:val="0"/>
        </w:numPr>
        <w:ind w:left="1440"/>
      </w:pPr>
      <w:bookmarkStart w:id="15" w:name="_Toc68586951"/>
      <w:r w:rsidRPr="00F56D54">
        <w:t>b.</w:t>
      </w:r>
      <w:r w:rsidRPr="00F56D54">
        <w:tab/>
      </w:r>
      <w:r w:rsidR="00333B22" w:rsidRPr="00F56D54">
        <w:t xml:space="preserve">Statements in Opposition to the Revenue </w:t>
      </w:r>
      <w:r w:rsidR="00982017" w:rsidRPr="00F56D54">
        <w:t>Settlement</w:t>
      </w:r>
      <w:r w:rsidR="00333B22" w:rsidRPr="00F56D54">
        <w:t xml:space="preserve"> </w:t>
      </w:r>
      <w:bookmarkEnd w:id="15"/>
    </w:p>
    <w:p w14:paraId="6D9862BE" w14:textId="77777777" w:rsidR="00ED0826" w:rsidRPr="00F56D54" w:rsidRDefault="00ED0826" w:rsidP="00F56D54">
      <w:pPr>
        <w:keepNext/>
        <w:widowControl/>
        <w:spacing w:line="360" w:lineRule="auto"/>
        <w:ind w:firstLine="1440"/>
        <w:rPr>
          <w:sz w:val="26"/>
          <w:szCs w:val="26"/>
          <w:highlight w:val="yellow"/>
        </w:rPr>
      </w:pPr>
    </w:p>
    <w:p w14:paraId="08416B63" w14:textId="4A72D548" w:rsidR="000A7584" w:rsidRPr="00F56D54" w:rsidRDefault="00ED0826" w:rsidP="00F56D54">
      <w:pPr>
        <w:keepNext/>
        <w:widowControl/>
        <w:spacing w:line="360" w:lineRule="auto"/>
        <w:ind w:firstLine="1440"/>
        <w:rPr>
          <w:sz w:val="26"/>
          <w:szCs w:val="26"/>
        </w:rPr>
      </w:pPr>
      <w:r w:rsidRPr="00F56D54">
        <w:rPr>
          <w:sz w:val="26"/>
          <w:szCs w:val="26"/>
        </w:rPr>
        <w:t>As noted,</w:t>
      </w:r>
      <w:r w:rsidR="00974F56" w:rsidRPr="00F56D54">
        <w:rPr>
          <w:sz w:val="26"/>
          <w:szCs w:val="26"/>
        </w:rPr>
        <w:t xml:space="preserve"> </w:t>
      </w:r>
      <w:r w:rsidR="00974F56" w:rsidRPr="00F56D54">
        <w:rPr>
          <w:i/>
          <w:iCs/>
          <w:sz w:val="26"/>
          <w:szCs w:val="26"/>
        </w:rPr>
        <w:t>supra.</w:t>
      </w:r>
      <w:r w:rsidR="00974F56" w:rsidRPr="00F56D54">
        <w:rPr>
          <w:sz w:val="26"/>
          <w:szCs w:val="26"/>
        </w:rPr>
        <w:t>,</w:t>
      </w:r>
      <w:r w:rsidRPr="00F56D54">
        <w:rPr>
          <w:sz w:val="26"/>
          <w:szCs w:val="26"/>
        </w:rPr>
        <w:t xml:space="preserve"> </w:t>
      </w:r>
      <w:r w:rsidR="00E272E9" w:rsidRPr="00F56D54">
        <w:rPr>
          <w:sz w:val="26"/>
          <w:szCs w:val="26"/>
        </w:rPr>
        <w:t xml:space="preserve">nonactive party </w:t>
      </w:r>
      <w:r w:rsidR="009C60AC" w:rsidRPr="00F56D54">
        <w:rPr>
          <w:sz w:val="26"/>
          <w:szCs w:val="26"/>
        </w:rPr>
        <w:t xml:space="preserve">ratepayer-complainants filed comments in </w:t>
      </w:r>
      <w:r w:rsidR="00974F56" w:rsidRPr="00F56D54">
        <w:rPr>
          <w:sz w:val="26"/>
          <w:szCs w:val="26"/>
        </w:rPr>
        <w:t xml:space="preserve">general </w:t>
      </w:r>
      <w:r w:rsidR="009C60AC" w:rsidRPr="00F56D54">
        <w:rPr>
          <w:sz w:val="26"/>
          <w:szCs w:val="26"/>
        </w:rPr>
        <w:t xml:space="preserve">opposition to </w:t>
      </w:r>
      <w:r w:rsidR="00E272E9" w:rsidRPr="00F56D54">
        <w:rPr>
          <w:sz w:val="26"/>
          <w:szCs w:val="26"/>
        </w:rPr>
        <w:t>any rate increase.</w:t>
      </w:r>
    </w:p>
    <w:p w14:paraId="406A3C31" w14:textId="034FB7B9" w:rsidR="000A7584" w:rsidRPr="00F56D54" w:rsidRDefault="000A7584" w:rsidP="00F56D54">
      <w:pPr>
        <w:widowControl/>
        <w:tabs>
          <w:tab w:val="left" w:pos="2640"/>
        </w:tabs>
        <w:spacing w:line="360" w:lineRule="auto"/>
        <w:ind w:firstLine="1440"/>
        <w:rPr>
          <w:sz w:val="26"/>
          <w:szCs w:val="26"/>
        </w:rPr>
      </w:pPr>
    </w:p>
    <w:p w14:paraId="03AA8DC8" w14:textId="67FAB86D" w:rsidR="00DE0F58" w:rsidRPr="00F56D54" w:rsidRDefault="00C20DFA" w:rsidP="00F56D54">
      <w:pPr>
        <w:pStyle w:val="Heading4"/>
        <w:widowControl/>
        <w:numPr>
          <w:ilvl w:val="0"/>
          <w:numId w:val="0"/>
        </w:numPr>
        <w:ind w:firstLine="720"/>
      </w:pPr>
      <w:bookmarkStart w:id="16" w:name="_Toc68586952"/>
      <w:r w:rsidRPr="00F56D54">
        <w:t>3.</w:t>
      </w:r>
      <w:r w:rsidR="00F56D54" w:rsidRPr="00F56D54">
        <w:tab/>
      </w:r>
      <w:r w:rsidR="00F62DF5" w:rsidRPr="00F56D54">
        <w:t>ALJ’s Recommend</w:t>
      </w:r>
      <w:r w:rsidR="00161D99" w:rsidRPr="00F56D54">
        <w:t xml:space="preserve">ed Decision </w:t>
      </w:r>
      <w:r w:rsidR="00F62DF5" w:rsidRPr="00F56D54">
        <w:t xml:space="preserve"> </w:t>
      </w:r>
      <w:bookmarkEnd w:id="16"/>
    </w:p>
    <w:p w14:paraId="78182E8D" w14:textId="7C7128E7" w:rsidR="00DE0F58" w:rsidRPr="00F56D54" w:rsidRDefault="00DE0F58" w:rsidP="00F56D54">
      <w:pPr>
        <w:keepNext/>
        <w:widowControl/>
        <w:spacing w:line="360" w:lineRule="auto"/>
        <w:contextualSpacing/>
        <w:rPr>
          <w:b/>
          <w:sz w:val="26"/>
          <w:szCs w:val="26"/>
        </w:rPr>
      </w:pPr>
    </w:p>
    <w:p w14:paraId="43F6E567" w14:textId="174B9903" w:rsidR="00161D99" w:rsidRPr="00F56D54" w:rsidRDefault="00161D99" w:rsidP="00F56D54">
      <w:pPr>
        <w:keepNext/>
        <w:widowControl/>
        <w:spacing w:line="360" w:lineRule="auto"/>
        <w:ind w:firstLine="1440"/>
        <w:contextualSpacing/>
        <w:rPr>
          <w:bCs/>
          <w:sz w:val="26"/>
          <w:szCs w:val="26"/>
        </w:rPr>
      </w:pPr>
      <w:r w:rsidRPr="00F56D54">
        <w:rPr>
          <w:bCs/>
          <w:sz w:val="26"/>
          <w:szCs w:val="26"/>
        </w:rPr>
        <w:t xml:space="preserve">The ALJ recommended adoption of the Revenue Settlement, without modification.  The ALJ’s analysis turned on: (1) a review of the substantial record evidence; (2) the positions of the Parties; (3) weighing, on balance, the </w:t>
      </w:r>
      <w:r w:rsidR="00011F39" w:rsidRPr="00F56D54">
        <w:rPr>
          <w:bCs/>
          <w:sz w:val="26"/>
          <w:szCs w:val="26"/>
        </w:rPr>
        <w:t>PCLPC</w:t>
      </w:r>
      <w:r w:rsidRPr="00F56D54">
        <w:rPr>
          <w:bCs/>
          <w:sz w:val="26"/>
          <w:szCs w:val="26"/>
        </w:rPr>
        <w:t xml:space="preserve">’s interests in </w:t>
      </w:r>
      <w:r w:rsidR="0046771B">
        <w:rPr>
          <w:bCs/>
          <w:sz w:val="26"/>
          <w:szCs w:val="26"/>
        </w:rPr>
        <w:t xml:space="preserve">maintaining </w:t>
      </w:r>
      <w:r w:rsidRPr="00F56D54">
        <w:rPr>
          <w:bCs/>
          <w:sz w:val="26"/>
          <w:szCs w:val="26"/>
        </w:rPr>
        <w:t xml:space="preserve">sufficient revenues for its continued provision of safe and reliable service and a reasonable rate of return; and (4) the interest of the </w:t>
      </w:r>
      <w:r w:rsidR="00011F39" w:rsidRPr="00F56D54">
        <w:rPr>
          <w:bCs/>
          <w:sz w:val="26"/>
          <w:szCs w:val="26"/>
        </w:rPr>
        <w:t>PCLPC</w:t>
      </w:r>
      <w:r w:rsidRPr="00F56D54">
        <w:rPr>
          <w:bCs/>
          <w:sz w:val="26"/>
          <w:szCs w:val="26"/>
        </w:rPr>
        <w:t xml:space="preserve">’s customers in safe and reliable service at affordable rates. </w:t>
      </w:r>
      <w:r w:rsidR="00200E71" w:rsidRPr="00F56D54">
        <w:rPr>
          <w:bCs/>
          <w:sz w:val="26"/>
          <w:szCs w:val="26"/>
        </w:rPr>
        <w:t xml:space="preserve"> T</w:t>
      </w:r>
      <w:r w:rsidRPr="00F56D54">
        <w:rPr>
          <w:bCs/>
          <w:sz w:val="26"/>
          <w:szCs w:val="26"/>
        </w:rPr>
        <w:t>he ALJ reviewed the Joint Petition</w:t>
      </w:r>
      <w:r w:rsidR="00C20579">
        <w:rPr>
          <w:bCs/>
          <w:sz w:val="26"/>
          <w:szCs w:val="26"/>
        </w:rPr>
        <w:t>-Revenue</w:t>
      </w:r>
      <w:r w:rsidRPr="00F56D54">
        <w:rPr>
          <w:bCs/>
          <w:sz w:val="26"/>
          <w:szCs w:val="26"/>
        </w:rPr>
        <w:t xml:space="preserve"> under the standards applicable for the granting of a rate increase under the </w:t>
      </w:r>
      <w:r w:rsidRPr="00F56D54">
        <w:rPr>
          <w:bCs/>
          <w:i/>
          <w:iCs/>
          <w:sz w:val="26"/>
          <w:szCs w:val="26"/>
        </w:rPr>
        <w:t>Bluefield</w:t>
      </w:r>
      <w:r w:rsidRPr="00F56D54">
        <w:rPr>
          <w:bCs/>
          <w:sz w:val="26"/>
          <w:szCs w:val="26"/>
        </w:rPr>
        <w:t xml:space="preserve"> and </w:t>
      </w:r>
      <w:r w:rsidRPr="00F56D54">
        <w:rPr>
          <w:bCs/>
          <w:i/>
          <w:iCs/>
          <w:sz w:val="26"/>
          <w:szCs w:val="26"/>
        </w:rPr>
        <w:t>Hope</w:t>
      </w:r>
      <w:r w:rsidRPr="00F56D54">
        <w:rPr>
          <w:bCs/>
          <w:sz w:val="26"/>
          <w:szCs w:val="26"/>
        </w:rPr>
        <w:t xml:space="preserve"> </w:t>
      </w:r>
      <w:r w:rsidRPr="00F56D54">
        <w:rPr>
          <w:bCs/>
          <w:i/>
          <w:iCs/>
          <w:sz w:val="26"/>
          <w:szCs w:val="26"/>
        </w:rPr>
        <w:t>Natural Gas</w:t>
      </w:r>
      <w:r w:rsidRPr="00F56D54">
        <w:rPr>
          <w:bCs/>
          <w:sz w:val="26"/>
          <w:szCs w:val="26"/>
        </w:rPr>
        <w:t xml:space="preserve"> decisions, as well as the Commission guidance for consideration of whether to approve a Settlement, as set forth in </w:t>
      </w:r>
      <w:r w:rsidR="00E428A7" w:rsidRPr="00F56D54">
        <w:rPr>
          <w:i/>
          <w:color w:val="000000"/>
          <w:sz w:val="26"/>
          <w:szCs w:val="26"/>
        </w:rPr>
        <w:t>Pa. Pub. Util. Comm’n v. Peoples TWP LLC</w:t>
      </w:r>
      <w:r w:rsidR="00E428A7" w:rsidRPr="00F56D54">
        <w:rPr>
          <w:color w:val="000000"/>
          <w:sz w:val="26"/>
          <w:szCs w:val="26"/>
        </w:rPr>
        <w:t>, Docket No. R-2013-2355886 (Order entered December 19, 2013)</w:t>
      </w:r>
      <w:r w:rsidRPr="00F56D54">
        <w:rPr>
          <w:bCs/>
          <w:sz w:val="26"/>
          <w:szCs w:val="26"/>
        </w:rPr>
        <w:t xml:space="preserve">.  Upon review, the ALJ concluded that the terms of the “black box” </w:t>
      </w:r>
      <w:r w:rsidR="0046771B">
        <w:rPr>
          <w:bCs/>
          <w:sz w:val="26"/>
          <w:szCs w:val="26"/>
        </w:rPr>
        <w:t>Revenue S</w:t>
      </w:r>
      <w:r w:rsidRPr="00F56D54">
        <w:rPr>
          <w:bCs/>
          <w:sz w:val="26"/>
          <w:szCs w:val="26"/>
        </w:rPr>
        <w:t xml:space="preserve">ettlement were supported by substantial evidence and </w:t>
      </w:r>
      <w:r w:rsidR="00B71808">
        <w:rPr>
          <w:bCs/>
          <w:sz w:val="26"/>
          <w:szCs w:val="26"/>
        </w:rPr>
        <w:t>the Revenue Settlement was</w:t>
      </w:r>
      <w:r w:rsidRPr="00F56D54">
        <w:rPr>
          <w:bCs/>
          <w:sz w:val="26"/>
          <w:szCs w:val="26"/>
        </w:rPr>
        <w:t xml:space="preserve"> in the public interest, and therefore, should be approved.  R.D. at </w:t>
      </w:r>
      <w:r w:rsidR="009055B7" w:rsidRPr="00F56D54">
        <w:rPr>
          <w:bCs/>
          <w:sz w:val="26"/>
          <w:szCs w:val="26"/>
        </w:rPr>
        <w:t>28-30.</w:t>
      </w:r>
      <w:r w:rsidR="00F56D54" w:rsidRPr="00F56D54">
        <w:rPr>
          <w:bCs/>
          <w:sz w:val="26"/>
          <w:szCs w:val="26"/>
        </w:rPr>
        <w:t xml:space="preserve">  </w:t>
      </w:r>
    </w:p>
    <w:p w14:paraId="71CB674C" w14:textId="77777777" w:rsidR="00161D99" w:rsidRPr="00F56D54" w:rsidRDefault="00161D99" w:rsidP="00F56D54">
      <w:pPr>
        <w:widowControl/>
        <w:spacing w:line="360" w:lineRule="auto"/>
        <w:contextualSpacing/>
        <w:rPr>
          <w:bCs/>
          <w:sz w:val="26"/>
          <w:szCs w:val="26"/>
        </w:rPr>
      </w:pPr>
    </w:p>
    <w:p w14:paraId="6C7A0353" w14:textId="18821DEB" w:rsidR="000968ED" w:rsidRPr="00F56D54" w:rsidRDefault="00C20DFA" w:rsidP="00F56D54">
      <w:pPr>
        <w:keepNext/>
        <w:widowControl/>
        <w:spacing w:line="360" w:lineRule="auto"/>
        <w:ind w:firstLine="720"/>
        <w:contextualSpacing/>
        <w:rPr>
          <w:b/>
          <w:bCs/>
          <w:sz w:val="26"/>
          <w:szCs w:val="26"/>
        </w:rPr>
      </w:pPr>
      <w:r w:rsidRPr="00F56D54">
        <w:rPr>
          <w:b/>
          <w:bCs/>
          <w:sz w:val="26"/>
          <w:szCs w:val="26"/>
        </w:rPr>
        <w:lastRenderedPageBreak/>
        <w:t>4</w:t>
      </w:r>
      <w:r w:rsidR="000968ED" w:rsidRPr="00F56D54">
        <w:rPr>
          <w:b/>
          <w:bCs/>
          <w:sz w:val="26"/>
          <w:szCs w:val="26"/>
        </w:rPr>
        <w:t>.</w:t>
      </w:r>
      <w:r w:rsidR="000968ED" w:rsidRPr="00F56D54">
        <w:rPr>
          <w:sz w:val="26"/>
          <w:szCs w:val="26"/>
        </w:rPr>
        <w:t xml:space="preserve"> </w:t>
      </w:r>
      <w:r w:rsidR="00F56D54" w:rsidRPr="00F56D54">
        <w:rPr>
          <w:sz w:val="26"/>
          <w:szCs w:val="26"/>
        </w:rPr>
        <w:tab/>
      </w:r>
      <w:r w:rsidR="000968ED" w:rsidRPr="00F56D54">
        <w:rPr>
          <w:b/>
          <w:bCs/>
          <w:sz w:val="26"/>
          <w:szCs w:val="26"/>
        </w:rPr>
        <w:t>Disposition</w:t>
      </w:r>
    </w:p>
    <w:p w14:paraId="34FBD6D4" w14:textId="77777777" w:rsidR="000968ED" w:rsidRPr="00F56D54" w:rsidRDefault="000968ED" w:rsidP="00F56D54">
      <w:pPr>
        <w:keepNext/>
        <w:widowControl/>
        <w:spacing w:line="360" w:lineRule="auto"/>
        <w:ind w:firstLine="1440"/>
        <w:contextualSpacing/>
        <w:rPr>
          <w:sz w:val="26"/>
          <w:szCs w:val="26"/>
        </w:rPr>
      </w:pPr>
    </w:p>
    <w:p w14:paraId="48F5786C" w14:textId="22603436" w:rsidR="000C7BBA" w:rsidRPr="00F56D54" w:rsidRDefault="000C7BBA" w:rsidP="00F56D54">
      <w:pPr>
        <w:widowControl/>
        <w:spacing w:line="360" w:lineRule="auto"/>
        <w:ind w:firstLine="1440"/>
        <w:contextualSpacing/>
        <w:rPr>
          <w:rFonts w:eastAsia="Calibri"/>
          <w:sz w:val="26"/>
          <w:szCs w:val="26"/>
        </w:rPr>
      </w:pPr>
      <w:r w:rsidRPr="00F56D54">
        <w:rPr>
          <w:rFonts w:eastAsia="Calibri"/>
          <w:sz w:val="26"/>
          <w:szCs w:val="26"/>
        </w:rPr>
        <w:t xml:space="preserve">No Exceptions were filed objecting to the ALJ’s </w:t>
      </w:r>
      <w:r w:rsidR="00C31CD1" w:rsidRPr="00F56D54">
        <w:rPr>
          <w:rFonts w:eastAsia="Calibri"/>
          <w:sz w:val="26"/>
          <w:szCs w:val="26"/>
        </w:rPr>
        <w:t xml:space="preserve">analysis and </w:t>
      </w:r>
      <w:r w:rsidRPr="00F56D54">
        <w:rPr>
          <w:rFonts w:eastAsia="Calibri"/>
          <w:sz w:val="26"/>
          <w:szCs w:val="26"/>
        </w:rPr>
        <w:t xml:space="preserve">recommendation to adopt the </w:t>
      </w:r>
      <w:r w:rsidR="00C31CD1" w:rsidRPr="00F56D54">
        <w:rPr>
          <w:rFonts w:eastAsia="Calibri"/>
          <w:sz w:val="26"/>
          <w:szCs w:val="26"/>
        </w:rPr>
        <w:t>Revenue Settlement</w:t>
      </w:r>
      <w:r w:rsidR="005C0DC5" w:rsidRPr="00F56D54">
        <w:rPr>
          <w:rFonts w:eastAsia="Calibri"/>
          <w:sz w:val="26"/>
          <w:szCs w:val="26"/>
        </w:rPr>
        <w:t>, without modification</w:t>
      </w:r>
      <w:r w:rsidR="00C31CD1" w:rsidRPr="00F56D54">
        <w:rPr>
          <w:rFonts w:eastAsia="Calibri"/>
          <w:sz w:val="26"/>
          <w:szCs w:val="26"/>
        </w:rPr>
        <w:t>.</w:t>
      </w:r>
      <w:r w:rsidR="005C0DC5" w:rsidRPr="00F56D54">
        <w:rPr>
          <w:rFonts w:eastAsia="Calibri"/>
          <w:sz w:val="26"/>
          <w:szCs w:val="26"/>
        </w:rPr>
        <w:t xml:space="preserve">  </w:t>
      </w:r>
      <w:r w:rsidR="00C31CD1" w:rsidRPr="00F56D54">
        <w:rPr>
          <w:rFonts w:eastAsia="Calibri"/>
          <w:sz w:val="26"/>
          <w:szCs w:val="26"/>
        </w:rPr>
        <w:t>Upon review, w</w:t>
      </w:r>
      <w:r w:rsidRPr="00F56D54">
        <w:rPr>
          <w:rFonts w:eastAsia="Calibri"/>
          <w:sz w:val="26"/>
          <w:szCs w:val="26"/>
        </w:rPr>
        <w:t xml:space="preserve">e </w:t>
      </w:r>
      <w:r w:rsidR="00042864" w:rsidRPr="00F56D54">
        <w:rPr>
          <w:rFonts w:eastAsia="Calibri"/>
          <w:sz w:val="26"/>
          <w:szCs w:val="26"/>
        </w:rPr>
        <w:t xml:space="preserve">agree with the ALJ’s analysis and </w:t>
      </w:r>
      <w:r w:rsidRPr="00F56D54">
        <w:rPr>
          <w:rFonts w:eastAsia="Calibri"/>
          <w:sz w:val="26"/>
          <w:szCs w:val="26"/>
        </w:rPr>
        <w:t xml:space="preserve">find that the </w:t>
      </w:r>
      <w:r w:rsidR="00C31CD1" w:rsidRPr="00F56D54">
        <w:rPr>
          <w:rFonts w:eastAsia="Calibri"/>
          <w:sz w:val="26"/>
          <w:szCs w:val="26"/>
        </w:rPr>
        <w:t xml:space="preserve">terms and conditions </w:t>
      </w:r>
      <w:r w:rsidR="00152F8B" w:rsidRPr="00F56D54">
        <w:rPr>
          <w:rFonts w:eastAsia="Calibri"/>
          <w:sz w:val="26"/>
          <w:szCs w:val="26"/>
        </w:rPr>
        <w:t xml:space="preserve">reached by </w:t>
      </w:r>
      <w:r w:rsidR="00442C52">
        <w:rPr>
          <w:rFonts w:eastAsia="Calibri"/>
          <w:sz w:val="26"/>
          <w:szCs w:val="26"/>
        </w:rPr>
        <w:t xml:space="preserve">the </w:t>
      </w:r>
      <w:r w:rsidR="00152F8B" w:rsidRPr="00F56D54">
        <w:rPr>
          <w:rFonts w:eastAsia="Calibri"/>
          <w:sz w:val="26"/>
          <w:szCs w:val="26"/>
        </w:rPr>
        <w:t xml:space="preserve">unanimous </w:t>
      </w:r>
      <w:r w:rsidR="00C31CD1" w:rsidRPr="00F56D54">
        <w:rPr>
          <w:rFonts w:eastAsia="Calibri"/>
          <w:sz w:val="26"/>
          <w:szCs w:val="26"/>
        </w:rPr>
        <w:t>agree</w:t>
      </w:r>
      <w:r w:rsidR="00152F8B" w:rsidRPr="00F56D54">
        <w:rPr>
          <w:rFonts w:eastAsia="Calibri"/>
          <w:sz w:val="26"/>
          <w:szCs w:val="26"/>
        </w:rPr>
        <w:t xml:space="preserve">ment of the Active Parties </w:t>
      </w:r>
      <w:r w:rsidR="00AD14B6" w:rsidRPr="00F56D54">
        <w:rPr>
          <w:rFonts w:eastAsia="Calibri"/>
          <w:sz w:val="26"/>
          <w:szCs w:val="26"/>
        </w:rPr>
        <w:t xml:space="preserve">under the Revenue Settlement achieve the </w:t>
      </w:r>
      <w:r w:rsidR="001D4BBE" w:rsidRPr="00F56D54">
        <w:rPr>
          <w:rFonts w:eastAsia="Calibri"/>
          <w:sz w:val="26"/>
          <w:szCs w:val="26"/>
        </w:rPr>
        <w:t>appropriate</w:t>
      </w:r>
      <w:r w:rsidR="00AD14B6" w:rsidRPr="00F56D54">
        <w:rPr>
          <w:rFonts w:eastAsia="Calibri"/>
          <w:sz w:val="26"/>
          <w:szCs w:val="26"/>
        </w:rPr>
        <w:t xml:space="preserve"> balance </w:t>
      </w:r>
      <w:r w:rsidR="001D4BBE" w:rsidRPr="00F56D54">
        <w:rPr>
          <w:rFonts w:eastAsia="Calibri"/>
          <w:sz w:val="26"/>
          <w:szCs w:val="26"/>
        </w:rPr>
        <w:t xml:space="preserve">between the </w:t>
      </w:r>
      <w:r w:rsidR="006E11FD">
        <w:rPr>
          <w:rFonts w:eastAsia="Calibri"/>
          <w:sz w:val="26"/>
          <w:szCs w:val="26"/>
        </w:rPr>
        <w:t>interest</w:t>
      </w:r>
      <w:r w:rsidR="00CF0CD9">
        <w:rPr>
          <w:rFonts w:eastAsia="Calibri"/>
          <w:sz w:val="26"/>
          <w:szCs w:val="26"/>
        </w:rPr>
        <w:t>s</w:t>
      </w:r>
      <w:r w:rsidR="001D4BBE" w:rsidRPr="00F56D54">
        <w:rPr>
          <w:rFonts w:eastAsia="Calibri"/>
          <w:sz w:val="26"/>
          <w:szCs w:val="26"/>
        </w:rPr>
        <w:t xml:space="preserve"> of c</w:t>
      </w:r>
      <w:r w:rsidR="00597C6D" w:rsidRPr="00F56D54">
        <w:rPr>
          <w:rFonts w:eastAsia="Calibri"/>
          <w:sz w:val="26"/>
          <w:szCs w:val="26"/>
        </w:rPr>
        <w:t xml:space="preserve">ustomers </w:t>
      </w:r>
      <w:r w:rsidR="001D4BBE" w:rsidRPr="00F56D54">
        <w:rPr>
          <w:rFonts w:eastAsia="Calibri"/>
          <w:sz w:val="26"/>
          <w:szCs w:val="26"/>
        </w:rPr>
        <w:t xml:space="preserve">and the utility, and </w:t>
      </w:r>
      <w:r w:rsidR="00D12A3F" w:rsidRPr="00F56D54">
        <w:rPr>
          <w:rFonts w:eastAsia="Calibri"/>
          <w:sz w:val="26"/>
          <w:szCs w:val="26"/>
        </w:rPr>
        <w:t>result in rates which are</w:t>
      </w:r>
      <w:r w:rsidR="001D4BBE" w:rsidRPr="00F56D54">
        <w:rPr>
          <w:rFonts w:eastAsia="Calibri"/>
          <w:sz w:val="26"/>
          <w:szCs w:val="26"/>
        </w:rPr>
        <w:t xml:space="preserve"> </w:t>
      </w:r>
      <w:r w:rsidRPr="00F56D54">
        <w:rPr>
          <w:rFonts w:eastAsia="Calibri"/>
          <w:sz w:val="26"/>
          <w:szCs w:val="26"/>
        </w:rPr>
        <w:t xml:space="preserve">just and reasonable and supported by </w:t>
      </w:r>
      <w:r w:rsidR="009F52BA" w:rsidRPr="00F56D54">
        <w:rPr>
          <w:rFonts w:eastAsia="Calibri"/>
          <w:sz w:val="26"/>
          <w:szCs w:val="26"/>
        </w:rPr>
        <w:t xml:space="preserve">substantial </w:t>
      </w:r>
      <w:r w:rsidRPr="00F56D54">
        <w:rPr>
          <w:rFonts w:eastAsia="Calibri"/>
          <w:sz w:val="26"/>
          <w:szCs w:val="26"/>
        </w:rPr>
        <w:t>record evidence.</w:t>
      </w:r>
      <w:r w:rsidR="00872097">
        <w:rPr>
          <w:rFonts w:eastAsia="Calibri"/>
          <w:sz w:val="26"/>
          <w:szCs w:val="26"/>
        </w:rPr>
        <w:t xml:space="preserve">  </w:t>
      </w:r>
      <w:r w:rsidRPr="00F56D54">
        <w:rPr>
          <w:rFonts w:eastAsia="Calibri"/>
          <w:sz w:val="26"/>
          <w:szCs w:val="26"/>
        </w:rPr>
        <w:t xml:space="preserve">Accordingly, we shall adopt </w:t>
      </w:r>
      <w:r w:rsidR="00D12A3F" w:rsidRPr="00F56D54">
        <w:rPr>
          <w:rFonts w:eastAsia="Calibri"/>
          <w:sz w:val="26"/>
          <w:szCs w:val="26"/>
        </w:rPr>
        <w:t xml:space="preserve">the ALJ’s recommendation and approve the Revenue Settlement without modification. </w:t>
      </w:r>
    </w:p>
    <w:p w14:paraId="5BD24C8F" w14:textId="2DD00450" w:rsidR="009E5F76" w:rsidRPr="00F56D54" w:rsidRDefault="009E5F76" w:rsidP="00F56D54">
      <w:pPr>
        <w:widowControl/>
        <w:spacing w:line="360" w:lineRule="auto"/>
        <w:ind w:firstLine="1440"/>
        <w:contextualSpacing/>
        <w:rPr>
          <w:rFonts w:eastAsia="Calibri"/>
          <w:sz w:val="26"/>
          <w:szCs w:val="26"/>
        </w:rPr>
      </w:pPr>
    </w:p>
    <w:p w14:paraId="25C28552" w14:textId="698204E4" w:rsidR="009E5F76" w:rsidRPr="00F56D54" w:rsidRDefault="00E466AE" w:rsidP="00F56D54">
      <w:pPr>
        <w:keepNext/>
        <w:widowControl/>
        <w:spacing w:line="360" w:lineRule="auto"/>
        <w:ind w:firstLine="1440"/>
        <w:rPr>
          <w:rFonts w:eastAsia="Calibri"/>
          <w:sz w:val="26"/>
          <w:szCs w:val="26"/>
        </w:rPr>
      </w:pPr>
      <w:r w:rsidRPr="00F56D54">
        <w:rPr>
          <w:rFonts w:eastAsia="Calibri"/>
          <w:sz w:val="26"/>
          <w:szCs w:val="26"/>
        </w:rPr>
        <w:t>As noted, o</w:t>
      </w:r>
      <w:r w:rsidR="009E5F76" w:rsidRPr="00F56D54">
        <w:rPr>
          <w:rFonts w:eastAsia="Calibri"/>
          <w:sz w:val="26"/>
          <w:szCs w:val="26"/>
        </w:rPr>
        <w:t xml:space="preserve">ur approval of the Revenue Settlement is predicated upon our conclusion that the Settlement is reasonable and in the public interest and supported by substantial evidence.  Further, </w:t>
      </w:r>
      <w:r w:rsidR="00942ECC" w:rsidRPr="00F56D54">
        <w:rPr>
          <w:rFonts w:eastAsia="Calibri"/>
          <w:sz w:val="26"/>
          <w:szCs w:val="26"/>
        </w:rPr>
        <w:t xml:space="preserve">under the terms of the </w:t>
      </w:r>
      <w:r w:rsidR="00721802">
        <w:rPr>
          <w:rFonts w:eastAsia="Calibri"/>
          <w:sz w:val="26"/>
          <w:szCs w:val="26"/>
        </w:rPr>
        <w:t xml:space="preserve">Revenue </w:t>
      </w:r>
      <w:r w:rsidR="00942ECC" w:rsidRPr="00F56D54">
        <w:rPr>
          <w:rFonts w:eastAsia="Calibri"/>
          <w:sz w:val="26"/>
          <w:szCs w:val="26"/>
        </w:rPr>
        <w:t xml:space="preserve">Settlement, the Joint Petitioners achieved a settlement which reduces the </w:t>
      </w:r>
      <w:r w:rsidR="00011F39" w:rsidRPr="00F56D54">
        <w:rPr>
          <w:rFonts w:eastAsia="Calibri"/>
          <w:sz w:val="26"/>
          <w:szCs w:val="26"/>
        </w:rPr>
        <w:t>PCLPC</w:t>
      </w:r>
      <w:r w:rsidR="00942ECC" w:rsidRPr="00F56D54">
        <w:rPr>
          <w:rFonts w:eastAsia="Calibri"/>
          <w:sz w:val="26"/>
          <w:szCs w:val="26"/>
        </w:rPr>
        <w:t xml:space="preserve">’s originally proposed rate increase </w:t>
      </w:r>
      <w:r w:rsidR="00031F78" w:rsidRPr="00F56D54">
        <w:rPr>
          <w:rFonts w:eastAsia="Calibri"/>
          <w:sz w:val="26"/>
          <w:szCs w:val="26"/>
        </w:rPr>
        <w:t xml:space="preserve">from </w:t>
      </w:r>
      <w:r w:rsidR="00CC4698" w:rsidRPr="00F56D54">
        <w:rPr>
          <w:rFonts w:eastAsia="Calibri"/>
          <w:sz w:val="26"/>
          <w:szCs w:val="26"/>
        </w:rPr>
        <w:t>$</w:t>
      </w:r>
      <w:r w:rsidR="00031F78" w:rsidRPr="00F56D54">
        <w:rPr>
          <w:rFonts w:eastAsia="Calibri"/>
          <w:sz w:val="26"/>
          <w:szCs w:val="26"/>
        </w:rPr>
        <w:t xml:space="preserve">1.9 million to </w:t>
      </w:r>
      <w:r w:rsidR="00CC4698" w:rsidRPr="00F56D54">
        <w:rPr>
          <w:rFonts w:eastAsia="Calibri"/>
          <w:sz w:val="26"/>
          <w:szCs w:val="26"/>
        </w:rPr>
        <w:t xml:space="preserve">$1.4 million, for an </w:t>
      </w:r>
      <w:r w:rsidR="00796109" w:rsidRPr="00F56D54">
        <w:rPr>
          <w:rFonts w:eastAsia="Calibri"/>
          <w:sz w:val="26"/>
          <w:szCs w:val="26"/>
        </w:rPr>
        <w:t xml:space="preserve">increase of </w:t>
      </w:r>
      <w:r w:rsidR="007F4542" w:rsidRPr="00F56D54">
        <w:rPr>
          <w:color w:val="000000"/>
          <w:sz w:val="26"/>
          <w:szCs w:val="26"/>
        </w:rPr>
        <w:t>13.8% in overall electric revenues, and 26.9% in electric distribution revenues.  This compromise represents approximately a 28% reduction in overall electric revenue requested by PCLP</w:t>
      </w:r>
      <w:r w:rsidR="00872097">
        <w:rPr>
          <w:color w:val="000000"/>
          <w:sz w:val="26"/>
          <w:szCs w:val="26"/>
        </w:rPr>
        <w:t>C</w:t>
      </w:r>
      <w:r w:rsidR="007F4542" w:rsidRPr="00F56D54">
        <w:rPr>
          <w:color w:val="000000"/>
          <w:sz w:val="26"/>
          <w:szCs w:val="26"/>
        </w:rPr>
        <w:t xml:space="preserve"> in its original filing</w:t>
      </w:r>
      <w:r w:rsidR="00942ECC" w:rsidRPr="00F56D54">
        <w:rPr>
          <w:sz w:val="26"/>
          <w:szCs w:val="26"/>
        </w:rPr>
        <w:t xml:space="preserve"> </w:t>
      </w:r>
      <w:r w:rsidR="009E5F76" w:rsidRPr="00F56D54">
        <w:rPr>
          <w:rFonts w:eastAsia="Calibri"/>
          <w:sz w:val="26"/>
          <w:szCs w:val="26"/>
        </w:rPr>
        <w:t xml:space="preserve">while affording </w:t>
      </w:r>
      <w:r w:rsidR="00011F39" w:rsidRPr="00F56D54">
        <w:rPr>
          <w:rFonts w:eastAsia="Calibri"/>
          <w:sz w:val="26"/>
          <w:szCs w:val="26"/>
        </w:rPr>
        <w:t>PCLPC</w:t>
      </w:r>
      <w:r w:rsidR="009E5F76" w:rsidRPr="00F56D54">
        <w:rPr>
          <w:rFonts w:eastAsia="Calibri"/>
          <w:sz w:val="26"/>
          <w:szCs w:val="26"/>
        </w:rPr>
        <w:t xml:space="preserve"> </w:t>
      </w:r>
      <w:r w:rsidR="00721802">
        <w:rPr>
          <w:rFonts w:eastAsia="Calibri"/>
          <w:sz w:val="26"/>
          <w:szCs w:val="26"/>
        </w:rPr>
        <w:t xml:space="preserve">adequate </w:t>
      </w:r>
      <w:r w:rsidR="009E5F76" w:rsidRPr="00F56D54">
        <w:rPr>
          <w:rFonts w:eastAsia="Calibri"/>
          <w:sz w:val="26"/>
          <w:szCs w:val="26"/>
        </w:rPr>
        <w:t xml:space="preserve">revenue necessary to maintain safe and reliable </w:t>
      </w:r>
      <w:r w:rsidR="00FE09DA" w:rsidRPr="00F56D54">
        <w:rPr>
          <w:rFonts w:eastAsia="Calibri"/>
          <w:sz w:val="26"/>
          <w:szCs w:val="26"/>
        </w:rPr>
        <w:t xml:space="preserve">electric </w:t>
      </w:r>
      <w:r w:rsidR="009E5F76" w:rsidRPr="00F56D54">
        <w:rPr>
          <w:rFonts w:eastAsia="Calibri"/>
          <w:sz w:val="26"/>
          <w:szCs w:val="26"/>
        </w:rPr>
        <w:t xml:space="preserve">service.  </w:t>
      </w:r>
    </w:p>
    <w:p w14:paraId="2AA1B8C2" w14:textId="77777777" w:rsidR="0037374E" w:rsidRPr="00F56D54" w:rsidRDefault="0037374E" w:rsidP="00F56D54">
      <w:pPr>
        <w:widowControl/>
        <w:spacing w:line="360" w:lineRule="auto"/>
        <w:contextualSpacing/>
        <w:rPr>
          <w:b/>
          <w:sz w:val="26"/>
          <w:szCs w:val="26"/>
        </w:rPr>
      </w:pPr>
    </w:p>
    <w:p w14:paraId="2B6D1318" w14:textId="2FA3F41B" w:rsidR="009A7AEC" w:rsidRPr="00F56D54" w:rsidRDefault="003A02A4" w:rsidP="00F56D54">
      <w:pPr>
        <w:pStyle w:val="Heading2"/>
        <w:widowControl/>
        <w:ind w:hanging="720"/>
      </w:pPr>
      <w:bookmarkStart w:id="17" w:name="_Toc68586959"/>
      <w:r w:rsidRPr="00F56D54">
        <w:t>R</w:t>
      </w:r>
      <w:r w:rsidR="00605063" w:rsidRPr="00F56D54">
        <w:t>ate De</w:t>
      </w:r>
      <w:r w:rsidR="00CF22DD" w:rsidRPr="00F56D54">
        <w:t>sign Settlement</w:t>
      </w:r>
      <w:bookmarkEnd w:id="17"/>
    </w:p>
    <w:p w14:paraId="3FD88D65" w14:textId="77777777" w:rsidR="00A16D87" w:rsidRPr="00F56D54" w:rsidRDefault="00A16D87" w:rsidP="00F56D54">
      <w:pPr>
        <w:widowControl/>
        <w:rPr>
          <w:sz w:val="26"/>
          <w:szCs w:val="26"/>
        </w:rPr>
      </w:pPr>
    </w:p>
    <w:p w14:paraId="51ACBFD4" w14:textId="2544DD9F" w:rsidR="00CF22DD" w:rsidRPr="00F56D54" w:rsidRDefault="003B2DBB" w:rsidP="00F56D54">
      <w:pPr>
        <w:widowControl/>
        <w:ind w:left="720"/>
        <w:rPr>
          <w:b/>
          <w:bCs/>
          <w:sz w:val="26"/>
          <w:szCs w:val="26"/>
        </w:rPr>
      </w:pPr>
      <w:r w:rsidRPr="00CF0CD9">
        <w:rPr>
          <w:b/>
          <w:bCs/>
          <w:sz w:val="26"/>
          <w:szCs w:val="26"/>
        </w:rPr>
        <w:t>1.</w:t>
      </w:r>
      <w:r w:rsidRPr="00F56D54">
        <w:rPr>
          <w:sz w:val="26"/>
          <w:szCs w:val="26"/>
        </w:rPr>
        <w:t xml:space="preserve"> </w:t>
      </w:r>
      <w:r w:rsidR="00F56D54" w:rsidRPr="00F56D54">
        <w:rPr>
          <w:sz w:val="26"/>
          <w:szCs w:val="26"/>
        </w:rPr>
        <w:tab/>
      </w:r>
      <w:r w:rsidR="00B138D7" w:rsidRPr="00F56D54">
        <w:rPr>
          <w:b/>
          <w:bCs/>
          <w:sz w:val="26"/>
          <w:szCs w:val="26"/>
        </w:rPr>
        <w:t xml:space="preserve">Terms and Condition of the Rate Design Settlement </w:t>
      </w:r>
    </w:p>
    <w:p w14:paraId="2E33CA09" w14:textId="77777777" w:rsidR="00C027B9" w:rsidRPr="00F56D54" w:rsidRDefault="00C027B9" w:rsidP="00F56D54">
      <w:pPr>
        <w:widowControl/>
        <w:tabs>
          <w:tab w:val="center" w:pos="720"/>
          <w:tab w:val="center" w:pos="4820"/>
        </w:tabs>
        <w:spacing w:line="360" w:lineRule="auto"/>
        <w:ind w:firstLine="1440"/>
        <w:rPr>
          <w:color w:val="000000"/>
          <w:sz w:val="26"/>
          <w:szCs w:val="26"/>
        </w:rPr>
      </w:pPr>
    </w:p>
    <w:p w14:paraId="378E2C91" w14:textId="0FC79891" w:rsidR="00EB3EFF" w:rsidRPr="00F56D54" w:rsidRDefault="00EB3EFF" w:rsidP="00F56D54">
      <w:pPr>
        <w:widowControl/>
        <w:spacing w:line="360" w:lineRule="auto"/>
        <w:ind w:firstLine="1440"/>
        <w:rPr>
          <w:color w:val="000000"/>
          <w:sz w:val="26"/>
          <w:szCs w:val="26"/>
        </w:rPr>
      </w:pPr>
      <w:r w:rsidRPr="00F56D54">
        <w:rPr>
          <w:color w:val="000000"/>
          <w:sz w:val="26"/>
          <w:szCs w:val="26"/>
        </w:rPr>
        <w:t>In</w:t>
      </w:r>
      <w:r w:rsidR="001B052E" w:rsidRPr="00F56D54">
        <w:rPr>
          <w:color w:val="000000"/>
          <w:sz w:val="26"/>
          <w:szCs w:val="26"/>
        </w:rPr>
        <w:t xml:space="preserve"> the proceeding before the ALJ, e</w:t>
      </w:r>
      <w:r w:rsidRPr="00F56D54">
        <w:rPr>
          <w:color w:val="000000"/>
          <w:sz w:val="26"/>
          <w:szCs w:val="26"/>
        </w:rPr>
        <w:t>ach of the Active Parties presented a proposed allocation of revenue for each rate class</w:t>
      </w:r>
      <w:r w:rsidR="00A863B5">
        <w:rPr>
          <w:color w:val="000000"/>
          <w:sz w:val="26"/>
          <w:szCs w:val="26"/>
        </w:rPr>
        <w:t xml:space="preserve">.  These positions were supported </w:t>
      </w:r>
      <w:r w:rsidR="001B052E" w:rsidRPr="00F56D54">
        <w:rPr>
          <w:color w:val="000000"/>
          <w:sz w:val="26"/>
          <w:szCs w:val="26"/>
        </w:rPr>
        <w:t xml:space="preserve">by their </w:t>
      </w:r>
      <w:r w:rsidR="007556D4">
        <w:rPr>
          <w:color w:val="000000"/>
          <w:sz w:val="26"/>
          <w:szCs w:val="26"/>
        </w:rPr>
        <w:t xml:space="preserve">respective </w:t>
      </w:r>
      <w:r w:rsidR="001B052E" w:rsidRPr="00F56D54">
        <w:rPr>
          <w:color w:val="000000"/>
          <w:sz w:val="26"/>
          <w:szCs w:val="26"/>
        </w:rPr>
        <w:t>experts</w:t>
      </w:r>
      <w:r w:rsidR="009D7D22" w:rsidRPr="00F56D54">
        <w:rPr>
          <w:color w:val="000000"/>
          <w:sz w:val="26"/>
          <w:szCs w:val="26"/>
        </w:rPr>
        <w:t xml:space="preserve"> regarding such allocation and utilizing </w:t>
      </w:r>
      <w:r w:rsidR="001B052E" w:rsidRPr="00F56D54">
        <w:rPr>
          <w:color w:val="000000"/>
          <w:sz w:val="26"/>
          <w:szCs w:val="26"/>
        </w:rPr>
        <w:t xml:space="preserve">the </w:t>
      </w:r>
      <w:r w:rsidRPr="00F56D54">
        <w:rPr>
          <w:color w:val="000000"/>
          <w:sz w:val="26"/>
          <w:szCs w:val="26"/>
        </w:rPr>
        <w:t xml:space="preserve">revenue increase </w:t>
      </w:r>
      <w:r w:rsidR="007556D4">
        <w:rPr>
          <w:color w:val="000000"/>
          <w:sz w:val="26"/>
          <w:szCs w:val="26"/>
        </w:rPr>
        <w:t xml:space="preserve">proposed </w:t>
      </w:r>
      <w:r w:rsidRPr="00F56D54">
        <w:rPr>
          <w:color w:val="000000"/>
          <w:sz w:val="26"/>
          <w:szCs w:val="26"/>
        </w:rPr>
        <w:t>in the Revenue Settlement.  PCLP</w:t>
      </w:r>
      <w:r w:rsidR="007556D4">
        <w:rPr>
          <w:color w:val="000000"/>
          <w:sz w:val="26"/>
          <w:szCs w:val="26"/>
        </w:rPr>
        <w:t>C</w:t>
      </w:r>
      <w:r w:rsidRPr="00F56D54">
        <w:rPr>
          <w:color w:val="000000"/>
          <w:sz w:val="26"/>
          <w:szCs w:val="26"/>
        </w:rPr>
        <w:t xml:space="preserve">, I&amp;E and </w:t>
      </w:r>
      <w:r w:rsidR="001926EB" w:rsidRPr="00F56D54">
        <w:rPr>
          <w:color w:val="000000"/>
          <w:sz w:val="26"/>
          <w:szCs w:val="26"/>
        </w:rPr>
        <w:t xml:space="preserve">the </w:t>
      </w:r>
      <w:r w:rsidRPr="00F56D54">
        <w:rPr>
          <w:color w:val="000000"/>
          <w:sz w:val="26"/>
          <w:szCs w:val="26"/>
        </w:rPr>
        <w:t>OCA</w:t>
      </w:r>
      <w:r w:rsidR="00B039E4">
        <w:rPr>
          <w:color w:val="000000"/>
          <w:sz w:val="26"/>
          <w:szCs w:val="26"/>
        </w:rPr>
        <w:t xml:space="preserve"> or </w:t>
      </w:r>
      <w:r w:rsidR="00B039E4" w:rsidRPr="00F56D54">
        <w:rPr>
          <w:sz w:val="26"/>
          <w:szCs w:val="26"/>
        </w:rPr>
        <w:t xml:space="preserve">Joint Petitioners-Rate </w:t>
      </w:r>
      <w:r w:rsidR="00B039E4" w:rsidRPr="00F56D54">
        <w:rPr>
          <w:sz w:val="26"/>
          <w:szCs w:val="26"/>
        </w:rPr>
        <w:lastRenderedPageBreak/>
        <w:t>Desig</w:t>
      </w:r>
      <w:r w:rsidR="00B039E4">
        <w:rPr>
          <w:sz w:val="26"/>
          <w:szCs w:val="26"/>
        </w:rPr>
        <w:t>n</w:t>
      </w:r>
      <w:r w:rsidRPr="00F56D54">
        <w:rPr>
          <w:color w:val="000000"/>
          <w:sz w:val="26"/>
          <w:szCs w:val="26"/>
        </w:rPr>
        <w:t xml:space="preserve"> were able to agree on a revenue allocation as set forth in the Rate Design Settlement.  The Rate Design Settlement, like the Revenue Settlement, is a </w:t>
      </w:r>
      <w:r w:rsidR="00E96E96">
        <w:rPr>
          <w:color w:val="000000"/>
          <w:sz w:val="26"/>
          <w:szCs w:val="26"/>
        </w:rPr>
        <w:t>“</w:t>
      </w:r>
      <w:r w:rsidRPr="00F56D54">
        <w:rPr>
          <w:color w:val="000000"/>
          <w:sz w:val="26"/>
          <w:szCs w:val="26"/>
        </w:rPr>
        <w:t>black box</w:t>
      </w:r>
      <w:r w:rsidR="00E96E96">
        <w:rPr>
          <w:color w:val="000000"/>
          <w:sz w:val="26"/>
          <w:szCs w:val="26"/>
        </w:rPr>
        <w:t>”</w:t>
      </w:r>
      <w:r w:rsidRPr="00F56D54">
        <w:rPr>
          <w:color w:val="000000"/>
          <w:sz w:val="26"/>
          <w:szCs w:val="26"/>
        </w:rPr>
        <w:t xml:space="preserve"> settlement.  </w:t>
      </w:r>
      <w:r w:rsidR="00943C8C" w:rsidRPr="00F56D54">
        <w:rPr>
          <w:color w:val="000000"/>
          <w:sz w:val="26"/>
          <w:szCs w:val="26"/>
        </w:rPr>
        <w:t>Under the Rate Design Settlement,</w:t>
      </w:r>
      <w:r w:rsidR="003C7632" w:rsidRPr="00F56D54">
        <w:rPr>
          <w:color w:val="000000"/>
          <w:sz w:val="26"/>
          <w:szCs w:val="26"/>
        </w:rPr>
        <w:t xml:space="preserve"> the </w:t>
      </w:r>
      <w:r w:rsidR="006F7BE1" w:rsidRPr="00F56D54">
        <w:rPr>
          <w:sz w:val="26"/>
          <w:szCs w:val="26"/>
        </w:rPr>
        <w:t>Joint Petitioners-Rate Desig</w:t>
      </w:r>
      <w:r w:rsidR="006F7BE1">
        <w:rPr>
          <w:sz w:val="26"/>
          <w:szCs w:val="26"/>
        </w:rPr>
        <w:t>n</w:t>
      </w:r>
      <w:r w:rsidR="006F7BE1" w:rsidRPr="00F56D54" w:rsidDel="006F7BE1">
        <w:rPr>
          <w:color w:val="000000"/>
          <w:sz w:val="26"/>
          <w:szCs w:val="26"/>
        </w:rPr>
        <w:t xml:space="preserve"> </w:t>
      </w:r>
      <w:r w:rsidRPr="00F56D54">
        <w:rPr>
          <w:color w:val="000000"/>
          <w:sz w:val="26"/>
          <w:szCs w:val="26"/>
        </w:rPr>
        <w:t xml:space="preserve">did not </w:t>
      </w:r>
      <w:r w:rsidR="006B0C54" w:rsidRPr="00F56D54">
        <w:rPr>
          <w:color w:val="000000"/>
          <w:sz w:val="26"/>
          <w:szCs w:val="26"/>
        </w:rPr>
        <w:t xml:space="preserve">reach agreement in </w:t>
      </w:r>
      <w:r w:rsidR="00603110">
        <w:rPr>
          <w:color w:val="000000"/>
          <w:sz w:val="26"/>
          <w:szCs w:val="26"/>
        </w:rPr>
        <w:t xml:space="preserve">a particular </w:t>
      </w:r>
      <w:r w:rsidRPr="00F56D54">
        <w:rPr>
          <w:color w:val="000000"/>
          <w:sz w:val="26"/>
          <w:szCs w:val="26"/>
        </w:rPr>
        <w:t>cost of service study</w:t>
      </w:r>
      <w:r w:rsidR="00F4681D">
        <w:rPr>
          <w:color w:val="000000"/>
          <w:sz w:val="26"/>
          <w:szCs w:val="26"/>
        </w:rPr>
        <w:t xml:space="preserve"> (COSS)</w:t>
      </w:r>
      <w:r w:rsidR="0098340C">
        <w:rPr>
          <w:color w:val="000000"/>
          <w:sz w:val="26"/>
          <w:szCs w:val="26"/>
        </w:rPr>
        <w:t xml:space="preserve"> methodology</w:t>
      </w:r>
      <w:r w:rsidRPr="00F56D54">
        <w:rPr>
          <w:color w:val="000000"/>
          <w:sz w:val="26"/>
          <w:szCs w:val="26"/>
        </w:rPr>
        <w:t xml:space="preserve">.  Rather, according to the </w:t>
      </w:r>
      <w:r w:rsidR="007809D7" w:rsidRPr="00F56D54">
        <w:rPr>
          <w:sz w:val="26"/>
          <w:szCs w:val="26"/>
        </w:rPr>
        <w:t>Joint Petitioners-Rate Desig</w:t>
      </w:r>
      <w:r w:rsidR="007809D7">
        <w:rPr>
          <w:sz w:val="26"/>
          <w:szCs w:val="26"/>
        </w:rPr>
        <w:t>n</w:t>
      </w:r>
      <w:r w:rsidRPr="00F56D54">
        <w:rPr>
          <w:color w:val="000000"/>
          <w:sz w:val="26"/>
          <w:szCs w:val="26"/>
        </w:rPr>
        <w:t xml:space="preserve">, the resulting rate class allocation </w:t>
      </w:r>
      <w:r w:rsidR="00293682" w:rsidRPr="00F56D54">
        <w:rPr>
          <w:color w:val="000000"/>
          <w:sz w:val="26"/>
          <w:szCs w:val="26"/>
        </w:rPr>
        <w:t xml:space="preserve">under the </w:t>
      </w:r>
      <w:r w:rsidRPr="00F56D54">
        <w:rPr>
          <w:color w:val="000000"/>
          <w:sz w:val="26"/>
          <w:szCs w:val="26"/>
        </w:rPr>
        <w:t xml:space="preserve">Rate Design Settlement is </w:t>
      </w:r>
      <w:r w:rsidR="00293682" w:rsidRPr="00F56D54">
        <w:rPr>
          <w:color w:val="000000"/>
          <w:sz w:val="26"/>
          <w:szCs w:val="26"/>
        </w:rPr>
        <w:t>a</w:t>
      </w:r>
      <w:r w:rsidRPr="00F56D54">
        <w:rPr>
          <w:color w:val="000000"/>
          <w:sz w:val="26"/>
          <w:szCs w:val="26"/>
        </w:rPr>
        <w:t xml:space="preserve"> product of </w:t>
      </w:r>
      <w:r w:rsidR="00293682" w:rsidRPr="00F56D54">
        <w:rPr>
          <w:color w:val="000000"/>
          <w:sz w:val="26"/>
          <w:szCs w:val="26"/>
        </w:rPr>
        <w:t>negotiation and settlement and achi</w:t>
      </w:r>
      <w:r w:rsidR="00935E3F" w:rsidRPr="00F56D54">
        <w:rPr>
          <w:color w:val="000000"/>
          <w:sz w:val="26"/>
          <w:szCs w:val="26"/>
        </w:rPr>
        <w:t xml:space="preserve">eves a result within the range of results argued by the respective </w:t>
      </w:r>
      <w:r w:rsidR="0002366F">
        <w:rPr>
          <w:color w:val="000000"/>
          <w:sz w:val="26"/>
          <w:szCs w:val="26"/>
        </w:rPr>
        <w:t>P</w:t>
      </w:r>
      <w:r w:rsidR="00935E3F" w:rsidRPr="00F56D54">
        <w:rPr>
          <w:color w:val="000000"/>
          <w:sz w:val="26"/>
          <w:szCs w:val="26"/>
        </w:rPr>
        <w:t xml:space="preserve">arties. </w:t>
      </w:r>
      <w:r w:rsidRPr="00F56D54">
        <w:rPr>
          <w:color w:val="000000"/>
          <w:sz w:val="26"/>
          <w:szCs w:val="26"/>
        </w:rPr>
        <w:t xml:space="preserve"> </w:t>
      </w:r>
    </w:p>
    <w:p w14:paraId="7A8CE265" w14:textId="77777777" w:rsidR="00F56D54" w:rsidRPr="00F56D54" w:rsidRDefault="00F56D54" w:rsidP="00F56D54">
      <w:pPr>
        <w:widowControl/>
        <w:spacing w:line="360" w:lineRule="auto"/>
        <w:ind w:firstLine="1440"/>
        <w:rPr>
          <w:color w:val="000000"/>
          <w:sz w:val="26"/>
          <w:szCs w:val="26"/>
        </w:rPr>
      </w:pPr>
    </w:p>
    <w:p w14:paraId="7383B696" w14:textId="0D238909" w:rsidR="00186DFC" w:rsidRPr="00F56D54" w:rsidRDefault="00186DFC" w:rsidP="008E71D1">
      <w:pPr>
        <w:widowControl/>
        <w:tabs>
          <w:tab w:val="center" w:pos="720"/>
          <w:tab w:val="center" w:pos="4820"/>
        </w:tabs>
        <w:spacing w:line="360" w:lineRule="auto"/>
        <w:ind w:firstLine="1440"/>
        <w:rPr>
          <w:color w:val="000000"/>
          <w:sz w:val="26"/>
          <w:szCs w:val="26"/>
        </w:rPr>
      </w:pPr>
      <w:r w:rsidRPr="00F56D54">
        <w:rPr>
          <w:color w:val="000000"/>
          <w:sz w:val="26"/>
          <w:szCs w:val="26"/>
        </w:rPr>
        <w:t xml:space="preserve">The Rate Design Settlement, filed on April 16, 2021, included a Tariff Supplement (Appendix A); Proof of Revenues (Appendix B); </w:t>
      </w:r>
      <w:r w:rsidR="00EF7BC0">
        <w:rPr>
          <w:color w:val="000000"/>
          <w:sz w:val="26"/>
          <w:szCs w:val="26"/>
        </w:rPr>
        <w:t>S</w:t>
      </w:r>
      <w:r w:rsidRPr="00F56D54">
        <w:rPr>
          <w:color w:val="000000"/>
          <w:sz w:val="26"/>
          <w:szCs w:val="26"/>
        </w:rPr>
        <w:t xml:space="preserve">tatements in </w:t>
      </w:r>
      <w:r w:rsidR="00EF7BC0">
        <w:rPr>
          <w:color w:val="000000"/>
          <w:sz w:val="26"/>
          <w:szCs w:val="26"/>
        </w:rPr>
        <w:t>S</w:t>
      </w:r>
      <w:r w:rsidRPr="00F56D54">
        <w:rPr>
          <w:color w:val="000000"/>
          <w:sz w:val="26"/>
          <w:szCs w:val="26"/>
        </w:rPr>
        <w:t xml:space="preserve">upport (Appendices C-E) and </w:t>
      </w:r>
      <w:r w:rsidR="00A251FB">
        <w:rPr>
          <w:color w:val="000000"/>
          <w:sz w:val="26"/>
          <w:szCs w:val="26"/>
        </w:rPr>
        <w:t>S</w:t>
      </w:r>
      <w:r w:rsidRPr="00F56D54">
        <w:rPr>
          <w:color w:val="000000"/>
          <w:sz w:val="26"/>
          <w:szCs w:val="26"/>
        </w:rPr>
        <w:t xml:space="preserve">upplemental </w:t>
      </w:r>
      <w:r w:rsidR="00A251FB">
        <w:rPr>
          <w:color w:val="000000"/>
          <w:sz w:val="26"/>
          <w:szCs w:val="26"/>
        </w:rPr>
        <w:t>P</w:t>
      </w:r>
      <w:r w:rsidRPr="00F56D54">
        <w:rPr>
          <w:color w:val="000000"/>
          <w:sz w:val="26"/>
          <w:szCs w:val="26"/>
        </w:rPr>
        <w:t xml:space="preserve">roposed </w:t>
      </w:r>
      <w:r w:rsidR="00A251FB">
        <w:rPr>
          <w:color w:val="000000"/>
          <w:sz w:val="26"/>
          <w:szCs w:val="26"/>
        </w:rPr>
        <w:t>F</w:t>
      </w:r>
      <w:r w:rsidRPr="00F56D54">
        <w:rPr>
          <w:color w:val="000000"/>
          <w:sz w:val="26"/>
          <w:szCs w:val="26"/>
        </w:rPr>
        <w:t xml:space="preserve">indings of </w:t>
      </w:r>
      <w:r w:rsidR="00A251FB">
        <w:rPr>
          <w:color w:val="000000"/>
          <w:sz w:val="26"/>
          <w:szCs w:val="26"/>
        </w:rPr>
        <w:t>F</w:t>
      </w:r>
      <w:r w:rsidRPr="00F56D54">
        <w:rPr>
          <w:color w:val="000000"/>
          <w:sz w:val="26"/>
          <w:szCs w:val="26"/>
        </w:rPr>
        <w:t xml:space="preserve">act, </w:t>
      </w:r>
      <w:r w:rsidR="00A251FB">
        <w:rPr>
          <w:color w:val="000000"/>
          <w:sz w:val="26"/>
          <w:szCs w:val="26"/>
        </w:rPr>
        <w:t>C</w:t>
      </w:r>
      <w:r w:rsidRPr="00F56D54">
        <w:rPr>
          <w:color w:val="000000"/>
          <w:sz w:val="26"/>
          <w:szCs w:val="26"/>
        </w:rPr>
        <w:t xml:space="preserve">onclusions of </w:t>
      </w:r>
      <w:r w:rsidR="00A251FB">
        <w:rPr>
          <w:color w:val="000000"/>
          <w:sz w:val="26"/>
          <w:szCs w:val="26"/>
        </w:rPr>
        <w:t>L</w:t>
      </w:r>
      <w:r w:rsidRPr="00F56D54">
        <w:rPr>
          <w:color w:val="000000"/>
          <w:sz w:val="26"/>
          <w:szCs w:val="26"/>
        </w:rPr>
        <w:t xml:space="preserve">aw and </w:t>
      </w:r>
      <w:r w:rsidR="00A251FB">
        <w:rPr>
          <w:color w:val="000000"/>
          <w:sz w:val="26"/>
          <w:szCs w:val="26"/>
        </w:rPr>
        <w:t>O</w:t>
      </w:r>
      <w:r w:rsidRPr="00F56D54">
        <w:rPr>
          <w:color w:val="000000"/>
          <w:sz w:val="26"/>
          <w:szCs w:val="26"/>
        </w:rPr>
        <w:t xml:space="preserve">rdering </w:t>
      </w:r>
      <w:r w:rsidR="00A251FB">
        <w:rPr>
          <w:color w:val="000000"/>
          <w:sz w:val="26"/>
          <w:szCs w:val="26"/>
        </w:rPr>
        <w:t>P</w:t>
      </w:r>
      <w:r w:rsidRPr="00F56D54">
        <w:rPr>
          <w:color w:val="000000"/>
          <w:sz w:val="26"/>
          <w:szCs w:val="26"/>
        </w:rPr>
        <w:t xml:space="preserve">aragraphs (Appendix F). </w:t>
      </w:r>
    </w:p>
    <w:p w14:paraId="1F009CF8" w14:textId="77777777" w:rsidR="00186DFC" w:rsidRPr="00F56D54" w:rsidRDefault="00186DFC" w:rsidP="00F56D54">
      <w:pPr>
        <w:widowControl/>
        <w:spacing w:line="360" w:lineRule="auto"/>
        <w:rPr>
          <w:color w:val="000000"/>
          <w:sz w:val="26"/>
          <w:szCs w:val="26"/>
        </w:rPr>
      </w:pPr>
      <w:r w:rsidRPr="00F56D54">
        <w:rPr>
          <w:color w:val="000000"/>
          <w:sz w:val="26"/>
          <w:szCs w:val="26"/>
        </w:rPr>
        <w:t xml:space="preserve"> </w:t>
      </w:r>
    </w:p>
    <w:p w14:paraId="75928EF6" w14:textId="155F3C6C" w:rsidR="00186DFC" w:rsidRPr="00F56D54" w:rsidRDefault="00186DFC" w:rsidP="004C67A2">
      <w:pPr>
        <w:widowControl/>
        <w:tabs>
          <w:tab w:val="center" w:pos="5052"/>
        </w:tabs>
        <w:spacing w:line="360" w:lineRule="auto"/>
        <w:ind w:left="1440"/>
        <w:rPr>
          <w:color w:val="000000"/>
          <w:sz w:val="26"/>
          <w:szCs w:val="26"/>
        </w:rPr>
      </w:pPr>
      <w:r w:rsidRPr="00F56D54">
        <w:rPr>
          <w:color w:val="000000"/>
          <w:sz w:val="26"/>
          <w:szCs w:val="26"/>
        </w:rPr>
        <w:t>The Rate Design Settlement included the following terms and conditions:</w:t>
      </w:r>
      <w:r w:rsidRPr="00F56D54">
        <w:rPr>
          <w:color w:val="000000"/>
          <w:sz w:val="26"/>
          <w:szCs w:val="26"/>
          <w:vertAlign w:val="superscript"/>
        </w:rPr>
        <w:footnoteReference w:id="11"/>
      </w:r>
      <w:r w:rsidRPr="00F56D54">
        <w:rPr>
          <w:color w:val="000000"/>
          <w:sz w:val="26"/>
          <w:szCs w:val="26"/>
        </w:rPr>
        <w:t xml:space="preserve"> </w:t>
      </w:r>
    </w:p>
    <w:p w14:paraId="12836E67" w14:textId="6BA04B82" w:rsidR="00186DFC" w:rsidRPr="00F56D54" w:rsidRDefault="00186DFC" w:rsidP="004C67A2">
      <w:pPr>
        <w:widowControl/>
        <w:tabs>
          <w:tab w:val="left" w:pos="2323"/>
        </w:tabs>
        <w:rPr>
          <w:color w:val="000000"/>
          <w:sz w:val="26"/>
          <w:szCs w:val="26"/>
        </w:rPr>
      </w:pPr>
      <w:r w:rsidRPr="00F56D54">
        <w:rPr>
          <w:color w:val="000000"/>
          <w:sz w:val="26"/>
          <w:szCs w:val="26"/>
        </w:rPr>
        <w:t xml:space="preserve"> </w:t>
      </w:r>
    </w:p>
    <w:p w14:paraId="572F22C8" w14:textId="13C0993C" w:rsidR="00186DFC" w:rsidRPr="00F56D54" w:rsidRDefault="00186DFC" w:rsidP="00F56D54">
      <w:pPr>
        <w:widowControl/>
        <w:numPr>
          <w:ilvl w:val="2"/>
          <w:numId w:val="49"/>
        </w:numPr>
        <w:spacing w:after="5" w:line="239" w:lineRule="auto"/>
        <w:ind w:left="2160" w:right="1389" w:hanging="10"/>
        <w:rPr>
          <w:color w:val="000000"/>
          <w:sz w:val="26"/>
          <w:szCs w:val="26"/>
        </w:rPr>
      </w:pPr>
      <w:r w:rsidRPr="00F56D54">
        <w:rPr>
          <w:color w:val="000000"/>
          <w:sz w:val="26"/>
          <w:szCs w:val="26"/>
        </w:rPr>
        <w:t>Under the terms of the Rate Structure Settlement, Pike (Electric), I&amp;E, and the OCA have agreed to a just and reasonable rate structure and rate design which will allow the Pike (Electric) to recover the Jointly Settled, black box revenue requirement of $1,400,000 as described in the April 9, 2021 petition for partial settlement</w:t>
      </w:r>
      <w:r w:rsidR="00F56D54" w:rsidRPr="00F56D54">
        <w:rPr>
          <w:color w:val="000000"/>
          <w:sz w:val="26"/>
          <w:szCs w:val="26"/>
        </w:rPr>
        <w:t xml:space="preserve">.  </w:t>
      </w:r>
      <w:r w:rsidRPr="00F56D54">
        <w:rPr>
          <w:color w:val="000000"/>
          <w:sz w:val="26"/>
          <w:szCs w:val="26"/>
        </w:rPr>
        <w:t xml:space="preserve">These rates, as determined in accordance with the attached proof of revenues (Appendix B) and tariff supplement (Appendix A), will be effective on one day’s notice for service rendered no sooner than July 28, 2021, if approved by the Commission. </w:t>
      </w:r>
    </w:p>
    <w:p w14:paraId="465649CB" w14:textId="77777777" w:rsidR="00186DFC" w:rsidRPr="00F56D54" w:rsidRDefault="00186DFC" w:rsidP="00F56D54">
      <w:pPr>
        <w:widowControl/>
        <w:spacing w:line="259" w:lineRule="auto"/>
        <w:ind w:left="1531"/>
        <w:rPr>
          <w:color w:val="000000"/>
          <w:sz w:val="26"/>
          <w:szCs w:val="26"/>
        </w:rPr>
      </w:pPr>
      <w:r w:rsidRPr="00F56D54">
        <w:rPr>
          <w:color w:val="000000"/>
          <w:sz w:val="26"/>
          <w:szCs w:val="26"/>
        </w:rPr>
        <w:t xml:space="preserve">  </w:t>
      </w:r>
    </w:p>
    <w:p w14:paraId="7759C33D" w14:textId="77777777" w:rsidR="00186DFC" w:rsidRPr="00F56D54" w:rsidRDefault="00186DFC" w:rsidP="00F56D54">
      <w:pPr>
        <w:widowControl/>
        <w:numPr>
          <w:ilvl w:val="2"/>
          <w:numId w:val="49"/>
        </w:numPr>
        <w:spacing w:after="5" w:line="241" w:lineRule="auto"/>
        <w:ind w:left="2160" w:right="1389" w:hanging="10"/>
        <w:rPr>
          <w:color w:val="000000"/>
          <w:sz w:val="26"/>
          <w:szCs w:val="26"/>
        </w:rPr>
      </w:pPr>
      <w:r w:rsidRPr="00F56D54">
        <w:rPr>
          <w:color w:val="000000"/>
          <w:sz w:val="26"/>
          <w:szCs w:val="26"/>
        </w:rPr>
        <w:t xml:space="preserve">The table below reflects the increase in delivery revenues by class from present rates as proposed by the Rate Structure Petitioners: </w:t>
      </w:r>
    </w:p>
    <w:p w14:paraId="49A3FAD6" w14:textId="77777777" w:rsidR="00186DFC" w:rsidRPr="00F56D54" w:rsidRDefault="00186DFC" w:rsidP="00F56D54">
      <w:pPr>
        <w:widowControl/>
        <w:spacing w:line="259" w:lineRule="auto"/>
        <w:ind w:left="1531"/>
        <w:rPr>
          <w:color w:val="000000"/>
          <w:sz w:val="26"/>
          <w:szCs w:val="26"/>
        </w:rPr>
      </w:pPr>
      <w:r w:rsidRPr="00F56D54">
        <w:rPr>
          <w:color w:val="000000"/>
          <w:sz w:val="26"/>
          <w:szCs w:val="26"/>
        </w:rPr>
        <w:t xml:space="preserve"> </w:t>
      </w:r>
    </w:p>
    <w:tbl>
      <w:tblPr>
        <w:tblStyle w:val="TableGrid10"/>
        <w:tblW w:w="10723" w:type="dxa"/>
        <w:tblInd w:w="-720" w:type="dxa"/>
        <w:tblCellMar>
          <w:top w:w="15" w:type="dxa"/>
          <w:left w:w="108" w:type="dxa"/>
          <w:bottom w:w="5" w:type="dxa"/>
          <w:right w:w="20" w:type="dxa"/>
        </w:tblCellMar>
        <w:tblLook w:val="04A0" w:firstRow="1" w:lastRow="0" w:firstColumn="1" w:lastColumn="0" w:noHBand="0" w:noVBand="1"/>
      </w:tblPr>
      <w:tblGrid>
        <w:gridCol w:w="908"/>
        <w:gridCol w:w="2767"/>
        <w:gridCol w:w="1073"/>
        <w:gridCol w:w="1387"/>
        <w:gridCol w:w="1256"/>
        <w:gridCol w:w="1257"/>
        <w:gridCol w:w="1152"/>
        <w:gridCol w:w="923"/>
      </w:tblGrid>
      <w:tr w:rsidR="00186DFC" w:rsidRPr="00F56D54" w14:paraId="0507C4BA" w14:textId="77777777" w:rsidTr="001C5320">
        <w:trPr>
          <w:trHeight w:val="295"/>
        </w:trPr>
        <w:tc>
          <w:tcPr>
            <w:tcW w:w="816" w:type="dxa"/>
            <w:tcBorders>
              <w:top w:val="single" w:sz="4" w:space="0" w:color="000000"/>
              <w:left w:val="single" w:sz="4" w:space="0" w:color="000000"/>
              <w:bottom w:val="single" w:sz="4" w:space="0" w:color="000000"/>
              <w:right w:val="single" w:sz="4" w:space="0" w:color="000000"/>
            </w:tcBorders>
          </w:tcPr>
          <w:p w14:paraId="32DAD15D" w14:textId="77777777" w:rsidR="00186DFC" w:rsidRPr="00F56D54" w:rsidRDefault="00186DFC" w:rsidP="00F56D54">
            <w:pPr>
              <w:keepNext/>
              <w:widowControl/>
              <w:spacing w:line="259" w:lineRule="auto"/>
              <w:rPr>
                <w:rFonts w:ascii="Times New Roman" w:hAnsi="Times New Roman"/>
                <w:color w:val="000000"/>
                <w:sz w:val="26"/>
                <w:szCs w:val="26"/>
              </w:rPr>
            </w:pPr>
            <w:r w:rsidRPr="00F56D54">
              <w:rPr>
                <w:rFonts w:ascii="Times New Roman" w:hAnsi="Times New Roman"/>
                <w:color w:val="000000"/>
                <w:sz w:val="26"/>
                <w:szCs w:val="26"/>
              </w:rPr>
              <w:lastRenderedPageBreak/>
              <w:t xml:space="preserve">  </w:t>
            </w:r>
          </w:p>
        </w:tc>
        <w:tc>
          <w:tcPr>
            <w:tcW w:w="3145" w:type="dxa"/>
            <w:tcBorders>
              <w:top w:val="single" w:sz="4" w:space="0" w:color="000000"/>
              <w:left w:val="single" w:sz="4" w:space="0" w:color="000000"/>
              <w:bottom w:val="single" w:sz="4" w:space="0" w:color="000000"/>
              <w:right w:val="single" w:sz="4" w:space="0" w:color="000000"/>
            </w:tcBorders>
          </w:tcPr>
          <w:p w14:paraId="0F9EACA9" w14:textId="77777777" w:rsidR="00186DFC" w:rsidRPr="00F56D54" w:rsidRDefault="00186DFC" w:rsidP="00F56D54">
            <w:pPr>
              <w:keepNext/>
              <w:widowControl/>
              <w:spacing w:line="259" w:lineRule="auto"/>
              <w:rPr>
                <w:rFonts w:ascii="Times New Roman" w:hAnsi="Times New Roman"/>
                <w:color w:val="000000"/>
                <w:sz w:val="26"/>
                <w:szCs w:val="26"/>
              </w:rPr>
            </w:pPr>
            <w:r w:rsidRPr="00F56D54">
              <w:rPr>
                <w:rFonts w:ascii="Times New Roman" w:hAnsi="Times New Roman"/>
                <w:color w:val="000000"/>
                <w:sz w:val="26"/>
                <w:szCs w:val="26"/>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55529AFF" w14:textId="77777777" w:rsidR="00186DFC" w:rsidRPr="00F56D54" w:rsidRDefault="00186DFC" w:rsidP="00F56D54">
            <w:pPr>
              <w:keepNext/>
              <w:widowControl/>
              <w:spacing w:line="259" w:lineRule="auto"/>
              <w:rPr>
                <w:rFonts w:ascii="Times New Roman" w:hAnsi="Times New Roman"/>
                <w:color w:val="000000"/>
                <w:sz w:val="26"/>
                <w:szCs w:val="26"/>
              </w:rPr>
            </w:pPr>
            <w:r w:rsidRPr="00F56D54">
              <w:rPr>
                <w:rFonts w:ascii="Times New Roman" w:hAnsi="Times New Roman"/>
                <w:color w:val="000000"/>
                <w:sz w:val="26"/>
                <w:szCs w:val="26"/>
              </w:rPr>
              <w:t xml:space="preserve">  </w:t>
            </w:r>
          </w:p>
        </w:tc>
        <w:tc>
          <w:tcPr>
            <w:tcW w:w="1296" w:type="dxa"/>
            <w:tcBorders>
              <w:top w:val="single" w:sz="4" w:space="0" w:color="000000"/>
              <w:left w:val="single" w:sz="4" w:space="0" w:color="000000"/>
              <w:bottom w:val="single" w:sz="4" w:space="0" w:color="000000"/>
              <w:right w:val="single" w:sz="4" w:space="0" w:color="000000"/>
            </w:tcBorders>
          </w:tcPr>
          <w:p w14:paraId="5D110D0A" w14:textId="77777777" w:rsidR="00186DFC" w:rsidRPr="00F56D54" w:rsidRDefault="00186DFC" w:rsidP="00F56D54">
            <w:pPr>
              <w:keepNext/>
              <w:widowControl/>
              <w:spacing w:line="259" w:lineRule="auto"/>
              <w:rPr>
                <w:rFonts w:ascii="Times New Roman" w:hAnsi="Times New Roman"/>
                <w:color w:val="000000"/>
                <w:sz w:val="26"/>
                <w:szCs w:val="26"/>
              </w:rPr>
            </w:pPr>
            <w:r w:rsidRPr="00F56D54">
              <w:rPr>
                <w:rFonts w:ascii="Times New Roman" w:hAnsi="Times New Roman"/>
                <w:color w:val="000000"/>
                <w:sz w:val="26"/>
                <w:szCs w:val="26"/>
              </w:rPr>
              <w:t xml:space="preserve">  </w:t>
            </w:r>
          </w:p>
        </w:tc>
        <w:tc>
          <w:tcPr>
            <w:tcW w:w="2353" w:type="dxa"/>
            <w:gridSpan w:val="2"/>
            <w:tcBorders>
              <w:top w:val="single" w:sz="4" w:space="0" w:color="000000"/>
              <w:left w:val="single" w:sz="4" w:space="0" w:color="000000"/>
              <w:bottom w:val="single" w:sz="4" w:space="0" w:color="000000"/>
              <w:right w:val="single" w:sz="4" w:space="0" w:color="000000"/>
            </w:tcBorders>
          </w:tcPr>
          <w:p w14:paraId="722E21C1" w14:textId="77777777" w:rsidR="00186DFC" w:rsidRPr="00F56D54" w:rsidRDefault="00186DFC" w:rsidP="00F56D54">
            <w:pPr>
              <w:keepNext/>
              <w:widowControl/>
              <w:spacing w:line="259" w:lineRule="auto"/>
              <w:ind w:right="88"/>
              <w:jc w:val="center"/>
              <w:rPr>
                <w:rFonts w:ascii="Times New Roman" w:hAnsi="Times New Roman"/>
                <w:color w:val="000000"/>
                <w:sz w:val="26"/>
                <w:szCs w:val="26"/>
              </w:rPr>
            </w:pPr>
            <w:r w:rsidRPr="00F56D54">
              <w:rPr>
                <w:rFonts w:ascii="Times New Roman" w:hAnsi="Times New Roman"/>
                <w:color w:val="000000"/>
                <w:sz w:val="26"/>
                <w:szCs w:val="26"/>
                <w:u w:val="single" w:color="000000"/>
              </w:rPr>
              <w:t>Delivery Revenue at:</w:t>
            </w:r>
            <w:r w:rsidRPr="00F56D54">
              <w:rPr>
                <w:rFonts w:ascii="Times New Roman" w:hAnsi="Times New Roman"/>
                <w:color w:val="000000"/>
                <w:sz w:val="26"/>
                <w:szCs w:val="26"/>
              </w:rPr>
              <w:t xml:space="preserve"> </w:t>
            </w:r>
          </w:p>
        </w:tc>
        <w:tc>
          <w:tcPr>
            <w:tcW w:w="2004" w:type="dxa"/>
            <w:gridSpan w:val="2"/>
            <w:tcBorders>
              <w:top w:val="single" w:sz="4" w:space="0" w:color="000000"/>
              <w:left w:val="single" w:sz="4" w:space="0" w:color="000000"/>
              <w:bottom w:val="single" w:sz="4" w:space="0" w:color="000000"/>
              <w:right w:val="single" w:sz="4" w:space="0" w:color="000000"/>
            </w:tcBorders>
          </w:tcPr>
          <w:p w14:paraId="6ED1E33E" w14:textId="77777777" w:rsidR="00186DFC" w:rsidRPr="00F56D54" w:rsidRDefault="00186DFC" w:rsidP="00F56D54">
            <w:pPr>
              <w:keepNext/>
              <w:widowControl/>
              <w:spacing w:line="259" w:lineRule="auto"/>
              <w:ind w:right="89"/>
              <w:jc w:val="center"/>
              <w:rPr>
                <w:rFonts w:ascii="Times New Roman" w:hAnsi="Times New Roman"/>
                <w:color w:val="000000"/>
                <w:sz w:val="26"/>
                <w:szCs w:val="26"/>
              </w:rPr>
            </w:pPr>
            <w:r w:rsidRPr="00F56D54">
              <w:rPr>
                <w:rFonts w:ascii="Times New Roman" w:hAnsi="Times New Roman"/>
                <w:color w:val="000000"/>
                <w:sz w:val="26"/>
                <w:szCs w:val="26"/>
                <w:u w:val="single" w:color="000000"/>
              </w:rPr>
              <w:t>Increase:</w:t>
            </w:r>
            <w:r w:rsidRPr="00F56D54">
              <w:rPr>
                <w:rFonts w:ascii="Times New Roman" w:hAnsi="Times New Roman"/>
                <w:color w:val="000000"/>
                <w:sz w:val="26"/>
                <w:szCs w:val="26"/>
              </w:rPr>
              <w:t xml:space="preserve"> </w:t>
            </w:r>
          </w:p>
        </w:tc>
      </w:tr>
      <w:tr w:rsidR="00186DFC" w:rsidRPr="00F56D54" w14:paraId="41C28F36" w14:textId="77777777" w:rsidTr="001C5320">
        <w:trPr>
          <w:trHeight w:val="586"/>
        </w:trPr>
        <w:tc>
          <w:tcPr>
            <w:tcW w:w="816" w:type="dxa"/>
            <w:tcBorders>
              <w:top w:val="single" w:sz="4" w:space="0" w:color="000000"/>
              <w:left w:val="single" w:sz="4" w:space="0" w:color="000000"/>
              <w:bottom w:val="single" w:sz="4" w:space="0" w:color="000000"/>
              <w:right w:val="single" w:sz="4" w:space="0" w:color="000000"/>
            </w:tcBorders>
            <w:vAlign w:val="bottom"/>
          </w:tcPr>
          <w:p w14:paraId="1612C926" w14:textId="77777777" w:rsidR="00186DFC" w:rsidRPr="00F56D54" w:rsidRDefault="00186DFC" w:rsidP="00F56D54">
            <w:pPr>
              <w:keepNext/>
              <w:widowControl/>
              <w:spacing w:line="259" w:lineRule="auto"/>
              <w:rPr>
                <w:rFonts w:ascii="Times New Roman" w:hAnsi="Times New Roman"/>
                <w:color w:val="000000"/>
                <w:sz w:val="26"/>
                <w:szCs w:val="26"/>
              </w:rPr>
            </w:pPr>
            <w:r w:rsidRPr="00F56D54">
              <w:rPr>
                <w:rFonts w:ascii="Times New Roman" w:hAnsi="Times New Roman"/>
                <w:color w:val="000000"/>
                <w:sz w:val="26"/>
                <w:szCs w:val="26"/>
              </w:rPr>
              <w:t xml:space="preserve">Service </w:t>
            </w:r>
            <w:r w:rsidRPr="00F56D54">
              <w:rPr>
                <w:rFonts w:ascii="Times New Roman" w:hAnsi="Times New Roman"/>
                <w:color w:val="000000"/>
                <w:sz w:val="26"/>
                <w:szCs w:val="26"/>
                <w:u w:val="single" w:color="000000"/>
              </w:rPr>
              <w:t>Class</w:t>
            </w:r>
            <w:r w:rsidRPr="00F56D54">
              <w:rPr>
                <w:rFonts w:ascii="Times New Roman" w:hAnsi="Times New Roman"/>
                <w:color w:val="000000"/>
                <w:sz w:val="26"/>
                <w:szCs w:val="26"/>
              </w:rPr>
              <w:t xml:space="preserve"> </w:t>
            </w:r>
          </w:p>
        </w:tc>
        <w:tc>
          <w:tcPr>
            <w:tcW w:w="3145" w:type="dxa"/>
            <w:tcBorders>
              <w:top w:val="single" w:sz="4" w:space="0" w:color="000000"/>
              <w:left w:val="single" w:sz="4" w:space="0" w:color="000000"/>
              <w:bottom w:val="single" w:sz="4" w:space="0" w:color="000000"/>
              <w:right w:val="single" w:sz="4" w:space="0" w:color="000000"/>
            </w:tcBorders>
            <w:vAlign w:val="bottom"/>
          </w:tcPr>
          <w:p w14:paraId="69BB6568" w14:textId="77777777" w:rsidR="00186DFC" w:rsidRPr="00F56D54" w:rsidRDefault="00186DFC" w:rsidP="00F56D54">
            <w:pPr>
              <w:keepNext/>
              <w:widowControl/>
              <w:spacing w:line="259" w:lineRule="auto"/>
              <w:rPr>
                <w:rFonts w:ascii="Times New Roman" w:hAnsi="Times New Roman"/>
                <w:color w:val="000000"/>
                <w:sz w:val="26"/>
                <w:szCs w:val="26"/>
              </w:rPr>
            </w:pPr>
            <w:r w:rsidRPr="00F56D54">
              <w:rPr>
                <w:rFonts w:ascii="Times New Roman" w:hAnsi="Times New Roman"/>
                <w:color w:val="000000"/>
                <w:sz w:val="26"/>
                <w:szCs w:val="26"/>
                <w:u w:val="single" w:color="000000"/>
              </w:rPr>
              <w:t>Type of Service</w:t>
            </w:r>
            <w:r w:rsidRPr="00F56D54">
              <w:rPr>
                <w:rFonts w:ascii="Times New Roman" w:hAnsi="Times New Roman"/>
                <w:color w:val="000000"/>
                <w:sz w:val="26"/>
                <w:szCs w:val="26"/>
              </w:rPr>
              <w:t xml:space="preserve"> </w:t>
            </w:r>
          </w:p>
        </w:tc>
        <w:tc>
          <w:tcPr>
            <w:tcW w:w="1109" w:type="dxa"/>
            <w:tcBorders>
              <w:top w:val="single" w:sz="4" w:space="0" w:color="000000"/>
              <w:left w:val="single" w:sz="4" w:space="0" w:color="000000"/>
              <w:bottom w:val="single" w:sz="4" w:space="0" w:color="000000"/>
              <w:right w:val="single" w:sz="4" w:space="0" w:color="000000"/>
            </w:tcBorders>
            <w:vAlign w:val="bottom"/>
          </w:tcPr>
          <w:p w14:paraId="552E463C" w14:textId="77777777" w:rsidR="00186DFC" w:rsidRPr="00F56D54" w:rsidRDefault="00186DFC" w:rsidP="00F56D54">
            <w:pPr>
              <w:keepNext/>
              <w:widowControl/>
              <w:spacing w:line="259" w:lineRule="auto"/>
              <w:rPr>
                <w:rFonts w:ascii="Times New Roman" w:hAnsi="Times New Roman"/>
                <w:color w:val="000000"/>
                <w:sz w:val="26"/>
                <w:szCs w:val="26"/>
              </w:rPr>
            </w:pPr>
            <w:r w:rsidRPr="00F56D54">
              <w:rPr>
                <w:rFonts w:ascii="Times New Roman" w:hAnsi="Times New Roman"/>
                <w:color w:val="000000"/>
                <w:sz w:val="26"/>
                <w:szCs w:val="26"/>
              </w:rPr>
              <w:t xml:space="preserve">Annual  </w:t>
            </w:r>
          </w:p>
          <w:p w14:paraId="6B494482" w14:textId="77777777" w:rsidR="00186DFC" w:rsidRPr="00F56D54" w:rsidRDefault="00186DFC" w:rsidP="00F56D54">
            <w:pPr>
              <w:keepNext/>
              <w:widowControl/>
              <w:spacing w:line="259" w:lineRule="auto"/>
              <w:rPr>
                <w:rFonts w:ascii="Times New Roman" w:hAnsi="Times New Roman"/>
                <w:color w:val="000000"/>
                <w:sz w:val="26"/>
                <w:szCs w:val="26"/>
              </w:rPr>
            </w:pPr>
            <w:r w:rsidRPr="00F56D54">
              <w:rPr>
                <w:rFonts w:ascii="Times New Roman" w:hAnsi="Times New Roman"/>
                <w:color w:val="000000"/>
                <w:sz w:val="26"/>
                <w:szCs w:val="26"/>
                <w:u w:val="single" w:color="000000"/>
              </w:rPr>
              <w:t>Bills</w:t>
            </w:r>
            <w:r w:rsidRPr="00F56D54">
              <w:rPr>
                <w:rFonts w:ascii="Times New Roman" w:hAnsi="Times New Roman"/>
                <w:color w:val="000000"/>
                <w:sz w:val="26"/>
                <w:szCs w:val="26"/>
              </w:rPr>
              <w:t xml:space="preserve"> </w:t>
            </w:r>
          </w:p>
        </w:tc>
        <w:tc>
          <w:tcPr>
            <w:tcW w:w="1296" w:type="dxa"/>
            <w:tcBorders>
              <w:top w:val="single" w:sz="4" w:space="0" w:color="000000"/>
              <w:left w:val="single" w:sz="4" w:space="0" w:color="000000"/>
              <w:bottom w:val="single" w:sz="4" w:space="0" w:color="000000"/>
              <w:right w:val="single" w:sz="4" w:space="0" w:color="000000"/>
            </w:tcBorders>
            <w:vAlign w:val="bottom"/>
          </w:tcPr>
          <w:p w14:paraId="74D631D3" w14:textId="77777777" w:rsidR="00186DFC" w:rsidRPr="00F56D54" w:rsidRDefault="00186DFC" w:rsidP="00F56D54">
            <w:pPr>
              <w:keepNext/>
              <w:widowControl/>
              <w:spacing w:line="259" w:lineRule="auto"/>
              <w:rPr>
                <w:rFonts w:ascii="Times New Roman" w:hAnsi="Times New Roman"/>
                <w:color w:val="000000"/>
                <w:sz w:val="26"/>
                <w:szCs w:val="26"/>
              </w:rPr>
            </w:pPr>
            <w:r w:rsidRPr="00F56D54">
              <w:rPr>
                <w:rFonts w:ascii="Times New Roman" w:hAnsi="Times New Roman"/>
                <w:color w:val="000000"/>
                <w:sz w:val="26"/>
                <w:szCs w:val="26"/>
              </w:rPr>
              <w:t xml:space="preserve">Total  </w:t>
            </w:r>
          </w:p>
          <w:p w14:paraId="58425C91" w14:textId="77777777" w:rsidR="00186DFC" w:rsidRPr="00F56D54" w:rsidRDefault="00186DFC" w:rsidP="00F56D54">
            <w:pPr>
              <w:keepNext/>
              <w:widowControl/>
              <w:spacing w:line="259" w:lineRule="auto"/>
              <w:rPr>
                <w:rFonts w:ascii="Times New Roman" w:hAnsi="Times New Roman"/>
                <w:color w:val="000000"/>
                <w:sz w:val="26"/>
                <w:szCs w:val="26"/>
              </w:rPr>
            </w:pPr>
            <w:r w:rsidRPr="00F56D54">
              <w:rPr>
                <w:rFonts w:ascii="Times New Roman" w:hAnsi="Times New Roman"/>
                <w:color w:val="000000"/>
                <w:sz w:val="26"/>
                <w:szCs w:val="26"/>
              </w:rPr>
              <w:t>Sales</w:t>
            </w:r>
            <w:r w:rsidRPr="00F56D54">
              <w:rPr>
                <w:rFonts w:ascii="Times New Roman" w:hAnsi="Times New Roman"/>
                <w:color w:val="000000"/>
                <w:sz w:val="26"/>
                <w:szCs w:val="26"/>
                <w:u w:val="single" w:color="000000"/>
              </w:rPr>
              <w:t xml:space="preserve"> (kWh)</w:t>
            </w:r>
            <w:r w:rsidRPr="00F56D54">
              <w:rPr>
                <w:rFonts w:ascii="Times New Roman" w:hAnsi="Times New Roman"/>
                <w:color w:val="000000"/>
                <w:sz w:val="26"/>
                <w:szCs w:val="26"/>
              </w:rPr>
              <w:t xml:space="preserve"> </w:t>
            </w:r>
          </w:p>
        </w:tc>
        <w:tc>
          <w:tcPr>
            <w:tcW w:w="1176" w:type="dxa"/>
            <w:tcBorders>
              <w:top w:val="single" w:sz="4" w:space="0" w:color="000000"/>
              <w:left w:val="single" w:sz="4" w:space="0" w:color="000000"/>
              <w:bottom w:val="single" w:sz="4" w:space="0" w:color="000000"/>
              <w:right w:val="single" w:sz="4" w:space="0" w:color="000000"/>
            </w:tcBorders>
            <w:vAlign w:val="bottom"/>
          </w:tcPr>
          <w:p w14:paraId="04E61CB1" w14:textId="4259C12A" w:rsidR="00186DFC" w:rsidRPr="00F56D54" w:rsidRDefault="00186DFC" w:rsidP="00F56D54">
            <w:pPr>
              <w:keepNext/>
              <w:widowControl/>
              <w:spacing w:line="259" w:lineRule="auto"/>
              <w:rPr>
                <w:rFonts w:ascii="Times New Roman" w:hAnsi="Times New Roman"/>
                <w:color w:val="000000"/>
                <w:sz w:val="26"/>
                <w:szCs w:val="26"/>
              </w:rPr>
            </w:pPr>
            <w:r w:rsidRPr="00F56D54">
              <w:rPr>
                <w:rFonts w:ascii="Times New Roman" w:hAnsi="Times New Roman"/>
                <w:color w:val="000000"/>
                <w:sz w:val="26"/>
                <w:szCs w:val="26"/>
              </w:rPr>
              <w:t xml:space="preserve">Present </w:t>
            </w:r>
            <w:r w:rsidRPr="00F56D54">
              <w:rPr>
                <w:rFonts w:ascii="Times New Roman" w:hAnsi="Times New Roman"/>
                <w:color w:val="000000"/>
                <w:sz w:val="26"/>
                <w:szCs w:val="26"/>
                <w:u w:val="single" w:color="000000"/>
              </w:rPr>
              <w:t>Rates</w:t>
            </w:r>
            <w:r w:rsidRPr="00F56D54">
              <w:rPr>
                <w:rFonts w:ascii="Times New Roman" w:hAnsi="Times New Roman"/>
                <w:color w:val="000000"/>
                <w:sz w:val="26"/>
                <w:szCs w:val="26"/>
              </w:rPr>
              <w:t xml:space="preserve"> </w:t>
            </w:r>
          </w:p>
        </w:tc>
        <w:tc>
          <w:tcPr>
            <w:tcW w:w="1177" w:type="dxa"/>
            <w:tcBorders>
              <w:top w:val="single" w:sz="4" w:space="0" w:color="000000"/>
              <w:left w:val="single" w:sz="4" w:space="0" w:color="000000"/>
              <w:bottom w:val="single" w:sz="4" w:space="0" w:color="000000"/>
              <w:right w:val="single" w:sz="4" w:space="0" w:color="000000"/>
            </w:tcBorders>
            <w:vAlign w:val="bottom"/>
          </w:tcPr>
          <w:p w14:paraId="0AE76901" w14:textId="08545129" w:rsidR="00186DFC" w:rsidRPr="00F56D54" w:rsidRDefault="00186DFC" w:rsidP="00F56D54">
            <w:pPr>
              <w:keepNext/>
              <w:widowControl/>
              <w:spacing w:line="259" w:lineRule="auto"/>
              <w:rPr>
                <w:rFonts w:ascii="Times New Roman" w:hAnsi="Times New Roman"/>
                <w:color w:val="000000"/>
                <w:sz w:val="26"/>
                <w:szCs w:val="26"/>
              </w:rPr>
            </w:pPr>
            <w:r w:rsidRPr="00F56D54">
              <w:rPr>
                <w:rFonts w:ascii="Times New Roman" w:hAnsi="Times New Roman"/>
                <w:color w:val="000000"/>
                <w:sz w:val="26"/>
                <w:szCs w:val="26"/>
              </w:rPr>
              <w:t xml:space="preserve">Proposed </w:t>
            </w:r>
            <w:r w:rsidRPr="00F56D54">
              <w:rPr>
                <w:rFonts w:ascii="Times New Roman" w:hAnsi="Times New Roman"/>
                <w:color w:val="000000"/>
                <w:sz w:val="26"/>
                <w:szCs w:val="26"/>
                <w:u w:val="single" w:color="000000"/>
              </w:rPr>
              <w:t>Rates</w:t>
            </w:r>
            <w:r w:rsidRPr="00F56D54">
              <w:rPr>
                <w:rFonts w:ascii="Times New Roman" w:hAnsi="Times New Roman"/>
                <w:color w:val="000000"/>
                <w:sz w:val="26"/>
                <w:szCs w:val="26"/>
              </w:rPr>
              <w:t xml:space="preserve"> </w:t>
            </w:r>
          </w:p>
        </w:tc>
        <w:tc>
          <w:tcPr>
            <w:tcW w:w="1176" w:type="dxa"/>
            <w:tcBorders>
              <w:top w:val="single" w:sz="4" w:space="0" w:color="000000"/>
              <w:left w:val="single" w:sz="4" w:space="0" w:color="000000"/>
              <w:bottom w:val="single" w:sz="4" w:space="0" w:color="000000"/>
              <w:right w:val="single" w:sz="4" w:space="0" w:color="000000"/>
            </w:tcBorders>
            <w:vAlign w:val="bottom"/>
          </w:tcPr>
          <w:p w14:paraId="6AB3EF67" w14:textId="77777777" w:rsidR="00186DFC" w:rsidRPr="00F56D54" w:rsidRDefault="00186DFC" w:rsidP="00F56D54">
            <w:pPr>
              <w:keepNext/>
              <w:widowControl/>
              <w:spacing w:line="259" w:lineRule="auto"/>
              <w:rPr>
                <w:rFonts w:ascii="Times New Roman" w:hAnsi="Times New Roman"/>
                <w:color w:val="000000"/>
                <w:sz w:val="26"/>
                <w:szCs w:val="26"/>
              </w:rPr>
            </w:pPr>
            <w:r w:rsidRPr="00F56D54">
              <w:rPr>
                <w:rFonts w:ascii="Times New Roman" w:hAnsi="Times New Roman"/>
                <w:color w:val="000000"/>
                <w:sz w:val="26"/>
                <w:szCs w:val="26"/>
              </w:rPr>
              <w:t xml:space="preserve">Rev  </w:t>
            </w:r>
          </w:p>
          <w:p w14:paraId="13F42A6C" w14:textId="77777777" w:rsidR="00186DFC" w:rsidRPr="00F56D54" w:rsidRDefault="00186DFC" w:rsidP="00F56D54">
            <w:pPr>
              <w:keepNext/>
              <w:widowControl/>
              <w:spacing w:line="259" w:lineRule="auto"/>
              <w:rPr>
                <w:rFonts w:ascii="Times New Roman" w:hAnsi="Times New Roman"/>
                <w:color w:val="000000"/>
                <w:sz w:val="26"/>
                <w:szCs w:val="26"/>
              </w:rPr>
            </w:pPr>
            <w:r w:rsidRPr="00F56D54">
              <w:rPr>
                <w:rFonts w:ascii="Times New Roman" w:hAnsi="Times New Roman"/>
                <w:color w:val="000000"/>
                <w:sz w:val="26"/>
                <w:szCs w:val="26"/>
                <w:u w:val="single" w:color="000000"/>
              </w:rPr>
              <w:t>Change</w:t>
            </w:r>
            <w:r w:rsidRPr="00F56D54">
              <w:rPr>
                <w:rFonts w:ascii="Times New Roman" w:hAnsi="Times New Roman"/>
                <w:color w:val="000000"/>
                <w:sz w:val="26"/>
                <w:szCs w:val="26"/>
              </w:rPr>
              <w:t xml:space="preserve">  </w:t>
            </w:r>
          </w:p>
        </w:tc>
        <w:tc>
          <w:tcPr>
            <w:tcW w:w="828" w:type="dxa"/>
            <w:tcBorders>
              <w:top w:val="single" w:sz="4" w:space="0" w:color="000000"/>
              <w:left w:val="single" w:sz="4" w:space="0" w:color="000000"/>
              <w:bottom w:val="single" w:sz="4" w:space="0" w:color="000000"/>
              <w:right w:val="single" w:sz="4" w:space="0" w:color="000000"/>
            </w:tcBorders>
            <w:vAlign w:val="bottom"/>
          </w:tcPr>
          <w:p w14:paraId="190C2935" w14:textId="77777777" w:rsidR="00186DFC" w:rsidRPr="00F56D54" w:rsidRDefault="00186DFC" w:rsidP="00F56D54">
            <w:pPr>
              <w:keepNext/>
              <w:widowControl/>
              <w:spacing w:line="259" w:lineRule="auto"/>
              <w:rPr>
                <w:rFonts w:ascii="Times New Roman" w:hAnsi="Times New Roman"/>
                <w:color w:val="000000"/>
                <w:sz w:val="26"/>
                <w:szCs w:val="26"/>
              </w:rPr>
            </w:pPr>
            <w:r w:rsidRPr="00F56D54">
              <w:rPr>
                <w:rFonts w:ascii="Times New Roman" w:hAnsi="Times New Roman"/>
                <w:color w:val="000000"/>
                <w:sz w:val="26"/>
                <w:szCs w:val="26"/>
              </w:rPr>
              <w:t xml:space="preserve">Percent  </w:t>
            </w:r>
          </w:p>
          <w:p w14:paraId="0295A409" w14:textId="77777777" w:rsidR="00186DFC" w:rsidRPr="00F56D54" w:rsidRDefault="00186DFC" w:rsidP="00F56D54">
            <w:pPr>
              <w:keepNext/>
              <w:widowControl/>
              <w:spacing w:line="259" w:lineRule="auto"/>
              <w:rPr>
                <w:rFonts w:ascii="Times New Roman" w:hAnsi="Times New Roman"/>
                <w:color w:val="000000"/>
                <w:sz w:val="26"/>
                <w:szCs w:val="26"/>
              </w:rPr>
            </w:pPr>
            <w:r w:rsidRPr="00F56D54">
              <w:rPr>
                <w:rFonts w:ascii="Times New Roman" w:hAnsi="Times New Roman"/>
                <w:color w:val="000000"/>
                <w:sz w:val="26"/>
                <w:szCs w:val="26"/>
                <w:u w:val="single" w:color="000000"/>
              </w:rPr>
              <w:t>Change</w:t>
            </w:r>
            <w:r w:rsidRPr="00F56D54">
              <w:rPr>
                <w:rFonts w:ascii="Times New Roman" w:hAnsi="Times New Roman"/>
                <w:color w:val="000000"/>
                <w:sz w:val="26"/>
                <w:szCs w:val="26"/>
              </w:rPr>
              <w:t xml:space="preserve"> </w:t>
            </w:r>
          </w:p>
        </w:tc>
      </w:tr>
      <w:tr w:rsidR="00186DFC" w:rsidRPr="00F56D54" w14:paraId="14F0B216" w14:textId="77777777" w:rsidTr="001C5320">
        <w:trPr>
          <w:trHeight w:val="322"/>
        </w:trPr>
        <w:tc>
          <w:tcPr>
            <w:tcW w:w="816" w:type="dxa"/>
            <w:tcBorders>
              <w:top w:val="single" w:sz="4" w:space="0" w:color="000000"/>
              <w:left w:val="single" w:sz="4" w:space="0" w:color="000000"/>
              <w:bottom w:val="single" w:sz="4" w:space="0" w:color="000000"/>
              <w:right w:val="single" w:sz="4" w:space="0" w:color="000000"/>
            </w:tcBorders>
          </w:tcPr>
          <w:p w14:paraId="5FFCEF52" w14:textId="77777777" w:rsidR="00186DFC" w:rsidRPr="00F56D54" w:rsidRDefault="00186DFC" w:rsidP="00F56D54">
            <w:pPr>
              <w:keepNext/>
              <w:widowControl/>
              <w:spacing w:line="259" w:lineRule="auto"/>
              <w:ind w:right="89"/>
              <w:jc w:val="right"/>
              <w:rPr>
                <w:rFonts w:ascii="Times New Roman" w:hAnsi="Times New Roman"/>
                <w:color w:val="000000"/>
                <w:sz w:val="26"/>
                <w:szCs w:val="26"/>
              </w:rPr>
            </w:pPr>
            <w:r w:rsidRPr="00F56D54">
              <w:rPr>
                <w:rFonts w:ascii="Times New Roman" w:hAnsi="Times New Roman"/>
                <w:color w:val="000000"/>
                <w:sz w:val="26"/>
                <w:szCs w:val="26"/>
              </w:rPr>
              <w:t xml:space="preserve">1 </w:t>
            </w:r>
          </w:p>
        </w:tc>
        <w:tc>
          <w:tcPr>
            <w:tcW w:w="3145" w:type="dxa"/>
            <w:tcBorders>
              <w:top w:val="single" w:sz="4" w:space="0" w:color="000000"/>
              <w:left w:val="single" w:sz="4" w:space="0" w:color="000000"/>
              <w:bottom w:val="single" w:sz="4" w:space="0" w:color="000000"/>
              <w:right w:val="single" w:sz="4" w:space="0" w:color="000000"/>
            </w:tcBorders>
          </w:tcPr>
          <w:p w14:paraId="0576126E" w14:textId="77777777" w:rsidR="00186DFC" w:rsidRPr="00F56D54" w:rsidRDefault="00186DFC" w:rsidP="00F56D54">
            <w:pPr>
              <w:keepNext/>
              <w:widowControl/>
              <w:spacing w:line="259" w:lineRule="auto"/>
              <w:rPr>
                <w:rFonts w:ascii="Times New Roman" w:hAnsi="Times New Roman"/>
                <w:color w:val="000000"/>
                <w:sz w:val="26"/>
                <w:szCs w:val="26"/>
              </w:rPr>
            </w:pPr>
            <w:r w:rsidRPr="00F56D54">
              <w:rPr>
                <w:rFonts w:ascii="Times New Roman" w:hAnsi="Times New Roman"/>
                <w:color w:val="000000"/>
                <w:sz w:val="26"/>
                <w:szCs w:val="26"/>
              </w:rPr>
              <w:t xml:space="preserve">Residential Service </w:t>
            </w:r>
          </w:p>
        </w:tc>
        <w:tc>
          <w:tcPr>
            <w:tcW w:w="1109" w:type="dxa"/>
            <w:tcBorders>
              <w:top w:val="single" w:sz="4" w:space="0" w:color="000000"/>
              <w:left w:val="single" w:sz="4" w:space="0" w:color="000000"/>
              <w:bottom w:val="single" w:sz="4" w:space="0" w:color="000000"/>
              <w:right w:val="single" w:sz="4" w:space="0" w:color="000000"/>
            </w:tcBorders>
          </w:tcPr>
          <w:p w14:paraId="1DADC02F" w14:textId="77777777" w:rsidR="00186DFC" w:rsidRPr="00F56D54" w:rsidRDefault="00186DFC" w:rsidP="00F56D54">
            <w:pPr>
              <w:keepNext/>
              <w:widowControl/>
              <w:spacing w:line="259" w:lineRule="auto"/>
              <w:ind w:right="88"/>
              <w:jc w:val="right"/>
              <w:rPr>
                <w:rFonts w:ascii="Times New Roman" w:hAnsi="Times New Roman"/>
                <w:color w:val="000000"/>
                <w:sz w:val="26"/>
                <w:szCs w:val="26"/>
              </w:rPr>
            </w:pPr>
            <w:r w:rsidRPr="00F56D54">
              <w:rPr>
                <w:rFonts w:ascii="Times New Roman" w:hAnsi="Times New Roman"/>
                <w:color w:val="000000"/>
                <w:sz w:val="26"/>
                <w:szCs w:val="26"/>
              </w:rPr>
              <w:t xml:space="preserve">45,756 </w:t>
            </w:r>
          </w:p>
        </w:tc>
        <w:tc>
          <w:tcPr>
            <w:tcW w:w="1296" w:type="dxa"/>
            <w:tcBorders>
              <w:top w:val="single" w:sz="4" w:space="0" w:color="000000"/>
              <w:left w:val="single" w:sz="4" w:space="0" w:color="000000"/>
              <w:bottom w:val="single" w:sz="4" w:space="0" w:color="000000"/>
              <w:right w:val="single" w:sz="4" w:space="0" w:color="000000"/>
            </w:tcBorders>
          </w:tcPr>
          <w:p w14:paraId="2DB283B9" w14:textId="77777777" w:rsidR="00186DFC" w:rsidRPr="00F56D54" w:rsidRDefault="00186DFC" w:rsidP="00F56D54">
            <w:pPr>
              <w:keepNext/>
              <w:widowControl/>
              <w:spacing w:line="259" w:lineRule="auto"/>
              <w:ind w:right="89"/>
              <w:jc w:val="right"/>
              <w:rPr>
                <w:rFonts w:ascii="Times New Roman" w:hAnsi="Times New Roman"/>
                <w:color w:val="000000"/>
                <w:sz w:val="26"/>
                <w:szCs w:val="26"/>
              </w:rPr>
            </w:pPr>
            <w:r w:rsidRPr="00F56D54">
              <w:rPr>
                <w:rFonts w:ascii="Times New Roman" w:hAnsi="Times New Roman"/>
                <w:color w:val="000000"/>
                <w:sz w:val="26"/>
                <w:szCs w:val="26"/>
              </w:rPr>
              <w:t xml:space="preserve">30,847,400 </w:t>
            </w:r>
          </w:p>
        </w:tc>
        <w:tc>
          <w:tcPr>
            <w:tcW w:w="1176" w:type="dxa"/>
            <w:tcBorders>
              <w:top w:val="single" w:sz="4" w:space="0" w:color="000000"/>
              <w:left w:val="single" w:sz="4" w:space="0" w:color="000000"/>
              <w:bottom w:val="single" w:sz="4" w:space="0" w:color="000000"/>
              <w:right w:val="single" w:sz="4" w:space="0" w:color="000000"/>
            </w:tcBorders>
          </w:tcPr>
          <w:p w14:paraId="34740FF9" w14:textId="77777777" w:rsidR="00186DFC" w:rsidRPr="00F56D54" w:rsidRDefault="00186DFC" w:rsidP="00F56D54">
            <w:pPr>
              <w:keepNext/>
              <w:widowControl/>
              <w:spacing w:line="259" w:lineRule="auto"/>
              <w:ind w:right="88"/>
              <w:jc w:val="right"/>
              <w:rPr>
                <w:rFonts w:ascii="Times New Roman" w:hAnsi="Times New Roman"/>
                <w:color w:val="000000"/>
                <w:sz w:val="26"/>
                <w:szCs w:val="26"/>
              </w:rPr>
            </w:pPr>
            <w:r w:rsidRPr="00F56D54">
              <w:rPr>
                <w:rFonts w:ascii="Times New Roman" w:hAnsi="Times New Roman"/>
                <w:color w:val="000000"/>
                <w:sz w:val="26"/>
                <w:szCs w:val="26"/>
              </w:rPr>
              <w:t xml:space="preserve">2,682,831 </w:t>
            </w:r>
          </w:p>
        </w:tc>
        <w:tc>
          <w:tcPr>
            <w:tcW w:w="1177" w:type="dxa"/>
            <w:tcBorders>
              <w:top w:val="single" w:sz="4" w:space="0" w:color="000000"/>
              <w:left w:val="single" w:sz="4" w:space="0" w:color="000000"/>
              <w:bottom w:val="single" w:sz="4" w:space="0" w:color="000000"/>
              <w:right w:val="single" w:sz="4" w:space="0" w:color="000000"/>
            </w:tcBorders>
          </w:tcPr>
          <w:p w14:paraId="63958D09" w14:textId="77777777" w:rsidR="00186DFC" w:rsidRPr="00F56D54" w:rsidRDefault="00186DFC" w:rsidP="00F56D54">
            <w:pPr>
              <w:keepNext/>
              <w:widowControl/>
              <w:spacing w:line="259" w:lineRule="auto"/>
              <w:ind w:right="89"/>
              <w:jc w:val="right"/>
              <w:rPr>
                <w:rFonts w:ascii="Times New Roman" w:hAnsi="Times New Roman"/>
                <w:color w:val="000000"/>
                <w:sz w:val="26"/>
                <w:szCs w:val="26"/>
              </w:rPr>
            </w:pPr>
            <w:r w:rsidRPr="00F56D54">
              <w:rPr>
                <w:rFonts w:ascii="Times New Roman" w:hAnsi="Times New Roman"/>
                <w:color w:val="000000"/>
                <w:sz w:val="26"/>
                <w:szCs w:val="26"/>
              </w:rPr>
              <w:t xml:space="preserve">3,263,225 </w:t>
            </w:r>
          </w:p>
        </w:tc>
        <w:tc>
          <w:tcPr>
            <w:tcW w:w="1176" w:type="dxa"/>
            <w:tcBorders>
              <w:top w:val="single" w:sz="4" w:space="0" w:color="000000"/>
              <w:left w:val="single" w:sz="4" w:space="0" w:color="000000"/>
              <w:bottom w:val="single" w:sz="4" w:space="0" w:color="000000"/>
              <w:right w:val="single" w:sz="4" w:space="0" w:color="000000"/>
            </w:tcBorders>
          </w:tcPr>
          <w:p w14:paraId="7B507A57" w14:textId="77777777" w:rsidR="00186DFC" w:rsidRPr="00F56D54" w:rsidRDefault="00186DFC" w:rsidP="00F56D54">
            <w:pPr>
              <w:keepNext/>
              <w:widowControl/>
              <w:spacing w:line="259" w:lineRule="auto"/>
              <w:ind w:right="88"/>
              <w:jc w:val="right"/>
              <w:rPr>
                <w:rFonts w:ascii="Times New Roman" w:hAnsi="Times New Roman"/>
                <w:color w:val="000000"/>
                <w:sz w:val="26"/>
                <w:szCs w:val="26"/>
              </w:rPr>
            </w:pPr>
            <w:r w:rsidRPr="00F56D54">
              <w:rPr>
                <w:rFonts w:ascii="Times New Roman" w:hAnsi="Times New Roman"/>
                <w:color w:val="000000"/>
                <w:sz w:val="26"/>
                <w:szCs w:val="26"/>
              </w:rPr>
              <w:t xml:space="preserve">580,394 </w:t>
            </w:r>
          </w:p>
        </w:tc>
        <w:tc>
          <w:tcPr>
            <w:tcW w:w="828" w:type="dxa"/>
            <w:tcBorders>
              <w:top w:val="single" w:sz="4" w:space="0" w:color="000000"/>
              <w:left w:val="single" w:sz="4" w:space="0" w:color="000000"/>
              <w:bottom w:val="single" w:sz="4" w:space="0" w:color="000000"/>
              <w:right w:val="single" w:sz="4" w:space="0" w:color="000000"/>
            </w:tcBorders>
          </w:tcPr>
          <w:p w14:paraId="59726745" w14:textId="77777777" w:rsidR="00186DFC" w:rsidRPr="00F56D54" w:rsidRDefault="00186DFC" w:rsidP="00F56D54">
            <w:pPr>
              <w:keepNext/>
              <w:widowControl/>
              <w:spacing w:line="259" w:lineRule="auto"/>
              <w:ind w:right="86"/>
              <w:jc w:val="right"/>
              <w:rPr>
                <w:rFonts w:ascii="Times New Roman" w:hAnsi="Times New Roman"/>
                <w:color w:val="000000"/>
                <w:sz w:val="26"/>
                <w:szCs w:val="26"/>
              </w:rPr>
            </w:pPr>
            <w:r w:rsidRPr="00F56D54">
              <w:rPr>
                <w:rFonts w:ascii="Times New Roman" w:hAnsi="Times New Roman"/>
                <w:color w:val="000000"/>
                <w:sz w:val="26"/>
                <w:szCs w:val="26"/>
              </w:rPr>
              <w:t xml:space="preserve">21.6% </w:t>
            </w:r>
          </w:p>
        </w:tc>
      </w:tr>
      <w:tr w:rsidR="00186DFC" w:rsidRPr="00F56D54" w14:paraId="6617AC23" w14:textId="77777777" w:rsidTr="001C5320">
        <w:trPr>
          <w:trHeight w:val="478"/>
        </w:trPr>
        <w:tc>
          <w:tcPr>
            <w:tcW w:w="816" w:type="dxa"/>
            <w:tcBorders>
              <w:top w:val="single" w:sz="4" w:space="0" w:color="000000"/>
              <w:left w:val="single" w:sz="4" w:space="0" w:color="000000"/>
              <w:bottom w:val="single" w:sz="4" w:space="0" w:color="000000"/>
              <w:right w:val="single" w:sz="4" w:space="0" w:color="000000"/>
            </w:tcBorders>
            <w:vAlign w:val="bottom"/>
          </w:tcPr>
          <w:p w14:paraId="70ECBEAC" w14:textId="77777777" w:rsidR="00186DFC" w:rsidRPr="00F56D54" w:rsidRDefault="00186DFC" w:rsidP="00F56D54">
            <w:pPr>
              <w:keepNext/>
              <w:widowControl/>
              <w:spacing w:line="259" w:lineRule="auto"/>
              <w:ind w:right="89"/>
              <w:jc w:val="right"/>
              <w:rPr>
                <w:rFonts w:ascii="Times New Roman" w:hAnsi="Times New Roman"/>
                <w:color w:val="000000"/>
                <w:sz w:val="26"/>
                <w:szCs w:val="26"/>
              </w:rPr>
            </w:pPr>
            <w:r w:rsidRPr="00F56D54">
              <w:rPr>
                <w:rFonts w:ascii="Times New Roman" w:hAnsi="Times New Roman"/>
                <w:color w:val="000000"/>
                <w:sz w:val="26"/>
                <w:szCs w:val="26"/>
              </w:rPr>
              <w:t xml:space="preserve">2 </w:t>
            </w:r>
          </w:p>
        </w:tc>
        <w:tc>
          <w:tcPr>
            <w:tcW w:w="3145" w:type="dxa"/>
            <w:tcBorders>
              <w:top w:val="single" w:sz="4" w:space="0" w:color="000000"/>
              <w:left w:val="single" w:sz="4" w:space="0" w:color="000000"/>
              <w:bottom w:val="single" w:sz="4" w:space="0" w:color="000000"/>
              <w:right w:val="single" w:sz="4" w:space="0" w:color="000000"/>
            </w:tcBorders>
          </w:tcPr>
          <w:p w14:paraId="455BADAB" w14:textId="77777777" w:rsidR="00186DFC" w:rsidRPr="00F56D54" w:rsidRDefault="00186DFC" w:rsidP="00F56D54">
            <w:pPr>
              <w:keepNext/>
              <w:widowControl/>
              <w:spacing w:line="259" w:lineRule="auto"/>
              <w:rPr>
                <w:rFonts w:ascii="Times New Roman" w:hAnsi="Times New Roman"/>
                <w:color w:val="000000"/>
                <w:sz w:val="26"/>
                <w:szCs w:val="26"/>
              </w:rPr>
            </w:pPr>
            <w:r w:rsidRPr="00F56D54">
              <w:rPr>
                <w:rFonts w:ascii="Times New Roman" w:hAnsi="Times New Roman"/>
                <w:color w:val="000000"/>
                <w:sz w:val="26"/>
                <w:szCs w:val="26"/>
              </w:rPr>
              <w:t xml:space="preserve">General Secondary -  </w:t>
            </w:r>
          </w:p>
          <w:p w14:paraId="69224339" w14:textId="77777777" w:rsidR="00186DFC" w:rsidRPr="00F56D54" w:rsidRDefault="00186DFC" w:rsidP="00F56D54">
            <w:pPr>
              <w:keepNext/>
              <w:widowControl/>
              <w:spacing w:line="259" w:lineRule="auto"/>
              <w:rPr>
                <w:rFonts w:ascii="Times New Roman" w:hAnsi="Times New Roman"/>
                <w:color w:val="000000"/>
                <w:sz w:val="26"/>
                <w:szCs w:val="26"/>
              </w:rPr>
            </w:pPr>
            <w:r w:rsidRPr="00F56D54">
              <w:rPr>
                <w:rFonts w:ascii="Times New Roman" w:hAnsi="Times New Roman"/>
                <w:color w:val="000000"/>
                <w:sz w:val="26"/>
                <w:szCs w:val="26"/>
              </w:rPr>
              <w:t xml:space="preserve">Demand </w:t>
            </w:r>
          </w:p>
        </w:tc>
        <w:tc>
          <w:tcPr>
            <w:tcW w:w="1109" w:type="dxa"/>
            <w:tcBorders>
              <w:top w:val="single" w:sz="4" w:space="0" w:color="000000"/>
              <w:left w:val="single" w:sz="4" w:space="0" w:color="000000"/>
              <w:bottom w:val="single" w:sz="4" w:space="0" w:color="000000"/>
              <w:right w:val="single" w:sz="4" w:space="0" w:color="000000"/>
            </w:tcBorders>
            <w:vAlign w:val="bottom"/>
          </w:tcPr>
          <w:p w14:paraId="6279D432" w14:textId="77777777" w:rsidR="00186DFC" w:rsidRPr="00F56D54" w:rsidRDefault="00186DFC" w:rsidP="00F56D54">
            <w:pPr>
              <w:keepNext/>
              <w:widowControl/>
              <w:spacing w:line="259" w:lineRule="auto"/>
              <w:ind w:right="88"/>
              <w:jc w:val="right"/>
              <w:rPr>
                <w:rFonts w:ascii="Times New Roman" w:hAnsi="Times New Roman"/>
                <w:color w:val="000000"/>
                <w:sz w:val="26"/>
                <w:szCs w:val="26"/>
              </w:rPr>
            </w:pPr>
            <w:r w:rsidRPr="00F56D54">
              <w:rPr>
                <w:rFonts w:ascii="Times New Roman" w:hAnsi="Times New Roman"/>
                <w:color w:val="000000"/>
                <w:sz w:val="26"/>
                <w:szCs w:val="26"/>
              </w:rPr>
              <w:t xml:space="preserve">9,215 </w:t>
            </w:r>
          </w:p>
        </w:tc>
        <w:tc>
          <w:tcPr>
            <w:tcW w:w="1296" w:type="dxa"/>
            <w:tcBorders>
              <w:top w:val="single" w:sz="4" w:space="0" w:color="000000"/>
              <w:left w:val="single" w:sz="4" w:space="0" w:color="000000"/>
              <w:bottom w:val="single" w:sz="4" w:space="0" w:color="000000"/>
              <w:right w:val="single" w:sz="4" w:space="0" w:color="000000"/>
            </w:tcBorders>
            <w:vAlign w:val="bottom"/>
          </w:tcPr>
          <w:p w14:paraId="76CE70FB" w14:textId="77777777" w:rsidR="00186DFC" w:rsidRPr="00F56D54" w:rsidRDefault="00186DFC" w:rsidP="00F56D54">
            <w:pPr>
              <w:keepNext/>
              <w:widowControl/>
              <w:spacing w:line="259" w:lineRule="auto"/>
              <w:ind w:right="89"/>
              <w:jc w:val="right"/>
              <w:rPr>
                <w:rFonts w:ascii="Times New Roman" w:hAnsi="Times New Roman"/>
                <w:color w:val="000000"/>
                <w:sz w:val="26"/>
                <w:szCs w:val="26"/>
              </w:rPr>
            </w:pPr>
            <w:r w:rsidRPr="00F56D54">
              <w:rPr>
                <w:rFonts w:ascii="Times New Roman" w:hAnsi="Times New Roman"/>
                <w:color w:val="000000"/>
                <w:sz w:val="26"/>
                <w:szCs w:val="26"/>
              </w:rPr>
              <w:t xml:space="preserve">30,487,565 </w:t>
            </w:r>
          </w:p>
        </w:tc>
        <w:tc>
          <w:tcPr>
            <w:tcW w:w="1176" w:type="dxa"/>
            <w:tcBorders>
              <w:top w:val="single" w:sz="4" w:space="0" w:color="000000"/>
              <w:left w:val="single" w:sz="4" w:space="0" w:color="000000"/>
              <w:bottom w:val="single" w:sz="4" w:space="0" w:color="000000"/>
              <w:right w:val="single" w:sz="4" w:space="0" w:color="000000"/>
            </w:tcBorders>
            <w:vAlign w:val="bottom"/>
          </w:tcPr>
          <w:p w14:paraId="68D13FD2" w14:textId="77777777" w:rsidR="00186DFC" w:rsidRPr="00F56D54" w:rsidRDefault="00186DFC" w:rsidP="00F56D54">
            <w:pPr>
              <w:keepNext/>
              <w:widowControl/>
              <w:spacing w:line="259" w:lineRule="auto"/>
              <w:ind w:right="88"/>
              <w:jc w:val="right"/>
              <w:rPr>
                <w:rFonts w:ascii="Times New Roman" w:hAnsi="Times New Roman"/>
                <w:color w:val="000000"/>
                <w:sz w:val="26"/>
                <w:szCs w:val="26"/>
              </w:rPr>
            </w:pPr>
            <w:r w:rsidRPr="00F56D54">
              <w:rPr>
                <w:rFonts w:ascii="Times New Roman" w:hAnsi="Times New Roman"/>
                <w:color w:val="000000"/>
                <w:sz w:val="26"/>
                <w:szCs w:val="26"/>
              </w:rPr>
              <w:t xml:space="preserve">1,988,600 </w:t>
            </w:r>
          </w:p>
        </w:tc>
        <w:tc>
          <w:tcPr>
            <w:tcW w:w="1177" w:type="dxa"/>
            <w:tcBorders>
              <w:top w:val="single" w:sz="4" w:space="0" w:color="000000"/>
              <w:left w:val="single" w:sz="4" w:space="0" w:color="000000"/>
              <w:bottom w:val="single" w:sz="4" w:space="0" w:color="000000"/>
              <w:right w:val="single" w:sz="4" w:space="0" w:color="000000"/>
            </w:tcBorders>
            <w:vAlign w:val="bottom"/>
          </w:tcPr>
          <w:p w14:paraId="3E8A5832" w14:textId="77777777" w:rsidR="00186DFC" w:rsidRPr="00F56D54" w:rsidRDefault="00186DFC" w:rsidP="00F56D54">
            <w:pPr>
              <w:keepNext/>
              <w:widowControl/>
              <w:spacing w:line="259" w:lineRule="auto"/>
              <w:ind w:right="89"/>
              <w:jc w:val="right"/>
              <w:rPr>
                <w:rFonts w:ascii="Times New Roman" w:hAnsi="Times New Roman"/>
                <w:color w:val="000000"/>
                <w:sz w:val="26"/>
                <w:szCs w:val="26"/>
              </w:rPr>
            </w:pPr>
            <w:r w:rsidRPr="00F56D54">
              <w:rPr>
                <w:rFonts w:ascii="Times New Roman" w:hAnsi="Times New Roman"/>
                <w:color w:val="000000"/>
                <w:sz w:val="26"/>
                <w:szCs w:val="26"/>
              </w:rPr>
              <w:t xml:space="preserve">2,670,784 </w:t>
            </w:r>
          </w:p>
        </w:tc>
        <w:tc>
          <w:tcPr>
            <w:tcW w:w="1176" w:type="dxa"/>
            <w:tcBorders>
              <w:top w:val="single" w:sz="4" w:space="0" w:color="000000"/>
              <w:left w:val="single" w:sz="4" w:space="0" w:color="000000"/>
              <w:bottom w:val="single" w:sz="4" w:space="0" w:color="000000"/>
              <w:right w:val="single" w:sz="4" w:space="0" w:color="000000"/>
            </w:tcBorders>
            <w:vAlign w:val="bottom"/>
          </w:tcPr>
          <w:p w14:paraId="5C664822" w14:textId="77777777" w:rsidR="00186DFC" w:rsidRPr="00F56D54" w:rsidRDefault="00186DFC" w:rsidP="00F56D54">
            <w:pPr>
              <w:keepNext/>
              <w:widowControl/>
              <w:spacing w:line="259" w:lineRule="auto"/>
              <w:ind w:right="88"/>
              <w:jc w:val="right"/>
              <w:rPr>
                <w:rFonts w:ascii="Times New Roman" w:hAnsi="Times New Roman"/>
                <w:color w:val="000000"/>
                <w:sz w:val="26"/>
                <w:szCs w:val="26"/>
              </w:rPr>
            </w:pPr>
            <w:r w:rsidRPr="00F56D54">
              <w:rPr>
                <w:rFonts w:ascii="Times New Roman" w:hAnsi="Times New Roman"/>
                <w:color w:val="000000"/>
                <w:sz w:val="26"/>
                <w:szCs w:val="26"/>
              </w:rPr>
              <w:t xml:space="preserve">682,184 </w:t>
            </w:r>
          </w:p>
        </w:tc>
        <w:tc>
          <w:tcPr>
            <w:tcW w:w="828" w:type="dxa"/>
            <w:tcBorders>
              <w:top w:val="single" w:sz="4" w:space="0" w:color="000000"/>
              <w:left w:val="single" w:sz="4" w:space="0" w:color="000000"/>
              <w:bottom w:val="single" w:sz="4" w:space="0" w:color="000000"/>
              <w:right w:val="single" w:sz="4" w:space="0" w:color="000000"/>
            </w:tcBorders>
            <w:vAlign w:val="bottom"/>
          </w:tcPr>
          <w:p w14:paraId="5AEA359D" w14:textId="77777777" w:rsidR="00186DFC" w:rsidRPr="00F56D54" w:rsidRDefault="00186DFC" w:rsidP="00F56D54">
            <w:pPr>
              <w:keepNext/>
              <w:widowControl/>
              <w:spacing w:line="259" w:lineRule="auto"/>
              <w:ind w:right="86"/>
              <w:jc w:val="right"/>
              <w:rPr>
                <w:rFonts w:ascii="Times New Roman" w:hAnsi="Times New Roman"/>
                <w:color w:val="000000"/>
                <w:sz w:val="26"/>
                <w:szCs w:val="26"/>
              </w:rPr>
            </w:pPr>
            <w:r w:rsidRPr="00F56D54">
              <w:rPr>
                <w:rFonts w:ascii="Times New Roman" w:hAnsi="Times New Roman"/>
                <w:color w:val="000000"/>
                <w:sz w:val="26"/>
                <w:szCs w:val="26"/>
              </w:rPr>
              <w:t xml:space="preserve">34.3% </w:t>
            </w:r>
          </w:p>
        </w:tc>
      </w:tr>
      <w:tr w:rsidR="00186DFC" w:rsidRPr="00F56D54" w14:paraId="6276FFEC" w14:textId="77777777" w:rsidTr="001C5320">
        <w:trPr>
          <w:trHeight w:val="470"/>
        </w:trPr>
        <w:tc>
          <w:tcPr>
            <w:tcW w:w="816" w:type="dxa"/>
            <w:tcBorders>
              <w:top w:val="single" w:sz="4" w:space="0" w:color="000000"/>
              <w:left w:val="single" w:sz="4" w:space="0" w:color="000000"/>
              <w:bottom w:val="single" w:sz="4" w:space="0" w:color="000000"/>
              <w:right w:val="single" w:sz="4" w:space="0" w:color="000000"/>
            </w:tcBorders>
            <w:vAlign w:val="bottom"/>
          </w:tcPr>
          <w:p w14:paraId="3533AE55" w14:textId="77777777" w:rsidR="00186DFC" w:rsidRPr="00F56D54" w:rsidRDefault="00186DFC" w:rsidP="00F56D54">
            <w:pPr>
              <w:keepNext/>
              <w:widowControl/>
              <w:spacing w:line="259" w:lineRule="auto"/>
              <w:ind w:right="89"/>
              <w:jc w:val="right"/>
              <w:rPr>
                <w:rFonts w:ascii="Times New Roman" w:hAnsi="Times New Roman"/>
                <w:color w:val="000000"/>
                <w:sz w:val="26"/>
                <w:szCs w:val="26"/>
              </w:rPr>
            </w:pPr>
            <w:r w:rsidRPr="00F56D54">
              <w:rPr>
                <w:rFonts w:ascii="Times New Roman" w:hAnsi="Times New Roman"/>
                <w:color w:val="000000"/>
                <w:sz w:val="26"/>
                <w:szCs w:val="26"/>
              </w:rPr>
              <w:t xml:space="preserve">2 </w:t>
            </w:r>
          </w:p>
        </w:tc>
        <w:tc>
          <w:tcPr>
            <w:tcW w:w="3145" w:type="dxa"/>
            <w:tcBorders>
              <w:top w:val="single" w:sz="4" w:space="0" w:color="000000"/>
              <w:left w:val="single" w:sz="4" w:space="0" w:color="000000"/>
              <w:bottom w:val="single" w:sz="4" w:space="0" w:color="000000"/>
              <w:right w:val="single" w:sz="4" w:space="0" w:color="000000"/>
            </w:tcBorders>
          </w:tcPr>
          <w:p w14:paraId="1AB3B0C6" w14:textId="77777777" w:rsidR="00186DFC" w:rsidRPr="00F56D54" w:rsidRDefault="00186DFC" w:rsidP="00F56D54">
            <w:pPr>
              <w:keepNext/>
              <w:widowControl/>
              <w:spacing w:line="259" w:lineRule="auto"/>
              <w:rPr>
                <w:rFonts w:ascii="Times New Roman" w:hAnsi="Times New Roman"/>
                <w:color w:val="000000"/>
                <w:sz w:val="26"/>
                <w:szCs w:val="26"/>
              </w:rPr>
            </w:pPr>
            <w:r w:rsidRPr="00F56D54">
              <w:rPr>
                <w:rFonts w:ascii="Times New Roman" w:hAnsi="Times New Roman"/>
                <w:color w:val="000000"/>
                <w:sz w:val="26"/>
                <w:szCs w:val="26"/>
              </w:rPr>
              <w:t xml:space="preserve">General Secondary -  </w:t>
            </w:r>
          </w:p>
          <w:p w14:paraId="7A9150C0" w14:textId="77777777" w:rsidR="00186DFC" w:rsidRPr="00F56D54" w:rsidRDefault="00186DFC" w:rsidP="00F56D54">
            <w:pPr>
              <w:keepNext/>
              <w:widowControl/>
              <w:spacing w:line="259" w:lineRule="auto"/>
              <w:rPr>
                <w:rFonts w:ascii="Times New Roman" w:hAnsi="Times New Roman"/>
                <w:color w:val="000000"/>
                <w:sz w:val="26"/>
                <w:szCs w:val="26"/>
              </w:rPr>
            </w:pPr>
            <w:r w:rsidRPr="00F56D54">
              <w:rPr>
                <w:rFonts w:ascii="Times New Roman" w:hAnsi="Times New Roman"/>
                <w:color w:val="000000"/>
                <w:sz w:val="26"/>
                <w:szCs w:val="26"/>
              </w:rPr>
              <w:t xml:space="preserve">Non-Demand </w:t>
            </w:r>
          </w:p>
        </w:tc>
        <w:tc>
          <w:tcPr>
            <w:tcW w:w="1109" w:type="dxa"/>
            <w:tcBorders>
              <w:top w:val="single" w:sz="4" w:space="0" w:color="000000"/>
              <w:left w:val="single" w:sz="4" w:space="0" w:color="000000"/>
              <w:bottom w:val="single" w:sz="4" w:space="0" w:color="000000"/>
              <w:right w:val="single" w:sz="4" w:space="0" w:color="000000"/>
            </w:tcBorders>
            <w:vAlign w:val="bottom"/>
          </w:tcPr>
          <w:p w14:paraId="33D3D820" w14:textId="77777777" w:rsidR="00186DFC" w:rsidRPr="00F56D54" w:rsidRDefault="00186DFC" w:rsidP="00F56D54">
            <w:pPr>
              <w:keepNext/>
              <w:widowControl/>
              <w:spacing w:line="259" w:lineRule="auto"/>
              <w:ind w:right="88"/>
              <w:jc w:val="right"/>
              <w:rPr>
                <w:rFonts w:ascii="Times New Roman" w:hAnsi="Times New Roman"/>
                <w:color w:val="000000"/>
                <w:sz w:val="26"/>
                <w:szCs w:val="26"/>
              </w:rPr>
            </w:pPr>
            <w:r w:rsidRPr="00F56D54">
              <w:rPr>
                <w:rFonts w:ascii="Times New Roman" w:hAnsi="Times New Roman"/>
                <w:color w:val="000000"/>
                <w:sz w:val="26"/>
                <w:szCs w:val="26"/>
              </w:rPr>
              <w:t xml:space="preserve">2,185 </w:t>
            </w:r>
          </w:p>
        </w:tc>
        <w:tc>
          <w:tcPr>
            <w:tcW w:w="1296" w:type="dxa"/>
            <w:tcBorders>
              <w:top w:val="single" w:sz="4" w:space="0" w:color="000000"/>
              <w:left w:val="single" w:sz="4" w:space="0" w:color="000000"/>
              <w:bottom w:val="single" w:sz="4" w:space="0" w:color="000000"/>
              <w:right w:val="single" w:sz="4" w:space="0" w:color="000000"/>
            </w:tcBorders>
            <w:vAlign w:val="bottom"/>
          </w:tcPr>
          <w:p w14:paraId="61171F8F" w14:textId="77777777" w:rsidR="00186DFC" w:rsidRPr="00F56D54" w:rsidRDefault="00186DFC" w:rsidP="00F56D54">
            <w:pPr>
              <w:keepNext/>
              <w:widowControl/>
              <w:spacing w:line="259" w:lineRule="auto"/>
              <w:ind w:right="89"/>
              <w:jc w:val="right"/>
              <w:rPr>
                <w:rFonts w:ascii="Times New Roman" w:hAnsi="Times New Roman"/>
                <w:color w:val="000000"/>
                <w:sz w:val="26"/>
                <w:szCs w:val="26"/>
              </w:rPr>
            </w:pPr>
            <w:r w:rsidRPr="00F56D54">
              <w:rPr>
                <w:rFonts w:ascii="Times New Roman" w:hAnsi="Times New Roman"/>
                <w:color w:val="000000"/>
                <w:sz w:val="26"/>
                <w:szCs w:val="26"/>
              </w:rPr>
              <w:t xml:space="preserve">1,161,935 </w:t>
            </w:r>
          </w:p>
        </w:tc>
        <w:tc>
          <w:tcPr>
            <w:tcW w:w="1176" w:type="dxa"/>
            <w:tcBorders>
              <w:top w:val="single" w:sz="4" w:space="0" w:color="000000"/>
              <w:left w:val="single" w:sz="4" w:space="0" w:color="000000"/>
              <w:bottom w:val="single" w:sz="4" w:space="0" w:color="000000"/>
              <w:right w:val="single" w:sz="4" w:space="0" w:color="000000"/>
            </w:tcBorders>
            <w:vAlign w:val="bottom"/>
          </w:tcPr>
          <w:p w14:paraId="4F22AC48" w14:textId="77777777" w:rsidR="00186DFC" w:rsidRPr="00F56D54" w:rsidRDefault="00186DFC" w:rsidP="00F56D54">
            <w:pPr>
              <w:keepNext/>
              <w:widowControl/>
              <w:spacing w:line="259" w:lineRule="auto"/>
              <w:ind w:right="88"/>
              <w:jc w:val="right"/>
              <w:rPr>
                <w:rFonts w:ascii="Times New Roman" w:hAnsi="Times New Roman"/>
                <w:color w:val="000000"/>
                <w:sz w:val="26"/>
                <w:szCs w:val="26"/>
              </w:rPr>
            </w:pPr>
            <w:r w:rsidRPr="00F56D54">
              <w:rPr>
                <w:rFonts w:ascii="Times New Roman" w:hAnsi="Times New Roman"/>
                <w:color w:val="000000"/>
                <w:sz w:val="26"/>
                <w:szCs w:val="26"/>
              </w:rPr>
              <w:t xml:space="preserve">71,700 </w:t>
            </w:r>
          </w:p>
        </w:tc>
        <w:tc>
          <w:tcPr>
            <w:tcW w:w="1177" w:type="dxa"/>
            <w:tcBorders>
              <w:top w:val="single" w:sz="4" w:space="0" w:color="000000"/>
              <w:left w:val="single" w:sz="4" w:space="0" w:color="000000"/>
              <w:bottom w:val="single" w:sz="4" w:space="0" w:color="000000"/>
              <w:right w:val="single" w:sz="4" w:space="0" w:color="000000"/>
            </w:tcBorders>
            <w:vAlign w:val="bottom"/>
          </w:tcPr>
          <w:p w14:paraId="00381F40" w14:textId="77777777" w:rsidR="00186DFC" w:rsidRPr="00F56D54" w:rsidRDefault="00186DFC" w:rsidP="00F56D54">
            <w:pPr>
              <w:keepNext/>
              <w:widowControl/>
              <w:spacing w:line="259" w:lineRule="auto"/>
              <w:ind w:right="88"/>
              <w:jc w:val="right"/>
              <w:rPr>
                <w:rFonts w:ascii="Times New Roman" w:hAnsi="Times New Roman"/>
                <w:color w:val="000000"/>
                <w:sz w:val="26"/>
                <w:szCs w:val="26"/>
              </w:rPr>
            </w:pPr>
            <w:r w:rsidRPr="00F56D54">
              <w:rPr>
                <w:rFonts w:ascii="Times New Roman" w:hAnsi="Times New Roman"/>
                <w:color w:val="000000"/>
                <w:sz w:val="26"/>
                <w:szCs w:val="26"/>
              </w:rPr>
              <w:t xml:space="preserve">99,412 </w:t>
            </w:r>
          </w:p>
        </w:tc>
        <w:tc>
          <w:tcPr>
            <w:tcW w:w="1176" w:type="dxa"/>
            <w:tcBorders>
              <w:top w:val="single" w:sz="4" w:space="0" w:color="000000"/>
              <w:left w:val="single" w:sz="4" w:space="0" w:color="000000"/>
              <w:bottom w:val="single" w:sz="4" w:space="0" w:color="000000"/>
              <w:right w:val="single" w:sz="4" w:space="0" w:color="000000"/>
            </w:tcBorders>
            <w:vAlign w:val="bottom"/>
          </w:tcPr>
          <w:p w14:paraId="04138C9B" w14:textId="77777777" w:rsidR="00186DFC" w:rsidRPr="00F56D54" w:rsidRDefault="00186DFC" w:rsidP="00F56D54">
            <w:pPr>
              <w:keepNext/>
              <w:widowControl/>
              <w:spacing w:line="259" w:lineRule="auto"/>
              <w:ind w:right="88"/>
              <w:jc w:val="right"/>
              <w:rPr>
                <w:rFonts w:ascii="Times New Roman" w:hAnsi="Times New Roman"/>
                <w:color w:val="000000"/>
                <w:sz w:val="26"/>
                <w:szCs w:val="26"/>
              </w:rPr>
            </w:pPr>
            <w:r w:rsidRPr="00F56D54">
              <w:rPr>
                <w:rFonts w:ascii="Times New Roman" w:hAnsi="Times New Roman"/>
                <w:color w:val="000000"/>
                <w:sz w:val="26"/>
                <w:szCs w:val="26"/>
              </w:rPr>
              <w:t xml:space="preserve">27,711 </w:t>
            </w:r>
          </w:p>
        </w:tc>
        <w:tc>
          <w:tcPr>
            <w:tcW w:w="828" w:type="dxa"/>
            <w:tcBorders>
              <w:top w:val="single" w:sz="4" w:space="0" w:color="000000"/>
              <w:left w:val="single" w:sz="4" w:space="0" w:color="000000"/>
              <w:bottom w:val="single" w:sz="4" w:space="0" w:color="000000"/>
              <w:right w:val="single" w:sz="4" w:space="0" w:color="000000"/>
            </w:tcBorders>
            <w:vAlign w:val="bottom"/>
          </w:tcPr>
          <w:p w14:paraId="7D05CC2E" w14:textId="77777777" w:rsidR="00186DFC" w:rsidRPr="00F56D54" w:rsidRDefault="00186DFC" w:rsidP="00F56D54">
            <w:pPr>
              <w:keepNext/>
              <w:widowControl/>
              <w:spacing w:line="259" w:lineRule="auto"/>
              <w:ind w:right="86"/>
              <w:jc w:val="right"/>
              <w:rPr>
                <w:rFonts w:ascii="Times New Roman" w:hAnsi="Times New Roman"/>
                <w:color w:val="000000"/>
                <w:sz w:val="26"/>
                <w:szCs w:val="26"/>
              </w:rPr>
            </w:pPr>
            <w:r w:rsidRPr="00F56D54">
              <w:rPr>
                <w:rFonts w:ascii="Times New Roman" w:hAnsi="Times New Roman"/>
                <w:color w:val="000000"/>
                <w:sz w:val="26"/>
                <w:szCs w:val="26"/>
              </w:rPr>
              <w:t xml:space="preserve">38.6% </w:t>
            </w:r>
          </w:p>
        </w:tc>
      </w:tr>
    </w:tbl>
    <w:p w14:paraId="0A44FA7F" w14:textId="77777777" w:rsidR="00186DFC" w:rsidRPr="00F56D54" w:rsidRDefault="00186DFC" w:rsidP="00F56D54">
      <w:pPr>
        <w:keepNext/>
        <w:widowControl/>
        <w:spacing w:line="259" w:lineRule="auto"/>
        <w:rPr>
          <w:color w:val="000000"/>
          <w:sz w:val="26"/>
          <w:szCs w:val="26"/>
        </w:rPr>
      </w:pPr>
      <w:r w:rsidRPr="00F56D54">
        <w:rPr>
          <w:rFonts w:eastAsia="Calibri"/>
          <w:noProof/>
          <w:color w:val="000000"/>
          <w:sz w:val="26"/>
          <w:szCs w:val="26"/>
        </w:rPr>
        <mc:AlternateContent>
          <mc:Choice Requires="wpg">
            <w:drawing>
              <wp:inline distT="0" distB="0" distL="0" distR="0" wp14:anchorId="3789C640" wp14:editId="3B8761B6">
                <wp:extent cx="1829054" cy="7620"/>
                <wp:effectExtent l="0" t="0" r="0" b="0"/>
                <wp:docPr id="68391" name="Group 68391"/>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70386" name="Shape 7038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8181D86" id="Group 68391" o:spid="_x0000_s1026" style="width:2in;height:.6pt;mso-position-horizontal-relative:char;mso-position-vertical-relative:line" coordsize="1829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">
                <v:shape id="Shape 70386" o:spid="_x0000_s1027" style="position:absolute;width:18290;height:91;visibility:visible;mso-wrap-style:square;v-text-anchor:top" coordsize="1829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" path="m,l1829054,r,9144l,9144,,e" fillcolor="black" stroked="f" strokeweight="0">
                  <v:stroke miterlimit="83231f" joinstyle="miter"/>
                  <v:path arrowok="t" textboxrect="0,0,1829054,9144"/>
                </v:shape>
                <w10:anchorlock/>
              </v:group>
            </w:pict>
          </mc:Fallback>
        </mc:AlternateContent>
      </w:r>
      <w:r w:rsidRPr="00F56D54">
        <w:rPr>
          <w:color w:val="000000"/>
          <w:sz w:val="26"/>
          <w:szCs w:val="26"/>
        </w:rPr>
        <w:t xml:space="preserve"> </w:t>
      </w:r>
    </w:p>
    <w:tbl>
      <w:tblPr>
        <w:tblStyle w:val="TableGrid10"/>
        <w:tblW w:w="10723" w:type="dxa"/>
        <w:tblInd w:w="-720" w:type="dxa"/>
        <w:tblCellMar>
          <w:top w:w="15" w:type="dxa"/>
          <w:left w:w="108" w:type="dxa"/>
          <w:bottom w:w="5" w:type="dxa"/>
          <w:right w:w="58" w:type="dxa"/>
        </w:tblCellMar>
        <w:tblLook w:val="04A0" w:firstRow="1" w:lastRow="0" w:firstColumn="1" w:lastColumn="0" w:noHBand="0" w:noVBand="1"/>
      </w:tblPr>
      <w:tblGrid>
        <w:gridCol w:w="783"/>
        <w:gridCol w:w="2850"/>
        <w:gridCol w:w="1050"/>
        <w:gridCol w:w="1386"/>
        <w:gridCol w:w="1256"/>
        <w:gridCol w:w="1256"/>
        <w:gridCol w:w="1256"/>
        <w:gridCol w:w="886"/>
      </w:tblGrid>
      <w:tr w:rsidR="00186DFC" w:rsidRPr="00F56D54" w14:paraId="4CD798FA" w14:textId="77777777" w:rsidTr="001C5320">
        <w:trPr>
          <w:trHeight w:val="471"/>
        </w:trPr>
        <w:tc>
          <w:tcPr>
            <w:tcW w:w="816" w:type="dxa"/>
            <w:tcBorders>
              <w:top w:val="single" w:sz="4" w:space="0" w:color="000000"/>
              <w:left w:val="single" w:sz="4" w:space="0" w:color="000000"/>
              <w:bottom w:val="single" w:sz="4" w:space="0" w:color="000000"/>
              <w:right w:val="single" w:sz="4" w:space="0" w:color="000000"/>
            </w:tcBorders>
            <w:vAlign w:val="bottom"/>
          </w:tcPr>
          <w:p w14:paraId="134A93FC" w14:textId="77777777" w:rsidR="00186DFC" w:rsidRPr="00F56D54" w:rsidRDefault="00186DFC" w:rsidP="00F56D54">
            <w:pPr>
              <w:keepNext/>
              <w:widowControl/>
              <w:spacing w:line="259" w:lineRule="auto"/>
              <w:ind w:right="51"/>
              <w:jc w:val="right"/>
              <w:rPr>
                <w:rFonts w:ascii="Times New Roman" w:hAnsi="Times New Roman"/>
                <w:color w:val="000000"/>
                <w:sz w:val="26"/>
                <w:szCs w:val="26"/>
              </w:rPr>
            </w:pPr>
            <w:r w:rsidRPr="00F56D54">
              <w:rPr>
                <w:rFonts w:ascii="Times New Roman" w:hAnsi="Times New Roman"/>
                <w:color w:val="000000"/>
                <w:sz w:val="26"/>
                <w:szCs w:val="26"/>
              </w:rPr>
              <w:t xml:space="preserve">2 </w:t>
            </w:r>
          </w:p>
        </w:tc>
        <w:tc>
          <w:tcPr>
            <w:tcW w:w="3145" w:type="dxa"/>
            <w:tcBorders>
              <w:top w:val="single" w:sz="4" w:space="0" w:color="000000"/>
              <w:left w:val="single" w:sz="4" w:space="0" w:color="000000"/>
              <w:bottom w:val="single" w:sz="4" w:space="0" w:color="000000"/>
              <w:right w:val="single" w:sz="4" w:space="0" w:color="000000"/>
            </w:tcBorders>
          </w:tcPr>
          <w:p w14:paraId="2F1BE6B7" w14:textId="77B90B86" w:rsidR="00186DFC" w:rsidRPr="00F56D54" w:rsidRDefault="00186DFC" w:rsidP="00F56D54">
            <w:pPr>
              <w:keepNext/>
              <w:widowControl/>
              <w:spacing w:line="259" w:lineRule="auto"/>
              <w:ind w:right="952"/>
              <w:rPr>
                <w:rFonts w:ascii="Times New Roman" w:hAnsi="Times New Roman"/>
                <w:color w:val="000000"/>
                <w:sz w:val="26"/>
                <w:szCs w:val="26"/>
              </w:rPr>
            </w:pPr>
            <w:r w:rsidRPr="00F56D54">
              <w:rPr>
                <w:rFonts w:ascii="Times New Roman" w:hAnsi="Times New Roman"/>
                <w:color w:val="000000"/>
                <w:sz w:val="26"/>
                <w:szCs w:val="26"/>
              </w:rPr>
              <w:t xml:space="preserve">General </w:t>
            </w:r>
            <w:r w:rsidR="00F56D54" w:rsidRPr="00F56D54">
              <w:rPr>
                <w:rFonts w:ascii="Times New Roman" w:hAnsi="Times New Roman"/>
                <w:color w:val="000000"/>
                <w:sz w:val="26"/>
                <w:szCs w:val="26"/>
              </w:rPr>
              <w:t>Primary Service</w:t>
            </w:r>
            <w:r w:rsidRPr="00F56D54">
              <w:rPr>
                <w:rFonts w:ascii="Times New Roman" w:hAnsi="Times New Roman"/>
                <w:color w:val="000000"/>
                <w:sz w:val="26"/>
                <w:szCs w:val="26"/>
              </w:rPr>
              <w:t xml:space="preserve"> </w:t>
            </w:r>
          </w:p>
        </w:tc>
        <w:tc>
          <w:tcPr>
            <w:tcW w:w="1109" w:type="dxa"/>
            <w:tcBorders>
              <w:top w:val="single" w:sz="4" w:space="0" w:color="000000"/>
              <w:left w:val="single" w:sz="4" w:space="0" w:color="000000"/>
              <w:bottom w:val="single" w:sz="4" w:space="0" w:color="000000"/>
              <w:right w:val="single" w:sz="4" w:space="0" w:color="000000"/>
            </w:tcBorders>
            <w:vAlign w:val="bottom"/>
          </w:tcPr>
          <w:p w14:paraId="5C6ECED9" w14:textId="77777777" w:rsidR="00186DFC" w:rsidRPr="00F56D54" w:rsidRDefault="00186DFC" w:rsidP="00F56D54">
            <w:pPr>
              <w:keepNext/>
              <w:widowControl/>
              <w:spacing w:line="259" w:lineRule="auto"/>
              <w:ind w:right="49"/>
              <w:jc w:val="right"/>
              <w:rPr>
                <w:rFonts w:ascii="Times New Roman" w:hAnsi="Times New Roman"/>
                <w:color w:val="000000"/>
                <w:sz w:val="26"/>
                <w:szCs w:val="26"/>
              </w:rPr>
            </w:pPr>
            <w:r w:rsidRPr="00F56D54">
              <w:rPr>
                <w:rFonts w:ascii="Times New Roman" w:hAnsi="Times New Roman"/>
                <w:color w:val="000000"/>
                <w:sz w:val="26"/>
                <w:szCs w:val="26"/>
              </w:rPr>
              <w:t xml:space="preserve">96 </w:t>
            </w:r>
          </w:p>
        </w:tc>
        <w:tc>
          <w:tcPr>
            <w:tcW w:w="1296" w:type="dxa"/>
            <w:tcBorders>
              <w:top w:val="single" w:sz="4" w:space="0" w:color="000000"/>
              <w:left w:val="single" w:sz="4" w:space="0" w:color="000000"/>
              <w:bottom w:val="single" w:sz="4" w:space="0" w:color="000000"/>
              <w:right w:val="single" w:sz="4" w:space="0" w:color="000000"/>
            </w:tcBorders>
            <w:vAlign w:val="bottom"/>
          </w:tcPr>
          <w:p w14:paraId="220248E7" w14:textId="77777777" w:rsidR="00186DFC" w:rsidRPr="00F56D54" w:rsidRDefault="00186DFC" w:rsidP="00F56D54">
            <w:pPr>
              <w:keepNext/>
              <w:widowControl/>
              <w:spacing w:line="259" w:lineRule="auto"/>
              <w:ind w:right="50"/>
              <w:jc w:val="right"/>
              <w:rPr>
                <w:rFonts w:ascii="Times New Roman" w:hAnsi="Times New Roman"/>
                <w:color w:val="000000"/>
                <w:sz w:val="26"/>
                <w:szCs w:val="26"/>
              </w:rPr>
            </w:pPr>
            <w:r w:rsidRPr="00F56D54">
              <w:rPr>
                <w:rFonts w:ascii="Times New Roman" w:hAnsi="Times New Roman"/>
                <w:color w:val="000000"/>
                <w:sz w:val="26"/>
                <w:szCs w:val="26"/>
              </w:rPr>
              <w:t xml:space="preserve">10,129,300 </w:t>
            </w:r>
          </w:p>
        </w:tc>
        <w:tc>
          <w:tcPr>
            <w:tcW w:w="1176" w:type="dxa"/>
            <w:tcBorders>
              <w:top w:val="single" w:sz="4" w:space="0" w:color="000000"/>
              <w:left w:val="single" w:sz="4" w:space="0" w:color="000000"/>
              <w:bottom w:val="single" w:sz="4" w:space="0" w:color="000000"/>
              <w:right w:val="single" w:sz="4" w:space="0" w:color="000000"/>
            </w:tcBorders>
            <w:vAlign w:val="bottom"/>
          </w:tcPr>
          <w:p w14:paraId="4CB3993D" w14:textId="77777777" w:rsidR="00186DFC" w:rsidRPr="00F56D54" w:rsidRDefault="00186DFC" w:rsidP="00F56D54">
            <w:pPr>
              <w:keepNext/>
              <w:widowControl/>
              <w:spacing w:line="259" w:lineRule="auto"/>
              <w:ind w:right="50"/>
              <w:jc w:val="right"/>
              <w:rPr>
                <w:rFonts w:ascii="Times New Roman" w:hAnsi="Times New Roman"/>
                <w:color w:val="000000"/>
                <w:sz w:val="26"/>
                <w:szCs w:val="26"/>
              </w:rPr>
            </w:pPr>
            <w:r w:rsidRPr="00F56D54">
              <w:rPr>
                <w:rFonts w:ascii="Times New Roman" w:hAnsi="Times New Roman"/>
                <w:color w:val="000000"/>
                <w:sz w:val="26"/>
                <w:szCs w:val="26"/>
              </w:rPr>
              <w:t xml:space="preserve">350,721 </w:t>
            </w:r>
          </w:p>
        </w:tc>
        <w:tc>
          <w:tcPr>
            <w:tcW w:w="1177" w:type="dxa"/>
            <w:tcBorders>
              <w:top w:val="single" w:sz="4" w:space="0" w:color="000000"/>
              <w:left w:val="single" w:sz="4" w:space="0" w:color="000000"/>
              <w:bottom w:val="single" w:sz="4" w:space="0" w:color="000000"/>
              <w:right w:val="single" w:sz="4" w:space="0" w:color="000000"/>
            </w:tcBorders>
            <w:vAlign w:val="bottom"/>
          </w:tcPr>
          <w:p w14:paraId="210A9267" w14:textId="77777777" w:rsidR="00186DFC" w:rsidRPr="00F56D54" w:rsidRDefault="00186DFC" w:rsidP="00F56D54">
            <w:pPr>
              <w:keepNext/>
              <w:widowControl/>
              <w:spacing w:line="259" w:lineRule="auto"/>
              <w:ind w:right="50"/>
              <w:jc w:val="right"/>
              <w:rPr>
                <w:rFonts w:ascii="Times New Roman" w:hAnsi="Times New Roman"/>
                <w:color w:val="000000"/>
                <w:sz w:val="26"/>
                <w:szCs w:val="26"/>
              </w:rPr>
            </w:pPr>
            <w:r w:rsidRPr="00F56D54">
              <w:rPr>
                <w:rFonts w:ascii="Times New Roman" w:hAnsi="Times New Roman"/>
                <w:color w:val="000000"/>
                <w:sz w:val="26"/>
                <w:szCs w:val="26"/>
              </w:rPr>
              <w:t xml:space="preserve">435,924 </w:t>
            </w:r>
          </w:p>
        </w:tc>
        <w:tc>
          <w:tcPr>
            <w:tcW w:w="1176" w:type="dxa"/>
            <w:tcBorders>
              <w:top w:val="single" w:sz="4" w:space="0" w:color="000000"/>
              <w:left w:val="single" w:sz="4" w:space="0" w:color="000000"/>
              <w:bottom w:val="single" w:sz="4" w:space="0" w:color="000000"/>
              <w:right w:val="single" w:sz="4" w:space="0" w:color="000000"/>
            </w:tcBorders>
            <w:vAlign w:val="bottom"/>
          </w:tcPr>
          <w:p w14:paraId="2D9F39B5" w14:textId="77777777" w:rsidR="00186DFC" w:rsidRPr="00F56D54" w:rsidRDefault="00186DFC" w:rsidP="00F56D54">
            <w:pPr>
              <w:keepNext/>
              <w:widowControl/>
              <w:spacing w:line="259" w:lineRule="auto"/>
              <w:ind w:right="49"/>
              <w:jc w:val="right"/>
              <w:rPr>
                <w:rFonts w:ascii="Times New Roman" w:hAnsi="Times New Roman"/>
                <w:color w:val="000000"/>
                <w:sz w:val="26"/>
                <w:szCs w:val="26"/>
              </w:rPr>
            </w:pPr>
            <w:r w:rsidRPr="00F56D54">
              <w:rPr>
                <w:rFonts w:ascii="Times New Roman" w:hAnsi="Times New Roman"/>
                <w:color w:val="000000"/>
                <w:sz w:val="26"/>
                <w:szCs w:val="26"/>
              </w:rPr>
              <w:t xml:space="preserve">85,203 </w:t>
            </w:r>
          </w:p>
        </w:tc>
        <w:tc>
          <w:tcPr>
            <w:tcW w:w="828" w:type="dxa"/>
            <w:tcBorders>
              <w:top w:val="single" w:sz="4" w:space="0" w:color="000000"/>
              <w:left w:val="single" w:sz="4" w:space="0" w:color="000000"/>
              <w:bottom w:val="single" w:sz="4" w:space="0" w:color="000000"/>
              <w:right w:val="single" w:sz="4" w:space="0" w:color="000000"/>
            </w:tcBorders>
            <w:vAlign w:val="bottom"/>
          </w:tcPr>
          <w:p w14:paraId="5075A8BF" w14:textId="77777777" w:rsidR="00186DFC" w:rsidRPr="00F56D54" w:rsidRDefault="00186DFC" w:rsidP="00F56D54">
            <w:pPr>
              <w:keepNext/>
              <w:widowControl/>
              <w:spacing w:line="259" w:lineRule="auto"/>
              <w:ind w:right="48"/>
              <w:jc w:val="right"/>
              <w:rPr>
                <w:rFonts w:ascii="Times New Roman" w:hAnsi="Times New Roman"/>
                <w:color w:val="000000"/>
                <w:sz w:val="26"/>
                <w:szCs w:val="26"/>
              </w:rPr>
            </w:pPr>
            <w:r w:rsidRPr="00F56D54">
              <w:rPr>
                <w:rFonts w:ascii="Times New Roman" w:hAnsi="Times New Roman"/>
                <w:color w:val="000000"/>
                <w:sz w:val="26"/>
                <w:szCs w:val="26"/>
              </w:rPr>
              <w:t xml:space="preserve">24.3% </w:t>
            </w:r>
          </w:p>
        </w:tc>
      </w:tr>
      <w:tr w:rsidR="00186DFC" w:rsidRPr="00F56D54" w14:paraId="63CFCACC" w14:textId="77777777" w:rsidTr="001C5320">
        <w:trPr>
          <w:trHeight w:val="634"/>
        </w:trPr>
        <w:tc>
          <w:tcPr>
            <w:tcW w:w="816" w:type="dxa"/>
            <w:tcBorders>
              <w:top w:val="single" w:sz="4" w:space="0" w:color="000000"/>
              <w:left w:val="single" w:sz="4" w:space="0" w:color="000000"/>
              <w:bottom w:val="single" w:sz="4" w:space="0" w:color="000000"/>
              <w:right w:val="single" w:sz="4" w:space="0" w:color="000000"/>
            </w:tcBorders>
            <w:vAlign w:val="bottom"/>
          </w:tcPr>
          <w:p w14:paraId="061496C0" w14:textId="77777777" w:rsidR="00186DFC" w:rsidRPr="00F56D54" w:rsidRDefault="00186DFC" w:rsidP="00F56D54">
            <w:pPr>
              <w:keepNext/>
              <w:widowControl/>
              <w:spacing w:line="259" w:lineRule="auto"/>
              <w:ind w:right="51"/>
              <w:jc w:val="right"/>
              <w:rPr>
                <w:rFonts w:ascii="Times New Roman" w:hAnsi="Times New Roman"/>
                <w:color w:val="000000"/>
                <w:sz w:val="26"/>
                <w:szCs w:val="26"/>
              </w:rPr>
            </w:pPr>
            <w:r w:rsidRPr="00F56D54">
              <w:rPr>
                <w:rFonts w:ascii="Times New Roman" w:hAnsi="Times New Roman"/>
                <w:color w:val="000000"/>
                <w:sz w:val="26"/>
                <w:szCs w:val="26"/>
              </w:rPr>
              <w:t xml:space="preserve">3 </w:t>
            </w:r>
          </w:p>
        </w:tc>
        <w:tc>
          <w:tcPr>
            <w:tcW w:w="3145" w:type="dxa"/>
            <w:tcBorders>
              <w:top w:val="single" w:sz="4" w:space="0" w:color="000000"/>
              <w:left w:val="single" w:sz="4" w:space="0" w:color="000000"/>
              <w:bottom w:val="single" w:sz="4" w:space="0" w:color="000000"/>
              <w:right w:val="single" w:sz="4" w:space="0" w:color="000000"/>
            </w:tcBorders>
            <w:vAlign w:val="bottom"/>
          </w:tcPr>
          <w:p w14:paraId="5EE7F4C0" w14:textId="2F9F6D5A" w:rsidR="00186DFC" w:rsidRPr="00F56D54" w:rsidRDefault="00186DFC" w:rsidP="00F56D54">
            <w:pPr>
              <w:keepNext/>
              <w:widowControl/>
              <w:spacing w:line="259" w:lineRule="auto"/>
              <w:ind w:right="850"/>
              <w:rPr>
                <w:rFonts w:ascii="Times New Roman" w:hAnsi="Times New Roman"/>
                <w:color w:val="000000"/>
                <w:sz w:val="26"/>
                <w:szCs w:val="26"/>
              </w:rPr>
            </w:pPr>
            <w:r w:rsidRPr="00F56D54">
              <w:rPr>
                <w:rFonts w:ascii="Times New Roman" w:hAnsi="Times New Roman"/>
                <w:color w:val="000000"/>
                <w:sz w:val="26"/>
                <w:szCs w:val="26"/>
              </w:rPr>
              <w:t xml:space="preserve">Municipal </w:t>
            </w:r>
            <w:r w:rsidR="00F56D54" w:rsidRPr="00F56D54">
              <w:rPr>
                <w:rFonts w:ascii="Times New Roman" w:hAnsi="Times New Roman"/>
                <w:color w:val="000000"/>
                <w:sz w:val="26"/>
                <w:szCs w:val="26"/>
              </w:rPr>
              <w:t>Street Lighting</w:t>
            </w:r>
            <w:r w:rsidRPr="00F56D54">
              <w:rPr>
                <w:rFonts w:ascii="Times New Roman" w:hAnsi="Times New Roman"/>
                <w:color w:val="000000"/>
                <w:sz w:val="26"/>
                <w:szCs w:val="26"/>
              </w:rPr>
              <w:t xml:space="preserve"> </w:t>
            </w:r>
          </w:p>
        </w:tc>
        <w:tc>
          <w:tcPr>
            <w:tcW w:w="1109" w:type="dxa"/>
            <w:tcBorders>
              <w:top w:val="single" w:sz="4" w:space="0" w:color="000000"/>
              <w:left w:val="single" w:sz="4" w:space="0" w:color="000000"/>
              <w:bottom w:val="single" w:sz="4" w:space="0" w:color="000000"/>
              <w:right w:val="single" w:sz="4" w:space="0" w:color="000000"/>
            </w:tcBorders>
            <w:vAlign w:val="bottom"/>
          </w:tcPr>
          <w:p w14:paraId="03A56204" w14:textId="77777777" w:rsidR="00186DFC" w:rsidRPr="00F56D54" w:rsidRDefault="00186DFC" w:rsidP="00F56D54">
            <w:pPr>
              <w:keepNext/>
              <w:widowControl/>
              <w:spacing w:line="259" w:lineRule="auto"/>
              <w:ind w:right="49"/>
              <w:jc w:val="right"/>
              <w:rPr>
                <w:rFonts w:ascii="Times New Roman" w:hAnsi="Times New Roman"/>
                <w:color w:val="000000"/>
                <w:sz w:val="26"/>
                <w:szCs w:val="26"/>
              </w:rPr>
            </w:pPr>
            <w:r w:rsidRPr="00F56D54">
              <w:rPr>
                <w:rFonts w:ascii="Times New Roman" w:hAnsi="Times New Roman"/>
                <w:color w:val="000000"/>
                <w:sz w:val="26"/>
                <w:szCs w:val="26"/>
              </w:rPr>
              <w:t xml:space="preserve">108 </w:t>
            </w:r>
          </w:p>
        </w:tc>
        <w:tc>
          <w:tcPr>
            <w:tcW w:w="1296" w:type="dxa"/>
            <w:tcBorders>
              <w:top w:val="single" w:sz="4" w:space="0" w:color="000000"/>
              <w:left w:val="single" w:sz="4" w:space="0" w:color="000000"/>
              <w:bottom w:val="single" w:sz="4" w:space="0" w:color="000000"/>
              <w:right w:val="single" w:sz="4" w:space="0" w:color="000000"/>
            </w:tcBorders>
            <w:vAlign w:val="bottom"/>
          </w:tcPr>
          <w:p w14:paraId="7AADD505" w14:textId="77777777" w:rsidR="00186DFC" w:rsidRPr="00F56D54" w:rsidRDefault="00186DFC" w:rsidP="00F56D54">
            <w:pPr>
              <w:keepNext/>
              <w:widowControl/>
              <w:spacing w:line="259" w:lineRule="auto"/>
              <w:ind w:right="50"/>
              <w:jc w:val="right"/>
              <w:rPr>
                <w:rFonts w:ascii="Times New Roman" w:hAnsi="Times New Roman"/>
                <w:color w:val="000000"/>
                <w:sz w:val="26"/>
                <w:szCs w:val="26"/>
              </w:rPr>
            </w:pPr>
            <w:r w:rsidRPr="00F56D54">
              <w:rPr>
                <w:rFonts w:ascii="Times New Roman" w:hAnsi="Times New Roman"/>
                <w:color w:val="000000"/>
                <w:sz w:val="26"/>
                <w:szCs w:val="26"/>
              </w:rPr>
              <w:t xml:space="preserve">211,700 </w:t>
            </w:r>
          </w:p>
        </w:tc>
        <w:tc>
          <w:tcPr>
            <w:tcW w:w="1176" w:type="dxa"/>
            <w:tcBorders>
              <w:top w:val="single" w:sz="4" w:space="0" w:color="000000"/>
              <w:left w:val="single" w:sz="4" w:space="0" w:color="000000"/>
              <w:bottom w:val="single" w:sz="4" w:space="0" w:color="000000"/>
              <w:right w:val="single" w:sz="4" w:space="0" w:color="000000"/>
            </w:tcBorders>
            <w:vAlign w:val="bottom"/>
          </w:tcPr>
          <w:p w14:paraId="79D2090A" w14:textId="77777777" w:rsidR="00186DFC" w:rsidRPr="00F56D54" w:rsidRDefault="00186DFC" w:rsidP="00F56D54">
            <w:pPr>
              <w:keepNext/>
              <w:widowControl/>
              <w:spacing w:line="259" w:lineRule="auto"/>
              <w:ind w:right="49"/>
              <w:jc w:val="right"/>
              <w:rPr>
                <w:rFonts w:ascii="Times New Roman" w:hAnsi="Times New Roman"/>
                <w:color w:val="000000"/>
                <w:sz w:val="26"/>
                <w:szCs w:val="26"/>
              </w:rPr>
            </w:pPr>
            <w:r w:rsidRPr="00F56D54">
              <w:rPr>
                <w:rFonts w:ascii="Times New Roman" w:hAnsi="Times New Roman"/>
                <w:color w:val="000000"/>
                <w:sz w:val="26"/>
                <w:szCs w:val="26"/>
              </w:rPr>
              <w:t xml:space="preserve">86,228 </w:t>
            </w:r>
          </w:p>
        </w:tc>
        <w:tc>
          <w:tcPr>
            <w:tcW w:w="1177" w:type="dxa"/>
            <w:tcBorders>
              <w:top w:val="single" w:sz="4" w:space="0" w:color="000000"/>
              <w:left w:val="single" w:sz="4" w:space="0" w:color="000000"/>
              <w:bottom w:val="single" w:sz="4" w:space="0" w:color="000000"/>
              <w:right w:val="single" w:sz="4" w:space="0" w:color="000000"/>
            </w:tcBorders>
            <w:vAlign w:val="bottom"/>
          </w:tcPr>
          <w:p w14:paraId="09B1B7F3" w14:textId="77777777" w:rsidR="00186DFC" w:rsidRPr="00F56D54" w:rsidRDefault="00186DFC" w:rsidP="00F56D54">
            <w:pPr>
              <w:keepNext/>
              <w:widowControl/>
              <w:spacing w:line="259" w:lineRule="auto"/>
              <w:ind w:right="50"/>
              <w:jc w:val="right"/>
              <w:rPr>
                <w:rFonts w:ascii="Times New Roman" w:hAnsi="Times New Roman"/>
                <w:color w:val="000000"/>
                <w:sz w:val="26"/>
                <w:szCs w:val="26"/>
              </w:rPr>
            </w:pPr>
            <w:r w:rsidRPr="00F56D54">
              <w:rPr>
                <w:rFonts w:ascii="Times New Roman" w:hAnsi="Times New Roman"/>
                <w:color w:val="000000"/>
                <w:sz w:val="26"/>
                <w:szCs w:val="26"/>
              </w:rPr>
              <w:t xml:space="preserve">110,717 </w:t>
            </w:r>
          </w:p>
        </w:tc>
        <w:tc>
          <w:tcPr>
            <w:tcW w:w="1176" w:type="dxa"/>
            <w:tcBorders>
              <w:top w:val="single" w:sz="4" w:space="0" w:color="000000"/>
              <w:left w:val="single" w:sz="4" w:space="0" w:color="000000"/>
              <w:bottom w:val="single" w:sz="4" w:space="0" w:color="000000"/>
              <w:right w:val="single" w:sz="4" w:space="0" w:color="000000"/>
            </w:tcBorders>
            <w:vAlign w:val="bottom"/>
          </w:tcPr>
          <w:p w14:paraId="01EAADBD" w14:textId="77777777" w:rsidR="00186DFC" w:rsidRPr="00F56D54" w:rsidRDefault="00186DFC" w:rsidP="00F56D54">
            <w:pPr>
              <w:keepNext/>
              <w:widowControl/>
              <w:spacing w:line="259" w:lineRule="auto"/>
              <w:ind w:right="49"/>
              <w:jc w:val="right"/>
              <w:rPr>
                <w:rFonts w:ascii="Times New Roman" w:hAnsi="Times New Roman"/>
                <w:color w:val="000000"/>
                <w:sz w:val="26"/>
                <w:szCs w:val="26"/>
              </w:rPr>
            </w:pPr>
            <w:r w:rsidRPr="00F56D54">
              <w:rPr>
                <w:rFonts w:ascii="Times New Roman" w:hAnsi="Times New Roman"/>
                <w:color w:val="000000"/>
                <w:sz w:val="26"/>
                <w:szCs w:val="26"/>
              </w:rPr>
              <w:t xml:space="preserve">24,489 </w:t>
            </w:r>
          </w:p>
        </w:tc>
        <w:tc>
          <w:tcPr>
            <w:tcW w:w="828" w:type="dxa"/>
            <w:tcBorders>
              <w:top w:val="single" w:sz="4" w:space="0" w:color="000000"/>
              <w:left w:val="single" w:sz="4" w:space="0" w:color="000000"/>
              <w:bottom w:val="single" w:sz="4" w:space="0" w:color="000000"/>
              <w:right w:val="single" w:sz="4" w:space="0" w:color="000000"/>
            </w:tcBorders>
            <w:vAlign w:val="bottom"/>
          </w:tcPr>
          <w:p w14:paraId="2317D193" w14:textId="77777777" w:rsidR="00186DFC" w:rsidRPr="00F56D54" w:rsidRDefault="00186DFC" w:rsidP="00F56D54">
            <w:pPr>
              <w:keepNext/>
              <w:widowControl/>
              <w:spacing w:line="259" w:lineRule="auto"/>
              <w:ind w:right="48"/>
              <w:jc w:val="right"/>
              <w:rPr>
                <w:rFonts w:ascii="Times New Roman" w:hAnsi="Times New Roman"/>
                <w:color w:val="000000"/>
                <w:sz w:val="26"/>
                <w:szCs w:val="26"/>
              </w:rPr>
            </w:pPr>
            <w:r w:rsidRPr="00F56D54">
              <w:rPr>
                <w:rFonts w:ascii="Times New Roman" w:hAnsi="Times New Roman"/>
                <w:color w:val="000000"/>
                <w:sz w:val="26"/>
                <w:szCs w:val="26"/>
              </w:rPr>
              <w:t xml:space="preserve">28.4% </w:t>
            </w:r>
          </w:p>
        </w:tc>
      </w:tr>
      <w:tr w:rsidR="00186DFC" w:rsidRPr="00F56D54" w14:paraId="6C1DAF03" w14:textId="77777777" w:rsidTr="001C5320">
        <w:trPr>
          <w:trHeight w:val="634"/>
        </w:trPr>
        <w:tc>
          <w:tcPr>
            <w:tcW w:w="816" w:type="dxa"/>
            <w:tcBorders>
              <w:top w:val="single" w:sz="4" w:space="0" w:color="000000"/>
              <w:left w:val="single" w:sz="4" w:space="0" w:color="000000"/>
              <w:bottom w:val="single" w:sz="4" w:space="0" w:color="000000"/>
              <w:right w:val="single" w:sz="4" w:space="0" w:color="000000"/>
            </w:tcBorders>
            <w:vAlign w:val="bottom"/>
          </w:tcPr>
          <w:p w14:paraId="35A3CF26" w14:textId="77777777" w:rsidR="00186DFC" w:rsidRPr="00F56D54" w:rsidRDefault="00186DFC" w:rsidP="00F56D54">
            <w:pPr>
              <w:keepNext/>
              <w:widowControl/>
              <w:spacing w:line="259" w:lineRule="auto"/>
              <w:ind w:right="51"/>
              <w:jc w:val="right"/>
              <w:rPr>
                <w:rFonts w:ascii="Times New Roman" w:hAnsi="Times New Roman"/>
                <w:color w:val="000000"/>
                <w:sz w:val="26"/>
                <w:szCs w:val="26"/>
              </w:rPr>
            </w:pPr>
            <w:r w:rsidRPr="00F56D54">
              <w:rPr>
                <w:rFonts w:ascii="Times New Roman" w:hAnsi="Times New Roman"/>
                <w:color w:val="000000"/>
                <w:sz w:val="26"/>
                <w:szCs w:val="26"/>
              </w:rPr>
              <w:t xml:space="preserve">4 </w:t>
            </w:r>
          </w:p>
        </w:tc>
        <w:tc>
          <w:tcPr>
            <w:tcW w:w="3145" w:type="dxa"/>
            <w:tcBorders>
              <w:top w:val="single" w:sz="4" w:space="0" w:color="000000"/>
              <w:left w:val="single" w:sz="4" w:space="0" w:color="000000"/>
              <w:bottom w:val="single" w:sz="4" w:space="0" w:color="000000"/>
              <w:right w:val="single" w:sz="4" w:space="0" w:color="000000"/>
            </w:tcBorders>
            <w:vAlign w:val="bottom"/>
          </w:tcPr>
          <w:p w14:paraId="684EB2E1" w14:textId="465015A0" w:rsidR="00186DFC" w:rsidRPr="00F56D54" w:rsidRDefault="00186DFC" w:rsidP="00F56D54">
            <w:pPr>
              <w:keepNext/>
              <w:widowControl/>
              <w:spacing w:line="259" w:lineRule="auto"/>
              <w:ind w:right="1184"/>
              <w:rPr>
                <w:rFonts w:ascii="Times New Roman" w:hAnsi="Times New Roman"/>
                <w:color w:val="000000"/>
                <w:sz w:val="26"/>
                <w:szCs w:val="26"/>
              </w:rPr>
            </w:pPr>
            <w:r w:rsidRPr="00F56D54">
              <w:rPr>
                <w:rFonts w:ascii="Times New Roman" w:hAnsi="Times New Roman"/>
                <w:color w:val="000000"/>
                <w:sz w:val="26"/>
                <w:szCs w:val="26"/>
              </w:rPr>
              <w:t xml:space="preserve">Private </w:t>
            </w:r>
            <w:r w:rsidR="00F56D54" w:rsidRPr="00F56D54">
              <w:rPr>
                <w:rFonts w:ascii="Times New Roman" w:hAnsi="Times New Roman"/>
                <w:color w:val="000000"/>
                <w:sz w:val="26"/>
                <w:szCs w:val="26"/>
              </w:rPr>
              <w:t>Area Lighting</w:t>
            </w:r>
            <w:r w:rsidRPr="00F56D54">
              <w:rPr>
                <w:rFonts w:ascii="Times New Roman" w:hAnsi="Times New Roman"/>
                <w:color w:val="000000"/>
                <w:sz w:val="26"/>
                <w:szCs w:val="26"/>
              </w:rPr>
              <w:t xml:space="preserve"> </w:t>
            </w:r>
          </w:p>
        </w:tc>
        <w:tc>
          <w:tcPr>
            <w:tcW w:w="1109" w:type="dxa"/>
            <w:tcBorders>
              <w:top w:val="single" w:sz="4" w:space="0" w:color="000000"/>
              <w:left w:val="single" w:sz="4" w:space="0" w:color="000000"/>
              <w:bottom w:val="single" w:sz="4" w:space="0" w:color="000000"/>
              <w:right w:val="single" w:sz="4" w:space="0" w:color="000000"/>
            </w:tcBorders>
            <w:vAlign w:val="bottom"/>
          </w:tcPr>
          <w:p w14:paraId="2E3145EB" w14:textId="77777777" w:rsidR="00186DFC" w:rsidRPr="00F56D54" w:rsidRDefault="00186DFC" w:rsidP="00F56D54">
            <w:pPr>
              <w:keepNext/>
              <w:widowControl/>
              <w:spacing w:line="259" w:lineRule="auto"/>
              <w:ind w:right="49"/>
              <w:jc w:val="right"/>
              <w:rPr>
                <w:rFonts w:ascii="Times New Roman" w:hAnsi="Times New Roman"/>
                <w:color w:val="000000"/>
                <w:sz w:val="26"/>
                <w:szCs w:val="26"/>
              </w:rPr>
            </w:pPr>
            <w:r w:rsidRPr="00F56D54">
              <w:rPr>
                <w:rFonts w:ascii="Times New Roman" w:hAnsi="Times New Roman"/>
                <w:color w:val="000000"/>
                <w:sz w:val="26"/>
                <w:szCs w:val="26"/>
                <w:u w:val="single" w:color="000000"/>
              </w:rPr>
              <w:t>960</w:t>
            </w:r>
            <w:r w:rsidRPr="00F56D54">
              <w:rPr>
                <w:rFonts w:ascii="Times New Roman" w:hAnsi="Times New Roman"/>
                <w:color w:val="000000"/>
                <w:sz w:val="26"/>
                <w:szCs w:val="26"/>
              </w:rPr>
              <w:t xml:space="preserve"> </w:t>
            </w:r>
          </w:p>
        </w:tc>
        <w:tc>
          <w:tcPr>
            <w:tcW w:w="1296" w:type="dxa"/>
            <w:tcBorders>
              <w:top w:val="single" w:sz="4" w:space="0" w:color="000000"/>
              <w:left w:val="single" w:sz="4" w:space="0" w:color="000000"/>
              <w:bottom w:val="single" w:sz="4" w:space="0" w:color="000000"/>
              <w:right w:val="single" w:sz="4" w:space="0" w:color="000000"/>
            </w:tcBorders>
            <w:vAlign w:val="bottom"/>
          </w:tcPr>
          <w:p w14:paraId="33541C97" w14:textId="77777777" w:rsidR="00186DFC" w:rsidRPr="00F56D54" w:rsidRDefault="00186DFC" w:rsidP="00F56D54">
            <w:pPr>
              <w:keepNext/>
              <w:widowControl/>
              <w:spacing w:line="259" w:lineRule="auto"/>
              <w:ind w:right="50"/>
              <w:jc w:val="right"/>
              <w:rPr>
                <w:rFonts w:ascii="Times New Roman" w:hAnsi="Times New Roman"/>
                <w:color w:val="000000"/>
                <w:sz w:val="26"/>
                <w:szCs w:val="26"/>
              </w:rPr>
            </w:pPr>
            <w:r w:rsidRPr="00F56D54">
              <w:rPr>
                <w:rFonts w:ascii="Times New Roman" w:hAnsi="Times New Roman"/>
                <w:color w:val="000000"/>
                <w:sz w:val="26"/>
                <w:szCs w:val="26"/>
                <w:u w:val="single" w:color="000000"/>
              </w:rPr>
              <w:t>155,200</w:t>
            </w:r>
            <w:r w:rsidRPr="00F56D54">
              <w:rPr>
                <w:rFonts w:ascii="Times New Roman" w:hAnsi="Times New Roman"/>
                <w:color w:val="000000"/>
                <w:sz w:val="26"/>
                <w:szCs w:val="26"/>
              </w:rPr>
              <w:t xml:space="preserve"> </w:t>
            </w:r>
          </w:p>
        </w:tc>
        <w:tc>
          <w:tcPr>
            <w:tcW w:w="1176" w:type="dxa"/>
            <w:tcBorders>
              <w:top w:val="single" w:sz="4" w:space="0" w:color="000000"/>
              <w:left w:val="single" w:sz="4" w:space="0" w:color="000000"/>
              <w:bottom w:val="single" w:sz="4" w:space="0" w:color="000000"/>
              <w:right w:val="single" w:sz="4" w:space="0" w:color="000000"/>
            </w:tcBorders>
            <w:vAlign w:val="bottom"/>
          </w:tcPr>
          <w:p w14:paraId="3CD9ACFD" w14:textId="77777777" w:rsidR="00186DFC" w:rsidRPr="00F56D54" w:rsidRDefault="00186DFC" w:rsidP="00F56D54">
            <w:pPr>
              <w:keepNext/>
              <w:widowControl/>
              <w:spacing w:line="259" w:lineRule="auto"/>
              <w:ind w:right="49"/>
              <w:jc w:val="right"/>
              <w:rPr>
                <w:rFonts w:ascii="Times New Roman" w:hAnsi="Times New Roman"/>
                <w:color w:val="000000"/>
                <w:sz w:val="26"/>
                <w:szCs w:val="26"/>
              </w:rPr>
            </w:pPr>
            <w:r w:rsidRPr="00F56D54">
              <w:rPr>
                <w:rFonts w:ascii="Times New Roman" w:hAnsi="Times New Roman"/>
                <w:color w:val="000000"/>
                <w:sz w:val="26"/>
                <w:szCs w:val="26"/>
                <w:u w:val="single" w:color="000000"/>
              </w:rPr>
              <w:t>34,425</w:t>
            </w:r>
            <w:r w:rsidRPr="00F56D54">
              <w:rPr>
                <w:rFonts w:ascii="Times New Roman" w:hAnsi="Times New Roman"/>
                <w:color w:val="000000"/>
                <w:sz w:val="26"/>
                <w:szCs w:val="26"/>
              </w:rPr>
              <w:t xml:space="preserve"> </w:t>
            </w:r>
          </w:p>
        </w:tc>
        <w:tc>
          <w:tcPr>
            <w:tcW w:w="1177" w:type="dxa"/>
            <w:tcBorders>
              <w:top w:val="single" w:sz="4" w:space="0" w:color="000000"/>
              <w:left w:val="single" w:sz="4" w:space="0" w:color="000000"/>
              <w:bottom w:val="single" w:sz="4" w:space="0" w:color="000000"/>
              <w:right w:val="single" w:sz="4" w:space="0" w:color="000000"/>
            </w:tcBorders>
            <w:vAlign w:val="bottom"/>
          </w:tcPr>
          <w:p w14:paraId="05CE417A" w14:textId="77777777" w:rsidR="00186DFC" w:rsidRPr="00F56D54" w:rsidRDefault="00186DFC" w:rsidP="00F56D54">
            <w:pPr>
              <w:keepNext/>
              <w:widowControl/>
              <w:spacing w:line="259" w:lineRule="auto"/>
              <w:ind w:right="50"/>
              <w:jc w:val="right"/>
              <w:rPr>
                <w:rFonts w:ascii="Times New Roman" w:hAnsi="Times New Roman"/>
                <w:color w:val="000000"/>
                <w:sz w:val="26"/>
                <w:szCs w:val="26"/>
              </w:rPr>
            </w:pPr>
            <w:r w:rsidRPr="00F56D54">
              <w:rPr>
                <w:rFonts w:ascii="Times New Roman" w:hAnsi="Times New Roman"/>
                <w:color w:val="000000"/>
                <w:sz w:val="26"/>
                <w:szCs w:val="26"/>
                <w:u w:val="single" w:color="000000"/>
              </w:rPr>
              <w:t>34,425</w:t>
            </w:r>
            <w:r w:rsidRPr="00F56D54">
              <w:rPr>
                <w:rFonts w:ascii="Times New Roman" w:hAnsi="Times New Roman"/>
                <w:color w:val="000000"/>
                <w:sz w:val="26"/>
                <w:szCs w:val="26"/>
              </w:rPr>
              <w:t xml:space="preserve"> </w:t>
            </w:r>
          </w:p>
        </w:tc>
        <w:tc>
          <w:tcPr>
            <w:tcW w:w="1176" w:type="dxa"/>
            <w:tcBorders>
              <w:top w:val="single" w:sz="4" w:space="0" w:color="000000"/>
              <w:left w:val="single" w:sz="4" w:space="0" w:color="000000"/>
              <w:bottom w:val="single" w:sz="4" w:space="0" w:color="000000"/>
              <w:right w:val="single" w:sz="4" w:space="0" w:color="000000"/>
            </w:tcBorders>
            <w:vAlign w:val="bottom"/>
          </w:tcPr>
          <w:p w14:paraId="54B29772" w14:textId="77777777" w:rsidR="00186DFC" w:rsidRPr="00F56D54" w:rsidRDefault="00186DFC" w:rsidP="00F56D54">
            <w:pPr>
              <w:keepNext/>
              <w:widowControl/>
              <w:spacing w:line="259" w:lineRule="auto"/>
              <w:ind w:right="51"/>
              <w:jc w:val="right"/>
              <w:rPr>
                <w:rFonts w:ascii="Times New Roman" w:hAnsi="Times New Roman"/>
                <w:color w:val="000000"/>
                <w:sz w:val="26"/>
                <w:szCs w:val="26"/>
              </w:rPr>
            </w:pPr>
            <w:r w:rsidRPr="00F56D54">
              <w:rPr>
                <w:rFonts w:ascii="Times New Roman" w:hAnsi="Times New Roman"/>
                <w:color w:val="000000"/>
                <w:sz w:val="26"/>
                <w:szCs w:val="26"/>
                <w:u w:val="single" w:color="000000"/>
              </w:rPr>
              <w:t>0</w:t>
            </w:r>
            <w:r w:rsidRPr="00F56D54">
              <w:rPr>
                <w:rFonts w:ascii="Times New Roman" w:hAnsi="Times New Roman"/>
                <w:color w:val="000000"/>
                <w:sz w:val="26"/>
                <w:szCs w:val="26"/>
              </w:rPr>
              <w:t xml:space="preserve"> </w:t>
            </w:r>
          </w:p>
        </w:tc>
        <w:tc>
          <w:tcPr>
            <w:tcW w:w="828" w:type="dxa"/>
            <w:tcBorders>
              <w:top w:val="single" w:sz="4" w:space="0" w:color="000000"/>
              <w:left w:val="single" w:sz="4" w:space="0" w:color="000000"/>
              <w:bottom w:val="single" w:sz="4" w:space="0" w:color="000000"/>
              <w:right w:val="single" w:sz="4" w:space="0" w:color="000000"/>
            </w:tcBorders>
            <w:vAlign w:val="bottom"/>
          </w:tcPr>
          <w:p w14:paraId="6268DE1B" w14:textId="77777777" w:rsidR="00186DFC" w:rsidRPr="00F56D54" w:rsidRDefault="00186DFC" w:rsidP="00F56D54">
            <w:pPr>
              <w:keepNext/>
              <w:widowControl/>
              <w:spacing w:line="259" w:lineRule="auto"/>
              <w:ind w:right="50"/>
              <w:jc w:val="right"/>
              <w:rPr>
                <w:rFonts w:ascii="Times New Roman" w:hAnsi="Times New Roman"/>
                <w:color w:val="000000"/>
                <w:sz w:val="26"/>
                <w:szCs w:val="26"/>
              </w:rPr>
            </w:pPr>
            <w:r w:rsidRPr="00F56D54">
              <w:rPr>
                <w:rFonts w:ascii="Times New Roman" w:hAnsi="Times New Roman"/>
                <w:color w:val="000000"/>
                <w:sz w:val="26"/>
                <w:szCs w:val="26"/>
                <w:u w:val="single" w:color="000000"/>
              </w:rPr>
              <w:t>0.0%</w:t>
            </w:r>
            <w:r w:rsidRPr="00F56D54">
              <w:rPr>
                <w:rFonts w:ascii="Times New Roman" w:hAnsi="Times New Roman"/>
                <w:color w:val="000000"/>
                <w:sz w:val="26"/>
                <w:szCs w:val="26"/>
              </w:rPr>
              <w:t xml:space="preserve"> </w:t>
            </w:r>
          </w:p>
        </w:tc>
      </w:tr>
      <w:tr w:rsidR="00186DFC" w:rsidRPr="00F56D54" w14:paraId="70194656" w14:textId="77777777" w:rsidTr="001C5320">
        <w:trPr>
          <w:trHeight w:val="322"/>
        </w:trPr>
        <w:tc>
          <w:tcPr>
            <w:tcW w:w="816" w:type="dxa"/>
            <w:tcBorders>
              <w:top w:val="single" w:sz="4" w:space="0" w:color="000000"/>
              <w:left w:val="single" w:sz="4" w:space="0" w:color="000000"/>
              <w:bottom w:val="single" w:sz="4" w:space="0" w:color="000000"/>
              <w:right w:val="single" w:sz="4" w:space="0" w:color="000000"/>
            </w:tcBorders>
          </w:tcPr>
          <w:p w14:paraId="49CFF3EF" w14:textId="77777777" w:rsidR="00186DFC" w:rsidRPr="00F56D54" w:rsidRDefault="00186DFC" w:rsidP="00F56D54">
            <w:pPr>
              <w:keepNext/>
              <w:widowControl/>
              <w:spacing w:line="259" w:lineRule="auto"/>
              <w:rPr>
                <w:rFonts w:ascii="Times New Roman" w:hAnsi="Times New Roman"/>
                <w:color w:val="000000"/>
                <w:sz w:val="26"/>
                <w:szCs w:val="26"/>
              </w:rPr>
            </w:pPr>
            <w:r w:rsidRPr="00F56D54">
              <w:rPr>
                <w:rFonts w:ascii="Times New Roman" w:hAnsi="Times New Roman"/>
                <w:color w:val="000000"/>
                <w:sz w:val="26"/>
                <w:szCs w:val="26"/>
              </w:rPr>
              <w:t xml:space="preserve">Total </w:t>
            </w:r>
          </w:p>
        </w:tc>
        <w:tc>
          <w:tcPr>
            <w:tcW w:w="3145" w:type="dxa"/>
            <w:tcBorders>
              <w:top w:val="single" w:sz="4" w:space="0" w:color="000000"/>
              <w:left w:val="single" w:sz="4" w:space="0" w:color="000000"/>
              <w:bottom w:val="single" w:sz="4" w:space="0" w:color="000000"/>
              <w:right w:val="single" w:sz="4" w:space="0" w:color="000000"/>
            </w:tcBorders>
          </w:tcPr>
          <w:p w14:paraId="49CDFCC1" w14:textId="77777777" w:rsidR="00186DFC" w:rsidRPr="00F56D54" w:rsidRDefault="00186DFC" w:rsidP="00F56D54">
            <w:pPr>
              <w:keepNext/>
              <w:widowControl/>
              <w:spacing w:line="259" w:lineRule="auto"/>
              <w:rPr>
                <w:rFonts w:ascii="Times New Roman" w:hAnsi="Times New Roman"/>
                <w:color w:val="000000"/>
                <w:sz w:val="26"/>
                <w:szCs w:val="26"/>
              </w:rPr>
            </w:pPr>
            <w:r w:rsidRPr="00F56D54">
              <w:rPr>
                <w:rFonts w:ascii="Times New Roman" w:hAnsi="Times New Roman"/>
                <w:color w:val="000000"/>
                <w:sz w:val="26"/>
                <w:szCs w:val="26"/>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7E664549" w14:textId="77777777" w:rsidR="00186DFC" w:rsidRPr="00F56D54" w:rsidRDefault="00186DFC" w:rsidP="00F56D54">
            <w:pPr>
              <w:keepNext/>
              <w:widowControl/>
              <w:spacing w:line="259" w:lineRule="auto"/>
              <w:ind w:right="49"/>
              <w:jc w:val="right"/>
              <w:rPr>
                <w:rFonts w:ascii="Times New Roman" w:hAnsi="Times New Roman"/>
                <w:color w:val="000000"/>
                <w:sz w:val="26"/>
                <w:szCs w:val="26"/>
              </w:rPr>
            </w:pPr>
            <w:r w:rsidRPr="00F56D54">
              <w:rPr>
                <w:rFonts w:ascii="Times New Roman" w:hAnsi="Times New Roman"/>
                <w:color w:val="000000"/>
                <w:sz w:val="26"/>
                <w:szCs w:val="26"/>
              </w:rPr>
              <w:t xml:space="preserve">58,320 </w:t>
            </w:r>
          </w:p>
        </w:tc>
        <w:tc>
          <w:tcPr>
            <w:tcW w:w="1296" w:type="dxa"/>
            <w:tcBorders>
              <w:top w:val="single" w:sz="4" w:space="0" w:color="000000"/>
              <w:left w:val="single" w:sz="4" w:space="0" w:color="000000"/>
              <w:bottom w:val="single" w:sz="4" w:space="0" w:color="000000"/>
              <w:right w:val="single" w:sz="4" w:space="0" w:color="000000"/>
            </w:tcBorders>
          </w:tcPr>
          <w:p w14:paraId="347D052B" w14:textId="77777777" w:rsidR="00186DFC" w:rsidRPr="00F56D54" w:rsidRDefault="00186DFC" w:rsidP="00F56D54">
            <w:pPr>
              <w:keepNext/>
              <w:widowControl/>
              <w:spacing w:line="259" w:lineRule="auto"/>
              <w:ind w:right="50"/>
              <w:jc w:val="right"/>
              <w:rPr>
                <w:rFonts w:ascii="Times New Roman" w:hAnsi="Times New Roman"/>
                <w:color w:val="000000"/>
                <w:sz w:val="26"/>
                <w:szCs w:val="26"/>
              </w:rPr>
            </w:pPr>
            <w:r w:rsidRPr="00F56D54">
              <w:rPr>
                <w:rFonts w:ascii="Times New Roman" w:hAnsi="Times New Roman"/>
                <w:color w:val="000000"/>
                <w:sz w:val="26"/>
                <w:szCs w:val="26"/>
              </w:rPr>
              <w:t xml:space="preserve">72,993,100 </w:t>
            </w:r>
          </w:p>
        </w:tc>
        <w:tc>
          <w:tcPr>
            <w:tcW w:w="1176" w:type="dxa"/>
            <w:tcBorders>
              <w:top w:val="single" w:sz="4" w:space="0" w:color="000000"/>
              <w:left w:val="single" w:sz="4" w:space="0" w:color="000000"/>
              <w:bottom w:val="single" w:sz="4" w:space="0" w:color="000000"/>
              <w:right w:val="single" w:sz="4" w:space="0" w:color="000000"/>
            </w:tcBorders>
          </w:tcPr>
          <w:p w14:paraId="3B3C2201" w14:textId="77777777" w:rsidR="00186DFC" w:rsidRPr="00F56D54" w:rsidRDefault="00186DFC" w:rsidP="00F56D54">
            <w:pPr>
              <w:keepNext/>
              <w:widowControl/>
              <w:spacing w:line="259" w:lineRule="auto"/>
              <w:ind w:right="50"/>
              <w:jc w:val="right"/>
              <w:rPr>
                <w:rFonts w:ascii="Times New Roman" w:hAnsi="Times New Roman"/>
                <w:color w:val="000000"/>
                <w:sz w:val="26"/>
                <w:szCs w:val="26"/>
              </w:rPr>
            </w:pPr>
            <w:r w:rsidRPr="00F56D54">
              <w:rPr>
                <w:rFonts w:ascii="Times New Roman" w:hAnsi="Times New Roman"/>
                <w:color w:val="000000"/>
                <w:sz w:val="26"/>
                <w:szCs w:val="26"/>
              </w:rPr>
              <w:t xml:space="preserve">5,214,505 </w:t>
            </w:r>
          </w:p>
        </w:tc>
        <w:tc>
          <w:tcPr>
            <w:tcW w:w="1177" w:type="dxa"/>
            <w:tcBorders>
              <w:top w:val="single" w:sz="4" w:space="0" w:color="000000"/>
              <w:left w:val="single" w:sz="4" w:space="0" w:color="000000"/>
              <w:bottom w:val="single" w:sz="4" w:space="0" w:color="000000"/>
              <w:right w:val="single" w:sz="4" w:space="0" w:color="000000"/>
            </w:tcBorders>
          </w:tcPr>
          <w:p w14:paraId="0CF162F9" w14:textId="77777777" w:rsidR="00186DFC" w:rsidRPr="00F56D54" w:rsidRDefault="00186DFC" w:rsidP="00F56D54">
            <w:pPr>
              <w:keepNext/>
              <w:widowControl/>
              <w:spacing w:line="259" w:lineRule="auto"/>
              <w:ind w:right="50"/>
              <w:jc w:val="right"/>
              <w:rPr>
                <w:rFonts w:ascii="Times New Roman" w:hAnsi="Times New Roman"/>
                <w:color w:val="000000"/>
                <w:sz w:val="26"/>
                <w:szCs w:val="26"/>
              </w:rPr>
            </w:pPr>
            <w:r w:rsidRPr="00F56D54">
              <w:rPr>
                <w:rFonts w:ascii="Times New Roman" w:hAnsi="Times New Roman"/>
                <w:color w:val="000000"/>
                <w:sz w:val="26"/>
                <w:szCs w:val="26"/>
              </w:rPr>
              <w:t xml:space="preserve">6,614,486 </w:t>
            </w:r>
          </w:p>
        </w:tc>
        <w:tc>
          <w:tcPr>
            <w:tcW w:w="1176" w:type="dxa"/>
            <w:tcBorders>
              <w:top w:val="single" w:sz="4" w:space="0" w:color="000000"/>
              <w:left w:val="single" w:sz="4" w:space="0" w:color="000000"/>
              <w:bottom w:val="single" w:sz="4" w:space="0" w:color="000000"/>
              <w:right w:val="single" w:sz="4" w:space="0" w:color="000000"/>
            </w:tcBorders>
          </w:tcPr>
          <w:p w14:paraId="236E9F6F" w14:textId="77777777" w:rsidR="00186DFC" w:rsidRPr="00F56D54" w:rsidRDefault="00186DFC" w:rsidP="00F56D54">
            <w:pPr>
              <w:keepNext/>
              <w:widowControl/>
              <w:spacing w:line="259" w:lineRule="auto"/>
              <w:ind w:right="50"/>
              <w:jc w:val="right"/>
              <w:rPr>
                <w:rFonts w:ascii="Times New Roman" w:hAnsi="Times New Roman"/>
                <w:color w:val="000000"/>
                <w:sz w:val="26"/>
                <w:szCs w:val="26"/>
              </w:rPr>
            </w:pPr>
            <w:r w:rsidRPr="00F56D54">
              <w:rPr>
                <w:rFonts w:ascii="Times New Roman" w:hAnsi="Times New Roman"/>
                <w:color w:val="000000"/>
                <w:sz w:val="26"/>
                <w:szCs w:val="26"/>
              </w:rPr>
              <w:t xml:space="preserve">1,399,981 </w:t>
            </w:r>
          </w:p>
        </w:tc>
        <w:tc>
          <w:tcPr>
            <w:tcW w:w="828" w:type="dxa"/>
            <w:tcBorders>
              <w:top w:val="single" w:sz="4" w:space="0" w:color="000000"/>
              <w:left w:val="single" w:sz="4" w:space="0" w:color="000000"/>
              <w:bottom w:val="single" w:sz="4" w:space="0" w:color="000000"/>
              <w:right w:val="single" w:sz="4" w:space="0" w:color="000000"/>
            </w:tcBorders>
          </w:tcPr>
          <w:p w14:paraId="65E728E8" w14:textId="77777777" w:rsidR="00186DFC" w:rsidRPr="00F56D54" w:rsidRDefault="00186DFC" w:rsidP="00F56D54">
            <w:pPr>
              <w:keepNext/>
              <w:widowControl/>
              <w:spacing w:line="259" w:lineRule="auto"/>
              <w:ind w:right="48"/>
              <w:jc w:val="right"/>
              <w:rPr>
                <w:rFonts w:ascii="Times New Roman" w:hAnsi="Times New Roman"/>
                <w:color w:val="000000"/>
                <w:sz w:val="26"/>
                <w:szCs w:val="26"/>
              </w:rPr>
            </w:pPr>
            <w:r w:rsidRPr="00F56D54">
              <w:rPr>
                <w:rFonts w:ascii="Times New Roman" w:hAnsi="Times New Roman"/>
                <w:color w:val="000000"/>
                <w:sz w:val="26"/>
                <w:szCs w:val="26"/>
              </w:rPr>
              <w:t xml:space="preserve">26.8% </w:t>
            </w:r>
          </w:p>
        </w:tc>
      </w:tr>
    </w:tbl>
    <w:p w14:paraId="14AC4D54" w14:textId="77777777" w:rsidR="00186DFC" w:rsidRPr="00F56D54" w:rsidRDefault="00186DFC" w:rsidP="00F56D54">
      <w:pPr>
        <w:widowControl/>
        <w:spacing w:line="259" w:lineRule="auto"/>
        <w:ind w:left="1531"/>
        <w:rPr>
          <w:color w:val="000000"/>
          <w:sz w:val="26"/>
          <w:szCs w:val="26"/>
        </w:rPr>
      </w:pPr>
      <w:r w:rsidRPr="00F56D54">
        <w:rPr>
          <w:color w:val="000000"/>
          <w:sz w:val="26"/>
          <w:szCs w:val="26"/>
        </w:rPr>
        <w:t xml:space="preserve"> </w:t>
      </w:r>
    </w:p>
    <w:p w14:paraId="311F3B33" w14:textId="77777777" w:rsidR="00186DFC" w:rsidRPr="00F56D54" w:rsidRDefault="00186DFC" w:rsidP="00F56D54">
      <w:pPr>
        <w:widowControl/>
        <w:numPr>
          <w:ilvl w:val="2"/>
          <w:numId w:val="49"/>
        </w:numPr>
        <w:spacing w:after="5"/>
        <w:ind w:left="2160" w:right="1389" w:hanging="10"/>
        <w:rPr>
          <w:color w:val="000000"/>
          <w:sz w:val="26"/>
          <w:szCs w:val="26"/>
        </w:rPr>
      </w:pPr>
      <w:r w:rsidRPr="00F56D54">
        <w:rPr>
          <w:color w:val="000000"/>
          <w:sz w:val="26"/>
          <w:szCs w:val="26"/>
        </w:rPr>
        <w:t xml:space="preserve">In addition to, and in consideration of, the agreed-upon provisions of the April 9, 2021 Joint Petition for Partial Settlement, the Rate Structure Petitioners agree to the additional terms and conditions set forth as follows:  </w:t>
      </w:r>
    </w:p>
    <w:p w14:paraId="162EE966" w14:textId="06C8E83D" w:rsidR="00186DFC" w:rsidRPr="00F56D54" w:rsidRDefault="00186DFC" w:rsidP="00F56D54">
      <w:pPr>
        <w:widowControl/>
        <w:spacing w:line="259" w:lineRule="auto"/>
        <w:rPr>
          <w:color w:val="000000"/>
          <w:sz w:val="26"/>
          <w:szCs w:val="26"/>
        </w:rPr>
      </w:pPr>
    </w:p>
    <w:p w14:paraId="20BCA7AD" w14:textId="71DBC12A" w:rsidR="00186DFC" w:rsidRPr="00F56D54" w:rsidRDefault="00186DFC" w:rsidP="00F56D54">
      <w:pPr>
        <w:widowControl/>
        <w:spacing w:after="5" w:line="238" w:lineRule="auto"/>
        <w:ind w:left="2880" w:right="1524" w:hanging="10"/>
        <w:rPr>
          <w:color w:val="000000"/>
          <w:sz w:val="26"/>
          <w:szCs w:val="26"/>
        </w:rPr>
      </w:pPr>
      <w:r w:rsidRPr="00F56D54">
        <w:rPr>
          <w:color w:val="000000"/>
          <w:sz w:val="26"/>
          <w:szCs w:val="26"/>
        </w:rPr>
        <w:t xml:space="preserve">a. </w:t>
      </w:r>
      <w:r w:rsidR="00F56D54" w:rsidRPr="00F56D54">
        <w:rPr>
          <w:color w:val="000000"/>
          <w:sz w:val="26"/>
          <w:szCs w:val="26"/>
        </w:rPr>
        <w:tab/>
      </w:r>
      <w:r w:rsidRPr="00F56D54">
        <w:rPr>
          <w:color w:val="000000"/>
          <w:sz w:val="26"/>
          <w:szCs w:val="26"/>
        </w:rPr>
        <w:t xml:space="preserve">Rate Structure/Rate Design — Rate Structure Petitioners agree to the distribution of revenue among customer classes in this Rate Structure Settlement as set forth in the attached Proof of Revenues at Appendix B.  </w:t>
      </w:r>
    </w:p>
    <w:p w14:paraId="0079657A" w14:textId="77777777" w:rsidR="00186DFC" w:rsidRPr="00F56D54" w:rsidRDefault="00186DFC" w:rsidP="00F56D54">
      <w:pPr>
        <w:widowControl/>
        <w:spacing w:line="259" w:lineRule="auto"/>
        <w:rPr>
          <w:color w:val="000000"/>
          <w:sz w:val="26"/>
          <w:szCs w:val="26"/>
        </w:rPr>
      </w:pPr>
      <w:r w:rsidRPr="00F56D54">
        <w:rPr>
          <w:color w:val="000000"/>
          <w:sz w:val="26"/>
          <w:szCs w:val="26"/>
        </w:rPr>
        <w:t xml:space="preserve"> </w:t>
      </w:r>
    </w:p>
    <w:p w14:paraId="4C36B3B0" w14:textId="24254FDF" w:rsidR="00186DFC" w:rsidRPr="00F56D54" w:rsidRDefault="00186DFC" w:rsidP="00F56D54">
      <w:pPr>
        <w:widowControl/>
        <w:numPr>
          <w:ilvl w:val="1"/>
          <w:numId w:val="50"/>
        </w:numPr>
        <w:spacing w:after="5" w:line="241" w:lineRule="auto"/>
        <w:ind w:left="2160" w:right="1499" w:hanging="10"/>
        <w:rPr>
          <w:color w:val="000000"/>
          <w:sz w:val="26"/>
          <w:szCs w:val="26"/>
        </w:rPr>
      </w:pPr>
      <w:r w:rsidRPr="00F56D54">
        <w:rPr>
          <w:color w:val="000000"/>
          <w:sz w:val="26"/>
          <w:szCs w:val="26"/>
        </w:rPr>
        <w:t xml:space="preserve">A comparison of the total monthly bill impact for residential and commercial rate classes, comparing present rates, as filed rates, and settlement rates is provided below: </w:t>
      </w:r>
    </w:p>
    <w:p w14:paraId="699853E2" w14:textId="491B7219" w:rsidR="00186DFC" w:rsidRDefault="00186DFC" w:rsidP="00F56D54">
      <w:pPr>
        <w:widowControl/>
        <w:spacing w:line="259" w:lineRule="auto"/>
        <w:rPr>
          <w:color w:val="000000"/>
          <w:sz w:val="26"/>
          <w:szCs w:val="26"/>
        </w:rPr>
      </w:pPr>
    </w:p>
    <w:p w14:paraId="3CF507CB" w14:textId="1F38C101" w:rsidR="00B011E9" w:rsidRDefault="00B011E9" w:rsidP="00F56D54">
      <w:pPr>
        <w:widowControl/>
        <w:spacing w:line="259" w:lineRule="auto"/>
        <w:rPr>
          <w:color w:val="000000"/>
          <w:sz w:val="26"/>
          <w:szCs w:val="26"/>
        </w:rPr>
      </w:pPr>
    </w:p>
    <w:p w14:paraId="5F50F710" w14:textId="40230764" w:rsidR="00B011E9" w:rsidRDefault="00B011E9" w:rsidP="00F56D54">
      <w:pPr>
        <w:widowControl/>
        <w:spacing w:line="259" w:lineRule="auto"/>
        <w:rPr>
          <w:color w:val="000000"/>
          <w:sz w:val="26"/>
          <w:szCs w:val="26"/>
        </w:rPr>
      </w:pPr>
    </w:p>
    <w:p w14:paraId="1ADF545B" w14:textId="04B3F669" w:rsidR="00B011E9" w:rsidRDefault="00B011E9" w:rsidP="00F56D54">
      <w:pPr>
        <w:widowControl/>
        <w:spacing w:line="259" w:lineRule="auto"/>
        <w:rPr>
          <w:color w:val="000000"/>
          <w:sz w:val="26"/>
          <w:szCs w:val="26"/>
        </w:rPr>
      </w:pPr>
    </w:p>
    <w:p w14:paraId="0700DB56" w14:textId="46EB26C4" w:rsidR="00B011E9" w:rsidRDefault="00B011E9" w:rsidP="00F56D54">
      <w:pPr>
        <w:widowControl/>
        <w:spacing w:line="259" w:lineRule="auto"/>
        <w:rPr>
          <w:color w:val="000000"/>
          <w:sz w:val="26"/>
          <w:szCs w:val="26"/>
        </w:rPr>
      </w:pPr>
    </w:p>
    <w:p w14:paraId="463B13B4" w14:textId="77777777" w:rsidR="00B011E9" w:rsidRPr="00F56D54" w:rsidRDefault="00B011E9" w:rsidP="00F56D54">
      <w:pPr>
        <w:widowControl/>
        <w:spacing w:line="259" w:lineRule="auto"/>
        <w:rPr>
          <w:color w:val="000000"/>
          <w:sz w:val="26"/>
          <w:szCs w:val="26"/>
        </w:rPr>
      </w:pPr>
    </w:p>
    <w:tbl>
      <w:tblPr>
        <w:tblStyle w:val="TableGrid10"/>
        <w:tblW w:w="9606" w:type="dxa"/>
        <w:tblInd w:w="5" w:type="dxa"/>
        <w:tblCellMar>
          <w:top w:w="15" w:type="dxa"/>
          <w:left w:w="106" w:type="dxa"/>
          <w:right w:w="13" w:type="dxa"/>
        </w:tblCellMar>
        <w:tblLook w:val="04A0" w:firstRow="1" w:lastRow="0" w:firstColumn="1" w:lastColumn="0" w:noHBand="0" w:noVBand="1"/>
      </w:tblPr>
      <w:tblGrid>
        <w:gridCol w:w="2780"/>
        <w:gridCol w:w="1504"/>
        <w:gridCol w:w="1397"/>
        <w:gridCol w:w="1312"/>
        <w:gridCol w:w="1334"/>
        <w:gridCol w:w="1279"/>
      </w:tblGrid>
      <w:tr w:rsidR="00DC6FFE" w:rsidRPr="00F56D54" w14:paraId="4EE3B847" w14:textId="77777777" w:rsidTr="00D36C9B">
        <w:trPr>
          <w:trHeight w:val="298"/>
        </w:trPr>
        <w:tc>
          <w:tcPr>
            <w:tcW w:w="9606" w:type="dxa"/>
            <w:gridSpan w:val="6"/>
            <w:tcBorders>
              <w:top w:val="single" w:sz="4" w:space="0" w:color="000000"/>
              <w:left w:val="single" w:sz="4" w:space="0" w:color="000000"/>
              <w:bottom w:val="single" w:sz="4" w:space="0" w:color="000000"/>
              <w:right w:val="single" w:sz="4" w:space="0" w:color="000000"/>
            </w:tcBorders>
          </w:tcPr>
          <w:p w14:paraId="41E02477" w14:textId="1A06B229" w:rsidR="00DC6FFE" w:rsidRPr="00F56D54" w:rsidRDefault="00DC6FFE" w:rsidP="00B011E9">
            <w:pPr>
              <w:widowControl/>
              <w:spacing w:before="20" w:after="20"/>
              <w:jc w:val="center"/>
              <w:rPr>
                <w:rFonts w:ascii="Times New Roman" w:hAnsi="Times New Roman"/>
                <w:color w:val="000000"/>
                <w:sz w:val="26"/>
                <w:szCs w:val="26"/>
              </w:rPr>
            </w:pPr>
            <w:r w:rsidRPr="00F56D54">
              <w:rPr>
                <w:rFonts w:ascii="Times New Roman" w:hAnsi="Times New Roman"/>
                <w:b/>
                <w:color w:val="000000"/>
                <w:sz w:val="26"/>
                <w:szCs w:val="26"/>
              </w:rPr>
              <w:lastRenderedPageBreak/>
              <w:t>Pike County &amp; Power Company</w:t>
            </w:r>
          </w:p>
        </w:tc>
      </w:tr>
      <w:tr w:rsidR="00DC6FFE" w:rsidRPr="00F56D54" w14:paraId="0C89A943" w14:textId="77777777" w:rsidTr="004D0C64">
        <w:trPr>
          <w:trHeight w:val="298"/>
        </w:trPr>
        <w:tc>
          <w:tcPr>
            <w:tcW w:w="9606" w:type="dxa"/>
            <w:gridSpan w:val="6"/>
            <w:tcBorders>
              <w:top w:val="single" w:sz="4" w:space="0" w:color="000000"/>
              <w:left w:val="single" w:sz="4" w:space="0" w:color="000000"/>
              <w:bottom w:val="single" w:sz="4" w:space="0" w:color="000000"/>
              <w:right w:val="single" w:sz="4" w:space="0" w:color="000000"/>
            </w:tcBorders>
          </w:tcPr>
          <w:p w14:paraId="15EEFDC2" w14:textId="0DED8359" w:rsidR="00DC6FFE" w:rsidRPr="00F56D54" w:rsidRDefault="00DC6FFE" w:rsidP="00B011E9">
            <w:pPr>
              <w:widowControl/>
              <w:spacing w:before="20" w:after="20"/>
              <w:jc w:val="center"/>
              <w:rPr>
                <w:rFonts w:ascii="Times New Roman" w:hAnsi="Times New Roman"/>
                <w:color w:val="000000"/>
                <w:sz w:val="26"/>
                <w:szCs w:val="26"/>
              </w:rPr>
            </w:pPr>
            <w:r w:rsidRPr="00F56D54">
              <w:rPr>
                <w:rFonts w:ascii="Times New Roman" w:hAnsi="Times New Roman"/>
                <w:color w:val="000000"/>
                <w:sz w:val="26"/>
                <w:szCs w:val="26"/>
              </w:rPr>
              <w:t>Electric Rate Case Filing</w:t>
            </w:r>
          </w:p>
        </w:tc>
      </w:tr>
      <w:tr w:rsidR="00DC6FFE" w:rsidRPr="00F56D54" w14:paraId="02E05FDC" w14:textId="77777777" w:rsidTr="00607419">
        <w:trPr>
          <w:trHeight w:val="298"/>
        </w:trPr>
        <w:tc>
          <w:tcPr>
            <w:tcW w:w="9606" w:type="dxa"/>
            <w:gridSpan w:val="6"/>
            <w:tcBorders>
              <w:top w:val="single" w:sz="4" w:space="0" w:color="000000"/>
              <w:left w:val="single" w:sz="4" w:space="0" w:color="000000"/>
              <w:bottom w:val="single" w:sz="4" w:space="0" w:color="000000"/>
              <w:right w:val="single" w:sz="4" w:space="0" w:color="000000"/>
            </w:tcBorders>
          </w:tcPr>
          <w:p w14:paraId="4E0076F4" w14:textId="6BD4A680" w:rsidR="00DC6FFE" w:rsidRPr="00F56D54" w:rsidRDefault="00DC6FFE" w:rsidP="00B011E9">
            <w:pPr>
              <w:widowControl/>
              <w:spacing w:before="20" w:after="20"/>
              <w:jc w:val="center"/>
              <w:rPr>
                <w:rFonts w:ascii="Times New Roman" w:hAnsi="Times New Roman"/>
                <w:color w:val="000000"/>
                <w:sz w:val="26"/>
                <w:szCs w:val="26"/>
              </w:rPr>
            </w:pPr>
            <w:r w:rsidRPr="00F56D54">
              <w:rPr>
                <w:rFonts w:ascii="Times New Roman" w:hAnsi="Times New Roman"/>
                <w:color w:val="000000"/>
                <w:sz w:val="26"/>
                <w:szCs w:val="26"/>
              </w:rPr>
              <w:t>Docket No. R- 2020-3022135</w:t>
            </w:r>
          </w:p>
        </w:tc>
      </w:tr>
      <w:tr w:rsidR="00F54206" w:rsidRPr="00F56D54" w14:paraId="35E5EA1F" w14:textId="77777777" w:rsidTr="00F54206">
        <w:trPr>
          <w:trHeight w:val="298"/>
        </w:trPr>
        <w:tc>
          <w:tcPr>
            <w:tcW w:w="2780" w:type="dxa"/>
            <w:tcBorders>
              <w:top w:val="single" w:sz="4" w:space="0" w:color="000000"/>
              <w:left w:val="single" w:sz="4" w:space="0" w:color="000000"/>
              <w:bottom w:val="single" w:sz="4" w:space="0" w:color="000000"/>
              <w:right w:val="single" w:sz="4" w:space="0" w:color="000000"/>
            </w:tcBorders>
          </w:tcPr>
          <w:p w14:paraId="74CA4001" w14:textId="77777777" w:rsidR="00186DFC" w:rsidRPr="00F56D54" w:rsidRDefault="00186DFC" w:rsidP="00F56D54">
            <w:pPr>
              <w:keepNext/>
              <w:widowControl/>
              <w:spacing w:line="259" w:lineRule="auto"/>
              <w:ind w:left="2"/>
              <w:rPr>
                <w:rFonts w:ascii="Times New Roman" w:hAnsi="Times New Roman"/>
                <w:color w:val="000000"/>
                <w:sz w:val="26"/>
                <w:szCs w:val="26"/>
              </w:rPr>
            </w:pPr>
            <w:r w:rsidRPr="00F56D54">
              <w:rPr>
                <w:rFonts w:ascii="Times New Roman" w:hAnsi="Times New Roman"/>
                <w:color w:val="000000"/>
                <w:sz w:val="26"/>
                <w:szCs w:val="26"/>
              </w:rPr>
              <w:t xml:space="preserve">  </w:t>
            </w:r>
          </w:p>
        </w:tc>
        <w:tc>
          <w:tcPr>
            <w:tcW w:w="1504" w:type="dxa"/>
            <w:tcBorders>
              <w:top w:val="single" w:sz="4" w:space="0" w:color="000000"/>
              <w:left w:val="single" w:sz="4" w:space="0" w:color="000000"/>
              <w:bottom w:val="single" w:sz="4" w:space="0" w:color="000000"/>
              <w:right w:val="single" w:sz="4" w:space="0" w:color="000000"/>
            </w:tcBorders>
          </w:tcPr>
          <w:p w14:paraId="0E065257" w14:textId="77777777" w:rsidR="00186DFC" w:rsidRPr="00F56D54" w:rsidRDefault="00186DFC" w:rsidP="00F56D54">
            <w:pPr>
              <w:widowControl/>
              <w:spacing w:line="259" w:lineRule="auto"/>
              <w:rPr>
                <w:rFonts w:ascii="Times New Roman" w:hAnsi="Times New Roman"/>
                <w:color w:val="000000"/>
                <w:sz w:val="26"/>
                <w:szCs w:val="26"/>
              </w:rPr>
            </w:pPr>
            <w:r w:rsidRPr="00F56D54">
              <w:rPr>
                <w:rFonts w:ascii="Times New Roman" w:hAnsi="Times New Roman"/>
                <w:color w:val="000000"/>
                <w:sz w:val="26"/>
                <w:szCs w:val="26"/>
              </w:rPr>
              <w:t xml:space="preserve">  </w:t>
            </w:r>
          </w:p>
        </w:tc>
        <w:tc>
          <w:tcPr>
            <w:tcW w:w="2709" w:type="dxa"/>
            <w:gridSpan w:val="2"/>
            <w:tcBorders>
              <w:top w:val="single" w:sz="4" w:space="0" w:color="000000"/>
              <w:left w:val="single" w:sz="4" w:space="0" w:color="000000"/>
              <w:bottom w:val="single" w:sz="4" w:space="0" w:color="000000"/>
              <w:right w:val="single" w:sz="4" w:space="0" w:color="000000"/>
            </w:tcBorders>
          </w:tcPr>
          <w:p w14:paraId="23919445" w14:textId="77777777" w:rsidR="00186DFC" w:rsidRPr="00F56D54" w:rsidRDefault="00186DFC" w:rsidP="00F56D54">
            <w:pPr>
              <w:widowControl/>
              <w:spacing w:line="259" w:lineRule="auto"/>
              <w:ind w:left="3"/>
              <w:jc w:val="center"/>
              <w:rPr>
                <w:rFonts w:ascii="Times New Roman" w:hAnsi="Times New Roman"/>
                <w:color w:val="000000"/>
                <w:sz w:val="26"/>
                <w:szCs w:val="26"/>
              </w:rPr>
            </w:pPr>
            <w:r w:rsidRPr="00F56D54">
              <w:rPr>
                <w:rFonts w:ascii="Times New Roman" w:hAnsi="Times New Roman"/>
                <w:color w:val="000000"/>
                <w:sz w:val="26"/>
                <w:szCs w:val="26"/>
                <w:u w:val="single" w:color="000000"/>
              </w:rPr>
              <w:t>As Filed</w:t>
            </w:r>
            <w:r w:rsidRPr="00F56D54">
              <w:rPr>
                <w:rFonts w:ascii="Times New Roman" w:hAnsi="Times New Roman"/>
                <w:color w:val="000000"/>
                <w:sz w:val="26"/>
                <w:szCs w:val="26"/>
              </w:rPr>
              <w:t xml:space="preserve"> </w:t>
            </w:r>
          </w:p>
        </w:tc>
        <w:tc>
          <w:tcPr>
            <w:tcW w:w="2613" w:type="dxa"/>
            <w:gridSpan w:val="2"/>
            <w:tcBorders>
              <w:top w:val="single" w:sz="4" w:space="0" w:color="000000"/>
              <w:left w:val="single" w:sz="4" w:space="0" w:color="000000"/>
              <w:bottom w:val="single" w:sz="4" w:space="0" w:color="000000"/>
              <w:right w:val="single" w:sz="4" w:space="0" w:color="000000"/>
            </w:tcBorders>
          </w:tcPr>
          <w:p w14:paraId="22F1EB8B" w14:textId="77777777" w:rsidR="00186DFC" w:rsidRPr="00F56D54" w:rsidRDefault="00186DFC" w:rsidP="00F56D54">
            <w:pPr>
              <w:widowControl/>
              <w:spacing w:line="259" w:lineRule="auto"/>
              <w:ind w:left="12"/>
              <w:jc w:val="center"/>
              <w:rPr>
                <w:rFonts w:ascii="Times New Roman" w:hAnsi="Times New Roman"/>
                <w:color w:val="000000"/>
                <w:sz w:val="26"/>
                <w:szCs w:val="26"/>
              </w:rPr>
            </w:pPr>
            <w:r w:rsidRPr="00F56D54">
              <w:rPr>
                <w:rFonts w:ascii="Times New Roman" w:hAnsi="Times New Roman"/>
                <w:color w:val="000000"/>
                <w:sz w:val="26"/>
                <w:szCs w:val="26"/>
                <w:u w:val="single" w:color="000000"/>
              </w:rPr>
              <w:t>Proposed Settlement</w:t>
            </w:r>
            <w:r w:rsidRPr="00F56D54">
              <w:rPr>
                <w:rFonts w:ascii="Times New Roman" w:hAnsi="Times New Roman"/>
                <w:color w:val="000000"/>
                <w:sz w:val="26"/>
                <w:szCs w:val="26"/>
              </w:rPr>
              <w:t xml:space="preserve"> </w:t>
            </w:r>
          </w:p>
        </w:tc>
      </w:tr>
      <w:tr w:rsidR="00F54206" w:rsidRPr="00F56D54" w14:paraId="6625559A" w14:textId="77777777" w:rsidTr="00F54206">
        <w:trPr>
          <w:trHeight w:val="478"/>
        </w:trPr>
        <w:tc>
          <w:tcPr>
            <w:tcW w:w="2780" w:type="dxa"/>
            <w:tcBorders>
              <w:top w:val="single" w:sz="4" w:space="0" w:color="000000"/>
              <w:left w:val="single" w:sz="4" w:space="0" w:color="000000"/>
              <w:bottom w:val="single" w:sz="4" w:space="0" w:color="000000"/>
              <w:right w:val="single" w:sz="4" w:space="0" w:color="000000"/>
            </w:tcBorders>
            <w:vAlign w:val="bottom"/>
          </w:tcPr>
          <w:p w14:paraId="50536AB2" w14:textId="77777777" w:rsidR="00186DFC" w:rsidRPr="00F56D54" w:rsidRDefault="00186DFC" w:rsidP="00F56D54">
            <w:pPr>
              <w:keepNext/>
              <w:widowControl/>
              <w:spacing w:line="259" w:lineRule="auto"/>
              <w:ind w:left="2"/>
              <w:rPr>
                <w:rFonts w:ascii="Times New Roman" w:hAnsi="Times New Roman"/>
                <w:color w:val="000000"/>
                <w:sz w:val="26"/>
                <w:szCs w:val="26"/>
              </w:rPr>
            </w:pPr>
            <w:r w:rsidRPr="00F56D54">
              <w:rPr>
                <w:rFonts w:ascii="Times New Roman" w:hAnsi="Times New Roman"/>
                <w:color w:val="000000"/>
                <w:sz w:val="26"/>
                <w:szCs w:val="26"/>
                <w:u w:val="single" w:color="000000"/>
              </w:rPr>
              <w:t>Customer Charge</w:t>
            </w:r>
            <w:r w:rsidRPr="00F56D54">
              <w:rPr>
                <w:rFonts w:ascii="Times New Roman" w:hAnsi="Times New Roman"/>
                <w:color w:val="000000"/>
                <w:sz w:val="26"/>
                <w:szCs w:val="26"/>
              </w:rPr>
              <w:t xml:space="preserve">  </w:t>
            </w:r>
          </w:p>
        </w:tc>
        <w:tc>
          <w:tcPr>
            <w:tcW w:w="1504" w:type="dxa"/>
            <w:tcBorders>
              <w:top w:val="single" w:sz="4" w:space="0" w:color="000000"/>
              <w:left w:val="single" w:sz="4" w:space="0" w:color="000000"/>
              <w:bottom w:val="single" w:sz="4" w:space="0" w:color="000000"/>
              <w:right w:val="single" w:sz="4" w:space="0" w:color="000000"/>
            </w:tcBorders>
            <w:vAlign w:val="bottom"/>
          </w:tcPr>
          <w:p w14:paraId="2B311ACA" w14:textId="0F4FFAD2" w:rsidR="00186DFC" w:rsidRPr="00F56D54" w:rsidRDefault="00F56D54" w:rsidP="00FE1105">
            <w:pPr>
              <w:widowControl/>
              <w:spacing w:line="259" w:lineRule="auto"/>
              <w:jc w:val="center"/>
              <w:rPr>
                <w:rFonts w:ascii="Times New Roman" w:hAnsi="Times New Roman"/>
                <w:color w:val="000000"/>
                <w:sz w:val="26"/>
                <w:szCs w:val="26"/>
              </w:rPr>
            </w:pPr>
            <w:r w:rsidRPr="00F56D54">
              <w:rPr>
                <w:rFonts w:ascii="Times New Roman" w:hAnsi="Times New Roman"/>
                <w:color w:val="000000"/>
                <w:sz w:val="26"/>
                <w:szCs w:val="26"/>
                <w:u w:val="single" w:color="000000"/>
              </w:rPr>
              <w:t>Present</w:t>
            </w:r>
            <w:r w:rsidRPr="00F56D54">
              <w:rPr>
                <w:rFonts w:ascii="Times New Roman" w:hAnsi="Times New Roman"/>
                <w:color w:val="000000"/>
                <w:sz w:val="26"/>
                <w:szCs w:val="26"/>
              </w:rPr>
              <w:t xml:space="preserve"> </w:t>
            </w:r>
            <w:r w:rsidRPr="00B011E9">
              <w:rPr>
                <w:rFonts w:ascii="Times New Roman" w:hAnsi="Times New Roman"/>
                <w:color w:val="000000"/>
                <w:sz w:val="26"/>
                <w:szCs w:val="26"/>
                <w:u w:val="single"/>
              </w:rPr>
              <w:t>Rates</w:t>
            </w:r>
          </w:p>
        </w:tc>
        <w:tc>
          <w:tcPr>
            <w:tcW w:w="1397" w:type="dxa"/>
            <w:tcBorders>
              <w:top w:val="single" w:sz="4" w:space="0" w:color="000000"/>
              <w:left w:val="single" w:sz="4" w:space="0" w:color="000000"/>
              <w:bottom w:val="single" w:sz="4" w:space="0" w:color="000000"/>
              <w:right w:val="single" w:sz="4" w:space="0" w:color="000000"/>
            </w:tcBorders>
            <w:vAlign w:val="bottom"/>
          </w:tcPr>
          <w:p w14:paraId="15DD6EFC" w14:textId="0A5607F5" w:rsidR="00186DFC" w:rsidRPr="00F56D54" w:rsidRDefault="00186DFC" w:rsidP="00FE1105">
            <w:pPr>
              <w:widowControl/>
              <w:spacing w:line="259" w:lineRule="auto"/>
              <w:ind w:left="2"/>
              <w:jc w:val="center"/>
              <w:rPr>
                <w:rFonts w:ascii="Times New Roman" w:hAnsi="Times New Roman"/>
                <w:color w:val="000000"/>
                <w:sz w:val="26"/>
                <w:szCs w:val="26"/>
              </w:rPr>
            </w:pPr>
            <w:r w:rsidRPr="00F56D54">
              <w:rPr>
                <w:rFonts w:ascii="Times New Roman" w:hAnsi="Times New Roman"/>
                <w:color w:val="000000"/>
                <w:sz w:val="26"/>
                <w:szCs w:val="26"/>
                <w:u w:val="single" w:color="000000"/>
              </w:rPr>
              <w:t>Amount</w:t>
            </w:r>
          </w:p>
        </w:tc>
        <w:tc>
          <w:tcPr>
            <w:tcW w:w="1312" w:type="dxa"/>
            <w:tcBorders>
              <w:top w:val="single" w:sz="4" w:space="0" w:color="000000"/>
              <w:left w:val="single" w:sz="4" w:space="0" w:color="000000"/>
              <w:bottom w:val="single" w:sz="4" w:space="0" w:color="000000"/>
              <w:right w:val="single" w:sz="4" w:space="0" w:color="000000"/>
            </w:tcBorders>
            <w:vAlign w:val="bottom"/>
          </w:tcPr>
          <w:p w14:paraId="6AF7647A" w14:textId="217C084A" w:rsidR="00186DFC" w:rsidRPr="00F56D54" w:rsidRDefault="00186DFC" w:rsidP="00FE1105">
            <w:pPr>
              <w:widowControl/>
              <w:spacing w:line="259" w:lineRule="auto"/>
              <w:ind w:left="2"/>
              <w:jc w:val="center"/>
              <w:rPr>
                <w:rFonts w:ascii="Times New Roman" w:hAnsi="Times New Roman"/>
                <w:color w:val="000000"/>
                <w:sz w:val="26"/>
                <w:szCs w:val="26"/>
              </w:rPr>
            </w:pPr>
            <w:r w:rsidRPr="00F56D54">
              <w:rPr>
                <w:rFonts w:ascii="Times New Roman" w:hAnsi="Times New Roman"/>
                <w:color w:val="000000"/>
                <w:sz w:val="26"/>
                <w:szCs w:val="26"/>
                <w:u w:val="single" w:color="000000"/>
              </w:rPr>
              <w:t>% Increase</w:t>
            </w:r>
          </w:p>
        </w:tc>
        <w:tc>
          <w:tcPr>
            <w:tcW w:w="1334" w:type="dxa"/>
            <w:tcBorders>
              <w:top w:val="single" w:sz="4" w:space="0" w:color="000000"/>
              <w:left w:val="single" w:sz="4" w:space="0" w:color="000000"/>
              <w:bottom w:val="single" w:sz="4" w:space="0" w:color="000000"/>
              <w:right w:val="single" w:sz="4" w:space="0" w:color="000000"/>
            </w:tcBorders>
            <w:vAlign w:val="bottom"/>
          </w:tcPr>
          <w:p w14:paraId="2FD69F99" w14:textId="2E56C0E5" w:rsidR="00186DFC" w:rsidRPr="00F56D54" w:rsidRDefault="00186DFC" w:rsidP="00FE1105">
            <w:pPr>
              <w:widowControl/>
              <w:spacing w:line="259" w:lineRule="auto"/>
              <w:ind w:left="2"/>
              <w:jc w:val="center"/>
              <w:rPr>
                <w:rFonts w:ascii="Times New Roman" w:hAnsi="Times New Roman"/>
                <w:color w:val="000000"/>
                <w:sz w:val="26"/>
                <w:szCs w:val="26"/>
              </w:rPr>
            </w:pPr>
            <w:r w:rsidRPr="00F56D54">
              <w:rPr>
                <w:rFonts w:ascii="Times New Roman" w:hAnsi="Times New Roman"/>
                <w:color w:val="000000"/>
                <w:sz w:val="26"/>
                <w:szCs w:val="26"/>
                <w:u w:val="single" w:color="000000"/>
              </w:rPr>
              <w:t>Amount</w:t>
            </w:r>
          </w:p>
        </w:tc>
        <w:tc>
          <w:tcPr>
            <w:tcW w:w="1279" w:type="dxa"/>
            <w:tcBorders>
              <w:top w:val="single" w:sz="4" w:space="0" w:color="000000"/>
              <w:left w:val="single" w:sz="4" w:space="0" w:color="000000"/>
              <w:bottom w:val="single" w:sz="4" w:space="0" w:color="000000"/>
              <w:right w:val="single" w:sz="4" w:space="0" w:color="000000"/>
            </w:tcBorders>
            <w:vAlign w:val="bottom"/>
          </w:tcPr>
          <w:p w14:paraId="57B56D0C" w14:textId="5132EC01" w:rsidR="00186DFC" w:rsidRPr="00F56D54" w:rsidRDefault="00186DFC" w:rsidP="00FE1105">
            <w:pPr>
              <w:widowControl/>
              <w:spacing w:line="259" w:lineRule="auto"/>
              <w:ind w:left="2"/>
              <w:jc w:val="center"/>
              <w:rPr>
                <w:rFonts w:ascii="Times New Roman" w:hAnsi="Times New Roman"/>
                <w:color w:val="000000"/>
                <w:sz w:val="26"/>
                <w:szCs w:val="26"/>
              </w:rPr>
            </w:pPr>
            <w:r w:rsidRPr="00F56D54">
              <w:rPr>
                <w:rFonts w:ascii="Times New Roman" w:hAnsi="Times New Roman"/>
                <w:color w:val="000000"/>
                <w:sz w:val="26"/>
                <w:szCs w:val="26"/>
                <w:u w:val="single" w:color="000000"/>
              </w:rPr>
              <w:t>% Increase</w:t>
            </w:r>
          </w:p>
        </w:tc>
      </w:tr>
      <w:tr w:rsidR="00F54206" w:rsidRPr="00F56D54" w14:paraId="2C9A61CD" w14:textId="77777777" w:rsidTr="00F54206">
        <w:trPr>
          <w:trHeight w:val="218"/>
        </w:trPr>
        <w:tc>
          <w:tcPr>
            <w:tcW w:w="2780" w:type="dxa"/>
            <w:tcBorders>
              <w:top w:val="single" w:sz="4" w:space="0" w:color="000000"/>
              <w:left w:val="single" w:sz="4" w:space="0" w:color="000000"/>
              <w:bottom w:val="single" w:sz="4" w:space="0" w:color="000000"/>
              <w:right w:val="single" w:sz="4" w:space="0" w:color="000000"/>
            </w:tcBorders>
          </w:tcPr>
          <w:p w14:paraId="4151D288" w14:textId="77777777" w:rsidR="00186DFC" w:rsidRPr="00B011E9" w:rsidRDefault="00186DFC" w:rsidP="00B011E9">
            <w:pPr>
              <w:keepNext/>
              <w:widowControl/>
              <w:ind w:left="2"/>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504" w:type="dxa"/>
            <w:tcBorders>
              <w:top w:val="single" w:sz="4" w:space="0" w:color="000000"/>
              <w:left w:val="single" w:sz="4" w:space="0" w:color="000000"/>
              <w:bottom w:val="single" w:sz="4" w:space="0" w:color="000000"/>
              <w:right w:val="single" w:sz="4" w:space="0" w:color="000000"/>
            </w:tcBorders>
          </w:tcPr>
          <w:p w14:paraId="7B068039" w14:textId="77777777" w:rsidR="00186DFC" w:rsidRPr="00B011E9" w:rsidRDefault="00186DFC" w:rsidP="00B011E9">
            <w:pPr>
              <w:widowControl/>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397" w:type="dxa"/>
            <w:tcBorders>
              <w:top w:val="single" w:sz="4" w:space="0" w:color="000000"/>
              <w:left w:val="single" w:sz="4" w:space="0" w:color="000000"/>
              <w:bottom w:val="single" w:sz="4" w:space="0" w:color="000000"/>
              <w:right w:val="single" w:sz="4" w:space="0" w:color="000000"/>
            </w:tcBorders>
          </w:tcPr>
          <w:p w14:paraId="4371FC39" w14:textId="77777777" w:rsidR="00186DFC" w:rsidRPr="00B011E9" w:rsidRDefault="00186DFC" w:rsidP="00B011E9">
            <w:pPr>
              <w:widowControl/>
              <w:ind w:left="2"/>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312" w:type="dxa"/>
            <w:tcBorders>
              <w:top w:val="single" w:sz="4" w:space="0" w:color="000000"/>
              <w:left w:val="single" w:sz="4" w:space="0" w:color="000000"/>
              <w:bottom w:val="single" w:sz="4" w:space="0" w:color="000000"/>
              <w:right w:val="single" w:sz="4" w:space="0" w:color="000000"/>
            </w:tcBorders>
          </w:tcPr>
          <w:p w14:paraId="06E5F7BE" w14:textId="77777777" w:rsidR="00186DFC" w:rsidRPr="00B011E9" w:rsidRDefault="00186DFC" w:rsidP="00B011E9">
            <w:pPr>
              <w:widowControl/>
              <w:ind w:left="2"/>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334" w:type="dxa"/>
            <w:tcBorders>
              <w:top w:val="single" w:sz="4" w:space="0" w:color="000000"/>
              <w:left w:val="single" w:sz="4" w:space="0" w:color="000000"/>
              <w:bottom w:val="single" w:sz="4" w:space="0" w:color="000000"/>
              <w:right w:val="single" w:sz="4" w:space="0" w:color="000000"/>
            </w:tcBorders>
          </w:tcPr>
          <w:p w14:paraId="3F5DF01E" w14:textId="77777777" w:rsidR="00186DFC" w:rsidRPr="00B011E9" w:rsidRDefault="00186DFC" w:rsidP="00B011E9">
            <w:pPr>
              <w:widowControl/>
              <w:ind w:left="2"/>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11D17C4D" w14:textId="77777777" w:rsidR="00186DFC" w:rsidRPr="00B011E9" w:rsidRDefault="00186DFC" w:rsidP="00B011E9">
            <w:pPr>
              <w:widowControl/>
              <w:ind w:left="2"/>
              <w:rPr>
                <w:rFonts w:ascii="Times New Roman" w:hAnsi="Times New Roman"/>
                <w:color w:val="000000"/>
                <w:sz w:val="16"/>
                <w:szCs w:val="16"/>
              </w:rPr>
            </w:pPr>
            <w:r w:rsidRPr="00B011E9">
              <w:rPr>
                <w:rFonts w:ascii="Times New Roman" w:hAnsi="Times New Roman"/>
                <w:color w:val="000000"/>
                <w:sz w:val="16"/>
                <w:szCs w:val="16"/>
              </w:rPr>
              <w:t xml:space="preserve">  </w:t>
            </w:r>
          </w:p>
        </w:tc>
      </w:tr>
      <w:tr w:rsidR="00F54206" w:rsidRPr="00F56D54" w14:paraId="0CFC79DD" w14:textId="77777777" w:rsidTr="00F54206">
        <w:trPr>
          <w:trHeight w:val="470"/>
        </w:trPr>
        <w:tc>
          <w:tcPr>
            <w:tcW w:w="2780" w:type="dxa"/>
            <w:tcBorders>
              <w:top w:val="single" w:sz="4" w:space="0" w:color="000000"/>
              <w:left w:val="single" w:sz="4" w:space="0" w:color="000000"/>
              <w:bottom w:val="single" w:sz="4" w:space="0" w:color="000000"/>
              <w:right w:val="single" w:sz="4" w:space="0" w:color="000000"/>
            </w:tcBorders>
          </w:tcPr>
          <w:p w14:paraId="39A6C86B" w14:textId="77777777" w:rsidR="00186DFC" w:rsidRPr="00F56D54" w:rsidRDefault="00186DFC" w:rsidP="006C1BA5">
            <w:pPr>
              <w:keepNext/>
              <w:widowControl/>
              <w:spacing w:line="259" w:lineRule="auto"/>
              <w:ind w:left="2"/>
              <w:rPr>
                <w:rFonts w:ascii="Times New Roman" w:hAnsi="Times New Roman"/>
                <w:color w:val="000000"/>
                <w:sz w:val="26"/>
                <w:szCs w:val="26"/>
              </w:rPr>
            </w:pPr>
            <w:r w:rsidRPr="00F56D54">
              <w:rPr>
                <w:rFonts w:ascii="Times New Roman" w:hAnsi="Times New Roman"/>
                <w:color w:val="000000"/>
                <w:sz w:val="26"/>
                <w:szCs w:val="26"/>
              </w:rPr>
              <w:t xml:space="preserve">SC-1 Residential </w:t>
            </w:r>
          </w:p>
          <w:p w14:paraId="4E638DA2" w14:textId="77777777" w:rsidR="00186DFC" w:rsidRPr="00F56D54" w:rsidRDefault="00186DFC" w:rsidP="006C1BA5">
            <w:pPr>
              <w:keepNext/>
              <w:widowControl/>
              <w:spacing w:line="259" w:lineRule="auto"/>
              <w:ind w:left="2"/>
              <w:rPr>
                <w:rFonts w:ascii="Times New Roman" w:hAnsi="Times New Roman"/>
                <w:color w:val="000000"/>
                <w:sz w:val="26"/>
                <w:szCs w:val="26"/>
              </w:rPr>
            </w:pPr>
            <w:r w:rsidRPr="00F56D54">
              <w:rPr>
                <w:rFonts w:ascii="Times New Roman" w:hAnsi="Times New Roman"/>
                <w:color w:val="000000"/>
                <w:sz w:val="26"/>
                <w:szCs w:val="26"/>
              </w:rPr>
              <w:t xml:space="preserve">Heating &amp; Non-heating </w:t>
            </w:r>
          </w:p>
        </w:tc>
        <w:tc>
          <w:tcPr>
            <w:tcW w:w="1504" w:type="dxa"/>
            <w:tcBorders>
              <w:top w:val="single" w:sz="4" w:space="0" w:color="000000"/>
              <w:left w:val="single" w:sz="4" w:space="0" w:color="000000"/>
              <w:bottom w:val="single" w:sz="4" w:space="0" w:color="000000"/>
              <w:right w:val="single" w:sz="4" w:space="0" w:color="000000"/>
            </w:tcBorders>
          </w:tcPr>
          <w:p w14:paraId="5C3D54BE" w14:textId="77777777" w:rsidR="00186DFC" w:rsidRPr="00F56D54" w:rsidRDefault="00186DFC" w:rsidP="00F54206">
            <w:pPr>
              <w:widowControl/>
              <w:spacing w:line="259" w:lineRule="auto"/>
              <w:ind w:right="75"/>
              <w:jc w:val="right"/>
              <w:rPr>
                <w:rFonts w:ascii="Times New Roman" w:hAnsi="Times New Roman"/>
                <w:color w:val="000000"/>
                <w:sz w:val="26"/>
                <w:szCs w:val="26"/>
              </w:rPr>
            </w:pPr>
            <w:r w:rsidRPr="00F56D54">
              <w:rPr>
                <w:rFonts w:ascii="Times New Roman" w:hAnsi="Times New Roman"/>
                <w:color w:val="000000"/>
                <w:sz w:val="26"/>
                <w:szCs w:val="26"/>
              </w:rPr>
              <w:t xml:space="preserve">$8.50  </w:t>
            </w:r>
          </w:p>
        </w:tc>
        <w:tc>
          <w:tcPr>
            <w:tcW w:w="1397" w:type="dxa"/>
            <w:tcBorders>
              <w:top w:val="single" w:sz="4" w:space="0" w:color="000000"/>
              <w:left w:val="single" w:sz="4" w:space="0" w:color="000000"/>
              <w:bottom w:val="single" w:sz="4" w:space="0" w:color="000000"/>
              <w:right w:val="single" w:sz="4" w:space="0" w:color="000000"/>
            </w:tcBorders>
          </w:tcPr>
          <w:p w14:paraId="37E8F582" w14:textId="77777777" w:rsidR="00186DFC" w:rsidRPr="00F56D54" w:rsidRDefault="00186DFC" w:rsidP="00F54206">
            <w:pPr>
              <w:widowControl/>
              <w:spacing w:line="259" w:lineRule="auto"/>
              <w:ind w:left="2" w:right="105"/>
              <w:jc w:val="right"/>
              <w:rPr>
                <w:rFonts w:ascii="Times New Roman" w:hAnsi="Times New Roman"/>
                <w:color w:val="000000"/>
                <w:sz w:val="26"/>
                <w:szCs w:val="26"/>
              </w:rPr>
            </w:pPr>
            <w:r w:rsidRPr="00F56D54">
              <w:rPr>
                <w:rFonts w:ascii="Times New Roman" w:hAnsi="Times New Roman"/>
                <w:color w:val="000000"/>
                <w:sz w:val="26"/>
                <w:szCs w:val="26"/>
              </w:rPr>
              <w:t xml:space="preserve">$11.70  </w:t>
            </w:r>
          </w:p>
        </w:tc>
        <w:tc>
          <w:tcPr>
            <w:tcW w:w="1312" w:type="dxa"/>
            <w:tcBorders>
              <w:top w:val="single" w:sz="4" w:space="0" w:color="000000"/>
              <w:left w:val="single" w:sz="4" w:space="0" w:color="000000"/>
              <w:bottom w:val="single" w:sz="4" w:space="0" w:color="000000"/>
              <w:right w:val="single" w:sz="4" w:space="0" w:color="000000"/>
            </w:tcBorders>
          </w:tcPr>
          <w:p w14:paraId="7F1F590F" w14:textId="77777777" w:rsidR="00186DFC" w:rsidRPr="00F56D54" w:rsidRDefault="00186DFC" w:rsidP="00F54206">
            <w:pPr>
              <w:widowControl/>
              <w:spacing w:line="259" w:lineRule="auto"/>
              <w:ind w:left="2" w:right="110"/>
              <w:jc w:val="right"/>
              <w:rPr>
                <w:rFonts w:ascii="Times New Roman" w:hAnsi="Times New Roman"/>
                <w:color w:val="000000"/>
                <w:sz w:val="26"/>
                <w:szCs w:val="26"/>
              </w:rPr>
            </w:pPr>
            <w:r w:rsidRPr="00F56D54">
              <w:rPr>
                <w:rFonts w:ascii="Times New Roman" w:hAnsi="Times New Roman"/>
                <w:color w:val="000000"/>
                <w:sz w:val="26"/>
                <w:szCs w:val="26"/>
              </w:rPr>
              <w:t xml:space="preserve">37.6% </w:t>
            </w:r>
          </w:p>
        </w:tc>
        <w:tc>
          <w:tcPr>
            <w:tcW w:w="1334" w:type="dxa"/>
            <w:tcBorders>
              <w:top w:val="single" w:sz="4" w:space="0" w:color="000000"/>
              <w:left w:val="single" w:sz="4" w:space="0" w:color="000000"/>
              <w:bottom w:val="single" w:sz="4" w:space="0" w:color="000000"/>
              <w:right w:val="single" w:sz="4" w:space="0" w:color="000000"/>
            </w:tcBorders>
          </w:tcPr>
          <w:p w14:paraId="70A896AC" w14:textId="77777777" w:rsidR="00186DFC" w:rsidRPr="00F56D54" w:rsidRDefault="00186DFC" w:rsidP="00F54206">
            <w:pPr>
              <w:widowControl/>
              <w:spacing w:line="259" w:lineRule="auto"/>
              <w:ind w:left="2" w:right="42"/>
              <w:jc w:val="right"/>
              <w:rPr>
                <w:rFonts w:ascii="Times New Roman" w:hAnsi="Times New Roman"/>
                <w:color w:val="000000"/>
                <w:sz w:val="26"/>
                <w:szCs w:val="26"/>
              </w:rPr>
            </w:pPr>
            <w:r w:rsidRPr="00F56D54">
              <w:rPr>
                <w:rFonts w:ascii="Times New Roman" w:hAnsi="Times New Roman"/>
                <w:color w:val="000000"/>
                <w:sz w:val="26"/>
                <w:szCs w:val="26"/>
              </w:rPr>
              <w:t xml:space="preserve">$8.80  </w:t>
            </w:r>
          </w:p>
        </w:tc>
        <w:tc>
          <w:tcPr>
            <w:tcW w:w="1279" w:type="dxa"/>
            <w:tcBorders>
              <w:top w:val="single" w:sz="4" w:space="0" w:color="000000"/>
              <w:left w:val="single" w:sz="4" w:space="0" w:color="000000"/>
              <w:bottom w:val="single" w:sz="4" w:space="0" w:color="000000"/>
              <w:right w:val="single" w:sz="4" w:space="0" w:color="000000"/>
            </w:tcBorders>
          </w:tcPr>
          <w:p w14:paraId="0EA93900" w14:textId="77777777" w:rsidR="00186DFC" w:rsidRPr="00F56D54" w:rsidRDefault="00186DFC" w:rsidP="00F54206">
            <w:pPr>
              <w:widowControl/>
              <w:spacing w:line="259" w:lineRule="auto"/>
              <w:ind w:left="2" w:right="66"/>
              <w:jc w:val="right"/>
              <w:rPr>
                <w:rFonts w:ascii="Times New Roman" w:hAnsi="Times New Roman"/>
                <w:color w:val="000000"/>
                <w:sz w:val="26"/>
                <w:szCs w:val="26"/>
              </w:rPr>
            </w:pPr>
            <w:r w:rsidRPr="00F56D54">
              <w:rPr>
                <w:rFonts w:ascii="Times New Roman" w:hAnsi="Times New Roman"/>
                <w:color w:val="000000"/>
                <w:sz w:val="26"/>
                <w:szCs w:val="26"/>
              </w:rPr>
              <w:t xml:space="preserve">3.5% </w:t>
            </w:r>
          </w:p>
        </w:tc>
      </w:tr>
      <w:tr w:rsidR="00F54206" w:rsidRPr="00F56D54" w14:paraId="1C171B93" w14:textId="77777777" w:rsidTr="00F54206">
        <w:trPr>
          <w:trHeight w:val="146"/>
        </w:trPr>
        <w:tc>
          <w:tcPr>
            <w:tcW w:w="2780" w:type="dxa"/>
            <w:tcBorders>
              <w:top w:val="single" w:sz="4" w:space="0" w:color="000000"/>
              <w:left w:val="single" w:sz="4" w:space="0" w:color="000000"/>
              <w:bottom w:val="single" w:sz="4" w:space="0" w:color="000000"/>
              <w:right w:val="single" w:sz="4" w:space="0" w:color="000000"/>
            </w:tcBorders>
          </w:tcPr>
          <w:p w14:paraId="4CDBC3FD" w14:textId="77777777" w:rsidR="00186DFC" w:rsidRPr="00B011E9" w:rsidRDefault="00186DFC" w:rsidP="006C1BA5">
            <w:pPr>
              <w:keepNext/>
              <w:widowControl/>
              <w:ind w:left="2"/>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504" w:type="dxa"/>
            <w:tcBorders>
              <w:top w:val="single" w:sz="4" w:space="0" w:color="000000"/>
              <w:left w:val="single" w:sz="4" w:space="0" w:color="000000"/>
              <w:bottom w:val="single" w:sz="4" w:space="0" w:color="000000"/>
              <w:right w:val="single" w:sz="4" w:space="0" w:color="000000"/>
            </w:tcBorders>
          </w:tcPr>
          <w:p w14:paraId="25FA9D4C" w14:textId="77777777" w:rsidR="00186DFC" w:rsidRPr="00B011E9" w:rsidRDefault="00186DFC" w:rsidP="00F54206">
            <w:pPr>
              <w:widowControl/>
              <w:ind w:right="75"/>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397" w:type="dxa"/>
            <w:tcBorders>
              <w:top w:val="single" w:sz="4" w:space="0" w:color="000000"/>
              <w:left w:val="single" w:sz="4" w:space="0" w:color="000000"/>
              <w:bottom w:val="single" w:sz="4" w:space="0" w:color="000000"/>
              <w:right w:val="single" w:sz="4" w:space="0" w:color="000000"/>
            </w:tcBorders>
          </w:tcPr>
          <w:p w14:paraId="1A714507" w14:textId="77777777" w:rsidR="00186DFC" w:rsidRPr="00B011E9" w:rsidRDefault="00186DFC" w:rsidP="00F54206">
            <w:pPr>
              <w:widowControl/>
              <w:ind w:left="2" w:right="105"/>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312" w:type="dxa"/>
            <w:tcBorders>
              <w:top w:val="single" w:sz="4" w:space="0" w:color="000000"/>
              <w:left w:val="single" w:sz="4" w:space="0" w:color="000000"/>
              <w:bottom w:val="single" w:sz="4" w:space="0" w:color="000000"/>
              <w:right w:val="single" w:sz="4" w:space="0" w:color="000000"/>
            </w:tcBorders>
          </w:tcPr>
          <w:p w14:paraId="0671DDE9" w14:textId="77777777" w:rsidR="00186DFC" w:rsidRPr="00B011E9" w:rsidRDefault="00186DFC" w:rsidP="00F54206">
            <w:pPr>
              <w:widowControl/>
              <w:ind w:left="2" w:right="110"/>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334" w:type="dxa"/>
            <w:tcBorders>
              <w:top w:val="single" w:sz="4" w:space="0" w:color="000000"/>
              <w:left w:val="single" w:sz="4" w:space="0" w:color="000000"/>
              <w:bottom w:val="single" w:sz="4" w:space="0" w:color="000000"/>
              <w:right w:val="single" w:sz="4" w:space="0" w:color="000000"/>
            </w:tcBorders>
          </w:tcPr>
          <w:p w14:paraId="595AE83E" w14:textId="77777777" w:rsidR="00186DFC" w:rsidRPr="00B011E9" w:rsidRDefault="00186DFC" w:rsidP="00F54206">
            <w:pPr>
              <w:widowControl/>
              <w:ind w:left="2" w:right="42"/>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0F8C7FFF" w14:textId="77777777" w:rsidR="00186DFC" w:rsidRPr="00B011E9" w:rsidRDefault="00186DFC" w:rsidP="00F54206">
            <w:pPr>
              <w:widowControl/>
              <w:ind w:left="2" w:right="66"/>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r>
      <w:tr w:rsidR="00F54206" w:rsidRPr="00F56D54" w14:paraId="0F3191F2" w14:textId="77777777" w:rsidTr="00F54206">
        <w:trPr>
          <w:trHeight w:val="494"/>
        </w:trPr>
        <w:tc>
          <w:tcPr>
            <w:tcW w:w="2780" w:type="dxa"/>
            <w:tcBorders>
              <w:top w:val="single" w:sz="4" w:space="0" w:color="000000"/>
              <w:left w:val="single" w:sz="4" w:space="0" w:color="000000"/>
              <w:bottom w:val="single" w:sz="4" w:space="0" w:color="000000"/>
              <w:right w:val="single" w:sz="4" w:space="0" w:color="000000"/>
            </w:tcBorders>
          </w:tcPr>
          <w:p w14:paraId="3D89AA3F" w14:textId="77777777" w:rsidR="00186DFC" w:rsidRPr="00F56D54" w:rsidRDefault="00186DFC" w:rsidP="006C1BA5">
            <w:pPr>
              <w:keepNext/>
              <w:widowControl/>
              <w:spacing w:line="259" w:lineRule="auto"/>
              <w:ind w:left="2" w:right="93"/>
              <w:rPr>
                <w:rFonts w:ascii="Times New Roman" w:hAnsi="Times New Roman"/>
                <w:color w:val="000000"/>
                <w:sz w:val="26"/>
                <w:szCs w:val="26"/>
              </w:rPr>
            </w:pPr>
            <w:r w:rsidRPr="00F56D54">
              <w:rPr>
                <w:rFonts w:ascii="Times New Roman" w:hAnsi="Times New Roman"/>
                <w:color w:val="000000"/>
                <w:sz w:val="26"/>
                <w:szCs w:val="26"/>
              </w:rPr>
              <w:t xml:space="preserve">SC-2 Small Commercial &amp; Industrial (Secondary) </w:t>
            </w:r>
          </w:p>
        </w:tc>
        <w:tc>
          <w:tcPr>
            <w:tcW w:w="1504" w:type="dxa"/>
            <w:tcBorders>
              <w:top w:val="single" w:sz="4" w:space="0" w:color="000000"/>
              <w:left w:val="single" w:sz="4" w:space="0" w:color="000000"/>
              <w:bottom w:val="single" w:sz="4" w:space="0" w:color="000000"/>
              <w:right w:val="single" w:sz="4" w:space="0" w:color="000000"/>
            </w:tcBorders>
          </w:tcPr>
          <w:p w14:paraId="6555168A" w14:textId="77777777" w:rsidR="00186DFC" w:rsidRPr="00F56D54" w:rsidRDefault="00186DFC" w:rsidP="00F54206">
            <w:pPr>
              <w:widowControl/>
              <w:spacing w:line="259" w:lineRule="auto"/>
              <w:ind w:right="75"/>
              <w:jc w:val="right"/>
              <w:rPr>
                <w:rFonts w:ascii="Times New Roman" w:hAnsi="Times New Roman"/>
                <w:color w:val="000000"/>
                <w:sz w:val="26"/>
                <w:szCs w:val="26"/>
              </w:rPr>
            </w:pPr>
            <w:r w:rsidRPr="00F56D54">
              <w:rPr>
                <w:rFonts w:ascii="Times New Roman" w:hAnsi="Times New Roman"/>
                <w:color w:val="000000"/>
                <w:sz w:val="26"/>
                <w:szCs w:val="26"/>
              </w:rPr>
              <w:t xml:space="preserve">$13.60  </w:t>
            </w:r>
          </w:p>
        </w:tc>
        <w:tc>
          <w:tcPr>
            <w:tcW w:w="1397" w:type="dxa"/>
            <w:tcBorders>
              <w:top w:val="single" w:sz="4" w:space="0" w:color="000000"/>
              <w:left w:val="single" w:sz="4" w:space="0" w:color="000000"/>
              <w:bottom w:val="single" w:sz="4" w:space="0" w:color="000000"/>
              <w:right w:val="single" w:sz="4" w:space="0" w:color="000000"/>
            </w:tcBorders>
          </w:tcPr>
          <w:p w14:paraId="0C4E9C4E" w14:textId="77777777" w:rsidR="00186DFC" w:rsidRPr="00F56D54" w:rsidRDefault="00186DFC" w:rsidP="00F54206">
            <w:pPr>
              <w:widowControl/>
              <w:spacing w:line="259" w:lineRule="auto"/>
              <w:ind w:left="2" w:right="105"/>
              <w:jc w:val="right"/>
              <w:rPr>
                <w:rFonts w:ascii="Times New Roman" w:hAnsi="Times New Roman"/>
                <w:color w:val="000000"/>
                <w:sz w:val="26"/>
                <w:szCs w:val="26"/>
              </w:rPr>
            </w:pPr>
            <w:r w:rsidRPr="00F56D54">
              <w:rPr>
                <w:rFonts w:ascii="Times New Roman" w:hAnsi="Times New Roman"/>
                <w:color w:val="000000"/>
                <w:sz w:val="26"/>
                <w:szCs w:val="26"/>
              </w:rPr>
              <w:t xml:space="preserve">$18.73  </w:t>
            </w:r>
          </w:p>
        </w:tc>
        <w:tc>
          <w:tcPr>
            <w:tcW w:w="1312" w:type="dxa"/>
            <w:tcBorders>
              <w:top w:val="single" w:sz="4" w:space="0" w:color="000000"/>
              <w:left w:val="single" w:sz="4" w:space="0" w:color="000000"/>
              <w:bottom w:val="single" w:sz="4" w:space="0" w:color="000000"/>
              <w:right w:val="single" w:sz="4" w:space="0" w:color="000000"/>
            </w:tcBorders>
          </w:tcPr>
          <w:p w14:paraId="3ECF0C97" w14:textId="77777777" w:rsidR="00186DFC" w:rsidRPr="00F56D54" w:rsidRDefault="00186DFC" w:rsidP="00F54206">
            <w:pPr>
              <w:widowControl/>
              <w:spacing w:line="259" w:lineRule="auto"/>
              <w:ind w:left="2" w:right="110"/>
              <w:jc w:val="right"/>
              <w:rPr>
                <w:rFonts w:ascii="Times New Roman" w:hAnsi="Times New Roman"/>
                <w:color w:val="000000"/>
                <w:sz w:val="26"/>
                <w:szCs w:val="26"/>
              </w:rPr>
            </w:pPr>
            <w:r w:rsidRPr="00F56D54">
              <w:rPr>
                <w:rFonts w:ascii="Times New Roman" w:hAnsi="Times New Roman"/>
                <w:color w:val="000000"/>
                <w:sz w:val="26"/>
                <w:szCs w:val="26"/>
              </w:rPr>
              <w:t xml:space="preserve">37.7% </w:t>
            </w:r>
          </w:p>
        </w:tc>
        <w:tc>
          <w:tcPr>
            <w:tcW w:w="1334" w:type="dxa"/>
            <w:tcBorders>
              <w:top w:val="single" w:sz="4" w:space="0" w:color="000000"/>
              <w:left w:val="single" w:sz="4" w:space="0" w:color="000000"/>
              <w:bottom w:val="single" w:sz="4" w:space="0" w:color="000000"/>
              <w:right w:val="single" w:sz="4" w:space="0" w:color="000000"/>
            </w:tcBorders>
          </w:tcPr>
          <w:p w14:paraId="2822D5CC" w14:textId="77777777" w:rsidR="00186DFC" w:rsidRPr="00F56D54" w:rsidRDefault="00186DFC" w:rsidP="00F54206">
            <w:pPr>
              <w:widowControl/>
              <w:spacing w:line="259" w:lineRule="auto"/>
              <w:ind w:left="2" w:right="42"/>
              <w:jc w:val="right"/>
              <w:rPr>
                <w:rFonts w:ascii="Times New Roman" w:hAnsi="Times New Roman"/>
                <w:color w:val="000000"/>
                <w:sz w:val="26"/>
                <w:szCs w:val="26"/>
              </w:rPr>
            </w:pPr>
            <w:r w:rsidRPr="00F56D54">
              <w:rPr>
                <w:rFonts w:ascii="Times New Roman" w:hAnsi="Times New Roman"/>
                <w:color w:val="000000"/>
                <w:sz w:val="26"/>
                <w:szCs w:val="26"/>
              </w:rPr>
              <w:t xml:space="preserve">$17.26  </w:t>
            </w:r>
          </w:p>
        </w:tc>
        <w:tc>
          <w:tcPr>
            <w:tcW w:w="1279" w:type="dxa"/>
            <w:tcBorders>
              <w:top w:val="single" w:sz="4" w:space="0" w:color="000000"/>
              <w:left w:val="single" w:sz="4" w:space="0" w:color="000000"/>
              <w:bottom w:val="single" w:sz="4" w:space="0" w:color="000000"/>
              <w:right w:val="single" w:sz="4" w:space="0" w:color="000000"/>
            </w:tcBorders>
          </w:tcPr>
          <w:p w14:paraId="5B70BDE3" w14:textId="77777777" w:rsidR="00186DFC" w:rsidRPr="00F56D54" w:rsidRDefault="00186DFC" w:rsidP="00F54206">
            <w:pPr>
              <w:widowControl/>
              <w:spacing w:line="259" w:lineRule="auto"/>
              <w:ind w:left="2" w:right="66"/>
              <w:jc w:val="right"/>
              <w:rPr>
                <w:rFonts w:ascii="Times New Roman" w:hAnsi="Times New Roman"/>
                <w:color w:val="000000"/>
                <w:sz w:val="26"/>
                <w:szCs w:val="26"/>
              </w:rPr>
            </w:pPr>
            <w:r w:rsidRPr="00F56D54">
              <w:rPr>
                <w:rFonts w:ascii="Times New Roman" w:hAnsi="Times New Roman"/>
                <w:color w:val="000000"/>
                <w:sz w:val="26"/>
                <w:szCs w:val="26"/>
              </w:rPr>
              <w:t xml:space="preserve">26.9% </w:t>
            </w:r>
          </w:p>
        </w:tc>
      </w:tr>
      <w:tr w:rsidR="00F54206" w:rsidRPr="00F56D54" w14:paraId="33608276" w14:textId="77777777" w:rsidTr="00F54206">
        <w:trPr>
          <w:trHeight w:val="155"/>
        </w:trPr>
        <w:tc>
          <w:tcPr>
            <w:tcW w:w="2780" w:type="dxa"/>
            <w:tcBorders>
              <w:top w:val="single" w:sz="4" w:space="0" w:color="000000"/>
              <w:left w:val="single" w:sz="4" w:space="0" w:color="000000"/>
              <w:bottom w:val="single" w:sz="4" w:space="0" w:color="000000"/>
              <w:right w:val="single" w:sz="4" w:space="0" w:color="000000"/>
            </w:tcBorders>
          </w:tcPr>
          <w:p w14:paraId="7BB8BAA4" w14:textId="77777777" w:rsidR="00186DFC" w:rsidRPr="00B011E9" w:rsidRDefault="00186DFC" w:rsidP="006C1BA5">
            <w:pPr>
              <w:keepNext/>
              <w:widowControl/>
              <w:ind w:left="2"/>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504" w:type="dxa"/>
            <w:tcBorders>
              <w:top w:val="single" w:sz="4" w:space="0" w:color="000000"/>
              <w:left w:val="single" w:sz="4" w:space="0" w:color="000000"/>
              <w:bottom w:val="single" w:sz="4" w:space="0" w:color="000000"/>
              <w:right w:val="single" w:sz="4" w:space="0" w:color="000000"/>
            </w:tcBorders>
          </w:tcPr>
          <w:p w14:paraId="78DD1B96" w14:textId="77777777" w:rsidR="00186DFC" w:rsidRPr="00B011E9" w:rsidRDefault="00186DFC" w:rsidP="00F54206">
            <w:pPr>
              <w:widowControl/>
              <w:ind w:right="75"/>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397" w:type="dxa"/>
            <w:tcBorders>
              <w:top w:val="single" w:sz="4" w:space="0" w:color="000000"/>
              <w:left w:val="single" w:sz="4" w:space="0" w:color="000000"/>
              <w:bottom w:val="single" w:sz="4" w:space="0" w:color="000000"/>
              <w:right w:val="single" w:sz="4" w:space="0" w:color="000000"/>
            </w:tcBorders>
          </w:tcPr>
          <w:p w14:paraId="55784CFE" w14:textId="77777777" w:rsidR="00186DFC" w:rsidRPr="00B011E9" w:rsidRDefault="00186DFC" w:rsidP="00F54206">
            <w:pPr>
              <w:widowControl/>
              <w:ind w:left="2" w:right="105"/>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312" w:type="dxa"/>
            <w:tcBorders>
              <w:top w:val="single" w:sz="4" w:space="0" w:color="000000"/>
              <w:left w:val="single" w:sz="4" w:space="0" w:color="000000"/>
              <w:bottom w:val="single" w:sz="4" w:space="0" w:color="000000"/>
              <w:right w:val="single" w:sz="4" w:space="0" w:color="000000"/>
            </w:tcBorders>
          </w:tcPr>
          <w:p w14:paraId="032E7DB9" w14:textId="77777777" w:rsidR="00186DFC" w:rsidRPr="00B011E9" w:rsidRDefault="00186DFC" w:rsidP="00F54206">
            <w:pPr>
              <w:widowControl/>
              <w:ind w:left="2" w:right="110"/>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334" w:type="dxa"/>
            <w:tcBorders>
              <w:top w:val="single" w:sz="4" w:space="0" w:color="000000"/>
              <w:left w:val="single" w:sz="4" w:space="0" w:color="000000"/>
              <w:bottom w:val="single" w:sz="4" w:space="0" w:color="000000"/>
              <w:right w:val="single" w:sz="4" w:space="0" w:color="000000"/>
            </w:tcBorders>
          </w:tcPr>
          <w:p w14:paraId="2999E6B1" w14:textId="77777777" w:rsidR="00186DFC" w:rsidRPr="00B011E9" w:rsidRDefault="00186DFC" w:rsidP="00F54206">
            <w:pPr>
              <w:widowControl/>
              <w:ind w:left="2" w:right="42"/>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1033EEE5" w14:textId="77777777" w:rsidR="00186DFC" w:rsidRPr="00B011E9" w:rsidRDefault="00186DFC" w:rsidP="00F54206">
            <w:pPr>
              <w:widowControl/>
              <w:ind w:left="2" w:right="66"/>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r>
      <w:tr w:rsidR="00F54206" w:rsidRPr="00F56D54" w14:paraId="0D934284" w14:textId="77777777" w:rsidTr="00F54206">
        <w:trPr>
          <w:trHeight w:val="476"/>
        </w:trPr>
        <w:tc>
          <w:tcPr>
            <w:tcW w:w="2780" w:type="dxa"/>
            <w:tcBorders>
              <w:top w:val="single" w:sz="4" w:space="0" w:color="000000"/>
              <w:left w:val="single" w:sz="4" w:space="0" w:color="000000"/>
              <w:bottom w:val="single" w:sz="4" w:space="0" w:color="000000"/>
              <w:right w:val="single" w:sz="4" w:space="0" w:color="000000"/>
            </w:tcBorders>
          </w:tcPr>
          <w:p w14:paraId="1879B659" w14:textId="77777777" w:rsidR="00186DFC" w:rsidRPr="00F56D54" w:rsidRDefault="00186DFC" w:rsidP="006C1BA5">
            <w:pPr>
              <w:keepNext/>
              <w:widowControl/>
              <w:spacing w:line="259" w:lineRule="auto"/>
              <w:ind w:left="2" w:right="242"/>
              <w:rPr>
                <w:rFonts w:ascii="Times New Roman" w:hAnsi="Times New Roman"/>
                <w:color w:val="000000"/>
                <w:sz w:val="26"/>
                <w:szCs w:val="26"/>
              </w:rPr>
            </w:pPr>
            <w:r w:rsidRPr="00F56D54">
              <w:rPr>
                <w:rFonts w:ascii="Times New Roman" w:hAnsi="Times New Roman"/>
                <w:color w:val="000000"/>
                <w:sz w:val="26"/>
                <w:szCs w:val="26"/>
              </w:rPr>
              <w:t xml:space="preserve">SC-Large Commercial &amp; Industrial (Primary) </w:t>
            </w:r>
          </w:p>
        </w:tc>
        <w:tc>
          <w:tcPr>
            <w:tcW w:w="1504" w:type="dxa"/>
            <w:tcBorders>
              <w:top w:val="single" w:sz="4" w:space="0" w:color="000000"/>
              <w:left w:val="single" w:sz="4" w:space="0" w:color="000000"/>
              <w:bottom w:val="single" w:sz="4" w:space="0" w:color="000000"/>
              <w:right w:val="single" w:sz="4" w:space="0" w:color="000000"/>
            </w:tcBorders>
          </w:tcPr>
          <w:p w14:paraId="105520C5" w14:textId="77777777" w:rsidR="00186DFC" w:rsidRPr="00F56D54" w:rsidRDefault="00186DFC" w:rsidP="00F54206">
            <w:pPr>
              <w:widowControl/>
              <w:spacing w:line="259" w:lineRule="auto"/>
              <w:ind w:right="75"/>
              <w:jc w:val="right"/>
              <w:rPr>
                <w:rFonts w:ascii="Times New Roman" w:hAnsi="Times New Roman"/>
                <w:color w:val="000000"/>
                <w:sz w:val="26"/>
                <w:szCs w:val="26"/>
              </w:rPr>
            </w:pPr>
            <w:r w:rsidRPr="00F56D54">
              <w:rPr>
                <w:rFonts w:ascii="Times New Roman" w:hAnsi="Times New Roman"/>
                <w:color w:val="000000"/>
                <w:sz w:val="26"/>
                <w:szCs w:val="26"/>
              </w:rPr>
              <w:t xml:space="preserve">$110.90  </w:t>
            </w:r>
          </w:p>
        </w:tc>
        <w:tc>
          <w:tcPr>
            <w:tcW w:w="1397" w:type="dxa"/>
            <w:tcBorders>
              <w:top w:val="single" w:sz="4" w:space="0" w:color="000000"/>
              <w:left w:val="single" w:sz="4" w:space="0" w:color="000000"/>
              <w:bottom w:val="single" w:sz="4" w:space="0" w:color="000000"/>
              <w:right w:val="single" w:sz="4" w:space="0" w:color="000000"/>
            </w:tcBorders>
          </w:tcPr>
          <w:p w14:paraId="2CD6CE07" w14:textId="77777777" w:rsidR="00186DFC" w:rsidRPr="00F56D54" w:rsidRDefault="00186DFC" w:rsidP="00F54206">
            <w:pPr>
              <w:widowControl/>
              <w:spacing w:line="259" w:lineRule="auto"/>
              <w:ind w:left="2" w:right="105"/>
              <w:jc w:val="right"/>
              <w:rPr>
                <w:rFonts w:ascii="Times New Roman" w:hAnsi="Times New Roman"/>
                <w:color w:val="000000"/>
                <w:sz w:val="26"/>
                <w:szCs w:val="26"/>
              </w:rPr>
            </w:pPr>
            <w:r w:rsidRPr="00F56D54">
              <w:rPr>
                <w:rFonts w:ascii="Times New Roman" w:hAnsi="Times New Roman"/>
                <w:color w:val="000000"/>
                <w:sz w:val="26"/>
                <w:szCs w:val="26"/>
              </w:rPr>
              <w:t xml:space="preserve">$152.00  </w:t>
            </w:r>
          </w:p>
        </w:tc>
        <w:tc>
          <w:tcPr>
            <w:tcW w:w="1312" w:type="dxa"/>
            <w:tcBorders>
              <w:top w:val="single" w:sz="4" w:space="0" w:color="000000"/>
              <w:left w:val="single" w:sz="4" w:space="0" w:color="000000"/>
              <w:bottom w:val="single" w:sz="4" w:space="0" w:color="000000"/>
              <w:right w:val="single" w:sz="4" w:space="0" w:color="000000"/>
            </w:tcBorders>
          </w:tcPr>
          <w:p w14:paraId="47AABFAE" w14:textId="77777777" w:rsidR="00186DFC" w:rsidRPr="00F56D54" w:rsidRDefault="00186DFC" w:rsidP="00F54206">
            <w:pPr>
              <w:widowControl/>
              <w:spacing w:line="259" w:lineRule="auto"/>
              <w:ind w:left="2" w:right="110"/>
              <w:jc w:val="right"/>
              <w:rPr>
                <w:rFonts w:ascii="Times New Roman" w:hAnsi="Times New Roman"/>
                <w:color w:val="000000"/>
                <w:sz w:val="26"/>
                <w:szCs w:val="26"/>
              </w:rPr>
            </w:pPr>
            <w:r w:rsidRPr="00F56D54">
              <w:rPr>
                <w:rFonts w:ascii="Times New Roman" w:hAnsi="Times New Roman"/>
                <w:color w:val="000000"/>
                <w:sz w:val="26"/>
                <w:szCs w:val="26"/>
              </w:rPr>
              <w:t xml:space="preserve">37.1% </w:t>
            </w:r>
          </w:p>
        </w:tc>
        <w:tc>
          <w:tcPr>
            <w:tcW w:w="1334" w:type="dxa"/>
            <w:tcBorders>
              <w:top w:val="single" w:sz="4" w:space="0" w:color="000000"/>
              <w:left w:val="single" w:sz="4" w:space="0" w:color="000000"/>
              <w:bottom w:val="single" w:sz="4" w:space="0" w:color="000000"/>
              <w:right w:val="single" w:sz="4" w:space="0" w:color="000000"/>
            </w:tcBorders>
          </w:tcPr>
          <w:p w14:paraId="7C884794" w14:textId="77777777" w:rsidR="00186DFC" w:rsidRPr="00F56D54" w:rsidRDefault="00186DFC" w:rsidP="00F54206">
            <w:pPr>
              <w:widowControl/>
              <w:spacing w:line="259" w:lineRule="auto"/>
              <w:ind w:left="2" w:right="42"/>
              <w:jc w:val="right"/>
              <w:rPr>
                <w:rFonts w:ascii="Times New Roman" w:hAnsi="Times New Roman"/>
                <w:color w:val="000000"/>
                <w:sz w:val="26"/>
                <w:szCs w:val="26"/>
              </w:rPr>
            </w:pPr>
            <w:r w:rsidRPr="00F56D54">
              <w:rPr>
                <w:rFonts w:ascii="Times New Roman" w:hAnsi="Times New Roman"/>
                <w:color w:val="000000"/>
                <w:sz w:val="26"/>
                <w:szCs w:val="26"/>
              </w:rPr>
              <w:t xml:space="preserve">$140.00  </w:t>
            </w:r>
          </w:p>
        </w:tc>
        <w:tc>
          <w:tcPr>
            <w:tcW w:w="1279" w:type="dxa"/>
            <w:tcBorders>
              <w:top w:val="single" w:sz="4" w:space="0" w:color="000000"/>
              <w:left w:val="single" w:sz="4" w:space="0" w:color="000000"/>
              <w:bottom w:val="single" w:sz="4" w:space="0" w:color="000000"/>
              <w:right w:val="single" w:sz="4" w:space="0" w:color="000000"/>
            </w:tcBorders>
          </w:tcPr>
          <w:p w14:paraId="132F0303" w14:textId="77777777" w:rsidR="00186DFC" w:rsidRPr="00F56D54" w:rsidRDefault="00186DFC" w:rsidP="00F54206">
            <w:pPr>
              <w:widowControl/>
              <w:spacing w:line="259" w:lineRule="auto"/>
              <w:ind w:left="2" w:right="66"/>
              <w:jc w:val="right"/>
              <w:rPr>
                <w:rFonts w:ascii="Times New Roman" w:hAnsi="Times New Roman"/>
                <w:color w:val="000000"/>
                <w:sz w:val="26"/>
                <w:szCs w:val="26"/>
              </w:rPr>
            </w:pPr>
            <w:r w:rsidRPr="00F56D54">
              <w:rPr>
                <w:rFonts w:ascii="Times New Roman" w:hAnsi="Times New Roman"/>
                <w:color w:val="000000"/>
                <w:sz w:val="26"/>
                <w:szCs w:val="26"/>
              </w:rPr>
              <w:t xml:space="preserve">26.2% </w:t>
            </w:r>
          </w:p>
        </w:tc>
      </w:tr>
      <w:tr w:rsidR="00F54206" w:rsidRPr="00F56D54" w14:paraId="428E8E3A" w14:textId="77777777" w:rsidTr="00F54206">
        <w:trPr>
          <w:trHeight w:val="164"/>
        </w:trPr>
        <w:tc>
          <w:tcPr>
            <w:tcW w:w="2780" w:type="dxa"/>
            <w:tcBorders>
              <w:top w:val="single" w:sz="4" w:space="0" w:color="000000"/>
              <w:left w:val="single" w:sz="4" w:space="0" w:color="000000"/>
              <w:bottom w:val="single" w:sz="4" w:space="0" w:color="000000"/>
              <w:right w:val="single" w:sz="4" w:space="0" w:color="000000"/>
            </w:tcBorders>
          </w:tcPr>
          <w:p w14:paraId="656B6CCF" w14:textId="77777777" w:rsidR="00186DFC" w:rsidRPr="00B011E9" w:rsidRDefault="00186DFC" w:rsidP="006C1BA5">
            <w:pPr>
              <w:keepNext/>
              <w:widowControl/>
              <w:ind w:left="2"/>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504" w:type="dxa"/>
            <w:tcBorders>
              <w:top w:val="single" w:sz="4" w:space="0" w:color="000000"/>
              <w:left w:val="single" w:sz="4" w:space="0" w:color="000000"/>
              <w:bottom w:val="single" w:sz="4" w:space="0" w:color="000000"/>
              <w:right w:val="single" w:sz="4" w:space="0" w:color="000000"/>
            </w:tcBorders>
          </w:tcPr>
          <w:p w14:paraId="653A3D81" w14:textId="77777777" w:rsidR="00186DFC" w:rsidRPr="00B011E9" w:rsidRDefault="00186DFC" w:rsidP="00F54206">
            <w:pPr>
              <w:widowControl/>
              <w:ind w:right="75"/>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397" w:type="dxa"/>
            <w:tcBorders>
              <w:top w:val="single" w:sz="4" w:space="0" w:color="000000"/>
              <w:left w:val="single" w:sz="4" w:space="0" w:color="000000"/>
              <w:bottom w:val="single" w:sz="4" w:space="0" w:color="000000"/>
              <w:right w:val="single" w:sz="4" w:space="0" w:color="000000"/>
            </w:tcBorders>
          </w:tcPr>
          <w:p w14:paraId="065664D2" w14:textId="77777777" w:rsidR="00186DFC" w:rsidRPr="00B011E9" w:rsidRDefault="00186DFC" w:rsidP="00F54206">
            <w:pPr>
              <w:widowControl/>
              <w:ind w:left="2" w:right="105"/>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312" w:type="dxa"/>
            <w:tcBorders>
              <w:top w:val="single" w:sz="4" w:space="0" w:color="000000"/>
              <w:left w:val="single" w:sz="4" w:space="0" w:color="000000"/>
              <w:bottom w:val="single" w:sz="4" w:space="0" w:color="000000"/>
              <w:right w:val="single" w:sz="4" w:space="0" w:color="000000"/>
            </w:tcBorders>
          </w:tcPr>
          <w:p w14:paraId="3B666F6E" w14:textId="77777777" w:rsidR="00186DFC" w:rsidRPr="00B011E9" w:rsidRDefault="00186DFC" w:rsidP="00F54206">
            <w:pPr>
              <w:widowControl/>
              <w:ind w:left="2" w:right="110"/>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334" w:type="dxa"/>
            <w:tcBorders>
              <w:top w:val="single" w:sz="4" w:space="0" w:color="000000"/>
              <w:left w:val="single" w:sz="4" w:space="0" w:color="000000"/>
              <w:bottom w:val="single" w:sz="4" w:space="0" w:color="000000"/>
              <w:right w:val="single" w:sz="4" w:space="0" w:color="000000"/>
            </w:tcBorders>
          </w:tcPr>
          <w:p w14:paraId="63CDB011" w14:textId="77777777" w:rsidR="00186DFC" w:rsidRPr="00B011E9" w:rsidRDefault="00186DFC" w:rsidP="00F54206">
            <w:pPr>
              <w:widowControl/>
              <w:ind w:left="2" w:right="42"/>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64E86599" w14:textId="77777777" w:rsidR="00186DFC" w:rsidRPr="00B011E9" w:rsidRDefault="00186DFC" w:rsidP="00F54206">
            <w:pPr>
              <w:widowControl/>
              <w:ind w:left="2" w:right="66"/>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r>
      <w:tr w:rsidR="00F54206" w:rsidRPr="00F56D54" w14:paraId="1F0D6B30" w14:textId="77777777" w:rsidTr="00F54206">
        <w:trPr>
          <w:trHeight w:val="298"/>
        </w:trPr>
        <w:tc>
          <w:tcPr>
            <w:tcW w:w="2780" w:type="dxa"/>
            <w:tcBorders>
              <w:top w:val="single" w:sz="4" w:space="0" w:color="000000"/>
              <w:left w:val="single" w:sz="4" w:space="0" w:color="000000"/>
              <w:bottom w:val="single" w:sz="4" w:space="0" w:color="000000"/>
              <w:right w:val="single" w:sz="4" w:space="0" w:color="000000"/>
            </w:tcBorders>
            <w:vAlign w:val="bottom"/>
          </w:tcPr>
          <w:p w14:paraId="71F31345" w14:textId="77777777" w:rsidR="00186DFC" w:rsidRPr="00F56D54" w:rsidRDefault="00186DFC" w:rsidP="006C1BA5">
            <w:pPr>
              <w:keepNext/>
              <w:widowControl/>
              <w:spacing w:line="259" w:lineRule="auto"/>
              <w:ind w:left="2"/>
              <w:rPr>
                <w:rFonts w:ascii="Times New Roman" w:hAnsi="Times New Roman"/>
                <w:color w:val="000000"/>
                <w:sz w:val="26"/>
                <w:szCs w:val="26"/>
              </w:rPr>
            </w:pPr>
            <w:r w:rsidRPr="00F56D54">
              <w:rPr>
                <w:rFonts w:ascii="Times New Roman" w:hAnsi="Times New Roman"/>
                <w:color w:val="000000"/>
                <w:sz w:val="26"/>
                <w:szCs w:val="26"/>
                <w:u w:val="single" w:color="000000"/>
              </w:rPr>
              <w:t>Average Customer Bill</w:t>
            </w:r>
            <w:r w:rsidRPr="00F56D54">
              <w:rPr>
                <w:rFonts w:ascii="Times New Roman" w:hAnsi="Times New Roman"/>
                <w:color w:val="000000"/>
                <w:sz w:val="26"/>
                <w:szCs w:val="26"/>
              </w:rPr>
              <w:t xml:space="preserve"> </w:t>
            </w:r>
          </w:p>
        </w:tc>
        <w:tc>
          <w:tcPr>
            <w:tcW w:w="1504" w:type="dxa"/>
            <w:tcBorders>
              <w:top w:val="single" w:sz="4" w:space="0" w:color="000000"/>
              <w:left w:val="single" w:sz="4" w:space="0" w:color="000000"/>
              <w:bottom w:val="single" w:sz="4" w:space="0" w:color="000000"/>
              <w:right w:val="single" w:sz="4" w:space="0" w:color="000000"/>
            </w:tcBorders>
          </w:tcPr>
          <w:p w14:paraId="153733DB" w14:textId="77777777" w:rsidR="00186DFC" w:rsidRPr="00F56D54" w:rsidRDefault="00186DFC" w:rsidP="00F54206">
            <w:pPr>
              <w:widowControl/>
              <w:spacing w:line="259" w:lineRule="auto"/>
              <w:ind w:right="75"/>
              <w:jc w:val="right"/>
              <w:rPr>
                <w:rFonts w:ascii="Times New Roman" w:hAnsi="Times New Roman"/>
                <w:color w:val="000000"/>
                <w:sz w:val="26"/>
                <w:szCs w:val="26"/>
              </w:rPr>
            </w:pPr>
            <w:r w:rsidRPr="00F56D54">
              <w:rPr>
                <w:rFonts w:ascii="Times New Roman" w:hAnsi="Times New Roman"/>
                <w:color w:val="000000"/>
                <w:sz w:val="26"/>
                <w:szCs w:val="26"/>
              </w:rPr>
              <w:t xml:space="preserve">  </w:t>
            </w:r>
          </w:p>
        </w:tc>
        <w:tc>
          <w:tcPr>
            <w:tcW w:w="1397" w:type="dxa"/>
            <w:tcBorders>
              <w:top w:val="single" w:sz="4" w:space="0" w:color="000000"/>
              <w:left w:val="single" w:sz="4" w:space="0" w:color="000000"/>
              <w:bottom w:val="single" w:sz="4" w:space="0" w:color="000000"/>
              <w:right w:val="single" w:sz="4" w:space="0" w:color="000000"/>
            </w:tcBorders>
          </w:tcPr>
          <w:p w14:paraId="01CD20B8" w14:textId="77777777" w:rsidR="00186DFC" w:rsidRPr="00F56D54" w:rsidRDefault="00186DFC" w:rsidP="00F54206">
            <w:pPr>
              <w:widowControl/>
              <w:spacing w:line="259" w:lineRule="auto"/>
              <w:ind w:left="2" w:right="105"/>
              <w:jc w:val="right"/>
              <w:rPr>
                <w:rFonts w:ascii="Times New Roman" w:hAnsi="Times New Roman"/>
                <w:color w:val="000000"/>
                <w:sz w:val="26"/>
                <w:szCs w:val="26"/>
              </w:rPr>
            </w:pPr>
            <w:r w:rsidRPr="00F56D54">
              <w:rPr>
                <w:rFonts w:ascii="Times New Roman" w:hAnsi="Times New Roman"/>
                <w:color w:val="000000"/>
                <w:sz w:val="26"/>
                <w:szCs w:val="26"/>
              </w:rPr>
              <w:t xml:space="preserve">  </w:t>
            </w:r>
          </w:p>
        </w:tc>
        <w:tc>
          <w:tcPr>
            <w:tcW w:w="1312" w:type="dxa"/>
            <w:tcBorders>
              <w:top w:val="single" w:sz="4" w:space="0" w:color="000000"/>
              <w:left w:val="single" w:sz="4" w:space="0" w:color="000000"/>
              <w:bottom w:val="single" w:sz="4" w:space="0" w:color="000000"/>
              <w:right w:val="single" w:sz="4" w:space="0" w:color="000000"/>
            </w:tcBorders>
          </w:tcPr>
          <w:p w14:paraId="356CE340" w14:textId="77777777" w:rsidR="00186DFC" w:rsidRPr="00F56D54" w:rsidRDefault="00186DFC" w:rsidP="00F54206">
            <w:pPr>
              <w:widowControl/>
              <w:spacing w:line="259" w:lineRule="auto"/>
              <w:ind w:left="2" w:right="110"/>
              <w:jc w:val="right"/>
              <w:rPr>
                <w:rFonts w:ascii="Times New Roman" w:hAnsi="Times New Roman"/>
                <w:color w:val="000000"/>
                <w:sz w:val="26"/>
                <w:szCs w:val="26"/>
              </w:rPr>
            </w:pPr>
            <w:r w:rsidRPr="00F56D54">
              <w:rPr>
                <w:rFonts w:ascii="Times New Roman" w:hAnsi="Times New Roman"/>
                <w:color w:val="000000"/>
                <w:sz w:val="26"/>
                <w:szCs w:val="26"/>
              </w:rPr>
              <w:t xml:space="preserve">  </w:t>
            </w:r>
          </w:p>
        </w:tc>
        <w:tc>
          <w:tcPr>
            <w:tcW w:w="1334" w:type="dxa"/>
            <w:tcBorders>
              <w:top w:val="single" w:sz="4" w:space="0" w:color="000000"/>
              <w:left w:val="single" w:sz="4" w:space="0" w:color="000000"/>
              <w:bottom w:val="single" w:sz="4" w:space="0" w:color="000000"/>
              <w:right w:val="single" w:sz="4" w:space="0" w:color="000000"/>
            </w:tcBorders>
          </w:tcPr>
          <w:p w14:paraId="2D56CEC4" w14:textId="77777777" w:rsidR="00186DFC" w:rsidRPr="00F56D54" w:rsidRDefault="00186DFC" w:rsidP="00F54206">
            <w:pPr>
              <w:widowControl/>
              <w:spacing w:line="259" w:lineRule="auto"/>
              <w:ind w:left="2" w:right="42"/>
              <w:jc w:val="right"/>
              <w:rPr>
                <w:rFonts w:ascii="Times New Roman" w:hAnsi="Times New Roman"/>
                <w:color w:val="000000"/>
                <w:sz w:val="26"/>
                <w:szCs w:val="26"/>
              </w:rPr>
            </w:pPr>
            <w:r w:rsidRPr="00F56D54">
              <w:rPr>
                <w:rFonts w:ascii="Times New Roman" w:hAnsi="Times New Roman"/>
                <w:color w:val="000000"/>
                <w:sz w:val="26"/>
                <w:szCs w:val="26"/>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76470EBD" w14:textId="77777777" w:rsidR="00186DFC" w:rsidRPr="00F56D54" w:rsidRDefault="00186DFC" w:rsidP="00F54206">
            <w:pPr>
              <w:widowControl/>
              <w:spacing w:line="259" w:lineRule="auto"/>
              <w:ind w:left="2" w:right="66"/>
              <w:jc w:val="right"/>
              <w:rPr>
                <w:rFonts w:ascii="Times New Roman" w:hAnsi="Times New Roman"/>
                <w:color w:val="000000"/>
                <w:sz w:val="26"/>
                <w:szCs w:val="26"/>
              </w:rPr>
            </w:pPr>
            <w:r w:rsidRPr="00F56D54">
              <w:rPr>
                <w:rFonts w:ascii="Times New Roman" w:hAnsi="Times New Roman"/>
                <w:color w:val="000000"/>
                <w:sz w:val="26"/>
                <w:szCs w:val="26"/>
              </w:rPr>
              <w:t xml:space="preserve">  </w:t>
            </w:r>
          </w:p>
        </w:tc>
      </w:tr>
      <w:tr w:rsidR="00F54206" w:rsidRPr="00F56D54" w14:paraId="69F84B54" w14:textId="77777777" w:rsidTr="00F54206">
        <w:trPr>
          <w:trHeight w:val="182"/>
        </w:trPr>
        <w:tc>
          <w:tcPr>
            <w:tcW w:w="2780" w:type="dxa"/>
            <w:tcBorders>
              <w:top w:val="single" w:sz="4" w:space="0" w:color="000000"/>
              <w:left w:val="single" w:sz="4" w:space="0" w:color="000000"/>
              <w:bottom w:val="single" w:sz="4" w:space="0" w:color="000000"/>
              <w:right w:val="single" w:sz="4" w:space="0" w:color="000000"/>
            </w:tcBorders>
          </w:tcPr>
          <w:p w14:paraId="60D5D419" w14:textId="77777777" w:rsidR="00186DFC" w:rsidRPr="00B011E9" w:rsidRDefault="00186DFC" w:rsidP="006C1BA5">
            <w:pPr>
              <w:keepNext/>
              <w:widowControl/>
              <w:ind w:left="2"/>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504" w:type="dxa"/>
            <w:tcBorders>
              <w:top w:val="single" w:sz="4" w:space="0" w:color="000000"/>
              <w:left w:val="single" w:sz="4" w:space="0" w:color="000000"/>
              <w:bottom w:val="single" w:sz="4" w:space="0" w:color="000000"/>
              <w:right w:val="single" w:sz="4" w:space="0" w:color="000000"/>
            </w:tcBorders>
          </w:tcPr>
          <w:p w14:paraId="06369DC0" w14:textId="77777777" w:rsidR="00186DFC" w:rsidRPr="00B011E9" w:rsidRDefault="00186DFC" w:rsidP="00F54206">
            <w:pPr>
              <w:widowControl/>
              <w:ind w:right="75"/>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397" w:type="dxa"/>
            <w:tcBorders>
              <w:top w:val="single" w:sz="4" w:space="0" w:color="000000"/>
              <w:left w:val="single" w:sz="4" w:space="0" w:color="000000"/>
              <w:bottom w:val="single" w:sz="4" w:space="0" w:color="000000"/>
              <w:right w:val="single" w:sz="4" w:space="0" w:color="000000"/>
            </w:tcBorders>
          </w:tcPr>
          <w:p w14:paraId="784E79FB" w14:textId="77777777" w:rsidR="00186DFC" w:rsidRPr="00B011E9" w:rsidRDefault="00186DFC" w:rsidP="00F54206">
            <w:pPr>
              <w:widowControl/>
              <w:ind w:left="2" w:right="105"/>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312" w:type="dxa"/>
            <w:tcBorders>
              <w:top w:val="single" w:sz="4" w:space="0" w:color="000000"/>
              <w:left w:val="single" w:sz="4" w:space="0" w:color="000000"/>
              <w:bottom w:val="single" w:sz="4" w:space="0" w:color="000000"/>
              <w:right w:val="single" w:sz="4" w:space="0" w:color="000000"/>
            </w:tcBorders>
          </w:tcPr>
          <w:p w14:paraId="75AA8AF7" w14:textId="77777777" w:rsidR="00186DFC" w:rsidRPr="00B011E9" w:rsidRDefault="00186DFC" w:rsidP="00F54206">
            <w:pPr>
              <w:widowControl/>
              <w:ind w:left="2" w:right="110"/>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334" w:type="dxa"/>
            <w:tcBorders>
              <w:top w:val="single" w:sz="4" w:space="0" w:color="000000"/>
              <w:left w:val="single" w:sz="4" w:space="0" w:color="000000"/>
              <w:bottom w:val="single" w:sz="4" w:space="0" w:color="000000"/>
              <w:right w:val="single" w:sz="4" w:space="0" w:color="000000"/>
            </w:tcBorders>
          </w:tcPr>
          <w:p w14:paraId="2AA21E71" w14:textId="77777777" w:rsidR="00186DFC" w:rsidRPr="00B011E9" w:rsidRDefault="00186DFC" w:rsidP="00F54206">
            <w:pPr>
              <w:widowControl/>
              <w:ind w:left="2" w:right="42"/>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2876A081" w14:textId="77777777" w:rsidR="00186DFC" w:rsidRPr="00B011E9" w:rsidRDefault="00186DFC" w:rsidP="00F54206">
            <w:pPr>
              <w:widowControl/>
              <w:ind w:left="2" w:right="66"/>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r>
      <w:tr w:rsidR="00F54206" w:rsidRPr="00F56D54" w14:paraId="27D9A881" w14:textId="77777777" w:rsidTr="00F54206">
        <w:trPr>
          <w:trHeight w:val="586"/>
        </w:trPr>
        <w:tc>
          <w:tcPr>
            <w:tcW w:w="2780" w:type="dxa"/>
            <w:tcBorders>
              <w:top w:val="single" w:sz="4" w:space="0" w:color="000000"/>
              <w:left w:val="single" w:sz="4" w:space="0" w:color="000000"/>
              <w:bottom w:val="single" w:sz="4" w:space="0" w:color="000000"/>
              <w:right w:val="single" w:sz="4" w:space="0" w:color="000000"/>
            </w:tcBorders>
          </w:tcPr>
          <w:p w14:paraId="756EC6E1" w14:textId="2173D817" w:rsidR="00186DFC" w:rsidRPr="00F56D54" w:rsidRDefault="00186DFC" w:rsidP="006C1BA5">
            <w:pPr>
              <w:keepNext/>
              <w:widowControl/>
              <w:spacing w:line="259" w:lineRule="auto"/>
              <w:ind w:left="2" w:right="486"/>
              <w:rPr>
                <w:rFonts w:ascii="Times New Roman" w:hAnsi="Times New Roman"/>
                <w:color w:val="000000"/>
                <w:sz w:val="26"/>
                <w:szCs w:val="26"/>
              </w:rPr>
            </w:pPr>
            <w:r w:rsidRPr="00F56D54">
              <w:rPr>
                <w:rFonts w:ascii="Times New Roman" w:hAnsi="Times New Roman"/>
                <w:color w:val="000000"/>
                <w:sz w:val="26"/>
                <w:szCs w:val="26"/>
              </w:rPr>
              <w:t>SC1-</w:t>
            </w:r>
            <w:r w:rsidR="00F56D54" w:rsidRPr="00F56D54">
              <w:rPr>
                <w:rFonts w:ascii="Times New Roman" w:hAnsi="Times New Roman"/>
                <w:color w:val="000000"/>
                <w:sz w:val="26"/>
                <w:szCs w:val="26"/>
              </w:rPr>
              <w:t>Residential (</w:t>
            </w:r>
            <w:r w:rsidRPr="00F56D54">
              <w:rPr>
                <w:rFonts w:ascii="Times New Roman" w:hAnsi="Times New Roman"/>
                <w:color w:val="000000"/>
                <w:sz w:val="26"/>
                <w:szCs w:val="26"/>
              </w:rPr>
              <w:t>674</w:t>
            </w:r>
            <w:r w:rsidR="00FC308D">
              <w:rPr>
                <w:rFonts w:ascii="Times New Roman" w:hAnsi="Times New Roman"/>
                <w:color w:val="000000"/>
                <w:sz w:val="26"/>
                <w:szCs w:val="26"/>
              </w:rPr>
              <w:t> </w:t>
            </w:r>
            <w:proofErr w:type="spellStart"/>
            <w:r w:rsidRPr="00F56D54">
              <w:rPr>
                <w:rFonts w:ascii="Times New Roman" w:hAnsi="Times New Roman"/>
                <w:color w:val="000000"/>
                <w:sz w:val="26"/>
                <w:szCs w:val="26"/>
              </w:rPr>
              <w:t>Kwh</w:t>
            </w:r>
            <w:proofErr w:type="spellEnd"/>
            <w:r w:rsidRPr="00F56D54">
              <w:rPr>
                <w:rFonts w:ascii="Times New Roman" w:hAnsi="Times New Roman"/>
                <w:color w:val="000000"/>
                <w:sz w:val="26"/>
                <w:szCs w:val="26"/>
              </w:rPr>
              <w:t xml:space="preserve">) </w:t>
            </w:r>
          </w:p>
        </w:tc>
        <w:tc>
          <w:tcPr>
            <w:tcW w:w="1504" w:type="dxa"/>
            <w:tcBorders>
              <w:top w:val="single" w:sz="4" w:space="0" w:color="000000"/>
              <w:left w:val="single" w:sz="4" w:space="0" w:color="000000"/>
              <w:bottom w:val="single" w:sz="4" w:space="0" w:color="000000"/>
              <w:right w:val="single" w:sz="4" w:space="0" w:color="000000"/>
            </w:tcBorders>
          </w:tcPr>
          <w:p w14:paraId="35D09F20" w14:textId="77777777" w:rsidR="00186DFC" w:rsidRPr="00F56D54" w:rsidRDefault="00186DFC" w:rsidP="00F54206">
            <w:pPr>
              <w:widowControl/>
              <w:spacing w:line="259" w:lineRule="auto"/>
              <w:ind w:right="75"/>
              <w:jc w:val="right"/>
              <w:rPr>
                <w:rFonts w:ascii="Times New Roman" w:hAnsi="Times New Roman"/>
                <w:color w:val="000000"/>
                <w:sz w:val="26"/>
                <w:szCs w:val="26"/>
              </w:rPr>
            </w:pPr>
            <w:r w:rsidRPr="00F56D54">
              <w:rPr>
                <w:rFonts w:ascii="Times New Roman" w:hAnsi="Times New Roman"/>
                <w:color w:val="000000"/>
                <w:sz w:val="26"/>
                <w:szCs w:val="26"/>
              </w:rPr>
              <w:t xml:space="preserve">$103.90  </w:t>
            </w:r>
          </w:p>
        </w:tc>
        <w:tc>
          <w:tcPr>
            <w:tcW w:w="1397" w:type="dxa"/>
            <w:tcBorders>
              <w:top w:val="single" w:sz="4" w:space="0" w:color="000000"/>
              <w:left w:val="single" w:sz="4" w:space="0" w:color="000000"/>
              <w:bottom w:val="single" w:sz="4" w:space="0" w:color="000000"/>
              <w:right w:val="single" w:sz="4" w:space="0" w:color="000000"/>
            </w:tcBorders>
          </w:tcPr>
          <w:p w14:paraId="1F754BFE" w14:textId="77777777" w:rsidR="00186DFC" w:rsidRPr="00F56D54" w:rsidRDefault="00186DFC" w:rsidP="00F54206">
            <w:pPr>
              <w:widowControl/>
              <w:spacing w:line="259" w:lineRule="auto"/>
              <w:ind w:left="2" w:right="105"/>
              <w:jc w:val="right"/>
              <w:rPr>
                <w:rFonts w:ascii="Times New Roman" w:hAnsi="Times New Roman"/>
                <w:color w:val="000000"/>
                <w:sz w:val="26"/>
                <w:szCs w:val="26"/>
              </w:rPr>
            </w:pPr>
            <w:r w:rsidRPr="00F56D54">
              <w:rPr>
                <w:rFonts w:ascii="Times New Roman" w:hAnsi="Times New Roman"/>
                <w:color w:val="000000"/>
                <w:sz w:val="26"/>
                <w:szCs w:val="26"/>
              </w:rPr>
              <w:t xml:space="preserve">$121.90  </w:t>
            </w:r>
          </w:p>
        </w:tc>
        <w:tc>
          <w:tcPr>
            <w:tcW w:w="1312" w:type="dxa"/>
            <w:tcBorders>
              <w:top w:val="single" w:sz="4" w:space="0" w:color="000000"/>
              <w:left w:val="single" w:sz="4" w:space="0" w:color="000000"/>
              <w:bottom w:val="single" w:sz="4" w:space="0" w:color="000000"/>
              <w:right w:val="single" w:sz="4" w:space="0" w:color="000000"/>
            </w:tcBorders>
          </w:tcPr>
          <w:p w14:paraId="71F1200B" w14:textId="77777777" w:rsidR="00186DFC" w:rsidRPr="00F56D54" w:rsidRDefault="00186DFC" w:rsidP="00F54206">
            <w:pPr>
              <w:widowControl/>
              <w:spacing w:line="259" w:lineRule="auto"/>
              <w:ind w:left="2" w:right="110"/>
              <w:jc w:val="right"/>
              <w:rPr>
                <w:rFonts w:ascii="Times New Roman" w:hAnsi="Times New Roman"/>
                <w:color w:val="000000"/>
                <w:sz w:val="26"/>
                <w:szCs w:val="26"/>
              </w:rPr>
            </w:pPr>
            <w:r w:rsidRPr="00F56D54">
              <w:rPr>
                <w:rFonts w:ascii="Times New Roman" w:hAnsi="Times New Roman"/>
                <w:color w:val="000000"/>
                <w:sz w:val="26"/>
                <w:szCs w:val="26"/>
              </w:rPr>
              <w:t xml:space="preserve">17.3% </w:t>
            </w:r>
          </w:p>
        </w:tc>
        <w:tc>
          <w:tcPr>
            <w:tcW w:w="1334" w:type="dxa"/>
            <w:tcBorders>
              <w:top w:val="single" w:sz="4" w:space="0" w:color="000000"/>
              <w:left w:val="single" w:sz="4" w:space="0" w:color="000000"/>
              <w:bottom w:val="single" w:sz="4" w:space="0" w:color="000000"/>
              <w:right w:val="single" w:sz="4" w:space="0" w:color="000000"/>
            </w:tcBorders>
          </w:tcPr>
          <w:p w14:paraId="4A673EDB" w14:textId="77777777" w:rsidR="00186DFC" w:rsidRPr="00F56D54" w:rsidRDefault="00186DFC" w:rsidP="00F54206">
            <w:pPr>
              <w:widowControl/>
              <w:spacing w:line="259" w:lineRule="auto"/>
              <w:ind w:left="2" w:right="42"/>
              <w:jc w:val="right"/>
              <w:rPr>
                <w:rFonts w:ascii="Times New Roman" w:hAnsi="Times New Roman"/>
                <w:color w:val="000000"/>
                <w:sz w:val="26"/>
                <w:szCs w:val="26"/>
              </w:rPr>
            </w:pPr>
            <w:r w:rsidRPr="00F56D54">
              <w:rPr>
                <w:rFonts w:ascii="Times New Roman" w:hAnsi="Times New Roman"/>
                <w:color w:val="000000"/>
                <w:sz w:val="26"/>
                <w:szCs w:val="26"/>
              </w:rPr>
              <w:t xml:space="preserve">$116.49  </w:t>
            </w:r>
          </w:p>
        </w:tc>
        <w:tc>
          <w:tcPr>
            <w:tcW w:w="1279" w:type="dxa"/>
            <w:tcBorders>
              <w:top w:val="single" w:sz="4" w:space="0" w:color="000000"/>
              <w:left w:val="single" w:sz="4" w:space="0" w:color="000000"/>
              <w:bottom w:val="single" w:sz="4" w:space="0" w:color="000000"/>
              <w:right w:val="single" w:sz="4" w:space="0" w:color="000000"/>
            </w:tcBorders>
          </w:tcPr>
          <w:p w14:paraId="75E330F2" w14:textId="77777777" w:rsidR="00186DFC" w:rsidRPr="00F56D54" w:rsidRDefault="00186DFC" w:rsidP="00F54206">
            <w:pPr>
              <w:widowControl/>
              <w:spacing w:line="259" w:lineRule="auto"/>
              <w:ind w:left="2" w:right="66"/>
              <w:jc w:val="right"/>
              <w:rPr>
                <w:rFonts w:ascii="Times New Roman" w:hAnsi="Times New Roman"/>
                <w:color w:val="000000"/>
                <w:sz w:val="26"/>
                <w:szCs w:val="26"/>
              </w:rPr>
            </w:pPr>
            <w:r w:rsidRPr="00F56D54">
              <w:rPr>
                <w:rFonts w:ascii="Times New Roman" w:hAnsi="Times New Roman"/>
                <w:color w:val="000000"/>
                <w:sz w:val="26"/>
                <w:szCs w:val="26"/>
              </w:rPr>
              <w:t xml:space="preserve">12.1% </w:t>
            </w:r>
          </w:p>
        </w:tc>
      </w:tr>
      <w:tr w:rsidR="00F54206" w:rsidRPr="00F56D54" w14:paraId="37E382C9" w14:textId="77777777" w:rsidTr="00F54206">
        <w:trPr>
          <w:trHeight w:val="200"/>
        </w:trPr>
        <w:tc>
          <w:tcPr>
            <w:tcW w:w="2780" w:type="dxa"/>
            <w:tcBorders>
              <w:top w:val="single" w:sz="4" w:space="0" w:color="000000"/>
              <w:left w:val="single" w:sz="4" w:space="0" w:color="000000"/>
              <w:bottom w:val="single" w:sz="4" w:space="0" w:color="000000"/>
              <w:right w:val="single" w:sz="4" w:space="0" w:color="000000"/>
            </w:tcBorders>
          </w:tcPr>
          <w:p w14:paraId="6422289D" w14:textId="77777777" w:rsidR="00186DFC" w:rsidRPr="00B011E9" w:rsidRDefault="00186DFC" w:rsidP="006C1BA5">
            <w:pPr>
              <w:keepNext/>
              <w:widowControl/>
              <w:ind w:left="2"/>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504" w:type="dxa"/>
            <w:tcBorders>
              <w:top w:val="single" w:sz="4" w:space="0" w:color="000000"/>
              <w:left w:val="single" w:sz="4" w:space="0" w:color="000000"/>
              <w:bottom w:val="single" w:sz="4" w:space="0" w:color="000000"/>
              <w:right w:val="single" w:sz="4" w:space="0" w:color="000000"/>
            </w:tcBorders>
          </w:tcPr>
          <w:p w14:paraId="0D7D0161" w14:textId="77777777" w:rsidR="00186DFC" w:rsidRPr="00B011E9" w:rsidRDefault="00186DFC" w:rsidP="00F54206">
            <w:pPr>
              <w:widowControl/>
              <w:ind w:right="75"/>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397" w:type="dxa"/>
            <w:tcBorders>
              <w:top w:val="single" w:sz="4" w:space="0" w:color="000000"/>
              <w:left w:val="single" w:sz="4" w:space="0" w:color="000000"/>
              <w:bottom w:val="single" w:sz="4" w:space="0" w:color="000000"/>
              <w:right w:val="single" w:sz="4" w:space="0" w:color="000000"/>
            </w:tcBorders>
          </w:tcPr>
          <w:p w14:paraId="0FAAA0C3" w14:textId="77777777" w:rsidR="00186DFC" w:rsidRPr="00B011E9" w:rsidRDefault="00186DFC" w:rsidP="00F54206">
            <w:pPr>
              <w:widowControl/>
              <w:ind w:left="2" w:right="105"/>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312" w:type="dxa"/>
            <w:tcBorders>
              <w:top w:val="single" w:sz="4" w:space="0" w:color="000000"/>
              <w:left w:val="single" w:sz="4" w:space="0" w:color="000000"/>
              <w:bottom w:val="single" w:sz="4" w:space="0" w:color="000000"/>
              <w:right w:val="single" w:sz="4" w:space="0" w:color="000000"/>
            </w:tcBorders>
          </w:tcPr>
          <w:p w14:paraId="1FE606FF" w14:textId="77777777" w:rsidR="00186DFC" w:rsidRPr="00B011E9" w:rsidRDefault="00186DFC" w:rsidP="00F54206">
            <w:pPr>
              <w:widowControl/>
              <w:ind w:left="2" w:right="110"/>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334" w:type="dxa"/>
            <w:tcBorders>
              <w:top w:val="single" w:sz="4" w:space="0" w:color="000000"/>
              <w:left w:val="single" w:sz="4" w:space="0" w:color="000000"/>
              <w:bottom w:val="single" w:sz="4" w:space="0" w:color="000000"/>
              <w:right w:val="single" w:sz="4" w:space="0" w:color="000000"/>
            </w:tcBorders>
          </w:tcPr>
          <w:p w14:paraId="56A73A47" w14:textId="77777777" w:rsidR="00186DFC" w:rsidRPr="00B011E9" w:rsidRDefault="00186DFC" w:rsidP="00F54206">
            <w:pPr>
              <w:widowControl/>
              <w:ind w:left="2" w:right="42"/>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6873A73B" w14:textId="77777777" w:rsidR="00186DFC" w:rsidRPr="00B011E9" w:rsidRDefault="00186DFC" w:rsidP="00F54206">
            <w:pPr>
              <w:widowControl/>
              <w:ind w:left="2" w:right="66"/>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r>
      <w:tr w:rsidR="00F54206" w:rsidRPr="00F56D54" w14:paraId="2AFC0412" w14:textId="77777777" w:rsidTr="00F54206">
        <w:trPr>
          <w:trHeight w:val="470"/>
        </w:trPr>
        <w:tc>
          <w:tcPr>
            <w:tcW w:w="2780" w:type="dxa"/>
            <w:tcBorders>
              <w:top w:val="single" w:sz="4" w:space="0" w:color="000000"/>
              <w:left w:val="single" w:sz="4" w:space="0" w:color="000000"/>
              <w:bottom w:val="single" w:sz="4" w:space="0" w:color="000000"/>
              <w:right w:val="single" w:sz="4" w:space="0" w:color="000000"/>
            </w:tcBorders>
          </w:tcPr>
          <w:p w14:paraId="2E1D38A1" w14:textId="77777777" w:rsidR="00186DFC" w:rsidRPr="00F56D54" w:rsidRDefault="00186DFC" w:rsidP="006C1BA5">
            <w:pPr>
              <w:keepNext/>
              <w:widowControl/>
              <w:spacing w:line="259" w:lineRule="auto"/>
              <w:ind w:left="2"/>
              <w:rPr>
                <w:rFonts w:ascii="Times New Roman" w:hAnsi="Times New Roman"/>
                <w:color w:val="000000"/>
                <w:sz w:val="26"/>
                <w:szCs w:val="26"/>
              </w:rPr>
            </w:pPr>
            <w:r w:rsidRPr="00F56D54">
              <w:rPr>
                <w:rFonts w:ascii="Times New Roman" w:hAnsi="Times New Roman"/>
                <w:color w:val="000000"/>
                <w:sz w:val="26"/>
                <w:szCs w:val="26"/>
              </w:rPr>
              <w:t xml:space="preserve">SC2- Secondary -Demand (3,308 </w:t>
            </w:r>
            <w:proofErr w:type="spellStart"/>
            <w:r w:rsidRPr="00F56D54">
              <w:rPr>
                <w:rFonts w:ascii="Times New Roman" w:hAnsi="Times New Roman"/>
                <w:color w:val="000000"/>
                <w:sz w:val="26"/>
                <w:szCs w:val="26"/>
              </w:rPr>
              <w:t>Kwh</w:t>
            </w:r>
            <w:proofErr w:type="spellEnd"/>
            <w:r w:rsidRPr="00F56D54">
              <w:rPr>
                <w:rFonts w:ascii="Times New Roman" w:hAnsi="Times New Roman"/>
                <w:color w:val="000000"/>
                <w:sz w:val="26"/>
                <w:szCs w:val="26"/>
              </w:rPr>
              <w:t xml:space="preserve">) </w:t>
            </w:r>
          </w:p>
        </w:tc>
        <w:tc>
          <w:tcPr>
            <w:tcW w:w="1504" w:type="dxa"/>
            <w:tcBorders>
              <w:top w:val="single" w:sz="4" w:space="0" w:color="000000"/>
              <w:left w:val="single" w:sz="4" w:space="0" w:color="000000"/>
              <w:bottom w:val="single" w:sz="4" w:space="0" w:color="000000"/>
              <w:right w:val="single" w:sz="4" w:space="0" w:color="000000"/>
            </w:tcBorders>
          </w:tcPr>
          <w:p w14:paraId="321249A3" w14:textId="2D1DBDBA" w:rsidR="00186DFC" w:rsidRPr="00F56D54" w:rsidRDefault="00186DFC" w:rsidP="00F54206">
            <w:pPr>
              <w:widowControl/>
              <w:spacing w:line="259" w:lineRule="auto"/>
              <w:ind w:right="75"/>
              <w:jc w:val="right"/>
              <w:rPr>
                <w:rFonts w:ascii="Times New Roman" w:hAnsi="Times New Roman"/>
                <w:color w:val="000000"/>
                <w:sz w:val="26"/>
                <w:szCs w:val="26"/>
              </w:rPr>
            </w:pPr>
            <w:r w:rsidRPr="00F56D54">
              <w:rPr>
                <w:rFonts w:ascii="Times New Roman" w:hAnsi="Times New Roman"/>
                <w:color w:val="000000"/>
                <w:sz w:val="26"/>
                <w:szCs w:val="26"/>
              </w:rPr>
              <w:t>$450.61</w:t>
            </w:r>
            <w:r w:rsidR="00F54206">
              <w:rPr>
                <w:rFonts w:ascii="Times New Roman" w:hAnsi="Times New Roman"/>
                <w:color w:val="000000"/>
                <w:sz w:val="26"/>
                <w:szCs w:val="26"/>
              </w:rPr>
              <w:t xml:space="preserve"> </w:t>
            </w:r>
            <w:r w:rsidRPr="00F56D54">
              <w:rPr>
                <w:rFonts w:ascii="Times New Roman" w:hAnsi="Times New Roman"/>
                <w:color w:val="000000"/>
                <w:sz w:val="26"/>
                <w:szCs w:val="26"/>
              </w:rPr>
              <w:t xml:space="preserve">  </w:t>
            </w:r>
          </w:p>
        </w:tc>
        <w:tc>
          <w:tcPr>
            <w:tcW w:w="1397" w:type="dxa"/>
            <w:tcBorders>
              <w:top w:val="single" w:sz="4" w:space="0" w:color="000000"/>
              <w:left w:val="single" w:sz="4" w:space="0" w:color="000000"/>
              <w:bottom w:val="single" w:sz="4" w:space="0" w:color="000000"/>
              <w:right w:val="single" w:sz="4" w:space="0" w:color="000000"/>
            </w:tcBorders>
          </w:tcPr>
          <w:p w14:paraId="029FC131" w14:textId="77777777" w:rsidR="00186DFC" w:rsidRPr="00F56D54" w:rsidRDefault="00186DFC" w:rsidP="00F54206">
            <w:pPr>
              <w:widowControl/>
              <w:spacing w:line="259" w:lineRule="auto"/>
              <w:ind w:left="2" w:right="105"/>
              <w:jc w:val="right"/>
              <w:rPr>
                <w:rFonts w:ascii="Times New Roman" w:hAnsi="Times New Roman"/>
                <w:color w:val="000000"/>
                <w:sz w:val="26"/>
                <w:szCs w:val="26"/>
              </w:rPr>
            </w:pPr>
            <w:r w:rsidRPr="00F56D54">
              <w:rPr>
                <w:rFonts w:ascii="Times New Roman" w:hAnsi="Times New Roman"/>
                <w:color w:val="000000"/>
                <w:sz w:val="26"/>
                <w:szCs w:val="26"/>
              </w:rPr>
              <w:t xml:space="preserve">$552.89  </w:t>
            </w:r>
          </w:p>
        </w:tc>
        <w:tc>
          <w:tcPr>
            <w:tcW w:w="1312" w:type="dxa"/>
            <w:tcBorders>
              <w:top w:val="single" w:sz="4" w:space="0" w:color="000000"/>
              <w:left w:val="single" w:sz="4" w:space="0" w:color="000000"/>
              <w:bottom w:val="single" w:sz="4" w:space="0" w:color="000000"/>
              <w:right w:val="single" w:sz="4" w:space="0" w:color="000000"/>
            </w:tcBorders>
          </w:tcPr>
          <w:p w14:paraId="45C33983" w14:textId="77777777" w:rsidR="00186DFC" w:rsidRPr="00F56D54" w:rsidRDefault="00186DFC" w:rsidP="00F54206">
            <w:pPr>
              <w:widowControl/>
              <w:spacing w:line="259" w:lineRule="auto"/>
              <w:ind w:left="2" w:right="110"/>
              <w:jc w:val="right"/>
              <w:rPr>
                <w:rFonts w:ascii="Times New Roman" w:hAnsi="Times New Roman"/>
                <w:color w:val="000000"/>
                <w:sz w:val="26"/>
                <w:szCs w:val="26"/>
              </w:rPr>
            </w:pPr>
            <w:r w:rsidRPr="00F56D54">
              <w:rPr>
                <w:rFonts w:ascii="Times New Roman" w:hAnsi="Times New Roman"/>
                <w:color w:val="000000"/>
                <w:sz w:val="26"/>
                <w:szCs w:val="26"/>
              </w:rPr>
              <w:t xml:space="preserve">22.7% </w:t>
            </w:r>
          </w:p>
        </w:tc>
        <w:tc>
          <w:tcPr>
            <w:tcW w:w="1334" w:type="dxa"/>
            <w:tcBorders>
              <w:top w:val="single" w:sz="4" w:space="0" w:color="000000"/>
              <w:left w:val="single" w:sz="4" w:space="0" w:color="000000"/>
              <w:bottom w:val="single" w:sz="4" w:space="0" w:color="000000"/>
              <w:right w:val="single" w:sz="4" w:space="0" w:color="000000"/>
            </w:tcBorders>
          </w:tcPr>
          <w:p w14:paraId="6D821FB8" w14:textId="77777777" w:rsidR="00186DFC" w:rsidRPr="00F56D54" w:rsidRDefault="00186DFC" w:rsidP="00F54206">
            <w:pPr>
              <w:widowControl/>
              <w:spacing w:line="259" w:lineRule="auto"/>
              <w:ind w:left="2" w:right="42"/>
              <w:jc w:val="right"/>
              <w:rPr>
                <w:rFonts w:ascii="Times New Roman" w:hAnsi="Times New Roman"/>
                <w:color w:val="000000"/>
                <w:sz w:val="26"/>
                <w:szCs w:val="26"/>
              </w:rPr>
            </w:pPr>
            <w:r w:rsidRPr="00F56D54">
              <w:rPr>
                <w:rFonts w:ascii="Times New Roman" w:hAnsi="Times New Roman"/>
                <w:color w:val="000000"/>
                <w:sz w:val="26"/>
                <w:szCs w:val="26"/>
              </w:rPr>
              <w:t xml:space="preserve">$528.52  </w:t>
            </w:r>
          </w:p>
        </w:tc>
        <w:tc>
          <w:tcPr>
            <w:tcW w:w="1279" w:type="dxa"/>
            <w:tcBorders>
              <w:top w:val="single" w:sz="4" w:space="0" w:color="000000"/>
              <w:left w:val="single" w:sz="4" w:space="0" w:color="000000"/>
              <w:bottom w:val="single" w:sz="4" w:space="0" w:color="000000"/>
              <w:right w:val="single" w:sz="4" w:space="0" w:color="000000"/>
            </w:tcBorders>
          </w:tcPr>
          <w:p w14:paraId="3407D17A" w14:textId="77777777" w:rsidR="00186DFC" w:rsidRPr="00F56D54" w:rsidRDefault="00186DFC" w:rsidP="00F54206">
            <w:pPr>
              <w:widowControl/>
              <w:spacing w:line="259" w:lineRule="auto"/>
              <w:ind w:left="2" w:right="66"/>
              <w:jc w:val="right"/>
              <w:rPr>
                <w:rFonts w:ascii="Times New Roman" w:hAnsi="Times New Roman"/>
                <w:color w:val="000000"/>
                <w:sz w:val="26"/>
                <w:szCs w:val="26"/>
              </w:rPr>
            </w:pPr>
            <w:r w:rsidRPr="00F56D54">
              <w:rPr>
                <w:rFonts w:ascii="Times New Roman" w:hAnsi="Times New Roman"/>
                <w:color w:val="000000"/>
                <w:sz w:val="26"/>
                <w:szCs w:val="26"/>
              </w:rPr>
              <w:t xml:space="preserve">17.3% </w:t>
            </w:r>
          </w:p>
        </w:tc>
      </w:tr>
      <w:tr w:rsidR="00F54206" w:rsidRPr="00F56D54" w14:paraId="69BB1A26" w14:textId="77777777" w:rsidTr="00F54206">
        <w:trPr>
          <w:trHeight w:val="200"/>
        </w:trPr>
        <w:tc>
          <w:tcPr>
            <w:tcW w:w="2780" w:type="dxa"/>
            <w:tcBorders>
              <w:top w:val="single" w:sz="4" w:space="0" w:color="000000"/>
              <w:left w:val="single" w:sz="4" w:space="0" w:color="000000"/>
              <w:bottom w:val="single" w:sz="4" w:space="0" w:color="000000"/>
              <w:right w:val="single" w:sz="4" w:space="0" w:color="000000"/>
            </w:tcBorders>
          </w:tcPr>
          <w:p w14:paraId="2134FCB5" w14:textId="77777777" w:rsidR="00186DFC" w:rsidRPr="00B011E9" w:rsidRDefault="00186DFC" w:rsidP="006C1BA5">
            <w:pPr>
              <w:keepNext/>
              <w:widowControl/>
              <w:ind w:left="2"/>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504" w:type="dxa"/>
            <w:tcBorders>
              <w:top w:val="single" w:sz="4" w:space="0" w:color="000000"/>
              <w:left w:val="single" w:sz="4" w:space="0" w:color="000000"/>
              <w:bottom w:val="single" w:sz="4" w:space="0" w:color="000000"/>
              <w:right w:val="single" w:sz="4" w:space="0" w:color="000000"/>
            </w:tcBorders>
          </w:tcPr>
          <w:p w14:paraId="08CF8140" w14:textId="77777777" w:rsidR="00186DFC" w:rsidRPr="00B011E9" w:rsidRDefault="00186DFC" w:rsidP="00F54206">
            <w:pPr>
              <w:widowControl/>
              <w:ind w:right="75"/>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397" w:type="dxa"/>
            <w:tcBorders>
              <w:top w:val="single" w:sz="4" w:space="0" w:color="000000"/>
              <w:left w:val="single" w:sz="4" w:space="0" w:color="000000"/>
              <w:bottom w:val="single" w:sz="4" w:space="0" w:color="000000"/>
              <w:right w:val="single" w:sz="4" w:space="0" w:color="000000"/>
            </w:tcBorders>
          </w:tcPr>
          <w:p w14:paraId="1B9E3165" w14:textId="77777777" w:rsidR="00186DFC" w:rsidRPr="00B011E9" w:rsidRDefault="00186DFC" w:rsidP="00F54206">
            <w:pPr>
              <w:widowControl/>
              <w:ind w:left="2" w:right="105"/>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312" w:type="dxa"/>
            <w:tcBorders>
              <w:top w:val="single" w:sz="4" w:space="0" w:color="000000"/>
              <w:left w:val="single" w:sz="4" w:space="0" w:color="000000"/>
              <w:bottom w:val="single" w:sz="4" w:space="0" w:color="000000"/>
              <w:right w:val="single" w:sz="4" w:space="0" w:color="000000"/>
            </w:tcBorders>
          </w:tcPr>
          <w:p w14:paraId="1ED9AB90" w14:textId="77777777" w:rsidR="00186DFC" w:rsidRPr="00B011E9" w:rsidRDefault="00186DFC" w:rsidP="00F54206">
            <w:pPr>
              <w:widowControl/>
              <w:ind w:left="2" w:right="110"/>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334" w:type="dxa"/>
            <w:tcBorders>
              <w:top w:val="single" w:sz="4" w:space="0" w:color="000000"/>
              <w:left w:val="single" w:sz="4" w:space="0" w:color="000000"/>
              <w:bottom w:val="single" w:sz="4" w:space="0" w:color="000000"/>
              <w:right w:val="single" w:sz="4" w:space="0" w:color="000000"/>
            </w:tcBorders>
          </w:tcPr>
          <w:p w14:paraId="1F976BD0" w14:textId="77777777" w:rsidR="00186DFC" w:rsidRPr="00B011E9" w:rsidRDefault="00186DFC" w:rsidP="00F54206">
            <w:pPr>
              <w:widowControl/>
              <w:ind w:left="2" w:right="42"/>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0F0FBC65" w14:textId="77777777" w:rsidR="00186DFC" w:rsidRPr="00B011E9" w:rsidRDefault="00186DFC" w:rsidP="00F54206">
            <w:pPr>
              <w:widowControl/>
              <w:ind w:left="2" w:right="66"/>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r>
      <w:tr w:rsidR="00F54206" w:rsidRPr="00F56D54" w14:paraId="5EC7F929" w14:textId="77777777" w:rsidTr="00F54206">
        <w:trPr>
          <w:trHeight w:val="471"/>
        </w:trPr>
        <w:tc>
          <w:tcPr>
            <w:tcW w:w="2780" w:type="dxa"/>
            <w:tcBorders>
              <w:top w:val="single" w:sz="4" w:space="0" w:color="000000"/>
              <w:left w:val="single" w:sz="4" w:space="0" w:color="000000"/>
              <w:bottom w:val="single" w:sz="4" w:space="0" w:color="000000"/>
              <w:right w:val="single" w:sz="4" w:space="0" w:color="000000"/>
            </w:tcBorders>
          </w:tcPr>
          <w:p w14:paraId="49E70B21" w14:textId="77777777" w:rsidR="00186DFC" w:rsidRPr="00F56D54" w:rsidRDefault="00186DFC" w:rsidP="006C1BA5">
            <w:pPr>
              <w:keepNext/>
              <w:widowControl/>
              <w:spacing w:line="259" w:lineRule="auto"/>
              <w:ind w:left="2"/>
              <w:rPr>
                <w:rFonts w:ascii="Times New Roman" w:hAnsi="Times New Roman"/>
                <w:color w:val="000000"/>
                <w:sz w:val="26"/>
                <w:szCs w:val="26"/>
              </w:rPr>
            </w:pPr>
            <w:r w:rsidRPr="00F56D54">
              <w:rPr>
                <w:rFonts w:ascii="Times New Roman" w:hAnsi="Times New Roman"/>
                <w:color w:val="000000"/>
                <w:sz w:val="26"/>
                <w:szCs w:val="26"/>
              </w:rPr>
              <w:t xml:space="preserve">SC2- Second- Non-Demand (532 </w:t>
            </w:r>
            <w:proofErr w:type="spellStart"/>
            <w:r w:rsidRPr="00F56D54">
              <w:rPr>
                <w:rFonts w:ascii="Times New Roman" w:hAnsi="Times New Roman"/>
                <w:color w:val="000000"/>
                <w:sz w:val="26"/>
                <w:szCs w:val="26"/>
              </w:rPr>
              <w:t>Kwh</w:t>
            </w:r>
            <w:proofErr w:type="spellEnd"/>
            <w:r w:rsidRPr="00F56D54">
              <w:rPr>
                <w:rFonts w:ascii="Times New Roman" w:hAnsi="Times New Roman"/>
                <w:color w:val="000000"/>
                <w:sz w:val="26"/>
                <w:szCs w:val="26"/>
              </w:rPr>
              <w:t xml:space="preserve">) </w:t>
            </w:r>
          </w:p>
        </w:tc>
        <w:tc>
          <w:tcPr>
            <w:tcW w:w="1504" w:type="dxa"/>
            <w:tcBorders>
              <w:top w:val="single" w:sz="4" w:space="0" w:color="000000"/>
              <w:left w:val="single" w:sz="4" w:space="0" w:color="000000"/>
              <w:bottom w:val="single" w:sz="4" w:space="0" w:color="000000"/>
              <w:right w:val="single" w:sz="4" w:space="0" w:color="000000"/>
            </w:tcBorders>
          </w:tcPr>
          <w:p w14:paraId="3FA2DD56" w14:textId="77777777" w:rsidR="00186DFC" w:rsidRPr="00F56D54" w:rsidRDefault="00186DFC" w:rsidP="00F54206">
            <w:pPr>
              <w:widowControl/>
              <w:spacing w:line="259" w:lineRule="auto"/>
              <w:ind w:right="75"/>
              <w:jc w:val="right"/>
              <w:rPr>
                <w:rFonts w:ascii="Times New Roman" w:hAnsi="Times New Roman"/>
                <w:color w:val="000000"/>
                <w:sz w:val="26"/>
                <w:szCs w:val="26"/>
              </w:rPr>
            </w:pPr>
            <w:r w:rsidRPr="00F56D54">
              <w:rPr>
                <w:rFonts w:ascii="Times New Roman" w:hAnsi="Times New Roman"/>
                <w:color w:val="000000"/>
                <w:sz w:val="26"/>
                <w:szCs w:val="26"/>
              </w:rPr>
              <w:t xml:space="preserve">$70.46  </w:t>
            </w:r>
          </w:p>
        </w:tc>
        <w:tc>
          <w:tcPr>
            <w:tcW w:w="1397" w:type="dxa"/>
            <w:tcBorders>
              <w:top w:val="single" w:sz="4" w:space="0" w:color="000000"/>
              <w:left w:val="single" w:sz="4" w:space="0" w:color="000000"/>
              <w:bottom w:val="single" w:sz="4" w:space="0" w:color="000000"/>
              <w:right w:val="single" w:sz="4" w:space="0" w:color="000000"/>
            </w:tcBorders>
          </w:tcPr>
          <w:p w14:paraId="6611F8BE" w14:textId="77777777" w:rsidR="00186DFC" w:rsidRPr="00F56D54" w:rsidRDefault="00186DFC" w:rsidP="00F54206">
            <w:pPr>
              <w:widowControl/>
              <w:spacing w:line="259" w:lineRule="auto"/>
              <w:ind w:left="2" w:right="105"/>
              <w:jc w:val="right"/>
              <w:rPr>
                <w:rFonts w:ascii="Times New Roman" w:hAnsi="Times New Roman"/>
                <w:color w:val="000000"/>
                <w:sz w:val="26"/>
                <w:szCs w:val="26"/>
              </w:rPr>
            </w:pPr>
            <w:r w:rsidRPr="00F56D54">
              <w:rPr>
                <w:rFonts w:ascii="Times New Roman" w:hAnsi="Times New Roman"/>
                <w:color w:val="000000"/>
                <w:sz w:val="26"/>
                <w:szCs w:val="26"/>
              </w:rPr>
              <w:t xml:space="preserve">$87.59  </w:t>
            </w:r>
          </w:p>
        </w:tc>
        <w:tc>
          <w:tcPr>
            <w:tcW w:w="1312" w:type="dxa"/>
            <w:tcBorders>
              <w:top w:val="single" w:sz="4" w:space="0" w:color="000000"/>
              <w:left w:val="single" w:sz="4" w:space="0" w:color="000000"/>
              <w:bottom w:val="single" w:sz="4" w:space="0" w:color="000000"/>
              <w:right w:val="single" w:sz="4" w:space="0" w:color="000000"/>
            </w:tcBorders>
          </w:tcPr>
          <w:p w14:paraId="5A807C52" w14:textId="77777777" w:rsidR="00186DFC" w:rsidRPr="00F56D54" w:rsidRDefault="00186DFC" w:rsidP="00F54206">
            <w:pPr>
              <w:widowControl/>
              <w:spacing w:line="259" w:lineRule="auto"/>
              <w:ind w:left="2" w:right="110"/>
              <w:jc w:val="right"/>
              <w:rPr>
                <w:rFonts w:ascii="Times New Roman" w:hAnsi="Times New Roman"/>
                <w:color w:val="000000"/>
                <w:sz w:val="26"/>
                <w:szCs w:val="26"/>
              </w:rPr>
            </w:pPr>
            <w:r w:rsidRPr="00F56D54">
              <w:rPr>
                <w:rFonts w:ascii="Times New Roman" w:hAnsi="Times New Roman"/>
                <w:color w:val="000000"/>
                <w:sz w:val="26"/>
                <w:szCs w:val="26"/>
              </w:rPr>
              <w:t xml:space="preserve">24.3% </w:t>
            </w:r>
          </w:p>
        </w:tc>
        <w:tc>
          <w:tcPr>
            <w:tcW w:w="1334" w:type="dxa"/>
            <w:tcBorders>
              <w:top w:val="single" w:sz="4" w:space="0" w:color="000000"/>
              <w:left w:val="single" w:sz="4" w:space="0" w:color="000000"/>
              <w:bottom w:val="single" w:sz="4" w:space="0" w:color="000000"/>
              <w:right w:val="single" w:sz="4" w:space="0" w:color="000000"/>
            </w:tcBorders>
          </w:tcPr>
          <w:p w14:paraId="0E2E33D4" w14:textId="77777777" w:rsidR="00186DFC" w:rsidRPr="00F56D54" w:rsidRDefault="00186DFC" w:rsidP="00F54206">
            <w:pPr>
              <w:widowControl/>
              <w:spacing w:line="259" w:lineRule="auto"/>
              <w:ind w:left="2" w:right="42"/>
              <w:jc w:val="right"/>
              <w:rPr>
                <w:rFonts w:ascii="Times New Roman" w:hAnsi="Times New Roman"/>
                <w:color w:val="000000"/>
                <w:sz w:val="26"/>
                <w:szCs w:val="26"/>
              </w:rPr>
            </w:pPr>
            <w:r w:rsidRPr="00F56D54">
              <w:rPr>
                <w:rFonts w:ascii="Times New Roman" w:hAnsi="Times New Roman"/>
                <w:color w:val="000000"/>
                <w:sz w:val="26"/>
                <w:szCs w:val="26"/>
              </w:rPr>
              <w:t xml:space="preserve">$83.81  </w:t>
            </w:r>
          </w:p>
        </w:tc>
        <w:tc>
          <w:tcPr>
            <w:tcW w:w="1279" w:type="dxa"/>
            <w:tcBorders>
              <w:top w:val="single" w:sz="4" w:space="0" w:color="000000"/>
              <w:left w:val="single" w:sz="4" w:space="0" w:color="000000"/>
              <w:bottom w:val="single" w:sz="4" w:space="0" w:color="000000"/>
              <w:right w:val="single" w:sz="4" w:space="0" w:color="000000"/>
            </w:tcBorders>
          </w:tcPr>
          <w:p w14:paraId="1D86FDEC" w14:textId="77777777" w:rsidR="00186DFC" w:rsidRPr="00F56D54" w:rsidRDefault="00186DFC" w:rsidP="00F54206">
            <w:pPr>
              <w:widowControl/>
              <w:spacing w:line="259" w:lineRule="auto"/>
              <w:ind w:left="2" w:right="66"/>
              <w:jc w:val="right"/>
              <w:rPr>
                <w:rFonts w:ascii="Times New Roman" w:hAnsi="Times New Roman"/>
                <w:color w:val="000000"/>
                <w:sz w:val="26"/>
                <w:szCs w:val="26"/>
              </w:rPr>
            </w:pPr>
            <w:r w:rsidRPr="00F56D54">
              <w:rPr>
                <w:rFonts w:ascii="Times New Roman" w:hAnsi="Times New Roman"/>
                <w:color w:val="000000"/>
                <w:sz w:val="26"/>
                <w:szCs w:val="26"/>
              </w:rPr>
              <w:t xml:space="preserve">18.9% </w:t>
            </w:r>
          </w:p>
        </w:tc>
      </w:tr>
      <w:tr w:rsidR="00F54206" w:rsidRPr="00F56D54" w14:paraId="6AF952CD" w14:textId="77777777" w:rsidTr="00F54206">
        <w:trPr>
          <w:trHeight w:val="209"/>
        </w:trPr>
        <w:tc>
          <w:tcPr>
            <w:tcW w:w="2780" w:type="dxa"/>
            <w:tcBorders>
              <w:top w:val="single" w:sz="4" w:space="0" w:color="000000"/>
              <w:left w:val="single" w:sz="4" w:space="0" w:color="000000"/>
              <w:bottom w:val="single" w:sz="4" w:space="0" w:color="000000"/>
              <w:right w:val="single" w:sz="4" w:space="0" w:color="000000"/>
            </w:tcBorders>
          </w:tcPr>
          <w:p w14:paraId="38AE7D1A" w14:textId="77777777" w:rsidR="00186DFC" w:rsidRPr="00B011E9" w:rsidRDefault="00186DFC" w:rsidP="006C1BA5">
            <w:pPr>
              <w:keepNext/>
              <w:widowControl/>
              <w:ind w:left="2"/>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504" w:type="dxa"/>
            <w:tcBorders>
              <w:top w:val="single" w:sz="4" w:space="0" w:color="000000"/>
              <w:left w:val="single" w:sz="4" w:space="0" w:color="000000"/>
              <w:bottom w:val="single" w:sz="4" w:space="0" w:color="000000"/>
              <w:right w:val="single" w:sz="4" w:space="0" w:color="000000"/>
            </w:tcBorders>
          </w:tcPr>
          <w:p w14:paraId="190214CE" w14:textId="77777777" w:rsidR="00186DFC" w:rsidRPr="00B011E9" w:rsidRDefault="00186DFC" w:rsidP="00F54206">
            <w:pPr>
              <w:widowControl/>
              <w:ind w:right="75"/>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397" w:type="dxa"/>
            <w:tcBorders>
              <w:top w:val="single" w:sz="4" w:space="0" w:color="000000"/>
              <w:left w:val="single" w:sz="4" w:space="0" w:color="000000"/>
              <w:bottom w:val="single" w:sz="4" w:space="0" w:color="000000"/>
              <w:right w:val="single" w:sz="4" w:space="0" w:color="000000"/>
            </w:tcBorders>
          </w:tcPr>
          <w:p w14:paraId="7FE4EBD0" w14:textId="77777777" w:rsidR="00186DFC" w:rsidRPr="00B011E9" w:rsidRDefault="00186DFC" w:rsidP="00F54206">
            <w:pPr>
              <w:widowControl/>
              <w:ind w:left="2" w:right="105"/>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312" w:type="dxa"/>
            <w:tcBorders>
              <w:top w:val="single" w:sz="4" w:space="0" w:color="000000"/>
              <w:left w:val="single" w:sz="4" w:space="0" w:color="000000"/>
              <w:bottom w:val="single" w:sz="4" w:space="0" w:color="000000"/>
              <w:right w:val="single" w:sz="4" w:space="0" w:color="000000"/>
            </w:tcBorders>
          </w:tcPr>
          <w:p w14:paraId="0C37879F" w14:textId="77777777" w:rsidR="00186DFC" w:rsidRPr="00B011E9" w:rsidRDefault="00186DFC" w:rsidP="00F54206">
            <w:pPr>
              <w:widowControl/>
              <w:ind w:left="2" w:right="110"/>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334" w:type="dxa"/>
            <w:tcBorders>
              <w:top w:val="single" w:sz="4" w:space="0" w:color="000000"/>
              <w:left w:val="single" w:sz="4" w:space="0" w:color="000000"/>
              <w:bottom w:val="single" w:sz="4" w:space="0" w:color="000000"/>
              <w:right w:val="single" w:sz="4" w:space="0" w:color="000000"/>
            </w:tcBorders>
          </w:tcPr>
          <w:p w14:paraId="495A9862" w14:textId="77777777" w:rsidR="00186DFC" w:rsidRPr="00B011E9" w:rsidRDefault="00186DFC" w:rsidP="00F54206">
            <w:pPr>
              <w:widowControl/>
              <w:ind w:left="2" w:right="42"/>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3394B53A" w14:textId="77777777" w:rsidR="00186DFC" w:rsidRPr="00B011E9" w:rsidRDefault="00186DFC" w:rsidP="00F54206">
            <w:pPr>
              <w:widowControl/>
              <w:ind w:left="2" w:right="66"/>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r>
      <w:tr w:rsidR="00F54206" w:rsidRPr="00F56D54" w14:paraId="655FD0A0" w14:textId="77777777" w:rsidTr="00F54206">
        <w:trPr>
          <w:trHeight w:val="586"/>
        </w:trPr>
        <w:tc>
          <w:tcPr>
            <w:tcW w:w="2780" w:type="dxa"/>
            <w:tcBorders>
              <w:top w:val="single" w:sz="4" w:space="0" w:color="000000"/>
              <w:left w:val="single" w:sz="4" w:space="0" w:color="000000"/>
              <w:bottom w:val="single" w:sz="4" w:space="0" w:color="000000"/>
              <w:right w:val="single" w:sz="4" w:space="0" w:color="000000"/>
            </w:tcBorders>
          </w:tcPr>
          <w:p w14:paraId="79EA6F6A" w14:textId="77777777" w:rsidR="00186DFC" w:rsidRPr="00F56D54" w:rsidRDefault="00186DFC" w:rsidP="006C1BA5">
            <w:pPr>
              <w:keepNext/>
              <w:widowControl/>
              <w:spacing w:line="259" w:lineRule="auto"/>
              <w:ind w:left="2" w:right="442"/>
              <w:rPr>
                <w:rFonts w:ascii="Times New Roman" w:hAnsi="Times New Roman"/>
                <w:color w:val="000000"/>
                <w:sz w:val="26"/>
                <w:szCs w:val="26"/>
              </w:rPr>
            </w:pPr>
            <w:r w:rsidRPr="00F56D54">
              <w:rPr>
                <w:rFonts w:ascii="Times New Roman" w:hAnsi="Times New Roman"/>
                <w:color w:val="000000"/>
                <w:sz w:val="26"/>
                <w:szCs w:val="26"/>
              </w:rPr>
              <w:t xml:space="preserve">SC2 - Primary (105,514 </w:t>
            </w:r>
            <w:proofErr w:type="spellStart"/>
            <w:r w:rsidRPr="00F56D54">
              <w:rPr>
                <w:rFonts w:ascii="Times New Roman" w:hAnsi="Times New Roman"/>
                <w:color w:val="000000"/>
                <w:sz w:val="26"/>
                <w:szCs w:val="26"/>
              </w:rPr>
              <w:t>Kwh</w:t>
            </w:r>
            <w:proofErr w:type="spellEnd"/>
            <w:r w:rsidRPr="00F56D54">
              <w:rPr>
                <w:rFonts w:ascii="Times New Roman" w:hAnsi="Times New Roman"/>
                <w:color w:val="000000"/>
                <w:sz w:val="26"/>
                <w:szCs w:val="26"/>
              </w:rPr>
              <w:t xml:space="preserve">) </w:t>
            </w:r>
          </w:p>
        </w:tc>
        <w:tc>
          <w:tcPr>
            <w:tcW w:w="1504" w:type="dxa"/>
            <w:tcBorders>
              <w:top w:val="single" w:sz="4" w:space="0" w:color="000000"/>
              <w:left w:val="single" w:sz="4" w:space="0" w:color="000000"/>
              <w:bottom w:val="single" w:sz="4" w:space="0" w:color="000000"/>
              <w:right w:val="single" w:sz="4" w:space="0" w:color="000000"/>
            </w:tcBorders>
          </w:tcPr>
          <w:p w14:paraId="31C139E8" w14:textId="77777777" w:rsidR="00186DFC" w:rsidRPr="00F56D54" w:rsidRDefault="00186DFC" w:rsidP="00F54206">
            <w:pPr>
              <w:widowControl/>
              <w:spacing w:line="259" w:lineRule="auto"/>
              <w:ind w:right="75"/>
              <w:jc w:val="right"/>
              <w:rPr>
                <w:rFonts w:ascii="Times New Roman" w:hAnsi="Times New Roman"/>
                <w:color w:val="000000"/>
                <w:sz w:val="26"/>
                <w:szCs w:val="26"/>
              </w:rPr>
            </w:pPr>
            <w:r w:rsidRPr="00F56D54">
              <w:rPr>
                <w:rFonts w:ascii="Times New Roman" w:hAnsi="Times New Roman"/>
                <w:color w:val="000000"/>
                <w:sz w:val="26"/>
                <w:szCs w:val="26"/>
              </w:rPr>
              <w:t xml:space="preserve">$9,958.27  </w:t>
            </w:r>
          </w:p>
        </w:tc>
        <w:tc>
          <w:tcPr>
            <w:tcW w:w="1397" w:type="dxa"/>
            <w:tcBorders>
              <w:top w:val="single" w:sz="4" w:space="0" w:color="000000"/>
              <w:left w:val="single" w:sz="4" w:space="0" w:color="000000"/>
              <w:bottom w:val="single" w:sz="4" w:space="0" w:color="000000"/>
              <w:right w:val="single" w:sz="4" w:space="0" w:color="000000"/>
            </w:tcBorders>
          </w:tcPr>
          <w:p w14:paraId="5CD7519F" w14:textId="77777777" w:rsidR="00186DFC" w:rsidRPr="00F56D54" w:rsidRDefault="00186DFC" w:rsidP="00F54206">
            <w:pPr>
              <w:widowControl/>
              <w:spacing w:line="259" w:lineRule="auto"/>
              <w:ind w:left="2" w:right="105"/>
              <w:jc w:val="right"/>
              <w:rPr>
                <w:rFonts w:ascii="Times New Roman" w:hAnsi="Times New Roman"/>
                <w:color w:val="000000"/>
                <w:sz w:val="26"/>
                <w:szCs w:val="26"/>
              </w:rPr>
            </w:pPr>
            <w:r w:rsidRPr="00F56D54">
              <w:rPr>
                <w:rFonts w:ascii="Times New Roman" w:hAnsi="Times New Roman"/>
                <w:color w:val="000000"/>
                <w:sz w:val="26"/>
                <w:szCs w:val="26"/>
              </w:rPr>
              <w:t xml:space="preserve">$11,225.55  </w:t>
            </w:r>
          </w:p>
        </w:tc>
        <w:tc>
          <w:tcPr>
            <w:tcW w:w="1312" w:type="dxa"/>
            <w:tcBorders>
              <w:top w:val="single" w:sz="4" w:space="0" w:color="000000"/>
              <w:left w:val="single" w:sz="4" w:space="0" w:color="000000"/>
              <w:bottom w:val="single" w:sz="4" w:space="0" w:color="000000"/>
              <w:right w:val="single" w:sz="4" w:space="0" w:color="000000"/>
            </w:tcBorders>
          </w:tcPr>
          <w:p w14:paraId="4B632085" w14:textId="77777777" w:rsidR="00186DFC" w:rsidRPr="00F56D54" w:rsidRDefault="00186DFC" w:rsidP="00F54206">
            <w:pPr>
              <w:widowControl/>
              <w:spacing w:line="259" w:lineRule="auto"/>
              <w:ind w:left="2" w:right="110"/>
              <w:jc w:val="right"/>
              <w:rPr>
                <w:rFonts w:ascii="Times New Roman" w:hAnsi="Times New Roman"/>
                <w:color w:val="000000"/>
                <w:sz w:val="26"/>
                <w:szCs w:val="26"/>
              </w:rPr>
            </w:pPr>
            <w:r w:rsidRPr="00F56D54">
              <w:rPr>
                <w:rFonts w:ascii="Times New Roman" w:hAnsi="Times New Roman"/>
                <w:color w:val="000000"/>
                <w:sz w:val="26"/>
                <w:szCs w:val="26"/>
              </w:rPr>
              <w:t xml:space="preserve">12.7% </w:t>
            </w:r>
          </w:p>
        </w:tc>
        <w:tc>
          <w:tcPr>
            <w:tcW w:w="1334" w:type="dxa"/>
            <w:tcBorders>
              <w:top w:val="single" w:sz="4" w:space="0" w:color="000000"/>
              <w:left w:val="single" w:sz="4" w:space="0" w:color="000000"/>
              <w:bottom w:val="single" w:sz="4" w:space="0" w:color="000000"/>
              <w:right w:val="single" w:sz="4" w:space="0" w:color="000000"/>
            </w:tcBorders>
          </w:tcPr>
          <w:p w14:paraId="34E36D67" w14:textId="77777777" w:rsidR="00186DFC" w:rsidRPr="00F56D54" w:rsidRDefault="00186DFC" w:rsidP="00F54206">
            <w:pPr>
              <w:widowControl/>
              <w:spacing w:line="259" w:lineRule="auto"/>
              <w:ind w:left="2" w:right="42"/>
              <w:jc w:val="right"/>
              <w:rPr>
                <w:rFonts w:ascii="Times New Roman" w:hAnsi="Times New Roman"/>
                <w:color w:val="000000"/>
                <w:sz w:val="26"/>
                <w:szCs w:val="26"/>
              </w:rPr>
            </w:pPr>
            <w:r w:rsidRPr="00F56D54">
              <w:rPr>
                <w:rFonts w:ascii="Times New Roman" w:hAnsi="Times New Roman"/>
                <w:color w:val="000000"/>
                <w:sz w:val="26"/>
                <w:szCs w:val="26"/>
              </w:rPr>
              <w:t xml:space="preserve">$10,892.36  </w:t>
            </w:r>
          </w:p>
        </w:tc>
        <w:tc>
          <w:tcPr>
            <w:tcW w:w="1279" w:type="dxa"/>
            <w:tcBorders>
              <w:top w:val="single" w:sz="4" w:space="0" w:color="000000"/>
              <w:left w:val="single" w:sz="4" w:space="0" w:color="000000"/>
              <w:bottom w:val="single" w:sz="4" w:space="0" w:color="000000"/>
              <w:right w:val="single" w:sz="4" w:space="0" w:color="000000"/>
            </w:tcBorders>
          </w:tcPr>
          <w:p w14:paraId="13E8CF27" w14:textId="77777777" w:rsidR="00186DFC" w:rsidRPr="00F56D54" w:rsidRDefault="00186DFC" w:rsidP="00F54206">
            <w:pPr>
              <w:widowControl/>
              <w:spacing w:line="259" w:lineRule="auto"/>
              <w:ind w:left="2" w:right="66"/>
              <w:jc w:val="right"/>
              <w:rPr>
                <w:rFonts w:ascii="Times New Roman" w:hAnsi="Times New Roman"/>
                <w:color w:val="000000"/>
                <w:sz w:val="26"/>
                <w:szCs w:val="26"/>
              </w:rPr>
            </w:pPr>
            <w:r w:rsidRPr="00F56D54">
              <w:rPr>
                <w:rFonts w:ascii="Times New Roman" w:hAnsi="Times New Roman"/>
                <w:color w:val="000000"/>
                <w:sz w:val="26"/>
                <w:szCs w:val="26"/>
              </w:rPr>
              <w:t xml:space="preserve">9.4% </w:t>
            </w:r>
          </w:p>
        </w:tc>
      </w:tr>
      <w:tr w:rsidR="00F54206" w:rsidRPr="00F56D54" w14:paraId="54D1D97C" w14:textId="77777777" w:rsidTr="00F54206">
        <w:trPr>
          <w:trHeight w:val="209"/>
        </w:trPr>
        <w:tc>
          <w:tcPr>
            <w:tcW w:w="2780" w:type="dxa"/>
            <w:tcBorders>
              <w:top w:val="single" w:sz="4" w:space="0" w:color="000000"/>
              <w:left w:val="single" w:sz="4" w:space="0" w:color="000000"/>
              <w:bottom w:val="single" w:sz="4" w:space="0" w:color="000000"/>
              <w:right w:val="single" w:sz="4" w:space="0" w:color="000000"/>
            </w:tcBorders>
          </w:tcPr>
          <w:p w14:paraId="27D37294" w14:textId="77777777" w:rsidR="00186DFC" w:rsidRPr="00B011E9" w:rsidRDefault="00186DFC" w:rsidP="006C1BA5">
            <w:pPr>
              <w:keepNext/>
              <w:widowControl/>
              <w:ind w:left="2"/>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504" w:type="dxa"/>
            <w:tcBorders>
              <w:top w:val="single" w:sz="4" w:space="0" w:color="000000"/>
              <w:left w:val="single" w:sz="4" w:space="0" w:color="000000"/>
              <w:bottom w:val="single" w:sz="4" w:space="0" w:color="000000"/>
              <w:right w:val="single" w:sz="4" w:space="0" w:color="000000"/>
            </w:tcBorders>
          </w:tcPr>
          <w:p w14:paraId="75DF532E" w14:textId="77777777" w:rsidR="00186DFC" w:rsidRPr="00B011E9" w:rsidRDefault="00186DFC" w:rsidP="00F54206">
            <w:pPr>
              <w:widowControl/>
              <w:ind w:right="75"/>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397" w:type="dxa"/>
            <w:tcBorders>
              <w:top w:val="single" w:sz="4" w:space="0" w:color="000000"/>
              <w:left w:val="single" w:sz="4" w:space="0" w:color="000000"/>
              <w:bottom w:val="single" w:sz="4" w:space="0" w:color="000000"/>
              <w:right w:val="single" w:sz="4" w:space="0" w:color="000000"/>
            </w:tcBorders>
          </w:tcPr>
          <w:p w14:paraId="13870D7D" w14:textId="77777777" w:rsidR="00186DFC" w:rsidRPr="00B011E9" w:rsidRDefault="00186DFC" w:rsidP="00F54206">
            <w:pPr>
              <w:widowControl/>
              <w:ind w:left="2" w:right="105"/>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312" w:type="dxa"/>
            <w:tcBorders>
              <w:top w:val="single" w:sz="4" w:space="0" w:color="000000"/>
              <w:left w:val="single" w:sz="4" w:space="0" w:color="000000"/>
              <w:bottom w:val="single" w:sz="4" w:space="0" w:color="000000"/>
              <w:right w:val="single" w:sz="4" w:space="0" w:color="000000"/>
            </w:tcBorders>
          </w:tcPr>
          <w:p w14:paraId="3F1D3EF7" w14:textId="77777777" w:rsidR="00186DFC" w:rsidRPr="00B011E9" w:rsidRDefault="00186DFC" w:rsidP="00F54206">
            <w:pPr>
              <w:widowControl/>
              <w:ind w:left="2" w:right="110"/>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334" w:type="dxa"/>
            <w:tcBorders>
              <w:top w:val="single" w:sz="4" w:space="0" w:color="000000"/>
              <w:left w:val="single" w:sz="4" w:space="0" w:color="000000"/>
              <w:bottom w:val="single" w:sz="4" w:space="0" w:color="000000"/>
              <w:right w:val="single" w:sz="4" w:space="0" w:color="000000"/>
            </w:tcBorders>
          </w:tcPr>
          <w:p w14:paraId="6005594D" w14:textId="77777777" w:rsidR="00186DFC" w:rsidRPr="00B011E9" w:rsidRDefault="00186DFC" w:rsidP="00F54206">
            <w:pPr>
              <w:widowControl/>
              <w:ind w:left="2" w:right="42"/>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483FDB6E" w14:textId="77777777" w:rsidR="00186DFC" w:rsidRPr="00B011E9" w:rsidRDefault="00186DFC" w:rsidP="00F54206">
            <w:pPr>
              <w:widowControl/>
              <w:ind w:left="2" w:right="66"/>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r>
      <w:tr w:rsidR="00F54206" w:rsidRPr="00F56D54" w14:paraId="0A0435D6" w14:textId="77777777" w:rsidTr="00F54206">
        <w:trPr>
          <w:trHeight w:val="523"/>
        </w:trPr>
        <w:tc>
          <w:tcPr>
            <w:tcW w:w="2780" w:type="dxa"/>
            <w:tcBorders>
              <w:top w:val="single" w:sz="4" w:space="0" w:color="000000"/>
              <w:left w:val="single" w:sz="4" w:space="0" w:color="000000"/>
              <w:bottom w:val="single" w:sz="4" w:space="0" w:color="000000"/>
              <w:right w:val="single" w:sz="4" w:space="0" w:color="000000"/>
            </w:tcBorders>
          </w:tcPr>
          <w:p w14:paraId="119151AD" w14:textId="77777777" w:rsidR="00186DFC" w:rsidRPr="00F56D54" w:rsidRDefault="00186DFC" w:rsidP="006C1BA5">
            <w:pPr>
              <w:keepNext/>
              <w:widowControl/>
              <w:spacing w:line="259" w:lineRule="auto"/>
              <w:ind w:left="2"/>
              <w:rPr>
                <w:rFonts w:ascii="Times New Roman" w:hAnsi="Times New Roman"/>
                <w:color w:val="000000"/>
                <w:sz w:val="26"/>
                <w:szCs w:val="26"/>
              </w:rPr>
            </w:pPr>
            <w:r w:rsidRPr="00F56D54">
              <w:rPr>
                <w:rFonts w:ascii="Times New Roman" w:hAnsi="Times New Roman"/>
                <w:color w:val="000000"/>
                <w:sz w:val="26"/>
                <w:szCs w:val="26"/>
              </w:rPr>
              <w:t>SC3- Muni Street Lighting 1,960 (</w:t>
            </w:r>
            <w:proofErr w:type="spellStart"/>
            <w:r w:rsidRPr="00F56D54">
              <w:rPr>
                <w:rFonts w:ascii="Times New Roman" w:hAnsi="Times New Roman"/>
                <w:color w:val="000000"/>
                <w:sz w:val="26"/>
                <w:szCs w:val="26"/>
              </w:rPr>
              <w:t>Kwh</w:t>
            </w:r>
            <w:proofErr w:type="spellEnd"/>
            <w:r w:rsidRPr="00F56D54">
              <w:rPr>
                <w:rFonts w:ascii="Times New Roman" w:hAnsi="Times New Roman"/>
                <w:color w:val="000000"/>
                <w:sz w:val="26"/>
                <w:szCs w:val="26"/>
              </w:rPr>
              <w:t xml:space="preserve">) </w:t>
            </w:r>
          </w:p>
        </w:tc>
        <w:tc>
          <w:tcPr>
            <w:tcW w:w="1504" w:type="dxa"/>
            <w:tcBorders>
              <w:top w:val="single" w:sz="4" w:space="0" w:color="000000"/>
              <w:left w:val="single" w:sz="4" w:space="0" w:color="000000"/>
              <w:bottom w:val="single" w:sz="4" w:space="0" w:color="000000"/>
              <w:right w:val="single" w:sz="4" w:space="0" w:color="000000"/>
            </w:tcBorders>
          </w:tcPr>
          <w:p w14:paraId="0EF71558" w14:textId="77777777" w:rsidR="00186DFC" w:rsidRPr="00F56D54" w:rsidRDefault="00186DFC" w:rsidP="00F54206">
            <w:pPr>
              <w:widowControl/>
              <w:spacing w:line="259" w:lineRule="auto"/>
              <w:ind w:right="75"/>
              <w:jc w:val="right"/>
              <w:rPr>
                <w:rFonts w:ascii="Times New Roman" w:hAnsi="Times New Roman"/>
                <w:color w:val="000000"/>
                <w:sz w:val="26"/>
                <w:szCs w:val="26"/>
              </w:rPr>
            </w:pPr>
            <w:r w:rsidRPr="00F56D54">
              <w:rPr>
                <w:rFonts w:ascii="Times New Roman" w:hAnsi="Times New Roman"/>
                <w:color w:val="000000"/>
                <w:sz w:val="26"/>
                <w:szCs w:val="26"/>
              </w:rPr>
              <w:t xml:space="preserve">$869.53  </w:t>
            </w:r>
          </w:p>
        </w:tc>
        <w:tc>
          <w:tcPr>
            <w:tcW w:w="1397" w:type="dxa"/>
            <w:tcBorders>
              <w:top w:val="single" w:sz="4" w:space="0" w:color="000000"/>
              <w:left w:val="single" w:sz="4" w:space="0" w:color="000000"/>
              <w:bottom w:val="single" w:sz="4" w:space="0" w:color="000000"/>
              <w:right w:val="single" w:sz="4" w:space="0" w:color="000000"/>
            </w:tcBorders>
          </w:tcPr>
          <w:p w14:paraId="37FA8CFD" w14:textId="77777777" w:rsidR="00186DFC" w:rsidRPr="00F56D54" w:rsidRDefault="00186DFC" w:rsidP="00F54206">
            <w:pPr>
              <w:widowControl/>
              <w:spacing w:line="259" w:lineRule="auto"/>
              <w:ind w:left="2" w:right="105"/>
              <w:jc w:val="right"/>
              <w:rPr>
                <w:rFonts w:ascii="Times New Roman" w:hAnsi="Times New Roman"/>
                <w:color w:val="000000"/>
                <w:sz w:val="26"/>
                <w:szCs w:val="26"/>
              </w:rPr>
            </w:pPr>
            <w:r w:rsidRPr="00F56D54">
              <w:rPr>
                <w:rFonts w:ascii="Times New Roman" w:hAnsi="Times New Roman"/>
                <w:color w:val="000000"/>
                <w:sz w:val="26"/>
                <w:szCs w:val="26"/>
              </w:rPr>
              <w:t xml:space="preserve">$1,250.09  </w:t>
            </w:r>
          </w:p>
        </w:tc>
        <w:tc>
          <w:tcPr>
            <w:tcW w:w="1312" w:type="dxa"/>
            <w:tcBorders>
              <w:top w:val="single" w:sz="4" w:space="0" w:color="000000"/>
              <w:left w:val="single" w:sz="4" w:space="0" w:color="000000"/>
              <w:bottom w:val="single" w:sz="4" w:space="0" w:color="000000"/>
              <w:right w:val="single" w:sz="4" w:space="0" w:color="000000"/>
            </w:tcBorders>
          </w:tcPr>
          <w:p w14:paraId="21FF8C58" w14:textId="77777777" w:rsidR="00186DFC" w:rsidRPr="00F56D54" w:rsidRDefault="00186DFC" w:rsidP="00F54206">
            <w:pPr>
              <w:widowControl/>
              <w:spacing w:line="259" w:lineRule="auto"/>
              <w:ind w:left="2" w:right="110"/>
              <w:jc w:val="right"/>
              <w:rPr>
                <w:rFonts w:ascii="Times New Roman" w:hAnsi="Times New Roman"/>
                <w:color w:val="000000"/>
                <w:sz w:val="26"/>
                <w:szCs w:val="26"/>
              </w:rPr>
            </w:pPr>
            <w:r w:rsidRPr="00F56D54">
              <w:rPr>
                <w:rFonts w:ascii="Times New Roman" w:hAnsi="Times New Roman"/>
                <w:color w:val="000000"/>
                <w:sz w:val="26"/>
                <w:szCs w:val="26"/>
              </w:rPr>
              <w:t xml:space="preserve">43.8% </w:t>
            </w:r>
          </w:p>
        </w:tc>
        <w:tc>
          <w:tcPr>
            <w:tcW w:w="1334" w:type="dxa"/>
            <w:tcBorders>
              <w:top w:val="single" w:sz="4" w:space="0" w:color="000000"/>
              <w:left w:val="single" w:sz="4" w:space="0" w:color="000000"/>
              <w:bottom w:val="single" w:sz="4" w:space="0" w:color="000000"/>
              <w:right w:val="single" w:sz="4" w:space="0" w:color="000000"/>
            </w:tcBorders>
          </w:tcPr>
          <w:p w14:paraId="63B7DBEA" w14:textId="77777777" w:rsidR="00186DFC" w:rsidRPr="00F56D54" w:rsidRDefault="00186DFC" w:rsidP="00F54206">
            <w:pPr>
              <w:widowControl/>
              <w:spacing w:line="259" w:lineRule="auto"/>
              <w:ind w:left="2" w:right="42"/>
              <w:jc w:val="right"/>
              <w:rPr>
                <w:rFonts w:ascii="Times New Roman" w:hAnsi="Times New Roman"/>
                <w:color w:val="000000"/>
                <w:sz w:val="26"/>
                <w:szCs w:val="26"/>
              </w:rPr>
            </w:pPr>
            <w:r w:rsidRPr="00F56D54">
              <w:rPr>
                <w:rFonts w:ascii="Times New Roman" w:hAnsi="Times New Roman"/>
                <w:color w:val="000000"/>
                <w:sz w:val="26"/>
                <w:szCs w:val="26"/>
              </w:rPr>
              <w:t xml:space="preserve">$1,171.80  </w:t>
            </w:r>
          </w:p>
        </w:tc>
        <w:tc>
          <w:tcPr>
            <w:tcW w:w="1279" w:type="dxa"/>
            <w:tcBorders>
              <w:top w:val="single" w:sz="4" w:space="0" w:color="000000"/>
              <w:left w:val="single" w:sz="4" w:space="0" w:color="000000"/>
              <w:bottom w:val="single" w:sz="4" w:space="0" w:color="000000"/>
              <w:right w:val="single" w:sz="4" w:space="0" w:color="000000"/>
            </w:tcBorders>
          </w:tcPr>
          <w:p w14:paraId="1F7C98F2" w14:textId="77777777" w:rsidR="00186DFC" w:rsidRPr="00F56D54" w:rsidRDefault="00186DFC" w:rsidP="00F54206">
            <w:pPr>
              <w:widowControl/>
              <w:spacing w:line="259" w:lineRule="auto"/>
              <w:ind w:left="2" w:right="66"/>
              <w:jc w:val="right"/>
              <w:rPr>
                <w:rFonts w:ascii="Times New Roman" w:hAnsi="Times New Roman"/>
                <w:color w:val="000000"/>
                <w:sz w:val="26"/>
                <w:szCs w:val="26"/>
              </w:rPr>
            </w:pPr>
            <w:r w:rsidRPr="00F56D54">
              <w:rPr>
                <w:rFonts w:ascii="Times New Roman" w:hAnsi="Times New Roman"/>
                <w:color w:val="000000"/>
                <w:sz w:val="26"/>
                <w:szCs w:val="26"/>
              </w:rPr>
              <w:t xml:space="preserve">34.8% </w:t>
            </w:r>
          </w:p>
        </w:tc>
      </w:tr>
      <w:tr w:rsidR="00F54206" w:rsidRPr="00F56D54" w14:paraId="642C03FE" w14:textId="77777777" w:rsidTr="00F54206">
        <w:trPr>
          <w:trHeight w:val="200"/>
        </w:trPr>
        <w:tc>
          <w:tcPr>
            <w:tcW w:w="2780" w:type="dxa"/>
            <w:tcBorders>
              <w:top w:val="single" w:sz="4" w:space="0" w:color="000000"/>
              <w:left w:val="single" w:sz="4" w:space="0" w:color="000000"/>
              <w:bottom w:val="single" w:sz="4" w:space="0" w:color="000000"/>
              <w:right w:val="single" w:sz="4" w:space="0" w:color="000000"/>
            </w:tcBorders>
          </w:tcPr>
          <w:p w14:paraId="5E9215E0" w14:textId="77777777" w:rsidR="00186DFC" w:rsidRPr="00B011E9" w:rsidRDefault="00186DFC" w:rsidP="006C1BA5">
            <w:pPr>
              <w:keepNext/>
              <w:widowControl/>
              <w:ind w:left="2"/>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504" w:type="dxa"/>
            <w:tcBorders>
              <w:top w:val="single" w:sz="4" w:space="0" w:color="000000"/>
              <w:left w:val="single" w:sz="4" w:space="0" w:color="000000"/>
              <w:bottom w:val="single" w:sz="4" w:space="0" w:color="000000"/>
              <w:right w:val="single" w:sz="4" w:space="0" w:color="000000"/>
            </w:tcBorders>
          </w:tcPr>
          <w:p w14:paraId="255E28FD" w14:textId="77777777" w:rsidR="00186DFC" w:rsidRPr="00B011E9" w:rsidRDefault="00186DFC" w:rsidP="00F54206">
            <w:pPr>
              <w:widowControl/>
              <w:ind w:right="75"/>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397" w:type="dxa"/>
            <w:tcBorders>
              <w:top w:val="single" w:sz="4" w:space="0" w:color="000000"/>
              <w:left w:val="single" w:sz="4" w:space="0" w:color="000000"/>
              <w:bottom w:val="single" w:sz="4" w:space="0" w:color="000000"/>
              <w:right w:val="single" w:sz="4" w:space="0" w:color="000000"/>
            </w:tcBorders>
          </w:tcPr>
          <w:p w14:paraId="285739FE" w14:textId="77777777" w:rsidR="00186DFC" w:rsidRPr="00B011E9" w:rsidRDefault="00186DFC" w:rsidP="00F54206">
            <w:pPr>
              <w:widowControl/>
              <w:ind w:left="2" w:right="105"/>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312" w:type="dxa"/>
            <w:tcBorders>
              <w:top w:val="single" w:sz="4" w:space="0" w:color="000000"/>
              <w:left w:val="single" w:sz="4" w:space="0" w:color="000000"/>
              <w:bottom w:val="single" w:sz="4" w:space="0" w:color="000000"/>
              <w:right w:val="single" w:sz="4" w:space="0" w:color="000000"/>
            </w:tcBorders>
          </w:tcPr>
          <w:p w14:paraId="35589513" w14:textId="77777777" w:rsidR="00186DFC" w:rsidRPr="00B011E9" w:rsidRDefault="00186DFC" w:rsidP="00F54206">
            <w:pPr>
              <w:widowControl/>
              <w:ind w:left="2" w:right="110"/>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334" w:type="dxa"/>
            <w:tcBorders>
              <w:top w:val="single" w:sz="4" w:space="0" w:color="000000"/>
              <w:left w:val="single" w:sz="4" w:space="0" w:color="000000"/>
              <w:bottom w:val="single" w:sz="4" w:space="0" w:color="000000"/>
              <w:right w:val="single" w:sz="4" w:space="0" w:color="000000"/>
            </w:tcBorders>
          </w:tcPr>
          <w:p w14:paraId="225BBE8A" w14:textId="77777777" w:rsidR="00186DFC" w:rsidRPr="00B011E9" w:rsidRDefault="00186DFC" w:rsidP="00F54206">
            <w:pPr>
              <w:widowControl/>
              <w:ind w:left="2" w:right="42"/>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34A9764C" w14:textId="77777777" w:rsidR="00186DFC" w:rsidRPr="00B011E9" w:rsidRDefault="00186DFC" w:rsidP="00F54206">
            <w:pPr>
              <w:widowControl/>
              <w:ind w:left="2" w:right="66"/>
              <w:jc w:val="right"/>
              <w:rPr>
                <w:rFonts w:ascii="Times New Roman" w:hAnsi="Times New Roman"/>
                <w:color w:val="000000"/>
                <w:sz w:val="16"/>
                <w:szCs w:val="16"/>
              </w:rPr>
            </w:pPr>
            <w:r w:rsidRPr="00B011E9">
              <w:rPr>
                <w:rFonts w:ascii="Times New Roman" w:hAnsi="Times New Roman"/>
                <w:color w:val="000000"/>
                <w:sz w:val="16"/>
                <w:szCs w:val="16"/>
              </w:rPr>
              <w:t xml:space="preserve">  </w:t>
            </w:r>
          </w:p>
        </w:tc>
      </w:tr>
      <w:tr w:rsidR="00F54206" w:rsidRPr="00F56D54" w14:paraId="0FAE8DDB" w14:textId="77777777" w:rsidTr="00F54206">
        <w:trPr>
          <w:trHeight w:val="586"/>
        </w:trPr>
        <w:tc>
          <w:tcPr>
            <w:tcW w:w="2780" w:type="dxa"/>
            <w:tcBorders>
              <w:top w:val="single" w:sz="4" w:space="0" w:color="000000"/>
              <w:left w:val="single" w:sz="4" w:space="0" w:color="000000"/>
              <w:bottom w:val="single" w:sz="4" w:space="0" w:color="000000"/>
              <w:right w:val="single" w:sz="4" w:space="0" w:color="000000"/>
            </w:tcBorders>
          </w:tcPr>
          <w:p w14:paraId="07A224EF" w14:textId="4FE3ECD1" w:rsidR="00186DFC" w:rsidRPr="00F56D54" w:rsidRDefault="00186DFC" w:rsidP="006C1BA5">
            <w:pPr>
              <w:keepNext/>
              <w:widowControl/>
              <w:spacing w:line="259" w:lineRule="auto"/>
              <w:ind w:left="2" w:right="132"/>
              <w:rPr>
                <w:rFonts w:ascii="Times New Roman" w:hAnsi="Times New Roman"/>
                <w:color w:val="000000"/>
                <w:sz w:val="26"/>
                <w:szCs w:val="26"/>
              </w:rPr>
            </w:pPr>
            <w:r w:rsidRPr="00F56D54">
              <w:rPr>
                <w:rFonts w:ascii="Times New Roman" w:hAnsi="Times New Roman"/>
                <w:color w:val="000000"/>
                <w:sz w:val="26"/>
                <w:szCs w:val="26"/>
              </w:rPr>
              <w:t xml:space="preserve">SC4- Private </w:t>
            </w:r>
            <w:r w:rsidR="00F56D54" w:rsidRPr="00F56D54">
              <w:rPr>
                <w:rFonts w:ascii="Times New Roman" w:hAnsi="Times New Roman"/>
                <w:color w:val="000000"/>
                <w:sz w:val="26"/>
                <w:szCs w:val="26"/>
              </w:rPr>
              <w:t>Lighting (</w:t>
            </w:r>
            <w:r w:rsidRPr="00F56D54">
              <w:rPr>
                <w:rFonts w:ascii="Times New Roman" w:hAnsi="Times New Roman"/>
                <w:color w:val="000000"/>
                <w:sz w:val="26"/>
                <w:szCs w:val="26"/>
              </w:rPr>
              <w:t xml:space="preserve">162 </w:t>
            </w:r>
            <w:proofErr w:type="spellStart"/>
            <w:r w:rsidRPr="00F56D54">
              <w:rPr>
                <w:rFonts w:ascii="Times New Roman" w:hAnsi="Times New Roman"/>
                <w:color w:val="000000"/>
                <w:sz w:val="26"/>
                <w:szCs w:val="26"/>
              </w:rPr>
              <w:t>Kwh</w:t>
            </w:r>
            <w:proofErr w:type="spellEnd"/>
            <w:r w:rsidRPr="00F56D54">
              <w:rPr>
                <w:rFonts w:ascii="Times New Roman" w:hAnsi="Times New Roman"/>
                <w:color w:val="000000"/>
                <w:sz w:val="26"/>
                <w:szCs w:val="26"/>
              </w:rPr>
              <w:t xml:space="preserve">) </w:t>
            </w:r>
          </w:p>
        </w:tc>
        <w:tc>
          <w:tcPr>
            <w:tcW w:w="1504" w:type="dxa"/>
            <w:tcBorders>
              <w:top w:val="single" w:sz="4" w:space="0" w:color="000000"/>
              <w:left w:val="single" w:sz="4" w:space="0" w:color="000000"/>
              <w:bottom w:val="single" w:sz="4" w:space="0" w:color="000000"/>
              <w:right w:val="single" w:sz="4" w:space="0" w:color="000000"/>
            </w:tcBorders>
          </w:tcPr>
          <w:p w14:paraId="726F8963" w14:textId="77777777" w:rsidR="00186DFC" w:rsidRPr="00F56D54" w:rsidRDefault="00186DFC" w:rsidP="00F54206">
            <w:pPr>
              <w:widowControl/>
              <w:spacing w:line="259" w:lineRule="auto"/>
              <w:ind w:right="75"/>
              <w:jc w:val="right"/>
              <w:rPr>
                <w:rFonts w:ascii="Times New Roman" w:hAnsi="Times New Roman"/>
                <w:color w:val="000000"/>
                <w:sz w:val="26"/>
                <w:szCs w:val="26"/>
              </w:rPr>
            </w:pPr>
            <w:r w:rsidRPr="00F56D54">
              <w:rPr>
                <w:rFonts w:ascii="Times New Roman" w:hAnsi="Times New Roman"/>
                <w:color w:val="000000"/>
                <w:sz w:val="26"/>
                <w:szCs w:val="26"/>
              </w:rPr>
              <w:t xml:space="preserve">$45.06  </w:t>
            </w:r>
          </w:p>
        </w:tc>
        <w:tc>
          <w:tcPr>
            <w:tcW w:w="1397" w:type="dxa"/>
            <w:tcBorders>
              <w:top w:val="single" w:sz="4" w:space="0" w:color="000000"/>
              <w:left w:val="single" w:sz="4" w:space="0" w:color="000000"/>
              <w:bottom w:val="single" w:sz="4" w:space="0" w:color="000000"/>
              <w:right w:val="single" w:sz="4" w:space="0" w:color="000000"/>
            </w:tcBorders>
          </w:tcPr>
          <w:p w14:paraId="3BF68D62" w14:textId="77777777" w:rsidR="00186DFC" w:rsidRPr="00F56D54" w:rsidRDefault="00186DFC" w:rsidP="00F54206">
            <w:pPr>
              <w:widowControl/>
              <w:spacing w:line="259" w:lineRule="auto"/>
              <w:ind w:left="2" w:right="105"/>
              <w:jc w:val="right"/>
              <w:rPr>
                <w:rFonts w:ascii="Times New Roman" w:hAnsi="Times New Roman"/>
                <w:color w:val="000000"/>
                <w:sz w:val="26"/>
                <w:szCs w:val="26"/>
              </w:rPr>
            </w:pPr>
            <w:r w:rsidRPr="00F56D54">
              <w:rPr>
                <w:rFonts w:ascii="Times New Roman" w:hAnsi="Times New Roman"/>
                <w:color w:val="000000"/>
                <w:sz w:val="26"/>
                <w:szCs w:val="26"/>
              </w:rPr>
              <w:t xml:space="preserve">$51.35  </w:t>
            </w:r>
          </w:p>
        </w:tc>
        <w:tc>
          <w:tcPr>
            <w:tcW w:w="1312" w:type="dxa"/>
            <w:tcBorders>
              <w:top w:val="single" w:sz="4" w:space="0" w:color="000000"/>
              <w:left w:val="single" w:sz="4" w:space="0" w:color="000000"/>
              <w:bottom w:val="single" w:sz="4" w:space="0" w:color="000000"/>
              <w:right w:val="single" w:sz="4" w:space="0" w:color="000000"/>
            </w:tcBorders>
          </w:tcPr>
          <w:p w14:paraId="7C9AAA29" w14:textId="77777777" w:rsidR="00186DFC" w:rsidRPr="00F56D54" w:rsidRDefault="00186DFC" w:rsidP="00F54206">
            <w:pPr>
              <w:widowControl/>
              <w:spacing w:line="259" w:lineRule="auto"/>
              <w:ind w:left="2" w:right="110"/>
              <w:jc w:val="right"/>
              <w:rPr>
                <w:rFonts w:ascii="Times New Roman" w:hAnsi="Times New Roman"/>
                <w:color w:val="000000"/>
                <w:sz w:val="26"/>
                <w:szCs w:val="26"/>
              </w:rPr>
            </w:pPr>
            <w:r w:rsidRPr="00F56D54">
              <w:rPr>
                <w:rFonts w:ascii="Times New Roman" w:hAnsi="Times New Roman"/>
                <w:color w:val="000000"/>
                <w:sz w:val="26"/>
                <w:szCs w:val="26"/>
              </w:rPr>
              <w:t xml:space="preserve">14.0% </w:t>
            </w:r>
          </w:p>
        </w:tc>
        <w:tc>
          <w:tcPr>
            <w:tcW w:w="1334" w:type="dxa"/>
            <w:tcBorders>
              <w:top w:val="single" w:sz="4" w:space="0" w:color="000000"/>
              <w:left w:val="single" w:sz="4" w:space="0" w:color="000000"/>
              <w:bottom w:val="single" w:sz="4" w:space="0" w:color="000000"/>
              <w:right w:val="single" w:sz="4" w:space="0" w:color="000000"/>
            </w:tcBorders>
          </w:tcPr>
          <w:p w14:paraId="547EE4A0" w14:textId="77777777" w:rsidR="00186DFC" w:rsidRPr="00F56D54" w:rsidRDefault="00186DFC" w:rsidP="00F54206">
            <w:pPr>
              <w:widowControl/>
              <w:spacing w:line="259" w:lineRule="auto"/>
              <w:ind w:left="2" w:right="42"/>
              <w:jc w:val="right"/>
              <w:rPr>
                <w:rFonts w:ascii="Times New Roman" w:hAnsi="Times New Roman"/>
                <w:color w:val="000000"/>
                <w:sz w:val="26"/>
                <w:szCs w:val="26"/>
              </w:rPr>
            </w:pPr>
            <w:r w:rsidRPr="00F56D54">
              <w:rPr>
                <w:rFonts w:ascii="Times New Roman" w:hAnsi="Times New Roman"/>
                <w:color w:val="000000"/>
                <w:sz w:val="26"/>
                <w:szCs w:val="26"/>
              </w:rPr>
              <w:t xml:space="preserve">$45.06  </w:t>
            </w:r>
          </w:p>
        </w:tc>
        <w:tc>
          <w:tcPr>
            <w:tcW w:w="1279" w:type="dxa"/>
            <w:tcBorders>
              <w:top w:val="single" w:sz="4" w:space="0" w:color="000000"/>
              <w:left w:val="single" w:sz="4" w:space="0" w:color="000000"/>
              <w:bottom w:val="single" w:sz="4" w:space="0" w:color="000000"/>
              <w:right w:val="single" w:sz="4" w:space="0" w:color="000000"/>
            </w:tcBorders>
          </w:tcPr>
          <w:p w14:paraId="2315A02C" w14:textId="77777777" w:rsidR="00186DFC" w:rsidRPr="00F56D54" w:rsidRDefault="00186DFC" w:rsidP="00F54206">
            <w:pPr>
              <w:widowControl/>
              <w:spacing w:line="259" w:lineRule="auto"/>
              <w:ind w:left="2" w:right="66"/>
              <w:jc w:val="right"/>
              <w:rPr>
                <w:rFonts w:ascii="Times New Roman" w:hAnsi="Times New Roman"/>
                <w:color w:val="000000"/>
                <w:sz w:val="26"/>
                <w:szCs w:val="26"/>
              </w:rPr>
            </w:pPr>
            <w:r w:rsidRPr="00F56D54">
              <w:rPr>
                <w:rFonts w:ascii="Times New Roman" w:hAnsi="Times New Roman"/>
                <w:color w:val="000000"/>
                <w:sz w:val="26"/>
                <w:szCs w:val="26"/>
              </w:rPr>
              <w:t xml:space="preserve">0.0% </w:t>
            </w:r>
          </w:p>
        </w:tc>
      </w:tr>
    </w:tbl>
    <w:p w14:paraId="3684C42E" w14:textId="77777777" w:rsidR="00186DFC" w:rsidRPr="00F56D54" w:rsidRDefault="00186DFC" w:rsidP="00F56D54">
      <w:pPr>
        <w:widowControl/>
        <w:spacing w:line="259" w:lineRule="auto"/>
        <w:ind w:left="1531"/>
        <w:rPr>
          <w:color w:val="000000"/>
          <w:sz w:val="26"/>
          <w:szCs w:val="26"/>
        </w:rPr>
      </w:pPr>
      <w:r w:rsidRPr="00F56D54">
        <w:rPr>
          <w:color w:val="000000"/>
          <w:sz w:val="26"/>
          <w:szCs w:val="26"/>
        </w:rPr>
        <w:t xml:space="preserve"> </w:t>
      </w:r>
    </w:p>
    <w:p w14:paraId="1E66E657" w14:textId="26E00A4D" w:rsidR="00186DFC" w:rsidRPr="00F56D54" w:rsidRDefault="00186DFC" w:rsidP="00F56D54">
      <w:pPr>
        <w:widowControl/>
        <w:numPr>
          <w:ilvl w:val="1"/>
          <w:numId w:val="50"/>
        </w:numPr>
        <w:spacing w:after="5" w:line="239" w:lineRule="auto"/>
        <w:ind w:left="2160" w:right="1499" w:hanging="10"/>
        <w:rPr>
          <w:color w:val="000000"/>
          <w:sz w:val="26"/>
          <w:szCs w:val="26"/>
        </w:rPr>
      </w:pPr>
      <w:r w:rsidRPr="00F56D54">
        <w:rPr>
          <w:color w:val="000000"/>
          <w:sz w:val="26"/>
          <w:szCs w:val="26"/>
        </w:rPr>
        <w:t xml:space="preserve">This Rate Structure Settlement provides for a sound and reasonable rate structure and rate design within the range of positions of the Rate Structure Petitioners testimony and evidence in this matter. The rate structure and rate design proposed in Appendix A </w:t>
      </w:r>
      <w:r w:rsidRPr="00F56D54">
        <w:rPr>
          <w:color w:val="000000"/>
          <w:sz w:val="26"/>
          <w:szCs w:val="26"/>
        </w:rPr>
        <w:lastRenderedPageBreak/>
        <w:t>and B is based within the range of the varying positions of the parties in this proceeding to create a rate structure under black box revenue requirement of $1,400,000 previously agreed to by the Statutory Advocates and the Company. The Rate Structure Petitioners agree that adoption and approval of this Joint Petition for Settlement on Rates Structure and Rate Design by the ALJ and the Commission, in conjunction with the terms agreed to unanimously by the statutory advocates and the company in the April</w:t>
      </w:r>
      <w:r w:rsidR="00287BBD">
        <w:rPr>
          <w:color w:val="000000"/>
          <w:sz w:val="26"/>
          <w:szCs w:val="26"/>
        </w:rPr>
        <w:t> </w:t>
      </w:r>
      <w:r w:rsidRPr="00F56D54">
        <w:rPr>
          <w:color w:val="000000"/>
          <w:sz w:val="26"/>
          <w:szCs w:val="26"/>
        </w:rPr>
        <w:t xml:space="preserve">9, 2021 black box settlement, is in the public interest. </w:t>
      </w:r>
    </w:p>
    <w:p w14:paraId="6C9F51F9" w14:textId="77777777" w:rsidR="00186DFC" w:rsidRPr="00F56D54" w:rsidRDefault="00186DFC" w:rsidP="00F56D54">
      <w:pPr>
        <w:widowControl/>
        <w:spacing w:line="259" w:lineRule="auto"/>
        <w:ind w:left="1531"/>
        <w:rPr>
          <w:color w:val="000000"/>
          <w:sz w:val="26"/>
          <w:szCs w:val="26"/>
        </w:rPr>
      </w:pPr>
      <w:r w:rsidRPr="00F56D54">
        <w:rPr>
          <w:color w:val="000000"/>
          <w:sz w:val="26"/>
          <w:szCs w:val="26"/>
        </w:rPr>
        <w:t xml:space="preserve"> </w:t>
      </w:r>
    </w:p>
    <w:p w14:paraId="3718AA67" w14:textId="7459104E" w:rsidR="00186DFC" w:rsidRPr="00F56D54" w:rsidRDefault="00186DFC" w:rsidP="00F56D54">
      <w:pPr>
        <w:widowControl/>
        <w:numPr>
          <w:ilvl w:val="1"/>
          <w:numId w:val="50"/>
        </w:numPr>
        <w:spacing w:after="5" w:line="239" w:lineRule="auto"/>
        <w:ind w:left="2160" w:right="1499" w:hanging="10"/>
        <w:rPr>
          <w:color w:val="000000"/>
          <w:sz w:val="26"/>
          <w:szCs w:val="26"/>
        </w:rPr>
      </w:pPr>
      <w:r w:rsidRPr="00F56D54">
        <w:rPr>
          <w:color w:val="000000"/>
          <w:sz w:val="26"/>
          <w:szCs w:val="26"/>
        </w:rPr>
        <w:t>Under this Rate Structure Settlement, the total monthly bill for a typical residential customer using 674 kilowatt hours (kWh) per month will increase from $103.90 to $116.49, or by approximately 12.1%.</w:t>
      </w:r>
      <w:r w:rsidR="00F56D54" w:rsidRPr="00F56D54">
        <w:rPr>
          <w:color w:val="000000"/>
          <w:sz w:val="26"/>
          <w:szCs w:val="26"/>
        </w:rPr>
        <w:t xml:space="preserve">  </w:t>
      </w:r>
      <w:r w:rsidRPr="00F56D54">
        <w:rPr>
          <w:color w:val="000000"/>
          <w:sz w:val="26"/>
          <w:szCs w:val="26"/>
        </w:rPr>
        <w:t xml:space="preserve">The distribution portion of the bill will increase from $58.62 to $71.30, or by approximately 21.6%. Similarly, the typical bill for commercial demand customers (SC2-Secondary - Demand) using 3,308 kWh per month will increase from $450.61 to $528.52, or approximately 17.3%. Finally, the typical bill for commercial non-demand customer (SC2-Secondary – Non-Demand) using 532 kWh per month will increase from $70.46 to $83.81, or approximately 18.9%. </w:t>
      </w:r>
    </w:p>
    <w:p w14:paraId="484E0F74" w14:textId="77777777" w:rsidR="00186DFC" w:rsidRPr="00F56D54" w:rsidRDefault="00186DFC" w:rsidP="00F56D54">
      <w:pPr>
        <w:widowControl/>
        <w:spacing w:line="259" w:lineRule="auto"/>
        <w:ind w:left="2160"/>
        <w:rPr>
          <w:color w:val="000000"/>
          <w:sz w:val="26"/>
          <w:szCs w:val="26"/>
        </w:rPr>
      </w:pPr>
      <w:r w:rsidRPr="00F56D54">
        <w:rPr>
          <w:color w:val="000000"/>
          <w:sz w:val="26"/>
          <w:szCs w:val="26"/>
        </w:rPr>
        <w:t xml:space="preserve"> </w:t>
      </w:r>
    </w:p>
    <w:p w14:paraId="75B3AD67" w14:textId="77777777" w:rsidR="00186DFC" w:rsidRPr="00F56D54" w:rsidRDefault="00186DFC" w:rsidP="00F56D54">
      <w:pPr>
        <w:widowControl/>
        <w:numPr>
          <w:ilvl w:val="1"/>
          <w:numId w:val="50"/>
        </w:numPr>
        <w:spacing w:after="5" w:line="239" w:lineRule="auto"/>
        <w:ind w:left="2160" w:right="1499" w:hanging="10"/>
        <w:rPr>
          <w:color w:val="000000"/>
          <w:sz w:val="26"/>
          <w:szCs w:val="26"/>
        </w:rPr>
      </w:pPr>
      <w:r w:rsidRPr="00F56D54">
        <w:rPr>
          <w:color w:val="000000"/>
          <w:sz w:val="26"/>
          <w:szCs w:val="26"/>
        </w:rPr>
        <w:t xml:space="preserve">This Rate Structure Settlement arises from extensive discovery, testimony and discussions and reflects compromises by all sides.  It is being proposed by the Rate Structure Petitioners to resolve the remaining unsettled issues in the rate case--rate structure and rate design.  Accordingly, this Joint Petition for Settlement on Rate Structure and Rate Design is made without any admission against, or prejudice to, any positions which any Rate Structure Petitioner might adopt during any subsequent litigation of this proceeding (should this Petition for Settlement be rejected or modified), or in any other proceeding. </w:t>
      </w:r>
    </w:p>
    <w:p w14:paraId="09104793" w14:textId="77777777" w:rsidR="00186DFC" w:rsidRPr="00F56D54" w:rsidRDefault="00186DFC" w:rsidP="00F56D54">
      <w:pPr>
        <w:widowControl/>
        <w:spacing w:line="259" w:lineRule="auto"/>
        <w:ind w:left="2160"/>
        <w:rPr>
          <w:color w:val="000000"/>
          <w:sz w:val="26"/>
          <w:szCs w:val="26"/>
        </w:rPr>
      </w:pPr>
      <w:r w:rsidRPr="00F56D54">
        <w:rPr>
          <w:color w:val="000000"/>
          <w:sz w:val="26"/>
          <w:szCs w:val="26"/>
        </w:rPr>
        <w:t xml:space="preserve"> </w:t>
      </w:r>
    </w:p>
    <w:p w14:paraId="50968F52" w14:textId="77777777" w:rsidR="00186DFC" w:rsidRPr="00F56D54" w:rsidRDefault="00186DFC" w:rsidP="00F56D54">
      <w:pPr>
        <w:widowControl/>
        <w:numPr>
          <w:ilvl w:val="1"/>
          <w:numId w:val="50"/>
        </w:numPr>
        <w:spacing w:after="5" w:line="239" w:lineRule="auto"/>
        <w:ind w:left="2160" w:right="1499" w:hanging="10"/>
        <w:rPr>
          <w:color w:val="000000"/>
          <w:sz w:val="26"/>
          <w:szCs w:val="26"/>
        </w:rPr>
      </w:pPr>
      <w:r w:rsidRPr="00F56D54">
        <w:rPr>
          <w:color w:val="000000"/>
          <w:sz w:val="26"/>
          <w:szCs w:val="26"/>
        </w:rPr>
        <w:lastRenderedPageBreak/>
        <w:t xml:space="preserve">If the Commission withholds approval of this Joint Petition for Settlement on Rate Structure as to any of the terms and conditions, or alters any of the terms and conditions, any Rate Structure Petitioner may withdraw from this Rate Structure Settlement upon written notice of its intent to the Commission and the remaining parties within three (3) business days of the date of entry of the Commission's Order and may resume with the litigation of this proceeding within ten days of the entry of the Order making any such modifications. </w:t>
      </w:r>
    </w:p>
    <w:p w14:paraId="3B050A1E" w14:textId="77777777" w:rsidR="00186DFC" w:rsidRPr="00F56D54" w:rsidRDefault="00186DFC" w:rsidP="00F56D54">
      <w:pPr>
        <w:widowControl/>
        <w:spacing w:line="259" w:lineRule="auto"/>
        <w:ind w:left="1526"/>
        <w:rPr>
          <w:color w:val="000000"/>
          <w:sz w:val="26"/>
          <w:szCs w:val="26"/>
        </w:rPr>
      </w:pPr>
      <w:r w:rsidRPr="00F56D54">
        <w:rPr>
          <w:color w:val="000000"/>
          <w:sz w:val="26"/>
          <w:szCs w:val="26"/>
        </w:rPr>
        <w:t xml:space="preserve"> </w:t>
      </w:r>
    </w:p>
    <w:p w14:paraId="4B61E5C2" w14:textId="77777777" w:rsidR="00186DFC" w:rsidRPr="00F56D54" w:rsidRDefault="00186DFC" w:rsidP="00F56D54">
      <w:pPr>
        <w:widowControl/>
        <w:numPr>
          <w:ilvl w:val="1"/>
          <w:numId w:val="50"/>
        </w:numPr>
        <w:spacing w:after="5" w:line="239" w:lineRule="auto"/>
        <w:ind w:left="2160" w:right="1499" w:hanging="10"/>
        <w:rPr>
          <w:color w:val="000000"/>
          <w:sz w:val="26"/>
          <w:szCs w:val="26"/>
        </w:rPr>
      </w:pPr>
      <w:r w:rsidRPr="00F56D54">
        <w:rPr>
          <w:color w:val="000000"/>
          <w:sz w:val="26"/>
          <w:szCs w:val="26"/>
        </w:rPr>
        <w:t xml:space="preserve">Rate Structure Petitioners agree that Commission approval of this Petition for Settlement without modification, in conjunction with the April 9, 2021 Joint Petition for Partial settlement, shall be considered to have the same effect as full litigation of the instant proceeding resulting in the establishment of rates that are Commission-made rates. </w:t>
      </w:r>
    </w:p>
    <w:p w14:paraId="05B81A8C" w14:textId="77777777" w:rsidR="00186DFC" w:rsidRPr="00F56D54" w:rsidRDefault="00186DFC" w:rsidP="00F56D54">
      <w:pPr>
        <w:widowControl/>
        <w:spacing w:line="259" w:lineRule="auto"/>
        <w:ind w:left="2160"/>
        <w:rPr>
          <w:color w:val="000000"/>
          <w:sz w:val="26"/>
          <w:szCs w:val="26"/>
        </w:rPr>
      </w:pPr>
      <w:r w:rsidRPr="00F56D54">
        <w:rPr>
          <w:color w:val="000000"/>
          <w:sz w:val="26"/>
          <w:szCs w:val="26"/>
        </w:rPr>
        <w:t xml:space="preserve"> </w:t>
      </w:r>
    </w:p>
    <w:p w14:paraId="45687EAF" w14:textId="628C8F30" w:rsidR="00186DFC" w:rsidRPr="00F56D54" w:rsidRDefault="00186DFC" w:rsidP="00F56D54">
      <w:pPr>
        <w:widowControl/>
        <w:numPr>
          <w:ilvl w:val="1"/>
          <w:numId w:val="50"/>
        </w:numPr>
        <w:spacing w:after="5" w:line="238" w:lineRule="auto"/>
        <w:ind w:left="2160" w:right="1418" w:hanging="10"/>
        <w:rPr>
          <w:color w:val="000000"/>
          <w:sz w:val="26"/>
          <w:szCs w:val="26"/>
        </w:rPr>
      </w:pPr>
      <w:r w:rsidRPr="00F56D54">
        <w:rPr>
          <w:color w:val="000000"/>
          <w:sz w:val="26"/>
          <w:szCs w:val="26"/>
        </w:rPr>
        <w:t>In the event that the Commission does not approve this Joint Petition for Settlement on Rate Structure and Rate Design by Pike, I&amp;E, and the OCA in conjunction with the Joint Petition filed April</w:t>
      </w:r>
      <w:r w:rsidR="00287BBD">
        <w:rPr>
          <w:color w:val="000000"/>
          <w:sz w:val="26"/>
          <w:szCs w:val="26"/>
        </w:rPr>
        <w:t> </w:t>
      </w:r>
      <w:r w:rsidRPr="00F56D54">
        <w:rPr>
          <w:color w:val="000000"/>
          <w:sz w:val="26"/>
          <w:szCs w:val="26"/>
        </w:rPr>
        <w:t>9,</w:t>
      </w:r>
      <w:r w:rsidR="00287BBD">
        <w:rPr>
          <w:color w:val="000000"/>
          <w:sz w:val="26"/>
          <w:szCs w:val="26"/>
        </w:rPr>
        <w:t> </w:t>
      </w:r>
      <w:r w:rsidRPr="00F56D54">
        <w:rPr>
          <w:color w:val="000000"/>
          <w:sz w:val="26"/>
          <w:szCs w:val="26"/>
        </w:rPr>
        <w:t>2021, the Rate Structure Petitioners reserve their respective rights to resume litigation.  If the ALJ, in her Recommended Decision, recommends that the Commission adopt this Petition for Settlement on Rate Structure and Rate Design as herein proposed, the Rate Structure Petitioners agree to waive the filing of Exceptions on the matters settled in this Petition for Settlement on Rate Structure.  However, if the ALJ in her Recommended Decision, recommends that the Commission adopt a different rate structure and rate design, the Rate Structure Petitioners do not waive their right to file Exceptions to the Recommended Decision</w:t>
      </w:r>
      <w:r w:rsidR="00F56D54" w:rsidRPr="00F56D54">
        <w:rPr>
          <w:color w:val="000000"/>
          <w:sz w:val="26"/>
          <w:szCs w:val="26"/>
        </w:rPr>
        <w:t xml:space="preserve">.  </w:t>
      </w:r>
      <w:r w:rsidRPr="00F56D54">
        <w:rPr>
          <w:color w:val="000000"/>
          <w:sz w:val="26"/>
          <w:szCs w:val="26"/>
        </w:rPr>
        <w:t xml:space="preserve">The Rate Structure Petitioners do not waive their rights to file Reply Exceptions to the Office of Small Business Advocate’s Exceptions, if any, with respect to Rate Structure and Design outcome of the Recommended Decision, as well as any additional matters dealt with, or any modifications to the terms and conditions of this Petition for Settlement on Rate </w:t>
      </w:r>
      <w:r w:rsidRPr="00F56D54">
        <w:rPr>
          <w:color w:val="000000"/>
          <w:sz w:val="26"/>
          <w:szCs w:val="26"/>
        </w:rPr>
        <w:lastRenderedPageBreak/>
        <w:t xml:space="preserve">Structure recommended by the ALJ in her Recommended Decision. </w:t>
      </w:r>
    </w:p>
    <w:p w14:paraId="54D0CB2D" w14:textId="77777777" w:rsidR="00186DFC" w:rsidRPr="00F56D54" w:rsidRDefault="00186DFC" w:rsidP="00F56D54">
      <w:pPr>
        <w:widowControl/>
        <w:spacing w:line="259" w:lineRule="auto"/>
        <w:ind w:left="1526"/>
        <w:rPr>
          <w:color w:val="000000"/>
          <w:sz w:val="26"/>
          <w:szCs w:val="26"/>
        </w:rPr>
      </w:pPr>
      <w:r w:rsidRPr="00F56D54">
        <w:rPr>
          <w:color w:val="000000"/>
          <w:sz w:val="26"/>
          <w:szCs w:val="26"/>
        </w:rPr>
        <w:t xml:space="preserve"> </w:t>
      </w:r>
    </w:p>
    <w:p w14:paraId="690F61C0" w14:textId="069F635F" w:rsidR="00186DFC" w:rsidRPr="00F56D54" w:rsidRDefault="00186DFC" w:rsidP="00F56D54">
      <w:pPr>
        <w:widowControl/>
        <w:numPr>
          <w:ilvl w:val="1"/>
          <w:numId w:val="50"/>
        </w:numPr>
        <w:spacing w:after="5" w:line="241" w:lineRule="auto"/>
        <w:ind w:left="2160" w:right="1499" w:hanging="10"/>
        <w:rPr>
          <w:color w:val="000000"/>
          <w:sz w:val="26"/>
          <w:szCs w:val="26"/>
        </w:rPr>
      </w:pPr>
      <w:r w:rsidRPr="00F56D54">
        <w:rPr>
          <w:color w:val="000000"/>
          <w:sz w:val="26"/>
          <w:szCs w:val="26"/>
        </w:rPr>
        <w:t xml:space="preserve">The Rate Structure Petitioners recognize that this Petition for Settlement does not bind formal complainants who have not joined herein.  </w:t>
      </w:r>
    </w:p>
    <w:p w14:paraId="0E25EBE1" w14:textId="77777777" w:rsidR="00186DFC" w:rsidRPr="00F56D54" w:rsidRDefault="00186DFC" w:rsidP="00F56D54">
      <w:pPr>
        <w:widowControl/>
        <w:spacing w:line="259" w:lineRule="auto"/>
        <w:ind w:left="2160"/>
        <w:rPr>
          <w:color w:val="000000"/>
          <w:sz w:val="26"/>
          <w:szCs w:val="26"/>
        </w:rPr>
      </w:pPr>
      <w:r w:rsidRPr="00F56D54">
        <w:rPr>
          <w:color w:val="000000"/>
          <w:sz w:val="26"/>
          <w:szCs w:val="26"/>
        </w:rPr>
        <w:t xml:space="preserve"> </w:t>
      </w:r>
    </w:p>
    <w:p w14:paraId="5FD6C425" w14:textId="77777777" w:rsidR="00186DFC" w:rsidRPr="00F56D54" w:rsidRDefault="00186DFC" w:rsidP="00F56D54">
      <w:pPr>
        <w:widowControl/>
        <w:spacing w:after="5" w:line="259" w:lineRule="auto"/>
        <w:ind w:left="2160" w:right="10" w:hanging="10"/>
        <w:rPr>
          <w:color w:val="000000"/>
          <w:sz w:val="26"/>
          <w:szCs w:val="26"/>
        </w:rPr>
      </w:pPr>
      <w:r w:rsidRPr="00F56D54">
        <w:rPr>
          <w:color w:val="000000"/>
          <w:sz w:val="26"/>
          <w:szCs w:val="26"/>
        </w:rPr>
        <w:t xml:space="preserve">* * * </w:t>
      </w:r>
    </w:p>
    <w:p w14:paraId="4D2F9C21" w14:textId="77777777" w:rsidR="00186DFC" w:rsidRPr="00F56D54" w:rsidRDefault="00186DFC" w:rsidP="00F56D54">
      <w:pPr>
        <w:widowControl/>
        <w:spacing w:line="259" w:lineRule="auto"/>
        <w:ind w:left="2160"/>
        <w:rPr>
          <w:color w:val="000000"/>
          <w:sz w:val="26"/>
          <w:szCs w:val="26"/>
        </w:rPr>
      </w:pPr>
      <w:r w:rsidRPr="00F56D54">
        <w:rPr>
          <w:color w:val="000000"/>
          <w:sz w:val="26"/>
          <w:szCs w:val="26"/>
        </w:rPr>
        <w:t xml:space="preserve"> </w:t>
      </w:r>
    </w:p>
    <w:p w14:paraId="36856BEA" w14:textId="77777777" w:rsidR="00186DFC" w:rsidRPr="00F56D54" w:rsidRDefault="00186DFC" w:rsidP="00F56D54">
      <w:pPr>
        <w:widowControl/>
        <w:spacing w:after="5" w:line="241" w:lineRule="auto"/>
        <w:ind w:left="2160" w:right="1302" w:hanging="10"/>
        <w:rPr>
          <w:color w:val="000000"/>
          <w:sz w:val="26"/>
          <w:szCs w:val="26"/>
        </w:rPr>
      </w:pPr>
      <w:r w:rsidRPr="00F56D54">
        <w:rPr>
          <w:color w:val="000000"/>
          <w:sz w:val="26"/>
          <w:szCs w:val="26"/>
        </w:rPr>
        <w:t xml:space="preserve">22. </w:t>
      </w:r>
      <w:r w:rsidRPr="00F56D54">
        <w:rPr>
          <w:color w:val="000000"/>
          <w:sz w:val="26"/>
          <w:szCs w:val="26"/>
        </w:rPr>
        <w:tab/>
        <w:t xml:space="preserve">The Rate Structure Petitioners agree that this Settlement shall not constitute or be cited as controlling precedent in this or any other jurisdiction. </w:t>
      </w:r>
    </w:p>
    <w:p w14:paraId="22268BA3" w14:textId="4788A041" w:rsidR="00FB40BC" w:rsidRDefault="00FB40BC" w:rsidP="00FB40BC">
      <w:pPr>
        <w:widowControl/>
        <w:spacing w:line="360" w:lineRule="auto"/>
        <w:rPr>
          <w:sz w:val="26"/>
          <w:szCs w:val="26"/>
        </w:rPr>
      </w:pPr>
    </w:p>
    <w:p w14:paraId="5F78BC79" w14:textId="7B6B6EC9" w:rsidR="00FB40BC" w:rsidRPr="00F56D54" w:rsidRDefault="00FB40BC" w:rsidP="00CF0CD9">
      <w:pPr>
        <w:widowControl/>
        <w:spacing w:line="360" w:lineRule="auto"/>
        <w:rPr>
          <w:sz w:val="26"/>
          <w:szCs w:val="26"/>
        </w:rPr>
      </w:pPr>
      <w:r>
        <w:rPr>
          <w:sz w:val="26"/>
          <w:szCs w:val="26"/>
        </w:rPr>
        <w:t xml:space="preserve">Rate Design Settlement at </w:t>
      </w:r>
      <w:r w:rsidR="00B23376">
        <w:rPr>
          <w:sz w:val="26"/>
          <w:szCs w:val="26"/>
        </w:rPr>
        <w:t>3-8.</w:t>
      </w:r>
    </w:p>
    <w:p w14:paraId="17B286AF" w14:textId="77777777" w:rsidR="00FB40BC" w:rsidRDefault="00FB40BC" w:rsidP="00F56D54">
      <w:pPr>
        <w:widowControl/>
        <w:spacing w:line="360" w:lineRule="auto"/>
        <w:ind w:left="720"/>
        <w:rPr>
          <w:b/>
          <w:bCs/>
          <w:sz w:val="26"/>
          <w:szCs w:val="26"/>
        </w:rPr>
      </w:pPr>
    </w:p>
    <w:p w14:paraId="464B51B5" w14:textId="256B1287" w:rsidR="008E4A8D" w:rsidRPr="00F56D54" w:rsidRDefault="008E4A8D" w:rsidP="00F56D54">
      <w:pPr>
        <w:widowControl/>
        <w:spacing w:line="360" w:lineRule="auto"/>
        <w:ind w:left="720"/>
        <w:rPr>
          <w:b/>
          <w:bCs/>
          <w:sz w:val="26"/>
          <w:szCs w:val="26"/>
        </w:rPr>
      </w:pPr>
      <w:r w:rsidRPr="00F56D54">
        <w:rPr>
          <w:b/>
          <w:bCs/>
          <w:sz w:val="26"/>
          <w:szCs w:val="26"/>
        </w:rPr>
        <w:t>2.</w:t>
      </w:r>
      <w:r w:rsidR="00F56D54" w:rsidRPr="00F56D54">
        <w:rPr>
          <w:b/>
          <w:bCs/>
          <w:sz w:val="26"/>
          <w:szCs w:val="26"/>
        </w:rPr>
        <w:tab/>
      </w:r>
      <w:r w:rsidRPr="00F56D54">
        <w:rPr>
          <w:b/>
          <w:bCs/>
          <w:sz w:val="26"/>
          <w:szCs w:val="26"/>
        </w:rPr>
        <w:t xml:space="preserve">Positions of the Parties </w:t>
      </w:r>
    </w:p>
    <w:p w14:paraId="233F90F4" w14:textId="77777777" w:rsidR="00C804ED" w:rsidRPr="00F56D54" w:rsidRDefault="00C804ED" w:rsidP="00F56D54">
      <w:pPr>
        <w:widowControl/>
        <w:spacing w:line="360" w:lineRule="auto"/>
        <w:ind w:left="720"/>
        <w:rPr>
          <w:sz w:val="26"/>
          <w:szCs w:val="26"/>
        </w:rPr>
      </w:pPr>
    </w:p>
    <w:p w14:paraId="70D0A8FE" w14:textId="2D3FB925" w:rsidR="00BA5A2F" w:rsidRPr="00F56D54" w:rsidRDefault="008E4A8D" w:rsidP="00F56D54">
      <w:pPr>
        <w:pStyle w:val="ListParagraph"/>
        <w:widowControl/>
        <w:numPr>
          <w:ilvl w:val="1"/>
          <w:numId w:val="1"/>
        </w:numPr>
        <w:spacing w:line="360" w:lineRule="auto"/>
        <w:ind w:left="2160" w:hanging="720"/>
        <w:rPr>
          <w:b/>
          <w:bCs/>
          <w:sz w:val="26"/>
          <w:szCs w:val="26"/>
        </w:rPr>
      </w:pPr>
      <w:r w:rsidRPr="00F56D54">
        <w:rPr>
          <w:b/>
          <w:bCs/>
          <w:sz w:val="26"/>
          <w:szCs w:val="26"/>
        </w:rPr>
        <w:t xml:space="preserve">Statements </w:t>
      </w:r>
      <w:r w:rsidR="005A6072" w:rsidRPr="00F56D54">
        <w:rPr>
          <w:b/>
          <w:bCs/>
          <w:sz w:val="26"/>
          <w:szCs w:val="26"/>
        </w:rPr>
        <w:t>i</w:t>
      </w:r>
      <w:r w:rsidRPr="00F56D54">
        <w:rPr>
          <w:b/>
          <w:bCs/>
          <w:sz w:val="26"/>
          <w:szCs w:val="26"/>
        </w:rPr>
        <w:t>n Support of the</w:t>
      </w:r>
      <w:r w:rsidR="005A6072" w:rsidRPr="00F56D54">
        <w:rPr>
          <w:b/>
          <w:bCs/>
          <w:sz w:val="26"/>
          <w:szCs w:val="26"/>
        </w:rPr>
        <w:t xml:space="preserve"> Rate Design Se</w:t>
      </w:r>
      <w:r w:rsidR="00BA5A2F" w:rsidRPr="00F56D54">
        <w:rPr>
          <w:b/>
          <w:bCs/>
          <w:sz w:val="26"/>
          <w:szCs w:val="26"/>
        </w:rPr>
        <w:t>ttlement</w:t>
      </w:r>
    </w:p>
    <w:p w14:paraId="1ECFB102" w14:textId="20C65872" w:rsidR="00200EBA" w:rsidRPr="00F56D54" w:rsidRDefault="00200EBA" w:rsidP="00F56D54">
      <w:pPr>
        <w:pStyle w:val="ListParagraph"/>
        <w:widowControl/>
        <w:spacing w:line="360" w:lineRule="auto"/>
        <w:ind w:left="1440"/>
        <w:rPr>
          <w:b/>
          <w:bCs/>
          <w:sz w:val="26"/>
          <w:szCs w:val="26"/>
        </w:rPr>
      </w:pPr>
    </w:p>
    <w:p w14:paraId="49B1CD38" w14:textId="22081F44" w:rsidR="00A822DE" w:rsidRPr="00D04914" w:rsidRDefault="00A8759B" w:rsidP="00A822DE">
      <w:pPr>
        <w:widowControl/>
        <w:spacing w:line="360" w:lineRule="auto"/>
        <w:ind w:firstLine="1440"/>
        <w:contextualSpacing/>
        <w:rPr>
          <w:rFonts w:eastAsia="Calibri"/>
          <w:sz w:val="26"/>
          <w:szCs w:val="26"/>
        </w:rPr>
      </w:pPr>
      <w:r w:rsidRPr="00F56D54">
        <w:rPr>
          <w:color w:val="000000"/>
          <w:sz w:val="26"/>
          <w:szCs w:val="26"/>
        </w:rPr>
        <w:t>PCLP</w:t>
      </w:r>
      <w:r w:rsidR="004909E6" w:rsidRPr="00F56D54">
        <w:rPr>
          <w:color w:val="000000"/>
          <w:sz w:val="26"/>
          <w:szCs w:val="26"/>
        </w:rPr>
        <w:t>C</w:t>
      </w:r>
      <w:r w:rsidRPr="00F56D54">
        <w:rPr>
          <w:color w:val="000000"/>
          <w:sz w:val="26"/>
          <w:szCs w:val="26"/>
        </w:rPr>
        <w:t xml:space="preserve"> asserted before the ALJ that the Rate Design Settlement achieves a fair and balanced black box approach to </w:t>
      </w:r>
      <w:r w:rsidR="005E2BD1" w:rsidRPr="00F56D54">
        <w:rPr>
          <w:color w:val="000000"/>
          <w:sz w:val="26"/>
          <w:szCs w:val="26"/>
        </w:rPr>
        <w:t xml:space="preserve">administer </w:t>
      </w:r>
      <w:r w:rsidRPr="00F56D54">
        <w:rPr>
          <w:color w:val="000000"/>
          <w:sz w:val="26"/>
          <w:szCs w:val="26"/>
        </w:rPr>
        <w:t xml:space="preserve">the </w:t>
      </w:r>
      <w:r w:rsidR="005E2BD1" w:rsidRPr="00F56D54">
        <w:rPr>
          <w:color w:val="000000"/>
          <w:sz w:val="26"/>
          <w:szCs w:val="26"/>
        </w:rPr>
        <w:t xml:space="preserve">annual </w:t>
      </w:r>
      <w:r w:rsidRPr="00F56D54">
        <w:rPr>
          <w:color w:val="000000"/>
          <w:sz w:val="26"/>
          <w:szCs w:val="26"/>
        </w:rPr>
        <w:t xml:space="preserve">revenue </w:t>
      </w:r>
      <w:r w:rsidR="005E2BD1" w:rsidRPr="00F56D54">
        <w:rPr>
          <w:color w:val="000000"/>
          <w:sz w:val="26"/>
          <w:szCs w:val="26"/>
        </w:rPr>
        <w:t xml:space="preserve">increase </w:t>
      </w:r>
      <w:r w:rsidRPr="00F56D54">
        <w:rPr>
          <w:color w:val="000000"/>
          <w:sz w:val="26"/>
          <w:szCs w:val="26"/>
        </w:rPr>
        <w:t xml:space="preserve">established </w:t>
      </w:r>
      <w:r w:rsidR="002839E4" w:rsidRPr="00F56D54">
        <w:rPr>
          <w:color w:val="000000"/>
          <w:sz w:val="26"/>
          <w:szCs w:val="26"/>
        </w:rPr>
        <w:t xml:space="preserve">under </w:t>
      </w:r>
      <w:r w:rsidRPr="00F56D54">
        <w:rPr>
          <w:color w:val="000000"/>
          <w:sz w:val="26"/>
          <w:szCs w:val="26"/>
        </w:rPr>
        <w:t xml:space="preserve">the Revenue Settlement.  </w:t>
      </w:r>
      <w:r w:rsidR="002839E4" w:rsidRPr="00F56D54">
        <w:rPr>
          <w:color w:val="000000"/>
          <w:sz w:val="26"/>
          <w:szCs w:val="26"/>
        </w:rPr>
        <w:t>Specifically, PCLPC note</w:t>
      </w:r>
      <w:r w:rsidR="004909E6" w:rsidRPr="00F56D54">
        <w:rPr>
          <w:color w:val="000000"/>
          <w:sz w:val="26"/>
          <w:szCs w:val="26"/>
        </w:rPr>
        <w:t>d</w:t>
      </w:r>
      <w:r w:rsidR="002839E4" w:rsidRPr="00F56D54">
        <w:rPr>
          <w:color w:val="000000"/>
          <w:sz w:val="26"/>
          <w:szCs w:val="26"/>
        </w:rPr>
        <w:t xml:space="preserve"> that </w:t>
      </w:r>
      <w:r w:rsidRPr="00F56D54">
        <w:rPr>
          <w:color w:val="000000"/>
          <w:sz w:val="26"/>
          <w:szCs w:val="26"/>
        </w:rPr>
        <w:t>Paragraph 12 of the Rate Design Settlement provides a rate comparison for all customers based on the average customer bill</w:t>
      </w:r>
      <w:r w:rsidR="000E6983" w:rsidRPr="00F56D54">
        <w:rPr>
          <w:color w:val="000000"/>
          <w:sz w:val="26"/>
          <w:szCs w:val="26"/>
        </w:rPr>
        <w:t xml:space="preserve">, which illustrates the </w:t>
      </w:r>
      <w:r w:rsidR="00BE7B5C" w:rsidRPr="00F56D54">
        <w:rPr>
          <w:color w:val="000000"/>
          <w:sz w:val="26"/>
          <w:szCs w:val="26"/>
        </w:rPr>
        <w:t xml:space="preserve">reasonable and equitable </w:t>
      </w:r>
      <w:r w:rsidR="000E6983" w:rsidRPr="00F56D54">
        <w:rPr>
          <w:color w:val="000000"/>
          <w:sz w:val="26"/>
          <w:szCs w:val="26"/>
        </w:rPr>
        <w:t>customer impact</w:t>
      </w:r>
      <w:r w:rsidRPr="00F56D54">
        <w:rPr>
          <w:color w:val="000000"/>
          <w:sz w:val="26"/>
          <w:szCs w:val="26"/>
        </w:rPr>
        <w:t xml:space="preserve">.  </w:t>
      </w:r>
      <w:r w:rsidR="0033523C" w:rsidRPr="00F56D54">
        <w:rPr>
          <w:color w:val="000000"/>
          <w:sz w:val="26"/>
          <w:szCs w:val="26"/>
        </w:rPr>
        <w:t xml:space="preserve">Under the Rate </w:t>
      </w:r>
      <w:r w:rsidR="00223AB9">
        <w:rPr>
          <w:color w:val="000000"/>
          <w:sz w:val="26"/>
          <w:szCs w:val="26"/>
        </w:rPr>
        <w:t>D</w:t>
      </w:r>
      <w:r w:rsidR="0033523C" w:rsidRPr="00F56D54">
        <w:rPr>
          <w:color w:val="000000"/>
          <w:sz w:val="26"/>
          <w:szCs w:val="26"/>
        </w:rPr>
        <w:t xml:space="preserve">esign Settlement, </w:t>
      </w:r>
      <w:r w:rsidRPr="00F56D54">
        <w:rPr>
          <w:color w:val="000000"/>
          <w:sz w:val="26"/>
          <w:szCs w:val="26"/>
        </w:rPr>
        <w:t xml:space="preserve">the average residential customer will </w:t>
      </w:r>
      <w:r w:rsidR="00F4262F">
        <w:rPr>
          <w:color w:val="000000"/>
          <w:sz w:val="26"/>
          <w:szCs w:val="26"/>
        </w:rPr>
        <w:t>experience</w:t>
      </w:r>
      <w:r w:rsidRPr="00F56D54">
        <w:rPr>
          <w:color w:val="000000"/>
          <w:sz w:val="26"/>
          <w:szCs w:val="26"/>
        </w:rPr>
        <w:t xml:space="preserve"> an estimated 12.1% increase, or roughly $12.59 increase in their monthly electric</w:t>
      </w:r>
      <w:r w:rsidR="00F4262F">
        <w:rPr>
          <w:color w:val="000000"/>
          <w:sz w:val="26"/>
          <w:szCs w:val="26"/>
        </w:rPr>
        <w:t xml:space="preserve"> distribution</w:t>
      </w:r>
      <w:r w:rsidRPr="00F56D54">
        <w:rPr>
          <w:color w:val="000000"/>
          <w:sz w:val="26"/>
          <w:szCs w:val="26"/>
        </w:rPr>
        <w:t xml:space="preserve"> costs.</w:t>
      </w:r>
      <w:r w:rsidR="00DD663F">
        <w:rPr>
          <w:color w:val="000000"/>
          <w:sz w:val="26"/>
          <w:szCs w:val="26"/>
        </w:rPr>
        <w:t xml:space="preserve"> </w:t>
      </w:r>
      <w:r w:rsidRPr="00F56D54">
        <w:rPr>
          <w:color w:val="000000"/>
          <w:sz w:val="26"/>
          <w:szCs w:val="26"/>
        </w:rPr>
        <w:t xml:space="preserve"> Similarly, the average SC2-Secondary </w:t>
      </w:r>
      <w:r w:rsidR="00661D48">
        <w:rPr>
          <w:color w:val="000000"/>
          <w:sz w:val="26"/>
          <w:szCs w:val="26"/>
        </w:rPr>
        <w:t>–</w:t>
      </w:r>
      <w:r w:rsidRPr="00F56D54">
        <w:rPr>
          <w:color w:val="000000"/>
          <w:sz w:val="26"/>
          <w:szCs w:val="26"/>
        </w:rPr>
        <w:t xml:space="preserve"> Demand customer will </w:t>
      </w:r>
      <w:r w:rsidR="00376538">
        <w:rPr>
          <w:color w:val="000000"/>
          <w:sz w:val="26"/>
          <w:szCs w:val="26"/>
        </w:rPr>
        <w:t xml:space="preserve">experience </w:t>
      </w:r>
      <w:r w:rsidRPr="00F56D54">
        <w:rPr>
          <w:color w:val="000000"/>
          <w:sz w:val="26"/>
          <w:szCs w:val="26"/>
        </w:rPr>
        <w:t>an estimated 17.3% increase, or roughly $77.91 increase in their monthly electric</w:t>
      </w:r>
      <w:r w:rsidR="00F4262F">
        <w:rPr>
          <w:color w:val="000000"/>
          <w:sz w:val="26"/>
          <w:szCs w:val="26"/>
        </w:rPr>
        <w:t xml:space="preserve"> distribution</w:t>
      </w:r>
      <w:r w:rsidRPr="00F56D54">
        <w:rPr>
          <w:color w:val="000000"/>
          <w:sz w:val="26"/>
          <w:szCs w:val="26"/>
        </w:rPr>
        <w:t xml:space="preserve"> costs. </w:t>
      </w:r>
      <w:r w:rsidR="00065F57">
        <w:rPr>
          <w:color w:val="000000"/>
          <w:sz w:val="26"/>
          <w:szCs w:val="26"/>
        </w:rPr>
        <w:t xml:space="preserve"> </w:t>
      </w:r>
      <w:r w:rsidRPr="00F56D54">
        <w:rPr>
          <w:color w:val="000000"/>
          <w:sz w:val="26"/>
          <w:szCs w:val="26"/>
        </w:rPr>
        <w:t xml:space="preserve">Finally, the average SC2- Secondary – </w:t>
      </w:r>
      <w:r w:rsidR="00F4262F">
        <w:rPr>
          <w:color w:val="000000"/>
          <w:sz w:val="26"/>
          <w:szCs w:val="26"/>
        </w:rPr>
        <w:t>N</w:t>
      </w:r>
      <w:r w:rsidRPr="00F56D54">
        <w:rPr>
          <w:color w:val="000000"/>
          <w:sz w:val="26"/>
          <w:szCs w:val="26"/>
        </w:rPr>
        <w:t>on-</w:t>
      </w:r>
      <w:r w:rsidR="00F4262F">
        <w:rPr>
          <w:color w:val="000000"/>
          <w:sz w:val="26"/>
          <w:szCs w:val="26"/>
        </w:rPr>
        <w:t>D</w:t>
      </w:r>
      <w:r w:rsidRPr="00F56D54">
        <w:rPr>
          <w:color w:val="000000"/>
          <w:sz w:val="26"/>
          <w:szCs w:val="26"/>
        </w:rPr>
        <w:t xml:space="preserve">emand will </w:t>
      </w:r>
      <w:r w:rsidR="00F4262F">
        <w:rPr>
          <w:color w:val="000000"/>
          <w:sz w:val="26"/>
          <w:szCs w:val="26"/>
        </w:rPr>
        <w:t xml:space="preserve">experience </w:t>
      </w:r>
      <w:r w:rsidRPr="00F56D54">
        <w:rPr>
          <w:color w:val="000000"/>
          <w:sz w:val="26"/>
          <w:szCs w:val="26"/>
        </w:rPr>
        <w:t>an estimated 18.9% increase, or roughly $13.35 in their monthly electric</w:t>
      </w:r>
      <w:r w:rsidR="00F4262F">
        <w:rPr>
          <w:color w:val="000000"/>
          <w:sz w:val="26"/>
          <w:szCs w:val="26"/>
        </w:rPr>
        <w:t xml:space="preserve"> distribution</w:t>
      </w:r>
      <w:r w:rsidRPr="00F56D54">
        <w:rPr>
          <w:color w:val="000000"/>
          <w:sz w:val="26"/>
          <w:szCs w:val="26"/>
        </w:rPr>
        <w:t xml:space="preserve"> costs.  </w:t>
      </w:r>
      <w:r w:rsidR="00A822DE" w:rsidRPr="0097274A">
        <w:rPr>
          <w:rFonts w:eastAsia="Calibri"/>
          <w:sz w:val="26"/>
          <w:szCs w:val="26"/>
        </w:rPr>
        <w:t>P</w:t>
      </w:r>
      <w:r w:rsidR="00A822DE" w:rsidRPr="00F56D54">
        <w:rPr>
          <w:rFonts w:eastAsia="Calibri"/>
          <w:sz w:val="26"/>
          <w:szCs w:val="26"/>
        </w:rPr>
        <w:t>CLPC</w:t>
      </w:r>
      <w:r w:rsidR="00A822DE" w:rsidRPr="00F56D54">
        <w:rPr>
          <w:sz w:val="26"/>
          <w:szCs w:val="26"/>
        </w:rPr>
        <w:t xml:space="preserve"> Statement in </w:t>
      </w:r>
      <w:r w:rsidR="00A822DE" w:rsidRPr="00D04914">
        <w:rPr>
          <w:sz w:val="26"/>
          <w:szCs w:val="26"/>
        </w:rPr>
        <w:t>Support at 1-5</w:t>
      </w:r>
      <w:r w:rsidR="00A822DE">
        <w:rPr>
          <w:sz w:val="26"/>
          <w:szCs w:val="26"/>
        </w:rPr>
        <w:t>.</w:t>
      </w:r>
      <w:r w:rsidR="00A822DE" w:rsidRPr="00D04914">
        <w:rPr>
          <w:sz w:val="26"/>
          <w:szCs w:val="26"/>
        </w:rPr>
        <w:t xml:space="preserve"> </w:t>
      </w:r>
    </w:p>
    <w:p w14:paraId="4E81A734" w14:textId="77777777" w:rsidR="00A822DE" w:rsidRDefault="00A822DE" w:rsidP="00F56D54">
      <w:pPr>
        <w:widowControl/>
        <w:spacing w:line="360" w:lineRule="auto"/>
        <w:ind w:firstLine="1440"/>
        <w:rPr>
          <w:color w:val="000000"/>
          <w:sz w:val="26"/>
          <w:szCs w:val="26"/>
        </w:rPr>
      </w:pPr>
    </w:p>
    <w:p w14:paraId="555519CE" w14:textId="430F7D8F" w:rsidR="00357C8F" w:rsidRPr="00F56D54" w:rsidRDefault="004909E6" w:rsidP="00F56D54">
      <w:pPr>
        <w:widowControl/>
        <w:spacing w:line="360" w:lineRule="auto"/>
        <w:ind w:firstLine="1440"/>
        <w:rPr>
          <w:color w:val="000000"/>
          <w:sz w:val="26"/>
          <w:szCs w:val="26"/>
        </w:rPr>
      </w:pPr>
      <w:r w:rsidRPr="00F56D54">
        <w:rPr>
          <w:color w:val="000000"/>
          <w:sz w:val="26"/>
          <w:szCs w:val="26"/>
        </w:rPr>
        <w:lastRenderedPageBreak/>
        <w:t>PCLPC argued that the</w:t>
      </w:r>
      <w:r w:rsidR="00714A29" w:rsidRPr="00F56D54">
        <w:rPr>
          <w:color w:val="000000"/>
          <w:sz w:val="26"/>
          <w:szCs w:val="26"/>
        </w:rPr>
        <w:t xml:space="preserve"> rate structure and design </w:t>
      </w:r>
      <w:r w:rsidR="00C43CFD">
        <w:rPr>
          <w:color w:val="000000"/>
          <w:sz w:val="26"/>
          <w:szCs w:val="26"/>
        </w:rPr>
        <w:t xml:space="preserve">reached by compromise </w:t>
      </w:r>
      <w:r w:rsidR="00714A29" w:rsidRPr="00F56D54">
        <w:rPr>
          <w:color w:val="000000"/>
          <w:sz w:val="26"/>
          <w:szCs w:val="26"/>
        </w:rPr>
        <w:t xml:space="preserve">reflects </w:t>
      </w:r>
      <w:r w:rsidR="005A5B59" w:rsidRPr="00F56D54">
        <w:rPr>
          <w:color w:val="000000"/>
          <w:sz w:val="26"/>
          <w:szCs w:val="26"/>
        </w:rPr>
        <w:t xml:space="preserve">a fair balance within the range of positions argued by the </w:t>
      </w:r>
      <w:r w:rsidR="00551B3E">
        <w:rPr>
          <w:color w:val="000000"/>
          <w:sz w:val="26"/>
          <w:szCs w:val="26"/>
        </w:rPr>
        <w:t>P</w:t>
      </w:r>
      <w:r w:rsidR="005A5B59" w:rsidRPr="00F56D54">
        <w:rPr>
          <w:color w:val="000000"/>
          <w:sz w:val="26"/>
          <w:szCs w:val="26"/>
        </w:rPr>
        <w:t xml:space="preserve">arties, including the OSBA. </w:t>
      </w:r>
      <w:r w:rsidR="00820546" w:rsidRPr="00F56D54">
        <w:rPr>
          <w:color w:val="000000"/>
          <w:sz w:val="26"/>
          <w:szCs w:val="26"/>
        </w:rPr>
        <w:t xml:space="preserve"> PCLPC further noted that, contrary to the OSBA’s arguments, the Commission has repeatedly recognized that </w:t>
      </w:r>
      <w:r w:rsidR="00822AAE" w:rsidRPr="00F56D54">
        <w:rPr>
          <w:color w:val="000000"/>
          <w:sz w:val="26"/>
          <w:szCs w:val="26"/>
        </w:rPr>
        <w:t>no single cost of service study methodology is “perfect</w:t>
      </w:r>
      <w:r w:rsidR="00A804A7" w:rsidRPr="00F56D54">
        <w:rPr>
          <w:color w:val="000000"/>
          <w:sz w:val="26"/>
          <w:szCs w:val="26"/>
        </w:rPr>
        <w:t>,</w:t>
      </w:r>
      <w:r w:rsidR="00822AAE" w:rsidRPr="00F56D54">
        <w:rPr>
          <w:color w:val="000000"/>
          <w:sz w:val="26"/>
          <w:szCs w:val="26"/>
        </w:rPr>
        <w:t xml:space="preserve">” </w:t>
      </w:r>
      <w:r w:rsidR="00A804A7" w:rsidRPr="00F56D54">
        <w:rPr>
          <w:color w:val="000000"/>
          <w:sz w:val="26"/>
          <w:szCs w:val="26"/>
        </w:rPr>
        <w:t xml:space="preserve">and that many factors may be considered </w:t>
      </w:r>
      <w:r w:rsidR="00A34B4C" w:rsidRPr="00F56D54">
        <w:rPr>
          <w:color w:val="000000"/>
          <w:sz w:val="26"/>
          <w:szCs w:val="26"/>
        </w:rPr>
        <w:t xml:space="preserve">and are reasonable for experts to present unique and defensible </w:t>
      </w:r>
      <w:r w:rsidR="00B05DE5" w:rsidRPr="00F56D54">
        <w:rPr>
          <w:color w:val="000000"/>
          <w:sz w:val="26"/>
          <w:szCs w:val="26"/>
        </w:rPr>
        <w:t xml:space="preserve">methodologies. </w:t>
      </w:r>
      <w:r w:rsidR="00A6628E">
        <w:rPr>
          <w:color w:val="000000"/>
          <w:sz w:val="26"/>
          <w:szCs w:val="26"/>
        </w:rPr>
        <w:t xml:space="preserve"> </w:t>
      </w:r>
      <w:r w:rsidR="00064E95" w:rsidRPr="00064E95">
        <w:rPr>
          <w:i/>
          <w:iCs/>
          <w:color w:val="000000"/>
          <w:sz w:val="26"/>
          <w:szCs w:val="26"/>
        </w:rPr>
        <w:t>Id</w:t>
      </w:r>
      <w:r w:rsidR="00064E95">
        <w:rPr>
          <w:color w:val="000000"/>
          <w:sz w:val="26"/>
          <w:szCs w:val="26"/>
        </w:rPr>
        <w:t xml:space="preserve">. </w:t>
      </w:r>
    </w:p>
    <w:p w14:paraId="75A34938" w14:textId="77777777" w:rsidR="00357C8F" w:rsidRPr="00F56D54" w:rsidRDefault="00357C8F" w:rsidP="00F56D54">
      <w:pPr>
        <w:widowControl/>
        <w:spacing w:line="360" w:lineRule="auto"/>
        <w:ind w:firstLine="1440"/>
        <w:rPr>
          <w:color w:val="000000"/>
          <w:sz w:val="26"/>
          <w:szCs w:val="26"/>
        </w:rPr>
      </w:pPr>
    </w:p>
    <w:p w14:paraId="03B0D214" w14:textId="44509CA2" w:rsidR="00A822DE" w:rsidRPr="00D04914" w:rsidRDefault="00357C8F" w:rsidP="00F03E4E">
      <w:pPr>
        <w:widowControl/>
        <w:spacing w:line="360" w:lineRule="auto"/>
        <w:ind w:firstLine="1440"/>
        <w:contextualSpacing/>
        <w:rPr>
          <w:rFonts w:eastAsia="Calibri"/>
          <w:sz w:val="26"/>
          <w:szCs w:val="26"/>
        </w:rPr>
      </w:pPr>
      <w:r w:rsidRPr="00F56D54">
        <w:rPr>
          <w:color w:val="000000"/>
          <w:sz w:val="26"/>
          <w:szCs w:val="26"/>
        </w:rPr>
        <w:t xml:space="preserve">I&amp;E, </w:t>
      </w:r>
      <w:r w:rsidR="00D35611" w:rsidRPr="00F56D54">
        <w:rPr>
          <w:color w:val="000000"/>
          <w:sz w:val="26"/>
          <w:szCs w:val="26"/>
        </w:rPr>
        <w:t xml:space="preserve">while </w:t>
      </w:r>
      <w:r w:rsidRPr="00F56D54">
        <w:rPr>
          <w:color w:val="000000"/>
          <w:sz w:val="26"/>
          <w:szCs w:val="26"/>
        </w:rPr>
        <w:t>noting that the Code does not permit a public utility to establish or maintain unreasonable differences in rates among rate classes</w:t>
      </w:r>
      <w:r w:rsidR="00D35611" w:rsidRPr="00F56D54">
        <w:rPr>
          <w:color w:val="000000"/>
          <w:sz w:val="26"/>
          <w:szCs w:val="26"/>
        </w:rPr>
        <w:t>, asserted that the revenue allocation set forth in the Rate Design Settlement not only reflects a compromise of the Rate Design Petitioners, but also produces an allocation that moves each class closer to its actual cost of service</w:t>
      </w:r>
      <w:r w:rsidR="00B4770B" w:rsidRPr="00F56D54">
        <w:rPr>
          <w:color w:val="000000"/>
          <w:sz w:val="26"/>
          <w:szCs w:val="26"/>
        </w:rPr>
        <w:t>.</w:t>
      </w:r>
      <w:r w:rsidR="00F56D54" w:rsidRPr="00F56D54">
        <w:rPr>
          <w:color w:val="000000"/>
          <w:sz w:val="26"/>
          <w:szCs w:val="26"/>
        </w:rPr>
        <w:t xml:space="preserve">  </w:t>
      </w:r>
      <w:r w:rsidR="002074F8" w:rsidRPr="00F56D54">
        <w:rPr>
          <w:color w:val="000000"/>
          <w:sz w:val="26"/>
          <w:szCs w:val="26"/>
        </w:rPr>
        <w:t xml:space="preserve">I&amp;E </w:t>
      </w:r>
      <w:r w:rsidR="00C2205D" w:rsidRPr="00F56D54">
        <w:rPr>
          <w:color w:val="000000"/>
          <w:sz w:val="26"/>
          <w:szCs w:val="26"/>
        </w:rPr>
        <w:t xml:space="preserve">maintained </w:t>
      </w:r>
      <w:r w:rsidR="002074F8" w:rsidRPr="00F56D54">
        <w:rPr>
          <w:color w:val="000000"/>
          <w:sz w:val="26"/>
          <w:szCs w:val="26"/>
        </w:rPr>
        <w:t xml:space="preserve">that </w:t>
      </w:r>
      <w:r w:rsidRPr="00F56D54">
        <w:rPr>
          <w:color w:val="000000"/>
          <w:sz w:val="26"/>
          <w:szCs w:val="26"/>
        </w:rPr>
        <w:t>th</w:t>
      </w:r>
      <w:r w:rsidR="002074F8" w:rsidRPr="00F56D54">
        <w:rPr>
          <w:color w:val="000000"/>
          <w:sz w:val="26"/>
          <w:szCs w:val="26"/>
        </w:rPr>
        <w:t>e</w:t>
      </w:r>
      <w:r w:rsidRPr="00F56D54">
        <w:rPr>
          <w:color w:val="000000"/>
          <w:sz w:val="26"/>
          <w:szCs w:val="26"/>
        </w:rPr>
        <w:t xml:space="preserve"> revenue allocation </w:t>
      </w:r>
      <w:r w:rsidR="00C2205D" w:rsidRPr="00F56D54">
        <w:rPr>
          <w:color w:val="000000"/>
          <w:sz w:val="26"/>
          <w:szCs w:val="26"/>
        </w:rPr>
        <w:t xml:space="preserve">under the Rate Design Settlement </w:t>
      </w:r>
      <w:r w:rsidRPr="00F56D54">
        <w:rPr>
          <w:color w:val="000000"/>
          <w:sz w:val="26"/>
          <w:szCs w:val="26"/>
        </w:rPr>
        <w:t>is in the public interest because it is designed to limit customer class subsidies, and to place costs upon the classes responsible for causing those costs.</w:t>
      </w:r>
      <w:r w:rsidR="00822AAE" w:rsidRPr="00F56D54">
        <w:rPr>
          <w:color w:val="000000"/>
          <w:sz w:val="26"/>
          <w:szCs w:val="26"/>
        </w:rPr>
        <w:t xml:space="preserve">  </w:t>
      </w:r>
      <w:r w:rsidR="00064E95" w:rsidRPr="00C43CFD">
        <w:rPr>
          <w:i/>
          <w:iCs/>
          <w:color w:val="000000"/>
          <w:sz w:val="26"/>
          <w:szCs w:val="26"/>
        </w:rPr>
        <w:t>See</w:t>
      </w:r>
      <w:r w:rsidR="00064E95">
        <w:rPr>
          <w:color w:val="000000"/>
          <w:sz w:val="26"/>
          <w:szCs w:val="26"/>
        </w:rPr>
        <w:t xml:space="preserve">, </w:t>
      </w:r>
      <w:r w:rsidR="00A822DE" w:rsidRPr="00D04914">
        <w:rPr>
          <w:sz w:val="26"/>
          <w:szCs w:val="26"/>
        </w:rPr>
        <w:t>I&amp;E Statement in Support at 1-7</w:t>
      </w:r>
      <w:r w:rsidR="00493817">
        <w:rPr>
          <w:sz w:val="26"/>
          <w:szCs w:val="26"/>
        </w:rPr>
        <w:t>;</w:t>
      </w:r>
      <w:r w:rsidR="00A822DE" w:rsidRPr="00D04914">
        <w:rPr>
          <w:sz w:val="26"/>
          <w:szCs w:val="26"/>
        </w:rPr>
        <w:t xml:space="preserve"> OCA Statement in Support at 1-4.</w:t>
      </w:r>
      <w:r w:rsidR="00A822DE" w:rsidRPr="00D04914">
        <w:rPr>
          <w:rFonts w:eastAsia="Calibri"/>
          <w:sz w:val="26"/>
          <w:szCs w:val="26"/>
        </w:rPr>
        <w:t xml:space="preserve"> </w:t>
      </w:r>
    </w:p>
    <w:p w14:paraId="2594BC61" w14:textId="77777777" w:rsidR="00DE0738" w:rsidRPr="00F56D54" w:rsidRDefault="00DE0738" w:rsidP="00F03E4E">
      <w:pPr>
        <w:pStyle w:val="ListParagraph"/>
        <w:widowControl/>
        <w:spacing w:line="360" w:lineRule="auto"/>
        <w:ind w:left="1440"/>
        <w:rPr>
          <w:sz w:val="26"/>
          <w:szCs w:val="26"/>
        </w:rPr>
      </w:pPr>
    </w:p>
    <w:p w14:paraId="69E006F2" w14:textId="531D1546" w:rsidR="00777B5C" w:rsidRPr="00F56D54" w:rsidRDefault="00205A4E" w:rsidP="00F03E4E">
      <w:pPr>
        <w:pStyle w:val="ListParagraph"/>
        <w:widowControl/>
        <w:numPr>
          <w:ilvl w:val="1"/>
          <w:numId w:val="1"/>
        </w:numPr>
        <w:spacing w:line="360" w:lineRule="auto"/>
        <w:ind w:left="2160" w:hanging="720"/>
        <w:rPr>
          <w:b/>
          <w:bCs/>
          <w:sz w:val="26"/>
          <w:szCs w:val="26"/>
        </w:rPr>
      </w:pPr>
      <w:r w:rsidRPr="00F56D54">
        <w:rPr>
          <w:b/>
          <w:bCs/>
          <w:sz w:val="26"/>
          <w:szCs w:val="26"/>
        </w:rPr>
        <w:t xml:space="preserve">Statements in Opposition to the Rate Design </w:t>
      </w:r>
      <w:r w:rsidR="00777B5C" w:rsidRPr="00F56D54">
        <w:rPr>
          <w:b/>
          <w:bCs/>
          <w:sz w:val="26"/>
          <w:szCs w:val="26"/>
        </w:rPr>
        <w:t>Settlement</w:t>
      </w:r>
      <w:r w:rsidRPr="00F56D54">
        <w:rPr>
          <w:b/>
          <w:bCs/>
          <w:sz w:val="26"/>
          <w:szCs w:val="26"/>
        </w:rPr>
        <w:t xml:space="preserve"> </w:t>
      </w:r>
    </w:p>
    <w:p w14:paraId="0B7302F7" w14:textId="564C7CDD" w:rsidR="00DE0738" w:rsidRPr="00F56D54" w:rsidRDefault="00DE0738" w:rsidP="00F03E4E">
      <w:pPr>
        <w:pStyle w:val="ListParagraph"/>
        <w:widowControl/>
        <w:spacing w:line="360" w:lineRule="auto"/>
        <w:ind w:left="144"/>
        <w:contextualSpacing w:val="0"/>
        <w:rPr>
          <w:sz w:val="26"/>
          <w:szCs w:val="26"/>
        </w:rPr>
      </w:pPr>
    </w:p>
    <w:p w14:paraId="0BB80B18" w14:textId="7C493CF5" w:rsidR="008F4487" w:rsidRPr="00F56D54" w:rsidRDefault="008F4487" w:rsidP="00F03E4E">
      <w:pPr>
        <w:keepNext/>
        <w:widowControl/>
        <w:spacing w:line="360" w:lineRule="auto"/>
        <w:ind w:left="144" w:firstLine="1440"/>
        <w:rPr>
          <w:sz w:val="26"/>
          <w:szCs w:val="26"/>
        </w:rPr>
      </w:pPr>
      <w:r w:rsidRPr="00F56D54">
        <w:rPr>
          <w:sz w:val="26"/>
          <w:szCs w:val="26"/>
        </w:rPr>
        <w:t xml:space="preserve">As noted, </w:t>
      </w:r>
      <w:r w:rsidRPr="00F56D54">
        <w:rPr>
          <w:i/>
          <w:iCs/>
          <w:sz w:val="26"/>
          <w:szCs w:val="26"/>
        </w:rPr>
        <w:t>supra.</w:t>
      </w:r>
      <w:r w:rsidRPr="00F56D54">
        <w:rPr>
          <w:sz w:val="26"/>
          <w:szCs w:val="26"/>
        </w:rPr>
        <w:t>, nonactive party ratepayer-complainants filed comments in general opposition to any rate increase.</w:t>
      </w:r>
    </w:p>
    <w:p w14:paraId="2D27ABB7" w14:textId="77777777" w:rsidR="008F30C4" w:rsidRPr="00F56D54" w:rsidRDefault="008F30C4" w:rsidP="00F03E4E">
      <w:pPr>
        <w:widowControl/>
        <w:spacing w:line="360" w:lineRule="auto"/>
        <w:ind w:left="144" w:firstLine="1440"/>
        <w:rPr>
          <w:color w:val="000000"/>
          <w:sz w:val="26"/>
          <w:szCs w:val="26"/>
        </w:rPr>
      </w:pPr>
    </w:p>
    <w:p w14:paraId="782EC0A1" w14:textId="6914C32A" w:rsidR="00D10BE7" w:rsidRPr="00F56D54" w:rsidRDefault="00017D4E" w:rsidP="00F03E4E">
      <w:pPr>
        <w:widowControl/>
        <w:spacing w:line="360" w:lineRule="auto"/>
        <w:ind w:left="144" w:firstLine="1440"/>
        <w:rPr>
          <w:color w:val="000000"/>
          <w:sz w:val="26"/>
          <w:szCs w:val="26"/>
        </w:rPr>
      </w:pPr>
      <w:r w:rsidRPr="00F56D54">
        <w:rPr>
          <w:color w:val="000000"/>
          <w:sz w:val="26"/>
          <w:szCs w:val="26"/>
        </w:rPr>
        <w:t xml:space="preserve">The </w:t>
      </w:r>
      <w:r w:rsidR="00D10BE7" w:rsidRPr="00F56D54">
        <w:rPr>
          <w:color w:val="000000"/>
          <w:sz w:val="26"/>
          <w:szCs w:val="26"/>
        </w:rPr>
        <w:t>OSBA oppose</w:t>
      </w:r>
      <w:r w:rsidR="00E3536A" w:rsidRPr="00F56D54">
        <w:rPr>
          <w:color w:val="000000"/>
          <w:sz w:val="26"/>
          <w:szCs w:val="26"/>
        </w:rPr>
        <w:t>d</w:t>
      </w:r>
      <w:r w:rsidR="00D10BE7" w:rsidRPr="00F56D54">
        <w:rPr>
          <w:color w:val="000000"/>
          <w:sz w:val="26"/>
          <w:szCs w:val="26"/>
        </w:rPr>
        <w:t xml:space="preserve"> the revenue allocation in the Rate Design Settlement</w:t>
      </w:r>
      <w:r w:rsidR="00E3536A" w:rsidRPr="00F56D54">
        <w:rPr>
          <w:color w:val="000000"/>
          <w:sz w:val="26"/>
          <w:szCs w:val="26"/>
        </w:rPr>
        <w:t xml:space="preserve">, </w:t>
      </w:r>
      <w:r w:rsidR="00DB14D4">
        <w:rPr>
          <w:color w:val="000000"/>
          <w:sz w:val="26"/>
          <w:szCs w:val="26"/>
        </w:rPr>
        <w:t>arguing that i</w:t>
      </w:r>
      <w:r w:rsidR="00E3536A" w:rsidRPr="00F56D54">
        <w:rPr>
          <w:color w:val="000000"/>
          <w:sz w:val="26"/>
          <w:szCs w:val="26"/>
        </w:rPr>
        <w:t xml:space="preserve">t </w:t>
      </w:r>
      <w:r w:rsidR="00DB14D4">
        <w:rPr>
          <w:color w:val="000000"/>
          <w:sz w:val="26"/>
          <w:szCs w:val="26"/>
        </w:rPr>
        <w:t xml:space="preserve">improperly </w:t>
      </w:r>
      <w:r w:rsidR="00E3536A" w:rsidRPr="00F56D54">
        <w:rPr>
          <w:color w:val="000000"/>
          <w:sz w:val="26"/>
          <w:szCs w:val="26"/>
        </w:rPr>
        <w:t xml:space="preserve">increases the allocation to the OSBA’s constituent </w:t>
      </w:r>
      <w:r w:rsidR="00DB14D4">
        <w:rPr>
          <w:color w:val="000000"/>
          <w:sz w:val="26"/>
          <w:szCs w:val="26"/>
        </w:rPr>
        <w:t xml:space="preserve">small business </w:t>
      </w:r>
      <w:r w:rsidR="00E3536A" w:rsidRPr="00F56D54">
        <w:rPr>
          <w:color w:val="000000"/>
          <w:sz w:val="26"/>
          <w:szCs w:val="26"/>
        </w:rPr>
        <w:t>class</w:t>
      </w:r>
      <w:r w:rsidR="00D10BE7" w:rsidRPr="00F56D54">
        <w:rPr>
          <w:color w:val="000000"/>
          <w:sz w:val="26"/>
          <w:szCs w:val="26"/>
        </w:rPr>
        <w:t xml:space="preserve">.  </w:t>
      </w:r>
      <w:r w:rsidR="00E3536A" w:rsidRPr="00F56D54">
        <w:rPr>
          <w:color w:val="000000"/>
          <w:sz w:val="26"/>
          <w:szCs w:val="26"/>
        </w:rPr>
        <w:t xml:space="preserve">The </w:t>
      </w:r>
      <w:r w:rsidR="00D10BE7" w:rsidRPr="00F56D54">
        <w:rPr>
          <w:color w:val="000000"/>
          <w:sz w:val="26"/>
          <w:szCs w:val="26"/>
        </w:rPr>
        <w:t>OSBA</w:t>
      </w:r>
      <w:r w:rsidR="00E3536A" w:rsidRPr="00F56D54">
        <w:rPr>
          <w:color w:val="000000"/>
          <w:sz w:val="26"/>
          <w:szCs w:val="26"/>
        </w:rPr>
        <w:t xml:space="preserve"> argued </w:t>
      </w:r>
      <w:r w:rsidR="00CC33EB" w:rsidRPr="00F56D54">
        <w:rPr>
          <w:color w:val="000000"/>
          <w:sz w:val="26"/>
          <w:szCs w:val="26"/>
        </w:rPr>
        <w:t xml:space="preserve">that </w:t>
      </w:r>
      <w:r w:rsidR="00D10BE7" w:rsidRPr="00F56D54">
        <w:rPr>
          <w:color w:val="000000"/>
          <w:sz w:val="26"/>
          <w:szCs w:val="26"/>
        </w:rPr>
        <w:t xml:space="preserve">the </w:t>
      </w:r>
      <w:r w:rsidR="00364070">
        <w:rPr>
          <w:color w:val="000000"/>
          <w:sz w:val="26"/>
          <w:szCs w:val="26"/>
        </w:rPr>
        <w:t>P</w:t>
      </w:r>
      <w:r w:rsidR="00E55F84">
        <w:rPr>
          <w:color w:val="000000"/>
          <w:sz w:val="26"/>
          <w:szCs w:val="26"/>
        </w:rPr>
        <w:t xml:space="preserve">arties </w:t>
      </w:r>
      <w:r w:rsidR="00467799">
        <w:rPr>
          <w:color w:val="000000"/>
          <w:sz w:val="26"/>
          <w:szCs w:val="26"/>
        </w:rPr>
        <w:t xml:space="preserve">to the </w:t>
      </w:r>
      <w:r w:rsidR="00AA392F">
        <w:rPr>
          <w:color w:val="000000"/>
          <w:sz w:val="26"/>
          <w:szCs w:val="26"/>
        </w:rPr>
        <w:t xml:space="preserve">Rate Design Settlement </w:t>
      </w:r>
      <w:r w:rsidR="00E55F84">
        <w:rPr>
          <w:color w:val="000000"/>
          <w:sz w:val="26"/>
          <w:szCs w:val="26"/>
        </w:rPr>
        <w:t xml:space="preserve">utilized </w:t>
      </w:r>
      <w:r w:rsidR="003D5F99">
        <w:rPr>
          <w:color w:val="000000"/>
          <w:sz w:val="26"/>
          <w:szCs w:val="26"/>
        </w:rPr>
        <w:t xml:space="preserve">a </w:t>
      </w:r>
      <w:r w:rsidR="008D0A46">
        <w:rPr>
          <w:color w:val="000000"/>
          <w:sz w:val="26"/>
          <w:szCs w:val="26"/>
        </w:rPr>
        <w:t>COSS</w:t>
      </w:r>
      <w:r w:rsidR="00D10BE7" w:rsidRPr="00F56D54">
        <w:rPr>
          <w:color w:val="000000"/>
          <w:sz w:val="26"/>
          <w:szCs w:val="26"/>
        </w:rPr>
        <w:t xml:space="preserve"> premised upon studies which included “obvious technical errors</w:t>
      </w:r>
      <w:r w:rsidR="00416CE1">
        <w:rPr>
          <w:color w:val="000000"/>
          <w:sz w:val="26"/>
          <w:szCs w:val="26"/>
        </w:rPr>
        <w:t>,</w:t>
      </w:r>
      <w:r w:rsidR="00D10BE7" w:rsidRPr="00F56D54">
        <w:rPr>
          <w:color w:val="000000"/>
          <w:sz w:val="26"/>
          <w:szCs w:val="26"/>
        </w:rPr>
        <w:t>”</w:t>
      </w:r>
      <w:r w:rsidR="00416CE1">
        <w:rPr>
          <w:color w:val="000000"/>
          <w:sz w:val="26"/>
          <w:szCs w:val="26"/>
        </w:rPr>
        <w:t xml:space="preserve"> and maintained that a COSS proposed by the OSBA</w:t>
      </w:r>
      <w:r w:rsidR="00431789">
        <w:rPr>
          <w:color w:val="000000"/>
          <w:sz w:val="26"/>
          <w:szCs w:val="26"/>
        </w:rPr>
        <w:t xml:space="preserve"> should be utilized to determine the proper revenue allocation.</w:t>
      </w:r>
      <w:r w:rsidR="00F56D54" w:rsidRPr="00F56D54">
        <w:rPr>
          <w:color w:val="000000"/>
          <w:sz w:val="26"/>
          <w:szCs w:val="26"/>
        </w:rPr>
        <w:t xml:space="preserve">  </w:t>
      </w:r>
      <w:r w:rsidR="00D10BE7" w:rsidRPr="00F56D54">
        <w:rPr>
          <w:color w:val="000000"/>
          <w:sz w:val="26"/>
          <w:szCs w:val="26"/>
        </w:rPr>
        <w:t xml:space="preserve">Specifically, </w:t>
      </w:r>
      <w:r w:rsidR="000E2E47" w:rsidRPr="00F56D54">
        <w:rPr>
          <w:color w:val="000000"/>
          <w:sz w:val="26"/>
          <w:szCs w:val="26"/>
        </w:rPr>
        <w:t xml:space="preserve">the OSBA asserted that </w:t>
      </w:r>
      <w:r w:rsidR="00D10BE7" w:rsidRPr="00F56D54">
        <w:rPr>
          <w:color w:val="000000"/>
          <w:sz w:val="26"/>
          <w:szCs w:val="26"/>
        </w:rPr>
        <w:t xml:space="preserve">the other COSSs were not appropriately grounded in cost causation, which is the “polestar” criterion </w:t>
      </w:r>
      <w:r w:rsidR="00D10BE7" w:rsidRPr="00A75051">
        <w:rPr>
          <w:color w:val="000000"/>
          <w:sz w:val="26"/>
          <w:szCs w:val="26"/>
        </w:rPr>
        <w:t>for revenue allocation</w:t>
      </w:r>
      <w:r w:rsidR="003932DA" w:rsidRPr="00A75051">
        <w:rPr>
          <w:color w:val="000000"/>
          <w:sz w:val="26"/>
          <w:szCs w:val="26"/>
        </w:rPr>
        <w:t xml:space="preserve">, per </w:t>
      </w:r>
      <w:r w:rsidR="00EC1C77" w:rsidRPr="00A75051">
        <w:rPr>
          <w:i/>
          <w:iCs/>
          <w:color w:val="000000"/>
          <w:sz w:val="26"/>
          <w:szCs w:val="26"/>
        </w:rPr>
        <w:t>Llo</w:t>
      </w:r>
      <w:r w:rsidR="00DE17F0" w:rsidRPr="00A75051">
        <w:rPr>
          <w:i/>
          <w:iCs/>
          <w:color w:val="000000"/>
          <w:sz w:val="26"/>
          <w:szCs w:val="26"/>
        </w:rPr>
        <w:t>y</w:t>
      </w:r>
      <w:r w:rsidR="00EC1C77" w:rsidRPr="00A75051">
        <w:rPr>
          <w:i/>
          <w:iCs/>
          <w:color w:val="000000"/>
          <w:sz w:val="26"/>
          <w:szCs w:val="26"/>
        </w:rPr>
        <w:t>d</w:t>
      </w:r>
      <w:r w:rsidR="0089161C" w:rsidRPr="00A75051">
        <w:rPr>
          <w:i/>
          <w:iCs/>
          <w:color w:val="000000"/>
          <w:sz w:val="26"/>
          <w:szCs w:val="26"/>
        </w:rPr>
        <w:t xml:space="preserve"> v. Pa. PUC</w:t>
      </w:r>
      <w:r w:rsidR="0008051F" w:rsidRPr="00A75051">
        <w:rPr>
          <w:color w:val="000000"/>
          <w:sz w:val="26"/>
          <w:szCs w:val="26"/>
        </w:rPr>
        <w:t>, 904 A.2d</w:t>
      </w:r>
      <w:r w:rsidR="00470823" w:rsidRPr="00A75051">
        <w:rPr>
          <w:color w:val="000000"/>
          <w:sz w:val="26"/>
          <w:szCs w:val="26"/>
        </w:rPr>
        <w:t xml:space="preserve"> 1010, 1020 (Pa. Cmwlth. 2006)</w:t>
      </w:r>
      <w:r w:rsidR="00EC1C77" w:rsidRPr="00A75051">
        <w:rPr>
          <w:color w:val="000000"/>
          <w:sz w:val="26"/>
          <w:szCs w:val="26"/>
        </w:rPr>
        <w:t xml:space="preserve">.  </w:t>
      </w:r>
      <w:r w:rsidR="00D10BE7" w:rsidRPr="00A75051">
        <w:rPr>
          <w:color w:val="000000"/>
          <w:sz w:val="26"/>
          <w:szCs w:val="26"/>
        </w:rPr>
        <w:lastRenderedPageBreak/>
        <w:t xml:space="preserve">Accordingly, </w:t>
      </w:r>
      <w:r w:rsidR="0089278B" w:rsidRPr="00A75051">
        <w:rPr>
          <w:color w:val="000000"/>
          <w:sz w:val="26"/>
          <w:szCs w:val="26"/>
        </w:rPr>
        <w:t xml:space="preserve">the </w:t>
      </w:r>
      <w:r w:rsidR="00D10BE7" w:rsidRPr="00A75051">
        <w:rPr>
          <w:color w:val="000000"/>
          <w:sz w:val="26"/>
          <w:szCs w:val="26"/>
        </w:rPr>
        <w:t>OSBA argue</w:t>
      </w:r>
      <w:r w:rsidR="00EC1C77" w:rsidRPr="00A75051">
        <w:rPr>
          <w:color w:val="000000"/>
          <w:sz w:val="26"/>
          <w:szCs w:val="26"/>
        </w:rPr>
        <w:t>d</w:t>
      </w:r>
      <w:r w:rsidR="00D10BE7" w:rsidRPr="00A75051">
        <w:rPr>
          <w:color w:val="000000"/>
          <w:sz w:val="26"/>
          <w:szCs w:val="26"/>
        </w:rPr>
        <w:t xml:space="preserve"> that the revenue allocation</w:t>
      </w:r>
      <w:r w:rsidR="00FD4570" w:rsidRPr="00A75051">
        <w:rPr>
          <w:color w:val="000000"/>
          <w:sz w:val="26"/>
          <w:szCs w:val="26"/>
        </w:rPr>
        <w:t xml:space="preserve"> reached </w:t>
      </w:r>
      <w:r w:rsidR="00FD4570" w:rsidRPr="00A75051">
        <w:rPr>
          <w:i/>
          <w:iCs/>
          <w:color w:val="000000"/>
          <w:sz w:val="26"/>
          <w:szCs w:val="26"/>
        </w:rPr>
        <w:t>via</w:t>
      </w:r>
      <w:r w:rsidR="00FD4570" w:rsidRPr="00A75051">
        <w:rPr>
          <w:color w:val="000000"/>
          <w:sz w:val="26"/>
          <w:szCs w:val="26"/>
        </w:rPr>
        <w:t xml:space="preserve"> compromise</w:t>
      </w:r>
      <w:r w:rsidR="00EC1C77" w:rsidRPr="00A75051">
        <w:rPr>
          <w:color w:val="000000"/>
          <w:sz w:val="26"/>
          <w:szCs w:val="26"/>
        </w:rPr>
        <w:t>,</w:t>
      </w:r>
      <w:r w:rsidR="00EC1C77" w:rsidRPr="00F56D54">
        <w:rPr>
          <w:color w:val="000000"/>
          <w:sz w:val="26"/>
          <w:szCs w:val="26"/>
        </w:rPr>
        <w:t xml:space="preserve"> </w:t>
      </w:r>
      <w:r w:rsidR="004322F3">
        <w:rPr>
          <w:color w:val="000000"/>
          <w:sz w:val="26"/>
          <w:szCs w:val="26"/>
        </w:rPr>
        <w:t xml:space="preserve">in the context of </w:t>
      </w:r>
      <w:r w:rsidR="00465F5D" w:rsidRPr="00F56D54">
        <w:rPr>
          <w:color w:val="000000"/>
          <w:sz w:val="26"/>
          <w:szCs w:val="26"/>
        </w:rPr>
        <w:t>a negotiated settlement</w:t>
      </w:r>
      <w:r w:rsidR="00A85619">
        <w:rPr>
          <w:color w:val="000000"/>
          <w:sz w:val="26"/>
          <w:szCs w:val="26"/>
        </w:rPr>
        <w:t>, which falls</w:t>
      </w:r>
      <w:r w:rsidR="00465F5D" w:rsidRPr="00F56D54">
        <w:rPr>
          <w:color w:val="000000"/>
          <w:sz w:val="26"/>
          <w:szCs w:val="26"/>
        </w:rPr>
        <w:t xml:space="preserve"> within </w:t>
      </w:r>
      <w:r w:rsidR="009B61D3" w:rsidRPr="00F56D54">
        <w:rPr>
          <w:color w:val="000000"/>
          <w:sz w:val="26"/>
          <w:szCs w:val="26"/>
        </w:rPr>
        <w:t>t</w:t>
      </w:r>
      <w:r w:rsidR="00465F5D" w:rsidRPr="00F56D54">
        <w:rPr>
          <w:color w:val="000000"/>
          <w:sz w:val="26"/>
          <w:szCs w:val="26"/>
        </w:rPr>
        <w:t xml:space="preserve">he range of possible </w:t>
      </w:r>
      <w:r w:rsidRPr="00F56D54">
        <w:rPr>
          <w:color w:val="000000"/>
          <w:sz w:val="26"/>
          <w:szCs w:val="26"/>
        </w:rPr>
        <w:t xml:space="preserve">revenue allocations </w:t>
      </w:r>
      <w:r w:rsidR="00780B93">
        <w:rPr>
          <w:color w:val="000000"/>
          <w:sz w:val="26"/>
          <w:szCs w:val="26"/>
        </w:rPr>
        <w:t>argued by th</w:t>
      </w:r>
      <w:r w:rsidRPr="00F56D54">
        <w:rPr>
          <w:color w:val="000000"/>
          <w:sz w:val="26"/>
          <w:szCs w:val="26"/>
        </w:rPr>
        <w:t xml:space="preserve">e </w:t>
      </w:r>
      <w:r w:rsidR="00EF1FF0">
        <w:rPr>
          <w:color w:val="000000"/>
          <w:sz w:val="26"/>
          <w:szCs w:val="26"/>
        </w:rPr>
        <w:t>P</w:t>
      </w:r>
      <w:r w:rsidRPr="00F56D54">
        <w:rPr>
          <w:color w:val="000000"/>
          <w:sz w:val="26"/>
          <w:szCs w:val="26"/>
        </w:rPr>
        <w:t>arties</w:t>
      </w:r>
      <w:r w:rsidR="00A5304B">
        <w:rPr>
          <w:color w:val="000000"/>
          <w:sz w:val="26"/>
          <w:szCs w:val="26"/>
        </w:rPr>
        <w:t>’ respective experts</w:t>
      </w:r>
      <w:r w:rsidRPr="00F56D54">
        <w:rPr>
          <w:color w:val="000000"/>
          <w:sz w:val="26"/>
          <w:szCs w:val="26"/>
        </w:rPr>
        <w:t xml:space="preserve">, </w:t>
      </w:r>
      <w:r w:rsidR="00780B93">
        <w:rPr>
          <w:color w:val="000000"/>
          <w:sz w:val="26"/>
          <w:szCs w:val="26"/>
        </w:rPr>
        <w:t xml:space="preserve">is not </w:t>
      </w:r>
      <w:r w:rsidR="00D10BE7" w:rsidRPr="00F56D54">
        <w:rPr>
          <w:color w:val="000000"/>
          <w:sz w:val="26"/>
          <w:szCs w:val="26"/>
        </w:rPr>
        <w:t>supported by any evidence in the record.</w:t>
      </w:r>
      <w:r w:rsidR="00AB7A85">
        <w:rPr>
          <w:color w:val="000000"/>
          <w:sz w:val="26"/>
          <w:szCs w:val="26"/>
        </w:rPr>
        <w:t xml:space="preserve">  </w:t>
      </w:r>
      <w:r w:rsidR="00AB7A85" w:rsidRPr="00BF7F2C">
        <w:rPr>
          <w:color w:val="000000"/>
          <w:sz w:val="26"/>
          <w:szCs w:val="26"/>
        </w:rPr>
        <w:t xml:space="preserve">OSBA </w:t>
      </w:r>
      <w:r w:rsidR="00BF7F2C" w:rsidRPr="00BF7F2C">
        <w:rPr>
          <w:color w:val="000000"/>
          <w:sz w:val="26"/>
          <w:szCs w:val="26"/>
        </w:rPr>
        <w:t xml:space="preserve">Comments </w:t>
      </w:r>
      <w:r w:rsidR="00AB7A85" w:rsidRPr="00BF7F2C">
        <w:rPr>
          <w:color w:val="000000"/>
          <w:sz w:val="26"/>
          <w:szCs w:val="26"/>
        </w:rPr>
        <w:t xml:space="preserve">in Opposition </w:t>
      </w:r>
      <w:r w:rsidR="00F92836" w:rsidRPr="00BF7F2C">
        <w:rPr>
          <w:color w:val="000000"/>
          <w:sz w:val="26"/>
          <w:szCs w:val="26"/>
        </w:rPr>
        <w:t>at</w:t>
      </w:r>
      <w:r w:rsidR="00BF7F2C" w:rsidRPr="00BF7F2C">
        <w:rPr>
          <w:color w:val="000000"/>
          <w:sz w:val="26"/>
          <w:szCs w:val="26"/>
        </w:rPr>
        <w:t xml:space="preserve"> 1-10</w:t>
      </w:r>
      <w:r w:rsidR="00F92836" w:rsidRPr="00BF7F2C">
        <w:rPr>
          <w:color w:val="000000"/>
          <w:sz w:val="26"/>
          <w:szCs w:val="26"/>
        </w:rPr>
        <w:t>.</w:t>
      </w:r>
      <w:r w:rsidR="00F92836">
        <w:rPr>
          <w:color w:val="000000"/>
          <w:sz w:val="26"/>
          <w:szCs w:val="26"/>
        </w:rPr>
        <w:t xml:space="preserve"> </w:t>
      </w:r>
      <w:r w:rsidR="00D10BE7" w:rsidRPr="00F56D54">
        <w:rPr>
          <w:color w:val="000000"/>
          <w:sz w:val="26"/>
          <w:szCs w:val="26"/>
        </w:rPr>
        <w:t xml:space="preserve"> </w:t>
      </w:r>
    </w:p>
    <w:p w14:paraId="7A0A4CBC" w14:textId="77777777" w:rsidR="00D10BE7" w:rsidRPr="00F56D54" w:rsidRDefault="00D10BE7" w:rsidP="00F56D54">
      <w:pPr>
        <w:widowControl/>
        <w:spacing w:line="360" w:lineRule="auto"/>
        <w:ind w:firstLine="1440"/>
        <w:rPr>
          <w:sz w:val="26"/>
          <w:szCs w:val="26"/>
        </w:rPr>
      </w:pPr>
    </w:p>
    <w:p w14:paraId="74FC63D6" w14:textId="1D87D264" w:rsidR="008E4A8D" w:rsidRPr="00F56D54" w:rsidRDefault="006215E4" w:rsidP="00F56D54">
      <w:pPr>
        <w:keepNext/>
        <w:widowControl/>
        <w:spacing w:line="360" w:lineRule="auto"/>
        <w:rPr>
          <w:b/>
          <w:bCs/>
          <w:sz w:val="26"/>
          <w:szCs w:val="26"/>
        </w:rPr>
      </w:pPr>
      <w:r w:rsidRPr="00F56D54">
        <w:rPr>
          <w:sz w:val="26"/>
          <w:szCs w:val="26"/>
        </w:rPr>
        <w:tab/>
      </w:r>
      <w:r w:rsidRPr="00F56D54">
        <w:rPr>
          <w:b/>
          <w:bCs/>
          <w:sz w:val="26"/>
          <w:szCs w:val="26"/>
        </w:rPr>
        <w:t xml:space="preserve">3. </w:t>
      </w:r>
      <w:r w:rsidR="00F56D54" w:rsidRPr="00F56D54">
        <w:rPr>
          <w:b/>
          <w:bCs/>
          <w:sz w:val="26"/>
          <w:szCs w:val="26"/>
        </w:rPr>
        <w:tab/>
      </w:r>
      <w:r w:rsidRPr="00F56D54">
        <w:rPr>
          <w:b/>
          <w:bCs/>
          <w:sz w:val="26"/>
          <w:szCs w:val="26"/>
        </w:rPr>
        <w:t>ALJ’s Recommended Decision</w:t>
      </w:r>
    </w:p>
    <w:p w14:paraId="4748283F" w14:textId="363CCB62" w:rsidR="005941AF" w:rsidRPr="00F56D54" w:rsidRDefault="005941AF" w:rsidP="00F56D54">
      <w:pPr>
        <w:keepNext/>
        <w:widowControl/>
        <w:spacing w:line="360" w:lineRule="auto"/>
        <w:rPr>
          <w:b/>
          <w:bCs/>
          <w:sz w:val="26"/>
          <w:szCs w:val="26"/>
        </w:rPr>
      </w:pPr>
    </w:p>
    <w:p w14:paraId="76FAC9A0" w14:textId="7FA260C0" w:rsidR="005941AF" w:rsidRPr="00F56D54" w:rsidRDefault="002A2F6E" w:rsidP="00F56D54">
      <w:pPr>
        <w:keepNext/>
        <w:widowControl/>
        <w:spacing w:line="360" w:lineRule="auto"/>
        <w:ind w:firstLine="1440"/>
        <w:rPr>
          <w:rFonts w:eastAsiaTheme="minorHAnsi"/>
          <w:bCs/>
          <w:sz w:val="26"/>
          <w:szCs w:val="26"/>
        </w:rPr>
      </w:pPr>
      <w:r w:rsidRPr="00F56D54">
        <w:rPr>
          <w:rFonts w:eastAsiaTheme="minorHAnsi"/>
          <w:bCs/>
          <w:sz w:val="26"/>
          <w:szCs w:val="26"/>
        </w:rPr>
        <w:t>I</w:t>
      </w:r>
      <w:r w:rsidR="001419CD" w:rsidRPr="00F56D54">
        <w:rPr>
          <w:rFonts w:eastAsiaTheme="minorHAnsi"/>
          <w:bCs/>
          <w:sz w:val="26"/>
          <w:szCs w:val="26"/>
        </w:rPr>
        <w:t xml:space="preserve">n the Recommended Decision, </w:t>
      </w:r>
      <w:r w:rsidR="005C037C" w:rsidRPr="00F56D54">
        <w:rPr>
          <w:rFonts w:eastAsiaTheme="minorHAnsi"/>
          <w:bCs/>
          <w:sz w:val="26"/>
          <w:szCs w:val="26"/>
        </w:rPr>
        <w:t>the ALJ noted that</w:t>
      </w:r>
      <w:r w:rsidR="00FA36E1" w:rsidRPr="00F56D54">
        <w:rPr>
          <w:rFonts w:eastAsiaTheme="minorHAnsi"/>
          <w:bCs/>
          <w:sz w:val="26"/>
          <w:szCs w:val="26"/>
        </w:rPr>
        <w:t>,</w:t>
      </w:r>
      <w:r w:rsidR="005C037C" w:rsidRPr="00F56D54">
        <w:rPr>
          <w:rFonts w:eastAsiaTheme="minorHAnsi"/>
          <w:bCs/>
          <w:sz w:val="26"/>
          <w:szCs w:val="26"/>
        </w:rPr>
        <w:t xml:space="preserve"> while the Active Parties did reach </w:t>
      </w:r>
      <w:r w:rsidR="00F25430">
        <w:rPr>
          <w:rFonts w:eastAsiaTheme="minorHAnsi"/>
          <w:bCs/>
          <w:sz w:val="26"/>
          <w:szCs w:val="26"/>
        </w:rPr>
        <w:t xml:space="preserve">an </w:t>
      </w:r>
      <w:r w:rsidR="005C037C" w:rsidRPr="00F56D54">
        <w:rPr>
          <w:rFonts w:eastAsiaTheme="minorHAnsi"/>
          <w:bCs/>
          <w:sz w:val="26"/>
          <w:szCs w:val="26"/>
        </w:rPr>
        <w:t xml:space="preserve">unanimous agreement regarding customer charges under the Revenue Settlement, the Active Parties did not reach </w:t>
      </w:r>
      <w:r w:rsidR="00F25430">
        <w:rPr>
          <w:rFonts w:eastAsiaTheme="minorHAnsi"/>
          <w:bCs/>
          <w:sz w:val="26"/>
          <w:szCs w:val="26"/>
        </w:rPr>
        <w:t xml:space="preserve">an </w:t>
      </w:r>
      <w:r w:rsidR="005C037C" w:rsidRPr="00F56D54">
        <w:rPr>
          <w:rFonts w:eastAsiaTheme="minorHAnsi"/>
          <w:bCs/>
          <w:sz w:val="26"/>
          <w:szCs w:val="26"/>
        </w:rPr>
        <w:t xml:space="preserve">unanimous agreement on the allocation of the revenue increase among PCLPC’s customer </w:t>
      </w:r>
      <w:r w:rsidR="001419CD" w:rsidRPr="00F56D54">
        <w:rPr>
          <w:rFonts w:eastAsiaTheme="minorHAnsi"/>
          <w:bCs/>
          <w:sz w:val="26"/>
          <w:szCs w:val="26"/>
        </w:rPr>
        <w:t>classes</w:t>
      </w:r>
      <w:r w:rsidR="00372131" w:rsidRPr="00F56D54">
        <w:rPr>
          <w:rFonts w:eastAsiaTheme="minorHAnsi"/>
          <w:bCs/>
          <w:sz w:val="26"/>
          <w:szCs w:val="26"/>
        </w:rPr>
        <w:t xml:space="preserve">, </w:t>
      </w:r>
      <w:r w:rsidR="00CA6CB1" w:rsidRPr="00F56D54">
        <w:rPr>
          <w:rFonts w:eastAsiaTheme="minorHAnsi"/>
          <w:bCs/>
          <w:sz w:val="26"/>
          <w:szCs w:val="26"/>
        </w:rPr>
        <w:t xml:space="preserve">where the </w:t>
      </w:r>
      <w:r w:rsidR="00372131" w:rsidRPr="00F56D54">
        <w:rPr>
          <w:rFonts w:eastAsiaTheme="minorHAnsi"/>
          <w:bCs/>
          <w:sz w:val="26"/>
          <w:szCs w:val="26"/>
        </w:rPr>
        <w:t xml:space="preserve">OSBA </w:t>
      </w:r>
      <w:r w:rsidR="00CA6CB1" w:rsidRPr="00F56D54">
        <w:rPr>
          <w:rFonts w:eastAsiaTheme="minorHAnsi"/>
          <w:bCs/>
          <w:sz w:val="26"/>
          <w:szCs w:val="26"/>
        </w:rPr>
        <w:t xml:space="preserve">disputed the allocation of the increase </w:t>
      </w:r>
      <w:r w:rsidR="009A081E">
        <w:rPr>
          <w:rFonts w:eastAsiaTheme="minorHAnsi"/>
          <w:bCs/>
          <w:sz w:val="26"/>
          <w:szCs w:val="26"/>
        </w:rPr>
        <w:t>to</w:t>
      </w:r>
      <w:r w:rsidR="00CA6CB1" w:rsidRPr="00F56D54">
        <w:rPr>
          <w:rFonts w:eastAsiaTheme="minorHAnsi"/>
          <w:bCs/>
          <w:sz w:val="26"/>
          <w:szCs w:val="26"/>
        </w:rPr>
        <w:t xml:space="preserve"> its constituent small business class.  </w:t>
      </w:r>
      <w:r w:rsidR="0066643F" w:rsidRPr="00F56D54">
        <w:rPr>
          <w:rFonts w:eastAsiaTheme="minorHAnsi"/>
          <w:bCs/>
          <w:sz w:val="26"/>
          <w:szCs w:val="26"/>
        </w:rPr>
        <w:t>Noting the OSBA’s objections, t</w:t>
      </w:r>
      <w:r w:rsidR="005941AF" w:rsidRPr="00F56D54">
        <w:rPr>
          <w:rFonts w:eastAsiaTheme="minorHAnsi"/>
          <w:sz w:val="26"/>
          <w:szCs w:val="26"/>
        </w:rPr>
        <w:t xml:space="preserve">he ALJ reviewed the evidence of record developed by </w:t>
      </w:r>
      <w:r w:rsidR="005941AF" w:rsidRPr="00A75051">
        <w:rPr>
          <w:rFonts w:eastAsiaTheme="minorHAnsi"/>
          <w:sz w:val="26"/>
          <w:szCs w:val="26"/>
        </w:rPr>
        <w:t xml:space="preserve">the </w:t>
      </w:r>
      <w:r w:rsidR="00C43CFD" w:rsidRPr="00A75051">
        <w:rPr>
          <w:rFonts w:eastAsiaTheme="minorHAnsi"/>
          <w:sz w:val="26"/>
          <w:szCs w:val="26"/>
        </w:rPr>
        <w:t xml:space="preserve">Active </w:t>
      </w:r>
      <w:r w:rsidR="005941AF" w:rsidRPr="00A75051">
        <w:rPr>
          <w:rFonts w:eastAsiaTheme="minorHAnsi"/>
          <w:sz w:val="26"/>
          <w:szCs w:val="26"/>
        </w:rPr>
        <w:t>Parties</w:t>
      </w:r>
      <w:r w:rsidR="005941AF" w:rsidRPr="00F56D54">
        <w:rPr>
          <w:rFonts w:eastAsiaTheme="minorHAnsi"/>
          <w:sz w:val="26"/>
          <w:szCs w:val="26"/>
        </w:rPr>
        <w:t>, and the rate</w:t>
      </w:r>
      <w:r w:rsidR="00D7368B" w:rsidRPr="00F56D54">
        <w:rPr>
          <w:rFonts w:eastAsiaTheme="minorHAnsi"/>
          <w:sz w:val="26"/>
          <w:szCs w:val="26"/>
        </w:rPr>
        <w:t xml:space="preserve"> structure and rate design</w:t>
      </w:r>
      <w:r w:rsidR="005941AF" w:rsidRPr="00F56D54">
        <w:rPr>
          <w:rFonts w:eastAsiaTheme="minorHAnsi"/>
          <w:sz w:val="26"/>
          <w:szCs w:val="26"/>
        </w:rPr>
        <w:t xml:space="preserve"> terms and conditions achieved under the proposed “black box” </w:t>
      </w:r>
      <w:r w:rsidR="00C54BAD">
        <w:rPr>
          <w:rFonts w:eastAsiaTheme="minorHAnsi"/>
          <w:sz w:val="26"/>
          <w:szCs w:val="26"/>
        </w:rPr>
        <w:t xml:space="preserve">Rate Design </w:t>
      </w:r>
      <w:r w:rsidR="005941AF" w:rsidRPr="00F56D54">
        <w:rPr>
          <w:rFonts w:eastAsiaTheme="minorHAnsi"/>
          <w:sz w:val="26"/>
          <w:szCs w:val="26"/>
        </w:rPr>
        <w:t xml:space="preserve">Settlement, albeit nonunanimous.  The ALJ concluded that, in these circumstances, the terms of the </w:t>
      </w:r>
      <w:r w:rsidR="00B83641">
        <w:rPr>
          <w:rFonts w:eastAsiaTheme="minorHAnsi"/>
          <w:sz w:val="26"/>
          <w:szCs w:val="26"/>
        </w:rPr>
        <w:t xml:space="preserve">Rate Design </w:t>
      </w:r>
      <w:r w:rsidR="005941AF" w:rsidRPr="00F56D54">
        <w:rPr>
          <w:rFonts w:eastAsiaTheme="minorHAnsi"/>
          <w:sz w:val="26"/>
          <w:szCs w:val="26"/>
        </w:rPr>
        <w:t xml:space="preserve">Settlement achieve a just and reasonable rate increase </w:t>
      </w:r>
      <w:r w:rsidR="00A95BC1" w:rsidRPr="00F56D54">
        <w:rPr>
          <w:rFonts w:eastAsiaTheme="minorHAnsi"/>
          <w:sz w:val="26"/>
          <w:szCs w:val="26"/>
        </w:rPr>
        <w:t xml:space="preserve">among </w:t>
      </w:r>
      <w:r w:rsidR="00011F39" w:rsidRPr="00F56D54">
        <w:rPr>
          <w:rFonts w:eastAsiaTheme="minorHAnsi"/>
          <w:sz w:val="26"/>
          <w:szCs w:val="26"/>
        </w:rPr>
        <w:t>PCLPC</w:t>
      </w:r>
      <w:r w:rsidR="00A95BC1" w:rsidRPr="00F56D54">
        <w:rPr>
          <w:rFonts w:eastAsiaTheme="minorHAnsi"/>
          <w:sz w:val="26"/>
          <w:szCs w:val="26"/>
        </w:rPr>
        <w:t>’s customer classes</w:t>
      </w:r>
      <w:r w:rsidR="00C6072E" w:rsidRPr="00F56D54">
        <w:rPr>
          <w:rFonts w:eastAsiaTheme="minorHAnsi"/>
          <w:sz w:val="26"/>
          <w:szCs w:val="26"/>
        </w:rPr>
        <w:t xml:space="preserve">, including the small business class, </w:t>
      </w:r>
      <w:r w:rsidR="005941AF" w:rsidRPr="00F56D54">
        <w:rPr>
          <w:rFonts w:eastAsiaTheme="minorHAnsi"/>
          <w:sz w:val="26"/>
          <w:szCs w:val="26"/>
        </w:rPr>
        <w:t xml:space="preserve">which was supported by substantial evidence of record and is in the public interest.  In reaching this conclusion, the ALJ applied the standards applicable to approving a settlement in rate proceedings.  </w:t>
      </w:r>
      <w:r w:rsidR="005941AF" w:rsidRPr="00F56D54">
        <w:rPr>
          <w:rFonts w:eastAsiaTheme="minorHAnsi"/>
          <w:bCs/>
          <w:sz w:val="26"/>
          <w:szCs w:val="26"/>
        </w:rPr>
        <w:t>R.D. at</w:t>
      </w:r>
      <w:r w:rsidR="00F56D54" w:rsidRPr="00F56D54">
        <w:rPr>
          <w:rFonts w:eastAsiaTheme="minorHAnsi"/>
          <w:bCs/>
          <w:sz w:val="26"/>
          <w:szCs w:val="26"/>
        </w:rPr>
        <w:t> </w:t>
      </w:r>
      <w:r w:rsidR="009913AE" w:rsidRPr="00F56D54">
        <w:rPr>
          <w:rFonts w:eastAsiaTheme="minorHAnsi"/>
          <w:bCs/>
          <w:sz w:val="26"/>
          <w:szCs w:val="26"/>
        </w:rPr>
        <w:t>41-42</w:t>
      </w:r>
      <w:r w:rsidR="005941AF" w:rsidRPr="00F56D54">
        <w:rPr>
          <w:rFonts w:eastAsiaTheme="minorHAnsi"/>
          <w:bCs/>
          <w:sz w:val="26"/>
          <w:szCs w:val="26"/>
        </w:rPr>
        <w:t xml:space="preserve">.  </w:t>
      </w:r>
    </w:p>
    <w:p w14:paraId="3895A405" w14:textId="5FC22B68" w:rsidR="00AF33F7" w:rsidRPr="00F56D54" w:rsidRDefault="00AF33F7" w:rsidP="00F56D54">
      <w:pPr>
        <w:keepNext/>
        <w:widowControl/>
        <w:spacing w:line="360" w:lineRule="auto"/>
        <w:ind w:firstLine="1440"/>
        <w:rPr>
          <w:rFonts w:eastAsiaTheme="minorHAnsi"/>
          <w:bCs/>
          <w:sz w:val="26"/>
          <w:szCs w:val="26"/>
        </w:rPr>
      </w:pPr>
    </w:p>
    <w:p w14:paraId="17E2C824" w14:textId="320354EE" w:rsidR="005423A0" w:rsidRPr="00F56D54" w:rsidRDefault="00117E06" w:rsidP="00F56D54">
      <w:pPr>
        <w:keepNext/>
        <w:widowControl/>
        <w:spacing w:line="360" w:lineRule="auto"/>
        <w:ind w:firstLine="1440"/>
        <w:rPr>
          <w:rFonts w:eastAsiaTheme="minorHAnsi"/>
          <w:bCs/>
          <w:sz w:val="26"/>
          <w:szCs w:val="26"/>
        </w:rPr>
      </w:pPr>
      <w:r w:rsidRPr="00F56D54">
        <w:rPr>
          <w:rFonts w:eastAsiaTheme="minorHAnsi"/>
          <w:bCs/>
          <w:sz w:val="26"/>
          <w:szCs w:val="26"/>
        </w:rPr>
        <w:t xml:space="preserve">The ALJ </w:t>
      </w:r>
      <w:r w:rsidR="00B5019F" w:rsidRPr="00F56D54">
        <w:rPr>
          <w:rFonts w:eastAsiaTheme="minorHAnsi"/>
          <w:bCs/>
          <w:sz w:val="26"/>
          <w:szCs w:val="26"/>
        </w:rPr>
        <w:t xml:space="preserve">was not persuaded by the </w:t>
      </w:r>
      <w:r w:rsidRPr="00F56D54">
        <w:rPr>
          <w:rFonts w:eastAsiaTheme="minorHAnsi"/>
          <w:bCs/>
          <w:sz w:val="26"/>
          <w:szCs w:val="26"/>
        </w:rPr>
        <w:t>OSBA’s position that</w:t>
      </w:r>
      <w:r w:rsidR="00E967AC" w:rsidRPr="00F56D54">
        <w:rPr>
          <w:rFonts w:eastAsiaTheme="minorHAnsi"/>
          <w:bCs/>
          <w:sz w:val="26"/>
          <w:szCs w:val="26"/>
        </w:rPr>
        <w:t xml:space="preserve"> the revenue </w:t>
      </w:r>
      <w:r w:rsidR="009913AE" w:rsidRPr="00F56D54">
        <w:rPr>
          <w:rFonts w:eastAsiaTheme="minorHAnsi"/>
          <w:bCs/>
          <w:sz w:val="26"/>
          <w:szCs w:val="26"/>
        </w:rPr>
        <w:t>allocation</w:t>
      </w:r>
      <w:r w:rsidR="00E967AC" w:rsidRPr="00F56D54">
        <w:rPr>
          <w:rFonts w:eastAsiaTheme="minorHAnsi"/>
          <w:bCs/>
          <w:sz w:val="26"/>
          <w:szCs w:val="26"/>
        </w:rPr>
        <w:t xml:space="preserve"> under the Rate Design Settlement should be rejected because it conflicted with the OSBA’s COSS</w:t>
      </w:r>
      <w:r w:rsidR="005423A0" w:rsidRPr="00F56D54">
        <w:rPr>
          <w:rFonts w:eastAsiaTheme="minorHAnsi"/>
          <w:bCs/>
          <w:sz w:val="26"/>
          <w:szCs w:val="26"/>
        </w:rPr>
        <w:t xml:space="preserve">, stating: </w:t>
      </w:r>
    </w:p>
    <w:p w14:paraId="31D8EC2F" w14:textId="1C27F489" w:rsidR="003C784E" w:rsidRPr="00F56D54" w:rsidRDefault="008C1C4B" w:rsidP="00D07BB7">
      <w:pPr>
        <w:keepNext/>
        <w:widowControl/>
        <w:ind w:firstLine="1440"/>
        <w:rPr>
          <w:rFonts w:eastAsiaTheme="minorHAnsi"/>
          <w:bCs/>
          <w:sz w:val="26"/>
          <w:szCs w:val="26"/>
        </w:rPr>
      </w:pPr>
      <w:r w:rsidRPr="00F56D54">
        <w:rPr>
          <w:rFonts w:eastAsiaTheme="minorHAnsi"/>
          <w:bCs/>
          <w:sz w:val="26"/>
          <w:szCs w:val="26"/>
        </w:rPr>
        <w:t xml:space="preserve"> </w:t>
      </w:r>
    </w:p>
    <w:p w14:paraId="24ABBE11" w14:textId="2AC416D5" w:rsidR="003C784E" w:rsidRPr="00F56D54" w:rsidRDefault="003C784E" w:rsidP="00F56D54">
      <w:pPr>
        <w:widowControl/>
        <w:ind w:left="1440" w:right="1440" w:hanging="10"/>
        <w:rPr>
          <w:color w:val="000000"/>
          <w:sz w:val="26"/>
          <w:szCs w:val="26"/>
        </w:rPr>
      </w:pPr>
      <w:r w:rsidRPr="00F56D54">
        <w:rPr>
          <w:color w:val="000000"/>
          <w:sz w:val="26"/>
          <w:szCs w:val="26"/>
        </w:rPr>
        <w:t xml:space="preserve">The methods and inputs for the competing COSS presented in this case were hotly contested among the experts.  Contrary to OSBA’s position, there is substantial evidence in the record which suggests that it is not appropriate to rely on OSBA’s COSS to establish rates.  </w:t>
      </w:r>
    </w:p>
    <w:p w14:paraId="6BA75802" w14:textId="77777777" w:rsidR="003C784E" w:rsidRPr="00F56D54" w:rsidRDefault="003C784E" w:rsidP="00F56D54">
      <w:pPr>
        <w:widowControl/>
        <w:ind w:left="1440" w:right="1440"/>
        <w:rPr>
          <w:color w:val="000000"/>
          <w:sz w:val="26"/>
          <w:szCs w:val="26"/>
        </w:rPr>
      </w:pPr>
      <w:r w:rsidRPr="00F56D54">
        <w:rPr>
          <w:color w:val="000000"/>
          <w:sz w:val="26"/>
          <w:szCs w:val="26"/>
        </w:rPr>
        <w:t xml:space="preserve"> </w:t>
      </w:r>
    </w:p>
    <w:p w14:paraId="1E92DF49" w14:textId="2B2B372B" w:rsidR="003C784E" w:rsidRPr="00F56D54" w:rsidRDefault="003C784E" w:rsidP="00F56D54">
      <w:pPr>
        <w:widowControl/>
        <w:ind w:left="1440" w:right="1440" w:hanging="10"/>
        <w:rPr>
          <w:color w:val="000000"/>
          <w:sz w:val="26"/>
          <w:szCs w:val="26"/>
        </w:rPr>
      </w:pPr>
      <w:r w:rsidRPr="00F56D54">
        <w:rPr>
          <w:color w:val="000000"/>
          <w:sz w:val="26"/>
          <w:szCs w:val="26"/>
        </w:rPr>
        <w:lastRenderedPageBreak/>
        <w:t xml:space="preserve">Both PCLP and OCA criticized OSBA’s cost of service study, which resulted in a significant portion of the revenue increase allocated to the residential class.  Specifically, in rebuttal testimony, PCLP’s experts disputed the results of OSBA’s COSS, noting that OSBA’s assignment of a 30% customer component to primary plant is not only arbitrary, but also grossly overstates the customer component.  Accordingly, PCLP’s experts recommended that OSBA’s COSS is “grossly in error” and should be rejected. </w:t>
      </w:r>
    </w:p>
    <w:p w14:paraId="038CB16A" w14:textId="33F0488F" w:rsidR="003C784E" w:rsidRPr="00F56D54" w:rsidRDefault="003C784E" w:rsidP="00F56D54">
      <w:pPr>
        <w:widowControl/>
        <w:ind w:left="1440" w:right="1440"/>
        <w:rPr>
          <w:color w:val="000000"/>
          <w:sz w:val="26"/>
          <w:szCs w:val="26"/>
        </w:rPr>
      </w:pPr>
    </w:p>
    <w:p w14:paraId="37081B95" w14:textId="7ABB8984" w:rsidR="00AF33F7" w:rsidRPr="00F56D54" w:rsidRDefault="003C784E" w:rsidP="00F56D54">
      <w:pPr>
        <w:keepNext/>
        <w:widowControl/>
        <w:ind w:left="1440" w:right="1440"/>
        <w:rPr>
          <w:rFonts w:eastAsiaTheme="minorHAnsi"/>
          <w:sz w:val="26"/>
          <w:szCs w:val="26"/>
        </w:rPr>
      </w:pPr>
      <w:r w:rsidRPr="00F56D54">
        <w:rPr>
          <w:color w:val="000000"/>
          <w:sz w:val="26"/>
          <w:szCs w:val="26"/>
        </w:rPr>
        <w:t>Similarly, OCA’s witness criticized the accuracy of OSBA’s COSS, arguing that Mr. Knecht made certain assumptions based solely on judgment and the practices of other utilities, resulting in an inaccurate assignment of costs to the various rate classes.</w:t>
      </w:r>
      <w:r w:rsidR="00900074" w:rsidRPr="00F56D54">
        <w:rPr>
          <w:rFonts w:eastAsiaTheme="minorHAnsi"/>
          <w:bCs/>
          <w:sz w:val="26"/>
          <w:szCs w:val="26"/>
        </w:rPr>
        <w:t xml:space="preserve">  </w:t>
      </w:r>
    </w:p>
    <w:p w14:paraId="6BF15B0B" w14:textId="253EB2A7" w:rsidR="003527CE" w:rsidRPr="00F56D54" w:rsidRDefault="003527CE" w:rsidP="00D07BB7">
      <w:pPr>
        <w:keepNext/>
        <w:widowControl/>
        <w:spacing w:line="360" w:lineRule="auto"/>
        <w:rPr>
          <w:b/>
          <w:bCs/>
          <w:sz w:val="26"/>
          <w:szCs w:val="26"/>
        </w:rPr>
      </w:pPr>
    </w:p>
    <w:p w14:paraId="71587BAB" w14:textId="615E33E0" w:rsidR="003527CE" w:rsidRPr="00F56D54" w:rsidRDefault="00EC1D67" w:rsidP="00D07BB7">
      <w:pPr>
        <w:keepNext/>
        <w:widowControl/>
        <w:spacing w:line="360" w:lineRule="auto"/>
        <w:rPr>
          <w:sz w:val="26"/>
          <w:szCs w:val="26"/>
        </w:rPr>
      </w:pPr>
      <w:r w:rsidRPr="00F56D54">
        <w:rPr>
          <w:sz w:val="26"/>
          <w:szCs w:val="26"/>
        </w:rPr>
        <w:t>R.D. at 37</w:t>
      </w:r>
      <w:r w:rsidR="003200BF" w:rsidRPr="00F56D54">
        <w:rPr>
          <w:sz w:val="26"/>
          <w:szCs w:val="26"/>
        </w:rPr>
        <w:t xml:space="preserve"> (citations omitted). </w:t>
      </w:r>
    </w:p>
    <w:p w14:paraId="02AB733B" w14:textId="06705CC7" w:rsidR="00900074" w:rsidRPr="00F56D54" w:rsidRDefault="00900074" w:rsidP="00D07BB7">
      <w:pPr>
        <w:widowControl/>
        <w:spacing w:line="360" w:lineRule="auto"/>
        <w:rPr>
          <w:b/>
          <w:bCs/>
          <w:sz w:val="26"/>
          <w:szCs w:val="26"/>
        </w:rPr>
      </w:pPr>
    </w:p>
    <w:p w14:paraId="1FA3F692" w14:textId="6A163B56" w:rsidR="00900074" w:rsidRPr="00F56D54" w:rsidRDefault="005C2546" w:rsidP="00D07BB7">
      <w:pPr>
        <w:widowControl/>
        <w:spacing w:line="360" w:lineRule="auto"/>
        <w:ind w:firstLine="1440"/>
        <w:rPr>
          <w:sz w:val="26"/>
          <w:szCs w:val="26"/>
        </w:rPr>
      </w:pPr>
      <w:r w:rsidRPr="00F56D54">
        <w:rPr>
          <w:sz w:val="26"/>
          <w:szCs w:val="26"/>
        </w:rPr>
        <w:t>Accordingly,</w:t>
      </w:r>
      <w:r w:rsidR="00900074" w:rsidRPr="00F56D54">
        <w:rPr>
          <w:sz w:val="26"/>
          <w:szCs w:val="26"/>
        </w:rPr>
        <w:t xml:space="preserve"> the ALJ recommended that the Commission approve the Rate Design Settlement without modification. </w:t>
      </w:r>
    </w:p>
    <w:p w14:paraId="381663D0" w14:textId="77777777" w:rsidR="003E046C" w:rsidRPr="00F56D54" w:rsidRDefault="003E046C" w:rsidP="00D07BB7">
      <w:pPr>
        <w:widowControl/>
        <w:spacing w:line="360" w:lineRule="auto"/>
        <w:rPr>
          <w:b/>
          <w:bCs/>
          <w:sz w:val="26"/>
          <w:szCs w:val="26"/>
        </w:rPr>
      </w:pPr>
    </w:p>
    <w:p w14:paraId="7EDFBF89" w14:textId="241C8406" w:rsidR="006215E4" w:rsidRPr="00F56D54" w:rsidRDefault="006215E4" w:rsidP="00D07BB7">
      <w:pPr>
        <w:keepNext/>
        <w:widowControl/>
        <w:spacing w:line="360" w:lineRule="auto"/>
        <w:rPr>
          <w:b/>
          <w:bCs/>
          <w:sz w:val="26"/>
          <w:szCs w:val="26"/>
        </w:rPr>
      </w:pPr>
      <w:r w:rsidRPr="00F56D54">
        <w:rPr>
          <w:b/>
          <w:bCs/>
          <w:sz w:val="26"/>
          <w:szCs w:val="26"/>
        </w:rPr>
        <w:t xml:space="preserve">4. </w:t>
      </w:r>
      <w:r w:rsidR="00F56D54" w:rsidRPr="00F56D54">
        <w:rPr>
          <w:b/>
          <w:bCs/>
          <w:sz w:val="26"/>
          <w:szCs w:val="26"/>
        </w:rPr>
        <w:tab/>
      </w:r>
      <w:r w:rsidR="003F0B43" w:rsidRPr="00F56D54">
        <w:rPr>
          <w:b/>
          <w:bCs/>
          <w:sz w:val="26"/>
          <w:szCs w:val="26"/>
        </w:rPr>
        <w:t>Exceptions and Replies</w:t>
      </w:r>
    </w:p>
    <w:p w14:paraId="29BA0F9D" w14:textId="61F5B24E" w:rsidR="00010442" w:rsidRPr="00F56D54" w:rsidRDefault="00010442" w:rsidP="00D07BB7">
      <w:pPr>
        <w:keepNext/>
        <w:widowControl/>
        <w:spacing w:line="360" w:lineRule="auto"/>
        <w:rPr>
          <w:b/>
          <w:bCs/>
          <w:sz w:val="26"/>
          <w:szCs w:val="26"/>
        </w:rPr>
      </w:pPr>
    </w:p>
    <w:p w14:paraId="49B92CDD" w14:textId="36969E28" w:rsidR="005E52E0" w:rsidRPr="00F56D54" w:rsidRDefault="00B47BF8" w:rsidP="00D07BB7">
      <w:pPr>
        <w:keepNext/>
        <w:widowControl/>
        <w:spacing w:line="360" w:lineRule="auto"/>
        <w:ind w:firstLine="1440"/>
        <w:rPr>
          <w:rFonts w:eastAsiaTheme="minorHAnsi"/>
          <w:sz w:val="26"/>
          <w:szCs w:val="26"/>
        </w:rPr>
      </w:pPr>
      <w:r w:rsidRPr="00F56D54">
        <w:rPr>
          <w:rFonts w:eastAsiaTheme="minorHAnsi"/>
          <w:sz w:val="26"/>
          <w:szCs w:val="26"/>
        </w:rPr>
        <w:t xml:space="preserve">In its Exception No. 1, the OSBA contends that the ALJ erred by approving, without modification, the Rate Design Settlement submitted to the Commission by </w:t>
      </w:r>
      <w:r w:rsidR="00011F39" w:rsidRPr="00F56D54">
        <w:rPr>
          <w:rFonts w:eastAsiaTheme="minorHAnsi"/>
          <w:sz w:val="26"/>
          <w:szCs w:val="26"/>
        </w:rPr>
        <w:t>PCLPC</w:t>
      </w:r>
      <w:r w:rsidR="00A27A01" w:rsidRPr="00F56D54">
        <w:rPr>
          <w:rFonts w:eastAsiaTheme="minorHAnsi"/>
          <w:sz w:val="26"/>
          <w:szCs w:val="26"/>
        </w:rPr>
        <w:t>, I&amp;E and the OCA</w:t>
      </w:r>
      <w:r w:rsidRPr="00F56D54">
        <w:rPr>
          <w:rFonts w:eastAsiaTheme="minorHAnsi"/>
          <w:sz w:val="26"/>
          <w:szCs w:val="26"/>
        </w:rPr>
        <w:t>.  The O</w:t>
      </w:r>
      <w:r w:rsidR="008C7E10" w:rsidRPr="00F56D54">
        <w:rPr>
          <w:rFonts w:eastAsiaTheme="minorHAnsi"/>
          <w:sz w:val="26"/>
          <w:szCs w:val="26"/>
        </w:rPr>
        <w:t>SBA</w:t>
      </w:r>
      <w:r w:rsidRPr="00F56D54">
        <w:rPr>
          <w:rFonts w:eastAsiaTheme="minorHAnsi"/>
          <w:sz w:val="26"/>
          <w:szCs w:val="26"/>
        </w:rPr>
        <w:t>’s Exception No. 1 reiterates its arguments from testimony and briefs, maintaining its belief that the Settlement is neither reasonable nor in the best interest of the public</w:t>
      </w:r>
      <w:r w:rsidR="005E52E0" w:rsidRPr="00F56D54">
        <w:rPr>
          <w:rFonts w:eastAsiaTheme="minorHAnsi"/>
          <w:sz w:val="26"/>
          <w:szCs w:val="26"/>
        </w:rPr>
        <w:t>.</w:t>
      </w:r>
      <w:r w:rsidR="001F11B1">
        <w:rPr>
          <w:rFonts w:eastAsiaTheme="minorHAnsi"/>
          <w:sz w:val="26"/>
          <w:szCs w:val="26"/>
        </w:rPr>
        <w:t xml:space="preserve"> </w:t>
      </w:r>
      <w:r w:rsidR="005E52E0" w:rsidRPr="00F56D54">
        <w:rPr>
          <w:rFonts w:eastAsiaTheme="minorHAnsi"/>
          <w:sz w:val="26"/>
          <w:szCs w:val="26"/>
        </w:rPr>
        <w:t xml:space="preserve"> </w:t>
      </w:r>
      <w:r w:rsidR="00BF7BAE" w:rsidRPr="00F56D54">
        <w:rPr>
          <w:rFonts w:eastAsiaTheme="minorHAnsi"/>
          <w:sz w:val="26"/>
          <w:szCs w:val="26"/>
        </w:rPr>
        <w:t xml:space="preserve">The OSBA maintains that </w:t>
      </w:r>
      <w:r w:rsidR="00343DBB" w:rsidRPr="00F56D54">
        <w:rPr>
          <w:rFonts w:eastAsiaTheme="minorHAnsi"/>
          <w:sz w:val="26"/>
          <w:szCs w:val="26"/>
        </w:rPr>
        <w:t xml:space="preserve">an “incorrect” </w:t>
      </w:r>
      <w:r w:rsidR="00BF7BAE" w:rsidRPr="00F56D54">
        <w:rPr>
          <w:rFonts w:eastAsiaTheme="minorHAnsi"/>
          <w:sz w:val="26"/>
          <w:szCs w:val="26"/>
        </w:rPr>
        <w:t xml:space="preserve">COSS </w:t>
      </w:r>
      <w:r w:rsidR="00CF2CFB" w:rsidRPr="00F56D54">
        <w:rPr>
          <w:rFonts w:eastAsiaTheme="minorHAnsi"/>
          <w:sz w:val="26"/>
          <w:szCs w:val="26"/>
        </w:rPr>
        <w:t>was relied upon in approving the Rate Design Settlement</w:t>
      </w:r>
      <w:r w:rsidR="00AA1A34" w:rsidRPr="00F56D54">
        <w:rPr>
          <w:rFonts w:eastAsiaTheme="minorHAnsi"/>
          <w:sz w:val="26"/>
          <w:szCs w:val="26"/>
        </w:rPr>
        <w:t xml:space="preserve">, thereby resulting in </w:t>
      </w:r>
      <w:r w:rsidR="006F44EA" w:rsidRPr="00F56D54">
        <w:rPr>
          <w:rFonts w:eastAsiaTheme="minorHAnsi"/>
          <w:sz w:val="26"/>
          <w:szCs w:val="26"/>
        </w:rPr>
        <w:t xml:space="preserve">an impermissible increase to the non-residential SC2 class of customers. </w:t>
      </w:r>
      <w:r w:rsidR="005E52E0" w:rsidRPr="00F56D54">
        <w:rPr>
          <w:rFonts w:eastAsiaTheme="minorHAnsi"/>
          <w:sz w:val="26"/>
          <w:szCs w:val="26"/>
        </w:rPr>
        <w:t xml:space="preserve"> </w:t>
      </w:r>
      <w:r w:rsidR="00905281" w:rsidRPr="00F56D54">
        <w:rPr>
          <w:rFonts w:eastAsiaTheme="minorHAnsi"/>
          <w:sz w:val="26"/>
          <w:szCs w:val="26"/>
        </w:rPr>
        <w:t xml:space="preserve">OSBA </w:t>
      </w:r>
      <w:r w:rsidR="009913AE" w:rsidRPr="00F56D54">
        <w:rPr>
          <w:rFonts w:eastAsiaTheme="minorHAnsi"/>
          <w:sz w:val="26"/>
          <w:szCs w:val="26"/>
        </w:rPr>
        <w:t>Exc</w:t>
      </w:r>
      <w:r w:rsidR="00905281" w:rsidRPr="00F56D54">
        <w:rPr>
          <w:rFonts w:eastAsiaTheme="minorHAnsi"/>
          <w:sz w:val="26"/>
          <w:szCs w:val="26"/>
        </w:rPr>
        <w:t xml:space="preserve">. at </w:t>
      </w:r>
      <w:r w:rsidR="00CB3627" w:rsidRPr="00F56D54">
        <w:rPr>
          <w:rFonts w:eastAsiaTheme="minorHAnsi"/>
          <w:sz w:val="26"/>
          <w:szCs w:val="26"/>
        </w:rPr>
        <w:t>3.</w:t>
      </w:r>
      <w:r w:rsidR="009913AE" w:rsidRPr="00F56D54">
        <w:rPr>
          <w:rFonts w:eastAsiaTheme="minorHAnsi"/>
          <w:sz w:val="26"/>
          <w:szCs w:val="26"/>
        </w:rPr>
        <w:t xml:space="preserve"> </w:t>
      </w:r>
    </w:p>
    <w:p w14:paraId="2B802CED" w14:textId="77777777" w:rsidR="003D004A" w:rsidRPr="00F56D54" w:rsidRDefault="003D004A" w:rsidP="00F56D54">
      <w:pPr>
        <w:widowControl/>
        <w:spacing w:line="360" w:lineRule="auto"/>
        <w:ind w:firstLine="1440"/>
        <w:rPr>
          <w:rFonts w:eastAsiaTheme="minorHAnsi"/>
          <w:sz w:val="26"/>
          <w:szCs w:val="26"/>
        </w:rPr>
      </w:pPr>
    </w:p>
    <w:p w14:paraId="4EC80079" w14:textId="68D50910" w:rsidR="0029603B" w:rsidRPr="00F56D54" w:rsidRDefault="00F018CF" w:rsidP="00F56D54">
      <w:pPr>
        <w:widowControl/>
        <w:spacing w:line="360" w:lineRule="auto"/>
        <w:ind w:firstLine="1440"/>
        <w:rPr>
          <w:rFonts w:eastAsiaTheme="minorHAnsi"/>
          <w:sz w:val="26"/>
          <w:szCs w:val="26"/>
        </w:rPr>
      </w:pPr>
      <w:r w:rsidRPr="00F56D54">
        <w:rPr>
          <w:rFonts w:eastAsiaTheme="minorHAnsi"/>
          <w:sz w:val="26"/>
          <w:szCs w:val="26"/>
        </w:rPr>
        <w:t xml:space="preserve">In </w:t>
      </w:r>
      <w:r w:rsidR="003C255A" w:rsidRPr="00F56D54">
        <w:rPr>
          <w:rFonts w:eastAsiaTheme="minorHAnsi"/>
          <w:sz w:val="26"/>
          <w:szCs w:val="26"/>
        </w:rPr>
        <w:t xml:space="preserve">the OSBA’s view, </w:t>
      </w:r>
      <w:r w:rsidRPr="00F56D54">
        <w:rPr>
          <w:rFonts w:eastAsiaTheme="minorHAnsi"/>
          <w:sz w:val="26"/>
          <w:szCs w:val="26"/>
        </w:rPr>
        <w:t xml:space="preserve">it was not within the ALJ’s discretion to recommend </w:t>
      </w:r>
      <w:r w:rsidR="00493C40" w:rsidRPr="00F56D54">
        <w:rPr>
          <w:rFonts w:eastAsiaTheme="minorHAnsi"/>
          <w:sz w:val="26"/>
          <w:szCs w:val="26"/>
        </w:rPr>
        <w:t>approval of rate structure and rate design which represents a compromise of the range of the positions argue</w:t>
      </w:r>
      <w:r w:rsidR="00642314" w:rsidRPr="00F56D54">
        <w:rPr>
          <w:rFonts w:eastAsiaTheme="minorHAnsi"/>
          <w:sz w:val="26"/>
          <w:szCs w:val="26"/>
        </w:rPr>
        <w:t>d</w:t>
      </w:r>
      <w:r w:rsidR="00493C40" w:rsidRPr="00F56D54">
        <w:rPr>
          <w:rFonts w:eastAsiaTheme="minorHAnsi"/>
          <w:sz w:val="26"/>
          <w:szCs w:val="26"/>
        </w:rPr>
        <w:t xml:space="preserve"> by the </w:t>
      </w:r>
      <w:r w:rsidR="00C77F0E">
        <w:rPr>
          <w:rFonts w:eastAsiaTheme="minorHAnsi"/>
          <w:sz w:val="26"/>
          <w:szCs w:val="26"/>
        </w:rPr>
        <w:t>P</w:t>
      </w:r>
      <w:r w:rsidR="00493C40" w:rsidRPr="00F56D54">
        <w:rPr>
          <w:rFonts w:eastAsiaTheme="minorHAnsi"/>
          <w:sz w:val="26"/>
          <w:szCs w:val="26"/>
        </w:rPr>
        <w:t>arties</w:t>
      </w:r>
      <w:r w:rsidR="00642314" w:rsidRPr="00F56D54">
        <w:rPr>
          <w:rFonts w:eastAsiaTheme="minorHAnsi"/>
          <w:sz w:val="26"/>
          <w:szCs w:val="26"/>
        </w:rPr>
        <w:t>, as in the Rate Design Settl</w:t>
      </w:r>
      <w:r w:rsidR="00F77E68" w:rsidRPr="00F56D54">
        <w:rPr>
          <w:rFonts w:eastAsiaTheme="minorHAnsi"/>
          <w:sz w:val="26"/>
          <w:szCs w:val="26"/>
        </w:rPr>
        <w:t>e</w:t>
      </w:r>
      <w:r w:rsidR="00642314" w:rsidRPr="00F56D54">
        <w:rPr>
          <w:rFonts w:eastAsiaTheme="minorHAnsi"/>
          <w:sz w:val="26"/>
          <w:szCs w:val="26"/>
        </w:rPr>
        <w:t>ment</w:t>
      </w:r>
      <w:r w:rsidR="00493C40" w:rsidRPr="00F56D54">
        <w:rPr>
          <w:rFonts w:eastAsiaTheme="minorHAnsi"/>
          <w:sz w:val="26"/>
          <w:szCs w:val="26"/>
        </w:rPr>
        <w:t xml:space="preserve">.  Rather, the OSBA </w:t>
      </w:r>
      <w:r w:rsidR="00E40469" w:rsidRPr="00F56D54">
        <w:rPr>
          <w:rFonts w:eastAsiaTheme="minorHAnsi"/>
          <w:sz w:val="26"/>
          <w:szCs w:val="26"/>
        </w:rPr>
        <w:lastRenderedPageBreak/>
        <w:t>in effect</w:t>
      </w:r>
      <w:r w:rsidR="00F77E68" w:rsidRPr="00F56D54">
        <w:rPr>
          <w:rFonts w:eastAsiaTheme="minorHAnsi"/>
          <w:sz w:val="26"/>
          <w:szCs w:val="26"/>
        </w:rPr>
        <w:t xml:space="preserve">, </w:t>
      </w:r>
      <w:r w:rsidR="00E40469" w:rsidRPr="00F56D54">
        <w:rPr>
          <w:rFonts w:eastAsiaTheme="minorHAnsi"/>
          <w:sz w:val="26"/>
          <w:szCs w:val="26"/>
        </w:rPr>
        <w:t xml:space="preserve">argues that </w:t>
      </w:r>
      <w:r w:rsidR="003C255A" w:rsidRPr="00F56D54">
        <w:rPr>
          <w:rFonts w:eastAsiaTheme="minorHAnsi"/>
          <w:sz w:val="26"/>
          <w:szCs w:val="26"/>
        </w:rPr>
        <w:t xml:space="preserve">a single </w:t>
      </w:r>
      <w:r w:rsidR="003371C3" w:rsidRPr="00F56D54">
        <w:rPr>
          <w:rFonts w:eastAsiaTheme="minorHAnsi"/>
          <w:sz w:val="26"/>
          <w:szCs w:val="26"/>
        </w:rPr>
        <w:t xml:space="preserve">cost of service study must be identified as the underpinning of the </w:t>
      </w:r>
      <w:r w:rsidR="00682C6D" w:rsidRPr="00F56D54">
        <w:rPr>
          <w:rFonts w:eastAsiaTheme="minorHAnsi"/>
          <w:sz w:val="26"/>
          <w:szCs w:val="26"/>
        </w:rPr>
        <w:t xml:space="preserve">agreed upon </w:t>
      </w:r>
      <w:r w:rsidR="003D004A" w:rsidRPr="00F56D54">
        <w:rPr>
          <w:rFonts w:eastAsiaTheme="minorHAnsi"/>
          <w:sz w:val="26"/>
          <w:szCs w:val="26"/>
        </w:rPr>
        <w:t xml:space="preserve">compromise </w:t>
      </w:r>
      <w:r w:rsidR="00682C6D" w:rsidRPr="00F56D54">
        <w:rPr>
          <w:rFonts w:eastAsiaTheme="minorHAnsi"/>
          <w:sz w:val="26"/>
          <w:szCs w:val="26"/>
        </w:rPr>
        <w:t>rate structure and rate design</w:t>
      </w:r>
      <w:r w:rsidR="00F77E68" w:rsidRPr="00F56D54">
        <w:rPr>
          <w:rFonts w:eastAsiaTheme="minorHAnsi"/>
          <w:sz w:val="26"/>
          <w:szCs w:val="26"/>
        </w:rPr>
        <w:t xml:space="preserve">.  Therefore, in the present case, the OSBA asserts that </w:t>
      </w:r>
      <w:r w:rsidR="00427D41" w:rsidRPr="00F56D54">
        <w:rPr>
          <w:rFonts w:eastAsiaTheme="minorHAnsi"/>
          <w:sz w:val="26"/>
          <w:szCs w:val="26"/>
        </w:rPr>
        <w:t xml:space="preserve">the </w:t>
      </w:r>
      <w:r w:rsidR="000D3BDD" w:rsidRPr="00F56D54">
        <w:rPr>
          <w:rFonts w:eastAsiaTheme="minorHAnsi"/>
          <w:sz w:val="26"/>
          <w:szCs w:val="26"/>
        </w:rPr>
        <w:t xml:space="preserve">ALJ was </w:t>
      </w:r>
      <w:r w:rsidR="00427D41" w:rsidRPr="00F56D54">
        <w:rPr>
          <w:rFonts w:eastAsiaTheme="minorHAnsi"/>
          <w:sz w:val="26"/>
          <w:szCs w:val="26"/>
        </w:rPr>
        <w:t xml:space="preserve">required to select a single COSS </w:t>
      </w:r>
      <w:r w:rsidR="003C1F7C" w:rsidRPr="00F56D54">
        <w:rPr>
          <w:rFonts w:eastAsiaTheme="minorHAnsi"/>
          <w:sz w:val="26"/>
          <w:szCs w:val="26"/>
        </w:rPr>
        <w:t>to rely upon in approving the “black box</w:t>
      </w:r>
      <w:r w:rsidR="003D004A" w:rsidRPr="00F56D54">
        <w:rPr>
          <w:rFonts w:eastAsiaTheme="minorHAnsi"/>
          <w:sz w:val="26"/>
          <w:szCs w:val="26"/>
        </w:rPr>
        <w:t>”</w:t>
      </w:r>
      <w:r w:rsidR="003C1F7C" w:rsidRPr="00F56D54">
        <w:rPr>
          <w:rFonts w:eastAsiaTheme="minorHAnsi"/>
          <w:sz w:val="26"/>
          <w:szCs w:val="26"/>
        </w:rPr>
        <w:t xml:space="preserve"> settlement of the rate structure and rate design under the Rate Design Settl</w:t>
      </w:r>
      <w:r w:rsidR="00642314" w:rsidRPr="00F56D54">
        <w:rPr>
          <w:rFonts w:eastAsiaTheme="minorHAnsi"/>
          <w:sz w:val="26"/>
          <w:szCs w:val="26"/>
        </w:rPr>
        <w:t>e</w:t>
      </w:r>
      <w:r w:rsidR="003C1F7C" w:rsidRPr="00F56D54">
        <w:rPr>
          <w:rFonts w:eastAsiaTheme="minorHAnsi"/>
          <w:sz w:val="26"/>
          <w:szCs w:val="26"/>
        </w:rPr>
        <w:t>ment</w:t>
      </w:r>
      <w:r w:rsidR="00642314" w:rsidRPr="00F56D54">
        <w:rPr>
          <w:rFonts w:eastAsiaTheme="minorHAnsi"/>
          <w:sz w:val="26"/>
          <w:szCs w:val="26"/>
        </w:rPr>
        <w:t>.</w:t>
      </w:r>
      <w:r w:rsidR="007F4111">
        <w:rPr>
          <w:rFonts w:eastAsiaTheme="minorHAnsi"/>
          <w:sz w:val="26"/>
          <w:szCs w:val="26"/>
        </w:rPr>
        <w:t xml:space="preserve"> </w:t>
      </w:r>
      <w:r w:rsidR="00642314" w:rsidRPr="00F56D54">
        <w:rPr>
          <w:rFonts w:eastAsiaTheme="minorHAnsi"/>
          <w:sz w:val="26"/>
          <w:szCs w:val="26"/>
        </w:rPr>
        <w:t xml:space="preserve"> </w:t>
      </w:r>
      <w:r w:rsidR="00CB3627" w:rsidRPr="00F56D54">
        <w:rPr>
          <w:rFonts w:eastAsiaTheme="minorHAnsi"/>
          <w:sz w:val="26"/>
          <w:szCs w:val="26"/>
        </w:rPr>
        <w:t xml:space="preserve">OSBA Exc. at </w:t>
      </w:r>
      <w:r w:rsidR="003F45B0" w:rsidRPr="00F56D54">
        <w:rPr>
          <w:rFonts w:eastAsiaTheme="minorHAnsi"/>
          <w:sz w:val="26"/>
          <w:szCs w:val="26"/>
        </w:rPr>
        <w:t>4-8.</w:t>
      </w:r>
    </w:p>
    <w:p w14:paraId="0D3D4C3D" w14:textId="03A27DC1" w:rsidR="003D004A" w:rsidRPr="00F56D54" w:rsidRDefault="003D004A" w:rsidP="00F56D54">
      <w:pPr>
        <w:keepNext/>
        <w:widowControl/>
        <w:spacing w:line="360" w:lineRule="auto"/>
        <w:ind w:firstLine="1440"/>
        <w:rPr>
          <w:rFonts w:eastAsiaTheme="minorHAnsi"/>
          <w:sz w:val="26"/>
          <w:szCs w:val="26"/>
        </w:rPr>
      </w:pPr>
    </w:p>
    <w:p w14:paraId="0BBF146E" w14:textId="0653C566" w:rsidR="003D004A" w:rsidRPr="00F56D54" w:rsidRDefault="00F5412C" w:rsidP="00D07BB7">
      <w:pPr>
        <w:keepNext/>
        <w:widowControl/>
        <w:spacing w:line="360" w:lineRule="auto"/>
        <w:ind w:firstLine="1440"/>
        <w:rPr>
          <w:rFonts w:eastAsiaTheme="minorHAnsi"/>
          <w:sz w:val="26"/>
          <w:szCs w:val="26"/>
        </w:rPr>
      </w:pPr>
      <w:r w:rsidRPr="00F56D54">
        <w:rPr>
          <w:rFonts w:eastAsiaTheme="minorHAnsi"/>
          <w:sz w:val="26"/>
          <w:szCs w:val="26"/>
        </w:rPr>
        <w:t xml:space="preserve">In Reply, PCLPC, I&amp;E and the OCA </w:t>
      </w:r>
      <w:r w:rsidR="00026768" w:rsidRPr="00F56D54">
        <w:rPr>
          <w:rFonts w:eastAsiaTheme="minorHAnsi"/>
          <w:sz w:val="26"/>
          <w:szCs w:val="26"/>
        </w:rPr>
        <w:t xml:space="preserve">each point out that </w:t>
      </w:r>
      <w:r w:rsidR="00F83622" w:rsidRPr="00F56D54">
        <w:rPr>
          <w:rFonts w:eastAsiaTheme="minorHAnsi"/>
          <w:sz w:val="26"/>
          <w:szCs w:val="26"/>
        </w:rPr>
        <w:t xml:space="preserve">the Rate Design Settlement is a “black box” </w:t>
      </w:r>
      <w:r w:rsidR="00934CC1" w:rsidRPr="00F56D54">
        <w:rPr>
          <w:rFonts w:eastAsiaTheme="minorHAnsi"/>
          <w:sz w:val="26"/>
          <w:szCs w:val="26"/>
        </w:rPr>
        <w:t xml:space="preserve">settlement, representing a compromise within the range of positions of the </w:t>
      </w:r>
      <w:r w:rsidR="00645273">
        <w:rPr>
          <w:rFonts w:eastAsiaTheme="minorHAnsi"/>
          <w:sz w:val="26"/>
          <w:szCs w:val="26"/>
        </w:rPr>
        <w:t>P</w:t>
      </w:r>
      <w:r w:rsidR="00934CC1" w:rsidRPr="00F56D54">
        <w:rPr>
          <w:rFonts w:eastAsiaTheme="minorHAnsi"/>
          <w:sz w:val="26"/>
          <w:szCs w:val="26"/>
        </w:rPr>
        <w:t xml:space="preserve">arties.  </w:t>
      </w:r>
      <w:r w:rsidR="006F775C" w:rsidRPr="00F56D54">
        <w:rPr>
          <w:rFonts w:eastAsiaTheme="minorHAnsi"/>
          <w:sz w:val="26"/>
          <w:szCs w:val="26"/>
        </w:rPr>
        <w:t xml:space="preserve">The </w:t>
      </w:r>
      <w:r w:rsidR="001218A2">
        <w:rPr>
          <w:rFonts w:eastAsiaTheme="minorHAnsi"/>
          <w:sz w:val="26"/>
          <w:szCs w:val="26"/>
        </w:rPr>
        <w:t>P</w:t>
      </w:r>
      <w:r w:rsidR="006F775C" w:rsidRPr="00F56D54">
        <w:rPr>
          <w:rFonts w:eastAsiaTheme="minorHAnsi"/>
          <w:sz w:val="26"/>
          <w:szCs w:val="26"/>
        </w:rPr>
        <w:t xml:space="preserve">arties note that </w:t>
      </w:r>
      <w:r w:rsidR="00026768" w:rsidRPr="00F56D54">
        <w:rPr>
          <w:rFonts w:eastAsiaTheme="minorHAnsi"/>
          <w:sz w:val="26"/>
          <w:szCs w:val="26"/>
        </w:rPr>
        <w:t xml:space="preserve">no single COSS </w:t>
      </w:r>
      <w:r w:rsidR="00D62F0C" w:rsidRPr="00F56D54">
        <w:rPr>
          <w:rFonts w:eastAsiaTheme="minorHAnsi"/>
          <w:sz w:val="26"/>
          <w:szCs w:val="26"/>
        </w:rPr>
        <w:t xml:space="preserve">methodology </w:t>
      </w:r>
      <w:r w:rsidR="00F83622" w:rsidRPr="00F56D54">
        <w:rPr>
          <w:rFonts w:eastAsiaTheme="minorHAnsi"/>
          <w:sz w:val="26"/>
          <w:szCs w:val="26"/>
        </w:rPr>
        <w:t>was relied upon in reaching the compromi</w:t>
      </w:r>
      <w:r w:rsidR="006F775C" w:rsidRPr="00F56D54">
        <w:rPr>
          <w:rFonts w:eastAsiaTheme="minorHAnsi"/>
          <w:sz w:val="26"/>
          <w:szCs w:val="26"/>
        </w:rPr>
        <w:t>se rate structure</w:t>
      </w:r>
      <w:r w:rsidR="00D62F0C" w:rsidRPr="00F56D54">
        <w:rPr>
          <w:rFonts w:eastAsiaTheme="minorHAnsi"/>
          <w:sz w:val="26"/>
          <w:szCs w:val="26"/>
        </w:rPr>
        <w:t xml:space="preserve"> and rate design, a</w:t>
      </w:r>
      <w:r w:rsidR="00A91566" w:rsidRPr="00F56D54">
        <w:rPr>
          <w:rFonts w:eastAsiaTheme="minorHAnsi"/>
          <w:sz w:val="26"/>
          <w:szCs w:val="26"/>
        </w:rPr>
        <w:t>s</w:t>
      </w:r>
      <w:r w:rsidR="00D62F0C" w:rsidRPr="00F56D54">
        <w:rPr>
          <w:rFonts w:eastAsiaTheme="minorHAnsi"/>
          <w:sz w:val="26"/>
          <w:szCs w:val="26"/>
        </w:rPr>
        <w:t xml:space="preserve"> no</w:t>
      </w:r>
      <w:r w:rsidR="00BA215B" w:rsidRPr="00F56D54">
        <w:rPr>
          <w:rFonts w:eastAsiaTheme="minorHAnsi"/>
          <w:sz w:val="26"/>
          <w:szCs w:val="26"/>
        </w:rPr>
        <w:t xml:space="preserve"> single COSS </w:t>
      </w:r>
      <w:r w:rsidR="00D62F0C" w:rsidRPr="00F56D54">
        <w:rPr>
          <w:rFonts w:eastAsiaTheme="minorHAnsi"/>
          <w:sz w:val="26"/>
          <w:szCs w:val="26"/>
        </w:rPr>
        <w:t>was required</w:t>
      </w:r>
      <w:r w:rsidR="00BA215B" w:rsidRPr="00F56D54">
        <w:rPr>
          <w:rFonts w:eastAsiaTheme="minorHAnsi"/>
          <w:sz w:val="26"/>
          <w:szCs w:val="26"/>
        </w:rPr>
        <w:t xml:space="preserve"> as a prerequisite to approval of a “black box” settlement of the revenue al</w:t>
      </w:r>
      <w:r w:rsidR="0056544B" w:rsidRPr="00F56D54">
        <w:rPr>
          <w:rFonts w:eastAsiaTheme="minorHAnsi"/>
          <w:sz w:val="26"/>
          <w:szCs w:val="26"/>
        </w:rPr>
        <w:t>location among customer classes</w:t>
      </w:r>
      <w:r w:rsidR="00D62F0C" w:rsidRPr="00F56D54">
        <w:rPr>
          <w:rFonts w:eastAsiaTheme="minorHAnsi"/>
          <w:sz w:val="26"/>
          <w:szCs w:val="26"/>
        </w:rPr>
        <w:t xml:space="preserve">.  Therefore, PCLPC, I&amp;E and the OCA </w:t>
      </w:r>
      <w:r w:rsidR="00362040" w:rsidRPr="00F56D54">
        <w:rPr>
          <w:rFonts w:eastAsiaTheme="minorHAnsi"/>
          <w:sz w:val="26"/>
          <w:szCs w:val="26"/>
        </w:rPr>
        <w:t xml:space="preserve">maintain that </w:t>
      </w:r>
      <w:r w:rsidR="00D62F0C" w:rsidRPr="00F56D54">
        <w:rPr>
          <w:rFonts w:eastAsiaTheme="minorHAnsi"/>
          <w:sz w:val="26"/>
          <w:szCs w:val="26"/>
        </w:rPr>
        <w:t>the ALJ did not commit reversible error by app</w:t>
      </w:r>
      <w:r w:rsidR="00362040" w:rsidRPr="00F56D54">
        <w:rPr>
          <w:rFonts w:eastAsiaTheme="minorHAnsi"/>
          <w:sz w:val="26"/>
          <w:szCs w:val="26"/>
        </w:rPr>
        <w:t>r</w:t>
      </w:r>
      <w:r w:rsidR="00D62F0C" w:rsidRPr="00F56D54">
        <w:rPr>
          <w:rFonts w:eastAsiaTheme="minorHAnsi"/>
          <w:sz w:val="26"/>
          <w:szCs w:val="26"/>
        </w:rPr>
        <w:t>oving the</w:t>
      </w:r>
      <w:r w:rsidR="00362040" w:rsidRPr="00F56D54">
        <w:rPr>
          <w:rFonts w:eastAsiaTheme="minorHAnsi"/>
          <w:sz w:val="26"/>
          <w:szCs w:val="26"/>
        </w:rPr>
        <w:t xml:space="preserve"> Rate Design Settlement.</w:t>
      </w:r>
      <w:r w:rsidR="00F56D54" w:rsidRPr="00F56D54">
        <w:rPr>
          <w:rFonts w:eastAsiaTheme="minorHAnsi"/>
          <w:sz w:val="26"/>
          <w:szCs w:val="26"/>
        </w:rPr>
        <w:t xml:space="preserve">  </w:t>
      </w:r>
      <w:r w:rsidR="00406825" w:rsidRPr="00F56D54">
        <w:rPr>
          <w:rFonts w:eastAsiaTheme="minorHAnsi"/>
          <w:sz w:val="26"/>
          <w:szCs w:val="26"/>
        </w:rPr>
        <w:t>PCLPC R. Exc</w:t>
      </w:r>
      <w:r w:rsidR="00406825" w:rsidRPr="00B43549">
        <w:rPr>
          <w:rFonts w:eastAsiaTheme="minorHAnsi"/>
          <w:sz w:val="26"/>
          <w:szCs w:val="26"/>
        </w:rPr>
        <w:t>. at</w:t>
      </w:r>
      <w:r w:rsidR="00746A39" w:rsidRPr="00B43549">
        <w:rPr>
          <w:rFonts w:eastAsiaTheme="minorHAnsi"/>
          <w:sz w:val="26"/>
          <w:szCs w:val="26"/>
        </w:rPr>
        <w:t xml:space="preserve"> </w:t>
      </w:r>
      <w:r w:rsidR="00960B69" w:rsidRPr="00B43549">
        <w:rPr>
          <w:rFonts w:eastAsiaTheme="minorHAnsi"/>
          <w:sz w:val="26"/>
          <w:szCs w:val="26"/>
        </w:rPr>
        <w:t>2-5</w:t>
      </w:r>
      <w:r w:rsidR="00406825" w:rsidRPr="00B43549">
        <w:rPr>
          <w:rFonts w:eastAsiaTheme="minorHAnsi"/>
          <w:sz w:val="26"/>
          <w:szCs w:val="26"/>
        </w:rPr>
        <w:t xml:space="preserve">; </w:t>
      </w:r>
      <w:r w:rsidR="00A91566" w:rsidRPr="00B43549">
        <w:rPr>
          <w:rFonts w:eastAsiaTheme="minorHAnsi"/>
          <w:sz w:val="26"/>
          <w:szCs w:val="26"/>
        </w:rPr>
        <w:t>I&amp;E R. Exc. at</w:t>
      </w:r>
      <w:r w:rsidR="00746A39" w:rsidRPr="00B43549">
        <w:rPr>
          <w:rFonts w:eastAsiaTheme="minorHAnsi"/>
          <w:sz w:val="26"/>
          <w:szCs w:val="26"/>
        </w:rPr>
        <w:t xml:space="preserve"> 3-8</w:t>
      </w:r>
      <w:r w:rsidR="00A91566" w:rsidRPr="00B43549">
        <w:rPr>
          <w:rFonts w:eastAsiaTheme="minorHAnsi"/>
          <w:sz w:val="26"/>
          <w:szCs w:val="26"/>
        </w:rPr>
        <w:t>; OCA R. Exc. at</w:t>
      </w:r>
      <w:r w:rsidR="00B43549" w:rsidRPr="00B43549">
        <w:rPr>
          <w:rFonts w:eastAsiaTheme="minorHAnsi"/>
          <w:sz w:val="26"/>
          <w:szCs w:val="26"/>
        </w:rPr>
        <w:t xml:space="preserve"> 1-6</w:t>
      </w:r>
      <w:r w:rsidR="00A91566" w:rsidRPr="00B43549">
        <w:rPr>
          <w:rFonts w:eastAsiaTheme="minorHAnsi"/>
          <w:sz w:val="26"/>
          <w:szCs w:val="26"/>
        </w:rPr>
        <w:t>.</w:t>
      </w:r>
      <w:r w:rsidR="00A91566" w:rsidRPr="00F56D54">
        <w:rPr>
          <w:rFonts w:eastAsiaTheme="minorHAnsi"/>
          <w:sz w:val="26"/>
          <w:szCs w:val="26"/>
        </w:rPr>
        <w:t xml:space="preserve">  </w:t>
      </w:r>
    </w:p>
    <w:p w14:paraId="34B163B7" w14:textId="77777777" w:rsidR="00642314" w:rsidRPr="00F56D54" w:rsidRDefault="00642314" w:rsidP="00D07BB7">
      <w:pPr>
        <w:keepNext/>
        <w:widowControl/>
        <w:spacing w:line="360" w:lineRule="auto"/>
        <w:ind w:firstLine="1440"/>
        <w:rPr>
          <w:b/>
          <w:bCs/>
          <w:sz w:val="26"/>
          <w:szCs w:val="26"/>
        </w:rPr>
      </w:pPr>
    </w:p>
    <w:p w14:paraId="6E73E75D" w14:textId="06F7C8C1" w:rsidR="00010442" w:rsidRPr="00F56D54" w:rsidRDefault="003F0B43" w:rsidP="00D07BB7">
      <w:pPr>
        <w:keepNext/>
        <w:widowControl/>
        <w:spacing w:line="360" w:lineRule="auto"/>
        <w:rPr>
          <w:b/>
          <w:bCs/>
          <w:sz w:val="26"/>
          <w:szCs w:val="26"/>
        </w:rPr>
      </w:pPr>
      <w:r w:rsidRPr="00F56D54">
        <w:rPr>
          <w:b/>
          <w:bCs/>
          <w:sz w:val="26"/>
          <w:szCs w:val="26"/>
        </w:rPr>
        <w:tab/>
        <w:t xml:space="preserve">5. </w:t>
      </w:r>
      <w:r w:rsidR="00F56D54" w:rsidRPr="00F56D54">
        <w:rPr>
          <w:b/>
          <w:bCs/>
          <w:sz w:val="26"/>
          <w:szCs w:val="26"/>
        </w:rPr>
        <w:tab/>
      </w:r>
      <w:r w:rsidRPr="00F56D54">
        <w:rPr>
          <w:b/>
          <w:bCs/>
          <w:sz w:val="26"/>
          <w:szCs w:val="26"/>
        </w:rPr>
        <w:t>Dispositio</w:t>
      </w:r>
      <w:r w:rsidR="00010442" w:rsidRPr="00F56D54">
        <w:rPr>
          <w:b/>
          <w:bCs/>
          <w:sz w:val="26"/>
          <w:szCs w:val="26"/>
        </w:rPr>
        <w:t xml:space="preserve">n </w:t>
      </w:r>
    </w:p>
    <w:p w14:paraId="125243AA" w14:textId="77777777" w:rsidR="00010442" w:rsidRPr="00F56D54" w:rsidRDefault="00010442" w:rsidP="00D07BB7">
      <w:pPr>
        <w:keepNext/>
        <w:widowControl/>
        <w:spacing w:line="360" w:lineRule="auto"/>
        <w:rPr>
          <w:b/>
          <w:bCs/>
          <w:sz w:val="26"/>
          <w:szCs w:val="26"/>
        </w:rPr>
      </w:pPr>
    </w:p>
    <w:p w14:paraId="78B9F244" w14:textId="3E92D951" w:rsidR="00FE09DA" w:rsidRPr="00F56D54" w:rsidRDefault="00A155E9" w:rsidP="00D07BB7">
      <w:pPr>
        <w:keepNext/>
        <w:widowControl/>
        <w:spacing w:line="360" w:lineRule="auto"/>
        <w:ind w:firstLine="1440"/>
        <w:rPr>
          <w:rFonts w:eastAsia="Calibri"/>
          <w:sz w:val="26"/>
          <w:szCs w:val="26"/>
        </w:rPr>
      </w:pPr>
      <w:r w:rsidRPr="00F56D54">
        <w:rPr>
          <w:rFonts w:eastAsia="Calibri"/>
          <w:sz w:val="26"/>
          <w:szCs w:val="26"/>
        </w:rPr>
        <w:t>Based upon our review</w:t>
      </w:r>
      <w:r w:rsidR="00950A35" w:rsidRPr="00F56D54">
        <w:rPr>
          <w:rFonts w:eastAsia="Calibri"/>
          <w:sz w:val="26"/>
          <w:szCs w:val="26"/>
        </w:rPr>
        <w:t>, and a</w:t>
      </w:r>
      <w:r w:rsidR="00F84205" w:rsidRPr="00F56D54">
        <w:rPr>
          <w:rFonts w:eastAsia="Calibri"/>
          <w:sz w:val="26"/>
          <w:szCs w:val="26"/>
        </w:rPr>
        <w:t>s discussed in more detail</w:t>
      </w:r>
      <w:r w:rsidR="00E3169E" w:rsidRPr="00F56D54">
        <w:rPr>
          <w:rFonts w:eastAsia="Calibri"/>
          <w:sz w:val="26"/>
          <w:szCs w:val="26"/>
        </w:rPr>
        <w:t>,</w:t>
      </w:r>
      <w:r w:rsidR="00F84205" w:rsidRPr="00F56D54">
        <w:rPr>
          <w:rFonts w:eastAsia="Calibri"/>
          <w:sz w:val="26"/>
          <w:szCs w:val="26"/>
        </w:rPr>
        <w:t xml:space="preserve"> </w:t>
      </w:r>
      <w:r w:rsidR="00F84205" w:rsidRPr="00F56D54">
        <w:rPr>
          <w:rFonts w:eastAsia="Calibri"/>
          <w:i/>
          <w:iCs/>
          <w:sz w:val="26"/>
          <w:szCs w:val="26"/>
        </w:rPr>
        <w:t>infra</w:t>
      </w:r>
      <w:r w:rsidR="00F84205" w:rsidRPr="00F56D54">
        <w:rPr>
          <w:rFonts w:eastAsia="Calibri"/>
          <w:sz w:val="26"/>
          <w:szCs w:val="26"/>
        </w:rPr>
        <w:t xml:space="preserve">, having thoroughly reviewed </w:t>
      </w:r>
      <w:r w:rsidR="00011F39" w:rsidRPr="00F56D54">
        <w:rPr>
          <w:rFonts w:eastAsia="Calibri"/>
          <w:sz w:val="26"/>
          <w:szCs w:val="26"/>
        </w:rPr>
        <w:t>PCLPC</w:t>
      </w:r>
      <w:r w:rsidR="00950A35" w:rsidRPr="00F56D54">
        <w:rPr>
          <w:rFonts w:eastAsia="Calibri"/>
          <w:sz w:val="26"/>
          <w:szCs w:val="26"/>
        </w:rPr>
        <w:t xml:space="preserve">’s </w:t>
      </w:r>
      <w:r w:rsidR="00F84205" w:rsidRPr="00F56D54">
        <w:rPr>
          <w:rFonts w:eastAsia="Calibri"/>
          <w:sz w:val="26"/>
          <w:szCs w:val="26"/>
        </w:rPr>
        <w:t xml:space="preserve">rate filing, the supporting evidence of record, and the proposed rates </w:t>
      </w:r>
      <w:r w:rsidR="00182B39" w:rsidRPr="00F56D54">
        <w:rPr>
          <w:rFonts w:eastAsia="Calibri"/>
          <w:sz w:val="26"/>
          <w:szCs w:val="26"/>
        </w:rPr>
        <w:t xml:space="preserve">and rate </w:t>
      </w:r>
      <w:r w:rsidR="001349B7">
        <w:rPr>
          <w:rFonts w:eastAsia="Calibri"/>
          <w:sz w:val="26"/>
          <w:szCs w:val="26"/>
        </w:rPr>
        <w:t xml:space="preserve">structure and </w:t>
      </w:r>
      <w:r w:rsidR="00182B39" w:rsidRPr="00F56D54">
        <w:rPr>
          <w:rFonts w:eastAsia="Calibri"/>
          <w:sz w:val="26"/>
          <w:szCs w:val="26"/>
        </w:rPr>
        <w:t xml:space="preserve">design </w:t>
      </w:r>
      <w:r w:rsidR="00F84205" w:rsidRPr="00F56D54">
        <w:rPr>
          <w:rFonts w:eastAsia="Calibri"/>
          <w:sz w:val="26"/>
          <w:szCs w:val="26"/>
        </w:rPr>
        <w:t xml:space="preserve">in the </w:t>
      </w:r>
      <w:r w:rsidR="007F2627">
        <w:rPr>
          <w:rFonts w:eastAsia="Calibri"/>
          <w:sz w:val="26"/>
          <w:szCs w:val="26"/>
        </w:rPr>
        <w:t xml:space="preserve">Rate Design </w:t>
      </w:r>
      <w:r w:rsidR="00F84205" w:rsidRPr="00F56D54">
        <w:rPr>
          <w:rFonts w:eastAsia="Calibri"/>
          <w:sz w:val="26"/>
          <w:szCs w:val="26"/>
        </w:rPr>
        <w:t xml:space="preserve">Settlement, </w:t>
      </w:r>
      <w:r w:rsidR="006D4A68">
        <w:rPr>
          <w:rFonts w:eastAsia="Calibri"/>
          <w:sz w:val="26"/>
          <w:szCs w:val="26"/>
        </w:rPr>
        <w:t>the Recommended Decision</w:t>
      </w:r>
      <w:r w:rsidR="009D4B4D">
        <w:rPr>
          <w:rFonts w:eastAsia="Calibri"/>
          <w:sz w:val="26"/>
          <w:szCs w:val="26"/>
        </w:rPr>
        <w:t xml:space="preserve">, and </w:t>
      </w:r>
      <w:r w:rsidR="008F2DEB" w:rsidRPr="00F56D54">
        <w:rPr>
          <w:rFonts w:eastAsia="Calibri"/>
          <w:sz w:val="26"/>
          <w:szCs w:val="26"/>
        </w:rPr>
        <w:t>the OSB</w:t>
      </w:r>
      <w:r w:rsidR="007D2C1E">
        <w:rPr>
          <w:rFonts w:eastAsia="Calibri"/>
          <w:sz w:val="26"/>
          <w:szCs w:val="26"/>
        </w:rPr>
        <w:t>A</w:t>
      </w:r>
      <w:r w:rsidR="009B61D3" w:rsidRPr="00F56D54">
        <w:rPr>
          <w:rFonts w:eastAsia="Calibri"/>
          <w:sz w:val="26"/>
          <w:szCs w:val="26"/>
        </w:rPr>
        <w:t>’s</w:t>
      </w:r>
      <w:r w:rsidR="008F2DEB" w:rsidRPr="00F56D54">
        <w:rPr>
          <w:rFonts w:eastAsia="Calibri"/>
          <w:sz w:val="26"/>
          <w:szCs w:val="26"/>
        </w:rPr>
        <w:t xml:space="preserve"> Exceptions and Replies thereto, </w:t>
      </w:r>
      <w:r w:rsidR="00F84205" w:rsidRPr="00F56D54">
        <w:rPr>
          <w:rFonts w:eastAsia="Calibri"/>
          <w:sz w:val="26"/>
          <w:szCs w:val="26"/>
        </w:rPr>
        <w:t xml:space="preserve">we conclude that it is in the best interest of the public to approve the </w:t>
      </w:r>
      <w:r w:rsidR="00182B39" w:rsidRPr="00F56D54">
        <w:rPr>
          <w:rFonts w:eastAsia="Calibri"/>
          <w:sz w:val="26"/>
          <w:szCs w:val="26"/>
        </w:rPr>
        <w:t xml:space="preserve">Rate Design </w:t>
      </w:r>
      <w:r w:rsidR="00B322B7" w:rsidRPr="00F56D54">
        <w:rPr>
          <w:rFonts w:eastAsia="Calibri"/>
          <w:sz w:val="26"/>
          <w:szCs w:val="26"/>
        </w:rPr>
        <w:t>Settlement</w:t>
      </w:r>
      <w:r w:rsidR="00182B39" w:rsidRPr="00F56D54">
        <w:rPr>
          <w:rFonts w:eastAsia="Calibri"/>
          <w:sz w:val="26"/>
          <w:szCs w:val="26"/>
        </w:rPr>
        <w:t>.  Therefore, we shall deny the Exceptions of the OSBA</w:t>
      </w:r>
      <w:r w:rsidR="0004623E" w:rsidRPr="00F56D54">
        <w:rPr>
          <w:rFonts w:eastAsia="Calibri"/>
          <w:sz w:val="26"/>
          <w:szCs w:val="26"/>
        </w:rPr>
        <w:t xml:space="preserve">, </w:t>
      </w:r>
      <w:r w:rsidR="00C43CFD">
        <w:rPr>
          <w:rFonts w:eastAsia="Calibri"/>
          <w:sz w:val="26"/>
          <w:szCs w:val="26"/>
        </w:rPr>
        <w:t xml:space="preserve">adopt the ALJ’s recommendation </w:t>
      </w:r>
      <w:r w:rsidR="0004623E" w:rsidRPr="00F56D54">
        <w:rPr>
          <w:rFonts w:eastAsia="Calibri"/>
          <w:sz w:val="26"/>
          <w:szCs w:val="26"/>
        </w:rPr>
        <w:t>and approve the Rate Design Settl</w:t>
      </w:r>
      <w:r w:rsidR="00B322B7" w:rsidRPr="00F56D54">
        <w:rPr>
          <w:rFonts w:eastAsia="Calibri"/>
          <w:sz w:val="26"/>
          <w:szCs w:val="26"/>
        </w:rPr>
        <w:t>e</w:t>
      </w:r>
      <w:r w:rsidR="0004623E" w:rsidRPr="00F56D54">
        <w:rPr>
          <w:rFonts w:eastAsia="Calibri"/>
          <w:sz w:val="26"/>
          <w:szCs w:val="26"/>
        </w:rPr>
        <w:t>ment</w:t>
      </w:r>
      <w:r w:rsidR="004C28B3">
        <w:rPr>
          <w:rFonts w:eastAsia="Calibri"/>
          <w:sz w:val="26"/>
          <w:szCs w:val="26"/>
        </w:rPr>
        <w:t>.</w:t>
      </w:r>
      <w:r w:rsidR="0004623E" w:rsidRPr="00F56D54">
        <w:rPr>
          <w:rFonts w:eastAsia="Calibri"/>
          <w:sz w:val="26"/>
          <w:szCs w:val="26"/>
        </w:rPr>
        <w:t xml:space="preserve">  </w:t>
      </w:r>
    </w:p>
    <w:p w14:paraId="472F6ECD" w14:textId="43B7788E" w:rsidR="00FA335B" w:rsidRPr="00F56D54" w:rsidRDefault="00FA335B" w:rsidP="00F56D54">
      <w:pPr>
        <w:keepNext/>
        <w:widowControl/>
        <w:spacing w:line="360" w:lineRule="auto"/>
        <w:ind w:firstLine="1440"/>
        <w:rPr>
          <w:rFonts w:eastAsia="Calibri"/>
          <w:sz w:val="26"/>
          <w:szCs w:val="26"/>
          <w:highlight w:val="yellow"/>
        </w:rPr>
      </w:pPr>
    </w:p>
    <w:p w14:paraId="3C2EEED9" w14:textId="5ED5CD0F" w:rsidR="00F84205" w:rsidRPr="00F56D54" w:rsidRDefault="00F84205" w:rsidP="00F56D54">
      <w:pPr>
        <w:keepNext/>
        <w:widowControl/>
        <w:spacing w:line="360" w:lineRule="auto"/>
        <w:ind w:firstLine="1440"/>
        <w:rPr>
          <w:rFonts w:eastAsia="Calibri"/>
          <w:sz w:val="26"/>
          <w:szCs w:val="26"/>
          <w:highlight w:val="yellow"/>
        </w:rPr>
      </w:pPr>
      <w:r w:rsidRPr="00F56D54">
        <w:rPr>
          <w:rFonts w:eastAsia="Calibri"/>
          <w:sz w:val="26"/>
          <w:szCs w:val="26"/>
        </w:rPr>
        <w:t xml:space="preserve">In taking this action, we concur with the </w:t>
      </w:r>
      <w:r w:rsidR="004D1124" w:rsidRPr="00F56D54">
        <w:rPr>
          <w:rFonts w:eastAsia="Calibri"/>
          <w:sz w:val="26"/>
          <w:szCs w:val="26"/>
        </w:rPr>
        <w:t>PCLPC, I&amp;E</w:t>
      </w:r>
      <w:r w:rsidR="00305A1B" w:rsidRPr="00F56D54">
        <w:rPr>
          <w:rFonts w:eastAsia="Calibri"/>
          <w:sz w:val="26"/>
          <w:szCs w:val="26"/>
        </w:rPr>
        <w:t xml:space="preserve">, </w:t>
      </w:r>
      <w:r w:rsidR="004D1124" w:rsidRPr="00F56D54">
        <w:rPr>
          <w:rFonts w:eastAsia="Calibri"/>
          <w:sz w:val="26"/>
          <w:szCs w:val="26"/>
        </w:rPr>
        <w:t xml:space="preserve">the OCA </w:t>
      </w:r>
      <w:r w:rsidRPr="00F56D54">
        <w:rPr>
          <w:rFonts w:eastAsia="Calibri"/>
          <w:sz w:val="26"/>
          <w:szCs w:val="26"/>
        </w:rPr>
        <w:t xml:space="preserve">and the ALJ that </w:t>
      </w:r>
      <w:r w:rsidR="007C661B" w:rsidRPr="00F56D54">
        <w:rPr>
          <w:rFonts w:eastAsia="Calibri"/>
          <w:sz w:val="26"/>
          <w:szCs w:val="26"/>
        </w:rPr>
        <w:t>the</w:t>
      </w:r>
      <w:r w:rsidRPr="00F56D54">
        <w:rPr>
          <w:rFonts w:eastAsia="Calibri"/>
          <w:sz w:val="26"/>
          <w:szCs w:val="26"/>
        </w:rPr>
        <w:t xml:space="preserve"> provisions of </w:t>
      </w:r>
      <w:r w:rsidR="007C661B" w:rsidRPr="00F56D54">
        <w:rPr>
          <w:rFonts w:eastAsia="Calibri"/>
          <w:sz w:val="26"/>
          <w:szCs w:val="26"/>
        </w:rPr>
        <w:t>Rate Design Settlement</w:t>
      </w:r>
      <w:r w:rsidR="00A84D51" w:rsidRPr="00F56D54">
        <w:rPr>
          <w:rFonts w:eastAsia="Calibri"/>
          <w:sz w:val="26"/>
          <w:szCs w:val="26"/>
        </w:rPr>
        <w:t>,</w:t>
      </w:r>
      <w:r w:rsidRPr="00F56D54">
        <w:rPr>
          <w:rFonts w:eastAsia="Calibri"/>
          <w:sz w:val="26"/>
          <w:szCs w:val="26"/>
        </w:rPr>
        <w:t xml:space="preserve"> </w:t>
      </w:r>
      <w:r w:rsidR="00A84D51" w:rsidRPr="00F56D54">
        <w:rPr>
          <w:rFonts w:eastAsiaTheme="minorHAnsi"/>
          <w:sz w:val="26"/>
          <w:szCs w:val="26"/>
        </w:rPr>
        <w:t xml:space="preserve">in these circumstances, achieve a just </w:t>
      </w:r>
      <w:r w:rsidR="00A84D51" w:rsidRPr="00F56D54">
        <w:rPr>
          <w:rFonts w:eastAsiaTheme="minorHAnsi"/>
          <w:sz w:val="26"/>
          <w:szCs w:val="26"/>
        </w:rPr>
        <w:lastRenderedPageBreak/>
        <w:t>and reasonable rate increase among PCLPC’s customer classes, which was supported by substantial evidence of record and is in the public interest.</w:t>
      </w:r>
    </w:p>
    <w:p w14:paraId="2CACA233" w14:textId="77777777" w:rsidR="00F84205" w:rsidRPr="00F56D54" w:rsidRDefault="00F84205" w:rsidP="00F56D54">
      <w:pPr>
        <w:widowControl/>
        <w:spacing w:line="360" w:lineRule="auto"/>
        <w:contextualSpacing/>
        <w:rPr>
          <w:b/>
          <w:sz w:val="26"/>
          <w:szCs w:val="26"/>
          <w:highlight w:val="yellow"/>
        </w:rPr>
      </w:pPr>
    </w:p>
    <w:p w14:paraId="28F50F58" w14:textId="2B04038E" w:rsidR="00F84205" w:rsidRDefault="00F84205" w:rsidP="00CC48DF">
      <w:pPr>
        <w:widowControl/>
        <w:spacing w:line="360" w:lineRule="auto"/>
        <w:ind w:firstLine="1440"/>
        <w:contextualSpacing/>
        <w:rPr>
          <w:bCs/>
          <w:sz w:val="26"/>
          <w:szCs w:val="26"/>
        </w:rPr>
      </w:pPr>
      <w:r w:rsidRPr="00F56D54">
        <w:rPr>
          <w:bCs/>
          <w:sz w:val="26"/>
          <w:szCs w:val="26"/>
        </w:rPr>
        <w:t>We note that our disposition of the</w:t>
      </w:r>
      <w:r w:rsidR="009D4B4D">
        <w:rPr>
          <w:bCs/>
          <w:sz w:val="26"/>
          <w:szCs w:val="26"/>
        </w:rPr>
        <w:t xml:space="preserve"> Rate Design Settlement</w:t>
      </w:r>
      <w:r w:rsidRPr="00F56D54">
        <w:rPr>
          <w:bCs/>
          <w:sz w:val="26"/>
          <w:szCs w:val="26"/>
        </w:rPr>
        <w:t xml:space="preserve"> in this case requires our consideration whether a nonunanimous settlement is just and reasonable and in the public interest.  It is understood that, per </w:t>
      </w:r>
      <w:r w:rsidRPr="00F56D54">
        <w:rPr>
          <w:i/>
          <w:iCs/>
          <w:sz w:val="26"/>
          <w:szCs w:val="26"/>
        </w:rPr>
        <w:t>Popowsky II</w:t>
      </w:r>
      <w:r w:rsidRPr="00CC48DF">
        <w:rPr>
          <w:sz w:val="26"/>
          <w:szCs w:val="26"/>
        </w:rPr>
        <w:t>,</w:t>
      </w:r>
      <w:r w:rsidRPr="00F56D54">
        <w:rPr>
          <w:bCs/>
          <w:sz w:val="26"/>
          <w:szCs w:val="26"/>
        </w:rPr>
        <w:t xml:space="preserve"> in rate proceedings, the Commission ha</w:t>
      </w:r>
      <w:r w:rsidR="00A641F9" w:rsidRPr="00F56D54">
        <w:rPr>
          <w:bCs/>
          <w:sz w:val="26"/>
          <w:szCs w:val="26"/>
        </w:rPr>
        <w:t>s</w:t>
      </w:r>
      <w:r w:rsidRPr="00F56D54">
        <w:rPr>
          <w:bCs/>
          <w:sz w:val="26"/>
          <w:szCs w:val="26"/>
        </w:rPr>
        <w:t xml:space="preserve"> broad discretion to determine what factors are relevant to consider and what weight is to be given to those factors, when determining whether the proposed rate increase should be approved.  Therefore, while the standard for approval of a partial or nonunanimous settlement remains whether the settlement is reasonable and in the public interest </w:t>
      </w:r>
      <w:r w:rsidRPr="00F56D54">
        <w:rPr>
          <w:bCs/>
          <w:i/>
          <w:iCs/>
          <w:sz w:val="26"/>
          <w:szCs w:val="26"/>
        </w:rPr>
        <w:t>per</w:t>
      </w:r>
      <w:r w:rsidRPr="00F56D54">
        <w:rPr>
          <w:bCs/>
          <w:sz w:val="26"/>
          <w:szCs w:val="26"/>
        </w:rPr>
        <w:t xml:space="preserve"> </w:t>
      </w:r>
      <w:r w:rsidRPr="00F56D54">
        <w:rPr>
          <w:i/>
          <w:iCs/>
          <w:sz w:val="26"/>
          <w:szCs w:val="26"/>
        </w:rPr>
        <w:t>Pa.</w:t>
      </w:r>
      <w:r w:rsidR="0093332F" w:rsidRPr="00F56D54">
        <w:rPr>
          <w:i/>
          <w:iCs/>
          <w:sz w:val="26"/>
          <w:szCs w:val="26"/>
        </w:rPr>
        <w:t> </w:t>
      </w:r>
      <w:r w:rsidRPr="00F56D54">
        <w:rPr>
          <w:i/>
          <w:iCs/>
          <w:sz w:val="26"/>
          <w:szCs w:val="26"/>
        </w:rPr>
        <w:t>PUC v. Philadelphia Electric Company</w:t>
      </w:r>
      <w:r w:rsidRPr="00F56D54">
        <w:rPr>
          <w:bCs/>
          <w:sz w:val="26"/>
          <w:szCs w:val="26"/>
        </w:rPr>
        <w:t xml:space="preserve">, the Commission’s discretion continues to include consideration of whatever factors are deemed relevant in a given case per </w:t>
      </w:r>
      <w:r w:rsidRPr="00F56D54">
        <w:rPr>
          <w:i/>
          <w:iCs/>
          <w:sz w:val="26"/>
          <w:szCs w:val="26"/>
        </w:rPr>
        <w:t>Popowsky II</w:t>
      </w:r>
      <w:r w:rsidRPr="00F56D54">
        <w:rPr>
          <w:bCs/>
          <w:sz w:val="26"/>
          <w:szCs w:val="26"/>
        </w:rPr>
        <w:t xml:space="preserve">.  Such factors may be weighed differently as the Commission deems appropriate in the given circumstances.  </w:t>
      </w:r>
    </w:p>
    <w:p w14:paraId="54091DAD" w14:textId="77777777" w:rsidR="00D07BB7" w:rsidRPr="00F56D54" w:rsidRDefault="00D07BB7" w:rsidP="00CC48DF">
      <w:pPr>
        <w:widowControl/>
        <w:spacing w:line="360" w:lineRule="auto"/>
        <w:ind w:firstLine="1440"/>
        <w:contextualSpacing/>
        <w:rPr>
          <w:bCs/>
          <w:sz w:val="26"/>
          <w:szCs w:val="26"/>
        </w:rPr>
      </w:pPr>
    </w:p>
    <w:p w14:paraId="4F334D9E" w14:textId="22A7CC33" w:rsidR="00F84205" w:rsidRPr="00D04914" w:rsidRDefault="00F84205" w:rsidP="00CC48DF">
      <w:pPr>
        <w:widowControl/>
        <w:spacing w:line="360" w:lineRule="auto"/>
        <w:ind w:firstLine="1440"/>
        <w:contextualSpacing/>
        <w:rPr>
          <w:rFonts w:eastAsia="Calibri"/>
          <w:sz w:val="26"/>
          <w:szCs w:val="26"/>
        </w:rPr>
      </w:pPr>
      <w:r w:rsidRPr="00F56D54">
        <w:rPr>
          <w:bCs/>
          <w:sz w:val="26"/>
          <w:szCs w:val="26"/>
        </w:rPr>
        <w:t xml:space="preserve">Turning now to the </w:t>
      </w:r>
      <w:r w:rsidR="00EE6356" w:rsidRPr="00F56D54">
        <w:rPr>
          <w:bCs/>
          <w:sz w:val="26"/>
          <w:szCs w:val="26"/>
        </w:rPr>
        <w:t xml:space="preserve">Rate Design </w:t>
      </w:r>
      <w:r w:rsidRPr="00F56D54">
        <w:rPr>
          <w:bCs/>
          <w:sz w:val="26"/>
          <w:szCs w:val="26"/>
        </w:rPr>
        <w:t xml:space="preserve">Settlement in the present case, upon review, we shall approve </w:t>
      </w:r>
      <w:r w:rsidR="009D4B4D">
        <w:rPr>
          <w:bCs/>
          <w:sz w:val="26"/>
          <w:szCs w:val="26"/>
        </w:rPr>
        <w:t>it, without modification</w:t>
      </w:r>
      <w:r w:rsidRPr="00F56D54">
        <w:rPr>
          <w:bCs/>
          <w:sz w:val="26"/>
          <w:szCs w:val="26"/>
        </w:rPr>
        <w:t xml:space="preserve">.  </w:t>
      </w:r>
      <w:r w:rsidR="001E2BC5" w:rsidRPr="00F56D54">
        <w:rPr>
          <w:bCs/>
          <w:sz w:val="26"/>
          <w:szCs w:val="26"/>
        </w:rPr>
        <w:t>W</w:t>
      </w:r>
      <w:r w:rsidRPr="00F56D54">
        <w:rPr>
          <w:bCs/>
          <w:sz w:val="26"/>
          <w:szCs w:val="26"/>
        </w:rPr>
        <w:t xml:space="preserve">e find that all the Parties were afforded due process in this proceeding, and that the </w:t>
      </w:r>
      <w:r w:rsidR="005A714C">
        <w:rPr>
          <w:bCs/>
          <w:sz w:val="26"/>
          <w:szCs w:val="26"/>
        </w:rPr>
        <w:t xml:space="preserve">single issue raised </w:t>
      </w:r>
      <w:r w:rsidRPr="00F56D54">
        <w:rPr>
          <w:bCs/>
          <w:sz w:val="26"/>
          <w:szCs w:val="26"/>
        </w:rPr>
        <w:t>by the</w:t>
      </w:r>
      <w:r w:rsidR="00EE6356" w:rsidRPr="00F56D54">
        <w:rPr>
          <w:bCs/>
          <w:sz w:val="26"/>
          <w:szCs w:val="26"/>
        </w:rPr>
        <w:t xml:space="preserve"> OSBA </w:t>
      </w:r>
      <w:r w:rsidRPr="00F56D54">
        <w:rPr>
          <w:bCs/>
          <w:sz w:val="26"/>
          <w:szCs w:val="26"/>
        </w:rPr>
        <w:t>d</w:t>
      </w:r>
      <w:r w:rsidR="00EC315D">
        <w:rPr>
          <w:bCs/>
          <w:sz w:val="26"/>
          <w:szCs w:val="26"/>
        </w:rPr>
        <w:t xml:space="preserve">oes </w:t>
      </w:r>
      <w:r w:rsidRPr="00F56D54">
        <w:rPr>
          <w:bCs/>
          <w:sz w:val="26"/>
          <w:szCs w:val="26"/>
        </w:rPr>
        <w:t xml:space="preserve">not </w:t>
      </w:r>
      <w:r w:rsidR="00EC315D">
        <w:rPr>
          <w:bCs/>
          <w:sz w:val="26"/>
          <w:szCs w:val="26"/>
        </w:rPr>
        <w:t xml:space="preserve">establish </w:t>
      </w:r>
      <w:r w:rsidRPr="00F56D54">
        <w:rPr>
          <w:bCs/>
          <w:sz w:val="26"/>
          <w:szCs w:val="26"/>
        </w:rPr>
        <w:t xml:space="preserve">a basis to undermine our finding that the </w:t>
      </w:r>
      <w:r w:rsidR="00EC315D">
        <w:rPr>
          <w:bCs/>
          <w:sz w:val="26"/>
          <w:szCs w:val="26"/>
        </w:rPr>
        <w:t xml:space="preserve">Rate Design </w:t>
      </w:r>
      <w:r w:rsidRPr="00F56D54">
        <w:rPr>
          <w:bCs/>
          <w:sz w:val="26"/>
          <w:szCs w:val="26"/>
        </w:rPr>
        <w:t xml:space="preserve">Settlement </w:t>
      </w:r>
      <w:r w:rsidR="00F136E9">
        <w:rPr>
          <w:bCs/>
          <w:sz w:val="26"/>
          <w:szCs w:val="26"/>
        </w:rPr>
        <w:t>is</w:t>
      </w:r>
      <w:r w:rsidRPr="00F56D54">
        <w:rPr>
          <w:bCs/>
          <w:sz w:val="26"/>
          <w:szCs w:val="26"/>
        </w:rPr>
        <w:t xml:space="preserve"> reasonable and in the public intertest.  </w:t>
      </w:r>
      <w:r w:rsidRPr="00F56D54">
        <w:rPr>
          <w:rFonts w:eastAsia="Calibri"/>
          <w:bCs/>
          <w:sz w:val="26"/>
          <w:szCs w:val="26"/>
        </w:rPr>
        <w:t>In</w:t>
      </w:r>
      <w:r w:rsidRPr="00F56D54">
        <w:rPr>
          <w:rFonts w:eastAsia="Calibri"/>
          <w:sz w:val="26"/>
          <w:szCs w:val="26"/>
        </w:rPr>
        <w:t xml:space="preserve"> the present case, the </w:t>
      </w:r>
      <w:r w:rsidR="00F136E9">
        <w:rPr>
          <w:rFonts w:eastAsia="Calibri"/>
          <w:sz w:val="26"/>
          <w:szCs w:val="26"/>
        </w:rPr>
        <w:t xml:space="preserve">Rate Design </w:t>
      </w:r>
      <w:r w:rsidRPr="00F56D54">
        <w:rPr>
          <w:rFonts w:eastAsia="Calibri"/>
          <w:sz w:val="26"/>
          <w:szCs w:val="26"/>
        </w:rPr>
        <w:t xml:space="preserve">Settlement provides a benefit to the ratepayers, by a reduction in the overall rate increase originally sought by </w:t>
      </w:r>
      <w:r w:rsidR="00011F39" w:rsidRPr="00F56D54">
        <w:rPr>
          <w:rFonts w:eastAsia="Calibri"/>
          <w:sz w:val="26"/>
          <w:szCs w:val="26"/>
        </w:rPr>
        <w:t>PCLPC</w:t>
      </w:r>
      <w:r w:rsidRPr="00F56D54">
        <w:rPr>
          <w:rFonts w:eastAsia="Calibri"/>
          <w:sz w:val="26"/>
          <w:szCs w:val="26"/>
        </w:rPr>
        <w:t xml:space="preserve"> and limiting the rate increase to an amount necessary for the </w:t>
      </w:r>
      <w:r w:rsidR="00011F39" w:rsidRPr="00F56D54">
        <w:rPr>
          <w:rFonts w:eastAsia="Calibri"/>
          <w:sz w:val="26"/>
          <w:szCs w:val="26"/>
        </w:rPr>
        <w:t>PCLPC</w:t>
      </w:r>
      <w:r w:rsidRPr="00F56D54">
        <w:rPr>
          <w:rFonts w:eastAsia="Calibri"/>
          <w:sz w:val="26"/>
          <w:szCs w:val="26"/>
        </w:rPr>
        <w:t xml:space="preserve"> to provide safe and reliable </w:t>
      </w:r>
      <w:r w:rsidR="00F12F8B" w:rsidRPr="00F56D54">
        <w:rPr>
          <w:rFonts w:eastAsia="Calibri"/>
          <w:sz w:val="26"/>
          <w:szCs w:val="26"/>
        </w:rPr>
        <w:t xml:space="preserve">electric </w:t>
      </w:r>
      <w:r w:rsidRPr="00F56D54">
        <w:rPr>
          <w:rFonts w:eastAsia="Calibri"/>
          <w:sz w:val="26"/>
          <w:szCs w:val="26"/>
        </w:rPr>
        <w:t>service to its customers.  R.D. at</w:t>
      </w:r>
      <w:r w:rsidR="00850D19">
        <w:rPr>
          <w:rFonts w:eastAsia="Calibri"/>
          <w:sz w:val="26"/>
          <w:szCs w:val="26"/>
        </w:rPr>
        <w:t xml:space="preserve"> </w:t>
      </w:r>
      <w:r w:rsidR="0097274A">
        <w:rPr>
          <w:rFonts w:eastAsia="Calibri"/>
          <w:sz w:val="26"/>
          <w:szCs w:val="26"/>
        </w:rPr>
        <w:t>36-42</w:t>
      </w:r>
      <w:r w:rsidRPr="0097274A">
        <w:rPr>
          <w:rFonts w:eastAsia="Calibri"/>
          <w:sz w:val="26"/>
          <w:szCs w:val="26"/>
        </w:rPr>
        <w:t xml:space="preserve">; </w:t>
      </w:r>
      <w:r w:rsidR="002260D1" w:rsidRPr="0097274A">
        <w:rPr>
          <w:rFonts w:eastAsia="Calibri"/>
          <w:sz w:val="26"/>
          <w:szCs w:val="26"/>
        </w:rPr>
        <w:t>P</w:t>
      </w:r>
      <w:r w:rsidR="002260D1" w:rsidRPr="00F56D54">
        <w:rPr>
          <w:rFonts w:eastAsia="Calibri"/>
          <w:sz w:val="26"/>
          <w:szCs w:val="26"/>
        </w:rPr>
        <w:t>CLPC</w:t>
      </w:r>
      <w:r w:rsidRPr="00F56D54">
        <w:rPr>
          <w:sz w:val="26"/>
          <w:szCs w:val="26"/>
        </w:rPr>
        <w:t xml:space="preserve"> Statement in </w:t>
      </w:r>
      <w:r w:rsidRPr="00D04914">
        <w:rPr>
          <w:sz w:val="26"/>
          <w:szCs w:val="26"/>
        </w:rPr>
        <w:t>Support at</w:t>
      </w:r>
      <w:r w:rsidR="00A751E8" w:rsidRPr="00D04914">
        <w:rPr>
          <w:sz w:val="26"/>
          <w:szCs w:val="26"/>
        </w:rPr>
        <w:t xml:space="preserve"> 1-5</w:t>
      </w:r>
      <w:r w:rsidRPr="00D04914">
        <w:rPr>
          <w:sz w:val="26"/>
          <w:szCs w:val="26"/>
        </w:rPr>
        <w:t>; I&amp;E Statement in Support at</w:t>
      </w:r>
      <w:r w:rsidR="00A751E8" w:rsidRPr="00D04914">
        <w:rPr>
          <w:sz w:val="26"/>
          <w:szCs w:val="26"/>
        </w:rPr>
        <w:t xml:space="preserve"> 1-7</w:t>
      </w:r>
      <w:r w:rsidR="00C34062">
        <w:rPr>
          <w:sz w:val="26"/>
          <w:szCs w:val="26"/>
        </w:rPr>
        <w:t>;</w:t>
      </w:r>
      <w:r w:rsidR="003D4233" w:rsidRPr="00D04914">
        <w:rPr>
          <w:sz w:val="26"/>
          <w:szCs w:val="26"/>
        </w:rPr>
        <w:t xml:space="preserve"> OCA Statement in Support</w:t>
      </w:r>
      <w:r w:rsidR="00E56375" w:rsidRPr="00D04914">
        <w:rPr>
          <w:sz w:val="26"/>
          <w:szCs w:val="26"/>
        </w:rPr>
        <w:t xml:space="preserve"> at</w:t>
      </w:r>
      <w:r w:rsidR="00D04914" w:rsidRPr="00D04914">
        <w:rPr>
          <w:sz w:val="26"/>
          <w:szCs w:val="26"/>
        </w:rPr>
        <w:t xml:space="preserve"> 1-4</w:t>
      </w:r>
      <w:r w:rsidRPr="00D04914">
        <w:rPr>
          <w:sz w:val="26"/>
          <w:szCs w:val="26"/>
        </w:rPr>
        <w:t>.</w:t>
      </w:r>
      <w:r w:rsidRPr="00D04914">
        <w:rPr>
          <w:rFonts w:eastAsia="Calibri"/>
          <w:sz w:val="26"/>
          <w:szCs w:val="26"/>
        </w:rPr>
        <w:t xml:space="preserve"> </w:t>
      </w:r>
    </w:p>
    <w:p w14:paraId="7E359729" w14:textId="77777777" w:rsidR="00F84205" w:rsidRPr="00D04914" w:rsidRDefault="00F84205" w:rsidP="00CC48DF">
      <w:pPr>
        <w:widowControl/>
        <w:spacing w:line="360" w:lineRule="auto"/>
        <w:ind w:firstLine="1440"/>
        <w:contextualSpacing/>
        <w:rPr>
          <w:b/>
          <w:sz w:val="26"/>
          <w:szCs w:val="26"/>
        </w:rPr>
      </w:pPr>
    </w:p>
    <w:p w14:paraId="68F50E42" w14:textId="72D164D3" w:rsidR="00F84205" w:rsidRPr="00F56D54" w:rsidRDefault="00F84205" w:rsidP="00CC48DF">
      <w:pPr>
        <w:widowControl/>
        <w:spacing w:line="360" w:lineRule="auto"/>
        <w:ind w:firstLine="1440"/>
        <w:rPr>
          <w:rFonts w:eastAsia="Calibri"/>
          <w:sz w:val="26"/>
          <w:szCs w:val="26"/>
          <w:highlight w:val="yellow"/>
        </w:rPr>
      </w:pPr>
      <w:r w:rsidRPr="00F56D54">
        <w:rPr>
          <w:rFonts w:eastAsia="Calibri"/>
          <w:sz w:val="26"/>
          <w:szCs w:val="26"/>
        </w:rPr>
        <w:t>While we acknowledge the rate increase</w:t>
      </w:r>
      <w:r w:rsidR="003D4233" w:rsidRPr="00F56D54">
        <w:rPr>
          <w:rFonts w:eastAsia="Calibri"/>
          <w:sz w:val="26"/>
          <w:szCs w:val="26"/>
        </w:rPr>
        <w:t xml:space="preserve"> </w:t>
      </w:r>
      <w:r w:rsidR="00F12F8B" w:rsidRPr="00F56D54">
        <w:rPr>
          <w:rFonts w:eastAsia="Calibri"/>
          <w:sz w:val="26"/>
          <w:szCs w:val="26"/>
        </w:rPr>
        <w:t xml:space="preserve">and rate design and structure </w:t>
      </w:r>
      <w:r w:rsidRPr="00F56D54">
        <w:rPr>
          <w:rFonts w:eastAsia="Calibri"/>
          <w:sz w:val="26"/>
          <w:szCs w:val="26"/>
        </w:rPr>
        <w:t xml:space="preserve">was achieved under the terms of a “black box” settlement, which does not necessarily attribute specific factors relied upon in the specified rate increase, we expressly find that </w:t>
      </w:r>
      <w:r w:rsidRPr="00F56D54">
        <w:rPr>
          <w:rFonts w:eastAsia="Calibri"/>
          <w:sz w:val="26"/>
          <w:szCs w:val="26"/>
        </w:rPr>
        <w:lastRenderedPageBreak/>
        <w:t xml:space="preserve">the substantial evidence of record supports the rate </w:t>
      </w:r>
      <w:r w:rsidR="00E56375" w:rsidRPr="00F56D54">
        <w:rPr>
          <w:rFonts w:eastAsia="Calibri"/>
          <w:sz w:val="26"/>
          <w:szCs w:val="26"/>
        </w:rPr>
        <w:t xml:space="preserve">structure and rate </w:t>
      </w:r>
      <w:r w:rsidR="00D824A3" w:rsidRPr="00F56D54">
        <w:rPr>
          <w:rFonts w:eastAsia="Calibri"/>
          <w:sz w:val="26"/>
          <w:szCs w:val="26"/>
        </w:rPr>
        <w:t xml:space="preserve">design </w:t>
      </w:r>
      <w:r w:rsidRPr="00F56D54">
        <w:rPr>
          <w:rFonts w:eastAsia="Calibri"/>
          <w:sz w:val="26"/>
          <w:szCs w:val="26"/>
        </w:rPr>
        <w:t xml:space="preserve">agreed to under the terms of the </w:t>
      </w:r>
      <w:r w:rsidR="00D824A3" w:rsidRPr="00F56D54">
        <w:rPr>
          <w:rFonts w:eastAsia="Calibri"/>
          <w:sz w:val="26"/>
          <w:szCs w:val="26"/>
        </w:rPr>
        <w:t xml:space="preserve">Rate Design </w:t>
      </w:r>
      <w:r w:rsidRPr="00F56D54">
        <w:rPr>
          <w:rFonts w:eastAsia="Calibri"/>
          <w:sz w:val="26"/>
          <w:szCs w:val="26"/>
        </w:rPr>
        <w:t xml:space="preserve">Settlement.  </w:t>
      </w:r>
    </w:p>
    <w:p w14:paraId="553B8153" w14:textId="66DD2BC9" w:rsidR="004E3777" w:rsidRPr="00F56D54" w:rsidRDefault="004E3777" w:rsidP="00F56D54">
      <w:pPr>
        <w:widowControl/>
        <w:spacing w:line="360" w:lineRule="auto"/>
        <w:ind w:firstLine="1440"/>
        <w:rPr>
          <w:rFonts w:eastAsia="Calibri"/>
          <w:sz w:val="26"/>
          <w:szCs w:val="26"/>
        </w:rPr>
      </w:pPr>
    </w:p>
    <w:p w14:paraId="73A440A1" w14:textId="5AF2A74A" w:rsidR="00B85871" w:rsidRPr="00F56D54" w:rsidRDefault="008243F6" w:rsidP="00F56D54">
      <w:pPr>
        <w:widowControl/>
        <w:spacing w:line="360" w:lineRule="auto"/>
        <w:ind w:firstLine="1440"/>
        <w:rPr>
          <w:rFonts w:eastAsia="Calibri"/>
          <w:sz w:val="26"/>
          <w:szCs w:val="26"/>
        </w:rPr>
      </w:pPr>
      <w:r w:rsidRPr="00F56D54">
        <w:rPr>
          <w:rFonts w:eastAsia="Calibri"/>
          <w:sz w:val="26"/>
          <w:szCs w:val="26"/>
        </w:rPr>
        <w:t xml:space="preserve">Further, </w:t>
      </w:r>
      <w:r w:rsidR="00664A93" w:rsidRPr="00F56D54">
        <w:rPr>
          <w:rFonts w:eastAsia="Calibri"/>
          <w:sz w:val="26"/>
          <w:szCs w:val="26"/>
        </w:rPr>
        <w:t xml:space="preserve">we agree with the ALJ’s finding that, considering the </w:t>
      </w:r>
      <w:r w:rsidR="008821B8" w:rsidRPr="00F56D54">
        <w:rPr>
          <w:rFonts w:eastAsia="Calibri"/>
          <w:sz w:val="26"/>
          <w:szCs w:val="26"/>
        </w:rPr>
        <w:t xml:space="preserve">positions of </w:t>
      </w:r>
      <w:r w:rsidR="00664A93" w:rsidRPr="00F56D54">
        <w:rPr>
          <w:rFonts w:eastAsia="Calibri"/>
          <w:sz w:val="26"/>
          <w:szCs w:val="26"/>
        </w:rPr>
        <w:t>the Parties</w:t>
      </w:r>
      <w:r w:rsidR="00AE7E41" w:rsidRPr="00F56D54">
        <w:rPr>
          <w:rFonts w:eastAsia="Calibri"/>
          <w:sz w:val="26"/>
          <w:szCs w:val="26"/>
        </w:rPr>
        <w:t xml:space="preserve"> summarized on pages </w:t>
      </w:r>
      <w:r w:rsidR="005225EF" w:rsidRPr="00F56D54">
        <w:rPr>
          <w:rFonts w:eastAsia="Calibri"/>
          <w:sz w:val="26"/>
          <w:szCs w:val="26"/>
        </w:rPr>
        <w:t xml:space="preserve">30 </w:t>
      </w:r>
      <w:r w:rsidR="00AE7E41" w:rsidRPr="00F56D54">
        <w:rPr>
          <w:rFonts w:eastAsia="Calibri"/>
          <w:sz w:val="26"/>
          <w:szCs w:val="26"/>
        </w:rPr>
        <w:t xml:space="preserve">through </w:t>
      </w:r>
      <w:r w:rsidR="005225EF" w:rsidRPr="00F56D54">
        <w:rPr>
          <w:rFonts w:eastAsia="Calibri"/>
          <w:sz w:val="26"/>
          <w:szCs w:val="26"/>
        </w:rPr>
        <w:t>44</w:t>
      </w:r>
      <w:r w:rsidR="00AE7E41" w:rsidRPr="00F56D54">
        <w:rPr>
          <w:rFonts w:eastAsia="Calibri"/>
          <w:sz w:val="26"/>
          <w:szCs w:val="26"/>
        </w:rPr>
        <w:t xml:space="preserve"> of the ALJ’s Recommended Decision</w:t>
      </w:r>
      <w:r w:rsidR="00664A93" w:rsidRPr="00F56D54">
        <w:rPr>
          <w:rFonts w:eastAsia="Calibri"/>
          <w:sz w:val="26"/>
          <w:szCs w:val="26"/>
        </w:rPr>
        <w:t xml:space="preserve">, the revenue allocation and rate design provided for under the </w:t>
      </w:r>
      <w:r w:rsidR="008821B8" w:rsidRPr="00F56D54">
        <w:rPr>
          <w:rFonts w:eastAsia="Calibri"/>
          <w:sz w:val="26"/>
          <w:szCs w:val="26"/>
        </w:rPr>
        <w:t xml:space="preserve">Rate Design </w:t>
      </w:r>
      <w:r w:rsidR="00664A93" w:rsidRPr="00F56D54">
        <w:rPr>
          <w:rFonts w:eastAsia="Calibri"/>
          <w:sz w:val="26"/>
          <w:szCs w:val="26"/>
        </w:rPr>
        <w:t xml:space="preserve">Settlement is an appropriate resolution of </w:t>
      </w:r>
      <w:r w:rsidR="00C47823" w:rsidRPr="00F56D54">
        <w:rPr>
          <w:rFonts w:eastAsia="Calibri"/>
          <w:sz w:val="26"/>
          <w:szCs w:val="26"/>
        </w:rPr>
        <w:t xml:space="preserve">the issue, falling within a range of </w:t>
      </w:r>
      <w:r w:rsidR="00664A93" w:rsidRPr="00F56D54">
        <w:rPr>
          <w:rFonts w:eastAsia="Calibri"/>
          <w:sz w:val="26"/>
          <w:szCs w:val="26"/>
        </w:rPr>
        <w:t>the Parties’ positions</w:t>
      </w:r>
      <w:r w:rsidR="00F24840" w:rsidRPr="00F56D54">
        <w:rPr>
          <w:rFonts w:eastAsia="Calibri"/>
          <w:sz w:val="26"/>
          <w:szCs w:val="26"/>
        </w:rPr>
        <w:t>, as presented by their respective experts</w:t>
      </w:r>
      <w:r w:rsidR="00A905BC" w:rsidRPr="00F56D54">
        <w:rPr>
          <w:rFonts w:eastAsia="Calibri"/>
          <w:sz w:val="26"/>
          <w:szCs w:val="26"/>
        </w:rPr>
        <w:t>.</w:t>
      </w:r>
      <w:r w:rsidR="00664A93" w:rsidRPr="00F56D54">
        <w:rPr>
          <w:rFonts w:eastAsia="Calibri"/>
          <w:sz w:val="26"/>
          <w:szCs w:val="26"/>
        </w:rPr>
        <w:t xml:space="preserve">  </w:t>
      </w:r>
      <w:r w:rsidR="00664A93" w:rsidRPr="00F56D54">
        <w:rPr>
          <w:rFonts w:eastAsia="Calibri"/>
          <w:i/>
          <w:iCs/>
          <w:sz w:val="26"/>
          <w:szCs w:val="26"/>
        </w:rPr>
        <w:t>See</w:t>
      </w:r>
      <w:r w:rsidR="00664A93" w:rsidRPr="00F56D54">
        <w:rPr>
          <w:rFonts w:eastAsia="Calibri"/>
          <w:sz w:val="26"/>
          <w:szCs w:val="26"/>
        </w:rPr>
        <w:t xml:space="preserve"> R.D. at</w:t>
      </w:r>
      <w:r w:rsidR="005225EF" w:rsidRPr="00F56D54">
        <w:rPr>
          <w:rFonts w:eastAsia="Calibri"/>
          <w:sz w:val="26"/>
          <w:szCs w:val="26"/>
        </w:rPr>
        <w:t xml:space="preserve"> </w:t>
      </w:r>
      <w:r w:rsidR="000722B2" w:rsidRPr="00F56D54">
        <w:rPr>
          <w:rFonts w:eastAsia="Calibri"/>
          <w:sz w:val="26"/>
          <w:szCs w:val="26"/>
        </w:rPr>
        <w:t>30-</w:t>
      </w:r>
      <w:r w:rsidR="008456B0">
        <w:rPr>
          <w:rFonts w:eastAsia="Calibri"/>
          <w:sz w:val="26"/>
          <w:szCs w:val="26"/>
        </w:rPr>
        <w:t>50</w:t>
      </w:r>
      <w:r w:rsidR="00664A93" w:rsidRPr="00F56D54">
        <w:rPr>
          <w:rFonts w:eastAsia="Calibri"/>
          <w:sz w:val="26"/>
          <w:szCs w:val="26"/>
        </w:rPr>
        <w:t>.</w:t>
      </w:r>
      <w:r w:rsidR="00266167" w:rsidRPr="00F56D54">
        <w:rPr>
          <w:rFonts w:eastAsia="Calibri"/>
          <w:sz w:val="26"/>
          <w:szCs w:val="26"/>
        </w:rPr>
        <w:t xml:space="preserve">  </w:t>
      </w:r>
    </w:p>
    <w:p w14:paraId="26085438" w14:textId="2893B872" w:rsidR="00082CE6" w:rsidRPr="00F56D54" w:rsidRDefault="00082CE6" w:rsidP="00F56D54">
      <w:pPr>
        <w:widowControl/>
        <w:spacing w:line="360" w:lineRule="auto"/>
        <w:ind w:firstLine="1440"/>
        <w:rPr>
          <w:rFonts w:eastAsia="Calibri"/>
          <w:sz w:val="26"/>
          <w:szCs w:val="26"/>
        </w:rPr>
      </w:pPr>
    </w:p>
    <w:p w14:paraId="4617A78F" w14:textId="12A01682" w:rsidR="00082CE6" w:rsidRPr="00F56D54" w:rsidRDefault="00D377DE" w:rsidP="00F56D54">
      <w:pPr>
        <w:widowControl/>
        <w:spacing w:line="360" w:lineRule="auto"/>
        <w:ind w:firstLine="1440"/>
        <w:rPr>
          <w:sz w:val="26"/>
          <w:szCs w:val="26"/>
        </w:rPr>
      </w:pPr>
      <w:r w:rsidRPr="00F56D54">
        <w:rPr>
          <w:rFonts w:eastAsia="Calibri"/>
          <w:sz w:val="26"/>
          <w:szCs w:val="26"/>
        </w:rPr>
        <w:t xml:space="preserve">We disagree with the OSBA’s argument that the negotiated settlement </w:t>
      </w:r>
      <w:r w:rsidR="0095434E" w:rsidRPr="00F56D54">
        <w:rPr>
          <w:rFonts w:eastAsia="Calibri"/>
          <w:sz w:val="26"/>
          <w:szCs w:val="26"/>
        </w:rPr>
        <w:t>achieved</w:t>
      </w:r>
      <w:r w:rsidRPr="00F56D54">
        <w:rPr>
          <w:rFonts w:eastAsia="Calibri"/>
          <w:sz w:val="26"/>
          <w:szCs w:val="26"/>
        </w:rPr>
        <w:t xml:space="preserve"> under the Rate Design Settlement is not supported by substantial evidence.</w:t>
      </w:r>
      <w:r w:rsidR="00FB3C72" w:rsidRPr="00F56D54">
        <w:rPr>
          <w:rFonts w:eastAsia="Calibri"/>
          <w:sz w:val="26"/>
          <w:szCs w:val="26"/>
        </w:rPr>
        <w:t xml:space="preserve">  </w:t>
      </w:r>
      <w:r w:rsidR="0014483E" w:rsidRPr="00F56D54">
        <w:rPr>
          <w:rFonts w:eastAsia="Calibri"/>
          <w:sz w:val="26"/>
          <w:szCs w:val="26"/>
        </w:rPr>
        <w:t xml:space="preserve">We find the OSBA’s position, that the ALJ was required to approve and rely upon a single </w:t>
      </w:r>
      <w:r w:rsidR="00B62B41" w:rsidRPr="00F56D54">
        <w:rPr>
          <w:rFonts w:eastAsia="Calibri"/>
          <w:sz w:val="26"/>
          <w:szCs w:val="26"/>
        </w:rPr>
        <w:t xml:space="preserve">COSS among those proffered by the </w:t>
      </w:r>
      <w:r w:rsidR="00DD1E60">
        <w:rPr>
          <w:rFonts w:eastAsia="Calibri"/>
          <w:sz w:val="26"/>
          <w:szCs w:val="26"/>
        </w:rPr>
        <w:t>P</w:t>
      </w:r>
      <w:r w:rsidR="00B62B41" w:rsidRPr="00F56D54">
        <w:rPr>
          <w:rFonts w:eastAsia="Calibri"/>
          <w:sz w:val="26"/>
          <w:szCs w:val="26"/>
        </w:rPr>
        <w:t xml:space="preserve">arties, in order to approve the “black box” </w:t>
      </w:r>
      <w:r w:rsidR="00DA1A30" w:rsidRPr="00F56D54">
        <w:rPr>
          <w:rFonts w:eastAsia="Calibri"/>
          <w:sz w:val="26"/>
          <w:szCs w:val="26"/>
        </w:rPr>
        <w:t xml:space="preserve">compromise rate structure and rate design achieved under the Rate Design Settlement, to be without merit. </w:t>
      </w:r>
      <w:r w:rsidR="003D4625" w:rsidRPr="00F56D54">
        <w:rPr>
          <w:rFonts w:eastAsia="Calibri"/>
          <w:sz w:val="26"/>
          <w:szCs w:val="26"/>
        </w:rPr>
        <w:t xml:space="preserve"> To the contrary, we approve the </w:t>
      </w:r>
      <w:r w:rsidR="0093068B">
        <w:rPr>
          <w:rFonts w:eastAsia="Calibri"/>
          <w:sz w:val="26"/>
          <w:szCs w:val="26"/>
        </w:rPr>
        <w:t>P</w:t>
      </w:r>
      <w:r w:rsidR="003D4625" w:rsidRPr="00F56D54">
        <w:rPr>
          <w:rFonts w:eastAsia="Calibri"/>
          <w:sz w:val="26"/>
          <w:szCs w:val="26"/>
        </w:rPr>
        <w:t xml:space="preserve">arties’ efforts at reaching a reasonable and just resolution of the allocation of revenues </w:t>
      </w:r>
      <w:r w:rsidR="007A5A7D" w:rsidRPr="00F56D54">
        <w:rPr>
          <w:rFonts w:eastAsia="Calibri"/>
          <w:sz w:val="26"/>
          <w:szCs w:val="26"/>
        </w:rPr>
        <w:t xml:space="preserve">based upon agreement within the range of possible outcomes argued by the </w:t>
      </w:r>
      <w:r w:rsidR="00972ECF">
        <w:rPr>
          <w:rFonts w:eastAsia="Calibri"/>
          <w:sz w:val="26"/>
          <w:szCs w:val="26"/>
        </w:rPr>
        <w:t>P</w:t>
      </w:r>
      <w:r w:rsidR="007A5A7D" w:rsidRPr="00F56D54">
        <w:rPr>
          <w:rFonts w:eastAsia="Calibri"/>
          <w:sz w:val="26"/>
          <w:szCs w:val="26"/>
        </w:rPr>
        <w:t>arties and supported by th</w:t>
      </w:r>
      <w:r w:rsidR="004B2E8A" w:rsidRPr="00F56D54">
        <w:rPr>
          <w:rFonts w:eastAsia="Calibri"/>
          <w:sz w:val="26"/>
          <w:szCs w:val="26"/>
        </w:rPr>
        <w:t xml:space="preserve">eir </w:t>
      </w:r>
      <w:r w:rsidR="007A5A7D" w:rsidRPr="00F56D54">
        <w:rPr>
          <w:rFonts w:eastAsia="Calibri"/>
          <w:sz w:val="26"/>
          <w:szCs w:val="26"/>
        </w:rPr>
        <w:t>respective expert</w:t>
      </w:r>
      <w:r w:rsidR="004B2E8A" w:rsidRPr="00F56D54">
        <w:rPr>
          <w:rFonts w:eastAsia="Calibri"/>
          <w:sz w:val="26"/>
          <w:szCs w:val="26"/>
        </w:rPr>
        <w:t xml:space="preserve">’s </w:t>
      </w:r>
      <w:r w:rsidR="007A5A7D" w:rsidRPr="00F56D54">
        <w:rPr>
          <w:rFonts w:eastAsia="Calibri"/>
          <w:sz w:val="26"/>
          <w:szCs w:val="26"/>
        </w:rPr>
        <w:t>testimony.</w:t>
      </w:r>
      <w:r w:rsidR="00F56D54" w:rsidRPr="00F56D54">
        <w:rPr>
          <w:rFonts w:eastAsia="Calibri"/>
          <w:sz w:val="26"/>
          <w:szCs w:val="26"/>
        </w:rPr>
        <w:t xml:space="preserve">  </w:t>
      </w:r>
    </w:p>
    <w:p w14:paraId="4D2FF381" w14:textId="77777777" w:rsidR="00782880" w:rsidRPr="00F56D54" w:rsidRDefault="00782880" w:rsidP="00F56D54">
      <w:pPr>
        <w:widowControl/>
        <w:spacing w:line="360" w:lineRule="auto"/>
        <w:ind w:firstLine="1440"/>
        <w:rPr>
          <w:rFonts w:eastAsia="Calibri"/>
          <w:sz w:val="26"/>
          <w:szCs w:val="26"/>
          <w:highlight w:val="yellow"/>
        </w:rPr>
      </w:pPr>
    </w:p>
    <w:p w14:paraId="7AFBFA68" w14:textId="28B41132" w:rsidR="00F84205" w:rsidRDefault="00F84205" w:rsidP="005A1638">
      <w:pPr>
        <w:widowControl/>
        <w:spacing w:line="360" w:lineRule="auto"/>
        <w:ind w:firstLine="1440"/>
        <w:rPr>
          <w:rFonts w:eastAsia="Calibri"/>
          <w:sz w:val="26"/>
          <w:szCs w:val="26"/>
        </w:rPr>
      </w:pPr>
      <w:r w:rsidRPr="00F56D54">
        <w:rPr>
          <w:rFonts w:eastAsia="Calibri"/>
          <w:sz w:val="26"/>
          <w:szCs w:val="26"/>
        </w:rPr>
        <w:t xml:space="preserve">Viewed in its entirety, the </w:t>
      </w:r>
      <w:r w:rsidR="00AF48FA" w:rsidRPr="00F56D54">
        <w:rPr>
          <w:rFonts w:eastAsia="Calibri"/>
          <w:sz w:val="26"/>
          <w:szCs w:val="26"/>
        </w:rPr>
        <w:t xml:space="preserve">Rate Design Settlement </w:t>
      </w:r>
      <w:r w:rsidRPr="00F56D54">
        <w:rPr>
          <w:rFonts w:eastAsia="Calibri"/>
          <w:sz w:val="26"/>
          <w:szCs w:val="26"/>
        </w:rPr>
        <w:t xml:space="preserve">fairly and equitably resolves the issues impacting residential consumers, business customers, and the public interest at large and represents a fair balance of the interests of </w:t>
      </w:r>
      <w:r w:rsidR="00AF48FA" w:rsidRPr="00F56D54">
        <w:rPr>
          <w:rFonts w:eastAsia="Calibri"/>
          <w:sz w:val="26"/>
          <w:szCs w:val="26"/>
        </w:rPr>
        <w:t>PCLPC</w:t>
      </w:r>
      <w:r w:rsidR="00B97B60" w:rsidRPr="00F56D54">
        <w:rPr>
          <w:rFonts w:eastAsia="Calibri"/>
          <w:sz w:val="26"/>
          <w:szCs w:val="26"/>
        </w:rPr>
        <w:t xml:space="preserve"> </w:t>
      </w:r>
      <w:r w:rsidRPr="00F56D54">
        <w:rPr>
          <w:rFonts w:eastAsia="Calibri"/>
          <w:sz w:val="26"/>
          <w:szCs w:val="26"/>
        </w:rPr>
        <w:t xml:space="preserve">and its customers.  </w:t>
      </w:r>
    </w:p>
    <w:p w14:paraId="1F048501" w14:textId="77777777" w:rsidR="005A1638" w:rsidRPr="00F56D54" w:rsidRDefault="005A1638" w:rsidP="005A1638">
      <w:pPr>
        <w:widowControl/>
        <w:spacing w:line="360" w:lineRule="auto"/>
        <w:ind w:firstLine="1440"/>
        <w:rPr>
          <w:rFonts w:eastAsia="Calibri"/>
          <w:sz w:val="26"/>
          <w:szCs w:val="26"/>
          <w:highlight w:val="yellow"/>
        </w:rPr>
      </w:pPr>
    </w:p>
    <w:p w14:paraId="1E6E8DFF" w14:textId="5970CBC5" w:rsidR="00012897" w:rsidRPr="00F56D54" w:rsidRDefault="00F84205" w:rsidP="00F56D54">
      <w:pPr>
        <w:widowControl/>
        <w:spacing w:line="360" w:lineRule="auto"/>
        <w:ind w:firstLine="1440"/>
        <w:rPr>
          <w:rFonts w:eastAsia="Calibri"/>
          <w:sz w:val="26"/>
          <w:szCs w:val="26"/>
        </w:rPr>
      </w:pPr>
      <w:r w:rsidRPr="00F56D54">
        <w:rPr>
          <w:rFonts w:eastAsia="Calibri"/>
          <w:sz w:val="26"/>
          <w:szCs w:val="26"/>
        </w:rPr>
        <w:t xml:space="preserve">Additionally, we find that the Settlement will result in significant savings of time and expenses for all Parties involved by reducing or avoiding the necessity of further administrative proceedings, as well as reducing or avoiding the need for possible appellate court proceedings, thereby conserving administrative resources.  Further, the </w:t>
      </w:r>
      <w:r w:rsidR="005A1638">
        <w:rPr>
          <w:rFonts w:eastAsia="Calibri"/>
          <w:sz w:val="26"/>
          <w:szCs w:val="26"/>
        </w:rPr>
        <w:t xml:space="preserve">Rate Design </w:t>
      </w:r>
      <w:r w:rsidRPr="00F56D54">
        <w:rPr>
          <w:rFonts w:eastAsia="Calibri"/>
          <w:sz w:val="26"/>
          <w:szCs w:val="26"/>
        </w:rPr>
        <w:t>Settlement provides regulatory certainty with respect to the disposition of issues which benefits all</w:t>
      </w:r>
      <w:r w:rsidR="004C28B3">
        <w:rPr>
          <w:rFonts w:eastAsia="Calibri"/>
          <w:sz w:val="26"/>
          <w:szCs w:val="26"/>
        </w:rPr>
        <w:t xml:space="preserve"> the parties.  </w:t>
      </w:r>
      <w:r w:rsidRPr="00F56D54">
        <w:rPr>
          <w:rFonts w:eastAsia="Calibri"/>
          <w:sz w:val="26"/>
          <w:szCs w:val="26"/>
        </w:rPr>
        <w:t xml:space="preserve">For the reasons stated herein and in the </w:t>
      </w:r>
      <w:r w:rsidR="00AF657B" w:rsidRPr="00F56D54">
        <w:rPr>
          <w:rFonts w:eastAsia="Calibri"/>
          <w:sz w:val="26"/>
          <w:szCs w:val="26"/>
        </w:rPr>
        <w:t>Rate</w:t>
      </w:r>
      <w:r w:rsidR="00777A2A" w:rsidRPr="00F56D54">
        <w:rPr>
          <w:rFonts w:eastAsia="Calibri"/>
          <w:sz w:val="26"/>
          <w:szCs w:val="26"/>
        </w:rPr>
        <w:t xml:space="preserve"> Design </w:t>
      </w:r>
      <w:r w:rsidRPr="00F56D54">
        <w:rPr>
          <w:rFonts w:eastAsia="Calibri"/>
          <w:sz w:val="26"/>
          <w:szCs w:val="26"/>
        </w:rPr>
        <w:lastRenderedPageBreak/>
        <w:t xml:space="preserve">Petitioners’ Statements in Support, we concur with the ALJ’s conclusion that the </w:t>
      </w:r>
      <w:r w:rsidR="000609DB">
        <w:rPr>
          <w:rFonts w:eastAsia="Calibri"/>
          <w:sz w:val="26"/>
          <w:szCs w:val="26"/>
        </w:rPr>
        <w:t xml:space="preserve">Rate Design </w:t>
      </w:r>
      <w:r w:rsidRPr="00F56D54">
        <w:rPr>
          <w:rFonts w:eastAsia="Calibri"/>
          <w:sz w:val="26"/>
          <w:szCs w:val="26"/>
        </w:rPr>
        <w:t xml:space="preserve">Settlement is supported by substantial evidence and is in the public interest. </w:t>
      </w:r>
      <w:r w:rsidR="00F56D54" w:rsidRPr="00F56D54">
        <w:rPr>
          <w:rFonts w:eastAsia="Calibri"/>
          <w:sz w:val="26"/>
          <w:szCs w:val="26"/>
        </w:rPr>
        <w:t xml:space="preserve"> </w:t>
      </w:r>
      <w:r w:rsidRPr="00F56D54">
        <w:rPr>
          <w:rFonts w:eastAsia="Calibri"/>
          <w:sz w:val="26"/>
          <w:szCs w:val="26"/>
        </w:rPr>
        <w:t xml:space="preserve">Accordingly, we shall adopt the ALJ’s Recommended Decision that </w:t>
      </w:r>
      <w:r w:rsidR="00833731" w:rsidRPr="00F56D54">
        <w:rPr>
          <w:rFonts w:eastAsia="Calibri"/>
          <w:sz w:val="26"/>
          <w:szCs w:val="26"/>
        </w:rPr>
        <w:t xml:space="preserve">approves </w:t>
      </w:r>
      <w:r w:rsidRPr="00F56D54">
        <w:rPr>
          <w:rFonts w:eastAsia="Calibri"/>
          <w:sz w:val="26"/>
          <w:szCs w:val="26"/>
        </w:rPr>
        <w:t xml:space="preserve">the </w:t>
      </w:r>
      <w:r w:rsidR="00AB61FB" w:rsidRPr="00F56D54">
        <w:rPr>
          <w:rFonts w:eastAsia="Calibri"/>
          <w:sz w:val="26"/>
          <w:szCs w:val="26"/>
        </w:rPr>
        <w:t xml:space="preserve">Rate </w:t>
      </w:r>
      <w:r w:rsidR="00833731" w:rsidRPr="00F56D54">
        <w:rPr>
          <w:rFonts w:eastAsia="Calibri"/>
          <w:sz w:val="26"/>
          <w:szCs w:val="26"/>
        </w:rPr>
        <w:t xml:space="preserve">Design </w:t>
      </w:r>
      <w:r w:rsidR="00AB61FB" w:rsidRPr="00F56D54">
        <w:rPr>
          <w:rFonts w:eastAsia="Calibri"/>
          <w:sz w:val="26"/>
          <w:szCs w:val="26"/>
        </w:rPr>
        <w:t>Settlem</w:t>
      </w:r>
      <w:r w:rsidR="00833731" w:rsidRPr="00F56D54">
        <w:rPr>
          <w:rFonts w:eastAsia="Calibri"/>
          <w:sz w:val="26"/>
          <w:szCs w:val="26"/>
        </w:rPr>
        <w:t>e</w:t>
      </w:r>
      <w:r w:rsidR="00AB61FB" w:rsidRPr="00F56D54">
        <w:rPr>
          <w:rFonts w:eastAsia="Calibri"/>
          <w:sz w:val="26"/>
          <w:szCs w:val="26"/>
        </w:rPr>
        <w:t>nt</w:t>
      </w:r>
      <w:r w:rsidR="000609DB">
        <w:rPr>
          <w:rFonts w:eastAsia="Calibri"/>
          <w:sz w:val="26"/>
          <w:szCs w:val="26"/>
        </w:rPr>
        <w:t>, without modification</w:t>
      </w:r>
      <w:r w:rsidRPr="00F56D54">
        <w:rPr>
          <w:rFonts w:eastAsia="Calibri"/>
          <w:sz w:val="26"/>
          <w:szCs w:val="26"/>
        </w:rPr>
        <w:t>.</w:t>
      </w:r>
    </w:p>
    <w:p w14:paraId="34D0F02B" w14:textId="77777777" w:rsidR="00A5621C" w:rsidRPr="00F56D54" w:rsidRDefault="00A5621C" w:rsidP="00F56D54">
      <w:pPr>
        <w:widowControl/>
        <w:spacing w:line="360" w:lineRule="auto"/>
        <w:ind w:firstLine="1440"/>
        <w:rPr>
          <w:rFonts w:eastAsia="Calibri"/>
          <w:sz w:val="26"/>
          <w:szCs w:val="26"/>
        </w:rPr>
      </w:pPr>
    </w:p>
    <w:p w14:paraId="2650CB59" w14:textId="6D1C15B0" w:rsidR="00073000" w:rsidRPr="00F56D54" w:rsidRDefault="00073000" w:rsidP="00F56D54">
      <w:pPr>
        <w:pStyle w:val="Heading1"/>
        <w:keepNext/>
      </w:pPr>
      <w:bookmarkStart w:id="18" w:name="_Toc68587022"/>
      <w:r w:rsidRPr="00F56D54">
        <w:t>Conclusion</w:t>
      </w:r>
      <w:bookmarkEnd w:id="18"/>
    </w:p>
    <w:p w14:paraId="167B00AE" w14:textId="1D702AD8" w:rsidR="00A05D2B" w:rsidRPr="00F56D54" w:rsidRDefault="00A05D2B" w:rsidP="00F56D54">
      <w:pPr>
        <w:keepNext/>
        <w:widowControl/>
        <w:spacing w:line="360" w:lineRule="auto"/>
        <w:rPr>
          <w:sz w:val="26"/>
          <w:szCs w:val="26"/>
        </w:rPr>
      </w:pPr>
    </w:p>
    <w:p w14:paraId="73285AD6" w14:textId="31FBDAA2" w:rsidR="006067A0" w:rsidRPr="00F56D54" w:rsidRDefault="006067A0" w:rsidP="00F56D54">
      <w:pPr>
        <w:keepNext/>
        <w:widowControl/>
        <w:spacing w:line="360" w:lineRule="auto"/>
        <w:ind w:firstLine="1440"/>
        <w:rPr>
          <w:sz w:val="26"/>
          <w:szCs w:val="26"/>
        </w:rPr>
      </w:pPr>
      <w:r w:rsidRPr="00F56D54">
        <w:rPr>
          <w:color w:val="000000"/>
          <w:sz w:val="26"/>
          <w:szCs w:val="26"/>
        </w:rPr>
        <w:t xml:space="preserve">Based upon our review and analysis of the record </w:t>
      </w:r>
      <w:r w:rsidR="00911DEC" w:rsidRPr="00F56D54">
        <w:rPr>
          <w:color w:val="000000"/>
          <w:sz w:val="26"/>
          <w:szCs w:val="26"/>
        </w:rPr>
        <w:t>and the positions of the Parties</w:t>
      </w:r>
      <w:r w:rsidRPr="00F56D54">
        <w:rPr>
          <w:color w:val="000000"/>
          <w:sz w:val="26"/>
          <w:szCs w:val="26"/>
        </w:rPr>
        <w:t>, we</w:t>
      </w:r>
      <w:r w:rsidRPr="00F56D54">
        <w:rPr>
          <w:sz w:val="26"/>
          <w:szCs w:val="26"/>
        </w:rPr>
        <w:t xml:space="preserve"> shall</w:t>
      </w:r>
      <w:r w:rsidR="00911DEC" w:rsidRPr="00F56D54">
        <w:rPr>
          <w:sz w:val="26"/>
          <w:szCs w:val="26"/>
        </w:rPr>
        <w:t xml:space="preserve"> adopt </w:t>
      </w:r>
      <w:r w:rsidR="000A6364" w:rsidRPr="00F56D54">
        <w:rPr>
          <w:sz w:val="26"/>
          <w:szCs w:val="26"/>
        </w:rPr>
        <w:t xml:space="preserve">both the Revenue Settlement and the Rate Design Settlement </w:t>
      </w:r>
      <w:r w:rsidR="00911DEC" w:rsidRPr="00F56D54">
        <w:rPr>
          <w:sz w:val="26"/>
          <w:szCs w:val="26"/>
        </w:rPr>
        <w:t>as in the public interest.  Additionally, we shall:</w:t>
      </w:r>
      <w:r w:rsidR="00BF6E40" w:rsidRPr="00F56D54">
        <w:rPr>
          <w:sz w:val="26"/>
          <w:szCs w:val="26"/>
        </w:rPr>
        <w:t xml:space="preserve"> </w:t>
      </w:r>
      <w:r w:rsidR="00911DEC" w:rsidRPr="00F56D54">
        <w:rPr>
          <w:sz w:val="26"/>
          <w:szCs w:val="26"/>
        </w:rPr>
        <w:t xml:space="preserve">(1) deny, the Exceptions of the </w:t>
      </w:r>
      <w:r w:rsidR="00783EB2" w:rsidRPr="00F56D54">
        <w:rPr>
          <w:sz w:val="26"/>
          <w:szCs w:val="26"/>
        </w:rPr>
        <w:t>OSBA</w:t>
      </w:r>
      <w:r w:rsidR="00C92D4F" w:rsidRPr="00F56D54">
        <w:rPr>
          <w:sz w:val="26"/>
          <w:szCs w:val="26"/>
        </w:rPr>
        <w:t>;</w:t>
      </w:r>
      <w:r w:rsidR="00911DEC" w:rsidRPr="00F56D54">
        <w:rPr>
          <w:sz w:val="26"/>
          <w:szCs w:val="26"/>
        </w:rPr>
        <w:t xml:space="preserve"> and (2)</w:t>
      </w:r>
      <w:r w:rsidR="00CC48DF">
        <w:rPr>
          <w:sz w:val="26"/>
          <w:szCs w:val="26"/>
        </w:rPr>
        <w:t> </w:t>
      </w:r>
      <w:r w:rsidR="00911DEC" w:rsidRPr="00F56D54">
        <w:rPr>
          <w:sz w:val="26"/>
          <w:szCs w:val="26"/>
        </w:rPr>
        <w:t xml:space="preserve">adopt the ALJ’s Recommended Decision, </w:t>
      </w:r>
      <w:r w:rsidRPr="00F56D54">
        <w:rPr>
          <w:sz w:val="26"/>
          <w:szCs w:val="26"/>
        </w:rPr>
        <w:t xml:space="preserve">consistent with this Opinion and Order; </w:t>
      </w:r>
      <w:r w:rsidRPr="00F56D54">
        <w:rPr>
          <w:b/>
          <w:sz w:val="26"/>
          <w:szCs w:val="26"/>
        </w:rPr>
        <w:t>THEREFORE,</w:t>
      </w:r>
    </w:p>
    <w:p w14:paraId="6F5595B8" w14:textId="40A02CC7" w:rsidR="00BA0F05" w:rsidRPr="00F56D54" w:rsidRDefault="00BA0F05" w:rsidP="00F56D54">
      <w:pPr>
        <w:widowControl/>
        <w:spacing w:line="360" w:lineRule="auto"/>
        <w:rPr>
          <w:sz w:val="26"/>
          <w:szCs w:val="26"/>
        </w:rPr>
      </w:pPr>
    </w:p>
    <w:p w14:paraId="3DD28D83" w14:textId="77777777" w:rsidR="006067A0" w:rsidRPr="00F56D54" w:rsidRDefault="006067A0" w:rsidP="00CC48DF">
      <w:pPr>
        <w:keepNext/>
        <w:widowControl/>
        <w:spacing w:after="200" w:line="360" w:lineRule="auto"/>
        <w:ind w:firstLine="1440"/>
        <w:contextualSpacing/>
        <w:rPr>
          <w:rFonts w:eastAsiaTheme="minorHAnsi"/>
          <w:b/>
          <w:sz w:val="26"/>
          <w:szCs w:val="26"/>
        </w:rPr>
      </w:pPr>
      <w:r w:rsidRPr="00F56D54">
        <w:rPr>
          <w:rFonts w:eastAsiaTheme="minorHAnsi"/>
          <w:b/>
          <w:sz w:val="26"/>
          <w:szCs w:val="26"/>
        </w:rPr>
        <w:t>IT IS ORDERED:</w:t>
      </w:r>
    </w:p>
    <w:p w14:paraId="518BA6CB" w14:textId="77777777" w:rsidR="006067A0" w:rsidRPr="00F56D54" w:rsidRDefault="006067A0" w:rsidP="00CC48DF">
      <w:pPr>
        <w:keepNext/>
        <w:widowControl/>
        <w:spacing w:after="200" w:line="360" w:lineRule="auto"/>
        <w:ind w:firstLine="1440"/>
        <w:contextualSpacing/>
        <w:rPr>
          <w:rFonts w:eastAsiaTheme="minorHAnsi"/>
          <w:sz w:val="26"/>
          <w:szCs w:val="26"/>
        </w:rPr>
      </w:pPr>
    </w:p>
    <w:p w14:paraId="758A892B" w14:textId="61936AD1" w:rsidR="006067A0" w:rsidRPr="00F56D54" w:rsidRDefault="006067A0" w:rsidP="00CC48DF">
      <w:pPr>
        <w:keepNext/>
        <w:widowControl/>
        <w:spacing w:after="200" w:line="360" w:lineRule="auto"/>
        <w:ind w:firstLine="1440"/>
        <w:contextualSpacing/>
        <w:rPr>
          <w:rFonts w:eastAsiaTheme="minorHAnsi"/>
          <w:sz w:val="26"/>
          <w:szCs w:val="26"/>
        </w:rPr>
      </w:pPr>
      <w:r w:rsidRPr="00F56D54">
        <w:rPr>
          <w:rFonts w:eastAsiaTheme="minorHAnsi"/>
          <w:sz w:val="26"/>
          <w:szCs w:val="26"/>
        </w:rPr>
        <w:t>1.</w:t>
      </w:r>
      <w:r w:rsidRPr="00F56D54">
        <w:rPr>
          <w:rFonts w:eastAsiaTheme="minorHAnsi"/>
          <w:sz w:val="26"/>
          <w:szCs w:val="26"/>
        </w:rPr>
        <w:tab/>
        <w:t>That the Exceptions of</w:t>
      </w:r>
      <w:r w:rsidR="00AD4F26" w:rsidRPr="00F56D54">
        <w:rPr>
          <w:rFonts w:eastAsiaTheme="minorHAnsi"/>
          <w:sz w:val="26"/>
          <w:szCs w:val="26"/>
        </w:rPr>
        <w:t xml:space="preserve"> the </w:t>
      </w:r>
      <w:r w:rsidR="00B07B86">
        <w:rPr>
          <w:rFonts w:eastAsiaTheme="minorHAnsi"/>
          <w:sz w:val="26"/>
          <w:szCs w:val="26"/>
        </w:rPr>
        <w:t xml:space="preserve">Office of </w:t>
      </w:r>
      <w:r w:rsidR="00B7265C" w:rsidRPr="00F56D54">
        <w:rPr>
          <w:rFonts w:eastAsiaTheme="minorHAnsi"/>
          <w:sz w:val="26"/>
          <w:szCs w:val="26"/>
        </w:rPr>
        <w:t xml:space="preserve">Small Business Advocate </w:t>
      </w:r>
      <w:r w:rsidRPr="00F56D54">
        <w:rPr>
          <w:rFonts w:eastAsiaTheme="minorHAnsi"/>
          <w:sz w:val="26"/>
          <w:szCs w:val="26"/>
        </w:rPr>
        <w:t>filed on</w:t>
      </w:r>
      <w:r w:rsidR="00AD4F26" w:rsidRPr="00F56D54">
        <w:rPr>
          <w:rFonts w:eastAsiaTheme="minorHAnsi"/>
          <w:sz w:val="26"/>
          <w:szCs w:val="26"/>
        </w:rPr>
        <w:t xml:space="preserve"> </w:t>
      </w:r>
      <w:r w:rsidR="00246603">
        <w:rPr>
          <w:rFonts w:eastAsiaTheme="minorHAnsi"/>
          <w:sz w:val="26"/>
          <w:szCs w:val="26"/>
        </w:rPr>
        <w:t xml:space="preserve">May 20, 2021, </w:t>
      </w:r>
      <w:r w:rsidR="00AD4F26" w:rsidRPr="00F56D54">
        <w:rPr>
          <w:rFonts w:eastAsiaTheme="minorHAnsi"/>
          <w:sz w:val="26"/>
          <w:szCs w:val="26"/>
        </w:rPr>
        <w:t xml:space="preserve">to the Recommended Decision of Administrative Law Judge </w:t>
      </w:r>
      <w:r w:rsidR="00B7265C" w:rsidRPr="00F56D54">
        <w:rPr>
          <w:rFonts w:eastAsiaTheme="minorHAnsi"/>
          <w:sz w:val="26"/>
          <w:szCs w:val="26"/>
        </w:rPr>
        <w:t>Mary D. Long</w:t>
      </w:r>
      <w:r w:rsidR="00AD4F26" w:rsidRPr="00F56D54">
        <w:rPr>
          <w:rFonts w:eastAsiaTheme="minorHAnsi"/>
          <w:sz w:val="26"/>
          <w:szCs w:val="26"/>
        </w:rPr>
        <w:t xml:space="preserve">, issued on </w:t>
      </w:r>
      <w:r w:rsidR="0036528F" w:rsidRPr="00F56D54">
        <w:rPr>
          <w:rFonts w:eastAsiaTheme="minorHAnsi"/>
          <w:sz w:val="26"/>
          <w:szCs w:val="26"/>
        </w:rPr>
        <w:t xml:space="preserve">May 5, 2021, </w:t>
      </w:r>
      <w:r w:rsidR="00833D56" w:rsidRPr="00F56D54">
        <w:rPr>
          <w:rFonts w:eastAsiaTheme="minorHAnsi"/>
          <w:sz w:val="26"/>
          <w:szCs w:val="26"/>
        </w:rPr>
        <w:t>are</w:t>
      </w:r>
      <w:r w:rsidRPr="00F56D54">
        <w:rPr>
          <w:rFonts w:eastAsiaTheme="minorHAnsi"/>
          <w:sz w:val="26"/>
          <w:szCs w:val="26"/>
        </w:rPr>
        <w:t xml:space="preserve"> </w:t>
      </w:r>
      <w:r w:rsidR="00981701" w:rsidRPr="00F56D54">
        <w:rPr>
          <w:rFonts w:eastAsiaTheme="minorHAnsi"/>
          <w:sz w:val="26"/>
          <w:szCs w:val="26"/>
        </w:rPr>
        <w:t>denied</w:t>
      </w:r>
      <w:r w:rsidRPr="00F56D54">
        <w:rPr>
          <w:rFonts w:eastAsiaTheme="minorHAnsi"/>
          <w:sz w:val="26"/>
          <w:szCs w:val="26"/>
        </w:rPr>
        <w:t>, consistent with this Opinion and Order.</w:t>
      </w:r>
    </w:p>
    <w:p w14:paraId="5EBD2524" w14:textId="77777777" w:rsidR="006067A0" w:rsidRPr="00F56D54" w:rsidRDefault="006067A0" w:rsidP="00CC48DF">
      <w:pPr>
        <w:widowControl/>
        <w:spacing w:after="200" w:line="360" w:lineRule="auto"/>
        <w:ind w:firstLine="1440"/>
        <w:contextualSpacing/>
        <w:rPr>
          <w:rFonts w:eastAsiaTheme="minorHAnsi"/>
          <w:sz w:val="26"/>
          <w:szCs w:val="26"/>
        </w:rPr>
      </w:pPr>
    </w:p>
    <w:p w14:paraId="00822005" w14:textId="3A39F85E" w:rsidR="006067A0" w:rsidRPr="00F56D54" w:rsidRDefault="006067A0" w:rsidP="00CC48DF">
      <w:pPr>
        <w:widowControl/>
        <w:spacing w:after="200" w:line="360" w:lineRule="auto"/>
        <w:ind w:firstLine="1440"/>
        <w:contextualSpacing/>
        <w:rPr>
          <w:rFonts w:eastAsiaTheme="minorHAnsi"/>
          <w:sz w:val="26"/>
          <w:szCs w:val="26"/>
        </w:rPr>
      </w:pPr>
      <w:r w:rsidRPr="00F56D54">
        <w:rPr>
          <w:rFonts w:eastAsiaTheme="minorHAnsi"/>
          <w:sz w:val="26"/>
          <w:szCs w:val="26"/>
        </w:rPr>
        <w:t>2.</w:t>
      </w:r>
      <w:r w:rsidRPr="00F56D54">
        <w:rPr>
          <w:rFonts w:eastAsiaTheme="minorHAnsi"/>
          <w:sz w:val="26"/>
          <w:szCs w:val="26"/>
        </w:rPr>
        <w:tab/>
        <w:t xml:space="preserve">That the Recommended Decision of Administrative Law </w:t>
      </w:r>
      <w:r w:rsidR="00D44324">
        <w:rPr>
          <w:rFonts w:eastAsiaTheme="minorHAnsi"/>
          <w:sz w:val="26"/>
          <w:szCs w:val="26"/>
        </w:rPr>
        <w:t>Judge Mary</w:t>
      </w:r>
      <w:r w:rsidR="00E25634" w:rsidRPr="00F56D54">
        <w:rPr>
          <w:rFonts w:eastAsiaTheme="minorHAnsi"/>
          <w:sz w:val="26"/>
          <w:szCs w:val="26"/>
        </w:rPr>
        <w:t xml:space="preserve"> D. Long,</w:t>
      </w:r>
      <w:r w:rsidRPr="00F56D54">
        <w:rPr>
          <w:rFonts w:eastAsiaTheme="minorHAnsi"/>
          <w:sz w:val="26"/>
          <w:szCs w:val="26"/>
        </w:rPr>
        <w:t xml:space="preserve"> issued on </w:t>
      </w:r>
      <w:r w:rsidR="00E25634" w:rsidRPr="00F56D54">
        <w:rPr>
          <w:rFonts w:eastAsiaTheme="minorHAnsi"/>
          <w:sz w:val="26"/>
          <w:szCs w:val="26"/>
        </w:rPr>
        <w:t>May 5, 2021</w:t>
      </w:r>
      <w:r w:rsidRPr="00F56D54">
        <w:rPr>
          <w:rFonts w:eastAsiaTheme="minorHAnsi"/>
          <w:sz w:val="26"/>
          <w:szCs w:val="26"/>
        </w:rPr>
        <w:t>, is adopted</w:t>
      </w:r>
      <w:r w:rsidR="00981701" w:rsidRPr="00F56D54">
        <w:rPr>
          <w:rFonts w:eastAsiaTheme="minorHAnsi"/>
          <w:sz w:val="26"/>
          <w:szCs w:val="26"/>
        </w:rPr>
        <w:t>,</w:t>
      </w:r>
      <w:r w:rsidRPr="00F56D54">
        <w:rPr>
          <w:rFonts w:eastAsiaTheme="minorHAnsi"/>
          <w:sz w:val="26"/>
          <w:szCs w:val="26"/>
        </w:rPr>
        <w:t xml:space="preserve"> </w:t>
      </w:r>
      <w:r w:rsidR="00B07B86">
        <w:rPr>
          <w:rFonts w:eastAsiaTheme="minorHAnsi"/>
          <w:sz w:val="26"/>
          <w:szCs w:val="26"/>
        </w:rPr>
        <w:t xml:space="preserve">consistent with </w:t>
      </w:r>
      <w:r w:rsidRPr="00F56D54">
        <w:rPr>
          <w:rFonts w:eastAsiaTheme="minorHAnsi"/>
          <w:sz w:val="26"/>
          <w:szCs w:val="26"/>
        </w:rPr>
        <w:t>this Opinion and Order.</w:t>
      </w:r>
    </w:p>
    <w:p w14:paraId="1B131BC3" w14:textId="77777777" w:rsidR="006067A0" w:rsidRPr="00F56D54" w:rsidRDefault="006067A0" w:rsidP="00CC48DF">
      <w:pPr>
        <w:widowControl/>
        <w:spacing w:after="200" w:line="360" w:lineRule="auto"/>
        <w:contextualSpacing/>
        <w:rPr>
          <w:rFonts w:eastAsiaTheme="minorHAnsi"/>
          <w:sz w:val="26"/>
          <w:szCs w:val="26"/>
        </w:rPr>
      </w:pPr>
    </w:p>
    <w:p w14:paraId="471CC74E" w14:textId="1B2B6BDB" w:rsidR="006067A0" w:rsidRPr="00F56D54" w:rsidRDefault="00A5621C" w:rsidP="00CC48DF">
      <w:pPr>
        <w:widowControl/>
        <w:spacing w:after="200" w:line="360" w:lineRule="auto"/>
        <w:ind w:firstLine="1440"/>
        <w:contextualSpacing/>
        <w:rPr>
          <w:rFonts w:eastAsiaTheme="minorHAnsi"/>
          <w:sz w:val="26"/>
          <w:szCs w:val="26"/>
        </w:rPr>
      </w:pPr>
      <w:r w:rsidRPr="00F56D54">
        <w:rPr>
          <w:rFonts w:eastAsiaTheme="minorHAnsi"/>
          <w:sz w:val="26"/>
          <w:szCs w:val="26"/>
        </w:rPr>
        <w:t>3</w:t>
      </w:r>
      <w:r w:rsidR="006067A0" w:rsidRPr="00F56D54">
        <w:rPr>
          <w:rFonts w:eastAsiaTheme="minorHAnsi"/>
          <w:sz w:val="26"/>
          <w:szCs w:val="26"/>
        </w:rPr>
        <w:t>.</w:t>
      </w:r>
      <w:r w:rsidR="006067A0" w:rsidRPr="00F56D54">
        <w:rPr>
          <w:rFonts w:eastAsiaTheme="minorHAnsi"/>
          <w:sz w:val="26"/>
          <w:szCs w:val="26"/>
        </w:rPr>
        <w:tab/>
        <w:t>T</w:t>
      </w:r>
      <w:r w:rsidR="00AD4F26" w:rsidRPr="00F56D54">
        <w:rPr>
          <w:rFonts w:eastAsiaTheme="minorHAnsi"/>
          <w:sz w:val="26"/>
          <w:szCs w:val="26"/>
        </w:rPr>
        <w:t>hat</w:t>
      </w:r>
      <w:r w:rsidR="004A2A1F" w:rsidRPr="00F56D54">
        <w:rPr>
          <w:rFonts w:eastAsiaTheme="minorHAnsi"/>
          <w:sz w:val="26"/>
          <w:szCs w:val="26"/>
        </w:rPr>
        <w:t xml:space="preserve"> the Joint Petition for Partial Settlement</w:t>
      </w:r>
      <w:r w:rsidRPr="00F56D54">
        <w:rPr>
          <w:rFonts w:eastAsiaTheme="minorHAnsi"/>
          <w:sz w:val="26"/>
          <w:szCs w:val="26"/>
        </w:rPr>
        <w:t xml:space="preserve"> of Rate Investigation</w:t>
      </w:r>
      <w:r w:rsidR="004A2A1F" w:rsidRPr="00F56D54">
        <w:rPr>
          <w:rFonts w:eastAsiaTheme="minorHAnsi"/>
          <w:sz w:val="26"/>
          <w:szCs w:val="26"/>
        </w:rPr>
        <w:t xml:space="preserve"> </w:t>
      </w:r>
      <w:r w:rsidR="00CC61CF" w:rsidRPr="00F56D54">
        <w:rPr>
          <w:rFonts w:eastAsiaTheme="minorHAnsi"/>
          <w:sz w:val="26"/>
          <w:szCs w:val="26"/>
        </w:rPr>
        <w:t>filed on April 9, 2021, by</w:t>
      </w:r>
      <w:r w:rsidR="004A2A1F" w:rsidRPr="00F56D54">
        <w:rPr>
          <w:rFonts w:eastAsiaTheme="minorHAnsi"/>
          <w:sz w:val="26"/>
          <w:szCs w:val="26"/>
        </w:rPr>
        <w:t xml:space="preserve"> </w:t>
      </w:r>
      <w:r w:rsidR="00C31A6D" w:rsidRPr="00F56D54">
        <w:rPr>
          <w:rFonts w:eastAsiaTheme="minorHAnsi"/>
          <w:sz w:val="26"/>
          <w:szCs w:val="26"/>
        </w:rPr>
        <w:t xml:space="preserve">Pike County Light </w:t>
      </w:r>
      <w:r w:rsidR="00904740">
        <w:rPr>
          <w:rFonts w:eastAsiaTheme="minorHAnsi"/>
          <w:sz w:val="26"/>
          <w:szCs w:val="26"/>
        </w:rPr>
        <w:t>&amp;</w:t>
      </w:r>
      <w:r w:rsidR="00C31A6D" w:rsidRPr="00F56D54">
        <w:rPr>
          <w:rFonts w:eastAsiaTheme="minorHAnsi"/>
          <w:sz w:val="26"/>
          <w:szCs w:val="26"/>
        </w:rPr>
        <w:t xml:space="preserve"> Power Company</w:t>
      </w:r>
      <w:r w:rsidR="00102205" w:rsidRPr="00F56D54">
        <w:rPr>
          <w:rFonts w:eastAsiaTheme="minorHAnsi"/>
          <w:sz w:val="26"/>
          <w:szCs w:val="26"/>
        </w:rPr>
        <w:t xml:space="preserve"> </w:t>
      </w:r>
      <w:r w:rsidR="00F1014D">
        <w:rPr>
          <w:rFonts w:eastAsiaTheme="minorHAnsi"/>
          <w:sz w:val="26"/>
          <w:szCs w:val="26"/>
        </w:rPr>
        <w:t>-</w:t>
      </w:r>
      <w:r w:rsidR="00A03C91">
        <w:rPr>
          <w:rFonts w:eastAsiaTheme="minorHAnsi"/>
          <w:sz w:val="26"/>
          <w:szCs w:val="26"/>
        </w:rPr>
        <w:t xml:space="preserve"> </w:t>
      </w:r>
      <w:r w:rsidR="00102205" w:rsidRPr="00F56D54">
        <w:rPr>
          <w:rFonts w:eastAsiaTheme="minorHAnsi"/>
          <w:sz w:val="26"/>
          <w:szCs w:val="26"/>
        </w:rPr>
        <w:t>Electric</w:t>
      </w:r>
      <w:r w:rsidR="00C31A6D" w:rsidRPr="00F56D54">
        <w:rPr>
          <w:rFonts w:eastAsiaTheme="minorHAnsi"/>
          <w:sz w:val="26"/>
          <w:szCs w:val="26"/>
        </w:rPr>
        <w:t xml:space="preserve">, </w:t>
      </w:r>
      <w:r w:rsidR="004A2A1F" w:rsidRPr="00F56D54">
        <w:rPr>
          <w:rFonts w:eastAsiaTheme="minorHAnsi"/>
          <w:sz w:val="26"/>
          <w:szCs w:val="26"/>
        </w:rPr>
        <w:t>the Commission’s Bureau of Investigation and Enforcement</w:t>
      </w:r>
      <w:r w:rsidR="00C31A6D" w:rsidRPr="00F56D54">
        <w:rPr>
          <w:rFonts w:eastAsiaTheme="minorHAnsi"/>
          <w:sz w:val="26"/>
          <w:szCs w:val="26"/>
        </w:rPr>
        <w:t xml:space="preserve">, the Office of Consumer </w:t>
      </w:r>
      <w:r w:rsidR="00EE32D2" w:rsidRPr="00F56D54">
        <w:rPr>
          <w:rFonts w:eastAsiaTheme="minorHAnsi"/>
          <w:sz w:val="26"/>
          <w:szCs w:val="26"/>
        </w:rPr>
        <w:t>Advocate</w:t>
      </w:r>
      <w:r w:rsidR="00C31A6D" w:rsidRPr="00F56D54">
        <w:rPr>
          <w:rFonts w:eastAsiaTheme="minorHAnsi"/>
          <w:sz w:val="26"/>
          <w:szCs w:val="26"/>
        </w:rPr>
        <w:t xml:space="preserve">, </w:t>
      </w:r>
      <w:r w:rsidR="00EE32D2" w:rsidRPr="00F56D54">
        <w:rPr>
          <w:rFonts w:eastAsiaTheme="minorHAnsi"/>
          <w:sz w:val="26"/>
          <w:szCs w:val="26"/>
        </w:rPr>
        <w:t xml:space="preserve">and </w:t>
      </w:r>
      <w:r w:rsidR="00C31A6D" w:rsidRPr="00F56D54">
        <w:rPr>
          <w:rFonts w:eastAsiaTheme="minorHAnsi"/>
          <w:sz w:val="26"/>
          <w:szCs w:val="26"/>
        </w:rPr>
        <w:t xml:space="preserve">the </w:t>
      </w:r>
      <w:r w:rsidR="00EE32D2" w:rsidRPr="00F56D54">
        <w:rPr>
          <w:rFonts w:eastAsiaTheme="minorHAnsi"/>
          <w:sz w:val="26"/>
          <w:szCs w:val="26"/>
        </w:rPr>
        <w:t xml:space="preserve">Office of Small Business Advocate </w:t>
      </w:r>
      <w:r w:rsidR="004A2A1F" w:rsidRPr="00F56D54">
        <w:rPr>
          <w:rFonts w:eastAsiaTheme="minorHAnsi"/>
          <w:sz w:val="26"/>
          <w:szCs w:val="26"/>
        </w:rPr>
        <w:t>filed at Docket No. R</w:t>
      </w:r>
      <w:r w:rsidR="00CC48DF">
        <w:rPr>
          <w:rFonts w:eastAsiaTheme="minorHAnsi"/>
          <w:sz w:val="26"/>
          <w:szCs w:val="26"/>
        </w:rPr>
        <w:noBreakHyphen/>
      </w:r>
      <w:r w:rsidR="004A2A1F" w:rsidRPr="00F56D54">
        <w:rPr>
          <w:rFonts w:eastAsiaTheme="minorHAnsi"/>
          <w:sz w:val="26"/>
          <w:szCs w:val="26"/>
        </w:rPr>
        <w:t>2020</w:t>
      </w:r>
      <w:r w:rsidR="00CC48DF">
        <w:rPr>
          <w:rFonts w:eastAsiaTheme="minorHAnsi"/>
          <w:sz w:val="26"/>
          <w:szCs w:val="26"/>
        </w:rPr>
        <w:noBreakHyphen/>
      </w:r>
      <w:r w:rsidR="004A2A1F" w:rsidRPr="00F56D54">
        <w:rPr>
          <w:rFonts w:eastAsiaTheme="minorHAnsi"/>
          <w:sz w:val="26"/>
          <w:szCs w:val="26"/>
        </w:rPr>
        <w:t>302</w:t>
      </w:r>
      <w:r w:rsidR="00456289" w:rsidRPr="00F56D54">
        <w:rPr>
          <w:rFonts w:eastAsiaTheme="minorHAnsi"/>
          <w:sz w:val="26"/>
          <w:szCs w:val="26"/>
        </w:rPr>
        <w:t>2135</w:t>
      </w:r>
      <w:r w:rsidR="004A2A1F" w:rsidRPr="00F56D54">
        <w:rPr>
          <w:rFonts w:eastAsiaTheme="minorHAnsi"/>
          <w:sz w:val="26"/>
          <w:szCs w:val="26"/>
        </w:rPr>
        <w:t>, including all terms and conditions stated therein, is granted</w:t>
      </w:r>
      <w:r w:rsidR="00D532AA" w:rsidRPr="00F56D54">
        <w:rPr>
          <w:rFonts w:eastAsiaTheme="minorHAnsi"/>
          <w:sz w:val="26"/>
          <w:szCs w:val="26"/>
        </w:rPr>
        <w:t>,</w:t>
      </w:r>
      <w:r w:rsidR="004A2A1F" w:rsidRPr="00F56D54">
        <w:rPr>
          <w:rFonts w:eastAsiaTheme="minorHAnsi"/>
          <w:sz w:val="26"/>
          <w:szCs w:val="26"/>
        </w:rPr>
        <w:t xml:space="preserve"> and the </w:t>
      </w:r>
      <w:r w:rsidR="004A2A1F" w:rsidRPr="00F56D54">
        <w:rPr>
          <w:rFonts w:eastAsiaTheme="minorHAnsi"/>
          <w:sz w:val="26"/>
          <w:szCs w:val="26"/>
        </w:rPr>
        <w:lastRenderedPageBreak/>
        <w:t xml:space="preserve">Joint Petition is hereby approved, without modification, </w:t>
      </w:r>
      <w:r w:rsidR="00C92D4F" w:rsidRPr="00F56D54">
        <w:rPr>
          <w:rFonts w:eastAsiaTheme="minorHAnsi"/>
          <w:sz w:val="26"/>
          <w:szCs w:val="26"/>
        </w:rPr>
        <w:t>consistent with</w:t>
      </w:r>
      <w:r w:rsidR="004A2A1F" w:rsidRPr="00F56D54">
        <w:rPr>
          <w:rFonts w:eastAsiaTheme="minorHAnsi"/>
          <w:sz w:val="26"/>
          <w:szCs w:val="26"/>
        </w:rPr>
        <w:t xml:space="preserve"> this Opinion and Order.</w:t>
      </w:r>
    </w:p>
    <w:p w14:paraId="1684DD42" w14:textId="3B6921AE" w:rsidR="004A2A1F" w:rsidRPr="00F56D54" w:rsidRDefault="004A2A1F" w:rsidP="00CC48DF">
      <w:pPr>
        <w:widowControl/>
        <w:spacing w:after="200" w:line="360" w:lineRule="auto"/>
        <w:ind w:firstLine="1440"/>
        <w:contextualSpacing/>
        <w:rPr>
          <w:rFonts w:eastAsiaTheme="minorHAnsi"/>
          <w:sz w:val="26"/>
          <w:szCs w:val="26"/>
        </w:rPr>
      </w:pPr>
    </w:p>
    <w:p w14:paraId="39A360D8" w14:textId="2F3C48CE" w:rsidR="000E3F13" w:rsidRPr="00F56D54" w:rsidRDefault="004A2A1F" w:rsidP="00CC48DF">
      <w:pPr>
        <w:widowControl/>
        <w:spacing w:after="200" w:line="360" w:lineRule="auto"/>
        <w:ind w:firstLine="1440"/>
        <w:contextualSpacing/>
        <w:rPr>
          <w:rFonts w:eastAsiaTheme="minorHAnsi"/>
          <w:sz w:val="26"/>
          <w:szCs w:val="26"/>
        </w:rPr>
      </w:pPr>
      <w:r w:rsidRPr="00F56D54">
        <w:rPr>
          <w:rFonts w:eastAsiaTheme="minorHAnsi"/>
          <w:sz w:val="26"/>
          <w:szCs w:val="26"/>
        </w:rPr>
        <w:t>5.</w:t>
      </w:r>
      <w:r w:rsidRPr="00F56D54">
        <w:rPr>
          <w:rFonts w:eastAsiaTheme="minorHAnsi"/>
          <w:sz w:val="26"/>
          <w:szCs w:val="26"/>
        </w:rPr>
        <w:tab/>
      </w:r>
      <w:r w:rsidR="00A507E2" w:rsidRPr="00F56D54">
        <w:rPr>
          <w:rFonts w:eastAsiaTheme="minorHAnsi"/>
          <w:sz w:val="26"/>
          <w:szCs w:val="26"/>
        </w:rPr>
        <w:t xml:space="preserve">That the Joint Petition for Settlement </w:t>
      </w:r>
      <w:r w:rsidR="000261F2" w:rsidRPr="00F56D54">
        <w:rPr>
          <w:rFonts w:eastAsiaTheme="minorHAnsi"/>
          <w:sz w:val="26"/>
          <w:szCs w:val="26"/>
        </w:rPr>
        <w:t xml:space="preserve">on Rate Structure and Rate Design </w:t>
      </w:r>
      <w:r w:rsidR="00A507E2" w:rsidRPr="00F56D54">
        <w:rPr>
          <w:rFonts w:eastAsiaTheme="minorHAnsi"/>
          <w:sz w:val="26"/>
          <w:szCs w:val="26"/>
        </w:rPr>
        <w:t xml:space="preserve">filed on April </w:t>
      </w:r>
      <w:r w:rsidR="000261F2" w:rsidRPr="00F56D54">
        <w:rPr>
          <w:rFonts w:eastAsiaTheme="minorHAnsi"/>
          <w:sz w:val="26"/>
          <w:szCs w:val="26"/>
        </w:rPr>
        <w:t>16</w:t>
      </w:r>
      <w:r w:rsidR="00A507E2" w:rsidRPr="00F56D54">
        <w:rPr>
          <w:rFonts w:eastAsiaTheme="minorHAnsi"/>
          <w:sz w:val="26"/>
          <w:szCs w:val="26"/>
        </w:rPr>
        <w:t xml:space="preserve">, 2021, by Pike County Light </w:t>
      </w:r>
      <w:r w:rsidR="00277C00">
        <w:rPr>
          <w:rFonts w:eastAsiaTheme="minorHAnsi"/>
          <w:sz w:val="26"/>
          <w:szCs w:val="26"/>
        </w:rPr>
        <w:t>&amp;</w:t>
      </w:r>
      <w:r w:rsidR="00A507E2" w:rsidRPr="00F56D54">
        <w:rPr>
          <w:rFonts w:eastAsiaTheme="minorHAnsi"/>
          <w:sz w:val="26"/>
          <w:szCs w:val="26"/>
        </w:rPr>
        <w:t xml:space="preserve"> Power Company</w:t>
      </w:r>
      <w:r w:rsidR="00102205" w:rsidRPr="00F56D54">
        <w:rPr>
          <w:rFonts w:eastAsiaTheme="minorHAnsi"/>
          <w:sz w:val="26"/>
          <w:szCs w:val="26"/>
        </w:rPr>
        <w:t xml:space="preserve"> </w:t>
      </w:r>
      <w:r w:rsidR="00F1014D">
        <w:rPr>
          <w:rFonts w:eastAsiaTheme="minorHAnsi"/>
          <w:sz w:val="26"/>
          <w:szCs w:val="26"/>
        </w:rPr>
        <w:t>-</w:t>
      </w:r>
      <w:r w:rsidR="00A03C91">
        <w:rPr>
          <w:rFonts w:eastAsiaTheme="minorHAnsi"/>
          <w:sz w:val="26"/>
          <w:szCs w:val="26"/>
        </w:rPr>
        <w:t xml:space="preserve"> </w:t>
      </w:r>
      <w:r w:rsidR="00102205" w:rsidRPr="00F56D54">
        <w:rPr>
          <w:rFonts w:eastAsiaTheme="minorHAnsi"/>
          <w:sz w:val="26"/>
          <w:szCs w:val="26"/>
        </w:rPr>
        <w:t>Electric</w:t>
      </w:r>
      <w:r w:rsidR="00A507E2" w:rsidRPr="00F56D54">
        <w:rPr>
          <w:rFonts w:eastAsiaTheme="minorHAnsi"/>
          <w:sz w:val="26"/>
          <w:szCs w:val="26"/>
        </w:rPr>
        <w:t xml:space="preserve">, the Commission’s Bureau of Investigation and Enforcement, </w:t>
      </w:r>
      <w:r w:rsidR="00FA09C9" w:rsidRPr="00F56D54">
        <w:rPr>
          <w:rFonts w:eastAsiaTheme="minorHAnsi"/>
          <w:sz w:val="26"/>
          <w:szCs w:val="26"/>
        </w:rPr>
        <w:t xml:space="preserve">and </w:t>
      </w:r>
      <w:r w:rsidR="00A507E2" w:rsidRPr="00F56D54">
        <w:rPr>
          <w:rFonts w:eastAsiaTheme="minorHAnsi"/>
          <w:sz w:val="26"/>
          <w:szCs w:val="26"/>
        </w:rPr>
        <w:t>the Office of Consumer Advocate, filed at Docket No. R-2020-3022135, including all terms and conditions stated therein, is granted, and the Joint Petition is hereby approved, without modification, consistent with this Opinion and Order.</w:t>
      </w:r>
    </w:p>
    <w:p w14:paraId="2D55FEE5" w14:textId="77777777" w:rsidR="000E3F13" w:rsidRPr="00F56D54" w:rsidRDefault="000E3F13" w:rsidP="00CC48DF">
      <w:pPr>
        <w:widowControl/>
        <w:spacing w:after="200" w:line="360" w:lineRule="auto"/>
        <w:ind w:firstLine="1440"/>
        <w:contextualSpacing/>
        <w:rPr>
          <w:rFonts w:eastAsiaTheme="minorHAnsi"/>
          <w:sz w:val="26"/>
          <w:szCs w:val="26"/>
        </w:rPr>
      </w:pPr>
    </w:p>
    <w:p w14:paraId="759DDC9A" w14:textId="6BD56D9F" w:rsidR="00CB6FF7" w:rsidRDefault="00A507E2" w:rsidP="00CC48DF">
      <w:pPr>
        <w:widowControl/>
        <w:spacing w:after="200" w:line="360" w:lineRule="auto"/>
        <w:ind w:firstLine="1440"/>
        <w:contextualSpacing/>
        <w:rPr>
          <w:rFonts w:eastAsiaTheme="minorHAnsi"/>
          <w:sz w:val="26"/>
          <w:szCs w:val="26"/>
        </w:rPr>
      </w:pPr>
      <w:r w:rsidRPr="00F56D54">
        <w:rPr>
          <w:rFonts w:eastAsiaTheme="minorHAnsi"/>
          <w:sz w:val="26"/>
          <w:szCs w:val="26"/>
        </w:rPr>
        <w:t>6.</w:t>
      </w:r>
      <w:r w:rsidRPr="00F56D54">
        <w:rPr>
          <w:rFonts w:eastAsiaTheme="minorHAnsi"/>
          <w:sz w:val="26"/>
          <w:szCs w:val="26"/>
        </w:rPr>
        <w:tab/>
      </w:r>
      <w:r w:rsidR="004A2A1F" w:rsidRPr="00F56D54">
        <w:rPr>
          <w:rFonts w:eastAsiaTheme="minorHAnsi"/>
          <w:sz w:val="26"/>
          <w:szCs w:val="26"/>
        </w:rPr>
        <w:t xml:space="preserve">That the </w:t>
      </w:r>
      <w:r w:rsidR="0014786C" w:rsidRPr="00F56D54">
        <w:rPr>
          <w:rFonts w:eastAsiaTheme="minorHAnsi"/>
          <w:sz w:val="26"/>
          <w:szCs w:val="26"/>
        </w:rPr>
        <w:t xml:space="preserve">Pike County Light </w:t>
      </w:r>
      <w:r w:rsidR="0036206A">
        <w:rPr>
          <w:rFonts w:eastAsiaTheme="minorHAnsi"/>
          <w:sz w:val="26"/>
          <w:szCs w:val="26"/>
        </w:rPr>
        <w:t>&amp;</w:t>
      </w:r>
      <w:r w:rsidR="0014786C" w:rsidRPr="00F56D54">
        <w:rPr>
          <w:rFonts w:eastAsiaTheme="minorHAnsi"/>
          <w:sz w:val="26"/>
          <w:szCs w:val="26"/>
        </w:rPr>
        <w:t xml:space="preserve"> Power Company </w:t>
      </w:r>
      <w:r w:rsidR="0036206A">
        <w:rPr>
          <w:rFonts w:eastAsiaTheme="minorHAnsi"/>
          <w:sz w:val="26"/>
          <w:szCs w:val="26"/>
        </w:rPr>
        <w:t>-</w:t>
      </w:r>
      <w:r w:rsidR="00A03C91">
        <w:rPr>
          <w:rFonts w:eastAsiaTheme="minorHAnsi"/>
          <w:sz w:val="26"/>
          <w:szCs w:val="26"/>
        </w:rPr>
        <w:t xml:space="preserve"> </w:t>
      </w:r>
      <w:r w:rsidR="0014786C" w:rsidRPr="00F56D54">
        <w:rPr>
          <w:rFonts w:eastAsiaTheme="minorHAnsi"/>
          <w:sz w:val="26"/>
          <w:szCs w:val="26"/>
        </w:rPr>
        <w:t>Electric</w:t>
      </w:r>
      <w:r w:rsidR="004A2A1F" w:rsidRPr="00F56D54">
        <w:rPr>
          <w:rFonts w:eastAsiaTheme="minorHAnsi"/>
          <w:sz w:val="26"/>
          <w:szCs w:val="26"/>
        </w:rPr>
        <w:t xml:space="preserve"> is authorized to file tariffs, tariff supplement</w:t>
      </w:r>
      <w:r w:rsidR="00AC4224">
        <w:rPr>
          <w:rFonts w:eastAsiaTheme="minorHAnsi"/>
          <w:sz w:val="26"/>
          <w:szCs w:val="26"/>
        </w:rPr>
        <w:t>s</w:t>
      </w:r>
      <w:r w:rsidR="004A2A1F" w:rsidRPr="00F56D54">
        <w:rPr>
          <w:rFonts w:eastAsiaTheme="minorHAnsi"/>
          <w:sz w:val="26"/>
          <w:szCs w:val="26"/>
        </w:rPr>
        <w:t xml:space="preserve"> or tariff revisions containing the rates, rules and regulations, consistent with the findings herein, and </w:t>
      </w:r>
      <w:r w:rsidR="00F17621" w:rsidRPr="00F56D54">
        <w:rPr>
          <w:rFonts w:eastAsiaTheme="minorHAnsi"/>
          <w:sz w:val="26"/>
          <w:szCs w:val="26"/>
        </w:rPr>
        <w:t xml:space="preserve">Appendix </w:t>
      </w:r>
      <w:r w:rsidR="00D515E9" w:rsidRPr="00F56D54">
        <w:rPr>
          <w:rFonts w:eastAsiaTheme="minorHAnsi"/>
          <w:sz w:val="26"/>
          <w:szCs w:val="26"/>
        </w:rPr>
        <w:t>B</w:t>
      </w:r>
      <w:r w:rsidR="00F17621" w:rsidRPr="00F56D54">
        <w:rPr>
          <w:rFonts w:eastAsiaTheme="minorHAnsi"/>
          <w:sz w:val="26"/>
          <w:szCs w:val="26"/>
        </w:rPr>
        <w:t xml:space="preserve"> </w:t>
      </w:r>
      <w:r w:rsidR="004A2A1F" w:rsidRPr="00F56D54">
        <w:rPr>
          <w:rFonts w:eastAsiaTheme="minorHAnsi"/>
          <w:sz w:val="26"/>
          <w:szCs w:val="26"/>
        </w:rPr>
        <w:t>attached to the Joint Petition for Partial Settlement</w:t>
      </w:r>
      <w:r w:rsidR="00A5621C" w:rsidRPr="00F56D54">
        <w:rPr>
          <w:rFonts w:eastAsiaTheme="minorHAnsi"/>
          <w:sz w:val="26"/>
          <w:szCs w:val="26"/>
        </w:rPr>
        <w:t xml:space="preserve"> of Rate </w:t>
      </w:r>
      <w:r w:rsidR="00412960" w:rsidRPr="00F56D54">
        <w:rPr>
          <w:rFonts w:eastAsiaTheme="minorHAnsi"/>
          <w:sz w:val="26"/>
          <w:szCs w:val="26"/>
        </w:rPr>
        <w:t>Investigation</w:t>
      </w:r>
      <w:r w:rsidR="004A2A1F" w:rsidRPr="00F56D54">
        <w:rPr>
          <w:rFonts w:eastAsiaTheme="minorHAnsi"/>
          <w:sz w:val="26"/>
          <w:szCs w:val="26"/>
        </w:rPr>
        <w:t>,</w:t>
      </w:r>
      <w:r w:rsidR="00981701" w:rsidRPr="00F56D54">
        <w:rPr>
          <w:rFonts w:eastAsiaTheme="minorHAnsi"/>
          <w:sz w:val="26"/>
          <w:szCs w:val="26"/>
        </w:rPr>
        <w:t xml:space="preserve"> consistent with</w:t>
      </w:r>
      <w:r w:rsidR="004A2A1F" w:rsidRPr="00F56D54">
        <w:rPr>
          <w:rFonts w:eastAsiaTheme="minorHAnsi"/>
          <w:sz w:val="26"/>
          <w:szCs w:val="26"/>
        </w:rPr>
        <w:t xml:space="preserve"> this Opinion and Order</w:t>
      </w:r>
      <w:r w:rsidR="00F17621" w:rsidRPr="00F56D54">
        <w:rPr>
          <w:rFonts w:eastAsiaTheme="minorHAnsi"/>
          <w:sz w:val="26"/>
          <w:szCs w:val="26"/>
        </w:rPr>
        <w:t xml:space="preserve">, </w:t>
      </w:r>
      <w:r w:rsidR="00CB6FF7" w:rsidRPr="00F56D54">
        <w:rPr>
          <w:rFonts w:eastAsiaTheme="minorHAnsi"/>
          <w:sz w:val="26"/>
          <w:szCs w:val="26"/>
        </w:rPr>
        <w:t>so as to produce</w:t>
      </w:r>
      <w:r w:rsidR="00C53F90" w:rsidRPr="00F56D54">
        <w:rPr>
          <w:rFonts w:eastAsiaTheme="minorHAnsi"/>
          <w:sz w:val="26"/>
          <w:szCs w:val="26"/>
        </w:rPr>
        <w:t xml:space="preserve"> annual sales revenue not in excess of $</w:t>
      </w:r>
      <w:r w:rsidR="002F25D8" w:rsidRPr="00F56D54">
        <w:rPr>
          <w:rFonts w:eastAsiaTheme="minorHAnsi"/>
          <w:sz w:val="26"/>
          <w:szCs w:val="26"/>
        </w:rPr>
        <w:t>1.4 million.</w:t>
      </w:r>
    </w:p>
    <w:p w14:paraId="75DB6E62" w14:textId="77777777" w:rsidR="00CC48DF" w:rsidRPr="00F56D54" w:rsidRDefault="00CC48DF" w:rsidP="00CC48DF">
      <w:pPr>
        <w:widowControl/>
        <w:spacing w:after="200" w:line="360" w:lineRule="auto"/>
        <w:ind w:firstLine="1440"/>
        <w:contextualSpacing/>
        <w:rPr>
          <w:rFonts w:eastAsiaTheme="minorHAnsi"/>
          <w:sz w:val="26"/>
          <w:szCs w:val="26"/>
        </w:rPr>
      </w:pPr>
    </w:p>
    <w:p w14:paraId="77C1BF8D" w14:textId="78DD4726" w:rsidR="00CB6FF7" w:rsidRPr="00F56D54" w:rsidRDefault="00751FF9" w:rsidP="00CC48DF">
      <w:pPr>
        <w:widowControl/>
        <w:spacing w:after="200" w:line="360" w:lineRule="auto"/>
        <w:ind w:firstLine="1440"/>
        <w:contextualSpacing/>
        <w:rPr>
          <w:rFonts w:eastAsiaTheme="minorHAnsi"/>
          <w:sz w:val="26"/>
          <w:szCs w:val="26"/>
        </w:rPr>
      </w:pPr>
      <w:r w:rsidRPr="00F56D54">
        <w:rPr>
          <w:rFonts w:eastAsiaTheme="minorHAnsi"/>
          <w:sz w:val="26"/>
          <w:szCs w:val="26"/>
        </w:rPr>
        <w:t>7.</w:t>
      </w:r>
      <w:r w:rsidR="006F5738" w:rsidRPr="00F56D54">
        <w:rPr>
          <w:rFonts w:eastAsiaTheme="minorHAnsi"/>
          <w:sz w:val="26"/>
          <w:szCs w:val="26"/>
        </w:rPr>
        <w:t xml:space="preserve"> </w:t>
      </w:r>
      <w:r w:rsidR="00F56D54" w:rsidRPr="00F56D54">
        <w:rPr>
          <w:rFonts w:eastAsiaTheme="minorHAnsi"/>
          <w:sz w:val="26"/>
          <w:szCs w:val="26"/>
        </w:rPr>
        <w:tab/>
      </w:r>
      <w:r w:rsidR="006F5738" w:rsidRPr="00F56D54">
        <w:rPr>
          <w:rFonts w:eastAsiaTheme="minorHAnsi"/>
          <w:sz w:val="26"/>
          <w:szCs w:val="26"/>
        </w:rPr>
        <w:t xml:space="preserve">That the Pike County Light </w:t>
      </w:r>
      <w:r w:rsidR="00776A7C">
        <w:rPr>
          <w:rFonts w:eastAsiaTheme="minorHAnsi"/>
          <w:sz w:val="26"/>
          <w:szCs w:val="26"/>
        </w:rPr>
        <w:t>&amp;</w:t>
      </w:r>
      <w:r w:rsidR="006F5738" w:rsidRPr="00F56D54">
        <w:rPr>
          <w:rFonts w:eastAsiaTheme="minorHAnsi"/>
          <w:sz w:val="26"/>
          <w:szCs w:val="26"/>
        </w:rPr>
        <w:t xml:space="preserve"> Power Company </w:t>
      </w:r>
      <w:r w:rsidR="00776A7C">
        <w:rPr>
          <w:rFonts w:eastAsiaTheme="minorHAnsi"/>
          <w:sz w:val="26"/>
          <w:szCs w:val="26"/>
        </w:rPr>
        <w:t>-</w:t>
      </w:r>
      <w:r w:rsidR="00A03C91">
        <w:rPr>
          <w:rFonts w:eastAsiaTheme="minorHAnsi"/>
          <w:sz w:val="26"/>
          <w:szCs w:val="26"/>
        </w:rPr>
        <w:t xml:space="preserve"> </w:t>
      </w:r>
      <w:r w:rsidR="006F5738" w:rsidRPr="00F56D54">
        <w:rPr>
          <w:rFonts w:eastAsiaTheme="minorHAnsi"/>
          <w:sz w:val="26"/>
          <w:szCs w:val="26"/>
        </w:rPr>
        <w:t>Electric is authorized to file tariffs</w:t>
      </w:r>
      <w:r w:rsidR="00662DD8" w:rsidRPr="00F56D54">
        <w:rPr>
          <w:rFonts w:eastAsiaTheme="minorHAnsi"/>
          <w:sz w:val="26"/>
          <w:szCs w:val="26"/>
        </w:rPr>
        <w:t xml:space="preserve"> in the form set forth in Appendix A to the Joint Petition for Settlement of Rate Structure and Rate Design</w:t>
      </w:r>
      <w:r w:rsidR="001E6976" w:rsidRPr="00F56D54">
        <w:rPr>
          <w:rFonts w:eastAsiaTheme="minorHAnsi"/>
          <w:sz w:val="26"/>
          <w:szCs w:val="26"/>
        </w:rPr>
        <w:t xml:space="preserve">, to become effective upon at least one day’s notice, for service rendered </w:t>
      </w:r>
      <w:r w:rsidR="004D5B07" w:rsidRPr="00F56D54">
        <w:rPr>
          <w:rFonts w:eastAsiaTheme="minorHAnsi"/>
          <w:sz w:val="26"/>
          <w:szCs w:val="26"/>
        </w:rPr>
        <w:t xml:space="preserve">on and after July 28, 2021, so as to produce an annual increase in </w:t>
      </w:r>
      <w:r w:rsidR="00463C67" w:rsidRPr="00F56D54">
        <w:rPr>
          <w:rFonts w:eastAsiaTheme="minorHAnsi"/>
          <w:sz w:val="26"/>
          <w:szCs w:val="26"/>
        </w:rPr>
        <w:t>revenues</w:t>
      </w:r>
      <w:r w:rsidR="00D340AC" w:rsidRPr="00F56D54">
        <w:rPr>
          <w:rFonts w:eastAsiaTheme="minorHAnsi"/>
          <w:sz w:val="26"/>
          <w:szCs w:val="26"/>
        </w:rPr>
        <w:t xml:space="preserve"> consistent with this </w:t>
      </w:r>
      <w:r w:rsidR="00AC4224">
        <w:rPr>
          <w:rFonts w:eastAsiaTheme="minorHAnsi"/>
          <w:sz w:val="26"/>
          <w:szCs w:val="26"/>
        </w:rPr>
        <w:t xml:space="preserve">Opinion and </w:t>
      </w:r>
      <w:r w:rsidR="00D340AC" w:rsidRPr="00F56D54">
        <w:rPr>
          <w:rFonts w:eastAsiaTheme="minorHAnsi"/>
          <w:sz w:val="26"/>
          <w:szCs w:val="26"/>
        </w:rPr>
        <w:t xml:space="preserve">Order. </w:t>
      </w:r>
    </w:p>
    <w:p w14:paraId="5CA921E0" w14:textId="4424FC40" w:rsidR="00CB6FF7" w:rsidRPr="00F56D54" w:rsidRDefault="00CB6FF7" w:rsidP="00CC48DF">
      <w:pPr>
        <w:widowControl/>
        <w:spacing w:after="200" w:line="360" w:lineRule="auto"/>
        <w:ind w:firstLine="1440"/>
        <w:contextualSpacing/>
        <w:rPr>
          <w:rFonts w:eastAsiaTheme="minorHAnsi"/>
          <w:sz w:val="26"/>
          <w:szCs w:val="26"/>
        </w:rPr>
      </w:pPr>
    </w:p>
    <w:p w14:paraId="61B2FDF5" w14:textId="6B797608" w:rsidR="00CB6FF7" w:rsidRPr="00F56D54" w:rsidRDefault="001075C0" w:rsidP="00CC48DF">
      <w:pPr>
        <w:widowControl/>
        <w:spacing w:after="200" w:line="360" w:lineRule="auto"/>
        <w:ind w:firstLine="1440"/>
        <w:contextualSpacing/>
        <w:rPr>
          <w:rFonts w:eastAsiaTheme="minorHAnsi"/>
          <w:sz w:val="26"/>
          <w:szCs w:val="26"/>
        </w:rPr>
      </w:pPr>
      <w:r w:rsidRPr="00F56D54">
        <w:rPr>
          <w:rFonts w:eastAsiaTheme="minorHAnsi"/>
          <w:sz w:val="26"/>
          <w:szCs w:val="26"/>
        </w:rPr>
        <w:t>8.</w:t>
      </w:r>
      <w:r w:rsidR="00766372" w:rsidRPr="00F56D54">
        <w:rPr>
          <w:rFonts w:eastAsiaTheme="minorHAnsi"/>
          <w:sz w:val="26"/>
          <w:szCs w:val="26"/>
        </w:rPr>
        <w:tab/>
      </w:r>
      <w:r w:rsidR="00D340AC" w:rsidRPr="00F56D54">
        <w:rPr>
          <w:rFonts w:eastAsiaTheme="minorHAnsi"/>
          <w:sz w:val="26"/>
          <w:szCs w:val="26"/>
        </w:rPr>
        <w:t xml:space="preserve">That Pike County Light </w:t>
      </w:r>
      <w:r w:rsidR="00086F01">
        <w:rPr>
          <w:rFonts w:eastAsiaTheme="minorHAnsi"/>
          <w:sz w:val="26"/>
          <w:szCs w:val="26"/>
        </w:rPr>
        <w:t>&amp;</w:t>
      </w:r>
      <w:r w:rsidR="00D340AC" w:rsidRPr="00F56D54">
        <w:rPr>
          <w:rFonts w:eastAsiaTheme="minorHAnsi"/>
          <w:sz w:val="26"/>
          <w:szCs w:val="26"/>
        </w:rPr>
        <w:t xml:space="preserve"> Power Company </w:t>
      </w:r>
      <w:r w:rsidR="00086F01">
        <w:rPr>
          <w:rFonts w:eastAsiaTheme="minorHAnsi"/>
          <w:sz w:val="26"/>
          <w:szCs w:val="26"/>
        </w:rPr>
        <w:t>-</w:t>
      </w:r>
      <w:r w:rsidR="00A03C91">
        <w:rPr>
          <w:rFonts w:eastAsiaTheme="minorHAnsi"/>
          <w:sz w:val="26"/>
          <w:szCs w:val="26"/>
        </w:rPr>
        <w:t xml:space="preserve"> </w:t>
      </w:r>
      <w:r w:rsidR="00D340AC" w:rsidRPr="00F56D54">
        <w:rPr>
          <w:rFonts w:eastAsiaTheme="minorHAnsi"/>
          <w:sz w:val="26"/>
          <w:szCs w:val="26"/>
        </w:rPr>
        <w:t xml:space="preserve">Electric, the Commission’s Bureau of Investigation and Enforcement, the Office of Consumer Advocate, </w:t>
      </w:r>
      <w:r w:rsidR="0075018B" w:rsidRPr="00F56D54">
        <w:rPr>
          <w:rFonts w:eastAsiaTheme="minorHAnsi"/>
          <w:sz w:val="26"/>
          <w:szCs w:val="26"/>
        </w:rPr>
        <w:t xml:space="preserve">and the Office of Small Business Advocate shall comply with the terms </w:t>
      </w:r>
      <w:r w:rsidR="002D30B4" w:rsidRPr="00F56D54">
        <w:rPr>
          <w:rFonts w:eastAsiaTheme="minorHAnsi"/>
          <w:sz w:val="26"/>
          <w:szCs w:val="26"/>
        </w:rPr>
        <w:t xml:space="preserve">of the Joint Petition for Partial Settlement </w:t>
      </w:r>
      <w:r w:rsidR="00572FA5" w:rsidRPr="00F56D54">
        <w:rPr>
          <w:rFonts w:eastAsiaTheme="minorHAnsi"/>
          <w:sz w:val="26"/>
          <w:szCs w:val="26"/>
        </w:rPr>
        <w:t xml:space="preserve">of Rate Investigation </w:t>
      </w:r>
      <w:r w:rsidR="002D30B4" w:rsidRPr="00F56D54">
        <w:rPr>
          <w:rFonts w:eastAsiaTheme="minorHAnsi"/>
          <w:sz w:val="26"/>
          <w:szCs w:val="26"/>
        </w:rPr>
        <w:t>filed on April 9, 2021</w:t>
      </w:r>
      <w:r w:rsidR="00217B6D" w:rsidRPr="00F56D54">
        <w:rPr>
          <w:rFonts w:eastAsiaTheme="minorHAnsi"/>
          <w:sz w:val="26"/>
          <w:szCs w:val="26"/>
        </w:rPr>
        <w:t>,</w:t>
      </w:r>
      <w:r w:rsidR="0011686E" w:rsidRPr="00F56D54">
        <w:rPr>
          <w:rFonts w:eastAsiaTheme="minorHAnsi"/>
          <w:sz w:val="26"/>
          <w:szCs w:val="26"/>
        </w:rPr>
        <w:t xml:space="preserve"> </w:t>
      </w:r>
      <w:r w:rsidR="00766372" w:rsidRPr="00F56D54">
        <w:rPr>
          <w:rFonts w:eastAsiaTheme="minorHAnsi"/>
          <w:sz w:val="26"/>
          <w:szCs w:val="26"/>
        </w:rPr>
        <w:t>as though each term therein were the subject of an individual ordering paragraph.</w:t>
      </w:r>
    </w:p>
    <w:p w14:paraId="45B25B52" w14:textId="66663EC4" w:rsidR="00766372" w:rsidRPr="00F56D54" w:rsidRDefault="00766372" w:rsidP="00CC48DF">
      <w:pPr>
        <w:widowControl/>
        <w:spacing w:after="200" w:line="360" w:lineRule="auto"/>
        <w:ind w:firstLine="1440"/>
        <w:contextualSpacing/>
        <w:rPr>
          <w:rFonts w:eastAsiaTheme="minorHAnsi"/>
          <w:sz w:val="26"/>
          <w:szCs w:val="26"/>
        </w:rPr>
      </w:pPr>
    </w:p>
    <w:p w14:paraId="7F7E5C8F" w14:textId="24ABB64B" w:rsidR="00850782" w:rsidRPr="00F56D54" w:rsidRDefault="00412960" w:rsidP="00CC48DF">
      <w:pPr>
        <w:widowControl/>
        <w:spacing w:after="200" w:line="360" w:lineRule="auto"/>
        <w:ind w:firstLine="1440"/>
        <w:contextualSpacing/>
        <w:rPr>
          <w:rFonts w:eastAsiaTheme="minorHAnsi"/>
          <w:sz w:val="26"/>
          <w:szCs w:val="26"/>
        </w:rPr>
      </w:pPr>
      <w:r w:rsidRPr="00F56D54">
        <w:rPr>
          <w:rFonts w:eastAsiaTheme="minorHAnsi"/>
          <w:sz w:val="26"/>
          <w:szCs w:val="26"/>
        </w:rPr>
        <w:lastRenderedPageBreak/>
        <w:t>9</w:t>
      </w:r>
      <w:r w:rsidR="00766372" w:rsidRPr="00F56D54">
        <w:rPr>
          <w:rFonts w:eastAsiaTheme="minorHAnsi"/>
          <w:sz w:val="26"/>
          <w:szCs w:val="26"/>
        </w:rPr>
        <w:t>.</w:t>
      </w:r>
      <w:r w:rsidR="00766372" w:rsidRPr="00F56D54">
        <w:rPr>
          <w:rFonts w:eastAsiaTheme="minorHAnsi"/>
          <w:sz w:val="26"/>
          <w:szCs w:val="26"/>
        </w:rPr>
        <w:tab/>
      </w:r>
      <w:r w:rsidR="00217B6D" w:rsidRPr="00F56D54">
        <w:rPr>
          <w:rFonts w:eastAsiaTheme="minorHAnsi"/>
          <w:sz w:val="26"/>
          <w:szCs w:val="26"/>
        </w:rPr>
        <w:t xml:space="preserve">That Pike County Light </w:t>
      </w:r>
      <w:r w:rsidR="00086F01">
        <w:rPr>
          <w:rFonts w:eastAsiaTheme="minorHAnsi"/>
          <w:sz w:val="26"/>
          <w:szCs w:val="26"/>
        </w:rPr>
        <w:t>&amp;</w:t>
      </w:r>
      <w:r w:rsidR="00217B6D" w:rsidRPr="00F56D54">
        <w:rPr>
          <w:rFonts w:eastAsiaTheme="minorHAnsi"/>
          <w:sz w:val="26"/>
          <w:szCs w:val="26"/>
        </w:rPr>
        <w:t xml:space="preserve"> Power Company </w:t>
      </w:r>
      <w:r w:rsidR="00086F01">
        <w:rPr>
          <w:rFonts w:eastAsiaTheme="minorHAnsi"/>
          <w:sz w:val="26"/>
          <w:szCs w:val="26"/>
        </w:rPr>
        <w:t>-</w:t>
      </w:r>
      <w:r w:rsidR="00A03C91">
        <w:rPr>
          <w:rFonts w:eastAsiaTheme="minorHAnsi"/>
          <w:sz w:val="26"/>
          <w:szCs w:val="26"/>
        </w:rPr>
        <w:t xml:space="preserve"> </w:t>
      </w:r>
      <w:r w:rsidR="00217B6D" w:rsidRPr="00F56D54">
        <w:rPr>
          <w:rFonts w:eastAsiaTheme="minorHAnsi"/>
          <w:sz w:val="26"/>
          <w:szCs w:val="26"/>
        </w:rPr>
        <w:t>Electric</w:t>
      </w:r>
      <w:r w:rsidR="00572FA5" w:rsidRPr="00F56D54">
        <w:rPr>
          <w:rFonts w:eastAsiaTheme="minorHAnsi"/>
          <w:sz w:val="26"/>
          <w:szCs w:val="26"/>
        </w:rPr>
        <w:t>,</w:t>
      </w:r>
      <w:r w:rsidR="00217B6D" w:rsidRPr="00F56D54">
        <w:rPr>
          <w:rFonts w:eastAsiaTheme="minorHAnsi"/>
          <w:sz w:val="26"/>
          <w:szCs w:val="26"/>
        </w:rPr>
        <w:t xml:space="preserve"> the Commission’s Bureau of Investigation and Enforcement, and the Office of Consumer Advocate, shall comply with the terms of the Joint Petition for Settlement </w:t>
      </w:r>
      <w:r w:rsidR="00850782" w:rsidRPr="00F56D54">
        <w:rPr>
          <w:rFonts w:eastAsiaTheme="minorHAnsi"/>
          <w:sz w:val="26"/>
          <w:szCs w:val="26"/>
        </w:rPr>
        <w:t xml:space="preserve">of Rate Structure and Rate Design </w:t>
      </w:r>
      <w:r w:rsidR="00217B6D" w:rsidRPr="00F56D54">
        <w:rPr>
          <w:rFonts w:eastAsiaTheme="minorHAnsi"/>
          <w:sz w:val="26"/>
          <w:szCs w:val="26"/>
        </w:rPr>
        <w:t xml:space="preserve">filed on April </w:t>
      </w:r>
      <w:r w:rsidR="00850782" w:rsidRPr="00F56D54">
        <w:rPr>
          <w:rFonts w:eastAsiaTheme="minorHAnsi"/>
          <w:sz w:val="26"/>
          <w:szCs w:val="26"/>
        </w:rPr>
        <w:t>16</w:t>
      </w:r>
      <w:r w:rsidR="0011686E" w:rsidRPr="00F56D54">
        <w:rPr>
          <w:rFonts w:eastAsiaTheme="minorHAnsi"/>
          <w:sz w:val="26"/>
          <w:szCs w:val="26"/>
        </w:rPr>
        <w:t>,</w:t>
      </w:r>
      <w:r w:rsidR="00217B6D" w:rsidRPr="00F56D54">
        <w:rPr>
          <w:rFonts w:eastAsiaTheme="minorHAnsi"/>
          <w:sz w:val="26"/>
          <w:szCs w:val="26"/>
        </w:rPr>
        <w:t xml:space="preserve"> 2021,</w:t>
      </w:r>
      <w:r w:rsidR="00850782" w:rsidRPr="00F56D54">
        <w:rPr>
          <w:rFonts w:eastAsiaTheme="minorHAnsi"/>
          <w:sz w:val="26"/>
          <w:szCs w:val="26"/>
        </w:rPr>
        <w:t xml:space="preserve"> </w:t>
      </w:r>
      <w:r w:rsidR="00217B6D" w:rsidRPr="00F56D54">
        <w:rPr>
          <w:rFonts w:eastAsiaTheme="minorHAnsi"/>
          <w:sz w:val="26"/>
          <w:szCs w:val="26"/>
        </w:rPr>
        <w:t>as though each term therein were the subject of an individual ordering paragraph.</w:t>
      </w:r>
      <w:r w:rsidR="00850782" w:rsidRPr="00F56D54">
        <w:rPr>
          <w:rFonts w:eastAsiaTheme="minorHAnsi"/>
          <w:sz w:val="26"/>
          <w:szCs w:val="26"/>
        </w:rPr>
        <w:t xml:space="preserve"> </w:t>
      </w:r>
    </w:p>
    <w:p w14:paraId="19E8890E" w14:textId="77777777" w:rsidR="00850782" w:rsidRPr="00F56D54" w:rsidRDefault="00850782" w:rsidP="00CC48DF">
      <w:pPr>
        <w:widowControl/>
        <w:spacing w:after="200" w:line="360" w:lineRule="auto"/>
        <w:ind w:firstLine="1440"/>
        <w:contextualSpacing/>
        <w:rPr>
          <w:rFonts w:eastAsiaTheme="minorHAnsi"/>
          <w:sz w:val="26"/>
          <w:szCs w:val="26"/>
        </w:rPr>
      </w:pPr>
    </w:p>
    <w:p w14:paraId="7B82C735" w14:textId="0FE04B7F" w:rsidR="00766372" w:rsidRPr="00F56D54" w:rsidRDefault="0011686E" w:rsidP="00CC48DF">
      <w:pPr>
        <w:widowControl/>
        <w:spacing w:after="200" w:line="360" w:lineRule="auto"/>
        <w:ind w:firstLine="1440"/>
        <w:contextualSpacing/>
        <w:rPr>
          <w:rFonts w:eastAsiaTheme="minorHAnsi"/>
          <w:sz w:val="26"/>
          <w:szCs w:val="26"/>
        </w:rPr>
      </w:pPr>
      <w:r w:rsidRPr="00F56D54">
        <w:rPr>
          <w:rFonts w:eastAsiaTheme="minorHAnsi"/>
          <w:sz w:val="26"/>
          <w:szCs w:val="26"/>
        </w:rPr>
        <w:t>10</w:t>
      </w:r>
      <w:r w:rsidR="00850782" w:rsidRPr="00F56D54">
        <w:rPr>
          <w:rFonts w:eastAsiaTheme="minorHAnsi"/>
          <w:sz w:val="26"/>
          <w:szCs w:val="26"/>
        </w:rPr>
        <w:t>.</w:t>
      </w:r>
      <w:r w:rsidRPr="00F56D54">
        <w:rPr>
          <w:rFonts w:eastAsiaTheme="minorHAnsi"/>
          <w:sz w:val="26"/>
          <w:szCs w:val="26"/>
        </w:rPr>
        <w:tab/>
        <w:t>T</w:t>
      </w:r>
      <w:r w:rsidR="000F7FD7" w:rsidRPr="00F56D54">
        <w:rPr>
          <w:rFonts w:eastAsiaTheme="minorHAnsi"/>
          <w:sz w:val="26"/>
          <w:szCs w:val="26"/>
        </w:rPr>
        <w:t>hat the Formal Complaint filed by the Office of Consumer Advocate in this proceeding at Docket No. C-2020-3022887</w:t>
      </w:r>
      <w:r w:rsidR="003245F3" w:rsidRPr="00F56D54">
        <w:rPr>
          <w:rFonts w:eastAsiaTheme="minorHAnsi"/>
          <w:sz w:val="26"/>
          <w:szCs w:val="26"/>
        </w:rPr>
        <w:t xml:space="preserve">, </w:t>
      </w:r>
      <w:r w:rsidR="000F7FD7" w:rsidRPr="00F56D54">
        <w:rPr>
          <w:rFonts w:eastAsiaTheme="minorHAnsi"/>
          <w:sz w:val="26"/>
          <w:szCs w:val="26"/>
        </w:rPr>
        <w:t>be deemed satisfied and marked closed.</w:t>
      </w:r>
    </w:p>
    <w:p w14:paraId="3ACD8B6D" w14:textId="7A6AB181" w:rsidR="002E491C" w:rsidRPr="00F56D54" w:rsidRDefault="002E491C" w:rsidP="00CC48DF">
      <w:pPr>
        <w:widowControl/>
        <w:spacing w:after="200" w:line="360" w:lineRule="auto"/>
        <w:ind w:firstLine="1440"/>
        <w:contextualSpacing/>
        <w:rPr>
          <w:rFonts w:eastAsiaTheme="minorHAnsi"/>
          <w:sz w:val="26"/>
          <w:szCs w:val="26"/>
        </w:rPr>
      </w:pPr>
    </w:p>
    <w:p w14:paraId="527EDC63" w14:textId="2F1248C5" w:rsidR="000F7FD7" w:rsidRPr="00F56D54" w:rsidRDefault="003245F3" w:rsidP="00CC48DF">
      <w:pPr>
        <w:widowControl/>
        <w:spacing w:after="200" w:line="360" w:lineRule="auto"/>
        <w:ind w:firstLine="1440"/>
        <w:contextualSpacing/>
        <w:rPr>
          <w:rFonts w:eastAsiaTheme="minorHAnsi"/>
          <w:sz w:val="26"/>
          <w:szCs w:val="26"/>
        </w:rPr>
      </w:pPr>
      <w:r w:rsidRPr="00F56D54">
        <w:rPr>
          <w:rFonts w:eastAsiaTheme="minorHAnsi"/>
          <w:sz w:val="26"/>
          <w:szCs w:val="26"/>
        </w:rPr>
        <w:t>1</w:t>
      </w:r>
      <w:r w:rsidR="0011686E" w:rsidRPr="00F56D54">
        <w:rPr>
          <w:rFonts w:eastAsiaTheme="minorHAnsi"/>
          <w:sz w:val="26"/>
          <w:szCs w:val="26"/>
        </w:rPr>
        <w:t>1</w:t>
      </w:r>
      <w:r w:rsidR="002E491C" w:rsidRPr="00F56D54">
        <w:rPr>
          <w:rFonts w:eastAsiaTheme="minorHAnsi"/>
          <w:sz w:val="26"/>
          <w:szCs w:val="26"/>
        </w:rPr>
        <w:t>.</w:t>
      </w:r>
      <w:r w:rsidR="002E491C" w:rsidRPr="00F56D54">
        <w:rPr>
          <w:rFonts w:eastAsiaTheme="minorHAnsi"/>
          <w:sz w:val="26"/>
          <w:szCs w:val="26"/>
        </w:rPr>
        <w:tab/>
      </w:r>
      <w:r w:rsidR="000F7FD7" w:rsidRPr="00F56D54">
        <w:rPr>
          <w:rFonts w:eastAsiaTheme="minorHAnsi"/>
          <w:sz w:val="26"/>
          <w:szCs w:val="26"/>
        </w:rPr>
        <w:t>That the Formal Complaint filed by the Office of Small Business Advocate in this proceeding at Docket No. C-2020-302</w:t>
      </w:r>
      <w:r w:rsidR="00860288" w:rsidRPr="00F56D54">
        <w:rPr>
          <w:rFonts w:eastAsiaTheme="minorHAnsi"/>
          <w:sz w:val="26"/>
          <w:szCs w:val="26"/>
        </w:rPr>
        <w:t>2858</w:t>
      </w:r>
      <w:r w:rsidR="000F7FD7" w:rsidRPr="00F56D54">
        <w:rPr>
          <w:rFonts w:eastAsiaTheme="minorHAnsi"/>
          <w:sz w:val="26"/>
          <w:szCs w:val="26"/>
        </w:rPr>
        <w:t xml:space="preserve"> be </w:t>
      </w:r>
      <w:r w:rsidR="00860288" w:rsidRPr="00F56D54">
        <w:rPr>
          <w:rFonts w:eastAsiaTheme="minorHAnsi"/>
          <w:sz w:val="26"/>
          <w:szCs w:val="26"/>
        </w:rPr>
        <w:t>deemed satisfi</w:t>
      </w:r>
      <w:r w:rsidR="00851929" w:rsidRPr="00F56D54">
        <w:rPr>
          <w:rFonts w:eastAsiaTheme="minorHAnsi"/>
          <w:sz w:val="26"/>
          <w:szCs w:val="26"/>
        </w:rPr>
        <w:t xml:space="preserve">ed, in part, and </w:t>
      </w:r>
      <w:r w:rsidR="000F7FD7" w:rsidRPr="00F56D54">
        <w:rPr>
          <w:rFonts w:eastAsiaTheme="minorHAnsi"/>
          <w:sz w:val="26"/>
          <w:szCs w:val="26"/>
        </w:rPr>
        <w:t>dismissed</w:t>
      </w:r>
      <w:r w:rsidR="00851929" w:rsidRPr="00F56D54">
        <w:rPr>
          <w:rFonts w:eastAsiaTheme="minorHAnsi"/>
          <w:sz w:val="26"/>
          <w:szCs w:val="26"/>
        </w:rPr>
        <w:t xml:space="preserve">, in part, </w:t>
      </w:r>
      <w:r w:rsidR="000F7FD7" w:rsidRPr="00F56D54">
        <w:rPr>
          <w:rFonts w:eastAsiaTheme="minorHAnsi"/>
          <w:sz w:val="26"/>
          <w:szCs w:val="26"/>
        </w:rPr>
        <w:t>and marked closed.</w:t>
      </w:r>
    </w:p>
    <w:p w14:paraId="3883BD1B" w14:textId="77777777" w:rsidR="007648D4" w:rsidRPr="00F56D54" w:rsidRDefault="007648D4" w:rsidP="00CC48DF">
      <w:pPr>
        <w:widowControl/>
        <w:spacing w:after="200" w:line="360" w:lineRule="auto"/>
        <w:ind w:firstLine="1440"/>
        <w:contextualSpacing/>
        <w:rPr>
          <w:rFonts w:eastAsiaTheme="minorHAnsi"/>
          <w:sz w:val="26"/>
          <w:szCs w:val="26"/>
        </w:rPr>
      </w:pPr>
    </w:p>
    <w:p w14:paraId="3BDBD3CD" w14:textId="1E3D433C" w:rsidR="00062180" w:rsidRPr="00F56D54" w:rsidRDefault="002E491C" w:rsidP="00CC48DF">
      <w:pPr>
        <w:widowControl/>
        <w:spacing w:line="360" w:lineRule="auto"/>
        <w:ind w:firstLine="1440"/>
        <w:rPr>
          <w:color w:val="000000"/>
          <w:sz w:val="26"/>
          <w:szCs w:val="26"/>
        </w:rPr>
      </w:pPr>
      <w:r w:rsidRPr="00F56D54">
        <w:rPr>
          <w:sz w:val="26"/>
          <w:szCs w:val="26"/>
        </w:rPr>
        <w:t>1</w:t>
      </w:r>
      <w:r w:rsidR="0011686E" w:rsidRPr="00F56D54">
        <w:rPr>
          <w:sz w:val="26"/>
          <w:szCs w:val="26"/>
        </w:rPr>
        <w:t>2</w:t>
      </w:r>
      <w:r w:rsidR="009B420F" w:rsidRPr="00F56D54">
        <w:rPr>
          <w:sz w:val="26"/>
          <w:szCs w:val="26"/>
        </w:rPr>
        <w:t>.</w:t>
      </w:r>
      <w:r w:rsidR="009B420F" w:rsidRPr="00F56D54">
        <w:rPr>
          <w:sz w:val="26"/>
          <w:szCs w:val="26"/>
        </w:rPr>
        <w:tab/>
      </w:r>
      <w:r w:rsidR="002C694A" w:rsidRPr="00F56D54">
        <w:rPr>
          <w:sz w:val="26"/>
          <w:szCs w:val="26"/>
        </w:rPr>
        <w:t>That the Formal Complaints of Complainants</w:t>
      </w:r>
      <w:r w:rsidR="004459FD" w:rsidRPr="00F56D54">
        <w:rPr>
          <w:sz w:val="26"/>
          <w:szCs w:val="26"/>
        </w:rPr>
        <w:t xml:space="preserve">, </w:t>
      </w:r>
      <w:r w:rsidR="002E2629" w:rsidRPr="00F56D54">
        <w:rPr>
          <w:color w:val="000000"/>
          <w:sz w:val="26"/>
          <w:szCs w:val="26"/>
        </w:rPr>
        <w:t>Shelley Saul at Docket No. C-2020-3022921, Dawn Metzger</w:t>
      </w:r>
      <w:r w:rsidR="00370C0D" w:rsidRPr="00F56D54">
        <w:rPr>
          <w:color w:val="000000"/>
          <w:sz w:val="26"/>
          <w:szCs w:val="26"/>
        </w:rPr>
        <w:t xml:space="preserve"> </w:t>
      </w:r>
      <w:r w:rsidR="00F0730C" w:rsidRPr="00F56D54">
        <w:rPr>
          <w:color w:val="000000"/>
          <w:sz w:val="26"/>
          <w:szCs w:val="26"/>
        </w:rPr>
        <w:t xml:space="preserve">at </w:t>
      </w:r>
      <w:r w:rsidR="002E2629" w:rsidRPr="00F56D54">
        <w:rPr>
          <w:color w:val="000000"/>
          <w:sz w:val="26"/>
          <w:szCs w:val="26"/>
        </w:rPr>
        <w:t xml:space="preserve">Docket No. C-2020-3022987, Anthony </w:t>
      </w:r>
      <w:proofErr w:type="spellStart"/>
      <w:r w:rsidR="002E2629" w:rsidRPr="00F56D54">
        <w:rPr>
          <w:color w:val="000000"/>
          <w:sz w:val="26"/>
          <w:szCs w:val="26"/>
        </w:rPr>
        <w:t>Pinkala</w:t>
      </w:r>
      <w:proofErr w:type="spellEnd"/>
      <w:r w:rsidR="00993C4B" w:rsidRPr="00F56D54">
        <w:rPr>
          <w:color w:val="000000"/>
          <w:sz w:val="26"/>
          <w:szCs w:val="26"/>
        </w:rPr>
        <w:t xml:space="preserve"> at</w:t>
      </w:r>
      <w:r w:rsidR="002E2629" w:rsidRPr="00F56D54">
        <w:rPr>
          <w:color w:val="000000"/>
          <w:sz w:val="26"/>
          <w:szCs w:val="26"/>
        </w:rPr>
        <w:t xml:space="preserve"> Docket No.</w:t>
      </w:r>
      <w:r w:rsidR="007E14C6" w:rsidRPr="00F56D54">
        <w:rPr>
          <w:color w:val="000000"/>
          <w:sz w:val="26"/>
          <w:szCs w:val="26"/>
        </w:rPr>
        <w:t xml:space="preserve"> C-2020-</w:t>
      </w:r>
      <w:r w:rsidR="009E71A7" w:rsidRPr="00F56D54">
        <w:rPr>
          <w:color w:val="000000"/>
          <w:sz w:val="26"/>
          <w:szCs w:val="26"/>
        </w:rPr>
        <w:t xml:space="preserve">3023020, William H. </w:t>
      </w:r>
      <w:proofErr w:type="spellStart"/>
      <w:r w:rsidR="009E71A7" w:rsidRPr="00F56D54">
        <w:rPr>
          <w:color w:val="000000"/>
          <w:sz w:val="26"/>
          <w:szCs w:val="26"/>
        </w:rPr>
        <w:t>Yennie</w:t>
      </w:r>
      <w:proofErr w:type="spellEnd"/>
      <w:r w:rsidR="009E71A7" w:rsidRPr="00F56D54">
        <w:rPr>
          <w:color w:val="000000"/>
          <w:sz w:val="26"/>
          <w:szCs w:val="26"/>
        </w:rPr>
        <w:t>, III at Docket No. C</w:t>
      </w:r>
      <w:r w:rsidR="007F4997">
        <w:rPr>
          <w:color w:val="000000"/>
          <w:sz w:val="26"/>
          <w:szCs w:val="26"/>
        </w:rPr>
        <w:noBreakHyphen/>
      </w:r>
      <w:r w:rsidR="009E71A7" w:rsidRPr="00F56D54">
        <w:rPr>
          <w:color w:val="000000"/>
          <w:sz w:val="26"/>
          <w:szCs w:val="26"/>
        </w:rPr>
        <w:t>2020</w:t>
      </w:r>
      <w:r w:rsidR="007F4997">
        <w:rPr>
          <w:color w:val="000000"/>
          <w:sz w:val="26"/>
          <w:szCs w:val="26"/>
        </w:rPr>
        <w:noBreakHyphen/>
      </w:r>
      <w:r w:rsidR="009E71A7" w:rsidRPr="00F56D54">
        <w:rPr>
          <w:color w:val="000000"/>
          <w:sz w:val="26"/>
          <w:szCs w:val="26"/>
        </w:rPr>
        <w:t xml:space="preserve">3023035, Charles </w:t>
      </w:r>
      <w:proofErr w:type="spellStart"/>
      <w:r w:rsidR="009E71A7" w:rsidRPr="00F56D54">
        <w:rPr>
          <w:color w:val="000000"/>
          <w:sz w:val="26"/>
          <w:szCs w:val="26"/>
        </w:rPr>
        <w:t>Gillinder</w:t>
      </w:r>
      <w:proofErr w:type="spellEnd"/>
      <w:r w:rsidR="009E71A7" w:rsidRPr="00F56D54">
        <w:rPr>
          <w:color w:val="000000"/>
          <w:sz w:val="26"/>
          <w:szCs w:val="26"/>
        </w:rPr>
        <w:t xml:space="preserve"> at</w:t>
      </w:r>
      <w:r w:rsidR="002E2629" w:rsidRPr="00F56D54">
        <w:rPr>
          <w:color w:val="000000"/>
          <w:sz w:val="26"/>
          <w:szCs w:val="26"/>
        </w:rPr>
        <w:t xml:space="preserve"> </w:t>
      </w:r>
      <w:r w:rsidR="009E71A7" w:rsidRPr="00F56D54">
        <w:rPr>
          <w:color w:val="000000"/>
          <w:sz w:val="26"/>
          <w:szCs w:val="26"/>
        </w:rPr>
        <w:t xml:space="preserve">Docket No. C-2020-3023416, Carol </w:t>
      </w:r>
      <w:proofErr w:type="spellStart"/>
      <w:r w:rsidR="009E71A7" w:rsidRPr="00F56D54">
        <w:rPr>
          <w:color w:val="000000"/>
          <w:sz w:val="26"/>
          <w:szCs w:val="26"/>
        </w:rPr>
        <w:t>Losee</w:t>
      </w:r>
      <w:proofErr w:type="spellEnd"/>
      <w:r w:rsidR="009E71A7" w:rsidRPr="00F56D54">
        <w:rPr>
          <w:color w:val="000000"/>
          <w:sz w:val="26"/>
          <w:szCs w:val="26"/>
        </w:rPr>
        <w:t xml:space="preserve"> at Docket No. C-2020-3023152, John W. Dalton</w:t>
      </w:r>
      <w:r w:rsidR="00370C0D" w:rsidRPr="00F56D54">
        <w:rPr>
          <w:color w:val="000000"/>
          <w:sz w:val="26"/>
          <w:szCs w:val="26"/>
        </w:rPr>
        <w:t xml:space="preserve"> at</w:t>
      </w:r>
      <w:r w:rsidR="00183F29" w:rsidRPr="00F56D54">
        <w:rPr>
          <w:color w:val="000000"/>
          <w:sz w:val="26"/>
          <w:szCs w:val="26"/>
        </w:rPr>
        <w:t xml:space="preserve"> Docket No. C-2020-3023239, Marla J. Hulse at Docket No. C-2020-3023418, and Candace Howard at Docket No. C</w:t>
      </w:r>
      <w:r w:rsidR="007F4997">
        <w:rPr>
          <w:color w:val="000000"/>
          <w:sz w:val="26"/>
          <w:szCs w:val="26"/>
        </w:rPr>
        <w:noBreakHyphen/>
      </w:r>
      <w:r w:rsidR="00183F29" w:rsidRPr="00F56D54">
        <w:rPr>
          <w:color w:val="000000"/>
          <w:sz w:val="26"/>
          <w:szCs w:val="26"/>
        </w:rPr>
        <w:t>2020</w:t>
      </w:r>
      <w:r w:rsidR="007F4997">
        <w:rPr>
          <w:color w:val="000000"/>
          <w:sz w:val="26"/>
          <w:szCs w:val="26"/>
        </w:rPr>
        <w:noBreakHyphen/>
      </w:r>
      <w:r w:rsidR="00183F29" w:rsidRPr="00F56D54">
        <w:rPr>
          <w:color w:val="000000"/>
          <w:sz w:val="26"/>
          <w:szCs w:val="26"/>
        </w:rPr>
        <w:t>3023490, in this proceeding be dismissed and marked as closed.</w:t>
      </w:r>
    </w:p>
    <w:p w14:paraId="28070E99" w14:textId="77777777" w:rsidR="00062180" w:rsidRPr="00F56D54" w:rsidRDefault="00062180" w:rsidP="00CC48DF">
      <w:pPr>
        <w:widowControl/>
        <w:spacing w:line="360" w:lineRule="auto"/>
        <w:ind w:hanging="10"/>
        <w:rPr>
          <w:color w:val="000000"/>
          <w:sz w:val="26"/>
          <w:szCs w:val="26"/>
        </w:rPr>
      </w:pPr>
    </w:p>
    <w:p w14:paraId="5BC00E6A" w14:textId="3B7784E9" w:rsidR="009B420F" w:rsidRPr="00F56D54" w:rsidRDefault="00062180" w:rsidP="00CC48DF">
      <w:pPr>
        <w:keepNext/>
        <w:widowControl/>
        <w:spacing w:line="360" w:lineRule="auto"/>
        <w:ind w:firstLine="1440"/>
        <w:rPr>
          <w:color w:val="000000"/>
          <w:sz w:val="26"/>
          <w:szCs w:val="26"/>
        </w:rPr>
      </w:pPr>
      <w:r w:rsidRPr="00F56D54">
        <w:rPr>
          <w:color w:val="000000"/>
          <w:sz w:val="26"/>
          <w:szCs w:val="26"/>
        </w:rPr>
        <w:t>1</w:t>
      </w:r>
      <w:r w:rsidR="0011686E" w:rsidRPr="00F56D54">
        <w:rPr>
          <w:sz w:val="26"/>
          <w:szCs w:val="26"/>
        </w:rPr>
        <w:t>3</w:t>
      </w:r>
      <w:r w:rsidR="003451D6" w:rsidRPr="00F56D54">
        <w:rPr>
          <w:sz w:val="26"/>
          <w:szCs w:val="26"/>
        </w:rPr>
        <w:t xml:space="preserve">. </w:t>
      </w:r>
      <w:r w:rsidRPr="00F56D54">
        <w:rPr>
          <w:sz w:val="26"/>
          <w:szCs w:val="26"/>
        </w:rPr>
        <w:tab/>
      </w:r>
      <w:r w:rsidR="009B420F" w:rsidRPr="00F56D54">
        <w:rPr>
          <w:sz w:val="26"/>
          <w:szCs w:val="26"/>
        </w:rPr>
        <w:t xml:space="preserve">That upon acceptance and approval by the Commission of the appropriate compliance filings, tariffs, tariff supplements or tariff revisions filed by the </w:t>
      </w:r>
      <w:r w:rsidR="0055469E" w:rsidRPr="00F56D54">
        <w:rPr>
          <w:sz w:val="26"/>
          <w:szCs w:val="26"/>
        </w:rPr>
        <w:lastRenderedPageBreak/>
        <w:t xml:space="preserve">Pike County Light </w:t>
      </w:r>
      <w:r w:rsidR="00E66BD5">
        <w:rPr>
          <w:sz w:val="26"/>
          <w:szCs w:val="26"/>
        </w:rPr>
        <w:t>&amp;</w:t>
      </w:r>
      <w:r w:rsidR="0055469E" w:rsidRPr="00F56D54">
        <w:rPr>
          <w:sz w:val="26"/>
          <w:szCs w:val="26"/>
        </w:rPr>
        <w:t xml:space="preserve"> Power Company</w:t>
      </w:r>
      <w:r w:rsidR="00F61648" w:rsidRPr="00F56D54">
        <w:rPr>
          <w:sz w:val="26"/>
          <w:szCs w:val="26"/>
        </w:rPr>
        <w:t xml:space="preserve"> </w:t>
      </w:r>
      <w:r w:rsidR="00E66BD5">
        <w:rPr>
          <w:sz w:val="26"/>
          <w:szCs w:val="26"/>
        </w:rPr>
        <w:t xml:space="preserve">- </w:t>
      </w:r>
      <w:r w:rsidR="0055469E" w:rsidRPr="00F56D54">
        <w:rPr>
          <w:sz w:val="26"/>
          <w:szCs w:val="26"/>
        </w:rPr>
        <w:t>Electric</w:t>
      </w:r>
      <w:r w:rsidR="009B420F" w:rsidRPr="00F56D54">
        <w:rPr>
          <w:sz w:val="26"/>
          <w:szCs w:val="26"/>
        </w:rPr>
        <w:t xml:space="preserve"> consistent with this Opinion and Order, this proceeding at Docket No. R-2020-3</w:t>
      </w:r>
      <w:r w:rsidR="007B4BB6" w:rsidRPr="00F56D54">
        <w:rPr>
          <w:sz w:val="26"/>
          <w:szCs w:val="26"/>
        </w:rPr>
        <w:t>0</w:t>
      </w:r>
      <w:r w:rsidR="009B420F" w:rsidRPr="00F56D54">
        <w:rPr>
          <w:sz w:val="26"/>
          <w:szCs w:val="26"/>
        </w:rPr>
        <w:t>2</w:t>
      </w:r>
      <w:r w:rsidR="003D15ED" w:rsidRPr="00F56D54">
        <w:rPr>
          <w:sz w:val="26"/>
          <w:szCs w:val="26"/>
        </w:rPr>
        <w:t>2135</w:t>
      </w:r>
      <w:r w:rsidR="009B420F" w:rsidRPr="00F56D54">
        <w:rPr>
          <w:sz w:val="26"/>
          <w:szCs w:val="26"/>
        </w:rPr>
        <w:t xml:space="preserve"> shall be marked closed.</w:t>
      </w:r>
    </w:p>
    <w:p w14:paraId="783110D2" w14:textId="319C4D57" w:rsidR="000F1318" w:rsidRPr="00F56D54" w:rsidRDefault="000F1318" w:rsidP="00F56D54">
      <w:pPr>
        <w:keepNext/>
        <w:widowControl/>
        <w:rPr>
          <w:sz w:val="26"/>
          <w:szCs w:val="26"/>
        </w:rPr>
      </w:pPr>
    </w:p>
    <w:p w14:paraId="0D5F48A5" w14:textId="2EE0FB50" w:rsidR="000F1318" w:rsidRPr="00F56D54" w:rsidRDefault="00B953B7" w:rsidP="007F4997">
      <w:pPr>
        <w:keepNext/>
        <w:widowControl/>
        <w:ind w:left="5040"/>
        <w:rPr>
          <w:sz w:val="26"/>
          <w:szCs w:val="26"/>
        </w:rPr>
      </w:pPr>
      <w:r w:rsidRPr="009F01BA">
        <w:rPr>
          <w:b/>
          <w:noProof/>
        </w:rPr>
        <w:drawing>
          <wp:anchor distT="0" distB="0" distL="114300" distR="114300" simplePos="0" relativeHeight="251659264" behindDoc="1" locked="0" layoutInCell="1" allowOverlap="1" wp14:anchorId="27B4E4B3" wp14:editId="0B52335F">
            <wp:simplePos x="0" y="0"/>
            <wp:positionH relativeFrom="column">
              <wp:posOffset>3048000</wp:posOffset>
            </wp:positionH>
            <wp:positionV relativeFrom="paragraph">
              <wp:posOffset>131445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0F1318" w:rsidRPr="00F56D54">
        <w:rPr>
          <w:b/>
          <w:sz w:val="26"/>
          <w:szCs w:val="26"/>
        </w:rPr>
        <w:t>BY THE COMMISSION,</w:t>
      </w:r>
    </w:p>
    <w:p w14:paraId="1B729B44" w14:textId="1BF6DD55" w:rsidR="000F1318" w:rsidRPr="00F56D54" w:rsidRDefault="000F1318" w:rsidP="007F4997">
      <w:pPr>
        <w:keepNext/>
        <w:widowControl/>
        <w:ind w:left="5040"/>
        <w:rPr>
          <w:sz w:val="26"/>
          <w:szCs w:val="26"/>
        </w:rPr>
      </w:pPr>
    </w:p>
    <w:p w14:paraId="16BB3175" w14:textId="3089BB3E" w:rsidR="000F1318" w:rsidRPr="00F56D54" w:rsidRDefault="00B953B7" w:rsidP="00B953B7">
      <w:pPr>
        <w:keepNext/>
        <w:widowControl/>
        <w:tabs>
          <w:tab w:val="left" w:pos="6120"/>
        </w:tabs>
        <w:ind w:left="5040"/>
        <w:rPr>
          <w:sz w:val="26"/>
          <w:szCs w:val="26"/>
        </w:rPr>
      </w:pPr>
      <w:r>
        <w:rPr>
          <w:sz w:val="26"/>
          <w:szCs w:val="26"/>
        </w:rPr>
        <w:tab/>
      </w:r>
    </w:p>
    <w:p w14:paraId="4853AF9B" w14:textId="37285499" w:rsidR="000D7B91" w:rsidRPr="00F56D54" w:rsidRDefault="000D7B91" w:rsidP="007F4997">
      <w:pPr>
        <w:keepNext/>
        <w:widowControl/>
        <w:ind w:left="5040"/>
        <w:rPr>
          <w:sz w:val="26"/>
          <w:szCs w:val="26"/>
        </w:rPr>
      </w:pPr>
    </w:p>
    <w:p w14:paraId="2665205C" w14:textId="77777777" w:rsidR="000F1318" w:rsidRPr="00F56D54" w:rsidRDefault="000F1318" w:rsidP="007F4997">
      <w:pPr>
        <w:keepNext/>
        <w:widowControl/>
        <w:ind w:left="5040"/>
        <w:rPr>
          <w:sz w:val="26"/>
          <w:szCs w:val="26"/>
        </w:rPr>
      </w:pPr>
    </w:p>
    <w:p w14:paraId="10972E82" w14:textId="77777777" w:rsidR="00600F6F" w:rsidRPr="00F56D54" w:rsidRDefault="00600F6F" w:rsidP="007F4997">
      <w:pPr>
        <w:keepNext/>
        <w:widowControl/>
        <w:ind w:left="5040"/>
        <w:rPr>
          <w:sz w:val="26"/>
          <w:szCs w:val="26"/>
        </w:rPr>
      </w:pPr>
      <w:r w:rsidRPr="00F56D54">
        <w:rPr>
          <w:sz w:val="26"/>
          <w:szCs w:val="26"/>
        </w:rPr>
        <w:t>Rosemary Chiavetta</w:t>
      </w:r>
    </w:p>
    <w:p w14:paraId="12DFF6D7" w14:textId="77777777" w:rsidR="000F1318" w:rsidRPr="00F56D54" w:rsidRDefault="000F1318" w:rsidP="007F4997">
      <w:pPr>
        <w:keepNext/>
        <w:widowControl/>
        <w:ind w:left="5040"/>
        <w:rPr>
          <w:sz w:val="26"/>
          <w:szCs w:val="26"/>
        </w:rPr>
      </w:pPr>
      <w:r w:rsidRPr="00F56D54">
        <w:rPr>
          <w:sz w:val="26"/>
          <w:szCs w:val="26"/>
        </w:rPr>
        <w:t>Secretary</w:t>
      </w:r>
    </w:p>
    <w:p w14:paraId="350D3FC4" w14:textId="77777777" w:rsidR="000F1318" w:rsidRPr="00F56D54" w:rsidRDefault="000F1318" w:rsidP="007F4997">
      <w:pPr>
        <w:keepNext/>
        <w:widowControl/>
        <w:rPr>
          <w:sz w:val="26"/>
          <w:szCs w:val="26"/>
        </w:rPr>
      </w:pPr>
    </w:p>
    <w:p w14:paraId="58541BBE" w14:textId="77777777" w:rsidR="000F1318" w:rsidRPr="00F56D54" w:rsidRDefault="000F1318" w:rsidP="007F4997">
      <w:pPr>
        <w:keepNext/>
        <w:widowControl/>
        <w:rPr>
          <w:sz w:val="26"/>
          <w:szCs w:val="26"/>
        </w:rPr>
      </w:pPr>
      <w:r w:rsidRPr="00F56D54">
        <w:rPr>
          <w:sz w:val="26"/>
          <w:szCs w:val="26"/>
        </w:rPr>
        <w:t>(SEAL)</w:t>
      </w:r>
    </w:p>
    <w:p w14:paraId="2DB92430" w14:textId="77777777" w:rsidR="000F1318" w:rsidRPr="00F56D54" w:rsidRDefault="000F1318" w:rsidP="007F4997">
      <w:pPr>
        <w:keepNext/>
        <w:widowControl/>
        <w:rPr>
          <w:sz w:val="26"/>
          <w:szCs w:val="26"/>
        </w:rPr>
      </w:pPr>
    </w:p>
    <w:p w14:paraId="5DD592A5" w14:textId="41DDB64E" w:rsidR="000D7B91" w:rsidRPr="00F56D54" w:rsidRDefault="00F248A4" w:rsidP="007F4997">
      <w:pPr>
        <w:keepNext/>
        <w:widowControl/>
        <w:rPr>
          <w:sz w:val="26"/>
          <w:szCs w:val="26"/>
        </w:rPr>
      </w:pPr>
      <w:r w:rsidRPr="00F56D54">
        <w:rPr>
          <w:sz w:val="26"/>
          <w:szCs w:val="26"/>
        </w:rPr>
        <w:t>ORDER ADOPTED:</w:t>
      </w:r>
      <w:r w:rsidR="00776AD2" w:rsidRPr="00F56D54">
        <w:rPr>
          <w:sz w:val="26"/>
          <w:szCs w:val="26"/>
        </w:rPr>
        <w:t xml:space="preserve">  </w:t>
      </w:r>
      <w:r w:rsidR="001165C8" w:rsidRPr="00F56D54">
        <w:rPr>
          <w:sz w:val="26"/>
          <w:szCs w:val="26"/>
        </w:rPr>
        <w:t xml:space="preserve">July </w:t>
      </w:r>
      <w:r w:rsidR="00741562" w:rsidRPr="00F56D54">
        <w:rPr>
          <w:sz w:val="26"/>
          <w:szCs w:val="26"/>
        </w:rPr>
        <w:t>15</w:t>
      </w:r>
      <w:r w:rsidR="003F19BF" w:rsidRPr="00F56D54">
        <w:rPr>
          <w:sz w:val="26"/>
          <w:szCs w:val="26"/>
        </w:rPr>
        <w:t>, 20</w:t>
      </w:r>
      <w:r w:rsidR="00B104A2" w:rsidRPr="00F56D54">
        <w:rPr>
          <w:sz w:val="26"/>
          <w:szCs w:val="26"/>
        </w:rPr>
        <w:t>2</w:t>
      </w:r>
      <w:r w:rsidR="00F43F7E" w:rsidRPr="00F56D54">
        <w:rPr>
          <w:sz w:val="26"/>
          <w:szCs w:val="26"/>
        </w:rPr>
        <w:t>1</w:t>
      </w:r>
    </w:p>
    <w:p w14:paraId="77DBB4DA" w14:textId="77777777" w:rsidR="000D7B91" w:rsidRPr="00F56D54" w:rsidRDefault="000D7B91" w:rsidP="007F4997">
      <w:pPr>
        <w:keepNext/>
        <w:widowControl/>
        <w:rPr>
          <w:sz w:val="26"/>
          <w:szCs w:val="26"/>
        </w:rPr>
      </w:pPr>
    </w:p>
    <w:p w14:paraId="2FE4E797" w14:textId="5D189692" w:rsidR="004F47A7" w:rsidRPr="00F56D54" w:rsidRDefault="000D7B91" w:rsidP="007F4997">
      <w:pPr>
        <w:keepNext/>
        <w:widowControl/>
        <w:rPr>
          <w:b/>
          <w:sz w:val="26"/>
          <w:szCs w:val="26"/>
        </w:rPr>
      </w:pPr>
      <w:r w:rsidRPr="00F56D54">
        <w:rPr>
          <w:sz w:val="26"/>
          <w:szCs w:val="26"/>
        </w:rPr>
        <w:t>O</w:t>
      </w:r>
      <w:r w:rsidR="000F1318" w:rsidRPr="00F56D54">
        <w:rPr>
          <w:sz w:val="26"/>
          <w:szCs w:val="26"/>
        </w:rPr>
        <w:t>RDER ENTERED:</w:t>
      </w:r>
      <w:r w:rsidR="00503ACC" w:rsidRPr="00F56D54">
        <w:rPr>
          <w:b/>
          <w:sz w:val="26"/>
          <w:szCs w:val="26"/>
        </w:rPr>
        <w:t xml:space="preserve"> </w:t>
      </w:r>
      <w:r w:rsidR="00F07D28" w:rsidRPr="00F56D54">
        <w:rPr>
          <w:b/>
          <w:sz w:val="26"/>
          <w:szCs w:val="26"/>
        </w:rPr>
        <w:t xml:space="preserve"> </w:t>
      </w:r>
      <w:r w:rsidR="00B953B7" w:rsidRPr="00B953B7">
        <w:rPr>
          <w:bCs/>
          <w:sz w:val="26"/>
          <w:szCs w:val="26"/>
        </w:rPr>
        <w:t>July 21, 2021</w:t>
      </w:r>
    </w:p>
    <w:sectPr w:rsidR="004F47A7" w:rsidRPr="00F56D54" w:rsidSect="00452872">
      <w:footerReference w:type="even" r:id="rId9"/>
      <w:footerReference w:type="defaul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F598E" w14:textId="77777777" w:rsidR="00EF75D4" w:rsidRDefault="00EF75D4">
      <w:r>
        <w:separator/>
      </w:r>
    </w:p>
    <w:p w14:paraId="2E6B8D5B" w14:textId="77777777" w:rsidR="00EF75D4" w:rsidRDefault="00EF75D4"/>
    <w:p w14:paraId="6F1A9DC5" w14:textId="77777777" w:rsidR="00EF75D4" w:rsidRDefault="00EF75D4" w:rsidP="002826C5"/>
  </w:endnote>
  <w:endnote w:type="continuationSeparator" w:id="0">
    <w:p w14:paraId="4A20FBAA" w14:textId="77777777" w:rsidR="00EF75D4" w:rsidRDefault="00EF75D4">
      <w:r>
        <w:continuationSeparator/>
      </w:r>
    </w:p>
    <w:p w14:paraId="6E6397E0" w14:textId="77777777" w:rsidR="00EF75D4" w:rsidRDefault="00EF75D4"/>
    <w:p w14:paraId="7DC65486" w14:textId="77777777" w:rsidR="00EF75D4" w:rsidRDefault="00EF75D4" w:rsidP="002826C5"/>
  </w:endnote>
  <w:endnote w:type="continuationNotice" w:id="1">
    <w:p w14:paraId="34F009FE" w14:textId="77777777" w:rsidR="00EF75D4" w:rsidRDefault="00EF75D4"/>
    <w:p w14:paraId="77BC1D0D" w14:textId="77777777" w:rsidR="00EF75D4" w:rsidRDefault="00EF75D4"/>
    <w:p w14:paraId="06B37C61" w14:textId="77777777" w:rsidR="00EF75D4" w:rsidRDefault="00EF75D4" w:rsidP="002826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D372A" w14:textId="77777777" w:rsidR="001C5320" w:rsidRDefault="001C5320"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2A25DE" w14:textId="77777777" w:rsidR="001C5320" w:rsidRDefault="001C53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F0F16" w14:textId="77777777" w:rsidR="001C5320" w:rsidRPr="00C7667D" w:rsidRDefault="001C5320"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Pr>
        <w:rStyle w:val="PageNumber"/>
        <w:noProof/>
        <w:sz w:val="26"/>
      </w:rPr>
      <w:t>2</w:t>
    </w:r>
    <w:r w:rsidRPr="00C7667D">
      <w:rPr>
        <w:rStyle w:val="PageNumber"/>
        <w:sz w:val="26"/>
      </w:rPr>
      <w:fldChar w:fldCharType="end"/>
    </w:r>
  </w:p>
  <w:p w14:paraId="74A283B3" w14:textId="77777777" w:rsidR="001C5320" w:rsidRDefault="001C5320" w:rsidP="00C76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2384" w14:textId="77777777" w:rsidR="001C5320" w:rsidRDefault="001C5320" w:rsidP="00A32A8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B8297" w14:textId="77777777" w:rsidR="00EF75D4" w:rsidRDefault="00EF75D4" w:rsidP="002826C5">
      <w:r>
        <w:separator/>
      </w:r>
    </w:p>
  </w:footnote>
  <w:footnote w:type="continuationSeparator" w:id="0">
    <w:p w14:paraId="51F3ECAE" w14:textId="77777777" w:rsidR="00EF75D4" w:rsidRDefault="00EF75D4">
      <w:r>
        <w:continuationSeparator/>
      </w:r>
    </w:p>
    <w:p w14:paraId="15CBBF62" w14:textId="77777777" w:rsidR="00EF75D4" w:rsidRDefault="00EF75D4"/>
    <w:p w14:paraId="4479C2DB" w14:textId="77777777" w:rsidR="00EF75D4" w:rsidRDefault="00EF75D4" w:rsidP="002826C5"/>
  </w:footnote>
  <w:footnote w:type="continuationNotice" w:id="1">
    <w:p w14:paraId="27C60D48" w14:textId="77777777" w:rsidR="00EF75D4" w:rsidRDefault="00EF75D4"/>
    <w:p w14:paraId="73F84145" w14:textId="77777777" w:rsidR="00EF75D4" w:rsidRDefault="00EF75D4"/>
    <w:p w14:paraId="15ECE429" w14:textId="77777777" w:rsidR="00EF75D4" w:rsidRDefault="00EF75D4" w:rsidP="002826C5"/>
  </w:footnote>
  <w:footnote w:id="2">
    <w:p w14:paraId="0C3E3305" w14:textId="7AC7F1DC" w:rsidR="001C5320" w:rsidRPr="00C747A4" w:rsidRDefault="001C5320" w:rsidP="002D6BDD">
      <w:pPr>
        <w:pStyle w:val="FootnoteText"/>
        <w:keepNext/>
        <w:keepLines/>
        <w:ind w:firstLine="720"/>
        <w:rPr>
          <w:sz w:val="26"/>
          <w:szCs w:val="26"/>
        </w:rPr>
      </w:pPr>
      <w:r w:rsidRPr="00C747A4">
        <w:rPr>
          <w:rStyle w:val="FootnoteReference"/>
          <w:sz w:val="26"/>
          <w:szCs w:val="26"/>
        </w:rPr>
        <w:footnoteRef/>
      </w:r>
      <w:r w:rsidRPr="00C747A4">
        <w:rPr>
          <w:sz w:val="26"/>
          <w:szCs w:val="26"/>
        </w:rPr>
        <w:t xml:space="preserve"> </w:t>
      </w:r>
      <w:r>
        <w:rPr>
          <w:sz w:val="26"/>
          <w:szCs w:val="26"/>
        </w:rPr>
        <w:tab/>
        <w:t>T</w:t>
      </w:r>
      <w:r w:rsidRPr="003F5D30">
        <w:rPr>
          <w:sz w:val="26"/>
          <w:szCs w:val="26"/>
        </w:rPr>
        <w:t xml:space="preserve">he </w:t>
      </w:r>
      <w:r>
        <w:rPr>
          <w:sz w:val="26"/>
          <w:szCs w:val="26"/>
        </w:rPr>
        <w:t>Revenue Settlement and the Rate Design Settlement together</w:t>
      </w:r>
      <w:r w:rsidRPr="003F5D30">
        <w:rPr>
          <w:sz w:val="26"/>
          <w:szCs w:val="26"/>
        </w:rPr>
        <w:t xml:space="preserve"> resolve</w:t>
      </w:r>
      <w:r>
        <w:rPr>
          <w:sz w:val="26"/>
          <w:szCs w:val="26"/>
        </w:rPr>
        <w:t xml:space="preserve"> the</w:t>
      </w:r>
      <w:r w:rsidRPr="003F5D30">
        <w:rPr>
          <w:sz w:val="26"/>
          <w:szCs w:val="26"/>
        </w:rPr>
        <w:t xml:space="preserve"> entire rate proceeding</w:t>
      </w:r>
      <w:r>
        <w:rPr>
          <w:sz w:val="26"/>
          <w:szCs w:val="26"/>
        </w:rPr>
        <w:t xml:space="preserve">.  The Revenue Settlement was joined by all Active Parties, while the Rate Design Settlement </w:t>
      </w:r>
      <w:r w:rsidRPr="003F5D30">
        <w:rPr>
          <w:sz w:val="26"/>
          <w:szCs w:val="26"/>
        </w:rPr>
        <w:t xml:space="preserve">reflects a </w:t>
      </w:r>
      <w:r w:rsidRPr="003F5D30">
        <w:rPr>
          <w:i/>
          <w:iCs/>
          <w:sz w:val="26"/>
          <w:szCs w:val="26"/>
        </w:rPr>
        <w:t>nonunanimous</w:t>
      </w:r>
      <w:r w:rsidRPr="003F5D30">
        <w:rPr>
          <w:sz w:val="26"/>
          <w:szCs w:val="26"/>
        </w:rPr>
        <w:t xml:space="preserve"> settlement initiated by </w:t>
      </w:r>
      <w:r>
        <w:rPr>
          <w:sz w:val="26"/>
          <w:szCs w:val="26"/>
        </w:rPr>
        <w:t xml:space="preserve">all the Active Parties, except for the OSBA.  The OSBA maintained that, while the agreed upon rate increase was just and reasonable, the allocation of the rate increase among customer classes was unreasonable in relation to the class of small business customers and argued for a smaller increase to be attributed to the small business customers. </w:t>
      </w:r>
    </w:p>
  </w:footnote>
  <w:footnote w:id="3">
    <w:p w14:paraId="549E7A05" w14:textId="3D6F5EB5" w:rsidR="001C5320" w:rsidRPr="00D61493" w:rsidRDefault="001C5320" w:rsidP="00AC2E31">
      <w:pPr>
        <w:pStyle w:val="footnotedescription"/>
        <w:tabs>
          <w:tab w:val="center" w:pos="785"/>
          <w:tab w:val="left" w:pos="1440"/>
          <w:tab w:val="center" w:pos="2209"/>
        </w:tabs>
        <w:spacing w:after="120" w:line="240" w:lineRule="auto"/>
        <w:ind w:left="0"/>
        <w:rPr>
          <w:sz w:val="26"/>
          <w:szCs w:val="26"/>
        </w:rPr>
      </w:pPr>
      <w:r w:rsidRPr="00D61493">
        <w:rPr>
          <w:sz w:val="26"/>
          <w:szCs w:val="26"/>
        </w:rPr>
        <w:tab/>
      </w:r>
      <w:r w:rsidRPr="00D61493">
        <w:rPr>
          <w:rStyle w:val="footnotemark"/>
          <w:sz w:val="26"/>
          <w:szCs w:val="26"/>
        </w:rPr>
        <w:footnoteRef/>
      </w:r>
      <w:r w:rsidRPr="00D61493">
        <w:rPr>
          <w:sz w:val="26"/>
          <w:szCs w:val="26"/>
        </w:rPr>
        <w:tab/>
        <w:t>PCLP</w:t>
      </w:r>
      <w:r>
        <w:rPr>
          <w:sz w:val="26"/>
          <w:szCs w:val="26"/>
        </w:rPr>
        <w:t>C</w:t>
      </w:r>
      <w:r w:rsidRPr="00D61493">
        <w:rPr>
          <w:sz w:val="26"/>
          <w:szCs w:val="26"/>
        </w:rPr>
        <w:t>, St. 3 at 2.</w:t>
      </w:r>
    </w:p>
  </w:footnote>
  <w:footnote w:id="4">
    <w:p w14:paraId="6A4C5DB3" w14:textId="64E8DF29" w:rsidR="001C5320" w:rsidRPr="00D61493" w:rsidRDefault="001C5320" w:rsidP="00F56D54">
      <w:pPr>
        <w:pStyle w:val="footnotedescription"/>
        <w:spacing w:after="120" w:line="240" w:lineRule="auto"/>
        <w:ind w:left="0" w:firstLine="720"/>
        <w:rPr>
          <w:sz w:val="26"/>
          <w:szCs w:val="26"/>
        </w:rPr>
      </w:pPr>
      <w:r w:rsidRPr="00D61493">
        <w:rPr>
          <w:rStyle w:val="footnotemark"/>
          <w:sz w:val="26"/>
          <w:szCs w:val="26"/>
        </w:rPr>
        <w:footnoteRef/>
      </w:r>
      <w:r w:rsidRPr="00D61493">
        <w:rPr>
          <w:sz w:val="26"/>
          <w:szCs w:val="26"/>
        </w:rPr>
        <w:t xml:space="preserve"> </w:t>
      </w:r>
      <w:r w:rsidRPr="00D61493">
        <w:rPr>
          <w:sz w:val="26"/>
          <w:szCs w:val="26"/>
        </w:rPr>
        <w:tab/>
        <w:t>PCLP</w:t>
      </w:r>
      <w:r>
        <w:rPr>
          <w:sz w:val="26"/>
          <w:szCs w:val="26"/>
        </w:rPr>
        <w:t>C</w:t>
      </w:r>
      <w:r w:rsidRPr="00D61493">
        <w:rPr>
          <w:sz w:val="26"/>
          <w:szCs w:val="26"/>
        </w:rPr>
        <w:t xml:space="preserve">, St. 2 at 5.  </w:t>
      </w:r>
      <w:r w:rsidRPr="006C0301">
        <w:rPr>
          <w:i/>
          <w:iCs/>
          <w:sz w:val="26"/>
          <w:szCs w:val="26"/>
        </w:rPr>
        <w:t xml:space="preserve">See Joint Application of Pike </w:t>
      </w:r>
      <w:r w:rsidRPr="006C0301">
        <w:rPr>
          <w:i/>
          <w:iCs/>
          <w:sz w:val="26"/>
          <w:szCs w:val="26"/>
        </w:rPr>
        <w:t>Cnty. Light &amp; Power Co., Buyer Corning Nat. Gas Holding Corp.</w:t>
      </w:r>
      <w:r w:rsidRPr="00D61493">
        <w:rPr>
          <w:sz w:val="26"/>
          <w:szCs w:val="26"/>
        </w:rPr>
        <w:t xml:space="preserve">, Docket </w:t>
      </w:r>
      <w:r>
        <w:rPr>
          <w:sz w:val="26"/>
          <w:szCs w:val="26"/>
        </w:rPr>
        <w:t xml:space="preserve">No. </w:t>
      </w:r>
      <w:r w:rsidRPr="00D61493">
        <w:rPr>
          <w:sz w:val="26"/>
          <w:szCs w:val="26"/>
        </w:rPr>
        <w:t>A-2015-2517036 (</w:t>
      </w:r>
      <w:r>
        <w:rPr>
          <w:sz w:val="26"/>
          <w:szCs w:val="26"/>
        </w:rPr>
        <w:t xml:space="preserve">Opinion and </w:t>
      </w:r>
      <w:r w:rsidRPr="00D61493">
        <w:rPr>
          <w:sz w:val="26"/>
          <w:szCs w:val="26"/>
        </w:rPr>
        <w:t xml:space="preserve">Order entered August 11, 2016).  </w:t>
      </w:r>
    </w:p>
  </w:footnote>
  <w:footnote w:id="5">
    <w:p w14:paraId="1B6C15E2" w14:textId="6AA9149E" w:rsidR="001C5320" w:rsidRPr="00D61493" w:rsidRDefault="001C5320" w:rsidP="00680A68">
      <w:pPr>
        <w:pStyle w:val="footnotedescription"/>
        <w:spacing w:line="240" w:lineRule="auto"/>
        <w:ind w:left="0" w:firstLine="720"/>
        <w:rPr>
          <w:sz w:val="26"/>
          <w:szCs w:val="26"/>
        </w:rPr>
      </w:pPr>
      <w:r w:rsidRPr="00D61493">
        <w:rPr>
          <w:rStyle w:val="footnotemark"/>
          <w:sz w:val="26"/>
          <w:szCs w:val="26"/>
        </w:rPr>
        <w:footnoteRef/>
      </w:r>
      <w:r w:rsidRPr="00D61493">
        <w:rPr>
          <w:sz w:val="26"/>
          <w:szCs w:val="26"/>
        </w:rPr>
        <w:t xml:space="preserve"> </w:t>
      </w:r>
      <w:r w:rsidRPr="00D61493">
        <w:rPr>
          <w:sz w:val="26"/>
          <w:szCs w:val="26"/>
        </w:rPr>
        <w:tab/>
        <w:t>PCLP</w:t>
      </w:r>
      <w:r>
        <w:rPr>
          <w:sz w:val="26"/>
          <w:szCs w:val="26"/>
        </w:rPr>
        <w:t>C</w:t>
      </w:r>
      <w:r w:rsidRPr="00D61493">
        <w:rPr>
          <w:sz w:val="26"/>
          <w:szCs w:val="26"/>
        </w:rPr>
        <w:t xml:space="preserve">, St. 2 at 9; </w:t>
      </w:r>
      <w:r w:rsidRPr="00D61493">
        <w:rPr>
          <w:i/>
          <w:sz w:val="26"/>
          <w:szCs w:val="26"/>
        </w:rPr>
        <w:t>See Pa. P</w:t>
      </w:r>
      <w:r>
        <w:rPr>
          <w:i/>
          <w:sz w:val="26"/>
          <w:szCs w:val="26"/>
        </w:rPr>
        <w:t>UC</w:t>
      </w:r>
      <w:r w:rsidRPr="00D61493">
        <w:rPr>
          <w:i/>
          <w:sz w:val="26"/>
          <w:szCs w:val="26"/>
        </w:rPr>
        <w:t xml:space="preserve"> v. Pike </w:t>
      </w:r>
      <w:r w:rsidRPr="00D61493">
        <w:rPr>
          <w:i/>
          <w:sz w:val="26"/>
          <w:szCs w:val="26"/>
        </w:rPr>
        <w:t>Cnty Light &amp; Power (Electric)</w:t>
      </w:r>
      <w:r w:rsidRPr="00D61493">
        <w:rPr>
          <w:sz w:val="26"/>
          <w:szCs w:val="26"/>
        </w:rPr>
        <w:t>, Docket No. R-2013-2397237 (Opinion and Order entered September</w:t>
      </w:r>
      <w:r>
        <w:rPr>
          <w:sz w:val="26"/>
          <w:szCs w:val="26"/>
        </w:rPr>
        <w:t> </w:t>
      </w:r>
      <w:r w:rsidRPr="00D61493">
        <w:rPr>
          <w:sz w:val="26"/>
          <w:szCs w:val="26"/>
        </w:rPr>
        <w:t xml:space="preserve">11, 2014). </w:t>
      </w:r>
    </w:p>
  </w:footnote>
  <w:footnote w:id="6">
    <w:p w14:paraId="1C904ADB" w14:textId="754006A0" w:rsidR="001C5320" w:rsidRPr="00FC5A53" w:rsidRDefault="001C5320" w:rsidP="006C087D">
      <w:pPr>
        <w:pStyle w:val="footnotedescription"/>
        <w:spacing w:line="251" w:lineRule="auto"/>
        <w:ind w:left="0" w:firstLine="720"/>
        <w:rPr>
          <w:sz w:val="26"/>
          <w:szCs w:val="26"/>
        </w:rPr>
      </w:pPr>
      <w:r w:rsidRPr="00D61493">
        <w:rPr>
          <w:rStyle w:val="footnotemark"/>
          <w:sz w:val="26"/>
          <w:szCs w:val="26"/>
        </w:rPr>
        <w:footnoteRef/>
      </w:r>
      <w:r w:rsidRPr="00D61493">
        <w:rPr>
          <w:sz w:val="26"/>
          <w:szCs w:val="26"/>
        </w:rPr>
        <w:t xml:space="preserve"> </w:t>
      </w:r>
      <w:r w:rsidRPr="00D61493">
        <w:rPr>
          <w:sz w:val="26"/>
          <w:szCs w:val="26"/>
        </w:rPr>
        <w:tab/>
        <w:t>PCLP</w:t>
      </w:r>
      <w:r>
        <w:rPr>
          <w:sz w:val="26"/>
          <w:szCs w:val="26"/>
        </w:rPr>
        <w:t>C</w:t>
      </w:r>
      <w:r w:rsidRPr="00D61493">
        <w:rPr>
          <w:sz w:val="26"/>
          <w:szCs w:val="26"/>
        </w:rPr>
        <w:t xml:space="preserve">, St. 2 at 9.; </w:t>
      </w:r>
      <w:r w:rsidRPr="00D61493">
        <w:rPr>
          <w:i/>
          <w:sz w:val="26"/>
          <w:szCs w:val="26"/>
        </w:rPr>
        <w:t xml:space="preserve">Petition of Pike </w:t>
      </w:r>
      <w:r w:rsidRPr="00D61493">
        <w:rPr>
          <w:i/>
          <w:sz w:val="26"/>
          <w:szCs w:val="26"/>
        </w:rPr>
        <w:t>Cnty. Co. for Approval of its Elec. Long-Term Infrastructure Improvement Plan</w:t>
      </w:r>
      <w:r w:rsidRPr="00D61493">
        <w:rPr>
          <w:sz w:val="26"/>
          <w:szCs w:val="26"/>
        </w:rPr>
        <w:t>, Docket No. P-2020-3022285 (Opinion and Order entered February 25, 2021).</w:t>
      </w:r>
      <w:r w:rsidRPr="00FC5A53">
        <w:rPr>
          <w:sz w:val="26"/>
          <w:szCs w:val="26"/>
        </w:rPr>
        <w:t xml:space="preserve"> </w:t>
      </w:r>
    </w:p>
  </w:footnote>
  <w:footnote w:id="7">
    <w:p w14:paraId="67A39FC7" w14:textId="083CC6B1" w:rsidR="001C5320" w:rsidRPr="00AE0324" w:rsidRDefault="001C5320" w:rsidP="006764CC">
      <w:pPr>
        <w:pStyle w:val="FootnoteText"/>
        <w:ind w:firstLine="720"/>
        <w:rPr>
          <w:sz w:val="26"/>
          <w:szCs w:val="26"/>
        </w:rPr>
      </w:pPr>
      <w:r w:rsidRPr="00AE0324">
        <w:rPr>
          <w:rStyle w:val="FootnoteReference"/>
          <w:sz w:val="26"/>
          <w:szCs w:val="26"/>
        </w:rPr>
        <w:footnoteRef/>
      </w:r>
      <w:r w:rsidRPr="00AE0324">
        <w:rPr>
          <w:sz w:val="26"/>
          <w:szCs w:val="26"/>
        </w:rPr>
        <w:t xml:space="preserve"> </w:t>
      </w:r>
      <w:r w:rsidRPr="00AE0324">
        <w:rPr>
          <w:sz w:val="26"/>
          <w:szCs w:val="26"/>
        </w:rPr>
        <w:tab/>
      </w:r>
      <w:r w:rsidRPr="006F3571">
        <w:rPr>
          <w:color w:val="000000"/>
          <w:sz w:val="26"/>
          <w:szCs w:val="26"/>
        </w:rPr>
        <w:t>These public</w:t>
      </w:r>
      <w:r w:rsidRPr="00FD7BE9">
        <w:rPr>
          <w:color w:val="000000"/>
          <w:sz w:val="26"/>
          <w:szCs w:val="26"/>
        </w:rPr>
        <w:t xml:space="preserve"> input hearings were conducted to permit public comment on both </w:t>
      </w:r>
      <w:r w:rsidRPr="00F93AF9">
        <w:rPr>
          <w:color w:val="000000"/>
          <w:sz w:val="26"/>
          <w:szCs w:val="26"/>
        </w:rPr>
        <w:t xml:space="preserve">PCLPC’s Gas rate case filing </w:t>
      </w:r>
      <w:r w:rsidRPr="0051416C">
        <w:rPr>
          <w:color w:val="000000"/>
          <w:sz w:val="26"/>
          <w:szCs w:val="26"/>
        </w:rPr>
        <w:t>and the Electric Filing.</w:t>
      </w:r>
      <w:r w:rsidRPr="00310DD1">
        <w:rPr>
          <w:color w:val="000000"/>
          <w:sz w:val="26"/>
          <w:szCs w:val="26"/>
        </w:rPr>
        <w:t xml:space="preserve">  A detailed account of the </w:t>
      </w:r>
      <w:r w:rsidRPr="00C77F0E">
        <w:rPr>
          <w:color w:val="000000"/>
          <w:sz w:val="26"/>
          <w:szCs w:val="26"/>
        </w:rPr>
        <w:t xml:space="preserve">testimony offered at the public input hearings </w:t>
      </w:r>
      <w:r w:rsidRPr="00A03C91">
        <w:rPr>
          <w:color w:val="000000"/>
          <w:sz w:val="26"/>
          <w:szCs w:val="26"/>
        </w:rPr>
        <w:t>regarding the PCLPC’</w:t>
      </w:r>
      <w:r w:rsidRPr="006F3571">
        <w:rPr>
          <w:color w:val="000000"/>
          <w:sz w:val="26"/>
          <w:szCs w:val="26"/>
        </w:rPr>
        <w:t xml:space="preserve">s Electric Filing is set forth in the ALJ’s Recommended Decision and is incorporated herein by reference.  R.D. at 5-9.  </w:t>
      </w:r>
    </w:p>
  </w:footnote>
  <w:footnote w:id="8">
    <w:p w14:paraId="0AD5F0F5" w14:textId="410C93B0" w:rsidR="001C5320" w:rsidRPr="00AE0324" w:rsidRDefault="001C5320" w:rsidP="00A12790">
      <w:pPr>
        <w:pStyle w:val="footnotedescription"/>
        <w:spacing w:line="254" w:lineRule="auto"/>
        <w:ind w:left="0" w:firstLine="720"/>
        <w:rPr>
          <w:sz w:val="26"/>
          <w:szCs w:val="26"/>
        </w:rPr>
      </w:pPr>
      <w:r w:rsidRPr="00AE0324">
        <w:rPr>
          <w:rStyle w:val="footnotemark"/>
          <w:sz w:val="26"/>
          <w:szCs w:val="26"/>
        </w:rPr>
        <w:footnoteRef/>
      </w:r>
      <w:r w:rsidRPr="00AE0324">
        <w:rPr>
          <w:sz w:val="26"/>
          <w:szCs w:val="26"/>
        </w:rPr>
        <w:t xml:space="preserve"> </w:t>
      </w:r>
      <w:r w:rsidRPr="00AE0324">
        <w:rPr>
          <w:sz w:val="26"/>
          <w:szCs w:val="26"/>
        </w:rPr>
        <w:tab/>
      </w:r>
      <w:r w:rsidRPr="001771D8">
        <w:rPr>
          <w:sz w:val="26"/>
          <w:szCs w:val="26"/>
        </w:rPr>
        <w:t xml:space="preserve">By email, ratepayer-complainant Anthony </w:t>
      </w:r>
      <w:r w:rsidRPr="001771D8">
        <w:rPr>
          <w:sz w:val="26"/>
          <w:szCs w:val="26"/>
        </w:rPr>
        <w:t>Pinkala (C-2020-3023020) joined Mr. Gillinder’s comments.  Ratepayer-complainant Dawn Metzg</w:t>
      </w:r>
      <w:r w:rsidRPr="00F93AF9">
        <w:rPr>
          <w:sz w:val="26"/>
          <w:szCs w:val="26"/>
        </w:rPr>
        <w:t>er (C</w:t>
      </w:r>
      <w:r>
        <w:rPr>
          <w:sz w:val="26"/>
          <w:szCs w:val="26"/>
        </w:rPr>
        <w:noBreakHyphen/>
      </w:r>
      <w:r w:rsidRPr="00F93AF9">
        <w:rPr>
          <w:sz w:val="26"/>
          <w:szCs w:val="26"/>
        </w:rPr>
        <w:t>2020</w:t>
      </w:r>
      <w:r>
        <w:rPr>
          <w:sz w:val="26"/>
          <w:szCs w:val="26"/>
        </w:rPr>
        <w:noBreakHyphen/>
      </w:r>
      <w:r w:rsidRPr="00F93AF9">
        <w:rPr>
          <w:sz w:val="26"/>
          <w:szCs w:val="26"/>
        </w:rPr>
        <w:t>3022987) also noted her agreement with Mr. Gillinder’s comments.</w:t>
      </w:r>
      <w:r w:rsidRPr="00AE0324">
        <w:rPr>
          <w:sz w:val="26"/>
          <w:szCs w:val="26"/>
        </w:rPr>
        <w:t xml:space="preserve"> </w:t>
      </w:r>
    </w:p>
  </w:footnote>
  <w:footnote w:id="9">
    <w:p w14:paraId="4A0E1827" w14:textId="60CD3816" w:rsidR="001C5320" w:rsidRPr="00CB55D9" w:rsidRDefault="001C5320" w:rsidP="00FE7E7B">
      <w:pPr>
        <w:pStyle w:val="FootnoteText"/>
        <w:keepNext/>
        <w:keepLines/>
        <w:rPr>
          <w:sz w:val="26"/>
          <w:szCs w:val="26"/>
        </w:rPr>
      </w:pPr>
      <w:r w:rsidRPr="00CB55D9">
        <w:rPr>
          <w:sz w:val="26"/>
          <w:szCs w:val="26"/>
        </w:rPr>
        <w:tab/>
      </w:r>
      <w:r w:rsidRPr="00CB55D9">
        <w:rPr>
          <w:rStyle w:val="FootnoteReference"/>
          <w:sz w:val="26"/>
          <w:szCs w:val="26"/>
        </w:rPr>
        <w:footnoteRef/>
      </w:r>
      <w:r w:rsidRPr="00CB55D9">
        <w:rPr>
          <w:sz w:val="26"/>
          <w:szCs w:val="26"/>
        </w:rPr>
        <w:tab/>
        <w:t>1 Pa. C.S. § 1922(1)</w:t>
      </w:r>
      <w:r>
        <w:rPr>
          <w:sz w:val="26"/>
          <w:szCs w:val="26"/>
        </w:rPr>
        <w:t xml:space="preserve">(pertaining to rules of construction); </w:t>
      </w:r>
      <w:r w:rsidRPr="00CB55D9">
        <w:rPr>
          <w:i/>
          <w:sz w:val="26"/>
          <w:szCs w:val="26"/>
        </w:rPr>
        <w:t>PA Financial Responsibility Assigned Claims Plan v. English</w:t>
      </w:r>
      <w:r w:rsidRPr="00CB55D9">
        <w:rPr>
          <w:sz w:val="26"/>
          <w:szCs w:val="26"/>
        </w:rPr>
        <w:t>, 541 Pa. 424, 430-431, 64 A.2d 84, 87 (1995).</w:t>
      </w:r>
    </w:p>
  </w:footnote>
  <w:footnote w:id="10">
    <w:p w14:paraId="2D6E272F" w14:textId="500C7BB7" w:rsidR="001C5320" w:rsidRPr="00310DD1" w:rsidRDefault="001C5320" w:rsidP="004220EE">
      <w:pPr>
        <w:pStyle w:val="footnotedescription"/>
        <w:spacing w:line="253" w:lineRule="auto"/>
        <w:ind w:left="0" w:firstLine="720"/>
        <w:rPr>
          <w:sz w:val="26"/>
          <w:szCs w:val="26"/>
        </w:rPr>
      </w:pPr>
      <w:r w:rsidRPr="00AE0324">
        <w:rPr>
          <w:rStyle w:val="footnotemark"/>
          <w:sz w:val="26"/>
          <w:szCs w:val="26"/>
        </w:rPr>
        <w:footnoteRef/>
      </w:r>
      <w:r w:rsidRPr="00AE0324">
        <w:rPr>
          <w:sz w:val="26"/>
          <w:szCs w:val="26"/>
        </w:rPr>
        <w:t xml:space="preserve"> </w:t>
      </w:r>
      <w:r w:rsidRPr="00AE0324">
        <w:rPr>
          <w:sz w:val="26"/>
          <w:szCs w:val="26"/>
        </w:rPr>
        <w:tab/>
      </w:r>
      <w:r w:rsidRPr="007B66B5">
        <w:rPr>
          <w:sz w:val="26"/>
          <w:szCs w:val="26"/>
        </w:rPr>
        <w:t>The Reve</w:t>
      </w:r>
      <w:r w:rsidRPr="00676F53">
        <w:rPr>
          <w:sz w:val="26"/>
          <w:szCs w:val="26"/>
        </w:rPr>
        <w:t xml:space="preserve">nue </w:t>
      </w:r>
      <w:r w:rsidRPr="0002168F">
        <w:rPr>
          <w:sz w:val="26"/>
          <w:szCs w:val="26"/>
        </w:rPr>
        <w:t>Settlement terms are stated verbatim</w:t>
      </w:r>
      <w:r w:rsidRPr="008045CF">
        <w:rPr>
          <w:sz w:val="26"/>
          <w:szCs w:val="26"/>
        </w:rPr>
        <w:t xml:space="preserve"> and retain original numbering for ease of reference. </w:t>
      </w:r>
    </w:p>
  </w:footnote>
  <w:footnote w:id="11">
    <w:p w14:paraId="7D1BAB1A" w14:textId="4C67108E" w:rsidR="001C5320" w:rsidRPr="00AE0324" w:rsidRDefault="001C5320" w:rsidP="007068A3">
      <w:pPr>
        <w:pStyle w:val="footnotedescription"/>
        <w:spacing w:line="240" w:lineRule="auto"/>
        <w:ind w:left="0" w:firstLine="720"/>
        <w:rPr>
          <w:sz w:val="26"/>
          <w:szCs w:val="26"/>
        </w:rPr>
      </w:pPr>
      <w:r w:rsidRPr="00AE0324">
        <w:rPr>
          <w:rStyle w:val="footnotemark"/>
          <w:sz w:val="26"/>
          <w:szCs w:val="26"/>
        </w:rPr>
        <w:footnoteRef/>
      </w:r>
      <w:r w:rsidRPr="00AE0324">
        <w:rPr>
          <w:sz w:val="26"/>
          <w:szCs w:val="26"/>
        </w:rPr>
        <w:t xml:space="preserve"> </w:t>
      </w:r>
      <w:r w:rsidRPr="00AE0324">
        <w:rPr>
          <w:sz w:val="26"/>
          <w:szCs w:val="26"/>
        </w:rPr>
        <w:tab/>
      </w:r>
      <w:r w:rsidRPr="00FB40BC">
        <w:rPr>
          <w:sz w:val="26"/>
          <w:szCs w:val="26"/>
        </w:rPr>
        <w:t xml:space="preserve">The Rate Design </w:t>
      </w:r>
      <w:r w:rsidRPr="00065F57">
        <w:rPr>
          <w:sz w:val="26"/>
          <w:szCs w:val="26"/>
        </w:rPr>
        <w:t xml:space="preserve">Settlement terms are stated verbatim and retain original numbering for ease of reference.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02683A"/>
    <w:multiLevelType w:val="hybridMultilevel"/>
    <w:tmpl w:val="C466289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9D3D15"/>
    <w:multiLevelType w:val="hybridMultilevel"/>
    <w:tmpl w:val="10EDCE2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915BC"/>
    <w:multiLevelType w:val="hybridMultilevel"/>
    <w:tmpl w:val="E84AE054"/>
    <w:lvl w:ilvl="0" w:tplc="9B8CB90C">
      <w:start w:val="1"/>
      <w:numFmt w:val="lowerLetter"/>
      <w:pStyle w:val="Heading4"/>
      <w:lvlText w:val="%1."/>
      <w:lvlJc w:val="left"/>
      <w:pPr>
        <w:ind w:left="1890" w:hanging="360"/>
      </w:pPr>
      <w:rPr>
        <w:sz w:val="26"/>
        <w:szCs w:val="26"/>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0EBA2108"/>
    <w:multiLevelType w:val="hybridMultilevel"/>
    <w:tmpl w:val="82624E2C"/>
    <w:lvl w:ilvl="0" w:tplc="5896F3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172758"/>
    <w:multiLevelType w:val="hybridMultilevel"/>
    <w:tmpl w:val="56546200"/>
    <w:lvl w:ilvl="0" w:tplc="365826B4">
      <w:start w:val="1"/>
      <w:numFmt w:val="decimal"/>
      <w:lvlText w:val="%1."/>
      <w:lvlJc w:val="left"/>
      <w:pPr>
        <w:tabs>
          <w:tab w:val="num" w:pos="2250"/>
        </w:tabs>
        <w:ind w:left="225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CB5324E"/>
    <w:multiLevelType w:val="hybridMultilevel"/>
    <w:tmpl w:val="29E0F052"/>
    <w:lvl w:ilvl="0" w:tplc="34085E08">
      <w:start w:val="8"/>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5C110C">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74245E">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681316">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46CCE4">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B802B0">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EE6FE6">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F4CB32">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C64E0C">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35F3EE3"/>
    <w:multiLevelType w:val="hybridMultilevel"/>
    <w:tmpl w:val="D583617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22B0EDC"/>
    <w:multiLevelType w:val="hybridMultilevel"/>
    <w:tmpl w:val="4D9497FC"/>
    <w:lvl w:ilvl="0" w:tplc="E15642C0">
      <w:start w:val="16"/>
      <w:numFmt w:val="decimal"/>
      <w:lvlText w:val="%1."/>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60F5BA">
      <w:start w:val="1"/>
      <w:numFmt w:val="lowerLetter"/>
      <w:lvlText w:val="%2."/>
      <w:lvlJc w:val="left"/>
      <w:pPr>
        <w:ind w:left="2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20C7502">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08F850">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70B2B2">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5CF968">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009214">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369782">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F4DB6E">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4DD5CE4"/>
    <w:multiLevelType w:val="hybridMultilevel"/>
    <w:tmpl w:val="E6783914"/>
    <w:lvl w:ilvl="0" w:tplc="077EC2FE">
      <w:start w:val="7"/>
      <w:numFmt w:val="lowerLetter"/>
      <w:lvlText w:val="%1."/>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0C819E">
      <w:start w:val="21"/>
      <w:numFmt w:val="decimal"/>
      <w:lvlText w:val="%2."/>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747FDA">
      <w:start w:val="9"/>
      <w:numFmt w:val="decimal"/>
      <w:lvlText w:val="%3."/>
      <w:lvlJc w:val="left"/>
      <w:pPr>
        <w:ind w:left="3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C6A9EE">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36F5AA">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A4BD50">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00AFB0">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98E76A">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1EB72E">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D5FED1F"/>
    <w:multiLevelType w:val="hybridMultilevel"/>
    <w:tmpl w:val="91A15BE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4B649A2"/>
    <w:multiLevelType w:val="hybridMultilevel"/>
    <w:tmpl w:val="0AE8BEEA"/>
    <w:lvl w:ilvl="0" w:tplc="98068666">
      <w:start w:val="1"/>
      <w:numFmt w:val="upperRoman"/>
      <w:pStyle w:val="Heading1"/>
      <w:lvlText w:val="%1."/>
      <w:lvlJc w:val="left"/>
      <w:pPr>
        <w:ind w:left="3780" w:hanging="720"/>
      </w:pPr>
      <w:rPr>
        <w:rFonts w:hint="default"/>
      </w:rPr>
    </w:lvl>
    <w:lvl w:ilvl="1" w:tplc="04090019">
      <w:start w:val="1"/>
      <w:numFmt w:val="lowerLetter"/>
      <w:lvlText w:val="%2."/>
      <w:lvlJc w:val="left"/>
      <w:pPr>
        <w:ind w:left="1440" w:hanging="360"/>
      </w:pPr>
    </w:lvl>
    <w:lvl w:ilvl="2" w:tplc="6204AD50">
      <w:start w:val="1"/>
      <w:numFmt w:val="upperLetter"/>
      <w:lvlText w:val="%3."/>
      <w:lvlJc w:val="left"/>
      <w:pPr>
        <w:ind w:left="2700" w:hanging="720"/>
      </w:pPr>
      <w:rPr>
        <w:rFonts w:hint="default"/>
      </w:rPr>
    </w:lvl>
    <w:lvl w:ilvl="3" w:tplc="D638DEA0">
      <w:start w:val="1"/>
      <w:numFmt w:val="decimal"/>
      <w:lvlText w:val="%4."/>
      <w:lvlJc w:val="left"/>
      <w:pPr>
        <w:ind w:left="2880" w:hanging="360"/>
      </w:pPr>
      <w:rPr>
        <w:rFonts w:hint="default"/>
      </w:rPr>
    </w:lvl>
    <w:lvl w:ilvl="4" w:tplc="2C369A42">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C108B2"/>
    <w:multiLevelType w:val="hybridMultilevel"/>
    <w:tmpl w:val="4F747D00"/>
    <w:lvl w:ilvl="0" w:tplc="9A425556">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9B3919"/>
    <w:multiLevelType w:val="hybridMultilevel"/>
    <w:tmpl w:val="9530C904"/>
    <w:lvl w:ilvl="0" w:tplc="72F6D43A">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A10EA0"/>
    <w:multiLevelType w:val="hybridMultilevel"/>
    <w:tmpl w:val="94EA7A9A"/>
    <w:lvl w:ilvl="0" w:tplc="EF38DBB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003836">
      <w:start w:val="12"/>
      <w:numFmt w:val="decimal"/>
      <w:lvlText w:val="%2."/>
      <w:lvlJc w:val="left"/>
      <w:pPr>
        <w:ind w:left="1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D64B7C">
      <w:start w:val="1"/>
      <w:numFmt w:val="lowerRoman"/>
      <w:lvlText w:val="%3"/>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7028E4">
      <w:start w:val="1"/>
      <w:numFmt w:val="decimal"/>
      <w:lvlText w:val="%4"/>
      <w:lvlJc w:val="left"/>
      <w:pPr>
        <w:ind w:left="2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2E5F8E">
      <w:start w:val="1"/>
      <w:numFmt w:val="lowerLetter"/>
      <w:lvlText w:val="%5"/>
      <w:lvlJc w:val="left"/>
      <w:pPr>
        <w:ind w:left="2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8830C2">
      <w:start w:val="1"/>
      <w:numFmt w:val="lowerRoman"/>
      <w:lvlText w:val="%6"/>
      <w:lvlJc w:val="left"/>
      <w:pPr>
        <w:ind w:left="3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B4683E">
      <w:start w:val="1"/>
      <w:numFmt w:val="decimal"/>
      <w:lvlText w:val="%7"/>
      <w:lvlJc w:val="left"/>
      <w:pPr>
        <w:ind w:left="4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CC2B66">
      <w:start w:val="1"/>
      <w:numFmt w:val="lowerLetter"/>
      <w:lvlText w:val="%8"/>
      <w:lvlJc w:val="left"/>
      <w:pPr>
        <w:ind w:left="5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F21AF0">
      <w:start w:val="1"/>
      <w:numFmt w:val="lowerRoman"/>
      <w:lvlText w:val="%9"/>
      <w:lvlJc w:val="left"/>
      <w:pPr>
        <w:ind w:left="5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11"/>
  </w:num>
  <w:num w:numId="3">
    <w:abstractNumId w:val="2"/>
  </w:num>
  <w:num w:numId="4">
    <w:abstractNumId w:val="12"/>
  </w:num>
  <w:num w:numId="5">
    <w:abstractNumId w:val="9"/>
  </w:num>
  <w:num w:numId="6">
    <w:abstractNumId w:val="6"/>
  </w:num>
  <w:num w:numId="7">
    <w:abstractNumId w:val="0"/>
  </w:num>
  <w:num w:numId="8">
    <w:abstractNumId w:val="1"/>
  </w:num>
  <w:num w:numId="9">
    <w:abstractNumId w:val="2"/>
    <w:lvlOverride w:ilvl="0">
      <w:startOverride w:val="1"/>
    </w:lvlOverride>
  </w:num>
  <w:num w:numId="10">
    <w:abstractNumId w:val="11"/>
    <w:lvlOverride w:ilvl="0">
      <w:startOverride w:val="1"/>
    </w:lvlOverride>
  </w:num>
  <w:num w:numId="11">
    <w:abstractNumId w:val="11"/>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2"/>
    <w:lvlOverride w:ilvl="0">
      <w:startOverride w:val="1"/>
    </w:lvlOverride>
  </w:num>
  <w:num w:numId="20">
    <w:abstractNumId w:val="12"/>
    <w:lvlOverride w:ilvl="0">
      <w:startOverride w:val="1"/>
    </w:lvlOverride>
  </w:num>
  <w:num w:numId="21">
    <w:abstractNumId w:val="11"/>
    <w:lvlOverride w:ilvl="0">
      <w:startOverride w:val="1"/>
    </w:lvlOverride>
  </w:num>
  <w:num w:numId="22">
    <w:abstractNumId w:val="11"/>
    <w:lvlOverride w:ilvl="0">
      <w:startOverride w:val="1"/>
    </w:lvlOverride>
  </w:num>
  <w:num w:numId="23">
    <w:abstractNumId w:val="2"/>
    <w:lvlOverride w:ilvl="0">
      <w:startOverride w:val="1"/>
    </w:lvlOverride>
  </w:num>
  <w:num w:numId="24">
    <w:abstractNumId w:val="11"/>
    <w:lvlOverride w:ilvl="0">
      <w:startOverride w:val="1"/>
    </w:lvlOverride>
  </w:num>
  <w:num w:numId="25">
    <w:abstractNumId w:val="12"/>
    <w:lvlOverride w:ilvl="0">
      <w:startOverride w:val="1"/>
    </w:lvlOverride>
  </w:num>
  <w:num w:numId="26">
    <w:abstractNumId w:val="12"/>
    <w:lvlOverride w:ilvl="0">
      <w:startOverride w:val="1"/>
    </w:lvlOverride>
  </w:num>
  <w:num w:numId="27">
    <w:abstractNumId w:val="12"/>
    <w:lvlOverride w:ilvl="0">
      <w:startOverride w:val="1"/>
    </w:lvlOverride>
  </w:num>
  <w:num w:numId="28">
    <w:abstractNumId w:val="2"/>
    <w:lvlOverride w:ilvl="0">
      <w:startOverride w:val="1"/>
    </w:lvlOverride>
  </w:num>
  <w:num w:numId="29">
    <w:abstractNumId w:val="2"/>
    <w:lvlOverride w:ilvl="0">
      <w:startOverride w:val="1"/>
    </w:lvlOverride>
  </w:num>
  <w:num w:numId="30">
    <w:abstractNumId w:val="12"/>
    <w:lvlOverride w:ilvl="0">
      <w:startOverride w:val="1"/>
    </w:lvlOverride>
  </w:num>
  <w:num w:numId="31">
    <w:abstractNumId w:val="11"/>
    <w:lvlOverride w:ilvl="0">
      <w:startOverride w:val="1"/>
    </w:lvlOverride>
  </w:num>
  <w:num w:numId="32">
    <w:abstractNumId w:val="11"/>
    <w:lvlOverride w:ilvl="0">
      <w:startOverride w:val="1"/>
    </w:lvlOverride>
  </w:num>
  <w:num w:numId="33">
    <w:abstractNumId w:val="12"/>
    <w:lvlOverride w:ilvl="0">
      <w:startOverride w:val="1"/>
    </w:lvlOverride>
  </w:num>
  <w:num w:numId="34">
    <w:abstractNumId w:val="12"/>
    <w:lvlOverride w:ilvl="0">
      <w:startOverride w:val="1"/>
    </w:lvlOverride>
  </w:num>
  <w:num w:numId="35">
    <w:abstractNumId w:val="12"/>
    <w:lvlOverride w:ilvl="0">
      <w:startOverride w:val="1"/>
    </w:lvlOverride>
  </w:num>
  <w:num w:numId="36">
    <w:abstractNumId w:val="4"/>
  </w:num>
  <w:num w:numId="37">
    <w:abstractNumId w:val="12"/>
    <w:lvlOverride w:ilvl="0">
      <w:startOverride w:val="1"/>
    </w:lvlOverride>
  </w:num>
  <w:num w:numId="38">
    <w:abstractNumId w:val="12"/>
  </w:num>
  <w:num w:numId="39">
    <w:abstractNumId w:val="12"/>
    <w:lvlOverride w:ilvl="0">
      <w:startOverride w:val="1"/>
    </w:lvlOverride>
  </w:num>
  <w:num w:numId="40">
    <w:abstractNumId w:val="11"/>
    <w:lvlOverride w:ilvl="0">
      <w:startOverride w:val="1"/>
    </w:lvlOverride>
  </w:num>
  <w:num w:numId="41">
    <w:abstractNumId w:val="2"/>
    <w:lvlOverride w:ilvl="0">
      <w:startOverride w:val="1"/>
    </w:lvlOverride>
  </w:num>
  <w:num w:numId="42">
    <w:abstractNumId w:val="2"/>
    <w:lvlOverride w:ilvl="0">
      <w:startOverride w:val="1"/>
    </w:lvlOverride>
  </w:num>
  <w:num w:numId="43">
    <w:abstractNumId w:val="12"/>
    <w:lvlOverride w:ilvl="0">
      <w:startOverride w:val="1"/>
    </w:lvlOverride>
  </w:num>
  <w:num w:numId="44">
    <w:abstractNumId w:val="2"/>
    <w:lvlOverride w:ilvl="0">
      <w:startOverride w:val="1"/>
    </w:lvlOverride>
  </w:num>
  <w:num w:numId="45">
    <w:abstractNumId w:val="2"/>
    <w:lvlOverride w:ilvl="0">
      <w:startOverride w:val="1"/>
    </w:lvlOverride>
  </w:num>
  <w:num w:numId="46">
    <w:abstractNumId w:val="2"/>
    <w:lvlOverride w:ilvl="0">
      <w:startOverride w:val="1"/>
    </w:lvlOverride>
  </w:num>
  <w:num w:numId="47">
    <w:abstractNumId w:val="3"/>
  </w:num>
  <w:num w:numId="48">
    <w:abstractNumId w:val="7"/>
  </w:num>
  <w:num w:numId="49">
    <w:abstractNumId w:val="8"/>
  </w:num>
  <w:num w:numId="50">
    <w:abstractNumId w:val="13"/>
  </w:num>
  <w:num w:numId="51">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90"/>
    <w:rsid w:val="00000173"/>
    <w:rsid w:val="0000029F"/>
    <w:rsid w:val="0000040B"/>
    <w:rsid w:val="00000A0E"/>
    <w:rsid w:val="00000D65"/>
    <w:rsid w:val="00000DED"/>
    <w:rsid w:val="00001381"/>
    <w:rsid w:val="000013FD"/>
    <w:rsid w:val="00001E2B"/>
    <w:rsid w:val="00002291"/>
    <w:rsid w:val="00002348"/>
    <w:rsid w:val="000026B2"/>
    <w:rsid w:val="00002CE4"/>
    <w:rsid w:val="00002F2A"/>
    <w:rsid w:val="00002F49"/>
    <w:rsid w:val="000037A1"/>
    <w:rsid w:val="000038D3"/>
    <w:rsid w:val="00003F5B"/>
    <w:rsid w:val="0000415E"/>
    <w:rsid w:val="00004769"/>
    <w:rsid w:val="0000477B"/>
    <w:rsid w:val="00004BC1"/>
    <w:rsid w:val="00004CAD"/>
    <w:rsid w:val="00005114"/>
    <w:rsid w:val="000055B0"/>
    <w:rsid w:val="00005B5F"/>
    <w:rsid w:val="00005EE1"/>
    <w:rsid w:val="00005F78"/>
    <w:rsid w:val="0000615F"/>
    <w:rsid w:val="000065F7"/>
    <w:rsid w:val="00006A8C"/>
    <w:rsid w:val="00006C68"/>
    <w:rsid w:val="00007209"/>
    <w:rsid w:val="00007440"/>
    <w:rsid w:val="000074DC"/>
    <w:rsid w:val="00007597"/>
    <w:rsid w:val="000075C0"/>
    <w:rsid w:val="00007888"/>
    <w:rsid w:val="00010442"/>
    <w:rsid w:val="0001072A"/>
    <w:rsid w:val="0001099D"/>
    <w:rsid w:val="00011506"/>
    <w:rsid w:val="000116F1"/>
    <w:rsid w:val="00011AB7"/>
    <w:rsid w:val="00011F39"/>
    <w:rsid w:val="000123F2"/>
    <w:rsid w:val="00012897"/>
    <w:rsid w:val="00012A0E"/>
    <w:rsid w:val="00012D0C"/>
    <w:rsid w:val="00013432"/>
    <w:rsid w:val="000138C9"/>
    <w:rsid w:val="00013978"/>
    <w:rsid w:val="00013FDE"/>
    <w:rsid w:val="000142D5"/>
    <w:rsid w:val="00014828"/>
    <w:rsid w:val="0001587F"/>
    <w:rsid w:val="000158F2"/>
    <w:rsid w:val="00015A01"/>
    <w:rsid w:val="000162F1"/>
    <w:rsid w:val="000166C6"/>
    <w:rsid w:val="00016C3F"/>
    <w:rsid w:val="0001721D"/>
    <w:rsid w:val="00017D4E"/>
    <w:rsid w:val="00017E03"/>
    <w:rsid w:val="000200CE"/>
    <w:rsid w:val="0002018C"/>
    <w:rsid w:val="000201C0"/>
    <w:rsid w:val="00020552"/>
    <w:rsid w:val="000207D4"/>
    <w:rsid w:val="00020C3A"/>
    <w:rsid w:val="00020E43"/>
    <w:rsid w:val="0002168F"/>
    <w:rsid w:val="00022D45"/>
    <w:rsid w:val="00023536"/>
    <w:rsid w:val="0002355F"/>
    <w:rsid w:val="0002366F"/>
    <w:rsid w:val="00023A9B"/>
    <w:rsid w:val="0002468F"/>
    <w:rsid w:val="000249A1"/>
    <w:rsid w:val="0002554A"/>
    <w:rsid w:val="00025A99"/>
    <w:rsid w:val="000261F2"/>
    <w:rsid w:val="00026768"/>
    <w:rsid w:val="00026BA0"/>
    <w:rsid w:val="00026F9D"/>
    <w:rsid w:val="0002784E"/>
    <w:rsid w:val="00027C2F"/>
    <w:rsid w:val="00027EE4"/>
    <w:rsid w:val="000302BD"/>
    <w:rsid w:val="000304C2"/>
    <w:rsid w:val="00030CE7"/>
    <w:rsid w:val="000310BE"/>
    <w:rsid w:val="0003122C"/>
    <w:rsid w:val="00031D94"/>
    <w:rsid w:val="00031DDC"/>
    <w:rsid w:val="00031F78"/>
    <w:rsid w:val="000323A8"/>
    <w:rsid w:val="000337CA"/>
    <w:rsid w:val="00033C9A"/>
    <w:rsid w:val="00033CD7"/>
    <w:rsid w:val="00033D4C"/>
    <w:rsid w:val="00033E12"/>
    <w:rsid w:val="000341DE"/>
    <w:rsid w:val="00034CD7"/>
    <w:rsid w:val="00034EFC"/>
    <w:rsid w:val="000366D7"/>
    <w:rsid w:val="00036927"/>
    <w:rsid w:val="000369A9"/>
    <w:rsid w:val="00040396"/>
    <w:rsid w:val="00040423"/>
    <w:rsid w:val="00040D36"/>
    <w:rsid w:val="00040FA6"/>
    <w:rsid w:val="00040FFD"/>
    <w:rsid w:val="00041ED1"/>
    <w:rsid w:val="00042338"/>
    <w:rsid w:val="00042864"/>
    <w:rsid w:val="00042C54"/>
    <w:rsid w:val="00042E9E"/>
    <w:rsid w:val="00043182"/>
    <w:rsid w:val="000431F6"/>
    <w:rsid w:val="000438A2"/>
    <w:rsid w:val="0004587B"/>
    <w:rsid w:val="00045A57"/>
    <w:rsid w:val="00045A7A"/>
    <w:rsid w:val="0004623E"/>
    <w:rsid w:val="0004698C"/>
    <w:rsid w:val="00046D51"/>
    <w:rsid w:val="000477B8"/>
    <w:rsid w:val="000500B7"/>
    <w:rsid w:val="00050115"/>
    <w:rsid w:val="00050154"/>
    <w:rsid w:val="000503FD"/>
    <w:rsid w:val="000505E5"/>
    <w:rsid w:val="00051647"/>
    <w:rsid w:val="0005164D"/>
    <w:rsid w:val="00051E8F"/>
    <w:rsid w:val="0005247F"/>
    <w:rsid w:val="0005317E"/>
    <w:rsid w:val="00053709"/>
    <w:rsid w:val="00053855"/>
    <w:rsid w:val="00053CED"/>
    <w:rsid w:val="00053DA4"/>
    <w:rsid w:val="00053E41"/>
    <w:rsid w:val="00053E7E"/>
    <w:rsid w:val="000547FF"/>
    <w:rsid w:val="000549A7"/>
    <w:rsid w:val="00055E52"/>
    <w:rsid w:val="0005602A"/>
    <w:rsid w:val="00056968"/>
    <w:rsid w:val="00057057"/>
    <w:rsid w:val="000570C3"/>
    <w:rsid w:val="0005711A"/>
    <w:rsid w:val="000572A7"/>
    <w:rsid w:val="000573A8"/>
    <w:rsid w:val="00057409"/>
    <w:rsid w:val="00057859"/>
    <w:rsid w:val="0006001A"/>
    <w:rsid w:val="000606AA"/>
    <w:rsid w:val="000609DB"/>
    <w:rsid w:val="000610F9"/>
    <w:rsid w:val="00061850"/>
    <w:rsid w:val="00061E8B"/>
    <w:rsid w:val="00062180"/>
    <w:rsid w:val="00062518"/>
    <w:rsid w:val="0006288C"/>
    <w:rsid w:val="000629CD"/>
    <w:rsid w:val="00063028"/>
    <w:rsid w:val="000634A8"/>
    <w:rsid w:val="00064658"/>
    <w:rsid w:val="00064808"/>
    <w:rsid w:val="00064E95"/>
    <w:rsid w:val="00065516"/>
    <w:rsid w:val="00065DB6"/>
    <w:rsid w:val="00065F57"/>
    <w:rsid w:val="00066345"/>
    <w:rsid w:val="00066689"/>
    <w:rsid w:val="00067196"/>
    <w:rsid w:val="0006732F"/>
    <w:rsid w:val="000673D1"/>
    <w:rsid w:val="00067A0D"/>
    <w:rsid w:val="00067BBC"/>
    <w:rsid w:val="00070B98"/>
    <w:rsid w:val="00070BE3"/>
    <w:rsid w:val="00071064"/>
    <w:rsid w:val="00071143"/>
    <w:rsid w:val="00071A8A"/>
    <w:rsid w:val="00071AB5"/>
    <w:rsid w:val="00071FD9"/>
    <w:rsid w:val="000722B2"/>
    <w:rsid w:val="00072BBE"/>
    <w:rsid w:val="00073000"/>
    <w:rsid w:val="00073352"/>
    <w:rsid w:val="0007345D"/>
    <w:rsid w:val="00073870"/>
    <w:rsid w:val="00073AED"/>
    <w:rsid w:val="00074336"/>
    <w:rsid w:val="0007496E"/>
    <w:rsid w:val="00074B39"/>
    <w:rsid w:val="00075210"/>
    <w:rsid w:val="00075A29"/>
    <w:rsid w:val="00075F0C"/>
    <w:rsid w:val="0007606A"/>
    <w:rsid w:val="00076856"/>
    <w:rsid w:val="00077674"/>
    <w:rsid w:val="00077F46"/>
    <w:rsid w:val="00077F69"/>
    <w:rsid w:val="0008000C"/>
    <w:rsid w:val="0008051F"/>
    <w:rsid w:val="00080CCC"/>
    <w:rsid w:val="00081696"/>
    <w:rsid w:val="00081939"/>
    <w:rsid w:val="0008233B"/>
    <w:rsid w:val="00082CE6"/>
    <w:rsid w:val="00083188"/>
    <w:rsid w:val="0008328F"/>
    <w:rsid w:val="000832CF"/>
    <w:rsid w:val="00084237"/>
    <w:rsid w:val="00084DB9"/>
    <w:rsid w:val="00085610"/>
    <w:rsid w:val="00085E29"/>
    <w:rsid w:val="00085E45"/>
    <w:rsid w:val="0008626D"/>
    <w:rsid w:val="000863AB"/>
    <w:rsid w:val="00086D0B"/>
    <w:rsid w:val="00086F01"/>
    <w:rsid w:val="00087B53"/>
    <w:rsid w:val="00087D18"/>
    <w:rsid w:val="0009007E"/>
    <w:rsid w:val="00090AF0"/>
    <w:rsid w:val="00090F53"/>
    <w:rsid w:val="000910BB"/>
    <w:rsid w:val="00091989"/>
    <w:rsid w:val="00091A11"/>
    <w:rsid w:val="0009269E"/>
    <w:rsid w:val="0009281E"/>
    <w:rsid w:val="00092994"/>
    <w:rsid w:val="00092ABD"/>
    <w:rsid w:val="000930AC"/>
    <w:rsid w:val="000931E5"/>
    <w:rsid w:val="000940CD"/>
    <w:rsid w:val="00094240"/>
    <w:rsid w:val="00094552"/>
    <w:rsid w:val="0009466E"/>
    <w:rsid w:val="0009476C"/>
    <w:rsid w:val="000949EC"/>
    <w:rsid w:val="00094F3D"/>
    <w:rsid w:val="000960C3"/>
    <w:rsid w:val="00096386"/>
    <w:rsid w:val="000968ED"/>
    <w:rsid w:val="0009690C"/>
    <w:rsid w:val="00096F18"/>
    <w:rsid w:val="00097534"/>
    <w:rsid w:val="0009763D"/>
    <w:rsid w:val="0009781B"/>
    <w:rsid w:val="000A038A"/>
    <w:rsid w:val="000A0D32"/>
    <w:rsid w:val="000A135D"/>
    <w:rsid w:val="000A15B2"/>
    <w:rsid w:val="000A1761"/>
    <w:rsid w:val="000A1B73"/>
    <w:rsid w:val="000A1EF2"/>
    <w:rsid w:val="000A2217"/>
    <w:rsid w:val="000A2974"/>
    <w:rsid w:val="000A339A"/>
    <w:rsid w:val="000A35F4"/>
    <w:rsid w:val="000A38F7"/>
    <w:rsid w:val="000A41B3"/>
    <w:rsid w:val="000A4590"/>
    <w:rsid w:val="000A4770"/>
    <w:rsid w:val="000A48EB"/>
    <w:rsid w:val="000A4DD0"/>
    <w:rsid w:val="000A562E"/>
    <w:rsid w:val="000A57E4"/>
    <w:rsid w:val="000A61BA"/>
    <w:rsid w:val="000A62E4"/>
    <w:rsid w:val="000A62FE"/>
    <w:rsid w:val="000A6364"/>
    <w:rsid w:val="000A748C"/>
    <w:rsid w:val="000A7584"/>
    <w:rsid w:val="000A7A40"/>
    <w:rsid w:val="000A7CB6"/>
    <w:rsid w:val="000A7DDC"/>
    <w:rsid w:val="000A7F96"/>
    <w:rsid w:val="000B12E8"/>
    <w:rsid w:val="000B268C"/>
    <w:rsid w:val="000B2B80"/>
    <w:rsid w:val="000B2EE9"/>
    <w:rsid w:val="000B2F37"/>
    <w:rsid w:val="000B3290"/>
    <w:rsid w:val="000B34E3"/>
    <w:rsid w:val="000B3E38"/>
    <w:rsid w:val="000B465F"/>
    <w:rsid w:val="000B5089"/>
    <w:rsid w:val="000B5941"/>
    <w:rsid w:val="000B6C19"/>
    <w:rsid w:val="000B6E81"/>
    <w:rsid w:val="000B729D"/>
    <w:rsid w:val="000B751C"/>
    <w:rsid w:val="000B76FD"/>
    <w:rsid w:val="000B79BE"/>
    <w:rsid w:val="000B7EB4"/>
    <w:rsid w:val="000C0702"/>
    <w:rsid w:val="000C08D1"/>
    <w:rsid w:val="000C4012"/>
    <w:rsid w:val="000C43F1"/>
    <w:rsid w:val="000C5298"/>
    <w:rsid w:val="000C5A41"/>
    <w:rsid w:val="000C6768"/>
    <w:rsid w:val="000C742F"/>
    <w:rsid w:val="000C74E2"/>
    <w:rsid w:val="000C7BBA"/>
    <w:rsid w:val="000D03DD"/>
    <w:rsid w:val="000D055A"/>
    <w:rsid w:val="000D0A11"/>
    <w:rsid w:val="000D14E8"/>
    <w:rsid w:val="000D1FDF"/>
    <w:rsid w:val="000D22BB"/>
    <w:rsid w:val="000D2456"/>
    <w:rsid w:val="000D28A9"/>
    <w:rsid w:val="000D2EFC"/>
    <w:rsid w:val="000D2F71"/>
    <w:rsid w:val="000D3627"/>
    <w:rsid w:val="000D3BDD"/>
    <w:rsid w:val="000D6C1B"/>
    <w:rsid w:val="000D7483"/>
    <w:rsid w:val="000D7B91"/>
    <w:rsid w:val="000E01B9"/>
    <w:rsid w:val="000E0327"/>
    <w:rsid w:val="000E04D5"/>
    <w:rsid w:val="000E05F3"/>
    <w:rsid w:val="000E0855"/>
    <w:rsid w:val="000E10ED"/>
    <w:rsid w:val="000E25A1"/>
    <w:rsid w:val="000E2D88"/>
    <w:rsid w:val="000E2E47"/>
    <w:rsid w:val="000E31CD"/>
    <w:rsid w:val="000E3D4C"/>
    <w:rsid w:val="000E3F13"/>
    <w:rsid w:val="000E45FB"/>
    <w:rsid w:val="000E4686"/>
    <w:rsid w:val="000E4BED"/>
    <w:rsid w:val="000E4C7B"/>
    <w:rsid w:val="000E4E37"/>
    <w:rsid w:val="000E4FBB"/>
    <w:rsid w:val="000E515B"/>
    <w:rsid w:val="000E54C9"/>
    <w:rsid w:val="000E570C"/>
    <w:rsid w:val="000E5BCD"/>
    <w:rsid w:val="000E6983"/>
    <w:rsid w:val="000E6E46"/>
    <w:rsid w:val="000E7623"/>
    <w:rsid w:val="000E7668"/>
    <w:rsid w:val="000F0B9E"/>
    <w:rsid w:val="000F0D1C"/>
    <w:rsid w:val="000F0D6C"/>
    <w:rsid w:val="000F111D"/>
    <w:rsid w:val="000F11FB"/>
    <w:rsid w:val="000F1318"/>
    <w:rsid w:val="000F1730"/>
    <w:rsid w:val="000F20D9"/>
    <w:rsid w:val="000F22DA"/>
    <w:rsid w:val="000F2540"/>
    <w:rsid w:val="000F35E6"/>
    <w:rsid w:val="000F3795"/>
    <w:rsid w:val="000F384A"/>
    <w:rsid w:val="000F3896"/>
    <w:rsid w:val="000F4467"/>
    <w:rsid w:val="000F4F95"/>
    <w:rsid w:val="000F5B25"/>
    <w:rsid w:val="000F6864"/>
    <w:rsid w:val="000F6D5A"/>
    <w:rsid w:val="000F6FEE"/>
    <w:rsid w:val="000F71CC"/>
    <w:rsid w:val="000F7C29"/>
    <w:rsid w:val="000F7D0E"/>
    <w:rsid w:val="000F7FD7"/>
    <w:rsid w:val="0010013C"/>
    <w:rsid w:val="00100492"/>
    <w:rsid w:val="001006F0"/>
    <w:rsid w:val="00100BA6"/>
    <w:rsid w:val="00100C1D"/>
    <w:rsid w:val="0010101D"/>
    <w:rsid w:val="001014FF"/>
    <w:rsid w:val="00101613"/>
    <w:rsid w:val="00101745"/>
    <w:rsid w:val="0010203F"/>
    <w:rsid w:val="00102205"/>
    <w:rsid w:val="00102D03"/>
    <w:rsid w:val="00103322"/>
    <w:rsid w:val="0010371B"/>
    <w:rsid w:val="00103AF8"/>
    <w:rsid w:val="0010494F"/>
    <w:rsid w:val="00104CD1"/>
    <w:rsid w:val="00104D1A"/>
    <w:rsid w:val="00105084"/>
    <w:rsid w:val="00105193"/>
    <w:rsid w:val="00105544"/>
    <w:rsid w:val="00105B00"/>
    <w:rsid w:val="0010613D"/>
    <w:rsid w:val="00106537"/>
    <w:rsid w:val="0010693B"/>
    <w:rsid w:val="00106BE0"/>
    <w:rsid w:val="001075C0"/>
    <w:rsid w:val="0010777F"/>
    <w:rsid w:val="0011101F"/>
    <w:rsid w:val="001111C2"/>
    <w:rsid w:val="001114DE"/>
    <w:rsid w:val="00111869"/>
    <w:rsid w:val="00111A44"/>
    <w:rsid w:val="00111F0F"/>
    <w:rsid w:val="001128C9"/>
    <w:rsid w:val="00112DE2"/>
    <w:rsid w:val="0011356D"/>
    <w:rsid w:val="001135B4"/>
    <w:rsid w:val="001137FA"/>
    <w:rsid w:val="00113B14"/>
    <w:rsid w:val="00114014"/>
    <w:rsid w:val="0011423D"/>
    <w:rsid w:val="00114D80"/>
    <w:rsid w:val="00115F84"/>
    <w:rsid w:val="001165C8"/>
    <w:rsid w:val="001165F9"/>
    <w:rsid w:val="0011686E"/>
    <w:rsid w:val="00116E37"/>
    <w:rsid w:val="001170DB"/>
    <w:rsid w:val="00117412"/>
    <w:rsid w:val="001174EB"/>
    <w:rsid w:val="001176C3"/>
    <w:rsid w:val="00117E06"/>
    <w:rsid w:val="00120C5B"/>
    <w:rsid w:val="00120FCD"/>
    <w:rsid w:val="00121111"/>
    <w:rsid w:val="00121203"/>
    <w:rsid w:val="001218A2"/>
    <w:rsid w:val="001220CA"/>
    <w:rsid w:val="00122941"/>
    <w:rsid w:val="001231CE"/>
    <w:rsid w:val="00123375"/>
    <w:rsid w:val="0012351D"/>
    <w:rsid w:val="00123802"/>
    <w:rsid w:val="00123D21"/>
    <w:rsid w:val="00123DC6"/>
    <w:rsid w:val="00123F81"/>
    <w:rsid w:val="0012456C"/>
    <w:rsid w:val="00125627"/>
    <w:rsid w:val="001259E9"/>
    <w:rsid w:val="00125C5F"/>
    <w:rsid w:val="00125E1D"/>
    <w:rsid w:val="001260A0"/>
    <w:rsid w:val="001264A9"/>
    <w:rsid w:val="0012697D"/>
    <w:rsid w:val="00126FAA"/>
    <w:rsid w:val="00127A12"/>
    <w:rsid w:val="00127E5E"/>
    <w:rsid w:val="0013015E"/>
    <w:rsid w:val="00130A7A"/>
    <w:rsid w:val="001313C3"/>
    <w:rsid w:val="00131517"/>
    <w:rsid w:val="00131825"/>
    <w:rsid w:val="00131A77"/>
    <w:rsid w:val="00131B43"/>
    <w:rsid w:val="0013252B"/>
    <w:rsid w:val="00132C3A"/>
    <w:rsid w:val="001335ED"/>
    <w:rsid w:val="00133684"/>
    <w:rsid w:val="001337E4"/>
    <w:rsid w:val="00133BA6"/>
    <w:rsid w:val="0013476B"/>
    <w:rsid w:val="001349B7"/>
    <w:rsid w:val="00134C35"/>
    <w:rsid w:val="00134D3A"/>
    <w:rsid w:val="00134DB5"/>
    <w:rsid w:val="00135557"/>
    <w:rsid w:val="001376F4"/>
    <w:rsid w:val="001378A9"/>
    <w:rsid w:val="00140412"/>
    <w:rsid w:val="00141760"/>
    <w:rsid w:val="001419CD"/>
    <w:rsid w:val="00141C26"/>
    <w:rsid w:val="00141D98"/>
    <w:rsid w:val="00141E57"/>
    <w:rsid w:val="001430ED"/>
    <w:rsid w:val="00143515"/>
    <w:rsid w:val="001437B9"/>
    <w:rsid w:val="00143D99"/>
    <w:rsid w:val="0014407A"/>
    <w:rsid w:val="00144273"/>
    <w:rsid w:val="0014483E"/>
    <w:rsid w:val="00144BF3"/>
    <w:rsid w:val="00144E73"/>
    <w:rsid w:val="00145928"/>
    <w:rsid w:val="001468F6"/>
    <w:rsid w:val="00146FD7"/>
    <w:rsid w:val="00147086"/>
    <w:rsid w:val="0014786C"/>
    <w:rsid w:val="00147C6F"/>
    <w:rsid w:val="001501A4"/>
    <w:rsid w:val="00150989"/>
    <w:rsid w:val="00150A72"/>
    <w:rsid w:val="00150ACB"/>
    <w:rsid w:val="00151166"/>
    <w:rsid w:val="0015156D"/>
    <w:rsid w:val="00151D9A"/>
    <w:rsid w:val="0015245C"/>
    <w:rsid w:val="00152F8B"/>
    <w:rsid w:val="00153031"/>
    <w:rsid w:val="00153234"/>
    <w:rsid w:val="00153AE6"/>
    <w:rsid w:val="00153B73"/>
    <w:rsid w:val="00153DAD"/>
    <w:rsid w:val="00154C4F"/>
    <w:rsid w:val="001550D4"/>
    <w:rsid w:val="00155774"/>
    <w:rsid w:val="0015662E"/>
    <w:rsid w:val="0015669F"/>
    <w:rsid w:val="001568F1"/>
    <w:rsid w:val="00156BE1"/>
    <w:rsid w:val="00156E1B"/>
    <w:rsid w:val="00156EC3"/>
    <w:rsid w:val="00157319"/>
    <w:rsid w:val="0015798E"/>
    <w:rsid w:val="00157A84"/>
    <w:rsid w:val="0016005F"/>
    <w:rsid w:val="001601FC"/>
    <w:rsid w:val="00160565"/>
    <w:rsid w:val="00160622"/>
    <w:rsid w:val="001606BC"/>
    <w:rsid w:val="001608DC"/>
    <w:rsid w:val="00160AA5"/>
    <w:rsid w:val="00160B7C"/>
    <w:rsid w:val="001612D4"/>
    <w:rsid w:val="00161D99"/>
    <w:rsid w:val="001620E4"/>
    <w:rsid w:val="00162420"/>
    <w:rsid w:val="00163AA3"/>
    <w:rsid w:val="00164401"/>
    <w:rsid w:val="0016452F"/>
    <w:rsid w:val="00164E4C"/>
    <w:rsid w:val="00164E87"/>
    <w:rsid w:val="00165945"/>
    <w:rsid w:val="00166620"/>
    <w:rsid w:val="0016722A"/>
    <w:rsid w:val="001673DD"/>
    <w:rsid w:val="00167F11"/>
    <w:rsid w:val="00167FF1"/>
    <w:rsid w:val="001702C1"/>
    <w:rsid w:val="001705A4"/>
    <w:rsid w:val="00170E17"/>
    <w:rsid w:val="00171887"/>
    <w:rsid w:val="00172C4A"/>
    <w:rsid w:val="00172EBB"/>
    <w:rsid w:val="001730AD"/>
    <w:rsid w:val="001735EC"/>
    <w:rsid w:val="00173833"/>
    <w:rsid w:val="001738D5"/>
    <w:rsid w:val="00173C65"/>
    <w:rsid w:val="00174147"/>
    <w:rsid w:val="00174BC7"/>
    <w:rsid w:val="0017525C"/>
    <w:rsid w:val="0017570D"/>
    <w:rsid w:val="001758E3"/>
    <w:rsid w:val="00175B2F"/>
    <w:rsid w:val="00175C84"/>
    <w:rsid w:val="00176413"/>
    <w:rsid w:val="0017677A"/>
    <w:rsid w:val="001771D8"/>
    <w:rsid w:val="001778EE"/>
    <w:rsid w:val="00177A43"/>
    <w:rsid w:val="00177EFB"/>
    <w:rsid w:val="00181B65"/>
    <w:rsid w:val="001825E3"/>
    <w:rsid w:val="0018278F"/>
    <w:rsid w:val="001827DB"/>
    <w:rsid w:val="00182B39"/>
    <w:rsid w:val="001833FA"/>
    <w:rsid w:val="00183872"/>
    <w:rsid w:val="00183C59"/>
    <w:rsid w:val="00183C90"/>
    <w:rsid w:val="00183F29"/>
    <w:rsid w:val="001841F8"/>
    <w:rsid w:val="00184699"/>
    <w:rsid w:val="001847EC"/>
    <w:rsid w:val="00185B5E"/>
    <w:rsid w:val="00186183"/>
    <w:rsid w:val="00186371"/>
    <w:rsid w:val="001863DE"/>
    <w:rsid w:val="00186887"/>
    <w:rsid w:val="00186DFC"/>
    <w:rsid w:val="00187DBE"/>
    <w:rsid w:val="00190CD2"/>
    <w:rsid w:val="0019174A"/>
    <w:rsid w:val="00191B1A"/>
    <w:rsid w:val="00192271"/>
    <w:rsid w:val="001926EB"/>
    <w:rsid w:val="00192EB0"/>
    <w:rsid w:val="00192EBC"/>
    <w:rsid w:val="001939C2"/>
    <w:rsid w:val="00193D5D"/>
    <w:rsid w:val="00193D64"/>
    <w:rsid w:val="001954C8"/>
    <w:rsid w:val="00196484"/>
    <w:rsid w:val="001967BB"/>
    <w:rsid w:val="0019697F"/>
    <w:rsid w:val="00196BDC"/>
    <w:rsid w:val="00197C24"/>
    <w:rsid w:val="00197E28"/>
    <w:rsid w:val="00197F3D"/>
    <w:rsid w:val="00197FBC"/>
    <w:rsid w:val="001A024E"/>
    <w:rsid w:val="001A04D1"/>
    <w:rsid w:val="001A13ED"/>
    <w:rsid w:val="001A1EB1"/>
    <w:rsid w:val="001A29C7"/>
    <w:rsid w:val="001A2E48"/>
    <w:rsid w:val="001A2EE1"/>
    <w:rsid w:val="001A3239"/>
    <w:rsid w:val="001A348D"/>
    <w:rsid w:val="001A4119"/>
    <w:rsid w:val="001A4728"/>
    <w:rsid w:val="001A4A0C"/>
    <w:rsid w:val="001A4C45"/>
    <w:rsid w:val="001A5010"/>
    <w:rsid w:val="001A516A"/>
    <w:rsid w:val="001A53C8"/>
    <w:rsid w:val="001A53F8"/>
    <w:rsid w:val="001A5F4A"/>
    <w:rsid w:val="001A6370"/>
    <w:rsid w:val="001A67DF"/>
    <w:rsid w:val="001A6D4A"/>
    <w:rsid w:val="001A763D"/>
    <w:rsid w:val="001B0107"/>
    <w:rsid w:val="001B052E"/>
    <w:rsid w:val="001B0FDF"/>
    <w:rsid w:val="001B1A49"/>
    <w:rsid w:val="001B1D8A"/>
    <w:rsid w:val="001B22BE"/>
    <w:rsid w:val="001B25E6"/>
    <w:rsid w:val="001B3549"/>
    <w:rsid w:val="001B3867"/>
    <w:rsid w:val="001B3ED7"/>
    <w:rsid w:val="001B3F8D"/>
    <w:rsid w:val="001B4657"/>
    <w:rsid w:val="001B4783"/>
    <w:rsid w:val="001B48DC"/>
    <w:rsid w:val="001B54B3"/>
    <w:rsid w:val="001B571A"/>
    <w:rsid w:val="001B60C7"/>
    <w:rsid w:val="001B6B4F"/>
    <w:rsid w:val="001B6B53"/>
    <w:rsid w:val="001B71E4"/>
    <w:rsid w:val="001B7E44"/>
    <w:rsid w:val="001C0238"/>
    <w:rsid w:val="001C0820"/>
    <w:rsid w:val="001C167C"/>
    <w:rsid w:val="001C1729"/>
    <w:rsid w:val="001C1A4D"/>
    <w:rsid w:val="001C1FCE"/>
    <w:rsid w:val="001C2146"/>
    <w:rsid w:val="001C2BE6"/>
    <w:rsid w:val="001C2DA4"/>
    <w:rsid w:val="001C3135"/>
    <w:rsid w:val="001C318A"/>
    <w:rsid w:val="001C39ED"/>
    <w:rsid w:val="001C3F3A"/>
    <w:rsid w:val="001C4215"/>
    <w:rsid w:val="001C48FF"/>
    <w:rsid w:val="001C5320"/>
    <w:rsid w:val="001C53A5"/>
    <w:rsid w:val="001C53B1"/>
    <w:rsid w:val="001C5AAD"/>
    <w:rsid w:val="001C6734"/>
    <w:rsid w:val="001C696C"/>
    <w:rsid w:val="001C6AC7"/>
    <w:rsid w:val="001C730F"/>
    <w:rsid w:val="001C732B"/>
    <w:rsid w:val="001C7C12"/>
    <w:rsid w:val="001D02A4"/>
    <w:rsid w:val="001D07C1"/>
    <w:rsid w:val="001D11B8"/>
    <w:rsid w:val="001D198D"/>
    <w:rsid w:val="001D2313"/>
    <w:rsid w:val="001D23E9"/>
    <w:rsid w:val="001D266F"/>
    <w:rsid w:val="001D27AE"/>
    <w:rsid w:val="001D2BAD"/>
    <w:rsid w:val="001D2C3F"/>
    <w:rsid w:val="001D314E"/>
    <w:rsid w:val="001D35E2"/>
    <w:rsid w:val="001D3602"/>
    <w:rsid w:val="001D38BD"/>
    <w:rsid w:val="001D4A1D"/>
    <w:rsid w:val="001D4BBE"/>
    <w:rsid w:val="001D4D50"/>
    <w:rsid w:val="001D5DF1"/>
    <w:rsid w:val="001D6A81"/>
    <w:rsid w:val="001D7058"/>
    <w:rsid w:val="001D78B7"/>
    <w:rsid w:val="001D7EBD"/>
    <w:rsid w:val="001D7F35"/>
    <w:rsid w:val="001E05C6"/>
    <w:rsid w:val="001E08F0"/>
    <w:rsid w:val="001E0DE8"/>
    <w:rsid w:val="001E17F1"/>
    <w:rsid w:val="001E213B"/>
    <w:rsid w:val="001E21C3"/>
    <w:rsid w:val="001E2658"/>
    <w:rsid w:val="001E2BC5"/>
    <w:rsid w:val="001E2CFB"/>
    <w:rsid w:val="001E3408"/>
    <w:rsid w:val="001E342B"/>
    <w:rsid w:val="001E3EC4"/>
    <w:rsid w:val="001E48A6"/>
    <w:rsid w:val="001E4C1C"/>
    <w:rsid w:val="001E51E9"/>
    <w:rsid w:val="001E5417"/>
    <w:rsid w:val="001E5445"/>
    <w:rsid w:val="001E5511"/>
    <w:rsid w:val="001E5B48"/>
    <w:rsid w:val="001E5D4B"/>
    <w:rsid w:val="001E6066"/>
    <w:rsid w:val="001E6480"/>
    <w:rsid w:val="001E6976"/>
    <w:rsid w:val="001E6CA0"/>
    <w:rsid w:val="001E72CE"/>
    <w:rsid w:val="001E73AB"/>
    <w:rsid w:val="001E7F50"/>
    <w:rsid w:val="001F0488"/>
    <w:rsid w:val="001F068F"/>
    <w:rsid w:val="001F0B14"/>
    <w:rsid w:val="001F11B1"/>
    <w:rsid w:val="001F1230"/>
    <w:rsid w:val="001F1A65"/>
    <w:rsid w:val="001F22FF"/>
    <w:rsid w:val="001F2321"/>
    <w:rsid w:val="001F23DB"/>
    <w:rsid w:val="001F2A13"/>
    <w:rsid w:val="001F2BD2"/>
    <w:rsid w:val="001F2D5E"/>
    <w:rsid w:val="001F3EFC"/>
    <w:rsid w:val="001F4060"/>
    <w:rsid w:val="001F433A"/>
    <w:rsid w:val="001F55D5"/>
    <w:rsid w:val="001F5E0B"/>
    <w:rsid w:val="001F6138"/>
    <w:rsid w:val="001F6B1A"/>
    <w:rsid w:val="001F6BA9"/>
    <w:rsid w:val="001F71E9"/>
    <w:rsid w:val="001F7640"/>
    <w:rsid w:val="001F794B"/>
    <w:rsid w:val="001F7B55"/>
    <w:rsid w:val="002005B0"/>
    <w:rsid w:val="002007B5"/>
    <w:rsid w:val="00200E71"/>
    <w:rsid w:val="00200EBA"/>
    <w:rsid w:val="002013B2"/>
    <w:rsid w:val="00201CF3"/>
    <w:rsid w:val="00201E09"/>
    <w:rsid w:val="00201F63"/>
    <w:rsid w:val="00201FFF"/>
    <w:rsid w:val="00202635"/>
    <w:rsid w:val="0020440E"/>
    <w:rsid w:val="00204C43"/>
    <w:rsid w:val="00204F07"/>
    <w:rsid w:val="002054CA"/>
    <w:rsid w:val="00205839"/>
    <w:rsid w:val="00205A4E"/>
    <w:rsid w:val="00206720"/>
    <w:rsid w:val="0020694F"/>
    <w:rsid w:val="00206A2D"/>
    <w:rsid w:val="00206C74"/>
    <w:rsid w:val="00206D32"/>
    <w:rsid w:val="002074F8"/>
    <w:rsid w:val="0020771F"/>
    <w:rsid w:val="00207F42"/>
    <w:rsid w:val="00210953"/>
    <w:rsid w:val="00210B26"/>
    <w:rsid w:val="00210EBA"/>
    <w:rsid w:val="00211405"/>
    <w:rsid w:val="00211442"/>
    <w:rsid w:val="00211588"/>
    <w:rsid w:val="00211B98"/>
    <w:rsid w:val="00211BE8"/>
    <w:rsid w:val="002121F2"/>
    <w:rsid w:val="002124EE"/>
    <w:rsid w:val="00212C19"/>
    <w:rsid w:val="00213024"/>
    <w:rsid w:val="00213B95"/>
    <w:rsid w:val="00213D45"/>
    <w:rsid w:val="0021436A"/>
    <w:rsid w:val="00214830"/>
    <w:rsid w:val="002158D0"/>
    <w:rsid w:val="00215F5E"/>
    <w:rsid w:val="002161E3"/>
    <w:rsid w:val="0021645F"/>
    <w:rsid w:val="002165C9"/>
    <w:rsid w:val="00217A24"/>
    <w:rsid w:val="00217AC0"/>
    <w:rsid w:val="00217B6D"/>
    <w:rsid w:val="00217C4E"/>
    <w:rsid w:val="00217D46"/>
    <w:rsid w:val="00217E3D"/>
    <w:rsid w:val="00220CE0"/>
    <w:rsid w:val="0022138A"/>
    <w:rsid w:val="00221475"/>
    <w:rsid w:val="00221C10"/>
    <w:rsid w:val="0022223E"/>
    <w:rsid w:val="00222BBB"/>
    <w:rsid w:val="0022301F"/>
    <w:rsid w:val="002234B5"/>
    <w:rsid w:val="002235CE"/>
    <w:rsid w:val="002238B5"/>
    <w:rsid w:val="00223AB9"/>
    <w:rsid w:val="00223D8F"/>
    <w:rsid w:val="002242F7"/>
    <w:rsid w:val="00224565"/>
    <w:rsid w:val="002246AD"/>
    <w:rsid w:val="00224B35"/>
    <w:rsid w:val="002258FB"/>
    <w:rsid w:val="00225BD2"/>
    <w:rsid w:val="00225C83"/>
    <w:rsid w:val="00225CCA"/>
    <w:rsid w:val="00225DEE"/>
    <w:rsid w:val="002260D1"/>
    <w:rsid w:val="00226C4F"/>
    <w:rsid w:val="00227329"/>
    <w:rsid w:val="0022734C"/>
    <w:rsid w:val="0022772C"/>
    <w:rsid w:val="002278A7"/>
    <w:rsid w:val="00230396"/>
    <w:rsid w:val="00230BAB"/>
    <w:rsid w:val="00230C61"/>
    <w:rsid w:val="00230E37"/>
    <w:rsid w:val="002312FC"/>
    <w:rsid w:val="00231BED"/>
    <w:rsid w:val="00232671"/>
    <w:rsid w:val="002330BF"/>
    <w:rsid w:val="002331D4"/>
    <w:rsid w:val="0023396C"/>
    <w:rsid w:val="00233A97"/>
    <w:rsid w:val="00233E2F"/>
    <w:rsid w:val="00234178"/>
    <w:rsid w:val="0023461E"/>
    <w:rsid w:val="002350C8"/>
    <w:rsid w:val="0023535F"/>
    <w:rsid w:val="00235949"/>
    <w:rsid w:val="00235D66"/>
    <w:rsid w:val="0023661C"/>
    <w:rsid w:val="002368F3"/>
    <w:rsid w:val="00237CB3"/>
    <w:rsid w:val="00237E9A"/>
    <w:rsid w:val="002400EB"/>
    <w:rsid w:val="00240695"/>
    <w:rsid w:val="00240CCC"/>
    <w:rsid w:val="00240D70"/>
    <w:rsid w:val="00241B87"/>
    <w:rsid w:val="00241C55"/>
    <w:rsid w:val="002423C7"/>
    <w:rsid w:val="002430F3"/>
    <w:rsid w:val="002435E3"/>
    <w:rsid w:val="002449A0"/>
    <w:rsid w:val="0024557D"/>
    <w:rsid w:val="00245A68"/>
    <w:rsid w:val="00246603"/>
    <w:rsid w:val="00246C7B"/>
    <w:rsid w:val="002471E0"/>
    <w:rsid w:val="0024751F"/>
    <w:rsid w:val="00247606"/>
    <w:rsid w:val="00247BB1"/>
    <w:rsid w:val="00247C5D"/>
    <w:rsid w:val="002501D2"/>
    <w:rsid w:val="0025078F"/>
    <w:rsid w:val="00251198"/>
    <w:rsid w:val="0025141A"/>
    <w:rsid w:val="0025173B"/>
    <w:rsid w:val="00251D00"/>
    <w:rsid w:val="00251F9B"/>
    <w:rsid w:val="002520C7"/>
    <w:rsid w:val="002521B4"/>
    <w:rsid w:val="00252D64"/>
    <w:rsid w:val="00252D9D"/>
    <w:rsid w:val="00252E14"/>
    <w:rsid w:val="002533FB"/>
    <w:rsid w:val="00253A84"/>
    <w:rsid w:val="00253F2A"/>
    <w:rsid w:val="00253F56"/>
    <w:rsid w:val="00253FD2"/>
    <w:rsid w:val="00254759"/>
    <w:rsid w:val="00254F2A"/>
    <w:rsid w:val="002554CF"/>
    <w:rsid w:val="002555F6"/>
    <w:rsid w:val="00255A6D"/>
    <w:rsid w:val="00255DDD"/>
    <w:rsid w:val="00256382"/>
    <w:rsid w:val="0025659B"/>
    <w:rsid w:val="0025691E"/>
    <w:rsid w:val="00256A4C"/>
    <w:rsid w:val="00256A84"/>
    <w:rsid w:val="00256C1B"/>
    <w:rsid w:val="0025732A"/>
    <w:rsid w:val="002579E8"/>
    <w:rsid w:val="00260041"/>
    <w:rsid w:val="002603D9"/>
    <w:rsid w:val="00260547"/>
    <w:rsid w:val="002605CA"/>
    <w:rsid w:val="0026067F"/>
    <w:rsid w:val="0026080C"/>
    <w:rsid w:val="00260A97"/>
    <w:rsid w:val="00260CDE"/>
    <w:rsid w:val="0026134F"/>
    <w:rsid w:val="002615AE"/>
    <w:rsid w:val="0026191C"/>
    <w:rsid w:val="002619A9"/>
    <w:rsid w:val="00261E49"/>
    <w:rsid w:val="00263EDB"/>
    <w:rsid w:val="00264618"/>
    <w:rsid w:val="00264A20"/>
    <w:rsid w:val="00264ABB"/>
    <w:rsid w:val="00264FEB"/>
    <w:rsid w:val="00265501"/>
    <w:rsid w:val="00265536"/>
    <w:rsid w:val="00265D24"/>
    <w:rsid w:val="00266167"/>
    <w:rsid w:val="00266827"/>
    <w:rsid w:val="00266E89"/>
    <w:rsid w:val="00267C79"/>
    <w:rsid w:val="00267CA4"/>
    <w:rsid w:val="00267DE6"/>
    <w:rsid w:val="00270D33"/>
    <w:rsid w:val="00271B2D"/>
    <w:rsid w:val="00272387"/>
    <w:rsid w:val="00272A33"/>
    <w:rsid w:val="00272A77"/>
    <w:rsid w:val="00272D83"/>
    <w:rsid w:val="0027313B"/>
    <w:rsid w:val="002731BE"/>
    <w:rsid w:val="002731E4"/>
    <w:rsid w:val="00273B62"/>
    <w:rsid w:val="00274284"/>
    <w:rsid w:val="00274861"/>
    <w:rsid w:val="00274964"/>
    <w:rsid w:val="00274BBF"/>
    <w:rsid w:val="00275124"/>
    <w:rsid w:val="002751AE"/>
    <w:rsid w:val="002753CE"/>
    <w:rsid w:val="00275807"/>
    <w:rsid w:val="00275B97"/>
    <w:rsid w:val="00275EFE"/>
    <w:rsid w:val="00277004"/>
    <w:rsid w:val="002770B4"/>
    <w:rsid w:val="002778EE"/>
    <w:rsid w:val="00277C00"/>
    <w:rsid w:val="0028097F"/>
    <w:rsid w:val="002819D2"/>
    <w:rsid w:val="00281A4F"/>
    <w:rsid w:val="00281B36"/>
    <w:rsid w:val="00281C25"/>
    <w:rsid w:val="00281D3B"/>
    <w:rsid w:val="0028264D"/>
    <w:rsid w:val="002826C5"/>
    <w:rsid w:val="00282B41"/>
    <w:rsid w:val="00282D52"/>
    <w:rsid w:val="0028339F"/>
    <w:rsid w:val="002834FD"/>
    <w:rsid w:val="002836FA"/>
    <w:rsid w:val="002838E3"/>
    <w:rsid w:val="002839E4"/>
    <w:rsid w:val="00284204"/>
    <w:rsid w:val="00284265"/>
    <w:rsid w:val="002843E3"/>
    <w:rsid w:val="00284E29"/>
    <w:rsid w:val="00285550"/>
    <w:rsid w:val="00285919"/>
    <w:rsid w:val="00285EB8"/>
    <w:rsid w:val="0028615A"/>
    <w:rsid w:val="002863A0"/>
    <w:rsid w:val="00286887"/>
    <w:rsid w:val="00286989"/>
    <w:rsid w:val="00286D69"/>
    <w:rsid w:val="00286EE2"/>
    <w:rsid w:val="00286F7C"/>
    <w:rsid w:val="002871B7"/>
    <w:rsid w:val="002873C5"/>
    <w:rsid w:val="00287BBD"/>
    <w:rsid w:val="00287BE6"/>
    <w:rsid w:val="00287C6C"/>
    <w:rsid w:val="00287DDC"/>
    <w:rsid w:val="002900DF"/>
    <w:rsid w:val="0029085A"/>
    <w:rsid w:val="002909AF"/>
    <w:rsid w:val="00290C61"/>
    <w:rsid w:val="00290E28"/>
    <w:rsid w:val="00290FBE"/>
    <w:rsid w:val="0029156C"/>
    <w:rsid w:val="002916A0"/>
    <w:rsid w:val="00291ADD"/>
    <w:rsid w:val="002928CD"/>
    <w:rsid w:val="00292FC9"/>
    <w:rsid w:val="002931D9"/>
    <w:rsid w:val="00293682"/>
    <w:rsid w:val="00293920"/>
    <w:rsid w:val="002942DA"/>
    <w:rsid w:val="002943BB"/>
    <w:rsid w:val="002945CA"/>
    <w:rsid w:val="002948E1"/>
    <w:rsid w:val="002958B5"/>
    <w:rsid w:val="00295962"/>
    <w:rsid w:val="0029603B"/>
    <w:rsid w:val="002961BC"/>
    <w:rsid w:val="00296612"/>
    <w:rsid w:val="00296D02"/>
    <w:rsid w:val="00296EA7"/>
    <w:rsid w:val="00297030"/>
    <w:rsid w:val="002975F2"/>
    <w:rsid w:val="0029779D"/>
    <w:rsid w:val="00297C2E"/>
    <w:rsid w:val="002A07B1"/>
    <w:rsid w:val="002A0954"/>
    <w:rsid w:val="002A1B5F"/>
    <w:rsid w:val="002A1C25"/>
    <w:rsid w:val="002A1E1B"/>
    <w:rsid w:val="002A248C"/>
    <w:rsid w:val="002A25E8"/>
    <w:rsid w:val="002A2A68"/>
    <w:rsid w:val="002A2A70"/>
    <w:rsid w:val="002A2DF0"/>
    <w:rsid w:val="002A2F6E"/>
    <w:rsid w:val="002A31D7"/>
    <w:rsid w:val="002A3647"/>
    <w:rsid w:val="002A3A6E"/>
    <w:rsid w:val="002A3AC8"/>
    <w:rsid w:val="002A41BE"/>
    <w:rsid w:val="002A4A46"/>
    <w:rsid w:val="002A4B76"/>
    <w:rsid w:val="002A533A"/>
    <w:rsid w:val="002A53EA"/>
    <w:rsid w:val="002A55E1"/>
    <w:rsid w:val="002A55F2"/>
    <w:rsid w:val="002A5B9B"/>
    <w:rsid w:val="002A62BD"/>
    <w:rsid w:val="002A63DE"/>
    <w:rsid w:val="002A6456"/>
    <w:rsid w:val="002A669F"/>
    <w:rsid w:val="002A66C8"/>
    <w:rsid w:val="002A6C18"/>
    <w:rsid w:val="002A6C1F"/>
    <w:rsid w:val="002A6F9C"/>
    <w:rsid w:val="002A71F9"/>
    <w:rsid w:val="002A732A"/>
    <w:rsid w:val="002A740E"/>
    <w:rsid w:val="002B068E"/>
    <w:rsid w:val="002B0C7E"/>
    <w:rsid w:val="002B1475"/>
    <w:rsid w:val="002B17F1"/>
    <w:rsid w:val="002B1D0E"/>
    <w:rsid w:val="002B2A68"/>
    <w:rsid w:val="002B332A"/>
    <w:rsid w:val="002B3767"/>
    <w:rsid w:val="002B3808"/>
    <w:rsid w:val="002B38D2"/>
    <w:rsid w:val="002B3979"/>
    <w:rsid w:val="002B472E"/>
    <w:rsid w:val="002B4B0D"/>
    <w:rsid w:val="002B4B12"/>
    <w:rsid w:val="002B4DED"/>
    <w:rsid w:val="002B553D"/>
    <w:rsid w:val="002B574E"/>
    <w:rsid w:val="002B66D1"/>
    <w:rsid w:val="002B6F49"/>
    <w:rsid w:val="002B75C7"/>
    <w:rsid w:val="002B7B55"/>
    <w:rsid w:val="002C0012"/>
    <w:rsid w:val="002C011D"/>
    <w:rsid w:val="002C0C85"/>
    <w:rsid w:val="002C115E"/>
    <w:rsid w:val="002C1218"/>
    <w:rsid w:val="002C1305"/>
    <w:rsid w:val="002C19D9"/>
    <w:rsid w:val="002C1CA4"/>
    <w:rsid w:val="002C24F1"/>
    <w:rsid w:val="002C32B2"/>
    <w:rsid w:val="002C40F1"/>
    <w:rsid w:val="002C4BF6"/>
    <w:rsid w:val="002C4F46"/>
    <w:rsid w:val="002C5435"/>
    <w:rsid w:val="002C5653"/>
    <w:rsid w:val="002C5D97"/>
    <w:rsid w:val="002C5DAD"/>
    <w:rsid w:val="002C5E13"/>
    <w:rsid w:val="002C5EE0"/>
    <w:rsid w:val="002C5FE7"/>
    <w:rsid w:val="002C5FFD"/>
    <w:rsid w:val="002C694A"/>
    <w:rsid w:val="002C6BD7"/>
    <w:rsid w:val="002C6E17"/>
    <w:rsid w:val="002C6EB6"/>
    <w:rsid w:val="002C742F"/>
    <w:rsid w:val="002C79AC"/>
    <w:rsid w:val="002C7DF3"/>
    <w:rsid w:val="002D00EE"/>
    <w:rsid w:val="002D01F7"/>
    <w:rsid w:val="002D0548"/>
    <w:rsid w:val="002D088D"/>
    <w:rsid w:val="002D0B6B"/>
    <w:rsid w:val="002D1465"/>
    <w:rsid w:val="002D1834"/>
    <w:rsid w:val="002D1892"/>
    <w:rsid w:val="002D2D30"/>
    <w:rsid w:val="002D2E32"/>
    <w:rsid w:val="002D30B4"/>
    <w:rsid w:val="002D34A4"/>
    <w:rsid w:val="002D3EE5"/>
    <w:rsid w:val="002D43F8"/>
    <w:rsid w:val="002D4639"/>
    <w:rsid w:val="002D4804"/>
    <w:rsid w:val="002D4941"/>
    <w:rsid w:val="002D5A50"/>
    <w:rsid w:val="002D5C5B"/>
    <w:rsid w:val="002D6210"/>
    <w:rsid w:val="002D650D"/>
    <w:rsid w:val="002D6784"/>
    <w:rsid w:val="002D6BDD"/>
    <w:rsid w:val="002D70CE"/>
    <w:rsid w:val="002D716A"/>
    <w:rsid w:val="002D758F"/>
    <w:rsid w:val="002D7778"/>
    <w:rsid w:val="002D78D7"/>
    <w:rsid w:val="002E00E4"/>
    <w:rsid w:val="002E035D"/>
    <w:rsid w:val="002E0503"/>
    <w:rsid w:val="002E0A09"/>
    <w:rsid w:val="002E1177"/>
    <w:rsid w:val="002E16FC"/>
    <w:rsid w:val="002E1FA0"/>
    <w:rsid w:val="002E21DB"/>
    <w:rsid w:val="002E2586"/>
    <w:rsid w:val="002E2629"/>
    <w:rsid w:val="002E2908"/>
    <w:rsid w:val="002E3045"/>
    <w:rsid w:val="002E36C2"/>
    <w:rsid w:val="002E491C"/>
    <w:rsid w:val="002E4ECB"/>
    <w:rsid w:val="002E4FE9"/>
    <w:rsid w:val="002E54FC"/>
    <w:rsid w:val="002E5790"/>
    <w:rsid w:val="002E6846"/>
    <w:rsid w:val="002E6E40"/>
    <w:rsid w:val="002E6EE9"/>
    <w:rsid w:val="002E6FD6"/>
    <w:rsid w:val="002E702F"/>
    <w:rsid w:val="002E71C7"/>
    <w:rsid w:val="002E7769"/>
    <w:rsid w:val="002E7E39"/>
    <w:rsid w:val="002F00D4"/>
    <w:rsid w:val="002F04AB"/>
    <w:rsid w:val="002F0636"/>
    <w:rsid w:val="002F0A6D"/>
    <w:rsid w:val="002F0ADE"/>
    <w:rsid w:val="002F0CED"/>
    <w:rsid w:val="002F0D44"/>
    <w:rsid w:val="002F1820"/>
    <w:rsid w:val="002F1870"/>
    <w:rsid w:val="002F1A7D"/>
    <w:rsid w:val="002F1C1D"/>
    <w:rsid w:val="002F2390"/>
    <w:rsid w:val="002F25D8"/>
    <w:rsid w:val="002F29B5"/>
    <w:rsid w:val="002F2CEF"/>
    <w:rsid w:val="002F31B9"/>
    <w:rsid w:val="002F4DCE"/>
    <w:rsid w:val="002F4E84"/>
    <w:rsid w:val="002F52CB"/>
    <w:rsid w:val="002F5424"/>
    <w:rsid w:val="002F5D1D"/>
    <w:rsid w:val="002F6817"/>
    <w:rsid w:val="002F6E7D"/>
    <w:rsid w:val="002F714D"/>
    <w:rsid w:val="002F7759"/>
    <w:rsid w:val="002F7D61"/>
    <w:rsid w:val="00300ABE"/>
    <w:rsid w:val="00300B7B"/>
    <w:rsid w:val="00301039"/>
    <w:rsid w:val="00301667"/>
    <w:rsid w:val="0030177D"/>
    <w:rsid w:val="00301857"/>
    <w:rsid w:val="00302000"/>
    <w:rsid w:val="003039DB"/>
    <w:rsid w:val="00303C86"/>
    <w:rsid w:val="00303C9B"/>
    <w:rsid w:val="00304ABF"/>
    <w:rsid w:val="00304E14"/>
    <w:rsid w:val="00305077"/>
    <w:rsid w:val="0030541E"/>
    <w:rsid w:val="00305849"/>
    <w:rsid w:val="00305A1B"/>
    <w:rsid w:val="003061BC"/>
    <w:rsid w:val="0030673A"/>
    <w:rsid w:val="0030758B"/>
    <w:rsid w:val="00307655"/>
    <w:rsid w:val="00310004"/>
    <w:rsid w:val="00310985"/>
    <w:rsid w:val="00310DD1"/>
    <w:rsid w:val="0031153E"/>
    <w:rsid w:val="00311E19"/>
    <w:rsid w:val="003127E4"/>
    <w:rsid w:val="00312BAD"/>
    <w:rsid w:val="00312E08"/>
    <w:rsid w:val="00313142"/>
    <w:rsid w:val="00313907"/>
    <w:rsid w:val="003139BA"/>
    <w:rsid w:val="003143DF"/>
    <w:rsid w:val="00314C99"/>
    <w:rsid w:val="003154F1"/>
    <w:rsid w:val="00315530"/>
    <w:rsid w:val="003158CE"/>
    <w:rsid w:val="00315E9B"/>
    <w:rsid w:val="00315EE2"/>
    <w:rsid w:val="00316333"/>
    <w:rsid w:val="00316BFA"/>
    <w:rsid w:val="003170BF"/>
    <w:rsid w:val="00317685"/>
    <w:rsid w:val="003177A0"/>
    <w:rsid w:val="003200BF"/>
    <w:rsid w:val="00320123"/>
    <w:rsid w:val="00320257"/>
    <w:rsid w:val="0032095D"/>
    <w:rsid w:val="003211A5"/>
    <w:rsid w:val="003218DD"/>
    <w:rsid w:val="003222CA"/>
    <w:rsid w:val="00322A65"/>
    <w:rsid w:val="00322CF3"/>
    <w:rsid w:val="00322E2B"/>
    <w:rsid w:val="00322E9E"/>
    <w:rsid w:val="00323D07"/>
    <w:rsid w:val="00323FC4"/>
    <w:rsid w:val="003245F3"/>
    <w:rsid w:val="00324F0A"/>
    <w:rsid w:val="00324FDF"/>
    <w:rsid w:val="00324FFA"/>
    <w:rsid w:val="003255BF"/>
    <w:rsid w:val="00326360"/>
    <w:rsid w:val="00326A17"/>
    <w:rsid w:val="00326EBF"/>
    <w:rsid w:val="00326F68"/>
    <w:rsid w:val="00327830"/>
    <w:rsid w:val="00327A6E"/>
    <w:rsid w:val="00327F7F"/>
    <w:rsid w:val="003301EB"/>
    <w:rsid w:val="00330CE9"/>
    <w:rsid w:val="00332117"/>
    <w:rsid w:val="00332761"/>
    <w:rsid w:val="00332826"/>
    <w:rsid w:val="0033282C"/>
    <w:rsid w:val="00332DCF"/>
    <w:rsid w:val="003336F9"/>
    <w:rsid w:val="00333B22"/>
    <w:rsid w:val="00334051"/>
    <w:rsid w:val="0033431D"/>
    <w:rsid w:val="0033523C"/>
    <w:rsid w:val="00335370"/>
    <w:rsid w:val="0033546C"/>
    <w:rsid w:val="00336900"/>
    <w:rsid w:val="00336C3F"/>
    <w:rsid w:val="00336E97"/>
    <w:rsid w:val="003371C3"/>
    <w:rsid w:val="003374DC"/>
    <w:rsid w:val="00337567"/>
    <w:rsid w:val="003378C8"/>
    <w:rsid w:val="00337CD8"/>
    <w:rsid w:val="00337DFD"/>
    <w:rsid w:val="0034005A"/>
    <w:rsid w:val="00340C45"/>
    <w:rsid w:val="003411AE"/>
    <w:rsid w:val="0034172A"/>
    <w:rsid w:val="0034177E"/>
    <w:rsid w:val="003418BF"/>
    <w:rsid w:val="00341D78"/>
    <w:rsid w:val="003422C6"/>
    <w:rsid w:val="0034248C"/>
    <w:rsid w:val="0034365C"/>
    <w:rsid w:val="003436C2"/>
    <w:rsid w:val="00343BD1"/>
    <w:rsid w:val="00343DBB"/>
    <w:rsid w:val="00344C68"/>
    <w:rsid w:val="00344C92"/>
    <w:rsid w:val="00345135"/>
    <w:rsid w:val="003451D6"/>
    <w:rsid w:val="00346260"/>
    <w:rsid w:val="00346337"/>
    <w:rsid w:val="003471B3"/>
    <w:rsid w:val="0034798F"/>
    <w:rsid w:val="00347D4C"/>
    <w:rsid w:val="00347FB4"/>
    <w:rsid w:val="00350024"/>
    <w:rsid w:val="00350145"/>
    <w:rsid w:val="00350FFA"/>
    <w:rsid w:val="0035120C"/>
    <w:rsid w:val="00351907"/>
    <w:rsid w:val="00351FC1"/>
    <w:rsid w:val="0035247E"/>
    <w:rsid w:val="003527CE"/>
    <w:rsid w:val="00352B24"/>
    <w:rsid w:val="0035379E"/>
    <w:rsid w:val="00353BD2"/>
    <w:rsid w:val="00353E07"/>
    <w:rsid w:val="00353E24"/>
    <w:rsid w:val="003540E2"/>
    <w:rsid w:val="00354127"/>
    <w:rsid w:val="00354341"/>
    <w:rsid w:val="003550FF"/>
    <w:rsid w:val="003551C4"/>
    <w:rsid w:val="00355699"/>
    <w:rsid w:val="00356CCA"/>
    <w:rsid w:val="00356F9C"/>
    <w:rsid w:val="00357C8F"/>
    <w:rsid w:val="00357DCA"/>
    <w:rsid w:val="0036013A"/>
    <w:rsid w:val="00360D84"/>
    <w:rsid w:val="00362040"/>
    <w:rsid w:val="0036206A"/>
    <w:rsid w:val="0036249D"/>
    <w:rsid w:val="00362969"/>
    <w:rsid w:val="00362F22"/>
    <w:rsid w:val="0036309B"/>
    <w:rsid w:val="00363489"/>
    <w:rsid w:val="00364070"/>
    <w:rsid w:val="0036428E"/>
    <w:rsid w:val="003643A3"/>
    <w:rsid w:val="00364C2A"/>
    <w:rsid w:val="00364F5A"/>
    <w:rsid w:val="0036528F"/>
    <w:rsid w:val="00365293"/>
    <w:rsid w:val="0036564B"/>
    <w:rsid w:val="00365AAC"/>
    <w:rsid w:val="00365D78"/>
    <w:rsid w:val="00366111"/>
    <w:rsid w:val="00366601"/>
    <w:rsid w:val="00366733"/>
    <w:rsid w:val="003669C8"/>
    <w:rsid w:val="00366C7B"/>
    <w:rsid w:val="00367C68"/>
    <w:rsid w:val="00367FAB"/>
    <w:rsid w:val="0037012B"/>
    <w:rsid w:val="0037034F"/>
    <w:rsid w:val="003704B1"/>
    <w:rsid w:val="003708CD"/>
    <w:rsid w:val="00370C0D"/>
    <w:rsid w:val="00370F2A"/>
    <w:rsid w:val="0037126A"/>
    <w:rsid w:val="003716EC"/>
    <w:rsid w:val="00371AB2"/>
    <w:rsid w:val="00371F07"/>
    <w:rsid w:val="00372131"/>
    <w:rsid w:val="00372B03"/>
    <w:rsid w:val="00372BBC"/>
    <w:rsid w:val="0037374E"/>
    <w:rsid w:val="00373E01"/>
    <w:rsid w:val="00373F74"/>
    <w:rsid w:val="00374242"/>
    <w:rsid w:val="003742CF"/>
    <w:rsid w:val="00374344"/>
    <w:rsid w:val="00374407"/>
    <w:rsid w:val="00375080"/>
    <w:rsid w:val="003751E6"/>
    <w:rsid w:val="003752E0"/>
    <w:rsid w:val="00375475"/>
    <w:rsid w:val="003756EE"/>
    <w:rsid w:val="00376538"/>
    <w:rsid w:val="00376845"/>
    <w:rsid w:val="0037692B"/>
    <w:rsid w:val="00376AB7"/>
    <w:rsid w:val="00376C3D"/>
    <w:rsid w:val="0037775F"/>
    <w:rsid w:val="0038003E"/>
    <w:rsid w:val="003806A7"/>
    <w:rsid w:val="00380889"/>
    <w:rsid w:val="003808DA"/>
    <w:rsid w:val="00380FDB"/>
    <w:rsid w:val="003810F1"/>
    <w:rsid w:val="0038121C"/>
    <w:rsid w:val="00381260"/>
    <w:rsid w:val="003813B6"/>
    <w:rsid w:val="003815FD"/>
    <w:rsid w:val="00381666"/>
    <w:rsid w:val="00381C7A"/>
    <w:rsid w:val="00381EE0"/>
    <w:rsid w:val="00382A4B"/>
    <w:rsid w:val="00382B0D"/>
    <w:rsid w:val="003830F2"/>
    <w:rsid w:val="0038314E"/>
    <w:rsid w:val="00383539"/>
    <w:rsid w:val="00383C9D"/>
    <w:rsid w:val="0038495C"/>
    <w:rsid w:val="00384D26"/>
    <w:rsid w:val="00385190"/>
    <w:rsid w:val="00385595"/>
    <w:rsid w:val="00385A04"/>
    <w:rsid w:val="00385E73"/>
    <w:rsid w:val="0038698E"/>
    <w:rsid w:val="00387154"/>
    <w:rsid w:val="0039070D"/>
    <w:rsid w:val="00390771"/>
    <w:rsid w:val="00390901"/>
    <w:rsid w:val="00390FB3"/>
    <w:rsid w:val="003928DC"/>
    <w:rsid w:val="00392C45"/>
    <w:rsid w:val="003932DA"/>
    <w:rsid w:val="003938A0"/>
    <w:rsid w:val="003939F3"/>
    <w:rsid w:val="00394901"/>
    <w:rsid w:val="00394B8E"/>
    <w:rsid w:val="00395446"/>
    <w:rsid w:val="003958B9"/>
    <w:rsid w:val="00395E12"/>
    <w:rsid w:val="003963ED"/>
    <w:rsid w:val="00396E0C"/>
    <w:rsid w:val="003970FE"/>
    <w:rsid w:val="003974E3"/>
    <w:rsid w:val="0039757E"/>
    <w:rsid w:val="003977DD"/>
    <w:rsid w:val="00397A8B"/>
    <w:rsid w:val="00397DE1"/>
    <w:rsid w:val="003A0289"/>
    <w:rsid w:val="003A02A4"/>
    <w:rsid w:val="003A05A4"/>
    <w:rsid w:val="003A14BF"/>
    <w:rsid w:val="003A1A53"/>
    <w:rsid w:val="003A1BF7"/>
    <w:rsid w:val="003A2A03"/>
    <w:rsid w:val="003A34C8"/>
    <w:rsid w:val="003A383D"/>
    <w:rsid w:val="003A3888"/>
    <w:rsid w:val="003A4DDC"/>
    <w:rsid w:val="003A4F76"/>
    <w:rsid w:val="003A5056"/>
    <w:rsid w:val="003A50AE"/>
    <w:rsid w:val="003A5385"/>
    <w:rsid w:val="003A6BB1"/>
    <w:rsid w:val="003A7519"/>
    <w:rsid w:val="003A79A7"/>
    <w:rsid w:val="003B0746"/>
    <w:rsid w:val="003B0F4C"/>
    <w:rsid w:val="003B123E"/>
    <w:rsid w:val="003B1282"/>
    <w:rsid w:val="003B1460"/>
    <w:rsid w:val="003B169F"/>
    <w:rsid w:val="003B1BF8"/>
    <w:rsid w:val="003B2536"/>
    <w:rsid w:val="003B25FB"/>
    <w:rsid w:val="003B2A45"/>
    <w:rsid w:val="003B2DBB"/>
    <w:rsid w:val="003B2E37"/>
    <w:rsid w:val="003B3721"/>
    <w:rsid w:val="003B3893"/>
    <w:rsid w:val="003B3C45"/>
    <w:rsid w:val="003B3CEA"/>
    <w:rsid w:val="003B3F33"/>
    <w:rsid w:val="003B44CD"/>
    <w:rsid w:val="003B4F5A"/>
    <w:rsid w:val="003B50A0"/>
    <w:rsid w:val="003B55BA"/>
    <w:rsid w:val="003B561F"/>
    <w:rsid w:val="003B57B9"/>
    <w:rsid w:val="003B6204"/>
    <w:rsid w:val="003B6A0D"/>
    <w:rsid w:val="003B6AF5"/>
    <w:rsid w:val="003B6DF8"/>
    <w:rsid w:val="003B6F63"/>
    <w:rsid w:val="003B72ED"/>
    <w:rsid w:val="003B7389"/>
    <w:rsid w:val="003B796D"/>
    <w:rsid w:val="003C042A"/>
    <w:rsid w:val="003C0C8C"/>
    <w:rsid w:val="003C0DCF"/>
    <w:rsid w:val="003C0F72"/>
    <w:rsid w:val="003C135E"/>
    <w:rsid w:val="003C15E3"/>
    <w:rsid w:val="003C1C3B"/>
    <w:rsid w:val="003C1EEB"/>
    <w:rsid w:val="003C1F7C"/>
    <w:rsid w:val="003C2092"/>
    <w:rsid w:val="003C255A"/>
    <w:rsid w:val="003C2AB5"/>
    <w:rsid w:val="003C321A"/>
    <w:rsid w:val="003C361A"/>
    <w:rsid w:val="003C3797"/>
    <w:rsid w:val="003C3EB7"/>
    <w:rsid w:val="003C4355"/>
    <w:rsid w:val="003C5CBD"/>
    <w:rsid w:val="003C6085"/>
    <w:rsid w:val="003C61AD"/>
    <w:rsid w:val="003C627D"/>
    <w:rsid w:val="003C6715"/>
    <w:rsid w:val="003C6981"/>
    <w:rsid w:val="003C7124"/>
    <w:rsid w:val="003C74BE"/>
    <w:rsid w:val="003C74C3"/>
    <w:rsid w:val="003C757B"/>
    <w:rsid w:val="003C7632"/>
    <w:rsid w:val="003C784E"/>
    <w:rsid w:val="003D004A"/>
    <w:rsid w:val="003D0186"/>
    <w:rsid w:val="003D0193"/>
    <w:rsid w:val="003D05E0"/>
    <w:rsid w:val="003D1299"/>
    <w:rsid w:val="003D15ED"/>
    <w:rsid w:val="003D1A9A"/>
    <w:rsid w:val="003D2323"/>
    <w:rsid w:val="003D234C"/>
    <w:rsid w:val="003D3926"/>
    <w:rsid w:val="003D3A3D"/>
    <w:rsid w:val="003D3AAC"/>
    <w:rsid w:val="003D3B4D"/>
    <w:rsid w:val="003D4087"/>
    <w:rsid w:val="003D4233"/>
    <w:rsid w:val="003D4436"/>
    <w:rsid w:val="003D4625"/>
    <w:rsid w:val="003D4638"/>
    <w:rsid w:val="003D4A2A"/>
    <w:rsid w:val="003D4DCA"/>
    <w:rsid w:val="003D509A"/>
    <w:rsid w:val="003D58BA"/>
    <w:rsid w:val="003D59C8"/>
    <w:rsid w:val="003D5F99"/>
    <w:rsid w:val="003D6098"/>
    <w:rsid w:val="003D69B9"/>
    <w:rsid w:val="003D6EC0"/>
    <w:rsid w:val="003D743E"/>
    <w:rsid w:val="003D7A8D"/>
    <w:rsid w:val="003D7A99"/>
    <w:rsid w:val="003D7F8E"/>
    <w:rsid w:val="003E046C"/>
    <w:rsid w:val="003E04B7"/>
    <w:rsid w:val="003E1227"/>
    <w:rsid w:val="003E1643"/>
    <w:rsid w:val="003E18C8"/>
    <w:rsid w:val="003E201D"/>
    <w:rsid w:val="003E22CB"/>
    <w:rsid w:val="003E266B"/>
    <w:rsid w:val="003E295F"/>
    <w:rsid w:val="003E2EAB"/>
    <w:rsid w:val="003E3836"/>
    <w:rsid w:val="003E3BE6"/>
    <w:rsid w:val="003E405A"/>
    <w:rsid w:val="003E519B"/>
    <w:rsid w:val="003E640B"/>
    <w:rsid w:val="003E64F3"/>
    <w:rsid w:val="003E6544"/>
    <w:rsid w:val="003E73B1"/>
    <w:rsid w:val="003E771C"/>
    <w:rsid w:val="003E784C"/>
    <w:rsid w:val="003F0406"/>
    <w:rsid w:val="003F04B8"/>
    <w:rsid w:val="003F07AF"/>
    <w:rsid w:val="003F07C4"/>
    <w:rsid w:val="003F08B3"/>
    <w:rsid w:val="003F0B43"/>
    <w:rsid w:val="003F19BF"/>
    <w:rsid w:val="003F1B34"/>
    <w:rsid w:val="003F1EC6"/>
    <w:rsid w:val="003F27D1"/>
    <w:rsid w:val="003F287E"/>
    <w:rsid w:val="003F2D8D"/>
    <w:rsid w:val="003F45B0"/>
    <w:rsid w:val="003F49C4"/>
    <w:rsid w:val="003F4B66"/>
    <w:rsid w:val="003F531B"/>
    <w:rsid w:val="003F5D30"/>
    <w:rsid w:val="003F5F8C"/>
    <w:rsid w:val="003F6CA0"/>
    <w:rsid w:val="003F7000"/>
    <w:rsid w:val="003F77B4"/>
    <w:rsid w:val="00400A85"/>
    <w:rsid w:val="00400B50"/>
    <w:rsid w:val="0040121B"/>
    <w:rsid w:val="00401247"/>
    <w:rsid w:val="0040153E"/>
    <w:rsid w:val="004015D1"/>
    <w:rsid w:val="004019EB"/>
    <w:rsid w:val="00401D44"/>
    <w:rsid w:val="004023F4"/>
    <w:rsid w:val="00402479"/>
    <w:rsid w:val="00402E10"/>
    <w:rsid w:val="004033E5"/>
    <w:rsid w:val="00403550"/>
    <w:rsid w:val="004036E9"/>
    <w:rsid w:val="0040413B"/>
    <w:rsid w:val="00404D47"/>
    <w:rsid w:val="00405240"/>
    <w:rsid w:val="0040575F"/>
    <w:rsid w:val="004057BD"/>
    <w:rsid w:val="00405DA5"/>
    <w:rsid w:val="00406562"/>
    <w:rsid w:val="0040659A"/>
    <w:rsid w:val="00406825"/>
    <w:rsid w:val="00406DF0"/>
    <w:rsid w:val="0040785C"/>
    <w:rsid w:val="00407F5C"/>
    <w:rsid w:val="0041052A"/>
    <w:rsid w:val="0041092B"/>
    <w:rsid w:val="00410A41"/>
    <w:rsid w:val="004113DE"/>
    <w:rsid w:val="00411CC6"/>
    <w:rsid w:val="00412346"/>
    <w:rsid w:val="00412960"/>
    <w:rsid w:val="00412DCF"/>
    <w:rsid w:val="0041411E"/>
    <w:rsid w:val="00414410"/>
    <w:rsid w:val="004144EE"/>
    <w:rsid w:val="004146BE"/>
    <w:rsid w:val="00414855"/>
    <w:rsid w:val="004149F9"/>
    <w:rsid w:val="004150B6"/>
    <w:rsid w:val="004152E6"/>
    <w:rsid w:val="00415460"/>
    <w:rsid w:val="00415483"/>
    <w:rsid w:val="00416865"/>
    <w:rsid w:val="00416BB1"/>
    <w:rsid w:val="00416BB2"/>
    <w:rsid w:val="00416CE1"/>
    <w:rsid w:val="004170E4"/>
    <w:rsid w:val="00417166"/>
    <w:rsid w:val="004208C5"/>
    <w:rsid w:val="00420952"/>
    <w:rsid w:val="00420B2F"/>
    <w:rsid w:val="00420BC4"/>
    <w:rsid w:val="004214D7"/>
    <w:rsid w:val="004217F6"/>
    <w:rsid w:val="00421842"/>
    <w:rsid w:val="004220EE"/>
    <w:rsid w:val="0042222D"/>
    <w:rsid w:val="00422E80"/>
    <w:rsid w:val="00423B96"/>
    <w:rsid w:val="0042446A"/>
    <w:rsid w:val="0042518E"/>
    <w:rsid w:val="00425226"/>
    <w:rsid w:val="0042569E"/>
    <w:rsid w:val="00426B65"/>
    <w:rsid w:val="0042785B"/>
    <w:rsid w:val="00427D41"/>
    <w:rsid w:val="00430714"/>
    <w:rsid w:val="004308C9"/>
    <w:rsid w:val="004309F3"/>
    <w:rsid w:val="00430B4B"/>
    <w:rsid w:val="00430DD7"/>
    <w:rsid w:val="00430E70"/>
    <w:rsid w:val="00431599"/>
    <w:rsid w:val="00431789"/>
    <w:rsid w:val="0043195B"/>
    <w:rsid w:val="00432248"/>
    <w:rsid w:val="004322F3"/>
    <w:rsid w:val="00432461"/>
    <w:rsid w:val="004326A8"/>
    <w:rsid w:val="00432A36"/>
    <w:rsid w:val="00433069"/>
    <w:rsid w:val="00433507"/>
    <w:rsid w:val="004335AF"/>
    <w:rsid w:val="004337A1"/>
    <w:rsid w:val="00433A19"/>
    <w:rsid w:val="00434073"/>
    <w:rsid w:val="004342FA"/>
    <w:rsid w:val="00434949"/>
    <w:rsid w:val="00434BBF"/>
    <w:rsid w:val="00434F8C"/>
    <w:rsid w:val="00435134"/>
    <w:rsid w:val="0043529A"/>
    <w:rsid w:val="00435847"/>
    <w:rsid w:val="00435CF2"/>
    <w:rsid w:val="00435FFB"/>
    <w:rsid w:val="004360C6"/>
    <w:rsid w:val="00436356"/>
    <w:rsid w:val="00436ABC"/>
    <w:rsid w:val="00436C73"/>
    <w:rsid w:val="00436DAF"/>
    <w:rsid w:val="004375E4"/>
    <w:rsid w:val="004378CE"/>
    <w:rsid w:val="00437F57"/>
    <w:rsid w:val="004405B3"/>
    <w:rsid w:val="00441B78"/>
    <w:rsid w:val="00441B9E"/>
    <w:rsid w:val="00441C68"/>
    <w:rsid w:val="00442A6D"/>
    <w:rsid w:val="00442C52"/>
    <w:rsid w:val="00442CCD"/>
    <w:rsid w:val="00442E47"/>
    <w:rsid w:val="004439C6"/>
    <w:rsid w:val="00444034"/>
    <w:rsid w:val="00444B19"/>
    <w:rsid w:val="00445089"/>
    <w:rsid w:val="004459FD"/>
    <w:rsid w:val="00445FAC"/>
    <w:rsid w:val="0044617E"/>
    <w:rsid w:val="00446242"/>
    <w:rsid w:val="00446A67"/>
    <w:rsid w:val="00446BF2"/>
    <w:rsid w:val="00446EA6"/>
    <w:rsid w:val="004470E5"/>
    <w:rsid w:val="0044738E"/>
    <w:rsid w:val="0044740F"/>
    <w:rsid w:val="00447B6B"/>
    <w:rsid w:val="004507A9"/>
    <w:rsid w:val="00450B3B"/>
    <w:rsid w:val="00451022"/>
    <w:rsid w:val="0045188F"/>
    <w:rsid w:val="00451ABA"/>
    <w:rsid w:val="00451EFC"/>
    <w:rsid w:val="00451F3E"/>
    <w:rsid w:val="004522C1"/>
    <w:rsid w:val="0045256A"/>
    <w:rsid w:val="0045283E"/>
    <w:rsid w:val="00452872"/>
    <w:rsid w:val="004529D8"/>
    <w:rsid w:val="00452ED9"/>
    <w:rsid w:val="0045338E"/>
    <w:rsid w:val="00453600"/>
    <w:rsid w:val="0045374A"/>
    <w:rsid w:val="0045382E"/>
    <w:rsid w:val="0045468F"/>
    <w:rsid w:val="00454C5C"/>
    <w:rsid w:val="00454EB9"/>
    <w:rsid w:val="00455734"/>
    <w:rsid w:val="00455D0D"/>
    <w:rsid w:val="00455DFC"/>
    <w:rsid w:val="00456289"/>
    <w:rsid w:val="00456791"/>
    <w:rsid w:val="00456DED"/>
    <w:rsid w:val="00457051"/>
    <w:rsid w:val="0045711B"/>
    <w:rsid w:val="0045730E"/>
    <w:rsid w:val="00457581"/>
    <w:rsid w:val="00457774"/>
    <w:rsid w:val="004600FF"/>
    <w:rsid w:val="0046036C"/>
    <w:rsid w:val="0046065D"/>
    <w:rsid w:val="00462520"/>
    <w:rsid w:val="00462C35"/>
    <w:rsid w:val="00462CFC"/>
    <w:rsid w:val="004634EE"/>
    <w:rsid w:val="004635D2"/>
    <w:rsid w:val="004636A4"/>
    <w:rsid w:val="00463C67"/>
    <w:rsid w:val="00464291"/>
    <w:rsid w:val="004647E7"/>
    <w:rsid w:val="00464917"/>
    <w:rsid w:val="00464BD9"/>
    <w:rsid w:val="00464C0F"/>
    <w:rsid w:val="00465BFC"/>
    <w:rsid w:val="00465F5D"/>
    <w:rsid w:val="004661E0"/>
    <w:rsid w:val="004663C1"/>
    <w:rsid w:val="0046771B"/>
    <w:rsid w:val="00467799"/>
    <w:rsid w:val="00467C2D"/>
    <w:rsid w:val="00470823"/>
    <w:rsid w:val="004709AC"/>
    <w:rsid w:val="00470B07"/>
    <w:rsid w:val="00471262"/>
    <w:rsid w:val="00471425"/>
    <w:rsid w:val="00471A32"/>
    <w:rsid w:val="00471AC2"/>
    <w:rsid w:val="00471CE8"/>
    <w:rsid w:val="00471F17"/>
    <w:rsid w:val="00472283"/>
    <w:rsid w:val="00472342"/>
    <w:rsid w:val="004724DE"/>
    <w:rsid w:val="00473182"/>
    <w:rsid w:val="0047373F"/>
    <w:rsid w:val="00473CA5"/>
    <w:rsid w:val="00474376"/>
    <w:rsid w:val="004747F0"/>
    <w:rsid w:val="00475D26"/>
    <w:rsid w:val="00475F3C"/>
    <w:rsid w:val="00476668"/>
    <w:rsid w:val="004768C4"/>
    <w:rsid w:val="0047771E"/>
    <w:rsid w:val="00477723"/>
    <w:rsid w:val="00477A9D"/>
    <w:rsid w:val="00477D56"/>
    <w:rsid w:val="00477D9A"/>
    <w:rsid w:val="00477DE4"/>
    <w:rsid w:val="00477EE5"/>
    <w:rsid w:val="00480277"/>
    <w:rsid w:val="0048042C"/>
    <w:rsid w:val="00480EDD"/>
    <w:rsid w:val="00481662"/>
    <w:rsid w:val="00481CE5"/>
    <w:rsid w:val="00482813"/>
    <w:rsid w:val="00482FDC"/>
    <w:rsid w:val="00483795"/>
    <w:rsid w:val="004838A5"/>
    <w:rsid w:val="00483C56"/>
    <w:rsid w:val="004840C2"/>
    <w:rsid w:val="004848D1"/>
    <w:rsid w:val="00484CD7"/>
    <w:rsid w:val="00485173"/>
    <w:rsid w:val="00485CDB"/>
    <w:rsid w:val="00486243"/>
    <w:rsid w:val="004863A3"/>
    <w:rsid w:val="00486ACC"/>
    <w:rsid w:val="00486D4E"/>
    <w:rsid w:val="004870D9"/>
    <w:rsid w:val="0048715F"/>
    <w:rsid w:val="00487174"/>
    <w:rsid w:val="004873F9"/>
    <w:rsid w:val="0048747D"/>
    <w:rsid w:val="0048758D"/>
    <w:rsid w:val="00487B7D"/>
    <w:rsid w:val="004909E6"/>
    <w:rsid w:val="00490C85"/>
    <w:rsid w:val="004920D8"/>
    <w:rsid w:val="00492C8E"/>
    <w:rsid w:val="00492FC4"/>
    <w:rsid w:val="00493620"/>
    <w:rsid w:val="00493817"/>
    <w:rsid w:val="004938FA"/>
    <w:rsid w:val="00493914"/>
    <w:rsid w:val="00493B40"/>
    <w:rsid w:val="00493BDB"/>
    <w:rsid w:val="00493C40"/>
    <w:rsid w:val="00493C79"/>
    <w:rsid w:val="00493EA2"/>
    <w:rsid w:val="00493F24"/>
    <w:rsid w:val="004949D0"/>
    <w:rsid w:val="004955CD"/>
    <w:rsid w:val="00496DAA"/>
    <w:rsid w:val="0049745E"/>
    <w:rsid w:val="00497677"/>
    <w:rsid w:val="0049771B"/>
    <w:rsid w:val="004A05C0"/>
    <w:rsid w:val="004A06A7"/>
    <w:rsid w:val="004A0816"/>
    <w:rsid w:val="004A0B94"/>
    <w:rsid w:val="004A1954"/>
    <w:rsid w:val="004A1DBD"/>
    <w:rsid w:val="004A218A"/>
    <w:rsid w:val="004A2663"/>
    <w:rsid w:val="004A2A1F"/>
    <w:rsid w:val="004A34D5"/>
    <w:rsid w:val="004A3780"/>
    <w:rsid w:val="004A43F1"/>
    <w:rsid w:val="004A45DC"/>
    <w:rsid w:val="004A4D14"/>
    <w:rsid w:val="004A4E22"/>
    <w:rsid w:val="004A5379"/>
    <w:rsid w:val="004A5492"/>
    <w:rsid w:val="004A55B1"/>
    <w:rsid w:val="004A6496"/>
    <w:rsid w:val="004A6520"/>
    <w:rsid w:val="004A708D"/>
    <w:rsid w:val="004A75C8"/>
    <w:rsid w:val="004A7831"/>
    <w:rsid w:val="004A786F"/>
    <w:rsid w:val="004A7E33"/>
    <w:rsid w:val="004B0066"/>
    <w:rsid w:val="004B0144"/>
    <w:rsid w:val="004B048A"/>
    <w:rsid w:val="004B09A2"/>
    <w:rsid w:val="004B0BB9"/>
    <w:rsid w:val="004B1B62"/>
    <w:rsid w:val="004B2DAF"/>
    <w:rsid w:val="004B2E8A"/>
    <w:rsid w:val="004B2FAD"/>
    <w:rsid w:val="004B2FCC"/>
    <w:rsid w:val="004B312E"/>
    <w:rsid w:val="004B326F"/>
    <w:rsid w:val="004B3A7B"/>
    <w:rsid w:val="004B3BCD"/>
    <w:rsid w:val="004B430B"/>
    <w:rsid w:val="004B4584"/>
    <w:rsid w:val="004B47C0"/>
    <w:rsid w:val="004B4844"/>
    <w:rsid w:val="004B4CDA"/>
    <w:rsid w:val="004B4E21"/>
    <w:rsid w:val="004B577B"/>
    <w:rsid w:val="004B5F0B"/>
    <w:rsid w:val="004B624D"/>
    <w:rsid w:val="004B6516"/>
    <w:rsid w:val="004B66E5"/>
    <w:rsid w:val="004B7766"/>
    <w:rsid w:val="004C141A"/>
    <w:rsid w:val="004C167C"/>
    <w:rsid w:val="004C1A97"/>
    <w:rsid w:val="004C1F16"/>
    <w:rsid w:val="004C1F63"/>
    <w:rsid w:val="004C2511"/>
    <w:rsid w:val="004C26CB"/>
    <w:rsid w:val="004C28B3"/>
    <w:rsid w:val="004C2A6E"/>
    <w:rsid w:val="004C2E92"/>
    <w:rsid w:val="004C37BF"/>
    <w:rsid w:val="004C39DE"/>
    <w:rsid w:val="004C3D02"/>
    <w:rsid w:val="004C3D0F"/>
    <w:rsid w:val="004C3F3D"/>
    <w:rsid w:val="004C40E8"/>
    <w:rsid w:val="004C41B2"/>
    <w:rsid w:val="004C4277"/>
    <w:rsid w:val="004C4F45"/>
    <w:rsid w:val="004C538A"/>
    <w:rsid w:val="004C5ADF"/>
    <w:rsid w:val="004C5C52"/>
    <w:rsid w:val="004C5D71"/>
    <w:rsid w:val="004C5FAE"/>
    <w:rsid w:val="004C67A2"/>
    <w:rsid w:val="004C6AD8"/>
    <w:rsid w:val="004C6E24"/>
    <w:rsid w:val="004C729E"/>
    <w:rsid w:val="004C7401"/>
    <w:rsid w:val="004C749A"/>
    <w:rsid w:val="004C79D4"/>
    <w:rsid w:val="004D03FC"/>
    <w:rsid w:val="004D082C"/>
    <w:rsid w:val="004D08A1"/>
    <w:rsid w:val="004D08F5"/>
    <w:rsid w:val="004D1124"/>
    <w:rsid w:val="004D145A"/>
    <w:rsid w:val="004D1CEA"/>
    <w:rsid w:val="004D1D35"/>
    <w:rsid w:val="004D2A67"/>
    <w:rsid w:val="004D31A8"/>
    <w:rsid w:val="004D3596"/>
    <w:rsid w:val="004D35E2"/>
    <w:rsid w:val="004D39EB"/>
    <w:rsid w:val="004D438D"/>
    <w:rsid w:val="004D43F8"/>
    <w:rsid w:val="004D51F9"/>
    <w:rsid w:val="004D589A"/>
    <w:rsid w:val="004D5A16"/>
    <w:rsid w:val="004D5B07"/>
    <w:rsid w:val="004D5DBC"/>
    <w:rsid w:val="004D5E02"/>
    <w:rsid w:val="004D5EB9"/>
    <w:rsid w:val="004D652F"/>
    <w:rsid w:val="004D667C"/>
    <w:rsid w:val="004D6912"/>
    <w:rsid w:val="004D75A9"/>
    <w:rsid w:val="004D76F7"/>
    <w:rsid w:val="004D78EC"/>
    <w:rsid w:val="004E057E"/>
    <w:rsid w:val="004E0938"/>
    <w:rsid w:val="004E0A5B"/>
    <w:rsid w:val="004E0DBF"/>
    <w:rsid w:val="004E1C65"/>
    <w:rsid w:val="004E2C4D"/>
    <w:rsid w:val="004E3777"/>
    <w:rsid w:val="004E3FBE"/>
    <w:rsid w:val="004E488E"/>
    <w:rsid w:val="004E4B39"/>
    <w:rsid w:val="004E4C69"/>
    <w:rsid w:val="004E5323"/>
    <w:rsid w:val="004E58C3"/>
    <w:rsid w:val="004E7CA3"/>
    <w:rsid w:val="004F150B"/>
    <w:rsid w:val="004F1E65"/>
    <w:rsid w:val="004F2383"/>
    <w:rsid w:val="004F2DA7"/>
    <w:rsid w:val="004F42B5"/>
    <w:rsid w:val="004F47A7"/>
    <w:rsid w:val="004F5457"/>
    <w:rsid w:val="004F5854"/>
    <w:rsid w:val="004F59CD"/>
    <w:rsid w:val="004F620B"/>
    <w:rsid w:val="004F7872"/>
    <w:rsid w:val="004F7A65"/>
    <w:rsid w:val="004F7BF7"/>
    <w:rsid w:val="00500529"/>
    <w:rsid w:val="005006ED"/>
    <w:rsid w:val="00500B53"/>
    <w:rsid w:val="00500BF2"/>
    <w:rsid w:val="00500C40"/>
    <w:rsid w:val="00501313"/>
    <w:rsid w:val="0050146B"/>
    <w:rsid w:val="0050156C"/>
    <w:rsid w:val="00501DE0"/>
    <w:rsid w:val="0050218E"/>
    <w:rsid w:val="0050244F"/>
    <w:rsid w:val="005031A4"/>
    <w:rsid w:val="0050332F"/>
    <w:rsid w:val="00503383"/>
    <w:rsid w:val="00503A6A"/>
    <w:rsid w:val="00503ACC"/>
    <w:rsid w:val="005049DE"/>
    <w:rsid w:val="005053D6"/>
    <w:rsid w:val="00505654"/>
    <w:rsid w:val="005056EB"/>
    <w:rsid w:val="00505AD3"/>
    <w:rsid w:val="00505BA0"/>
    <w:rsid w:val="00505E50"/>
    <w:rsid w:val="0050636B"/>
    <w:rsid w:val="00506DB5"/>
    <w:rsid w:val="00507E9B"/>
    <w:rsid w:val="005105B3"/>
    <w:rsid w:val="005114E8"/>
    <w:rsid w:val="00511B92"/>
    <w:rsid w:val="005121BB"/>
    <w:rsid w:val="005121D5"/>
    <w:rsid w:val="00512215"/>
    <w:rsid w:val="005125C4"/>
    <w:rsid w:val="005127F1"/>
    <w:rsid w:val="005129AA"/>
    <w:rsid w:val="00512C54"/>
    <w:rsid w:val="00512C5C"/>
    <w:rsid w:val="00513922"/>
    <w:rsid w:val="00513E3F"/>
    <w:rsid w:val="0051416C"/>
    <w:rsid w:val="005143F4"/>
    <w:rsid w:val="00514441"/>
    <w:rsid w:val="00515A35"/>
    <w:rsid w:val="00515F69"/>
    <w:rsid w:val="005161D2"/>
    <w:rsid w:val="0051694A"/>
    <w:rsid w:val="005175D0"/>
    <w:rsid w:val="00517991"/>
    <w:rsid w:val="00517C18"/>
    <w:rsid w:val="00517E17"/>
    <w:rsid w:val="00517FEB"/>
    <w:rsid w:val="005201D8"/>
    <w:rsid w:val="0052066F"/>
    <w:rsid w:val="00520786"/>
    <w:rsid w:val="00520879"/>
    <w:rsid w:val="00520BBC"/>
    <w:rsid w:val="0052126A"/>
    <w:rsid w:val="005214CD"/>
    <w:rsid w:val="0052172B"/>
    <w:rsid w:val="005225EF"/>
    <w:rsid w:val="005229E8"/>
    <w:rsid w:val="00523347"/>
    <w:rsid w:val="005233D3"/>
    <w:rsid w:val="00524EF6"/>
    <w:rsid w:val="00525123"/>
    <w:rsid w:val="0052512B"/>
    <w:rsid w:val="00525210"/>
    <w:rsid w:val="005252F2"/>
    <w:rsid w:val="00525A48"/>
    <w:rsid w:val="00526154"/>
    <w:rsid w:val="00526469"/>
    <w:rsid w:val="005265A2"/>
    <w:rsid w:val="00526D6D"/>
    <w:rsid w:val="00526F51"/>
    <w:rsid w:val="00527416"/>
    <w:rsid w:val="005274E8"/>
    <w:rsid w:val="00530F5B"/>
    <w:rsid w:val="00531519"/>
    <w:rsid w:val="00531A94"/>
    <w:rsid w:val="005321F4"/>
    <w:rsid w:val="00532286"/>
    <w:rsid w:val="00532400"/>
    <w:rsid w:val="0053267F"/>
    <w:rsid w:val="0053278F"/>
    <w:rsid w:val="0053279A"/>
    <w:rsid w:val="0053283F"/>
    <w:rsid w:val="005330F1"/>
    <w:rsid w:val="005332F5"/>
    <w:rsid w:val="00533B4F"/>
    <w:rsid w:val="005340CC"/>
    <w:rsid w:val="00534A1D"/>
    <w:rsid w:val="00534B3C"/>
    <w:rsid w:val="0053590C"/>
    <w:rsid w:val="00535A98"/>
    <w:rsid w:val="00535FB8"/>
    <w:rsid w:val="00535FC1"/>
    <w:rsid w:val="00536217"/>
    <w:rsid w:val="00536270"/>
    <w:rsid w:val="00536591"/>
    <w:rsid w:val="00536BC9"/>
    <w:rsid w:val="00536E74"/>
    <w:rsid w:val="00537FE1"/>
    <w:rsid w:val="00540023"/>
    <w:rsid w:val="00540231"/>
    <w:rsid w:val="0054061D"/>
    <w:rsid w:val="005406D3"/>
    <w:rsid w:val="00540BEE"/>
    <w:rsid w:val="005417B5"/>
    <w:rsid w:val="005421C0"/>
    <w:rsid w:val="005423A0"/>
    <w:rsid w:val="005429B4"/>
    <w:rsid w:val="00542BE8"/>
    <w:rsid w:val="0054320C"/>
    <w:rsid w:val="00543790"/>
    <w:rsid w:val="00543840"/>
    <w:rsid w:val="00543CBE"/>
    <w:rsid w:val="00543E4D"/>
    <w:rsid w:val="0054447E"/>
    <w:rsid w:val="005448CA"/>
    <w:rsid w:val="00544D3A"/>
    <w:rsid w:val="00544F99"/>
    <w:rsid w:val="005455AB"/>
    <w:rsid w:val="00545FB5"/>
    <w:rsid w:val="00550538"/>
    <w:rsid w:val="00550883"/>
    <w:rsid w:val="005509CD"/>
    <w:rsid w:val="00550CA4"/>
    <w:rsid w:val="005518D7"/>
    <w:rsid w:val="00551958"/>
    <w:rsid w:val="00551B3E"/>
    <w:rsid w:val="00552853"/>
    <w:rsid w:val="00552997"/>
    <w:rsid w:val="00552B80"/>
    <w:rsid w:val="00552FBD"/>
    <w:rsid w:val="005538F4"/>
    <w:rsid w:val="00553CD1"/>
    <w:rsid w:val="0055414F"/>
    <w:rsid w:val="00554581"/>
    <w:rsid w:val="0055469E"/>
    <w:rsid w:val="00554BF4"/>
    <w:rsid w:val="00554D15"/>
    <w:rsid w:val="00555069"/>
    <w:rsid w:val="00555E58"/>
    <w:rsid w:val="00557520"/>
    <w:rsid w:val="00557675"/>
    <w:rsid w:val="005577EA"/>
    <w:rsid w:val="005579ED"/>
    <w:rsid w:val="005579F7"/>
    <w:rsid w:val="00557A2A"/>
    <w:rsid w:val="00557DCF"/>
    <w:rsid w:val="005600D4"/>
    <w:rsid w:val="005605A1"/>
    <w:rsid w:val="00560E96"/>
    <w:rsid w:val="00561146"/>
    <w:rsid w:val="0056119D"/>
    <w:rsid w:val="00561AFF"/>
    <w:rsid w:val="00562158"/>
    <w:rsid w:val="005621B2"/>
    <w:rsid w:val="005623C6"/>
    <w:rsid w:val="005625AC"/>
    <w:rsid w:val="005626BA"/>
    <w:rsid w:val="00562757"/>
    <w:rsid w:val="00562DC0"/>
    <w:rsid w:val="00562E63"/>
    <w:rsid w:val="00563242"/>
    <w:rsid w:val="0056347B"/>
    <w:rsid w:val="00563ADB"/>
    <w:rsid w:val="00563FE9"/>
    <w:rsid w:val="00564091"/>
    <w:rsid w:val="00564E19"/>
    <w:rsid w:val="00565071"/>
    <w:rsid w:val="0056544B"/>
    <w:rsid w:val="00565AA7"/>
    <w:rsid w:val="00567271"/>
    <w:rsid w:val="00567737"/>
    <w:rsid w:val="00567D40"/>
    <w:rsid w:val="005703A8"/>
    <w:rsid w:val="00570E0C"/>
    <w:rsid w:val="00572FA5"/>
    <w:rsid w:val="00573475"/>
    <w:rsid w:val="00573964"/>
    <w:rsid w:val="00573D27"/>
    <w:rsid w:val="00574ED6"/>
    <w:rsid w:val="00575107"/>
    <w:rsid w:val="0057514C"/>
    <w:rsid w:val="00575601"/>
    <w:rsid w:val="005758C1"/>
    <w:rsid w:val="00576211"/>
    <w:rsid w:val="00576517"/>
    <w:rsid w:val="00576A39"/>
    <w:rsid w:val="00576B7E"/>
    <w:rsid w:val="0057765A"/>
    <w:rsid w:val="0057789B"/>
    <w:rsid w:val="00577B05"/>
    <w:rsid w:val="005805A0"/>
    <w:rsid w:val="00580B9F"/>
    <w:rsid w:val="00580E63"/>
    <w:rsid w:val="00581B18"/>
    <w:rsid w:val="005823D7"/>
    <w:rsid w:val="0058331B"/>
    <w:rsid w:val="00583807"/>
    <w:rsid w:val="00584909"/>
    <w:rsid w:val="00584BB2"/>
    <w:rsid w:val="00584E79"/>
    <w:rsid w:val="00584E8A"/>
    <w:rsid w:val="00584FED"/>
    <w:rsid w:val="0058529B"/>
    <w:rsid w:val="005852FF"/>
    <w:rsid w:val="00585BCF"/>
    <w:rsid w:val="005862CC"/>
    <w:rsid w:val="0058710F"/>
    <w:rsid w:val="00587596"/>
    <w:rsid w:val="00587729"/>
    <w:rsid w:val="00587A99"/>
    <w:rsid w:val="005907F9"/>
    <w:rsid w:val="00591099"/>
    <w:rsid w:val="005911AA"/>
    <w:rsid w:val="00591248"/>
    <w:rsid w:val="00591839"/>
    <w:rsid w:val="00592108"/>
    <w:rsid w:val="005922B2"/>
    <w:rsid w:val="0059246D"/>
    <w:rsid w:val="00592CAB"/>
    <w:rsid w:val="00593228"/>
    <w:rsid w:val="00593F67"/>
    <w:rsid w:val="005941AF"/>
    <w:rsid w:val="0059443F"/>
    <w:rsid w:val="00595D02"/>
    <w:rsid w:val="00595F44"/>
    <w:rsid w:val="005961AE"/>
    <w:rsid w:val="0059626E"/>
    <w:rsid w:val="0059655A"/>
    <w:rsid w:val="00596732"/>
    <w:rsid w:val="00597C6D"/>
    <w:rsid w:val="00597E3D"/>
    <w:rsid w:val="005A08BE"/>
    <w:rsid w:val="005A0926"/>
    <w:rsid w:val="005A0CF6"/>
    <w:rsid w:val="005A0E88"/>
    <w:rsid w:val="005A12E2"/>
    <w:rsid w:val="005A13D1"/>
    <w:rsid w:val="005A1638"/>
    <w:rsid w:val="005A1ED5"/>
    <w:rsid w:val="005A2D70"/>
    <w:rsid w:val="005A30B3"/>
    <w:rsid w:val="005A39C2"/>
    <w:rsid w:val="005A41A3"/>
    <w:rsid w:val="005A42C0"/>
    <w:rsid w:val="005A4358"/>
    <w:rsid w:val="005A4418"/>
    <w:rsid w:val="005A46EA"/>
    <w:rsid w:val="005A47B5"/>
    <w:rsid w:val="005A491E"/>
    <w:rsid w:val="005A4D2D"/>
    <w:rsid w:val="005A57B5"/>
    <w:rsid w:val="005A5B0C"/>
    <w:rsid w:val="005A5B59"/>
    <w:rsid w:val="005A605B"/>
    <w:rsid w:val="005A6072"/>
    <w:rsid w:val="005A61C9"/>
    <w:rsid w:val="005A6233"/>
    <w:rsid w:val="005A6378"/>
    <w:rsid w:val="005A6C4D"/>
    <w:rsid w:val="005A6DEC"/>
    <w:rsid w:val="005A714C"/>
    <w:rsid w:val="005A74D5"/>
    <w:rsid w:val="005A78F5"/>
    <w:rsid w:val="005B01F2"/>
    <w:rsid w:val="005B0202"/>
    <w:rsid w:val="005B0CEC"/>
    <w:rsid w:val="005B1396"/>
    <w:rsid w:val="005B1E03"/>
    <w:rsid w:val="005B1E1C"/>
    <w:rsid w:val="005B1F31"/>
    <w:rsid w:val="005B21A2"/>
    <w:rsid w:val="005B23BE"/>
    <w:rsid w:val="005B2516"/>
    <w:rsid w:val="005B2A6C"/>
    <w:rsid w:val="005B2DE8"/>
    <w:rsid w:val="005B2F62"/>
    <w:rsid w:val="005B4281"/>
    <w:rsid w:val="005B48C4"/>
    <w:rsid w:val="005B4AF9"/>
    <w:rsid w:val="005B4C7C"/>
    <w:rsid w:val="005B4DDD"/>
    <w:rsid w:val="005B5216"/>
    <w:rsid w:val="005B55E9"/>
    <w:rsid w:val="005B5CF9"/>
    <w:rsid w:val="005B5F54"/>
    <w:rsid w:val="005B5FC5"/>
    <w:rsid w:val="005B7603"/>
    <w:rsid w:val="005B7640"/>
    <w:rsid w:val="005B7942"/>
    <w:rsid w:val="005C037C"/>
    <w:rsid w:val="005C0629"/>
    <w:rsid w:val="005C0DC5"/>
    <w:rsid w:val="005C1B07"/>
    <w:rsid w:val="005C1CA1"/>
    <w:rsid w:val="005C1FAF"/>
    <w:rsid w:val="005C2546"/>
    <w:rsid w:val="005C27AF"/>
    <w:rsid w:val="005C2CF3"/>
    <w:rsid w:val="005C34A6"/>
    <w:rsid w:val="005C370D"/>
    <w:rsid w:val="005C3BA2"/>
    <w:rsid w:val="005C40D7"/>
    <w:rsid w:val="005C4A52"/>
    <w:rsid w:val="005C5DB7"/>
    <w:rsid w:val="005C6554"/>
    <w:rsid w:val="005C67D9"/>
    <w:rsid w:val="005C69A8"/>
    <w:rsid w:val="005C6C0A"/>
    <w:rsid w:val="005C6EB8"/>
    <w:rsid w:val="005C78FA"/>
    <w:rsid w:val="005C7913"/>
    <w:rsid w:val="005C7928"/>
    <w:rsid w:val="005C7D85"/>
    <w:rsid w:val="005D0518"/>
    <w:rsid w:val="005D05B2"/>
    <w:rsid w:val="005D0CC5"/>
    <w:rsid w:val="005D14A8"/>
    <w:rsid w:val="005D14FC"/>
    <w:rsid w:val="005D1575"/>
    <w:rsid w:val="005D15E7"/>
    <w:rsid w:val="005D1778"/>
    <w:rsid w:val="005D18D2"/>
    <w:rsid w:val="005D2D5F"/>
    <w:rsid w:val="005D30EC"/>
    <w:rsid w:val="005D353A"/>
    <w:rsid w:val="005D3582"/>
    <w:rsid w:val="005D3D4A"/>
    <w:rsid w:val="005D4525"/>
    <w:rsid w:val="005D47EF"/>
    <w:rsid w:val="005D482A"/>
    <w:rsid w:val="005D4A8F"/>
    <w:rsid w:val="005D5374"/>
    <w:rsid w:val="005D596B"/>
    <w:rsid w:val="005D60FF"/>
    <w:rsid w:val="005D6A3D"/>
    <w:rsid w:val="005D73C6"/>
    <w:rsid w:val="005D7A07"/>
    <w:rsid w:val="005E0114"/>
    <w:rsid w:val="005E028C"/>
    <w:rsid w:val="005E0401"/>
    <w:rsid w:val="005E09BB"/>
    <w:rsid w:val="005E0DB4"/>
    <w:rsid w:val="005E1055"/>
    <w:rsid w:val="005E1CCB"/>
    <w:rsid w:val="005E2082"/>
    <w:rsid w:val="005E25B7"/>
    <w:rsid w:val="005E2BD1"/>
    <w:rsid w:val="005E2D84"/>
    <w:rsid w:val="005E3141"/>
    <w:rsid w:val="005E3360"/>
    <w:rsid w:val="005E367C"/>
    <w:rsid w:val="005E3B81"/>
    <w:rsid w:val="005E3C41"/>
    <w:rsid w:val="005E4135"/>
    <w:rsid w:val="005E4787"/>
    <w:rsid w:val="005E50C3"/>
    <w:rsid w:val="005E52E0"/>
    <w:rsid w:val="005E5945"/>
    <w:rsid w:val="005E5F38"/>
    <w:rsid w:val="005E6F70"/>
    <w:rsid w:val="005E7EF0"/>
    <w:rsid w:val="005F04EB"/>
    <w:rsid w:val="005F0D4C"/>
    <w:rsid w:val="005F1051"/>
    <w:rsid w:val="005F11AD"/>
    <w:rsid w:val="005F1366"/>
    <w:rsid w:val="005F1ABF"/>
    <w:rsid w:val="005F1C65"/>
    <w:rsid w:val="005F1F82"/>
    <w:rsid w:val="005F257C"/>
    <w:rsid w:val="005F28A1"/>
    <w:rsid w:val="005F3390"/>
    <w:rsid w:val="005F3551"/>
    <w:rsid w:val="005F37D2"/>
    <w:rsid w:val="005F3C08"/>
    <w:rsid w:val="005F3F9B"/>
    <w:rsid w:val="005F4E1B"/>
    <w:rsid w:val="005F5031"/>
    <w:rsid w:val="005F5398"/>
    <w:rsid w:val="005F5779"/>
    <w:rsid w:val="005F6FFE"/>
    <w:rsid w:val="005F7114"/>
    <w:rsid w:val="005F733C"/>
    <w:rsid w:val="005F777A"/>
    <w:rsid w:val="005F7A1F"/>
    <w:rsid w:val="00600010"/>
    <w:rsid w:val="00600E98"/>
    <w:rsid w:val="00600EC7"/>
    <w:rsid w:val="00600F6F"/>
    <w:rsid w:val="0060108D"/>
    <w:rsid w:val="00601D83"/>
    <w:rsid w:val="00601F83"/>
    <w:rsid w:val="0060272D"/>
    <w:rsid w:val="00602D4B"/>
    <w:rsid w:val="00603110"/>
    <w:rsid w:val="0060382E"/>
    <w:rsid w:val="00604966"/>
    <w:rsid w:val="006049C5"/>
    <w:rsid w:val="00605063"/>
    <w:rsid w:val="006054D5"/>
    <w:rsid w:val="00605A07"/>
    <w:rsid w:val="00605D8F"/>
    <w:rsid w:val="00605DED"/>
    <w:rsid w:val="00606195"/>
    <w:rsid w:val="006067A0"/>
    <w:rsid w:val="00606CAC"/>
    <w:rsid w:val="00607554"/>
    <w:rsid w:val="00607C36"/>
    <w:rsid w:val="00607DB3"/>
    <w:rsid w:val="00610734"/>
    <w:rsid w:val="00610A49"/>
    <w:rsid w:val="006112BA"/>
    <w:rsid w:val="006114D8"/>
    <w:rsid w:val="00611FB4"/>
    <w:rsid w:val="006123EE"/>
    <w:rsid w:val="006129FE"/>
    <w:rsid w:val="0061398D"/>
    <w:rsid w:val="00613C23"/>
    <w:rsid w:val="0061418D"/>
    <w:rsid w:val="006143BF"/>
    <w:rsid w:val="00615423"/>
    <w:rsid w:val="006154EE"/>
    <w:rsid w:val="006158BA"/>
    <w:rsid w:val="00616063"/>
    <w:rsid w:val="006161D8"/>
    <w:rsid w:val="00616EA7"/>
    <w:rsid w:val="00617175"/>
    <w:rsid w:val="0061739E"/>
    <w:rsid w:val="006173CF"/>
    <w:rsid w:val="0061783C"/>
    <w:rsid w:val="0061798F"/>
    <w:rsid w:val="006209DD"/>
    <w:rsid w:val="0062143F"/>
    <w:rsid w:val="00621571"/>
    <w:rsid w:val="006215E4"/>
    <w:rsid w:val="0062197E"/>
    <w:rsid w:val="00622DAE"/>
    <w:rsid w:val="0062393C"/>
    <w:rsid w:val="006248EB"/>
    <w:rsid w:val="00624B88"/>
    <w:rsid w:val="00625036"/>
    <w:rsid w:val="00625C7F"/>
    <w:rsid w:val="00626D66"/>
    <w:rsid w:val="0062710F"/>
    <w:rsid w:val="006274BB"/>
    <w:rsid w:val="00627835"/>
    <w:rsid w:val="006301EB"/>
    <w:rsid w:val="00630226"/>
    <w:rsid w:val="00630891"/>
    <w:rsid w:val="00630D10"/>
    <w:rsid w:val="00631224"/>
    <w:rsid w:val="006313C5"/>
    <w:rsid w:val="00631CA4"/>
    <w:rsid w:val="0063290C"/>
    <w:rsid w:val="00632C7F"/>
    <w:rsid w:val="006332AB"/>
    <w:rsid w:val="00633F53"/>
    <w:rsid w:val="00633FC9"/>
    <w:rsid w:val="00634133"/>
    <w:rsid w:val="006341F3"/>
    <w:rsid w:val="0063425C"/>
    <w:rsid w:val="0063480D"/>
    <w:rsid w:val="00634CD6"/>
    <w:rsid w:val="00634F16"/>
    <w:rsid w:val="00634FED"/>
    <w:rsid w:val="006350FB"/>
    <w:rsid w:val="00635D6D"/>
    <w:rsid w:val="00636142"/>
    <w:rsid w:val="006362D6"/>
    <w:rsid w:val="0063696C"/>
    <w:rsid w:val="00636AAC"/>
    <w:rsid w:val="00637B98"/>
    <w:rsid w:val="00637EB7"/>
    <w:rsid w:val="006403CA"/>
    <w:rsid w:val="00640D08"/>
    <w:rsid w:val="00641018"/>
    <w:rsid w:val="00641F38"/>
    <w:rsid w:val="00642313"/>
    <w:rsid w:val="00642314"/>
    <w:rsid w:val="00642A8F"/>
    <w:rsid w:val="00642F8C"/>
    <w:rsid w:val="00643BA9"/>
    <w:rsid w:val="006446EB"/>
    <w:rsid w:val="00645006"/>
    <w:rsid w:val="00645273"/>
    <w:rsid w:val="0064563F"/>
    <w:rsid w:val="006458F4"/>
    <w:rsid w:val="00645CBB"/>
    <w:rsid w:val="006464FE"/>
    <w:rsid w:val="006467E9"/>
    <w:rsid w:val="00646B7F"/>
    <w:rsid w:val="00646EA4"/>
    <w:rsid w:val="00647033"/>
    <w:rsid w:val="0064745B"/>
    <w:rsid w:val="00647472"/>
    <w:rsid w:val="006474A4"/>
    <w:rsid w:val="00647503"/>
    <w:rsid w:val="006477D5"/>
    <w:rsid w:val="00650604"/>
    <w:rsid w:val="006506B7"/>
    <w:rsid w:val="006509A1"/>
    <w:rsid w:val="00651135"/>
    <w:rsid w:val="00651E35"/>
    <w:rsid w:val="0065242B"/>
    <w:rsid w:val="00652638"/>
    <w:rsid w:val="006526C1"/>
    <w:rsid w:val="00652911"/>
    <w:rsid w:val="006529BD"/>
    <w:rsid w:val="00653347"/>
    <w:rsid w:val="00653355"/>
    <w:rsid w:val="0065400D"/>
    <w:rsid w:val="0065448E"/>
    <w:rsid w:val="00655954"/>
    <w:rsid w:val="00655D64"/>
    <w:rsid w:val="00656791"/>
    <w:rsid w:val="00656A3C"/>
    <w:rsid w:val="0065707C"/>
    <w:rsid w:val="006573A6"/>
    <w:rsid w:val="00657623"/>
    <w:rsid w:val="00657E57"/>
    <w:rsid w:val="00660C81"/>
    <w:rsid w:val="00660EDC"/>
    <w:rsid w:val="006617A4"/>
    <w:rsid w:val="00661A1B"/>
    <w:rsid w:val="00661D48"/>
    <w:rsid w:val="006624AA"/>
    <w:rsid w:val="0066274A"/>
    <w:rsid w:val="00662CD2"/>
    <w:rsid w:val="00662DD8"/>
    <w:rsid w:val="0066382F"/>
    <w:rsid w:val="00663AA9"/>
    <w:rsid w:val="006643E9"/>
    <w:rsid w:val="00664A93"/>
    <w:rsid w:val="00664E39"/>
    <w:rsid w:val="00664FE3"/>
    <w:rsid w:val="00665362"/>
    <w:rsid w:val="00665441"/>
    <w:rsid w:val="0066549D"/>
    <w:rsid w:val="00665BAB"/>
    <w:rsid w:val="0066643F"/>
    <w:rsid w:val="00666459"/>
    <w:rsid w:val="0066658F"/>
    <w:rsid w:val="00666BD2"/>
    <w:rsid w:val="00667A97"/>
    <w:rsid w:val="00667DA0"/>
    <w:rsid w:val="00667FE8"/>
    <w:rsid w:val="0067028C"/>
    <w:rsid w:val="00670980"/>
    <w:rsid w:val="00670BE5"/>
    <w:rsid w:val="0067116A"/>
    <w:rsid w:val="00671B2F"/>
    <w:rsid w:val="00671FF2"/>
    <w:rsid w:val="00672345"/>
    <w:rsid w:val="00672A0E"/>
    <w:rsid w:val="0067309E"/>
    <w:rsid w:val="00673B25"/>
    <w:rsid w:val="00673B88"/>
    <w:rsid w:val="006744A2"/>
    <w:rsid w:val="00674579"/>
    <w:rsid w:val="00674E4E"/>
    <w:rsid w:val="00675032"/>
    <w:rsid w:val="006750DA"/>
    <w:rsid w:val="0067579A"/>
    <w:rsid w:val="006757DB"/>
    <w:rsid w:val="0067596D"/>
    <w:rsid w:val="00675E1E"/>
    <w:rsid w:val="00676236"/>
    <w:rsid w:val="006764CC"/>
    <w:rsid w:val="00676B83"/>
    <w:rsid w:val="00676F53"/>
    <w:rsid w:val="00677531"/>
    <w:rsid w:val="00677BB5"/>
    <w:rsid w:val="00677F26"/>
    <w:rsid w:val="0068069C"/>
    <w:rsid w:val="00680A68"/>
    <w:rsid w:val="006811E0"/>
    <w:rsid w:val="00681256"/>
    <w:rsid w:val="006812F2"/>
    <w:rsid w:val="00681428"/>
    <w:rsid w:val="006815AB"/>
    <w:rsid w:val="0068161F"/>
    <w:rsid w:val="00681CE7"/>
    <w:rsid w:val="00681E15"/>
    <w:rsid w:val="00681F8C"/>
    <w:rsid w:val="00682A7E"/>
    <w:rsid w:val="00682C6D"/>
    <w:rsid w:val="00682EFB"/>
    <w:rsid w:val="00682F0C"/>
    <w:rsid w:val="0068309C"/>
    <w:rsid w:val="0068393B"/>
    <w:rsid w:val="006839B8"/>
    <w:rsid w:val="00683A2F"/>
    <w:rsid w:val="00683ABA"/>
    <w:rsid w:val="00683FF5"/>
    <w:rsid w:val="00684442"/>
    <w:rsid w:val="0068566A"/>
    <w:rsid w:val="00685868"/>
    <w:rsid w:val="00685BC7"/>
    <w:rsid w:val="00685C47"/>
    <w:rsid w:val="0068690C"/>
    <w:rsid w:val="00686B1E"/>
    <w:rsid w:val="00686D73"/>
    <w:rsid w:val="00686F6C"/>
    <w:rsid w:val="006873CB"/>
    <w:rsid w:val="006878D9"/>
    <w:rsid w:val="00687CB6"/>
    <w:rsid w:val="00687E94"/>
    <w:rsid w:val="00690580"/>
    <w:rsid w:val="006905D7"/>
    <w:rsid w:val="0069080A"/>
    <w:rsid w:val="00691219"/>
    <w:rsid w:val="0069121A"/>
    <w:rsid w:val="00691BE7"/>
    <w:rsid w:val="006924B1"/>
    <w:rsid w:val="00692EBE"/>
    <w:rsid w:val="0069323F"/>
    <w:rsid w:val="00693727"/>
    <w:rsid w:val="00693AF4"/>
    <w:rsid w:val="00693B4A"/>
    <w:rsid w:val="00694612"/>
    <w:rsid w:val="006947B7"/>
    <w:rsid w:val="00694CEB"/>
    <w:rsid w:val="006955E9"/>
    <w:rsid w:val="00695C09"/>
    <w:rsid w:val="006A0106"/>
    <w:rsid w:val="006A0550"/>
    <w:rsid w:val="006A058C"/>
    <w:rsid w:val="006A0974"/>
    <w:rsid w:val="006A0B82"/>
    <w:rsid w:val="006A0EA4"/>
    <w:rsid w:val="006A15A1"/>
    <w:rsid w:val="006A29BE"/>
    <w:rsid w:val="006A2BCD"/>
    <w:rsid w:val="006A2EA3"/>
    <w:rsid w:val="006A4102"/>
    <w:rsid w:val="006A41E2"/>
    <w:rsid w:val="006A464C"/>
    <w:rsid w:val="006A4700"/>
    <w:rsid w:val="006A4ED2"/>
    <w:rsid w:val="006A5D48"/>
    <w:rsid w:val="006A623A"/>
    <w:rsid w:val="006A6E74"/>
    <w:rsid w:val="006A6F17"/>
    <w:rsid w:val="006A705B"/>
    <w:rsid w:val="006A73CD"/>
    <w:rsid w:val="006A780B"/>
    <w:rsid w:val="006A78FD"/>
    <w:rsid w:val="006A7DEE"/>
    <w:rsid w:val="006B0019"/>
    <w:rsid w:val="006B0151"/>
    <w:rsid w:val="006B0C54"/>
    <w:rsid w:val="006B1632"/>
    <w:rsid w:val="006B24B3"/>
    <w:rsid w:val="006B2529"/>
    <w:rsid w:val="006B2CA4"/>
    <w:rsid w:val="006B2D7F"/>
    <w:rsid w:val="006B323E"/>
    <w:rsid w:val="006B3B41"/>
    <w:rsid w:val="006B3B7E"/>
    <w:rsid w:val="006B54BB"/>
    <w:rsid w:val="006B61AC"/>
    <w:rsid w:val="006B654E"/>
    <w:rsid w:val="006B6994"/>
    <w:rsid w:val="006B6AF4"/>
    <w:rsid w:val="006B6CE8"/>
    <w:rsid w:val="006B6E3D"/>
    <w:rsid w:val="006B6F21"/>
    <w:rsid w:val="006B7130"/>
    <w:rsid w:val="006C0301"/>
    <w:rsid w:val="006C04D1"/>
    <w:rsid w:val="006C087D"/>
    <w:rsid w:val="006C0895"/>
    <w:rsid w:val="006C15E5"/>
    <w:rsid w:val="006C1BA5"/>
    <w:rsid w:val="006C1C16"/>
    <w:rsid w:val="006C1DFE"/>
    <w:rsid w:val="006C21CB"/>
    <w:rsid w:val="006C2296"/>
    <w:rsid w:val="006C2A53"/>
    <w:rsid w:val="006C2E9B"/>
    <w:rsid w:val="006C3018"/>
    <w:rsid w:val="006C31C4"/>
    <w:rsid w:val="006C340E"/>
    <w:rsid w:val="006C3866"/>
    <w:rsid w:val="006C3A4D"/>
    <w:rsid w:val="006C3E1B"/>
    <w:rsid w:val="006C3FF6"/>
    <w:rsid w:val="006C4258"/>
    <w:rsid w:val="006C48BC"/>
    <w:rsid w:val="006C4B3A"/>
    <w:rsid w:val="006C5199"/>
    <w:rsid w:val="006C53A3"/>
    <w:rsid w:val="006C576D"/>
    <w:rsid w:val="006C5BFF"/>
    <w:rsid w:val="006C5DAF"/>
    <w:rsid w:val="006C6DD4"/>
    <w:rsid w:val="006C7AD5"/>
    <w:rsid w:val="006C7F58"/>
    <w:rsid w:val="006D0787"/>
    <w:rsid w:val="006D098D"/>
    <w:rsid w:val="006D16EE"/>
    <w:rsid w:val="006D17E7"/>
    <w:rsid w:val="006D1AFD"/>
    <w:rsid w:val="006D1B9E"/>
    <w:rsid w:val="006D1F59"/>
    <w:rsid w:val="006D20E9"/>
    <w:rsid w:val="006D2E43"/>
    <w:rsid w:val="006D3169"/>
    <w:rsid w:val="006D3AA6"/>
    <w:rsid w:val="006D3F69"/>
    <w:rsid w:val="006D4464"/>
    <w:rsid w:val="006D44CC"/>
    <w:rsid w:val="006D4707"/>
    <w:rsid w:val="006D4A68"/>
    <w:rsid w:val="006D6848"/>
    <w:rsid w:val="006D71A3"/>
    <w:rsid w:val="006D7E28"/>
    <w:rsid w:val="006E01C4"/>
    <w:rsid w:val="006E05E8"/>
    <w:rsid w:val="006E0748"/>
    <w:rsid w:val="006E090C"/>
    <w:rsid w:val="006E0927"/>
    <w:rsid w:val="006E11FD"/>
    <w:rsid w:val="006E171B"/>
    <w:rsid w:val="006E1DF1"/>
    <w:rsid w:val="006E23A4"/>
    <w:rsid w:val="006E26F2"/>
    <w:rsid w:val="006E2732"/>
    <w:rsid w:val="006E2CA8"/>
    <w:rsid w:val="006E333C"/>
    <w:rsid w:val="006E37C1"/>
    <w:rsid w:val="006E40BB"/>
    <w:rsid w:val="006E40D4"/>
    <w:rsid w:val="006E4730"/>
    <w:rsid w:val="006E4EBC"/>
    <w:rsid w:val="006E54E0"/>
    <w:rsid w:val="006E66CC"/>
    <w:rsid w:val="006E6766"/>
    <w:rsid w:val="006E6862"/>
    <w:rsid w:val="006E70E6"/>
    <w:rsid w:val="006E7EAD"/>
    <w:rsid w:val="006F0316"/>
    <w:rsid w:val="006F0E57"/>
    <w:rsid w:val="006F0F2E"/>
    <w:rsid w:val="006F1A24"/>
    <w:rsid w:val="006F1A42"/>
    <w:rsid w:val="006F1FC8"/>
    <w:rsid w:val="006F269C"/>
    <w:rsid w:val="006F2C9C"/>
    <w:rsid w:val="006F2CF5"/>
    <w:rsid w:val="006F3571"/>
    <w:rsid w:val="006F35C0"/>
    <w:rsid w:val="006F36CE"/>
    <w:rsid w:val="006F381F"/>
    <w:rsid w:val="006F3A31"/>
    <w:rsid w:val="006F3BD9"/>
    <w:rsid w:val="006F3BFD"/>
    <w:rsid w:val="006F4482"/>
    <w:rsid w:val="006F44EA"/>
    <w:rsid w:val="006F5738"/>
    <w:rsid w:val="006F57F7"/>
    <w:rsid w:val="006F611E"/>
    <w:rsid w:val="006F6465"/>
    <w:rsid w:val="006F6E6A"/>
    <w:rsid w:val="006F775C"/>
    <w:rsid w:val="006F77CD"/>
    <w:rsid w:val="006F7821"/>
    <w:rsid w:val="006F7BE1"/>
    <w:rsid w:val="006F7C87"/>
    <w:rsid w:val="0070000C"/>
    <w:rsid w:val="00700B11"/>
    <w:rsid w:val="00701854"/>
    <w:rsid w:val="00702633"/>
    <w:rsid w:val="0070279D"/>
    <w:rsid w:val="00702EF7"/>
    <w:rsid w:val="00703C65"/>
    <w:rsid w:val="00704137"/>
    <w:rsid w:val="007044ED"/>
    <w:rsid w:val="007054A7"/>
    <w:rsid w:val="0070610F"/>
    <w:rsid w:val="007068A3"/>
    <w:rsid w:val="00706D3A"/>
    <w:rsid w:val="00707072"/>
    <w:rsid w:val="00707B58"/>
    <w:rsid w:val="00707BC4"/>
    <w:rsid w:val="007104BC"/>
    <w:rsid w:val="00711101"/>
    <w:rsid w:val="00711AB1"/>
    <w:rsid w:val="00712620"/>
    <w:rsid w:val="00712B24"/>
    <w:rsid w:val="007131B6"/>
    <w:rsid w:val="00713260"/>
    <w:rsid w:val="00713EE2"/>
    <w:rsid w:val="007143E1"/>
    <w:rsid w:val="00714A29"/>
    <w:rsid w:val="00714B3B"/>
    <w:rsid w:val="00714CF1"/>
    <w:rsid w:val="00715100"/>
    <w:rsid w:val="007157CB"/>
    <w:rsid w:val="00715EC5"/>
    <w:rsid w:val="007161EE"/>
    <w:rsid w:val="00716708"/>
    <w:rsid w:val="007168FE"/>
    <w:rsid w:val="00716D0B"/>
    <w:rsid w:val="00717142"/>
    <w:rsid w:val="00717721"/>
    <w:rsid w:val="00717887"/>
    <w:rsid w:val="00717AA6"/>
    <w:rsid w:val="007202D3"/>
    <w:rsid w:val="00720698"/>
    <w:rsid w:val="0072098C"/>
    <w:rsid w:val="007209A5"/>
    <w:rsid w:val="00721579"/>
    <w:rsid w:val="00721802"/>
    <w:rsid w:val="007222B0"/>
    <w:rsid w:val="00722477"/>
    <w:rsid w:val="00722821"/>
    <w:rsid w:val="007228F5"/>
    <w:rsid w:val="0072354C"/>
    <w:rsid w:val="00723C0D"/>
    <w:rsid w:val="0072414D"/>
    <w:rsid w:val="00724D6A"/>
    <w:rsid w:val="007259B5"/>
    <w:rsid w:val="00725DC7"/>
    <w:rsid w:val="00726A89"/>
    <w:rsid w:val="00726EFF"/>
    <w:rsid w:val="00727214"/>
    <w:rsid w:val="007272EB"/>
    <w:rsid w:val="00731D8B"/>
    <w:rsid w:val="0073214E"/>
    <w:rsid w:val="0073262A"/>
    <w:rsid w:val="00732C42"/>
    <w:rsid w:val="00733B06"/>
    <w:rsid w:val="00734D57"/>
    <w:rsid w:val="0073522D"/>
    <w:rsid w:val="007356CE"/>
    <w:rsid w:val="007357EB"/>
    <w:rsid w:val="00735DC6"/>
    <w:rsid w:val="00735E89"/>
    <w:rsid w:val="00735F78"/>
    <w:rsid w:val="00736196"/>
    <w:rsid w:val="00736367"/>
    <w:rsid w:val="00736463"/>
    <w:rsid w:val="007368F5"/>
    <w:rsid w:val="00737012"/>
    <w:rsid w:val="00737C39"/>
    <w:rsid w:val="00737E15"/>
    <w:rsid w:val="00737F05"/>
    <w:rsid w:val="00740971"/>
    <w:rsid w:val="00741562"/>
    <w:rsid w:val="007417DE"/>
    <w:rsid w:val="0074182D"/>
    <w:rsid w:val="007427F2"/>
    <w:rsid w:val="00742CC8"/>
    <w:rsid w:val="007438D1"/>
    <w:rsid w:val="00743EBD"/>
    <w:rsid w:val="0074430E"/>
    <w:rsid w:val="007446FC"/>
    <w:rsid w:val="00745184"/>
    <w:rsid w:val="007456B1"/>
    <w:rsid w:val="00745908"/>
    <w:rsid w:val="00745A74"/>
    <w:rsid w:val="00746A39"/>
    <w:rsid w:val="00746BF5"/>
    <w:rsid w:val="00746CC0"/>
    <w:rsid w:val="007477BC"/>
    <w:rsid w:val="007477F4"/>
    <w:rsid w:val="0075018B"/>
    <w:rsid w:val="00750623"/>
    <w:rsid w:val="00750FA4"/>
    <w:rsid w:val="007514D5"/>
    <w:rsid w:val="00751FF9"/>
    <w:rsid w:val="007520C1"/>
    <w:rsid w:val="00752F02"/>
    <w:rsid w:val="00753029"/>
    <w:rsid w:val="007533FB"/>
    <w:rsid w:val="007538C7"/>
    <w:rsid w:val="007543DD"/>
    <w:rsid w:val="0075445A"/>
    <w:rsid w:val="00754A39"/>
    <w:rsid w:val="00755218"/>
    <w:rsid w:val="007556D4"/>
    <w:rsid w:val="00756367"/>
    <w:rsid w:val="0075744D"/>
    <w:rsid w:val="0075784D"/>
    <w:rsid w:val="007579BE"/>
    <w:rsid w:val="00757B86"/>
    <w:rsid w:val="00757B89"/>
    <w:rsid w:val="00757C4B"/>
    <w:rsid w:val="007607D5"/>
    <w:rsid w:val="00760C5E"/>
    <w:rsid w:val="00760C68"/>
    <w:rsid w:val="00760DC9"/>
    <w:rsid w:val="0076131D"/>
    <w:rsid w:val="007628C8"/>
    <w:rsid w:val="00762EB8"/>
    <w:rsid w:val="007631E0"/>
    <w:rsid w:val="00763893"/>
    <w:rsid w:val="00763A08"/>
    <w:rsid w:val="00764018"/>
    <w:rsid w:val="007648D4"/>
    <w:rsid w:val="00764FCC"/>
    <w:rsid w:val="0076525B"/>
    <w:rsid w:val="00765493"/>
    <w:rsid w:val="007655F8"/>
    <w:rsid w:val="00765BAD"/>
    <w:rsid w:val="00765C21"/>
    <w:rsid w:val="00765FB5"/>
    <w:rsid w:val="00766372"/>
    <w:rsid w:val="0076670A"/>
    <w:rsid w:val="00766820"/>
    <w:rsid w:val="00766E5E"/>
    <w:rsid w:val="00767745"/>
    <w:rsid w:val="007700B8"/>
    <w:rsid w:val="007702BE"/>
    <w:rsid w:val="00770752"/>
    <w:rsid w:val="007709A3"/>
    <w:rsid w:val="00770B36"/>
    <w:rsid w:val="00772987"/>
    <w:rsid w:val="00772B36"/>
    <w:rsid w:val="00772F48"/>
    <w:rsid w:val="007736BA"/>
    <w:rsid w:val="00773C83"/>
    <w:rsid w:val="0077418C"/>
    <w:rsid w:val="00774297"/>
    <w:rsid w:val="00774394"/>
    <w:rsid w:val="00774737"/>
    <w:rsid w:val="0077505E"/>
    <w:rsid w:val="0077533D"/>
    <w:rsid w:val="00775719"/>
    <w:rsid w:val="00775CF0"/>
    <w:rsid w:val="00775F8A"/>
    <w:rsid w:val="007762D6"/>
    <w:rsid w:val="00776A7C"/>
    <w:rsid w:val="00776AD2"/>
    <w:rsid w:val="00776DEC"/>
    <w:rsid w:val="00777377"/>
    <w:rsid w:val="007776C8"/>
    <w:rsid w:val="00777A2A"/>
    <w:rsid w:val="00777B5C"/>
    <w:rsid w:val="007800E4"/>
    <w:rsid w:val="00780179"/>
    <w:rsid w:val="007801FE"/>
    <w:rsid w:val="007802C8"/>
    <w:rsid w:val="00780972"/>
    <w:rsid w:val="007809D7"/>
    <w:rsid w:val="00780A9E"/>
    <w:rsid w:val="00780AA2"/>
    <w:rsid w:val="00780B93"/>
    <w:rsid w:val="0078170E"/>
    <w:rsid w:val="00781966"/>
    <w:rsid w:val="00781A9D"/>
    <w:rsid w:val="00781E30"/>
    <w:rsid w:val="00781FA6"/>
    <w:rsid w:val="00782880"/>
    <w:rsid w:val="007829E0"/>
    <w:rsid w:val="00783778"/>
    <w:rsid w:val="00783860"/>
    <w:rsid w:val="00783D5F"/>
    <w:rsid w:val="00783EB2"/>
    <w:rsid w:val="007840BB"/>
    <w:rsid w:val="00784196"/>
    <w:rsid w:val="00785139"/>
    <w:rsid w:val="00785E2E"/>
    <w:rsid w:val="00785FA3"/>
    <w:rsid w:val="00785FB8"/>
    <w:rsid w:val="0078686B"/>
    <w:rsid w:val="007869FB"/>
    <w:rsid w:val="007873E2"/>
    <w:rsid w:val="00787B4A"/>
    <w:rsid w:val="00787D0E"/>
    <w:rsid w:val="00787E72"/>
    <w:rsid w:val="00790164"/>
    <w:rsid w:val="007908C5"/>
    <w:rsid w:val="00790BAB"/>
    <w:rsid w:val="00790E1F"/>
    <w:rsid w:val="00791772"/>
    <w:rsid w:val="007929B2"/>
    <w:rsid w:val="007933AB"/>
    <w:rsid w:val="00794A1F"/>
    <w:rsid w:val="00795450"/>
    <w:rsid w:val="00795A54"/>
    <w:rsid w:val="00795F22"/>
    <w:rsid w:val="00796109"/>
    <w:rsid w:val="00796C59"/>
    <w:rsid w:val="007973D4"/>
    <w:rsid w:val="007974B4"/>
    <w:rsid w:val="00797C89"/>
    <w:rsid w:val="007A0923"/>
    <w:rsid w:val="007A1051"/>
    <w:rsid w:val="007A115B"/>
    <w:rsid w:val="007A20AD"/>
    <w:rsid w:val="007A2CF1"/>
    <w:rsid w:val="007A2F53"/>
    <w:rsid w:val="007A312F"/>
    <w:rsid w:val="007A323F"/>
    <w:rsid w:val="007A3402"/>
    <w:rsid w:val="007A346C"/>
    <w:rsid w:val="007A4343"/>
    <w:rsid w:val="007A4410"/>
    <w:rsid w:val="007A452B"/>
    <w:rsid w:val="007A4707"/>
    <w:rsid w:val="007A4881"/>
    <w:rsid w:val="007A5539"/>
    <w:rsid w:val="007A5A7D"/>
    <w:rsid w:val="007A5B90"/>
    <w:rsid w:val="007A601C"/>
    <w:rsid w:val="007A6129"/>
    <w:rsid w:val="007A61EC"/>
    <w:rsid w:val="007A6548"/>
    <w:rsid w:val="007A6E11"/>
    <w:rsid w:val="007A6E7E"/>
    <w:rsid w:val="007A7263"/>
    <w:rsid w:val="007A7415"/>
    <w:rsid w:val="007A7CE5"/>
    <w:rsid w:val="007B00E1"/>
    <w:rsid w:val="007B1211"/>
    <w:rsid w:val="007B17AC"/>
    <w:rsid w:val="007B187C"/>
    <w:rsid w:val="007B1E2E"/>
    <w:rsid w:val="007B1ECA"/>
    <w:rsid w:val="007B220F"/>
    <w:rsid w:val="007B2BAC"/>
    <w:rsid w:val="007B3B0E"/>
    <w:rsid w:val="007B3DF4"/>
    <w:rsid w:val="007B4170"/>
    <w:rsid w:val="007B44E1"/>
    <w:rsid w:val="007B4BB6"/>
    <w:rsid w:val="007B55C6"/>
    <w:rsid w:val="007B5EDE"/>
    <w:rsid w:val="007B62A9"/>
    <w:rsid w:val="007B64B9"/>
    <w:rsid w:val="007B65D1"/>
    <w:rsid w:val="007B66B5"/>
    <w:rsid w:val="007B6ACE"/>
    <w:rsid w:val="007B6B1E"/>
    <w:rsid w:val="007B6E03"/>
    <w:rsid w:val="007B72FC"/>
    <w:rsid w:val="007B74D3"/>
    <w:rsid w:val="007B7C09"/>
    <w:rsid w:val="007B7CC9"/>
    <w:rsid w:val="007C028E"/>
    <w:rsid w:val="007C06DB"/>
    <w:rsid w:val="007C100D"/>
    <w:rsid w:val="007C1085"/>
    <w:rsid w:val="007C1099"/>
    <w:rsid w:val="007C1501"/>
    <w:rsid w:val="007C1FD8"/>
    <w:rsid w:val="007C2922"/>
    <w:rsid w:val="007C2AD4"/>
    <w:rsid w:val="007C2DD4"/>
    <w:rsid w:val="007C3005"/>
    <w:rsid w:val="007C384F"/>
    <w:rsid w:val="007C3B06"/>
    <w:rsid w:val="007C3E46"/>
    <w:rsid w:val="007C4914"/>
    <w:rsid w:val="007C4F78"/>
    <w:rsid w:val="007C5024"/>
    <w:rsid w:val="007C55D4"/>
    <w:rsid w:val="007C5CBD"/>
    <w:rsid w:val="007C5D70"/>
    <w:rsid w:val="007C661B"/>
    <w:rsid w:val="007C6BD5"/>
    <w:rsid w:val="007C73B8"/>
    <w:rsid w:val="007C787C"/>
    <w:rsid w:val="007C7C9F"/>
    <w:rsid w:val="007D1545"/>
    <w:rsid w:val="007D185D"/>
    <w:rsid w:val="007D26A3"/>
    <w:rsid w:val="007D291D"/>
    <w:rsid w:val="007D2B60"/>
    <w:rsid w:val="007D2C1E"/>
    <w:rsid w:val="007D3105"/>
    <w:rsid w:val="007D3420"/>
    <w:rsid w:val="007D3687"/>
    <w:rsid w:val="007D4134"/>
    <w:rsid w:val="007D4719"/>
    <w:rsid w:val="007D4C8E"/>
    <w:rsid w:val="007D4E84"/>
    <w:rsid w:val="007D4EA3"/>
    <w:rsid w:val="007D523C"/>
    <w:rsid w:val="007D5362"/>
    <w:rsid w:val="007D58AA"/>
    <w:rsid w:val="007D5FAA"/>
    <w:rsid w:val="007D6706"/>
    <w:rsid w:val="007D6A2D"/>
    <w:rsid w:val="007D701A"/>
    <w:rsid w:val="007D7044"/>
    <w:rsid w:val="007D7491"/>
    <w:rsid w:val="007E000F"/>
    <w:rsid w:val="007E1135"/>
    <w:rsid w:val="007E14C6"/>
    <w:rsid w:val="007E19A6"/>
    <w:rsid w:val="007E1C2E"/>
    <w:rsid w:val="007E1D38"/>
    <w:rsid w:val="007E27E0"/>
    <w:rsid w:val="007E29CF"/>
    <w:rsid w:val="007E325B"/>
    <w:rsid w:val="007E35D8"/>
    <w:rsid w:val="007E3764"/>
    <w:rsid w:val="007E4323"/>
    <w:rsid w:val="007E496A"/>
    <w:rsid w:val="007E4A1F"/>
    <w:rsid w:val="007E4B7F"/>
    <w:rsid w:val="007E4F15"/>
    <w:rsid w:val="007E51B6"/>
    <w:rsid w:val="007E52CB"/>
    <w:rsid w:val="007E62C3"/>
    <w:rsid w:val="007E6661"/>
    <w:rsid w:val="007E6721"/>
    <w:rsid w:val="007E6D16"/>
    <w:rsid w:val="007E6F07"/>
    <w:rsid w:val="007F0064"/>
    <w:rsid w:val="007F0EBA"/>
    <w:rsid w:val="007F0FDA"/>
    <w:rsid w:val="007F1263"/>
    <w:rsid w:val="007F2007"/>
    <w:rsid w:val="007F2338"/>
    <w:rsid w:val="007F2627"/>
    <w:rsid w:val="007F2BA4"/>
    <w:rsid w:val="007F2E32"/>
    <w:rsid w:val="007F2E48"/>
    <w:rsid w:val="007F2F97"/>
    <w:rsid w:val="007F3159"/>
    <w:rsid w:val="007F3880"/>
    <w:rsid w:val="007F3B8C"/>
    <w:rsid w:val="007F4111"/>
    <w:rsid w:val="007F421B"/>
    <w:rsid w:val="007F4542"/>
    <w:rsid w:val="007F4710"/>
    <w:rsid w:val="007F4997"/>
    <w:rsid w:val="007F4D34"/>
    <w:rsid w:val="007F4EEA"/>
    <w:rsid w:val="007F52CA"/>
    <w:rsid w:val="007F540A"/>
    <w:rsid w:val="007F6D88"/>
    <w:rsid w:val="007F7574"/>
    <w:rsid w:val="007F791D"/>
    <w:rsid w:val="007F7C6E"/>
    <w:rsid w:val="007F7D09"/>
    <w:rsid w:val="008006EE"/>
    <w:rsid w:val="00800777"/>
    <w:rsid w:val="0080122B"/>
    <w:rsid w:val="0080354C"/>
    <w:rsid w:val="008037CE"/>
    <w:rsid w:val="008037F7"/>
    <w:rsid w:val="00804473"/>
    <w:rsid w:val="008045CF"/>
    <w:rsid w:val="008046FF"/>
    <w:rsid w:val="008049EA"/>
    <w:rsid w:val="00804D26"/>
    <w:rsid w:val="008053E6"/>
    <w:rsid w:val="008059A8"/>
    <w:rsid w:val="00806A80"/>
    <w:rsid w:val="00806D9B"/>
    <w:rsid w:val="00807623"/>
    <w:rsid w:val="008079D8"/>
    <w:rsid w:val="00807B53"/>
    <w:rsid w:val="00810CD7"/>
    <w:rsid w:val="00810D34"/>
    <w:rsid w:val="00811137"/>
    <w:rsid w:val="00811503"/>
    <w:rsid w:val="00812A68"/>
    <w:rsid w:val="00812EEE"/>
    <w:rsid w:val="00812F41"/>
    <w:rsid w:val="0081471B"/>
    <w:rsid w:val="00814882"/>
    <w:rsid w:val="008148F1"/>
    <w:rsid w:val="00814E45"/>
    <w:rsid w:val="00814F25"/>
    <w:rsid w:val="0081540C"/>
    <w:rsid w:val="008158CC"/>
    <w:rsid w:val="0081620E"/>
    <w:rsid w:val="0081658F"/>
    <w:rsid w:val="00816ED9"/>
    <w:rsid w:val="0081739B"/>
    <w:rsid w:val="008175BD"/>
    <w:rsid w:val="008178AB"/>
    <w:rsid w:val="008179CF"/>
    <w:rsid w:val="00817D71"/>
    <w:rsid w:val="00817ECC"/>
    <w:rsid w:val="00817F37"/>
    <w:rsid w:val="008203B5"/>
    <w:rsid w:val="0082049A"/>
    <w:rsid w:val="00820546"/>
    <w:rsid w:val="008205DB"/>
    <w:rsid w:val="00820CE5"/>
    <w:rsid w:val="00820E00"/>
    <w:rsid w:val="00821387"/>
    <w:rsid w:val="008213F1"/>
    <w:rsid w:val="0082189E"/>
    <w:rsid w:val="00822151"/>
    <w:rsid w:val="0082279D"/>
    <w:rsid w:val="00822AAE"/>
    <w:rsid w:val="00822F20"/>
    <w:rsid w:val="0082369D"/>
    <w:rsid w:val="00824316"/>
    <w:rsid w:val="008243F6"/>
    <w:rsid w:val="008257EC"/>
    <w:rsid w:val="00825851"/>
    <w:rsid w:val="00825D3D"/>
    <w:rsid w:val="00825D43"/>
    <w:rsid w:val="00825FB2"/>
    <w:rsid w:val="00826295"/>
    <w:rsid w:val="00826B85"/>
    <w:rsid w:val="00826BE9"/>
    <w:rsid w:val="00826D95"/>
    <w:rsid w:val="00826E5B"/>
    <w:rsid w:val="00827AF0"/>
    <w:rsid w:val="00827BC5"/>
    <w:rsid w:val="00830148"/>
    <w:rsid w:val="00830344"/>
    <w:rsid w:val="0083095E"/>
    <w:rsid w:val="00830F6F"/>
    <w:rsid w:val="008316AD"/>
    <w:rsid w:val="00831981"/>
    <w:rsid w:val="008320AD"/>
    <w:rsid w:val="008323AD"/>
    <w:rsid w:val="00832505"/>
    <w:rsid w:val="00832538"/>
    <w:rsid w:val="008327E8"/>
    <w:rsid w:val="00833286"/>
    <w:rsid w:val="008334BC"/>
    <w:rsid w:val="00833731"/>
    <w:rsid w:val="0083378E"/>
    <w:rsid w:val="00833C32"/>
    <w:rsid w:val="00833C7E"/>
    <w:rsid w:val="00833D56"/>
    <w:rsid w:val="00833E3A"/>
    <w:rsid w:val="00834B01"/>
    <w:rsid w:val="00834FD5"/>
    <w:rsid w:val="00835771"/>
    <w:rsid w:val="008360ED"/>
    <w:rsid w:val="0083612C"/>
    <w:rsid w:val="008361E6"/>
    <w:rsid w:val="008363A2"/>
    <w:rsid w:val="008365C2"/>
    <w:rsid w:val="00836604"/>
    <w:rsid w:val="00836D57"/>
    <w:rsid w:val="00836FA6"/>
    <w:rsid w:val="00837125"/>
    <w:rsid w:val="00837395"/>
    <w:rsid w:val="00837864"/>
    <w:rsid w:val="008407BC"/>
    <w:rsid w:val="0084188B"/>
    <w:rsid w:val="00841DAA"/>
    <w:rsid w:val="00841E44"/>
    <w:rsid w:val="00842568"/>
    <w:rsid w:val="008425A6"/>
    <w:rsid w:val="0084272D"/>
    <w:rsid w:val="00842834"/>
    <w:rsid w:val="00842ACE"/>
    <w:rsid w:val="00843C7B"/>
    <w:rsid w:val="00844088"/>
    <w:rsid w:val="00844111"/>
    <w:rsid w:val="0084459E"/>
    <w:rsid w:val="008445D4"/>
    <w:rsid w:val="008446F1"/>
    <w:rsid w:val="00844AB1"/>
    <w:rsid w:val="008456B0"/>
    <w:rsid w:val="00845E64"/>
    <w:rsid w:val="00845FD2"/>
    <w:rsid w:val="00846A12"/>
    <w:rsid w:val="00846A3E"/>
    <w:rsid w:val="00846F3B"/>
    <w:rsid w:val="00846FF0"/>
    <w:rsid w:val="00847435"/>
    <w:rsid w:val="00847600"/>
    <w:rsid w:val="00847C67"/>
    <w:rsid w:val="0085002F"/>
    <w:rsid w:val="00850782"/>
    <w:rsid w:val="00850D19"/>
    <w:rsid w:val="008517D2"/>
    <w:rsid w:val="00851929"/>
    <w:rsid w:val="00851E33"/>
    <w:rsid w:val="00851E5B"/>
    <w:rsid w:val="0085298A"/>
    <w:rsid w:val="00852ADA"/>
    <w:rsid w:val="0085353C"/>
    <w:rsid w:val="00853732"/>
    <w:rsid w:val="008549D1"/>
    <w:rsid w:val="00855458"/>
    <w:rsid w:val="00855A26"/>
    <w:rsid w:val="008564FE"/>
    <w:rsid w:val="00856EAE"/>
    <w:rsid w:val="0085728C"/>
    <w:rsid w:val="0085729F"/>
    <w:rsid w:val="00860288"/>
    <w:rsid w:val="008607E0"/>
    <w:rsid w:val="0086134D"/>
    <w:rsid w:val="00861825"/>
    <w:rsid w:val="00861FD7"/>
    <w:rsid w:val="00862D56"/>
    <w:rsid w:val="00862DB9"/>
    <w:rsid w:val="00862F9F"/>
    <w:rsid w:val="008642EC"/>
    <w:rsid w:val="0086463D"/>
    <w:rsid w:val="00864EBA"/>
    <w:rsid w:val="00865057"/>
    <w:rsid w:val="00865472"/>
    <w:rsid w:val="00865783"/>
    <w:rsid w:val="00865F05"/>
    <w:rsid w:val="00865FB3"/>
    <w:rsid w:val="00865FDF"/>
    <w:rsid w:val="00866356"/>
    <w:rsid w:val="008676F0"/>
    <w:rsid w:val="00870429"/>
    <w:rsid w:val="0087080C"/>
    <w:rsid w:val="008709A3"/>
    <w:rsid w:val="008709ED"/>
    <w:rsid w:val="00870E37"/>
    <w:rsid w:val="008715CA"/>
    <w:rsid w:val="00871DD8"/>
    <w:rsid w:val="00871E15"/>
    <w:rsid w:val="00872097"/>
    <w:rsid w:val="00872406"/>
    <w:rsid w:val="00872A25"/>
    <w:rsid w:val="0087387B"/>
    <w:rsid w:val="00873B4C"/>
    <w:rsid w:val="00874671"/>
    <w:rsid w:val="008749DF"/>
    <w:rsid w:val="00874A1F"/>
    <w:rsid w:val="00874AB6"/>
    <w:rsid w:val="008760DD"/>
    <w:rsid w:val="008762C5"/>
    <w:rsid w:val="0087635E"/>
    <w:rsid w:val="0087662D"/>
    <w:rsid w:val="00876773"/>
    <w:rsid w:val="008768B2"/>
    <w:rsid w:val="00876921"/>
    <w:rsid w:val="00876B68"/>
    <w:rsid w:val="00876C97"/>
    <w:rsid w:val="00876E9C"/>
    <w:rsid w:val="00876F76"/>
    <w:rsid w:val="008772A6"/>
    <w:rsid w:val="0087756A"/>
    <w:rsid w:val="0088012F"/>
    <w:rsid w:val="0088013C"/>
    <w:rsid w:val="00880353"/>
    <w:rsid w:val="008806E8"/>
    <w:rsid w:val="00880902"/>
    <w:rsid w:val="00881950"/>
    <w:rsid w:val="00881C4D"/>
    <w:rsid w:val="008821B8"/>
    <w:rsid w:val="008821C7"/>
    <w:rsid w:val="00882283"/>
    <w:rsid w:val="0088237B"/>
    <w:rsid w:val="0088286F"/>
    <w:rsid w:val="0088304A"/>
    <w:rsid w:val="008832C4"/>
    <w:rsid w:val="00883EAF"/>
    <w:rsid w:val="00884238"/>
    <w:rsid w:val="00884452"/>
    <w:rsid w:val="00884F85"/>
    <w:rsid w:val="00885FA7"/>
    <w:rsid w:val="00886F71"/>
    <w:rsid w:val="008871FF"/>
    <w:rsid w:val="008905D7"/>
    <w:rsid w:val="00890679"/>
    <w:rsid w:val="008906B5"/>
    <w:rsid w:val="00890BF4"/>
    <w:rsid w:val="00890C7B"/>
    <w:rsid w:val="0089161C"/>
    <w:rsid w:val="00891B2D"/>
    <w:rsid w:val="008922B6"/>
    <w:rsid w:val="008926C3"/>
    <w:rsid w:val="0089278B"/>
    <w:rsid w:val="00892C86"/>
    <w:rsid w:val="00893316"/>
    <w:rsid w:val="0089373E"/>
    <w:rsid w:val="00893875"/>
    <w:rsid w:val="00893951"/>
    <w:rsid w:val="00893E22"/>
    <w:rsid w:val="00893FC1"/>
    <w:rsid w:val="008943CB"/>
    <w:rsid w:val="00894622"/>
    <w:rsid w:val="0089531E"/>
    <w:rsid w:val="00895343"/>
    <w:rsid w:val="008955C5"/>
    <w:rsid w:val="008958FE"/>
    <w:rsid w:val="0089598C"/>
    <w:rsid w:val="00895B1D"/>
    <w:rsid w:val="00895B87"/>
    <w:rsid w:val="0089632B"/>
    <w:rsid w:val="008963D4"/>
    <w:rsid w:val="00896511"/>
    <w:rsid w:val="008965F8"/>
    <w:rsid w:val="00897667"/>
    <w:rsid w:val="00897763"/>
    <w:rsid w:val="008977AC"/>
    <w:rsid w:val="00897964"/>
    <w:rsid w:val="00897A5A"/>
    <w:rsid w:val="00897AB8"/>
    <w:rsid w:val="00897B60"/>
    <w:rsid w:val="00897F59"/>
    <w:rsid w:val="008A08D2"/>
    <w:rsid w:val="008A14F2"/>
    <w:rsid w:val="008A1837"/>
    <w:rsid w:val="008A18F3"/>
    <w:rsid w:val="008A1A24"/>
    <w:rsid w:val="008A1C85"/>
    <w:rsid w:val="008A1D76"/>
    <w:rsid w:val="008A2255"/>
    <w:rsid w:val="008A26A7"/>
    <w:rsid w:val="008A2C64"/>
    <w:rsid w:val="008A2E7B"/>
    <w:rsid w:val="008A2F38"/>
    <w:rsid w:val="008A35E6"/>
    <w:rsid w:val="008A38B6"/>
    <w:rsid w:val="008A3A4A"/>
    <w:rsid w:val="008A4B8E"/>
    <w:rsid w:val="008A4E7B"/>
    <w:rsid w:val="008A568A"/>
    <w:rsid w:val="008A5C8E"/>
    <w:rsid w:val="008A6B3F"/>
    <w:rsid w:val="008A73C7"/>
    <w:rsid w:val="008A757A"/>
    <w:rsid w:val="008A7A00"/>
    <w:rsid w:val="008B163D"/>
    <w:rsid w:val="008B1A81"/>
    <w:rsid w:val="008B1C95"/>
    <w:rsid w:val="008B251B"/>
    <w:rsid w:val="008B289F"/>
    <w:rsid w:val="008B2C72"/>
    <w:rsid w:val="008B30B7"/>
    <w:rsid w:val="008B4914"/>
    <w:rsid w:val="008B5533"/>
    <w:rsid w:val="008B562E"/>
    <w:rsid w:val="008B5748"/>
    <w:rsid w:val="008B5B9D"/>
    <w:rsid w:val="008B5F21"/>
    <w:rsid w:val="008B61BC"/>
    <w:rsid w:val="008B6253"/>
    <w:rsid w:val="008B6355"/>
    <w:rsid w:val="008B6A22"/>
    <w:rsid w:val="008B6AA6"/>
    <w:rsid w:val="008B6B0E"/>
    <w:rsid w:val="008B6E1A"/>
    <w:rsid w:val="008B6E71"/>
    <w:rsid w:val="008B75E1"/>
    <w:rsid w:val="008B7C38"/>
    <w:rsid w:val="008B7CE5"/>
    <w:rsid w:val="008C030D"/>
    <w:rsid w:val="008C0573"/>
    <w:rsid w:val="008C0C4D"/>
    <w:rsid w:val="008C1167"/>
    <w:rsid w:val="008C11ED"/>
    <w:rsid w:val="008C1B0A"/>
    <w:rsid w:val="008C1C4B"/>
    <w:rsid w:val="008C1CFE"/>
    <w:rsid w:val="008C2078"/>
    <w:rsid w:val="008C23B0"/>
    <w:rsid w:val="008C2B2A"/>
    <w:rsid w:val="008C2F0D"/>
    <w:rsid w:val="008C2FAA"/>
    <w:rsid w:val="008C33C3"/>
    <w:rsid w:val="008C3B37"/>
    <w:rsid w:val="008C4517"/>
    <w:rsid w:val="008C4D02"/>
    <w:rsid w:val="008C520E"/>
    <w:rsid w:val="008C57A0"/>
    <w:rsid w:val="008C5C70"/>
    <w:rsid w:val="008C5CA5"/>
    <w:rsid w:val="008C5CEA"/>
    <w:rsid w:val="008C6F9B"/>
    <w:rsid w:val="008C6FE4"/>
    <w:rsid w:val="008C70FF"/>
    <w:rsid w:val="008C7368"/>
    <w:rsid w:val="008C73D6"/>
    <w:rsid w:val="008C7AB3"/>
    <w:rsid w:val="008C7B15"/>
    <w:rsid w:val="008C7E10"/>
    <w:rsid w:val="008D0A46"/>
    <w:rsid w:val="008D0C62"/>
    <w:rsid w:val="008D1B3A"/>
    <w:rsid w:val="008D2528"/>
    <w:rsid w:val="008D2777"/>
    <w:rsid w:val="008D2CD6"/>
    <w:rsid w:val="008D2DDA"/>
    <w:rsid w:val="008D3287"/>
    <w:rsid w:val="008D32FF"/>
    <w:rsid w:val="008D3411"/>
    <w:rsid w:val="008D37BC"/>
    <w:rsid w:val="008D39B0"/>
    <w:rsid w:val="008D3AA9"/>
    <w:rsid w:val="008D3E76"/>
    <w:rsid w:val="008D462B"/>
    <w:rsid w:val="008D4645"/>
    <w:rsid w:val="008D4939"/>
    <w:rsid w:val="008D4F0B"/>
    <w:rsid w:val="008D7C3E"/>
    <w:rsid w:val="008D7EC3"/>
    <w:rsid w:val="008E0465"/>
    <w:rsid w:val="008E0702"/>
    <w:rsid w:val="008E0A9F"/>
    <w:rsid w:val="008E1183"/>
    <w:rsid w:val="008E1195"/>
    <w:rsid w:val="008E12CE"/>
    <w:rsid w:val="008E130A"/>
    <w:rsid w:val="008E159E"/>
    <w:rsid w:val="008E26CE"/>
    <w:rsid w:val="008E2DD0"/>
    <w:rsid w:val="008E2F88"/>
    <w:rsid w:val="008E3427"/>
    <w:rsid w:val="008E3A46"/>
    <w:rsid w:val="008E3AEA"/>
    <w:rsid w:val="008E3D60"/>
    <w:rsid w:val="008E4A8D"/>
    <w:rsid w:val="008E5977"/>
    <w:rsid w:val="008E601B"/>
    <w:rsid w:val="008E6128"/>
    <w:rsid w:val="008E6A15"/>
    <w:rsid w:val="008E6ACA"/>
    <w:rsid w:val="008E6B68"/>
    <w:rsid w:val="008E6D4E"/>
    <w:rsid w:val="008E71D1"/>
    <w:rsid w:val="008E7390"/>
    <w:rsid w:val="008E762D"/>
    <w:rsid w:val="008F000D"/>
    <w:rsid w:val="008F0630"/>
    <w:rsid w:val="008F0704"/>
    <w:rsid w:val="008F0854"/>
    <w:rsid w:val="008F0DAD"/>
    <w:rsid w:val="008F1648"/>
    <w:rsid w:val="008F1F00"/>
    <w:rsid w:val="008F224F"/>
    <w:rsid w:val="008F2DEB"/>
    <w:rsid w:val="008F30C4"/>
    <w:rsid w:val="008F32A1"/>
    <w:rsid w:val="008F3E85"/>
    <w:rsid w:val="008F41F5"/>
    <w:rsid w:val="008F4487"/>
    <w:rsid w:val="008F4996"/>
    <w:rsid w:val="008F4C82"/>
    <w:rsid w:val="008F5F77"/>
    <w:rsid w:val="008F686A"/>
    <w:rsid w:val="008F6D94"/>
    <w:rsid w:val="008F6E84"/>
    <w:rsid w:val="008F7689"/>
    <w:rsid w:val="008F7EB9"/>
    <w:rsid w:val="008F7EBB"/>
    <w:rsid w:val="00900074"/>
    <w:rsid w:val="00900127"/>
    <w:rsid w:val="00900486"/>
    <w:rsid w:val="0090050D"/>
    <w:rsid w:val="0090056C"/>
    <w:rsid w:val="0090091B"/>
    <w:rsid w:val="00900939"/>
    <w:rsid w:val="00900DF0"/>
    <w:rsid w:val="0090104D"/>
    <w:rsid w:val="00901459"/>
    <w:rsid w:val="00902297"/>
    <w:rsid w:val="00903120"/>
    <w:rsid w:val="009035AD"/>
    <w:rsid w:val="00903621"/>
    <w:rsid w:val="00904595"/>
    <w:rsid w:val="00904740"/>
    <w:rsid w:val="00905281"/>
    <w:rsid w:val="009055B7"/>
    <w:rsid w:val="00905898"/>
    <w:rsid w:val="00905FC7"/>
    <w:rsid w:val="0090605A"/>
    <w:rsid w:val="00906B1D"/>
    <w:rsid w:val="00907AAF"/>
    <w:rsid w:val="00907EE2"/>
    <w:rsid w:val="00910513"/>
    <w:rsid w:val="0091074A"/>
    <w:rsid w:val="0091091D"/>
    <w:rsid w:val="009110EB"/>
    <w:rsid w:val="00911291"/>
    <w:rsid w:val="009113AE"/>
    <w:rsid w:val="00911DEC"/>
    <w:rsid w:val="00911F60"/>
    <w:rsid w:val="00913A4D"/>
    <w:rsid w:val="00913CAA"/>
    <w:rsid w:val="00914284"/>
    <w:rsid w:val="00914550"/>
    <w:rsid w:val="00914E36"/>
    <w:rsid w:val="00914EE3"/>
    <w:rsid w:val="00915140"/>
    <w:rsid w:val="00915300"/>
    <w:rsid w:val="00916B79"/>
    <w:rsid w:val="009173B9"/>
    <w:rsid w:val="00917421"/>
    <w:rsid w:val="00917AE1"/>
    <w:rsid w:val="009202B1"/>
    <w:rsid w:val="0092042A"/>
    <w:rsid w:val="0092143D"/>
    <w:rsid w:val="009216CA"/>
    <w:rsid w:val="00922808"/>
    <w:rsid w:val="00922934"/>
    <w:rsid w:val="009235EB"/>
    <w:rsid w:val="00923CCF"/>
    <w:rsid w:val="00923EDF"/>
    <w:rsid w:val="009245CB"/>
    <w:rsid w:val="00924657"/>
    <w:rsid w:val="00924AF5"/>
    <w:rsid w:val="009251E7"/>
    <w:rsid w:val="0092534F"/>
    <w:rsid w:val="00925562"/>
    <w:rsid w:val="009259EF"/>
    <w:rsid w:val="00925D0C"/>
    <w:rsid w:val="00926414"/>
    <w:rsid w:val="0092657D"/>
    <w:rsid w:val="0092749B"/>
    <w:rsid w:val="00927725"/>
    <w:rsid w:val="009301FC"/>
    <w:rsid w:val="00930625"/>
    <w:rsid w:val="0093068B"/>
    <w:rsid w:val="00930782"/>
    <w:rsid w:val="00931452"/>
    <w:rsid w:val="009321C7"/>
    <w:rsid w:val="009332EE"/>
    <w:rsid w:val="0093332F"/>
    <w:rsid w:val="0093355A"/>
    <w:rsid w:val="009335BA"/>
    <w:rsid w:val="00934660"/>
    <w:rsid w:val="00934CC1"/>
    <w:rsid w:val="00934E21"/>
    <w:rsid w:val="00935385"/>
    <w:rsid w:val="00935A09"/>
    <w:rsid w:val="00935D33"/>
    <w:rsid w:val="00935E3F"/>
    <w:rsid w:val="00935ECF"/>
    <w:rsid w:val="00936244"/>
    <w:rsid w:val="00936445"/>
    <w:rsid w:val="00936653"/>
    <w:rsid w:val="00936B44"/>
    <w:rsid w:val="00936E5A"/>
    <w:rsid w:val="00936EC8"/>
    <w:rsid w:val="0094036E"/>
    <w:rsid w:val="00940F5B"/>
    <w:rsid w:val="00941422"/>
    <w:rsid w:val="009416FE"/>
    <w:rsid w:val="009417E1"/>
    <w:rsid w:val="00941BF3"/>
    <w:rsid w:val="00941F8F"/>
    <w:rsid w:val="009427EF"/>
    <w:rsid w:val="0094286F"/>
    <w:rsid w:val="00942AE0"/>
    <w:rsid w:val="00942ECC"/>
    <w:rsid w:val="0094336F"/>
    <w:rsid w:val="00943C8C"/>
    <w:rsid w:val="00944829"/>
    <w:rsid w:val="0094522E"/>
    <w:rsid w:val="00945351"/>
    <w:rsid w:val="009459DA"/>
    <w:rsid w:val="00945D12"/>
    <w:rsid w:val="00945DBF"/>
    <w:rsid w:val="0094695E"/>
    <w:rsid w:val="00946FC1"/>
    <w:rsid w:val="00947DA7"/>
    <w:rsid w:val="00947F9D"/>
    <w:rsid w:val="009501A6"/>
    <w:rsid w:val="00950381"/>
    <w:rsid w:val="009503DC"/>
    <w:rsid w:val="0095071C"/>
    <w:rsid w:val="00950A35"/>
    <w:rsid w:val="00951495"/>
    <w:rsid w:val="009519CE"/>
    <w:rsid w:val="00951B95"/>
    <w:rsid w:val="0095265F"/>
    <w:rsid w:val="00953C4E"/>
    <w:rsid w:val="0095434E"/>
    <w:rsid w:val="00954737"/>
    <w:rsid w:val="0095501C"/>
    <w:rsid w:val="00955423"/>
    <w:rsid w:val="00955C5A"/>
    <w:rsid w:val="0095631E"/>
    <w:rsid w:val="009566CA"/>
    <w:rsid w:val="00956FE4"/>
    <w:rsid w:val="00960465"/>
    <w:rsid w:val="0096054B"/>
    <w:rsid w:val="00960B18"/>
    <w:rsid w:val="00960B69"/>
    <w:rsid w:val="00960BF1"/>
    <w:rsid w:val="00961175"/>
    <w:rsid w:val="00961227"/>
    <w:rsid w:val="00961EC4"/>
    <w:rsid w:val="00962287"/>
    <w:rsid w:val="0096246D"/>
    <w:rsid w:val="00962690"/>
    <w:rsid w:val="0096332C"/>
    <w:rsid w:val="00963CBF"/>
    <w:rsid w:val="00964380"/>
    <w:rsid w:val="00964FB5"/>
    <w:rsid w:val="00965381"/>
    <w:rsid w:val="00965F20"/>
    <w:rsid w:val="009660FA"/>
    <w:rsid w:val="009669CC"/>
    <w:rsid w:val="00966DF1"/>
    <w:rsid w:val="00967135"/>
    <w:rsid w:val="00970215"/>
    <w:rsid w:val="00971077"/>
    <w:rsid w:val="00971B25"/>
    <w:rsid w:val="0097274A"/>
    <w:rsid w:val="0097281D"/>
    <w:rsid w:val="00972A26"/>
    <w:rsid w:val="00972A7C"/>
    <w:rsid w:val="00972AFD"/>
    <w:rsid w:val="00972B10"/>
    <w:rsid w:val="00972B68"/>
    <w:rsid w:val="00972ECF"/>
    <w:rsid w:val="00972FEE"/>
    <w:rsid w:val="00973175"/>
    <w:rsid w:val="009732AC"/>
    <w:rsid w:val="009733E9"/>
    <w:rsid w:val="009734EE"/>
    <w:rsid w:val="00973FD3"/>
    <w:rsid w:val="00973FE6"/>
    <w:rsid w:val="009740C4"/>
    <w:rsid w:val="00974F56"/>
    <w:rsid w:val="0097517A"/>
    <w:rsid w:val="00975FF0"/>
    <w:rsid w:val="009763BC"/>
    <w:rsid w:val="00976F69"/>
    <w:rsid w:val="009774F8"/>
    <w:rsid w:val="00977B3F"/>
    <w:rsid w:val="009806F9"/>
    <w:rsid w:val="009808EA"/>
    <w:rsid w:val="0098111E"/>
    <w:rsid w:val="00981701"/>
    <w:rsid w:val="00981B96"/>
    <w:rsid w:val="00981E78"/>
    <w:rsid w:val="00981F79"/>
    <w:rsid w:val="00982017"/>
    <w:rsid w:val="00982068"/>
    <w:rsid w:val="009825C9"/>
    <w:rsid w:val="00982C4A"/>
    <w:rsid w:val="00982EA3"/>
    <w:rsid w:val="00982FF0"/>
    <w:rsid w:val="0098318A"/>
    <w:rsid w:val="00983215"/>
    <w:rsid w:val="0098340C"/>
    <w:rsid w:val="0098344B"/>
    <w:rsid w:val="009834BA"/>
    <w:rsid w:val="00983973"/>
    <w:rsid w:val="00984527"/>
    <w:rsid w:val="00984669"/>
    <w:rsid w:val="00984A91"/>
    <w:rsid w:val="00984D0D"/>
    <w:rsid w:val="00984F46"/>
    <w:rsid w:val="009850EF"/>
    <w:rsid w:val="00985278"/>
    <w:rsid w:val="009855DC"/>
    <w:rsid w:val="00985DA0"/>
    <w:rsid w:val="00986318"/>
    <w:rsid w:val="00986879"/>
    <w:rsid w:val="009868FC"/>
    <w:rsid w:val="00986CF6"/>
    <w:rsid w:val="009870B6"/>
    <w:rsid w:val="009872CB"/>
    <w:rsid w:val="00987D41"/>
    <w:rsid w:val="00990A70"/>
    <w:rsid w:val="00990B30"/>
    <w:rsid w:val="009913AE"/>
    <w:rsid w:val="00991426"/>
    <w:rsid w:val="00991558"/>
    <w:rsid w:val="00991893"/>
    <w:rsid w:val="00991A16"/>
    <w:rsid w:val="00991F87"/>
    <w:rsid w:val="00991FAC"/>
    <w:rsid w:val="00992433"/>
    <w:rsid w:val="0099250A"/>
    <w:rsid w:val="009925DD"/>
    <w:rsid w:val="00992BE2"/>
    <w:rsid w:val="00993626"/>
    <w:rsid w:val="00993C4B"/>
    <w:rsid w:val="009940C2"/>
    <w:rsid w:val="009941C2"/>
    <w:rsid w:val="009942E0"/>
    <w:rsid w:val="009945E6"/>
    <w:rsid w:val="00994C42"/>
    <w:rsid w:val="0099555A"/>
    <w:rsid w:val="0099562E"/>
    <w:rsid w:val="00996DDC"/>
    <w:rsid w:val="00997581"/>
    <w:rsid w:val="00997C13"/>
    <w:rsid w:val="00997FD2"/>
    <w:rsid w:val="009A081E"/>
    <w:rsid w:val="009A0A34"/>
    <w:rsid w:val="009A13B8"/>
    <w:rsid w:val="009A28A1"/>
    <w:rsid w:val="009A2A89"/>
    <w:rsid w:val="009A2D5F"/>
    <w:rsid w:val="009A2E41"/>
    <w:rsid w:val="009A3D62"/>
    <w:rsid w:val="009A41D0"/>
    <w:rsid w:val="009A4722"/>
    <w:rsid w:val="009A52C1"/>
    <w:rsid w:val="009A5992"/>
    <w:rsid w:val="009A5EA7"/>
    <w:rsid w:val="009A6174"/>
    <w:rsid w:val="009A64E8"/>
    <w:rsid w:val="009A6B66"/>
    <w:rsid w:val="009A7AEC"/>
    <w:rsid w:val="009A7B9B"/>
    <w:rsid w:val="009B0069"/>
    <w:rsid w:val="009B0652"/>
    <w:rsid w:val="009B0AAF"/>
    <w:rsid w:val="009B0E6D"/>
    <w:rsid w:val="009B179A"/>
    <w:rsid w:val="009B17C7"/>
    <w:rsid w:val="009B1E61"/>
    <w:rsid w:val="009B276A"/>
    <w:rsid w:val="009B3739"/>
    <w:rsid w:val="009B3AA5"/>
    <w:rsid w:val="009B420F"/>
    <w:rsid w:val="009B424A"/>
    <w:rsid w:val="009B455D"/>
    <w:rsid w:val="009B4776"/>
    <w:rsid w:val="009B4D35"/>
    <w:rsid w:val="009B4E5F"/>
    <w:rsid w:val="009B4E8F"/>
    <w:rsid w:val="009B61D3"/>
    <w:rsid w:val="009B66ED"/>
    <w:rsid w:val="009B6EF1"/>
    <w:rsid w:val="009B761F"/>
    <w:rsid w:val="009B76CB"/>
    <w:rsid w:val="009B7769"/>
    <w:rsid w:val="009B7E93"/>
    <w:rsid w:val="009B7F6D"/>
    <w:rsid w:val="009C01AA"/>
    <w:rsid w:val="009C03C7"/>
    <w:rsid w:val="009C0EDB"/>
    <w:rsid w:val="009C0F94"/>
    <w:rsid w:val="009C0FFD"/>
    <w:rsid w:val="009C1419"/>
    <w:rsid w:val="009C1C18"/>
    <w:rsid w:val="009C1EC0"/>
    <w:rsid w:val="009C200C"/>
    <w:rsid w:val="009C2436"/>
    <w:rsid w:val="009C2DBF"/>
    <w:rsid w:val="009C3CF4"/>
    <w:rsid w:val="009C441C"/>
    <w:rsid w:val="009C50FB"/>
    <w:rsid w:val="009C55DD"/>
    <w:rsid w:val="009C5C9F"/>
    <w:rsid w:val="009C60AC"/>
    <w:rsid w:val="009C7FEE"/>
    <w:rsid w:val="009D0203"/>
    <w:rsid w:val="009D0462"/>
    <w:rsid w:val="009D083D"/>
    <w:rsid w:val="009D085B"/>
    <w:rsid w:val="009D0FE7"/>
    <w:rsid w:val="009D12AD"/>
    <w:rsid w:val="009D1794"/>
    <w:rsid w:val="009D2416"/>
    <w:rsid w:val="009D242A"/>
    <w:rsid w:val="009D2596"/>
    <w:rsid w:val="009D27AF"/>
    <w:rsid w:val="009D2975"/>
    <w:rsid w:val="009D2D8D"/>
    <w:rsid w:val="009D2FBA"/>
    <w:rsid w:val="009D351E"/>
    <w:rsid w:val="009D3629"/>
    <w:rsid w:val="009D397C"/>
    <w:rsid w:val="009D3B9B"/>
    <w:rsid w:val="009D3D9D"/>
    <w:rsid w:val="009D4172"/>
    <w:rsid w:val="009D42C8"/>
    <w:rsid w:val="009D4B4D"/>
    <w:rsid w:val="009D4C27"/>
    <w:rsid w:val="009D4F4C"/>
    <w:rsid w:val="009D53A0"/>
    <w:rsid w:val="009D58D1"/>
    <w:rsid w:val="009D5B70"/>
    <w:rsid w:val="009D5FDC"/>
    <w:rsid w:val="009D6082"/>
    <w:rsid w:val="009D63A5"/>
    <w:rsid w:val="009D66ED"/>
    <w:rsid w:val="009D6E7E"/>
    <w:rsid w:val="009D7299"/>
    <w:rsid w:val="009D7340"/>
    <w:rsid w:val="009D7565"/>
    <w:rsid w:val="009D7787"/>
    <w:rsid w:val="009D7D22"/>
    <w:rsid w:val="009D7D9C"/>
    <w:rsid w:val="009D7DC7"/>
    <w:rsid w:val="009E00C6"/>
    <w:rsid w:val="009E02C9"/>
    <w:rsid w:val="009E0E01"/>
    <w:rsid w:val="009E1046"/>
    <w:rsid w:val="009E121C"/>
    <w:rsid w:val="009E1247"/>
    <w:rsid w:val="009E1B98"/>
    <w:rsid w:val="009E2084"/>
    <w:rsid w:val="009E23B7"/>
    <w:rsid w:val="009E23CD"/>
    <w:rsid w:val="009E292F"/>
    <w:rsid w:val="009E39DC"/>
    <w:rsid w:val="009E3E51"/>
    <w:rsid w:val="009E3FAC"/>
    <w:rsid w:val="009E4096"/>
    <w:rsid w:val="009E434F"/>
    <w:rsid w:val="009E4691"/>
    <w:rsid w:val="009E46B5"/>
    <w:rsid w:val="009E47DC"/>
    <w:rsid w:val="009E4BB4"/>
    <w:rsid w:val="009E5378"/>
    <w:rsid w:val="009E56B4"/>
    <w:rsid w:val="009E5A21"/>
    <w:rsid w:val="009E5B64"/>
    <w:rsid w:val="009E5F76"/>
    <w:rsid w:val="009E6049"/>
    <w:rsid w:val="009E6D68"/>
    <w:rsid w:val="009E71A7"/>
    <w:rsid w:val="009E7EDE"/>
    <w:rsid w:val="009F00D4"/>
    <w:rsid w:val="009F029A"/>
    <w:rsid w:val="009F0A7F"/>
    <w:rsid w:val="009F0DA4"/>
    <w:rsid w:val="009F0EBA"/>
    <w:rsid w:val="009F19EF"/>
    <w:rsid w:val="009F20FA"/>
    <w:rsid w:val="009F28C9"/>
    <w:rsid w:val="009F3255"/>
    <w:rsid w:val="009F3D04"/>
    <w:rsid w:val="009F3DF6"/>
    <w:rsid w:val="009F43C3"/>
    <w:rsid w:val="009F47D7"/>
    <w:rsid w:val="009F4D28"/>
    <w:rsid w:val="009F52BA"/>
    <w:rsid w:val="009F542C"/>
    <w:rsid w:val="009F6110"/>
    <w:rsid w:val="009F615E"/>
    <w:rsid w:val="009F625E"/>
    <w:rsid w:val="009F65C7"/>
    <w:rsid w:val="009F6933"/>
    <w:rsid w:val="009F7197"/>
    <w:rsid w:val="009F7947"/>
    <w:rsid w:val="009F7D43"/>
    <w:rsid w:val="00A0076A"/>
    <w:rsid w:val="00A00C8B"/>
    <w:rsid w:val="00A012D0"/>
    <w:rsid w:val="00A0148D"/>
    <w:rsid w:val="00A01866"/>
    <w:rsid w:val="00A018B8"/>
    <w:rsid w:val="00A01D7B"/>
    <w:rsid w:val="00A03C91"/>
    <w:rsid w:val="00A043FE"/>
    <w:rsid w:val="00A04630"/>
    <w:rsid w:val="00A04DAF"/>
    <w:rsid w:val="00A05098"/>
    <w:rsid w:val="00A05803"/>
    <w:rsid w:val="00A0584F"/>
    <w:rsid w:val="00A05916"/>
    <w:rsid w:val="00A05D2B"/>
    <w:rsid w:val="00A061DB"/>
    <w:rsid w:val="00A06E1B"/>
    <w:rsid w:val="00A06FE3"/>
    <w:rsid w:val="00A07064"/>
    <w:rsid w:val="00A073FF"/>
    <w:rsid w:val="00A0794D"/>
    <w:rsid w:val="00A07FED"/>
    <w:rsid w:val="00A107C0"/>
    <w:rsid w:val="00A10B50"/>
    <w:rsid w:val="00A11182"/>
    <w:rsid w:val="00A1118A"/>
    <w:rsid w:val="00A11201"/>
    <w:rsid w:val="00A11F2D"/>
    <w:rsid w:val="00A1266A"/>
    <w:rsid w:val="00A12790"/>
    <w:rsid w:val="00A12B84"/>
    <w:rsid w:val="00A14F65"/>
    <w:rsid w:val="00A15378"/>
    <w:rsid w:val="00A155E9"/>
    <w:rsid w:val="00A1571D"/>
    <w:rsid w:val="00A15B09"/>
    <w:rsid w:val="00A16741"/>
    <w:rsid w:val="00A16D87"/>
    <w:rsid w:val="00A170D9"/>
    <w:rsid w:val="00A17225"/>
    <w:rsid w:val="00A17453"/>
    <w:rsid w:val="00A2015E"/>
    <w:rsid w:val="00A20817"/>
    <w:rsid w:val="00A2114F"/>
    <w:rsid w:val="00A21777"/>
    <w:rsid w:val="00A218A7"/>
    <w:rsid w:val="00A2216E"/>
    <w:rsid w:val="00A22650"/>
    <w:rsid w:val="00A22A96"/>
    <w:rsid w:val="00A22BB3"/>
    <w:rsid w:val="00A231C7"/>
    <w:rsid w:val="00A2370B"/>
    <w:rsid w:val="00A23E9D"/>
    <w:rsid w:val="00A2426D"/>
    <w:rsid w:val="00A24782"/>
    <w:rsid w:val="00A24FAA"/>
    <w:rsid w:val="00A251FB"/>
    <w:rsid w:val="00A253CC"/>
    <w:rsid w:val="00A25885"/>
    <w:rsid w:val="00A25B2F"/>
    <w:rsid w:val="00A265F3"/>
    <w:rsid w:val="00A26637"/>
    <w:rsid w:val="00A26CAA"/>
    <w:rsid w:val="00A26CCB"/>
    <w:rsid w:val="00A27769"/>
    <w:rsid w:val="00A27A01"/>
    <w:rsid w:val="00A27AFB"/>
    <w:rsid w:val="00A3015F"/>
    <w:rsid w:val="00A30441"/>
    <w:rsid w:val="00A30806"/>
    <w:rsid w:val="00A3105A"/>
    <w:rsid w:val="00A313FC"/>
    <w:rsid w:val="00A31536"/>
    <w:rsid w:val="00A315FF"/>
    <w:rsid w:val="00A31956"/>
    <w:rsid w:val="00A32A88"/>
    <w:rsid w:val="00A3334D"/>
    <w:rsid w:val="00A33B52"/>
    <w:rsid w:val="00A33C0B"/>
    <w:rsid w:val="00A33DC9"/>
    <w:rsid w:val="00A33F77"/>
    <w:rsid w:val="00A34A14"/>
    <w:rsid w:val="00A34B4C"/>
    <w:rsid w:val="00A3528D"/>
    <w:rsid w:val="00A35552"/>
    <w:rsid w:val="00A35831"/>
    <w:rsid w:val="00A35E7C"/>
    <w:rsid w:val="00A367AD"/>
    <w:rsid w:val="00A36E14"/>
    <w:rsid w:val="00A373FF"/>
    <w:rsid w:val="00A3743F"/>
    <w:rsid w:val="00A378AA"/>
    <w:rsid w:val="00A40132"/>
    <w:rsid w:val="00A412EF"/>
    <w:rsid w:val="00A41E53"/>
    <w:rsid w:val="00A4253F"/>
    <w:rsid w:val="00A42EF2"/>
    <w:rsid w:val="00A4400D"/>
    <w:rsid w:val="00A442FF"/>
    <w:rsid w:val="00A44CC6"/>
    <w:rsid w:val="00A44D84"/>
    <w:rsid w:val="00A45A85"/>
    <w:rsid w:val="00A45BD2"/>
    <w:rsid w:val="00A45C98"/>
    <w:rsid w:val="00A46F60"/>
    <w:rsid w:val="00A4713F"/>
    <w:rsid w:val="00A4716C"/>
    <w:rsid w:val="00A4738A"/>
    <w:rsid w:val="00A47804"/>
    <w:rsid w:val="00A479EA"/>
    <w:rsid w:val="00A50436"/>
    <w:rsid w:val="00A50595"/>
    <w:rsid w:val="00A507E2"/>
    <w:rsid w:val="00A51DA8"/>
    <w:rsid w:val="00A51FB7"/>
    <w:rsid w:val="00A5275D"/>
    <w:rsid w:val="00A527F0"/>
    <w:rsid w:val="00A52A12"/>
    <w:rsid w:val="00A52ED5"/>
    <w:rsid w:val="00A5304B"/>
    <w:rsid w:val="00A5372E"/>
    <w:rsid w:val="00A54194"/>
    <w:rsid w:val="00A54D0D"/>
    <w:rsid w:val="00A54E6E"/>
    <w:rsid w:val="00A54E99"/>
    <w:rsid w:val="00A5515B"/>
    <w:rsid w:val="00A5527E"/>
    <w:rsid w:val="00A5581F"/>
    <w:rsid w:val="00A558D3"/>
    <w:rsid w:val="00A5621C"/>
    <w:rsid w:val="00A56582"/>
    <w:rsid w:val="00A578D4"/>
    <w:rsid w:val="00A61015"/>
    <w:rsid w:val="00A6142D"/>
    <w:rsid w:val="00A61750"/>
    <w:rsid w:val="00A61C66"/>
    <w:rsid w:val="00A61D22"/>
    <w:rsid w:val="00A61D6F"/>
    <w:rsid w:val="00A61D7A"/>
    <w:rsid w:val="00A620F3"/>
    <w:rsid w:val="00A62AC5"/>
    <w:rsid w:val="00A62D7D"/>
    <w:rsid w:val="00A63702"/>
    <w:rsid w:val="00A641F9"/>
    <w:rsid w:val="00A6431E"/>
    <w:rsid w:val="00A64735"/>
    <w:rsid w:val="00A64A5F"/>
    <w:rsid w:val="00A653BF"/>
    <w:rsid w:val="00A654E5"/>
    <w:rsid w:val="00A659E2"/>
    <w:rsid w:val="00A65B62"/>
    <w:rsid w:val="00A6628E"/>
    <w:rsid w:val="00A66E40"/>
    <w:rsid w:val="00A66E92"/>
    <w:rsid w:val="00A66FEB"/>
    <w:rsid w:val="00A673B4"/>
    <w:rsid w:val="00A674A4"/>
    <w:rsid w:val="00A701A6"/>
    <w:rsid w:val="00A7091A"/>
    <w:rsid w:val="00A71882"/>
    <w:rsid w:val="00A729CE"/>
    <w:rsid w:val="00A72F5E"/>
    <w:rsid w:val="00A7322E"/>
    <w:rsid w:val="00A73E1D"/>
    <w:rsid w:val="00A73EEA"/>
    <w:rsid w:val="00A73FFB"/>
    <w:rsid w:val="00A74E0A"/>
    <w:rsid w:val="00A75051"/>
    <w:rsid w:val="00A75060"/>
    <w:rsid w:val="00A751E8"/>
    <w:rsid w:val="00A75CE1"/>
    <w:rsid w:val="00A7634C"/>
    <w:rsid w:val="00A766F9"/>
    <w:rsid w:val="00A76FD8"/>
    <w:rsid w:val="00A8000F"/>
    <w:rsid w:val="00A804A7"/>
    <w:rsid w:val="00A8064D"/>
    <w:rsid w:val="00A8070E"/>
    <w:rsid w:val="00A81E2E"/>
    <w:rsid w:val="00A822DE"/>
    <w:rsid w:val="00A82406"/>
    <w:rsid w:val="00A82644"/>
    <w:rsid w:val="00A8265A"/>
    <w:rsid w:val="00A829CB"/>
    <w:rsid w:val="00A82AA8"/>
    <w:rsid w:val="00A82E8C"/>
    <w:rsid w:val="00A83F16"/>
    <w:rsid w:val="00A84303"/>
    <w:rsid w:val="00A84480"/>
    <w:rsid w:val="00A84D22"/>
    <w:rsid w:val="00A84D51"/>
    <w:rsid w:val="00A84E72"/>
    <w:rsid w:val="00A8510A"/>
    <w:rsid w:val="00A85619"/>
    <w:rsid w:val="00A85B76"/>
    <w:rsid w:val="00A85CC8"/>
    <w:rsid w:val="00A860D4"/>
    <w:rsid w:val="00A86203"/>
    <w:rsid w:val="00A863B5"/>
    <w:rsid w:val="00A8648B"/>
    <w:rsid w:val="00A8651D"/>
    <w:rsid w:val="00A86836"/>
    <w:rsid w:val="00A8759B"/>
    <w:rsid w:val="00A8760C"/>
    <w:rsid w:val="00A87AFB"/>
    <w:rsid w:val="00A905BC"/>
    <w:rsid w:val="00A9080F"/>
    <w:rsid w:val="00A90A4F"/>
    <w:rsid w:val="00A9139D"/>
    <w:rsid w:val="00A91566"/>
    <w:rsid w:val="00A917C3"/>
    <w:rsid w:val="00A919C0"/>
    <w:rsid w:val="00A91BFE"/>
    <w:rsid w:val="00A9212F"/>
    <w:rsid w:val="00A92240"/>
    <w:rsid w:val="00A93048"/>
    <w:rsid w:val="00A9312E"/>
    <w:rsid w:val="00A931DE"/>
    <w:rsid w:val="00A934C0"/>
    <w:rsid w:val="00A93D89"/>
    <w:rsid w:val="00A94D28"/>
    <w:rsid w:val="00A95A99"/>
    <w:rsid w:val="00A95AE6"/>
    <w:rsid w:val="00A95BC1"/>
    <w:rsid w:val="00A95BFE"/>
    <w:rsid w:val="00A95EB3"/>
    <w:rsid w:val="00A964C1"/>
    <w:rsid w:val="00A97013"/>
    <w:rsid w:val="00A9709B"/>
    <w:rsid w:val="00A97180"/>
    <w:rsid w:val="00AA095C"/>
    <w:rsid w:val="00AA1034"/>
    <w:rsid w:val="00AA146D"/>
    <w:rsid w:val="00AA1A34"/>
    <w:rsid w:val="00AA2732"/>
    <w:rsid w:val="00AA30E3"/>
    <w:rsid w:val="00AA3782"/>
    <w:rsid w:val="00AA392F"/>
    <w:rsid w:val="00AA3BE3"/>
    <w:rsid w:val="00AA3D38"/>
    <w:rsid w:val="00AA475D"/>
    <w:rsid w:val="00AA47F0"/>
    <w:rsid w:val="00AA4A4A"/>
    <w:rsid w:val="00AA542B"/>
    <w:rsid w:val="00AA548E"/>
    <w:rsid w:val="00AA566E"/>
    <w:rsid w:val="00AA5C5A"/>
    <w:rsid w:val="00AA5D22"/>
    <w:rsid w:val="00AA5FD8"/>
    <w:rsid w:val="00AA6178"/>
    <w:rsid w:val="00AA66D4"/>
    <w:rsid w:val="00AA674D"/>
    <w:rsid w:val="00AA7172"/>
    <w:rsid w:val="00AB1229"/>
    <w:rsid w:val="00AB16D6"/>
    <w:rsid w:val="00AB1A60"/>
    <w:rsid w:val="00AB1AB4"/>
    <w:rsid w:val="00AB1B60"/>
    <w:rsid w:val="00AB2251"/>
    <w:rsid w:val="00AB236F"/>
    <w:rsid w:val="00AB2C4F"/>
    <w:rsid w:val="00AB308B"/>
    <w:rsid w:val="00AB3242"/>
    <w:rsid w:val="00AB3254"/>
    <w:rsid w:val="00AB3ED9"/>
    <w:rsid w:val="00AB4192"/>
    <w:rsid w:val="00AB4E45"/>
    <w:rsid w:val="00AB4FFC"/>
    <w:rsid w:val="00AB5161"/>
    <w:rsid w:val="00AB5272"/>
    <w:rsid w:val="00AB5C6C"/>
    <w:rsid w:val="00AB5F73"/>
    <w:rsid w:val="00AB61FB"/>
    <w:rsid w:val="00AB67EF"/>
    <w:rsid w:val="00AB689D"/>
    <w:rsid w:val="00AB6968"/>
    <w:rsid w:val="00AB7A85"/>
    <w:rsid w:val="00AC014D"/>
    <w:rsid w:val="00AC017E"/>
    <w:rsid w:val="00AC0825"/>
    <w:rsid w:val="00AC0E59"/>
    <w:rsid w:val="00AC10E1"/>
    <w:rsid w:val="00AC2118"/>
    <w:rsid w:val="00AC256D"/>
    <w:rsid w:val="00AC2576"/>
    <w:rsid w:val="00AC26EB"/>
    <w:rsid w:val="00AC2E31"/>
    <w:rsid w:val="00AC368A"/>
    <w:rsid w:val="00AC384F"/>
    <w:rsid w:val="00AC3874"/>
    <w:rsid w:val="00AC3EE5"/>
    <w:rsid w:val="00AC409E"/>
    <w:rsid w:val="00AC415E"/>
    <w:rsid w:val="00AC4224"/>
    <w:rsid w:val="00AC43E5"/>
    <w:rsid w:val="00AC44FD"/>
    <w:rsid w:val="00AC4886"/>
    <w:rsid w:val="00AC48DF"/>
    <w:rsid w:val="00AC4CF4"/>
    <w:rsid w:val="00AC4D48"/>
    <w:rsid w:val="00AC4FFA"/>
    <w:rsid w:val="00AC5F71"/>
    <w:rsid w:val="00AC7204"/>
    <w:rsid w:val="00AC7270"/>
    <w:rsid w:val="00AC7EA1"/>
    <w:rsid w:val="00AD044B"/>
    <w:rsid w:val="00AD07F3"/>
    <w:rsid w:val="00AD0925"/>
    <w:rsid w:val="00AD0B76"/>
    <w:rsid w:val="00AD12A0"/>
    <w:rsid w:val="00AD13C5"/>
    <w:rsid w:val="00AD14B6"/>
    <w:rsid w:val="00AD1543"/>
    <w:rsid w:val="00AD1F22"/>
    <w:rsid w:val="00AD2DD2"/>
    <w:rsid w:val="00AD35A0"/>
    <w:rsid w:val="00AD392C"/>
    <w:rsid w:val="00AD3C01"/>
    <w:rsid w:val="00AD41AA"/>
    <w:rsid w:val="00AD445A"/>
    <w:rsid w:val="00AD48FA"/>
    <w:rsid w:val="00AD4F26"/>
    <w:rsid w:val="00AD514A"/>
    <w:rsid w:val="00AD5B9F"/>
    <w:rsid w:val="00AD5E93"/>
    <w:rsid w:val="00AD672D"/>
    <w:rsid w:val="00AD6AD2"/>
    <w:rsid w:val="00AD6ADC"/>
    <w:rsid w:val="00AD6DA9"/>
    <w:rsid w:val="00AD6F59"/>
    <w:rsid w:val="00AD749D"/>
    <w:rsid w:val="00AD7BDA"/>
    <w:rsid w:val="00AD7D0B"/>
    <w:rsid w:val="00AD7FA9"/>
    <w:rsid w:val="00AE0208"/>
    <w:rsid w:val="00AE0324"/>
    <w:rsid w:val="00AE0570"/>
    <w:rsid w:val="00AE05A4"/>
    <w:rsid w:val="00AE06C5"/>
    <w:rsid w:val="00AE0772"/>
    <w:rsid w:val="00AE08EE"/>
    <w:rsid w:val="00AE1258"/>
    <w:rsid w:val="00AE1556"/>
    <w:rsid w:val="00AE20FA"/>
    <w:rsid w:val="00AE22A4"/>
    <w:rsid w:val="00AE23CA"/>
    <w:rsid w:val="00AE3106"/>
    <w:rsid w:val="00AE3171"/>
    <w:rsid w:val="00AE32D0"/>
    <w:rsid w:val="00AE393A"/>
    <w:rsid w:val="00AE3A35"/>
    <w:rsid w:val="00AE43F0"/>
    <w:rsid w:val="00AE4AE8"/>
    <w:rsid w:val="00AE4B05"/>
    <w:rsid w:val="00AE4CFB"/>
    <w:rsid w:val="00AE5246"/>
    <w:rsid w:val="00AE5397"/>
    <w:rsid w:val="00AE583F"/>
    <w:rsid w:val="00AE5BCC"/>
    <w:rsid w:val="00AE5EBD"/>
    <w:rsid w:val="00AE665F"/>
    <w:rsid w:val="00AE67D7"/>
    <w:rsid w:val="00AE7537"/>
    <w:rsid w:val="00AE7A50"/>
    <w:rsid w:val="00AE7DAD"/>
    <w:rsid w:val="00AE7E41"/>
    <w:rsid w:val="00AF03C9"/>
    <w:rsid w:val="00AF0428"/>
    <w:rsid w:val="00AF1944"/>
    <w:rsid w:val="00AF2109"/>
    <w:rsid w:val="00AF2FD3"/>
    <w:rsid w:val="00AF33AD"/>
    <w:rsid w:val="00AF33E5"/>
    <w:rsid w:val="00AF33F7"/>
    <w:rsid w:val="00AF37DA"/>
    <w:rsid w:val="00AF3BFA"/>
    <w:rsid w:val="00AF3C97"/>
    <w:rsid w:val="00AF3E3E"/>
    <w:rsid w:val="00AF45A9"/>
    <w:rsid w:val="00AF4689"/>
    <w:rsid w:val="00AF4717"/>
    <w:rsid w:val="00AF48FA"/>
    <w:rsid w:val="00AF490E"/>
    <w:rsid w:val="00AF5107"/>
    <w:rsid w:val="00AF57F6"/>
    <w:rsid w:val="00AF5A90"/>
    <w:rsid w:val="00AF5BD8"/>
    <w:rsid w:val="00AF629B"/>
    <w:rsid w:val="00AF657B"/>
    <w:rsid w:val="00AF6CCC"/>
    <w:rsid w:val="00AF70EE"/>
    <w:rsid w:val="00AF7497"/>
    <w:rsid w:val="00B001D5"/>
    <w:rsid w:val="00B00BC3"/>
    <w:rsid w:val="00B011E9"/>
    <w:rsid w:val="00B01567"/>
    <w:rsid w:val="00B01CA0"/>
    <w:rsid w:val="00B01DB9"/>
    <w:rsid w:val="00B025AD"/>
    <w:rsid w:val="00B02BC7"/>
    <w:rsid w:val="00B039E4"/>
    <w:rsid w:val="00B03C85"/>
    <w:rsid w:val="00B040D7"/>
    <w:rsid w:val="00B04377"/>
    <w:rsid w:val="00B046E8"/>
    <w:rsid w:val="00B04796"/>
    <w:rsid w:val="00B049E4"/>
    <w:rsid w:val="00B04D8B"/>
    <w:rsid w:val="00B04EAE"/>
    <w:rsid w:val="00B05073"/>
    <w:rsid w:val="00B05869"/>
    <w:rsid w:val="00B05DE5"/>
    <w:rsid w:val="00B05F91"/>
    <w:rsid w:val="00B068F4"/>
    <w:rsid w:val="00B06D48"/>
    <w:rsid w:val="00B0705E"/>
    <w:rsid w:val="00B075DE"/>
    <w:rsid w:val="00B07B86"/>
    <w:rsid w:val="00B07E37"/>
    <w:rsid w:val="00B104A2"/>
    <w:rsid w:val="00B10905"/>
    <w:rsid w:val="00B11459"/>
    <w:rsid w:val="00B11D1A"/>
    <w:rsid w:val="00B11E5B"/>
    <w:rsid w:val="00B11FBE"/>
    <w:rsid w:val="00B1219F"/>
    <w:rsid w:val="00B1292C"/>
    <w:rsid w:val="00B12972"/>
    <w:rsid w:val="00B12E10"/>
    <w:rsid w:val="00B138D7"/>
    <w:rsid w:val="00B13C6F"/>
    <w:rsid w:val="00B142D8"/>
    <w:rsid w:val="00B146AF"/>
    <w:rsid w:val="00B147D1"/>
    <w:rsid w:val="00B14FF8"/>
    <w:rsid w:val="00B15DE2"/>
    <w:rsid w:val="00B1642B"/>
    <w:rsid w:val="00B16556"/>
    <w:rsid w:val="00B166C9"/>
    <w:rsid w:val="00B1691C"/>
    <w:rsid w:val="00B16AEC"/>
    <w:rsid w:val="00B16EE3"/>
    <w:rsid w:val="00B17041"/>
    <w:rsid w:val="00B179F4"/>
    <w:rsid w:val="00B210A2"/>
    <w:rsid w:val="00B216E3"/>
    <w:rsid w:val="00B217E8"/>
    <w:rsid w:val="00B2212A"/>
    <w:rsid w:val="00B227CE"/>
    <w:rsid w:val="00B22AE9"/>
    <w:rsid w:val="00B22E2B"/>
    <w:rsid w:val="00B23376"/>
    <w:rsid w:val="00B23540"/>
    <w:rsid w:val="00B23760"/>
    <w:rsid w:val="00B23886"/>
    <w:rsid w:val="00B24379"/>
    <w:rsid w:val="00B244EF"/>
    <w:rsid w:val="00B24B12"/>
    <w:rsid w:val="00B25583"/>
    <w:rsid w:val="00B258B2"/>
    <w:rsid w:val="00B258FE"/>
    <w:rsid w:val="00B26177"/>
    <w:rsid w:val="00B268F5"/>
    <w:rsid w:val="00B26BB7"/>
    <w:rsid w:val="00B272D6"/>
    <w:rsid w:val="00B27508"/>
    <w:rsid w:val="00B27CB0"/>
    <w:rsid w:val="00B27F4C"/>
    <w:rsid w:val="00B300CB"/>
    <w:rsid w:val="00B30888"/>
    <w:rsid w:val="00B3107C"/>
    <w:rsid w:val="00B31DC9"/>
    <w:rsid w:val="00B322B7"/>
    <w:rsid w:val="00B32953"/>
    <w:rsid w:val="00B32D74"/>
    <w:rsid w:val="00B33CAF"/>
    <w:rsid w:val="00B33D60"/>
    <w:rsid w:val="00B3442A"/>
    <w:rsid w:val="00B35B70"/>
    <w:rsid w:val="00B35E0E"/>
    <w:rsid w:val="00B3643A"/>
    <w:rsid w:val="00B365C8"/>
    <w:rsid w:val="00B36C27"/>
    <w:rsid w:val="00B37732"/>
    <w:rsid w:val="00B37FA7"/>
    <w:rsid w:val="00B40231"/>
    <w:rsid w:val="00B40829"/>
    <w:rsid w:val="00B40C99"/>
    <w:rsid w:val="00B41911"/>
    <w:rsid w:val="00B420E2"/>
    <w:rsid w:val="00B42596"/>
    <w:rsid w:val="00B42C93"/>
    <w:rsid w:val="00B43549"/>
    <w:rsid w:val="00B43AC4"/>
    <w:rsid w:val="00B43C69"/>
    <w:rsid w:val="00B43D7F"/>
    <w:rsid w:val="00B43DA9"/>
    <w:rsid w:val="00B43F68"/>
    <w:rsid w:val="00B4494A"/>
    <w:rsid w:val="00B46787"/>
    <w:rsid w:val="00B46EDC"/>
    <w:rsid w:val="00B4770B"/>
    <w:rsid w:val="00B47BF8"/>
    <w:rsid w:val="00B47E59"/>
    <w:rsid w:val="00B5019F"/>
    <w:rsid w:val="00B501B5"/>
    <w:rsid w:val="00B5066D"/>
    <w:rsid w:val="00B50753"/>
    <w:rsid w:val="00B508E9"/>
    <w:rsid w:val="00B50A32"/>
    <w:rsid w:val="00B50B22"/>
    <w:rsid w:val="00B50E07"/>
    <w:rsid w:val="00B51417"/>
    <w:rsid w:val="00B516C0"/>
    <w:rsid w:val="00B522AE"/>
    <w:rsid w:val="00B52783"/>
    <w:rsid w:val="00B52900"/>
    <w:rsid w:val="00B52B1B"/>
    <w:rsid w:val="00B52E2A"/>
    <w:rsid w:val="00B531F1"/>
    <w:rsid w:val="00B53A95"/>
    <w:rsid w:val="00B53CD2"/>
    <w:rsid w:val="00B54027"/>
    <w:rsid w:val="00B542EC"/>
    <w:rsid w:val="00B557BF"/>
    <w:rsid w:val="00B55F29"/>
    <w:rsid w:val="00B562F0"/>
    <w:rsid w:val="00B563E8"/>
    <w:rsid w:val="00B5685A"/>
    <w:rsid w:val="00B5691A"/>
    <w:rsid w:val="00B569EA"/>
    <w:rsid w:val="00B56E5D"/>
    <w:rsid w:val="00B57864"/>
    <w:rsid w:val="00B6001C"/>
    <w:rsid w:val="00B6065E"/>
    <w:rsid w:val="00B60F8C"/>
    <w:rsid w:val="00B6107E"/>
    <w:rsid w:val="00B61E37"/>
    <w:rsid w:val="00B6276E"/>
    <w:rsid w:val="00B627F6"/>
    <w:rsid w:val="00B62B41"/>
    <w:rsid w:val="00B6365C"/>
    <w:rsid w:val="00B63D91"/>
    <w:rsid w:val="00B6421D"/>
    <w:rsid w:val="00B64A07"/>
    <w:rsid w:val="00B64DA9"/>
    <w:rsid w:val="00B64F3F"/>
    <w:rsid w:val="00B65659"/>
    <w:rsid w:val="00B65C57"/>
    <w:rsid w:val="00B65CF3"/>
    <w:rsid w:val="00B660E4"/>
    <w:rsid w:val="00B661D5"/>
    <w:rsid w:val="00B665F9"/>
    <w:rsid w:val="00B66710"/>
    <w:rsid w:val="00B67A0E"/>
    <w:rsid w:val="00B67C76"/>
    <w:rsid w:val="00B70517"/>
    <w:rsid w:val="00B70F54"/>
    <w:rsid w:val="00B715C6"/>
    <w:rsid w:val="00B71808"/>
    <w:rsid w:val="00B71E5B"/>
    <w:rsid w:val="00B721A7"/>
    <w:rsid w:val="00B7265C"/>
    <w:rsid w:val="00B7354D"/>
    <w:rsid w:val="00B7470D"/>
    <w:rsid w:val="00B74EB8"/>
    <w:rsid w:val="00B75272"/>
    <w:rsid w:val="00B75330"/>
    <w:rsid w:val="00B754C5"/>
    <w:rsid w:val="00B75BB3"/>
    <w:rsid w:val="00B760F2"/>
    <w:rsid w:val="00B76878"/>
    <w:rsid w:val="00B76BFB"/>
    <w:rsid w:val="00B773AA"/>
    <w:rsid w:val="00B777CF"/>
    <w:rsid w:val="00B77CAA"/>
    <w:rsid w:val="00B77CC0"/>
    <w:rsid w:val="00B802C9"/>
    <w:rsid w:val="00B8045B"/>
    <w:rsid w:val="00B80669"/>
    <w:rsid w:val="00B80767"/>
    <w:rsid w:val="00B81F2C"/>
    <w:rsid w:val="00B8210E"/>
    <w:rsid w:val="00B82945"/>
    <w:rsid w:val="00B831D5"/>
    <w:rsid w:val="00B8325D"/>
    <w:rsid w:val="00B83641"/>
    <w:rsid w:val="00B84B13"/>
    <w:rsid w:val="00B8546D"/>
    <w:rsid w:val="00B85871"/>
    <w:rsid w:val="00B85B46"/>
    <w:rsid w:val="00B85B7B"/>
    <w:rsid w:val="00B85E95"/>
    <w:rsid w:val="00B85EED"/>
    <w:rsid w:val="00B86338"/>
    <w:rsid w:val="00B869A7"/>
    <w:rsid w:val="00B86FB0"/>
    <w:rsid w:val="00B875C0"/>
    <w:rsid w:val="00B90A33"/>
    <w:rsid w:val="00B910B2"/>
    <w:rsid w:val="00B910EF"/>
    <w:rsid w:val="00B9185F"/>
    <w:rsid w:val="00B91880"/>
    <w:rsid w:val="00B91FA2"/>
    <w:rsid w:val="00B922CA"/>
    <w:rsid w:val="00B925D0"/>
    <w:rsid w:val="00B9280A"/>
    <w:rsid w:val="00B92E00"/>
    <w:rsid w:val="00B932FF"/>
    <w:rsid w:val="00B937B8"/>
    <w:rsid w:val="00B942F5"/>
    <w:rsid w:val="00B94382"/>
    <w:rsid w:val="00B94B0C"/>
    <w:rsid w:val="00B94B34"/>
    <w:rsid w:val="00B94D93"/>
    <w:rsid w:val="00B950E0"/>
    <w:rsid w:val="00B953B7"/>
    <w:rsid w:val="00B95871"/>
    <w:rsid w:val="00B958C0"/>
    <w:rsid w:val="00B95925"/>
    <w:rsid w:val="00B95D2E"/>
    <w:rsid w:val="00B95EBF"/>
    <w:rsid w:val="00B96020"/>
    <w:rsid w:val="00B96A3D"/>
    <w:rsid w:val="00B96FC5"/>
    <w:rsid w:val="00B977B0"/>
    <w:rsid w:val="00B97B60"/>
    <w:rsid w:val="00BA0F05"/>
    <w:rsid w:val="00BA1111"/>
    <w:rsid w:val="00BA2053"/>
    <w:rsid w:val="00BA215B"/>
    <w:rsid w:val="00BA225F"/>
    <w:rsid w:val="00BA24D2"/>
    <w:rsid w:val="00BA293F"/>
    <w:rsid w:val="00BA29F9"/>
    <w:rsid w:val="00BA2AE9"/>
    <w:rsid w:val="00BA3102"/>
    <w:rsid w:val="00BA3167"/>
    <w:rsid w:val="00BA3B2B"/>
    <w:rsid w:val="00BA4149"/>
    <w:rsid w:val="00BA4398"/>
    <w:rsid w:val="00BA4EA6"/>
    <w:rsid w:val="00BA581B"/>
    <w:rsid w:val="00BA587C"/>
    <w:rsid w:val="00BA58A8"/>
    <w:rsid w:val="00BA598F"/>
    <w:rsid w:val="00BA5A2F"/>
    <w:rsid w:val="00BA6146"/>
    <w:rsid w:val="00BA657A"/>
    <w:rsid w:val="00BA698B"/>
    <w:rsid w:val="00BA6A42"/>
    <w:rsid w:val="00BA6F6F"/>
    <w:rsid w:val="00BA7ECD"/>
    <w:rsid w:val="00BB0534"/>
    <w:rsid w:val="00BB0D4F"/>
    <w:rsid w:val="00BB0DB8"/>
    <w:rsid w:val="00BB0F8F"/>
    <w:rsid w:val="00BB13D7"/>
    <w:rsid w:val="00BB1979"/>
    <w:rsid w:val="00BB1A39"/>
    <w:rsid w:val="00BB1F73"/>
    <w:rsid w:val="00BB28EE"/>
    <w:rsid w:val="00BB2C8C"/>
    <w:rsid w:val="00BB332F"/>
    <w:rsid w:val="00BB348E"/>
    <w:rsid w:val="00BB354F"/>
    <w:rsid w:val="00BB36A8"/>
    <w:rsid w:val="00BB3955"/>
    <w:rsid w:val="00BB43D6"/>
    <w:rsid w:val="00BB4777"/>
    <w:rsid w:val="00BB4C3E"/>
    <w:rsid w:val="00BB4EEB"/>
    <w:rsid w:val="00BB5518"/>
    <w:rsid w:val="00BB5B0A"/>
    <w:rsid w:val="00BB633C"/>
    <w:rsid w:val="00BC06C3"/>
    <w:rsid w:val="00BC1684"/>
    <w:rsid w:val="00BC1741"/>
    <w:rsid w:val="00BC1C70"/>
    <w:rsid w:val="00BC1D33"/>
    <w:rsid w:val="00BC38BA"/>
    <w:rsid w:val="00BC39FB"/>
    <w:rsid w:val="00BC4B1E"/>
    <w:rsid w:val="00BC4D0C"/>
    <w:rsid w:val="00BC55DE"/>
    <w:rsid w:val="00BC5698"/>
    <w:rsid w:val="00BC5739"/>
    <w:rsid w:val="00BC5795"/>
    <w:rsid w:val="00BC5C7E"/>
    <w:rsid w:val="00BC6485"/>
    <w:rsid w:val="00BC64EB"/>
    <w:rsid w:val="00BC72C6"/>
    <w:rsid w:val="00BD0BDE"/>
    <w:rsid w:val="00BD14E9"/>
    <w:rsid w:val="00BD1543"/>
    <w:rsid w:val="00BD192C"/>
    <w:rsid w:val="00BD1988"/>
    <w:rsid w:val="00BD3DC7"/>
    <w:rsid w:val="00BD4596"/>
    <w:rsid w:val="00BD4AA6"/>
    <w:rsid w:val="00BD4FD8"/>
    <w:rsid w:val="00BD5936"/>
    <w:rsid w:val="00BD6365"/>
    <w:rsid w:val="00BD66D4"/>
    <w:rsid w:val="00BD673C"/>
    <w:rsid w:val="00BD6F9D"/>
    <w:rsid w:val="00BD7937"/>
    <w:rsid w:val="00BE0CF1"/>
    <w:rsid w:val="00BE0F67"/>
    <w:rsid w:val="00BE117F"/>
    <w:rsid w:val="00BE17D6"/>
    <w:rsid w:val="00BE1981"/>
    <w:rsid w:val="00BE1EEA"/>
    <w:rsid w:val="00BE206F"/>
    <w:rsid w:val="00BE224A"/>
    <w:rsid w:val="00BE25C9"/>
    <w:rsid w:val="00BE2783"/>
    <w:rsid w:val="00BE37E1"/>
    <w:rsid w:val="00BE5142"/>
    <w:rsid w:val="00BE5E89"/>
    <w:rsid w:val="00BE60B9"/>
    <w:rsid w:val="00BE67B5"/>
    <w:rsid w:val="00BE6BBF"/>
    <w:rsid w:val="00BE78A4"/>
    <w:rsid w:val="00BE7B5C"/>
    <w:rsid w:val="00BF05B1"/>
    <w:rsid w:val="00BF0643"/>
    <w:rsid w:val="00BF0E4E"/>
    <w:rsid w:val="00BF1182"/>
    <w:rsid w:val="00BF1720"/>
    <w:rsid w:val="00BF2383"/>
    <w:rsid w:val="00BF2A42"/>
    <w:rsid w:val="00BF38A9"/>
    <w:rsid w:val="00BF402D"/>
    <w:rsid w:val="00BF4C43"/>
    <w:rsid w:val="00BF4E75"/>
    <w:rsid w:val="00BF4ED1"/>
    <w:rsid w:val="00BF50E3"/>
    <w:rsid w:val="00BF5113"/>
    <w:rsid w:val="00BF5624"/>
    <w:rsid w:val="00BF58BA"/>
    <w:rsid w:val="00BF5DD2"/>
    <w:rsid w:val="00BF6855"/>
    <w:rsid w:val="00BF6B5C"/>
    <w:rsid w:val="00BF6E40"/>
    <w:rsid w:val="00BF7406"/>
    <w:rsid w:val="00BF778F"/>
    <w:rsid w:val="00BF786B"/>
    <w:rsid w:val="00BF79C6"/>
    <w:rsid w:val="00BF7BAE"/>
    <w:rsid w:val="00BF7D4A"/>
    <w:rsid w:val="00BF7F2C"/>
    <w:rsid w:val="00C00A61"/>
    <w:rsid w:val="00C017BF"/>
    <w:rsid w:val="00C01F64"/>
    <w:rsid w:val="00C020D4"/>
    <w:rsid w:val="00C027B9"/>
    <w:rsid w:val="00C027EA"/>
    <w:rsid w:val="00C02891"/>
    <w:rsid w:val="00C02983"/>
    <w:rsid w:val="00C03981"/>
    <w:rsid w:val="00C039C7"/>
    <w:rsid w:val="00C03B54"/>
    <w:rsid w:val="00C03CF9"/>
    <w:rsid w:val="00C03E9D"/>
    <w:rsid w:val="00C04218"/>
    <w:rsid w:val="00C055F3"/>
    <w:rsid w:val="00C057EB"/>
    <w:rsid w:val="00C059E8"/>
    <w:rsid w:val="00C0680D"/>
    <w:rsid w:val="00C069AC"/>
    <w:rsid w:val="00C07042"/>
    <w:rsid w:val="00C0704F"/>
    <w:rsid w:val="00C07844"/>
    <w:rsid w:val="00C104D7"/>
    <w:rsid w:val="00C1076A"/>
    <w:rsid w:val="00C108DA"/>
    <w:rsid w:val="00C10A3C"/>
    <w:rsid w:val="00C10C95"/>
    <w:rsid w:val="00C11117"/>
    <w:rsid w:val="00C111FD"/>
    <w:rsid w:val="00C11B45"/>
    <w:rsid w:val="00C11E3E"/>
    <w:rsid w:val="00C12175"/>
    <w:rsid w:val="00C127AE"/>
    <w:rsid w:val="00C12948"/>
    <w:rsid w:val="00C13193"/>
    <w:rsid w:val="00C136E9"/>
    <w:rsid w:val="00C1391F"/>
    <w:rsid w:val="00C140E4"/>
    <w:rsid w:val="00C14348"/>
    <w:rsid w:val="00C147E6"/>
    <w:rsid w:val="00C14AB0"/>
    <w:rsid w:val="00C14C88"/>
    <w:rsid w:val="00C15225"/>
    <w:rsid w:val="00C15CEE"/>
    <w:rsid w:val="00C15E9D"/>
    <w:rsid w:val="00C167D1"/>
    <w:rsid w:val="00C169D0"/>
    <w:rsid w:val="00C16E36"/>
    <w:rsid w:val="00C1713A"/>
    <w:rsid w:val="00C1715A"/>
    <w:rsid w:val="00C17832"/>
    <w:rsid w:val="00C17B65"/>
    <w:rsid w:val="00C17BA7"/>
    <w:rsid w:val="00C17D14"/>
    <w:rsid w:val="00C17D3D"/>
    <w:rsid w:val="00C20182"/>
    <w:rsid w:val="00C20579"/>
    <w:rsid w:val="00C20DFA"/>
    <w:rsid w:val="00C212AB"/>
    <w:rsid w:val="00C214F0"/>
    <w:rsid w:val="00C21766"/>
    <w:rsid w:val="00C21C3F"/>
    <w:rsid w:val="00C2205D"/>
    <w:rsid w:val="00C220CA"/>
    <w:rsid w:val="00C23CDB"/>
    <w:rsid w:val="00C240E8"/>
    <w:rsid w:val="00C2425F"/>
    <w:rsid w:val="00C246E7"/>
    <w:rsid w:val="00C248FA"/>
    <w:rsid w:val="00C24F2C"/>
    <w:rsid w:val="00C25BD1"/>
    <w:rsid w:val="00C26422"/>
    <w:rsid w:val="00C26664"/>
    <w:rsid w:val="00C26939"/>
    <w:rsid w:val="00C26C7C"/>
    <w:rsid w:val="00C26CC7"/>
    <w:rsid w:val="00C26E03"/>
    <w:rsid w:val="00C27D5F"/>
    <w:rsid w:val="00C31604"/>
    <w:rsid w:val="00C31A6D"/>
    <w:rsid w:val="00C31CD1"/>
    <w:rsid w:val="00C31DE6"/>
    <w:rsid w:val="00C31E4B"/>
    <w:rsid w:val="00C32329"/>
    <w:rsid w:val="00C3269F"/>
    <w:rsid w:val="00C3288D"/>
    <w:rsid w:val="00C32A58"/>
    <w:rsid w:val="00C32E4D"/>
    <w:rsid w:val="00C33CEB"/>
    <w:rsid w:val="00C34062"/>
    <w:rsid w:val="00C342DB"/>
    <w:rsid w:val="00C34DE5"/>
    <w:rsid w:val="00C35D7A"/>
    <w:rsid w:val="00C36ADD"/>
    <w:rsid w:val="00C40EF8"/>
    <w:rsid w:val="00C4167E"/>
    <w:rsid w:val="00C41A46"/>
    <w:rsid w:val="00C41E55"/>
    <w:rsid w:val="00C42785"/>
    <w:rsid w:val="00C43B77"/>
    <w:rsid w:val="00C43CFD"/>
    <w:rsid w:val="00C4501C"/>
    <w:rsid w:val="00C45177"/>
    <w:rsid w:val="00C45243"/>
    <w:rsid w:val="00C45553"/>
    <w:rsid w:val="00C467B1"/>
    <w:rsid w:val="00C4681F"/>
    <w:rsid w:val="00C46920"/>
    <w:rsid w:val="00C47823"/>
    <w:rsid w:val="00C47928"/>
    <w:rsid w:val="00C47E6F"/>
    <w:rsid w:val="00C47E7D"/>
    <w:rsid w:val="00C51200"/>
    <w:rsid w:val="00C514F0"/>
    <w:rsid w:val="00C519B4"/>
    <w:rsid w:val="00C51D6F"/>
    <w:rsid w:val="00C51F61"/>
    <w:rsid w:val="00C52184"/>
    <w:rsid w:val="00C52470"/>
    <w:rsid w:val="00C524CB"/>
    <w:rsid w:val="00C5255F"/>
    <w:rsid w:val="00C53234"/>
    <w:rsid w:val="00C53370"/>
    <w:rsid w:val="00C53989"/>
    <w:rsid w:val="00C53E83"/>
    <w:rsid w:val="00C53F90"/>
    <w:rsid w:val="00C53FE9"/>
    <w:rsid w:val="00C54BAD"/>
    <w:rsid w:val="00C54F52"/>
    <w:rsid w:val="00C553B7"/>
    <w:rsid w:val="00C5583B"/>
    <w:rsid w:val="00C56464"/>
    <w:rsid w:val="00C56588"/>
    <w:rsid w:val="00C56B26"/>
    <w:rsid w:val="00C5798E"/>
    <w:rsid w:val="00C57D4A"/>
    <w:rsid w:val="00C57D9E"/>
    <w:rsid w:val="00C60685"/>
    <w:rsid w:val="00C6072E"/>
    <w:rsid w:val="00C60A09"/>
    <w:rsid w:val="00C60B0C"/>
    <w:rsid w:val="00C60BD4"/>
    <w:rsid w:val="00C60D78"/>
    <w:rsid w:val="00C60DA1"/>
    <w:rsid w:val="00C61808"/>
    <w:rsid w:val="00C6198E"/>
    <w:rsid w:val="00C621DC"/>
    <w:rsid w:val="00C63458"/>
    <w:rsid w:val="00C6364C"/>
    <w:rsid w:val="00C636FF"/>
    <w:rsid w:val="00C65356"/>
    <w:rsid w:val="00C65465"/>
    <w:rsid w:val="00C65A41"/>
    <w:rsid w:val="00C65C48"/>
    <w:rsid w:val="00C66238"/>
    <w:rsid w:val="00C66C6C"/>
    <w:rsid w:val="00C66E06"/>
    <w:rsid w:val="00C67C95"/>
    <w:rsid w:val="00C67EE6"/>
    <w:rsid w:val="00C70497"/>
    <w:rsid w:val="00C708DA"/>
    <w:rsid w:val="00C70C76"/>
    <w:rsid w:val="00C70D5A"/>
    <w:rsid w:val="00C71284"/>
    <w:rsid w:val="00C7181C"/>
    <w:rsid w:val="00C718FD"/>
    <w:rsid w:val="00C71C63"/>
    <w:rsid w:val="00C72121"/>
    <w:rsid w:val="00C72325"/>
    <w:rsid w:val="00C72DC6"/>
    <w:rsid w:val="00C7307F"/>
    <w:rsid w:val="00C734CD"/>
    <w:rsid w:val="00C7375E"/>
    <w:rsid w:val="00C73FF8"/>
    <w:rsid w:val="00C742DD"/>
    <w:rsid w:val="00C7439F"/>
    <w:rsid w:val="00C7463A"/>
    <w:rsid w:val="00C747A4"/>
    <w:rsid w:val="00C74970"/>
    <w:rsid w:val="00C74CA2"/>
    <w:rsid w:val="00C756E0"/>
    <w:rsid w:val="00C75804"/>
    <w:rsid w:val="00C75C2A"/>
    <w:rsid w:val="00C75D5C"/>
    <w:rsid w:val="00C7667D"/>
    <w:rsid w:val="00C76A6F"/>
    <w:rsid w:val="00C76E90"/>
    <w:rsid w:val="00C76F83"/>
    <w:rsid w:val="00C772D1"/>
    <w:rsid w:val="00C77CE6"/>
    <w:rsid w:val="00C77E8A"/>
    <w:rsid w:val="00C77F0E"/>
    <w:rsid w:val="00C804ED"/>
    <w:rsid w:val="00C805FE"/>
    <w:rsid w:val="00C8064E"/>
    <w:rsid w:val="00C80D4C"/>
    <w:rsid w:val="00C80EE7"/>
    <w:rsid w:val="00C8135C"/>
    <w:rsid w:val="00C814F5"/>
    <w:rsid w:val="00C818DA"/>
    <w:rsid w:val="00C81A9A"/>
    <w:rsid w:val="00C81DC5"/>
    <w:rsid w:val="00C81F24"/>
    <w:rsid w:val="00C8362B"/>
    <w:rsid w:val="00C836AC"/>
    <w:rsid w:val="00C854A9"/>
    <w:rsid w:val="00C863FA"/>
    <w:rsid w:val="00C869F3"/>
    <w:rsid w:val="00C86EE0"/>
    <w:rsid w:val="00C87312"/>
    <w:rsid w:val="00C87B7D"/>
    <w:rsid w:val="00C87CC9"/>
    <w:rsid w:val="00C87FD2"/>
    <w:rsid w:val="00C87FE6"/>
    <w:rsid w:val="00C90280"/>
    <w:rsid w:val="00C90F7B"/>
    <w:rsid w:val="00C91119"/>
    <w:rsid w:val="00C91249"/>
    <w:rsid w:val="00C92D22"/>
    <w:rsid w:val="00C92D4F"/>
    <w:rsid w:val="00C93084"/>
    <w:rsid w:val="00C932C8"/>
    <w:rsid w:val="00C93B18"/>
    <w:rsid w:val="00C942E5"/>
    <w:rsid w:val="00C9448E"/>
    <w:rsid w:val="00C94848"/>
    <w:rsid w:val="00C94867"/>
    <w:rsid w:val="00C9495E"/>
    <w:rsid w:val="00C94E7E"/>
    <w:rsid w:val="00C96381"/>
    <w:rsid w:val="00C97694"/>
    <w:rsid w:val="00C97C9B"/>
    <w:rsid w:val="00CA0008"/>
    <w:rsid w:val="00CA08AE"/>
    <w:rsid w:val="00CA0E3A"/>
    <w:rsid w:val="00CA12F4"/>
    <w:rsid w:val="00CA1C47"/>
    <w:rsid w:val="00CA213B"/>
    <w:rsid w:val="00CA240E"/>
    <w:rsid w:val="00CA3301"/>
    <w:rsid w:val="00CA3333"/>
    <w:rsid w:val="00CA43DE"/>
    <w:rsid w:val="00CA4F12"/>
    <w:rsid w:val="00CA5138"/>
    <w:rsid w:val="00CA5269"/>
    <w:rsid w:val="00CA5BCE"/>
    <w:rsid w:val="00CA640B"/>
    <w:rsid w:val="00CA6A22"/>
    <w:rsid w:val="00CA6CB1"/>
    <w:rsid w:val="00CA6E12"/>
    <w:rsid w:val="00CA6EFE"/>
    <w:rsid w:val="00CA7045"/>
    <w:rsid w:val="00CA732F"/>
    <w:rsid w:val="00CA758C"/>
    <w:rsid w:val="00CA76A8"/>
    <w:rsid w:val="00CA79E1"/>
    <w:rsid w:val="00CA7A2C"/>
    <w:rsid w:val="00CA7EAC"/>
    <w:rsid w:val="00CB004D"/>
    <w:rsid w:val="00CB041D"/>
    <w:rsid w:val="00CB08D8"/>
    <w:rsid w:val="00CB0B3E"/>
    <w:rsid w:val="00CB0B66"/>
    <w:rsid w:val="00CB1109"/>
    <w:rsid w:val="00CB146B"/>
    <w:rsid w:val="00CB2009"/>
    <w:rsid w:val="00CB2048"/>
    <w:rsid w:val="00CB253A"/>
    <w:rsid w:val="00CB2ECB"/>
    <w:rsid w:val="00CB33EE"/>
    <w:rsid w:val="00CB34CC"/>
    <w:rsid w:val="00CB3627"/>
    <w:rsid w:val="00CB3981"/>
    <w:rsid w:val="00CB3BA5"/>
    <w:rsid w:val="00CB4045"/>
    <w:rsid w:val="00CB42F2"/>
    <w:rsid w:val="00CB4375"/>
    <w:rsid w:val="00CB4378"/>
    <w:rsid w:val="00CB44D9"/>
    <w:rsid w:val="00CB4618"/>
    <w:rsid w:val="00CB48A9"/>
    <w:rsid w:val="00CB4E97"/>
    <w:rsid w:val="00CB545A"/>
    <w:rsid w:val="00CB5595"/>
    <w:rsid w:val="00CB58FB"/>
    <w:rsid w:val="00CB59BA"/>
    <w:rsid w:val="00CB68D3"/>
    <w:rsid w:val="00CB6FF7"/>
    <w:rsid w:val="00CB7E78"/>
    <w:rsid w:val="00CC04CB"/>
    <w:rsid w:val="00CC078B"/>
    <w:rsid w:val="00CC135B"/>
    <w:rsid w:val="00CC14C4"/>
    <w:rsid w:val="00CC1901"/>
    <w:rsid w:val="00CC26ED"/>
    <w:rsid w:val="00CC2903"/>
    <w:rsid w:val="00CC2E23"/>
    <w:rsid w:val="00CC2FEB"/>
    <w:rsid w:val="00CC3165"/>
    <w:rsid w:val="00CC33EB"/>
    <w:rsid w:val="00CC38AC"/>
    <w:rsid w:val="00CC3E35"/>
    <w:rsid w:val="00CC4698"/>
    <w:rsid w:val="00CC48DF"/>
    <w:rsid w:val="00CC4A1A"/>
    <w:rsid w:val="00CC4EAB"/>
    <w:rsid w:val="00CC528A"/>
    <w:rsid w:val="00CC5420"/>
    <w:rsid w:val="00CC5527"/>
    <w:rsid w:val="00CC5C96"/>
    <w:rsid w:val="00CC60B5"/>
    <w:rsid w:val="00CC61CF"/>
    <w:rsid w:val="00CC71BC"/>
    <w:rsid w:val="00CC77A3"/>
    <w:rsid w:val="00CD0FD3"/>
    <w:rsid w:val="00CD13DB"/>
    <w:rsid w:val="00CD1C68"/>
    <w:rsid w:val="00CD2372"/>
    <w:rsid w:val="00CD2663"/>
    <w:rsid w:val="00CD2E6C"/>
    <w:rsid w:val="00CD2F8C"/>
    <w:rsid w:val="00CD32A8"/>
    <w:rsid w:val="00CD4146"/>
    <w:rsid w:val="00CD423D"/>
    <w:rsid w:val="00CD5356"/>
    <w:rsid w:val="00CD5B78"/>
    <w:rsid w:val="00CD610A"/>
    <w:rsid w:val="00CD6191"/>
    <w:rsid w:val="00CD6696"/>
    <w:rsid w:val="00CD682B"/>
    <w:rsid w:val="00CD71ED"/>
    <w:rsid w:val="00CD7494"/>
    <w:rsid w:val="00CD74A3"/>
    <w:rsid w:val="00CD754D"/>
    <w:rsid w:val="00CD7F80"/>
    <w:rsid w:val="00CE01AD"/>
    <w:rsid w:val="00CE02AD"/>
    <w:rsid w:val="00CE053C"/>
    <w:rsid w:val="00CE080E"/>
    <w:rsid w:val="00CE09E5"/>
    <w:rsid w:val="00CE0F26"/>
    <w:rsid w:val="00CE0FFA"/>
    <w:rsid w:val="00CE10E3"/>
    <w:rsid w:val="00CE186F"/>
    <w:rsid w:val="00CE19DF"/>
    <w:rsid w:val="00CE1AFC"/>
    <w:rsid w:val="00CE1D00"/>
    <w:rsid w:val="00CE1F2C"/>
    <w:rsid w:val="00CE21D3"/>
    <w:rsid w:val="00CE23AA"/>
    <w:rsid w:val="00CE295E"/>
    <w:rsid w:val="00CE2A7A"/>
    <w:rsid w:val="00CE2B42"/>
    <w:rsid w:val="00CE319B"/>
    <w:rsid w:val="00CE33A1"/>
    <w:rsid w:val="00CE40E3"/>
    <w:rsid w:val="00CE4A86"/>
    <w:rsid w:val="00CE4C73"/>
    <w:rsid w:val="00CE4CAE"/>
    <w:rsid w:val="00CE55DA"/>
    <w:rsid w:val="00CE58D6"/>
    <w:rsid w:val="00CE58EE"/>
    <w:rsid w:val="00CE59BD"/>
    <w:rsid w:val="00CE59C4"/>
    <w:rsid w:val="00CE5BEF"/>
    <w:rsid w:val="00CE69C0"/>
    <w:rsid w:val="00CE6ECC"/>
    <w:rsid w:val="00CE6FF7"/>
    <w:rsid w:val="00CE79D6"/>
    <w:rsid w:val="00CE7D0F"/>
    <w:rsid w:val="00CF0C7E"/>
    <w:rsid w:val="00CF0CD9"/>
    <w:rsid w:val="00CF0E65"/>
    <w:rsid w:val="00CF1695"/>
    <w:rsid w:val="00CF22DD"/>
    <w:rsid w:val="00CF2CFB"/>
    <w:rsid w:val="00CF38F4"/>
    <w:rsid w:val="00CF44B5"/>
    <w:rsid w:val="00CF4A87"/>
    <w:rsid w:val="00CF5879"/>
    <w:rsid w:val="00CF59CA"/>
    <w:rsid w:val="00CF6011"/>
    <w:rsid w:val="00CF6517"/>
    <w:rsid w:val="00CF6CBB"/>
    <w:rsid w:val="00CF7AC7"/>
    <w:rsid w:val="00D00375"/>
    <w:rsid w:val="00D00717"/>
    <w:rsid w:val="00D00EFD"/>
    <w:rsid w:val="00D00F94"/>
    <w:rsid w:val="00D018F9"/>
    <w:rsid w:val="00D01E0F"/>
    <w:rsid w:val="00D022DC"/>
    <w:rsid w:val="00D0253C"/>
    <w:rsid w:val="00D02544"/>
    <w:rsid w:val="00D02A89"/>
    <w:rsid w:val="00D03590"/>
    <w:rsid w:val="00D03820"/>
    <w:rsid w:val="00D03832"/>
    <w:rsid w:val="00D03D7B"/>
    <w:rsid w:val="00D04203"/>
    <w:rsid w:val="00D046C9"/>
    <w:rsid w:val="00D046DE"/>
    <w:rsid w:val="00D04914"/>
    <w:rsid w:val="00D04E78"/>
    <w:rsid w:val="00D05183"/>
    <w:rsid w:val="00D05704"/>
    <w:rsid w:val="00D059E2"/>
    <w:rsid w:val="00D061D1"/>
    <w:rsid w:val="00D06847"/>
    <w:rsid w:val="00D06B17"/>
    <w:rsid w:val="00D06BC9"/>
    <w:rsid w:val="00D06DB9"/>
    <w:rsid w:val="00D07BB7"/>
    <w:rsid w:val="00D07BDF"/>
    <w:rsid w:val="00D100CF"/>
    <w:rsid w:val="00D10142"/>
    <w:rsid w:val="00D10BE7"/>
    <w:rsid w:val="00D11933"/>
    <w:rsid w:val="00D11F99"/>
    <w:rsid w:val="00D12493"/>
    <w:rsid w:val="00D12660"/>
    <w:rsid w:val="00D126B1"/>
    <w:rsid w:val="00D12A3F"/>
    <w:rsid w:val="00D12C7A"/>
    <w:rsid w:val="00D139CA"/>
    <w:rsid w:val="00D14360"/>
    <w:rsid w:val="00D149B2"/>
    <w:rsid w:val="00D14A4E"/>
    <w:rsid w:val="00D14C72"/>
    <w:rsid w:val="00D14E14"/>
    <w:rsid w:val="00D14EF9"/>
    <w:rsid w:val="00D15416"/>
    <w:rsid w:val="00D15A58"/>
    <w:rsid w:val="00D1679B"/>
    <w:rsid w:val="00D167ED"/>
    <w:rsid w:val="00D16903"/>
    <w:rsid w:val="00D16C68"/>
    <w:rsid w:val="00D172CF"/>
    <w:rsid w:val="00D2066E"/>
    <w:rsid w:val="00D20734"/>
    <w:rsid w:val="00D20E5A"/>
    <w:rsid w:val="00D20F4F"/>
    <w:rsid w:val="00D214F7"/>
    <w:rsid w:val="00D22C5B"/>
    <w:rsid w:val="00D23966"/>
    <w:rsid w:val="00D23996"/>
    <w:rsid w:val="00D23D51"/>
    <w:rsid w:val="00D23EE9"/>
    <w:rsid w:val="00D25099"/>
    <w:rsid w:val="00D250CE"/>
    <w:rsid w:val="00D2517C"/>
    <w:rsid w:val="00D26754"/>
    <w:rsid w:val="00D26F00"/>
    <w:rsid w:val="00D27046"/>
    <w:rsid w:val="00D272E8"/>
    <w:rsid w:val="00D276A4"/>
    <w:rsid w:val="00D27A01"/>
    <w:rsid w:val="00D27E11"/>
    <w:rsid w:val="00D27F5C"/>
    <w:rsid w:val="00D300CF"/>
    <w:rsid w:val="00D30181"/>
    <w:rsid w:val="00D30B29"/>
    <w:rsid w:val="00D3106B"/>
    <w:rsid w:val="00D3192D"/>
    <w:rsid w:val="00D323D0"/>
    <w:rsid w:val="00D33130"/>
    <w:rsid w:val="00D33216"/>
    <w:rsid w:val="00D33525"/>
    <w:rsid w:val="00D338D1"/>
    <w:rsid w:val="00D340AC"/>
    <w:rsid w:val="00D340F2"/>
    <w:rsid w:val="00D3451F"/>
    <w:rsid w:val="00D345EF"/>
    <w:rsid w:val="00D3464C"/>
    <w:rsid w:val="00D34B5D"/>
    <w:rsid w:val="00D34D98"/>
    <w:rsid w:val="00D34E3D"/>
    <w:rsid w:val="00D3501F"/>
    <w:rsid w:val="00D35611"/>
    <w:rsid w:val="00D36068"/>
    <w:rsid w:val="00D36224"/>
    <w:rsid w:val="00D3657A"/>
    <w:rsid w:val="00D377DE"/>
    <w:rsid w:val="00D40746"/>
    <w:rsid w:val="00D41625"/>
    <w:rsid w:val="00D416AA"/>
    <w:rsid w:val="00D416F5"/>
    <w:rsid w:val="00D418CE"/>
    <w:rsid w:val="00D423CB"/>
    <w:rsid w:val="00D427DC"/>
    <w:rsid w:val="00D42EDC"/>
    <w:rsid w:val="00D436A0"/>
    <w:rsid w:val="00D44111"/>
    <w:rsid w:val="00D44324"/>
    <w:rsid w:val="00D444A1"/>
    <w:rsid w:val="00D44D6E"/>
    <w:rsid w:val="00D4515C"/>
    <w:rsid w:val="00D45899"/>
    <w:rsid w:val="00D462BC"/>
    <w:rsid w:val="00D4655A"/>
    <w:rsid w:val="00D4695C"/>
    <w:rsid w:val="00D46A93"/>
    <w:rsid w:val="00D46C75"/>
    <w:rsid w:val="00D47584"/>
    <w:rsid w:val="00D47961"/>
    <w:rsid w:val="00D50EE4"/>
    <w:rsid w:val="00D51155"/>
    <w:rsid w:val="00D512C0"/>
    <w:rsid w:val="00D515E9"/>
    <w:rsid w:val="00D517B7"/>
    <w:rsid w:val="00D51945"/>
    <w:rsid w:val="00D522BB"/>
    <w:rsid w:val="00D52B62"/>
    <w:rsid w:val="00D53045"/>
    <w:rsid w:val="00D532AA"/>
    <w:rsid w:val="00D53963"/>
    <w:rsid w:val="00D5474F"/>
    <w:rsid w:val="00D55056"/>
    <w:rsid w:val="00D55C15"/>
    <w:rsid w:val="00D56AA2"/>
    <w:rsid w:val="00D56AF9"/>
    <w:rsid w:val="00D56B30"/>
    <w:rsid w:val="00D56CBC"/>
    <w:rsid w:val="00D5724D"/>
    <w:rsid w:val="00D576A7"/>
    <w:rsid w:val="00D60592"/>
    <w:rsid w:val="00D6062D"/>
    <w:rsid w:val="00D61309"/>
    <w:rsid w:val="00D61493"/>
    <w:rsid w:val="00D61635"/>
    <w:rsid w:val="00D626A9"/>
    <w:rsid w:val="00D626C6"/>
    <w:rsid w:val="00D6273D"/>
    <w:rsid w:val="00D628C5"/>
    <w:rsid w:val="00D62F0C"/>
    <w:rsid w:val="00D63DB5"/>
    <w:rsid w:val="00D63E81"/>
    <w:rsid w:val="00D63EA8"/>
    <w:rsid w:val="00D643CE"/>
    <w:rsid w:val="00D64B3F"/>
    <w:rsid w:val="00D64BC5"/>
    <w:rsid w:val="00D65080"/>
    <w:rsid w:val="00D652FD"/>
    <w:rsid w:val="00D65699"/>
    <w:rsid w:val="00D65A27"/>
    <w:rsid w:val="00D66AD2"/>
    <w:rsid w:val="00D6766C"/>
    <w:rsid w:val="00D67B3C"/>
    <w:rsid w:val="00D7066E"/>
    <w:rsid w:val="00D7078F"/>
    <w:rsid w:val="00D70A37"/>
    <w:rsid w:val="00D70AAD"/>
    <w:rsid w:val="00D72BC6"/>
    <w:rsid w:val="00D72F8B"/>
    <w:rsid w:val="00D731E6"/>
    <w:rsid w:val="00D735BC"/>
    <w:rsid w:val="00D7368B"/>
    <w:rsid w:val="00D74447"/>
    <w:rsid w:val="00D755B0"/>
    <w:rsid w:val="00D75DD0"/>
    <w:rsid w:val="00D767EE"/>
    <w:rsid w:val="00D767F3"/>
    <w:rsid w:val="00D76EF3"/>
    <w:rsid w:val="00D776D5"/>
    <w:rsid w:val="00D777A6"/>
    <w:rsid w:val="00D7790E"/>
    <w:rsid w:val="00D77C64"/>
    <w:rsid w:val="00D77FB0"/>
    <w:rsid w:val="00D77FB8"/>
    <w:rsid w:val="00D80B85"/>
    <w:rsid w:val="00D80C5C"/>
    <w:rsid w:val="00D80DD7"/>
    <w:rsid w:val="00D82050"/>
    <w:rsid w:val="00D824A3"/>
    <w:rsid w:val="00D829F9"/>
    <w:rsid w:val="00D82EF5"/>
    <w:rsid w:val="00D83085"/>
    <w:rsid w:val="00D835AD"/>
    <w:rsid w:val="00D838FD"/>
    <w:rsid w:val="00D83927"/>
    <w:rsid w:val="00D83EFF"/>
    <w:rsid w:val="00D84559"/>
    <w:rsid w:val="00D848C1"/>
    <w:rsid w:val="00D84A12"/>
    <w:rsid w:val="00D84D1F"/>
    <w:rsid w:val="00D84E23"/>
    <w:rsid w:val="00D8588C"/>
    <w:rsid w:val="00D85F51"/>
    <w:rsid w:val="00D85F55"/>
    <w:rsid w:val="00D8610C"/>
    <w:rsid w:val="00D86245"/>
    <w:rsid w:val="00D86A9B"/>
    <w:rsid w:val="00D87054"/>
    <w:rsid w:val="00D87119"/>
    <w:rsid w:val="00D87378"/>
    <w:rsid w:val="00D873E1"/>
    <w:rsid w:val="00D87BDA"/>
    <w:rsid w:val="00D87CCB"/>
    <w:rsid w:val="00D9043F"/>
    <w:rsid w:val="00D90B8E"/>
    <w:rsid w:val="00D90D7C"/>
    <w:rsid w:val="00D91604"/>
    <w:rsid w:val="00D91C87"/>
    <w:rsid w:val="00D92086"/>
    <w:rsid w:val="00D9219F"/>
    <w:rsid w:val="00D92E74"/>
    <w:rsid w:val="00D93245"/>
    <w:rsid w:val="00D946D1"/>
    <w:rsid w:val="00D94A94"/>
    <w:rsid w:val="00D94CBE"/>
    <w:rsid w:val="00D9594F"/>
    <w:rsid w:val="00D95B06"/>
    <w:rsid w:val="00D965E6"/>
    <w:rsid w:val="00D96898"/>
    <w:rsid w:val="00D96A14"/>
    <w:rsid w:val="00D97AB4"/>
    <w:rsid w:val="00D97E07"/>
    <w:rsid w:val="00DA0043"/>
    <w:rsid w:val="00DA02F4"/>
    <w:rsid w:val="00DA051E"/>
    <w:rsid w:val="00DA0784"/>
    <w:rsid w:val="00DA13E9"/>
    <w:rsid w:val="00DA1A30"/>
    <w:rsid w:val="00DA2034"/>
    <w:rsid w:val="00DA2A20"/>
    <w:rsid w:val="00DA2B75"/>
    <w:rsid w:val="00DA347E"/>
    <w:rsid w:val="00DA3AEE"/>
    <w:rsid w:val="00DA3E5A"/>
    <w:rsid w:val="00DA3FEA"/>
    <w:rsid w:val="00DA4591"/>
    <w:rsid w:val="00DA470C"/>
    <w:rsid w:val="00DA5978"/>
    <w:rsid w:val="00DA5B39"/>
    <w:rsid w:val="00DA685C"/>
    <w:rsid w:val="00DA7199"/>
    <w:rsid w:val="00DA7581"/>
    <w:rsid w:val="00DA7738"/>
    <w:rsid w:val="00DA7779"/>
    <w:rsid w:val="00DA794D"/>
    <w:rsid w:val="00DB07BF"/>
    <w:rsid w:val="00DB0900"/>
    <w:rsid w:val="00DB0BFB"/>
    <w:rsid w:val="00DB14D4"/>
    <w:rsid w:val="00DB17F1"/>
    <w:rsid w:val="00DB18F9"/>
    <w:rsid w:val="00DB1EE8"/>
    <w:rsid w:val="00DB1FCD"/>
    <w:rsid w:val="00DB201B"/>
    <w:rsid w:val="00DB26BF"/>
    <w:rsid w:val="00DB2915"/>
    <w:rsid w:val="00DB2EF5"/>
    <w:rsid w:val="00DB34C3"/>
    <w:rsid w:val="00DB3A89"/>
    <w:rsid w:val="00DB3D3C"/>
    <w:rsid w:val="00DB536B"/>
    <w:rsid w:val="00DB6169"/>
    <w:rsid w:val="00DB62B7"/>
    <w:rsid w:val="00DB64D0"/>
    <w:rsid w:val="00DB6C7E"/>
    <w:rsid w:val="00DB6F99"/>
    <w:rsid w:val="00DB776D"/>
    <w:rsid w:val="00DB7C06"/>
    <w:rsid w:val="00DB7D68"/>
    <w:rsid w:val="00DC0453"/>
    <w:rsid w:val="00DC07B0"/>
    <w:rsid w:val="00DC0B04"/>
    <w:rsid w:val="00DC0B40"/>
    <w:rsid w:val="00DC1005"/>
    <w:rsid w:val="00DC1F39"/>
    <w:rsid w:val="00DC262C"/>
    <w:rsid w:val="00DC2DC4"/>
    <w:rsid w:val="00DC3C4E"/>
    <w:rsid w:val="00DC3D25"/>
    <w:rsid w:val="00DC473D"/>
    <w:rsid w:val="00DC4B4D"/>
    <w:rsid w:val="00DC4B6F"/>
    <w:rsid w:val="00DC4FD4"/>
    <w:rsid w:val="00DC5D7A"/>
    <w:rsid w:val="00DC5F21"/>
    <w:rsid w:val="00DC6048"/>
    <w:rsid w:val="00DC6174"/>
    <w:rsid w:val="00DC64EC"/>
    <w:rsid w:val="00DC6954"/>
    <w:rsid w:val="00DC6BBF"/>
    <w:rsid w:val="00DC6E87"/>
    <w:rsid w:val="00DC6FFE"/>
    <w:rsid w:val="00DC72ED"/>
    <w:rsid w:val="00DC7506"/>
    <w:rsid w:val="00DC78FE"/>
    <w:rsid w:val="00DC7B98"/>
    <w:rsid w:val="00DD035E"/>
    <w:rsid w:val="00DD0B0E"/>
    <w:rsid w:val="00DD1C3B"/>
    <w:rsid w:val="00DD1C92"/>
    <w:rsid w:val="00DD1CC4"/>
    <w:rsid w:val="00DD1E60"/>
    <w:rsid w:val="00DD1F89"/>
    <w:rsid w:val="00DD2299"/>
    <w:rsid w:val="00DD2879"/>
    <w:rsid w:val="00DD32C8"/>
    <w:rsid w:val="00DD461A"/>
    <w:rsid w:val="00DD4D1F"/>
    <w:rsid w:val="00DD50D7"/>
    <w:rsid w:val="00DD5409"/>
    <w:rsid w:val="00DD5541"/>
    <w:rsid w:val="00DD5802"/>
    <w:rsid w:val="00DD58FD"/>
    <w:rsid w:val="00DD6224"/>
    <w:rsid w:val="00DD663F"/>
    <w:rsid w:val="00DD6697"/>
    <w:rsid w:val="00DD67DD"/>
    <w:rsid w:val="00DD6A61"/>
    <w:rsid w:val="00DD75E5"/>
    <w:rsid w:val="00DD7777"/>
    <w:rsid w:val="00DD7963"/>
    <w:rsid w:val="00DE04DD"/>
    <w:rsid w:val="00DE0737"/>
    <w:rsid w:val="00DE0738"/>
    <w:rsid w:val="00DE07E1"/>
    <w:rsid w:val="00DE0F58"/>
    <w:rsid w:val="00DE17F0"/>
    <w:rsid w:val="00DE1D03"/>
    <w:rsid w:val="00DE1E03"/>
    <w:rsid w:val="00DE252A"/>
    <w:rsid w:val="00DE2860"/>
    <w:rsid w:val="00DE2B31"/>
    <w:rsid w:val="00DE2E32"/>
    <w:rsid w:val="00DE398C"/>
    <w:rsid w:val="00DE3BD7"/>
    <w:rsid w:val="00DE3EAE"/>
    <w:rsid w:val="00DE46D6"/>
    <w:rsid w:val="00DE471A"/>
    <w:rsid w:val="00DE49C0"/>
    <w:rsid w:val="00DE5402"/>
    <w:rsid w:val="00DE6008"/>
    <w:rsid w:val="00DE7564"/>
    <w:rsid w:val="00DE76BA"/>
    <w:rsid w:val="00DE7AB3"/>
    <w:rsid w:val="00DE7C76"/>
    <w:rsid w:val="00DE7F24"/>
    <w:rsid w:val="00DF0036"/>
    <w:rsid w:val="00DF0092"/>
    <w:rsid w:val="00DF013F"/>
    <w:rsid w:val="00DF0724"/>
    <w:rsid w:val="00DF0A5C"/>
    <w:rsid w:val="00DF0FA6"/>
    <w:rsid w:val="00DF1C9D"/>
    <w:rsid w:val="00DF21ED"/>
    <w:rsid w:val="00DF27B8"/>
    <w:rsid w:val="00DF3367"/>
    <w:rsid w:val="00DF37DB"/>
    <w:rsid w:val="00DF388F"/>
    <w:rsid w:val="00DF3CEE"/>
    <w:rsid w:val="00DF4709"/>
    <w:rsid w:val="00DF475A"/>
    <w:rsid w:val="00DF496D"/>
    <w:rsid w:val="00DF516E"/>
    <w:rsid w:val="00DF5A7D"/>
    <w:rsid w:val="00DF5DEB"/>
    <w:rsid w:val="00DF629C"/>
    <w:rsid w:val="00DF6954"/>
    <w:rsid w:val="00DF7501"/>
    <w:rsid w:val="00DF788A"/>
    <w:rsid w:val="00DF790D"/>
    <w:rsid w:val="00DF7F9E"/>
    <w:rsid w:val="00E00436"/>
    <w:rsid w:val="00E007D4"/>
    <w:rsid w:val="00E0081B"/>
    <w:rsid w:val="00E00C62"/>
    <w:rsid w:val="00E00EAD"/>
    <w:rsid w:val="00E019EE"/>
    <w:rsid w:val="00E01BE5"/>
    <w:rsid w:val="00E01FDB"/>
    <w:rsid w:val="00E021DF"/>
    <w:rsid w:val="00E0271D"/>
    <w:rsid w:val="00E03334"/>
    <w:rsid w:val="00E03674"/>
    <w:rsid w:val="00E038C6"/>
    <w:rsid w:val="00E03987"/>
    <w:rsid w:val="00E04231"/>
    <w:rsid w:val="00E0486D"/>
    <w:rsid w:val="00E049D2"/>
    <w:rsid w:val="00E04B15"/>
    <w:rsid w:val="00E04B5E"/>
    <w:rsid w:val="00E04CCC"/>
    <w:rsid w:val="00E04E89"/>
    <w:rsid w:val="00E05419"/>
    <w:rsid w:val="00E05C7D"/>
    <w:rsid w:val="00E05EB1"/>
    <w:rsid w:val="00E064FC"/>
    <w:rsid w:val="00E06554"/>
    <w:rsid w:val="00E0772C"/>
    <w:rsid w:val="00E07C00"/>
    <w:rsid w:val="00E10031"/>
    <w:rsid w:val="00E10CDB"/>
    <w:rsid w:val="00E10E20"/>
    <w:rsid w:val="00E11794"/>
    <w:rsid w:val="00E12301"/>
    <w:rsid w:val="00E12624"/>
    <w:rsid w:val="00E12B86"/>
    <w:rsid w:val="00E12CB5"/>
    <w:rsid w:val="00E13024"/>
    <w:rsid w:val="00E13144"/>
    <w:rsid w:val="00E13884"/>
    <w:rsid w:val="00E13CEA"/>
    <w:rsid w:val="00E141DC"/>
    <w:rsid w:val="00E14272"/>
    <w:rsid w:val="00E145C5"/>
    <w:rsid w:val="00E145D0"/>
    <w:rsid w:val="00E15B91"/>
    <w:rsid w:val="00E15FB7"/>
    <w:rsid w:val="00E16409"/>
    <w:rsid w:val="00E167C4"/>
    <w:rsid w:val="00E16CC8"/>
    <w:rsid w:val="00E16FE8"/>
    <w:rsid w:val="00E1713C"/>
    <w:rsid w:val="00E17243"/>
    <w:rsid w:val="00E20E9B"/>
    <w:rsid w:val="00E2176B"/>
    <w:rsid w:val="00E21838"/>
    <w:rsid w:val="00E21C8C"/>
    <w:rsid w:val="00E22033"/>
    <w:rsid w:val="00E22360"/>
    <w:rsid w:val="00E22707"/>
    <w:rsid w:val="00E22FF7"/>
    <w:rsid w:val="00E233C4"/>
    <w:rsid w:val="00E23BB7"/>
    <w:rsid w:val="00E24875"/>
    <w:rsid w:val="00E248F0"/>
    <w:rsid w:val="00E25274"/>
    <w:rsid w:val="00E25634"/>
    <w:rsid w:val="00E2573D"/>
    <w:rsid w:val="00E2585D"/>
    <w:rsid w:val="00E25A00"/>
    <w:rsid w:val="00E260DF"/>
    <w:rsid w:val="00E266C1"/>
    <w:rsid w:val="00E26E0C"/>
    <w:rsid w:val="00E272E9"/>
    <w:rsid w:val="00E27BCA"/>
    <w:rsid w:val="00E3023A"/>
    <w:rsid w:val="00E302B8"/>
    <w:rsid w:val="00E30865"/>
    <w:rsid w:val="00E30B63"/>
    <w:rsid w:val="00E30C9F"/>
    <w:rsid w:val="00E3169E"/>
    <w:rsid w:val="00E31AD5"/>
    <w:rsid w:val="00E32C01"/>
    <w:rsid w:val="00E33852"/>
    <w:rsid w:val="00E338C6"/>
    <w:rsid w:val="00E33FA7"/>
    <w:rsid w:val="00E3448E"/>
    <w:rsid w:val="00E34E03"/>
    <w:rsid w:val="00E3536A"/>
    <w:rsid w:val="00E3586F"/>
    <w:rsid w:val="00E35C57"/>
    <w:rsid w:val="00E35DD5"/>
    <w:rsid w:val="00E361D0"/>
    <w:rsid w:val="00E36AE9"/>
    <w:rsid w:val="00E36D3B"/>
    <w:rsid w:val="00E3732E"/>
    <w:rsid w:val="00E373B8"/>
    <w:rsid w:val="00E375EE"/>
    <w:rsid w:val="00E40018"/>
    <w:rsid w:val="00E4023C"/>
    <w:rsid w:val="00E40469"/>
    <w:rsid w:val="00E40798"/>
    <w:rsid w:val="00E40854"/>
    <w:rsid w:val="00E40F9B"/>
    <w:rsid w:val="00E41123"/>
    <w:rsid w:val="00E412C8"/>
    <w:rsid w:val="00E41345"/>
    <w:rsid w:val="00E415C5"/>
    <w:rsid w:val="00E41DAE"/>
    <w:rsid w:val="00E41F14"/>
    <w:rsid w:val="00E422CA"/>
    <w:rsid w:val="00E42464"/>
    <w:rsid w:val="00E428A7"/>
    <w:rsid w:val="00E42CB1"/>
    <w:rsid w:val="00E42D00"/>
    <w:rsid w:val="00E4335C"/>
    <w:rsid w:val="00E4378A"/>
    <w:rsid w:val="00E4428D"/>
    <w:rsid w:val="00E45397"/>
    <w:rsid w:val="00E45B2E"/>
    <w:rsid w:val="00E4659A"/>
    <w:rsid w:val="00E466AE"/>
    <w:rsid w:val="00E46870"/>
    <w:rsid w:val="00E46A40"/>
    <w:rsid w:val="00E46AEF"/>
    <w:rsid w:val="00E46C3A"/>
    <w:rsid w:val="00E46FB4"/>
    <w:rsid w:val="00E473BE"/>
    <w:rsid w:val="00E47ACF"/>
    <w:rsid w:val="00E47FDD"/>
    <w:rsid w:val="00E5134F"/>
    <w:rsid w:val="00E522D2"/>
    <w:rsid w:val="00E52DCB"/>
    <w:rsid w:val="00E52F35"/>
    <w:rsid w:val="00E538F0"/>
    <w:rsid w:val="00E53905"/>
    <w:rsid w:val="00E53E02"/>
    <w:rsid w:val="00E5492C"/>
    <w:rsid w:val="00E549E2"/>
    <w:rsid w:val="00E54B68"/>
    <w:rsid w:val="00E54CFF"/>
    <w:rsid w:val="00E54E9F"/>
    <w:rsid w:val="00E55021"/>
    <w:rsid w:val="00E5535D"/>
    <w:rsid w:val="00E55595"/>
    <w:rsid w:val="00E557EA"/>
    <w:rsid w:val="00E55973"/>
    <w:rsid w:val="00E55F84"/>
    <w:rsid w:val="00E560BB"/>
    <w:rsid w:val="00E56375"/>
    <w:rsid w:val="00E56576"/>
    <w:rsid w:val="00E57269"/>
    <w:rsid w:val="00E57362"/>
    <w:rsid w:val="00E5737B"/>
    <w:rsid w:val="00E57895"/>
    <w:rsid w:val="00E57D4C"/>
    <w:rsid w:val="00E57E8B"/>
    <w:rsid w:val="00E57F13"/>
    <w:rsid w:val="00E60082"/>
    <w:rsid w:val="00E6065B"/>
    <w:rsid w:val="00E606C0"/>
    <w:rsid w:val="00E60BD3"/>
    <w:rsid w:val="00E60C6A"/>
    <w:rsid w:val="00E615EB"/>
    <w:rsid w:val="00E62599"/>
    <w:rsid w:val="00E626BD"/>
    <w:rsid w:val="00E627A0"/>
    <w:rsid w:val="00E62C4D"/>
    <w:rsid w:val="00E62E3C"/>
    <w:rsid w:val="00E63494"/>
    <w:rsid w:val="00E63CAE"/>
    <w:rsid w:val="00E64B69"/>
    <w:rsid w:val="00E64BAF"/>
    <w:rsid w:val="00E64CDF"/>
    <w:rsid w:val="00E64D77"/>
    <w:rsid w:val="00E65092"/>
    <w:rsid w:val="00E66A5E"/>
    <w:rsid w:val="00E66AE0"/>
    <w:rsid w:val="00E66BD5"/>
    <w:rsid w:val="00E67562"/>
    <w:rsid w:val="00E702B9"/>
    <w:rsid w:val="00E7048B"/>
    <w:rsid w:val="00E7071A"/>
    <w:rsid w:val="00E7209E"/>
    <w:rsid w:val="00E72599"/>
    <w:rsid w:val="00E738A9"/>
    <w:rsid w:val="00E73E11"/>
    <w:rsid w:val="00E73F1F"/>
    <w:rsid w:val="00E743CA"/>
    <w:rsid w:val="00E7534B"/>
    <w:rsid w:val="00E7587D"/>
    <w:rsid w:val="00E75984"/>
    <w:rsid w:val="00E766EF"/>
    <w:rsid w:val="00E7696D"/>
    <w:rsid w:val="00E76BA9"/>
    <w:rsid w:val="00E77401"/>
    <w:rsid w:val="00E77E59"/>
    <w:rsid w:val="00E77F3A"/>
    <w:rsid w:val="00E8023B"/>
    <w:rsid w:val="00E804ED"/>
    <w:rsid w:val="00E804EF"/>
    <w:rsid w:val="00E8072C"/>
    <w:rsid w:val="00E80FAC"/>
    <w:rsid w:val="00E8115E"/>
    <w:rsid w:val="00E81975"/>
    <w:rsid w:val="00E822BA"/>
    <w:rsid w:val="00E83822"/>
    <w:rsid w:val="00E83FAF"/>
    <w:rsid w:val="00E8400B"/>
    <w:rsid w:val="00E84422"/>
    <w:rsid w:val="00E8461C"/>
    <w:rsid w:val="00E84665"/>
    <w:rsid w:val="00E84BD1"/>
    <w:rsid w:val="00E84C47"/>
    <w:rsid w:val="00E84CC7"/>
    <w:rsid w:val="00E8515A"/>
    <w:rsid w:val="00E8564D"/>
    <w:rsid w:val="00E85DC4"/>
    <w:rsid w:val="00E86265"/>
    <w:rsid w:val="00E8673C"/>
    <w:rsid w:val="00E867D0"/>
    <w:rsid w:val="00E86E77"/>
    <w:rsid w:val="00E87147"/>
    <w:rsid w:val="00E877F6"/>
    <w:rsid w:val="00E87AA7"/>
    <w:rsid w:val="00E87AD5"/>
    <w:rsid w:val="00E87B08"/>
    <w:rsid w:val="00E87DA7"/>
    <w:rsid w:val="00E87F02"/>
    <w:rsid w:val="00E907C3"/>
    <w:rsid w:val="00E91F70"/>
    <w:rsid w:val="00E92274"/>
    <w:rsid w:val="00E92699"/>
    <w:rsid w:val="00E9272A"/>
    <w:rsid w:val="00E92A88"/>
    <w:rsid w:val="00E92C54"/>
    <w:rsid w:val="00E92DF2"/>
    <w:rsid w:val="00E93AD2"/>
    <w:rsid w:val="00E940E1"/>
    <w:rsid w:val="00E94FED"/>
    <w:rsid w:val="00E9524B"/>
    <w:rsid w:val="00E952A1"/>
    <w:rsid w:val="00E95940"/>
    <w:rsid w:val="00E95A82"/>
    <w:rsid w:val="00E95DB2"/>
    <w:rsid w:val="00E95F0D"/>
    <w:rsid w:val="00E963B3"/>
    <w:rsid w:val="00E966E3"/>
    <w:rsid w:val="00E967AC"/>
    <w:rsid w:val="00E967EF"/>
    <w:rsid w:val="00E968B2"/>
    <w:rsid w:val="00E968D7"/>
    <w:rsid w:val="00E96E96"/>
    <w:rsid w:val="00E96FC9"/>
    <w:rsid w:val="00E96FCC"/>
    <w:rsid w:val="00E97D15"/>
    <w:rsid w:val="00EA0062"/>
    <w:rsid w:val="00EA1084"/>
    <w:rsid w:val="00EA10B5"/>
    <w:rsid w:val="00EA12AE"/>
    <w:rsid w:val="00EA18CF"/>
    <w:rsid w:val="00EA1B47"/>
    <w:rsid w:val="00EA1C91"/>
    <w:rsid w:val="00EA2806"/>
    <w:rsid w:val="00EA2836"/>
    <w:rsid w:val="00EA3580"/>
    <w:rsid w:val="00EA3AB2"/>
    <w:rsid w:val="00EA48C0"/>
    <w:rsid w:val="00EA4B71"/>
    <w:rsid w:val="00EA4EBA"/>
    <w:rsid w:val="00EA6567"/>
    <w:rsid w:val="00EA6688"/>
    <w:rsid w:val="00EA6FA7"/>
    <w:rsid w:val="00EA7548"/>
    <w:rsid w:val="00EA79E3"/>
    <w:rsid w:val="00EB03E2"/>
    <w:rsid w:val="00EB05D7"/>
    <w:rsid w:val="00EB1469"/>
    <w:rsid w:val="00EB24BD"/>
    <w:rsid w:val="00EB25CC"/>
    <w:rsid w:val="00EB26B8"/>
    <w:rsid w:val="00EB26B9"/>
    <w:rsid w:val="00EB28A8"/>
    <w:rsid w:val="00EB2CCF"/>
    <w:rsid w:val="00EB3BF0"/>
    <w:rsid w:val="00EB3EFF"/>
    <w:rsid w:val="00EB40AE"/>
    <w:rsid w:val="00EB4722"/>
    <w:rsid w:val="00EB4745"/>
    <w:rsid w:val="00EB51CF"/>
    <w:rsid w:val="00EB5B4B"/>
    <w:rsid w:val="00EB5BD0"/>
    <w:rsid w:val="00EB5D51"/>
    <w:rsid w:val="00EB5E7A"/>
    <w:rsid w:val="00EB640B"/>
    <w:rsid w:val="00EB69E0"/>
    <w:rsid w:val="00EB6AA7"/>
    <w:rsid w:val="00EB6AA8"/>
    <w:rsid w:val="00EB7185"/>
    <w:rsid w:val="00EB7280"/>
    <w:rsid w:val="00EC0156"/>
    <w:rsid w:val="00EC062A"/>
    <w:rsid w:val="00EC0C56"/>
    <w:rsid w:val="00EC0F06"/>
    <w:rsid w:val="00EC1729"/>
    <w:rsid w:val="00EC18D0"/>
    <w:rsid w:val="00EC1C77"/>
    <w:rsid w:val="00EC1D67"/>
    <w:rsid w:val="00EC205C"/>
    <w:rsid w:val="00EC2129"/>
    <w:rsid w:val="00EC2359"/>
    <w:rsid w:val="00EC240B"/>
    <w:rsid w:val="00EC29B2"/>
    <w:rsid w:val="00EC315D"/>
    <w:rsid w:val="00EC41C4"/>
    <w:rsid w:val="00EC4367"/>
    <w:rsid w:val="00EC4AB0"/>
    <w:rsid w:val="00EC5465"/>
    <w:rsid w:val="00EC56D6"/>
    <w:rsid w:val="00EC59B6"/>
    <w:rsid w:val="00EC5EF0"/>
    <w:rsid w:val="00EC6034"/>
    <w:rsid w:val="00EC61B4"/>
    <w:rsid w:val="00EC68B5"/>
    <w:rsid w:val="00EC6B8C"/>
    <w:rsid w:val="00EC7841"/>
    <w:rsid w:val="00EC7903"/>
    <w:rsid w:val="00EC7D65"/>
    <w:rsid w:val="00ED0142"/>
    <w:rsid w:val="00ED02B5"/>
    <w:rsid w:val="00ED06F8"/>
    <w:rsid w:val="00ED0826"/>
    <w:rsid w:val="00ED0963"/>
    <w:rsid w:val="00ED1811"/>
    <w:rsid w:val="00ED1902"/>
    <w:rsid w:val="00ED1ED0"/>
    <w:rsid w:val="00ED2419"/>
    <w:rsid w:val="00ED250C"/>
    <w:rsid w:val="00ED2D75"/>
    <w:rsid w:val="00ED2DA2"/>
    <w:rsid w:val="00ED3C7F"/>
    <w:rsid w:val="00ED44B7"/>
    <w:rsid w:val="00ED46F3"/>
    <w:rsid w:val="00ED4BC5"/>
    <w:rsid w:val="00ED55B9"/>
    <w:rsid w:val="00ED6549"/>
    <w:rsid w:val="00ED76C6"/>
    <w:rsid w:val="00ED785A"/>
    <w:rsid w:val="00ED7D8E"/>
    <w:rsid w:val="00ED7F27"/>
    <w:rsid w:val="00EE0294"/>
    <w:rsid w:val="00EE16F5"/>
    <w:rsid w:val="00EE1811"/>
    <w:rsid w:val="00EE1B5D"/>
    <w:rsid w:val="00EE1F45"/>
    <w:rsid w:val="00EE237E"/>
    <w:rsid w:val="00EE2B9D"/>
    <w:rsid w:val="00EE30BA"/>
    <w:rsid w:val="00EE3236"/>
    <w:rsid w:val="00EE32D2"/>
    <w:rsid w:val="00EE3EC5"/>
    <w:rsid w:val="00EE4440"/>
    <w:rsid w:val="00EE5576"/>
    <w:rsid w:val="00EE5AD0"/>
    <w:rsid w:val="00EE6356"/>
    <w:rsid w:val="00EE6893"/>
    <w:rsid w:val="00EE6F11"/>
    <w:rsid w:val="00EE7916"/>
    <w:rsid w:val="00EE79BB"/>
    <w:rsid w:val="00EE7A1F"/>
    <w:rsid w:val="00EE7F74"/>
    <w:rsid w:val="00EF1579"/>
    <w:rsid w:val="00EF1B25"/>
    <w:rsid w:val="00EF1FF0"/>
    <w:rsid w:val="00EF25C0"/>
    <w:rsid w:val="00EF2705"/>
    <w:rsid w:val="00EF311A"/>
    <w:rsid w:val="00EF3341"/>
    <w:rsid w:val="00EF3688"/>
    <w:rsid w:val="00EF41B6"/>
    <w:rsid w:val="00EF4804"/>
    <w:rsid w:val="00EF5550"/>
    <w:rsid w:val="00EF56AC"/>
    <w:rsid w:val="00EF5BDE"/>
    <w:rsid w:val="00EF5EF6"/>
    <w:rsid w:val="00EF654F"/>
    <w:rsid w:val="00EF67D7"/>
    <w:rsid w:val="00EF6904"/>
    <w:rsid w:val="00EF6CE5"/>
    <w:rsid w:val="00EF70EB"/>
    <w:rsid w:val="00EF75D4"/>
    <w:rsid w:val="00EF77F3"/>
    <w:rsid w:val="00EF7BC0"/>
    <w:rsid w:val="00F0024E"/>
    <w:rsid w:val="00F010DC"/>
    <w:rsid w:val="00F014A8"/>
    <w:rsid w:val="00F014D9"/>
    <w:rsid w:val="00F018CF"/>
    <w:rsid w:val="00F021F8"/>
    <w:rsid w:val="00F0229C"/>
    <w:rsid w:val="00F022CF"/>
    <w:rsid w:val="00F02B83"/>
    <w:rsid w:val="00F02BCC"/>
    <w:rsid w:val="00F036EF"/>
    <w:rsid w:val="00F03E4E"/>
    <w:rsid w:val="00F04192"/>
    <w:rsid w:val="00F0419F"/>
    <w:rsid w:val="00F041B3"/>
    <w:rsid w:val="00F0425C"/>
    <w:rsid w:val="00F043FE"/>
    <w:rsid w:val="00F04A68"/>
    <w:rsid w:val="00F04BBF"/>
    <w:rsid w:val="00F05A99"/>
    <w:rsid w:val="00F05B65"/>
    <w:rsid w:val="00F05BD5"/>
    <w:rsid w:val="00F060D8"/>
    <w:rsid w:val="00F062CB"/>
    <w:rsid w:val="00F066DA"/>
    <w:rsid w:val="00F06C76"/>
    <w:rsid w:val="00F06E61"/>
    <w:rsid w:val="00F07004"/>
    <w:rsid w:val="00F0730C"/>
    <w:rsid w:val="00F07413"/>
    <w:rsid w:val="00F07424"/>
    <w:rsid w:val="00F079B7"/>
    <w:rsid w:val="00F07D28"/>
    <w:rsid w:val="00F1007B"/>
    <w:rsid w:val="00F1014D"/>
    <w:rsid w:val="00F10C02"/>
    <w:rsid w:val="00F10E28"/>
    <w:rsid w:val="00F10EEE"/>
    <w:rsid w:val="00F11061"/>
    <w:rsid w:val="00F11914"/>
    <w:rsid w:val="00F122A7"/>
    <w:rsid w:val="00F12774"/>
    <w:rsid w:val="00F128C2"/>
    <w:rsid w:val="00F12A1E"/>
    <w:rsid w:val="00F12BDF"/>
    <w:rsid w:val="00F12F51"/>
    <w:rsid w:val="00F12F85"/>
    <w:rsid w:val="00F12F8B"/>
    <w:rsid w:val="00F1302A"/>
    <w:rsid w:val="00F131F4"/>
    <w:rsid w:val="00F136E9"/>
    <w:rsid w:val="00F142D8"/>
    <w:rsid w:val="00F147F9"/>
    <w:rsid w:val="00F148E4"/>
    <w:rsid w:val="00F14DE5"/>
    <w:rsid w:val="00F151A2"/>
    <w:rsid w:val="00F15286"/>
    <w:rsid w:val="00F15547"/>
    <w:rsid w:val="00F15724"/>
    <w:rsid w:val="00F15736"/>
    <w:rsid w:val="00F15A5B"/>
    <w:rsid w:val="00F161B4"/>
    <w:rsid w:val="00F167D4"/>
    <w:rsid w:val="00F167EB"/>
    <w:rsid w:val="00F16A42"/>
    <w:rsid w:val="00F16CE9"/>
    <w:rsid w:val="00F16E62"/>
    <w:rsid w:val="00F1727E"/>
    <w:rsid w:val="00F17501"/>
    <w:rsid w:val="00F175F4"/>
    <w:rsid w:val="00F17621"/>
    <w:rsid w:val="00F177E3"/>
    <w:rsid w:val="00F17FEC"/>
    <w:rsid w:val="00F202E5"/>
    <w:rsid w:val="00F209C4"/>
    <w:rsid w:val="00F20CC9"/>
    <w:rsid w:val="00F20CCE"/>
    <w:rsid w:val="00F21456"/>
    <w:rsid w:val="00F21E7E"/>
    <w:rsid w:val="00F222D0"/>
    <w:rsid w:val="00F2234E"/>
    <w:rsid w:val="00F22901"/>
    <w:rsid w:val="00F23034"/>
    <w:rsid w:val="00F23308"/>
    <w:rsid w:val="00F23951"/>
    <w:rsid w:val="00F24356"/>
    <w:rsid w:val="00F24840"/>
    <w:rsid w:val="00F248A4"/>
    <w:rsid w:val="00F24C8A"/>
    <w:rsid w:val="00F25430"/>
    <w:rsid w:val="00F25509"/>
    <w:rsid w:val="00F25E7F"/>
    <w:rsid w:val="00F25EDD"/>
    <w:rsid w:val="00F260EE"/>
    <w:rsid w:val="00F26218"/>
    <w:rsid w:val="00F2675C"/>
    <w:rsid w:val="00F2680A"/>
    <w:rsid w:val="00F26C86"/>
    <w:rsid w:val="00F272E7"/>
    <w:rsid w:val="00F27BAE"/>
    <w:rsid w:val="00F27FEA"/>
    <w:rsid w:val="00F300E8"/>
    <w:rsid w:val="00F30CD6"/>
    <w:rsid w:val="00F30D81"/>
    <w:rsid w:val="00F312BE"/>
    <w:rsid w:val="00F313CD"/>
    <w:rsid w:val="00F32049"/>
    <w:rsid w:val="00F3241F"/>
    <w:rsid w:val="00F32598"/>
    <w:rsid w:val="00F32B4B"/>
    <w:rsid w:val="00F332CF"/>
    <w:rsid w:val="00F343AF"/>
    <w:rsid w:val="00F34AF1"/>
    <w:rsid w:val="00F3617A"/>
    <w:rsid w:val="00F36606"/>
    <w:rsid w:val="00F3666C"/>
    <w:rsid w:val="00F3684A"/>
    <w:rsid w:val="00F36ED1"/>
    <w:rsid w:val="00F37525"/>
    <w:rsid w:val="00F377D2"/>
    <w:rsid w:val="00F378C1"/>
    <w:rsid w:val="00F4066C"/>
    <w:rsid w:val="00F408A7"/>
    <w:rsid w:val="00F409F0"/>
    <w:rsid w:val="00F41BBE"/>
    <w:rsid w:val="00F41D92"/>
    <w:rsid w:val="00F41F29"/>
    <w:rsid w:val="00F42220"/>
    <w:rsid w:val="00F4262F"/>
    <w:rsid w:val="00F43367"/>
    <w:rsid w:val="00F43B25"/>
    <w:rsid w:val="00F43DB2"/>
    <w:rsid w:val="00F43E08"/>
    <w:rsid w:val="00F43F7E"/>
    <w:rsid w:val="00F4477B"/>
    <w:rsid w:val="00F44796"/>
    <w:rsid w:val="00F4523D"/>
    <w:rsid w:val="00F46297"/>
    <w:rsid w:val="00F4681D"/>
    <w:rsid w:val="00F50855"/>
    <w:rsid w:val="00F50C10"/>
    <w:rsid w:val="00F50E63"/>
    <w:rsid w:val="00F50E85"/>
    <w:rsid w:val="00F511F0"/>
    <w:rsid w:val="00F51280"/>
    <w:rsid w:val="00F52540"/>
    <w:rsid w:val="00F52895"/>
    <w:rsid w:val="00F52A43"/>
    <w:rsid w:val="00F52C7E"/>
    <w:rsid w:val="00F52D67"/>
    <w:rsid w:val="00F53844"/>
    <w:rsid w:val="00F53DEF"/>
    <w:rsid w:val="00F53E27"/>
    <w:rsid w:val="00F5412C"/>
    <w:rsid w:val="00F54206"/>
    <w:rsid w:val="00F550BF"/>
    <w:rsid w:val="00F5537D"/>
    <w:rsid w:val="00F55579"/>
    <w:rsid w:val="00F55602"/>
    <w:rsid w:val="00F55841"/>
    <w:rsid w:val="00F55C05"/>
    <w:rsid w:val="00F55C9D"/>
    <w:rsid w:val="00F55CA9"/>
    <w:rsid w:val="00F56353"/>
    <w:rsid w:val="00F56D54"/>
    <w:rsid w:val="00F5721E"/>
    <w:rsid w:val="00F5729E"/>
    <w:rsid w:val="00F60540"/>
    <w:rsid w:val="00F60AD2"/>
    <w:rsid w:val="00F61648"/>
    <w:rsid w:val="00F61791"/>
    <w:rsid w:val="00F622E2"/>
    <w:rsid w:val="00F623DF"/>
    <w:rsid w:val="00F62D19"/>
    <w:rsid w:val="00F62DF5"/>
    <w:rsid w:val="00F6311D"/>
    <w:rsid w:val="00F63B9D"/>
    <w:rsid w:val="00F641D6"/>
    <w:rsid w:val="00F64418"/>
    <w:rsid w:val="00F646D8"/>
    <w:rsid w:val="00F64FAE"/>
    <w:rsid w:val="00F6520F"/>
    <w:rsid w:val="00F65630"/>
    <w:rsid w:val="00F657A1"/>
    <w:rsid w:val="00F659BA"/>
    <w:rsid w:val="00F65F60"/>
    <w:rsid w:val="00F66B30"/>
    <w:rsid w:val="00F66D21"/>
    <w:rsid w:val="00F66EEE"/>
    <w:rsid w:val="00F67F35"/>
    <w:rsid w:val="00F7068C"/>
    <w:rsid w:val="00F7077A"/>
    <w:rsid w:val="00F70853"/>
    <w:rsid w:val="00F708B1"/>
    <w:rsid w:val="00F71758"/>
    <w:rsid w:val="00F72200"/>
    <w:rsid w:val="00F726F8"/>
    <w:rsid w:val="00F7329F"/>
    <w:rsid w:val="00F73313"/>
    <w:rsid w:val="00F737BF"/>
    <w:rsid w:val="00F73E55"/>
    <w:rsid w:val="00F7418C"/>
    <w:rsid w:val="00F7458F"/>
    <w:rsid w:val="00F74FFB"/>
    <w:rsid w:val="00F755DA"/>
    <w:rsid w:val="00F75651"/>
    <w:rsid w:val="00F7601A"/>
    <w:rsid w:val="00F7666A"/>
    <w:rsid w:val="00F7694D"/>
    <w:rsid w:val="00F76C31"/>
    <w:rsid w:val="00F779DD"/>
    <w:rsid w:val="00F77E68"/>
    <w:rsid w:val="00F80010"/>
    <w:rsid w:val="00F8021A"/>
    <w:rsid w:val="00F805B1"/>
    <w:rsid w:val="00F805EB"/>
    <w:rsid w:val="00F80706"/>
    <w:rsid w:val="00F80737"/>
    <w:rsid w:val="00F80A25"/>
    <w:rsid w:val="00F810A1"/>
    <w:rsid w:val="00F814EE"/>
    <w:rsid w:val="00F8156C"/>
    <w:rsid w:val="00F82C2E"/>
    <w:rsid w:val="00F82F95"/>
    <w:rsid w:val="00F834F2"/>
    <w:rsid w:val="00F83622"/>
    <w:rsid w:val="00F84205"/>
    <w:rsid w:val="00F8459D"/>
    <w:rsid w:val="00F8487F"/>
    <w:rsid w:val="00F84B60"/>
    <w:rsid w:val="00F850B2"/>
    <w:rsid w:val="00F858BA"/>
    <w:rsid w:val="00F8647D"/>
    <w:rsid w:val="00F86A83"/>
    <w:rsid w:val="00F86AFF"/>
    <w:rsid w:val="00F90633"/>
    <w:rsid w:val="00F907DC"/>
    <w:rsid w:val="00F9096D"/>
    <w:rsid w:val="00F9099C"/>
    <w:rsid w:val="00F91647"/>
    <w:rsid w:val="00F917C5"/>
    <w:rsid w:val="00F919B8"/>
    <w:rsid w:val="00F91C7B"/>
    <w:rsid w:val="00F9223A"/>
    <w:rsid w:val="00F92836"/>
    <w:rsid w:val="00F92D4F"/>
    <w:rsid w:val="00F93027"/>
    <w:rsid w:val="00F93077"/>
    <w:rsid w:val="00F930B0"/>
    <w:rsid w:val="00F93AF9"/>
    <w:rsid w:val="00F94294"/>
    <w:rsid w:val="00F9451F"/>
    <w:rsid w:val="00F94761"/>
    <w:rsid w:val="00F95722"/>
    <w:rsid w:val="00F95A92"/>
    <w:rsid w:val="00F96059"/>
    <w:rsid w:val="00F96208"/>
    <w:rsid w:val="00F9654A"/>
    <w:rsid w:val="00F9759B"/>
    <w:rsid w:val="00F97813"/>
    <w:rsid w:val="00F979DB"/>
    <w:rsid w:val="00F979F9"/>
    <w:rsid w:val="00F97F29"/>
    <w:rsid w:val="00FA07D3"/>
    <w:rsid w:val="00FA09C9"/>
    <w:rsid w:val="00FA0BD6"/>
    <w:rsid w:val="00FA0DED"/>
    <w:rsid w:val="00FA1D7E"/>
    <w:rsid w:val="00FA1E4A"/>
    <w:rsid w:val="00FA2193"/>
    <w:rsid w:val="00FA24F7"/>
    <w:rsid w:val="00FA26DE"/>
    <w:rsid w:val="00FA2770"/>
    <w:rsid w:val="00FA2993"/>
    <w:rsid w:val="00FA310C"/>
    <w:rsid w:val="00FA335B"/>
    <w:rsid w:val="00FA36E1"/>
    <w:rsid w:val="00FA3BCE"/>
    <w:rsid w:val="00FA3DA8"/>
    <w:rsid w:val="00FA4180"/>
    <w:rsid w:val="00FA474E"/>
    <w:rsid w:val="00FA4CE4"/>
    <w:rsid w:val="00FA4F12"/>
    <w:rsid w:val="00FA5D6D"/>
    <w:rsid w:val="00FA644F"/>
    <w:rsid w:val="00FA6806"/>
    <w:rsid w:val="00FA6C37"/>
    <w:rsid w:val="00FA6F29"/>
    <w:rsid w:val="00FA71C9"/>
    <w:rsid w:val="00FA73BC"/>
    <w:rsid w:val="00FA76A9"/>
    <w:rsid w:val="00FA7718"/>
    <w:rsid w:val="00FA7A9E"/>
    <w:rsid w:val="00FB0722"/>
    <w:rsid w:val="00FB07FA"/>
    <w:rsid w:val="00FB0849"/>
    <w:rsid w:val="00FB0BA0"/>
    <w:rsid w:val="00FB15E4"/>
    <w:rsid w:val="00FB2BEC"/>
    <w:rsid w:val="00FB385B"/>
    <w:rsid w:val="00FB3C72"/>
    <w:rsid w:val="00FB40BC"/>
    <w:rsid w:val="00FB4102"/>
    <w:rsid w:val="00FB434F"/>
    <w:rsid w:val="00FB4C38"/>
    <w:rsid w:val="00FB58BA"/>
    <w:rsid w:val="00FB5A2F"/>
    <w:rsid w:val="00FB5BAE"/>
    <w:rsid w:val="00FB5F96"/>
    <w:rsid w:val="00FB65AC"/>
    <w:rsid w:val="00FB6D6F"/>
    <w:rsid w:val="00FB78F1"/>
    <w:rsid w:val="00FB7AD3"/>
    <w:rsid w:val="00FB7B78"/>
    <w:rsid w:val="00FC0025"/>
    <w:rsid w:val="00FC04DD"/>
    <w:rsid w:val="00FC0F44"/>
    <w:rsid w:val="00FC1306"/>
    <w:rsid w:val="00FC14C8"/>
    <w:rsid w:val="00FC1735"/>
    <w:rsid w:val="00FC196D"/>
    <w:rsid w:val="00FC1EC0"/>
    <w:rsid w:val="00FC308D"/>
    <w:rsid w:val="00FC3DEB"/>
    <w:rsid w:val="00FC409F"/>
    <w:rsid w:val="00FC42FE"/>
    <w:rsid w:val="00FC45C9"/>
    <w:rsid w:val="00FC4BD9"/>
    <w:rsid w:val="00FC4D9A"/>
    <w:rsid w:val="00FC50D2"/>
    <w:rsid w:val="00FC51E6"/>
    <w:rsid w:val="00FC5243"/>
    <w:rsid w:val="00FC5A53"/>
    <w:rsid w:val="00FC620D"/>
    <w:rsid w:val="00FC695B"/>
    <w:rsid w:val="00FC71E8"/>
    <w:rsid w:val="00FC7493"/>
    <w:rsid w:val="00FC7785"/>
    <w:rsid w:val="00FC7A0F"/>
    <w:rsid w:val="00FC7C68"/>
    <w:rsid w:val="00FD0540"/>
    <w:rsid w:val="00FD1A0E"/>
    <w:rsid w:val="00FD1C3A"/>
    <w:rsid w:val="00FD2521"/>
    <w:rsid w:val="00FD2638"/>
    <w:rsid w:val="00FD2A9D"/>
    <w:rsid w:val="00FD2B91"/>
    <w:rsid w:val="00FD31EC"/>
    <w:rsid w:val="00FD3884"/>
    <w:rsid w:val="00FD4570"/>
    <w:rsid w:val="00FD4641"/>
    <w:rsid w:val="00FD4FB3"/>
    <w:rsid w:val="00FD5776"/>
    <w:rsid w:val="00FD5BAE"/>
    <w:rsid w:val="00FD5BB3"/>
    <w:rsid w:val="00FD62B1"/>
    <w:rsid w:val="00FD76E3"/>
    <w:rsid w:val="00FD78FA"/>
    <w:rsid w:val="00FD799E"/>
    <w:rsid w:val="00FD7BE9"/>
    <w:rsid w:val="00FE03E6"/>
    <w:rsid w:val="00FE0554"/>
    <w:rsid w:val="00FE061B"/>
    <w:rsid w:val="00FE088A"/>
    <w:rsid w:val="00FE09DA"/>
    <w:rsid w:val="00FE0A82"/>
    <w:rsid w:val="00FE0C89"/>
    <w:rsid w:val="00FE0CD8"/>
    <w:rsid w:val="00FE1105"/>
    <w:rsid w:val="00FE1734"/>
    <w:rsid w:val="00FE2807"/>
    <w:rsid w:val="00FE299E"/>
    <w:rsid w:val="00FE2A75"/>
    <w:rsid w:val="00FE300E"/>
    <w:rsid w:val="00FE303B"/>
    <w:rsid w:val="00FE3446"/>
    <w:rsid w:val="00FE361E"/>
    <w:rsid w:val="00FE3DDA"/>
    <w:rsid w:val="00FE4072"/>
    <w:rsid w:val="00FE4205"/>
    <w:rsid w:val="00FE43C0"/>
    <w:rsid w:val="00FE4AD9"/>
    <w:rsid w:val="00FE4DEE"/>
    <w:rsid w:val="00FE6196"/>
    <w:rsid w:val="00FE7413"/>
    <w:rsid w:val="00FE7E7B"/>
    <w:rsid w:val="00FF04CF"/>
    <w:rsid w:val="00FF0555"/>
    <w:rsid w:val="00FF0EB4"/>
    <w:rsid w:val="00FF1226"/>
    <w:rsid w:val="00FF1289"/>
    <w:rsid w:val="00FF15CA"/>
    <w:rsid w:val="00FF1EFE"/>
    <w:rsid w:val="00FF25BB"/>
    <w:rsid w:val="00FF2F80"/>
    <w:rsid w:val="00FF3422"/>
    <w:rsid w:val="00FF3E78"/>
    <w:rsid w:val="00FF4A64"/>
    <w:rsid w:val="00FF4CF7"/>
    <w:rsid w:val="00FF4F7F"/>
    <w:rsid w:val="00FF5136"/>
    <w:rsid w:val="00FF5387"/>
    <w:rsid w:val="00FF5554"/>
    <w:rsid w:val="00FF5785"/>
    <w:rsid w:val="00FF66C1"/>
    <w:rsid w:val="00FF6750"/>
    <w:rsid w:val="00FF69FA"/>
    <w:rsid w:val="00FF6B2C"/>
    <w:rsid w:val="00FF6B76"/>
    <w:rsid w:val="00FF6EC3"/>
    <w:rsid w:val="00FF6F40"/>
    <w:rsid w:val="00FF7674"/>
    <w:rsid w:val="00FF78EF"/>
    <w:rsid w:val="00FF7C36"/>
    <w:rsid w:val="00FF7E49"/>
    <w:rsid w:val="00FF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B13970"/>
  <w15:docId w15:val="{07137390-F42A-4696-9480-E35AC724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4E87"/>
    <w:pPr>
      <w:widowControl w:val="0"/>
    </w:pPr>
  </w:style>
  <w:style w:type="paragraph" w:styleId="Heading1">
    <w:name w:val="heading 1"/>
    <w:basedOn w:val="Normal"/>
    <w:next w:val="Normal"/>
    <w:link w:val="Heading1Char"/>
    <w:qFormat/>
    <w:rsid w:val="0009690C"/>
    <w:pPr>
      <w:widowControl/>
      <w:numPr>
        <w:numId w:val="1"/>
      </w:numPr>
      <w:spacing w:line="360" w:lineRule="auto"/>
      <w:ind w:left="0" w:firstLine="0"/>
      <w:jc w:val="center"/>
      <w:outlineLvl w:val="0"/>
    </w:pPr>
    <w:rPr>
      <w:b/>
      <w:sz w:val="26"/>
      <w:szCs w:val="26"/>
    </w:rPr>
  </w:style>
  <w:style w:type="paragraph" w:styleId="Heading2">
    <w:name w:val="heading 2"/>
    <w:basedOn w:val="Normal"/>
    <w:next w:val="Normal"/>
    <w:link w:val="Heading2Char"/>
    <w:unhideWhenUsed/>
    <w:qFormat/>
    <w:rsid w:val="00BF2A42"/>
    <w:pPr>
      <w:keepNext/>
      <w:keepLines/>
      <w:numPr>
        <w:numId w:val="2"/>
      </w:numPr>
      <w:spacing w:line="360" w:lineRule="auto"/>
      <w:outlineLvl w:val="1"/>
    </w:pPr>
    <w:rPr>
      <w:rFonts w:eastAsiaTheme="majorEastAsia"/>
      <w:b/>
      <w:bCs/>
      <w:sz w:val="26"/>
      <w:szCs w:val="26"/>
    </w:rPr>
  </w:style>
  <w:style w:type="paragraph" w:styleId="Heading3">
    <w:name w:val="heading 3"/>
    <w:basedOn w:val="ListParagraph"/>
    <w:next w:val="Normal"/>
    <w:link w:val="Heading3Char"/>
    <w:unhideWhenUsed/>
    <w:qFormat/>
    <w:rsid w:val="00BF2A42"/>
    <w:pPr>
      <w:widowControl/>
      <w:numPr>
        <w:numId w:val="38"/>
      </w:numPr>
      <w:spacing w:line="360" w:lineRule="auto"/>
      <w:outlineLvl w:val="2"/>
    </w:pPr>
    <w:rPr>
      <w:b/>
      <w:bCs/>
      <w:sz w:val="26"/>
      <w:szCs w:val="26"/>
    </w:rPr>
  </w:style>
  <w:style w:type="paragraph" w:styleId="Heading4">
    <w:name w:val="heading 4"/>
    <w:basedOn w:val="Normal"/>
    <w:next w:val="Normal"/>
    <w:link w:val="Heading4Char"/>
    <w:unhideWhenUsed/>
    <w:qFormat/>
    <w:rsid w:val="00BF2A42"/>
    <w:pPr>
      <w:keepNext/>
      <w:keepLines/>
      <w:numPr>
        <w:numId w:val="3"/>
      </w:numPr>
      <w:spacing w:line="360" w:lineRule="auto"/>
      <w:ind w:left="2160" w:hanging="720"/>
      <w:outlineLvl w:val="3"/>
    </w:pPr>
    <w:rPr>
      <w:rFonts w:eastAsiaTheme="majorEastAsia"/>
      <w:b/>
      <w:bCs/>
      <w:color w:val="000000" w:themeColor="text1"/>
      <w:sz w:val="26"/>
      <w:szCs w:val="26"/>
    </w:rPr>
  </w:style>
  <w:style w:type="paragraph" w:styleId="Heading5">
    <w:name w:val="heading 5"/>
    <w:basedOn w:val="Normal"/>
    <w:next w:val="Normal"/>
    <w:qFormat/>
    <w:rsid w:val="00DE0F58"/>
    <w:pPr>
      <w:keepNext/>
      <w:widowControl/>
      <w:spacing w:line="360" w:lineRule="auto"/>
      <w:ind w:left="2880" w:hanging="720"/>
      <w:outlineLvl w:val="4"/>
    </w:pPr>
    <w:rPr>
      <w:b/>
      <w:bCs/>
      <w:noProof/>
      <w:sz w:val="26"/>
      <w:szCs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aliases w:val="Footnote Text Char2,Footnote Text Char Char,Footnote Text Char1 Char Char,Footnote Text Char Char Char Char,Footnote Text Char1 Char1,Footnote Text Char Char1 Char,Car,fn,ALTS FOOTNOTE,Footnote Text 2,Footnote text,FOOTNOTE,fn Char Char"/>
    <w:basedOn w:val="Normal"/>
    <w:link w:val="FootnoteTextChar"/>
    <w:uiPriority w:val="99"/>
    <w:qFormat/>
    <w:rsid w:val="00022D45"/>
    <w:pPr>
      <w:widowControl/>
    </w:pPr>
  </w:style>
  <w:style w:type="character" w:styleId="FootnoteReference">
    <w:name w:val="footnote reference"/>
    <w:aliases w:val="o,fr,Style 42,(NECG) Footnote Reference,Footnote Reference (EIS),Styl,Style 11,Style 13,Style 15,Style 17,Style 18,Style 19,Style 20,Style 21,Style 24,Style 28,Style 4,Style 5,Style 7,Style 8,fr1,fr2,fr3,o1,o2,o3,Style 6,Style 3,FR"/>
    <w:uiPriority w:val="99"/>
    <w:qFormat/>
    <w:rsid w:val="00022D45"/>
    <w:rPr>
      <w:vertAlign w:val="superscript"/>
    </w:rPr>
  </w:style>
  <w:style w:type="character" w:styleId="Hyperlink">
    <w:name w:val="Hyperlink"/>
    <w:uiPriority w:val="99"/>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customStyle="1" w:styleId="Heading1Char">
    <w:name w:val="Heading 1 Char"/>
    <w:basedOn w:val="DefaultParagraphFont"/>
    <w:link w:val="Heading1"/>
    <w:rsid w:val="0009690C"/>
    <w:rPr>
      <w:b/>
      <w:sz w:val="26"/>
      <w:szCs w:val="26"/>
    </w:rPr>
  </w:style>
  <w:style w:type="character" w:customStyle="1" w:styleId="Heading2Char">
    <w:name w:val="Heading 2 Char"/>
    <w:basedOn w:val="DefaultParagraphFont"/>
    <w:link w:val="Heading2"/>
    <w:rsid w:val="00BF2A42"/>
    <w:rPr>
      <w:rFonts w:eastAsiaTheme="majorEastAsia"/>
      <w:b/>
      <w:bCs/>
      <w:sz w:val="26"/>
      <w:szCs w:val="26"/>
    </w:rPr>
  </w:style>
  <w:style w:type="paragraph" w:styleId="BlockText">
    <w:name w:val="Block Text"/>
    <w:basedOn w:val="Normal"/>
    <w:rsid w:val="008360ED"/>
    <w:pPr>
      <w:tabs>
        <w:tab w:val="left" w:pos="-720"/>
      </w:tabs>
      <w:spacing w:line="360" w:lineRule="auto"/>
      <w:ind w:left="1440" w:right="2160"/>
    </w:pPr>
    <w:rPr>
      <w:sz w:val="26"/>
    </w:rPr>
  </w:style>
  <w:style w:type="paragraph" w:styleId="ListParagraph">
    <w:name w:val="List Paragraph"/>
    <w:basedOn w:val="Normal"/>
    <w:uiPriority w:val="34"/>
    <w:qFormat/>
    <w:rsid w:val="00130A7A"/>
    <w:pPr>
      <w:ind w:left="720"/>
      <w:contextualSpacing/>
    </w:pPr>
  </w:style>
  <w:style w:type="character" w:customStyle="1" w:styleId="Heading3Char">
    <w:name w:val="Heading 3 Char"/>
    <w:basedOn w:val="DefaultParagraphFont"/>
    <w:link w:val="Heading3"/>
    <w:rsid w:val="00BF2A42"/>
    <w:rPr>
      <w:b/>
      <w:bCs/>
      <w:sz w:val="26"/>
      <w:szCs w:val="26"/>
    </w:rPr>
  </w:style>
  <w:style w:type="character" w:customStyle="1" w:styleId="Heading4Char">
    <w:name w:val="Heading 4 Char"/>
    <w:basedOn w:val="DefaultParagraphFont"/>
    <w:link w:val="Heading4"/>
    <w:rsid w:val="00BF2A42"/>
    <w:rPr>
      <w:rFonts w:eastAsiaTheme="majorEastAsia"/>
      <w:b/>
      <w:bCs/>
      <w:color w:val="000000" w:themeColor="text1"/>
      <w:sz w:val="26"/>
      <w:szCs w:val="26"/>
    </w:rPr>
  </w:style>
  <w:style w:type="character" w:customStyle="1" w:styleId="FootnoteTextChar">
    <w:name w:val="Footnote Text Char"/>
    <w:aliases w:val="Footnote Text Char2 Char,Footnote Text Char Char Char,Footnote Text Char1 Char Char Char,Footnote Text Char Char Char Char Char,Footnote Text Char1 Char1 Char,Footnote Text Char Char1 Char Char,Car Char,fn Char,ALTS FOOTNOTE Char"/>
    <w:basedOn w:val="DefaultParagraphFont"/>
    <w:link w:val="FootnoteText"/>
    <w:uiPriority w:val="99"/>
    <w:rsid w:val="0004698C"/>
  </w:style>
  <w:style w:type="paragraph" w:styleId="TOC1">
    <w:name w:val="toc 1"/>
    <w:basedOn w:val="Normal"/>
    <w:next w:val="Normal"/>
    <w:autoRedefine/>
    <w:uiPriority w:val="39"/>
    <w:unhideWhenUsed/>
    <w:rsid w:val="005A74D5"/>
    <w:pPr>
      <w:spacing w:after="100"/>
    </w:pPr>
    <w:rPr>
      <w:sz w:val="26"/>
    </w:rPr>
  </w:style>
  <w:style w:type="paragraph" w:styleId="TOC2">
    <w:name w:val="toc 2"/>
    <w:basedOn w:val="Normal"/>
    <w:next w:val="Normal"/>
    <w:autoRedefine/>
    <w:uiPriority w:val="39"/>
    <w:unhideWhenUsed/>
    <w:rsid w:val="006E6766"/>
    <w:pPr>
      <w:tabs>
        <w:tab w:val="left" w:pos="1440"/>
        <w:tab w:val="right" w:leader="dot" w:pos="9350"/>
      </w:tabs>
      <w:spacing w:after="100"/>
      <w:ind w:left="720"/>
    </w:pPr>
    <w:rPr>
      <w:sz w:val="26"/>
    </w:rPr>
  </w:style>
  <w:style w:type="paragraph" w:styleId="TOC3">
    <w:name w:val="toc 3"/>
    <w:basedOn w:val="Normal"/>
    <w:next w:val="Normal"/>
    <w:autoRedefine/>
    <w:uiPriority w:val="39"/>
    <w:unhideWhenUsed/>
    <w:rsid w:val="006E6766"/>
    <w:pPr>
      <w:tabs>
        <w:tab w:val="left" w:pos="2160"/>
        <w:tab w:val="right" w:leader="dot" w:pos="9350"/>
      </w:tabs>
      <w:spacing w:after="100"/>
      <w:ind w:left="1440"/>
    </w:pPr>
    <w:rPr>
      <w:sz w:val="26"/>
    </w:rPr>
  </w:style>
  <w:style w:type="paragraph" w:styleId="TOC4">
    <w:name w:val="toc 4"/>
    <w:basedOn w:val="Normal"/>
    <w:next w:val="Normal"/>
    <w:autoRedefine/>
    <w:uiPriority w:val="39"/>
    <w:unhideWhenUsed/>
    <w:rsid w:val="006E6766"/>
    <w:pPr>
      <w:tabs>
        <w:tab w:val="left" w:pos="2880"/>
        <w:tab w:val="right" w:leader="dot" w:pos="9350"/>
      </w:tabs>
      <w:spacing w:after="100"/>
      <w:ind w:left="2160"/>
    </w:pPr>
    <w:rPr>
      <w:sz w:val="24"/>
    </w:rPr>
  </w:style>
  <w:style w:type="character" w:styleId="CommentReference">
    <w:name w:val="annotation reference"/>
    <w:basedOn w:val="DefaultParagraphFont"/>
    <w:semiHidden/>
    <w:unhideWhenUsed/>
    <w:rsid w:val="00313907"/>
    <w:rPr>
      <w:sz w:val="16"/>
      <w:szCs w:val="16"/>
    </w:rPr>
  </w:style>
  <w:style w:type="paragraph" w:styleId="CommentText">
    <w:name w:val="annotation text"/>
    <w:basedOn w:val="Normal"/>
    <w:link w:val="CommentTextChar"/>
    <w:unhideWhenUsed/>
    <w:rsid w:val="00313907"/>
  </w:style>
  <w:style w:type="character" w:customStyle="1" w:styleId="CommentTextChar">
    <w:name w:val="Comment Text Char"/>
    <w:basedOn w:val="DefaultParagraphFont"/>
    <w:link w:val="CommentText"/>
    <w:rsid w:val="00313907"/>
  </w:style>
  <w:style w:type="paragraph" w:styleId="CommentSubject">
    <w:name w:val="annotation subject"/>
    <w:basedOn w:val="CommentText"/>
    <w:next w:val="CommentText"/>
    <w:link w:val="CommentSubjectChar"/>
    <w:semiHidden/>
    <w:unhideWhenUsed/>
    <w:rsid w:val="00313907"/>
    <w:rPr>
      <w:b/>
      <w:bCs/>
    </w:rPr>
  </w:style>
  <w:style w:type="character" w:customStyle="1" w:styleId="CommentSubjectChar">
    <w:name w:val="Comment Subject Char"/>
    <w:basedOn w:val="CommentTextChar"/>
    <w:link w:val="CommentSubject"/>
    <w:semiHidden/>
    <w:rsid w:val="00313907"/>
    <w:rPr>
      <w:b/>
      <w:bCs/>
    </w:rPr>
  </w:style>
  <w:style w:type="character" w:styleId="UnresolvedMention">
    <w:name w:val="Unresolved Mention"/>
    <w:basedOn w:val="DefaultParagraphFont"/>
    <w:uiPriority w:val="99"/>
    <w:semiHidden/>
    <w:unhideWhenUsed/>
    <w:rsid w:val="00446EA6"/>
    <w:rPr>
      <w:color w:val="605E5C"/>
      <w:shd w:val="clear" w:color="auto" w:fill="E1DFDD"/>
    </w:rPr>
  </w:style>
  <w:style w:type="table" w:customStyle="1" w:styleId="TableGrid1">
    <w:name w:val="Table Grid1"/>
    <w:basedOn w:val="TableNormal"/>
    <w:next w:val="TableGrid"/>
    <w:rsid w:val="000E4FB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014828"/>
    <w:pPr>
      <w:widowControl/>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014828"/>
    <w:pPr>
      <w:widowControl/>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014828"/>
    <w:pPr>
      <w:widowControl/>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014828"/>
    <w:pPr>
      <w:widowControl/>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014828"/>
    <w:pPr>
      <w:widowControl/>
      <w:spacing w:after="100" w:line="259" w:lineRule="auto"/>
      <w:ind w:left="1760"/>
    </w:pPr>
    <w:rPr>
      <w:rFonts w:asciiTheme="minorHAnsi" w:eastAsiaTheme="minorEastAsia" w:hAnsiTheme="minorHAnsi" w:cstheme="minorBidi"/>
      <w:sz w:val="22"/>
      <w:szCs w:val="22"/>
    </w:rPr>
  </w:style>
  <w:style w:type="paragraph" w:customStyle="1" w:styleId="footnotedescription">
    <w:name w:val="footnote description"/>
    <w:next w:val="Normal"/>
    <w:link w:val="footnotedescriptionChar"/>
    <w:hidden/>
    <w:rsid w:val="006C087D"/>
    <w:pPr>
      <w:spacing w:line="259" w:lineRule="auto"/>
      <w:ind w:left="720"/>
    </w:pPr>
    <w:rPr>
      <w:color w:val="000000"/>
      <w:szCs w:val="22"/>
    </w:rPr>
  </w:style>
  <w:style w:type="character" w:customStyle="1" w:styleId="footnotedescriptionChar">
    <w:name w:val="footnote description Char"/>
    <w:link w:val="footnotedescription"/>
    <w:rsid w:val="006C087D"/>
    <w:rPr>
      <w:color w:val="000000"/>
      <w:szCs w:val="22"/>
    </w:rPr>
  </w:style>
  <w:style w:type="character" w:customStyle="1" w:styleId="footnotemark">
    <w:name w:val="footnote mark"/>
    <w:hidden/>
    <w:rsid w:val="006C087D"/>
    <w:rPr>
      <w:rFonts w:ascii="Times New Roman" w:eastAsia="Times New Roman" w:hAnsi="Times New Roman" w:cs="Times New Roman"/>
      <w:color w:val="000000"/>
      <w:sz w:val="20"/>
      <w:vertAlign w:val="superscript"/>
    </w:rPr>
  </w:style>
  <w:style w:type="table" w:customStyle="1" w:styleId="TableGrid0">
    <w:name w:val="TableGrid"/>
    <w:rsid w:val="000304C2"/>
    <w:rPr>
      <w:rFonts w:ascii="Calibri" w:hAnsi="Calibri"/>
      <w:sz w:val="22"/>
      <w:szCs w:val="22"/>
    </w:rPr>
    <w:tblPr>
      <w:tblCellMar>
        <w:top w:w="0" w:type="dxa"/>
        <w:left w:w="0" w:type="dxa"/>
        <w:bottom w:w="0" w:type="dxa"/>
        <w:right w:w="0" w:type="dxa"/>
      </w:tblCellMar>
    </w:tblPr>
  </w:style>
  <w:style w:type="table" w:customStyle="1" w:styleId="TableGrid10">
    <w:name w:val="TableGrid1"/>
    <w:rsid w:val="00186DFC"/>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300763986">
      <w:bodyDiv w:val="1"/>
      <w:marLeft w:val="0"/>
      <w:marRight w:val="0"/>
      <w:marTop w:val="0"/>
      <w:marBottom w:val="0"/>
      <w:divBdr>
        <w:top w:val="none" w:sz="0" w:space="0" w:color="auto"/>
        <w:left w:val="none" w:sz="0" w:space="0" w:color="auto"/>
        <w:bottom w:val="none" w:sz="0" w:space="0" w:color="auto"/>
        <w:right w:val="none" w:sz="0" w:space="0" w:color="auto"/>
      </w:divBdr>
      <w:divsChild>
        <w:div w:id="1235824292">
          <w:marLeft w:val="0"/>
          <w:marRight w:val="0"/>
          <w:marTop w:val="0"/>
          <w:marBottom w:val="0"/>
          <w:divBdr>
            <w:top w:val="none" w:sz="0" w:space="0" w:color="auto"/>
            <w:left w:val="none" w:sz="0" w:space="0" w:color="auto"/>
            <w:bottom w:val="none" w:sz="0" w:space="0" w:color="auto"/>
            <w:right w:val="none" w:sz="0" w:space="0" w:color="auto"/>
          </w:divBdr>
        </w:div>
        <w:div w:id="1569725624">
          <w:marLeft w:val="0"/>
          <w:marRight w:val="0"/>
          <w:marTop w:val="0"/>
          <w:marBottom w:val="0"/>
          <w:divBdr>
            <w:top w:val="none" w:sz="0" w:space="0" w:color="auto"/>
            <w:left w:val="none" w:sz="0" w:space="0" w:color="auto"/>
            <w:bottom w:val="none" w:sz="0" w:space="0" w:color="auto"/>
            <w:right w:val="none" w:sz="0" w:space="0" w:color="auto"/>
          </w:divBdr>
        </w:div>
      </w:divsChild>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719811">
      <w:bodyDiv w:val="1"/>
      <w:marLeft w:val="0"/>
      <w:marRight w:val="0"/>
      <w:marTop w:val="0"/>
      <w:marBottom w:val="0"/>
      <w:divBdr>
        <w:top w:val="none" w:sz="0" w:space="0" w:color="auto"/>
        <w:left w:val="none" w:sz="0" w:space="0" w:color="auto"/>
        <w:bottom w:val="none" w:sz="0" w:space="0" w:color="auto"/>
        <w:right w:val="none" w:sz="0" w:space="0" w:color="auto"/>
      </w:divBdr>
    </w:div>
    <w:div w:id="1922832055">
      <w:bodyDiv w:val="1"/>
      <w:marLeft w:val="0"/>
      <w:marRight w:val="0"/>
      <w:marTop w:val="0"/>
      <w:marBottom w:val="0"/>
      <w:divBdr>
        <w:top w:val="none" w:sz="0" w:space="0" w:color="auto"/>
        <w:left w:val="none" w:sz="0" w:space="0" w:color="auto"/>
        <w:bottom w:val="none" w:sz="0" w:space="0" w:color="auto"/>
        <w:right w:val="none" w:sz="0" w:space="0" w:color="auto"/>
      </w:divBdr>
      <w:divsChild>
        <w:div w:id="533425128">
          <w:marLeft w:val="0"/>
          <w:marRight w:val="0"/>
          <w:marTop w:val="0"/>
          <w:marBottom w:val="0"/>
          <w:divBdr>
            <w:top w:val="none" w:sz="0" w:space="0" w:color="auto"/>
            <w:left w:val="none" w:sz="0" w:space="0" w:color="auto"/>
            <w:bottom w:val="none" w:sz="0" w:space="0" w:color="auto"/>
            <w:right w:val="none" w:sz="0" w:space="0" w:color="auto"/>
          </w:divBdr>
        </w:div>
        <w:div w:id="713389462">
          <w:marLeft w:val="0"/>
          <w:marRight w:val="0"/>
          <w:marTop w:val="0"/>
          <w:marBottom w:val="0"/>
          <w:divBdr>
            <w:top w:val="none" w:sz="0" w:space="0" w:color="auto"/>
            <w:left w:val="none" w:sz="0" w:space="0" w:color="auto"/>
            <w:bottom w:val="none" w:sz="0" w:space="0" w:color="auto"/>
            <w:right w:val="none" w:sz="0" w:space="0" w:color="auto"/>
          </w:divBdr>
        </w:div>
        <w:div w:id="1343049988">
          <w:marLeft w:val="0"/>
          <w:marRight w:val="0"/>
          <w:marTop w:val="0"/>
          <w:marBottom w:val="0"/>
          <w:divBdr>
            <w:top w:val="none" w:sz="0" w:space="0" w:color="auto"/>
            <w:left w:val="none" w:sz="0" w:space="0" w:color="auto"/>
            <w:bottom w:val="none" w:sz="0" w:space="0" w:color="auto"/>
            <w:right w:val="none" w:sz="0" w:space="0" w:color="auto"/>
          </w:divBdr>
        </w:div>
        <w:div w:id="1470591613">
          <w:marLeft w:val="0"/>
          <w:marRight w:val="0"/>
          <w:marTop w:val="0"/>
          <w:marBottom w:val="0"/>
          <w:divBdr>
            <w:top w:val="none" w:sz="0" w:space="0" w:color="auto"/>
            <w:left w:val="none" w:sz="0" w:space="0" w:color="auto"/>
            <w:bottom w:val="none" w:sz="0" w:space="0" w:color="auto"/>
            <w:right w:val="none" w:sz="0" w:space="0" w:color="auto"/>
          </w:divBdr>
        </w:div>
        <w:div w:id="1558198512">
          <w:marLeft w:val="0"/>
          <w:marRight w:val="0"/>
          <w:marTop w:val="0"/>
          <w:marBottom w:val="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EA759-00F4-46FE-86A5-8F7D1CE84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40</Pages>
  <Words>9821</Words>
  <Characters>55986</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65676</CharactersWithSpaces>
  <SharedDoc>false</SharedDoc>
  <HLinks>
    <vt:vector size="486" baseType="variant">
      <vt:variant>
        <vt:i4>1376310</vt:i4>
      </vt:variant>
      <vt:variant>
        <vt:i4>482</vt:i4>
      </vt:variant>
      <vt:variant>
        <vt:i4>0</vt:i4>
      </vt:variant>
      <vt:variant>
        <vt:i4>5</vt:i4>
      </vt:variant>
      <vt:variant>
        <vt:lpwstr/>
      </vt:variant>
      <vt:variant>
        <vt:lpwstr>_Toc68587022</vt:lpwstr>
      </vt:variant>
      <vt:variant>
        <vt:i4>1441846</vt:i4>
      </vt:variant>
      <vt:variant>
        <vt:i4>476</vt:i4>
      </vt:variant>
      <vt:variant>
        <vt:i4>0</vt:i4>
      </vt:variant>
      <vt:variant>
        <vt:i4>5</vt:i4>
      </vt:variant>
      <vt:variant>
        <vt:lpwstr/>
      </vt:variant>
      <vt:variant>
        <vt:lpwstr>_Toc68587021</vt:lpwstr>
      </vt:variant>
      <vt:variant>
        <vt:i4>1507382</vt:i4>
      </vt:variant>
      <vt:variant>
        <vt:i4>470</vt:i4>
      </vt:variant>
      <vt:variant>
        <vt:i4>0</vt:i4>
      </vt:variant>
      <vt:variant>
        <vt:i4>5</vt:i4>
      </vt:variant>
      <vt:variant>
        <vt:lpwstr/>
      </vt:variant>
      <vt:variant>
        <vt:lpwstr>_Toc68587020</vt:lpwstr>
      </vt:variant>
      <vt:variant>
        <vt:i4>1966133</vt:i4>
      </vt:variant>
      <vt:variant>
        <vt:i4>464</vt:i4>
      </vt:variant>
      <vt:variant>
        <vt:i4>0</vt:i4>
      </vt:variant>
      <vt:variant>
        <vt:i4>5</vt:i4>
      </vt:variant>
      <vt:variant>
        <vt:lpwstr/>
      </vt:variant>
      <vt:variant>
        <vt:lpwstr>_Toc68587019</vt:lpwstr>
      </vt:variant>
      <vt:variant>
        <vt:i4>2031669</vt:i4>
      </vt:variant>
      <vt:variant>
        <vt:i4>458</vt:i4>
      </vt:variant>
      <vt:variant>
        <vt:i4>0</vt:i4>
      </vt:variant>
      <vt:variant>
        <vt:i4>5</vt:i4>
      </vt:variant>
      <vt:variant>
        <vt:lpwstr/>
      </vt:variant>
      <vt:variant>
        <vt:lpwstr>_Toc68587018</vt:lpwstr>
      </vt:variant>
      <vt:variant>
        <vt:i4>1048629</vt:i4>
      </vt:variant>
      <vt:variant>
        <vt:i4>452</vt:i4>
      </vt:variant>
      <vt:variant>
        <vt:i4>0</vt:i4>
      </vt:variant>
      <vt:variant>
        <vt:i4>5</vt:i4>
      </vt:variant>
      <vt:variant>
        <vt:lpwstr/>
      </vt:variant>
      <vt:variant>
        <vt:lpwstr>_Toc68587017</vt:lpwstr>
      </vt:variant>
      <vt:variant>
        <vt:i4>1114165</vt:i4>
      </vt:variant>
      <vt:variant>
        <vt:i4>446</vt:i4>
      </vt:variant>
      <vt:variant>
        <vt:i4>0</vt:i4>
      </vt:variant>
      <vt:variant>
        <vt:i4>5</vt:i4>
      </vt:variant>
      <vt:variant>
        <vt:lpwstr/>
      </vt:variant>
      <vt:variant>
        <vt:lpwstr>_Toc68587016</vt:lpwstr>
      </vt:variant>
      <vt:variant>
        <vt:i4>1179701</vt:i4>
      </vt:variant>
      <vt:variant>
        <vt:i4>440</vt:i4>
      </vt:variant>
      <vt:variant>
        <vt:i4>0</vt:i4>
      </vt:variant>
      <vt:variant>
        <vt:i4>5</vt:i4>
      </vt:variant>
      <vt:variant>
        <vt:lpwstr/>
      </vt:variant>
      <vt:variant>
        <vt:lpwstr>_Toc68587015</vt:lpwstr>
      </vt:variant>
      <vt:variant>
        <vt:i4>1245237</vt:i4>
      </vt:variant>
      <vt:variant>
        <vt:i4>434</vt:i4>
      </vt:variant>
      <vt:variant>
        <vt:i4>0</vt:i4>
      </vt:variant>
      <vt:variant>
        <vt:i4>5</vt:i4>
      </vt:variant>
      <vt:variant>
        <vt:lpwstr/>
      </vt:variant>
      <vt:variant>
        <vt:lpwstr>_Toc68587014</vt:lpwstr>
      </vt:variant>
      <vt:variant>
        <vt:i4>1310773</vt:i4>
      </vt:variant>
      <vt:variant>
        <vt:i4>428</vt:i4>
      </vt:variant>
      <vt:variant>
        <vt:i4>0</vt:i4>
      </vt:variant>
      <vt:variant>
        <vt:i4>5</vt:i4>
      </vt:variant>
      <vt:variant>
        <vt:lpwstr/>
      </vt:variant>
      <vt:variant>
        <vt:lpwstr>_Toc68587013</vt:lpwstr>
      </vt:variant>
      <vt:variant>
        <vt:i4>1376309</vt:i4>
      </vt:variant>
      <vt:variant>
        <vt:i4>422</vt:i4>
      </vt:variant>
      <vt:variant>
        <vt:i4>0</vt:i4>
      </vt:variant>
      <vt:variant>
        <vt:i4>5</vt:i4>
      </vt:variant>
      <vt:variant>
        <vt:lpwstr/>
      </vt:variant>
      <vt:variant>
        <vt:lpwstr>_Toc68587012</vt:lpwstr>
      </vt:variant>
      <vt:variant>
        <vt:i4>1441845</vt:i4>
      </vt:variant>
      <vt:variant>
        <vt:i4>416</vt:i4>
      </vt:variant>
      <vt:variant>
        <vt:i4>0</vt:i4>
      </vt:variant>
      <vt:variant>
        <vt:i4>5</vt:i4>
      </vt:variant>
      <vt:variant>
        <vt:lpwstr/>
      </vt:variant>
      <vt:variant>
        <vt:lpwstr>_Toc68587011</vt:lpwstr>
      </vt:variant>
      <vt:variant>
        <vt:i4>1507381</vt:i4>
      </vt:variant>
      <vt:variant>
        <vt:i4>410</vt:i4>
      </vt:variant>
      <vt:variant>
        <vt:i4>0</vt:i4>
      </vt:variant>
      <vt:variant>
        <vt:i4>5</vt:i4>
      </vt:variant>
      <vt:variant>
        <vt:lpwstr/>
      </vt:variant>
      <vt:variant>
        <vt:lpwstr>_Toc68587010</vt:lpwstr>
      </vt:variant>
      <vt:variant>
        <vt:i4>1966132</vt:i4>
      </vt:variant>
      <vt:variant>
        <vt:i4>404</vt:i4>
      </vt:variant>
      <vt:variant>
        <vt:i4>0</vt:i4>
      </vt:variant>
      <vt:variant>
        <vt:i4>5</vt:i4>
      </vt:variant>
      <vt:variant>
        <vt:lpwstr/>
      </vt:variant>
      <vt:variant>
        <vt:lpwstr>_Toc68587009</vt:lpwstr>
      </vt:variant>
      <vt:variant>
        <vt:i4>2031668</vt:i4>
      </vt:variant>
      <vt:variant>
        <vt:i4>398</vt:i4>
      </vt:variant>
      <vt:variant>
        <vt:i4>0</vt:i4>
      </vt:variant>
      <vt:variant>
        <vt:i4>5</vt:i4>
      </vt:variant>
      <vt:variant>
        <vt:lpwstr/>
      </vt:variant>
      <vt:variant>
        <vt:lpwstr>_Toc68587008</vt:lpwstr>
      </vt:variant>
      <vt:variant>
        <vt:i4>1048628</vt:i4>
      </vt:variant>
      <vt:variant>
        <vt:i4>392</vt:i4>
      </vt:variant>
      <vt:variant>
        <vt:i4>0</vt:i4>
      </vt:variant>
      <vt:variant>
        <vt:i4>5</vt:i4>
      </vt:variant>
      <vt:variant>
        <vt:lpwstr/>
      </vt:variant>
      <vt:variant>
        <vt:lpwstr>_Toc68587007</vt:lpwstr>
      </vt:variant>
      <vt:variant>
        <vt:i4>1114164</vt:i4>
      </vt:variant>
      <vt:variant>
        <vt:i4>386</vt:i4>
      </vt:variant>
      <vt:variant>
        <vt:i4>0</vt:i4>
      </vt:variant>
      <vt:variant>
        <vt:i4>5</vt:i4>
      </vt:variant>
      <vt:variant>
        <vt:lpwstr/>
      </vt:variant>
      <vt:variant>
        <vt:lpwstr>_Toc68587006</vt:lpwstr>
      </vt:variant>
      <vt:variant>
        <vt:i4>1179700</vt:i4>
      </vt:variant>
      <vt:variant>
        <vt:i4>380</vt:i4>
      </vt:variant>
      <vt:variant>
        <vt:i4>0</vt:i4>
      </vt:variant>
      <vt:variant>
        <vt:i4>5</vt:i4>
      </vt:variant>
      <vt:variant>
        <vt:lpwstr/>
      </vt:variant>
      <vt:variant>
        <vt:lpwstr>_Toc68587005</vt:lpwstr>
      </vt:variant>
      <vt:variant>
        <vt:i4>1245236</vt:i4>
      </vt:variant>
      <vt:variant>
        <vt:i4>374</vt:i4>
      </vt:variant>
      <vt:variant>
        <vt:i4>0</vt:i4>
      </vt:variant>
      <vt:variant>
        <vt:i4>5</vt:i4>
      </vt:variant>
      <vt:variant>
        <vt:lpwstr/>
      </vt:variant>
      <vt:variant>
        <vt:lpwstr>_Toc68587004</vt:lpwstr>
      </vt:variant>
      <vt:variant>
        <vt:i4>1310772</vt:i4>
      </vt:variant>
      <vt:variant>
        <vt:i4>368</vt:i4>
      </vt:variant>
      <vt:variant>
        <vt:i4>0</vt:i4>
      </vt:variant>
      <vt:variant>
        <vt:i4>5</vt:i4>
      </vt:variant>
      <vt:variant>
        <vt:lpwstr/>
      </vt:variant>
      <vt:variant>
        <vt:lpwstr>_Toc68587003</vt:lpwstr>
      </vt:variant>
      <vt:variant>
        <vt:i4>1376308</vt:i4>
      </vt:variant>
      <vt:variant>
        <vt:i4>362</vt:i4>
      </vt:variant>
      <vt:variant>
        <vt:i4>0</vt:i4>
      </vt:variant>
      <vt:variant>
        <vt:i4>5</vt:i4>
      </vt:variant>
      <vt:variant>
        <vt:lpwstr/>
      </vt:variant>
      <vt:variant>
        <vt:lpwstr>_Toc68587002</vt:lpwstr>
      </vt:variant>
      <vt:variant>
        <vt:i4>1441844</vt:i4>
      </vt:variant>
      <vt:variant>
        <vt:i4>356</vt:i4>
      </vt:variant>
      <vt:variant>
        <vt:i4>0</vt:i4>
      </vt:variant>
      <vt:variant>
        <vt:i4>5</vt:i4>
      </vt:variant>
      <vt:variant>
        <vt:lpwstr/>
      </vt:variant>
      <vt:variant>
        <vt:lpwstr>_Toc68587001</vt:lpwstr>
      </vt:variant>
      <vt:variant>
        <vt:i4>1507380</vt:i4>
      </vt:variant>
      <vt:variant>
        <vt:i4>350</vt:i4>
      </vt:variant>
      <vt:variant>
        <vt:i4>0</vt:i4>
      </vt:variant>
      <vt:variant>
        <vt:i4>5</vt:i4>
      </vt:variant>
      <vt:variant>
        <vt:lpwstr/>
      </vt:variant>
      <vt:variant>
        <vt:lpwstr>_Toc68587000</vt:lpwstr>
      </vt:variant>
      <vt:variant>
        <vt:i4>1507388</vt:i4>
      </vt:variant>
      <vt:variant>
        <vt:i4>344</vt:i4>
      </vt:variant>
      <vt:variant>
        <vt:i4>0</vt:i4>
      </vt:variant>
      <vt:variant>
        <vt:i4>5</vt:i4>
      </vt:variant>
      <vt:variant>
        <vt:lpwstr/>
      </vt:variant>
      <vt:variant>
        <vt:lpwstr>_Toc68586999</vt:lpwstr>
      </vt:variant>
      <vt:variant>
        <vt:i4>1441852</vt:i4>
      </vt:variant>
      <vt:variant>
        <vt:i4>338</vt:i4>
      </vt:variant>
      <vt:variant>
        <vt:i4>0</vt:i4>
      </vt:variant>
      <vt:variant>
        <vt:i4>5</vt:i4>
      </vt:variant>
      <vt:variant>
        <vt:lpwstr/>
      </vt:variant>
      <vt:variant>
        <vt:lpwstr>_Toc68586998</vt:lpwstr>
      </vt:variant>
      <vt:variant>
        <vt:i4>1638460</vt:i4>
      </vt:variant>
      <vt:variant>
        <vt:i4>332</vt:i4>
      </vt:variant>
      <vt:variant>
        <vt:i4>0</vt:i4>
      </vt:variant>
      <vt:variant>
        <vt:i4>5</vt:i4>
      </vt:variant>
      <vt:variant>
        <vt:lpwstr/>
      </vt:variant>
      <vt:variant>
        <vt:lpwstr>_Toc68586997</vt:lpwstr>
      </vt:variant>
      <vt:variant>
        <vt:i4>1572924</vt:i4>
      </vt:variant>
      <vt:variant>
        <vt:i4>326</vt:i4>
      </vt:variant>
      <vt:variant>
        <vt:i4>0</vt:i4>
      </vt:variant>
      <vt:variant>
        <vt:i4>5</vt:i4>
      </vt:variant>
      <vt:variant>
        <vt:lpwstr/>
      </vt:variant>
      <vt:variant>
        <vt:lpwstr>_Toc68586996</vt:lpwstr>
      </vt:variant>
      <vt:variant>
        <vt:i4>1769532</vt:i4>
      </vt:variant>
      <vt:variant>
        <vt:i4>320</vt:i4>
      </vt:variant>
      <vt:variant>
        <vt:i4>0</vt:i4>
      </vt:variant>
      <vt:variant>
        <vt:i4>5</vt:i4>
      </vt:variant>
      <vt:variant>
        <vt:lpwstr/>
      </vt:variant>
      <vt:variant>
        <vt:lpwstr>_Toc68586995</vt:lpwstr>
      </vt:variant>
      <vt:variant>
        <vt:i4>1703996</vt:i4>
      </vt:variant>
      <vt:variant>
        <vt:i4>314</vt:i4>
      </vt:variant>
      <vt:variant>
        <vt:i4>0</vt:i4>
      </vt:variant>
      <vt:variant>
        <vt:i4>5</vt:i4>
      </vt:variant>
      <vt:variant>
        <vt:lpwstr/>
      </vt:variant>
      <vt:variant>
        <vt:lpwstr>_Toc68586994</vt:lpwstr>
      </vt:variant>
      <vt:variant>
        <vt:i4>1900604</vt:i4>
      </vt:variant>
      <vt:variant>
        <vt:i4>308</vt:i4>
      </vt:variant>
      <vt:variant>
        <vt:i4>0</vt:i4>
      </vt:variant>
      <vt:variant>
        <vt:i4>5</vt:i4>
      </vt:variant>
      <vt:variant>
        <vt:lpwstr/>
      </vt:variant>
      <vt:variant>
        <vt:lpwstr>_Toc68586993</vt:lpwstr>
      </vt:variant>
      <vt:variant>
        <vt:i4>1835068</vt:i4>
      </vt:variant>
      <vt:variant>
        <vt:i4>302</vt:i4>
      </vt:variant>
      <vt:variant>
        <vt:i4>0</vt:i4>
      </vt:variant>
      <vt:variant>
        <vt:i4>5</vt:i4>
      </vt:variant>
      <vt:variant>
        <vt:lpwstr/>
      </vt:variant>
      <vt:variant>
        <vt:lpwstr>_Toc68586992</vt:lpwstr>
      </vt:variant>
      <vt:variant>
        <vt:i4>2031676</vt:i4>
      </vt:variant>
      <vt:variant>
        <vt:i4>296</vt:i4>
      </vt:variant>
      <vt:variant>
        <vt:i4>0</vt:i4>
      </vt:variant>
      <vt:variant>
        <vt:i4>5</vt:i4>
      </vt:variant>
      <vt:variant>
        <vt:lpwstr/>
      </vt:variant>
      <vt:variant>
        <vt:lpwstr>_Toc68586991</vt:lpwstr>
      </vt:variant>
      <vt:variant>
        <vt:i4>1966140</vt:i4>
      </vt:variant>
      <vt:variant>
        <vt:i4>290</vt:i4>
      </vt:variant>
      <vt:variant>
        <vt:i4>0</vt:i4>
      </vt:variant>
      <vt:variant>
        <vt:i4>5</vt:i4>
      </vt:variant>
      <vt:variant>
        <vt:lpwstr/>
      </vt:variant>
      <vt:variant>
        <vt:lpwstr>_Toc68586990</vt:lpwstr>
      </vt:variant>
      <vt:variant>
        <vt:i4>1507389</vt:i4>
      </vt:variant>
      <vt:variant>
        <vt:i4>284</vt:i4>
      </vt:variant>
      <vt:variant>
        <vt:i4>0</vt:i4>
      </vt:variant>
      <vt:variant>
        <vt:i4>5</vt:i4>
      </vt:variant>
      <vt:variant>
        <vt:lpwstr/>
      </vt:variant>
      <vt:variant>
        <vt:lpwstr>_Toc68586989</vt:lpwstr>
      </vt:variant>
      <vt:variant>
        <vt:i4>1441853</vt:i4>
      </vt:variant>
      <vt:variant>
        <vt:i4>278</vt:i4>
      </vt:variant>
      <vt:variant>
        <vt:i4>0</vt:i4>
      </vt:variant>
      <vt:variant>
        <vt:i4>5</vt:i4>
      </vt:variant>
      <vt:variant>
        <vt:lpwstr/>
      </vt:variant>
      <vt:variant>
        <vt:lpwstr>_Toc68586988</vt:lpwstr>
      </vt:variant>
      <vt:variant>
        <vt:i4>1638461</vt:i4>
      </vt:variant>
      <vt:variant>
        <vt:i4>272</vt:i4>
      </vt:variant>
      <vt:variant>
        <vt:i4>0</vt:i4>
      </vt:variant>
      <vt:variant>
        <vt:i4>5</vt:i4>
      </vt:variant>
      <vt:variant>
        <vt:lpwstr/>
      </vt:variant>
      <vt:variant>
        <vt:lpwstr>_Toc68586987</vt:lpwstr>
      </vt:variant>
      <vt:variant>
        <vt:i4>1572925</vt:i4>
      </vt:variant>
      <vt:variant>
        <vt:i4>266</vt:i4>
      </vt:variant>
      <vt:variant>
        <vt:i4>0</vt:i4>
      </vt:variant>
      <vt:variant>
        <vt:i4>5</vt:i4>
      </vt:variant>
      <vt:variant>
        <vt:lpwstr/>
      </vt:variant>
      <vt:variant>
        <vt:lpwstr>_Toc68586986</vt:lpwstr>
      </vt:variant>
      <vt:variant>
        <vt:i4>1769533</vt:i4>
      </vt:variant>
      <vt:variant>
        <vt:i4>260</vt:i4>
      </vt:variant>
      <vt:variant>
        <vt:i4>0</vt:i4>
      </vt:variant>
      <vt:variant>
        <vt:i4>5</vt:i4>
      </vt:variant>
      <vt:variant>
        <vt:lpwstr/>
      </vt:variant>
      <vt:variant>
        <vt:lpwstr>_Toc68586985</vt:lpwstr>
      </vt:variant>
      <vt:variant>
        <vt:i4>1703997</vt:i4>
      </vt:variant>
      <vt:variant>
        <vt:i4>254</vt:i4>
      </vt:variant>
      <vt:variant>
        <vt:i4>0</vt:i4>
      </vt:variant>
      <vt:variant>
        <vt:i4>5</vt:i4>
      </vt:variant>
      <vt:variant>
        <vt:lpwstr/>
      </vt:variant>
      <vt:variant>
        <vt:lpwstr>_Toc68586984</vt:lpwstr>
      </vt:variant>
      <vt:variant>
        <vt:i4>1900605</vt:i4>
      </vt:variant>
      <vt:variant>
        <vt:i4>248</vt:i4>
      </vt:variant>
      <vt:variant>
        <vt:i4>0</vt:i4>
      </vt:variant>
      <vt:variant>
        <vt:i4>5</vt:i4>
      </vt:variant>
      <vt:variant>
        <vt:lpwstr/>
      </vt:variant>
      <vt:variant>
        <vt:lpwstr>_Toc68586983</vt:lpwstr>
      </vt:variant>
      <vt:variant>
        <vt:i4>1835069</vt:i4>
      </vt:variant>
      <vt:variant>
        <vt:i4>242</vt:i4>
      </vt:variant>
      <vt:variant>
        <vt:i4>0</vt:i4>
      </vt:variant>
      <vt:variant>
        <vt:i4>5</vt:i4>
      </vt:variant>
      <vt:variant>
        <vt:lpwstr/>
      </vt:variant>
      <vt:variant>
        <vt:lpwstr>_Toc68586982</vt:lpwstr>
      </vt:variant>
      <vt:variant>
        <vt:i4>2031677</vt:i4>
      </vt:variant>
      <vt:variant>
        <vt:i4>236</vt:i4>
      </vt:variant>
      <vt:variant>
        <vt:i4>0</vt:i4>
      </vt:variant>
      <vt:variant>
        <vt:i4>5</vt:i4>
      </vt:variant>
      <vt:variant>
        <vt:lpwstr/>
      </vt:variant>
      <vt:variant>
        <vt:lpwstr>_Toc68586981</vt:lpwstr>
      </vt:variant>
      <vt:variant>
        <vt:i4>1966141</vt:i4>
      </vt:variant>
      <vt:variant>
        <vt:i4>230</vt:i4>
      </vt:variant>
      <vt:variant>
        <vt:i4>0</vt:i4>
      </vt:variant>
      <vt:variant>
        <vt:i4>5</vt:i4>
      </vt:variant>
      <vt:variant>
        <vt:lpwstr/>
      </vt:variant>
      <vt:variant>
        <vt:lpwstr>_Toc68586980</vt:lpwstr>
      </vt:variant>
      <vt:variant>
        <vt:i4>1507378</vt:i4>
      </vt:variant>
      <vt:variant>
        <vt:i4>224</vt:i4>
      </vt:variant>
      <vt:variant>
        <vt:i4>0</vt:i4>
      </vt:variant>
      <vt:variant>
        <vt:i4>5</vt:i4>
      </vt:variant>
      <vt:variant>
        <vt:lpwstr/>
      </vt:variant>
      <vt:variant>
        <vt:lpwstr>_Toc68586979</vt:lpwstr>
      </vt:variant>
      <vt:variant>
        <vt:i4>1441842</vt:i4>
      </vt:variant>
      <vt:variant>
        <vt:i4>218</vt:i4>
      </vt:variant>
      <vt:variant>
        <vt:i4>0</vt:i4>
      </vt:variant>
      <vt:variant>
        <vt:i4>5</vt:i4>
      </vt:variant>
      <vt:variant>
        <vt:lpwstr/>
      </vt:variant>
      <vt:variant>
        <vt:lpwstr>_Toc68586978</vt:lpwstr>
      </vt:variant>
      <vt:variant>
        <vt:i4>1638450</vt:i4>
      </vt:variant>
      <vt:variant>
        <vt:i4>212</vt:i4>
      </vt:variant>
      <vt:variant>
        <vt:i4>0</vt:i4>
      </vt:variant>
      <vt:variant>
        <vt:i4>5</vt:i4>
      </vt:variant>
      <vt:variant>
        <vt:lpwstr/>
      </vt:variant>
      <vt:variant>
        <vt:lpwstr>_Toc68586977</vt:lpwstr>
      </vt:variant>
      <vt:variant>
        <vt:i4>1572914</vt:i4>
      </vt:variant>
      <vt:variant>
        <vt:i4>206</vt:i4>
      </vt:variant>
      <vt:variant>
        <vt:i4>0</vt:i4>
      </vt:variant>
      <vt:variant>
        <vt:i4>5</vt:i4>
      </vt:variant>
      <vt:variant>
        <vt:lpwstr/>
      </vt:variant>
      <vt:variant>
        <vt:lpwstr>_Toc68586976</vt:lpwstr>
      </vt:variant>
      <vt:variant>
        <vt:i4>1769522</vt:i4>
      </vt:variant>
      <vt:variant>
        <vt:i4>200</vt:i4>
      </vt:variant>
      <vt:variant>
        <vt:i4>0</vt:i4>
      </vt:variant>
      <vt:variant>
        <vt:i4>5</vt:i4>
      </vt:variant>
      <vt:variant>
        <vt:lpwstr/>
      </vt:variant>
      <vt:variant>
        <vt:lpwstr>_Toc68586975</vt:lpwstr>
      </vt:variant>
      <vt:variant>
        <vt:i4>1703986</vt:i4>
      </vt:variant>
      <vt:variant>
        <vt:i4>194</vt:i4>
      </vt:variant>
      <vt:variant>
        <vt:i4>0</vt:i4>
      </vt:variant>
      <vt:variant>
        <vt:i4>5</vt:i4>
      </vt:variant>
      <vt:variant>
        <vt:lpwstr/>
      </vt:variant>
      <vt:variant>
        <vt:lpwstr>_Toc68586974</vt:lpwstr>
      </vt:variant>
      <vt:variant>
        <vt:i4>1900594</vt:i4>
      </vt:variant>
      <vt:variant>
        <vt:i4>188</vt:i4>
      </vt:variant>
      <vt:variant>
        <vt:i4>0</vt:i4>
      </vt:variant>
      <vt:variant>
        <vt:i4>5</vt:i4>
      </vt:variant>
      <vt:variant>
        <vt:lpwstr/>
      </vt:variant>
      <vt:variant>
        <vt:lpwstr>_Toc68586973</vt:lpwstr>
      </vt:variant>
      <vt:variant>
        <vt:i4>1835058</vt:i4>
      </vt:variant>
      <vt:variant>
        <vt:i4>182</vt:i4>
      </vt:variant>
      <vt:variant>
        <vt:i4>0</vt:i4>
      </vt:variant>
      <vt:variant>
        <vt:i4>5</vt:i4>
      </vt:variant>
      <vt:variant>
        <vt:lpwstr/>
      </vt:variant>
      <vt:variant>
        <vt:lpwstr>_Toc68586972</vt:lpwstr>
      </vt:variant>
      <vt:variant>
        <vt:i4>2031666</vt:i4>
      </vt:variant>
      <vt:variant>
        <vt:i4>176</vt:i4>
      </vt:variant>
      <vt:variant>
        <vt:i4>0</vt:i4>
      </vt:variant>
      <vt:variant>
        <vt:i4>5</vt:i4>
      </vt:variant>
      <vt:variant>
        <vt:lpwstr/>
      </vt:variant>
      <vt:variant>
        <vt:lpwstr>_Toc68586971</vt:lpwstr>
      </vt:variant>
      <vt:variant>
        <vt:i4>1966130</vt:i4>
      </vt:variant>
      <vt:variant>
        <vt:i4>170</vt:i4>
      </vt:variant>
      <vt:variant>
        <vt:i4>0</vt:i4>
      </vt:variant>
      <vt:variant>
        <vt:i4>5</vt:i4>
      </vt:variant>
      <vt:variant>
        <vt:lpwstr/>
      </vt:variant>
      <vt:variant>
        <vt:lpwstr>_Toc68586970</vt:lpwstr>
      </vt:variant>
      <vt:variant>
        <vt:i4>1507379</vt:i4>
      </vt:variant>
      <vt:variant>
        <vt:i4>164</vt:i4>
      </vt:variant>
      <vt:variant>
        <vt:i4>0</vt:i4>
      </vt:variant>
      <vt:variant>
        <vt:i4>5</vt:i4>
      </vt:variant>
      <vt:variant>
        <vt:lpwstr/>
      </vt:variant>
      <vt:variant>
        <vt:lpwstr>_Toc68586969</vt:lpwstr>
      </vt:variant>
      <vt:variant>
        <vt:i4>1441843</vt:i4>
      </vt:variant>
      <vt:variant>
        <vt:i4>158</vt:i4>
      </vt:variant>
      <vt:variant>
        <vt:i4>0</vt:i4>
      </vt:variant>
      <vt:variant>
        <vt:i4>5</vt:i4>
      </vt:variant>
      <vt:variant>
        <vt:lpwstr/>
      </vt:variant>
      <vt:variant>
        <vt:lpwstr>_Toc68586968</vt:lpwstr>
      </vt:variant>
      <vt:variant>
        <vt:i4>1638451</vt:i4>
      </vt:variant>
      <vt:variant>
        <vt:i4>152</vt:i4>
      </vt:variant>
      <vt:variant>
        <vt:i4>0</vt:i4>
      </vt:variant>
      <vt:variant>
        <vt:i4>5</vt:i4>
      </vt:variant>
      <vt:variant>
        <vt:lpwstr/>
      </vt:variant>
      <vt:variant>
        <vt:lpwstr>_Toc68586967</vt:lpwstr>
      </vt:variant>
      <vt:variant>
        <vt:i4>1572915</vt:i4>
      </vt:variant>
      <vt:variant>
        <vt:i4>146</vt:i4>
      </vt:variant>
      <vt:variant>
        <vt:i4>0</vt:i4>
      </vt:variant>
      <vt:variant>
        <vt:i4>5</vt:i4>
      </vt:variant>
      <vt:variant>
        <vt:lpwstr/>
      </vt:variant>
      <vt:variant>
        <vt:lpwstr>_Toc68586966</vt:lpwstr>
      </vt:variant>
      <vt:variant>
        <vt:i4>1769523</vt:i4>
      </vt:variant>
      <vt:variant>
        <vt:i4>140</vt:i4>
      </vt:variant>
      <vt:variant>
        <vt:i4>0</vt:i4>
      </vt:variant>
      <vt:variant>
        <vt:i4>5</vt:i4>
      </vt:variant>
      <vt:variant>
        <vt:lpwstr/>
      </vt:variant>
      <vt:variant>
        <vt:lpwstr>_Toc68586965</vt:lpwstr>
      </vt:variant>
      <vt:variant>
        <vt:i4>1703987</vt:i4>
      </vt:variant>
      <vt:variant>
        <vt:i4>134</vt:i4>
      </vt:variant>
      <vt:variant>
        <vt:i4>0</vt:i4>
      </vt:variant>
      <vt:variant>
        <vt:i4>5</vt:i4>
      </vt:variant>
      <vt:variant>
        <vt:lpwstr/>
      </vt:variant>
      <vt:variant>
        <vt:lpwstr>_Toc68586964</vt:lpwstr>
      </vt:variant>
      <vt:variant>
        <vt:i4>1900595</vt:i4>
      </vt:variant>
      <vt:variant>
        <vt:i4>128</vt:i4>
      </vt:variant>
      <vt:variant>
        <vt:i4>0</vt:i4>
      </vt:variant>
      <vt:variant>
        <vt:i4>5</vt:i4>
      </vt:variant>
      <vt:variant>
        <vt:lpwstr/>
      </vt:variant>
      <vt:variant>
        <vt:lpwstr>_Toc68586963</vt:lpwstr>
      </vt:variant>
      <vt:variant>
        <vt:i4>1835059</vt:i4>
      </vt:variant>
      <vt:variant>
        <vt:i4>122</vt:i4>
      </vt:variant>
      <vt:variant>
        <vt:i4>0</vt:i4>
      </vt:variant>
      <vt:variant>
        <vt:i4>5</vt:i4>
      </vt:variant>
      <vt:variant>
        <vt:lpwstr/>
      </vt:variant>
      <vt:variant>
        <vt:lpwstr>_Toc68586962</vt:lpwstr>
      </vt:variant>
      <vt:variant>
        <vt:i4>2031667</vt:i4>
      </vt:variant>
      <vt:variant>
        <vt:i4>116</vt:i4>
      </vt:variant>
      <vt:variant>
        <vt:i4>0</vt:i4>
      </vt:variant>
      <vt:variant>
        <vt:i4>5</vt:i4>
      </vt:variant>
      <vt:variant>
        <vt:lpwstr/>
      </vt:variant>
      <vt:variant>
        <vt:lpwstr>_Toc68586961</vt:lpwstr>
      </vt:variant>
      <vt:variant>
        <vt:i4>1966131</vt:i4>
      </vt:variant>
      <vt:variant>
        <vt:i4>110</vt:i4>
      </vt:variant>
      <vt:variant>
        <vt:i4>0</vt:i4>
      </vt:variant>
      <vt:variant>
        <vt:i4>5</vt:i4>
      </vt:variant>
      <vt:variant>
        <vt:lpwstr/>
      </vt:variant>
      <vt:variant>
        <vt:lpwstr>_Toc68586960</vt:lpwstr>
      </vt:variant>
      <vt:variant>
        <vt:i4>1507376</vt:i4>
      </vt:variant>
      <vt:variant>
        <vt:i4>104</vt:i4>
      </vt:variant>
      <vt:variant>
        <vt:i4>0</vt:i4>
      </vt:variant>
      <vt:variant>
        <vt:i4>5</vt:i4>
      </vt:variant>
      <vt:variant>
        <vt:lpwstr/>
      </vt:variant>
      <vt:variant>
        <vt:lpwstr>_Toc68586959</vt:lpwstr>
      </vt:variant>
      <vt:variant>
        <vt:i4>1441840</vt:i4>
      </vt:variant>
      <vt:variant>
        <vt:i4>98</vt:i4>
      </vt:variant>
      <vt:variant>
        <vt:i4>0</vt:i4>
      </vt:variant>
      <vt:variant>
        <vt:i4>5</vt:i4>
      </vt:variant>
      <vt:variant>
        <vt:lpwstr/>
      </vt:variant>
      <vt:variant>
        <vt:lpwstr>_Toc68586958</vt:lpwstr>
      </vt:variant>
      <vt:variant>
        <vt:i4>1638448</vt:i4>
      </vt:variant>
      <vt:variant>
        <vt:i4>92</vt:i4>
      </vt:variant>
      <vt:variant>
        <vt:i4>0</vt:i4>
      </vt:variant>
      <vt:variant>
        <vt:i4>5</vt:i4>
      </vt:variant>
      <vt:variant>
        <vt:lpwstr/>
      </vt:variant>
      <vt:variant>
        <vt:lpwstr>_Toc68586957</vt:lpwstr>
      </vt:variant>
      <vt:variant>
        <vt:i4>1572912</vt:i4>
      </vt:variant>
      <vt:variant>
        <vt:i4>86</vt:i4>
      </vt:variant>
      <vt:variant>
        <vt:i4>0</vt:i4>
      </vt:variant>
      <vt:variant>
        <vt:i4>5</vt:i4>
      </vt:variant>
      <vt:variant>
        <vt:lpwstr/>
      </vt:variant>
      <vt:variant>
        <vt:lpwstr>_Toc68586956</vt:lpwstr>
      </vt:variant>
      <vt:variant>
        <vt:i4>1769520</vt:i4>
      </vt:variant>
      <vt:variant>
        <vt:i4>80</vt:i4>
      </vt:variant>
      <vt:variant>
        <vt:i4>0</vt:i4>
      </vt:variant>
      <vt:variant>
        <vt:i4>5</vt:i4>
      </vt:variant>
      <vt:variant>
        <vt:lpwstr/>
      </vt:variant>
      <vt:variant>
        <vt:lpwstr>_Toc68586955</vt:lpwstr>
      </vt:variant>
      <vt:variant>
        <vt:i4>1703984</vt:i4>
      </vt:variant>
      <vt:variant>
        <vt:i4>74</vt:i4>
      </vt:variant>
      <vt:variant>
        <vt:i4>0</vt:i4>
      </vt:variant>
      <vt:variant>
        <vt:i4>5</vt:i4>
      </vt:variant>
      <vt:variant>
        <vt:lpwstr/>
      </vt:variant>
      <vt:variant>
        <vt:lpwstr>_Toc68586954</vt:lpwstr>
      </vt:variant>
      <vt:variant>
        <vt:i4>1900592</vt:i4>
      </vt:variant>
      <vt:variant>
        <vt:i4>68</vt:i4>
      </vt:variant>
      <vt:variant>
        <vt:i4>0</vt:i4>
      </vt:variant>
      <vt:variant>
        <vt:i4>5</vt:i4>
      </vt:variant>
      <vt:variant>
        <vt:lpwstr/>
      </vt:variant>
      <vt:variant>
        <vt:lpwstr>_Toc68586953</vt:lpwstr>
      </vt:variant>
      <vt:variant>
        <vt:i4>1835056</vt:i4>
      </vt:variant>
      <vt:variant>
        <vt:i4>62</vt:i4>
      </vt:variant>
      <vt:variant>
        <vt:i4>0</vt:i4>
      </vt:variant>
      <vt:variant>
        <vt:i4>5</vt:i4>
      </vt:variant>
      <vt:variant>
        <vt:lpwstr/>
      </vt:variant>
      <vt:variant>
        <vt:lpwstr>_Toc68586952</vt:lpwstr>
      </vt:variant>
      <vt:variant>
        <vt:i4>2031664</vt:i4>
      </vt:variant>
      <vt:variant>
        <vt:i4>56</vt:i4>
      </vt:variant>
      <vt:variant>
        <vt:i4>0</vt:i4>
      </vt:variant>
      <vt:variant>
        <vt:i4>5</vt:i4>
      </vt:variant>
      <vt:variant>
        <vt:lpwstr/>
      </vt:variant>
      <vt:variant>
        <vt:lpwstr>_Toc68586951</vt:lpwstr>
      </vt:variant>
      <vt:variant>
        <vt:i4>1966128</vt:i4>
      </vt:variant>
      <vt:variant>
        <vt:i4>50</vt:i4>
      </vt:variant>
      <vt:variant>
        <vt:i4>0</vt:i4>
      </vt:variant>
      <vt:variant>
        <vt:i4>5</vt:i4>
      </vt:variant>
      <vt:variant>
        <vt:lpwstr/>
      </vt:variant>
      <vt:variant>
        <vt:lpwstr>_Toc68586950</vt:lpwstr>
      </vt:variant>
      <vt:variant>
        <vt:i4>1507377</vt:i4>
      </vt:variant>
      <vt:variant>
        <vt:i4>44</vt:i4>
      </vt:variant>
      <vt:variant>
        <vt:i4>0</vt:i4>
      </vt:variant>
      <vt:variant>
        <vt:i4>5</vt:i4>
      </vt:variant>
      <vt:variant>
        <vt:lpwstr/>
      </vt:variant>
      <vt:variant>
        <vt:lpwstr>_Toc68586949</vt:lpwstr>
      </vt:variant>
      <vt:variant>
        <vt:i4>1441841</vt:i4>
      </vt:variant>
      <vt:variant>
        <vt:i4>38</vt:i4>
      </vt:variant>
      <vt:variant>
        <vt:i4>0</vt:i4>
      </vt:variant>
      <vt:variant>
        <vt:i4>5</vt:i4>
      </vt:variant>
      <vt:variant>
        <vt:lpwstr/>
      </vt:variant>
      <vt:variant>
        <vt:lpwstr>_Toc68586948</vt:lpwstr>
      </vt:variant>
      <vt:variant>
        <vt:i4>1638449</vt:i4>
      </vt:variant>
      <vt:variant>
        <vt:i4>32</vt:i4>
      </vt:variant>
      <vt:variant>
        <vt:i4>0</vt:i4>
      </vt:variant>
      <vt:variant>
        <vt:i4>5</vt:i4>
      </vt:variant>
      <vt:variant>
        <vt:lpwstr/>
      </vt:variant>
      <vt:variant>
        <vt:lpwstr>_Toc68586947</vt:lpwstr>
      </vt:variant>
      <vt:variant>
        <vt:i4>1572913</vt:i4>
      </vt:variant>
      <vt:variant>
        <vt:i4>26</vt:i4>
      </vt:variant>
      <vt:variant>
        <vt:i4>0</vt:i4>
      </vt:variant>
      <vt:variant>
        <vt:i4>5</vt:i4>
      </vt:variant>
      <vt:variant>
        <vt:lpwstr/>
      </vt:variant>
      <vt:variant>
        <vt:lpwstr>_Toc68586946</vt:lpwstr>
      </vt:variant>
      <vt:variant>
        <vt:i4>1769521</vt:i4>
      </vt:variant>
      <vt:variant>
        <vt:i4>20</vt:i4>
      </vt:variant>
      <vt:variant>
        <vt:i4>0</vt:i4>
      </vt:variant>
      <vt:variant>
        <vt:i4>5</vt:i4>
      </vt:variant>
      <vt:variant>
        <vt:lpwstr/>
      </vt:variant>
      <vt:variant>
        <vt:lpwstr>_Toc68586945</vt:lpwstr>
      </vt:variant>
      <vt:variant>
        <vt:i4>1703985</vt:i4>
      </vt:variant>
      <vt:variant>
        <vt:i4>14</vt:i4>
      </vt:variant>
      <vt:variant>
        <vt:i4>0</vt:i4>
      </vt:variant>
      <vt:variant>
        <vt:i4>5</vt:i4>
      </vt:variant>
      <vt:variant>
        <vt:lpwstr/>
      </vt:variant>
      <vt:variant>
        <vt:lpwstr>_Toc68586944</vt:lpwstr>
      </vt:variant>
      <vt:variant>
        <vt:i4>1900593</vt:i4>
      </vt:variant>
      <vt:variant>
        <vt:i4>8</vt:i4>
      </vt:variant>
      <vt:variant>
        <vt:i4>0</vt:i4>
      </vt:variant>
      <vt:variant>
        <vt:i4>5</vt:i4>
      </vt:variant>
      <vt:variant>
        <vt:lpwstr/>
      </vt:variant>
      <vt:variant>
        <vt:lpwstr>_Toc68586943</vt:lpwstr>
      </vt:variant>
      <vt:variant>
        <vt:i4>1835057</vt:i4>
      </vt:variant>
      <vt:variant>
        <vt:i4>2</vt:i4>
      </vt:variant>
      <vt:variant>
        <vt:i4>0</vt:i4>
      </vt:variant>
      <vt:variant>
        <vt:i4>5</vt:i4>
      </vt:variant>
      <vt:variant>
        <vt:lpwstr/>
      </vt:variant>
      <vt:variant>
        <vt:lpwstr>_Toc68586942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Elizabeth Lion Januzzi</dc:creator>
  <cp:keywords/>
  <cp:lastModifiedBy>Sheffer, Ryan</cp:lastModifiedBy>
  <cp:revision>67</cp:revision>
  <cp:lastPrinted>2019-12-11T16:52:00Z</cp:lastPrinted>
  <dcterms:created xsi:type="dcterms:W3CDTF">2021-07-01T20:18:00Z</dcterms:created>
  <dcterms:modified xsi:type="dcterms:W3CDTF">2021-07-21T11:30:00Z</dcterms:modified>
</cp:coreProperties>
</file>