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278"/>
        <w:gridCol w:w="7785"/>
        <w:gridCol w:w="1575"/>
      </w:tblGrid>
      <w:tr w:rsidR="0011460D" w14:paraId="17DC8E91" w14:textId="77777777">
        <w:tblPrEx>
          <w:tblCellMar>
            <w:top w:w="0" w:type="dxa"/>
            <w:bottom w:w="0" w:type="dxa"/>
          </w:tblCellMar>
        </w:tblPrEx>
        <w:tc>
          <w:tcPr>
            <w:tcW w:w="1278" w:type="dxa"/>
          </w:tcPr>
          <w:p w14:paraId="037A7E2F" w14:textId="77777777" w:rsidR="0011460D" w:rsidRDefault="0011460D">
            <w:pPr>
              <w:rPr>
                <w:sz w:val="24"/>
              </w:rPr>
            </w:pPr>
            <w:r>
              <w:rPr>
                <w:spacing w:val="-2"/>
                <w:sz w:val="24"/>
              </w:rPr>
              <w:object w:dxaOrig="1161" w:dyaOrig="985" w14:anchorId="29F17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fillcolor="window">
                  <v:imagedata r:id="rId4" o:title="" croptop="-9397f" cropbottom="-9325f" cropleft="-23f" cropright="-23f"/>
                </v:shape>
                <o:OLEObject Type="Embed" ProgID="Word.Picture.8" ShapeID="_x0000_i1025" DrawAspect="Content" ObjectID="_1688446574" r:id="rId5"/>
              </w:object>
            </w:r>
          </w:p>
        </w:tc>
        <w:tc>
          <w:tcPr>
            <w:tcW w:w="7785" w:type="dxa"/>
          </w:tcPr>
          <w:p w14:paraId="0D47714C" w14:textId="77777777" w:rsidR="0011460D" w:rsidRDefault="0011460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r>
              <w:rPr>
                <w:rFonts w:ascii="Arial" w:hAnsi="Arial"/>
                <w:spacing w:val="-3"/>
                <w:sz w:val="26"/>
              </w:rPr>
              <w:fldChar w:fldCharType="begin"/>
            </w:r>
            <w:r>
              <w:rPr>
                <w:rFonts w:ascii="Arial" w:hAnsi="Arial"/>
                <w:spacing w:val="-3"/>
                <w:sz w:val="26"/>
              </w:rPr>
              <w:instrText xml:space="preserve">PRIVATE </w:instrText>
            </w:r>
            <w:r>
              <w:rPr>
                <w:rFonts w:ascii="Arial" w:hAnsi="Arial"/>
                <w:spacing w:val="-3"/>
                <w:sz w:val="26"/>
              </w:rPr>
            </w:r>
            <w:r>
              <w:rPr>
                <w:rFonts w:ascii="Arial" w:hAnsi="Arial"/>
                <w:spacing w:val="-3"/>
                <w:sz w:val="26"/>
              </w:rPr>
              <w:fldChar w:fldCharType="end"/>
            </w:r>
          </w:p>
          <w:p w14:paraId="08D22823" w14:textId="77777777" w:rsidR="0011460D" w:rsidRDefault="0011460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015A6AAF" w14:textId="77777777" w:rsidR="0011460D" w:rsidRDefault="00982992">
            <w:pPr>
              <w:jc w:val="center"/>
              <w:rPr>
                <w:rFonts w:ascii="Arial" w:hAnsi="Arial"/>
                <w:sz w:val="12"/>
              </w:rPr>
            </w:pPr>
            <w:r>
              <w:rPr>
                <w:rFonts w:ascii="Arial" w:hAnsi="Arial"/>
                <w:spacing w:val="-3"/>
                <w:sz w:val="26"/>
              </w:rPr>
              <w:t>400 North Street, Harrisburg, Pennsylvania 17120</w:t>
            </w:r>
          </w:p>
        </w:tc>
        <w:tc>
          <w:tcPr>
            <w:tcW w:w="1575" w:type="dxa"/>
          </w:tcPr>
          <w:p w14:paraId="04BB763F" w14:textId="77777777" w:rsidR="0011460D" w:rsidRDefault="0011460D">
            <w:pPr>
              <w:rPr>
                <w:rFonts w:ascii="Arial" w:hAnsi="Arial"/>
                <w:sz w:val="12"/>
              </w:rPr>
            </w:pPr>
          </w:p>
          <w:p w14:paraId="26B40AFB" w14:textId="77777777" w:rsidR="0011460D" w:rsidRDefault="0011460D">
            <w:pPr>
              <w:rPr>
                <w:rFonts w:ascii="Arial" w:hAnsi="Arial"/>
                <w:sz w:val="12"/>
              </w:rPr>
            </w:pPr>
          </w:p>
          <w:p w14:paraId="64161814" w14:textId="77777777" w:rsidR="0011460D" w:rsidRDefault="0011460D">
            <w:pPr>
              <w:rPr>
                <w:rFonts w:ascii="Arial" w:hAnsi="Arial"/>
                <w:sz w:val="12"/>
              </w:rPr>
            </w:pPr>
          </w:p>
          <w:p w14:paraId="3EA6B076" w14:textId="77777777" w:rsidR="0011460D" w:rsidRDefault="0011460D">
            <w:pPr>
              <w:rPr>
                <w:rFonts w:ascii="Arial" w:hAnsi="Arial"/>
                <w:sz w:val="12"/>
              </w:rPr>
            </w:pPr>
          </w:p>
          <w:p w14:paraId="1BCC8453" w14:textId="77777777" w:rsidR="0011460D" w:rsidRDefault="0011460D">
            <w:pPr>
              <w:rPr>
                <w:rFonts w:ascii="Arial" w:hAnsi="Arial"/>
                <w:sz w:val="12"/>
              </w:rPr>
            </w:pPr>
          </w:p>
          <w:p w14:paraId="0FFD1562" w14:textId="77777777" w:rsidR="0011460D" w:rsidRDefault="0011460D">
            <w:pPr>
              <w:rPr>
                <w:rFonts w:ascii="Arial" w:hAnsi="Arial"/>
                <w:sz w:val="12"/>
              </w:rPr>
            </w:pPr>
          </w:p>
          <w:p w14:paraId="7B2A1109" w14:textId="77777777" w:rsidR="0011460D" w:rsidRDefault="001146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35613BE" w14:textId="77777777" w:rsidR="0011460D" w:rsidRDefault="006F42E4">
      <w:pPr>
        <w:jc w:val="center"/>
        <w:rPr>
          <w:sz w:val="24"/>
        </w:rPr>
      </w:pPr>
      <w:r>
        <w:rPr>
          <w:sz w:val="24"/>
        </w:rPr>
        <w:t xml:space="preserve">Date Served: </w:t>
      </w:r>
      <w:r w:rsidR="00AB2248">
        <w:rPr>
          <w:sz w:val="24"/>
        </w:rPr>
        <w:t>July 22, 2021</w:t>
      </w:r>
    </w:p>
    <w:p w14:paraId="184002F1" w14:textId="77777777" w:rsidR="006F42E4" w:rsidRDefault="006F42E4">
      <w:pPr>
        <w:jc w:val="center"/>
        <w:rPr>
          <w:sz w:val="24"/>
        </w:rPr>
      </w:pPr>
    </w:p>
    <w:p w14:paraId="6ABDA3C0" w14:textId="77777777" w:rsidR="0011460D" w:rsidRDefault="0011460D">
      <w:pPr>
        <w:jc w:val="center"/>
        <w:rPr>
          <w:sz w:val="24"/>
        </w:rPr>
      </w:pPr>
    </w:p>
    <w:p w14:paraId="083FF28A" w14:textId="77777777" w:rsidR="003D4C7D" w:rsidRPr="003D4C7D" w:rsidRDefault="003D4C7D">
      <w:pPr>
        <w:rPr>
          <w:b/>
          <w:bCs/>
          <w:sz w:val="24"/>
          <w:u w:val="single"/>
        </w:rPr>
      </w:pPr>
      <w:r w:rsidRPr="003D4C7D">
        <w:rPr>
          <w:b/>
          <w:bCs/>
          <w:sz w:val="24"/>
          <w:u w:val="single"/>
        </w:rPr>
        <w:t>Via eService</w:t>
      </w:r>
      <w:r w:rsidR="006838B9">
        <w:rPr>
          <w:b/>
          <w:bCs/>
          <w:sz w:val="24"/>
          <w:u w:val="single"/>
        </w:rPr>
        <w:t xml:space="preserve"> and Email ONLY</w:t>
      </w:r>
      <w:r w:rsidRPr="003D4C7D">
        <w:rPr>
          <w:b/>
          <w:bCs/>
          <w:sz w:val="24"/>
          <w:u w:val="single"/>
        </w:rPr>
        <w:t>.</w:t>
      </w:r>
    </w:p>
    <w:p w14:paraId="1848604B" w14:textId="77777777" w:rsidR="003D4C7D" w:rsidRDefault="003D4C7D">
      <w:pPr>
        <w:rPr>
          <w:b/>
          <w:bCs/>
          <w:sz w:val="24"/>
        </w:rPr>
      </w:pPr>
    </w:p>
    <w:p w14:paraId="2BA2CDA7" w14:textId="77777777" w:rsidR="0041124E" w:rsidRPr="00982992" w:rsidRDefault="007F64AB">
      <w:pPr>
        <w:rPr>
          <w:b/>
          <w:bCs/>
          <w:sz w:val="24"/>
        </w:rPr>
      </w:pPr>
      <w:r w:rsidRPr="00982992">
        <w:rPr>
          <w:b/>
          <w:bCs/>
          <w:sz w:val="24"/>
        </w:rPr>
        <w:t>TO ALL PARTIES OF RECORD:</w:t>
      </w:r>
    </w:p>
    <w:p w14:paraId="1FB8402F" w14:textId="77777777" w:rsidR="007F64AB" w:rsidRDefault="007F64AB">
      <w:pPr>
        <w:rPr>
          <w:sz w:val="24"/>
        </w:rPr>
      </w:pPr>
    </w:p>
    <w:p w14:paraId="7A830D9B" w14:textId="77777777" w:rsidR="0041124E" w:rsidRDefault="0041124E">
      <w:pPr>
        <w:rPr>
          <w:sz w:val="24"/>
        </w:rPr>
      </w:pPr>
    </w:p>
    <w:p w14:paraId="10ADFEE7" w14:textId="77777777" w:rsidR="00982992" w:rsidRDefault="0041124E" w:rsidP="006838B9">
      <w:pPr>
        <w:ind w:left="4320" w:hanging="720"/>
        <w:rPr>
          <w:sz w:val="24"/>
        </w:rPr>
      </w:pPr>
      <w:r>
        <w:rPr>
          <w:sz w:val="24"/>
        </w:rPr>
        <w:t xml:space="preserve">RE: </w:t>
      </w:r>
      <w:r w:rsidR="00982992">
        <w:rPr>
          <w:sz w:val="24"/>
        </w:rPr>
        <w:tab/>
      </w:r>
      <w:r w:rsidR="006838B9">
        <w:rPr>
          <w:sz w:val="24"/>
        </w:rPr>
        <w:t>Public Utility Commission, Office of Consumer Advocate, and Office of Small Business Advocate</w:t>
      </w:r>
    </w:p>
    <w:p w14:paraId="7E18A6AD" w14:textId="77777777" w:rsidR="002C7A09" w:rsidRDefault="002C7A09" w:rsidP="002C7A09">
      <w:pPr>
        <w:ind w:left="4320" w:firstLine="720"/>
        <w:rPr>
          <w:sz w:val="24"/>
        </w:rPr>
      </w:pPr>
      <w:r>
        <w:rPr>
          <w:sz w:val="24"/>
        </w:rPr>
        <w:tab/>
      </w:r>
      <w:r w:rsidR="00E179D3">
        <w:rPr>
          <w:sz w:val="24"/>
        </w:rPr>
        <w:t xml:space="preserve">v. </w:t>
      </w:r>
    </w:p>
    <w:p w14:paraId="12BF34FC" w14:textId="77777777" w:rsidR="00B62241" w:rsidRDefault="006838B9" w:rsidP="002C7A09">
      <w:pPr>
        <w:ind w:left="2880" w:firstLine="1440"/>
        <w:rPr>
          <w:sz w:val="24"/>
        </w:rPr>
      </w:pPr>
      <w:r>
        <w:rPr>
          <w:sz w:val="24"/>
        </w:rPr>
        <w:t>Columbia Gas of Pennsylvania</w:t>
      </w:r>
    </w:p>
    <w:p w14:paraId="4C605E05" w14:textId="77777777" w:rsidR="00E179D3" w:rsidRDefault="00E179D3" w:rsidP="00E179D3">
      <w:pPr>
        <w:rPr>
          <w:sz w:val="24"/>
        </w:rPr>
      </w:pPr>
      <w:r>
        <w:rPr>
          <w:sz w:val="24"/>
        </w:rPr>
        <w:tab/>
      </w:r>
      <w:r>
        <w:rPr>
          <w:sz w:val="24"/>
        </w:rPr>
        <w:tab/>
      </w:r>
      <w:r>
        <w:rPr>
          <w:sz w:val="24"/>
        </w:rPr>
        <w:tab/>
      </w:r>
      <w:r>
        <w:rPr>
          <w:sz w:val="24"/>
        </w:rPr>
        <w:tab/>
      </w:r>
      <w:r>
        <w:rPr>
          <w:sz w:val="24"/>
        </w:rPr>
        <w:tab/>
        <w:t xml:space="preserve">       </w:t>
      </w:r>
      <w:r w:rsidR="00982992">
        <w:rPr>
          <w:sz w:val="24"/>
        </w:rPr>
        <w:tab/>
      </w:r>
      <w:r>
        <w:rPr>
          <w:sz w:val="24"/>
        </w:rPr>
        <w:t>Doc</w:t>
      </w:r>
      <w:r w:rsidR="002C7A09">
        <w:rPr>
          <w:sz w:val="24"/>
        </w:rPr>
        <w:t>ket</w:t>
      </w:r>
      <w:r>
        <w:rPr>
          <w:sz w:val="24"/>
        </w:rPr>
        <w:t xml:space="preserve"> Number </w:t>
      </w:r>
      <w:r w:rsidR="006838B9">
        <w:rPr>
          <w:sz w:val="24"/>
        </w:rPr>
        <w:t>R-2021-3024349</w:t>
      </w:r>
    </w:p>
    <w:p w14:paraId="2803C1AE" w14:textId="77777777" w:rsidR="006838B9" w:rsidRDefault="006838B9" w:rsidP="00E179D3">
      <w:pPr>
        <w:rPr>
          <w:sz w:val="24"/>
        </w:rPr>
      </w:pPr>
      <w:r>
        <w:rPr>
          <w:sz w:val="24"/>
        </w:rPr>
        <w:tab/>
      </w:r>
      <w:r>
        <w:rPr>
          <w:sz w:val="24"/>
        </w:rPr>
        <w:tab/>
      </w:r>
      <w:r>
        <w:rPr>
          <w:sz w:val="24"/>
        </w:rPr>
        <w:tab/>
      </w:r>
      <w:r>
        <w:rPr>
          <w:sz w:val="24"/>
        </w:rPr>
        <w:tab/>
      </w:r>
      <w:r>
        <w:rPr>
          <w:sz w:val="24"/>
        </w:rPr>
        <w:tab/>
      </w:r>
      <w:r>
        <w:rPr>
          <w:sz w:val="24"/>
        </w:rPr>
        <w:tab/>
        <w:t>Docket Number C-2021-3024643</w:t>
      </w:r>
    </w:p>
    <w:p w14:paraId="3329FE36" w14:textId="77777777" w:rsidR="006838B9" w:rsidRDefault="006838B9" w:rsidP="00E179D3">
      <w:pPr>
        <w:rPr>
          <w:sz w:val="24"/>
        </w:rPr>
      </w:pPr>
      <w:r>
        <w:rPr>
          <w:sz w:val="24"/>
        </w:rPr>
        <w:tab/>
      </w:r>
      <w:r>
        <w:rPr>
          <w:sz w:val="24"/>
        </w:rPr>
        <w:tab/>
      </w:r>
      <w:r>
        <w:rPr>
          <w:sz w:val="24"/>
        </w:rPr>
        <w:tab/>
      </w:r>
      <w:r>
        <w:rPr>
          <w:sz w:val="24"/>
        </w:rPr>
        <w:tab/>
      </w:r>
      <w:r>
        <w:rPr>
          <w:sz w:val="24"/>
        </w:rPr>
        <w:tab/>
      </w:r>
      <w:r>
        <w:rPr>
          <w:sz w:val="24"/>
        </w:rPr>
        <w:tab/>
        <w:t>Docket Number C-2021-3024762</w:t>
      </w:r>
    </w:p>
    <w:p w14:paraId="6D0A3AD3" w14:textId="77777777" w:rsidR="00E179D3" w:rsidRDefault="00E179D3" w:rsidP="00E179D3">
      <w:pPr>
        <w:rPr>
          <w:sz w:val="24"/>
        </w:rPr>
      </w:pPr>
      <w:r>
        <w:rPr>
          <w:sz w:val="24"/>
        </w:rPr>
        <w:tab/>
      </w:r>
      <w:r>
        <w:rPr>
          <w:sz w:val="24"/>
        </w:rPr>
        <w:tab/>
      </w:r>
      <w:r>
        <w:rPr>
          <w:sz w:val="24"/>
        </w:rPr>
        <w:tab/>
      </w:r>
      <w:r>
        <w:rPr>
          <w:sz w:val="24"/>
        </w:rPr>
        <w:tab/>
      </w:r>
      <w:r>
        <w:rPr>
          <w:sz w:val="24"/>
        </w:rPr>
        <w:tab/>
        <w:t xml:space="preserve">       </w:t>
      </w:r>
    </w:p>
    <w:p w14:paraId="3C7FAF5B" w14:textId="77777777" w:rsidR="00B62241" w:rsidRDefault="00B62241">
      <w:pPr>
        <w:rPr>
          <w:sz w:val="24"/>
        </w:rPr>
      </w:pPr>
      <w:r>
        <w:rPr>
          <w:sz w:val="24"/>
        </w:rPr>
        <w:tab/>
      </w:r>
      <w:r>
        <w:rPr>
          <w:sz w:val="24"/>
        </w:rPr>
        <w:tab/>
      </w:r>
      <w:r>
        <w:rPr>
          <w:sz w:val="24"/>
        </w:rPr>
        <w:tab/>
      </w:r>
      <w:r>
        <w:rPr>
          <w:sz w:val="24"/>
        </w:rPr>
        <w:tab/>
      </w:r>
      <w:r>
        <w:rPr>
          <w:sz w:val="24"/>
        </w:rPr>
        <w:tab/>
      </w:r>
    </w:p>
    <w:p w14:paraId="097715E5" w14:textId="25BBABD4" w:rsidR="00B62241" w:rsidRDefault="0011460D">
      <w:pPr>
        <w:rPr>
          <w:sz w:val="24"/>
        </w:rPr>
      </w:pPr>
      <w:r>
        <w:rPr>
          <w:sz w:val="24"/>
        </w:rPr>
        <w:tab/>
        <w:t>On</w:t>
      </w:r>
      <w:r w:rsidR="009D4873">
        <w:rPr>
          <w:sz w:val="24"/>
        </w:rPr>
        <w:t xml:space="preserve"> </w:t>
      </w:r>
      <w:r w:rsidR="00982992">
        <w:rPr>
          <w:sz w:val="24"/>
        </w:rPr>
        <w:t xml:space="preserve">July </w:t>
      </w:r>
      <w:r w:rsidR="006838B9">
        <w:rPr>
          <w:sz w:val="24"/>
        </w:rPr>
        <w:t xml:space="preserve">21, 2021, </w:t>
      </w:r>
      <w:r w:rsidR="00982992">
        <w:rPr>
          <w:sz w:val="24"/>
        </w:rPr>
        <w:t xml:space="preserve">the </w:t>
      </w:r>
      <w:r w:rsidR="006838B9">
        <w:rPr>
          <w:sz w:val="24"/>
        </w:rPr>
        <w:t xml:space="preserve">Secretary served the Recommended Decision (both Proprietary and Public versions) of Administrative Law Judge Emily </w:t>
      </w:r>
      <w:r w:rsidR="00F9639A">
        <w:rPr>
          <w:sz w:val="24"/>
        </w:rPr>
        <w:t xml:space="preserve">I. </w:t>
      </w:r>
      <w:r w:rsidR="006838B9">
        <w:rPr>
          <w:sz w:val="24"/>
        </w:rPr>
        <w:t>D</w:t>
      </w:r>
      <w:r w:rsidR="00F9639A">
        <w:rPr>
          <w:sz w:val="24"/>
        </w:rPr>
        <w:t>e</w:t>
      </w:r>
      <w:r w:rsidR="006838B9">
        <w:rPr>
          <w:sz w:val="24"/>
        </w:rPr>
        <w:t xml:space="preserve">Voe at the above docket numbers. </w:t>
      </w:r>
    </w:p>
    <w:p w14:paraId="388FB1E2" w14:textId="77777777" w:rsidR="00E179D3" w:rsidRDefault="00E179D3">
      <w:pPr>
        <w:rPr>
          <w:sz w:val="24"/>
        </w:rPr>
      </w:pPr>
    </w:p>
    <w:p w14:paraId="7BA7EDB6" w14:textId="77777777" w:rsidR="002C7A09" w:rsidRDefault="00E179D3" w:rsidP="00982992">
      <w:pPr>
        <w:rPr>
          <w:sz w:val="24"/>
        </w:rPr>
      </w:pPr>
      <w:r>
        <w:rPr>
          <w:sz w:val="24"/>
        </w:rPr>
        <w:tab/>
      </w:r>
      <w:r w:rsidR="00982992">
        <w:rPr>
          <w:sz w:val="24"/>
        </w:rPr>
        <w:t xml:space="preserve">However, </w:t>
      </w:r>
      <w:r w:rsidR="002C7A09">
        <w:rPr>
          <w:sz w:val="24"/>
        </w:rPr>
        <w:t xml:space="preserve">it has been discovered that </w:t>
      </w:r>
      <w:r w:rsidR="006838B9">
        <w:rPr>
          <w:sz w:val="24"/>
        </w:rPr>
        <w:t>the incorrect exception period was issued in the Secretarial Letter accompanying the Recommended Decision (RD).  The correct exception period is ten (10) days for Parties to file Exceptions to the RD, and seven (7) days for Parties to file Reply Exceptions.</w:t>
      </w:r>
      <w:r w:rsidR="00982992">
        <w:rPr>
          <w:sz w:val="24"/>
        </w:rPr>
        <w:t xml:space="preserve">  </w:t>
      </w:r>
    </w:p>
    <w:p w14:paraId="74574B50" w14:textId="77777777" w:rsidR="002C7A09" w:rsidRDefault="002C7A09" w:rsidP="00982992">
      <w:pPr>
        <w:rPr>
          <w:sz w:val="24"/>
        </w:rPr>
      </w:pPr>
    </w:p>
    <w:p w14:paraId="53F120FD" w14:textId="77777777" w:rsidR="00E179D3" w:rsidRDefault="00E179D3" w:rsidP="002C7A09">
      <w:pPr>
        <w:ind w:firstLine="720"/>
        <w:rPr>
          <w:sz w:val="24"/>
        </w:rPr>
      </w:pPr>
      <w:r>
        <w:rPr>
          <w:sz w:val="24"/>
        </w:rPr>
        <w:t xml:space="preserve">Therefore, </w:t>
      </w:r>
      <w:r w:rsidR="00982992">
        <w:rPr>
          <w:sz w:val="24"/>
        </w:rPr>
        <w:t xml:space="preserve">the Commission is </w:t>
      </w:r>
      <w:r w:rsidR="0094625F">
        <w:rPr>
          <w:sz w:val="24"/>
        </w:rPr>
        <w:t xml:space="preserve">re-serving the RD and </w:t>
      </w:r>
      <w:r w:rsidR="00982992">
        <w:rPr>
          <w:sz w:val="24"/>
        </w:rPr>
        <w:t xml:space="preserve">setting </w:t>
      </w:r>
      <w:r w:rsidR="0094625F">
        <w:rPr>
          <w:sz w:val="24"/>
        </w:rPr>
        <w:t>the correct exception</w:t>
      </w:r>
      <w:r w:rsidR="00982992">
        <w:rPr>
          <w:sz w:val="24"/>
        </w:rPr>
        <w:t xml:space="preserve"> period in which the Parties may file </w:t>
      </w:r>
      <w:r w:rsidR="0094625F">
        <w:rPr>
          <w:sz w:val="24"/>
        </w:rPr>
        <w:t>E</w:t>
      </w:r>
      <w:r w:rsidR="00982992">
        <w:rPr>
          <w:sz w:val="24"/>
        </w:rPr>
        <w:t xml:space="preserve">xceptions and </w:t>
      </w:r>
      <w:r w:rsidR="0094625F">
        <w:rPr>
          <w:sz w:val="24"/>
        </w:rPr>
        <w:t>R</w:t>
      </w:r>
      <w:r w:rsidR="00982992">
        <w:rPr>
          <w:sz w:val="24"/>
        </w:rPr>
        <w:t xml:space="preserve">eply </w:t>
      </w:r>
      <w:r w:rsidR="0094625F">
        <w:rPr>
          <w:sz w:val="24"/>
        </w:rPr>
        <w:t xml:space="preserve">Exceptions.  Parties will have until the close of business on August 2, 2021 (4:30 p.m. EST) to file Exceptions and until the close of business (4:30 p.m. EST) on August 9, 2021, to file Reply Exceptions. </w:t>
      </w:r>
    </w:p>
    <w:p w14:paraId="648B7D86" w14:textId="77777777" w:rsidR="00982992" w:rsidRDefault="00982992" w:rsidP="00982992">
      <w:pPr>
        <w:rPr>
          <w:sz w:val="24"/>
        </w:rPr>
      </w:pPr>
    </w:p>
    <w:p w14:paraId="565B61EF" w14:textId="77777777" w:rsidR="0011460D" w:rsidRDefault="00982992">
      <w:pPr>
        <w:rPr>
          <w:sz w:val="24"/>
        </w:rPr>
      </w:pPr>
      <w:r>
        <w:rPr>
          <w:sz w:val="24"/>
        </w:rPr>
        <w:tab/>
      </w:r>
      <w:r w:rsidR="0011460D">
        <w:rPr>
          <w:sz w:val="24"/>
        </w:rPr>
        <w:tab/>
      </w:r>
      <w:r w:rsidR="0011460D">
        <w:rPr>
          <w:sz w:val="24"/>
        </w:rPr>
        <w:tab/>
      </w:r>
      <w:r w:rsidR="0011460D">
        <w:rPr>
          <w:sz w:val="24"/>
        </w:rPr>
        <w:tab/>
      </w:r>
      <w:r w:rsidR="0011460D">
        <w:rPr>
          <w:sz w:val="24"/>
        </w:rPr>
        <w:tab/>
      </w:r>
      <w:r w:rsidR="0011460D">
        <w:rPr>
          <w:sz w:val="24"/>
        </w:rPr>
        <w:tab/>
        <w:t>Sincerely,</w:t>
      </w:r>
    </w:p>
    <w:p w14:paraId="0AC8E904" w14:textId="67EDFEA0" w:rsidR="0011460D" w:rsidRDefault="003C7A23">
      <w:pPr>
        <w:rPr>
          <w:sz w:val="24"/>
        </w:rPr>
      </w:pPr>
      <w:r>
        <w:rPr>
          <w:noProof/>
          <w:sz w:val="24"/>
        </w:rPr>
        <w:drawing>
          <wp:anchor distT="0" distB="0" distL="114300" distR="114300" simplePos="0" relativeHeight="251657728" behindDoc="1" locked="0" layoutInCell="1" allowOverlap="1" wp14:anchorId="2EC6335F" wp14:editId="70F7A7D1">
            <wp:simplePos x="0" y="0"/>
            <wp:positionH relativeFrom="column">
              <wp:posOffset>2603500</wp:posOffset>
            </wp:positionH>
            <wp:positionV relativeFrom="paragraph">
              <wp:posOffset>57150</wp:posOffset>
            </wp:positionV>
            <wp:extent cx="2099310" cy="8007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FF41A" w14:textId="77777777" w:rsidR="00BE47E4" w:rsidRDefault="00BE47E4"/>
    <w:p w14:paraId="0B646563" w14:textId="77777777" w:rsidR="0011460D" w:rsidRDefault="0011460D">
      <w:pPr>
        <w:rPr>
          <w:sz w:val="24"/>
        </w:rPr>
      </w:pPr>
    </w:p>
    <w:p w14:paraId="25923592" w14:textId="77777777" w:rsidR="0011460D" w:rsidRDefault="0011460D">
      <w:pPr>
        <w:rPr>
          <w:sz w:val="24"/>
        </w:rPr>
      </w:pPr>
    </w:p>
    <w:p w14:paraId="751DFB20" w14:textId="77777777" w:rsidR="0011460D" w:rsidRDefault="0011460D">
      <w:pPr>
        <w:rPr>
          <w:sz w:val="24"/>
        </w:rPr>
      </w:pPr>
      <w:r>
        <w:rPr>
          <w:sz w:val="24"/>
        </w:rPr>
        <w:tab/>
      </w:r>
      <w:r>
        <w:rPr>
          <w:sz w:val="24"/>
        </w:rPr>
        <w:tab/>
      </w:r>
      <w:r>
        <w:rPr>
          <w:sz w:val="24"/>
        </w:rPr>
        <w:tab/>
      </w:r>
      <w:r>
        <w:rPr>
          <w:sz w:val="24"/>
        </w:rPr>
        <w:tab/>
      </w:r>
      <w:r>
        <w:rPr>
          <w:sz w:val="24"/>
        </w:rPr>
        <w:tab/>
      </w:r>
      <w:r>
        <w:rPr>
          <w:sz w:val="24"/>
        </w:rPr>
        <w:tab/>
      </w:r>
      <w:r w:rsidR="00BE47E4">
        <w:rPr>
          <w:sz w:val="24"/>
        </w:rPr>
        <w:t>Rosemary Chiavetta</w:t>
      </w:r>
    </w:p>
    <w:p w14:paraId="1A37F9B5" w14:textId="77777777" w:rsidR="0011460D" w:rsidRDefault="0011460D">
      <w:pPr>
        <w:rPr>
          <w:sz w:val="24"/>
        </w:rPr>
      </w:pPr>
      <w:r>
        <w:rPr>
          <w:sz w:val="24"/>
        </w:rPr>
        <w:tab/>
      </w:r>
      <w:r>
        <w:rPr>
          <w:sz w:val="24"/>
        </w:rPr>
        <w:tab/>
      </w:r>
      <w:r>
        <w:rPr>
          <w:sz w:val="24"/>
        </w:rPr>
        <w:tab/>
      </w:r>
      <w:r>
        <w:rPr>
          <w:sz w:val="24"/>
        </w:rPr>
        <w:tab/>
      </w:r>
      <w:r>
        <w:rPr>
          <w:sz w:val="24"/>
        </w:rPr>
        <w:tab/>
      </w:r>
      <w:r>
        <w:rPr>
          <w:sz w:val="24"/>
        </w:rPr>
        <w:tab/>
        <w:t>Secretary</w:t>
      </w:r>
    </w:p>
    <w:p w14:paraId="70734AA0" w14:textId="77777777" w:rsidR="006C06F1" w:rsidRDefault="006C06F1">
      <w:pPr>
        <w:rPr>
          <w:sz w:val="24"/>
        </w:rPr>
      </w:pPr>
    </w:p>
    <w:p w14:paraId="1202CCF8" w14:textId="77777777" w:rsidR="0094625F" w:rsidRDefault="0094625F">
      <w:pPr>
        <w:rPr>
          <w:sz w:val="24"/>
        </w:rPr>
      </w:pPr>
    </w:p>
    <w:p w14:paraId="107E0EDA" w14:textId="77777777" w:rsidR="0011460D" w:rsidRDefault="00E179D3">
      <w:pPr>
        <w:rPr>
          <w:sz w:val="22"/>
          <w:szCs w:val="22"/>
        </w:rPr>
      </w:pPr>
      <w:r w:rsidRPr="003D4C7D">
        <w:rPr>
          <w:sz w:val="22"/>
          <w:szCs w:val="22"/>
        </w:rPr>
        <w:t>Enclosure</w:t>
      </w:r>
      <w:r w:rsidR="002C7A09" w:rsidRPr="003D4C7D">
        <w:rPr>
          <w:sz w:val="22"/>
          <w:szCs w:val="22"/>
        </w:rPr>
        <w:t xml:space="preserve"> of </w:t>
      </w:r>
      <w:r w:rsidR="0094625F">
        <w:rPr>
          <w:sz w:val="22"/>
          <w:szCs w:val="22"/>
        </w:rPr>
        <w:t xml:space="preserve">Recommended </w:t>
      </w:r>
      <w:r w:rsidR="002C7A09" w:rsidRPr="003D4C7D">
        <w:rPr>
          <w:sz w:val="22"/>
          <w:szCs w:val="22"/>
        </w:rPr>
        <w:t>Decision</w:t>
      </w:r>
    </w:p>
    <w:p w14:paraId="4F0C82FB" w14:textId="77777777" w:rsidR="0094625F" w:rsidRPr="003D4C7D" w:rsidRDefault="0094625F">
      <w:pPr>
        <w:rPr>
          <w:sz w:val="22"/>
          <w:szCs w:val="22"/>
        </w:rPr>
      </w:pPr>
    </w:p>
    <w:p w14:paraId="2E09C375" w14:textId="77777777" w:rsidR="0011460D" w:rsidRPr="003D4C7D" w:rsidRDefault="0011460D" w:rsidP="00DD4E5E">
      <w:pPr>
        <w:rPr>
          <w:sz w:val="22"/>
          <w:szCs w:val="22"/>
        </w:rPr>
      </w:pPr>
      <w:r w:rsidRPr="003D4C7D">
        <w:rPr>
          <w:sz w:val="22"/>
          <w:szCs w:val="22"/>
        </w:rPr>
        <w:t>cc:</w:t>
      </w:r>
      <w:r w:rsidRPr="003D4C7D">
        <w:rPr>
          <w:sz w:val="22"/>
          <w:szCs w:val="22"/>
        </w:rPr>
        <w:tab/>
      </w:r>
      <w:r w:rsidR="00DD4E5E" w:rsidRPr="003D4C7D">
        <w:rPr>
          <w:sz w:val="22"/>
          <w:szCs w:val="22"/>
        </w:rPr>
        <w:t>All Parties of Record</w:t>
      </w:r>
    </w:p>
    <w:p w14:paraId="479C250A" w14:textId="77777777" w:rsidR="0011460D" w:rsidRPr="003D4C7D" w:rsidRDefault="0011460D">
      <w:pPr>
        <w:rPr>
          <w:sz w:val="22"/>
          <w:szCs w:val="22"/>
        </w:rPr>
      </w:pPr>
      <w:r w:rsidRPr="003D4C7D">
        <w:rPr>
          <w:sz w:val="22"/>
          <w:szCs w:val="22"/>
        </w:rPr>
        <w:tab/>
      </w:r>
      <w:r w:rsidR="002C7A09" w:rsidRPr="003D4C7D">
        <w:rPr>
          <w:sz w:val="22"/>
          <w:szCs w:val="22"/>
        </w:rPr>
        <w:t>PUC Office of Special Assistants</w:t>
      </w:r>
    </w:p>
    <w:p w14:paraId="4C45B9B0" w14:textId="77777777" w:rsidR="002C7A09" w:rsidRPr="003D4C7D" w:rsidRDefault="002C7A09">
      <w:pPr>
        <w:rPr>
          <w:sz w:val="22"/>
          <w:szCs w:val="22"/>
        </w:rPr>
      </w:pPr>
      <w:r w:rsidRPr="003D4C7D">
        <w:rPr>
          <w:sz w:val="22"/>
          <w:szCs w:val="22"/>
        </w:rPr>
        <w:tab/>
        <w:t>Office of Administrative Law Judge</w:t>
      </w:r>
    </w:p>
    <w:sectPr w:rsidR="002C7A09" w:rsidRPr="003D4C7D">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0D"/>
    <w:rsid w:val="0011460D"/>
    <w:rsid w:val="00191B32"/>
    <w:rsid w:val="002B4C04"/>
    <w:rsid w:val="002C7A09"/>
    <w:rsid w:val="003C7A23"/>
    <w:rsid w:val="003D07F4"/>
    <w:rsid w:val="003D4C7D"/>
    <w:rsid w:val="0041124E"/>
    <w:rsid w:val="004179B0"/>
    <w:rsid w:val="00535530"/>
    <w:rsid w:val="006838B9"/>
    <w:rsid w:val="006C06F1"/>
    <w:rsid w:val="006C5BF0"/>
    <w:rsid w:val="006F42E4"/>
    <w:rsid w:val="007F64AB"/>
    <w:rsid w:val="00880F3D"/>
    <w:rsid w:val="008F0502"/>
    <w:rsid w:val="0094625F"/>
    <w:rsid w:val="00962A6D"/>
    <w:rsid w:val="00982992"/>
    <w:rsid w:val="009D4873"/>
    <w:rsid w:val="00A06079"/>
    <w:rsid w:val="00AB2248"/>
    <w:rsid w:val="00AC7360"/>
    <w:rsid w:val="00B62241"/>
    <w:rsid w:val="00BE47E4"/>
    <w:rsid w:val="00CE670C"/>
    <w:rsid w:val="00DD4E5E"/>
    <w:rsid w:val="00E179D3"/>
    <w:rsid w:val="00F90360"/>
    <w:rsid w:val="00F9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10A8D7D5"/>
  <w15:chartTrackingRefBased/>
  <w15:docId w15:val="{376278AA-6CFD-4208-9B12-A471130F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EXCEPTIONS LETTER TO RESPONDENT</vt:lpstr>
    </vt:vector>
  </TitlesOfParts>
  <Company>PA PUC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LETTER TO RESPONDENT</dc:title>
  <dc:subject/>
  <dc:creator>HERNLEY</dc:creator>
  <cp:keywords/>
  <cp:lastModifiedBy>Wagner, Nathan R</cp:lastModifiedBy>
  <cp:revision>2</cp:revision>
  <cp:lastPrinted>2014-01-14T15:18:00Z</cp:lastPrinted>
  <dcterms:created xsi:type="dcterms:W3CDTF">2021-07-22T12:10:00Z</dcterms:created>
  <dcterms:modified xsi:type="dcterms:W3CDTF">2021-07-22T12:10:00Z</dcterms:modified>
</cp:coreProperties>
</file>