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27EDE9F2"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8A6AD7">
        <w:rPr>
          <w:spacing w:val="-3"/>
          <w:szCs w:val="26"/>
        </w:rPr>
        <w:t>May 20,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77777777"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 xml:space="preserve">The Electric Generation Suppliers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46DEB202" w:rsidR="00590132" w:rsidRDefault="00590132" w:rsidP="00590132">
      <w:pPr>
        <w:rPr>
          <w:b/>
          <w:szCs w:val="26"/>
        </w:rPr>
      </w:pPr>
      <w:r>
        <w:rPr>
          <w:b/>
          <w:szCs w:val="26"/>
        </w:rPr>
        <w:t xml:space="preserve">Table 1 </w:t>
      </w:r>
      <w:r w:rsidR="00AC49FB">
        <w:rPr>
          <w:b/>
          <w:szCs w:val="26"/>
        </w:rPr>
        <w:t>–</w:t>
      </w:r>
      <w:r>
        <w:rPr>
          <w:b/>
          <w:szCs w:val="26"/>
        </w:rPr>
        <w:t xml:space="preserve"> </w:t>
      </w:r>
      <w:r w:rsidR="00AC49FB">
        <w:rPr>
          <w:b/>
          <w:szCs w:val="26"/>
        </w:rPr>
        <w:t>EGSs Compliant</w:t>
      </w:r>
      <w:r w:rsidR="00DD0CD6">
        <w:rPr>
          <w:b/>
          <w:szCs w:val="26"/>
        </w:rPr>
        <w:t xml:space="preserve"> with</w:t>
      </w:r>
      <w:r w:rsidR="00CF1462">
        <w:rPr>
          <w:b/>
          <w:szCs w:val="26"/>
        </w:rPr>
        <w:t xml:space="preserve"> Financial Security Requirements</w:t>
      </w:r>
    </w:p>
    <w:p w14:paraId="7E0C3B5F" w14:textId="77777777" w:rsidR="00590132" w:rsidRPr="00900A18" w:rsidRDefault="00590132" w:rsidP="00590132">
      <w:pPr>
        <w:tabs>
          <w:tab w:val="left" w:pos="-720"/>
        </w:tabs>
        <w:suppressAutoHyphens/>
        <w:spacing w:line="360" w:lineRule="auto"/>
        <w:rPr>
          <w:szCs w:val="26"/>
        </w:rPr>
      </w:pPr>
    </w:p>
    <w:p w14:paraId="722CAB96" w14:textId="77777777" w:rsidR="00E01AFD" w:rsidRPr="00CB0515" w:rsidRDefault="00590132" w:rsidP="00CB0515">
      <w:pPr>
        <w:tabs>
          <w:tab w:val="left" w:pos="-720"/>
        </w:tabs>
        <w:suppressAutoHyphens/>
        <w:spacing w:line="360" w:lineRule="auto"/>
        <w:rPr>
          <w:spacing w:val="-3"/>
          <w:szCs w:val="26"/>
        </w:rPr>
      </w:pPr>
      <w:r w:rsidRPr="00CB0515">
        <w:rPr>
          <w:spacing w:val="-3"/>
          <w:szCs w:val="26"/>
        </w:rPr>
        <w:t xml:space="preserve">Below are the EGS licensees that provided the required approved financial </w:t>
      </w:r>
      <w:r w:rsidR="00E01AFD" w:rsidRPr="00CB0515">
        <w:rPr>
          <w:spacing w:val="-3"/>
          <w:szCs w:val="26"/>
        </w:rPr>
        <w:t xml:space="preserve">security and are currently in compliance with </w:t>
      </w:r>
      <w:r w:rsidR="00E01AFD" w:rsidRPr="00CF1462">
        <w:rPr>
          <w:spacing w:val="-3"/>
          <w:szCs w:val="26"/>
        </w:rPr>
        <w:t>52 Pa. Code §54.42(a)</w:t>
      </w:r>
      <w:r w:rsidR="00E01AFD" w:rsidRPr="00CB0515">
        <w:rPr>
          <w:spacing w:val="-3"/>
          <w:szCs w:val="26"/>
        </w:rPr>
        <w:t>.</w:t>
      </w: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AC45CC" w:rsidRPr="00900A18" w14:paraId="71EBD079" w14:textId="77777777" w:rsidTr="0035337C">
        <w:trPr>
          <w:jc w:val="center"/>
        </w:trPr>
        <w:tc>
          <w:tcPr>
            <w:tcW w:w="3325" w:type="dxa"/>
            <w:vAlign w:val="bottom"/>
          </w:tcPr>
          <w:p w14:paraId="7F91ECB7" w14:textId="6B33D9D8" w:rsidR="00AC45CC" w:rsidRPr="00CB0515" w:rsidRDefault="00AC45CC" w:rsidP="00AC45CC">
            <w:pPr>
              <w:spacing w:line="360" w:lineRule="auto"/>
              <w:jc w:val="center"/>
              <w:rPr>
                <w:szCs w:val="26"/>
              </w:rPr>
            </w:pPr>
            <w:r>
              <w:rPr>
                <w:szCs w:val="26"/>
              </w:rPr>
              <w:t>A-2009-2138283</w:t>
            </w:r>
          </w:p>
        </w:tc>
        <w:tc>
          <w:tcPr>
            <w:tcW w:w="6750" w:type="dxa"/>
            <w:vAlign w:val="bottom"/>
          </w:tcPr>
          <w:p w14:paraId="1C332A55" w14:textId="3F3920A4" w:rsidR="00AC45CC" w:rsidRPr="00CB0515" w:rsidRDefault="00AC45CC" w:rsidP="00AC45CC">
            <w:pPr>
              <w:spacing w:line="360" w:lineRule="auto"/>
              <w:jc w:val="center"/>
              <w:rPr>
                <w:szCs w:val="26"/>
              </w:rPr>
            </w:pPr>
            <w:r>
              <w:rPr>
                <w:szCs w:val="26"/>
              </w:rPr>
              <w:t>AMERICA APPROVED COMMERCIAL LLC</w:t>
            </w:r>
          </w:p>
        </w:tc>
      </w:tr>
      <w:tr w:rsidR="00CB0515" w:rsidRPr="00900A18" w14:paraId="74B8051C" w14:textId="77777777" w:rsidTr="0035337C">
        <w:trPr>
          <w:jc w:val="center"/>
        </w:trPr>
        <w:tc>
          <w:tcPr>
            <w:tcW w:w="3325" w:type="dxa"/>
            <w:vAlign w:val="bottom"/>
          </w:tcPr>
          <w:p w14:paraId="62469CF2" w14:textId="2A4B3F6A" w:rsidR="00CB0515" w:rsidRPr="00D26704" w:rsidRDefault="00CB0515" w:rsidP="00CB0515">
            <w:pPr>
              <w:spacing w:line="360" w:lineRule="auto"/>
              <w:jc w:val="center"/>
              <w:rPr>
                <w:szCs w:val="26"/>
              </w:rPr>
            </w:pPr>
            <w:r w:rsidRPr="00CB0515">
              <w:rPr>
                <w:szCs w:val="26"/>
              </w:rPr>
              <w:t>A-2016-2542085*</w:t>
            </w:r>
          </w:p>
        </w:tc>
        <w:tc>
          <w:tcPr>
            <w:tcW w:w="6750" w:type="dxa"/>
            <w:vAlign w:val="bottom"/>
          </w:tcPr>
          <w:p w14:paraId="49FFC867" w14:textId="23CC99BB" w:rsidR="00CB0515" w:rsidRPr="00D26704" w:rsidRDefault="00CB0515" w:rsidP="00CB0515">
            <w:pPr>
              <w:spacing w:line="360" w:lineRule="auto"/>
              <w:jc w:val="center"/>
              <w:rPr>
                <w:szCs w:val="26"/>
              </w:rPr>
            </w:pPr>
            <w:r w:rsidRPr="00CB0515">
              <w:rPr>
                <w:szCs w:val="26"/>
              </w:rPr>
              <w:t>ATLANTIC ENERGY MD LLC</w:t>
            </w:r>
          </w:p>
        </w:tc>
      </w:tr>
      <w:tr w:rsidR="00CB0515" w:rsidRPr="00900A18" w14:paraId="2DA8677F" w14:textId="77777777" w:rsidTr="0035337C">
        <w:trPr>
          <w:jc w:val="center"/>
        </w:trPr>
        <w:tc>
          <w:tcPr>
            <w:tcW w:w="3325" w:type="dxa"/>
            <w:vAlign w:val="bottom"/>
          </w:tcPr>
          <w:p w14:paraId="52A90060" w14:textId="563E4286" w:rsidR="00CB0515" w:rsidRPr="00C73E68" w:rsidRDefault="00CB0515" w:rsidP="00CB0515">
            <w:pPr>
              <w:spacing w:line="360" w:lineRule="auto"/>
              <w:jc w:val="center"/>
              <w:rPr>
                <w:szCs w:val="26"/>
              </w:rPr>
            </w:pPr>
            <w:r w:rsidRPr="00CB0515">
              <w:rPr>
                <w:szCs w:val="26"/>
              </w:rPr>
              <w:t>A-2013-2356696</w:t>
            </w:r>
          </w:p>
        </w:tc>
        <w:tc>
          <w:tcPr>
            <w:tcW w:w="6750" w:type="dxa"/>
            <w:vAlign w:val="bottom"/>
          </w:tcPr>
          <w:p w14:paraId="388050CC" w14:textId="2D8AED8A" w:rsidR="00CB0515" w:rsidRPr="00C73E68" w:rsidRDefault="00CB0515" w:rsidP="00CB0515">
            <w:pPr>
              <w:spacing w:line="360" w:lineRule="auto"/>
              <w:jc w:val="center"/>
              <w:rPr>
                <w:szCs w:val="26"/>
              </w:rPr>
            </w:pPr>
            <w:r w:rsidRPr="00CB0515">
              <w:rPr>
                <w:szCs w:val="26"/>
              </w:rPr>
              <w:t>MID ATLANTIC ENERGY SERVICES LLC</w:t>
            </w:r>
          </w:p>
        </w:tc>
      </w:tr>
    </w:tbl>
    <w:p w14:paraId="38A6EE74" w14:textId="163804FA" w:rsidR="00A4329E" w:rsidRDefault="00DD0BDD" w:rsidP="00CB0515">
      <w:pPr>
        <w:tabs>
          <w:tab w:val="center" w:pos="4680"/>
        </w:tabs>
        <w:spacing w:line="360" w:lineRule="auto"/>
        <w:rPr>
          <w:spacing w:val="-3"/>
          <w:szCs w:val="26"/>
        </w:rPr>
      </w:pPr>
      <w:r w:rsidRPr="007714B5">
        <w:rPr>
          <w:sz w:val="22"/>
          <w:szCs w:val="24"/>
        </w:rPr>
        <w:t>*Taking title to electricity</w:t>
      </w:r>
      <w:r w:rsidR="00590132"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1A79CF84" w14:textId="0DA60015" w:rsidR="00590132" w:rsidRDefault="00A4329E" w:rsidP="00590132">
      <w:pPr>
        <w:tabs>
          <w:tab w:val="left" w:pos="-720"/>
        </w:tabs>
        <w:suppressAutoHyphens/>
        <w:spacing w:line="360" w:lineRule="auto"/>
        <w:rPr>
          <w:spacing w:val="-3"/>
          <w:szCs w:val="26"/>
        </w:rPr>
      </w:pPr>
      <w:r>
        <w:rPr>
          <w:spacing w:val="-3"/>
          <w:szCs w:val="26"/>
        </w:rPr>
        <w:tab/>
      </w:r>
      <w:r w:rsidR="00590132">
        <w:rPr>
          <w:spacing w:val="-3"/>
          <w:szCs w:val="26"/>
        </w:rPr>
        <w:t xml:space="preserve">The EGS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39820401" w14:textId="77777777" w:rsidR="00CB0515" w:rsidRDefault="00CB0515" w:rsidP="00590132">
      <w:pPr>
        <w:tabs>
          <w:tab w:val="left" w:pos="-720"/>
        </w:tabs>
        <w:suppressAutoHyphens/>
        <w:spacing w:line="360" w:lineRule="auto"/>
        <w:rPr>
          <w:spacing w:val="-3"/>
          <w:szCs w:val="26"/>
        </w:rPr>
      </w:pPr>
    </w:p>
    <w:p w14:paraId="4E1AA8CF" w14:textId="77777777" w:rsidR="00590132" w:rsidRDefault="00590132" w:rsidP="00590132">
      <w:pPr>
        <w:tabs>
          <w:tab w:val="left" w:pos="-720"/>
        </w:tabs>
        <w:suppressAutoHyphens/>
        <w:spacing w:line="360" w:lineRule="auto"/>
        <w:rPr>
          <w:b/>
          <w:szCs w:val="26"/>
        </w:rPr>
      </w:pPr>
    </w:p>
    <w:p w14:paraId="6FCAED54" w14:textId="1B26AC68" w:rsidR="00590132" w:rsidRDefault="00590132" w:rsidP="00590132">
      <w:pPr>
        <w:rPr>
          <w:b/>
          <w:szCs w:val="26"/>
        </w:rPr>
      </w:pPr>
      <w:r>
        <w:rPr>
          <w:b/>
          <w:szCs w:val="26"/>
        </w:rPr>
        <w:t xml:space="preserve">Table 2 – </w:t>
      </w:r>
      <w:r w:rsidR="0094667B">
        <w:rPr>
          <w:b/>
          <w:szCs w:val="26"/>
        </w:rPr>
        <w:t>EGS License Cancellation</w:t>
      </w:r>
      <w:r>
        <w:rPr>
          <w:b/>
          <w:szCs w:val="26"/>
        </w:rPr>
        <w:t xml:space="preserve"> </w:t>
      </w:r>
    </w:p>
    <w:p w14:paraId="56FFB171" w14:textId="77777777" w:rsidR="00590132" w:rsidRDefault="00590132" w:rsidP="00590132">
      <w:pPr>
        <w:tabs>
          <w:tab w:val="left" w:pos="-720"/>
        </w:tabs>
        <w:suppressAutoHyphens/>
        <w:spacing w:line="360" w:lineRule="auto"/>
        <w:rPr>
          <w:b/>
          <w:szCs w:val="26"/>
        </w:rPr>
      </w:pPr>
    </w:p>
    <w:p w14:paraId="2A4714B1" w14:textId="141AAC34" w:rsidR="00590132" w:rsidRDefault="00590132" w:rsidP="00590132">
      <w:pPr>
        <w:spacing w:line="360" w:lineRule="auto"/>
        <w:rPr>
          <w:szCs w:val="26"/>
        </w:rPr>
      </w:pPr>
      <w:r>
        <w:rPr>
          <w:szCs w:val="26"/>
        </w:rPr>
        <w:t xml:space="preserve">Below </w:t>
      </w:r>
      <w:r w:rsidR="00AC45CC">
        <w:rPr>
          <w:szCs w:val="26"/>
        </w:rPr>
        <w:t>is</w:t>
      </w:r>
      <w:r>
        <w:rPr>
          <w:szCs w:val="26"/>
        </w:rPr>
        <w:t xml:space="preserve"> the </w:t>
      </w:r>
      <w:r w:rsidRPr="00900A18">
        <w:rPr>
          <w:szCs w:val="26"/>
        </w:rPr>
        <w:t xml:space="preserve">EGS </w:t>
      </w:r>
      <w:r>
        <w:rPr>
          <w:szCs w:val="26"/>
        </w:rPr>
        <w:t xml:space="preserve">licensee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704A9C" w:rsidRPr="00900A18" w14:paraId="30324B8A" w14:textId="77777777" w:rsidTr="0035337C">
        <w:trPr>
          <w:trHeight w:val="287"/>
        </w:trPr>
        <w:tc>
          <w:tcPr>
            <w:tcW w:w="2880" w:type="dxa"/>
            <w:vAlign w:val="bottom"/>
          </w:tcPr>
          <w:p w14:paraId="7A1F2804" w14:textId="42883499" w:rsidR="00704A9C" w:rsidRDefault="00CB0515" w:rsidP="00704A9C">
            <w:pPr>
              <w:spacing w:line="360" w:lineRule="auto"/>
              <w:jc w:val="center"/>
              <w:rPr>
                <w:szCs w:val="26"/>
              </w:rPr>
            </w:pPr>
            <w:r>
              <w:rPr>
                <w:szCs w:val="26"/>
              </w:rPr>
              <w:t>A-2015-2511999</w:t>
            </w:r>
          </w:p>
        </w:tc>
        <w:tc>
          <w:tcPr>
            <w:tcW w:w="6930" w:type="dxa"/>
            <w:vAlign w:val="bottom"/>
          </w:tcPr>
          <w:p w14:paraId="184F2B06" w14:textId="393A2212" w:rsidR="00704A9C" w:rsidRDefault="00CB0515" w:rsidP="00704A9C">
            <w:pPr>
              <w:spacing w:line="360" w:lineRule="auto"/>
              <w:jc w:val="center"/>
              <w:rPr>
                <w:szCs w:val="26"/>
              </w:rPr>
            </w:pPr>
            <w:r>
              <w:rPr>
                <w:szCs w:val="26"/>
              </w:rPr>
              <w:t>VOLTARRO</w:t>
            </w:r>
          </w:p>
        </w:tc>
      </w:tr>
      <w:bookmarkEnd w:id="0"/>
    </w:tbl>
    <w:p w14:paraId="1F54C44F" w14:textId="77777777" w:rsidR="00CB0515" w:rsidRDefault="00CB0515" w:rsidP="00590132">
      <w:pPr>
        <w:tabs>
          <w:tab w:val="left" w:pos="-720"/>
        </w:tabs>
        <w:suppressAutoHyphens/>
        <w:spacing w:line="360" w:lineRule="auto"/>
        <w:rPr>
          <w:spacing w:val="-3"/>
          <w:szCs w:val="26"/>
        </w:rPr>
      </w:pPr>
    </w:p>
    <w:p w14:paraId="31B6236D" w14:textId="69AF7A84" w:rsidR="00A4329E" w:rsidRDefault="00CB0515" w:rsidP="00590132">
      <w:pPr>
        <w:tabs>
          <w:tab w:val="left" w:pos="-720"/>
        </w:tabs>
        <w:suppressAutoHyphens/>
        <w:spacing w:line="360" w:lineRule="auto"/>
        <w:rPr>
          <w:spacing w:val="-3"/>
          <w:szCs w:val="26"/>
        </w:rPr>
      </w:pPr>
      <w:r w:rsidRPr="00CB0515">
        <w:rPr>
          <w:bCs/>
          <w:szCs w:val="26"/>
        </w:rPr>
        <w:tab/>
      </w:r>
      <w:r w:rsidR="00A4329E">
        <w:rPr>
          <w:spacing w:val="-3"/>
          <w:szCs w:val="26"/>
        </w:rPr>
        <w:t>The Electric Generation Supplier License held by the compan</w:t>
      </w:r>
      <w:r w:rsidR="00AC45CC">
        <w:rPr>
          <w:spacing w:val="-3"/>
          <w:szCs w:val="26"/>
        </w:rPr>
        <w:t>y</w:t>
      </w:r>
      <w:r w:rsidR="00A4329E">
        <w:rPr>
          <w:spacing w:val="-3"/>
          <w:szCs w:val="26"/>
        </w:rPr>
        <w:t xml:space="preserve"> listed in Table 2 </w:t>
      </w:r>
      <w:r w:rsidR="00AC45CC">
        <w:rPr>
          <w:spacing w:val="-3"/>
          <w:szCs w:val="26"/>
        </w:rPr>
        <w:t>is</w:t>
      </w:r>
      <w:r w:rsidR="00A4329E">
        <w:rPr>
          <w:spacing w:val="-3"/>
          <w:szCs w:val="26"/>
        </w:rPr>
        <w:t xml:space="preserve"> cancelled, and shall be stricken from all active utility lists maintained by the Commission’s Bureau of Technical Utility Services, 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p>
    <w:p w14:paraId="68A2AD84" w14:textId="43E79757" w:rsidR="008E3CBF" w:rsidRDefault="008E3CBF" w:rsidP="00590132">
      <w:pPr>
        <w:tabs>
          <w:tab w:val="left" w:pos="-720"/>
        </w:tabs>
        <w:suppressAutoHyphens/>
        <w:spacing w:line="360" w:lineRule="auto"/>
        <w:rPr>
          <w:spacing w:val="-3"/>
          <w:szCs w:val="26"/>
        </w:rPr>
      </w:pPr>
    </w:p>
    <w:p w14:paraId="26A5BE26" w14:textId="7C1C52BD" w:rsidR="008E3CBF" w:rsidRDefault="008E3CBF" w:rsidP="00590132">
      <w:pPr>
        <w:tabs>
          <w:tab w:val="left" w:pos="-720"/>
        </w:tabs>
        <w:suppressAutoHyphens/>
        <w:spacing w:line="360" w:lineRule="auto"/>
        <w:rPr>
          <w:spacing w:val="-3"/>
          <w:szCs w:val="26"/>
        </w:rPr>
      </w:pPr>
      <w:r>
        <w:rPr>
          <w:bCs/>
          <w:szCs w:val="26"/>
        </w:rPr>
        <w:tab/>
      </w:r>
      <w:r w:rsidR="00EB7193">
        <w:rPr>
          <w:bCs/>
          <w:szCs w:val="26"/>
        </w:rPr>
        <w:t xml:space="preserve">The remaining </w:t>
      </w:r>
      <w:r w:rsidR="00C71162">
        <w:rPr>
          <w:bCs/>
          <w:szCs w:val="26"/>
        </w:rPr>
        <w:t>EGS licensee</w:t>
      </w:r>
      <w:r w:rsidR="00EB7193">
        <w:rPr>
          <w:bCs/>
          <w:szCs w:val="26"/>
        </w:rPr>
        <w:t xml:space="preserve"> on the May 20, </w:t>
      </w:r>
      <w:proofErr w:type="gramStart"/>
      <w:r w:rsidR="00C01DF2">
        <w:rPr>
          <w:bCs/>
          <w:szCs w:val="26"/>
        </w:rPr>
        <w:t>2021</w:t>
      </w:r>
      <w:proofErr w:type="gramEnd"/>
      <w:r w:rsidR="0094762B">
        <w:rPr>
          <w:bCs/>
          <w:szCs w:val="26"/>
        </w:rPr>
        <w:t xml:space="preserve"> </w:t>
      </w:r>
      <w:r w:rsidR="00EB7193">
        <w:rPr>
          <w:bCs/>
          <w:szCs w:val="26"/>
        </w:rPr>
        <w:t>EGS Cancellation Tentative Order</w:t>
      </w:r>
      <w:r w:rsidRPr="00CB0515">
        <w:rPr>
          <w:bCs/>
          <w:szCs w:val="26"/>
        </w:rPr>
        <w:t>,</w:t>
      </w:r>
      <w:r>
        <w:rPr>
          <w:bCs/>
          <w:szCs w:val="26"/>
        </w:rPr>
        <w:t xml:space="preserve"> AVANGRID RENEWABLES LLC, at Docket No. A-2019-3012420, filed an application to abandon its EGS license as a supplier in Pennsylvania</w:t>
      </w:r>
      <w:r w:rsidR="00C01DF2">
        <w:rPr>
          <w:bCs/>
          <w:szCs w:val="26"/>
        </w:rPr>
        <w:t xml:space="preserve"> on July 12, 2021</w:t>
      </w:r>
      <w:r>
        <w:rPr>
          <w:bCs/>
          <w:szCs w:val="26"/>
        </w:rPr>
        <w:t xml:space="preserve">.  </w:t>
      </w:r>
      <w:r>
        <w:rPr>
          <w:spacing w:val="-3"/>
          <w:szCs w:val="26"/>
        </w:rPr>
        <w:t xml:space="preserve">The Commission’s regulations at </w:t>
      </w:r>
      <w:r w:rsidRPr="007B5762">
        <w:rPr>
          <w:spacing w:val="-3"/>
          <w:szCs w:val="26"/>
        </w:rPr>
        <w:t>52 Pa. Code §54.4</w:t>
      </w:r>
      <w:r>
        <w:rPr>
          <w:spacing w:val="-3"/>
          <w:szCs w:val="26"/>
        </w:rPr>
        <w:t>1</w:t>
      </w:r>
      <w:r w:rsidRPr="007B5762">
        <w:rPr>
          <w:spacing w:val="-3"/>
          <w:szCs w:val="26"/>
        </w:rPr>
        <w:t xml:space="preserve">(b) require </w:t>
      </w:r>
      <w:r>
        <w:rPr>
          <w:spacing w:val="-3"/>
          <w:szCs w:val="26"/>
        </w:rPr>
        <w:t xml:space="preserve">that a licensee may not abandon service without providing 90 days prior written notice to the Commission, the licensee’s customers, the affected distribution utilities, and default service providers prior to the abandonment of service.  </w:t>
      </w:r>
    </w:p>
    <w:p w14:paraId="7ADCD752" w14:textId="053D60F3" w:rsidR="00CB0515" w:rsidRDefault="00CB0515" w:rsidP="00590132">
      <w:pPr>
        <w:tabs>
          <w:tab w:val="left" w:pos="-720"/>
        </w:tabs>
        <w:suppressAutoHyphens/>
        <w:spacing w:line="360" w:lineRule="auto"/>
        <w:rPr>
          <w:spacing w:val="-3"/>
          <w:szCs w:val="26"/>
        </w:rPr>
      </w:pPr>
    </w:p>
    <w:p w14:paraId="1EBCFD02" w14:textId="5342E814" w:rsidR="00CB0515" w:rsidRDefault="00CB0515" w:rsidP="00590132">
      <w:pPr>
        <w:tabs>
          <w:tab w:val="left" w:pos="-720"/>
        </w:tabs>
        <w:suppressAutoHyphens/>
        <w:spacing w:line="360" w:lineRule="auto"/>
        <w:rPr>
          <w:spacing w:val="-3"/>
          <w:szCs w:val="26"/>
        </w:rPr>
      </w:pPr>
    </w:p>
    <w:p w14:paraId="48CE2381" w14:textId="2734D658" w:rsidR="00CB0515" w:rsidRDefault="00CB0515" w:rsidP="00590132">
      <w:pPr>
        <w:tabs>
          <w:tab w:val="left" w:pos="-720"/>
        </w:tabs>
        <w:suppressAutoHyphens/>
        <w:spacing w:line="360" w:lineRule="auto"/>
        <w:rPr>
          <w:spacing w:val="-3"/>
          <w:szCs w:val="26"/>
        </w:rPr>
      </w:pPr>
    </w:p>
    <w:p w14:paraId="310FB693" w14:textId="42DBFF9E" w:rsidR="00CB0515" w:rsidRDefault="00CB0515" w:rsidP="00590132">
      <w:pPr>
        <w:tabs>
          <w:tab w:val="left" w:pos="-720"/>
        </w:tabs>
        <w:suppressAutoHyphens/>
        <w:spacing w:line="360" w:lineRule="auto"/>
        <w:rPr>
          <w:spacing w:val="-3"/>
          <w:szCs w:val="26"/>
        </w:rPr>
      </w:pPr>
    </w:p>
    <w:p w14:paraId="0CEA1E8D" w14:textId="0CA2CC03" w:rsidR="00CB0515" w:rsidRDefault="00CB0515" w:rsidP="00590132">
      <w:pPr>
        <w:tabs>
          <w:tab w:val="left" w:pos="-720"/>
        </w:tabs>
        <w:suppressAutoHyphens/>
        <w:spacing w:line="360" w:lineRule="auto"/>
        <w:rPr>
          <w:spacing w:val="-3"/>
          <w:szCs w:val="26"/>
        </w:rPr>
      </w:pPr>
    </w:p>
    <w:p w14:paraId="5C7938D3" w14:textId="3185D729" w:rsidR="00CB0515" w:rsidRDefault="00CB0515" w:rsidP="00590132">
      <w:pPr>
        <w:tabs>
          <w:tab w:val="left" w:pos="-720"/>
        </w:tabs>
        <w:suppressAutoHyphens/>
        <w:spacing w:line="360" w:lineRule="auto"/>
        <w:rPr>
          <w:spacing w:val="-3"/>
          <w:szCs w:val="26"/>
        </w:rPr>
      </w:pPr>
    </w:p>
    <w:p w14:paraId="769C17EF" w14:textId="5D4F1612" w:rsidR="00CB0515" w:rsidRDefault="00CB0515" w:rsidP="00590132">
      <w:pPr>
        <w:tabs>
          <w:tab w:val="left" w:pos="-720"/>
        </w:tabs>
        <w:suppressAutoHyphens/>
        <w:spacing w:line="360" w:lineRule="auto"/>
        <w:rPr>
          <w:spacing w:val="-3"/>
          <w:szCs w:val="26"/>
        </w:rPr>
      </w:pPr>
    </w:p>
    <w:p w14:paraId="3E0EA042" w14:textId="77777777" w:rsidR="00CB0515" w:rsidRDefault="00CB0515" w:rsidP="00590132">
      <w:pPr>
        <w:tabs>
          <w:tab w:val="left" w:pos="-720"/>
        </w:tabs>
        <w:suppressAutoHyphens/>
        <w:spacing w:line="360" w:lineRule="auto"/>
        <w:rPr>
          <w:spacing w:val="-3"/>
          <w:szCs w:val="26"/>
        </w:rPr>
      </w:pPr>
    </w:p>
    <w:p w14:paraId="74CA974E" w14:textId="77777777" w:rsidR="00A4329E" w:rsidRDefault="00A4329E" w:rsidP="00590132">
      <w:pPr>
        <w:tabs>
          <w:tab w:val="left" w:pos="-720"/>
        </w:tabs>
        <w:suppressAutoHyphens/>
        <w:spacing w:line="360" w:lineRule="auto"/>
        <w:rPr>
          <w:spacing w:val="-3"/>
          <w:szCs w:val="26"/>
        </w:rPr>
      </w:pPr>
    </w:p>
    <w:p w14:paraId="1A9BA80D" w14:textId="694AAA0D" w:rsidR="00880AB4" w:rsidRDefault="00880AB4" w:rsidP="00880AB4">
      <w:pPr>
        <w:spacing w:line="360" w:lineRule="auto"/>
        <w:ind w:firstLine="720"/>
        <w:rPr>
          <w:noProof/>
        </w:rPr>
      </w:pPr>
      <w:r>
        <w:rPr>
          <w:spacing w:val="-3"/>
          <w:szCs w:val="26"/>
        </w:rPr>
        <w:lastRenderedPageBreak/>
        <w:t>The Tentative Order has become FINAL by operation of law.</w:t>
      </w:r>
      <w:r w:rsidR="00CB0515">
        <w:rPr>
          <w:spacing w:val="-3"/>
          <w:szCs w:val="26"/>
        </w:rPr>
        <w:t xml:space="preserve">  AVANGRID RENEWABLES LLC may be granted an EGS license abandonment, once the licensee provides all required documentation and assures the Commission that all obligations to Pennsylvania customers and the Commonwealth have been met.</w:t>
      </w:r>
    </w:p>
    <w:p w14:paraId="5E1CA17C" w14:textId="4B40A8DA" w:rsidR="00A4329E" w:rsidRDefault="00A4329E" w:rsidP="00590132">
      <w:pPr>
        <w:spacing w:line="360" w:lineRule="auto"/>
        <w:ind w:firstLine="720"/>
        <w:rPr>
          <w:spacing w:val="-3"/>
          <w:szCs w:val="26"/>
        </w:rPr>
      </w:pPr>
    </w:p>
    <w:p w14:paraId="5908D9FF" w14:textId="0A9A9AA3" w:rsidR="00590132" w:rsidRDefault="00FB0754" w:rsidP="00590132">
      <w:pPr>
        <w:spacing w:line="360" w:lineRule="auto"/>
        <w:rPr>
          <w:spacing w:val="-3"/>
          <w:szCs w:val="26"/>
        </w:rPr>
      </w:pPr>
      <w:r>
        <w:rPr>
          <w:noProof/>
        </w:rPr>
        <w:drawing>
          <wp:anchor distT="0" distB="0" distL="114300" distR="114300" simplePos="0" relativeHeight="251659264" behindDoc="1" locked="0" layoutInCell="1" allowOverlap="1" wp14:anchorId="79B7B5A5" wp14:editId="683AA0CF">
            <wp:simplePos x="0" y="0"/>
            <wp:positionH relativeFrom="column">
              <wp:posOffset>3114675</wp:posOffset>
            </wp:positionH>
            <wp:positionV relativeFrom="paragraph">
              <wp:posOffset>231775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71F5768" w14:textId="036264C7" w:rsidR="00590132" w:rsidRPr="00900A18" w:rsidRDefault="00590132" w:rsidP="00590132">
      <w:pPr>
        <w:tabs>
          <w:tab w:val="left" w:pos="-720"/>
        </w:tabs>
        <w:suppressAutoHyphens/>
        <w:spacing w:line="360" w:lineRule="auto"/>
        <w:rPr>
          <w:spacing w:val="-3"/>
          <w:szCs w:val="26"/>
        </w:rPr>
      </w:pPr>
      <w:r w:rsidRPr="00900A18">
        <w:rPr>
          <w:spacing w:val="-3"/>
          <w:szCs w:val="26"/>
        </w:rPr>
        <w:t xml:space="preserve">     </w:t>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BY THE COMMISSION,</w:t>
      </w:r>
    </w:p>
    <w:p w14:paraId="38691629" w14:textId="59C7291C" w:rsidR="00590132" w:rsidRDefault="00590132" w:rsidP="00590132">
      <w:pPr>
        <w:tabs>
          <w:tab w:val="left" w:pos="-720"/>
          <w:tab w:val="left" w:pos="5805"/>
        </w:tabs>
        <w:suppressAutoHyphens/>
        <w:jc w:val="both"/>
        <w:rPr>
          <w:spacing w:val="-3"/>
          <w:szCs w:val="26"/>
        </w:rPr>
      </w:pPr>
      <w:r>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49CCD98F" w14:textId="0D08E281" w:rsidR="00590132" w:rsidRPr="005653A5" w:rsidRDefault="00590132" w:rsidP="00590132">
      <w:pPr>
        <w:tabs>
          <w:tab w:val="left" w:pos="-720"/>
        </w:tabs>
        <w:suppressAutoHyphens/>
        <w:spacing w:line="360" w:lineRule="auto"/>
        <w:jc w:val="both"/>
      </w:pPr>
      <w:r w:rsidRPr="00900A18">
        <w:rPr>
          <w:spacing w:val="-3"/>
          <w:szCs w:val="26"/>
        </w:rPr>
        <w:t xml:space="preserve">ORDER ENTERED: </w:t>
      </w:r>
      <w:r>
        <w:rPr>
          <w:spacing w:val="-3"/>
          <w:szCs w:val="26"/>
        </w:rPr>
        <w:t xml:space="preserve"> </w:t>
      </w:r>
      <w:r w:rsidR="00FB0754">
        <w:rPr>
          <w:spacing w:val="-3"/>
          <w:szCs w:val="26"/>
        </w:rPr>
        <w:t>July 22, 2021</w:t>
      </w:r>
    </w:p>
    <w:p w14:paraId="52C3239B" w14:textId="77777777" w:rsidR="00590132" w:rsidRDefault="00590132"/>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1B27AF"/>
    <w:rsid w:val="00365EA0"/>
    <w:rsid w:val="003F2A1C"/>
    <w:rsid w:val="00426F42"/>
    <w:rsid w:val="00545657"/>
    <w:rsid w:val="00590132"/>
    <w:rsid w:val="00704A9C"/>
    <w:rsid w:val="0070699B"/>
    <w:rsid w:val="007C5126"/>
    <w:rsid w:val="00880AB4"/>
    <w:rsid w:val="008A6AD7"/>
    <w:rsid w:val="008E3CBF"/>
    <w:rsid w:val="008F47F5"/>
    <w:rsid w:val="0094667B"/>
    <w:rsid w:val="0094762B"/>
    <w:rsid w:val="00987D1B"/>
    <w:rsid w:val="009D096D"/>
    <w:rsid w:val="00A4329E"/>
    <w:rsid w:val="00AC286B"/>
    <w:rsid w:val="00AC45CC"/>
    <w:rsid w:val="00AC49FB"/>
    <w:rsid w:val="00C01DF2"/>
    <w:rsid w:val="00C71162"/>
    <w:rsid w:val="00C86269"/>
    <w:rsid w:val="00CB0515"/>
    <w:rsid w:val="00CF1462"/>
    <w:rsid w:val="00DD0BDD"/>
    <w:rsid w:val="00DD0CD6"/>
    <w:rsid w:val="00E01AFD"/>
    <w:rsid w:val="00E53FFF"/>
    <w:rsid w:val="00EB7193"/>
    <w:rsid w:val="00FB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Wagner, Nathan R</cp:lastModifiedBy>
  <cp:revision>2</cp:revision>
  <cp:lastPrinted>2019-12-05T15:41:00Z</cp:lastPrinted>
  <dcterms:created xsi:type="dcterms:W3CDTF">2021-07-22T19:22:00Z</dcterms:created>
  <dcterms:modified xsi:type="dcterms:W3CDTF">2021-07-22T19:22:00Z</dcterms:modified>
</cp:coreProperties>
</file>