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4CE82" w14:textId="77777777" w:rsidR="009304FE" w:rsidRPr="004E64B8" w:rsidRDefault="009304FE" w:rsidP="004E64B8">
      <w:pPr>
        <w:contextualSpacing/>
        <w:jc w:val="center"/>
        <w:rPr>
          <w:b/>
          <w:sz w:val="26"/>
          <w:szCs w:val="26"/>
        </w:rPr>
      </w:pPr>
      <w:r w:rsidRPr="004E64B8">
        <w:rPr>
          <w:b/>
          <w:sz w:val="26"/>
          <w:szCs w:val="26"/>
        </w:rPr>
        <w:t>PENNSYLVANIA</w:t>
      </w:r>
    </w:p>
    <w:p w14:paraId="69C34417" w14:textId="77777777" w:rsidR="009304FE" w:rsidRPr="004E64B8" w:rsidRDefault="009304FE" w:rsidP="004E64B8">
      <w:pPr>
        <w:contextualSpacing/>
        <w:jc w:val="center"/>
        <w:rPr>
          <w:b/>
          <w:sz w:val="26"/>
          <w:szCs w:val="26"/>
        </w:rPr>
      </w:pPr>
      <w:r w:rsidRPr="004E64B8">
        <w:rPr>
          <w:b/>
          <w:sz w:val="26"/>
          <w:szCs w:val="26"/>
        </w:rPr>
        <w:t>PUBLIC UTILITY COMMISSION</w:t>
      </w:r>
    </w:p>
    <w:p w14:paraId="031811A8" w14:textId="0F64B12B" w:rsidR="009304FE" w:rsidRPr="004E64B8" w:rsidRDefault="009304FE" w:rsidP="00987F49">
      <w:pPr>
        <w:contextualSpacing/>
        <w:jc w:val="center"/>
        <w:rPr>
          <w:sz w:val="26"/>
          <w:szCs w:val="26"/>
        </w:rPr>
      </w:pPr>
      <w:r w:rsidRPr="004E64B8">
        <w:rPr>
          <w:b/>
          <w:sz w:val="26"/>
          <w:szCs w:val="26"/>
        </w:rPr>
        <w:t>Harrisburg, PA</w:t>
      </w:r>
      <w:r w:rsidR="00791F04">
        <w:rPr>
          <w:b/>
          <w:sz w:val="26"/>
          <w:szCs w:val="26"/>
        </w:rPr>
        <w:t xml:space="preserve"> </w:t>
      </w:r>
      <w:r w:rsidRPr="004E64B8">
        <w:rPr>
          <w:b/>
          <w:sz w:val="26"/>
          <w:szCs w:val="26"/>
        </w:rPr>
        <w:t xml:space="preserve"> 171</w:t>
      </w:r>
      <w:r w:rsidR="007E300A">
        <w:rPr>
          <w:b/>
          <w:sz w:val="26"/>
          <w:szCs w:val="26"/>
        </w:rPr>
        <w:t>20</w:t>
      </w:r>
    </w:p>
    <w:p w14:paraId="4D6A11B4" w14:textId="1076B0DC" w:rsidR="00B01F47" w:rsidRDefault="00B01F47" w:rsidP="004E64B8">
      <w:pPr>
        <w:contextualSpacing/>
        <w:rPr>
          <w:sz w:val="26"/>
          <w:szCs w:val="26"/>
        </w:rPr>
      </w:pPr>
    </w:p>
    <w:p w14:paraId="346BB15A" w14:textId="77777777" w:rsidR="00791F04" w:rsidRPr="004E64B8" w:rsidRDefault="00791F04" w:rsidP="004E64B8">
      <w:pPr>
        <w:contextualSpacing/>
        <w:rPr>
          <w:sz w:val="26"/>
          <w:szCs w:val="26"/>
        </w:rPr>
      </w:pPr>
    </w:p>
    <w:p w14:paraId="7935FEA8" w14:textId="3C0B7936" w:rsidR="009304FE" w:rsidRPr="004E64B8" w:rsidRDefault="009304FE" w:rsidP="004E64B8">
      <w:pPr>
        <w:contextualSpacing/>
        <w:jc w:val="right"/>
        <w:rPr>
          <w:sz w:val="26"/>
          <w:szCs w:val="26"/>
        </w:rPr>
      </w:pPr>
      <w:r w:rsidRPr="004E64B8">
        <w:rPr>
          <w:sz w:val="26"/>
          <w:szCs w:val="26"/>
        </w:rPr>
        <w:t>Public Meeting held</w:t>
      </w:r>
      <w:r w:rsidR="00416059">
        <w:rPr>
          <w:sz w:val="26"/>
          <w:szCs w:val="26"/>
        </w:rPr>
        <w:t xml:space="preserve"> July 15</w:t>
      </w:r>
      <w:r w:rsidR="00380951">
        <w:rPr>
          <w:sz w:val="26"/>
          <w:szCs w:val="26"/>
        </w:rPr>
        <w:t>, 20</w:t>
      </w:r>
      <w:r w:rsidR="007F3A08">
        <w:rPr>
          <w:sz w:val="26"/>
          <w:szCs w:val="26"/>
        </w:rPr>
        <w:t>2</w:t>
      </w:r>
      <w:r w:rsidR="00416059">
        <w:rPr>
          <w:sz w:val="26"/>
          <w:szCs w:val="26"/>
        </w:rPr>
        <w:t>1</w:t>
      </w:r>
      <w:r w:rsidR="00B01F47" w:rsidRPr="004E64B8">
        <w:rPr>
          <w:sz w:val="26"/>
          <w:szCs w:val="26"/>
        </w:rPr>
        <w:t xml:space="preserve"> </w:t>
      </w:r>
    </w:p>
    <w:p w14:paraId="277762D3" w14:textId="77777777" w:rsidR="009304FE" w:rsidRPr="004E64B8" w:rsidRDefault="009304FE" w:rsidP="004E64B8">
      <w:pPr>
        <w:contextualSpacing/>
        <w:rPr>
          <w:sz w:val="26"/>
          <w:szCs w:val="26"/>
        </w:rPr>
      </w:pPr>
    </w:p>
    <w:p w14:paraId="2A1712CB" w14:textId="77777777" w:rsidR="00B01F47" w:rsidRPr="004E64B8" w:rsidRDefault="00B01F47" w:rsidP="004E64B8">
      <w:pPr>
        <w:contextualSpacing/>
        <w:rPr>
          <w:sz w:val="26"/>
          <w:szCs w:val="26"/>
        </w:rPr>
      </w:pPr>
    </w:p>
    <w:p w14:paraId="5238BCED" w14:textId="77777777" w:rsidR="005205C0" w:rsidRPr="004E64B8" w:rsidRDefault="005205C0" w:rsidP="004E64B8">
      <w:pPr>
        <w:contextualSpacing/>
        <w:rPr>
          <w:sz w:val="26"/>
          <w:szCs w:val="26"/>
        </w:rPr>
      </w:pPr>
      <w:r w:rsidRPr="004E64B8">
        <w:rPr>
          <w:sz w:val="26"/>
          <w:szCs w:val="26"/>
        </w:rPr>
        <w:t>Commissioners Present:</w:t>
      </w:r>
    </w:p>
    <w:p w14:paraId="65B4BF5D" w14:textId="77777777" w:rsidR="005205C0" w:rsidRPr="004E64B8" w:rsidRDefault="005205C0" w:rsidP="004E64B8">
      <w:pPr>
        <w:contextualSpacing/>
        <w:rPr>
          <w:sz w:val="26"/>
          <w:szCs w:val="26"/>
        </w:rPr>
      </w:pPr>
    </w:p>
    <w:p w14:paraId="621E48DF" w14:textId="77777777" w:rsidR="007E300A" w:rsidRPr="006843E6" w:rsidRDefault="007E300A" w:rsidP="007E300A">
      <w:pPr>
        <w:tabs>
          <w:tab w:val="left" w:pos="-720"/>
        </w:tabs>
        <w:ind w:firstLine="720"/>
        <w:contextualSpacing/>
        <w:rPr>
          <w:sz w:val="26"/>
          <w:szCs w:val="26"/>
        </w:rPr>
      </w:pPr>
      <w:r w:rsidRPr="006843E6">
        <w:rPr>
          <w:sz w:val="26"/>
          <w:szCs w:val="26"/>
        </w:rPr>
        <w:t xml:space="preserve">Gladys Brown </w:t>
      </w:r>
      <w:proofErr w:type="spellStart"/>
      <w:r w:rsidRPr="006843E6">
        <w:rPr>
          <w:sz w:val="26"/>
          <w:szCs w:val="26"/>
        </w:rPr>
        <w:t>Dutrieuille</w:t>
      </w:r>
      <w:proofErr w:type="spellEnd"/>
      <w:r w:rsidRPr="006843E6">
        <w:rPr>
          <w:sz w:val="26"/>
          <w:szCs w:val="26"/>
        </w:rPr>
        <w:t>, Chairman</w:t>
      </w:r>
    </w:p>
    <w:p w14:paraId="3EDE770B" w14:textId="77777777" w:rsidR="007E300A" w:rsidRPr="006843E6" w:rsidRDefault="007E300A" w:rsidP="007E300A">
      <w:pPr>
        <w:tabs>
          <w:tab w:val="left" w:pos="-720"/>
        </w:tabs>
        <w:ind w:firstLine="720"/>
        <w:contextualSpacing/>
        <w:rPr>
          <w:sz w:val="26"/>
          <w:szCs w:val="26"/>
        </w:rPr>
      </w:pPr>
      <w:r w:rsidRPr="006843E6">
        <w:rPr>
          <w:sz w:val="26"/>
          <w:szCs w:val="26"/>
        </w:rPr>
        <w:t>David W. Sweet, Vice Chairman</w:t>
      </w:r>
    </w:p>
    <w:p w14:paraId="76E3372A" w14:textId="77777777" w:rsidR="007E300A" w:rsidRDefault="007E300A" w:rsidP="007E300A">
      <w:pPr>
        <w:kinsoku w:val="0"/>
        <w:overflowPunct w:val="0"/>
        <w:ind w:firstLine="720"/>
        <w:textAlignment w:val="baseline"/>
        <w:rPr>
          <w:b/>
          <w:bCs/>
          <w:spacing w:val="-3"/>
          <w:sz w:val="26"/>
          <w:szCs w:val="26"/>
        </w:rPr>
      </w:pPr>
      <w:r w:rsidRPr="006843E6">
        <w:rPr>
          <w:sz w:val="26"/>
          <w:szCs w:val="26"/>
        </w:rPr>
        <w:t>John F. Coleman, Jr.</w:t>
      </w:r>
    </w:p>
    <w:p w14:paraId="05C84783" w14:textId="77777777" w:rsidR="007E300A" w:rsidRPr="00021556" w:rsidRDefault="007E300A" w:rsidP="007E300A">
      <w:pPr>
        <w:kinsoku w:val="0"/>
        <w:overflowPunct w:val="0"/>
        <w:ind w:firstLine="720"/>
        <w:textAlignment w:val="baseline"/>
        <w:rPr>
          <w:b/>
          <w:bCs/>
          <w:spacing w:val="-3"/>
          <w:sz w:val="26"/>
          <w:szCs w:val="26"/>
        </w:rPr>
      </w:pPr>
      <w:r w:rsidRPr="006843E6">
        <w:rPr>
          <w:spacing w:val="-2"/>
          <w:sz w:val="26"/>
          <w:szCs w:val="26"/>
        </w:rPr>
        <w:t xml:space="preserve">Ralph </w:t>
      </w:r>
      <w:r>
        <w:rPr>
          <w:spacing w:val="-2"/>
          <w:sz w:val="26"/>
          <w:szCs w:val="26"/>
        </w:rPr>
        <w:t xml:space="preserve">V. </w:t>
      </w:r>
      <w:proofErr w:type="spellStart"/>
      <w:r w:rsidRPr="006843E6">
        <w:rPr>
          <w:spacing w:val="-2"/>
          <w:sz w:val="26"/>
          <w:szCs w:val="26"/>
        </w:rPr>
        <w:t>Yanora</w:t>
      </w:r>
      <w:proofErr w:type="spellEnd"/>
    </w:p>
    <w:p w14:paraId="6F6C2CCD" w14:textId="77777777" w:rsidR="007E300A" w:rsidRPr="002776D1" w:rsidRDefault="007E300A" w:rsidP="007E300A">
      <w:pPr>
        <w:tabs>
          <w:tab w:val="left" w:pos="-720"/>
        </w:tabs>
        <w:suppressAutoHyphens/>
        <w:ind w:firstLine="720"/>
        <w:rPr>
          <w:sz w:val="26"/>
          <w:szCs w:val="26"/>
        </w:rPr>
      </w:pPr>
    </w:p>
    <w:p w14:paraId="23FFA7DD" w14:textId="77777777" w:rsidR="009304FE" w:rsidRPr="004E64B8" w:rsidRDefault="009304FE" w:rsidP="004E64B8">
      <w:pPr>
        <w:contextualSpacing/>
        <w:rPr>
          <w:sz w:val="26"/>
          <w:szCs w:val="26"/>
        </w:rPr>
      </w:pPr>
    </w:p>
    <w:p w14:paraId="67076667" w14:textId="45A85600" w:rsidR="003E4FFA" w:rsidRPr="004E64B8" w:rsidRDefault="002A2159" w:rsidP="00FD428B">
      <w:pPr>
        <w:tabs>
          <w:tab w:val="left" w:pos="-720"/>
          <w:tab w:val="left" w:pos="0"/>
        </w:tabs>
        <w:suppressAutoHyphens/>
        <w:contextualSpacing/>
        <w:rPr>
          <w:sz w:val="26"/>
          <w:szCs w:val="26"/>
        </w:rPr>
      </w:pPr>
      <w:r>
        <w:rPr>
          <w:sz w:val="26"/>
          <w:szCs w:val="26"/>
        </w:rPr>
        <w:t xml:space="preserve">Application of </w:t>
      </w:r>
      <w:r w:rsidR="00F038D2">
        <w:rPr>
          <w:sz w:val="26"/>
          <w:szCs w:val="26"/>
        </w:rPr>
        <w:t>PPL Electric Utilities Corporation</w:t>
      </w:r>
      <w:r w:rsidR="0015423F">
        <w:rPr>
          <w:sz w:val="26"/>
          <w:szCs w:val="26"/>
        </w:rPr>
        <w:t xml:space="preserve"> for</w:t>
      </w:r>
      <w:r w:rsidR="00E31339" w:rsidRPr="004E64B8">
        <w:rPr>
          <w:sz w:val="26"/>
          <w:szCs w:val="26"/>
        </w:rPr>
        <w:tab/>
      </w:r>
      <w:r w:rsidR="00E31339" w:rsidRPr="004E64B8">
        <w:rPr>
          <w:sz w:val="26"/>
          <w:szCs w:val="26"/>
        </w:rPr>
        <w:tab/>
      </w:r>
      <w:r w:rsidR="00DD2733">
        <w:rPr>
          <w:sz w:val="26"/>
          <w:szCs w:val="26"/>
        </w:rPr>
        <w:tab/>
      </w:r>
      <w:r w:rsidR="00791F04">
        <w:rPr>
          <w:sz w:val="26"/>
          <w:szCs w:val="26"/>
        </w:rPr>
        <w:t xml:space="preserve">    </w:t>
      </w:r>
      <w:r w:rsidR="00DD2733">
        <w:rPr>
          <w:sz w:val="26"/>
          <w:szCs w:val="26"/>
        </w:rPr>
        <w:t>A</w:t>
      </w:r>
      <w:r w:rsidR="00E31339" w:rsidRPr="003E4FFA">
        <w:rPr>
          <w:sz w:val="26"/>
          <w:szCs w:val="26"/>
        </w:rPr>
        <w:t>-201</w:t>
      </w:r>
      <w:r w:rsidR="00DD2733">
        <w:rPr>
          <w:sz w:val="26"/>
          <w:szCs w:val="26"/>
        </w:rPr>
        <w:t>7-2629534</w:t>
      </w:r>
    </w:p>
    <w:p w14:paraId="21F0584F" w14:textId="5555515A" w:rsidR="009304FE" w:rsidRDefault="0015423F" w:rsidP="004E64B8">
      <w:pPr>
        <w:tabs>
          <w:tab w:val="left" w:pos="-720"/>
        </w:tabs>
        <w:suppressAutoHyphens/>
        <w:contextualSpacing/>
        <w:rPr>
          <w:sz w:val="26"/>
          <w:szCs w:val="26"/>
        </w:rPr>
      </w:pPr>
      <w:r>
        <w:rPr>
          <w:sz w:val="26"/>
          <w:szCs w:val="26"/>
        </w:rPr>
        <w:t>Approval of Intercompany Restructu</w:t>
      </w:r>
      <w:r w:rsidR="00DD2733">
        <w:rPr>
          <w:sz w:val="26"/>
          <w:szCs w:val="26"/>
        </w:rPr>
        <w:t>ring</w:t>
      </w:r>
      <w:r w:rsidR="00F038D2">
        <w:rPr>
          <w:sz w:val="26"/>
          <w:szCs w:val="26"/>
        </w:rPr>
        <w:t xml:space="preserve"> </w:t>
      </w:r>
    </w:p>
    <w:p w14:paraId="759CE2BA" w14:textId="0BDF39A8" w:rsidR="00FD428B" w:rsidRDefault="00FD428B" w:rsidP="002A2159">
      <w:pPr>
        <w:tabs>
          <w:tab w:val="left" w:pos="-720"/>
        </w:tabs>
        <w:suppressAutoHyphens/>
        <w:contextualSpacing/>
        <w:rPr>
          <w:sz w:val="26"/>
          <w:szCs w:val="26"/>
        </w:rPr>
      </w:pPr>
      <w:r>
        <w:rPr>
          <w:sz w:val="26"/>
          <w:szCs w:val="26"/>
        </w:rPr>
        <w:tab/>
      </w:r>
      <w:r>
        <w:rPr>
          <w:sz w:val="26"/>
          <w:szCs w:val="26"/>
        </w:rPr>
        <w:tab/>
        <w:t xml:space="preserve"> </w:t>
      </w:r>
    </w:p>
    <w:p w14:paraId="1EB2E0C0" w14:textId="77777777" w:rsidR="00FD428B" w:rsidRDefault="00FD428B" w:rsidP="004E64B8">
      <w:pPr>
        <w:tabs>
          <w:tab w:val="left" w:pos="-720"/>
        </w:tabs>
        <w:suppressAutoHyphens/>
        <w:contextualSpacing/>
        <w:rPr>
          <w:sz w:val="26"/>
          <w:szCs w:val="26"/>
        </w:rPr>
      </w:pPr>
    </w:p>
    <w:p w14:paraId="4F64DDDF" w14:textId="77777777" w:rsidR="003E4FFA" w:rsidRPr="004E64B8" w:rsidRDefault="003E4FFA" w:rsidP="004E64B8">
      <w:pPr>
        <w:tabs>
          <w:tab w:val="left" w:pos="-720"/>
        </w:tabs>
        <w:suppressAutoHyphens/>
        <w:contextualSpacing/>
        <w:rPr>
          <w:sz w:val="26"/>
          <w:szCs w:val="26"/>
        </w:rPr>
      </w:pPr>
    </w:p>
    <w:p w14:paraId="6BA08FB9" w14:textId="04565DEB" w:rsidR="009304FE" w:rsidRPr="004E64B8" w:rsidRDefault="009304FE" w:rsidP="004E64B8">
      <w:pPr>
        <w:tabs>
          <w:tab w:val="center" w:pos="4680"/>
        </w:tabs>
        <w:suppressAutoHyphens/>
        <w:contextualSpacing/>
        <w:jc w:val="center"/>
        <w:rPr>
          <w:b/>
          <w:sz w:val="26"/>
          <w:szCs w:val="26"/>
        </w:rPr>
      </w:pPr>
      <w:r w:rsidRPr="004E64B8">
        <w:rPr>
          <w:b/>
          <w:sz w:val="26"/>
          <w:szCs w:val="26"/>
        </w:rPr>
        <w:t>OPINION AND ORDER</w:t>
      </w:r>
    </w:p>
    <w:p w14:paraId="09B692A3" w14:textId="77777777" w:rsidR="00CA6BAF" w:rsidRPr="004E64B8" w:rsidRDefault="00CA6BAF" w:rsidP="00B62E2B">
      <w:pPr>
        <w:tabs>
          <w:tab w:val="left" w:pos="-720"/>
        </w:tabs>
        <w:suppressAutoHyphens/>
        <w:spacing w:line="480" w:lineRule="auto"/>
        <w:contextualSpacing/>
        <w:rPr>
          <w:b/>
          <w:sz w:val="26"/>
          <w:szCs w:val="26"/>
        </w:rPr>
      </w:pPr>
    </w:p>
    <w:p w14:paraId="3C243661" w14:textId="77777777" w:rsidR="009304FE" w:rsidRPr="004E64B8" w:rsidRDefault="009304FE" w:rsidP="004E64B8">
      <w:pPr>
        <w:tabs>
          <w:tab w:val="left" w:pos="-720"/>
        </w:tabs>
        <w:suppressAutoHyphens/>
        <w:spacing w:line="360" w:lineRule="auto"/>
        <w:contextualSpacing/>
        <w:rPr>
          <w:sz w:val="26"/>
          <w:szCs w:val="26"/>
        </w:rPr>
      </w:pPr>
      <w:r w:rsidRPr="004E64B8">
        <w:rPr>
          <w:b/>
          <w:sz w:val="26"/>
          <w:szCs w:val="26"/>
        </w:rPr>
        <w:t>BY THE COMMISSION:</w:t>
      </w:r>
    </w:p>
    <w:p w14:paraId="544705CC" w14:textId="77777777" w:rsidR="009304FE" w:rsidRPr="004E64B8" w:rsidRDefault="009304FE" w:rsidP="004E64B8">
      <w:pPr>
        <w:contextualSpacing/>
        <w:rPr>
          <w:sz w:val="26"/>
          <w:szCs w:val="26"/>
        </w:rPr>
      </w:pPr>
    </w:p>
    <w:p w14:paraId="1688CBC8" w14:textId="16A03EF1" w:rsidR="006E00EB" w:rsidRPr="008738C7" w:rsidRDefault="00AE655A" w:rsidP="008738C7">
      <w:pPr>
        <w:pStyle w:val="FootnoteText"/>
        <w:spacing w:before="0" w:after="0" w:line="360" w:lineRule="auto"/>
        <w:rPr>
          <w:rFonts w:ascii="Times New Roman" w:hAnsi="Times New Roman"/>
          <w:sz w:val="26"/>
          <w:szCs w:val="26"/>
        </w:rPr>
      </w:pPr>
      <w:r w:rsidRPr="004E64B8">
        <w:rPr>
          <w:sz w:val="26"/>
          <w:szCs w:val="26"/>
        </w:rPr>
        <w:tab/>
      </w:r>
      <w:r w:rsidRPr="004E64B8">
        <w:rPr>
          <w:sz w:val="26"/>
          <w:szCs w:val="26"/>
        </w:rPr>
        <w:tab/>
      </w:r>
      <w:r w:rsidR="003E4FFA" w:rsidRPr="008738C7">
        <w:rPr>
          <w:rFonts w:ascii="Times New Roman" w:hAnsi="Times New Roman"/>
          <w:sz w:val="26"/>
          <w:szCs w:val="26"/>
        </w:rPr>
        <w:t xml:space="preserve">Before the Pennsylvania Public Utility Commission (Commission) for consideration and disposition is the </w:t>
      </w:r>
      <w:r w:rsidR="007A31E4" w:rsidRPr="008738C7">
        <w:rPr>
          <w:rFonts w:ascii="Times New Roman" w:hAnsi="Times New Roman"/>
          <w:sz w:val="26"/>
          <w:szCs w:val="26"/>
        </w:rPr>
        <w:t xml:space="preserve">Joint </w:t>
      </w:r>
      <w:r w:rsidR="003E4FFA" w:rsidRPr="008738C7">
        <w:rPr>
          <w:rFonts w:ascii="Times New Roman" w:hAnsi="Times New Roman"/>
          <w:sz w:val="26"/>
          <w:szCs w:val="26"/>
        </w:rPr>
        <w:t xml:space="preserve">Petition </w:t>
      </w:r>
      <w:r w:rsidR="007A31E4" w:rsidRPr="008738C7">
        <w:rPr>
          <w:rFonts w:ascii="Times New Roman" w:hAnsi="Times New Roman"/>
          <w:sz w:val="26"/>
          <w:szCs w:val="26"/>
        </w:rPr>
        <w:t xml:space="preserve">for </w:t>
      </w:r>
      <w:r w:rsidR="00391865" w:rsidRPr="008738C7">
        <w:rPr>
          <w:rFonts w:ascii="Times New Roman" w:hAnsi="Times New Roman"/>
          <w:sz w:val="26"/>
          <w:szCs w:val="26"/>
        </w:rPr>
        <w:t xml:space="preserve">Approval of </w:t>
      </w:r>
      <w:r w:rsidR="007A31E4" w:rsidRPr="008738C7">
        <w:rPr>
          <w:rFonts w:ascii="Times New Roman" w:hAnsi="Times New Roman"/>
          <w:sz w:val="26"/>
          <w:szCs w:val="26"/>
        </w:rPr>
        <w:t xml:space="preserve">Settlement </w:t>
      </w:r>
      <w:r w:rsidR="008904A9" w:rsidRPr="008738C7">
        <w:rPr>
          <w:rFonts w:ascii="Times New Roman" w:hAnsi="Times New Roman"/>
          <w:sz w:val="26"/>
          <w:szCs w:val="26"/>
        </w:rPr>
        <w:t>(Settlement</w:t>
      </w:r>
      <w:r w:rsidR="00122D69" w:rsidRPr="008738C7">
        <w:rPr>
          <w:rFonts w:ascii="Times New Roman" w:hAnsi="Times New Roman"/>
          <w:sz w:val="26"/>
          <w:szCs w:val="26"/>
        </w:rPr>
        <w:t>, Settlement Agreement</w:t>
      </w:r>
      <w:r w:rsidR="008738C7" w:rsidRPr="008738C7">
        <w:rPr>
          <w:rFonts w:ascii="Times New Roman" w:hAnsi="Times New Roman"/>
          <w:sz w:val="26"/>
          <w:szCs w:val="26"/>
        </w:rPr>
        <w:t>,</w:t>
      </w:r>
      <w:r w:rsidR="008904A9" w:rsidRPr="008738C7">
        <w:rPr>
          <w:rFonts w:ascii="Times New Roman" w:hAnsi="Times New Roman"/>
          <w:sz w:val="26"/>
          <w:szCs w:val="26"/>
        </w:rPr>
        <w:t xml:space="preserve"> </w:t>
      </w:r>
      <w:r w:rsidR="00677B32" w:rsidRPr="008738C7">
        <w:rPr>
          <w:rFonts w:ascii="Times New Roman" w:hAnsi="Times New Roman"/>
          <w:sz w:val="26"/>
          <w:szCs w:val="26"/>
        </w:rPr>
        <w:t>or</w:t>
      </w:r>
      <w:r w:rsidR="00224283" w:rsidRPr="008738C7">
        <w:rPr>
          <w:rFonts w:ascii="Times New Roman" w:hAnsi="Times New Roman"/>
          <w:sz w:val="26"/>
          <w:szCs w:val="26"/>
        </w:rPr>
        <w:t xml:space="preserve"> Joint Petition</w:t>
      </w:r>
      <w:r w:rsidR="008904A9" w:rsidRPr="008738C7">
        <w:rPr>
          <w:rFonts w:ascii="Times New Roman" w:hAnsi="Times New Roman"/>
          <w:sz w:val="26"/>
          <w:szCs w:val="26"/>
        </w:rPr>
        <w:t xml:space="preserve">) </w:t>
      </w:r>
      <w:r w:rsidR="007A31E4" w:rsidRPr="008738C7">
        <w:rPr>
          <w:rFonts w:ascii="Times New Roman" w:hAnsi="Times New Roman"/>
          <w:sz w:val="26"/>
          <w:szCs w:val="26"/>
        </w:rPr>
        <w:t>filed on</w:t>
      </w:r>
      <w:r w:rsidR="00F0564A" w:rsidRPr="008738C7">
        <w:rPr>
          <w:rFonts w:ascii="Times New Roman" w:hAnsi="Times New Roman"/>
          <w:sz w:val="26"/>
          <w:szCs w:val="26"/>
        </w:rPr>
        <w:t xml:space="preserve"> May 14</w:t>
      </w:r>
      <w:r w:rsidR="007A31E4" w:rsidRPr="008738C7">
        <w:rPr>
          <w:rFonts w:ascii="Times New Roman" w:hAnsi="Times New Roman"/>
          <w:sz w:val="26"/>
          <w:szCs w:val="26"/>
        </w:rPr>
        <w:t>, 20</w:t>
      </w:r>
      <w:r w:rsidR="00F0564A" w:rsidRPr="008738C7">
        <w:rPr>
          <w:rFonts w:ascii="Times New Roman" w:hAnsi="Times New Roman"/>
          <w:sz w:val="26"/>
          <w:szCs w:val="26"/>
        </w:rPr>
        <w:t>21</w:t>
      </w:r>
      <w:r w:rsidR="007A31E4" w:rsidRPr="008738C7">
        <w:rPr>
          <w:rFonts w:ascii="Times New Roman" w:hAnsi="Times New Roman"/>
          <w:sz w:val="26"/>
          <w:szCs w:val="26"/>
        </w:rPr>
        <w:t xml:space="preserve">, by </w:t>
      </w:r>
      <w:r w:rsidR="007022A4" w:rsidRPr="008738C7">
        <w:rPr>
          <w:rFonts w:ascii="Times New Roman" w:hAnsi="Times New Roman"/>
          <w:sz w:val="26"/>
          <w:szCs w:val="26"/>
        </w:rPr>
        <w:t>PPL Electric Utilities Corporation (PPL)</w:t>
      </w:r>
      <w:r w:rsidR="00BA1DA7" w:rsidRPr="008738C7">
        <w:rPr>
          <w:rFonts w:ascii="Times New Roman" w:hAnsi="Times New Roman"/>
          <w:sz w:val="26"/>
          <w:szCs w:val="26"/>
        </w:rPr>
        <w:t>, the Commission’s Bureau of Investigation and Enforcement (I&amp;E)</w:t>
      </w:r>
      <w:r w:rsidR="00790F45" w:rsidRPr="008738C7">
        <w:rPr>
          <w:rFonts w:ascii="Times New Roman" w:hAnsi="Times New Roman"/>
          <w:sz w:val="26"/>
          <w:szCs w:val="26"/>
        </w:rPr>
        <w:t xml:space="preserve"> and the </w:t>
      </w:r>
      <w:r w:rsidR="00937FEC" w:rsidRPr="008738C7">
        <w:rPr>
          <w:rFonts w:ascii="Times New Roman" w:hAnsi="Times New Roman"/>
          <w:sz w:val="26"/>
          <w:szCs w:val="26"/>
        </w:rPr>
        <w:t>Office of Small Business Advocate (OSBA)</w:t>
      </w:r>
      <w:r w:rsidR="00706323" w:rsidRPr="008738C7">
        <w:rPr>
          <w:rFonts w:ascii="Times New Roman" w:hAnsi="Times New Roman"/>
          <w:sz w:val="26"/>
          <w:szCs w:val="26"/>
        </w:rPr>
        <w:t xml:space="preserve"> </w:t>
      </w:r>
      <w:r w:rsidR="004B5344" w:rsidRPr="008738C7">
        <w:rPr>
          <w:rFonts w:ascii="Times New Roman" w:hAnsi="Times New Roman"/>
          <w:sz w:val="26"/>
          <w:szCs w:val="26"/>
        </w:rPr>
        <w:t xml:space="preserve">(Joint Petitioners or </w:t>
      </w:r>
      <w:r w:rsidR="00706323" w:rsidRPr="008738C7">
        <w:rPr>
          <w:rFonts w:ascii="Times New Roman" w:hAnsi="Times New Roman"/>
          <w:sz w:val="26"/>
          <w:szCs w:val="26"/>
        </w:rPr>
        <w:t xml:space="preserve">Settling </w:t>
      </w:r>
      <w:r w:rsidR="004B5344" w:rsidRPr="008738C7">
        <w:rPr>
          <w:rFonts w:ascii="Times New Roman" w:hAnsi="Times New Roman"/>
          <w:sz w:val="26"/>
          <w:szCs w:val="26"/>
        </w:rPr>
        <w:t>Parties)</w:t>
      </w:r>
      <w:r w:rsidR="003E4FFA" w:rsidRPr="008738C7">
        <w:rPr>
          <w:rFonts w:ascii="Times New Roman" w:hAnsi="Times New Roman"/>
          <w:sz w:val="26"/>
          <w:szCs w:val="26"/>
        </w:rPr>
        <w:t xml:space="preserve">.  </w:t>
      </w:r>
      <w:r w:rsidR="00C15D71" w:rsidRPr="008738C7">
        <w:rPr>
          <w:rFonts w:ascii="Times New Roman" w:hAnsi="Times New Roman"/>
          <w:sz w:val="26"/>
          <w:szCs w:val="26"/>
        </w:rPr>
        <w:t>On</w:t>
      </w:r>
      <w:r w:rsidR="003D426F" w:rsidRPr="008738C7">
        <w:rPr>
          <w:rFonts w:ascii="Times New Roman" w:hAnsi="Times New Roman"/>
          <w:sz w:val="26"/>
          <w:szCs w:val="26"/>
        </w:rPr>
        <w:t xml:space="preserve"> June 24</w:t>
      </w:r>
      <w:r w:rsidR="00C15D71" w:rsidRPr="008738C7">
        <w:rPr>
          <w:rFonts w:ascii="Times New Roman" w:hAnsi="Times New Roman"/>
          <w:sz w:val="26"/>
          <w:szCs w:val="26"/>
        </w:rPr>
        <w:t>, 20</w:t>
      </w:r>
      <w:r w:rsidR="003D426F" w:rsidRPr="008738C7">
        <w:rPr>
          <w:rFonts w:ascii="Times New Roman" w:hAnsi="Times New Roman"/>
          <w:sz w:val="26"/>
          <w:szCs w:val="26"/>
        </w:rPr>
        <w:t>21</w:t>
      </w:r>
      <w:r w:rsidR="00C15D71" w:rsidRPr="008738C7">
        <w:rPr>
          <w:rFonts w:ascii="Times New Roman" w:hAnsi="Times New Roman"/>
          <w:sz w:val="26"/>
          <w:szCs w:val="26"/>
        </w:rPr>
        <w:t xml:space="preserve">, </w:t>
      </w:r>
      <w:r w:rsidR="003E78A1" w:rsidRPr="008738C7">
        <w:rPr>
          <w:rFonts w:ascii="Times New Roman" w:hAnsi="Times New Roman"/>
          <w:sz w:val="26"/>
          <w:szCs w:val="26"/>
        </w:rPr>
        <w:t>the Commission issued the</w:t>
      </w:r>
      <w:r w:rsidR="00A63D74" w:rsidRPr="008738C7">
        <w:rPr>
          <w:rFonts w:ascii="Times New Roman" w:hAnsi="Times New Roman"/>
          <w:sz w:val="26"/>
          <w:szCs w:val="26"/>
        </w:rPr>
        <w:t xml:space="preserve"> </w:t>
      </w:r>
      <w:r w:rsidR="007B7B47" w:rsidRPr="008738C7">
        <w:rPr>
          <w:rFonts w:ascii="Times New Roman" w:hAnsi="Times New Roman"/>
          <w:sz w:val="26"/>
          <w:szCs w:val="26"/>
        </w:rPr>
        <w:t>Recommended</w:t>
      </w:r>
      <w:r w:rsidR="00A63D74" w:rsidRPr="008738C7">
        <w:rPr>
          <w:rFonts w:ascii="Times New Roman" w:hAnsi="Times New Roman"/>
          <w:sz w:val="26"/>
          <w:szCs w:val="26"/>
        </w:rPr>
        <w:t xml:space="preserve"> </w:t>
      </w:r>
      <w:r w:rsidR="003E78A1" w:rsidRPr="008738C7">
        <w:rPr>
          <w:rFonts w:ascii="Times New Roman" w:hAnsi="Times New Roman"/>
          <w:sz w:val="26"/>
          <w:szCs w:val="26"/>
        </w:rPr>
        <w:t xml:space="preserve">Decision </w:t>
      </w:r>
      <w:r w:rsidR="001B1A3A" w:rsidRPr="008738C7">
        <w:rPr>
          <w:rFonts w:ascii="Times New Roman" w:hAnsi="Times New Roman"/>
          <w:sz w:val="26"/>
          <w:szCs w:val="26"/>
        </w:rPr>
        <w:t>on Remand (Recommended Decision</w:t>
      </w:r>
      <w:r w:rsidR="0088039B" w:rsidRPr="008738C7">
        <w:rPr>
          <w:rFonts w:ascii="Times New Roman" w:hAnsi="Times New Roman"/>
          <w:sz w:val="26"/>
          <w:szCs w:val="26"/>
        </w:rPr>
        <w:t xml:space="preserve"> or R.D.</w:t>
      </w:r>
      <w:r w:rsidR="001B1A3A" w:rsidRPr="008738C7">
        <w:rPr>
          <w:rFonts w:ascii="Times New Roman" w:hAnsi="Times New Roman"/>
          <w:sz w:val="26"/>
          <w:szCs w:val="26"/>
        </w:rPr>
        <w:t xml:space="preserve">) </w:t>
      </w:r>
      <w:r w:rsidR="003E78A1" w:rsidRPr="008738C7">
        <w:rPr>
          <w:rFonts w:ascii="Times New Roman" w:hAnsi="Times New Roman"/>
          <w:sz w:val="26"/>
          <w:szCs w:val="26"/>
        </w:rPr>
        <w:t xml:space="preserve">of </w:t>
      </w:r>
      <w:r w:rsidR="00B670A7" w:rsidRPr="008738C7">
        <w:rPr>
          <w:rFonts w:ascii="Times New Roman" w:hAnsi="Times New Roman"/>
          <w:sz w:val="26"/>
          <w:szCs w:val="26"/>
        </w:rPr>
        <w:t xml:space="preserve">Deputy Chief </w:t>
      </w:r>
      <w:r w:rsidR="00E4224E" w:rsidRPr="008738C7">
        <w:rPr>
          <w:rFonts w:ascii="Times New Roman" w:hAnsi="Times New Roman"/>
          <w:sz w:val="26"/>
          <w:szCs w:val="26"/>
        </w:rPr>
        <w:t>Administrative Law Judge</w:t>
      </w:r>
      <w:r w:rsidR="00B670A7" w:rsidRPr="008738C7">
        <w:rPr>
          <w:rFonts w:ascii="Times New Roman" w:hAnsi="Times New Roman"/>
          <w:sz w:val="26"/>
          <w:szCs w:val="26"/>
        </w:rPr>
        <w:t xml:space="preserve"> (ALJ)</w:t>
      </w:r>
      <w:r w:rsidR="008904A9" w:rsidRPr="008738C7">
        <w:rPr>
          <w:rFonts w:ascii="Times New Roman" w:hAnsi="Times New Roman"/>
          <w:sz w:val="26"/>
          <w:szCs w:val="26"/>
        </w:rPr>
        <w:t xml:space="preserve"> </w:t>
      </w:r>
      <w:r w:rsidR="003C0D77" w:rsidRPr="008738C7">
        <w:rPr>
          <w:rFonts w:ascii="Times New Roman" w:hAnsi="Times New Roman"/>
          <w:sz w:val="26"/>
          <w:szCs w:val="26"/>
        </w:rPr>
        <w:t>Joel</w:t>
      </w:r>
      <w:r w:rsidR="00791F04" w:rsidRPr="008738C7">
        <w:rPr>
          <w:rFonts w:ascii="Times New Roman" w:hAnsi="Times New Roman"/>
          <w:sz w:val="26"/>
          <w:szCs w:val="26"/>
        </w:rPr>
        <w:t> </w:t>
      </w:r>
      <w:r w:rsidR="008904A9" w:rsidRPr="008738C7">
        <w:rPr>
          <w:rFonts w:ascii="Times New Roman" w:hAnsi="Times New Roman"/>
          <w:sz w:val="26"/>
          <w:szCs w:val="26"/>
        </w:rPr>
        <w:t>H.</w:t>
      </w:r>
      <w:r w:rsidR="003C0D77" w:rsidRPr="008738C7">
        <w:rPr>
          <w:rFonts w:ascii="Times New Roman" w:hAnsi="Times New Roman"/>
          <w:sz w:val="26"/>
          <w:szCs w:val="26"/>
        </w:rPr>
        <w:t xml:space="preserve"> Cheskis</w:t>
      </w:r>
      <w:r w:rsidR="008904A9" w:rsidRPr="008738C7">
        <w:rPr>
          <w:rFonts w:ascii="Times New Roman" w:hAnsi="Times New Roman"/>
          <w:sz w:val="26"/>
          <w:szCs w:val="26"/>
        </w:rPr>
        <w:t xml:space="preserve"> approving the Settlement</w:t>
      </w:r>
      <w:r w:rsidR="00E4224E" w:rsidRPr="008738C7">
        <w:rPr>
          <w:rFonts w:ascii="Times New Roman" w:hAnsi="Times New Roman"/>
          <w:sz w:val="26"/>
          <w:szCs w:val="26"/>
        </w:rPr>
        <w:t xml:space="preserve">.  </w:t>
      </w:r>
      <w:r w:rsidR="00700E59" w:rsidRPr="008738C7">
        <w:rPr>
          <w:rFonts w:ascii="Times New Roman" w:hAnsi="Times New Roman"/>
          <w:sz w:val="26"/>
          <w:szCs w:val="26"/>
        </w:rPr>
        <w:t>Exceptions have not been filed.</w:t>
      </w:r>
      <w:r w:rsidR="006E00EB" w:rsidRPr="008738C7">
        <w:rPr>
          <w:rFonts w:ascii="Times New Roman" w:hAnsi="Times New Roman"/>
          <w:sz w:val="26"/>
          <w:szCs w:val="26"/>
        </w:rPr>
        <w:t xml:space="preserve">  However, on June 30, 2021, PPL filed a letter (PPL Letter) stating that while it will not be filing Exceptions, it is proposing certain modifications to the Recommended Decision.</w:t>
      </w:r>
      <w:bookmarkStart w:id="0" w:name="_Hlk78900451"/>
      <w:r w:rsidR="00601497" w:rsidRPr="008738C7">
        <w:rPr>
          <w:rFonts w:ascii="Times New Roman" w:hAnsi="Times New Roman"/>
          <w:sz w:val="26"/>
          <w:szCs w:val="26"/>
        </w:rPr>
        <w:t xml:space="preserve">  </w:t>
      </w:r>
      <w:r w:rsidR="006E00EB" w:rsidRPr="008738C7">
        <w:rPr>
          <w:rFonts w:ascii="Times New Roman" w:hAnsi="Times New Roman"/>
          <w:sz w:val="26"/>
          <w:szCs w:val="26"/>
        </w:rPr>
        <w:t xml:space="preserve">For the </w:t>
      </w:r>
      <w:r w:rsidR="006E00EB" w:rsidRPr="008738C7">
        <w:rPr>
          <w:rFonts w:ascii="Times New Roman" w:hAnsi="Times New Roman"/>
          <w:sz w:val="26"/>
          <w:szCs w:val="26"/>
        </w:rPr>
        <w:lastRenderedPageBreak/>
        <w:t>reasons stated below, we shall adopt the Recommended Decision, as modified by this Opinion and Order.</w:t>
      </w:r>
    </w:p>
    <w:p w14:paraId="1C9B5DEC" w14:textId="77777777" w:rsidR="008738C7" w:rsidRPr="008738C7" w:rsidRDefault="008738C7" w:rsidP="008738C7">
      <w:pPr>
        <w:pStyle w:val="FootnoteText"/>
        <w:spacing w:before="0" w:after="0" w:line="360" w:lineRule="auto"/>
        <w:rPr>
          <w:rFonts w:ascii="Times New Roman" w:hAnsi="Times New Roman"/>
          <w:sz w:val="26"/>
          <w:szCs w:val="26"/>
        </w:rPr>
      </w:pPr>
    </w:p>
    <w:bookmarkEnd w:id="0"/>
    <w:p w14:paraId="17AB9DC5" w14:textId="77777777" w:rsidR="009304FE" w:rsidRPr="008738C7" w:rsidRDefault="00F55BED" w:rsidP="008738C7">
      <w:pPr>
        <w:keepNext/>
        <w:keepLines/>
        <w:spacing w:line="360" w:lineRule="auto"/>
        <w:contextualSpacing/>
        <w:jc w:val="center"/>
        <w:rPr>
          <w:b/>
          <w:sz w:val="26"/>
          <w:szCs w:val="26"/>
        </w:rPr>
      </w:pPr>
      <w:r w:rsidRPr="008738C7">
        <w:rPr>
          <w:b/>
          <w:sz w:val="26"/>
          <w:szCs w:val="26"/>
        </w:rPr>
        <w:t>History of the Proceeding</w:t>
      </w:r>
    </w:p>
    <w:p w14:paraId="2DD03C46" w14:textId="77777777" w:rsidR="00BA5014" w:rsidRPr="008738C7" w:rsidRDefault="00BA5014" w:rsidP="008738C7">
      <w:pPr>
        <w:pStyle w:val="Default"/>
        <w:spacing w:line="360" w:lineRule="auto"/>
        <w:rPr>
          <w:sz w:val="26"/>
          <w:szCs w:val="26"/>
        </w:rPr>
      </w:pPr>
    </w:p>
    <w:p w14:paraId="3A8A34AA" w14:textId="5CA0EE3E" w:rsidR="00B70199" w:rsidRPr="008738C7" w:rsidRDefault="00BA5014" w:rsidP="008738C7">
      <w:pPr>
        <w:pStyle w:val="Default"/>
        <w:spacing w:line="360" w:lineRule="auto"/>
        <w:rPr>
          <w:rFonts w:eastAsia="Calibri"/>
          <w:sz w:val="26"/>
          <w:szCs w:val="26"/>
        </w:rPr>
      </w:pPr>
      <w:r w:rsidRPr="008738C7">
        <w:rPr>
          <w:sz w:val="26"/>
          <w:szCs w:val="26"/>
        </w:rPr>
        <w:t xml:space="preserve"> </w:t>
      </w:r>
      <w:r w:rsidRPr="008738C7">
        <w:rPr>
          <w:sz w:val="26"/>
          <w:szCs w:val="26"/>
        </w:rPr>
        <w:tab/>
      </w:r>
      <w:r w:rsidRPr="008738C7">
        <w:rPr>
          <w:sz w:val="26"/>
          <w:szCs w:val="26"/>
        </w:rPr>
        <w:tab/>
      </w:r>
      <w:r w:rsidR="00B70199" w:rsidRPr="008738C7">
        <w:rPr>
          <w:sz w:val="26"/>
          <w:szCs w:val="26"/>
        </w:rPr>
        <w:t xml:space="preserve"> On October 16, 2017, PPL filed with the Commission an application for approval of intercompany restructuring (Application) in which PPL is requesting approval of the corporate restructuring which would interject two new Delaware holding companies – PPL Subsidiary Holdings, LLC (Newco 1) and PPL Energy Holding, LLC (Newco 2) – between PPL and its current parent, PPL Corporation.</w:t>
      </w:r>
      <w:r w:rsidR="00171129" w:rsidRPr="008738C7">
        <w:rPr>
          <w:sz w:val="26"/>
          <w:szCs w:val="26"/>
        </w:rPr>
        <w:t xml:space="preserve">  </w:t>
      </w:r>
      <w:r w:rsidR="00B70199" w:rsidRPr="008738C7">
        <w:rPr>
          <w:sz w:val="26"/>
          <w:szCs w:val="26"/>
        </w:rPr>
        <w:t xml:space="preserve">The </w:t>
      </w:r>
      <w:r w:rsidR="00171129" w:rsidRPr="008738C7">
        <w:rPr>
          <w:sz w:val="26"/>
          <w:szCs w:val="26"/>
        </w:rPr>
        <w:t>A</w:t>
      </w:r>
      <w:r w:rsidR="00B70199" w:rsidRPr="008738C7">
        <w:rPr>
          <w:sz w:val="26"/>
          <w:szCs w:val="26"/>
        </w:rPr>
        <w:t>pplication was docketed at A-2017-2629534.</w:t>
      </w:r>
    </w:p>
    <w:p w14:paraId="129BEA10" w14:textId="77777777" w:rsidR="009F436B" w:rsidRPr="008738C7" w:rsidRDefault="009F436B" w:rsidP="008738C7">
      <w:pPr>
        <w:pStyle w:val="Default"/>
        <w:rPr>
          <w:sz w:val="26"/>
          <w:szCs w:val="26"/>
        </w:rPr>
      </w:pPr>
    </w:p>
    <w:p w14:paraId="2FC0F274" w14:textId="6BAB0535" w:rsidR="00274703" w:rsidRPr="008738C7" w:rsidRDefault="009F436B" w:rsidP="008738C7">
      <w:pPr>
        <w:pStyle w:val="Default"/>
        <w:spacing w:line="360" w:lineRule="auto"/>
        <w:rPr>
          <w:color w:val="auto"/>
          <w:sz w:val="26"/>
          <w:szCs w:val="26"/>
        </w:rPr>
      </w:pPr>
      <w:r w:rsidRPr="008738C7">
        <w:rPr>
          <w:sz w:val="26"/>
          <w:szCs w:val="26"/>
        </w:rPr>
        <w:t xml:space="preserve"> </w:t>
      </w:r>
      <w:r w:rsidR="009F0CB0" w:rsidRPr="008738C7">
        <w:rPr>
          <w:sz w:val="26"/>
          <w:szCs w:val="26"/>
        </w:rPr>
        <w:tab/>
      </w:r>
      <w:r w:rsidR="009F0CB0" w:rsidRPr="008738C7">
        <w:rPr>
          <w:sz w:val="26"/>
          <w:szCs w:val="26"/>
        </w:rPr>
        <w:tab/>
      </w:r>
      <w:r w:rsidRPr="008738C7">
        <w:rPr>
          <w:sz w:val="26"/>
          <w:szCs w:val="26"/>
        </w:rPr>
        <w:t xml:space="preserve">On November 21, 2017, the OSBA filed a </w:t>
      </w:r>
      <w:r w:rsidR="009F0CB0" w:rsidRPr="008738C7">
        <w:rPr>
          <w:sz w:val="26"/>
          <w:szCs w:val="26"/>
        </w:rPr>
        <w:t>N</w:t>
      </w:r>
      <w:r w:rsidRPr="008738C7">
        <w:rPr>
          <w:sz w:val="26"/>
          <w:szCs w:val="26"/>
        </w:rPr>
        <w:t xml:space="preserve">otice of </w:t>
      </w:r>
      <w:r w:rsidR="009F0CB0" w:rsidRPr="008738C7">
        <w:rPr>
          <w:sz w:val="26"/>
          <w:szCs w:val="26"/>
        </w:rPr>
        <w:t>I</w:t>
      </w:r>
      <w:r w:rsidRPr="008738C7">
        <w:rPr>
          <w:sz w:val="26"/>
          <w:szCs w:val="26"/>
        </w:rPr>
        <w:t xml:space="preserve">ntervention, </w:t>
      </w:r>
      <w:r w:rsidR="009F0CB0" w:rsidRPr="008738C7">
        <w:rPr>
          <w:sz w:val="26"/>
          <w:szCs w:val="26"/>
        </w:rPr>
        <w:t>P</w:t>
      </w:r>
      <w:r w:rsidRPr="008738C7">
        <w:rPr>
          <w:sz w:val="26"/>
          <w:szCs w:val="26"/>
        </w:rPr>
        <w:t xml:space="preserve">rotest and </w:t>
      </w:r>
      <w:r w:rsidR="009F0CB0" w:rsidRPr="008738C7">
        <w:rPr>
          <w:sz w:val="26"/>
          <w:szCs w:val="26"/>
        </w:rPr>
        <w:t>P</w:t>
      </w:r>
      <w:r w:rsidRPr="008738C7">
        <w:rPr>
          <w:sz w:val="26"/>
          <w:szCs w:val="26"/>
        </w:rPr>
        <w:t xml:space="preserve">ublic </w:t>
      </w:r>
      <w:r w:rsidR="009F0CB0" w:rsidRPr="008738C7">
        <w:rPr>
          <w:sz w:val="26"/>
          <w:szCs w:val="26"/>
        </w:rPr>
        <w:t>S</w:t>
      </w:r>
      <w:r w:rsidRPr="008738C7">
        <w:rPr>
          <w:sz w:val="26"/>
          <w:szCs w:val="26"/>
        </w:rPr>
        <w:t>tatement in response to the publication of the</w:t>
      </w:r>
      <w:r w:rsidR="00517EC5" w:rsidRPr="008738C7">
        <w:rPr>
          <w:sz w:val="26"/>
          <w:szCs w:val="26"/>
        </w:rPr>
        <w:t xml:space="preserve"> </w:t>
      </w:r>
      <w:r w:rsidR="00D314DA" w:rsidRPr="008738C7">
        <w:rPr>
          <w:sz w:val="26"/>
          <w:szCs w:val="26"/>
        </w:rPr>
        <w:t>A</w:t>
      </w:r>
      <w:r w:rsidRPr="008738C7">
        <w:rPr>
          <w:color w:val="auto"/>
          <w:sz w:val="26"/>
          <w:szCs w:val="26"/>
        </w:rPr>
        <w:t>pplication.</w:t>
      </w:r>
      <w:r w:rsidR="002E056E" w:rsidRPr="008738C7">
        <w:rPr>
          <w:color w:val="auto"/>
          <w:sz w:val="26"/>
          <w:szCs w:val="26"/>
        </w:rPr>
        <w:t xml:space="preserve">  </w:t>
      </w:r>
      <w:r w:rsidRPr="008738C7">
        <w:rPr>
          <w:color w:val="auto"/>
          <w:sz w:val="26"/>
          <w:szCs w:val="26"/>
        </w:rPr>
        <w:t>On November</w:t>
      </w:r>
      <w:r w:rsidR="000B16FE">
        <w:rPr>
          <w:color w:val="auto"/>
          <w:sz w:val="26"/>
          <w:szCs w:val="26"/>
        </w:rPr>
        <w:t> </w:t>
      </w:r>
      <w:r w:rsidRPr="008738C7">
        <w:rPr>
          <w:color w:val="auto"/>
          <w:sz w:val="26"/>
          <w:szCs w:val="26"/>
        </w:rPr>
        <w:t>22,</w:t>
      </w:r>
      <w:r w:rsidR="000B16FE">
        <w:rPr>
          <w:color w:val="auto"/>
          <w:sz w:val="26"/>
          <w:szCs w:val="26"/>
        </w:rPr>
        <w:t> </w:t>
      </w:r>
      <w:r w:rsidRPr="008738C7">
        <w:rPr>
          <w:color w:val="auto"/>
          <w:sz w:val="26"/>
          <w:szCs w:val="26"/>
        </w:rPr>
        <w:t xml:space="preserve">2017, </w:t>
      </w:r>
      <w:r w:rsidR="00D314DA" w:rsidRPr="008738C7">
        <w:rPr>
          <w:color w:val="auto"/>
          <w:sz w:val="26"/>
          <w:szCs w:val="26"/>
        </w:rPr>
        <w:t xml:space="preserve">the </w:t>
      </w:r>
      <w:r w:rsidR="005F3000" w:rsidRPr="008738C7">
        <w:rPr>
          <w:color w:val="auto"/>
          <w:sz w:val="26"/>
          <w:szCs w:val="26"/>
        </w:rPr>
        <w:t>Office of Consumer Advocate (</w:t>
      </w:r>
      <w:r w:rsidRPr="008738C7">
        <w:rPr>
          <w:color w:val="auto"/>
          <w:sz w:val="26"/>
          <w:szCs w:val="26"/>
        </w:rPr>
        <w:t>OC</w:t>
      </w:r>
      <w:r w:rsidR="00D314DA" w:rsidRPr="008738C7">
        <w:rPr>
          <w:color w:val="auto"/>
          <w:sz w:val="26"/>
          <w:szCs w:val="26"/>
        </w:rPr>
        <w:t>A</w:t>
      </w:r>
      <w:r w:rsidR="005F3000" w:rsidRPr="008738C7">
        <w:rPr>
          <w:color w:val="auto"/>
          <w:sz w:val="26"/>
          <w:szCs w:val="26"/>
        </w:rPr>
        <w:t>)</w:t>
      </w:r>
      <w:r w:rsidR="00D314DA" w:rsidRPr="008738C7">
        <w:rPr>
          <w:color w:val="auto"/>
          <w:sz w:val="26"/>
          <w:szCs w:val="26"/>
        </w:rPr>
        <w:t xml:space="preserve"> </w:t>
      </w:r>
      <w:r w:rsidRPr="008738C7">
        <w:rPr>
          <w:color w:val="auto"/>
          <w:sz w:val="26"/>
          <w:szCs w:val="26"/>
        </w:rPr>
        <w:t xml:space="preserve">filed a </w:t>
      </w:r>
      <w:r w:rsidR="00D314DA" w:rsidRPr="008738C7">
        <w:rPr>
          <w:color w:val="auto"/>
          <w:sz w:val="26"/>
          <w:szCs w:val="26"/>
        </w:rPr>
        <w:t>N</w:t>
      </w:r>
      <w:r w:rsidRPr="008738C7">
        <w:rPr>
          <w:color w:val="auto"/>
          <w:sz w:val="26"/>
          <w:szCs w:val="26"/>
        </w:rPr>
        <w:t xml:space="preserve">otice of </w:t>
      </w:r>
      <w:r w:rsidR="00D314DA" w:rsidRPr="008738C7">
        <w:rPr>
          <w:color w:val="auto"/>
          <w:sz w:val="26"/>
          <w:szCs w:val="26"/>
        </w:rPr>
        <w:t>I</w:t>
      </w:r>
      <w:r w:rsidRPr="008738C7">
        <w:rPr>
          <w:color w:val="auto"/>
          <w:sz w:val="26"/>
          <w:szCs w:val="26"/>
        </w:rPr>
        <w:t xml:space="preserve">ntervention and </w:t>
      </w:r>
      <w:r w:rsidR="00D314DA" w:rsidRPr="008738C7">
        <w:rPr>
          <w:color w:val="auto"/>
          <w:sz w:val="26"/>
          <w:szCs w:val="26"/>
        </w:rPr>
        <w:t>P</w:t>
      </w:r>
      <w:r w:rsidRPr="008738C7">
        <w:rPr>
          <w:color w:val="auto"/>
          <w:sz w:val="26"/>
          <w:szCs w:val="26"/>
        </w:rPr>
        <w:t xml:space="preserve">ublic </w:t>
      </w:r>
      <w:r w:rsidR="00D314DA" w:rsidRPr="008738C7">
        <w:rPr>
          <w:color w:val="auto"/>
          <w:sz w:val="26"/>
          <w:szCs w:val="26"/>
        </w:rPr>
        <w:t>S</w:t>
      </w:r>
      <w:r w:rsidRPr="008738C7">
        <w:rPr>
          <w:color w:val="auto"/>
          <w:sz w:val="26"/>
          <w:szCs w:val="26"/>
        </w:rPr>
        <w:t>tatement intervening into this matter.</w:t>
      </w:r>
      <w:r w:rsidR="00C50D86" w:rsidRPr="008738C7">
        <w:rPr>
          <w:color w:val="auto"/>
          <w:sz w:val="26"/>
          <w:szCs w:val="26"/>
        </w:rPr>
        <w:t xml:space="preserve">  </w:t>
      </w:r>
      <w:r w:rsidRPr="008738C7">
        <w:rPr>
          <w:color w:val="auto"/>
          <w:sz w:val="26"/>
          <w:szCs w:val="26"/>
        </w:rPr>
        <w:t>On December 1, 2017, I&amp;E</w:t>
      </w:r>
      <w:r w:rsidR="00F00ADE" w:rsidRPr="008738C7">
        <w:rPr>
          <w:color w:val="auto"/>
          <w:sz w:val="26"/>
          <w:szCs w:val="26"/>
        </w:rPr>
        <w:t xml:space="preserve"> </w:t>
      </w:r>
      <w:r w:rsidRPr="008738C7">
        <w:rPr>
          <w:color w:val="auto"/>
          <w:sz w:val="26"/>
          <w:szCs w:val="26"/>
        </w:rPr>
        <w:t>also entered an appearance.</w:t>
      </w:r>
    </w:p>
    <w:p w14:paraId="7F6BB431" w14:textId="61ECB0C3" w:rsidR="004B36F6" w:rsidRPr="008738C7" w:rsidRDefault="004B36F6" w:rsidP="008738C7">
      <w:pPr>
        <w:pStyle w:val="Default"/>
        <w:spacing w:line="360" w:lineRule="auto"/>
        <w:rPr>
          <w:color w:val="auto"/>
          <w:sz w:val="26"/>
          <w:szCs w:val="26"/>
        </w:rPr>
      </w:pPr>
    </w:p>
    <w:p w14:paraId="50461782" w14:textId="41EB0AD1" w:rsidR="004B36F6" w:rsidRPr="008738C7" w:rsidRDefault="004B36F6" w:rsidP="008738C7">
      <w:pPr>
        <w:pStyle w:val="Default"/>
        <w:spacing w:line="360" w:lineRule="auto"/>
        <w:ind w:firstLine="1440"/>
        <w:rPr>
          <w:sz w:val="26"/>
          <w:szCs w:val="26"/>
        </w:rPr>
      </w:pPr>
      <w:r w:rsidRPr="008738C7">
        <w:rPr>
          <w:sz w:val="26"/>
          <w:szCs w:val="26"/>
        </w:rPr>
        <w:t xml:space="preserve">On September 11, 2018, a Recommended Decision was issued recommending that the Application be denied because PPL failed to show that the proposed intercompany restructuring was necessary or proper for the service, accommodation, </w:t>
      </w:r>
      <w:proofErr w:type="gramStart"/>
      <w:r w:rsidRPr="008738C7">
        <w:rPr>
          <w:sz w:val="26"/>
          <w:szCs w:val="26"/>
        </w:rPr>
        <w:t>convenience</w:t>
      </w:r>
      <w:proofErr w:type="gramEnd"/>
      <w:r w:rsidRPr="008738C7">
        <w:rPr>
          <w:sz w:val="26"/>
          <w:szCs w:val="26"/>
        </w:rPr>
        <w:t xml:space="preserve"> or safety of the public pursuant to Section 1103 of the</w:t>
      </w:r>
      <w:r w:rsidR="005C2FD3" w:rsidRPr="008738C7">
        <w:rPr>
          <w:sz w:val="26"/>
          <w:szCs w:val="26"/>
        </w:rPr>
        <w:t xml:space="preserve"> </w:t>
      </w:r>
      <w:r w:rsidR="006E00EB" w:rsidRPr="008738C7">
        <w:rPr>
          <w:sz w:val="26"/>
          <w:szCs w:val="26"/>
        </w:rPr>
        <w:t>Public Utility Code (</w:t>
      </w:r>
      <w:r w:rsidRPr="008738C7">
        <w:rPr>
          <w:sz w:val="26"/>
          <w:szCs w:val="26"/>
        </w:rPr>
        <w:t>Code</w:t>
      </w:r>
      <w:r w:rsidR="006E00EB" w:rsidRPr="008738C7">
        <w:rPr>
          <w:sz w:val="26"/>
          <w:szCs w:val="26"/>
        </w:rPr>
        <w:t>)</w:t>
      </w:r>
      <w:r w:rsidRPr="008738C7">
        <w:rPr>
          <w:sz w:val="26"/>
          <w:szCs w:val="26"/>
        </w:rPr>
        <w:t>.</w:t>
      </w:r>
      <w:r w:rsidR="005C2FD3" w:rsidRPr="008738C7">
        <w:rPr>
          <w:sz w:val="26"/>
          <w:szCs w:val="26"/>
        </w:rPr>
        <w:t xml:space="preserve">  </w:t>
      </w:r>
      <w:r w:rsidRPr="008738C7">
        <w:rPr>
          <w:sz w:val="26"/>
          <w:szCs w:val="26"/>
        </w:rPr>
        <w:t>Exceptions to the Recommended Decision were filed by PPL on October 1, 2018</w:t>
      </w:r>
      <w:r w:rsidR="007306EF" w:rsidRPr="008738C7">
        <w:rPr>
          <w:sz w:val="26"/>
          <w:szCs w:val="26"/>
        </w:rPr>
        <w:t>,</w:t>
      </w:r>
      <w:r w:rsidRPr="008738C7">
        <w:rPr>
          <w:sz w:val="26"/>
          <w:szCs w:val="26"/>
        </w:rPr>
        <w:t xml:space="preserve"> and Reply Exceptions were filed by </w:t>
      </w:r>
      <w:r w:rsidR="00A723B2" w:rsidRPr="008738C7">
        <w:rPr>
          <w:sz w:val="26"/>
          <w:szCs w:val="26"/>
        </w:rPr>
        <w:t xml:space="preserve">the </w:t>
      </w:r>
      <w:r w:rsidRPr="008738C7">
        <w:rPr>
          <w:sz w:val="26"/>
          <w:szCs w:val="26"/>
        </w:rPr>
        <w:t>OSBA on October</w:t>
      </w:r>
      <w:r w:rsidR="000B16FE">
        <w:rPr>
          <w:sz w:val="26"/>
          <w:szCs w:val="26"/>
        </w:rPr>
        <w:t> </w:t>
      </w:r>
      <w:r w:rsidRPr="008738C7">
        <w:rPr>
          <w:sz w:val="26"/>
          <w:szCs w:val="26"/>
        </w:rPr>
        <w:t>11,</w:t>
      </w:r>
      <w:r w:rsidR="000B16FE">
        <w:rPr>
          <w:sz w:val="26"/>
          <w:szCs w:val="26"/>
        </w:rPr>
        <w:t> </w:t>
      </w:r>
      <w:r w:rsidRPr="008738C7">
        <w:rPr>
          <w:sz w:val="26"/>
          <w:szCs w:val="26"/>
        </w:rPr>
        <w:t>2018.</w:t>
      </w:r>
    </w:p>
    <w:p w14:paraId="26EB0E8A" w14:textId="1BFF9FE9" w:rsidR="004B5344" w:rsidRPr="008738C7" w:rsidRDefault="004B5344" w:rsidP="008738C7">
      <w:pPr>
        <w:pStyle w:val="Default"/>
        <w:spacing w:line="360" w:lineRule="auto"/>
        <w:ind w:firstLine="1440"/>
        <w:rPr>
          <w:sz w:val="26"/>
          <w:szCs w:val="26"/>
        </w:rPr>
      </w:pPr>
    </w:p>
    <w:p w14:paraId="38A676B3" w14:textId="465D859D" w:rsidR="004B5344" w:rsidRPr="008738C7" w:rsidRDefault="004B5344" w:rsidP="008738C7">
      <w:pPr>
        <w:pStyle w:val="Default"/>
        <w:spacing w:line="360" w:lineRule="auto"/>
        <w:ind w:firstLine="1440"/>
        <w:rPr>
          <w:sz w:val="26"/>
          <w:szCs w:val="26"/>
        </w:rPr>
      </w:pPr>
      <w:r w:rsidRPr="008738C7">
        <w:rPr>
          <w:sz w:val="26"/>
          <w:szCs w:val="26"/>
        </w:rPr>
        <w:t>By Opinion and Order entered April 25, 2019</w:t>
      </w:r>
      <w:r w:rsidR="00D01415" w:rsidRPr="008738C7">
        <w:rPr>
          <w:sz w:val="26"/>
          <w:szCs w:val="26"/>
        </w:rPr>
        <w:t xml:space="preserve"> </w:t>
      </w:r>
      <w:r w:rsidR="00D01415" w:rsidRPr="008738C7">
        <w:rPr>
          <w:i/>
          <w:iCs/>
          <w:sz w:val="26"/>
          <w:szCs w:val="26"/>
        </w:rPr>
        <w:t>(April 2019 Order)</w:t>
      </w:r>
      <w:r w:rsidRPr="008738C7">
        <w:rPr>
          <w:sz w:val="26"/>
          <w:szCs w:val="26"/>
        </w:rPr>
        <w:t>, the Commission denied PPL’s Exceptions and adopted the Recommended Decision.</w:t>
      </w:r>
      <w:r w:rsidR="00652AF7" w:rsidRPr="008738C7">
        <w:rPr>
          <w:sz w:val="26"/>
          <w:szCs w:val="26"/>
        </w:rPr>
        <w:t xml:space="preserve">  </w:t>
      </w:r>
      <w:r w:rsidRPr="008738C7">
        <w:rPr>
          <w:sz w:val="26"/>
          <w:szCs w:val="26"/>
        </w:rPr>
        <w:t>The Commission determined that the proposed restructuring required a</w:t>
      </w:r>
      <w:r w:rsidR="00120290" w:rsidRPr="008738C7">
        <w:rPr>
          <w:sz w:val="26"/>
          <w:szCs w:val="26"/>
        </w:rPr>
        <w:t xml:space="preserve"> certificate of public </w:t>
      </w:r>
      <w:r w:rsidR="00120290" w:rsidRPr="008738C7">
        <w:rPr>
          <w:sz w:val="26"/>
          <w:szCs w:val="26"/>
        </w:rPr>
        <w:lastRenderedPageBreak/>
        <w:t xml:space="preserve">convenience </w:t>
      </w:r>
      <w:r w:rsidRPr="008738C7">
        <w:rPr>
          <w:sz w:val="26"/>
          <w:szCs w:val="26"/>
        </w:rPr>
        <w:t xml:space="preserve">but determined that the proposed restructuring did not meet the substantial affirmative public benefit standard required to have a </w:t>
      </w:r>
      <w:r w:rsidR="00F506A3" w:rsidRPr="008738C7">
        <w:rPr>
          <w:sz w:val="26"/>
          <w:szCs w:val="26"/>
        </w:rPr>
        <w:t>c</w:t>
      </w:r>
      <w:r w:rsidRPr="008738C7">
        <w:rPr>
          <w:sz w:val="26"/>
          <w:szCs w:val="26"/>
        </w:rPr>
        <w:t>ertificate</w:t>
      </w:r>
      <w:r w:rsidR="00B6781B" w:rsidRPr="008738C7">
        <w:rPr>
          <w:sz w:val="26"/>
          <w:szCs w:val="26"/>
        </w:rPr>
        <w:t xml:space="preserve"> </w:t>
      </w:r>
      <w:r w:rsidR="00746F21" w:rsidRPr="008738C7">
        <w:rPr>
          <w:sz w:val="26"/>
          <w:szCs w:val="26"/>
        </w:rPr>
        <w:t xml:space="preserve">to </w:t>
      </w:r>
      <w:r w:rsidRPr="008738C7">
        <w:rPr>
          <w:sz w:val="26"/>
          <w:szCs w:val="26"/>
        </w:rPr>
        <w:t>be issued.</w:t>
      </w:r>
    </w:p>
    <w:p w14:paraId="37BAADA1" w14:textId="77777777" w:rsidR="00F01DD7" w:rsidRPr="008738C7" w:rsidRDefault="00F01DD7" w:rsidP="008738C7">
      <w:pPr>
        <w:pStyle w:val="Default"/>
        <w:spacing w:line="360" w:lineRule="auto"/>
        <w:ind w:firstLine="1440"/>
        <w:rPr>
          <w:sz w:val="26"/>
          <w:szCs w:val="26"/>
        </w:rPr>
      </w:pPr>
    </w:p>
    <w:p w14:paraId="7A25ECF0" w14:textId="0EBE53E1" w:rsidR="004B5344" w:rsidRPr="008738C7" w:rsidRDefault="009828CE" w:rsidP="008738C7">
      <w:pPr>
        <w:pStyle w:val="Default"/>
        <w:spacing w:line="360" w:lineRule="auto"/>
        <w:ind w:firstLine="1440"/>
        <w:rPr>
          <w:color w:val="auto"/>
          <w:sz w:val="26"/>
          <w:szCs w:val="26"/>
        </w:rPr>
      </w:pPr>
      <w:r w:rsidRPr="008738C7">
        <w:rPr>
          <w:sz w:val="26"/>
          <w:szCs w:val="26"/>
        </w:rPr>
        <w:t>On May 24, 2019, PPL filed a Petition for Review to the Commonwealth Court.  On June 24, 2019, the OSBA intervened in the appeal.</w:t>
      </w:r>
    </w:p>
    <w:p w14:paraId="2510C86A" w14:textId="0FE54C86" w:rsidR="00E944FB" w:rsidRPr="008738C7" w:rsidRDefault="00E944FB" w:rsidP="008738C7">
      <w:pPr>
        <w:pStyle w:val="Default"/>
        <w:rPr>
          <w:color w:val="auto"/>
          <w:sz w:val="26"/>
          <w:szCs w:val="26"/>
        </w:rPr>
      </w:pPr>
    </w:p>
    <w:p w14:paraId="6AB56521" w14:textId="77777777" w:rsidR="00E944FB" w:rsidRPr="008738C7" w:rsidRDefault="00E944FB" w:rsidP="008738C7">
      <w:pPr>
        <w:pStyle w:val="Default"/>
        <w:rPr>
          <w:sz w:val="26"/>
          <w:szCs w:val="26"/>
        </w:rPr>
      </w:pPr>
    </w:p>
    <w:p w14:paraId="3535B7FE" w14:textId="27D7ABD1" w:rsidR="00C83871" w:rsidRPr="008738C7" w:rsidRDefault="00C83871" w:rsidP="008738C7">
      <w:pPr>
        <w:spacing w:line="360" w:lineRule="auto"/>
        <w:ind w:firstLine="1440"/>
        <w:contextualSpacing/>
        <w:rPr>
          <w:sz w:val="26"/>
          <w:szCs w:val="26"/>
        </w:rPr>
      </w:pPr>
      <w:r w:rsidRPr="008738C7">
        <w:rPr>
          <w:sz w:val="26"/>
          <w:szCs w:val="26"/>
        </w:rPr>
        <w:t xml:space="preserve">On October 27, 2020, the Commonwealth Court issued a decision, </w:t>
      </w:r>
      <w:r w:rsidRPr="008738C7">
        <w:rPr>
          <w:i/>
          <w:iCs/>
          <w:sz w:val="26"/>
          <w:szCs w:val="26"/>
        </w:rPr>
        <w:t>infra</w:t>
      </w:r>
      <w:r w:rsidRPr="008738C7">
        <w:rPr>
          <w:sz w:val="26"/>
          <w:szCs w:val="26"/>
        </w:rPr>
        <w:t xml:space="preserve">, affirming in part and reversing and remanding in part the Commission’s </w:t>
      </w:r>
      <w:r w:rsidR="00114E26" w:rsidRPr="008738C7">
        <w:rPr>
          <w:i/>
          <w:iCs/>
          <w:sz w:val="26"/>
          <w:szCs w:val="26"/>
        </w:rPr>
        <w:t>April 2019 Order</w:t>
      </w:r>
      <w:r w:rsidRPr="008738C7">
        <w:rPr>
          <w:sz w:val="26"/>
          <w:szCs w:val="26"/>
        </w:rPr>
        <w:t>.</w:t>
      </w:r>
      <w:r w:rsidR="007866EF" w:rsidRPr="008738C7">
        <w:rPr>
          <w:sz w:val="26"/>
          <w:szCs w:val="26"/>
        </w:rPr>
        <w:t xml:space="preserve">  </w:t>
      </w:r>
      <w:r w:rsidRPr="008738C7">
        <w:rPr>
          <w:sz w:val="26"/>
          <w:szCs w:val="26"/>
        </w:rPr>
        <w:t xml:space="preserve">In doing so, the Court determined that the Commission correctly held that a </w:t>
      </w:r>
      <w:r w:rsidR="00F2325E" w:rsidRPr="008738C7">
        <w:rPr>
          <w:sz w:val="26"/>
          <w:szCs w:val="26"/>
        </w:rPr>
        <w:t>c</w:t>
      </w:r>
      <w:r w:rsidRPr="008738C7">
        <w:rPr>
          <w:sz w:val="26"/>
          <w:szCs w:val="26"/>
        </w:rPr>
        <w:t>ertificate</w:t>
      </w:r>
      <w:r w:rsidR="00207B83" w:rsidRPr="008738C7">
        <w:rPr>
          <w:sz w:val="26"/>
          <w:szCs w:val="26"/>
        </w:rPr>
        <w:t xml:space="preserve"> </w:t>
      </w:r>
      <w:r w:rsidR="00F2325E" w:rsidRPr="008738C7">
        <w:rPr>
          <w:sz w:val="26"/>
          <w:szCs w:val="26"/>
        </w:rPr>
        <w:t xml:space="preserve">of public convenience </w:t>
      </w:r>
      <w:r w:rsidR="00207B83" w:rsidRPr="008738C7">
        <w:rPr>
          <w:sz w:val="26"/>
          <w:szCs w:val="26"/>
        </w:rPr>
        <w:t xml:space="preserve">was required for PPL to complete the proposed transaction but that the Commission applied the wrong standard when adjudicating whether the </w:t>
      </w:r>
      <w:r w:rsidR="008A6E9F" w:rsidRPr="008738C7">
        <w:rPr>
          <w:sz w:val="26"/>
          <w:szCs w:val="26"/>
        </w:rPr>
        <w:t>A</w:t>
      </w:r>
      <w:r w:rsidR="00207B83" w:rsidRPr="008738C7">
        <w:rPr>
          <w:sz w:val="26"/>
          <w:szCs w:val="26"/>
        </w:rPr>
        <w:t>pplication should be approved.</w:t>
      </w:r>
      <w:r w:rsidR="008A6E9F" w:rsidRPr="008738C7">
        <w:rPr>
          <w:sz w:val="26"/>
          <w:szCs w:val="26"/>
        </w:rPr>
        <w:t xml:space="preserve">  </w:t>
      </w:r>
      <w:r w:rsidR="00207B83" w:rsidRPr="008738C7">
        <w:rPr>
          <w:sz w:val="26"/>
          <w:szCs w:val="26"/>
        </w:rPr>
        <w:t>The Court remanded the</w:t>
      </w:r>
      <w:r w:rsidR="003319BB" w:rsidRPr="008738C7">
        <w:rPr>
          <w:sz w:val="26"/>
          <w:szCs w:val="26"/>
        </w:rPr>
        <w:t xml:space="preserve"> matter </w:t>
      </w:r>
      <w:r w:rsidR="00207B83" w:rsidRPr="008738C7">
        <w:rPr>
          <w:sz w:val="26"/>
          <w:szCs w:val="26"/>
        </w:rPr>
        <w:t>so that the correct standard could be applied.</w:t>
      </w:r>
    </w:p>
    <w:p w14:paraId="380CE8E5" w14:textId="624F670A" w:rsidR="00E12308" w:rsidRPr="008738C7" w:rsidRDefault="00E12308" w:rsidP="008738C7">
      <w:pPr>
        <w:spacing w:line="360" w:lineRule="auto"/>
        <w:ind w:firstLine="1440"/>
        <w:contextualSpacing/>
        <w:rPr>
          <w:sz w:val="26"/>
          <w:szCs w:val="26"/>
        </w:rPr>
      </w:pPr>
    </w:p>
    <w:p w14:paraId="1B30E046" w14:textId="17BC08AF" w:rsidR="00E12308" w:rsidRPr="008738C7" w:rsidRDefault="00E12308" w:rsidP="008738C7">
      <w:pPr>
        <w:spacing w:line="360" w:lineRule="auto"/>
        <w:ind w:firstLine="1440"/>
        <w:contextualSpacing/>
        <w:rPr>
          <w:sz w:val="26"/>
          <w:szCs w:val="26"/>
        </w:rPr>
      </w:pPr>
      <w:bookmarkStart w:id="1" w:name="_Hlk79409199"/>
      <w:r w:rsidRPr="008738C7">
        <w:rPr>
          <w:sz w:val="26"/>
          <w:szCs w:val="26"/>
        </w:rPr>
        <w:t>Therefore, on January 12, 2021, a further prehearing conference notice was issued setting a call-in further prehearing conference for th</w:t>
      </w:r>
      <w:r w:rsidR="00D37BF8" w:rsidRPr="008738C7">
        <w:rPr>
          <w:sz w:val="26"/>
          <w:szCs w:val="26"/>
        </w:rPr>
        <w:t>e</w:t>
      </w:r>
      <w:r w:rsidRPr="008738C7">
        <w:rPr>
          <w:sz w:val="26"/>
          <w:szCs w:val="26"/>
        </w:rPr>
        <w:t xml:space="preserve"> remanded matter for Wednesday, February 24, 2021</w:t>
      </w:r>
      <w:r w:rsidR="00F94A4D" w:rsidRPr="008738C7">
        <w:rPr>
          <w:sz w:val="26"/>
          <w:szCs w:val="26"/>
        </w:rPr>
        <w:t>,</w:t>
      </w:r>
      <w:r w:rsidRPr="008738C7">
        <w:rPr>
          <w:sz w:val="26"/>
          <w:szCs w:val="26"/>
        </w:rPr>
        <w:t xml:space="preserve"> and assigning ALJ Cheskis as the presiding officer.  </w:t>
      </w:r>
      <w:bookmarkEnd w:id="1"/>
      <w:r w:rsidRPr="008738C7">
        <w:rPr>
          <w:sz w:val="26"/>
          <w:szCs w:val="26"/>
        </w:rPr>
        <w:t>In anticipation of that prehearing conference, a further prehearing order was issued on January 12, 2021.</w:t>
      </w:r>
      <w:r w:rsidR="00F94A4D" w:rsidRPr="008738C7">
        <w:rPr>
          <w:sz w:val="26"/>
          <w:szCs w:val="26"/>
        </w:rPr>
        <w:t xml:space="preserve">  </w:t>
      </w:r>
      <w:r w:rsidRPr="008738C7">
        <w:rPr>
          <w:sz w:val="26"/>
          <w:szCs w:val="26"/>
        </w:rPr>
        <w:t>Following that prehearing conference, a second scheduling order was</w:t>
      </w:r>
      <w:r w:rsidR="00B62E2B">
        <w:rPr>
          <w:sz w:val="26"/>
          <w:szCs w:val="26"/>
        </w:rPr>
        <w:t xml:space="preserve"> </w:t>
      </w:r>
      <w:r w:rsidRPr="008738C7">
        <w:rPr>
          <w:sz w:val="26"/>
          <w:szCs w:val="26"/>
        </w:rPr>
        <w:t>issued on February 24, 2021</w:t>
      </w:r>
      <w:r w:rsidR="00F94A4D" w:rsidRPr="008738C7">
        <w:rPr>
          <w:sz w:val="26"/>
          <w:szCs w:val="26"/>
        </w:rPr>
        <w:t>,</w:t>
      </w:r>
      <w:r w:rsidRPr="008738C7">
        <w:rPr>
          <w:sz w:val="26"/>
          <w:szCs w:val="26"/>
        </w:rPr>
        <w:t xml:space="preserve"> memorializing the procedural schedule agreed to by the </w:t>
      </w:r>
      <w:r w:rsidR="00913AAB" w:rsidRPr="008738C7">
        <w:rPr>
          <w:sz w:val="26"/>
          <w:szCs w:val="26"/>
        </w:rPr>
        <w:t>P</w:t>
      </w:r>
      <w:r w:rsidRPr="008738C7">
        <w:rPr>
          <w:sz w:val="26"/>
          <w:szCs w:val="26"/>
        </w:rPr>
        <w:t>arties.</w:t>
      </w:r>
    </w:p>
    <w:p w14:paraId="10DCB992" w14:textId="7EC7C697" w:rsidR="00E47AFB" w:rsidRPr="008738C7" w:rsidRDefault="00E47AFB" w:rsidP="008738C7">
      <w:pPr>
        <w:spacing w:line="360" w:lineRule="auto"/>
        <w:ind w:firstLine="1440"/>
        <w:contextualSpacing/>
        <w:rPr>
          <w:sz w:val="26"/>
          <w:szCs w:val="26"/>
        </w:rPr>
      </w:pPr>
    </w:p>
    <w:p w14:paraId="511A83AB" w14:textId="090667A9" w:rsidR="00E47AFB" w:rsidRPr="008738C7" w:rsidRDefault="00E47AFB" w:rsidP="008738C7">
      <w:pPr>
        <w:spacing w:line="360" w:lineRule="auto"/>
        <w:ind w:firstLine="1440"/>
        <w:contextualSpacing/>
        <w:rPr>
          <w:sz w:val="26"/>
          <w:szCs w:val="26"/>
        </w:rPr>
      </w:pPr>
      <w:r w:rsidRPr="008738C7">
        <w:rPr>
          <w:sz w:val="26"/>
          <w:szCs w:val="26"/>
        </w:rPr>
        <w:t xml:space="preserve">Pursuant to the second scheduling order, PPL submitted supplemental direct testimony on March 30, 2021.  The </w:t>
      </w:r>
      <w:r w:rsidR="00CF3B60" w:rsidRPr="008738C7">
        <w:rPr>
          <w:sz w:val="26"/>
          <w:szCs w:val="26"/>
        </w:rPr>
        <w:t>P</w:t>
      </w:r>
      <w:r w:rsidRPr="008738C7">
        <w:rPr>
          <w:sz w:val="26"/>
          <w:szCs w:val="26"/>
        </w:rPr>
        <w:t>arties engaged in settlement negotiations and, on April 27, 2021, indicated that a comprehensive settlement had been reached.</w:t>
      </w:r>
      <w:r w:rsidR="00083107" w:rsidRPr="008738C7">
        <w:rPr>
          <w:sz w:val="26"/>
          <w:szCs w:val="26"/>
        </w:rPr>
        <w:t xml:space="preserve">  </w:t>
      </w:r>
      <w:r w:rsidRPr="008738C7">
        <w:rPr>
          <w:sz w:val="26"/>
          <w:szCs w:val="26"/>
        </w:rPr>
        <w:t xml:space="preserve">As a result, on April 29, 2021, an order suspending the second scheduling order was issued and the </w:t>
      </w:r>
      <w:r w:rsidR="00122D69" w:rsidRPr="008738C7">
        <w:rPr>
          <w:sz w:val="26"/>
          <w:szCs w:val="26"/>
        </w:rPr>
        <w:t>P</w:t>
      </w:r>
      <w:r w:rsidRPr="008738C7">
        <w:rPr>
          <w:sz w:val="26"/>
          <w:szCs w:val="26"/>
        </w:rPr>
        <w:t xml:space="preserve">arties were directed to file the </w:t>
      </w:r>
      <w:r w:rsidR="00282351" w:rsidRPr="008738C7">
        <w:rPr>
          <w:sz w:val="26"/>
          <w:szCs w:val="26"/>
        </w:rPr>
        <w:t>S</w:t>
      </w:r>
      <w:r w:rsidRPr="008738C7">
        <w:rPr>
          <w:sz w:val="26"/>
          <w:szCs w:val="26"/>
        </w:rPr>
        <w:t>ettlement and related documents by May</w:t>
      </w:r>
      <w:r w:rsidR="00B62E2B">
        <w:rPr>
          <w:sz w:val="26"/>
          <w:szCs w:val="26"/>
        </w:rPr>
        <w:t> </w:t>
      </w:r>
      <w:r w:rsidRPr="008738C7">
        <w:rPr>
          <w:sz w:val="26"/>
          <w:szCs w:val="26"/>
        </w:rPr>
        <w:t>14,</w:t>
      </w:r>
      <w:r w:rsidR="00B62E2B">
        <w:rPr>
          <w:sz w:val="26"/>
          <w:szCs w:val="26"/>
        </w:rPr>
        <w:t> </w:t>
      </w:r>
      <w:r w:rsidRPr="008738C7">
        <w:rPr>
          <w:sz w:val="26"/>
          <w:szCs w:val="26"/>
        </w:rPr>
        <w:t>2021.</w:t>
      </w:r>
    </w:p>
    <w:p w14:paraId="076EB8A2" w14:textId="5BED34EF" w:rsidR="0093507E" w:rsidRPr="008738C7" w:rsidRDefault="0093507E" w:rsidP="008738C7">
      <w:pPr>
        <w:spacing w:line="360" w:lineRule="auto"/>
        <w:ind w:firstLine="1440"/>
        <w:contextualSpacing/>
        <w:rPr>
          <w:sz w:val="26"/>
          <w:szCs w:val="26"/>
        </w:rPr>
      </w:pPr>
      <w:r w:rsidRPr="008738C7">
        <w:rPr>
          <w:sz w:val="26"/>
          <w:szCs w:val="26"/>
        </w:rPr>
        <w:lastRenderedPageBreak/>
        <w:t>On May 14, 2021, the</w:t>
      </w:r>
      <w:r w:rsidR="005A113D" w:rsidRPr="008738C7">
        <w:rPr>
          <w:sz w:val="26"/>
          <w:szCs w:val="26"/>
        </w:rPr>
        <w:t xml:space="preserve"> Joint Petitioners</w:t>
      </w:r>
      <w:r w:rsidRPr="008738C7">
        <w:rPr>
          <w:sz w:val="26"/>
          <w:szCs w:val="26"/>
        </w:rPr>
        <w:t xml:space="preserve"> filed the Settlement</w:t>
      </w:r>
      <w:r w:rsidR="00FC0AD8" w:rsidRPr="008738C7">
        <w:rPr>
          <w:sz w:val="26"/>
          <w:szCs w:val="26"/>
        </w:rPr>
        <w:t xml:space="preserve"> Agreement</w:t>
      </w:r>
      <w:r w:rsidRPr="008738C7">
        <w:rPr>
          <w:sz w:val="26"/>
          <w:szCs w:val="26"/>
        </w:rPr>
        <w:t xml:space="preserve">.  The </w:t>
      </w:r>
      <w:r w:rsidR="005A113D" w:rsidRPr="008738C7">
        <w:rPr>
          <w:sz w:val="26"/>
          <w:szCs w:val="26"/>
        </w:rPr>
        <w:t xml:space="preserve">Settling </w:t>
      </w:r>
      <w:r w:rsidRPr="008738C7">
        <w:rPr>
          <w:sz w:val="26"/>
          <w:szCs w:val="26"/>
        </w:rPr>
        <w:t xml:space="preserve">Parties indicated that the Settlement </w:t>
      </w:r>
      <w:r w:rsidR="00C9055E" w:rsidRPr="008738C7">
        <w:rPr>
          <w:sz w:val="26"/>
          <w:szCs w:val="26"/>
        </w:rPr>
        <w:t xml:space="preserve">Agreement </w:t>
      </w:r>
      <w:r w:rsidRPr="008738C7">
        <w:rPr>
          <w:sz w:val="26"/>
          <w:szCs w:val="26"/>
        </w:rPr>
        <w:t xml:space="preserve">represents a complete settlement of all issues among the </w:t>
      </w:r>
      <w:r w:rsidR="00C9055E" w:rsidRPr="008738C7">
        <w:rPr>
          <w:sz w:val="26"/>
          <w:szCs w:val="26"/>
        </w:rPr>
        <w:t>Joint Petitioners</w:t>
      </w:r>
      <w:r w:rsidRPr="008738C7">
        <w:rPr>
          <w:sz w:val="26"/>
          <w:szCs w:val="26"/>
        </w:rPr>
        <w:t xml:space="preserve"> in the proceeding.</w:t>
      </w:r>
      <w:r w:rsidR="00C9055E" w:rsidRPr="008738C7">
        <w:rPr>
          <w:sz w:val="26"/>
          <w:szCs w:val="26"/>
        </w:rPr>
        <w:t xml:space="preserve">  </w:t>
      </w:r>
      <w:r w:rsidRPr="008738C7">
        <w:rPr>
          <w:sz w:val="26"/>
          <w:szCs w:val="26"/>
        </w:rPr>
        <w:t xml:space="preserve">Attached to the </w:t>
      </w:r>
      <w:r w:rsidR="00C9055E" w:rsidRPr="008738C7">
        <w:rPr>
          <w:sz w:val="26"/>
          <w:szCs w:val="26"/>
        </w:rPr>
        <w:t>S</w:t>
      </w:r>
      <w:r w:rsidRPr="008738C7">
        <w:rPr>
          <w:sz w:val="26"/>
          <w:szCs w:val="26"/>
        </w:rPr>
        <w:t xml:space="preserve">ettlement was the Commonwealth Court’s opinion issued on October 27, 2020, </w:t>
      </w:r>
      <w:r w:rsidR="0097089D" w:rsidRPr="008738C7">
        <w:rPr>
          <w:sz w:val="26"/>
          <w:szCs w:val="26"/>
        </w:rPr>
        <w:t>S</w:t>
      </w:r>
      <w:r w:rsidRPr="008738C7">
        <w:rPr>
          <w:sz w:val="26"/>
          <w:szCs w:val="26"/>
        </w:rPr>
        <w:t xml:space="preserve">tatements in </w:t>
      </w:r>
      <w:r w:rsidR="0097089D" w:rsidRPr="008738C7">
        <w:rPr>
          <w:sz w:val="26"/>
          <w:szCs w:val="26"/>
        </w:rPr>
        <w:t>S</w:t>
      </w:r>
      <w:r w:rsidRPr="008738C7">
        <w:rPr>
          <w:sz w:val="26"/>
          <w:szCs w:val="26"/>
        </w:rPr>
        <w:t xml:space="preserve">upport of the </w:t>
      </w:r>
      <w:r w:rsidR="00C9055E" w:rsidRPr="008738C7">
        <w:rPr>
          <w:sz w:val="26"/>
          <w:szCs w:val="26"/>
        </w:rPr>
        <w:t>S</w:t>
      </w:r>
      <w:r w:rsidRPr="008738C7">
        <w:rPr>
          <w:sz w:val="26"/>
          <w:szCs w:val="26"/>
        </w:rPr>
        <w:t>ettlement</w:t>
      </w:r>
      <w:r w:rsidR="00F01F67" w:rsidRPr="008738C7">
        <w:rPr>
          <w:sz w:val="26"/>
          <w:szCs w:val="26"/>
        </w:rPr>
        <w:t xml:space="preserve"> </w:t>
      </w:r>
      <w:r w:rsidRPr="008738C7">
        <w:rPr>
          <w:sz w:val="26"/>
          <w:szCs w:val="26"/>
        </w:rPr>
        <w:t>from each of the</w:t>
      </w:r>
      <w:r w:rsidR="003B3C36" w:rsidRPr="008738C7">
        <w:rPr>
          <w:sz w:val="26"/>
          <w:szCs w:val="26"/>
        </w:rPr>
        <w:t xml:space="preserve"> Joint Petitioners</w:t>
      </w:r>
      <w:r w:rsidRPr="008738C7">
        <w:rPr>
          <w:sz w:val="26"/>
          <w:szCs w:val="26"/>
        </w:rPr>
        <w:t xml:space="preserve"> and </w:t>
      </w:r>
      <w:r w:rsidR="00356C2E" w:rsidRPr="008738C7">
        <w:rPr>
          <w:sz w:val="26"/>
          <w:szCs w:val="26"/>
        </w:rPr>
        <w:t>J</w:t>
      </w:r>
      <w:r w:rsidRPr="008738C7">
        <w:rPr>
          <w:sz w:val="26"/>
          <w:szCs w:val="26"/>
        </w:rPr>
        <w:t xml:space="preserve">oint </w:t>
      </w:r>
      <w:r w:rsidR="0097089D" w:rsidRPr="008738C7">
        <w:rPr>
          <w:sz w:val="26"/>
          <w:szCs w:val="26"/>
        </w:rPr>
        <w:t>P</w:t>
      </w:r>
      <w:r w:rsidRPr="008738C7">
        <w:rPr>
          <w:sz w:val="26"/>
          <w:szCs w:val="26"/>
        </w:rPr>
        <w:t xml:space="preserve">roposed </w:t>
      </w:r>
      <w:r w:rsidR="002D0723" w:rsidRPr="008738C7">
        <w:rPr>
          <w:sz w:val="26"/>
          <w:szCs w:val="26"/>
        </w:rPr>
        <w:t>F</w:t>
      </w:r>
      <w:r w:rsidRPr="008738C7">
        <w:rPr>
          <w:sz w:val="26"/>
          <w:szCs w:val="26"/>
        </w:rPr>
        <w:t xml:space="preserve">indings of </w:t>
      </w:r>
      <w:r w:rsidR="002D0723" w:rsidRPr="008738C7">
        <w:rPr>
          <w:sz w:val="26"/>
          <w:szCs w:val="26"/>
        </w:rPr>
        <w:t>F</w:t>
      </w:r>
      <w:r w:rsidRPr="008738C7">
        <w:rPr>
          <w:sz w:val="26"/>
          <w:szCs w:val="26"/>
        </w:rPr>
        <w:t xml:space="preserve">act, </w:t>
      </w:r>
      <w:r w:rsidR="00356C2E" w:rsidRPr="008738C7">
        <w:rPr>
          <w:sz w:val="26"/>
          <w:szCs w:val="26"/>
        </w:rPr>
        <w:t>C</w:t>
      </w:r>
      <w:r w:rsidRPr="008738C7">
        <w:rPr>
          <w:sz w:val="26"/>
          <w:szCs w:val="26"/>
        </w:rPr>
        <w:t xml:space="preserve">onclusions of </w:t>
      </w:r>
      <w:r w:rsidR="00356C2E" w:rsidRPr="008738C7">
        <w:rPr>
          <w:sz w:val="26"/>
          <w:szCs w:val="26"/>
        </w:rPr>
        <w:t>L</w:t>
      </w:r>
      <w:r w:rsidRPr="008738C7">
        <w:rPr>
          <w:sz w:val="26"/>
          <w:szCs w:val="26"/>
        </w:rPr>
        <w:t xml:space="preserve">aw and </w:t>
      </w:r>
      <w:r w:rsidR="00356C2E" w:rsidRPr="008738C7">
        <w:rPr>
          <w:sz w:val="26"/>
          <w:szCs w:val="26"/>
        </w:rPr>
        <w:t>O</w:t>
      </w:r>
      <w:r w:rsidRPr="008738C7">
        <w:rPr>
          <w:sz w:val="26"/>
          <w:szCs w:val="26"/>
        </w:rPr>
        <w:t xml:space="preserve">rdering </w:t>
      </w:r>
      <w:r w:rsidR="00356C2E" w:rsidRPr="008738C7">
        <w:rPr>
          <w:sz w:val="26"/>
          <w:szCs w:val="26"/>
        </w:rPr>
        <w:t>P</w:t>
      </w:r>
      <w:r w:rsidRPr="008738C7">
        <w:rPr>
          <w:sz w:val="26"/>
          <w:szCs w:val="26"/>
        </w:rPr>
        <w:t>aragraphs.</w:t>
      </w:r>
    </w:p>
    <w:p w14:paraId="51F1A099" w14:textId="77777777" w:rsidR="0093507E" w:rsidRPr="008738C7" w:rsidRDefault="0093507E" w:rsidP="008738C7">
      <w:pPr>
        <w:spacing w:line="360" w:lineRule="auto"/>
        <w:ind w:firstLine="1440"/>
        <w:contextualSpacing/>
        <w:rPr>
          <w:sz w:val="26"/>
          <w:szCs w:val="26"/>
        </w:rPr>
      </w:pPr>
    </w:p>
    <w:p w14:paraId="5EF0ADBD" w14:textId="5AC527B2" w:rsidR="00434031" w:rsidRPr="008738C7" w:rsidRDefault="0076130C" w:rsidP="00B62E2B">
      <w:pPr>
        <w:spacing w:line="360" w:lineRule="auto"/>
        <w:ind w:firstLine="1440"/>
        <w:contextualSpacing/>
        <w:rPr>
          <w:sz w:val="26"/>
          <w:szCs w:val="26"/>
        </w:rPr>
      </w:pPr>
      <w:r w:rsidRPr="008738C7">
        <w:rPr>
          <w:sz w:val="26"/>
          <w:szCs w:val="26"/>
        </w:rPr>
        <w:t xml:space="preserve">Also on May 14, 2021, PPL filed a Joint Stipulation for Admission </w:t>
      </w:r>
      <w:r w:rsidR="00F93C84">
        <w:rPr>
          <w:sz w:val="26"/>
          <w:szCs w:val="26"/>
        </w:rPr>
        <w:t xml:space="preserve">of </w:t>
      </w:r>
      <w:r w:rsidRPr="008738C7">
        <w:rPr>
          <w:sz w:val="26"/>
          <w:szCs w:val="26"/>
        </w:rPr>
        <w:t>PPL witness Andrew W. Elmore dated March 30, 2021, along with a verification from Mr. Elmore, that was pre-served on March 30, 2021</w:t>
      </w:r>
      <w:r w:rsidR="004421DC" w:rsidRPr="008738C7">
        <w:rPr>
          <w:sz w:val="26"/>
          <w:szCs w:val="26"/>
        </w:rPr>
        <w:t>,</w:t>
      </w:r>
      <w:r w:rsidRPr="008738C7">
        <w:rPr>
          <w:sz w:val="26"/>
          <w:szCs w:val="26"/>
        </w:rPr>
        <w:t xml:space="preserve"> as part of the remanded proceeding.</w:t>
      </w:r>
      <w:r w:rsidR="004421DC" w:rsidRPr="008738C7">
        <w:rPr>
          <w:sz w:val="26"/>
          <w:szCs w:val="26"/>
        </w:rPr>
        <w:t xml:space="preserve">  </w:t>
      </w:r>
      <w:r w:rsidRPr="008738C7">
        <w:rPr>
          <w:sz w:val="26"/>
          <w:szCs w:val="26"/>
        </w:rPr>
        <w:t xml:space="preserve">The </w:t>
      </w:r>
      <w:r w:rsidR="004421DC" w:rsidRPr="008738C7">
        <w:rPr>
          <w:sz w:val="26"/>
          <w:szCs w:val="26"/>
        </w:rPr>
        <w:t>J</w:t>
      </w:r>
      <w:r w:rsidRPr="008738C7">
        <w:rPr>
          <w:sz w:val="26"/>
          <w:szCs w:val="26"/>
        </w:rPr>
        <w:t xml:space="preserve">oint </w:t>
      </w:r>
      <w:r w:rsidR="004421DC" w:rsidRPr="008738C7">
        <w:rPr>
          <w:sz w:val="26"/>
          <w:szCs w:val="26"/>
        </w:rPr>
        <w:t>S</w:t>
      </w:r>
      <w:r w:rsidRPr="008738C7">
        <w:rPr>
          <w:sz w:val="26"/>
          <w:szCs w:val="26"/>
        </w:rPr>
        <w:t>tipulation will be approved as part of this decision</w:t>
      </w:r>
      <w:r w:rsidR="00434031" w:rsidRPr="008738C7">
        <w:rPr>
          <w:sz w:val="26"/>
          <w:szCs w:val="26"/>
        </w:rPr>
        <w:t>.</w:t>
      </w:r>
      <w:r w:rsidR="00434031" w:rsidRPr="008738C7">
        <w:rPr>
          <w:rStyle w:val="FootnoteReference"/>
        </w:rPr>
        <w:t xml:space="preserve"> </w:t>
      </w:r>
      <w:r w:rsidR="00434031" w:rsidRPr="008738C7">
        <w:rPr>
          <w:rStyle w:val="FootnoteReference"/>
        </w:rPr>
        <w:footnoteReference w:id="1"/>
      </w:r>
      <w:r w:rsidRPr="008738C7">
        <w:rPr>
          <w:sz w:val="26"/>
          <w:szCs w:val="26"/>
        </w:rPr>
        <w:t xml:space="preserve"> </w:t>
      </w:r>
    </w:p>
    <w:p w14:paraId="4925C529" w14:textId="4909810C" w:rsidR="0046575B" w:rsidRPr="008738C7" w:rsidRDefault="0046575B" w:rsidP="008738C7">
      <w:pPr>
        <w:spacing w:line="360" w:lineRule="auto"/>
        <w:ind w:firstLine="1440"/>
        <w:contextualSpacing/>
        <w:rPr>
          <w:sz w:val="26"/>
          <w:szCs w:val="26"/>
        </w:rPr>
      </w:pPr>
    </w:p>
    <w:p w14:paraId="0CA88A52" w14:textId="0240EF42" w:rsidR="0046575B" w:rsidRPr="008738C7" w:rsidRDefault="0046575B" w:rsidP="008738C7">
      <w:pPr>
        <w:pStyle w:val="Default"/>
        <w:spacing w:line="360" w:lineRule="auto"/>
        <w:ind w:firstLine="1440"/>
        <w:rPr>
          <w:sz w:val="26"/>
          <w:szCs w:val="26"/>
        </w:rPr>
      </w:pPr>
      <w:r w:rsidRPr="008738C7">
        <w:rPr>
          <w:sz w:val="26"/>
          <w:szCs w:val="26"/>
        </w:rPr>
        <w:t xml:space="preserve">Also on May 14, 2021, the </w:t>
      </w:r>
      <w:r w:rsidR="00F32AC4" w:rsidRPr="008738C7">
        <w:rPr>
          <w:sz w:val="26"/>
          <w:szCs w:val="26"/>
        </w:rPr>
        <w:t>OCA</w:t>
      </w:r>
      <w:r w:rsidRPr="008738C7">
        <w:rPr>
          <w:sz w:val="26"/>
          <w:szCs w:val="26"/>
        </w:rPr>
        <w:t xml:space="preserve"> filed a letter indicating that it does not oppose the </w:t>
      </w:r>
      <w:r w:rsidR="008B4053" w:rsidRPr="008738C7">
        <w:rPr>
          <w:sz w:val="26"/>
          <w:szCs w:val="26"/>
        </w:rPr>
        <w:t>S</w:t>
      </w:r>
      <w:r w:rsidRPr="008738C7">
        <w:rPr>
          <w:sz w:val="26"/>
          <w:szCs w:val="26"/>
        </w:rPr>
        <w:t xml:space="preserve">ettlement. </w:t>
      </w:r>
    </w:p>
    <w:p w14:paraId="0147BEDE" w14:textId="7CA4E8ED" w:rsidR="0076130C" w:rsidRPr="008738C7" w:rsidRDefault="0076130C" w:rsidP="008738C7">
      <w:pPr>
        <w:spacing w:line="360" w:lineRule="auto"/>
        <w:ind w:firstLine="1440"/>
        <w:contextualSpacing/>
        <w:rPr>
          <w:sz w:val="26"/>
          <w:szCs w:val="26"/>
        </w:rPr>
      </w:pPr>
    </w:p>
    <w:p w14:paraId="7891392F" w14:textId="460588E8" w:rsidR="00204A57" w:rsidRDefault="00A63975" w:rsidP="008738C7">
      <w:pPr>
        <w:spacing w:line="360" w:lineRule="auto"/>
        <w:ind w:firstLine="1440"/>
        <w:contextualSpacing/>
        <w:rPr>
          <w:sz w:val="26"/>
          <w:szCs w:val="26"/>
        </w:rPr>
      </w:pPr>
      <w:r w:rsidRPr="008738C7">
        <w:rPr>
          <w:sz w:val="26"/>
          <w:szCs w:val="26"/>
        </w:rPr>
        <w:t>A cancellation notice was issued on May 27, 2021, formally cancelling the hearing scheduled for this case for June 8, 2021</w:t>
      </w:r>
      <w:r w:rsidR="00204A57" w:rsidRPr="008738C7">
        <w:rPr>
          <w:sz w:val="26"/>
          <w:szCs w:val="26"/>
        </w:rPr>
        <w:t>.</w:t>
      </w:r>
      <w:r w:rsidR="003E5B35" w:rsidRPr="008738C7">
        <w:rPr>
          <w:sz w:val="26"/>
          <w:szCs w:val="26"/>
        </w:rPr>
        <w:t xml:space="preserve">  </w:t>
      </w:r>
      <w:r w:rsidR="00204A57" w:rsidRPr="008738C7">
        <w:rPr>
          <w:sz w:val="26"/>
          <w:szCs w:val="26"/>
        </w:rPr>
        <w:t>The record in this case closed on May</w:t>
      </w:r>
      <w:r w:rsidR="00B62E2B">
        <w:rPr>
          <w:sz w:val="26"/>
          <w:szCs w:val="26"/>
        </w:rPr>
        <w:t> </w:t>
      </w:r>
      <w:r w:rsidR="00204A57" w:rsidRPr="008738C7">
        <w:rPr>
          <w:sz w:val="26"/>
          <w:szCs w:val="26"/>
        </w:rPr>
        <w:t xml:space="preserve">14, 2021, when the Settlement </w:t>
      </w:r>
      <w:r w:rsidR="005A0E45" w:rsidRPr="008738C7">
        <w:rPr>
          <w:sz w:val="26"/>
          <w:szCs w:val="26"/>
        </w:rPr>
        <w:t xml:space="preserve">Agreement </w:t>
      </w:r>
      <w:r w:rsidR="00204A57" w:rsidRPr="008738C7">
        <w:rPr>
          <w:sz w:val="26"/>
          <w:szCs w:val="26"/>
        </w:rPr>
        <w:t>was submitted.</w:t>
      </w:r>
    </w:p>
    <w:p w14:paraId="2F729278" w14:textId="77777777" w:rsidR="00F93C84" w:rsidRPr="008738C7" w:rsidRDefault="00F93C84" w:rsidP="008738C7">
      <w:pPr>
        <w:spacing w:line="360" w:lineRule="auto"/>
        <w:ind w:firstLine="1440"/>
        <w:contextualSpacing/>
        <w:rPr>
          <w:sz w:val="26"/>
          <w:szCs w:val="26"/>
        </w:rPr>
      </w:pPr>
    </w:p>
    <w:p w14:paraId="034D1C67" w14:textId="3F0800FE" w:rsidR="000648EF" w:rsidRPr="008738C7" w:rsidRDefault="00E962A9" w:rsidP="008738C7">
      <w:pPr>
        <w:spacing w:line="360" w:lineRule="auto"/>
        <w:ind w:firstLine="1440"/>
        <w:textAlignment w:val="baseline"/>
        <w:rPr>
          <w:sz w:val="26"/>
          <w:szCs w:val="26"/>
        </w:rPr>
      </w:pPr>
      <w:r w:rsidRPr="008738C7">
        <w:rPr>
          <w:sz w:val="26"/>
          <w:szCs w:val="26"/>
        </w:rPr>
        <w:t>On June 24, 2021, the Commission issued the Recommended Decision of ALJ</w:t>
      </w:r>
      <w:r w:rsidR="00927477" w:rsidRPr="008738C7">
        <w:rPr>
          <w:sz w:val="26"/>
          <w:szCs w:val="26"/>
        </w:rPr>
        <w:t xml:space="preserve"> </w:t>
      </w:r>
      <w:r w:rsidRPr="008738C7">
        <w:rPr>
          <w:sz w:val="26"/>
          <w:szCs w:val="26"/>
        </w:rPr>
        <w:t xml:space="preserve">Cheskis approving the Settlement.  </w:t>
      </w:r>
      <w:r w:rsidR="000648EF" w:rsidRPr="008738C7">
        <w:rPr>
          <w:sz w:val="26"/>
          <w:szCs w:val="26"/>
        </w:rPr>
        <w:t xml:space="preserve">In the Recommended Decision, ALJ </w:t>
      </w:r>
      <w:r w:rsidR="00927477" w:rsidRPr="008738C7">
        <w:rPr>
          <w:sz w:val="26"/>
          <w:szCs w:val="26"/>
        </w:rPr>
        <w:t xml:space="preserve">Cheskis </w:t>
      </w:r>
      <w:r w:rsidR="000648EF" w:rsidRPr="008738C7">
        <w:rPr>
          <w:sz w:val="26"/>
          <w:szCs w:val="26"/>
        </w:rPr>
        <w:t xml:space="preserve">recommended approval </w:t>
      </w:r>
      <w:r w:rsidR="00927477" w:rsidRPr="008738C7">
        <w:rPr>
          <w:sz w:val="26"/>
          <w:szCs w:val="26"/>
        </w:rPr>
        <w:t xml:space="preserve">of the Settlement </w:t>
      </w:r>
      <w:r w:rsidR="000648EF" w:rsidRPr="008738C7">
        <w:rPr>
          <w:sz w:val="26"/>
          <w:szCs w:val="26"/>
        </w:rPr>
        <w:t>in its entirety without modification because it is in the public interest and supported by substantial evidence.</w:t>
      </w:r>
      <w:r w:rsidR="00FF7DC4" w:rsidRPr="008738C7">
        <w:rPr>
          <w:sz w:val="26"/>
          <w:szCs w:val="26"/>
        </w:rPr>
        <w:t xml:space="preserve">  R.D. at 1, 16, 19.</w:t>
      </w:r>
    </w:p>
    <w:p w14:paraId="311AE0F9" w14:textId="77777777" w:rsidR="00A673B7" w:rsidRPr="008738C7" w:rsidRDefault="00A673B7" w:rsidP="008738C7">
      <w:pPr>
        <w:spacing w:line="360" w:lineRule="auto"/>
        <w:ind w:firstLine="1440"/>
        <w:textAlignment w:val="baseline"/>
        <w:rPr>
          <w:sz w:val="26"/>
          <w:szCs w:val="26"/>
        </w:rPr>
      </w:pPr>
    </w:p>
    <w:p w14:paraId="2F920538" w14:textId="795AB5ED" w:rsidR="00162BEE" w:rsidRPr="008738C7" w:rsidRDefault="00EF43E6" w:rsidP="008738C7">
      <w:pPr>
        <w:pStyle w:val="FootnoteText"/>
        <w:spacing w:before="0" w:after="0" w:line="360" w:lineRule="auto"/>
        <w:rPr>
          <w:rFonts w:ascii="Times New Roman" w:eastAsia="Calibri" w:hAnsi="Times New Roman"/>
          <w:sz w:val="26"/>
          <w:szCs w:val="26"/>
        </w:rPr>
      </w:pPr>
      <w:r w:rsidRPr="008738C7">
        <w:rPr>
          <w:rFonts w:ascii="Times New Roman" w:hAnsi="Times New Roman"/>
          <w:sz w:val="26"/>
          <w:szCs w:val="26"/>
        </w:rPr>
        <w:lastRenderedPageBreak/>
        <w:tab/>
      </w:r>
      <w:r w:rsidRPr="008738C7">
        <w:rPr>
          <w:rFonts w:ascii="Times New Roman" w:hAnsi="Times New Roman"/>
          <w:sz w:val="26"/>
          <w:szCs w:val="26"/>
        </w:rPr>
        <w:tab/>
        <w:t>As noted, o</w:t>
      </w:r>
      <w:r w:rsidR="00927477" w:rsidRPr="008738C7">
        <w:rPr>
          <w:rFonts w:ascii="Times New Roman" w:hAnsi="Times New Roman"/>
          <w:sz w:val="26"/>
          <w:szCs w:val="26"/>
        </w:rPr>
        <w:t>n June 30, 2021, PPL filed a letter stating that while it</w:t>
      </w:r>
      <w:r w:rsidRPr="008738C7">
        <w:rPr>
          <w:rFonts w:ascii="Times New Roman" w:hAnsi="Times New Roman"/>
          <w:sz w:val="26"/>
          <w:szCs w:val="26"/>
        </w:rPr>
        <w:t xml:space="preserve"> is not </w:t>
      </w:r>
      <w:r w:rsidR="00927477" w:rsidRPr="008738C7">
        <w:rPr>
          <w:rFonts w:ascii="Times New Roman" w:hAnsi="Times New Roman"/>
          <w:sz w:val="26"/>
          <w:szCs w:val="26"/>
        </w:rPr>
        <w:t xml:space="preserve">filing </w:t>
      </w:r>
      <w:r w:rsidR="00AE2229" w:rsidRPr="008738C7">
        <w:rPr>
          <w:rFonts w:ascii="Times New Roman" w:hAnsi="Times New Roman"/>
          <w:sz w:val="26"/>
          <w:szCs w:val="26"/>
        </w:rPr>
        <w:t>e</w:t>
      </w:r>
      <w:r w:rsidR="00927477" w:rsidRPr="008738C7">
        <w:rPr>
          <w:rFonts w:ascii="Times New Roman" w:hAnsi="Times New Roman"/>
          <w:sz w:val="26"/>
          <w:szCs w:val="26"/>
        </w:rPr>
        <w:t>xceptions, it is proposing certain modifications to the Recommended Decision.</w:t>
      </w:r>
      <w:r w:rsidR="007E7B0A" w:rsidRPr="008738C7">
        <w:rPr>
          <w:rFonts w:ascii="Times New Roman" w:hAnsi="Times New Roman"/>
          <w:sz w:val="26"/>
          <w:szCs w:val="26"/>
        </w:rPr>
        <w:t xml:space="preserve">  </w:t>
      </w:r>
      <w:r w:rsidR="00C017AD" w:rsidRPr="008738C7">
        <w:rPr>
          <w:rFonts w:ascii="Times New Roman" w:eastAsia="Calibri" w:hAnsi="Times New Roman"/>
          <w:sz w:val="26"/>
          <w:szCs w:val="26"/>
        </w:rPr>
        <w:t>No exceptions or other opposition pleadings were filed in response.</w:t>
      </w:r>
    </w:p>
    <w:p w14:paraId="28023A4A" w14:textId="77777777" w:rsidR="00CA2480" w:rsidRPr="008738C7" w:rsidRDefault="00CA2480" w:rsidP="008738C7">
      <w:pPr>
        <w:pStyle w:val="FootnoteText"/>
        <w:spacing w:before="0" w:after="0" w:line="360" w:lineRule="auto"/>
        <w:rPr>
          <w:rFonts w:ascii="Times New Roman" w:hAnsi="Times New Roman"/>
          <w:sz w:val="26"/>
          <w:szCs w:val="26"/>
        </w:rPr>
      </w:pPr>
    </w:p>
    <w:p w14:paraId="7859B225" w14:textId="77777777" w:rsidR="003F2BF4" w:rsidRPr="008738C7" w:rsidRDefault="003F2BF4" w:rsidP="008738C7">
      <w:pPr>
        <w:keepNext/>
        <w:keepLines/>
        <w:spacing w:line="360" w:lineRule="auto"/>
        <w:contextualSpacing/>
        <w:jc w:val="center"/>
        <w:rPr>
          <w:b/>
          <w:sz w:val="26"/>
          <w:szCs w:val="26"/>
        </w:rPr>
      </w:pPr>
      <w:r w:rsidRPr="008738C7">
        <w:rPr>
          <w:b/>
          <w:sz w:val="26"/>
          <w:szCs w:val="26"/>
        </w:rPr>
        <w:t>Discussion</w:t>
      </w:r>
    </w:p>
    <w:p w14:paraId="241424DD" w14:textId="77777777" w:rsidR="003F2BF4" w:rsidRPr="008738C7" w:rsidRDefault="003F2BF4" w:rsidP="008738C7">
      <w:pPr>
        <w:keepNext/>
        <w:keepLines/>
        <w:spacing w:line="360" w:lineRule="auto"/>
        <w:contextualSpacing/>
        <w:jc w:val="center"/>
        <w:rPr>
          <w:sz w:val="26"/>
          <w:szCs w:val="26"/>
        </w:rPr>
      </w:pPr>
    </w:p>
    <w:p w14:paraId="33D6E9A9" w14:textId="77777777" w:rsidR="003F2BF4" w:rsidRPr="008738C7" w:rsidRDefault="003F2BF4" w:rsidP="008738C7">
      <w:pPr>
        <w:keepNext/>
        <w:keepLines/>
        <w:spacing w:line="360" w:lineRule="auto"/>
        <w:contextualSpacing/>
        <w:rPr>
          <w:b/>
          <w:sz w:val="26"/>
          <w:szCs w:val="26"/>
        </w:rPr>
      </w:pPr>
      <w:r w:rsidRPr="008738C7">
        <w:rPr>
          <w:b/>
          <w:sz w:val="26"/>
          <w:szCs w:val="26"/>
        </w:rPr>
        <w:t>Legal Standards</w:t>
      </w:r>
    </w:p>
    <w:p w14:paraId="56CEB4C9" w14:textId="77777777" w:rsidR="003F2BF4" w:rsidRPr="008738C7" w:rsidRDefault="003F2BF4" w:rsidP="008738C7">
      <w:pPr>
        <w:keepNext/>
        <w:keepLines/>
        <w:spacing w:line="360" w:lineRule="auto"/>
        <w:ind w:firstLine="1440"/>
        <w:contextualSpacing/>
        <w:rPr>
          <w:sz w:val="26"/>
          <w:szCs w:val="26"/>
        </w:rPr>
      </w:pPr>
    </w:p>
    <w:p w14:paraId="3DA237DF" w14:textId="77777777" w:rsidR="008F4B16" w:rsidRPr="008738C7" w:rsidRDefault="001245C4" w:rsidP="008738C7">
      <w:pPr>
        <w:pStyle w:val="Default"/>
        <w:spacing w:line="360" w:lineRule="auto"/>
        <w:ind w:firstLine="1440"/>
        <w:rPr>
          <w:sz w:val="26"/>
          <w:szCs w:val="26"/>
        </w:rPr>
      </w:pPr>
      <w:r w:rsidRPr="008738C7">
        <w:rPr>
          <w:sz w:val="26"/>
          <w:szCs w:val="26"/>
        </w:rPr>
        <w:t xml:space="preserve">Section 1102(a) of the Code, 66 Pa. C.S. § 1102(a), permits a public utility to undertake certain actions only upon Commission approval evidenced by a certificate of public convenience.  Among the activities that require Commission approval is the following: </w:t>
      </w:r>
    </w:p>
    <w:p w14:paraId="15DD7062" w14:textId="77777777" w:rsidR="00D64A99" w:rsidRPr="008738C7" w:rsidRDefault="00D64A99" w:rsidP="00B62E2B">
      <w:pPr>
        <w:pStyle w:val="Default"/>
        <w:rPr>
          <w:sz w:val="26"/>
          <w:szCs w:val="26"/>
        </w:rPr>
      </w:pPr>
    </w:p>
    <w:p w14:paraId="22D6B47E" w14:textId="131C913B" w:rsidR="008F4B16" w:rsidRPr="008738C7" w:rsidRDefault="001245C4" w:rsidP="008738C7">
      <w:pPr>
        <w:pStyle w:val="Default"/>
        <w:ind w:left="1440" w:right="1440"/>
        <w:rPr>
          <w:sz w:val="26"/>
          <w:szCs w:val="26"/>
        </w:rPr>
      </w:pPr>
      <w:r w:rsidRPr="008738C7">
        <w:rPr>
          <w:sz w:val="26"/>
          <w:szCs w:val="26"/>
        </w:rPr>
        <w:t>(3) For any public utility or an affiliated interest of a public utility . . . to acquire from, or to transfer to, any person or corporation . . . by any method or device whatsoever, including the sale or transfer</w:t>
      </w:r>
      <w:r w:rsidR="008F4B16" w:rsidRPr="008738C7">
        <w:rPr>
          <w:sz w:val="26"/>
          <w:szCs w:val="26"/>
        </w:rPr>
        <w:t xml:space="preserve"> of stock and including a consolidation, merger, sale or lease, the title to, or the possession or use of, any tangible or intangible property used or useful in the public service….</w:t>
      </w:r>
    </w:p>
    <w:p w14:paraId="49FC404D" w14:textId="3D7BA500" w:rsidR="00992108" w:rsidRPr="008738C7" w:rsidRDefault="00992108" w:rsidP="00B62E2B">
      <w:pPr>
        <w:pStyle w:val="Default"/>
        <w:spacing w:line="360" w:lineRule="auto"/>
        <w:ind w:left="1440" w:right="1440"/>
        <w:rPr>
          <w:sz w:val="26"/>
          <w:szCs w:val="26"/>
        </w:rPr>
      </w:pPr>
    </w:p>
    <w:p w14:paraId="4407EE77" w14:textId="77777777" w:rsidR="00D809D0" w:rsidRPr="008738C7" w:rsidRDefault="00992108" w:rsidP="008738C7">
      <w:pPr>
        <w:pStyle w:val="Default"/>
        <w:spacing w:line="360" w:lineRule="auto"/>
        <w:rPr>
          <w:sz w:val="26"/>
          <w:szCs w:val="26"/>
        </w:rPr>
      </w:pPr>
      <w:r w:rsidRPr="008738C7">
        <w:rPr>
          <w:sz w:val="26"/>
          <w:szCs w:val="26"/>
        </w:rPr>
        <w:t>66 Pa. C.S. § 1102(a)(3).  When a certificate of public convenience is required under Section 1102, pursuant to Section 1103(a) of the Code, 66 Pa. C.S. § 1103(a), the Commission may issue the certificate only upon a finding or determination that the granting of such certificate is “necessary or proper for the service, accommodation, convenience, or safety of the public.”  In addition, Section 1103(a) allows the Commission to impose upon its issuance of a certificate of public convenience “such conditions as it may deem to be just and reasonable.”  66 Pa. C.S. § 1103(a).</w:t>
      </w:r>
    </w:p>
    <w:p w14:paraId="5730B6F7" w14:textId="77777777" w:rsidR="00D809D0" w:rsidRPr="008738C7" w:rsidRDefault="00D809D0" w:rsidP="008738C7">
      <w:pPr>
        <w:pStyle w:val="Default"/>
        <w:spacing w:line="360" w:lineRule="auto"/>
        <w:rPr>
          <w:sz w:val="26"/>
          <w:szCs w:val="26"/>
        </w:rPr>
      </w:pPr>
    </w:p>
    <w:p w14:paraId="75A03A38" w14:textId="647EC1D8" w:rsidR="008A25F2" w:rsidRPr="008738C7" w:rsidRDefault="008A25F2" w:rsidP="008738C7">
      <w:pPr>
        <w:pStyle w:val="Default"/>
        <w:spacing w:line="360" w:lineRule="auto"/>
        <w:ind w:firstLine="1440"/>
        <w:rPr>
          <w:sz w:val="26"/>
          <w:szCs w:val="26"/>
        </w:rPr>
      </w:pPr>
      <w:r w:rsidRPr="008738C7">
        <w:rPr>
          <w:sz w:val="26"/>
          <w:szCs w:val="26"/>
        </w:rPr>
        <w:t xml:space="preserve">In general, the Pennsylvania Supreme Court has determined that satisfying this standard requires the Commission to find that a proposed transaction would </w:t>
      </w:r>
      <w:r w:rsidRPr="008738C7">
        <w:rPr>
          <w:sz w:val="26"/>
          <w:szCs w:val="26"/>
        </w:rPr>
        <w:lastRenderedPageBreak/>
        <w:t xml:space="preserve">“affirmatively promote the service, accommodation, convenience or safety of the public in some substantial way.”  </w:t>
      </w:r>
      <w:r w:rsidRPr="008738C7">
        <w:rPr>
          <w:i/>
          <w:iCs/>
          <w:sz w:val="26"/>
          <w:szCs w:val="26"/>
        </w:rPr>
        <w:t xml:space="preserve">City of York v. Pa. </w:t>
      </w:r>
      <w:r w:rsidR="00B62E2B">
        <w:rPr>
          <w:i/>
          <w:iCs/>
          <w:sz w:val="26"/>
          <w:szCs w:val="26"/>
        </w:rPr>
        <w:t>PUC</w:t>
      </w:r>
      <w:r w:rsidRPr="008738C7">
        <w:rPr>
          <w:sz w:val="26"/>
          <w:szCs w:val="26"/>
        </w:rPr>
        <w:t>, 449 Pa. 136, 141, 295 A.2d 825, 828</w:t>
      </w:r>
      <w:r w:rsidR="00B62E2B">
        <w:rPr>
          <w:sz w:val="26"/>
          <w:szCs w:val="26"/>
        </w:rPr>
        <w:t> </w:t>
      </w:r>
      <w:r w:rsidRPr="008738C7">
        <w:rPr>
          <w:sz w:val="26"/>
          <w:szCs w:val="26"/>
        </w:rPr>
        <w:t xml:space="preserve">(1972) </w:t>
      </w:r>
      <w:r w:rsidRPr="008738C7">
        <w:rPr>
          <w:i/>
          <w:iCs/>
          <w:sz w:val="26"/>
          <w:szCs w:val="26"/>
        </w:rPr>
        <w:t>(</w:t>
      </w:r>
      <w:r w:rsidR="00E168A2" w:rsidRPr="008738C7">
        <w:rPr>
          <w:i/>
          <w:iCs/>
          <w:sz w:val="26"/>
          <w:szCs w:val="26"/>
        </w:rPr>
        <w:t xml:space="preserve">City of </w:t>
      </w:r>
      <w:r w:rsidRPr="008738C7">
        <w:rPr>
          <w:i/>
          <w:iCs/>
          <w:sz w:val="26"/>
          <w:szCs w:val="26"/>
        </w:rPr>
        <w:t>York);</w:t>
      </w:r>
      <w:r w:rsidRPr="008738C7">
        <w:rPr>
          <w:sz w:val="26"/>
          <w:szCs w:val="26"/>
        </w:rPr>
        <w:t xml:space="preserve"> </w:t>
      </w:r>
      <w:r w:rsidRPr="008738C7">
        <w:rPr>
          <w:i/>
          <w:iCs/>
          <w:sz w:val="26"/>
          <w:szCs w:val="26"/>
        </w:rPr>
        <w:t>see also</w:t>
      </w:r>
      <w:r w:rsidRPr="008738C7">
        <w:rPr>
          <w:sz w:val="26"/>
          <w:szCs w:val="26"/>
        </w:rPr>
        <w:t xml:space="preserve">, </w:t>
      </w:r>
      <w:proofErr w:type="spellStart"/>
      <w:r w:rsidRPr="008738C7">
        <w:rPr>
          <w:sz w:val="26"/>
          <w:szCs w:val="26"/>
        </w:rPr>
        <w:t>Popowsky</w:t>
      </w:r>
      <w:proofErr w:type="spellEnd"/>
      <w:r w:rsidRPr="008738C7">
        <w:rPr>
          <w:sz w:val="26"/>
          <w:szCs w:val="26"/>
        </w:rPr>
        <w:t xml:space="preserve"> v. </w:t>
      </w:r>
      <w:r w:rsidRPr="00B62E2B">
        <w:rPr>
          <w:i/>
          <w:iCs/>
          <w:sz w:val="26"/>
          <w:szCs w:val="26"/>
        </w:rPr>
        <w:t>P</w:t>
      </w:r>
      <w:r w:rsidR="00B62E2B" w:rsidRPr="00B62E2B">
        <w:rPr>
          <w:i/>
          <w:iCs/>
          <w:sz w:val="26"/>
          <w:szCs w:val="26"/>
        </w:rPr>
        <w:t>a. PUC</w:t>
      </w:r>
      <w:r w:rsidRPr="008738C7">
        <w:rPr>
          <w:sz w:val="26"/>
          <w:szCs w:val="26"/>
        </w:rPr>
        <w:t>, 594 Pa. 583, 611, 937</w:t>
      </w:r>
      <w:r w:rsidR="00B62E2B">
        <w:rPr>
          <w:sz w:val="26"/>
          <w:szCs w:val="26"/>
        </w:rPr>
        <w:t> </w:t>
      </w:r>
      <w:r w:rsidRPr="008738C7">
        <w:rPr>
          <w:sz w:val="26"/>
          <w:szCs w:val="26"/>
        </w:rPr>
        <w:t>A.2d</w:t>
      </w:r>
      <w:r w:rsidR="00B62E2B">
        <w:rPr>
          <w:sz w:val="26"/>
          <w:szCs w:val="26"/>
        </w:rPr>
        <w:t> </w:t>
      </w:r>
      <w:r w:rsidRPr="008738C7">
        <w:rPr>
          <w:sz w:val="26"/>
          <w:szCs w:val="26"/>
        </w:rPr>
        <w:t xml:space="preserve">1040, 1057 (2007) </w:t>
      </w:r>
      <w:r w:rsidRPr="008738C7">
        <w:rPr>
          <w:i/>
          <w:iCs/>
          <w:sz w:val="26"/>
          <w:szCs w:val="26"/>
        </w:rPr>
        <w:t>(</w:t>
      </w:r>
      <w:proofErr w:type="spellStart"/>
      <w:r w:rsidRPr="008738C7">
        <w:rPr>
          <w:i/>
          <w:iCs/>
          <w:sz w:val="26"/>
          <w:szCs w:val="26"/>
        </w:rPr>
        <w:t>Popowsky</w:t>
      </w:r>
      <w:proofErr w:type="spellEnd"/>
      <w:r w:rsidRPr="008738C7">
        <w:rPr>
          <w:i/>
          <w:iCs/>
          <w:sz w:val="26"/>
          <w:szCs w:val="26"/>
        </w:rPr>
        <w:t>)</w:t>
      </w:r>
      <w:r w:rsidRPr="008738C7">
        <w:rPr>
          <w:sz w:val="26"/>
          <w:szCs w:val="26"/>
        </w:rPr>
        <w:t xml:space="preserve"> (when addressing the issue of affirmative public benefits “the appropriate legal framework requires a reviewing court to determine whether substantial evidence supports the Commission's finding that a merger will affirmatively promote the service, accommodation, convenience, or safety of the public in some substantial way”).</w:t>
      </w:r>
    </w:p>
    <w:p w14:paraId="4C3A99BF" w14:textId="77777777" w:rsidR="00D64A99" w:rsidRPr="008738C7" w:rsidRDefault="00D64A99" w:rsidP="008738C7">
      <w:pPr>
        <w:pStyle w:val="Default"/>
        <w:spacing w:line="360" w:lineRule="auto"/>
        <w:ind w:firstLine="1440"/>
        <w:rPr>
          <w:sz w:val="26"/>
          <w:szCs w:val="26"/>
        </w:rPr>
      </w:pPr>
    </w:p>
    <w:p w14:paraId="0248B517" w14:textId="2E9E7AAE" w:rsidR="006734F1" w:rsidRPr="008738C7" w:rsidRDefault="00E84B35" w:rsidP="008738C7">
      <w:pPr>
        <w:pStyle w:val="Default"/>
        <w:spacing w:line="360" w:lineRule="auto"/>
        <w:ind w:firstLine="1440"/>
        <w:rPr>
          <w:sz w:val="26"/>
          <w:szCs w:val="26"/>
        </w:rPr>
      </w:pPr>
      <w:r w:rsidRPr="008738C7">
        <w:rPr>
          <w:sz w:val="26"/>
          <w:szCs w:val="26"/>
        </w:rPr>
        <w:t xml:space="preserve">However, in this case, PPL seeks approval of an intercompany restructuring in which PPL would interject two new Delaware holding companies between PPL and its current parent, PPL Corporation.  On appeal of the Commission’s </w:t>
      </w:r>
      <w:r w:rsidR="00265343" w:rsidRPr="008738C7">
        <w:rPr>
          <w:i/>
          <w:iCs/>
          <w:sz w:val="26"/>
          <w:szCs w:val="26"/>
        </w:rPr>
        <w:t>April 2019 Order</w:t>
      </w:r>
      <w:r w:rsidRPr="008738C7">
        <w:rPr>
          <w:sz w:val="26"/>
          <w:szCs w:val="26"/>
        </w:rPr>
        <w:t>, the Commonwealth Court conducted an extensive analysis and affirmed the Commission’s decision that a certificate of public convenience was necessary pursuant to Section</w:t>
      </w:r>
      <w:r w:rsidR="00B62E2B">
        <w:rPr>
          <w:sz w:val="26"/>
          <w:szCs w:val="26"/>
        </w:rPr>
        <w:t> </w:t>
      </w:r>
      <w:r w:rsidRPr="008738C7">
        <w:rPr>
          <w:sz w:val="26"/>
          <w:szCs w:val="26"/>
        </w:rPr>
        <w:t xml:space="preserve">1102(a)(3) for the restructuring proposed by PPL in the </w:t>
      </w:r>
      <w:r w:rsidR="00B9787A" w:rsidRPr="008738C7">
        <w:rPr>
          <w:sz w:val="26"/>
          <w:szCs w:val="26"/>
        </w:rPr>
        <w:t>A</w:t>
      </w:r>
      <w:r w:rsidRPr="008738C7">
        <w:rPr>
          <w:sz w:val="26"/>
          <w:szCs w:val="26"/>
        </w:rPr>
        <w:t>pplication.</w:t>
      </w:r>
      <w:r w:rsidR="005D01D8" w:rsidRPr="008738C7">
        <w:rPr>
          <w:sz w:val="26"/>
          <w:szCs w:val="26"/>
        </w:rPr>
        <w:t xml:space="preserve">  </w:t>
      </w:r>
      <w:r w:rsidRPr="008738C7">
        <w:rPr>
          <w:i/>
          <w:iCs/>
          <w:sz w:val="26"/>
          <w:szCs w:val="26"/>
        </w:rPr>
        <w:t>PPL</w:t>
      </w:r>
      <w:r w:rsidR="00B62E2B">
        <w:rPr>
          <w:i/>
          <w:iCs/>
          <w:sz w:val="26"/>
          <w:szCs w:val="26"/>
        </w:rPr>
        <w:t> </w:t>
      </w:r>
      <w:r w:rsidRPr="008738C7">
        <w:rPr>
          <w:i/>
          <w:iCs/>
          <w:sz w:val="26"/>
          <w:szCs w:val="26"/>
        </w:rPr>
        <w:t>Elec</w:t>
      </w:r>
      <w:r w:rsidR="00B62E2B">
        <w:rPr>
          <w:i/>
          <w:iCs/>
          <w:sz w:val="26"/>
          <w:szCs w:val="26"/>
        </w:rPr>
        <w:t>tric</w:t>
      </w:r>
      <w:r w:rsidRPr="008738C7">
        <w:rPr>
          <w:i/>
          <w:iCs/>
          <w:sz w:val="26"/>
          <w:szCs w:val="26"/>
        </w:rPr>
        <w:t xml:space="preserve"> Util</w:t>
      </w:r>
      <w:r w:rsidR="00B62E2B">
        <w:rPr>
          <w:i/>
          <w:iCs/>
          <w:sz w:val="26"/>
          <w:szCs w:val="26"/>
        </w:rPr>
        <w:t>ities</w:t>
      </w:r>
      <w:r w:rsidRPr="008738C7">
        <w:rPr>
          <w:sz w:val="26"/>
          <w:szCs w:val="26"/>
        </w:rPr>
        <w:t xml:space="preserve"> </w:t>
      </w:r>
      <w:r w:rsidRPr="008738C7">
        <w:rPr>
          <w:i/>
          <w:iCs/>
          <w:sz w:val="26"/>
          <w:szCs w:val="26"/>
        </w:rPr>
        <w:t xml:space="preserve">Corp. v. Pa. </w:t>
      </w:r>
      <w:r w:rsidR="00B62E2B">
        <w:rPr>
          <w:i/>
          <w:iCs/>
          <w:sz w:val="26"/>
          <w:szCs w:val="26"/>
        </w:rPr>
        <w:t>PUC</w:t>
      </w:r>
      <w:r w:rsidRPr="008738C7">
        <w:rPr>
          <w:sz w:val="26"/>
          <w:szCs w:val="26"/>
        </w:rPr>
        <w:t>, Docket No. 624 C.D. 2019 (unreported opinion filed October 27, 2020) at slip op. 16 (PPL Commonwealth Court Order).</w:t>
      </w:r>
      <w:r w:rsidR="00125AE0" w:rsidRPr="008738C7">
        <w:rPr>
          <w:sz w:val="26"/>
          <w:szCs w:val="26"/>
        </w:rPr>
        <w:t xml:space="preserve">  </w:t>
      </w:r>
      <w:r w:rsidRPr="008738C7">
        <w:rPr>
          <w:sz w:val="26"/>
          <w:szCs w:val="26"/>
        </w:rPr>
        <w:t>However, the Co</w:t>
      </w:r>
      <w:r w:rsidR="00C14B81" w:rsidRPr="008738C7">
        <w:rPr>
          <w:sz w:val="26"/>
          <w:szCs w:val="26"/>
        </w:rPr>
        <w:t>urt</w:t>
      </w:r>
      <w:r w:rsidRPr="008738C7">
        <w:rPr>
          <w:sz w:val="26"/>
          <w:szCs w:val="26"/>
        </w:rPr>
        <w:t xml:space="preserve"> reversed the Commission regarding whether PPL was required to demonstrate a substantial affirmative benefit to the public </w:t>
      </w:r>
      <w:proofErr w:type="gramStart"/>
      <w:r w:rsidRPr="008738C7">
        <w:rPr>
          <w:sz w:val="26"/>
          <w:szCs w:val="26"/>
        </w:rPr>
        <w:t>in order to</w:t>
      </w:r>
      <w:proofErr w:type="gramEnd"/>
      <w:r w:rsidRPr="008738C7">
        <w:rPr>
          <w:sz w:val="26"/>
          <w:szCs w:val="26"/>
        </w:rPr>
        <w:t xml:space="preserve"> have the certificate of public convenience issued.</w:t>
      </w:r>
      <w:r w:rsidR="00313C42" w:rsidRPr="008738C7">
        <w:rPr>
          <w:sz w:val="26"/>
          <w:szCs w:val="26"/>
        </w:rPr>
        <w:t xml:space="preserve">  </w:t>
      </w:r>
      <w:r w:rsidRPr="008738C7">
        <w:rPr>
          <w:sz w:val="26"/>
          <w:szCs w:val="26"/>
        </w:rPr>
        <w:t xml:space="preserve">In doing so, the Court, among other things, distinguished between the issuance of a certificate of public convenience </w:t>
      </w:r>
      <w:r w:rsidR="006734F1" w:rsidRPr="008738C7">
        <w:rPr>
          <w:sz w:val="26"/>
          <w:szCs w:val="26"/>
        </w:rPr>
        <w:t>when there is a merger of two or more public utilities and when there is an internal restructuring of a utility, as is the case here.</w:t>
      </w:r>
      <w:r w:rsidR="00A73F4B" w:rsidRPr="008738C7">
        <w:rPr>
          <w:sz w:val="26"/>
          <w:szCs w:val="26"/>
        </w:rPr>
        <w:t xml:space="preserve">  </w:t>
      </w:r>
      <w:r w:rsidR="006734F1" w:rsidRPr="008738C7">
        <w:rPr>
          <w:i/>
          <w:iCs/>
          <w:sz w:val="26"/>
          <w:szCs w:val="26"/>
        </w:rPr>
        <w:t>Id.</w:t>
      </w:r>
      <w:r w:rsidR="006734F1" w:rsidRPr="008738C7">
        <w:rPr>
          <w:sz w:val="26"/>
          <w:szCs w:val="26"/>
        </w:rPr>
        <w:t xml:space="preserve"> at slip. Op. 22.</w:t>
      </w:r>
      <w:r w:rsidR="00817AB5" w:rsidRPr="008738C7">
        <w:rPr>
          <w:sz w:val="26"/>
          <w:szCs w:val="26"/>
        </w:rPr>
        <w:t xml:space="preserve">  </w:t>
      </w:r>
      <w:r w:rsidR="006734F1" w:rsidRPr="008738C7">
        <w:rPr>
          <w:sz w:val="26"/>
          <w:szCs w:val="26"/>
        </w:rPr>
        <w:t>The Court remanded the proceeding back to the Commission so that the Commission could “formulate the specific criteria or factors to be used in assessing whether [PPL’s] proposed internal restructuring is ‘proper’ for servicing the public with electricity and deserving of a [certificate of public convenience].”</w:t>
      </w:r>
      <w:r w:rsidR="00A73F4B" w:rsidRPr="008738C7">
        <w:rPr>
          <w:sz w:val="26"/>
          <w:szCs w:val="26"/>
        </w:rPr>
        <w:t xml:space="preserve">  </w:t>
      </w:r>
      <w:r w:rsidR="006734F1" w:rsidRPr="008738C7">
        <w:rPr>
          <w:i/>
          <w:iCs/>
          <w:sz w:val="26"/>
          <w:szCs w:val="26"/>
        </w:rPr>
        <w:t>Id.</w:t>
      </w:r>
      <w:r w:rsidR="006734F1" w:rsidRPr="008738C7">
        <w:rPr>
          <w:sz w:val="26"/>
          <w:szCs w:val="26"/>
        </w:rPr>
        <w:t xml:space="preserve"> at 24.</w:t>
      </w:r>
    </w:p>
    <w:p w14:paraId="358A55F6" w14:textId="17108806" w:rsidR="00CB5984" w:rsidRPr="008738C7" w:rsidRDefault="00CB5984" w:rsidP="008738C7">
      <w:pPr>
        <w:pStyle w:val="Default"/>
        <w:spacing w:line="360" w:lineRule="auto"/>
        <w:ind w:firstLine="1440"/>
        <w:rPr>
          <w:sz w:val="26"/>
          <w:szCs w:val="26"/>
        </w:rPr>
      </w:pPr>
    </w:p>
    <w:p w14:paraId="07C92B6F" w14:textId="24B09AAA" w:rsidR="00CB5984" w:rsidRPr="008738C7" w:rsidRDefault="00A673B7" w:rsidP="00B62E2B">
      <w:pPr>
        <w:keepNext/>
        <w:ind w:firstLine="1440"/>
        <w:rPr>
          <w:rFonts w:eastAsiaTheme="minorHAnsi"/>
          <w:sz w:val="26"/>
          <w:szCs w:val="26"/>
        </w:rPr>
      </w:pPr>
      <w:r w:rsidRPr="008738C7">
        <w:rPr>
          <w:rFonts w:eastAsiaTheme="minorHAnsi"/>
          <w:sz w:val="26"/>
          <w:szCs w:val="26"/>
        </w:rPr>
        <w:t>Specifically, t</w:t>
      </w:r>
      <w:r w:rsidR="00CB5984" w:rsidRPr="008738C7">
        <w:rPr>
          <w:rFonts w:eastAsiaTheme="minorHAnsi"/>
          <w:sz w:val="26"/>
          <w:szCs w:val="26"/>
        </w:rPr>
        <w:t xml:space="preserve">he Commonwealth Court in its recent decision on this matter stated: </w:t>
      </w:r>
    </w:p>
    <w:p w14:paraId="4B93E60A" w14:textId="77777777" w:rsidR="00CB5984" w:rsidRPr="008738C7" w:rsidRDefault="00CB5984" w:rsidP="00B62E2B">
      <w:pPr>
        <w:keepNext/>
        <w:ind w:left="720" w:firstLine="720"/>
        <w:rPr>
          <w:rFonts w:eastAsiaTheme="minorHAnsi"/>
          <w:sz w:val="26"/>
          <w:szCs w:val="26"/>
        </w:rPr>
      </w:pPr>
    </w:p>
    <w:p w14:paraId="36F59E5D" w14:textId="30364D91" w:rsidR="00CB5984" w:rsidRPr="008738C7" w:rsidRDefault="00CB5984" w:rsidP="00B62E2B">
      <w:pPr>
        <w:pStyle w:val="Default"/>
        <w:keepNext/>
        <w:ind w:left="1440"/>
        <w:rPr>
          <w:sz w:val="26"/>
          <w:szCs w:val="26"/>
        </w:rPr>
      </w:pPr>
      <w:r w:rsidRPr="008738C7">
        <w:rPr>
          <w:sz w:val="26"/>
          <w:szCs w:val="26"/>
        </w:rPr>
        <w:t xml:space="preserve">In </w:t>
      </w:r>
      <w:r w:rsidRPr="008738C7">
        <w:rPr>
          <w:i/>
          <w:iCs/>
          <w:sz w:val="26"/>
          <w:szCs w:val="26"/>
        </w:rPr>
        <w:t>Elite Industries, Inc</w:t>
      </w:r>
      <w:r w:rsidRPr="008738C7">
        <w:rPr>
          <w:sz w:val="26"/>
          <w:szCs w:val="26"/>
        </w:rPr>
        <w:t xml:space="preserve">., our Supreme Court reviewed section 1103(a) of the Code and concluded that this Court erred in determining that an applicant for a CPC to operate a limousine service had to prove </w:t>
      </w:r>
      <w:r w:rsidR="00B62E2B">
        <w:rPr>
          <w:sz w:val="26"/>
          <w:szCs w:val="26"/>
        </w:rPr>
        <w:t>“</w:t>
      </w:r>
      <w:r w:rsidRPr="008738C7">
        <w:rPr>
          <w:sz w:val="26"/>
          <w:szCs w:val="26"/>
        </w:rPr>
        <w:t>public necessity</w:t>
      </w:r>
      <w:r w:rsidR="00B62E2B">
        <w:rPr>
          <w:sz w:val="26"/>
          <w:szCs w:val="26"/>
        </w:rPr>
        <w:t>”</w:t>
      </w:r>
      <w:r w:rsidRPr="008738C7">
        <w:rPr>
          <w:sz w:val="26"/>
          <w:szCs w:val="26"/>
        </w:rPr>
        <w:t xml:space="preserve"> or </w:t>
      </w:r>
      <w:r w:rsidR="00B62E2B">
        <w:rPr>
          <w:sz w:val="26"/>
          <w:szCs w:val="26"/>
        </w:rPr>
        <w:t>“</w:t>
      </w:r>
      <w:r w:rsidRPr="008738C7">
        <w:rPr>
          <w:sz w:val="26"/>
          <w:szCs w:val="26"/>
        </w:rPr>
        <w:t>public need.</w:t>
      </w:r>
      <w:r w:rsidR="00B62E2B">
        <w:rPr>
          <w:sz w:val="26"/>
          <w:szCs w:val="26"/>
        </w:rPr>
        <w:t>”</w:t>
      </w:r>
      <w:r w:rsidRPr="008738C7">
        <w:rPr>
          <w:sz w:val="26"/>
          <w:szCs w:val="26"/>
        </w:rPr>
        <w:t xml:space="preserve"> 832 A.2d at 430-31.  The Supreme Court found that we erroneously </w:t>
      </w:r>
      <w:r w:rsidR="00B62E2B">
        <w:rPr>
          <w:sz w:val="26"/>
          <w:szCs w:val="26"/>
        </w:rPr>
        <w:t>“</w:t>
      </w:r>
      <w:r w:rsidRPr="008738C7">
        <w:rPr>
          <w:sz w:val="26"/>
          <w:szCs w:val="26"/>
        </w:rPr>
        <w:t>focused only on 23 on competition,</w:t>
      </w:r>
      <w:r w:rsidR="00B62E2B">
        <w:rPr>
          <w:sz w:val="26"/>
          <w:szCs w:val="26"/>
        </w:rPr>
        <w:t>”</w:t>
      </w:r>
      <w:r w:rsidRPr="008738C7">
        <w:rPr>
          <w:sz w:val="26"/>
          <w:szCs w:val="26"/>
        </w:rPr>
        <w:t xml:space="preserve"> </w:t>
      </w:r>
      <w:r w:rsidRPr="008738C7">
        <w:rPr>
          <w:i/>
          <w:iCs/>
          <w:sz w:val="26"/>
          <w:szCs w:val="26"/>
        </w:rPr>
        <w:t>Lloyd</w:t>
      </w:r>
      <w:r w:rsidRPr="008738C7">
        <w:rPr>
          <w:sz w:val="26"/>
          <w:szCs w:val="26"/>
        </w:rPr>
        <w:t xml:space="preserve">, 17 A.3d at 434, or lower prices to consumers.  </w:t>
      </w:r>
      <w:r w:rsidRPr="008738C7">
        <w:rPr>
          <w:i/>
          <w:iCs/>
          <w:sz w:val="26"/>
          <w:szCs w:val="26"/>
        </w:rPr>
        <w:t>See City of York</w:t>
      </w:r>
      <w:r w:rsidRPr="008738C7">
        <w:rPr>
          <w:sz w:val="26"/>
          <w:szCs w:val="26"/>
        </w:rPr>
        <w:t xml:space="preserve">, 295 A.2d at 829.  Quite simply, this mode of analysis does not fit the facts of this case and has no place in the calculus for determining whether Utility has met the statutory requirements for a CPC.  Our Supreme Court has cautioned that its decisions must be read against their specific facts because </w:t>
      </w:r>
      <w:r w:rsidR="00D87376">
        <w:rPr>
          <w:sz w:val="26"/>
          <w:szCs w:val="26"/>
        </w:rPr>
        <w:t>“</w:t>
      </w:r>
      <w:r w:rsidRPr="008738C7">
        <w:rPr>
          <w:sz w:val="26"/>
          <w:szCs w:val="26"/>
        </w:rPr>
        <w:t>decisional law generally develops incrementally, within the confines of the circumstances of cases as they come before the Court.</w:t>
      </w:r>
      <w:r w:rsidR="00D87376">
        <w:rPr>
          <w:sz w:val="26"/>
          <w:szCs w:val="26"/>
        </w:rPr>
        <w:t>”</w:t>
      </w:r>
      <w:r w:rsidRPr="008738C7">
        <w:rPr>
          <w:sz w:val="26"/>
          <w:szCs w:val="26"/>
        </w:rPr>
        <w:t xml:space="preserve">  </w:t>
      </w:r>
      <w:proofErr w:type="spellStart"/>
      <w:r w:rsidRPr="008738C7">
        <w:rPr>
          <w:i/>
          <w:iCs/>
          <w:sz w:val="26"/>
          <w:szCs w:val="26"/>
        </w:rPr>
        <w:t>Scampone</w:t>
      </w:r>
      <w:proofErr w:type="spellEnd"/>
      <w:r w:rsidRPr="008738C7">
        <w:rPr>
          <w:sz w:val="26"/>
          <w:szCs w:val="26"/>
        </w:rPr>
        <w:t xml:space="preserve"> </w:t>
      </w:r>
      <w:r w:rsidRPr="008738C7">
        <w:rPr>
          <w:i/>
          <w:iCs/>
          <w:sz w:val="26"/>
          <w:szCs w:val="26"/>
        </w:rPr>
        <w:t xml:space="preserve">v. Highland Park Care </w:t>
      </w:r>
      <w:r w:rsidRPr="00D87376">
        <w:rPr>
          <w:i/>
          <w:iCs/>
          <w:sz w:val="26"/>
          <w:szCs w:val="26"/>
        </w:rPr>
        <w:t>Center, LLC</w:t>
      </w:r>
      <w:r w:rsidRPr="008738C7">
        <w:rPr>
          <w:sz w:val="26"/>
          <w:szCs w:val="26"/>
        </w:rPr>
        <w:t xml:space="preserve">, 57 A.3d 582, 604 (Pa. 2012).  We follow that lead here and conclude that the </w:t>
      </w:r>
      <w:r w:rsidR="00D87376">
        <w:rPr>
          <w:sz w:val="26"/>
          <w:szCs w:val="26"/>
        </w:rPr>
        <w:t>“</w:t>
      </w:r>
      <w:r w:rsidRPr="008738C7">
        <w:rPr>
          <w:sz w:val="26"/>
          <w:szCs w:val="26"/>
        </w:rPr>
        <w:t>substantial</w:t>
      </w:r>
      <w:r w:rsidR="00D87376">
        <w:rPr>
          <w:sz w:val="26"/>
          <w:szCs w:val="26"/>
        </w:rPr>
        <w:t>”</w:t>
      </w:r>
      <w:r w:rsidRPr="008738C7">
        <w:rPr>
          <w:sz w:val="26"/>
          <w:szCs w:val="26"/>
        </w:rPr>
        <w:t xml:space="preserve"> and </w:t>
      </w:r>
      <w:r w:rsidR="00D87376">
        <w:rPr>
          <w:sz w:val="26"/>
          <w:szCs w:val="26"/>
        </w:rPr>
        <w:t>“</w:t>
      </w:r>
      <w:r w:rsidRPr="008738C7">
        <w:rPr>
          <w:sz w:val="26"/>
          <w:szCs w:val="26"/>
        </w:rPr>
        <w:t>affirmative public benefit</w:t>
      </w:r>
      <w:r w:rsidR="00D87376">
        <w:rPr>
          <w:sz w:val="26"/>
          <w:szCs w:val="26"/>
        </w:rPr>
        <w:t>”</w:t>
      </w:r>
      <w:r w:rsidRPr="008738C7">
        <w:rPr>
          <w:sz w:val="26"/>
          <w:szCs w:val="26"/>
        </w:rPr>
        <w:t xml:space="preserve"> test developed in </w:t>
      </w:r>
      <w:r w:rsidRPr="008738C7">
        <w:rPr>
          <w:i/>
          <w:iCs/>
          <w:sz w:val="26"/>
          <w:szCs w:val="26"/>
        </w:rPr>
        <w:t>City of York</w:t>
      </w:r>
      <w:r w:rsidRPr="008738C7">
        <w:rPr>
          <w:sz w:val="26"/>
          <w:szCs w:val="26"/>
        </w:rPr>
        <w:t xml:space="preserve"> and </w:t>
      </w:r>
      <w:proofErr w:type="spellStart"/>
      <w:r w:rsidRPr="008738C7">
        <w:rPr>
          <w:i/>
          <w:iCs/>
          <w:sz w:val="26"/>
          <w:szCs w:val="26"/>
        </w:rPr>
        <w:t>Popowsky</w:t>
      </w:r>
      <w:proofErr w:type="spellEnd"/>
      <w:r w:rsidRPr="008738C7">
        <w:rPr>
          <w:sz w:val="26"/>
          <w:szCs w:val="26"/>
        </w:rPr>
        <w:t xml:space="preserve"> is circumscribed to utilities</w:t>
      </w:r>
      <w:r w:rsidR="00D87376">
        <w:rPr>
          <w:sz w:val="26"/>
          <w:szCs w:val="26"/>
        </w:rPr>
        <w:t>’</w:t>
      </w:r>
      <w:r w:rsidRPr="008738C7">
        <w:rPr>
          <w:sz w:val="26"/>
          <w:szCs w:val="26"/>
        </w:rPr>
        <w:t xml:space="preserve"> applications for a merger, consolidation, or the like, specifically where two separate public utilities propose to combine.  This analysis, however, is ill suited and unworkable for internal reorganizations such as the one in this case, where a parent creates subsidiaries that are set up as holding companies and only one public utility is moved downward in the parental vertical chain.  In this situation, a less demanding evidentiary burden is warranted-one that does not mandate an appraisal of the effects on competition in the </w:t>
      </w:r>
      <w:proofErr w:type="gramStart"/>
      <w:r w:rsidRPr="008738C7">
        <w:rPr>
          <w:sz w:val="26"/>
          <w:szCs w:val="26"/>
        </w:rPr>
        <w:t>marketplace, yet</w:t>
      </w:r>
      <w:proofErr w:type="gramEnd"/>
      <w:r w:rsidRPr="008738C7">
        <w:rPr>
          <w:sz w:val="26"/>
          <w:szCs w:val="26"/>
        </w:rPr>
        <w:t xml:space="preserve"> is consistent with the plain language of the statute, and pays due consideration to the public.  Therefore, the Court concludes that, contrary to the Commission's understanding, the Commission was not bound to apply the test enunciated in </w:t>
      </w:r>
      <w:r w:rsidRPr="008738C7">
        <w:rPr>
          <w:i/>
          <w:iCs/>
          <w:sz w:val="26"/>
          <w:szCs w:val="26"/>
        </w:rPr>
        <w:t>City of York</w:t>
      </w:r>
      <w:r w:rsidRPr="008738C7">
        <w:rPr>
          <w:sz w:val="26"/>
          <w:szCs w:val="26"/>
        </w:rPr>
        <w:t xml:space="preserve"> and </w:t>
      </w:r>
      <w:proofErr w:type="spellStart"/>
      <w:r w:rsidRPr="008738C7">
        <w:rPr>
          <w:i/>
          <w:iCs/>
          <w:sz w:val="26"/>
          <w:szCs w:val="26"/>
        </w:rPr>
        <w:t>Popowsky</w:t>
      </w:r>
      <w:proofErr w:type="spellEnd"/>
      <w:r w:rsidRPr="008738C7">
        <w:rPr>
          <w:sz w:val="26"/>
          <w:szCs w:val="26"/>
        </w:rPr>
        <w:t xml:space="preserve">, and we reverse the Commission on this point.  In </w:t>
      </w:r>
      <w:r w:rsidRPr="008738C7">
        <w:rPr>
          <w:i/>
          <w:iCs/>
          <w:sz w:val="26"/>
          <w:szCs w:val="26"/>
        </w:rPr>
        <w:t>Elite Industries, Inc</w:t>
      </w:r>
      <w:r w:rsidRPr="008738C7">
        <w:rPr>
          <w:sz w:val="26"/>
          <w:szCs w:val="26"/>
        </w:rPr>
        <w:t xml:space="preserve">., our Supreme Court reviewed section 1103(a) of the Code and concluded that this Court erred in determining that an applicant for a CPC to operate a limousine service had to prove </w:t>
      </w:r>
      <w:r w:rsidR="00D87376">
        <w:rPr>
          <w:sz w:val="26"/>
          <w:szCs w:val="26"/>
        </w:rPr>
        <w:t>“</w:t>
      </w:r>
      <w:r w:rsidRPr="008738C7">
        <w:rPr>
          <w:sz w:val="26"/>
          <w:szCs w:val="26"/>
        </w:rPr>
        <w:t>public necessity</w:t>
      </w:r>
      <w:r w:rsidR="00D87376">
        <w:rPr>
          <w:sz w:val="26"/>
          <w:szCs w:val="26"/>
        </w:rPr>
        <w:t>”</w:t>
      </w:r>
      <w:r w:rsidRPr="008738C7">
        <w:rPr>
          <w:sz w:val="26"/>
          <w:szCs w:val="26"/>
        </w:rPr>
        <w:t xml:space="preserve"> or </w:t>
      </w:r>
      <w:r w:rsidR="00D87376">
        <w:rPr>
          <w:sz w:val="26"/>
          <w:szCs w:val="26"/>
        </w:rPr>
        <w:t>“</w:t>
      </w:r>
      <w:r w:rsidRPr="008738C7">
        <w:rPr>
          <w:sz w:val="26"/>
          <w:szCs w:val="26"/>
        </w:rPr>
        <w:t>public need.</w:t>
      </w:r>
      <w:r w:rsidR="00D87376">
        <w:rPr>
          <w:sz w:val="26"/>
          <w:szCs w:val="26"/>
        </w:rPr>
        <w:t>”</w:t>
      </w:r>
      <w:r w:rsidRPr="008738C7">
        <w:rPr>
          <w:sz w:val="26"/>
          <w:szCs w:val="26"/>
        </w:rPr>
        <w:t xml:space="preserve"> 832 A.2d at 430-31. The Supreme Court found that we erroneously </w:t>
      </w:r>
      <w:r w:rsidR="00D87376">
        <w:rPr>
          <w:sz w:val="26"/>
          <w:szCs w:val="26"/>
        </w:rPr>
        <w:t>“</w:t>
      </w:r>
      <w:r w:rsidRPr="008738C7">
        <w:rPr>
          <w:sz w:val="26"/>
          <w:szCs w:val="26"/>
        </w:rPr>
        <w:t xml:space="preserve">focused only on 23 the word </w:t>
      </w:r>
      <w:r w:rsidR="00D87376">
        <w:rPr>
          <w:sz w:val="26"/>
          <w:szCs w:val="26"/>
        </w:rPr>
        <w:t>‘</w:t>
      </w:r>
      <w:r w:rsidRPr="008738C7">
        <w:rPr>
          <w:sz w:val="26"/>
          <w:szCs w:val="26"/>
        </w:rPr>
        <w:t>necessary</w:t>
      </w:r>
      <w:r w:rsidR="00D87376">
        <w:rPr>
          <w:sz w:val="26"/>
          <w:szCs w:val="26"/>
        </w:rPr>
        <w:t>’</w:t>
      </w:r>
      <w:r w:rsidRPr="008738C7">
        <w:rPr>
          <w:sz w:val="26"/>
          <w:szCs w:val="26"/>
        </w:rPr>
        <w:t xml:space="preserve"> rather than on the phrase </w:t>
      </w:r>
      <w:r w:rsidR="00D87376">
        <w:rPr>
          <w:sz w:val="26"/>
          <w:szCs w:val="26"/>
        </w:rPr>
        <w:t>‘</w:t>
      </w:r>
      <w:r w:rsidRPr="008738C7">
        <w:rPr>
          <w:sz w:val="26"/>
          <w:szCs w:val="26"/>
        </w:rPr>
        <w:t>necessary or proper.</w:t>
      </w:r>
      <w:r w:rsidR="00D87376">
        <w:rPr>
          <w:sz w:val="26"/>
          <w:szCs w:val="26"/>
        </w:rPr>
        <w:t>’”</w:t>
      </w:r>
      <w:r w:rsidRPr="008738C7">
        <w:rPr>
          <w:sz w:val="26"/>
          <w:szCs w:val="26"/>
        </w:rPr>
        <w:t xml:space="preserve">  </w:t>
      </w:r>
      <w:r w:rsidRPr="008738C7">
        <w:rPr>
          <w:i/>
          <w:iCs/>
          <w:sz w:val="26"/>
          <w:szCs w:val="26"/>
        </w:rPr>
        <w:t>Id</w:t>
      </w:r>
      <w:r w:rsidRPr="008738C7">
        <w:rPr>
          <w:sz w:val="26"/>
          <w:szCs w:val="26"/>
        </w:rPr>
        <w:t xml:space="preserve">. at 431.  "However," said the Supreme Court, </w:t>
      </w:r>
      <w:r w:rsidR="00D87376">
        <w:rPr>
          <w:sz w:val="26"/>
          <w:szCs w:val="26"/>
        </w:rPr>
        <w:t>“</w:t>
      </w:r>
      <w:r w:rsidRPr="008738C7">
        <w:rPr>
          <w:sz w:val="26"/>
          <w:szCs w:val="26"/>
        </w:rPr>
        <w:t xml:space="preserve">the conjunction </w:t>
      </w:r>
      <w:r w:rsidR="00D87376">
        <w:rPr>
          <w:sz w:val="26"/>
          <w:szCs w:val="26"/>
        </w:rPr>
        <w:t>‘</w:t>
      </w:r>
      <w:r w:rsidRPr="008738C7">
        <w:rPr>
          <w:sz w:val="26"/>
          <w:szCs w:val="26"/>
        </w:rPr>
        <w:t>or</w:t>
      </w:r>
      <w:r w:rsidR="00D87376">
        <w:rPr>
          <w:sz w:val="26"/>
          <w:szCs w:val="26"/>
        </w:rPr>
        <w:t>’</w:t>
      </w:r>
      <w:r w:rsidRPr="008738C7">
        <w:rPr>
          <w:sz w:val="26"/>
          <w:szCs w:val="26"/>
        </w:rPr>
        <w:t xml:space="preserve"> must be given its ordinarily disjunctive meaning unless such a construction would lead to an absurd result.</w:t>
      </w:r>
      <w:r w:rsidR="00D87376">
        <w:rPr>
          <w:sz w:val="26"/>
          <w:szCs w:val="26"/>
        </w:rPr>
        <w:t>”</w:t>
      </w:r>
      <w:r w:rsidRPr="008738C7">
        <w:rPr>
          <w:sz w:val="26"/>
          <w:szCs w:val="26"/>
        </w:rPr>
        <w:t xml:space="preserve">  </w:t>
      </w:r>
      <w:r w:rsidRPr="008738C7">
        <w:rPr>
          <w:i/>
          <w:iCs/>
          <w:sz w:val="26"/>
          <w:szCs w:val="26"/>
        </w:rPr>
        <w:t>Id</w:t>
      </w:r>
      <w:r w:rsidRPr="008738C7">
        <w:rPr>
          <w:sz w:val="26"/>
          <w:szCs w:val="26"/>
        </w:rPr>
        <w:t xml:space="preserve">.  Heeding this advice, we believe the Commission can conduct a disjunctive analysis in this case and that, for purposes of section 1103(a), Utility need only establish—and the Commission need only find—that granting a CPC would be </w:t>
      </w:r>
      <w:r w:rsidR="00D87376">
        <w:rPr>
          <w:sz w:val="26"/>
          <w:szCs w:val="26"/>
        </w:rPr>
        <w:t>“</w:t>
      </w:r>
      <w:r w:rsidRPr="008738C7">
        <w:rPr>
          <w:sz w:val="26"/>
          <w:szCs w:val="26"/>
        </w:rPr>
        <w:t>proper for the service . . . of the public.</w:t>
      </w:r>
      <w:r w:rsidR="00D87376">
        <w:rPr>
          <w:sz w:val="26"/>
          <w:szCs w:val="26"/>
        </w:rPr>
        <w:t>”</w:t>
      </w:r>
      <w:r w:rsidRPr="008738C7">
        <w:rPr>
          <w:sz w:val="26"/>
          <w:szCs w:val="26"/>
        </w:rPr>
        <w:t xml:space="preserve">  66 </w:t>
      </w:r>
      <w:proofErr w:type="spellStart"/>
      <w:r w:rsidRPr="008738C7">
        <w:rPr>
          <w:sz w:val="26"/>
          <w:szCs w:val="26"/>
        </w:rPr>
        <w:t>Pa.C.S</w:t>
      </w:r>
      <w:proofErr w:type="spellEnd"/>
      <w:r w:rsidRPr="008738C7">
        <w:rPr>
          <w:sz w:val="26"/>
          <w:szCs w:val="26"/>
        </w:rPr>
        <w:t xml:space="preserve">. §1103(a).  As a general guide, the customary dictionary definition of </w:t>
      </w:r>
      <w:r w:rsidR="00D87376">
        <w:rPr>
          <w:sz w:val="26"/>
          <w:szCs w:val="26"/>
        </w:rPr>
        <w:t>“</w:t>
      </w:r>
      <w:r w:rsidRPr="008738C7">
        <w:rPr>
          <w:sz w:val="26"/>
          <w:szCs w:val="26"/>
        </w:rPr>
        <w:t>proper</w:t>
      </w:r>
      <w:r w:rsidR="00D87376">
        <w:rPr>
          <w:sz w:val="26"/>
          <w:szCs w:val="26"/>
        </w:rPr>
        <w:t>”</w:t>
      </w:r>
      <w:r w:rsidRPr="008738C7">
        <w:rPr>
          <w:sz w:val="26"/>
          <w:szCs w:val="26"/>
        </w:rPr>
        <w:t xml:space="preserve"> is being </w:t>
      </w:r>
      <w:r w:rsidR="00D87376">
        <w:rPr>
          <w:sz w:val="26"/>
          <w:szCs w:val="26"/>
        </w:rPr>
        <w:t>“</w:t>
      </w:r>
      <w:r w:rsidRPr="008738C7">
        <w:rPr>
          <w:sz w:val="26"/>
          <w:szCs w:val="26"/>
        </w:rPr>
        <w:t>adapted or appropriate to the purpose or circumstances; fit; suitable.</w:t>
      </w:r>
      <w:r w:rsidR="00D87376">
        <w:rPr>
          <w:sz w:val="26"/>
          <w:szCs w:val="26"/>
        </w:rPr>
        <w:t>”</w:t>
      </w:r>
      <w:r w:rsidRPr="008738C7">
        <w:rPr>
          <w:sz w:val="26"/>
          <w:szCs w:val="26"/>
        </w:rPr>
        <w:t xml:space="preserve">  </w:t>
      </w:r>
      <w:proofErr w:type="spellStart"/>
      <w:r w:rsidRPr="008738C7">
        <w:rPr>
          <w:i/>
          <w:iCs/>
          <w:sz w:val="26"/>
          <w:szCs w:val="26"/>
        </w:rPr>
        <w:t>Vodvarka</w:t>
      </w:r>
      <w:proofErr w:type="spellEnd"/>
      <w:r w:rsidRPr="008738C7">
        <w:rPr>
          <w:i/>
          <w:iCs/>
          <w:sz w:val="26"/>
          <w:szCs w:val="26"/>
        </w:rPr>
        <w:t xml:space="preserve"> v </w:t>
      </w:r>
      <w:proofErr w:type="spellStart"/>
      <w:r w:rsidRPr="008738C7">
        <w:rPr>
          <w:i/>
          <w:iCs/>
          <w:sz w:val="26"/>
          <w:szCs w:val="26"/>
        </w:rPr>
        <w:t>Grasmeyer</w:t>
      </w:r>
      <w:proofErr w:type="spellEnd"/>
      <w:r w:rsidRPr="008738C7">
        <w:rPr>
          <w:sz w:val="26"/>
          <w:szCs w:val="26"/>
        </w:rPr>
        <w:t xml:space="preserve">, 675 N.W.2d 847, 853 (Mich. Ct. App. 2003) (quoting Random House College Dictionary 1061 (rev. ed. 1979)).  Nonetheless, we leave it to the sound discretion of the Commission to formulate the specific criteria or factors to be used in assessing whether Utility's proposed internal restructuring is </w:t>
      </w:r>
      <w:r w:rsidR="00D87376">
        <w:rPr>
          <w:sz w:val="26"/>
          <w:szCs w:val="26"/>
        </w:rPr>
        <w:t>“</w:t>
      </w:r>
      <w:r w:rsidRPr="008738C7">
        <w:rPr>
          <w:sz w:val="26"/>
          <w:szCs w:val="26"/>
        </w:rPr>
        <w:t>proper</w:t>
      </w:r>
      <w:r w:rsidR="00D87376">
        <w:rPr>
          <w:sz w:val="26"/>
          <w:szCs w:val="26"/>
        </w:rPr>
        <w:t>”</w:t>
      </w:r>
      <w:r w:rsidRPr="008738C7">
        <w:rPr>
          <w:sz w:val="26"/>
          <w:szCs w:val="26"/>
        </w:rPr>
        <w:t xml:space="preserve"> for servicing the public with electricity and deserving of a CPC.  </w:t>
      </w:r>
      <w:r w:rsidRPr="008738C7">
        <w:rPr>
          <w:i/>
          <w:iCs/>
          <w:sz w:val="26"/>
          <w:szCs w:val="26"/>
        </w:rPr>
        <w:t>See Elite Industries, Inc</w:t>
      </w:r>
      <w:r w:rsidRPr="008738C7">
        <w:rPr>
          <w:sz w:val="26"/>
          <w:szCs w:val="26"/>
        </w:rPr>
        <w:t>., 832</w:t>
      </w:r>
      <w:r w:rsidR="00D87376">
        <w:rPr>
          <w:sz w:val="26"/>
          <w:szCs w:val="26"/>
        </w:rPr>
        <w:t> </w:t>
      </w:r>
      <w:r w:rsidRPr="008738C7">
        <w:rPr>
          <w:sz w:val="26"/>
          <w:szCs w:val="26"/>
        </w:rPr>
        <w:t>A.2d at 432.  Accordingly, we remand to the Commission to undertake this inquiry and determine whether Utility is entitled to a CPC pursuant to the above-mentioned standard.</w:t>
      </w:r>
      <w:r w:rsidRPr="008738C7">
        <w:rPr>
          <w:rStyle w:val="FootnoteReference"/>
        </w:rPr>
        <w:footnoteReference w:id="2"/>
      </w:r>
    </w:p>
    <w:p w14:paraId="7B85502A" w14:textId="4C97C57E" w:rsidR="00764E7A" w:rsidRPr="008738C7" w:rsidRDefault="00764E7A" w:rsidP="00D87376">
      <w:pPr>
        <w:pStyle w:val="Default"/>
        <w:spacing w:line="360" w:lineRule="auto"/>
        <w:rPr>
          <w:sz w:val="26"/>
          <w:szCs w:val="26"/>
        </w:rPr>
      </w:pPr>
    </w:p>
    <w:p w14:paraId="75806197" w14:textId="442C9814" w:rsidR="00764E7A" w:rsidRPr="008738C7" w:rsidRDefault="00764E7A" w:rsidP="008738C7">
      <w:pPr>
        <w:pStyle w:val="Default"/>
        <w:rPr>
          <w:sz w:val="26"/>
          <w:szCs w:val="26"/>
        </w:rPr>
      </w:pPr>
      <w:r w:rsidRPr="008738C7">
        <w:rPr>
          <w:i/>
          <w:iCs/>
          <w:sz w:val="26"/>
          <w:szCs w:val="26"/>
        </w:rPr>
        <w:t>Id</w:t>
      </w:r>
      <w:r w:rsidRPr="008738C7">
        <w:rPr>
          <w:sz w:val="26"/>
          <w:szCs w:val="26"/>
        </w:rPr>
        <w:t xml:space="preserve">. at </w:t>
      </w:r>
      <w:r w:rsidR="00606F1B" w:rsidRPr="008738C7">
        <w:rPr>
          <w:sz w:val="26"/>
          <w:szCs w:val="26"/>
        </w:rPr>
        <w:t>32-33.</w:t>
      </w:r>
    </w:p>
    <w:p w14:paraId="45EAAB89" w14:textId="56C39058" w:rsidR="00764E7A" w:rsidRPr="008738C7" w:rsidRDefault="00764E7A" w:rsidP="008738C7">
      <w:pPr>
        <w:pStyle w:val="Default"/>
        <w:rPr>
          <w:sz w:val="26"/>
          <w:szCs w:val="26"/>
        </w:rPr>
      </w:pPr>
    </w:p>
    <w:p w14:paraId="27855730" w14:textId="77777777" w:rsidR="00764E7A" w:rsidRPr="008738C7" w:rsidRDefault="00764E7A" w:rsidP="008738C7">
      <w:pPr>
        <w:pStyle w:val="Default"/>
        <w:rPr>
          <w:sz w:val="26"/>
          <w:szCs w:val="26"/>
        </w:rPr>
      </w:pPr>
    </w:p>
    <w:p w14:paraId="7C5A2EA5" w14:textId="234FD9F1" w:rsidR="00E84B35" w:rsidRPr="008738C7" w:rsidRDefault="007808F6" w:rsidP="008738C7">
      <w:pPr>
        <w:pStyle w:val="Default"/>
        <w:spacing w:line="360" w:lineRule="auto"/>
        <w:ind w:firstLine="1440"/>
        <w:rPr>
          <w:sz w:val="26"/>
          <w:szCs w:val="26"/>
        </w:rPr>
      </w:pPr>
      <w:r w:rsidRPr="008738C7">
        <w:rPr>
          <w:sz w:val="26"/>
          <w:szCs w:val="26"/>
        </w:rPr>
        <w:t xml:space="preserve">Finally, </w:t>
      </w:r>
      <w:proofErr w:type="gramStart"/>
      <w:r w:rsidRPr="008738C7">
        <w:rPr>
          <w:sz w:val="26"/>
          <w:szCs w:val="26"/>
        </w:rPr>
        <w:t>with regard to</w:t>
      </w:r>
      <w:proofErr w:type="gramEnd"/>
      <w:r w:rsidRPr="008738C7">
        <w:rPr>
          <w:sz w:val="26"/>
          <w:szCs w:val="26"/>
        </w:rPr>
        <w:t xml:space="preserve"> the legal standard applied in this case, the </w:t>
      </w:r>
      <w:r w:rsidR="00120DA8" w:rsidRPr="008738C7">
        <w:rPr>
          <w:sz w:val="26"/>
          <w:szCs w:val="26"/>
        </w:rPr>
        <w:t>P</w:t>
      </w:r>
      <w:r w:rsidRPr="008738C7">
        <w:rPr>
          <w:sz w:val="26"/>
          <w:szCs w:val="26"/>
        </w:rPr>
        <w:t xml:space="preserve">arties submitted a </w:t>
      </w:r>
      <w:r w:rsidR="00FC48A2" w:rsidRPr="008738C7">
        <w:rPr>
          <w:sz w:val="26"/>
          <w:szCs w:val="26"/>
        </w:rPr>
        <w:t>s</w:t>
      </w:r>
      <w:r w:rsidRPr="008738C7">
        <w:rPr>
          <w:sz w:val="26"/>
          <w:szCs w:val="26"/>
        </w:rPr>
        <w:t>ettlement of all issues.</w:t>
      </w:r>
      <w:r w:rsidR="00071254" w:rsidRPr="008738C7">
        <w:rPr>
          <w:sz w:val="26"/>
          <w:szCs w:val="26"/>
        </w:rPr>
        <w:t xml:space="preserve">  </w:t>
      </w:r>
      <w:r w:rsidRPr="008738C7">
        <w:rPr>
          <w:sz w:val="26"/>
          <w:szCs w:val="26"/>
        </w:rPr>
        <w:t>Commission policy promotes settlements.</w:t>
      </w:r>
      <w:r w:rsidR="00B31712" w:rsidRPr="008738C7">
        <w:rPr>
          <w:sz w:val="26"/>
          <w:szCs w:val="26"/>
        </w:rPr>
        <w:t xml:space="preserve">  </w:t>
      </w:r>
      <w:r w:rsidRPr="008738C7">
        <w:rPr>
          <w:sz w:val="26"/>
          <w:szCs w:val="26"/>
        </w:rPr>
        <w:t>52</w:t>
      </w:r>
      <w:r w:rsidR="00D87376">
        <w:rPr>
          <w:sz w:val="26"/>
          <w:szCs w:val="26"/>
        </w:rPr>
        <w:t> </w:t>
      </w:r>
      <w:r w:rsidRPr="008738C7">
        <w:rPr>
          <w:sz w:val="26"/>
          <w:szCs w:val="26"/>
        </w:rPr>
        <w:t>Pa.</w:t>
      </w:r>
      <w:r w:rsidR="00D87376">
        <w:rPr>
          <w:sz w:val="26"/>
          <w:szCs w:val="26"/>
        </w:rPr>
        <w:t> </w:t>
      </w:r>
      <w:r w:rsidRPr="008738C7">
        <w:rPr>
          <w:sz w:val="26"/>
          <w:szCs w:val="26"/>
        </w:rPr>
        <w:t>Code § 5.231.</w:t>
      </w:r>
      <w:r w:rsidR="00B31712" w:rsidRPr="008738C7">
        <w:rPr>
          <w:sz w:val="26"/>
          <w:szCs w:val="26"/>
        </w:rPr>
        <w:t xml:space="preserve">  </w:t>
      </w:r>
      <w:r w:rsidRPr="008738C7">
        <w:rPr>
          <w:sz w:val="26"/>
          <w:szCs w:val="26"/>
        </w:rPr>
        <w:t>Settlements lessen the time and expense the parties must expend litigating a case and at the same time conserve administrative resources.</w:t>
      </w:r>
      <w:r w:rsidR="00B31712" w:rsidRPr="008738C7">
        <w:rPr>
          <w:sz w:val="26"/>
          <w:szCs w:val="26"/>
        </w:rPr>
        <w:t xml:space="preserve">  </w:t>
      </w:r>
      <w:r w:rsidRPr="008738C7">
        <w:rPr>
          <w:sz w:val="26"/>
          <w:szCs w:val="26"/>
        </w:rPr>
        <w:t>The Commission has indicated that settlement results are often preferable to those achieved at the conclusion of a fully litigated proceeding.</w:t>
      </w:r>
      <w:r w:rsidR="00B043A6" w:rsidRPr="008738C7">
        <w:rPr>
          <w:sz w:val="26"/>
          <w:szCs w:val="26"/>
        </w:rPr>
        <w:t xml:space="preserve">  </w:t>
      </w:r>
      <w:r w:rsidRPr="008738C7">
        <w:rPr>
          <w:sz w:val="26"/>
          <w:szCs w:val="26"/>
        </w:rPr>
        <w:t>52 Pa. Code § 69.401.</w:t>
      </w:r>
      <w:r w:rsidR="00B31712" w:rsidRPr="008738C7">
        <w:rPr>
          <w:sz w:val="26"/>
          <w:szCs w:val="26"/>
        </w:rPr>
        <w:t xml:space="preserve">  </w:t>
      </w:r>
      <w:r w:rsidRPr="008738C7">
        <w:rPr>
          <w:sz w:val="26"/>
          <w:szCs w:val="26"/>
        </w:rPr>
        <w:t>The focus of inquiry for determining whether a proposed settlement should be recommended for approval is not a “burden of proof” standard, as is utilized for contested matters.</w:t>
      </w:r>
      <w:r w:rsidR="00EB5D3E" w:rsidRPr="008738C7">
        <w:rPr>
          <w:sz w:val="26"/>
          <w:szCs w:val="26"/>
        </w:rPr>
        <w:t xml:space="preserve">  </w:t>
      </w:r>
      <w:r w:rsidRPr="008738C7">
        <w:rPr>
          <w:i/>
          <w:iCs/>
          <w:sz w:val="26"/>
          <w:szCs w:val="26"/>
        </w:rPr>
        <w:t>Pa.</w:t>
      </w:r>
      <w:r w:rsidR="00D87376">
        <w:rPr>
          <w:i/>
          <w:iCs/>
          <w:sz w:val="26"/>
          <w:szCs w:val="26"/>
        </w:rPr>
        <w:t> </w:t>
      </w:r>
      <w:r w:rsidRPr="008738C7">
        <w:rPr>
          <w:i/>
          <w:iCs/>
          <w:sz w:val="26"/>
          <w:szCs w:val="26"/>
        </w:rPr>
        <w:t>P</w:t>
      </w:r>
      <w:r w:rsidR="00D87376">
        <w:rPr>
          <w:i/>
          <w:iCs/>
          <w:sz w:val="26"/>
          <w:szCs w:val="26"/>
        </w:rPr>
        <w:t>UC</w:t>
      </w:r>
      <w:r w:rsidRPr="008738C7">
        <w:rPr>
          <w:i/>
          <w:iCs/>
          <w:sz w:val="26"/>
          <w:szCs w:val="26"/>
        </w:rPr>
        <w:t xml:space="preserve"> v. City of Lancaster – Bureau of Water</w:t>
      </w:r>
      <w:r w:rsidRPr="00D87376">
        <w:rPr>
          <w:sz w:val="26"/>
          <w:szCs w:val="26"/>
        </w:rPr>
        <w:t>,</w:t>
      </w:r>
      <w:r w:rsidRPr="008738C7">
        <w:rPr>
          <w:sz w:val="26"/>
          <w:szCs w:val="26"/>
        </w:rPr>
        <w:t xml:space="preserve"> Docket No. R-2010-2179103 (Opinion</w:t>
      </w:r>
      <w:r w:rsidR="00D87376">
        <w:rPr>
          <w:sz w:val="26"/>
          <w:szCs w:val="26"/>
        </w:rPr>
        <w:t> </w:t>
      </w:r>
      <w:r w:rsidRPr="008738C7">
        <w:rPr>
          <w:sz w:val="26"/>
          <w:szCs w:val="26"/>
        </w:rPr>
        <w:t xml:space="preserve">and Order entered July 14, 2011) </w:t>
      </w:r>
      <w:r w:rsidRPr="008738C7">
        <w:rPr>
          <w:i/>
          <w:iCs/>
          <w:sz w:val="26"/>
          <w:szCs w:val="26"/>
        </w:rPr>
        <w:t>(Lancaster)</w:t>
      </w:r>
      <w:r w:rsidRPr="008738C7">
        <w:rPr>
          <w:sz w:val="26"/>
          <w:szCs w:val="26"/>
        </w:rPr>
        <w:t>.</w:t>
      </w:r>
      <w:r w:rsidR="00B31712" w:rsidRPr="008738C7">
        <w:rPr>
          <w:sz w:val="26"/>
          <w:szCs w:val="26"/>
        </w:rPr>
        <w:t xml:space="preserve">  </w:t>
      </w:r>
      <w:r w:rsidRPr="008738C7">
        <w:rPr>
          <w:sz w:val="26"/>
          <w:szCs w:val="26"/>
        </w:rPr>
        <w:t>Instead, the benchmark for determining the acceptability of a settlement or partial settlement is whether the proposed terms and conditions are in the public interest.</w:t>
      </w:r>
      <w:r w:rsidR="00B31712" w:rsidRPr="008738C7">
        <w:rPr>
          <w:sz w:val="26"/>
          <w:szCs w:val="26"/>
        </w:rPr>
        <w:t xml:space="preserve">  </w:t>
      </w:r>
      <w:r w:rsidRPr="008738C7">
        <w:rPr>
          <w:i/>
          <w:iCs/>
          <w:sz w:val="26"/>
          <w:szCs w:val="26"/>
        </w:rPr>
        <w:t xml:space="preserve">Id., </w:t>
      </w:r>
      <w:r w:rsidRPr="008738C7">
        <w:rPr>
          <w:sz w:val="26"/>
          <w:szCs w:val="26"/>
        </w:rPr>
        <w:t xml:space="preserve">citing, </w:t>
      </w:r>
      <w:r w:rsidRPr="008738C7">
        <w:rPr>
          <w:i/>
          <w:iCs/>
          <w:sz w:val="26"/>
          <w:szCs w:val="26"/>
        </w:rPr>
        <w:t>Warner v. GTE North, Inc</w:t>
      </w:r>
      <w:r w:rsidRPr="008738C7">
        <w:rPr>
          <w:sz w:val="26"/>
          <w:szCs w:val="26"/>
        </w:rPr>
        <w:t xml:space="preserve">., Docket No. C-00902815 (Opinion and Order entered April 1, 1996) </w:t>
      </w:r>
      <w:r w:rsidRPr="008738C7">
        <w:rPr>
          <w:i/>
          <w:iCs/>
          <w:sz w:val="26"/>
          <w:szCs w:val="26"/>
        </w:rPr>
        <w:t>(Warner)</w:t>
      </w:r>
      <w:r w:rsidRPr="008738C7">
        <w:rPr>
          <w:sz w:val="26"/>
          <w:szCs w:val="26"/>
        </w:rPr>
        <w:t xml:space="preserve">; </w:t>
      </w:r>
      <w:r w:rsidRPr="008738C7">
        <w:rPr>
          <w:i/>
          <w:iCs/>
          <w:sz w:val="26"/>
          <w:szCs w:val="26"/>
        </w:rPr>
        <w:t>Pa.</w:t>
      </w:r>
      <w:r w:rsidR="00D87376">
        <w:rPr>
          <w:i/>
          <w:iCs/>
          <w:sz w:val="26"/>
          <w:szCs w:val="26"/>
        </w:rPr>
        <w:t> PUC </w:t>
      </w:r>
      <w:r w:rsidRPr="008738C7">
        <w:rPr>
          <w:i/>
          <w:iCs/>
          <w:sz w:val="26"/>
          <w:szCs w:val="26"/>
        </w:rPr>
        <w:t>v. CS Water &amp; Sewer Assocs</w:t>
      </w:r>
      <w:r w:rsidRPr="008738C7">
        <w:rPr>
          <w:sz w:val="26"/>
          <w:szCs w:val="26"/>
        </w:rPr>
        <w:t>., 74 Pa. PUC 767 (1991).</w:t>
      </w:r>
      <w:r w:rsidR="00B31712" w:rsidRPr="008738C7">
        <w:rPr>
          <w:sz w:val="26"/>
          <w:szCs w:val="26"/>
        </w:rPr>
        <w:t xml:space="preserve">  </w:t>
      </w:r>
      <w:r w:rsidRPr="008738C7">
        <w:rPr>
          <w:sz w:val="26"/>
          <w:szCs w:val="26"/>
        </w:rPr>
        <w:t>In addition, the Commission has held that parties to settled cases are afforded flexibility in reaching amicable resolutions, so long as the settlement is in the public interest.</w:t>
      </w:r>
      <w:r w:rsidR="004A07FC" w:rsidRPr="008738C7">
        <w:rPr>
          <w:sz w:val="26"/>
          <w:szCs w:val="26"/>
        </w:rPr>
        <w:t xml:space="preserve">  </w:t>
      </w:r>
      <w:r w:rsidRPr="008738C7">
        <w:rPr>
          <w:i/>
          <w:iCs/>
          <w:sz w:val="26"/>
          <w:szCs w:val="26"/>
        </w:rPr>
        <w:t>Pa.</w:t>
      </w:r>
      <w:r w:rsidR="00D87376">
        <w:rPr>
          <w:i/>
          <w:iCs/>
          <w:sz w:val="26"/>
          <w:szCs w:val="26"/>
        </w:rPr>
        <w:t> </w:t>
      </w:r>
      <w:r w:rsidRPr="008738C7">
        <w:rPr>
          <w:i/>
          <w:iCs/>
          <w:sz w:val="26"/>
          <w:szCs w:val="26"/>
        </w:rPr>
        <w:t>P</w:t>
      </w:r>
      <w:r w:rsidR="00D87376">
        <w:rPr>
          <w:i/>
          <w:iCs/>
          <w:sz w:val="26"/>
          <w:szCs w:val="26"/>
        </w:rPr>
        <w:t>UC </w:t>
      </w:r>
      <w:r w:rsidRPr="008738C7">
        <w:rPr>
          <w:i/>
          <w:iCs/>
          <w:sz w:val="26"/>
          <w:szCs w:val="26"/>
        </w:rPr>
        <w:t>v.</w:t>
      </w:r>
      <w:r w:rsidR="00D87376">
        <w:rPr>
          <w:i/>
          <w:iCs/>
          <w:sz w:val="26"/>
          <w:szCs w:val="26"/>
        </w:rPr>
        <w:t> </w:t>
      </w:r>
      <w:proofErr w:type="spellStart"/>
      <w:r w:rsidRPr="008738C7">
        <w:rPr>
          <w:i/>
          <w:iCs/>
          <w:sz w:val="26"/>
          <w:szCs w:val="26"/>
        </w:rPr>
        <w:t>MXenergy</w:t>
      </w:r>
      <w:proofErr w:type="spellEnd"/>
      <w:r w:rsidRPr="008738C7">
        <w:rPr>
          <w:i/>
          <w:iCs/>
          <w:sz w:val="26"/>
          <w:szCs w:val="26"/>
        </w:rPr>
        <w:t xml:space="preserve"> Elec. Inc.</w:t>
      </w:r>
      <w:r w:rsidRPr="00D87376">
        <w:rPr>
          <w:sz w:val="26"/>
          <w:szCs w:val="26"/>
        </w:rPr>
        <w:t>,</w:t>
      </w:r>
      <w:r w:rsidRPr="008738C7">
        <w:rPr>
          <w:sz w:val="26"/>
          <w:szCs w:val="26"/>
        </w:rPr>
        <w:t xml:space="preserve"> Docket No. M-2012-2201861 (Opinion and Order entered Dec. 5, 2013).</w:t>
      </w:r>
    </w:p>
    <w:p w14:paraId="7CA59678" w14:textId="77777777" w:rsidR="00506FA1" w:rsidRPr="008738C7" w:rsidRDefault="00506FA1" w:rsidP="008738C7">
      <w:pPr>
        <w:pStyle w:val="Default"/>
        <w:spacing w:line="360" w:lineRule="auto"/>
        <w:ind w:firstLine="1440"/>
        <w:rPr>
          <w:sz w:val="26"/>
          <w:szCs w:val="26"/>
        </w:rPr>
      </w:pPr>
    </w:p>
    <w:p w14:paraId="4E03C9C0" w14:textId="05B7C18D" w:rsidR="00884416" w:rsidRPr="008738C7" w:rsidRDefault="006736EB" w:rsidP="008738C7">
      <w:pPr>
        <w:spacing w:line="360" w:lineRule="auto"/>
        <w:ind w:firstLine="1440"/>
        <w:contextualSpacing/>
        <w:rPr>
          <w:sz w:val="26"/>
          <w:szCs w:val="26"/>
        </w:rPr>
      </w:pPr>
      <w:r w:rsidRPr="008738C7">
        <w:rPr>
          <w:sz w:val="26"/>
          <w:szCs w:val="26"/>
        </w:rPr>
        <w:t>As indicated, i</w:t>
      </w:r>
      <w:r w:rsidR="00AD3216" w:rsidRPr="008738C7">
        <w:rPr>
          <w:sz w:val="26"/>
          <w:szCs w:val="26"/>
        </w:rPr>
        <w:t xml:space="preserve">n this case, the </w:t>
      </w:r>
      <w:r w:rsidR="004D042D" w:rsidRPr="008738C7">
        <w:rPr>
          <w:sz w:val="26"/>
          <w:szCs w:val="26"/>
        </w:rPr>
        <w:t xml:space="preserve">Settling </w:t>
      </w:r>
      <w:r w:rsidR="0006074F" w:rsidRPr="008738C7">
        <w:rPr>
          <w:sz w:val="26"/>
          <w:szCs w:val="26"/>
        </w:rPr>
        <w:t>P</w:t>
      </w:r>
      <w:r w:rsidR="00AD3216" w:rsidRPr="008738C7">
        <w:rPr>
          <w:sz w:val="26"/>
          <w:szCs w:val="26"/>
        </w:rPr>
        <w:t xml:space="preserve">arties submitted a </w:t>
      </w:r>
      <w:r w:rsidRPr="008738C7">
        <w:rPr>
          <w:sz w:val="26"/>
          <w:szCs w:val="26"/>
        </w:rPr>
        <w:t>s</w:t>
      </w:r>
      <w:r w:rsidR="00AD3216" w:rsidRPr="008738C7">
        <w:rPr>
          <w:sz w:val="26"/>
          <w:szCs w:val="26"/>
        </w:rPr>
        <w:t xml:space="preserve">ettlement of all issues.  Commission policy promotes settlements.  52 Pa. Code § 5.231.  </w:t>
      </w:r>
      <w:r w:rsidR="00365294" w:rsidRPr="008738C7">
        <w:rPr>
          <w:sz w:val="26"/>
          <w:szCs w:val="26"/>
        </w:rPr>
        <w:t>A</w:t>
      </w:r>
      <w:r w:rsidR="00BC1928" w:rsidRPr="008738C7">
        <w:rPr>
          <w:sz w:val="26"/>
          <w:szCs w:val="26"/>
        </w:rPr>
        <w:t>s noted above, the benchmark for determining whether a settlement should be approved is whether the proposed terms and conditions are in the public interest.</w:t>
      </w:r>
      <w:r w:rsidR="0088129B" w:rsidRPr="008738C7">
        <w:rPr>
          <w:sz w:val="26"/>
          <w:szCs w:val="26"/>
        </w:rPr>
        <w:t xml:space="preserve">  </w:t>
      </w:r>
      <w:r w:rsidR="00BC1928" w:rsidRPr="008738C7">
        <w:rPr>
          <w:i/>
          <w:iCs/>
          <w:sz w:val="26"/>
          <w:szCs w:val="26"/>
        </w:rPr>
        <w:t>See</w:t>
      </w:r>
      <w:r w:rsidR="00BC1928" w:rsidRPr="008738C7">
        <w:rPr>
          <w:sz w:val="26"/>
          <w:szCs w:val="26"/>
        </w:rPr>
        <w:t xml:space="preserve">, </w:t>
      </w:r>
      <w:r w:rsidR="00BC1928" w:rsidRPr="008738C7">
        <w:rPr>
          <w:i/>
          <w:iCs/>
          <w:sz w:val="26"/>
          <w:szCs w:val="26"/>
        </w:rPr>
        <w:t>Lancaster, Warner</w:t>
      </w:r>
      <w:r w:rsidR="00BC1928" w:rsidRPr="008738C7">
        <w:rPr>
          <w:sz w:val="26"/>
          <w:szCs w:val="26"/>
        </w:rPr>
        <w:t xml:space="preserve">, </w:t>
      </w:r>
      <w:r w:rsidR="00BC1928" w:rsidRPr="008738C7">
        <w:rPr>
          <w:i/>
          <w:iCs/>
          <w:sz w:val="26"/>
          <w:szCs w:val="26"/>
        </w:rPr>
        <w:t>supra</w:t>
      </w:r>
      <w:r w:rsidR="00BC1928" w:rsidRPr="008738C7">
        <w:rPr>
          <w:sz w:val="26"/>
          <w:szCs w:val="26"/>
        </w:rPr>
        <w:t xml:space="preserve">. </w:t>
      </w:r>
    </w:p>
    <w:p w14:paraId="6D967AC0" w14:textId="77777777" w:rsidR="000D5F87" w:rsidRPr="008738C7" w:rsidRDefault="000D5F87" w:rsidP="008738C7">
      <w:pPr>
        <w:spacing w:line="360" w:lineRule="auto"/>
        <w:ind w:firstLine="1440"/>
        <w:contextualSpacing/>
        <w:rPr>
          <w:sz w:val="26"/>
          <w:szCs w:val="26"/>
        </w:rPr>
      </w:pPr>
    </w:p>
    <w:p w14:paraId="40F00A9E" w14:textId="77777777" w:rsidR="00455685" w:rsidRPr="008738C7" w:rsidRDefault="00455685" w:rsidP="008738C7">
      <w:pPr>
        <w:spacing w:line="360" w:lineRule="auto"/>
        <w:contextualSpacing/>
        <w:rPr>
          <w:b/>
          <w:bCs/>
          <w:sz w:val="26"/>
          <w:szCs w:val="26"/>
        </w:rPr>
      </w:pPr>
      <w:r w:rsidRPr="008738C7">
        <w:rPr>
          <w:b/>
          <w:bCs/>
          <w:sz w:val="26"/>
          <w:szCs w:val="26"/>
        </w:rPr>
        <w:t>Joint Petition for Settlement</w:t>
      </w:r>
    </w:p>
    <w:p w14:paraId="53D41468" w14:textId="77777777" w:rsidR="00455685" w:rsidRPr="008738C7" w:rsidRDefault="00455685" w:rsidP="008738C7">
      <w:pPr>
        <w:spacing w:line="360" w:lineRule="auto"/>
        <w:ind w:firstLine="1440"/>
        <w:contextualSpacing/>
        <w:rPr>
          <w:sz w:val="26"/>
          <w:szCs w:val="26"/>
        </w:rPr>
      </w:pPr>
    </w:p>
    <w:p w14:paraId="0A1FBECA" w14:textId="5D28B917" w:rsidR="00455685" w:rsidRPr="008738C7" w:rsidRDefault="00136C34" w:rsidP="008738C7">
      <w:pPr>
        <w:spacing w:line="360" w:lineRule="auto"/>
        <w:ind w:firstLine="1440"/>
        <w:contextualSpacing/>
        <w:rPr>
          <w:sz w:val="26"/>
          <w:szCs w:val="26"/>
        </w:rPr>
      </w:pPr>
      <w:r w:rsidRPr="008738C7">
        <w:rPr>
          <w:sz w:val="26"/>
          <w:szCs w:val="26"/>
        </w:rPr>
        <w:t>T</w:t>
      </w:r>
      <w:r w:rsidR="00455685" w:rsidRPr="008738C7">
        <w:rPr>
          <w:sz w:val="26"/>
          <w:szCs w:val="26"/>
        </w:rPr>
        <w:t>he Joint Petitioners agreed to resolve</w:t>
      </w:r>
      <w:r w:rsidR="00C61780" w:rsidRPr="008738C7">
        <w:rPr>
          <w:sz w:val="26"/>
          <w:szCs w:val="26"/>
        </w:rPr>
        <w:t xml:space="preserve"> this matter and</w:t>
      </w:r>
      <w:r w:rsidR="00455685" w:rsidRPr="008738C7">
        <w:rPr>
          <w:sz w:val="26"/>
          <w:szCs w:val="26"/>
        </w:rPr>
        <w:t xml:space="preserve"> to seek Commission approval for the matters settled</w:t>
      </w:r>
      <w:r w:rsidRPr="008738C7">
        <w:rPr>
          <w:sz w:val="26"/>
          <w:szCs w:val="26"/>
        </w:rPr>
        <w:t xml:space="preserve"> in the Settlement</w:t>
      </w:r>
      <w:r w:rsidR="00455685" w:rsidRPr="008738C7">
        <w:rPr>
          <w:sz w:val="26"/>
          <w:szCs w:val="26"/>
        </w:rPr>
        <w:t>.  The relevant term</w:t>
      </w:r>
      <w:r w:rsidR="00294F4E" w:rsidRPr="008738C7">
        <w:rPr>
          <w:sz w:val="26"/>
          <w:szCs w:val="26"/>
        </w:rPr>
        <w:t>s</w:t>
      </w:r>
      <w:r w:rsidR="00455685" w:rsidRPr="008738C7">
        <w:rPr>
          <w:sz w:val="26"/>
          <w:szCs w:val="26"/>
        </w:rPr>
        <w:t xml:space="preserve"> of the Settlement</w:t>
      </w:r>
      <w:r w:rsidR="00294F4E" w:rsidRPr="008738C7">
        <w:rPr>
          <w:sz w:val="26"/>
          <w:szCs w:val="26"/>
        </w:rPr>
        <w:t xml:space="preserve"> are</w:t>
      </w:r>
      <w:r w:rsidR="00455685" w:rsidRPr="008738C7">
        <w:rPr>
          <w:sz w:val="26"/>
          <w:szCs w:val="26"/>
        </w:rPr>
        <w:t xml:space="preserve"> as follows </w:t>
      </w:r>
      <w:r w:rsidR="00294F4E" w:rsidRPr="008738C7">
        <w:rPr>
          <w:sz w:val="26"/>
          <w:szCs w:val="26"/>
        </w:rPr>
        <w:t>–</w:t>
      </w:r>
      <w:r w:rsidR="00455685" w:rsidRPr="008738C7">
        <w:rPr>
          <w:sz w:val="26"/>
          <w:szCs w:val="26"/>
        </w:rPr>
        <w:t xml:space="preserve"> </w:t>
      </w:r>
      <w:r w:rsidR="00294F4E" w:rsidRPr="008738C7">
        <w:rPr>
          <w:sz w:val="26"/>
          <w:szCs w:val="26"/>
        </w:rPr>
        <w:t xml:space="preserve">the relevant </w:t>
      </w:r>
      <w:r w:rsidR="00455685" w:rsidRPr="008738C7">
        <w:rPr>
          <w:sz w:val="26"/>
          <w:szCs w:val="26"/>
        </w:rPr>
        <w:t>paragraph number and heading</w:t>
      </w:r>
      <w:r w:rsidR="00294F4E" w:rsidRPr="008738C7">
        <w:rPr>
          <w:sz w:val="26"/>
          <w:szCs w:val="26"/>
        </w:rPr>
        <w:t xml:space="preserve"> is </w:t>
      </w:r>
      <w:r w:rsidR="00455685" w:rsidRPr="008738C7">
        <w:rPr>
          <w:sz w:val="26"/>
          <w:szCs w:val="26"/>
        </w:rPr>
        <w:t>listed as</w:t>
      </w:r>
      <w:r w:rsidR="009855A2" w:rsidRPr="008738C7">
        <w:rPr>
          <w:sz w:val="26"/>
          <w:szCs w:val="26"/>
        </w:rPr>
        <w:t xml:space="preserve"> it</w:t>
      </w:r>
      <w:r w:rsidR="00455685" w:rsidRPr="008738C7">
        <w:rPr>
          <w:sz w:val="26"/>
          <w:szCs w:val="26"/>
        </w:rPr>
        <w:t xml:space="preserve"> appear</w:t>
      </w:r>
      <w:r w:rsidR="00D42807" w:rsidRPr="008738C7">
        <w:rPr>
          <w:sz w:val="26"/>
          <w:szCs w:val="26"/>
        </w:rPr>
        <w:t>s</w:t>
      </w:r>
      <w:r w:rsidR="00455685" w:rsidRPr="008738C7">
        <w:rPr>
          <w:sz w:val="26"/>
          <w:szCs w:val="26"/>
        </w:rPr>
        <w:t xml:space="preserve"> in the original Settlement filed with the Commission</w:t>
      </w:r>
      <w:r w:rsidR="00B52D58" w:rsidRPr="008738C7">
        <w:rPr>
          <w:sz w:val="26"/>
          <w:szCs w:val="26"/>
        </w:rPr>
        <w:t xml:space="preserve"> on</w:t>
      </w:r>
      <w:r w:rsidR="00CA0F30" w:rsidRPr="008738C7">
        <w:rPr>
          <w:sz w:val="26"/>
          <w:szCs w:val="26"/>
        </w:rPr>
        <w:t xml:space="preserve"> May 14</w:t>
      </w:r>
      <w:r w:rsidR="00B52D58" w:rsidRPr="008738C7">
        <w:rPr>
          <w:sz w:val="26"/>
          <w:szCs w:val="26"/>
        </w:rPr>
        <w:t>, 20</w:t>
      </w:r>
      <w:r w:rsidR="00CA0F30" w:rsidRPr="008738C7">
        <w:rPr>
          <w:sz w:val="26"/>
          <w:szCs w:val="26"/>
        </w:rPr>
        <w:t>21</w:t>
      </w:r>
      <w:r w:rsidR="00455685" w:rsidRPr="008738C7">
        <w:rPr>
          <w:sz w:val="26"/>
          <w:szCs w:val="26"/>
        </w:rPr>
        <w:t>:</w:t>
      </w:r>
    </w:p>
    <w:p w14:paraId="7E51847D" w14:textId="77777777" w:rsidR="00844FB7" w:rsidRPr="008738C7" w:rsidRDefault="00844FB7" w:rsidP="00D87376">
      <w:pPr>
        <w:ind w:firstLine="1440"/>
        <w:contextualSpacing/>
        <w:rPr>
          <w:sz w:val="26"/>
          <w:szCs w:val="26"/>
        </w:rPr>
      </w:pPr>
    </w:p>
    <w:p w14:paraId="7DF1996B" w14:textId="28E3DE39" w:rsidR="00455685" w:rsidRPr="008738C7" w:rsidRDefault="00455685" w:rsidP="008738C7">
      <w:pPr>
        <w:pStyle w:val="Default"/>
        <w:keepNext/>
        <w:keepLines/>
        <w:ind w:left="720" w:firstLine="720"/>
        <w:rPr>
          <w:b/>
          <w:bCs/>
          <w:sz w:val="26"/>
          <w:szCs w:val="26"/>
        </w:rPr>
      </w:pPr>
      <w:r w:rsidRPr="008738C7">
        <w:rPr>
          <w:b/>
          <w:bCs/>
          <w:sz w:val="26"/>
          <w:szCs w:val="26"/>
        </w:rPr>
        <w:t>II</w:t>
      </w:r>
      <w:r w:rsidR="00C61780" w:rsidRPr="008738C7">
        <w:rPr>
          <w:b/>
          <w:bCs/>
          <w:sz w:val="26"/>
          <w:szCs w:val="26"/>
        </w:rPr>
        <w:t>I</w:t>
      </w:r>
      <w:r w:rsidRPr="008738C7">
        <w:rPr>
          <w:b/>
          <w:bCs/>
          <w:sz w:val="26"/>
          <w:szCs w:val="26"/>
        </w:rPr>
        <w:t xml:space="preserve">. </w:t>
      </w:r>
      <w:r w:rsidR="00C61780" w:rsidRPr="008738C7">
        <w:rPr>
          <w:b/>
          <w:bCs/>
          <w:sz w:val="26"/>
          <w:szCs w:val="26"/>
        </w:rPr>
        <w:t>TERMS</w:t>
      </w:r>
      <w:r w:rsidR="00CA0F30" w:rsidRPr="008738C7">
        <w:rPr>
          <w:b/>
          <w:bCs/>
          <w:sz w:val="26"/>
          <w:szCs w:val="26"/>
        </w:rPr>
        <w:t xml:space="preserve"> AND CONDITIONS OF THE SETTLEMENT</w:t>
      </w:r>
    </w:p>
    <w:p w14:paraId="3897A412" w14:textId="77777777" w:rsidR="004149C3" w:rsidRPr="008738C7" w:rsidRDefault="004149C3" w:rsidP="008738C7">
      <w:pPr>
        <w:pStyle w:val="Default"/>
        <w:keepNext/>
        <w:keepLines/>
        <w:ind w:left="720" w:firstLine="720"/>
        <w:rPr>
          <w:b/>
          <w:bCs/>
          <w:sz w:val="26"/>
          <w:szCs w:val="26"/>
        </w:rPr>
      </w:pPr>
    </w:p>
    <w:p w14:paraId="3873D71C" w14:textId="7DD31333" w:rsidR="00407298" w:rsidRPr="008738C7" w:rsidRDefault="00B91FB2" w:rsidP="008738C7">
      <w:pPr>
        <w:autoSpaceDE w:val="0"/>
        <w:autoSpaceDN w:val="0"/>
        <w:adjustRightInd w:val="0"/>
        <w:ind w:left="1440" w:right="1440"/>
        <w:rPr>
          <w:sz w:val="26"/>
          <w:szCs w:val="26"/>
        </w:rPr>
      </w:pPr>
      <w:bookmarkStart w:id="2" w:name="_Hlk28330865"/>
      <w:r w:rsidRPr="008738C7">
        <w:rPr>
          <w:sz w:val="26"/>
          <w:szCs w:val="26"/>
        </w:rPr>
        <w:t>31. The Settlement Parties agree that, based on the particular facts and circumstances</w:t>
      </w:r>
      <w:r w:rsidR="00215A87" w:rsidRPr="008738C7">
        <w:rPr>
          <w:sz w:val="26"/>
          <w:szCs w:val="26"/>
        </w:rPr>
        <w:t xml:space="preserve"> </w:t>
      </w:r>
      <w:r w:rsidRPr="008738C7">
        <w:rPr>
          <w:sz w:val="26"/>
          <w:szCs w:val="26"/>
        </w:rPr>
        <w:t>of this case and the record, including PPL Electric’s Supplemental Testimony submitted on</w:t>
      </w:r>
      <w:r w:rsidR="003A4EC7" w:rsidRPr="008738C7">
        <w:rPr>
          <w:sz w:val="26"/>
          <w:szCs w:val="26"/>
        </w:rPr>
        <w:t xml:space="preserve"> </w:t>
      </w:r>
      <w:r w:rsidRPr="008738C7">
        <w:rPr>
          <w:sz w:val="26"/>
          <w:szCs w:val="26"/>
        </w:rPr>
        <w:t>remand, the Proposed Restructuring set forth in PPL Electric’s Application filed on October 16,</w:t>
      </w:r>
      <w:r w:rsidR="003A4EC7" w:rsidRPr="008738C7">
        <w:rPr>
          <w:sz w:val="26"/>
          <w:szCs w:val="26"/>
        </w:rPr>
        <w:t xml:space="preserve"> </w:t>
      </w:r>
      <w:r w:rsidRPr="008738C7">
        <w:rPr>
          <w:sz w:val="26"/>
          <w:szCs w:val="26"/>
        </w:rPr>
        <w:t xml:space="preserve">2017, meets the “proper” standard of Section </w:t>
      </w:r>
      <w:proofErr w:type="gramStart"/>
      <w:r w:rsidRPr="008738C7">
        <w:rPr>
          <w:sz w:val="26"/>
          <w:szCs w:val="26"/>
        </w:rPr>
        <w:t>1103</w:t>
      </w:r>
      <w:proofErr w:type="gramEnd"/>
      <w:r w:rsidRPr="008738C7">
        <w:rPr>
          <w:sz w:val="26"/>
          <w:szCs w:val="26"/>
        </w:rPr>
        <w:t xml:space="preserve"> and should be approved, and that the</w:t>
      </w:r>
      <w:r w:rsidR="002A4826" w:rsidRPr="008738C7">
        <w:rPr>
          <w:sz w:val="26"/>
          <w:szCs w:val="26"/>
        </w:rPr>
        <w:t xml:space="preserve"> </w:t>
      </w:r>
      <w:r w:rsidRPr="008738C7">
        <w:rPr>
          <w:sz w:val="26"/>
          <w:szCs w:val="26"/>
        </w:rPr>
        <w:t>requested certificate of public convenience should be issued. The Settlement Parties further</w:t>
      </w:r>
      <w:r w:rsidR="002A4826" w:rsidRPr="008738C7">
        <w:rPr>
          <w:sz w:val="26"/>
          <w:szCs w:val="26"/>
        </w:rPr>
        <w:t xml:space="preserve"> agree that it is not necessary in this proceeding to develop a precedential standard of review.</w:t>
      </w:r>
      <w:r w:rsidR="003A4EC7" w:rsidRPr="008738C7">
        <w:rPr>
          <w:sz w:val="26"/>
          <w:szCs w:val="26"/>
        </w:rPr>
        <w:t xml:space="preserve">  </w:t>
      </w:r>
      <w:r w:rsidR="002A4826" w:rsidRPr="008738C7">
        <w:rPr>
          <w:sz w:val="26"/>
          <w:szCs w:val="26"/>
        </w:rPr>
        <w:t>Therefore, the Settlement Parties ask that the Commission, in its final order, include a statement that its decision in this case is not precedential and should not be cited as precedent in any future</w:t>
      </w:r>
      <w:r w:rsidR="003A4EC7" w:rsidRPr="008738C7">
        <w:rPr>
          <w:sz w:val="26"/>
          <w:szCs w:val="26"/>
        </w:rPr>
        <w:t xml:space="preserve"> </w:t>
      </w:r>
      <w:r w:rsidR="002A4826" w:rsidRPr="008738C7">
        <w:rPr>
          <w:sz w:val="26"/>
          <w:szCs w:val="26"/>
        </w:rPr>
        <w:t>proceedings except as necessary to implement its final order.</w:t>
      </w:r>
    </w:p>
    <w:p w14:paraId="259486DC" w14:textId="4E067F29" w:rsidR="00606F1B" w:rsidRPr="008738C7" w:rsidRDefault="00606F1B" w:rsidP="00D87376">
      <w:pPr>
        <w:autoSpaceDE w:val="0"/>
        <w:autoSpaceDN w:val="0"/>
        <w:adjustRightInd w:val="0"/>
        <w:spacing w:line="360" w:lineRule="auto"/>
        <w:ind w:left="1440" w:right="1440"/>
        <w:rPr>
          <w:sz w:val="26"/>
          <w:szCs w:val="26"/>
        </w:rPr>
      </w:pPr>
    </w:p>
    <w:p w14:paraId="1D702C7C" w14:textId="4E480DD0" w:rsidR="00407298" w:rsidRPr="008738C7" w:rsidRDefault="00234E75" w:rsidP="008738C7">
      <w:pPr>
        <w:autoSpaceDE w:val="0"/>
        <w:autoSpaceDN w:val="0"/>
        <w:adjustRightInd w:val="0"/>
        <w:rPr>
          <w:sz w:val="26"/>
          <w:szCs w:val="26"/>
        </w:rPr>
      </w:pPr>
      <w:r w:rsidRPr="008738C7">
        <w:rPr>
          <w:sz w:val="26"/>
          <w:szCs w:val="26"/>
        </w:rPr>
        <w:t xml:space="preserve">Settlement </w:t>
      </w:r>
      <w:r w:rsidR="007D6435" w:rsidRPr="008738C7">
        <w:rPr>
          <w:sz w:val="26"/>
          <w:szCs w:val="26"/>
        </w:rPr>
        <w:t xml:space="preserve">Agreement </w:t>
      </w:r>
      <w:r w:rsidRPr="008738C7">
        <w:rPr>
          <w:sz w:val="26"/>
          <w:szCs w:val="26"/>
        </w:rPr>
        <w:t xml:space="preserve">at </w:t>
      </w:r>
      <w:r w:rsidR="001F3FE6" w:rsidRPr="008738C7">
        <w:rPr>
          <w:sz w:val="26"/>
          <w:szCs w:val="26"/>
        </w:rPr>
        <w:t>4</w:t>
      </w:r>
      <w:r w:rsidRPr="008738C7">
        <w:rPr>
          <w:sz w:val="26"/>
          <w:szCs w:val="26"/>
        </w:rPr>
        <w:t>-</w:t>
      </w:r>
      <w:r w:rsidR="001F3FE6" w:rsidRPr="008738C7">
        <w:rPr>
          <w:sz w:val="26"/>
          <w:szCs w:val="26"/>
        </w:rPr>
        <w:t>5</w:t>
      </w:r>
      <w:r w:rsidRPr="008738C7">
        <w:rPr>
          <w:sz w:val="26"/>
          <w:szCs w:val="26"/>
        </w:rPr>
        <w:t>.</w:t>
      </w:r>
    </w:p>
    <w:p w14:paraId="5FE9EA3E" w14:textId="77777777" w:rsidR="00407298" w:rsidRPr="008738C7" w:rsidRDefault="00407298" w:rsidP="008738C7">
      <w:pPr>
        <w:autoSpaceDE w:val="0"/>
        <w:autoSpaceDN w:val="0"/>
        <w:adjustRightInd w:val="0"/>
        <w:rPr>
          <w:sz w:val="26"/>
          <w:szCs w:val="26"/>
        </w:rPr>
      </w:pPr>
    </w:p>
    <w:p w14:paraId="5E8EA6A9" w14:textId="77777777" w:rsidR="00407298" w:rsidRPr="008738C7" w:rsidRDefault="00407298" w:rsidP="008738C7">
      <w:pPr>
        <w:autoSpaceDE w:val="0"/>
        <w:autoSpaceDN w:val="0"/>
        <w:adjustRightInd w:val="0"/>
        <w:rPr>
          <w:sz w:val="26"/>
          <w:szCs w:val="26"/>
        </w:rPr>
      </w:pPr>
    </w:p>
    <w:p w14:paraId="42441934" w14:textId="2C9CD43F" w:rsidR="00F92046" w:rsidRPr="008738C7" w:rsidRDefault="00F2072E" w:rsidP="008738C7">
      <w:pPr>
        <w:autoSpaceDE w:val="0"/>
        <w:autoSpaceDN w:val="0"/>
        <w:adjustRightInd w:val="0"/>
        <w:spacing w:line="360" w:lineRule="auto"/>
        <w:rPr>
          <w:rFonts w:eastAsiaTheme="minorHAnsi"/>
          <w:color w:val="000000"/>
          <w:sz w:val="26"/>
          <w:szCs w:val="26"/>
        </w:rPr>
      </w:pPr>
      <w:r w:rsidRPr="008738C7">
        <w:rPr>
          <w:rFonts w:eastAsiaTheme="minorHAnsi"/>
          <w:color w:val="000000"/>
          <w:sz w:val="26"/>
          <w:szCs w:val="26"/>
        </w:rPr>
        <w:tab/>
      </w:r>
      <w:r w:rsidR="00F92046" w:rsidRPr="008738C7">
        <w:rPr>
          <w:rFonts w:eastAsiaTheme="minorHAnsi"/>
          <w:color w:val="000000"/>
          <w:sz w:val="26"/>
          <w:szCs w:val="26"/>
        </w:rPr>
        <w:tab/>
      </w:r>
      <w:r w:rsidR="00F92046" w:rsidRPr="008738C7">
        <w:rPr>
          <w:sz w:val="26"/>
          <w:szCs w:val="26"/>
        </w:rPr>
        <w:t xml:space="preserve">The </w:t>
      </w:r>
      <w:r w:rsidR="00F10D8D" w:rsidRPr="008738C7">
        <w:rPr>
          <w:sz w:val="26"/>
          <w:szCs w:val="26"/>
        </w:rPr>
        <w:t>S</w:t>
      </w:r>
      <w:r w:rsidR="00F92046" w:rsidRPr="008738C7">
        <w:rPr>
          <w:sz w:val="26"/>
          <w:szCs w:val="26"/>
        </w:rPr>
        <w:t>ettlement is conditioned upon the standard conditions found in most settlements.</w:t>
      </w:r>
      <w:r w:rsidR="000C69F1" w:rsidRPr="008738C7">
        <w:rPr>
          <w:sz w:val="26"/>
          <w:szCs w:val="26"/>
        </w:rPr>
        <w:t xml:space="preserve">  </w:t>
      </w:r>
      <w:r w:rsidR="00F92046" w:rsidRPr="008738C7">
        <w:rPr>
          <w:sz w:val="26"/>
          <w:szCs w:val="26"/>
        </w:rPr>
        <w:t xml:space="preserve">For example, if the Commission modifies the </w:t>
      </w:r>
      <w:r w:rsidR="000C69F1" w:rsidRPr="008738C7">
        <w:rPr>
          <w:sz w:val="26"/>
          <w:szCs w:val="26"/>
        </w:rPr>
        <w:t>S</w:t>
      </w:r>
      <w:r w:rsidR="00F92046" w:rsidRPr="008738C7">
        <w:rPr>
          <w:sz w:val="26"/>
          <w:szCs w:val="26"/>
        </w:rPr>
        <w:t xml:space="preserve">ettlement, any petitioner may elect to withdraw from the </w:t>
      </w:r>
      <w:r w:rsidR="000C69F1" w:rsidRPr="008738C7">
        <w:rPr>
          <w:sz w:val="26"/>
          <w:szCs w:val="26"/>
        </w:rPr>
        <w:t>S</w:t>
      </w:r>
      <w:r w:rsidR="00F92046" w:rsidRPr="008738C7">
        <w:rPr>
          <w:sz w:val="26"/>
          <w:szCs w:val="26"/>
        </w:rPr>
        <w:t xml:space="preserve">ettlement and proceed with litigation and, in such event, the </w:t>
      </w:r>
      <w:r w:rsidR="000C69F1" w:rsidRPr="008738C7">
        <w:rPr>
          <w:sz w:val="26"/>
          <w:szCs w:val="26"/>
        </w:rPr>
        <w:t>S</w:t>
      </w:r>
      <w:r w:rsidR="00F92046" w:rsidRPr="008738C7">
        <w:rPr>
          <w:sz w:val="26"/>
          <w:szCs w:val="26"/>
        </w:rPr>
        <w:t>ettlement will be void and of no effect.</w:t>
      </w:r>
      <w:r w:rsidR="00F10D8D" w:rsidRPr="008738C7">
        <w:rPr>
          <w:sz w:val="26"/>
          <w:szCs w:val="26"/>
        </w:rPr>
        <w:t xml:space="preserve">  </w:t>
      </w:r>
      <w:r w:rsidR="00F92046" w:rsidRPr="008738C7">
        <w:rPr>
          <w:i/>
          <w:iCs/>
          <w:sz w:val="26"/>
          <w:szCs w:val="26"/>
        </w:rPr>
        <w:t>Id.</w:t>
      </w:r>
      <w:r w:rsidR="00F92046" w:rsidRPr="008738C7">
        <w:rPr>
          <w:sz w:val="26"/>
          <w:szCs w:val="26"/>
        </w:rPr>
        <w:t xml:space="preserve"> at 5.</w:t>
      </w:r>
      <w:r w:rsidR="00F10D8D" w:rsidRPr="008738C7">
        <w:rPr>
          <w:sz w:val="26"/>
          <w:szCs w:val="26"/>
        </w:rPr>
        <w:t xml:space="preserve">  </w:t>
      </w:r>
      <w:r w:rsidR="00F92046" w:rsidRPr="008738C7">
        <w:rPr>
          <w:sz w:val="26"/>
          <w:szCs w:val="26"/>
        </w:rPr>
        <w:t xml:space="preserve">Furthermore, the </w:t>
      </w:r>
      <w:r w:rsidR="000C69F1" w:rsidRPr="008738C7">
        <w:rPr>
          <w:sz w:val="26"/>
          <w:szCs w:val="26"/>
        </w:rPr>
        <w:t>S</w:t>
      </w:r>
      <w:r w:rsidR="00F92046" w:rsidRPr="008738C7">
        <w:rPr>
          <w:sz w:val="26"/>
          <w:szCs w:val="26"/>
        </w:rPr>
        <w:t xml:space="preserve">ettlement is made without any admission against or prejudice to any position which any petitioner may adopt in the event of any subsequent litigation of these proceedings or any other proceeding. </w:t>
      </w:r>
      <w:r w:rsidR="00E10482" w:rsidRPr="008738C7">
        <w:rPr>
          <w:sz w:val="26"/>
          <w:szCs w:val="26"/>
        </w:rPr>
        <w:t xml:space="preserve"> </w:t>
      </w:r>
      <w:r w:rsidR="00F92046" w:rsidRPr="008738C7">
        <w:rPr>
          <w:i/>
          <w:iCs/>
          <w:sz w:val="26"/>
          <w:szCs w:val="26"/>
        </w:rPr>
        <w:t>Id.</w:t>
      </w:r>
      <w:r w:rsidR="00755404" w:rsidRPr="008738C7">
        <w:rPr>
          <w:sz w:val="26"/>
          <w:szCs w:val="26"/>
        </w:rPr>
        <w:t xml:space="preserve">  </w:t>
      </w:r>
      <w:r w:rsidR="00F92046" w:rsidRPr="008738C7">
        <w:rPr>
          <w:sz w:val="26"/>
          <w:szCs w:val="26"/>
        </w:rPr>
        <w:t xml:space="preserve">The </w:t>
      </w:r>
      <w:r w:rsidR="00755404" w:rsidRPr="008738C7">
        <w:rPr>
          <w:sz w:val="26"/>
          <w:szCs w:val="26"/>
        </w:rPr>
        <w:t>S</w:t>
      </w:r>
      <w:r w:rsidR="00F92046" w:rsidRPr="008738C7">
        <w:rPr>
          <w:sz w:val="26"/>
          <w:szCs w:val="26"/>
        </w:rPr>
        <w:t xml:space="preserve">ettling </w:t>
      </w:r>
      <w:r w:rsidR="00755404" w:rsidRPr="008738C7">
        <w:rPr>
          <w:sz w:val="26"/>
          <w:szCs w:val="26"/>
        </w:rPr>
        <w:t>P</w:t>
      </w:r>
      <w:r w:rsidR="00F92046" w:rsidRPr="008738C7">
        <w:rPr>
          <w:sz w:val="26"/>
          <w:szCs w:val="26"/>
        </w:rPr>
        <w:t xml:space="preserve">arties also agreed that the </w:t>
      </w:r>
      <w:r w:rsidR="00AD2B86" w:rsidRPr="008738C7">
        <w:rPr>
          <w:sz w:val="26"/>
          <w:szCs w:val="26"/>
        </w:rPr>
        <w:t>S</w:t>
      </w:r>
      <w:r w:rsidR="00F92046" w:rsidRPr="008738C7">
        <w:rPr>
          <w:sz w:val="26"/>
          <w:szCs w:val="26"/>
        </w:rPr>
        <w:t xml:space="preserve">ettlement should not constitute or be cited as precedent in any other proceeding, except to the extent required to implement the </w:t>
      </w:r>
      <w:r w:rsidR="00EE5937" w:rsidRPr="008738C7">
        <w:rPr>
          <w:sz w:val="26"/>
          <w:szCs w:val="26"/>
        </w:rPr>
        <w:t>S</w:t>
      </w:r>
      <w:r w:rsidR="00F92046" w:rsidRPr="008738C7">
        <w:rPr>
          <w:sz w:val="26"/>
          <w:szCs w:val="26"/>
        </w:rPr>
        <w:t>ettlement.</w:t>
      </w:r>
      <w:r w:rsidR="00AD2B86" w:rsidRPr="008738C7">
        <w:rPr>
          <w:sz w:val="26"/>
          <w:szCs w:val="26"/>
        </w:rPr>
        <w:t xml:space="preserve">  </w:t>
      </w:r>
      <w:r w:rsidR="00F92046" w:rsidRPr="008738C7">
        <w:rPr>
          <w:i/>
          <w:iCs/>
          <w:sz w:val="26"/>
          <w:szCs w:val="26"/>
        </w:rPr>
        <w:t>Id.</w:t>
      </w:r>
    </w:p>
    <w:p w14:paraId="795CD08A" w14:textId="16EF2CC1" w:rsidR="00F92046" w:rsidRPr="008738C7" w:rsidRDefault="00F92046" w:rsidP="008738C7">
      <w:pPr>
        <w:autoSpaceDE w:val="0"/>
        <w:autoSpaceDN w:val="0"/>
        <w:adjustRightInd w:val="0"/>
        <w:spacing w:line="360" w:lineRule="auto"/>
        <w:rPr>
          <w:rFonts w:eastAsiaTheme="minorHAnsi"/>
          <w:color w:val="000000"/>
          <w:sz w:val="26"/>
          <w:szCs w:val="26"/>
        </w:rPr>
      </w:pPr>
    </w:p>
    <w:p w14:paraId="709493CB" w14:textId="1A48E265" w:rsidR="008D0AC7" w:rsidRPr="008738C7" w:rsidRDefault="008D0AC7" w:rsidP="008738C7">
      <w:pPr>
        <w:autoSpaceDE w:val="0"/>
        <w:autoSpaceDN w:val="0"/>
        <w:adjustRightInd w:val="0"/>
        <w:spacing w:line="360" w:lineRule="auto"/>
        <w:ind w:firstLine="1440"/>
        <w:rPr>
          <w:sz w:val="26"/>
          <w:szCs w:val="26"/>
        </w:rPr>
      </w:pPr>
      <w:r w:rsidRPr="008738C7">
        <w:rPr>
          <w:sz w:val="26"/>
          <w:szCs w:val="26"/>
        </w:rPr>
        <w:t>In essence, the Parties agreed that the Application</w:t>
      </w:r>
      <w:r w:rsidR="00391775" w:rsidRPr="008738C7">
        <w:rPr>
          <w:sz w:val="26"/>
          <w:szCs w:val="26"/>
        </w:rPr>
        <w:t>,</w:t>
      </w:r>
      <w:r w:rsidRPr="008738C7">
        <w:rPr>
          <w:sz w:val="26"/>
          <w:szCs w:val="26"/>
        </w:rPr>
        <w:t xml:space="preserve"> as filed, and as discussed in the written testimony, satisfies the standard articulated in the PPL Commonwealth Court Order and that the “specific criteria or factors” to be established for such transactions can be addressed in another proceeding.</w:t>
      </w:r>
    </w:p>
    <w:p w14:paraId="1E1F6D7B" w14:textId="77777777" w:rsidR="003C7779" w:rsidRPr="008738C7" w:rsidRDefault="003C7779" w:rsidP="008738C7">
      <w:pPr>
        <w:autoSpaceDE w:val="0"/>
        <w:autoSpaceDN w:val="0"/>
        <w:adjustRightInd w:val="0"/>
        <w:spacing w:line="360" w:lineRule="auto"/>
        <w:ind w:firstLine="1440"/>
        <w:rPr>
          <w:rFonts w:eastAsiaTheme="minorHAnsi"/>
          <w:color w:val="000000"/>
          <w:sz w:val="26"/>
          <w:szCs w:val="26"/>
        </w:rPr>
      </w:pPr>
    </w:p>
    <w:bookmarkEnd w:id="2"/>
    <w:p w14:paraId="3F59ABA2" w14:textId="41287C4A" w:rsidR="00F57512" w:rsidRPr="008738C7" w:rsidRDefault="00F57512" w:rsidP="008738C7">
      <w:pPr>
        <w:keepNext/>
        <w:keepLines/>
        <w:spacing w:line="360" w:lineRule="auto"/>
        <w:contextualSpacing/>
        <w:rPr>
          <w:b/>
          <w:sz w:val="26"/>
          <w:szCs w:val="26"/>
        </w:rPr>
      </w:pPr>
      <w:r w:rsidRPr="008738C7">
        <w:rPr>
          <w:b/>
          <w:sz w:val="26"/>
          <w:szCs w:val="26"/>
        </w:rPr>
        <w:t>ALJ’s</w:t>
      </w:r>
      <w:r w:rsidR="00680712" w:rsidRPr="008738C7">
        <w:rPr>
          <w:b/>
          <w:sz w:val="26"/>
          <w:szCs w:val="26"/>
        </w:rPr>
        <w:t xml:space="preserve"> </w:t>
      </w:r>
      <w:r w:rsidR="00AD48FB" w:rsidRPr="008738C7">
        <w:rPr>
          <w:b/>
          <w:sz w:val="26"/>
          <w:szCs w:val="26"/>
        </w:rPr>
        <w:t xml:space="preserve">Recommended </w:t>
      </w:r>
      <w:r w:rsidRPr="008738C7">
        <w:rPr>
          <w:b/>
          <w:sz w:val="26"/>
          <w:szCs w:val="26"/>
        </w:rPr>
        <w:t>Decision</w:t>
      </w:r>
      <w:r w:rsidR="00124134" w:rsidRPr="008738C7">
        <w:rPr>
          <w:b/>
          <w:sz w:val="26"/>
          <w:szCs w:val="26"/>
        </w:rPr>
        <w:t xml:space="preserve"> </w:t>
      </w:r>
      <w:r w:rsidR="00AD48FB" w:rsidRPr="008738C7">
        <w:rPr>
          <w:b/>
          <w:sz w:val="26"/>
          <w:szCs w:val="26"/>
        </w:rPr>
        <w:t xml:space="preserve">on Remand </w:t>
      </w:r>
    </w:p>
    <w:p w14:paraId="6E1A3559" w14:textId="77777777" w:rsidR="00F57512" w:rsidRPr="008738C7" w:rsidRDefault="00F57512" w:rsidP="008738C7">
      <w:pPr>
        <w:keepNext/>
        <w:keepLines/>
        <w:spacing w:line="360" w:lineRule="auto"/>
        <w:contextualSpacing/>
        <w:rPr>
          <w:sz w:val="26"/>
          <w:szCs w:val="26"/>
        </w:rPr>
      </w:pPr>
    </w:p>
    <w:p w14:paraId="7E7D8CD1" w14:textId="576BEF3D" w:rsidR="00455685" w:rsidRPr="008738C7" w:rsidRDefault="00455685" w:rsidP="008738C7">
      <w:pPr>
        <w:spacing w:line="360" w:lineRule="auto"/>
        <w:ind w:firstLine="1440"/>
        <w:contextualSpacing/>
        <w:rPr>
          <w:sz w:val="26"/>
          <w:szCs w:val="26"/>
        </w:rPr>
      </w:pPr>
      <w:r w:rsidRPr="008738C7">
        <w:rPr>
          <w:sz w:val="26"/>
          <w:szCs w:val="26"/>
        </w:rPr>
        <w:t>The ALJ</w:t>
      </w:r>
      <w:r w:rsidR="00130469" w:rsidRPr="008738C7">
        <w:rPr>
          <w:sz w:val="26"/>
          <w:szCs w:val="26"/>
        </w:rPr>
        <w:t xml:space="preserve"> made eleven </w:t>
      </w:r>
      <w:r w:rsidRPr="008738C7">
        <w:rPr>
          <w:sz w:val="26"/>
          <w:szCs w:val="26"/>
        </w:rPr>
        <w:t>Findings of Fact and reached</w:t>
      </w:r>
      <w:r w:rsidR="008A213D" w:rsidRPr="008738C7">
        <w:rPr>
          <w:sz w:val="26"/>
          <w:szCs w:val="26"/>
        </w:rPr>
        <w:t xml:space="preserve"> fifteen</w:t>
      </w:r>
      <w:r w:rsidRPr="008738C7">
        <w:rPr>
          <w:sz w:val="26"/>
          <w:szCs w:val="26"/>
        </w:rPr>
        <w:t xml:space="preserve"> Conclusions of Law.  </w:t>
      </w:r>
      <w:r w:rsidR="00AD48FB" w:rsidRPr="008738C7">
        <w:rPr>
          <w:sz w:val="26"/>
          <w:szCs w:val="26"/>
        </w:rPr>
        <w:t>R</w:t>
      </w:r>
      <w:r w:rsidRPr="008738C7">
        <w:rPr>
          <w:sz w:val="26"/>
          <w:szCs w:val="26"/>
        </w:rPr>
        <w:t xml:space="preserve">.D. at </w:t>
      </w:r>
      <w:r w:rsidR="00130469" w:rsidRPr="008738C7">
        <w:rPr>
          <w:sz w:val="26"/>
          <w:szCs w:val="26"/>
        </w:rPr>
        <w:t>4</w:t>
      </w:r>
      <w:r w:rsidRPr="008738C7">
        <w:rPr>
          <w:sz w:val="26"/>
          <w:szCs w:val="26"/>
        </w:rPr>
        <w:t>-</w:t>
      </w:r>
      <w:r w:rsidR="00130469" w:rsidRPr="008738C7">
        <w:rPr>
          <w:sz w:val="26"/>
          <w:szCs w:val="26"/>
        </w:rPr>
        <w:t>5</w:t>
      </w:r>
      <w:r w:rsidRPr="008738C7">
        <w:rPr>
          <w:sz w:val="26"/>
          <w:szCs w:val="26"/>
        </w:rPr>
        <w:t>,</w:t>
      </w:r>
      <w:r w:rsidR="00804E3D" w:rsidRPr="008738C7">
        <w:rPr>
          <w:sz w:val="26"/>
          <w:szCs w:val="26"/>
        </w:rPr>
        <w:t xml:space="preserve"> 16</w:t>
      </w:r>
      <w:r w:rsidRPr="008738C7">
        <w:rPr>
          <w:sz w:val="26"/>
          <w:szCs w:val="26"/>
        </w:rPr>
        <w:t>-</w:t>
      </w:r>
      <w:r w:rsidR="00804E3D" w:rsidRPr="008738C7">
        <w:rPr>
          <w:sz w:val="26"/>
          <w:szCs w:val="26"/>
        </w:rPr>
        <w:t>18</w:t>
      </w:r>
      <w:r w:rsidRPr="008738C7">
        <w:rPr>
          <w:sz w:val="26"/>
          <w:szCs w:val="26"/>
        </w:rPr>
        <w:t>.  We shall adopt and incorporate herein by reference the ALJ</w:t>
      </w:r>
      <w:r w:rsidR="00971B7E" w:rsidRPr="008738C7">
        <w:rPr>
          <w:sz w:val="26"/>
          <w:szCs w:val="26"/>
        </w:rPr>
        <w:t>’</w:t>
      </w:r>
      <w:r w:rsidRPr="008738C7">
        <w:rPr>
          <w:sz w:val="26"/>
          <w:szCs w:val="26"/>
        </w:rPr>
        <w:t>s Findings of Fact and Conclusions of Law, unless they are reversed or modified by this Opinion and Order, either expressly or by necessary implication.</w:t>
      </w:r>
    </w:p>
    <w:p w14:paraId="319026F0" w14:textId="77777777" w:rsidR="001351B9" w:rsidRPr="008738C7" w:rsidRDefault="001351B9" w:rsidP="008738C7">
      <w:pPr>
        <w:spacing w:line="360" w:lineRule="auto"/>
        <w:ind w:firstLine="1440"/>
        <w:contextualSpacing/>
        <w:rPr>
          <w:sz w:val="26"/>
          <w:szCs w:val="26"/>
        </w:rPr>
      </w:pPr>
    </w:p>
    <w:p w14:paraId="3AD4384F" w14:textId="62C5CD67" w:rsidR="009102B6" w:rsidRPr="008738C7" w:rsidRDefault="00D61B03" w:rsidP="008738C7">
      <w:pPr>
        <w:spacing w:line="360" w:lineRule="auto"/>
        <w:ind w:firstLine="1440"/>
        <w:contextualSpacing/>
        <w:rPr>
          <w:sz w:val="26"/>
          <w:szCs w:val="26"/>
        </w:rPr>
      </w:pPr>
      <w:r w:rsidRPr="008738C7">
        <w:rPr>
          <w:sz w:val="26"/>
          <w:szCs w:val="26"/>
        </w:rPr>
        <w:t xml:space="preserve">In his </w:t>
      </w:r>
      <w:r w:rsidR="009D5BF3" w:rsidRPr="008738C7">
        <w:rPr>
          <w:sz w:val="26"/>
          <w:szCs w:val="26"/>
        </w:rPr>
        <w:t>analysis</w:t>
      </w:r>
      <w:r w:rsidRPr="008738C7">
        <w:rPr>
          <w:sz w:val="26"/>
          <w:szCs w:val="26"/>
        </w:rPr>
        <w:t>,</w:t>
      </w:r>
      <w:r w:rsidR="003C7779" w:rsidRPr="008738C7">
        <w:rPr>
          <w:sz w:val="26"/>
          <w:szCs w:val="26"/>
        </w:rPr>
        <w:t xml:space="preserve"> </w:t>
      </w:r>
      <w:r w:rsidRPr="008738C7">
        <w:rPr>
          <w:sz w:val="26"/>
          <w:szCs w:val="26"/>
        </w:rPr>
        <w:t xml:space="preserve">ALJ </w:t>
      </w:r>
      <w:r w:rsidR="003C7779" w:rsidRPr="008738C7">
        <w:rPr>
          <w:sz w:val="26"/>
          <w:szCs w:val="26"/>
        </w:rPr>
        <w:t>Cheskis</w:t>
      </w:r>
      <w:r w:rsidR="00B01D41" w:rsidRPr="008738C7">
        <w:rPr>
          <w:sz w:val="26"/>
          <w:szCs w:val="26"/>
        </w:rPr>
        <w:t xml:space="preserve"> stated</w:t>
      </w:r>
      <w:r w:rsidRPr="008738C7">
        <w:rPr>
          <w:sz w:val="26"/>
          <w:szCs w:val="26"/>
        </w:rPr>
        <w:t xml:space="preserve"> that</w:t>
      </w:r>
      <w:r w:rsidR="0028757E" w:rsidRPr="008738C7">
        <w:rPr>
          <w:sz w:val="26"/>
          <w:szCs w:val="26"/>
        </w:rPr>
        <w:t xml:space="preserve"> </w:t>
      </w:r>
      <w:r w:rsidRPr="008738C7">
        <w:rPr>
          <w:sz w:val="26"/>
          <w:szCs w:val="26"/>
        </w:rPr>
        <w:t xml:space="preserve">the Parties did not state why the </w:t>
      </w:r>
      <w:r w:rsidR="0028757E" w:rsidRPr="008738C7">
        <w:rPr>
          <w:sz w:val="26"/>
          <w:szCs w:val="26"/>
        </w:rPr>
        <w:t>S</w:t>
      </w:r>
      <w:r w:rsidRPr="008738C7">
        <w:rPr>
          <w:sz w:val="26"/>
          <w:szCs w:val="26"/>
        </w:rPr>
        <w:t xml:space="preserve">ettlement is in the public interest but, instead, referenced their respective </w:t>
      </w:r>
      <w:r w:rsidR="0028757E" w:rsidRPr="008738C7">
        <w:rPr>
          <w:sz w:val="26"/>
          <w:szCs w:val="26"/>
        </w:rPr>
        <w:t>S</w:t>
      </w:r>
      <w:r w:rsidRPr="008738C7">
        <w:rPr>
          <w:sz w:val="26"/>
          <w:szCs w:val="26"/>
        </w:rPr>
        <w:t xml:space="preserve">tatements in </w:t>
      </w:r>
      <w:r w:rsidR="0028757E" w:rsidRPr="008738C7">
        <w:rPr>
          <w:sz w:val="26"/>
          <w:szCs w:val="26"/>
        </w:rPr>
        <w:t>S</w:t>
      </w:r>
      <w:r w:rsidRPr="008738C7">
        <w:rPr>
          <w:sz w:val="26"/>
          <w:szCs w:val="26"/>
        </w:rPr>
        <w:t>upport</w:t>
      </w:r>
      <w:r w:rsidR="0028757E" w:rsidRPr="008738C7">
        <w:rPr>
          <w:sz w:val="26"/>
          <w:szCs w:val="26"/>
        </w:rPr>
        <w:t xml:space="preserve"> </w:t>
      </w:r>
      <w:r w:rsidRPr="008738C7">
        <w:rPr>
          <w:sz w:val="26"/>
          <w:szCs w:val="26"/>
        </w:rPr>
        <w:t xml:space="preserve">attached to the </w:t>
      </w:r>
      <w:r w:rsidR="00043114" w:rsidRPr="008738C7">
        <w:rPr>
          <w:sz w:val="26"/>
          <w:szCs w:val="26"/>
        </w:rPr>
        <w:t>S</w:t>
      </w:r>
      <w:r w:rsidRPr="008738C7">
        <w:rPr>
          <w:sz w:val="26"/>
          <w:szCs w:val="26"/>
        </w:rPr>
        <w:t xml:space="preserve">ettlement to present their reasons why the </w:t>
      </w:r>
      <w:r w:rsidR="00043114" w:rsidRPr="008738C7">
        <w:rPr>
          <w:sz w:val="26"/>
          <w:szCs w:val="26"/>
        </w:rPr>
        <w:t>S</w:t>
      </w:r>
      <w:r w:rsidRPr="008738C7">
        <w:rPr>
          <w:sz w:val="26"/>
          <w:szCs w:val="26"/>
        </w:rPr>
        <w:t>ettlement is in the public interest.</w:t>
      </w:r>
      <w:r w:rsidR="00083977" w:rsidRPr="008738C7">
        <w:rPr>
          <w:sz w:val="26"/>
          <w:szCs w:val="26"/>
        </w:rPr>
        <w:t xml:space="preserve">  </w:t>
      </w:r>
      <w:bookmarkStart w:id="3" w:name="_Hlk78293059"/>
      <w:r w:rsidR="00E9162F" w:rsidRPr="008738C7">
        <w:rPr>
          <w:sz w:val="26"/>
          <w:szCs w:val="26"/>
        </w:rPr>
        <w:t>R</w:t>
      </w:r>
      <w:r w:rsidR="00083977" w:rsidRPr="008738C7">
        <w:rPr>
          <w:sz w:val="26"/>
          <w:szCs w:val="26"/>
        </w:rPr>
        <w:t>.D. at 8</w:t>
      </w:r>
      <w:bookmarkEnd w:id="3"/>
      <w:r w:rsidR="00083977" w:rsidRPr="008738C7">
        <w:rPr>
          <w:sz w:val="26"/>
          <w:szCs w:val="26"/>
        </w:rPr>
        <w:t xml:space="preserve">. </w:t>
      </w:r>
      <w:r w:rsidR="0072165D" w:rsidRPr="008738C7">
        <w:rPr>
          <w:sz w:val="26"/>
          <w:szCs w:val="26"/>
        </w:rPr>
        <w:t xml:space="preserve"> After</w:t>
      </w:r>
      <w:r w:rsidR="005D36A8" w:rsidRPr="008738C7">
        <w:rPr>
          <w:sz w:val="26"/>
          <w:szCs w:val="26"/>
        </w:rPr>
        <w:t xml:space="preserve"> a review of</w:t>
      </w:r>
      <w:r w:rsidR="0072165D" w:rsidRPr="008738C7">
        <w:rPr>
          <w:sz w:val="26"/>
          <w:szCs w:val="26"/>
        </w:rPr>
        <w:t xml:space="preserve"> the positions</w:t>
      </w:r>
      <w:r w:rsidR="00E50072" w:rsidRPr="008738C7">
        <w:rPr>
          <w:sz w:val="26"/>
          <w:szCs w:val="26"/>
        </w:rPr>
        <w:t xml:space="preserve"> presented</w:t>
      </w:r>
      <w:r w:rsidR="0072165D" w:rsidRPr="008738C7">
        <w:rPr>
          <w:sz w:val="26"/>
          <w:szCs w:val="26"/>
        </w:rPr>
        <w:t xml:space="preserve"> by t</w:t>
      </w:r>
      <w:r w:rsidR="00CF1192" w:rsidRPr="008738C7">
        <w:rPr>
          <w:sz w:val="26"/>
          <w:szCs w:val="26"/>
        </w:rPr>
        <w:t>he</w:t>
      </w:r>
      <w:r w:rsidR="00B5738D" w:rsidRPr="008738C7">
        <w:rPr>
          <w:sz w:val="26"/>
          <w:szCs w:val="26"/>
        </w:rPr>
        <w:t xml:space="preserve"> Settling Parties</w:t>
      </w:r>
      <w:r w:rsidR="00CF1192" w:rsidRPr="008738C7">
        <w:rPr>
          <w:sz w:val="26"/>
          <w:szCs w:val="26"/>
        </w:rPr>
        <w:t xml:space="preserve"> </w:t>
      </w:r>
      <w:r w:rsidR="0055346C" w:rsidRPr="008738C7">
        <w:rPr>
          <w:sz w:val="26"/>
          <w:szCs w:val="26"/>
        </w:rPr>
        <w:t xml:space="preserve">in their respective Statements in Support of the Settlement, </w:t>
      </w:r>
      <w:r w:rsidR="00FA12A2" w:rsidRPr="008738C7">
        <w:rPr>
          <w:sz w:val="26"/>
          <w:szCs w:val="26"/>
        </w:rPr>
        <w:t xml:space="preserve">the ALJ </w:t>
      </w:r>
      <w:r w:rsidR="005D36A8" w:rsidRPr="008738C7">
        <w:rPr>
          <w:sz w:val="26"/>
          <w:szCs w:val="26"/>
        </w:rPr>
        <w:t xml:space="preserve">noted the </w:t>
      </w:r>
      <w:r w:rsidR="00FA12A2" w:rsidRPr="008738C7">
        <w:rPr>
          <w:sz w:val="26"/>
          <w:szCs w:val="26"/>
        </w:rPr>
        <w:t>Commonwealth Court held that the Commission did not err in determining that PPL’s proposed restructuring would require approval and a certificate of public convenience for purposes of Section 1102(a)(3) of the</w:t>
      </w:r>
      <w:r w:rsidR="00EE1B16" w:rsidRPr="008738C7">
        <w:rPr>
          <w:sz w:val="26"/>
          <w:szCs w:val="26"/>
        </w:rPr>
        <w:t xml:space="preserve"> </w:t>
      </w:r>
      <w:r w:rsidR="00FA12A2" w:rsidRPr="008738C7">
        <w:rPr>
          <w:sz w:val="26"/>
          <w:szCs w:val="26"/>
        </w:rPr>
        <w:t>Code.</w:t>
      </w:r>
      <w:r w:rsidR="00EA2E4A" w:rsidRPr="008738C7">
        <w:rPr>
          <w:sz w:val="26"/>
          <w:szCs w:val="26"/>
        </w:rPr>
        <w:t xml:space="preserve">  </w:t>
      </w:r>
      <w:r w:rsidR="00C5402E" w:rsidRPr="008738C7">
        <w:rPr>
          <w:i/>
          <w:iCs/>
          <w:sz w:val="26"/>
          <w:szCs w:val="26"/>
        </w:rPr>
        <w:t>Id.</w:t>
      </w:r>
      <w:r w:rsidR="00C5402E" w:rsidRPr="008738C7">
        <w:rPr>
          <w:sz w:val="26"/>
          <w:szCs w:val="26"/>
        </w:rPr>
        <w:t xml:space="preserve"> at </w:t>
      </w:r>
      <w:r w:rsidR="00090C2F" w:rsidRPr="008738C7">
        <w:rPr>
          <w:sz w:val="26"/>
          <w:szCs w:val="26"/>
        </w:rPr>
        <w:t>11</w:t>
      </w:r>
      <w:r w:rsidR="00C5402E" w:rsidRPr="008738C7">
        <w:rPr>
          <w:i/>
          <w:iCs/>
          <w:sz w:val="26"/>
          <w:szCs w:val="26"/>
        </w:rPr>
        <w:t>,</w:t>
      </w:r>
      <w:r w:rsidR="00C40740" w:rsidRPr="008738C7">
        <w:rPr>
          <w:sz w:val="26"/>
          <w:szCs w:val="26"/>
        </w:rPr>
        <w:t xml:space="preserve"> </w:t>
      </w:r>
      <w:r w:rsidR="00C5402E" w:rsidRPr="008738C7">
        <w:rPr>
          <w:sz w:val="26"/>
          <w:szCs w:val="26"/>
        </w:rPr>
        <w:t xml:space="preserve">citing </w:t>
      </w:r>
      <w:r w:rsidR="00FA12A2" w:rsidRPr="008738C7">
        <w:rPr>
          <w:sz w:val="26"/>
          <w:szCs w:val="26"/>
        </w:rPr>
        <w:t>PPL Commonwealth Court Order at 16.</w:t>
      </w:r>
      <w:r w:rsidR="00727723" w:rsidRPr="008738C7">
        <w:rPr>
          <w:sz w:val="26"/>
          <w:szCs w:val="26"/>
        </w:rPr>
        <w:t xml:space="preserve">  </w:t>
      </w:r>
    </w:p>
    <w:p w14:paraId="44F1D3A1" w14:textId="77777777" w:rsidR="009102B6" w:rsidRPr="008738C7" w:rsidRDefault="009102B6" w:rsidP="008738C7">
      <w:pPr>
        <w:spacing w:line="360" w:lineRule="auto"/>
        <w:ind w:firstLine="1440"/>
        <w:contextualSpacing/>
        <w:rPr>
          <w:sz w:val="26"/>
          <w:szCs w:val="26"/>
        </w:rPr>
      </w:pPr>
    </w:p>
    <w:p w14:paraId="23A3523F" w14:textId="21E772F9" w:rsidR="00D61B03" w:rsidRPr="008738C7" w:rsidRDefault="00371BF2" w:rsidP="008738C7">
      <w:pPr>
        <w:spacing w:line="360" w:lineRule="auto"/>
        <w:ind w:firstLine="1440"/>
        <w:contextualSpacing/>
        <w:rPr>
          <w:sz w:val="26"/>
          <w:szCs w:val="26"/>
        </w:rPr>
      </w:pPr>
      <w:r w:rsidRPr="008738C7">
        <w:rPr>
          <w:sz w:val="26"/>
          <w:szCs w:val="26"/>
        </w:rPr>
        <w:t>According to the ALJ, i</w:t>
      </w:r>
      <w:r w:rsidR="00FA12A2" w:rsidRPr="008738C7">
        <w:rPr>
          <w:sz w:val="26"/>
          <w:szCs w:val="26"/>
        </w:rPr>
        <w:t xml:space="preserve">n making this determination, the Court determined, among other things, that the proposed restructuring would ultimately transfer </w:t>
      </w:r>
      <w:proofErr w:type="gramStart"/>
      <w:r w:rsidR="00FA12A2" w:rsidRPr="008738C7">
        <w:rPr>
          <w:sz w:val="26"/>
          <w:szCs w:val="26"/>
        </w:rPr>
        <w:t>all of</w:t>
      </w:r>
      <w:proofErr w:type="gramEnd"/>
      <w:r w:rsidR="00FA12A2" w:rsidRPr="008738C7">
        <w:rPr>
          <w:sz w:val="26"/>
          <w:szCs w:val="26"/>
        </w:rPr>
        <w:t xml:space="preserve"> the shares of PPL’s stock from PPL Corporation to Newco 2, a “different entity” altogether, that would receive all of the voting interest and stock of PPL.</w:t>
      </w:r>
      <w:r w:rsidR="00C62DBE" w:rsidRPr="008738C7">
        <w:rPr>
          <w:sz w:val="26"/>
          <w:szCs w:val="26"/>
        </w:rPr>
        <w:t xml:space="preserve">  </w:t>
      </w:r>
      <w:r w:rsidR="00827653" w:rsidRPr="008738C7">
        <w:rPr>
          <w:sz w:val="26"/>
          <w:szCs w:val="26"/>
        </w:rPr>
        <w:t>R</w:t>
      </w:r>
      <w:r w:rsidR="009017D8" w:rsidRPr="008738C7">
        <w:rPr>
          <w:sz w:val="26"/>
          <w:szCs w:val="26"/>
        </w:rPr>
        <w:t xml:space="preserve">.D. at 11, citing PPL Commonwealth Court Order at </w:t>
      </w:r>
      <w:r w:rsidR="009B2B04" w:rsidRPr="008738C7">
        <w:rPr>
          <w:sz w:val="26"/>
          <w:szCs w:val="26"/>
        </w:rPr>
        <w:t>8</w:t>
      </w:r>
      <w:r w:rsidR="00FA12A2" w:rsidRPr="008738C7">
        <w:rPr>
          <w:sz w:val="26"/>
          <w:szCs w:val="26"/>
        </w:rPr>
        <w:t>.</w:t>
      </w:r>
      <w:r w:rsidR="00281F35" w:rsidRPr="008738C7">
        <w:rPr>
          <w:sz w:val="26"/>
          <w:szCs w:val="26"/>
        </w:rPr>
        <w:t xml:space="preserve">  </w:t>
      </w:r>
      <w:r w:rsidR="00FA12A2" w:rsidRPr="008738C7">
        <w:rPr>
          <w:sz w:val="26"/>
          <w:szCs w:val="26"/>
        </w:rPr>
        <w:t>The Commonwealth Court added that “as the [Commission’s] Statement of Policy elucidates, the fact that a new entity has obtained a controlling interest in stock is the paramount and dispositive factor in the inquiry and considerations such as ‘remoteness’ or ‘tier’ of the transactions are immaterial.”</w:t>
      </w:r>
      <w:r w:rsidR="00AD533A" w:rsidRPr="008738C7">
        <w:rPr>
          <w:sz w:val="26"/>
          <w:szCs w:val="26"/>
        </w:rPr>
        <w:t xml:space="preserve">  </w:t>
      </w:r>
      <w:r w:rsidR="00FA12A2" w:rsidRPr="008738C7">
        <w:rPr>
          <w:i/>
          <w:iCs/>
          <w:sz w:val="26"/>
          <w:szCs w:val="26"/>
        </w:rPr>
        <w:t>Id.</w:t>
      </w:r>
      <w:r w:rsidR="00FA12A2" w:rsidRPr="008738C7">
        <w:rPr>
          <w:sz w:val="26"/>
          <w:szCs w:val="26"/>
        </w:rPr>
        <w:t xml:space="preserve"> at 9, </w:t>
      </w:r>
      <w:r w:rsidR="00FA12A2" w:rsidRPr="008738C7">
        <w:rPr>
          <w:i/>
          <w:iCs/>
          <w:sz w:val="26"/>
          <w:szCs w:val="26"/>
        </w:rPr>
        <w:t>quoting</w:t>
      </w:r>
      <w:r w:rsidR="00FA12A2" w:rsidRPr="008738C7">
        <w:rPr>
          <w:sz w:val="26"/>
          <w:szCs w:val="26"/>
        </w:rPr>
        <w:t xml:space="preserve"> 52 Pa.</w:t>
      </w:r>
      <w:r w:rsidR="0090692D" w:rsidRPr="008738C7">
        <w:rPr>
          <w:sz w:val="26"/>
          <w:szCs w:val="26"/>
        </w:rPr>
        <w:t xml:space="preserve"> </w:t>
      </w:r>
      <w:r w:rsidR="00FA12A2" w:rsidRPr="008738C7">
        <w:rPr>
          <w:sz w:val="26"/>
          <w:szCs w:val="26"/>
        </w:rPr>
        <w:t>Code § 69.901(b)(1), (2).</w:t>
      </w:r>
      <w:r w:rsidR="00C03D9D" w:rsidRPr="008738C7">
        <w:rPr>
          <w:sz w:val="26"/>
          <w:szCs w:val="26"/>
        </w:rPr>
        <w:t xml:space="preserve">  </w:t>
      </w:r>
      <w:r w:rsidR="00BC0A22" w:rsidRPr="008738C7">
        <w:rPr>
          <w:sz w:val="26"/>
          <w:szCs w:val="26"/>
        </w:rPr>
        <w:t>R</w:t>
      </w:r>
      <w:r w:rsidR="00C03D9D" w:rsidRPr="008738C7">
        <w:rPr>
          <w:sz w:val="26"/>
          <w:szCs w:val="26"/>
        </w:rPr>
        <w:t>.D. at 11.</w:t>
      </w:r>
      <w:r w:rsidR="00281F35" w:rsidRPr="008738C7">
        <w:rPr>
          <w:sz w:val="26"/>
          <w:szCs w:val="26"/>
        </w:rPr>
        <w:t xml:space="preserve">  </w:t>
      </w:r>
      <w:r w:rsidR="00955075" w:rsidRPr="008738C7">
        <w:rPr>
          <w:sz w:val="26"/>
          <w:szCs w:val="26"/>
        </w:rPr>
        <w:t xml:space="preserve">According to the ALJ, the Commonwealth Court also added that by owning </w:t>
      </w:r>
      <w:proofErr w:type="gramStart"/>
      <w:r w:rsidR="00955075" w:rsidRPr="008738C7">
        <w:rPr>
          <w:sz w:val="26"/>
          <w:szCs w:val="26"/>
        </w:rPr>
        <w:t>all of</w:t>
      </w:r>
      <w:proofErr w:type="gramEnd"/>
      <w:r w:rsidR="00955075" w:rsidRPr="008738C7">
        <w:rPr>
          <w:sz w:val="26"/>
          <w:szCs w:val="26"/>
        </w:rPr>
        <w:t xml:space="preserve"> the shares of PPL and possessing a controlling interest, Newco 2, the would-be immediate parent company, would acquire direct and/or indirect authority to manage, direct or oversee, and ultimately govern the management and policies of PPL.  The Commonwealth Court also stated that the Commission’s interpretation and application of the phrase “transfer of stock” is entitled to administrative deference.</w:t>
      </w:r>
      <w:r w:rsidR="005A0F42" w:rsidRPr="008738C7">
        <w:rPr>
          <w:sz w:val="26"/>
          <w:szCs w:val="26"/>
        </w:rPr>
        <w:t xml:space="preserve">  </w:t>
      </w:r>
      <w:r w:rsidR="00BC0A22" w:rsidRPr="008738C7">
        <w:rPr>
          <w:sz w:val="26"/>
          <w:szCs w:val="26"/>
        </w:rPr>
        <w:t>R</w:t>
      </w:r>
      <w:r w:rsidR="005A0F42" w:rsidRPr="008738C7">
        <w:rPr>
          <w:sz w:val="26"/>
          <w:szCs w:val="26"/>
        </w:rPr>
        <w:t>.D. at 11-12.</w:t>
      </w:r>
    </w:p>
    <w:p w14:paraId="6BF29453" w14:textId="77777777" w:rsidR="000442F3" w:rsidRPr="008738C7" w:rsidRDefault="000442F3" w:rsidP="008738C7">
      <w:pPr>
        <w:spacing w:line="360" w:lineRule="auto"/>
        <w:ind w:firstLine="1440"/>
        <w:contextualSpacing/>
        <w:rPr>
          <w:sz w:val="26"/>
          <w:szCs w:val="26"/>
        </w:rPr>
      </w:pPr>
    </w:p>
    <w:p w14:paraId="715C2972" w14:textId="778A69D5" w:rsidR="00D61B03" w:rsidRPr="008738C7" w:rsidRDefault="00C60388" w:rsidP="008738C7">
      <w:pPr>
        <w:spacing w:line="360" w:lineRule="auto"/>
        <w:ind w:firstLine="1440"/>
        <w:contextualSpacing/>
        <w:rPr>
          <w:sz w:val="26"/>
          <w:szCs w:val="26"/>
        </w:rPr>
      </w:pPr>
      <w:r w:rsidRPr="008738C7">
        <w:rPr>
          <w:sz w:val="26"/>
          <w:szCs w:val="26"/>
        </w:rPr>
        <w:t xml:space="preserve">The ALJ </w:t>
      </w:r>
      <w:r w:rsidR="0066472E" w:rsidRPr="008738C7">
        <w:rPr>
          <w:sz w:val="26"/>
          <w:szCs w:val="26"/>
        </w:rPr>
        <w:t xml:space="preserve">further stated that </w:t>
      </w:r>
      <w:r w:rsidR="008A411B" w:rsidRPr="008738C7">
        <w:rPr>
          <w:sz w:val="26"/>
          <w:szCs w:val="26"/>
        </w:rPr>
        <w:t xml:space="preserve">the Commonwealth Court held that the Commission was not bound to apply the substantial affirmative public benefit test enunciated in </w:t>
      </w:r>
      <w:r w:rsidR="00E168A2" w:rsidRPr="008738C7">
        <w:rPr>
          <w:i/>
          <w:iCs/>
          <w:sz w:val="26"/>
          <w:szCs w:val="26"/>
        </w:rPr>
        <w:t xml:space="preserve">City of </w:t>
      </w:r>
      <w:r w:rsidR="008A411B" w:rsidRPr="008738C7">
        <w:rPr>
          <w:i/>
          <w:iCs/>
          <w:sz w:val="26"/>
          <w:szCs w:val="26"/>
        </w:rPr>
        <w:t>York</w:t>
      </w:r>
      <w:r w:rsidR="008A411B" w:rsidRPr="008738C7">
        <w:rPr>
          <w:sz w:val="26"/>
          <w:szCs w:val="26"/>
        </w:rPr>
        <w:t xml:space="preserve"> and </w:t>
      </w:r>
      <w:proofErr w:type="spellStart"/>
      <w:r w:rsidR="008A411B" w:rsidRPr="008738C7">
        <w:rPr>
          <w:i/>
          <w:iCs/>
          <w:sz w:val="26"/>
          <w:szCs w:val="26"/>
        </w:rPr>
        <w:t>Popowsky</w:t>
      </w:r>
      <w:proofErr w:type="spellEnd"/>
      <w:r w:rsidR="00E168A2" w:rsidRPr="008738C7">
        <w:rPr>
          <w:sz w:val="26"/>
          <w:szCs w:val="26"/>
        </w:rPr>
        <w:t>,</w:t>
      </w:r>
      <w:r w:rsidR="008A411B" w:rsidRPr="008738C7">
        <w:rPr>
          <w:sz w:val="26"/>
          <w:szCs w:val="26"/>
        </w:rPr>
        <w:t xml:space="preserve"> which requires the demonstration of a substantial, affirmative public benefit standard required for the issuance of a certificate of public convenience in cases involving Sections 1102 and 1103 of the Code.</w:t>
      </w:r>
      <w:r w:rsidR="006A26E5" w:rsidRPr="008738C7">
        <w:rPr>
          <w:sz w:val="26"/>
          <w:szCs w:val="26"/>
        </w:rPr>
        <w:t xml:space="preserve">  </w:t>
      </w:r>
      <w:r w:rsidR="0070216B" w:rsidRPr="008738C7">
        <w:rPr>
          <w:sz w:val="26"/>
          <w:szCs w:val="26"/>
        </w:rPr>
        <w:t>R.</w:t>
      </w:r>
      <w:r w:rsidR="006A26E5" w:rsidRPr="008738C7">
        <w:rPr>
          <w:sz w:val="26"/>
          <w:szCs w:val="26"/>
        </w:rPr>
        <w:t>D. at 12</w:t>
      </w:r>
      <w:r w:rsidR="008A411B" w:rsidRPr="008738C7">
        <w:rPr>
          <w:sz w:val="26"/>
          <w:szCs w:val="26"/>
        </w:rPr>
        <w:t>.</w:t>
      </w:r>
      <w:r w:rsidR="00F84344" w:rsidRPr="008738C7">
        <w:rPr>
          <w:sz w:val="26"/>
          <w:szCs w:val="26"/>
        </w:rPr>
        <w:t xml:space="preserve">  According to the ALJ, i</w:t>
      </w:r>
      <w:r w:rsidR="008A411B" w:rsidRPr="008738C7">
        <w:rPr>
          <w:sz w:val="26"/>
          <w:szCs w:val="26"/>
        </w:rPr>
        <w:t>n doing so, the Commonwealth Court detailed the extensive history before the Pennsylvania Supreme Court and the Commonwealth Court where that standard was established and reaffirmed</w:t>
      </w:r>
      <w:r w:rsidR="00F84344" w:rsidRPr="008738C7">
        <w:rPr>
          <w:sz w:val="26"/>
          <w:szCs w:val="26"/>
        </w:rPr>
        <w:t>.  The ALJ</w:t>
      </w:r>
      <w:r w:rsidR="00436DC1" w:rsidRPr="008738C7">
        <w:rPr>
          <w:sz w:val="26"/>
          <w:szCs w:val="26"/>
        </w:rPr>
        <w:t xml:space="preserve"> noted that t</w:t>
      </w:r>
      <w:r w:rsidR="008A411B" w:rsidRPr="008738C7">
        <w:rPr>
          <w:sz w:val="26"/>
          <w:szCs w:val="26"/>
        </w:rPr>
        <w:t xml:space="preserve">he Commonwealth Court observed that both </w:t>
      </w:r>
      <w:r w:rsidR="00436DC1" w:rsidRPr="008738C7">
        <w:rPr>
          <w:i/>
          <w:iCs/>
          <w:sz w:val="26"/>
          <w:szCs w:val="26"/>
        </w:rPr>
        <w:t xml:space="preserve">City of </w:t>
      </w:r>
      <w:r w:rsidR="008A411B" w:rsidRPr="008738C7">
        <w:rPr>
          <w:i/>
          <w:iCs/>
          <w:sz w:val="26"/>
          <w:szCs w:val="26"/>
        </w:rPr>
        <w:t>York</w:t>
      </w:r>
      <w:r w:rsidR="008A411B" w:rsidRPr="008738C7">
        <w:rPr>
          <w:sz w:val="26"/>
          <w:szCs w:val="26"/>
        </w:rPr>
        <w:t xml:space="preserve"> and </w:t>
      </w:r>
      <w:proofErr w:type="spellStart"/>
      <w:r w:rsidR="008A411B" w:rsidRPr="008738C7">
        <w:rPr>
          <w:i/>
          <w:iCs/>
          <w:sz w:val="26"/>
          <w:szCs w:val="26"/>
        </w:rPr>
        <w:t>Popowsky</w:t>
      </w:r>
      <w:proofErr w:type="spellEnd"/>
      <w:r w:rsidR="008A411B" w:rsidRPr="008738C7">
        <w:rPr>
          <w:sz w:val="26"/>
          <w:szCs w:val="26"/>
        </w:rPr>
        <w:t xml:space="preserve"> were merger applications and that “this observation is extremely critical because, in the unique and specific context when there is a proffered merger between two utility companies at the parent level or otherwise, there are overarching and serious concerns about the potential for attaining monopolistic power, which could have an adverse effect on consumer rates.”</w:t>
      </w:r>
      <w:r w:rsidR="007F136D" w:rsidRPr="008738C7">
        <w:rPr>
          <w:sz w:val="26"/>
          <w:szCs w:val="26"/>
        </w:rPr>
        <w:t xml:space="preserve">  </w:t>
      </w:r>
      <w:r w:rsidR="0070216B" w:rsidRPr="008738C7">
        <w:rPr>
          <w:sz w:val="26"/>
          <w:szCs w:val="26"/>
        </w:rPr>
        <w:t>R</w:t>
      </w:r>
      <w:r w:rsidR="00FB5AEA" w:rsidRPr="008738C7">
        <w:rPr>
          <w:sz w:val="26"/>
          <w:szCs w:val="26"/>
        </w:rPr>
        <w:t>.D. at 12</w:t>
      </w:r>
      <w:r w:rsidR="000749E1" w:rsidRPr="008738C7">
        <w:rPr>
          <w:sz w:val="26"/>
          <w:szCs w:val="26"/>
        </w:rPr>
        <w:t xml:space="preserve">, citing </w:t>
      </w:r>
      <w:r w:rsidR="00204942" w:rsidRPr="008738C7">
        <w:rPr>
          <w:sz w:val="26"/>
          <w:szCs w:val="26"/>
        </w:rPr>
        <w:t xml:space="preserve">PPL </w:t>
      </w:r>
      <w:r w:rsidR="000749E1" w:rsidRPr="008738C7">
        <w:rPr>
          <w:sz w:val="26"/>
          <w:szCs w:val="26"/>
        </w:rPr>
        <w:t>Commonwealth Court Order at 18</w:t>
      </w:r>
      <w:r w:rsidR="00FB5AEA" w:rsidRPr="008738C7">
        <w:rPr>
          <w:sz w:val="26"/>
          <w:szCs w:val="26"/>
        </w:rPr>
        <w:t>.</w:t>
      </w:r>
    </w:p>
    <w:p w14:paraId="3C62AC13" w14:textId="30703051" w:rsidR="0009128E" w:rsidRPr="008738C7" w:rsidRDefault="0009128E" w:rsidP="008738C7">
      <w:pPr>
        <w:spacing w:line="360" w:lineRule="auto"/>
        <w:ind w:firstLine="1440"/>
        <w:contextualSpacing/>
        <w:rPr>
          <w:sz w:val="26"/>
          <w:szCs w:val="26"/>
        </w:rPr>
      </w:pPr>
    </w:p>
    <w:p w14:paraId="5AFA5DFA" w14:textId="3B9F114D" w:rsidR="0009128E" w:rsidRPr="008738C7" w:rsidRDefault="0009128E" w:rsidP="008738C7">
      <w:pPr>
        <w:spacing w:line="360" w:lineRule="auto"/>
        <w:ind w:firstLine="1440"/>
        <w:contextualSpacing/>
        <w:rPr>
          <w:sz w:val="26"/>
          <w:szCs w:val="26"/>
        </w:rPr>
      </w:pPr>
      <w:r w:rsidRPr="008738C7">
        <w:rPr>
          <w:sz w:val="26"/>
          <w:szCs w:val="26"/>
        </w:rPr>
        <w:t xml:space="preserve">In addition, </w:t>
      </w:r>
      <w:r w:rsidR="003D016D" w:rsidRPr="008738C7">
        <w:rPr>
          <w:sz w:val="26"/>
          <w:szCs w:val="26"/>
        </w:rPr>
        <w:t>the ALJ explained that t</w:t>
      </w:r>
      <w:r w:rsidRPr="008738C7">
        <w:rPr>
          <w:sz w:val="26"/>
          <w:szCs w:val="26"/>
        </w:rPr>
        <w:t>he Commonwealth Court noted, as well, the impact on this standard of the introduction of competition to the electric industry.</w:t>
      </w:r>
      <w:r w:rsidR="000749E1" w:rsidRPr="008738C7">
        <w:rPr>
          <w:sz w:val="26"/>
          <w:szCs w:val="26"/>
        </w:rPr>
        <w:t xml:space="preserve">  </w:t>
      </w:r>
      <w:r w:rsidR="0070216B" w:rsidRPr="008738C7">
        <w:rPr>
          <w:sz w:val="26"/>
          <w:szCs w:val="26"/>
        </w:rPr>
        <w:t>R</w:t>
      </w:r>
      <w:r w:rsidR="00C04BB8" w:rsidRPr="008738C7">
        <w:rPr>
          <w:sz w:val="26"/>
          <w:szCs w:val="26"/>
        </w:rPr>
        <w:t xml:space="preserve">.D. at 12, citing PPL </w:t>
      </w:r>
      <w:r w:rsidR="000749E1" w:rsidRPr="008738C7">
        <w:rPr>
          <w:sz w:val="26"/>
          <w:szCs w:val="26"/>
        </w:rPr>
        <w:t xml:space="preserve">Commonwealth Court Order </w:t>
      </w:r>
      <w:r w:rsidRPr="008738C7">
        <w:rPr>
          <w:sz w:val="26"/>
          <w:szCs w:val="26"/>
        </w:rPr>
        <w:t>at 18-19.</w:t>
      </w:r>
      <w:r w:rsidR="000749E1" w:rsidRPr="008738C7">
        <w:rPr>
          <w:sz w:val="26"/>
          <w:szCs w:val="26"/>
        </w:rPr>
        <w:t xml:space="preserve">  </w:t>
      </w:r>
      <w:r w:rsidR="00356828" w:rsidRPr="008738C7">
        <w:rPr>
          <w:sz w:val="26"/>
          <w:szCs w:val="26"/>
        </w:rPr>
        <w:t>According to the ALJ, t</w:t>
      </w:r>
      <w:r w:rsidRPr="008738C7">
        <w:rPr>
          <w:sz w:val="26"/>
          <w:szCs w:val="26"/>
        </w:rPr>
        <w:t>he Commonwealth Court stated:</w:t>
      </w:r>
    </w:p>
    <w:p w14:paraId="0E1F192B" w14:textId="77777777" w:rsidR="00D61B03" w:rsidRPr="008738C7" w:rsidRDefault="00D61B03" w:rsidP="00D87376">
      <w:pPr>
        <w:ind w:firstLine="1440"/>
        <w:contextualSpacing/>
        <w:rPr>
          <w:sz w:val="26"/>
          <w:szCs w:val="26"/>
        </w:rPr>
      </w:pPr>
    </w:p>
    <w:p w14:paraId="32E0A85E" w14:textId="29369BED" w:rsidR="006D6243" w:rsidRPr="008738C7" w:rsidRDefault="00B35895" w:rsidP="008738C7">
      <w:pPr>
        <w:ind w:left="1440" w:right="1440"/>
        <w:contextualSpacing/>
        <w:rPr>
          <w:sz w:val="26"/>
          <w:szCs w:val="26"/>
        </w:rPr>
      </w:pPr>
      <w:r w:rsidRPr="008738C7">
        <w:rPr>
          <w:sz w:val="26"/>
          <w:szCs w:val="26"/>
        </w:rPr>
        <w:t xml:space="preserve">And, given the Commission’s regulatory role and oversight with respect to a merger’s effect on competition in the marketplace, it makes complete sense that our Supreme Court would engraft an ‘affirmative public benefit’ standard into the statute and develop an analytical framework that focuses on competitive effectives, while </w:t>
      </w:r>
      <w:proofErr w:type="gramStart"/>
      <w:r w:rsidRPr="008738C7">
        <w:rPr>
          <w:sz w:val="26"/>
          <w:szCs w:val="26"/>
        </w:rPr>
        <w:t>taking into account</w:t>
      </w:r>
      <w:proofErr w:type="gramEnd"/>
      <w:r w:rsidRPr="008738C7">
        <w:rPr>
          <w:sz w:val="26"/>
          <w:szCs w:val="26"/>
        </w:rPr>
        <w:t xml:space="preserve"> the rate prices that will inure to consumers. This is especially true considering that when dealing with utilities in the merger scenario, if the thrust of a proffered merger, on balance, would result in anticompetitive behavior, then public utilities could resort to the monopolistic and/or </w:t>
      </w:r>
      <w:proofErr w:type="spellStart"/>
      <w:r w:rsidRPr="008738C7">
        <w:rPr>
          <w:sz w:val="26"/>
          <w:szCs w:val="26"/>
        </w:rPr>
        <w:t>monopsonistic</w:t>
      </w:r>
      <w:proofErr w:type="spellEnd"/>
      <w:r w:rsidRPr="008738C7">
        <w:rPr>
          <w:sz w:val="26"/>
          <w:szCs w:val="26"/>
        </w:rPr>
        <w:t xml:space="preserve"> practices of the antiquated past, potentially resulting in unreasonable increases in consumer prices and harm to the public.</w:t>
      </w:r>
    </w:p>
    <w:p w14:paraId="68D89670" w14:textId="14159F32" w:rsidR="006D6243" w:rsidRPr="008738C7" w:rsidRDefault="006D6243" w:rsidP="00D87376">
      <w:pPr>
        <w:spacing w:line="360" w:lineRule="auto"/>
        <w:ind w:right="1440"/>
        <w:contextualSpacing/>
        <w:rPr>
          <w:sz w:val="26"/>
          <w:szCs w:val="26"/>
        </w:rPr>
      </w:pPr>
    </w:p>
    <w:p w14:paraId="4ED9CCD6" w14:textId="02D68F0F" w:rsidR="006D6243" w:rsidRPr="008738C7" w:rsidRDefault="0070216B" w:rsidP="008738C7">
      <w:pPr>
        <w:spacing w:line="360" w:lineRule="auto"/>
        <w:contextualSpacing/>
        <w:rPr>
          <w:sz w:val="26"/>
          <w:szCs w:val="26"/>
        </w:rPr>
      </w:pPr>
      <w:r w:rsidRPr="008738C7">
        <w:rPr>
          <w:sz w:val="26"/>
          <w:szCs w:val="26"/>
        </w:rPr>
        <w:t>R</w:t>
      </w:r>
      <w:r w:rsidR="006D6243" w:rsidRPr="008738C7">
        <w:rPr>
          <w:sz w:val="26"/>
          <w:szCs w:val="26"/>
        </w:rPr>
        <w:t>.D. at 12</w:t>
      </w:r>
      <w:r w:rsidR="007F136D" w:rsidRPr="008738C7">
        <w:rPr>
          <w:sz w:val="26"/>
          <w:szCs w:val="26"/>
        </w:rPr>
        <w:t xml:space="preserve">, citing </w:t>
      </w:r>
      <w:r w:rsidR="00377492" w:rsidRPr="008738C7">
        <w:rPr>
          <w:sz w:val="26"/>
          <w:szCs w:val="26"/>
        </w:rPr>
        <w:t xml:space="preserve">PPL </w:t>
      </w:r>
      <w:r w:rsidR="007F136D" w:rsidRPr="008738C7">
        <w:rPr>
          <w:sz w:val="26"/>
          <w:szCs w:val="26"/>
        </w:rPr>
        <w:t xml:space="preserve">Commonwealth Court Order at </w:t>
      </w:r>
      <w:r w:rsidR="00641F13" w:rsidRPr="008738C7">
        <w:rPr>
          <w:sz w:val="26"/>
          <w:szCs w:val="26"/>
        </w:rPr>
        <w:t>21</w:t>
      </w:r>
      <w:r w:rsidR="006D6243" w:rsidRPr="008738C7">
        <w:rPr>
          <w:sz w:val="26"/>
          <w:szCs w:val="26"/>
        </w:rPr>
        <w:t>.</w:t>
      </w:r>
      <w:r w:rsidR="00A1268A" w:rsidRPr="008738C7">
        <w:rPr>
          <w:sz w:val="26"/>
          <w:szCs w:val="26"/>
        </w:rPr>
        <w:t xml:space="preserve">  </w:t>
      </w:r>
      <w:r w:rsidR="00502CBD" w:rsidRPr="008738C7">
        <w:rPr>
          <w:sz w:val="26"/>
          <w:szCs w:val="26"/>
        </w:rPr>
        <w:t>According to the ALJ, t</w:t>
      </w:r>
      <w:r w:rsidR="00A1268A" w:rsidRPr="008738C7">
        <w:rPr>
          <w:sz w:val="26"/>
          <w:szCs w:val="26"/>
        </w:rPr>
        <w:t>he Commonwealth Court then distinguished the circumstances present in PPL’s proposed restructuring by noting that the “concerns and dangers associated with anticompetitive behavior are not present, or at least not present to a degree that is reasonably comparable to those that could occur in the situation of a merger.”</w:t>
      </w:r>
      <w:r w:rsidR="00AD3F3F" w:rsidRPr="008738C7">
        <w:rPr>
          <w:sz w:val="26"/>
          <w:szCs w:val="26"/>
        </w:rPr>
        <w:t xml:space="preserve">  </w:t>
      </w:r>
      <w:r w:rsidR="0058441C" w:rsidRPr="008738C7">
        <w:rPr>
          <w:sz w:val="26"/>
          <w:szCs w:val="26"/>
        </w:rPr>
        <w:t>R</w:t>
      </w:r>
      <w:r w:rsidR="00AD3F3F" w:rsidRPr="008738C7">
        <w:rPr>
          <w:sz w:val="26"/>
          <w:szCs w:val="26"/>
        </w:rPr>
        <w:t xml:space="preserve">.D. at 13, citing </w:t>
      </w:r>
      <w:r w:rsidR="00FC7400" w:rsidRPr="008738C7">
        <w:rPr>
          <w:sz w:val="26"/>
          <w:szCs w:val="26"/>
        </w:rPr>
        <w:t xml:space="preserve">PPL </w:t>
      </w:r>
      <w:r w:rsidR="00AD3F3F" w:rsidRPr="008738C7">
        <w:rPr>
          <w:sz w:val="26"/>
          <w:szCs w:val="26"/>
        </w:rPr>
        <w:t>Commonwealth Court Order at 21.  The ALJ further noted that t</w:t>
      </w:r>
      <w:r w:rsidR="00A1268A" w:rsidRPr="008738C7">
        <w:rPr>
          <w:sz w:val="26"/>
          <w:szCs w:val="26"/>
        </w:rPr>
        <w:t>he Court added that “holding companies have traditionally been created for internal structural advantages, namely in order to receive shelter from legal liability, obtain tax benefits and facilitate strategic corporate finance objectives.”</w:t>
      </w:r>
      <w:r w:rsidR="0007361E" w:rsidRPr="008738C7">
        <w:rPr>
          <w:sz w:val="26"/>
          <w:szCs w:val="26"/>
        </w:rPr>
        <w:t xml:space="preserve">  </w:t>
      </w:r>
      <w:r w:rsidR="0058441C" w:rsidRPr="008738C7">
        <w:rPr>
          <w:sz w:val="26"/>
          <w:szCs w:val="26"/>
        </w:rPr>
        <w:t>R</w:t>
      </w:r>
      <w:r w:rsidR="0007361E" w:rsidRPr="008738C7">
        <w:rPr>
          <w:sz w:val="26"/>
          <w:szCs w:val="26"/>
        </w:rPr>
        <w:t xml:space="preserve">.D. at 13, citing </w:t>
      </w:r>
      <w:r w:rsidR="00FC7400" w:rsidRPr="008738C7">
        <w:rPr>
          <w:sz w:val="26"/>
          <w:szCs w:val="26"/>
        </w:rPr>
        <w:t xml:space="preserve">PPL </w:t>
      </w:r>
      <w:r w:rsidR="0007361E" w:rsidRPr="008738C7">
        <w:rPr>
          <w:sz w:val="26"/>
          <w:szCs w:val="26"/>
        </w:rPr>
        <w:t>Commonwealth Court Order at 22.</w:t>
      </w:r>
    </w:p>
    <w:p w14:paraId="4C3CC5F9" w14:textId="77777777" w:rsidR="006D6243" w:rsidRPr="008738C7" w:rsidRDefault="006D6243" w:rsidP="008738C7">
      <w:pPr>
        <w:ind w:right="1440"/>
        <w:contextualSpacing/>
        <w:rPr>
          <w:sz w:val="26"/>
          <w:szCs w:val="26"/>
        </w:rPr>
      </w:pPr>
    </w:p>
    <w:p w14:paraId="5BBBE228" w14:textId="7C3AF428" w:rsidR="00F71C22" w:rsidRPr="008738C7" w:rsidRDefault="00571BED" w:rsidP="008738C7">
      <w:pPr>
        <w:spacing w:line="360" w:lineRule="auto"/>
        <w:ind w:firstLine="1440"/>
        <w:contextualSpacing/>
        <w:rPr>
          <w:sz w:val="26"/>
          <w:szCs w:val="26"/>
        </w:rPr>
      </w:pPr>
      <w:r w:rsidRPr="008738C7">
        <w:rPr>
          <w:sz w:val="26"/>
          <w:szCs w:val="26"/>
        </w:rPr>
        <w:t>The ALJ</w:t>
      </w:r>
      <w:r w:rsidR="00B10D98" w:rsidRPr="008738C7">
        <w:rPr>
          <w:sz w:val="26"/>
          <w:szCs w:val="26"/>
        </w:rPr>
        <w:t xml:space="preserve"> stated </w:t>
      </w:r>
      <w:r w:rsidRPr="008738C7">
        <w:rPr>
          <w:sz w:val="26"/>
          <w:szCs w:val="26"/>
        </w:rPr>
        <w:t>that as a result, the Commonwealth Court added that “it would be very difficult, if not impossible, for [PPL] to establish an affirmative and substantial benefit to the public [in this case] as that concept has been employed by our Supreme Court when there has been a proposed merger between two or more public utilities.”</w:t>
      </w:r>
      <w:r w:rsidR="00651DE4" w:rsidRPr="008738C7">
        <w:rPr>
          <w:sz w:val="26"/>
          <w:szCs w:val="26"/>
        </w:rPr>
        <w:t xml:space="preserve">  </w:t>
      </w:r>
      <w:r w:rsidR="0058441C" w:rsidRPr="008738C7">
        <w:rPr>
          <w:sz w:val="26"/>
          <w:szCs w:val="26"/>
        </w:rPr>
        <w:t>R</w:t>
      </w:r>
      <w:r w:rsidR="00651DE4" w:rsidRPr="008738C7">
        <w:rPr>
          <w:sz w:val="26"/>
          <w:szCs w:val="26"/>
        </w:rPr>
        <w:t xml:space="preserve">.D. at 13, citing </w:t>
      </w:r>
      <w:r w:rsidR="009A0D75" w:rsidRPr="008738C7">
        <w:rPr>
          <w:sz w:val="26"/>
          <w:szCs w:val="26"/>
        </w:rPr>
        <w:t xml:space="preserve">PPL </w:t>
      </w:r>
      <w:r w:rsidR="00651DE4" w:rsidRPr="008738C7">
        <w:rPr>
          <w:sz w:val="26"/>
          <w:szCs w:val="26"/>
        </w:rPr>
        <w:t>Commonwealth Court Order at 22.</w:t>
      </w:r>
    </w:p>
    <w:p w14:paraId="6DADEC4B" w14:textId="77777777" w:rsidR="00FD0516" w:rsidRPr="008738C7" w:rsidRDefault="00FD0516" w:rsidP="008738C7">
      <w:pPr>
        <w:spacing w:line="360" w:lineRule="auto"/>
        <w:ind w:firstLine="1440"/>
        <w:contextualSpacing/>
        <w:rPr>
          <w:sz w:val="26"/>
          <w:szCs w:val="26"/>
        </w:rPr>
      </w:pPr>
    </w:p>
    <w:p w14:paraId="46BE8343" w14:textId="363632D5" w:rsidR="00571BED" w:rsidRPr="008738C7" w:rsidRDefault="00FD0516" w:rsidP="008738C7">
      <w:pPr>
        <w:pStyle w:val="Default"/>
        <w:spacing w:line="360" w:lineRule="auto"/>
        <w:ind w:firstLine="1440"/>
        <w:rPr>
          <w:sz w:val="26"/>
          <w:szCs w:val="26"/>
        </w:rPr>
      </w:pPr>
      <w:r w:rsidRPr="008738C7">
        <w:rPr>
          <w:sz w:val="26"/>
          <w:szCs w:val="26"/>
        </w:rPr>
        <w:t>According to the ALJ, t</w:t>
      </w:r>
      <w:r w:rsidR="00571BED" w:rsidRPr="008738C7">
        <w:rPr>
          <w:sz w:val="26"/>
          <w:szCs w:val="26"/>
        </w:rPr>
        <w:t xml:space="preserve">he Commonwealth Court stated: </w:t>
      </w:r>
    </w:p>
    <w:p w14:paraId="2236931C" w14:textId="77777777" w:rsidR="00571BED" w:rsidRPr="008738C7" w:rsidRDefault="00571BED" w:rsidP="008738C7">
      <w:pPr>
        <w:ind w:left="1440" w:right="1440"/>
        <w:contextualSpacing/>
        <w:rPr>
          <w:sz w:val="26"/>
          <w:szCs w:val="26"/>
        </w:rPr>
      </w:pPr>
    </w:p>
    <w:p w14:paraId="67514C26" w14:textId="5525B250" w:rsidR="001D1A8B" w:rsidRPr="008738C7" w:rsidRDefault="00571BED" w:rsidP="008738C7">
      <w:pPr>
        <w:ind w:left="1440" w:right="1440"/>
        <w:contextualSpacing/>
        <w:rPr>
          <w:sz w:val="26"/>
          <w:szCs w:val="26"/>
        </w:rPr>
      </w:pPr>
      <w:r w:rsidRPr="008738C7">
        <w:rPr>
          <w:sz w:val="26"/>
          <w:szCs w:val="26"/>
        </w:rPr>
        <w:t xml:space="preserve">In this situation, a less demanding evidentiary burden is warranted – one that does not mandate an appraisal of the effects of competition in the </w:t>
      </w:r>
      <w:proofErr w:type="gramStart"/>
      <w:r w:rsidRPr="008738C7">
        <w:rPr>
          <w:sz w:val="26"/>
          <w:szCs w:val="26"/>
        </w:rPr>
        <w:t>marketplace, yet</w:t>
      </w:r>
      <w:proofErr w:type="gramEnd"/>
      <w:r w:rsidRPr="008738C7">
        <w:rPr>
          <w:sz w:val="26"/>
          <w:szCs w:val="26"/>
        </w:rPr>
        <w:t xml:space="preserve"> is consistent with the plain language of the statute, and pays due consideration to the public. Therefore, the Court concludes that, contrary to the Commission’s understanding, the Commission was not bound to apply the test enunciated in York and </w:t>
      </w:r>
      <w:proofErr w:type="spellStart"/>
      <w:r w:rsidRPr="008738C7">
        <w:rPr>
          <w:sz w:val="26"/>
          <w:szCs w:val="26"/>
        </w:rPr>
        <w:t>Popowsky</w:t>
      </w:r>
      <w:proofErr w:type="spellEnd"/>
      <w:r w:rsidRPr="008738C7">
        <w:rPr>
          <w:sz w:val="26"/>
          <w:szCs w:val="26"/>
        </w:rPr>
        <w:t>, and we reverse the Commission on this point.</w:t>
      </w:r>
    </w:p>
    <w:p w14:paraId="6DB535DF" w14:textId="5BE0A7B8" w:rsidR="00571BED" w:rsidRPr="008738C7" w:rsidRDefault="00571BED" w:rsidP="008738C7">
      <w:pPr>
        <w:spacing w:line="360" w:lineRule="auto"/>
        <w:ind w:firstLine="1440"/>
        <w:contextualSpacing/>
        <w:rPr>
          <w:sz w:val="26"/>
          <w:szCs w:val="26"/>
        </w:rPr>
      </w:pPr>
    </w:p>
    <w:p w14:paraId="7D0BD72E" w14:textId="2220DACF" w:rsidR="00FD0516" w:rsidRPr="008738C7" w:rsidRDefault="0058441C" w:rsidP="008738C7">
      <w:pPr>
        <w:spacing w:line="360" w:lineRule="auto"/>
        <w:contextualSpacing/>
        <w:rPr>
          <w:sz w:val="26"/>
          <w:szCs w:val="26"/>
        </w:rPr>
      </w:pPr>
      <w:r w:rsidRPr="008738C7">
        <w:rPr>
          <w:sz w:val="26"/>
          <w:szCs w:val="26"/>
        </w:rPr>
        <w:t>R</w:t>
      </w:r>
      <w:r w:rsidR="00506FA1" w:rsidRPr="008738C7">
        <w:rPr>
          <w:sz w:val="26"/>
          <w:szCs w:val="26"/>
        </w:rPr>
        <w:t>.</w:t>
      </w:r>
      <w:r w:rsidR="00FD0516" w:rsidRPr="008738C7">
        <w:rPr>
          <w:sz w:val="26"/>
          <w:szCs w:val="26"/>
        </w:rPr>
        <w:t xml:space="preserve">D. at 13, citing </w:t>
      </w:r>
      <w:r w:rsidR="009A0D75" w:rsidRPr="008738C7">
        <w:rPr>
          <w:sz w:val="26"/>
          <w:szCs w:val="26"/>
        </w:rPr>
        <w:t xml:space="preserve">PPL </w:t>
      </w:r>
      <w:r w:rsidR="00FD0516" w:rsidRPr="008738C7">
        <w:rPr>
          <w:sz w:val="26"/>
          <w:szCs w:val="26"/>
        </w:rPr>
        <w:t>Commonwealth Court Order at 2</w:t>
      </w:r>
      <w:r w:rsidR="00743BCD" w:rsidRPr="008738C7">
        <w:rPr>
          <w:sz w:val="26"/>
          <w:szCs w:val="26"/>
        </w:rPr>
        <w:t>3</w:t>
      </w:r>
      <w:r w:rsidR="00FD0516" w:rsidRPr="008738C7">
        <w:rPr>
          <w:sz w:val="26"/>
          <w:szCs w:val="26"/>
        </w:rPr>
        <w:t>.</w:t>
      </w:r>
      <w:r w:rsidR="009C173C" w:rsidRPr="008738C7">
        <w:rPr>
          <w:sz w:val="26"/>
          <w:szCs w:val="26"/>
        </w:rPr>
        <w:t xml:space="preserve">  According to the ALJ, the Commonwealth Court added that PPL “need only establish – and the Commission need only find – that granting a [certificate of public convenience] would be ‘proper for the service … of the public’” and left it to the “sound discretion of the Commission to formulate the specific criteria or factors to be used in assessing whether [PPL’s] proposed internal restructuring is ‘proper’ for servicing the public with electricity and deserving of a [certificate of public convenience].”</w:t>
      </w:r>
      <w:r w:rsidR="003F1802" w:rsidRPr="008738C7">
        <w:rPr>
          <w:sz w:val="26"/>
          <w:szCs w:val="26"/>
        </w:rPr>
        <w:t xml:space="preserve">  </w:t>
      </w:r>
      <w:r w:rsidR="009C173C" w:rsidRPr="008738C7">
        <w:rPr>
          <w:sz w:val="26"/>
          <w:szCs w:val="26"/>
        </w:rPr>
        <w:t xml:space="preserve">The </w:t>
      </w:r>
      <w:r w:rsidR="00B573F8" w:rsidRPr="008738C7">
        <w:rPr>
          <w:sz w:val="26"/>
          <w:szCs w:val="26"/>
        </w:rPr>
        <w:t xml:space="preserve">ALJ stated that the </w:t>
      </w:r>
      <w:r w:rsidR="009C173C" w:rsidRPr="008738C7">
        <w:rPr>
          <w:sz w:val="26"/>
          <w:szCs w:val="26"/>
        </w:rPr>
        <w:t>Commonwealth Court remanded the case to the Commission to “undertake this inquiry and determine whether [PPL] is entitled to a [certificate of public convenience] pursuant to the above-mentioned standard.”</w:t>
      </w:r>
      <w:r w:rsidR="003A7DB8" w:rsidRPr="008738C7">
        <w:rPr>
          <w:sz w:val="26"/>
          <w:szCs w:val="26"/>
        </w:rPr>
        <w:t xml:space="preserve">  </w:t>
      </w:r>
      <w:r w:rsidR="00496F41" w:rsidRPr="008738C7">
        <w:rPr>
          <w:sz w:val="26"/>
          <w:szCs w:val="26"/>
        </w:rPr>
        <w:t>R</w:t>
      </w:r>
      <w:r w:rsidR="003F1802" w:rsidRPr="008738C7">
        <w:rPr>
          <w:sz w:val="26"/>
          <w:szCs w:val="26"/>
        </w:rPr>
        <w:t xml:space="preserve">.D. at 13, citing </w:t>
      </w:r>
      <w:r w:rsidR="009A0D75" w:rsidRPr="008738C7">
        <w:rPr>
          <w:sz w:val="26"/>
          <w:szCs w:val="26"/>
        </w:rPr>
        <w:t xml:space="preserve">PPL </w:t>
      </w:r>
      <w:r w:rsidR="003F1802" w:rsidRPr="008738C7">
        <w:rPr>
          <w:sz w:val="26"/>
          <w:szCs w:val="26"/>
        </w:rPr>
        <w:t>Commonwealth Court Order at 23</w:t>
      </w:r>
      <w:r w:rsidR="00A26EDF" w:rsidRPr="008738C7">
        <w:rPr>
          <w:sz w:val="26"/>
          <w:szCs w:val="26"/>
        </w:rPr>
        <w:t>-24.</w:t>
      </w:r>
    </w:p>
    <w:p w14:paraId="7BF298BE" w14:textId="24DAB367" w:rsidR="009A4C58" w:rsidRPr="008738C7" w:rsidRDefault="009A4C58" w:rsidP="008738C7">
      <w:pPr>
        <w:spacing w:line="360" w:lineRule="auto"/>
        <w:contextualSpacing/>
        <w:rPr>
          <w:sz w:val="26"/>
          <w:szCs w:val="26"/>
        </w:rPr>
      </w:pPr>
    </w:p>
    <w:p w14:paraId="55D42E66" w14:textId="5B64BFFF" w:rsidR="00571BED" w:rsidRPr="008738C7" w:rsidRDefault="009A4C58" w:rsidP="008738C7">
      <w:pPr>
        <w:spacing w:line="360" w:lineRule="auto"/>
        <w:contextualSpacing/>
        <w:rPr>
          <w:sz w:val="26"/>
          <w:szCs w:val="26"/>
        </w:rPr>
      </w:pPr>
      <w:r w:rsidRPr="008738C7">
        <w:rPr>
          <w:sz w:val="26"/>
          <w:szCs w:val="26"/>
        </w:rPr>
        <w:tab/>
      </w:r>
      <w:r w:rsidRPr="008738C7">
        <w:rPr>
          <w:sz w:val="26"/>
          <w:szCs w:val="26"/>
        </w:rPr>
        <w:tab/>
      </w:r>
      <w:r w:rsidR="00E219D4" w:rsidRPr="008738C7">
        <w:rPr>
          <w:sz w:val="26"/>
          <w:szCs w:val="26"/>
        </w:rPr>
        <w:t>The ALJ further</w:t>
      </w:r>
      <w:r w:rsidR="004908AD" w:rsidRPr="008738C7">
        <w:rPr>
          <w:sz w:val="26"/>
          <w:szCs w:val="26"/>
        </w:rPr>
        <w:t xml:space="preserve"> stated that w</w:t>
      </w:r>
      <w:r w:rsidRPr="008738C7">
        <w:rPr>
          <w:sz w:val="26"/>
          <w:szCs w:val="26"/>
        </w:rPr>
        <w:t xml:space="preserve">ith that legal framework in mind, the case was remanded to the Commission and the </w:t>
      </w:r>
      <w:r w:rsidR="00250717" w:rsidRPr="008738C7">
        <w:rPr>
          <w:sz w:val="26"/>
          <w:szCs w:val="26"/>
        </w:rPr>
        <w:t>P</w:t>
      </w:r>
      <w:r w:rsidRPr="008738C7">
        <w:rPr>
          <w:sz w:val="26"/>
          <w:szCs w:val="26"/>
        </w:rPr>
        <w:t>arties restarted litigation.</w:t>
      </w:r>
      <w:r w:rsidR="008A1223" w:rsidRPr="008738C7">
        <w:rPr>
          <w:sz w:val="26"/>
          <w:szCs w:val="26"/>
        </w:rPr>
        <w:t xml:space="preserve">  </w:t>
      </w:r>
      <w:r w:rsidRPr="008738C7">
        <w:rPr>
          <w:sz w:val="26"/>
          <w:szCs w:val="26"/>
        </w:rPr>
        <w:t>In doing so, PPL presented testimony of</w:t>
      </w:r>
      <w:r w:rsidR="00CF418E" w:rsidRPr="008738C7">
        <w:rPr>
          <w:sz w:val="26"/>
          <w:szCs w:val="26"/>
        </w:rPr>
        <w:t xml:space="preserve"> Mr. </w:t>
      </w:r>
      <w:r w:rsidRPr="008738C7">
        <w:rPr>
          <w:sz w:val="26"/>
          <w:szCs w:val="26"/>
        </w:rPr>
        <w:t>Elmore that was admitted into the record of this remanded proceeding by stipulation.</w:t>
      </w:r>
      <w:r w:rsidR="00CF418E" w:rsidRPr="008738C7">
        <w:rPr>
          <w:sz w:val="26"/>
          <w:szCs w:val="26"/>
        </w:rPr>
        <w:t xml:space="preserve">  According to the ALJ, i</w:t>
      </w:r>
      <w:r w:rsidRPr="008738C7">
        <w:rPr>
          <w:sz w:val="26"/>
          <w:szCs w:val="26"/>
        </w:rPr>
        <w:t>n that testimony, Mr. Elmore testified regarding how the proposed restructuring meets the standard set forth by the</w:t>
      </w:r>
      <w:r w:rsidR="003613A8" w:rsidRPr="008738C7">
        <w:rPr>
          <w:sz w:val="26"/>
          <w:szCs w:val="26"/>
        </w:rPr>
        <w:t xml:space="preserve"> Commonwealth Court and is proper for the service of the public.</w:t>
      </w:r>
      <w:r w:rsidR="00CF418E" w:rsidRPr="008738C7">
        <w:rPr>
          <w:sz w:val="26"/>
          <w:szCs w:val="26"/>
        </w:rPr>
        <w:t xml:space="preserve">  </w:t>
      </w:r>
      <w:r w:rsidR="003613A8" w:rsidRPr="008738C7">
        <w:rPr>
          <w:sz w:val="26"/>
          <w:szCs w:val="26"/>
        </w:rPr>
        <w:t>Mr. Elmore began by noting that “Newco 1 and Newco 2 are simply holding companies for tax and finance purposes.”</w:t>
      </w:r>
      <w:r w:rsidR="00B27B10" w:rsidRPr="008738C7">
        <w:rPr>
          <w:sz w:val="26"/>
          <w:szCs w:val="26"/>
        </w:rPr>
        <w:t xml:space="preserve">  </w:t>
      </w:r>
      <w:r w:rsidR="003613A8" w:rsidRPr="008738C7">
        <w:rPr>
          <w:sz w:val="26"/>
          <w:szCs w:val="26"/>
        </w:rPr>
        <w:t>Mr. Elmore added that “the proposed restructuring will allow PPL Corp. to manage its tax liabilities in a prudent manner and facilitate efficient management of cash flows between corporate entities subject to different taxing authorities.”</w:t>
      </w:r>
      <w:r w:rsidR="00B27B10" w:rsidRPr="008738C7">
        <w:rPr>
          <w:sz w:val="26"/>
          <w:szCs w:val="26"/>
        </w:rPr>
        <w:t xml:space="preserve">  </w:t>
      </w:r>
      <w:r w:rsidR="003613A8" w:rsidRPr="008738C7">
        <w:rPr>
          <w:sz w:val="26"/>
          <w:szCs w:val="26"/>
        </w:rPr>
        <w:t xml:space="preserve">Mr. Elmore testified that “all of the major </w:t>
      </w:r>
      <w:proofErr w:type="gramStart"/>
      <w:r w:rsidR="003613A8" w:rsidRPr="008738C7">
        <w:rPr>
          <w:sz w:val="26"/>
          <w:szCs w:val="26"/>
        </w:rPr>
        <w:t>investor owned</w:t>
      </w:r>
      <w:proofErr w:type="gramEnd"/>
      <w:r w:rsidR="003613A8" w:rsidRPr="008738C7">
        <w:rPr>
          <w:sz w:val="26"/>
          <w:szCs w:val="26"/>
        </w:rPr>
        <w:t xml:space="preserve"> gas and electric utilities in Pennsylvania are part of holding company structures, and these structures were approved by the Commission as in the public interest,” noting the utilization of Delaware holding companies, among other things, as a tax planning tool.</w:t>
      </w:r>
      <w:r w:rsidR="0040250B" w:rsidRPr="008738C7">
        <w:rPr>
          <w:sz w:val="26"/>
          <w:szCs w:val="26"/>
        </w:rPr>
        <w:t xml:space="preserve">  </w:t>
      </w:r>
      <w:r w:rsidR="00496F41" w:rsidRPr="008738C7">
        <w:rPr>
          <w:sz w:val="26"/>
          <w:szCs w:val="26"/>
        </w:rPr>
        <w:t>R</w:t>
      </w:r>
      <w:r w:rsidR="0040250B" w:rsidRPr="008738C7">
        <w:rPr>
          <w:sz w:val="26"/>
          <w:szCs w:val="26"/>
        </w:rPr>
        <w:t>.D. at 13-14</w:t>
      </w:r>
      <w:r w:rsidR="00B27B10" w:rsidRPr="008738C7">
        <w:rPr>
          <w:sz w:val="26"/>
          <w:szCs w:val="26"/>
        </w:rPr>
        <w:t>, citing PPL St. 1 Supplemental at 5-6</w:t>
      </w:r>
      <w:r w:rsidR="00224D08" w:rsidRPr="008738C7">
        <w:rPr>
          <w:sz w:val="26"/>
          <w:szCs w:val="26"/>
        </w:rPr>
        <w:t xml:space="preserve">, </w:t>
      </w:r>
      <w:r w:rsidR="003613A8" w:rsidRPr="008738C7">
        <w:rPr>
          <w:sz w:val="26"/>
          <w:szCs w:val="26"/>
        </w:rPr>
        <w:t>7-9.</w:t>
      </w:r>
    </w:p>
    <w:p w14:paraId="59D90596" w14:textId="77777777" w:rsidR="00496F41" w:rsidRPr="008738C7" w:rsidRDefault="00496F41" w:rsidP="008738C7">
      <w:pPr>
        <w:spacing w:line="360" w:lineRule="auto"/>
        <w:contextualSpacing/>
        <w:rPr>
          <w:sz w:val="26"/>
          <w:szCs w:val="26"/>
        </w:rPr>
      </w:pPr>
    </w:p>
    <w:p w14:paraId="750EC29D" w14:textId="4F27CEEB" w:rsidR="008A3500" w:rsidRPr="008738C7" w:rsidRDefault="008A3500" w:rsidP="008738C7">
      <w:pPr>
        <w:spacing w:line="360" w:lineRule="auto"/>
        <w:contextualSpacing/>
        <w:rPr>
          <w:sz w:val="26"/>
          <w:szCs w:val="26"/>
        </w:rPr>
      </w:pPr>
      <w:r w:rsidRPr="008738C7">
        <w:rPr>
          <w:sz w:val="26"/>
          <w:szCs w:val="26"/>
        </w:rPr>
        <w:tab/>
      </w:r>
      <w:r w:rsidRPr="008738C7">
        <w:rPr>
          <w:sz w:val="26"/>
          <w:szCs w:val="26"/>
        </w:rPr>
        <w:tab/>
        <w:t>The ALJ</w:t>
      </w:r>
      <w:r w:rsidR="007439CC" w:rsidRPr="008738C7">
        <w:rPr>
          <w:sz w:val="26"/>
          <w:szCs w:val="26"/>
        </w:rPr>
        <w:t xml:space="preserve"> </w:t>
      </w:r>
      <w:r w:rsidRPr="008738C7">
        <w:rPr>
          <w:sz w:val="26"/>
          <w:szCs w:val="26"/>
        </w:rPr>
        <w:t xml:space="preserve">stated that Mr. Elmore then specifically referenced the standard set forth in </w:t>
      </w:r>
      <w:r w:rsidR="00166FEC" w:rsidRPr="008738C7">
        <w:rPr>
          <w:sz w:val="26"/>
          <w:szCs w:val="26"/>
        </w:rPr>
        <w:t xml:space="preserve">the </w:t>
      </w:r>
      <w:r w:rsidRPr="008738C7">
        <w:rPr>
          <w:sz w:val="26"/>
          <w:szCs w:val="26"/>
        </w:rPr>
        <w:t>PPL Commonwealth Court Order.  According to the ALJ, Mr. Elmore testified:</w:t>
      </w:r>
    </w:p>
    <w:p w14:paraId="7DDEF0E7" w14:textId="6CCCC341" w:rsidR="00571BED" w:rsidRPr="008738C7" w:rsidRDefault="00571BED" w:rsidP="00D87376">
      <w:pPr>
        <w:ind w:firstLine="1440"/>
        <w:contextualSpacing/>
        <w:rPr>
          <w:sz w:val="26"/>
          <w:szCs w:val="26"/>
        </w:rPr>
      </w:pPr>
    </w:p>
    <w:p w14:paraId="7436C74A" w14:textId="3FF7F201" w:rsidR="00B10802" w:rsidRPr="008738C7" w:rsidRDefault="00B10802" w:rsidP="008738C7">
      <w:pPr>
        <w:pStyle w:val="Default"/>
        <w:ind w:left="1440" w:right="1440"/>
        <w:rPr>
          <w:sz w:val="26"/>
          <w:szCs w:val="26"/>
        </w:rPr>
      </w:pPr>
      <w:r w:rsidRPr="008738C7">
        <w:rPr>
          <w:sz w:val="26"/>
          <w:szCs w:val="26"/>
        </w:rPr>
        <w:t xml:space="preserve">Q. Is PPL EU’s proposed restructuring consistent with the examples provided by the Commonwealth Court? </w:t>
      </w:r>
    </w:p>
    <w:p w14:paraId="260BE915" w14:textId="77777777" w:rsidR="00B10802" w:rsidRPr="008738C7" w:rsidRDefault="00B10802" w:rsidP="008738C7">
      <w:pPr>
        <w:pStyle w:val="Default"/>
        <w:ind w:left="1440" w:right="1440"/>
        <w:rPr>
          <w:sz w:val="26"/>
          <w:szCs w:val="26"/>
        </w:rPr>
      </w:pPr>
    </w:p>
    <w:p w14:paraId="066B7FD7" w14:textId="74885934" w:rsidR="00571BED" w:rsidRPr="008738C7" w:rsidRDefault="00B10802" w:rsidP="008738C7">
      <w:pPr>
        <w:ind w:left="1440" w:right="1440"/>
        <w:contextualSpacing/>
        <w:rPr>
          <w:sz w:val="26"/>
          <w:szCs w:val="26"/>
        </w:rPr>
      </w:pPr>
      <w:r w:rsidRPr="008738C7">
        <w:rPr>
          <w:sz w:val="26"/>
          <w:szCs w:val="26"/>
        </w:rPr>
        <w:t>A. Yes. The proposed restructuring is typical of internal reorganizations undertaken by non-regulated businesses that PPL must compete with for capital in the public markets. The cash flow and tax management reasons for the proposed restructuring align with the Commonwealth Court’s examples of traditional reasons for internal business reorganizations. In fact, the Commonwealth Court recognized that PPL EU’s reasons for the proposed restructuring “duplicate or mimic” the cash flow and tax management objectives that are common in internal business reorganizations.</w:t>
      </w:r>
    </w:p>
    <w:p w14:paraId="4D18C075" w14:textId="499C1CCC" w:rsidR="00571BED" w:rsidRPr="008738C7" w:rsidRDefault="00571BED" w:rsidP="008738C7">
      <w:pPr>
        <w:spacing w:line="360" w:lineRule="auto"/>
        <w:ind w:firstLine="1440"/>
        <w:contextualSpacing/>
        <w:rPr>
          <w:sz w:val="26"/>
          <w:szCs w:val="26"/>
        </w:rPr>
      </w:pPr>
    </w:p>
    <w:p w14:paraId="3B877851" w14:textId="36CF6DFB" w:rsidR="00571BED" w:rsidRPr="008738C7" w:rsidRDefault="00496F41" w:rsidP="008738C7">
      <w:pPr>
        <w:spacing w:line="360" w:lineRule="auto"/>
        <w:contextualSpacing/>
        <w:rPr>
          <w:sz w:val="26"/>
          <w:szCs w:val="26"/>
        </w:rPr>
      </w:pPr>
      <w:r w:rsidRPr="008738C7">
        <w:rPr>
          <w:sz w:val="26"/>
          <w:szCs w:val="26"/>
        </w:rPr>
        <w:t>R</w:t>
      </w:r>
      <w:r w:rsidR="00763E7C" w:rsidRPr="008738C7">
        <w:rPr>
          <w:sz w:val="26"/>
          <w:szCs w:val="26"/>
        </w:rPr>
        <w:t>.D. at 14, citing PPL St. 1 Supplemental at 10</w:t>
      </w:r>
      <w:r w:rsidR="008837EC" w:rsidRPr="008738C7">
        <w:rPr>
          <w:sz w:val="26"/>
          <w:szCs w:val="26"/>
        </w:rPr>
        <w:t xml:space="preserve">; </w:t>
      </w:r>
      <w:r w:rsidR="006906FF" w:rsidRPr="008738C7">
        <w:rPr>
          <w:sz w:val="26"/>
          <w:szCs w:val="26"/>
        </w:rPr>
        <w:t xml:space="preserve">PPL </w:t>
      </w:r>
      <w:r w:rsidR="008837EC" w:rsidRPr="008738C7">
        <w:rPr>
          <w:sz w:val="26"/>
          <w:szCs w:val="26"/>
        </w:rPr>
        <w:t>Commonwealth Court Order at 22</w:t>
      </w:r>
      <w:r w:rsidR="00763E7C" w:rsidRPr="008738C7">
        <w:rPr>
          <w:sz w:val="26"/>
          <w:szCs w:val="26"/>
        </w:rPr>
        <w:t>.</w:t>
      </w:r>
      <w:r w:rsidR="00F061EF" w:rsidRPr="008738C7">
        <w:rPr>
          <w:sz w:val="26"/>
          <w:szCs w:val="26"/>
        </w:rPr>
        <w:t xml:space="preserve">  Mr. Elmore added that the proposed restructuring will allow PPL to </w:t>
      </w:r>
      <w:proofErr w:type="gramStart"/>
      <w:r w:rsidR="00F061EF" w:rsidRPr="008738C7">
        <w:rPr>
          <w:sz w:val="26"/>
          <w:szCs w:val="26"/>
        </w:rPr>
        <w:t>more efficiently and prudently manage its finances</w:t>
      </w:r>
      <w:proofErr w:type="gramEnd"/>
      <w:r w:rsidR="00F061EF" w:rsidRPr="008738C7">
        <w:rPr>
          <w:sz w:val="26"/>
          <w:szCs w:val="26"/>
        </w:rPr>
        <w:t>, specifically its cash flow and tax liabilities and enhance the available means for PPL to make cash contributions for purposes of funding capital projects.</w:t>
      </w:r>
      <w:r w:rsidR="006906FF" w:rsidRPr="008738C7">
        <w:rPr>
          <w:sz w:val="26"/>
          <w:szCs w:val="26"/>
        </w:rPr>
        <w:t xml:space="preserve">  </w:t>
      </w:r>
      <w:r w:rsidR="00F061EF" w:rsidRPr="008738C7">
        <w:rPr>
          <w:sz w:val="26"/>
          <w:szCs w:val="26"/>
        </w:rPr>
        <w:t>Mr. Elmore also testified regarding earnings, credit metrics and PPL and its customers as reasons why the proposed restructuring satisfies the Commonwealth Court’s “proper” standard.</w:t>
      </w:r>
      <w:r w:rsidR="00AF799A" w:rsidRPr="008738C7">
        <w:rPr>
          <w:sz w:val="26"/>
          <w:szCs w:val="26"/>
        </w:rPr>
        <w:t xml:space="preserve">  </w:t>
      </w:r>
      <w:r w:rsidRPr="008738C7">
        <w:rPr>
          <w:sz w:val="26"/>
          <w:szCs w:val="26"/>
        </w:rPr>
        <w:t>R</w:t>
      </w:r>
      <w:r w:rsidR="00AF799A" w:rsidRPr="008738C7">
        <w:rPr>
          <w:sz w:val="26"/>
          <w:szCs w:val="26"/>
        </w:rPr>
        <w:t>.D. at 14, citing</w:t>
      </w:r>
      <w:r w:rsidR="0038716C" w:rsidRPr="008738C7">
        <w:rPr>
          <w:sz w:val="26"/>
          <w:szCs w:val="26"/>
        </w:rPr>
        <w:t xml:space="preserve"> </w:t>
      </w:r>
      <w:r w:rsidR="006906FF" w:rsidRPr="008738C7">
        <w:rPr>
          <w:sz w:val="26"/>
          <w:szCs w:val="26"/>
        </w:rPr>
        <w:t xml:space="preserve">PPL </w:t>
      </w:r>
      <w:r w:rsidR="00AF799A" w:rsidRPr="008738C7">
        <w:rPr>
          <w:sz w:val="26"/>
          <w:szCs w:val="26"/>
        </w:rPr>
        <w:t>Commonwealth Court Order at 2</w:t>
      </w:r>
      <w:r w:rsidR="0038716C" w:rsidRPr="008738C7">
        <w:rPr>
          <w:sz w:val="26"/>
          <w:szCs w:val="26"/>
        </w:rPr>
        <w:t>3-24</w:t>
      </w:r>
      <w:r w:rsidR="00AF799A" w:rsidRPr="008738C7">
        <w:rPr>
          <w:sz w:val="26"/>
          <w:szCs w:val="26"/>
        </w:rPr>
        <w:t>.</w:t>
      </w:r>
    </w:p>
    <w:p w14:paraId="34EC9BF3" w14:textId="74278ACC" w:rsidR="003C1E4E" w:rsidRPr="008738C7" w:rsidRDefault="003C1E4E" w:rsidP="008738C7">
      <w:pPr>
        <w:spacing w:line="360" w:lineRule="auto"/>
        <w:contextualSpacing/>
        <w:rPr>
          <w:sz w:val="26"/>
          <w:szCs w:val="26"/>
        </w:rPr>
      </w:pPr>
    </w:p>
    <w:p w14:paraId="23D02A64" w14:textId="472C9C84" w:rsidR="00571BED" w:rsidRPr="008738C7" w:rsidRDefault="003C1E4E" w:rsidP="008738C7">
      <w:pPr>
        <w:spacing w:line="360" w:lineRule="auto"/>
        <w:contextualSpacing/>
        <w:rPr>
          <w:sz w:val="26"/>
          <w:szCs w:val="26"/>
        </w:rPr>
      </w:pPr>
      <w:r w:rsidRPr="008738C7">
        <w:rPr>
          <w:sz w:val="26"/>
          <w:szCs w:val="26"/>
        </w:rPr>
        <w:tab/>
      </w:r>
      <w:r w:rsidRPr="008738C7">
        <w:rPr>
          <w:sz w:val="26"/>
          <w:szCs w:val="26"/>
        </w:rPr>
        <w:tab/>
        <w:t xml:space="preserve">According to the ALJ, in response to that testimony, the </w:t>
      </w:r>
      <w:r w:rsidR="006906FF" w:rsidRPr="008738C7">
        <w:rPr>
          <w:sz w:val="26"/>
          <w:szCs w:val="26"/>
        </w:rPr>
        <w:t>P</w:t>
      </w:r>
      <w:r w:rsidRPr="008738C7">
        <w:rPr>
          <w:sz w:val="26"/>
          <w:szCs w:val="26"/>
        </w:rPr>
        <w:t>arties agreed that the Application as filed satisfies the Commonwealth Court’s “proper” standard established in</w:t>
      </w:r>
      <w:r w:rsidR="00503DD5" w:rsidRPr="008738C7">
        <w:rPr>
          <w:sz w:val="26"/>
          <w:szCs w:val="26"/>
        </w:rPr>
        <w:t xml:space="preserve"> the </w:t>
      </w:r>
      <w:r w:rsidRPr="008738C7">
        <w:rPr>
          <w:sz w:val="26"/>
          <w:szCs w:val="26"/>
        </w:rPr>
        <w:t>Commonwealth Court</w:t>
      </w:r>
      <w:r w:rsidR="00503DD5" w:rsidRPr="008738C7">
        <w:rPr>
          <w:sz w:val="26"/>
          <w:szCs w:val="26"/>
        </w:rPr>
        <w:t xml:space="preserve"> Order.</w:t>
      </w:r>
      <w:r w:rsidR="00597EA7" w:rsidRPr="008738C7">
        <w:rPr>
          <w:sz w:val="26"/>
          <w:szCs w:val="26"/>
        </w:rPr>
        <w:t xml:space="preserve">  And </w:t>
      </w:r>
      <w:r w:rsidR="00311944" w:rsidRPr="008738C7">
        <w:rPr>
          <w:sz w:val="26"/>
          <w:szCs w:val="26"/>
        </w:rPr>
        <w:t xml:space="preserve">that although the </w:t>
      </w:r>
      <w:r w:rsidR="00597EA7" w:rsidRPr="008738C7">
        <w:rPr>
          <w:sz w:val="26"/>
          <w:szCs w:val="26"/>
        </w:rPr>
        <w:t>S</w:t>
      </w:r>
      <w:r w:rsidR="00311944" w:rsidRPr="008738C7">
        <w:rPr>
          <w:sz w:val="26"/>
          <w:szCs w:val="26"/>
        </w:rPr>
        <w:t xml:space="preserve">ettlement does not “formulate the specific criteria or factors to be used in assessing whether [PPL’s] proposed internal restructuring is ‘proper,’” as the Commonwealth Court directed, the </w:t>
      </w:r>
      <w:r w:rsidR="00597EA7" w:rsidRPr="008738C7">
        <w:rPr>
          <w:sz w:val="26"/>
          <w:szCs w:val="26"/>
        </w:rPr>
        <w:t>P</w:t>
      </w:r>
      <w:r w:rsidR="00311944" w:rsidRPr="008738C7">
        <w:rPr>
          <w:sz w:val="26"/>
          <w:szCs w:val="26"/>
        </w:rPr>
        <w:t xml:space="preserve">arties also agreed as part of the </w:t>
      </w:r>
      <w:r w:rsidR="00694323" w:rsidRPr="008738C7">
        <w:rPr>
          <w:sz w:val="26"/>
          <w:szCs w:val="26"/>
        </w:rPr>
        <w:t>S</w:t>
      </w:r>
      <w:r w:rsidR="00311944" w:rsidRPr="008738C7">
        <w:rPr>
          <w:sz w:val="26"/>
          <w:szCs w:val="26"/>
        </w:rPr>
        <w:t xml:space="preserve">ettlement that the </w:t>
      </w:r>
      <w:r w:rsidR="00694323" w:rsidRPr="008738C7">
        <w:rPr>
          <w:sz w:val="26"/>
          <w:szCs w:val="26"/>
        </w:rPr>
        <w:t>S</w:t>
      </w:r>
      <w:r w:rsidR="00311944" w:rsidRPr="008738C7">
        <w:rPr>
          <w:sz w:val="26"/>
          <w:szCs w:val="26"/>
        </w:rPr>
        <w:t>ettlement would not be cited as precedent in other cases, effectively leaving the issue of specific criteria or factors to be used in assessing whether an internal restructuring is “proper” for another day.</w:t>
      </w:r>
      <w:r w:rsidR="00DC0EAF" w:rsidRPr="008738C7">
        <w:rPr>
          <w:sz w:val="26"/>
          <w:szCs w:val="26"/>
        </w:rPr>
        <w:t xml:space="preserve">  </w:t>
      </w:r>
      <w:r w:rsidR="008422B8" w:rsidRPr="008738C7">
        <w:rPr>
          <w:sz w:val="26"/>
          <w:szCs w:val="26"/>
        </w:rPr>
        <w:t>R</w:t>
      </w:r>
      <w:r w:rsidR="00DC0EAF" w:rsidRPr="008738C7">
        <w:rPr>
          <w:sz w:val="26"/>
          <w:szCs w:val="26"/>
        </w:rPr>
        <w:t>.D.</w:t>
      </w:r>
      <w:r w:rsidR="00D87376">
        <w:rPr>
          <w:sz w:val="26"/>
          <w:szCs w:val="26"/>
        </w:rPr>
        <w:t> </w:t>
      </w:r>
      <w:r w:rsidR="00DC0EAF" w:rsidRPr="008738C7">
        <w:rPr>
          <w:sz w:val="26"/>
          <w:szCs w:val="26"/>
        </w:rPr>
        <w:t>at</w:t>
      </w:r>
      <w:r w:rsidR="00D87376">
        <w:rPr>
          <w:sz w:val="26"/>
          <w:szCs w:val="26"/>
        </w:rPr>
        <w:t> </w:t>
      </w:r>
      <w:r w:rsidR="00DC0EAF" w:rsidRPr="008738C7">
        <w:rPr>
          <w:sz w:val="26"/>
          <w:szCs w:val="26"/>
        </w:rPr>
        <w:t>14-15.</w:t>
      </w:r>
    </w:p>
    <w:p w14:paraId="5927BC4A" w14:textId="77777777" w:rsidR="006067E2" w:rsidRPr="008738C7" w:rsidRDefault="006067E2" w:rsidP="008738C7">
      <w:pPr>
        <w:spacing w:line="360" w:lineRule="auto"/>
        <w:ind w:firstLine="1440"/>
        <w:contextualSpacing/>
        <w:rPr>
          <w:sz w:val="26"/>
          <w:szCs w:val="26"/>
        </w:rPr>
      </w:pPr>
    </w:p>
    <w:p w14:paraId="1737A7F7" w14:textId="7A84DAC9" w:rsidR="00571BED" w:rsidRPr="008738C7" w:rsidRDefault="009B4A4C" w:rsidP="008738C7">
      <w:pPr>
        <w:spacing w:line="360" w:lineRule="auto"/>
        <w:ind w:firstLine="1440"/>
        <w:contextualSpacing/>
        <w:rPr>
          <w:sz w:val="26"/>
          <w:szCs w:val="26"/>
        </w:rPr>
      </w:pPr>
      <w:proofErr w:type="gramStart"/>
      <w:r w:rsidRPr="008738C7">
        <w:rPr>
          <w:sz w:val="26"/>
          <w:szCs w:val="26"/>
        </w:rPr>
        <w:t>In light of</w:t>
      </w:r>
      <w:proofErr w:type="gramEnd"/>
      <w:r w:rsidRPr="008738C7">
        <w:rPr>
          <w:sz w:val="26"/>
          <w:szCs w:val="26"/>
        </w:rPr>
        <w:t xml:space="preserve"> the Commonwealth Court’s decision, the ALJ recommended that the Commission f</w:t>
      </w:r>
      <w:r w:rsidR="00B802BC" w:rsidRPr="008738C7">
        <w:rPr>
          <w:sz w:val="26"/>
          <w:szCs w:val="26"/>
        </w:rPr>
        <w:t>in</w:t>
      </w:r>
      <w:r w:rsidR="00F61DE9" w:rsidRPr="008738C7">
        <w:rPr>
          <w:sz w:val="26"/>
          <w:szCs w:val="26"/>
        </w:rPr>
        <w:t>d</w:t>
      </w:r>
      <w:r w:rsidRPr="008738C7">
        <w:rPr>
          <w:sz w:val="26"/>
          <w:szCs w:val="26"/>
        </w:rPr>
        <w:t xml:space="preserve"> that the </w:t>
      </w:r>
      <w:r w:rsidR="00F61DE9" w:rsidRPr="008738C7">
        <w:rPr>
          <w:sz w:val="26"/>
          <w:szCs w:val="26"/>
        </w:rPr>
        <w:t>S</w:t>
      </w:r>
      <w:r w:rsidRPr="008738C7">
        <w:rPr>
          <w:sz w:val="26"/>
          <w:szCs w:val="26"/>
        </w:rPr>
        <w:t>ettlement proposed on remand is in the public interest and should be adopted in its entirety without modification.</w:t>
      </w:r>
      <w:r w:rsidR="00F61DE9" w:rsidRPr="008738C7">
        <w:rPr>
          <w:sz w:val="26"/>
          <w:szCs w:val="26"/>
        </w:rPr>
        <w:t xml:space="preserve">  The ALJ stated that s</w:t>
      </w:r>
      <w:r w:rsidRPr="008738C7">
        <w:rPr>
          <w:sz w:val="26"/>
          <w:szCs w:val="26"/>
        </w:rPr>
        <w:t>ince the proposed transaction is an intercompany transaction, and does not involve, for example, the merger of two utilities, then the “proper” standard applies.</w:t>
      </w:r>
      <w:r w:rsidR="00B9365E" w:rsidRPr="008738C7">
        <w:rPr>
          <w:sz w:val="26"/>
          <w:szCs w:val="26"/>
        </w:rPr>
        <w:t xml:space="preserve">  </w:t>
      </w:r>
      <w:r w:rsidRPr="008738C7">
        <w:rPr>
          <w:sz w:val="26"/>
          <w:szCs w:val="26"/>
        </w:rPr>
        <w:t>The</w:t>
      </w:r>
      <w:r w:rsidR="00B9365E" w:rsidRPr="008738C7">
        <w:rPr>
          <w:sz w:val="26"/>
          <w:szCs w:val="26"/>
        </w:rPr>
        <w:t xml:space="preserve"> ALJ further determined that the </w:t>
      </w:r>
      <w:r w:rsidRPr="008738C7">
        <w:rPr>
          <w:sz w:val="26"/>
          <w:szCs w:val="26"/>
        </w:rPr>
        <w:t>record evidence as detailed by PPL witness Elmore demonstrates that the proposed internal restructuring is “proper” under the terms as discussed by the Commonwealth Court.</w:t>
      </w:r>
      <w:r w:rsidR="00B802BC" w:rsidRPr="008738C7">
        <w:rPr>
          <w:sz w:val="26"/>
          <w:szCs w:val="26"/>
        </w:rPr>
        <w:t xml:space="preserve">  </w:t>
      </w:r>
      <w:r w:rsidRPr="008738C7">
        <w:rPr>
          <w:sz w:val="26"/>
          <w:szCs w:val="26"/>
        </w:rPr>
        <w:t>This includes the tax and finance purposes discussed by Mr. Elmore, as well as managing tax liabilities, facilitating efficient cash flow management, increasing cash contributions to fund capital projects, lower cost of capital and other financial ramifications that are “proper” corporate financial management.</w:t>
      </w:r>
      <w:r w:rsidR="003C2D75" w:rsidRPr="008738C7">
        <w:rPr>
          <w:sz w:val="26"/>
          <w:szCs w:val="26"/>
        </w:rPr>
        <w:t xml:space="preserve">  The ALJ</w:t>
      </w:r>
      <w:r w:rsidR="00CD7509" w:rsidRPr="008738C7">
        <w:rPr>
          <w:sz w:val="26"/>
          <w:szCs w:val="26"/>
        </w:rPr>
        <w:t xml:space="preserve"> </w:t>
      </w:r>
      <w:r w:rsidR="003C2D75" w:rsidRPr="008738C7">
        <w:rPr>
          <w:sz w:val="26"/>
          <w:szCs w:val="26"/>
        </w:rPr>
        <w:t>stated that i</w:t>
      </w:r>
      <w:r w:rsidRPr="008738C7">
        <w:rPr>
          <w:sz w:val="26"/>
          <w:szCs w:val="26"/>
        </w:rPr>
        <w:t xml:space="preserve">t is also not unreasonable that the </w:t>
      </w:r>
      <w:r w:rsidR="00CD7509" w:rsidRPr="008738C7">
        <w:rPr>
          <w:sz w:val="26"/>
          <w:szCs w:val="26"/>
        </w:rPr>
        <w:t>P</w:t>
      </w:r>
      <w:r w:rsidRPr="008738C7">
        <w:rPr>
          <w:sz w:val="26"/>
          <w:szCs w:val="26"/>
        </w:rPr>
        <w:t>arties agreed that the task of formulating the specific criteria or factors to be used in assessing whether a proposed internal restructuring is “proper” be left for another case.</w:t>
      </w:r>
      <w:r w:rsidR="004C63BC" w:rsidRPr="008738C7">
        <w:rPr>
          <w:sz w:val="26"/>
          <w:szCs w:val="26"/>
        </w:rPr>
        <w:t xml:space="preserve">  </w:t>
      </w:r>
      <w:r w:rsidR="008422B8" w:rsidRPr="008738C7">
        <w:rPr>
          <w:sz w:val="26"/>
          <w:szCs w:val="26"/>
        </w:rPr>
        <w:t>R</w:t>
      </w:r>
      <w:r w:rsidR="004C63BC" w:rsidRPr="008738C7">
        <w:rPr>
          <w:sz w:val="26"/>
          <w:szCs w:val="26"/>
        </w:rPr>
        <w:t xml:space="preserve">.D. at 15. </w:t>
      </w:r>
    </w:p>
    <w:p w14:paraId="7969ABDC" w14:textId="65F31553" w:rsidR="00E815B0" w:rsidRPr="008738C7" w:rsidRDefault="00E815B0" w:rsidP="008738C7">
      <w:pPr>
        <w:spacing w:line="360" w:lineRule="auto"/>
        <w:ind w:firstLine="1440"/>
        <w:contextualSpacing/>
        <w:rPr>
          <w:sz w:val="26"/>
          <w:szCs w:val="26"/>
        </w:rPr>
      </w:pPr>
    </w:p>
    <w:p w14:paraId="3985FB7A" w14:textId="120EAB5B" w:rsidR="00E815B0" w:rsidRPr="008738C7" w:rsidRDefault="00E815B0" w:rsidP="008738C7">
      <w:pPr>
        <w:spacing w:line="360" w:lineRule="auto"/>
        <w:ind w:firstLine="1440"/>
        <w:contextualSpacing/>
        <w:rPr>
          <w:sz w:val="26"/>
          <w:szCs w:val="26"/>
        </w:rPr>
      </w:pPr>
      <w:r w:rsidRPr="008738C7">
        <w:rPr>
          <w:sz w:val="26"/>
          <w:szCs w:val="26"/>
        </w:rPr>
        <w:t>The ALJ</w:t>
      </w:r>
      <w:r w:rsidR="0087176A" w:rsidRPr="008738C7">
        <w:rPr>
          <w:sz w:val="26"/>
          <w:szCs w:val="26"/>
        </w:rPr>
        <w:t xml:space="preserve"> </w:t>
      </w:r>
      <w:r w:rsidRPr="008738C7">
        <w:rPr>
          <w:sz w:val="26"/>
          <w:szCs w:val="26"/>
        </w:rPr>
        <w:t xml:space="preserve">determined that in addition to </w:t>
      </w:r>
      <w:proofErr w:type="gramStart"/>
      <w:r w:rsidRPr="008738C7">
        <w:rPr>
          <w:sz w:val="26"/>
          <w:szCs w:val="26"/>
        </w:rPr>
        <w:t>all of</w:t>
      </w:r>
      <w:proofErr w:type="gramEnd"/>
      <w:r w:rsidRPr="008738C7">
        <w:rPr>
          <w:sz w:val="26"/>
          <w:szCs w:val="26"/>
        </w:rPr>
        <w:t xml:space="preserve"> these individual factors that support approving the Settlement as being in the public interest, the </w:t>
      </w:r>
      <w:r w:rsidR="003C6E8E" w:rsidRPr="008738C7">
        <w:rPr>
          <w:sz w:val="26"/>
          <w:szCs w:val="26"/>
        </w:rPr>
        <w:t>S</w:t>
      </w:r>
      <w:r w:rsidRPr="008738C7">
        <w:rPr>
          <w:sz w:val="26"/>
          <w:szCs w:val="26"/>
        </w:rPr>
        <w:t xml:space="preserve">ettlement is also in the public interest because of </w:t>
      </w:r>
      <w:r w:rsidR="0087176A" w:rsidRPr="008738C7">
        <w:rPr>
          <w:sz w:val="26"/>
          <w:szCs w:val="26"/>
        </w:rPr>
        <w:t xml:space="preserve">the </w:t>
      </w:r>
      <w:r w:rsidRPr="008738C7">
        <w:rPr>
          <w:sz w:val="26"/>
          <w:szCs w:val="26"/>
        </w:rPr>
        <w:t>general benefits of agreeing to a settlement.</w:t>
      </w:r>
      <w:r w:rsidR="003C6E8E" w:rsidRPr="008738C7">
        <w:rPr>
          <w:sz w:val="26"/>
          <w:szCs w:val="26"/>
        </w:rPr>
        <w:t xml:space="preserve">  According to the ALJ, t</w:t>
      </w:r>
      <w:r w:rsidRPr="008738C7">
        <w:rPr>
          <w:sz w:val="26"/>
          <w:szCs w:val="26"/>
        </w:rPr>
        <w:t xml:space="preserve">he </w:t>
      </w:r>
      <w:r w:rsidR="003C6E8E" w:rsidRPr="008738C7">
        <w:rPr>
          <w:sz w:val="26"/>
          <w:szCs w:val="26"/>
        </w:rPr>
        <w:t>S</w:t>
      </w:r>
      <w:r w:rsidRPr="008738C7">
        <w:rPr>
          <w:sz w:val="26"/>
          <w:szCs w:val="26"/>
        </w:rPr>
        <w:t xml:space="preserve">ettlement will save the </w:t>
      </w:r>
      <w:r w:rsidR="003B1C3D" w:rsidRPr="008738C7">
        <w:rPr>
          <w:sz w:val="26"/>
          <w:szCs w:val="26"/>
        </w:rPr>
        <w:t>P</w:t>
      </w:r>
      <w:r w:rsidRPr="008738C7">
        <w:rPr>
          <w:sz w:val="26"/>
          <w:szCs w:val="26"/>
        </w:rPr>
        <w:t>arties from expending substantial time and expense involved with further litigatio</w:t>
      </w:r>
      <w:r w:rsidR="003C6E8E" w:rsidRPr="008738C7">
        <w:rPr>
          <w:sz w:val="26"/>
          <w:szCs w:val="26"/>
        </w:rPr>
        <w:t>n and that a</w:t>
      </w:r>
      <w:r w:rsidRPr="008738C7">
        <w:rPr>
          <w:sz w:val="26"/>
          <w:szCs w:val="26"/>
        </w:rPr>
        <w:t xml:space="preserve">lthough the </w:t>
      </w:r>
      <w:r w:rsidR="005E5B7E" w:rsidRPr="008738C7">
        <w:rPr>
          <w:sz w:val="26"/>
          <w:szCs w:val="26"/>
        </w:rPr>
        <w:t>P</w:t>
      </w:r>
      <w:r w:rsidRPr="008738C7">
        <w:rPr>
          <w:sz w:val="26"/>
          <w:szCs w:val="26"/>
        </w:rPr>
        <w:t>arties already fully litigated this case, including the appeal, additional costs on remand could have included additional rounds of pre-served testimony, hearings, briefs, exceptions</w:t>
      </w:r>
      <w:r w:rsidR="00E5399E">
        <w:rPr>
          <w:sz w:val="26"/>
          <w:szCs w:val="26"/>
        </w:rPr>
        <w:t>,</w:t>
      </w:r>
      <w:r w:rsidRPr="008738C7">
        <w:rPr>
          <w:sz w:val="26"/>
          <w:szCs w:val="26"/>
        </w:rPr>
        <w:t xml:space="preserve"> and possible additional appeals.</w:t>
      </w:r>
      <w:r w:rsidR="00C34787" w:rsidRPr="008738C7">
        <w:rPr>
          <w:sz w:val="26"/>
          <w:szCs w:val="26"/>
        </w:rPr>
        <w:t xml:space="preserve">  </w:t>
      </w:r>
      <w:r w:rsidRPr="008738C7">
        <w:rPr>
          <w:sz w:val="26"/>
          <w:szCs w:val="26"/>
        </w:rPr>
        <w:t xml:space="preserve">Avoiding such expenditures minimizes the costs that might ultimately be passed on to the ratepayers, </w:t>
      </w:r>
      <w:proofErr w:type="gramStart"/>
      <w:r w:rsidRPr="008738C7">
        <w:rPr>
          <w:sz w:val="26"/>
          <w:szCs w:val="26"/>
        </w:rPr>
        <w:t>and also</w:t>
      </w:r>
      <w:proofErr w:type="gramEnd"/>
      <w:r w:rsidRPr="008738C7">
        <w:rPr>
          <w:sz w:val="26"/>
          <w:szCs w:val="26"/>
        </w:rPr>
        <w:t xml:space="preserve"> conserves the resources of all other parties involved in these proceedings and Commission resources as wel</w:t>
      </w:r>
      <w:r w:rsidR="0094695F" w:rsidRPr="008738C7">
        <w:rPr>
          <w:sz w:val="26"/>
          <w:szCs w:val="26"/>
        </w:rPr>
        <w:t>l</w:t>
      </w:r>
      <w:r w:rsidRPr="008738C7">
        <w:rPr>
          <w:sz w:val="26"/>
          <w:szCs w:val="26"/>
        </w:rPr>
        <w:t>.</w:t>
      </w:r>
      <w:r w:rsidR="005C4FA8" w:rsidRPr="008738C7">
        <w:rPr>
          <w:sz w:val="26"/>
          <w:szCs w:val="26"/>
        </w:rPr>
        <w:t xml:space="preserve">  </w:t>
      </w:r>
      <w:r w:rsidR="008422B8" w:rsidRPr="008738C7">
        <w:rPr>
          <w:sz w:val="26"/>
          <w:szCs w:val="26"/>
        </w:rPr>
        <w:t>R.</w:t>
      </w:r>
      <w:r w:rsidR="005C4FA8" w:rsidRPr="008738C7">
        <w:rPr>
          <w:sz w:val="26"/>
          <w:szCs w:val="26"/>
        </w:rPr>
        <w:t xml:space="preserve">D. at 15.  </w:t>
      </w:r>
    </w:p>
    <w:p w14:paraId="5C7D1421" w14:textId="457A301F" w:rsidR="00E57297" w:rsidRPr="008738C7" w:rsidRDefault="00E57297" w:rsidP="008738C7">
      <w:pPr>
        <w:spacing w:line="360" w:lineRule="auto"/>
        <w:ind w:firstLine="1440"/>
        <w:contextualSpacing/>
        <w:rPr>
          <w:sz w:val="26"/>
          <w:szCs w:val="26"/>
        </w:rPr>
      </w:pPr>
    </w:p>
    <w:p w14:paraId="49C0A72E" w14:textId="148B84DB" w:rsidR="00BD1F98" w:rsidRPr="008738C7" w:rsidRDefault="00E57297" w:rsidP="008738C7">
      <w:pPr>
        <w:spacing w:line="360" w:lineRule="auto"/>
        <w:ind w:firstLine="1440"/>
        <w:contextualSpacing/>
        <w:rPr>
          <w:sz w:val="26"/>
          <w:szCs w:val="26"/>
        </w:rPr>
      </w:pPr>
      <w:r w:rsidRPr="008738C7">
        <w:rPr>
          <w:sz w:val="26"/>
          <w:szCs w:val="26"/>
        </w:rPr>
        <w:t>The ALJ</w:t>
      </w:r>
      <w:r w:rsidR="00284305" w:rsidRPr="008738C7">
        <w:rPr>
          <w:sz w:val="26"/>
          <w:szCs w:val="26"/>
        </w:rPr>
        <w:t xml:space="preserve"> opined </w:t>
      </w:r>
      <w:r w:rsidRPr="008738C7">
        <w:rPr>
          <w:sz w:val="26"/>
          <w:szCs w:val="26"/>
        </w:rPr>
        <w:t xml:space="preserve">that the Settlement should be approved as being in the public interest because the </w:t>
      </w:r>
      <w:r w:rsidR="0094695F" w:rsidRPr="008738C7">
        <w:rPr>
          <w:sz w:val="26"/>
          <w:szCs w:val="26"/>
        </w:rPr>
        <w:t>P</w:t>
      </w:r>
      <w:r w:rsidRPr="008738C7">
        <w:rPr>
          <w:sz w:val="26"/>
          <w:szCs w:val="26"/>
        </w:rPr>
        <w:t xml:space="preserve">arties have engaged in extensive discovery and other litigation-related efforts </w:t>
      </w:r>
      <w:proofErr w:type="gramStart"/>
      <w:r w:rsidRPr="008738C7">
        <w:rPr>
          <w:sz w:val="26"/>
          <w:szCs w:val="26"/>
        </w:rPr>
        <w:t>in order to</w:t>
      </w:r>
      <w:proofErr w:type="gramEnd"/>
      <w:r w:rsidRPr="008738C7">
        <w:rPr>
          <w:sz w:val="26"/>
          <w:szCs w:val="26"/>
        </w:rPr>
        <w:t xml:space="preserve"> properly investigate and resolve the issues presented</w:t>
      </w:r>
      <w:r w:rsidR="00BD1F98" w:rsidRPr="008738C7">
        <w:rPr>
          <w:sz w:val="26"/>
          <w:szCs w:val="26"/>
        </w:rPr>
        <w:t xml:space="preserve"> and that t</w:t>
      </w:r>
      <w:r w:rsidRPr="008738C7">
        <w:rPr>
          <w:sz w:val="26"/>
          <w:szCs w:val="26"/>
        </w:rPr>
        <w:t>hese efforts demonstrate that the initial</w:t>
      </w:r>
      <w:r w:rsidR="00BD1F98" w:rsidRPr="008738C7">
        <w:rPr>
          <w:sz w:val="26"/>
          <w:szCs w:val="26"/>
        </w:rPr>
        <w:t xml:space="preserve"> filings and the responses to the filings have been thoroughly vetted and considered by all concerned </w:t>
      </w:r>
      <w:r w:rsidR="00CA38A1" w:rsidRPr="008738C7">
        <w:rPr>
          <w:sz w:val="26"/>
          <w:szCs w:val="26"/>
        </w:rPr>
        <w:t>P</w:t>
      </w:r>
      <w:r w:rsidR="00BD1F98" w:rsidRPr="008738C7">
        <w:rPr>
          <w:sz w:val="26"/>
          <w:szCs w:val="26"/>
        </w:rPr>
        <w:t>arties.</w:t>
      </w:r>
      <w:r w:rsidR="00F2618F" w:rsidRPr="008738C7">
        <w:rPr>
          <w:sz w:val="26"/>
          <w:szCs w:val="26"/>
        </w:rPr>
        <w:t xml:space="preserve">  </w:t>
      </w:r>
      <w:r w:rsidR="00BD1F98" w:rsidRPr="008738C7">
        <w:rPr>
          <w:sz w:val="26"/>
          <w:szCs w:val="26"/>
        </w:rPr>
        <w:t xml:space="preserve">The </w:t>
      </w:r>
      <w:r w:rsidR="00E31B77" w:rsidRPr="008738C7">
        <w:rPr>
          <w:sz w:val="26"/>
          <w:szCs w:val="26"/>
        </w:rPr>
        <w:t>S</w:t>
      </w:r>
      <w:r w:rsidR="00BD1F98" w:rsidRPr="008738C7">
        <w:rPr>
          <w:sz w:val="26"/>
          <w:szCs w:val="26"/>
        </w:rPr>
        <w:t xml:space="preserve">ettlement is also the result of extensive and fruitful negotiations between all the </w:t>
      </w:r>
      <w:r w:rsidR="009F1D42" w:rsidRPr="008738C7">
        <w:rPr>
          <w:sz w:val="26"/>
          <w:szCs w:val="26"/>
        </w:rPr>
        <w:t>P</w:t>
      </w:r>
      <w:r w:rsidR="00BD1F98" w:rsidRPr="008738C7">
        <w:rPr>
          <w:sz w:val="26"/>
          <w:szCs w:val="26"/>
        </w:rPr>
        <w:t xml:space="preserve">arties and represents what each </w:t>
      </w:r>
      <w:r w:rsidR="003B78D4" w:rsidRPr="008738C7">
        <w:rPr>
          <w:sz w:val="26"/>
          <w:szCs w:val="26"/>
        </w:rPr>
        <w:t>P</w:t>
      </w:r>
      <w:r w:rsidR="00BD1F98" w:rsidRPr="008738C7">
        <w:rPr>
          <w:sz w:val="26"/>
          <w:szCs w:val="26"/>
        </w:rPr>
        <w:t>arty believes to be a fair and reasonable compromise.</w:t>
      </w:r>
      <w:r w:rsidR="00E31B77" w:rsidRPr="008738C7">
        <w:rPr>
          <w:sz w:val="26"/>
          <w:szCs w:val="26"/>
        </w:rPr>
        <w:t xml:space="preserve">  According to the ALJ, t</w:t>
      </w:r>
      <w:r w:rsidR="00BD1F98" w:rsidRPr="008738C7">
        <w:rPr>
          <w:sz w:val="26"/>
          <w:szCs w:val="26"/>
        </w:rPr>
        <w:t xml:space="preserve">his is of </w:t>
      </w:r>
      <w:proofErr w:type="gramStart"/>
      <w:r w:rsidR="00BD1F98" w:rsidRPr="008738C7">
        <w:rPr>
          <w:sz w:val="26"/>
          <w:szCs w:val="26"/>
        </w:rPr>
        <w:t>particular note</w:t>
      </w:r>
      <w:proofErr w:type="gramEnd"/>
      <w:r w:rsidR="00BD1F98" w:rsidRPr="008738C7">
        <w:rPr>
          <w:sz w:val="26"/>
          <w:szCs w:val="26"/>
        </w:rPr>
        <w:t xml:space="preserve"> as the </w:t>
      </w:r>
      <w:r w:rsidR="003B78D4" w:rsidRPr="008738C7">
        <w:rPr>
          <w:sz w:val="26"/>
          <w:szCs w:val="26"/>
        </w:rPr>
        <w:t>P</w:t>
      </w:r>
      <w:r w:rsidR="00BD1F98" w:rsidRPr="008738C7">
        <w:rPr>
          <w:sz w:val="26"/>
          <w:szCs w:val="26"/>
        </w:rPr>
        <w:t>arties in this matter have diverse and competing interests yet were able to reach a settlement on all issues in this case.</w:t>
      </w:r>
      <w:r w:rsidR="00AE6166" w:rsidRPr="008738C7">
        <w:rPr>
          <w:sz w:val="26"/>
          <w:szCs w:val="26"/>
        </w:rPr>
        <w:t xml:space="preserve">  </w:t>
      </w:r>
      <w:r w:rsidR="008422B8" w:rsidRPr="008738C7">
        <w:rPr>
          <w:sz w:val="26"/>
          <w:szCs w:val="26"/>
        </w:rPr>
        <w:t>R</w:t>
      </w:r>
      <w:r w:rsidR="00AE6166" w:rsidRPr="008738C7">
        <w:rPr>
          <w:sz w:val="26"/>
          <w:szCs w:val="26"/>
        </w:rPr>
        <w:t>.D. at 15-16.</w:t>
      </w:r>
    </w:p>
    <w:p w14:paraId="25B123E6" w14:textId="0A02E8D7" w:rsidR="0025315F" w:rsidRPr="008738C7" w:rsidRDefault="0025315F" w:rsidP="008738C7">
      <w:pPr>
        <w:spacing w:line="360" w:lineRule="auto"/>
        <w:ind w:firstLine="1440"/>
        <w:contextualSpacing/>
        <w:rPr>
          <w:sz w:val="26"/>
          <w:szCs w:val="26"/>
        </w:rPr>
      </w:pPr>
      <w:r w:rsidRPr="008738C7">
        <w:rPr>
          <w:sz w:val="26"/>
          <w:szCs w:val="26"/>
        </w:rPr>
        <w:t>Finally, the ALJ</w:t>
      </w:r>
      <w:r w:rsidR="00CA38A1" w:rsidRPr="008738C7">
        <w:rPr>
          <w:sz w:val="26"/>
          <w:szCs w:val="26"/>
        </w:rPr>
        <w:t xml:space="preserve"> concluded</w:t>
      </w:r>
      <w:r w:rsidRPr="008738C7">
        <w:rPr>
          <w:sz w:val="26"/>
          <w:szCs w:val="26"/>
        </w:rPr>
        <w:t xml:space="preserve"> that the Settlement is supported by substantial evidence and that on appeal, decisions of the Commission will be examined to determine if they are supported by substantial evidence.</w:t>
      </w:r>
      <w:r w:rsidR="00D318DD" w:rsidRPr="008738C7">
        <w:rPr>
          <w:sz w:val="26"/>
          <w:szCs w:val="26"/>
        </w:rPr>
        <w:t xml:space="preserve">  </w:t>
      </w:r>
      <w:r w:rsidR="008422B8" w:rsidRPr="008738C7">
        <w:rPr>
          <w:sz w:val="26"/>
          <w:szCs w:val="26"/>
        </w:rPr>
        <w:t>R</w:t>
      </w:r>
      <w:r w:rsidRPr="008738C7">
        <w:rPr>
          <w:sz w:val="26"/>
          <w:szCs w:val="26"/>
        </w:rPr>
        <w:t>.D. at 16, citing 2 Pa. C.S. § 704.</w:t>
      </w:r>
      <w:r w:rsidR="00CA13A4" w:rsidRPr="008738C7">
        <w:rPr>
          <w:sz w:val="26"/>
          <w:szCs w:val="26"/>
        </w:rPr>
        <w:t xml:space="preserve">  According to the ALJ, t</w:t>
      </w:r>
      <w:r w:rsidRPr="008738C7">
        <w:rPr>
          <w:sz w:val="26"/>
          <w:szCs w:val="26"/>
        </w:rPr>
        <w:t xml:space="preserve">he </w:t>
      </w:r>
      <w:r w:rsidR="0034054F" w:rsidRPr="008738C7">
        <w:rPr>
          <w:sz w:val="26"/>
          <w:szCs w:val="26"/>
        </w:rPr>
        <w:t>P</w:t>
      </w:r>
      <w:r w:rsidRPr="008738C7">
        <w:rPr>
          <w:sz w:val="26"/>
          <w:szCs w:val="26"/>
        </w:rPr>
        <w:t>arties submitted</w:t>
      </w:r>
      <w:r w:rsidR="00E509E0" w:rsidRPr="008738C7">
        <w:rPr>
          <w:sz w:val="26"/>
          <w:szCs w:val="26"/>
        </w:rPr>
        <w:t xml:space="preserve"> the </w:t>
      </w:r>
      <w:r w:rsidRPr="008738C7">
        <w:rPr>
          <w:sz w:val="26"/>
          <w:szCs w:val="26"/>
        </w:rPr>
        <w:t>Joint Stipulation</w:t>
      </w:r>
      <w:r w:rsidR="00C77B41" w:rsidRPr="008738C7">
        <w:rPr>
          <w:sz w:val="26"/>
          <w:szCs w:val="26"/>
        </w:rPr>
        <w:t xml:space="preserve"> </w:t>
      </w:r>
      <w:r w:rsidRPr="008738C7">
        <w:rPr>
          <w:sz w:val="26"/>
          <w:szCs w:val="26"/>
        </w:rPr>
        <w:t xml:space="preserve">when the </w:t>
      </w:r>
      <w:r w:rsidR="00E14E75" w:rsidRPr="008738C7">
        <w:rPr>
          <w:sz w:val="26"/>
          <w:szCs w:val="26"/>
        </w:rPr>
        <w:t>S</w:t>
      </w:r>
      <w:r w:rsidRPr="008738C7">
        <w:rPr>
          <w:sz w:val="26"/>
          <w:szCs w:val="26"/>
        </w:rPr>
        <w:t>ettlement was submitted on May 14, 2021.</w:t>
      </w:r>
      <w:r w:rsidR="00CA13A4" w:rsidRPr="008738C7">
        <w:rPr>
          <w:sz w:val="26"/>
          <w:szCs w:val="26"/>
        </w:rPr>
        <w:t xml:space="preserve">  </w:t>
      </w:r>
      <w:r w:rsidRPr="008738C7">
        <w:rPr>
          <w:sz w:val="26"/>
          <w:szCs w:val="26"/>
        </w:rPr>
        <w:t xml:space="preserve">In that </w:t>
      </w:r>
      <w:r w:rsidR="00DF0B13" w:rsidRPr="008738C7">
        <w:rPr>
          <w:sz w:val="26"/>
          <w:szCs w:val="26"/>
        </w:rPr>
        <w:t xml:space="preserve">Joint </w:t>
      </w:r>
      <w:r w:rsidR="00CA13A4" w:rsidRPr="008738C7">
        <w:rPr>
          <w:sz w:val="26"/>
          <w:szCs w:val="26"/>
        </w:rPr>
        <w:t>S</w:t>
      </w:r>
      <w:r w:rsidRPr="008738C7">
        <w:rPr>
          <w:sz w:val="26"/>
          <w:szCs w:val="26"/>
        </w:rPr>
        <w:t xml:space="preserve">tipulation, the </w:t>
      </w:r>
      <w:r w:rsidR="00E509E0" w:rsidRPr="008738C7">
        <w:rPr>
          <w:sz w:val="26"/>
          <w:szCs w:val="26"/>
        </w:rPr>
        <w:t>P</w:t>
      </w:r>
      <w:r w:rsidRPr="008738C7">
        <w:rPr>
          <w:sz w:val="26"/>
          <w:szCs w:val="26"/>
        </w:rPr>
        <w:t>arties agreed to the admission of Mr. Elmore’s pre-served written supplemental direct testimony filed by PPL which was accompanied by the necessary witness verification</w:t>
      </w:r>
      <w:r w:rsidR="00CA13A4" w:rsidRPr="008738C7">
        <w:rPr>
          <w:sz w:val="26"/>
          <w:szCs w:val="26"/>
        </w:rPr>
        <w:t xml:space="preserve"> and t</w:t>
      </w:r>
      <w:r w:rsidRPr="008738C7">
        <w:rPr>
          <w:sz w:val="26"/>
          <w:szCs w:val="26"/>
        </w:rPr>
        <w:t xml:space="preserve">he inclusion of that pre-served testimony, along with the original testimony admitted in the underlying proceeding, supports adopting the </w:t>
      </w:r>
      <w:r w:rsidR="002F4474" w:rsidRPr="008738C7">
        <w:rPr>
          <w:sz w:val="26"/>
          <w:szCs w:val="26"/>
        </w:rPr>
        <w:t>S</w:t>
      </w:r>
      <w:r w:rsidRPr="008738C7">
        <w:rPr>
          <w:sz w:val="26"/>
          <w:szCs w:val="26"/>
        </w:rPr>
        <w:t>ettlement.</w:t>
      </w:r>
      <w:r w:rsidR="002F4474" w:rsidRPr="008738C7">
        <w:rPr>
          <w:sz w:val="26"/>
          <w:szCs w:val="26"/>
        </w:rPr>
        <w:t xml:space="preserve">  </w:t>
      </w:r>
      <w:r w:rsidR="006631CA" w:rsidRPr="008738C7">
        <w:rPr>
          <w:sz w:val="26"/>
          <w:szCs w:val="26"/>
        </w:rPr>
        <w:t>R</w:t>
      </w:r>
      <w:r w:rsidR="002F4474" w:rsidRPr="008738C7">
        <w:rPr>
          <w:sz w:val="26"/>
          <w:szCs w:val="26"/>
        </w:rPr>
        <w:t>.D. at 16.</w:t>
      </w:r>
    </w:p>
    <w:p w14:paraId="019965E4" w14:textId="74E67E38" w:rsidR="00501303" w:rsidRPr="008738C7" w:rsidRDefault="00501303" w:rsidP="008738C7">
      <w:pPr>
        <w:spacing w:line="360" w:lineRule="auto"/>
        <w:ind w:firstLine="1440"/>
        <w:contextualSpacing/>
        <w:rPr>
          <w:sz w:val="26"/>
          <w:szCs w:val="26"/>
        </w:rPr>
      </w:pPr>
    </w:p>
    <w:p w14:paraId="730F0933" w14:textId="2CAB3FDF" w:rsidR="007C5FA8" w:rsidRPr="008738C7" w:rsidRDefault="00501303" w:rsidP="008738C7">
      <w:pPr>
        <w:spacing w:line="360" w:lineRule="auto"/>
        <w:ind w:firstLine="1440"/>
        <w:contextualSpacing/>
        <w:rPr>
          <w:sz w:val="26"/>
          <w:szCs w:val="26"/>
        </w:rPr>
      </w:pPr>
      <w:r w:rsidRPr="008738C7">
        <w:rPr>
          <w:sz w:val="26"/>
          <w:szCs w:val="26"/>
        </w:rPr>
        <w:t xml:space="preserve">Therefore, the ALJ recommended approval of the Settlement without modification because it is in the public interest, consistent with applicable appellate precedent and supported by substantial evidence.  </w:t>
      </w:r>
      <w:r w:rsidR="006631CA" w:rsidRPr="008738C7">
        <w:rPr>
          <w:sz w:val="26"/>
          <w:szCs w:val="26"/>
        </w:rPr>
        <w:t>R</w:t>
      </w:r>
      <w:r w:rsidRPr="008738C7">
        <w:rPr>
          <w:sz w:val="26"/>
          <w:szCs w:val="26"/>
        </w:rPr>
        <w:t xml:space="preserve">.D. at </w:t>
      </w:r>
      <w:r w:rsidR="00A2359F" w:rsidRPr="008738C7">
        <w:rPr>
          <w:sz w:val="26"/>
          <w:szCs w:val="26"/>
        </w:rPr>
        <w:t xml:space="preserve">1, </w:t>
      </w:r>
      <w:r w:rsidRPr="008738C7">
        <w:rPr>
          <w:sz w:val="26"/>
          <w:szCs w:val="26"/>
        </w:rPr>
        <w:t>16</w:t>
      </w:r>
      <w:r w:rsidR="00926F31" w:rsidRPr="008738C7">
        <w:rPr>
          <w:sz w:val="26"/>
          <w:szCs w:val="26"/>
        </w:rPr>
        <w:t>, 19</w:t>
      </w:r>
      <w:r w:rsidRPr="008738C7">
        <w:rPr>
          <w:sz w:val="26"/>
          <w:szCs w:val="26"/>
        </w:rPr>
        <w:t>.</w:t>
      </w:r>
    </w:p>
    <w:p w14:paraId="5A9494B8" w14:textId="27CC3A76" w:rsidR="007C5FA8" w:rsidRPr="008738C7" w:rsidRDefault="007C5FA8" w:rsidP="008738C7">
      <w:pPr>
        <w:spacing w:line="360" w:lineRule="auto"/>
        <w:contextualSpacing/>
        <w:rPr>
          <w:sz w:val="26"/>
          <w:szCs w:val="26"/>
        </w:rPr>
      </w:pPr>
    </w:p>
    <w:p w14:paraId="60EB95FC" w14:textId="59F4A6B0" w:rsidR="007C5FA8" w:rsidRPr="008738C7" w:rsidRDefault="007C5FA8" w:rsidP="008738C7">
      <w:pPr>
        <w:spacing w:line="360" w:lineRule="auto"/>
        <w:contextualSpacing/>
        <w:rPr>
          <w:b/>
          <w:bCs/>
          <w:sz w:val="26"/>
          <w:szCs w:val="26"/>
        </w:rPr>
      </w:pPr>
      <w:r w:rsidRPr="008738C7">
        <w:rPr>
          <w:b/>
          <w:bCs/>
          <w:sz w:val="26"/>
          <w:szCs w:val="26"/>
        </w:rPr>
        <w:t>PPL Letter</w:t>
      </w:r>
    </w:p>
    <w:p w14:paraId="5828A1D2" w14:textId="2FFC4FF6" w:rsidR="006067E2" w:rsidRPr="008738C7" w:rsidRDefault="006067E2" w:rsidP="008738C7">
      <w:pPr>
        <w:spacing w:line="360" w:lineRule="auto"/>
        <w:contextualSpacing/>
        <w:rPr>
          <w:sz w:val="26"/>
          <w:szCs w:val="26"/>
        </w:rPr>
      </w:pPr>
    </w:p>
    <w:p w14:paraId="7D946961" w14:textId="40BE1797" w:rsidR="00DE1671" w:rsidRPr="008738C7" w:rsidRDefault="00DE1671" w:rsidP="008738C7">
      <w:pPr>
        <w:spacing w:line="360" w:lineRule="auto"/>
        <w:ind w:firstLine="1440"/>
        <w:rPr>
          <w:sz w:val="26"/>
          <w:szCs w:val="26"/>
        </w:rPr>
      </w:pPr>
      <w:r w:rsidRPr="008738C7">
        <w:rPr>
          <w:sz w:val="26"/>
          <w:szCs w:val="26"/>
        </w:rPr>
        <w:t>In</w:t>
      </w:r>
      <w:r w:rsidR="00545E59" w:rsidRPr="008738C7">
        <w:rPr>
          <w:sz w:val="26"/>
          <w:szCs w:val="26"/>
        </w:rPr>
        <w:t xml:space="preserve"> its Letter</w:t>
      </w:r>
      <w:r w:rsidRPr="008738C7">
        <w:rPr>
          <w:sz w:val="26"/>
          <w:szCs w:val="26"/>
        </w:rPr>
        <w:t>,</w:t>
      </w:r>
      <w:r w:rsidR="00545E59" w:rsidRPr="008738C7">
        <w:rPr>
          <w:sz w:val="26"/>
          <w:szCs w:val="26"/>
        </w:rPr>
        <w:t xml:space="preserve"> PPL </w:t>
      </w:r>
      <w:r w:rsidR="0066276C" w:rsidRPr="008738C7">
        <w:rPr>
          <w:sz w:val="26"/>
          <w:szCs w:val="26"/>
        </w:rPr>
        <w:t xml:space="preserve">avers </w:t>
      </w:r>
      <w:r w:rsidR="005B333C" w:rsidRPr="008738C7">
        <w:rPr>
          <w:sz w:val="26"/>
          <w:szCs w:val="26"/>
        </w:rPr>
        <w:t xml:space="preserve">it will not be filing </w:t>
      </w:r>
      <w:r w:rsidR="00510292" w:rsidRPr="008738C7">
        <w:rPr>
          <w:sz w:val="26"/>
          <w:szCs w:val="26"/>
        </w:rPr>
        <w:t>Exceptions,</w:t>
      </w:r>
      <w:r w:rsidR="009635E0" w:rsidRPr="008738C7">
        <w:rPr>
          <w:sz w:val="26"/>
          <w:szCs w:val="26"/>
        </w:rPr>
        <w:t xml:space="preserve"> but </w:t>
      </w:r>
      <w:r w:rsidR="00443F09" w:rsidRPr="008738C7">
        <w:rPr>
          <w:sz w:val="26"/>
          <w:szCs w:val="26"/>
        </w:rPr>
        <w:t xml:space="preserve">notes that </w:t>
      </w:r>
      <w:r w:rsidRPr="008738C7">
        <w:rPr>
          <w:sz w:val="26"/>
          <w:szCs w:val="26"/>
        </w:rPr>
        <w:t>while the R</w:t>
      </w:r>
      <w:r w:rsidR="00443F09" w:rsidRPr="008738C7">
        <w:rPr>
          <w:sz w:val="26"/>
          <w:szCs w:val="26"/>
        </w:rPr>
        <w:t xml:space="preserve">ecommended </w:t>
      </w:r>
      <w:r w:rsidRPr="008738C7">
        <w:rPr>
          <w:sz w:val="26"/>
          <w:szCs w:val="26"/>
        </w:rPr>
        <w:t>D</w:t>
      </w:r>
      <w:r w:rsidR="00443F09" w:rsidRPr="008738C7">
        <w:rPr>
          <w:sz w:val="26"/>
          <w:szCs w:val="26"/>
        </w:rPr>
        <w:t xml:space="preserve">ecision </w:t>
      </w:r>
      <w:r w:rsidRPr="008738C7">
        <w:rPr>
          <w:sz w:val="26"/>
          <w:szCs w:val="26"/>
        </w:rPr>
        <w:t>recommends approval of the Settlement,</w:t>
      </w:r>
      <w:r w:rsidR="007B2077" w:rsidRPr="008738C7">
        <w:rPr>
          <w:sz w:val="26"/>
          <w:szCs w:val="26"/>
        </w:rPr>
        <w:t xml:space="preserve"> it </w:t>
      </w:r>
      <w:r w:rsidRPr="008738C7">
        <w:rPr>
          <w:sz w:val="26"/>
          <w:szCs w:val="26"/>
        </w:rPr>
        <w:t>does not contain an ordering paragraph granting a certificate of public convenience for the proposed intercompany restructuring, as set forth in PPL’s Application, pursuant to 66 Pa. C.S. §§</w:t>
      </w:r>
      <w:r w:rsidR="00F85502" w:rsidRPr="008738C7">
        <w:rPr>
          <w:sz w:val="26"/>
          <w:szCs w:val="26"/>
        </w:rPr>
        <w:t> </w:t>
      </w:r>
      <w:r w:rsidRPr="008738C7">
        <w:rPr>
          <w:sz w:val="26"/>
          <w:szCs w:val="26"/>
        </w:rPr>
        <w:t xml:space="preserve">1102(a)(3) and 1103(a).  </w:t>
      </w:r>
      <w:r w:rsidR="00391114" w:rsidRPr="008738C7">
        <w:rPr>
          <w:sz w:val="26"/>
          <w:szCs w:val="26"/>
        </w:rPr>
        <w:t>Therefore</w:t>
      </w:r>
      <w:r w:rsidRPr="008738C7">
        <w:rPr>
          <w:sz w:val="26"/>
          <w:szCs w:val="26"/>
        </w:rPr>
        <w:t>, PPL requests that the Commission grant the requested certificate</w:t>
      </w:r>
      <w:r w:rsidR="00C51FE0" w:rsidRPr="008738C7">
        <w:rPr>
          <w:sz w:val="26"/>
          <w:szCs w:val="26"/>
        </w:rPr>
        <w:t xml:space="preserve"> of public convenience</w:t>
      </w:r>
      <w:r w:rsidRPr="008738C7">
        <w:rPr>
          <w:sz w:val="26"/>
          <w:szCs w:val="26"/>
        </w:rPr>
        <w:t>.  PPL also requests that the phrase on page six of the R</w:t>
      </w:r>
      <w:r w:rsidR="00B846A4" w:rsidRPr="008738C7">
        <w:rPr>
          <w:sz w:val="26"/>
          <w:szCs w:val="26"/>
        </w:rPr>
        <w:t xml:space="preserve">ecommended </w:t>
      </w:r>
      <w:r w:rsidRPr="008738C7">
        <w:rPr>
          <w:sz w:val="26"/>
          <w:szCs w:val="26"/>
        </w:rPr>
        <w:t>D</w:t>
      </w:r>
      <w:r w:rsidR="00B846A4" w:rsidRPr="008738C7">
        <w:rPr>
          <w:sz w:val="26"/>
          <w:szCs w:val="26"/>
        </w:rPr>
        <w:t xml:space="preserve">ecision </w:t>
      </w:r>
      <w:r w:rsidRPr="008738C7">
        <w:rPr>
          <w:sz w:val="26"/>
          <w:szCs w:val="26"/>
        </w:rPr>
        <w:t>that reads “the Commission reversed the Commission” be modified to state that “the Commonwealth Court reversed the Commission.”</w:t>
      </w:r>
      <w:r w:rsidR="009F5489" w:rsidRPr="008738C7">
        <w:rPr>
          <w:sz w:val="26"/>
          <w:szCs w:val="26"/>
        </w:rPr>
        <w:t xml:space="preserve">  PPL Letter at 1. </w:t>
      </w:r>
    </w:p>
    <w:p w14:paraId="63B37B50" w14:textId="77777777" w:rsidR="006067E2" w:rsidRPr="008738C7" w:rsidRDefault="006067E2" w:rsidP="008738C7">
      <w:pPr>
        <w:spacing w:line="360" w:lineRule="auto"/>
        <w:ind w:firstLine="1440"/>
        <w:contextualSpacing/>
        <w:rPr>
          <w:sz w:val="26"/>
          <w:szCs w:val="26"/>
        </w:rPr>
      </w:pPr>
    </w:p>
    <w:p w14:paraId="34E340AC" w14:textId="77777777" w:rsidR="00867150" w:rsidRPr="008738C7" w:rsidRDefault="00867150" w:rsidP="008738C7">
      <w:pPr>
        <w:keepNext/>
        <w:keepLines/>
        <w:spacing w:line="360" w:lineRule="auto"/>
        <w:contextualSpacing/>
        <w:rPr>
          <w:b/>
          <w:sz w:val="26"/>
          <w:szCs w:val="26"/>
        </w:rPr>
      </w:pPr>
      <w:r w:rsidRPr="008738C7">
        <w:rPr>
          <w:b/>
          <w:sz w:val="26"/>
          <w:szCs w:val="26"/>
        </w:rPr>
        <w:t>Disposition</w:t>
      </w:r>
    </w:p>
    <w:p w14:paraId="0D34E26D" w14:textId="77777777" w:rsidR="00AC275F" w:rsidRPr="008738C7" w:rsidRDefault="00AC275F" w:rsidP="008738C7">
      <w:pPr>
        <w:keepNext/>
        <w:keepLines/>
        <w:spacing w:line="360" w:lineRule="auto"/>
        <w:contextualSpacing/>
        <w:rPr>
          <w:b/>
          <w:sz w:val="26"/>
          <w:szCs w:val="26"/>
        </w:rPr>
      </w:pPr>
    </w:p>
    <w:p w14:paraId="7478F0B0" w14:textId="758B5947" w:rsidR="004C0A15" w:rsidRPr="008738C7" w:rsidRDefault="00386F1A" w:rsidP="008738C7">
      <w:pPr>
        <w:keepNext/>
        <w:spacing w:line="360" w:lineRule="auto"/>
        <w:ind w:firstLine="1440"/>
        <w:contextualSpacing/>
        <w:rPr>
          <w:sz w:val="26"/>
          <w:szCs w:val="26"/>
        </w:rPr>
      </w:pPr>
      <w:r w:rsidRPr="008738C7">
        <w:rPr>
          <w:sz w:val="26"/>
          <w:szCs w:val="26"/>
        </w:rPr>
        <w:t>With respect to PPL’s Letter requesting modification of the Recommended Decision</w:t>
      </w:r>
      <w:r w:rsidR="00EA721E" w:rsidRPr="008738C7">
        <w:rPr>
          <w:sz w:val="26"/>
          <w:szCs w:val="26"/>
        </w:rPr>
        <w:t xml:space="preserve"> </w:t>
      </w:r>
      <w:r w:rsidR="00A200B5" w:rsidRPr="008738C7">
        <w:rPr>
          <w:sz w:val="26"/>
          <w:szCs w:val="26"/>
        </w:rPr>
        <w:t>to</w:t>
      </w:r>
      <w:r w:rsidR="00EA721E" w:rsidRPr="008738C7">
        <w:rPr>
          <w:sz w:val="26"/>
          <w:szCs w:val="26"/>
        </w:rPr>
        <w:t xml:space="preserve"> include </w:t>
      </w:r>
      <w:r w:rsidR="00753761" w:rsidRPr="008738C7">
        <w:rPr>
          <w:sz w:val="26"/>
          <w:szCs w:val="26"/>
        </w:rPr>
        <w:t>an ordering paragraph granting a certificate of public convenience for the proposed intercompany restructuring, as set forth in PPL’s Application, pursuant to 66 Pa. C.S. §§ 1102(a)(3) and 1103(a)</w:t>
      </w:r>
      <w:r w:rsidRPr="008738C7">
        <w:rPr>
          <w:sz w:val="26"/>
          <w:szCs w:val="26"/>
        </w:rPr>
        <w:t xml:space="preserve">, we agree.  </w:t>
      </w:r>
      <w:r w:rsidR="0005784B" w:rsidRPr="008738C7">
        <w:rPr>
          <w:sz w:val="26"/>
          <w:szCs w:val="26"/>
        </w:rPr>
        <w:t xml:space="preserve">We believe an ordering paragraph issuing a certificate of public convenience to PPL evidencing our approval of its </w:t>
      </w:r>
      <w:proofErr w:type="gramStart"/>
      <w:r w:rsidR="0005784B" w:rsidRPr="008738C7">
        <w:rPr>
          <w:sz w:val="26"/>
          <w:szCs w:val="26"/>
        </w:rPr>
        <w:t>Application</w:t>
      </w:r>
      <w:proofErr w:type="gramEnd"/>
      <w:r w:rsidR="0005784B" w:rsidRPr="008738C7">
        <w:rPr>
          <w:sz w:val="26"/>
          <w:szCs w:val="26"/>
        </w:rPr>
        <w:t xml:space="preserve"> is warranted in this matter</w:t>
      </w:r>
      <w:r w:rsidR="008A6B7E" w:rsidRPr="008738C7">
        <w:rPr>
          <w:sz w:val="26"/>
          <w:szCs w:val="26"/>
        </w:rPr>
        <w:t xml:space="preserve">.  </w:t>
      </w:r>
      <w:r w:rsidRPr="008738C7">
        <w:rPr>
          <w:sz w:val="26"/>
          <w:szCs w:val="26"/>
        </w:rPr>
        <w:t xml:space="preserve">We </w:t>
      </w:r>
      <w:r w:rsidR="00EA721E" w:rsidRPr="008738C7">
        <w:rPr>
          <w:sz w:val="26"/>
          <w:szCs w:val="26"/>
        </w:rPr>
        <w:t xml:space="preserve">also agree with </w:t>
      </w:r>
      <w:r w:rsidR="00995E57" w:rsidRPr="008738C7">
        <w:rPr>
          <w:sz w:val="26"/>
          <w:szCs w:val="26"/>
        </w:rPr>
        <w:t xml:space="preserve">PPL’s requested modification of the </w:t>
      </w:r>
      <w:r w:rsidR="003D7F4F" w:rsidRPr="008738C7">
        <w:rPr>
          <w:sz w:val="26"/>
          <w:szCs w:val="26"/>
        </w:rPr>
        <w:t xml:space="preserve">error on page six of the </w:t>
      </w:r>
      <w:r w:rsidR="00995E57" w:rsidRPr="008738C7">
        <w:rPr>
          <w:sz w:val="26"/>
          <w:szCs w:val="26"/>
        </w:rPr>
        <w:t>Recommended Decision</w:t>
      </w:r>
      <w:r w:rsidR="00E106F1" w:rsidRPr="008738C7">
        <w:rPr>
          <w:sz w:val="26"/>
          <w:szCs w:val="26"/>
        </w:rPr>
        <w:t xml:space="preserve"> because it i</w:t>
      </w:r>
      <w:r w:rsidR="00AA56E9" w:rsidRPr="008738C7">
        <w:rPr>
          <w:sz w:val="26"/>
          <w:szCs w:val="26"/>
        </w:rPr>
        <w:t xml:space="preserve">s proper that the error </w:t>
      </w:r>
      <w:r w:rsidR="003D7F4F" w:rsidRPr="008738C7">
        <w:rPr>
          <w:sz w:val="26"/>
          <w:szCs w:val="26"/>
        </w:rPr>
        <w:t>in the language</w:t>
      </w:r>
      <w:r w:rsidR="00506FA1" w:rsidRPr="008738C7">
        <w:rPr>
          <w:sz w:val="26"/>
          <w:szCs w:val="26"/>
        </w:rPr>
        <w:t xml:space="preserve"> </w:t>
      </w:r>
      <w:r w:rsidR="00AA56E9" w:rsidRPr="008738C7">
        <w:rPr>
          <w:sz w:val="26"/>
          <w:szCs w:val="26"/>
        </w:rPr>
        <w:t xml:space="preserve">be </w:t>
      </w:r>
      <w:r w:rsidR="009B0D5B" w:rsidRPr="008738C7">
        <w:rPr>
          <w:sz w:val="26"/>
          <w:szCs w:val="26"/>
        </w:rPr>
        <w:t xml:space="preserve">modified to read </w:t>
      </w:r>
      <w:r w:rsidR="00C603CD" w:rsidRPr="008738C7">
        <w:rPr>
          <w:sz w:val="26"/>
          <w:szCs w:val="26"/>
        </w:rPr>
        <w:t>“the Commonwealth Court reversed the Commission.”</w:t>
      </w:r>
      <w:r w:rsidR="00506FA1" w:rsidRPr="008738C7">
        <w:rPr>
          <w:sz w:val="26"/>
          <w:szCs w:val="26"/>
        </w:rPr>
        <w:t xml:space="preserve">  </w:t>
      </w:r>
      <w:r w:rsidR="009901D9" w:rsidRPr="008738C7">
        <w:rPr>
          <w:sz w:val="26"/>
          <w:szCs w:val="26"/>
        </w:rPr>
        <w:t>We note, however, that these changes are not modifications to the</w:t>
      </w:r>
      <w:r w:rsidR="00AA18E1" w:rsidRPr="008738C7">
        <w:rPr>
          <w:sz w:val="26"/>
          <w:szCs w:val="26"/>
        </w:rPr>
        <w:t xml:space="preserve"> </w:t>
      </w:r>
      <w:r w:rsidR="009901D9" w:rsidRPr="008738C7">
        <w:rPr>
          <w:sz w:val="26"/>
          <w:szCs w:val="26"/>
        </w:rPr>
        <w:t xml:space="preserve">Settlement and should not be viewed as such.  </w:t>
      </w:r>
    </w:p>
    <w:p w14:paraId="1BF2B058" w14:textId="2658D9DC" w:rsidR="004C0A15" w:rsidRPr="008738C7" w:rsidRDefault="004C0A15" w:rsidP="008738C7">
      <w:pPr>
        <w:keepNext/>
        <w:spacing w:line="360" w:lineRule="auto"/>
        <w:ind w:firstLine="1440"/>
        <w:contextualSpacing/>
        <w:rPr>
          <w:sz w:val="26"/>
          <w:szCs w:val="26"/>
        </w:rPr>
      </w:pPr>
    </w:p>
    <w:p w14:paraId="5D2F192C" w14:textId="4BC2B28F" w:rsidR="004C0A15" w:rsidRPr="008738C7" w:rsidRDefault="004C0A15" w:rsidP="008738C7">
      <w:pPr>
        <w:spacing w:line="360" w:lineRule="auto"/>
        <w:ind w:left="72" w:right="72" w:firstLine="1440"/>
        <w:contextualSpacing/>
        <w:textAlignment w:val="baseline"/>
        <w:rPr>
          <w:color w:val="000000"/>
          <w:sz w:val="26"/>
          <w:szCs w:val="26"/>
        </w:rPr>
      </w:pPr>
      <w:r w:rsidRPr="008738C7">
        <w:rPr>
          <w:color w:val="000000"/>
          <w:sz w:val="26"/>
          <w:szCs w:val="26"/>
        </w:rPr>
        <w:t>With respect to the Joint Petition seeking approval of</w:t>
      </w:r>
      <w:r w:rsidR="00AD1FC9" w:rsidRPr="008738C7">
        <w:rPr>
          <w:color w:val="000000"/>
          <w:sz w:val="26"/>
          <w:szCs w:val="26"/>
        </w:rPr>
        <w:t xml:space="preserve"> the Settlement</w:t>
      </w:r>
      <w:r w:rsidRPr="008738C7">
        <w:rPr>
          <w:color w:val="000000"/>
          <w:sz w:val="26"/>
          <w:szCs w:val="26"/>
        </w:rPr>
        <w:t>, as summarized above, the ALJ recommended approval of</w:t>
      </w:r>
      <w:r w:rsidR="00AD1FC9" w:rsidRPr="008738C7">
        <w:rPr>
          <w:color w:val="000000"/>
          <w:sz w:val="26"/>
          <w:szCs w:val="26"/>
        </w:rPr>
        <w:t xml:space="preserve"> the Settlement</w:t>
      </w:r>
      <w:r w:rsidRPr="008738C7">
        <w:rPr>
          <w:color w:val="000000"/>
          <w:sz w:val="26"/>
          <w:szCs w:val="26"/>
        </w:rPr>
        <w:t>, without modification, as being in the public interest.  We concur.</w:t>
      </w:r>
    </w:p>
    <w:p w14:paraId="0748E9ED" w14:textId="1342D1A3" w:rsidR="0083487E" w:rsidRPr="008738C7" w:rsidRDefault="0083487E" w:rsidP="008738C7">
      <w:pPr>
        <w:spacing w:line="360" w:lineRule="auto"/>
        <w:ind w:left="72" w:right="72" w:firstLine="1440"/>
        <w:contextualSpacing/>
        <w:textAlignment w:val="baseline"/>
        <w:rPr>
          <w:color w:val="000000"/>
          <w:sz w:val="26"/>
          <w:szCs w:val="26"/>
        </w:rPr>
      </w:pPr>
    </w:p>
    <w:p w14:paraId="5EB0DF41" w14:textId="00FEEEDD" w:rsidR="0083487E" w:rsidRPr="008738C7" w:rsidRDefault="0083487E" w:rsidP="008738C7">
      <w:pPr>
        <w:spacing w:line="360" w:lineRule="auto"/>
        <w:ind w:firstLine="1440"/>
        <w:contextualSpacing/>
        <w:rPr>
          <w:sz w:val="26"/>
          <w:szCs w:val="26"/>
        </w:rPr>
      </w:pPr>
      <w:r w:rsidRPr="008738C7">
        <w:rPr>
          <w:sz w:val="26"/>
          <w:szCs w:val="26"/>
        </w:rPr>
        <w:t xml:space="preserve">As earlier indicated, the Settling Parties have submitted a </w:t>
      </w:r>
      <w:r w:rsidR="00E42F1B" w:rsidRPr="008738C7">
        <w:rPr>
          <w:sz w:val="26"/>
          <w:szCs w:val="26"/>
        </w:rPr>
        <w:t>s</w:t>
      </w:r>
      <w:r w:rsidRPr="008738C7">
        <w:rPr>
          <w:sz w:val="26"/>
          <w:szCs w:val="26"/>
        </w:rPr>
        <w:t>ettlement of all issues.  Commission policy promotes settlements.  52 Pa. Code § 5.231.  Settlements lessen the time and expense the parties must expend litigating a case and at the same time conserve administrative resources.  The Commission has indicated that settlement results are often preferable to those achieved at the conclusion of a fully litigated proceeding.  52</w:t>
      </w:r>
      <w:r w:rsidR="00D87376">
        <w:rPr>
          <w:sz w:val="26"/>
          <w:szCs w:val="26"/>
        </w:rPr>
        <w:t> </w:t>
      </w:r>
      <w:r w:rsidRPr="008738C7">
        <w:rPr>
          <w:sz w:val="26"/>
          <w:szCs w:val="26"/>
        </w:rPr>
        <w:t xml:space="preserve">Pa. Code § 69.401.  As noted above, the benchmark for determining whether a settlement should be approved is whether the proposed terms and conditions are in the public interest.  </w:t>
      </w:r>
      <w:r w:rsidRPr="008738C7">
        <w:rPr>
          <w:i/>
          <w:iCs/>
          <w:sz w:val="26"/>
          <w:szCs w:val="26"/>
        </w:rPr>
        <w:t>See</w:t>
      </w:r>
      <w:r w:rsidRPr="008738C7">
        <w:rPr>
          <w:sz w:val="26"/>
          <w:szCs w:val="26"/>
        </w:rPr>
        <w:t xml:space="preserve"> </w:t>
      </w:r>
      <w:r w:rsidRPr="008738C7">
        <w:rPr>
          <w:i/>
          <w:iCs/>
          <w:sz w:val="26"/>
          <w:szCs w:val="26"/>
        </w:rPr>
        <w:t>Lancaster, Warner</w:t>
      </w:r>
      <w:r w:rsidRPr="008738C7">
        <w:rPr>
          <w:sz w:val="26"/>
          <w:szCs w:val="26"/>
        </w:rPr>
        <w:t xml:space="preserve">, </w:t>
      </w:r>
      <w:r w:rsidRPr="008738C7">
        <w:rPr>
          <w:i/>
          <w:iCs/>
          <w:sz w:val="26"/>
          <w:szCs w:val="26"/>
        </w:rPr>
        <w:t>supra</w:t>
      </w:r>
      <w:r w:rsidRPr="008738C7">
        <w:rPr>
          <w:sz w:val="26"/>
          <w:szCs w:val="26"/>
        </w:rPr>
        <w:t xml:space="preserve">. </w:t>
      </w:r>
    </w:p>
    <w:p w14:paraId="352F61C0" w14:textId="77777777" w:rsidR="00133FDD" w:rsidRPr="008738C7" w:rsidRDefault="00133FDD" w:rsidP="008738C7">
      <w:pPr>
        <w:spacing w:line="360" w:lineRule="auto"/>
        <w:ind w:firstLine="1440"/>
        <w:contextualSpacing/>
        <w:rPr>
          <w:sz w:val="26"/>
          <w:szCs w:val="26"/>
        </w:rPr>
      </w:pPr>
    </w:p>
    <w:p w14:paraId="23B615DA" w14:textId="279F4275" w:rsidR="0024682E" w:rsidRPr="008738C7" w:rsidRDefault="0024682E" w:rsidP="008738C7">
      <w:pPr>
        <w:spacing w:line="360" w:lineRule="auto"/>
        <w:ind w:firstLine="1440"/>
        <w:contextualSpacing/>
        <w:rPr>
          <w:sz w:val="26"/>
          <w:szCs w:val="26"/>
        </w:rPr>
      </w:pPr>
      <w:r w:rsidRPr="008738C7">
        <w:rPr>
          <w:sz w:val="26"/>
          <w:szCs w:val="26"/>
        </w:rPr>
        <w:t xml:space="preserve">The policy of the Commission is to encourage settlements, and the Commission has stated that settlement rates are often preferable to those achieved at the conclusion of a fully litigated proceeding.  52 Pa. Code §§ 5.231, 69.401.  A full settlement of all the issues in a proceeding eliminates the time, effort and expense that otherwise would have been used in litigating the proceeding, while a partial settlement may significantly reduce the time, </w:t>
      </w:r>
      <w:proofErr w:type="gramStart"/>
      <w:r w:rsidRPr="008738C7">
        <w:rPr>
          <w:sz w:val="26"/>
          <w:szCs w:val="26"/>
        </w:rPr>
        <w:t>effort</w:t>
      </w:r>
      <w:proofErr w:type="gramEnd"/>
      <w:r w:rsidRPr="008738C7">
        <w:rPr>
          <w:sz w:val="26"/>
          <w:szCs w:val="26"/>
        </w:rPr>
        <w:t xml:space="preserve"> and expense of litigating a case.  A settlement, whether whole or partial, benefits not only the named parties directly, but, indirectly, all customers of the public utility involved in the case.  </w:t>
      </w:r>
      <w:r w:rsidRPr="008738C7">
        <w:rPr>
          <w:i/>
          <w:sz w:val="26"/>
          <w:szCs w:val="26"/>
        </w:rPr>
        <w:t>Pa. PUC, et al. v. Columbia Gas of Pennsylvania, Inc.</w:t>
      </w:r>
      <w:r w:rsidRPr="008738C7">
        <w:rPr>
          <w:sz w:val="26"/>
          <w:szCs w:val="26"/>
        </w:rPr>
        <w:t xml:space="preserve">, Docket Nos. R-2015-2468056, </w:t>
      </w:r>
      <w:r w:rsidRPr="008738C7">
        <w:rPr>
          <w:i/>
          <w:sz w:val="26"/>
          <w:szCs w:val="26"/>
        </w:rPr>
        <w:t>et al.</w:t>
      </w:r>
      <w:r w:rsidRPr="008738C7">
        <w:rPr>
          <w:sz w:val="26"/>
          <w:szCs w:val="26"/>
        </w:rPr>
        <w:t xml:space="preserve"> (Order entered December 3, 2015) at 6-7.</w:t>
      </w:r>
    </w:p>
    <w:p w14:paraId="6BF150CF" w14:textId="1D4528F1" w:rsidR="0024682E" w:rsidRPr="008738C7" w:rsidRDefault="0024682E" w:rsidP="008738C7">
      <w:pPr>
        <w:spacing w:line="360" w:lineRule="auto"/>
        <w:ind w:left="72" w:right="72" w:firstLine="1440"/>
        <w:contextualSpacing/>
        <w:textAlignment w:val="baseline"/>
        <w:rPr>
          <w:color w:val="000000"/>
          <w:sz w:val="26"/>
          <w:szCs w:val="26"/>
        </w:rPr>
      </w:pPr>
    </w:p>
    <w:p w14:paraId="1E649F0B" w14:textId="23C54C16" w:rsidR="00490F70" w:rsidRPr="008738C7" w:rsidRDefault="00490F70" w:rsidP="008738C7">
      <w:pPr>
        <w:suppressAutoHyphens/>
        <w:spacing w:line="360" w:lineRule="auto"/>
        <w:ind w:firstLine="1440"/>
        <w:contextualSpacing/>
        <w:rPr>
          <w:i/>
          <w:sz w:val="26"/>
          <w:szCs w:val="26"/>
        </w:rPr>
      </w:pPr>
      <w:r w:rsidRPr="008738C7">
        <w:rPr>
          <w:sz w:val="26"/>
          <w:szCs w:val="26"/>
        </w:rPr>
        <w:t xml:space="preserve">Partial or full settlements allow the parties to avoid the substantial costs of preparing and serving testimony and the cross-examination of witnesses in lengthy hearings, the preparation and service of briefs, </w:t>
      </w:r>
      <w:proofErr w:type="gramStart"/>
      <w:r w:rsidRPr="008738C7">
        <w:rPr>
          <w:sz w:val="26"/>
          <w:szCs w:val="26"/>
        </w:rPr>
        <w:t>reply</w:t>
      </w:r>
      <w:proofErr w:type="gramEnd"/>
      <w:r w:rsidRPr="008738C7">
        <w:rPr>
          <w:sz w:val="26"/>
          <w:szCs w:val="26"/>
        </w:rPr>
        <w:t xml:space="preserve"> briefs, exceptions and replies to exceptions, together with the briefs and reply briefs necessitated by any appeal of the Commission’s decision, yielding significant expense savings for the company’s customers.  For this and other sound reasons, settlements are encouraged by long-standing Commission policy.  </w:t>
      </w:r>
      <w:r w:rsidRPr="008738C7">
        <w:rPr>
          <w:i/>
          <w:sz w:val="26"/>
          <w:szCs w:val="26"/>
        </w:rPr>
        <w:t>Id.</w:t>
      </w:r>
    </w:p>
    <w:p w14:paraId="6304A9B4" w14:textId="44EF43B2" w:rsidR="00AE3330" w:rsidRPr="008738C7" w:rsidRDefault="00AE3330" w:rsidP="008738C7">
      <w:pPr>
        <w:suppressAutoHyphens/>
        <w:spacing w:line="360" w:lineRule="auto"/>
        <w:ind w:firstLine="1440"/>
        <w:contextualSpacing/>
        <w:rPr>
          <w:i/>
          <w:sz w:val="26"/>
          <w:szCs w:val="26"/>
        </w:rPr>
      </w:pPr>
    </w:p>
    <w:p w14:paraId="59425BDE" w14:textId="7F88D73F" w:rsidR="00490F70" w:rsidRPr="008738C7" w:rsidRDefault="00490F70" w:rsidP="008738C7">
      <w:pPr>
        <w:spacing w:line="360" w:lineRule="auto"/>
        <w:ind w:firstLine="1440"/>
        <w:contextualSpacing/>
        <w:rPr>
          <w:sz w:val="26"/>
          <w:szCs w:val="26"/>
        </w:rPr>
      </w:pPr>
      <w:r w:rsidRPr="008738C7">
        <w:rPr>
          <w:sz w:val="26"/>
          <w:szCs w:val="26"/>
        </w:rPr>
        <w:t xml:space="preserve">Despite the policy favoring settlements, the Commission does not simply rubber stamp settlements without further inquiry.  </w:t>
      </w:r>
      <w:proofErr w:type="gramStart"/>
      <w:r w:rsidRPr="008738C7">
        <w:rPr>
          <w:sz w:val="26"/>
          <w:szCs w:val="26"/>
        </w:rPr>
        <w:t>In order to</w:t>
      </w:r>
      <w:proofErr w:type="gramEnd"/>
      <w:r w:rsidRPr="008738C7">
        <w:rPr>
          <w:sz w:val="26"/>
          <w:szCs w:val="26"/>
        </w:rPr>
        <w:t xml:space="preserve"> accept a settlement such </w:t>
      </w:r>
      <w:proofErr w:type="spellStart"/>
      <w:r w:rsidRPr="008738C7">
        <w:rPr>
          <w:sz w:val="26"/>
          <w:szCs w:val="26"/>
        </w:rPr>
        <w:t>asproposed</w:t>
      </w:r>
      <w:proofErr w:type="spellEnd"/>
      <w:r w:rsidRPr="008738C7">
        <w:rPr>
          <w:sz w:val="26"/>
          <w:szCs w:val="26"/>
        </w:rPr>
        <w:t xml:space="preserve"> here, the Commission must determine that the proposed terms and conditions are in the public interest.  </w:t>
      </w:r>
      <w:r w:rsidRPr="008738C7">
        <w:rPr>
          <w:i/>
          <w:sz w:val="26"/>
          <w:szCs w:val="26"/>
        </w:rPr>
        <w:t>Pa. PUC v. York Water Co.</w:t>
      </w:r>
      <w:r w:rsidRPr="008738C7">
        <w:rPr>
          <w:sz w:val="26"/>
          <w:szCs w:val="26"/>
        </w:rPr>
        <w:t>, Docket No. R</w:t>
      </w:r>
      <w:r w:rsidRPr="008738C7">
        <w:rPr>
          <w:sz w:val="26"/>
          <w:szCs w:val="26"/>
        </w:rPr>
        <w:noBreakHyphen/>
        <w:t>00049165 (Order</w:t>
      </w:r>
      <w:r w:rsidR="0037084F">
        <w:rPr>
          <w:sz w:val="26"/>
          <w:szCs w:val="26"/>
        </w:rPr>
        <w:t> </w:t>
      </w:r>
      <w:r w:rsidRPr="008738C7">
        <w:rPr>
          <w:sz w:val="26"/>
          <w:szCs w:val="26"/>
        </w:rPr>
        <w:t xml:space="preserve">entered October 4, 2004); </w:t>
      </w:r>
      <w:r w:rsidRPr="008738C7">
        <w:rPr>
          <w:i/>
          <w:sz w:val="26"/>
          <w:szCs w:val="26"/>
        </w:rPr>
        <w:t>Pa. PUC v. CS Water and Sewer Assoc.</w:t>
      </w:r>
      <w:r w:rsidRPr="008738C7">
        <w:rPr>
          <w:sz w:val="26"/>
          <w:szCs w:val="26"/>
        </w:rPr>
        <w:t>, 74</w:t>
      </w:r>
      <w:r w:rsidR="00E125E9">
        <w:rPr>
          <w:sz w:val="26"/>
          <w:szCs w:val="26"/>
        </w:rPr>
        <w:t> </w:t>
      </w:r>
      <w:r w:rsidRPr="008738C7">
        <w:rPr>
          <w:sz w:val="26"/>
          <w:szCs w:val="26"/>
        </w:rPr>
        <w:t>Pa.</w:t>
      </w:r>
      <w:r w:rsidR="00E125E9">
        <w:rPr>
          <w:sz w:val="26"/>
          <w:szCs w:val="26"/>
        </w:rPr>
        <w:t> </w:t>
      </w:r>
      <w:r w:rsidRPr="008738C7">
        <w:rPr>
          <w:sz w:val="26"/>
          <w:szCs w:val="26"/>
        </w:rPr>
        <w:t>P.U.C.</w:t>
      </w:r>
      <w:r w:rsidR="00E125E9">
        <w:rPr>
          <w:sz w:val="26"/>
          <w:szCs w:val="26"/>
        </w:rPr>
        <w:t> </w:t>
      </w:r>
      <w:r w:rsidRPr="008738C7">
        <w:rPr>
          <w:sz w:val="26"/>
          <w:szCs w:val="26"/>
        </w:rPr>
        <w:t>767 (1991).</w:t>
      </w:r>
    </w:p>
    <w:p w14:paraId="61CB481F" w14:textId="77777777" w:rsidR="00490F70" w:rsidRPr="008738C7" w:rsidRDefault="00490F70" w:rsidP="008738C7">
      <w:pPr>
        <w:spacing w:line="360" w:lineRule="auto"/>
        <w:ind w:firstLine="1440"/>
        <w:contextualSpacing/>
        <w:rPr>
          <w:sz w:val="26"/>
          <w:szCs w:val="26"/>
        </w:rPr>
      </w:pPr>
    </w:p>
    <w:p w14:paraId="4E9AC825" w14:textId="3A9F3713" w:rsidR="00490F70" w:rsidRPr="008738C7" w:rsidRDefault="00490F70" w:rsidP="008738C7">
      <w:pPr>
        <w:spacing w:line="360" w:lineRule="auto"/>
        <w:ind w:left="72" w:right="72" w:firstLine="1440"/>
        <w:contextualSpacing/>
        <w:textAlignment w:val="baseline"/>
        <w:rPr>
          <w:sz w:val="26"/>
          <w:szCs w:val="26"/>
        </w:rPr>
      </w:pPr>
      <w:r w:rsidRPr="008738C7">
        <w:rPr>
          <w:sz w:val="26"/>
          <w:szCs w:val="26"/>
        </w:rPr>
        <w:t xml:space="preserve">The Joint Petition reflects the consensus of the Parties that the terms and conditions benefit all interested parties.  The Joint Petition resolves the issues necessary for the ultimate resolution of the present proceeding.  It also removes potentially contentious issues that would have prolonged or required further litigation or administrative proceedings.  The benefits of approving the Joint Petition are numerous and will result in savings of time and expenses for all </w:t>
      </w:r>
      <w:r w:rsidR="00722580" w:rsidRPr="008738C7">
        <w:rPr>
          <w:sz w:val="26"/>
          <w:szCs w:val="26"/>
        </w:rPr>
        <w:t>P</w:t>
      </w:r>
      <w:r w:rsidRPr="008738C7">
        <w:rPr>
          <w:sz w:val="26"/>
          <w:szCs w:val="26"/>
        </w:rPr>
        <w:t xml:space="preserve">arties involved by avoiding the necessity of further administrative proceedings, as well as possible appellate court proceedings, conserving precious administrative resources.  </w:t>
      </w:r>
    </w:p>
    <w:p w14:paraId="22FD0916" w14:textId="77777777" w:rsidR="00490F70" w:rsidRPr="008738C7" w:rsidRDefault="00490F70" w:rsidP="008738C7">
      <w:pPr>
        <w:spacing w:line="360" w:lineRule="auto"/>
        <w:ind w:left="72" w:right="72" w:firstLine="1440"/>
        <w:contextualSpacing/>
        <w:textAlignment w:val="baseline"/>
        <w:rPr>
          <w:sz w:val="26"/>
          <w:szCs w:val="26"/>
        </w:rPr>
      </w:pPr>
    </w:p>
    <w:p w14:paraId="39D02149" w14:textId="2B12F61F" w:rsidR="004C0A15" w:rsidRDefault="00490F70" w:rsidP="0037084F">
      <w:pPr>
        <w:spacing w:line="360" w:lineRule="auto"/>
        <w:ind w:firstLine="1440"/>
        <w:contextualSpacing/>
        <w:rPr>
          <w:sz w:val="26"/>
          <w:szCs w:val="26"/>
        </w:rPr>
      </w:pPr>
      <w:r w:rsidRPr="008738C7">
        <w:rPr>
          <w:sz w:val="26"/>
          <w:szCs w:val="26"/>
        </w:rPr>
        <w:t>We agree with the ALJ’s analysis and conclusion that the provisions of the Joint Petition are in the public interest.  Accordingly, we shall adopt the ALJ’s recommendation and approve the Joint Petition, without modification.</w:t>
      </w:r>
    </w:p>
    <w:p w14:paraId="1178D1CA" w14:textId="77777777" w:rsidR="00E5399E" w:rsidRPr="008738C7" w:rsidRDefault="00E5399E" w:rsidP="0037084F">
      <w:pPr>
        <w:spacing w:line="360" w:lineRule="auto"/>
        <w:ind w:firstLine="1440"/>
        <w:contextualSpacing/>
        <w:rPr>
          <w:sz w:val="26"/>
          <w:szCs w:val="26"/>
        </w:rPr>
      </w:pPr>
    </w:p>
    <w:p w14:paraId="383E1D4C" w14:textId="77777777" w:rsidR="009C4920" w:rsidRPr="008738C7" w:rsidRDefault="009C4920" w:rsidP="0037084F">
      <w:pPr>
        <w:pStyle w:val="Heading1"/>
        <w:spacing w:before="0" w:line="360" w:lineRule="auto"/>
        <w:jc w:val="center"/>
        <w:rPr>
          <w:rFonts w:ascii="Times New Roman" w:hAnsi="Times New Roman" w:cs="Times New Roman"/>
          <w:b/>
          <w:bCs/>
          <w:color w:val="auto"/>
          <w:sz w:val="26"/>
          <w:szCs w:val="26"/>
        </w:rPr>
      </w:pPr>
      <w:r w:rsidRPr="008738C7">
        <w:rPr>
          <w:rFonts w:ascii="Times New Roman" w:hAnsi="Times New Roman" w:cs="Times New Roman"/>
          <w:b/>
          <w:bCs/>
          <w:color w:val="auto"/>
          <w:sz w:val="26"/>
          <w:szCs w:val="26"/>
        </w:rPr>
        <w:t>Conclusion</w:t>
      </w:r>
    </w:p>
    <w:p w14:paraId="41F6CF37" w14:textId="77777777" w:rsidR="009C4920" w:rsidRPr="008738C7" w:rsidRDefault="009C4920" w:rsidP="0037084F">
      <w:pPr>
        <w:keepNext/>
        <w:keepLines/>
        <w:spacing w:line="360" w:lineRule="auto"/>
        <w:ind w:firstLine="1440"/>
        <w:rPr>
          <w:sz w:val="26"/>
          <w:szCs w:val="26"/>
        </w:rPr>
      </w:pPr>
    </w:p>
    <w:p w14:paraId="34784C52" w14:textId="5884A930" w:rsidR="009C4920" w:rsidRPr="008738C7" w:rsidRDefault="009C4920" w:rsidP="0037084F">
      <w:pPr>
        <w:keepNext/>
        <w:spacing w:line="360" w:lineRule="auto"/>
        <w:ind w:firstLine="1440"/>
        <w:rPr>
          <w:sz w:val="26"/>
          <w:szCs w:val="26"/>
        </w:rPr>
      </w:pPr>
      <w:r w:rsidRPr="008738C7">
        <w:rPr>
          <w:bCs/>
          <w:sz w:val="26"/>
          <w:szCs w:val="26"/>
        </w:rPr>
        <w:t xml:space="preserve">Upon review, we shall </w:t>
      </w:r>
      <w:r w:rsidRPr="008738C7">
        <w:rPr>
          <w:sz w:val="26"/>
          <w:szCs w:val="26"/>
        </w:rPr>
        <w:t xml:space="preserve">adopt the ALJ’s recommendation that grants the </w:t>
      </w:r>
      <w:r w:rsidR="00D47859" w:rsidRPr="008738C7">
        <w:rPr>
          <w:sz w:val="26"/>
          <w:szCs w:val="26"/>
        </w:rPr>
        <w:t>Joint Petition for Approval of Settlement</w:t>
      </w:r>
      <w:r w:rsidR="00D3378D" w:rsidRPr="008738C7">
        <w:rPr>
          <w:sz w:val="26"/>
          <w:szCs w:val="26"/>
        </w:rPr>
        <w:t xml:space="preserve"> </w:t>
      </w:r>
      <w:r w:rsidR="00D47859" w:rsidRPr="008738C7">
        <w:rPr>
          <w:sz w:val="26"/>
          <w:szCs w:val="26"/>
        </w:rPr>
        <w:t>filed on May 14, 2021, by PPL Electric Utilities Corporation</w:t>
      </w:r>
      <w:r w:rsidR="004D37BA" w:rsidRPr="008738C7">
        <w:rPr>
          <w:sz w:val="26"/>
          <w:szCs w:val="26"/>
        </w:rPr>
        <w:t>, the Commission’s Bureau of Investigation and Enforcement</w:t>
      </w:r>
      <w:r w:rsidR="00D47859" w:rsidRPr="008738C7">
        <w:rPr>
          <w:sz w:val="26"/>
          <w:szCs w:val="26"/>
        </w:rPr>
        <w:t xml:space="preserve"> and the Office of Small Business Advocate</w:t>
      </w:r>
      <w:r w:rsidRPr="008738C7">
        <w:rPr>
          <w:sz w:val="26"/>
          <w:szCs w:val="26"/>
        </w:rPr>
        <w:t>.  Further, we shall</w:t>
      </w:r>
      <w:r w:rsidR="003609A3" w:rsidRPr="008738C7">
        <w:rPr>
          <w:sz w:val="26"/>
          <w:szCs w:val="26"/>
        </w:rPr>
        <w:t xml:space="preserve"> </w:t>
      </w:r>
      <w:r w:rsidRPr="008738C7">
        <w:rPr>
          <w:sz w:val="26"/>
          <w:szCs w:val="26"/>
        </w:rPr>
        <w:t>modify the ALJ’s Recommended Decision for purposes of clarification</w:t>
      </w:r>
      <w:r w:rsidRPr="008738C7">
        <w:rPr>
          <w:bCs/>
          <w:sz w:val="26"/>
          <w:szCs w:val="26"/>
        </w:rPr>
        <w:t>, consistent with this Opinion and Order</w:t>
      </w:r>
      <w:r w:rsidRPr="008738C7">
        <w:rPr>
          <w:sz w:val="26"/>
          <w:szCs w:val="26"/>
        </w:rPr>
        <w:t xml:space="preserve">; </w:t>
      </w:r>
      <w:r w:rsidRPr="008738C7">
        <w:rPr>
          <w:b/>
          <w:sz w:val="26"/>
          <w:szCs w:val="26"/>
        </w:rPr>
        <w:t>THEREFORE,</w:t>
      </w:r>
    </w:p>
    <w:p w14:paraId="59EB227D" w14:textId="77777777" w:rsidR="008E7CDD" w:rsidRPr="008738C7" w:rsidRDefault="008E7CDD" w:rsidP="008738C7">
      <w:pPr>
        <w:spacing w:line="360" w:lineRule="auto"/>
        <w:rPr>
          <w:sz w:val="26"/>
          <w:szCs w:val="26"/>
        </w:rPr>
      </w:pPr>
    </w:p>
    <w:p w14:paraId="38987711" w14:textId="64E94F77" w:rsidR="001A1AD3" w:rsidRPr="008738C7" w:rsidRDefault="001A1AD3" w:rsidP="008738C7">
      <w:pPr>
        <w:spacing w:line="360" w:lineRule="auto"/>
        <w:contextualSpacing/>
        <w:rPr>
          <w:b/>
          <w:sz w:val="26"/>
          <w:szCs w:val="26"/>
        </w:rPr>
      </w:pPr>
      <w:r w:rsidRPr="008738C7">
        <w:rPr>
          <w:sz w:val="26"/>
          <w:szCs w:val="26"/>
        </w:rPr>
        <w:tab/>
      </w:r>
      <w:r w:rsidRPr="008738C7">
        <w:rPr>
          <w:sz w:val="26"/>
          <w:szCs w:val="26"/>
        </w:rPr>
        <w:tab/>
      </w:r>
      <w:r w:rsidRPr="008738C7">
        <w:rPr>
          <w:b/>
          <w:sz w:val="26"/>
          <w:szCs w:val="26"/>
        </w:rPr>
        <w:t>IT IS ORDERED:</w:t>
      </w:r>
    </w:p>
    <w:p w14:paraId="659A7A7F" w14:textId="77777777" w:rsidR="0095036C" w:rsidRPr="008738C7" w:rsidRDefault="0095036C" w:rsidP="008738C7">
      <w:pPr>
        <w:spacing w:line="360" w:lineRule="auto"/>
        <w:contextualSpacing/>
        <w:rPr>
          <w:sz w:val="26"/>
          <w:szCs w:val="26"/>
        </w:rPr>
      </w:pPr>
    </w:p>
    <w:p w14:paraId="25D40E24" w14:textId="6314F3A5" w:rsidR="004E1F01" w:rsidRPr="008738C7" w:rsidRDefault="008B1431" w:rsidP="008738C7">
      <w:pPr>
        <w:spacing w:line="360" w:lineRule="auto"/>
        <w:ind w:firstLine="1440"/>
        <w:rPr>
          <w:sz w:val="26"/>
          <w:szCs w:val="26"/>
        </w:rPr>
      </w:pPr>
      <w:r w:rsidRPr="008738C7">
        <w:rPr>
          <w:sz w:val="26"/>
          <w:szCs w:val="26"/>
        </w:rPr>
        <w:t>1</w:t>
      </w:r>
      <w:r w:rsidR="00BF2A41" w:rsidRPr="008738C7">
        <w:rPr>
          <w:sz w:val="26"/>
          <w:szCs w:val="26"/>
        </w:rPr>
        <w:t xml:space="preserve">. </w:t>
      </w:r>
      <w:r w:rsidR="00C63B86" w:rsidRPr="008738C7">
        <w:rPr>
          <w:sz w:val="26"/>
          <w:szCs w:val="26"/>
        </w:rPr>
        <w:tab/>
      </w:r>
      <w:r w:rsidR="00BC47FE" w:rsidRPr="008738C7">
        <w:rPr>
          <w:bCs/>
          <w:sz w:val="26"/>
          <w:szCs w:val="26"/>
        </w:rPr>
        <w:t xml:space="preserve">That the Recommended Decision of Deputy </w:t>
      </w:r>
      <w:r w:rsidR="006D741D" w:rsidRPr="008738C7">
        <w:rPr>
          <w:bCs/>
          <w:sz w:val="26"/>
          <w:szCs w:val="26"/>
        </w:rPr>
        <w:t xml:space="preserve">Chief </w:t>
      </w:r>
      <w:r w:rsidR="00BC47FE" w:rsidRPr="008738C7">
        <w:rPr>
          <w:bCs/>
          <w:sz w:val="26"/>
          <w:szCs w:val="26"/>
        </w:rPr>
        <w:t xml:space="preserve">Administrative Law Judge </w:t>
      </w:r>
      <w:r w:rsidR="00BC47FE" w:rsidRPr="008738C7">
        <w:rPr>
          <w:sz w:val="26"/>
          <w:szCs w:val="26"/>
        </w:rPr>
        <w:t xml:space="preserve">Joel H. Cheskis, </w:t>
      </w:r>
      <w:r w:rsidR="00BC47FE" w:rsidRPr="008738C7">
        <w:rPr>
          <w:color w:val="000000" w:themeColor="text1"/>
          <w:sz w:val="26"/>
          <w:szCs w:val="26"/>
        </w:rPr>
        <w:t>issued on June 2</w:t>
      </w:r>
      <w:r w:rsidR="00897D22" w:rsidRPr="008738C7">
        <w:rPr>
          <w:color w:val="000000" w:themeColor="text1"/>
          <w:sz w:val="26"/>
          <w:szCs w:val="26"/>
        </w:rPr>
        <w:t>4</w:t>
      </w:r>
      <w:r w:rsidR="00BC47FE" w:rsidRPr="008738C7">
        <w:rPr>
          <w:color w:val="000000" w:themeColor="text1"/>
          <w:sz w:val="26"/>
          <w:szCs w:val="26"/>
        </w:rPr>
        <w:t>, 2021</w:t>
      </w:r>
      <w:r w:rsidR="00BC47FE" w:rsidRPr="008738C7">
        <w:rPr>
          <w:bCs/>
          <w:sz w:val="26"/>
          <w:szCs w:val="26"/>
        </w:rPr>
        <w:t xml:space="preserve">, </w:t>
      </w:r>
      <w:r w:rsidR="004E1F01" w:rsidRPr="008738C7">
        <w:rPr>
          <w:bCs/>
          <w:sz w:val="26"/>
          <w:szCs w:val="26"/>
        </w:rPr>
        <w:t xml:space="preserve">shall be modified for clarification purposes, </w:t>
      </w:r>
      <w:r w:rsidR="00F009E8" w:rsidRPr="008738C7">
        <w:rPr>
          <w:bCs/>
          <w:sz w:val="26"/>
          <w:szCs w:val="26"/>
        </w:rPr>
        <w:t>to</w:t>
      </w:r>
      <w:r w:rsidR="005725C9" w:rsidRPr="008738C7">
        <w:rPr>
          <w:bCs/>
          <w:sz w:val="26"/>
          <w:szCs w:val="26"/>
        </w:rPr>
        <w:t>:</w:t>
      </w:r>
      <w:r w:rsidR="00E5399E">
        <w:rPr>
          <w:bCs/>
          <w:sz w:val="26"/>
          <w:szCs w:val="26"/>
        </w:rPr>
        <w:t xml:space="preserve"> </w:t>
      </w:r>
      <w:r w:rsidR="005725C9" w:rsidRPr="008738C7">
        <w:rPr>
          <w:bCs/>
          <w:sz w:val="26"/>
          <w:szCs w:val="26"/>
        </w:rPr>
        <w:t xml:space="preserve"> (1) </w:t>
      </w:r>
      <w:r w:rsidR="00F009E8" w:rsidRPr="008738C7">
        <w:rPr>
          <w:bCs/>
          <w:sz w:val="26"/>
          <w:szCs w:val="26"/>
        </w:rPr>
        <w:t xml:space="preserve">include </w:t>
      </w:r>
      <w:r w:rsidR="0057725E" w:rsidRPr="008738C7">
        <w:rPr>
          <w:sz w:val="26"/>
          <w:szCs w:val="26"/>
        </w:rPr>
        <w:t>an ordering paragraph granting a certificate of public convenience for the proposed intercompany restructuring</w:t>
      </w:r>
      <w:r w:rsidR="005725C9" w:rsidRPr="008738C7">
        <w:rPr>
          <w:sz w:val="26"/>
          <w:szCs w:val="26"/>
        </w:rPr>
        <w:t>;</w:t>
      </w:r>
      <w:r w:rsidR="00F009E8" w:rsidRPr="008738C7">
        <w:rPr>
          <w:sz w:val="26"/>
          <w:szCs w:val="26"/>
        </w:rPr>
        <w:t xml:space="preserve"> and</w:t>
      </w:r>
      <w:r w:rsidR="00897D22" w:rsidRPr="008738C7">
        <w:rPr>
          <w:sz w:val="26"/>
          <w:szCs w:val="26"/>
        </w:rPr>
        <w:t xml:space="preserve"> </w:t>
      </w:r>
      <w:r w:rsidR="005725C9" w:rsidRPr="008738C7">
        <w:rPr>
          <w:sz w:val="26"/>
          <w:szCs w:val="26"/>
        </w:rPr>
        <w:t>(2)</w:t>
      </w:r>
      <w:r w:rsidR="000028E1" w:rsidRPr="008738C7">
        <w:rPr>
          <w:sz w:val="26"/>
          <w:szCs w:val="26"/>
        </w:rPr>
        <w:t xml:space="preserve"> correct</w:t>
      </w:r>
      <w:r w:rsidR="003F08FE" w:rsidRPr="008738C7">
        <w:rPr>
          <w:sz w:val="26"/>
          <w:szCs w:val="26"/>
        </w:rPr>
        <w:t xml:space="preserve"> </w:t>
      </w:r>
      <w:r w:rsidR="00ED704E" w:rsidRPr="008738C7">
        <w:rPr>
          <w:sz w:val="26"/>
          <w:szCs w:val="26"/>
        </w:rPr>
        <w:t>the phrase on page six of the Recommended Decision</w:t>
      </w:r>
      <w:r w:rsidR="00897D22" w:rsidRPr="008738C7">
        <w:rPr>
          <w:sz w:val="26"/>
          <w:szCs w:val="26"/>
        </w:rPr>
        <w:t xml:space="preserve"> </w:t>
      </w:r>
      <w:r w:rsidR="00237A84" w:rsidRPr="008738C7">
        <w:rPr>
          <w:sz w:val="26"/>
          <w:szCs w:val="26"/>
        </w:rPr>
        <w:t xml:space="preserve">to </w:t>
      </w:r>
      <w:r w:rsidR="00ED704E" w:rsidRPr="008738C7">
        <w:rPr>
          <w:sz w:val="26"/>
          <w:szCs w:val="26"/>
        </w:rPr>
        <w:t xml:space="preserve">read </w:t>
      </w:r>
      <w:r w:rsidR="00F009E8" w:rsidRPr="008738C7">
        <w:rPr>
          <w:sz w:val="26"/>
          <w:szCs w:val="26"/>
        </w:rPr>
        <w:t>“the Commonwealth Court reversed the Commission”</w:t>
      </w:r>
      <w:r w:rsidR="007A730E" w:rsidRPr="008738C7">
        <w:rPr>
          <w:sz w:val="26"/>
          <w:szCs w:val="26"/>
        </w:rPr>
        <w:t xml:space="preserve"> rather</w:t>
      </w:r>
      <w:r w:rsidR="00ED704E" w:rsidRPr="008738C7">
        <w:rPr>
          <w:sz w:val="26"/>
          <w:szCs w:val="26"/>
        </w:rPr>
        <w:t xml:space="preserve"> than</w:t>
      </w:r>
      <w:r w:rsidR="00D22940" w:rsidRPr="008738C7">
        <w:rPr>
          <w:sz w:val="26"/>
          <w:szCs w:val="26"/>
        </w:rPr>
        <w:t xml:space="preserve"> “the Commission reversed the Commission</w:t>
      </w:r>
      <w:r w:rsidR="00A97EC6" w:rsidRPr="008738C7">
        <w:rPr>
          <w:sz w:val="26"/>
          <w:szCs w:val="26"/>
        </w:rPr>
        <w:t>,</w:t>
      </w:r>
      <w:r w:rsidR="00D22940" w:rsidRPr="008738C7">
        <w:rPr>
          <w:sz w:val="26"/>
          <w:szCs w:val="26"/>
        </w:rPr>
        <w:t>”</w:t>
      </w:r>
      <w:r w:rsidR="00A97EC6" w:rsidRPr="008738C7">
        <w:rPr>
          <w:bCs/>
          <w:sz w:val="26"/>
          <w:szCs w:val="26"/>
        </w:rPr>
        <w:t xml:space="preserve"> </w:t>
      </w:r>
      <w:r w:rsidR="004E1F01" w:rsidRPr="008738C7">
        <w:rPr>
          <w:bCs/>
          <w:sz w:val="26"/>
          <w:szCs w:val="26"/>
        </w:rPr>
        <w:t>consistent with this Opinion and Order.</w:t>
      </w:r>
    </w:p>
    <w:p w14:paraId="23126C3F" w14:textId="532F5451" w:rsidR="004E1F01" w:rsidRPr="008738C7" w:rsidRDefault="004E1F01" w:rsidP="008738C7">
      <w:pPr>
        <w:spacing w:line="360" w:lineRule="auto"/>
        <w:ind w:firstLine="1440"/>
        <w:rPr>
          <w:sz w:val="26"/>
          <w:szCs w:val="26"/>
        </w:rPr>
      </w:pPr>
    </w:p>
    <w:p w14:paraId="317BFA68" w14:textId="661E0D03" w:rsidR="00D8339F" w:rsidRPr="008738C7" w:rsidRDefault="008D3B1D" w:rsidP="008738C7">
      <w:pPr>
        <w:spacing w:line="360" w:lineRule="auto"/>
        <w:ind w:firstLine="1440"/>
        <w:rPr>
          <w:sz w:val="26"/>
          <w:szCs w:val="26"/>
        </w:rPr>
      </w:pPr>
      <w:r w:rsidRPr="008738C7">
        <w:rPr>
          <w:bCs/>
          <w:sz w:val="26"/>
          <w:szCs w:val="26"/>
        </w:rPr>
        <w:t xml:space="preserve">2. </w:t>
      </w:r>
      <w:r w:rsidRPr="008738C7">
        <w:rPr>
          <w:bCs/>
          <w:sz w:val="26"/>
          <w:szCs w:val="26"/>
        </w:rPr>
        <w:tab/>
      </w:r>
      <w:r w:rsidR="00D8339F" w:rsidRPr="008738C7">
        <w:rPr>
          <w:bCs/>
          <w:sz w:val="26"/>
          <w:szCs w:val="26"/>
        </w:rPr>
        <w:t xml:space="preserve">That the Recommended Decision of Deputy </w:t>
      </w:r>
      <w:r w:rsidR="006D741D" w:rsidRPr="008738C7">
        <w:rPr>
          <w:bCs/>
          <w:sz w:val="26"/>
          <w:szCs w:val="26"/>
        </w:rPr>
        <w:t xml:space="preserve">Chief </w:t>
      </w:r>
      <w:r w:rsidR="00D8339F" w:rsidRPr="008738C7">
        <w:rPr>
          <w:bCs/>
          <w:sz w:val="26"/>
          <w:szCs w:val="26"/>
        </w:rPr>
        <w:t xml:space="preserve">Administrative Law Judge </w:t>
      </w:r>
      <w:r w:rsidR="00D8339F" w:rsidRPr="008738C7">
        <w:rPr>
          <w:sz w:val="26"/>
          <w:szCs w:val="26"/>
        </w:rPr>
        <w:t xml:space="preserve">Joel H. Cheskis, </w:t>
      </w:r>
      <w:r w:rsidR="00D8339F" w:rsidRPr="008738C7">
        <w:rPr>
          <w:color w:val="000000" w:themeColor="text1"/>
          <w:sz w:val="26"/>
          <w:szCs w:val="26"/>
        </w:rPr>
        <w:t>issued on June 2</w:t>
      </w:r>
      <w:r w:rsidR="000C2931" w:rsidRPr="008738C7">
        <w:rPr>
          <w:color w:val="000000" w:themeColor="text1"/>
          <w:sz w:val="26"/>
          <w:szCs w:val="26"/>
        </w:rPr>
        <w:t>4</w:t>
      </w:r>
      <w:r w:rsidR="00D8339F" w:rsidRPr="008738C7">
        <w:rPr>
          <w:color w:val="000000" w:themeColor="text1"/>
          <w:sz w:val="26"/>
          <w:szCs w:val="26"/>
        </w:rPr>
        <w:t>, 2021</w:t>
      </w:r>
      <w:r w:rsidR="00D8339F" w:rsidRPr="008738C7">
        <w:rPr>
          <w:bCs/>
          <w:sz w:val="26"/>
          <w:szCs w:val="26"/>
        </w:rPr>
        <w:t>, is adopted as modified, consistent with this Opinion and Order</w:t>
      </w:r>
      <w:r w:rsidR="00D8339F" w:rsidRPr="008738C7">
        <w:rPr>
          <w:sz w:val="26"/>
          <w:szCs w:val="26"/>
        </w:rPr>
        <w:t>.</w:t>
      </w:r>
    </w:p>
    <w:p w14:paraId="1A66CF7F" w14:textId="049DB64F" w:rsidR="00BF2A41" w:rsidRPr="008738C7" w:rsidRDefault="008D3B1D" w:rsidP="008738C7">
      <w:pPr>
        <w:pStyle w:val="Default"/>
        <w:spacing w:line="360" w:lineRule="auto"/>
        <w:ind w:firstLine="1440"/>
        <w:rPr>
          <w:sz w:val="26"/>
          <w:szCs w:val="26"/>
        </w:rPr>
      </w:pPr>
      <w:r w:rsidRPr="008738C7">
        <w:rPr>
          <w:sz w:val="26"/>
          <w:szCs w:val="26"/>
        </w:rPr>
        <w:t>3</w:t>
      </w:r>
      <w:r w:rsidR="00F3115B" w:rsidRPr="008738C7">
        <w:rPr>
          <w:sz w:val="26"/>
          <w:szCs w:val="26"/>
        </w:rPr>
        <w:t xml:space="preserve">. </w:t>
      </w:r>
      <w:r w:rsidR="00F3115B" w:rsidRPr="008738C7">
        <w:rPr>
          <w:sz w:val="26"/>
          <w:szCs w:val="26"/>
        </w:rPr>
        <w:tab/>
      </w:r>
      <w:r w:rsidR="008B1431" w:rsidRPr="008738C7">
        <w:rPr>
          <w:sz w:val="26"/>
          <w:szCs w:val="26"/>
        </w:rPr>
        <w:t>That the Joint Petition for Approval of Settlement submitted by PPL</w:t>
      </w:r>
      <w:r w:rsidR="0037084F">
        <w:rPr>
          <w:sz w:val="26"/>
          <w:szCs w:val="26"/>
        </w:rPr>
        <w:t> </w:t>
      </w:r>
      <w:r w:rsidR="008B1431" w:rsidRPr="008738C7">
        <w:rPr>
          <w:sz w:val="26"/>
          <w:szCs w:val="26"/>
        </w:rPr>
        <w:t>Electric Utilities Corporation, the Office of Small Business Advocate and the Commission’s Bureau of Investigation and Enforcement on May 14, 2021, at Docket N</w:t>
      </w:r>
      <w:r w:rsidR="00BF09B2" w:rsidRPr="008738C7">
        <w:rPr>
          <w:sz w:val="26"/>
          <w:szCs w:val="26"/>
        </w:rPr>
        <w:t xml:space="preserve">o. </w:t>
      </w:r>
      <w:r w:rsidR="008B1431" w:rsidRPr="008738C7">
        <w:rPr>
          <w:sz w:val="26"/>
          <w:szCs w:val="26"/>
        </w:rPr>
        <w:t xml:space="preserve">A-2017-2629534, including all terms and conditions thereof, is approved without modification. </w:t>
      </w:r>
    </w:p>
    <w:p w14:paraId="3EA5476D" w14:textId="65B1EF0C" w:rsidR="00B33CC5" w:rsidRPr="008738C7" w:rsidRDefault="00B33CC5" w:rsidP="008738C7">
      <w:pPr>
        <w:pStyle w:val="Default"/>
        <w:spacing w:line="360" w:lineRule="auto"/>
        <w:ind w:firstLine="1440"/>
        <w:rPr>
          <w:sz w:val="26"/>
          <w:szCs w:val="26"/>
        </w:rPr>
      </w:pPr>
    </w:p>
    <w:p w14:paraId="5CE28A5A" w14:textId="707D9A16" w:rsidR="0096723F" w:rsidRPr="008738C7" w:rsidRDefault="00B33CC5" w:rsidP="008738C7">
      <w:pPr>
        <w:pStyle w:val="NoSpacing"/>
        <w:spacing w:line="360" w:lineRule="auto"/>
        <w:ind w:firstLine="1440"/>
        <w:rPr>
          <w:sz w:val="26"/>
          <w:szCs w:val="26"/>
        </w:rPr>
      </w:pPr>
      <w:r w:rsidRPr="008738C7">
        <w:rPr>
          <w:sz w:val="26"/>
          <w:szCs w:val="26"/>
        </w:rPr>
        <w:t xml:space="preserve">4. </w:t>
      </w:r>
      <w:r w:rsidR="0096723F" w:rsidRPr="008738C7">
        <w:rPr>
          <w:sz w:val="26"/>
          <w:szCs w:val="26"/>
        </w:rPr>
        <w:tab/>
        <w:t>That the Application for Intercompany Restructuring filed by PPL</w:t>
      </w:r>
      <w:r w:rsidR="0037084F">
        <w:rPr>
          <w:sz w:val="26"/>
          <w:szCs w:val="26"/>
        </w:rPr>
        <w:t> </w:t>
      </w:r>
      <w:r w:rsidR="0096723F" w:rsidRPr="008738C7">
        <w:rPr>
          <w:sz w:val="26"/>
          <w:szCs w:val="26"/>
        </w:rPr>
        <w:t>Electric Utilities Corporation on October 16, 2017, at Docket N</w:t>
      </w:r>
      <w:r w:rsidR="00A86106" w:rsidRPr="008738C7">
        <w:rPr>
          <w:sz w:val="26"/>
          <w:szCs w:val="26"/>
        </w:rPr>
        <w:t>o.</w:t>
      </w:r>
      <w:r w:rsidR="0096723F" w:rsidRPr="008738C7">
        <w:rPr>
          <w:sz w:val="26"/>
          <w:szCs w:val="26"/>
        </w:rPr>
        <w:t xml:space="preserve"> A-2017-2629534, is hereby</w:t>
      </w:r>
      <w:r w:rsidR="001B0F3B" w:rsidRPr="008738C7">
        <w:rPr>
          <w:sz w:val="26"/>
          <w:szCs w:val="26"/>
        </w:rPr>
        <w:t xml:space="preserve"> approved</w:t>
      </w:r>
      <w:r w:rsidR="0096723F" w:rsidRPr="008738C7">
        <w:rPr>
          <w:sz w:val="26"/>
          <w:szCs w:val="26"/>
        </w:rPr>
        <w:t>.</w:t>
      </w:r>
    </w:p>
    <w:p w14:paraId="762C8004" w14:textId="79E29454" w:rsidR="00B33CC5" w:rsidRPr="008738C7" w:rsidRDefault="00B33CC5" w:rsidP="008738C7">
      <w:pPr>
        <w:pStyle w:val="Default"/>
        <w:spacing w:line="360" w:lineRule="auto"/>
        <w:ind w:firstLine="1440"/>
        <w:rPr>
          <w:sz w:val="26"/>
          <w:szCs w:val="26"/>
        </w:rPr>
      </w:pPr>
    </w:p>
    <w:p w14:paraId="3D6BF50B" w14:textId="7BAD97BE" w:rsidR="00BF2A41" w:rsidRPr="008738C7" w:rsidRDefault="0096723F" w:rsidP="008738C7">
      <w:pPr>
        <w:pStyle w:val="ListParagraph"/>
        <w:spacing w:line="360" w:lineRule="auto"/>
        <w:ind w:left="0" w:firstLine="1440"/>
        <w:rPr>
          <w:sz w:val="26"/>
          <w:szCs w:val="26"/>
        </w:rPr>
      </w:pPr>
      <w:r w:rsidRPr="008738C7">
        <w:rPr>
          <w:sz w:val="26"/>
          <w:szCs w:val="26"/>
        </w:rPr>
        <w:t>5</w:t>
      </w:r>
      <w:r w:rsidR="00AB68A6" w:rsidRPr="008738C7">
        <w:rPr>
          <w:sz w:val="26"/>
          <w:szCs w:val="26"/>
        </w:rPr>
        <w:t xml:space="preserve">. </w:t>
      </w:r>
      <w:r w:rsidR="00AB68A6" w:rsidRPr="008738C7">
        <w:rPr>
          <w:sz w:val="26"/>
          <w:szCs w:val="26"/>
        </w:rPr>
        <w:tab/>
      </w:r>
      <w:r w:rsidR="00BF2A41" w:rsidRPr="008738C7">
        <w:rPr>
          <w:sz w:val="26"/>
          <w:szCs w:val="26"/>
        </w:rPr>
        <w:t xml:space="preserve">That a </w:t>
      </w:r>
      <w:r w:rsidR="0030241C" w:rsidRPr="008738C7">
        <w:rPr>
          <w:sz w:val="26"/>
          <w:szCs w:val="26"/>
        </w:rPr>
        <w:t>C</w:t>
      </w:r>
      <w:r w:rsidR="00BF2A41" w:rsidRPr="008738C7">
        <w:rPr>
          <w:sz w:val="26"/>
          <w:szCs w:val="26"/>
        </w:rPr>
        <w:t xml:space="preserve">ertificate of </w:t>
      </w:r>
      <w:r w:rsidR="0030241C" w:rsidRPr="008738C7">
        <w:rPr>
          <w:sz w:val="26"/>
          <w:szCs w:val="26"/>
        </w:rPr>
        <w:t>P</w:t>
      </w:r>
      <w:r w:rsidR="00BF2A41" w:rsidRPr="008738C7">
        <w:rPr>
          <w:sz w:val="26"/>
          <w:szCs w:val="26"/>
        </w:rPr>
        <w:t xml:space="preserve">ublic </w:t>
      </w:r>
      <w:r w:rsidR="0030241C" w:rsidRPr="008738C7">
        <w:rPr>
          <w:sz w:val="26"/>
          <w:szCs w:val="26"/>
        </w:rPr>
        <w:t>C</w:t>
      </w:r>
      <w:r w:rsidR="00BF2A41" w:rsidRPr="008738C7">
        <w:rPr>
          <w:sz w:val="26"/>
          <w:szCs w:val="26"/>
        </w:rPr>
        <w:t xml:space="preserve">onvenience be issued to PPL Electric Utilities Corporation evidencing our approval of the </w:t>
      </w:r>
      <w:r w:rsidR="00A86106" w:rsidRPr="008738C7">
        <w:rPr>
          <w:sz w:val="26"/>
          <w:szCs w:val="26"/>
        </w:rPr>
        <w:t>I</w:t>
      </w:r>
      <w:r w:rsidR="00BF2A41" w:rsidRPr="008738C7">
        <w:rPr>
          <w:sz w:val="26"/>
          <w:szCs w:val="26"/>
        </w:rPr>
        <w:t xml:space="preserve">ntercompany </w:t>
      </w:r>
      <w:r w:rsidR="00A86106" w:rsidRPr="008738C7">
        <w:rPr>
          <w:sz w:val="26"/>
          <w:szCs w:val="26"/>
        </w:rPr>
        <w:t>R</w:t>
      </w:r>
      <w:r w:rsidR="00BF2A41" w:rsidRPr="008738C7">
        <w:rPr>
          <w:sz w:val="26"/>
          <w:szCs w:val="26"/>
        </w:rPr>
        <w:t>estructuring at Docket No. A-2017-2629534.</w:t>
      </w:r>
    </w:p>
    <w:p w14:paraId="71A48A93" w14:textId="77777777" w:rsidR="00BF2A41" w:rsidRPr="008738C7" w:rsidRDefault="00BF2A41" w:rsidP="008738C7">
      <w:pPr>
        <w:pStyle w:val="ListParagraph"/>
        <w:spacing w:line="360" w:lineRule="auto"/>
        <w:rPr>
          <w:strike/>
          <w:sz w:val="26"/>
          <w:szCs w:val="26"/>
        </w:rPr>
      </w:pPr>
    </w:p>
    <w:p w14:paraId="4FC68ED5" w14:textId="3E11F688" w:rsidR="003E534A" w:rsidRPr="008738C7" w:rsidRDefault="00785BDD" w:rsidP="008738C7">
      <w:pPr>
        <w:pStyle w:val="Default"/>
        <w:spacing w:line="360" w:lineRule="auto"/>
        <w:ind w:firstLine="1440"/>
        <w:rPr>
          <w:sz w:val="26"/>
          <w:szCs w:val="26"/>
        </w:rPr>
      </w:pPr>
      <w:r w:rsidRPr="008738C7">
        <w:rPr>
          <w:sz w:val="26"/>
          <w:szCs w:val="26"/>
        </w:rPr>
        <w:t>6</w:t>
      </w:r>
      <w:r w:rsidR="003E534A" w:rsidRPr="008738C7">
        <w:rPr>
          <w:sz w:val="26"/>
          <w:szCs w:val="26"/>
        </w:rPr>
        <w:t xml:space="preserve">. </w:t>
      </w:r>
      <w:r w:rsidR="001511E3" w:rsidRPr="008738C7">
        <w:rPr>
          <w:sz w:val="26"/>
          <w:szCs w:val="26"/>
        </w:rPr>
        <w:tab/>
      </w:r>
      <w:r w:rsidR="003E534A" w:rsidRPr="008738C7">
        <w:rPr>
          <w:sz w:val="26"/>
          <w:szCs w:val="26"/>
        </w:rPr>
        <w:t xml:space="preserve">That the Joint Stipulation for the Admission of Evidence on behalf of PPL Electric Utilities Corporation agreed to by all the </w:t>
      </w:r>
      <w:r w:rsidR="001511E3" w:rsidRPr="008738C7">
        <w:rPr>
          <w:sz w:val="26"/>
          <w:szCs w:val="26"/>
        </w:rPr>
        <w:t>S</w:t>
      </w:r>
      <w:r w:rsidR="003E534A" w:rsidRPr="008738C7">
        <w:rPr>
          <w:sz w:val="26"/>
          <w:szCs w:val="26"/>
        </w:rPr>
        <w:t xml:space="preserve">ettling </w:t>
      </w:r>
      <w:r w:rsidR="001511E3" w:rsidRPr="008738C7">
        <w:rPr>
          <w:sz w:val="26"/>
          <w:szCs w:val="26"/>
        </w:rPr>
        <w:t>P</w:t>
      </w:r>
      <w:r w:rsidR="003E534A" w:rsidRPr="008738C7">
        <w:rPr>
          <w:sz w:val="26"/>
          <w:szCs w:val="26"/>
        </w:rPr>
        <w:t xml:space="preserve">arties and submitted on May 14, </w:t>
      </w:r>
      <w:r w:rsidR="001511E3" w:rsidRPr="008738C7">
        <w:rPr>
          <w:sz w:val="26"/>
          <w:szCs w:val="26"/>
        </w:rPr>
        <w:t>2021,</w:t>
      </w:r>
      <w:r w:rsidR="003E534A" w:rsidRPr="008738C7">
        <w:rPr>
          <w:sz w:val="26"/>
          <w:szCs w:val="26"/>
        </w:rPr>
        <w:t xml:space="preserve"> is hereby approved</w:t>
      </w:r>
      <w:r w:rsidR="00CC40FF" w:rsidRPr="008738C7">
        <w:rPr>
          <w:sz w:val="26"/>
          <w:szCs w:val="26"/>
        </w:rPr>
        <w:t>.</w:t>
      </w:r>
    </w:p>
    <w:p w14:paraId="2FA406C3" w14:textId="42A43C8F" w:rsidR="00CC40FF" w:rsidRPr="008738C7" w:rsidRDefault="00CC40FF" w:rsidP="008738C7">
      <w:pPr>
        <w:pStyle w:val="Default"/>
        <w:spacing w:line="360" w:lineRule="auto"/>
        <w:ind w:firstLine="1440"/>
        <w:rPr>
          <w:sz w:val="26"/>
          <w:szCs w:val="26"/>
        </w:rPr>
      </w:pPr>
    </w:p>
    <w:p w14:paraId="31B40BFF" w14:textId="5874AC4D" w:rsidR="00CC40FF" w:rsidRPr="008738C7" w:rsidRDefault="00785BDD" w:rsidP="008738C7">
      <w:pPr>
        <w:pStyle w:val="Default"/>
        <w:spacing w:line="360" w:lineRule="auto"/>
        <w:ind w:firstLine="1440"/>
        <w:rPr>
          <w:sz w:val="26"/>
          <w:szCs w:val="26"/>
        </w:rPr>
      </w:pPr>
      <w:r w:rsidRPr="008738C7">
        <w:rPr>
          <w:sz w:val="26"/>
          <w:szCs w:val="26"/>
        </w:rPr>
        <w:t>7</w:t>
      </w:r>
      <w:r w:rsidR="00CC40FF" w:rsidRPr="008738C7">
        <w:rPr>
          <w:sz w:val="26"/>
          <w:szCs w:val="26"/>
        </w:rPr>
        <w:t xml:space="preserve">. </w:t>
      </w:r>
      <w:r w:rsidR="00CC40FF" w:rsidRPr="008738C7">
        <w:rPr>
          <w:sz w:val="26"/>
          <w:szCs w:val="26"/>
        </w:rPr>
        <w:tab/>
        <w:t xml:space="preserve">That the </w:t>
      </w:r>
      <w:r w:rsidR="00327A19" w:rsidRPr="008738C7">
        <w:rPr>
          <w:sz w:val="26"/>
          <w:szCs w:val="26"/>
        </w:rPr>
        <w:t>S</w:t>
      </w:r>
      <w:r w:rsidR="00CC40FF" w:rsidRPr="008738C7">
        <w:rPr>
          <w:sz w:val="26"/>
          <w:szCs w:val="26"/>
        </w:rPr>
        <w:t xml:space="preserve">upplemental </w:t>
      </w:r>
      <w:r w:rsidR="00327A19" w:rsidRPr="008738C7">
        <w:rPr>
          <w:sz w:val="26"/>
          <w:szCs w:val="26"/>
        </w:rPr>
        <w:t>D</w:t>
      </w:r>
      <w:r w:rsidR="00CC40FF" w:rsidRPr="008738C7">
        <w:rPr>
          <w:sz w:val="26"/>
          <w:szCs w:val="26"/>
        </w:rPr>
        <w:t xml:space="preserve">irect </w:t>
      </w:r>
      <w:r w:rsidR="00327A19" w:rsidRPr="008738C7">
        <w:rPr>
          <w:sz w:val="26"/>
          <w:szCs w:val="26"/>
        </w:rPr>
        <w:t>T</w:t>
      </w:r>
      <w:r w:rsidR="00CC40FF" w:rsidRPr="008738C7">
        <w:rPr>
          <w:sz w:val="26"/>
          <w:szCs w:val="26"/>
        </w:rPr>
        <w:t>estimony of Andrew W. Elmore, dated March 30, 2021, filed by PPL Electric Utilities Corporation on July 1, 2021, is adopted as part of the record in this proceeding.</w:t>
      </w:r>
    </w:p>
    <w:p w14:paraId="53B603AD" w14:textId="0F47EB8E" w:rsidR="00785BDD" w:rsidRPr="008738C7" w:rsidRDefault="00785BDD" w:rsidP="008738C7">
      <w:pPr>
        <w:pStyle w:val="Default"/>
        <w:spacing w:line="360" w:lineRule="auto"/>
        <w:ind w:firstLine="1440"/>
        <w:rPr>
          <w:sz w:val="26"/>
          <w:szCs w:val="26"/>
        </w:rPr>
      </w:pPr>
    </w:p>
    <w:p w14:paraId="32BAE99C" w14:textId="6EF90579" w:rsidR="00482BC9" w:rsidRPr="008738C7" w:rsidRDefault="00785BDD" w:rsidP="008738C7">
      <w:pPr>
        <w:pStyle w:val="Default"/>
        <w:keepNext/>
        <w:keepLines/>
        <w:spacing w:line="360" w:lineRule="auto"/>
        <w:ind w:firstLine="1440"/>
        <w:rPr>
          <w:sz w:val="26"/>
          <w:szCs w:val="26"/>
        </w:rPr>
      </w:pPr>
      <w:r w:rsidRPr="008738C7">
        <w:rPr>
          <w:sz w:val="26"/>
          <w:szCs w:val="26"/>
        </w:rPr>
        <w:t>8</w:t>
      </w:r>
      <w:r w:rsidR="008D32CD" w:rsidRPr="008738C7">
        <w:rPr>
          <w:sz w:val="26"/>
          <w:szCs w:val="26"/>
        </w:rPr>
        <w:t xml:space="preserve">. </w:t>
      </w:r>
      <w:r w:rsidR="008D32CD" w:rsidRPr="008738C7">
        <w:rPr>
          <w:sz w:val="26"/>
          <w:szCs w:val="26"/>
        </w:rPr>
        <w:tab/>
      </w:r>
      <w:r w:rsidR="00482BC9" w:rsidRPr="008738C7">
        <w:rPr>
          <w:sz w:val="26"/>
          <w:szCs w:val="26"/>
        </w:rPr>
        <w:t>That the Commission’s proceeding at Docket No. A-2017-2629534 be marked closed.</w:t>
      </w:r>
    </w:p>
    <w:p w14:paraId="7DBF31A3" w14:textId="62A46EEC" w:rsidR="00166135" w:rsidRPr="008738C7" w:rsidRDefault="00166135" w:rsidP="008738C7">
      <w:pPr>
        <w:pStyle w:val="ListParagraph"/>
        <w:keepNext/>
        <w:keepLines/>
        <w:spacing w:line="360" w:lineRule="auto"/>
        <w:ind w:left="1440"/>
        <w:rPr>
          <w:sz w:val="26"/>
          <w:szCs w:val="26"/>
        </w:rPr>
      </w:pPr>
    </w:p>
    <w:p w14:paraId="7F9956C2" w14:textId="59402C13" w:rsidR="00BC5D6A" w:rsidRPr="008738C7" w:rsidRDefault="00017883" w:rsidP="008738C7">
      <w:pPr>
        <w:keepNext/>
        <w:keepLines/>
        <w:suppressAutoHyphens/>
        <w:rPr>
          <w:b/>
          <w:sz w:val="26"/>
          <w:szCs w:val="26"/>
        </w:rPr>
      </w:pPr>
      <w:r>
        <w:rPr>
          <w:noProof/>
        </w:rPr>
        <w:drawing>
          <wp:anchor distT="0" distB="0" distL="114300" distR="114300" simplePos="0" relativeHeight="251659264" behindDoc="1" locked="0" layoutInCell="1" allowOverlap="1" wp14:anchorId="53A1A1CA" wp14:editId="1A2DDACF">
            <wp:simplePos x="0" y="0"/>
            <wp:positionH relativeFrom="column">
              <wp:posOffset>3200400</wp:posOffset>
            </wp:positionH>
            <wp:positionV relativeFrom="paragraph">
              <wp:posOffset>181610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C5D6A" w:rsidRPr="008738C7">
        <w:rPr>
          <w:sz w:val="26"/>
          <w:szCs w:val="26"/>
        </w:rPr>
        <w:tab/>
      </w:r>
      <w:r w:rsidR="00BC5D6A" w:rsidRPr="008738C7">
        <w:rPr>
          <w:sz w:val="26"/>
          <w:szCs w:val="26"/>
        </w:rPr>
        <w:tab/>
      </w:r>
      <w:r w:rsidR="00BC5D6A" w:rsidRPr="008738C7">
        <w:rPr>
          <w:sz w:val="26"/>
          <w:szCs w:val="26"/>
        </w:rPr>
        <w:tab/>
      </w:r>
      <w:r w:rsidR="00BC5D6A" w:rsidRPr="008738C7">
        <w:rPr>
          <w:sz w:val="26"/>
          <w:szCs w:val="26"/>
        </w:rPr>
        <w:tab/>
      </w:r>
      <w:r w:rsidR="00BC5D6A" w:rsidRPr="008738C7">
        <w:rPr>
          <w:sz w:val="26"/>
          <w:szCs w:val="26"/>
        </w:rPr>
        <w:tab/>
      </w:r>
      <w:r w:rsidR="00BC5D6A" w:rsidRPr="008738C7">
        <w:rPr>
          <w:sz w:val="26"/>
          <w:szCs w:val="26"/>
        </w:rPr>
        <w:tab/>
      </w:r>
      <w:r w:rsidR="00BC5D6A" w:rsidRPr="008738C7">
        <w:rPr>
          <w:sz w:val="26"/>
          <w:szCs w:val="26"/>
        </w:rPr>
        <w:tab/>
      </w:r>
      <w:r w:rsidR="00BC5D6A" w:rsidRPr="008738C7">
        <w:rPr>
          <w:b/>
          <w:sz w:val="26"/>
          <w:szCs w:val="26"/>
        </w:rPr>
        <w:t>BY THE COMMISSION,</w:t>
      </w:r>
    </w:p>
    <w:p w14:paraId="38A259AC" w14:textId="77777777" w:rsidR="00BC5D6A" w:rsidRPr="008738C7" w:rsidRDefault="00BC5D6A" w:rsidP="008738C7">
      <w:pPr>
        <w:keepNext/>
        <w:keepLines/>
        <w:suppressAutoHyphens/>
        <w:rPr>
          <w:b/>
          <w:sz w:val="26"/>
          <w:szCs w:val="26"/>
        </w:rPr>
      </w:pPr>
    </w:p>
    <w:p w14:paraId="4756E570" w14:textId="31CF1B05" w:rsidR="00BC5D6A" w:rsidRPr="008738C7" w:rsidRDefault="00BC5D6A" w:rsidP="008738C7">
      <w:pPr>
        <w:keepNext/>
        <w:keepLines/>
        <w:suppressAutoHyphens/>
        <w:rPr>
          <w:b/>
          <w:sz w:val="26"/>
          <w:szCs w:val="26"/>
        </w:rPr>
      </w:pPr>
    </w:p>
    <w:p w14:paraId="714C6535" w14:textId="1AD38CA8" w:rsidR="00E31339" w:rsidRPr="008738C7" w:rsidRDefault="00E31339" w:rsidP="008738C7">
      <w:pPr>
        <w:keepNext/>
        <w:keepLines/>
        <w:suppressAutoHyphens/>
        <w:rPr>
          <w:b/>
          <w:sz w:val="26"/>
          <w:szCs w:val="26"/>
        </w:rPr>
      </w:pPr>
    </w:p>
    <w:p w14:paraId="40C7B9CF" w14:textId="77777777" w:rsidR="00E31339" w:rsidRPr="008738C7" w:rsidRDefault="00E31339" w:rsidP="008738C7">
      <w:pPr>
        <w:keepNext/>
        <w:keepLines/>
        <w:suppressAutoHyphens/>
        <w:rPr>
          <w:b/>
          <w:sz w:val="26"/>
          <w:szCs w:val="26"/>
        </w:rPr>
      </w:pPr>
    </w:p>
    <w:p w14:paraId="6BACDE3D" w14:textId="77777777" w:rsidR="00BC5D6A" w:rsidRPr="008738C7" w:rsidRDefault="00BC5D6A" w:rsidP="008738C7">
      <w:pPr>
        <w:keepNext/>
        <w:keepLines/>
        <w:suppressAutoHyphens/>
        <w:rPr>
          <w:sz w:val="26"/>
          <w:szCs w:val="26"/>
        </w:rPr>
      </w:pPr>
      <w:r w:rsidRPr="008738C7">
        <w:rPr>
          <w:sz w:val="26"/>
          <w:szCs w:val="26"/>
        </w:rPr>
        <w:tab/>
      </w:r>
      <w:r w:rsidRPr="008738C7">
        <w:rPr>
          <w:sz w:val="26"/>
          <w:szCs w:val="26"/>
        </w:rPr>
        <w:tab/>
      </w:r>
      <w:r w:rsidRPr="008738C7">
        <w:rPr>
          <w:sz w:val="26"/>
          <w:szCs w:val="26"/>
        </w:rPr>
        <w:tab/>
      </w:r>
      <w:r w:rsidRPr="008738C7">
        <w:rPr>
          <w:sz w:val="26"/>
          <w:szCs w:val="26"/>
        </w:rPr>
        <w:tab/>
      </w:r>
      <w:r w:rsidRPr="008738C7">
        <w:rPr>
          <w:sz w:val="26"/>
          <w:szCs w:val="26"/>
        </w:rPr>
        <w:tab/>
      </w:r>
      <w:r w:rsidRPr="008738C7">
        <w:rPr>
          <w:sz w:val="26"/>
          <w:szCs w:val="26"/>
        </w:rPr>
        <w:tab/>
      </w:r>
      <w:r w:rsidRPr="008738C7">
        <w:rPr>
          <w:sz w:val="26"/>
          <w:szCs w:val="26"/>
        </w:rPr>
        <w:tab/>
        <w:t>Rosemary Chiavetta</w:t>
      </w:r>
    </w:p>
    <w:p w14:paraId="61D6C138" w14:textId="77777777" w:rsidR="00BC5D6A" w:rsidRPr="008738C7" w:rsidRDefault="00BC5D6A" w:rsidP="008738C7">
      <w:pPr>
        <w:keepNext/>
        <w:keepLines/>
        <w:suppressAutoHyphens/>
        <w:rPr>
          <w:sz w:val="26"/>
          <w:szCs w:val="26"/>
        </w:rPr>
      </w:pPr>
      <w:r w:rsidRPr="008738C7">
        <w:rPr>
          <w:sz w:val="26"/>
          <w:szCs w:val="26"/>
        </w:rPr>
        <w:tab/>
      </w:r>
      <w:r w:rsidRPr="008738C7">
        <w:rPr>
          <w:sz w:val="26"/>
          <w:szCs w:val="26"/>
        </w:rPr>
        <w:tab/>
      </w:r>
      <w:r w:rsidRPr="008738C7">
        <w:rPr>
          <w:sz w:val="26"/>
          <w:szCs w:val="26"/>
        </w:rPr>
        <w:tab/>
      </w:r>
      <w:r w:rsidRPr="008738C7">
        <w:rPr>
          <w:sz w:val="26"/>
          <w:szCs w:val="26"/>
        </w:rPr>
        <w:tab/>
      </w:r>
      <w:r w:rsidRPr="008738C7">
        <w:rPr>
          <w:sz w:val="26"/>
          <w:szCs w:val="26"/>
        </w:rPr>
        <w:tab/>
      </w:r>
      <w:r w:rsidRPr="008738C7">
        <w:rPr>
          <w:sz w:val="26"/>
          <w:szCs w:val="26"/>
        </w:rPr>
        <w:tab/>
      </w:r>
      <w:r w:rsidRPr="008738C7">
        <w:rPr>
          <w:sz w:val="26"/>
          <w:szCs w:val="26"/>
        </w:rPr>
        <w:tab/>
        <w:t>Secretary</w:t>
      </w:r>
    </w:p>
    <w:p w14:paraId="06BF7350" w14:textId="77777777" w:rsidR="00BC5D6A" w:rsidRPr="008738C7" w:rsidRDefault="00BC5D6A" w:rsidP="008738C7">
      <w:pPr>
        <w:keepNext/>
        <w:keepLines/>
        <w:suppressAutoHyphens/>
        <w:rPr>
          <w:sz w:val="26"/>
          <w:szCs w:val="26"/>
        </w:rPr>
      </w:pPr>
    </w:p>
    <w:p w14:paraId="79B7821A" w14:textId="77777777" w:rsidR="00BC5D6A" w:rsidRPr="008738C7" w:rsidRDefault="00BC5D6A" w:rsidP="008738C7">
      <w:pPr>
        <w:keepNext/>
        <w:keepLines/>
        <w:rPr>
          <w:sz w:val="26"/>
          <w:szCs w:val="26"/>
        </w:rPr>
      </w:pPr>
      <w:r w:rsidRPr="008738C7">
        <w:rPr>
          <w:sz w:val="26"/>
          <w:szCs w:val="26"/>
        </w:rPr>
        <w:t>(SEAL)</w:t>
      </w:r>
    </w:p>
    <w:p w14:paraId="10070893" w14:textId="77777777" w:rsidR="00BC5D6A" w:rsidRPr="008738C7" w:rsidRDefault="00BC5D6A" w:rsidP="008738C7">
      <w:pPr>
        <w:keepNext/>
        <w:keepLines/>
        <w:rPr>
          <w:sz w:val="26"/>
          <w:szCs w:val="26"/>
        </w:rPr>
      </w:pPr>
    </w:p>
    <w:p w14:paraId="78E09CE1" w14:textId="2EF1EEFD" w:rsidR="00BC5D6A" w:rsidRPr="008738C7" w:rsidRDefault="00BC5D6A" w:rsidP="008738C7">
      <w:pPr>
        <w:keepNext/>
        <w:keepLines/>
        <w:rPr>
          <w:sz w:val="26"/>
          <w:szCs w:val="26"/>
        </w:rPr>
      </w:pPr>
      <w:r w:rsidRPr="008738C7">
        <w:rPr>
          <w:sz w:val="26"/>
          <w:szCs w:val="26"/>
        </w:rPr>
        <w:t xml:space="preserve">ORDER ADOPTED: </w:t>
      </w:r>
      <w:r w:rsidR="00F03EF7" w:rsidRPr="008738C7">
        <w:rPr>
          <w:sz w:val="26"/>
          <w:szCs w:val="26"/>
        </w:rPr>
        <w:t xml:space="preserve"> July 15</w:t>
      </w:r>
      <w:r w:rsidRPr="008738C7">
        <w:rPr>
          <w:sz w:val="26"/>
          <w:szCs w:val="26"/>
        </w:rPr>
        <w:t>, 20</w:t>
      </w:r>
      <w:r w:rsidR="0072100F" w:rsidRPr="008738C7">
        <w:rPr>
          <w:sz w:val="26"/>
          <w:szCs w:val="26"/>
        </w:rPr>
        <w:t>2</w:t>
      </w:r>
      <w:r w:rsidR="00F03EF7" w:rsidRPr="008738C7">
        <w:rPr>
          <w:sz w:val="26"/>
          <w:szCs w:val="26"/>
        </w:rPr>
        <w:t>1</w:t>
      </w:r>
    </w:p>
    <w:p w14:paraId="5BEF6DC1" w14:textId="77777777" w:rsidR="00BC5D6A" w:rsidRPr="008738C7" w:rsidRDefault="00BC5D6A" w:rsidP="008738C7">
      <w:pPr>
        <w:keepNext/>
        <w:keepLines/>
        <w:rPr>
          <w:sz w:val="26"/>
          <w:szCs w:val="26"/>
        </w:rPr>
      </w:pPr>
    </w:p>
    <w:p w14:paraId="38660CB0" w14:textId="244C2567" w:rsidR="009304FE" w:rsidRPr="008738C7" w:rsidRDefault="00BC5D6A" w:rsidP="0037084F">
      <w:pPr>
        <w:keepNext/>
        <w:keepLines/>
        <w:rPr>
          <w:sz w:val="26"/>
          <w:szCs w:val="26"/>
        </w:rPr>
      </w:pPr>
      <w:r w:rsidRPr="008738C7">
        <w:rPr>
          <w:sz w:val="26"/>
          <w:szCs w:val="26"/>
        </w:rPr>
        <w:t>ORDER ENTERED</w:t>
      </w:r>
      <w:r w:rsidR="0037084F">
        <w:rPr>
          <w:sz w:val="26"/>
          <w:szCs w:val="26"/>
        </w:rPr>
        <w:t xml:space="preserve">:  </w:t>
      </w:r>
      <w:r w:rsidR="00017883">
        <w:rPr>
          <w:sz w:val="26"/>
          <w:szCs w:val="26"/>
        </w:rPr>
        <w:t>August 11, 2021</w:t>
      </w:r>
    </w:p>
    <w:sectPr w:rsidR="009304FE" w:rsidRPr="008738C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69856" w14:textId="77777777" w:rsidR="008A05D6" w:rsidRDefault="008A05D6">
      <w:r>
        <w:separator/>
      </w:r>
    </w:p>
  </w:endnote>
  <w:endnote w:type="continuationSeparator" w:id="0">
    <w:p w14:paraId="1C50187D" w14:textId="77777777" w:rsidR="008A05D6" w:rsidRDefault="008A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2AAC" w14:textId="77777777" w:rsidR="008F6315" w:rsidRDefault="008F6315"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7839">
      <w:rPr>
        <w:rStyle w:val="PageNumber"/>
        <w:noProof/>
      </w:rPr>
      <w:t>8</w:t>
    </w:r>
    <w:r>
      <w:rPr>
        <w:rStyle w:val="PageNumber"/>
      </w:rPr>
      <w:fldChar w:fldCharType="end"/>
    </w:r>
  </w:p>
  <w:p w14:paraId="2F0FFCA0" w14:textId="77777777" w:rsidR="008F6315" w:rsidRDefault="008F6315">
    <w:pPr>
      <w:pStyle w:val="Footer"/>
    </w:pPr>
  </w:p>
  <w:p w14:paraId="135B4E95" w14:textId="77777777" w:rsidR="00217154" w:rsidRDefault="002171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4A2C" w14:textId="77777777" w:rsidR="008F6315" w:rsidRPr="00F83989" w:rsidRDefault="008F6315" w:rsidP="00654A2F">
    <w:pPr>
      <w:pStyle w:val="Footer"/>
      <w:framePr w:wrap="around" w:vAnchor="text" w:hAnchor="margin" w:xAlign="center" w:y="1"/>
      <w:rPr>
        <w:rStyle w:val="PageNumber"/>
        <w:sz w:val="26"/>
        <w:szCs w:val="26"/>
      </w:rPr>
    </w:pPr>
    <w:r w:rsidRPr="00F83989">
      <w:rPr>
        <w:rStyle w:val="PageNumber"/>
        <w:sz w:val="26"/>
        <w:szCs w:val="26"/>
      </w:rPr>
      <w:fldChar w:fldCharType="begin"/>
    </w:r>
    <w:r w:rsidRPr="00F83989">
      <w:rPr>
        <w:rStyle w:val="PageNumber"/>
        <w:sz w:val="26"/>
        <w:szCs w:val="26"/>
      </w:rPr>
      <w:instrText xml:space="preserve">PAGE  </w:instrText>
    </w:r>
    <w:r w:rsidRPr="00F83989">
      <w:rPr>
        <w:rStyle w:val="PageNumber"/>
        <w:sz w:val="26"/>
        <w:szCs w:val="26"/>
      </w:rPr>
      <w:fldChar w:fldCharType="separate"/>
    </w:r>
    <w:r w:rsidR="00F76051">
      <w:rPr>
        <w:rStyle w:val="PageNumber"/>
        <w:noProof/>
        <w:sz w:val="26"/>
        <w:szCs w:val="26"/>
      </w:rPr>
      <w:t>6</w:t>
    </w:r>
    <w:r w:rsidRPr="00F83989">
      <w:rPr>
        <w:rStyle w:val="PageNumber"/>
        <w:sz w:val="26"/>
        <w:szCs w:val="26"/>
      </w:rPr>
      <w:fldChar w:fldCharType="end"/>
    </w:r>
  </w:p>
  <w:p w14:paraId="5226DABE" w14:textId="77777777" w:rsidR="00217154" w:rsidRDefault="002171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FF60C" w14:textId="77777777" w:rsidR="008A05D6" w:rsidRDefault="008A05D6">
      <w:r>
        <w:separator/>
      </w:r>
    </w:p>
  </w:footnote>
  <w:footnote w:type="continuationSeparator" w:id="0">
    <w:p w14:paraId="05D4C8FC" w14:textId="77777777" w:rsidR="008A05D6" w:rsidRDefault="008A05D6">
      <w:r>
        <w:continuationSeparator/>
      </w:r>
    </w:p>
  </w:footnote>
  <w:footnote w:id="1">
    <w:p w14:paraId="68973135" w14:textId="1532AABE" w:rsidR="00434031" w:rsidRPr="00B00E32" w:rsidRDefault="00434031" w:rsidP="00434031">
      <w:pPr>
        <w:contextualSpacing/>
        <w:rPr>
          <w:sz w:val="26"/>
          <w:szCs w:val="26"/>
        </w:rPr>
      </w:pPr>
      <w:r>
        <w:tab/>
      </w:r>
      <w:r w:rsidRPr="00B00E32">
        <w:rPr>
          <w:rStyle w:val="FootnoteReference"/>
        </w:rPr>
        <w:footnoteRef/>
      </w:r>
      <w:r w:rsidRPr="00B00E32">
        <w:rPr>
          <w:sz w:val="26"/>
          <w:szCs w:val="26"/>
        </w:rPr>
        <w:t xml:space="preserve"> </w:t>
      </w:r>
      <w:r w:rsidRPr="00B00E32">
        <w:rPr>
          <w:sz w:val="26"/>
          <w:szCs w:val="26"/>
        </w:rPr>
        <w:tab/>
      </w:r>
      <w:r>
        <w:rPr>
          <w:sz w:val="26"/>
          <w:szCs w:val="26"/>
        </w:rPr>
        <w:t xml:space="preserve">In his Recommended Decision, ALJ Cheskis directed </w:t>
      </w:r>
      <w:r w:rsidR="0039461A">
        <w:rPr>
          <w:sz w:val="26"/>
          <w:szCs w:val="26"/>
        </w:rPr>
        <w:t xml:space="preserve">that </w:t>
      </w:r>
      <w:r w:rsidRPr="0076130C">
        <w:rPr>
          <w:sz w:val="26"/>
          <w:szCs w:val="26"/>
        </w:rPr>
        <w:t>PP</w:t>
      </w:r>
      <w:r>
        <w:rPr>
          <w:sz w:val="26"/>
          <w:szCs w:val="26"/>
        </w:rPr>
        <w:t>L</w:t>
      </w:r>
      <w:r w:rsidR="0039461A">
        <w:rPr>
          <w:sz w:val="26"/>
          <w:szCs w:val="26"/>
        </w:rPr>
        <w:t xml:space="preserve"> </w:t>
      </w:r>
      <w:r w:rsidRPr="0076130C">
        <w:rPr>
          <w:sz w:val="26"/>
          <w:szCs w:val="26"/>
        </w:rPr>
        <w:t>file two (2) copies of its supplemental direct testimony</w:t>
      </w:r>
      <w:r w:rsidR="005557F8">
        <w:rPr>
          <w:sz w:val="26"/>
          <w:szCs w:val="26"/>
        </w:rPr>
        <w:t xml:space="preserve"> </w:t>
      </w:r>
      <w:r w:rsidRPr="0076130C">
        <w:rPr>
          <w:sz w:val="26"/>
          <w:szCs w:val="26"/>
        </w:rPr>
        <w:t>for inclusion in the Commission’s official file.</w:t>
      </w:r>
      <w:r w:rsidR="00D431BA">
        <w:rPr>
          <w:sz w:val="26"/>
          <w:szCs w:val="26"/>
        </w:rPr>
        <w:t xml:space="preserve">  </w:t>
      </w:r>
      <w:r w:rsidRPr="00B00E32">
        <w:rPr>
          <w:sz w:val="26"/>
          <w:szCs w:val="26"/>
        </w:rPr>
        <w:t>In accordance with</w:t>
      </w:r>
      <w:r w:rsidR="00D431BA">
        <w:rPr>
          <w:sz w:val="26"/>
          <w:szCs w:val="26"/>
        </w:rPr>
        <w:t xml:space="preserve"> the directive</w:t>
      </w:r>
      <w:r w:rsidRPr="00B00E32">
        <w:rPr>
          <w:sz w:val="26"/>
          <w:szCs w:val="26"/>
        </w:rPr>
        <w:t>, PPL filed copies of the supplemental direct testimony of Andrew W. Elmore, dated March 30, 2021</w:t>
      </w:r>
      <w:r>
        <w:rPr>
          <w:sz w:val="26"/>
          <w:szCs w:val="26"/>
        </w:rPr>
        <w:t>,</w:t>
      </w:r>
      <w:r w:rsidRPr="00B00E32">
        <w:rPr>
          <w:sz w:val="26"/>
          <w:szCs w:val="26"/>
        </w:rPr>
        <w:t xml:space="preserve"> with the Commission’s Secretary’s Bureau </w:t>
      </w:r>
      <w:r>
        <w:rPr>
          <w:sz w:val="26"/>
          <w:szCs w:val="26"/>
        </w:rPr>
        <w:t>o</w:t>
      </w:r>
      <w:r w:rsidRPr="00B00E32">
        <w:rPr>
          <w:sz w:val="26"/>
          <w:szCs w:val="26"/>
        </w:rPr>
        <w:t>n July 1, 2021.</w:t>
      </w:r>
    </w:p>
  </w:footnote>
  <w:footnote w:id="2">
    <w:p w14:paraId="327E9E5F" w14:textId="08185CCE" w:rsidR="00CB5984" w:rsidRPr="000E44C9" w:rsidRDefault="00CB5984" w:rsidP="00D87376">
      <w:pPr>
        <w:pStyle w:val="FootnoteText"/>
        <w:spacing w:before="0" w:after="0"/>
        <w:ind w:firstLine="720"/>
        <w:rPr>
          <w:rFonts w:ascii="Times New Roman" w:hAnsi="Times New Roman"/>
          <w:sz w:val="26"/>
          <w:szCs w:val="26"/>
        </w:rPr>
      </w:pPr>
      <w:r w:rsidRPr="000E44C9">
        <w:rPr>
          <w:rStyle w:val="FootnoteReference"/>
          <w:rFonts w:ascii="Times New Roman" w:hAnsi="Times New Roman"/>
        </w:rPr>
        <w:footnoteRef/>
      </w:r>
      <w:r w:rsidRPr="000E44C9">
        <w:rPr>
          <w:rFonts w:ascii="Times New Roman" w:hAnsi="Times New Roman"/>
          <w:sz w:val="26"/>
          <w:szCs w:val="26"/>
        </w:rPr>
        <w:tab/>
      </w:r>
      <w:r w:rsidR="00606F1B" w:rsidRPr="00442147">
        <w:rPr>
          <w:rFonts w:ascii="Times New Roman" w:hAnsi="Times New Roman"/>
          <w:sz w:val="26"/>
          <w:szCs w:val="26"/>
        </w:rPr>
        <w:t xml:space="preserve">“Ostensibly, the Concurring and Dissenting Opinion (CDO) wants to import a revised version of the </w:t>
      </w:r>
      <w:r w:rsidR="00D87376">
        <w:rPr>
          <w:rFonts w:ascii="Times New Roman" w:hAnsi="Times New Roman"/>
          <w:sz w:val="26"/>
          <w:szCs w:val="26"/>
        </w:rPr>
        <w:t>“</w:t>
      </w:r>
      <w:r w:rsidR="00606F1B" w:rsidRPr="00442147">
        <w:rPr>
          <w:rFonts w:ascii="Times New Roman" w:hAnsi="Times New Roman"/>
          <w:sz w:val="26"/>
          <w:szCs w:val="26"/>
        </w:rPr>
        <w:t>affirmative public benefit standard</w:t>
      </w:r>
      <w:r w:rsidR="00D87376">
        <w:rPr>
          <w:rFonts w:ascii="Times New Roman" w:hAnsi="Times New Roman"/>
          <w:sz w:val="26"/>
          <w:szCs w:val="26"/>
        </w:rPr>
        <w:t>”</w:t>
      </w:r>
      <w:r w:rsidR="00606F1B" w:rsidRPr="00442147">
        <w:rPr>
          <w:rFonts w:ascii="Times New Roman" w:hAnsi="Times New Roman"/>
          <w:sz w:val="26"/>
          <w:szCs w:val="26"/>
        </w:rPr>
        <w:t xml:space="preserve"> that our Supreme Court has developed in the context of merger acquisitions to this case.  According to the CDO, </w:t>
      </w:r>
      <w:r w:rsidR="00D87376">
        <w:rPr>
          <w:rFonts w:ascii="Times New Roman" w:hAnsi="Times New Roman"/>
          <w:sz w:val="26"/>
          <w:szCs w:val="26"/>
        </w:rPr>
        <w:t>“</w:t>
      </w:r>
      <w:r w:rsidR="00606F1B" w:rsidRPr="00442147">
        <w:rPr>
          <w:rFonts w:ascii="Times New Roman" w:hAnsi="Times New Roman"/>
          <w:sz w:val="26"/>
          <w:szCs w:val="26"/>
        </w:rPr>
        <w:t>Utility met its burden of showing a substantial affirmative public benefit by establishing the financial advantages</w:t>
      </w:r>
      <w:r w:rsidR="00D87376">
        <w:rPr>
          <w:rFonts w:ascii="Times New Roman" w:hAnsi="Times New Roman"/>
          <w:sz w:val="26"/>
          <w:szCs w:val="26"/>
        </w:rPr>
        <w:t>”</w:t>
      </w:r>
      <w:r w:rsidR="00606F1B" w:rsidRPr="00442147">
        <w:rPr>
          <w:rFonts w:ascii="Times New Roman" w:hAnsi="Times New Roman"/>
          <w:sz w:val="26"/>
          <w:szCs w:val="26"/>
        </w:rPr>
        <w:t xml:space="preserve"> that would inure to PPL.  Corporation, specifically, </w:t>
      </w:r>
      <w:r w:rsidR="00D87376">
        <w:rPr>
          <w:rFonts w:ascii="Times New Roman" w:hAnsi="Times New Roman"/>
          <w:sz w:val="26"/>
          <w:szCs w:val="26"/>
        </w:rPr>
        <w:t>“</w:t>
      </w:r>
      <w:r w:rsidR="00606F1B" w:rsidRPr="00442147">
        <w:rPr>
          <w:rFonts w:ascii="Times New Roman" w:hAnsi="Times New Roman"/>
          <w:sz w:val="26"/>
          <w:szCs w:val="26"/>
        </w:rPr>
        <w:t>a stronger company, ease of access to money markets, improved administrative efficiencies, and tax benefits.</w:t>
      </w:r>
      <w:r w:rsidR="00D87376">
        <w:rPr>
          <w:rFonts w:ascii="Times New Roman" w:hAnsi="Times New Roman"/>
          <w:sz w:val="26"/>
          <w:szCs w:val="26"/>
        </w:rPr>
        <w:t>”</w:t>
      </w:r>
      <w:r w:rsidR="00606F1B" w:rsidRPr="00442147">
        <w:rPr>
          <w:rFonts w:ascii="Times New Roman" w:hAnsi="Times New Roman"/>
          <w:sz w:val="26"/>
          <w:szCs w:val="26"/>
        </w:rPr>
        <w:t xml:space="preserve"> (CDO, slip op. at 13, 15.).  Respectfully, we believe that there is no </w:t>
      </w:r>
      <w:r w:rsidR="00D87376">
        <w:rPr>
          <w:rFonts w:ascii="Times New Roman" w:hAnsi="Times New Roman"/>
          <w:sz w:val="26"/>
          <w:szCs w:val="26"/>
        </w:rPr>
        <w:t>“</w:t>
      </w:r>
      <w:r w:rsidR="00606F1B" w:rsidRPr="00442147">
        <w:rPr>
          <w:rFonts w:ascii="Times New Roman" w:hAnsi="Times New Roman"/>
          <w:sz w:val="26"/>
          <w:szCs w:val="26"/>
        </w:rPr>
        <w:t>public</w:t>
      </w:r>
      <w:r w:rsidR="00D87376">
        <w:rPr>
          <w:rFonts w:ascii="Times New Roman" w:hAnsi="Times New Roman"/>
          <w:sz w:val="26"/>
          <w:szCs w:val="26"/>
        </w:rPr>
        <w:t>”</w:t>
      </w:r>
      <w:r w:rsidR="00606F1B" w:rsidRPr="00442147">
        <w:rPr>
          <w:rFonts w:ascii="Times New Roman" w:hAnsi="Times New Roman"/>
          <w:sz w:val="26"/>
          <w:szCs w:val="26"/>
        </w:rPr>
        <w:t xml:space="preserve"> in the CDO</w:t>
      </w:r>
      <w:r w:rsidR="00D87376">
        <w:rPr>
          <w:rFonts w:ascii="Times New Roman" w:hAnsi="Times New Roman"/>
          <w:sz w:val="26"/>
          <w:szCs w:val="26"/>
        </w:rPr>
        <w:t>’</w:t>
      </w:r>
      <w:r w:rsidR="00606F1B" w:rsidRPr="00442147">
        <w:rPr>
          <w:rFonts w:ascii="Times New Roman" w:hAnsi="Times New Roman"/>
          <w:sz w:val="26"/>
          <w:szCs w:val="26"/>
        </w:rPr>
        <w:t xml:space="preserve">s </w:t>
      </w:r>
      <w:r w:rsidR="00D87376">
        <w:rPr>
          <w:rFonts w:ascii="Times New Roman" w:hAnsi="Times New Roman"/>
          <w:sz w:val="26"/>
          <w:szCs w:val="26"/>
        </w:rPr>
        <w:t>“</w:t>
      </w:r>
      <w:r w:rsidR="00606F1B" w:rsidRPr="00442147">
        <w:rPr>
          <w:rFonts w:ascii="Times New Roman" w:hAnsi="Times New Roman"/>
          <w:sz w:val="26"/>
          <w:szCs w:val="26"/>
        </w:rPr>
        <w:t>affirmative public benefit</w:t>
      </w:r>
      <w:r w:rsidR="00D87376">
        <w:rPr>
          <w:rFonts w:ascii="Times New Roman" w:hAnsi="Times New Roman"/>
          <w:sz w:val="26"/>
          <w:szCs w:val="26"/>
        </w:rPr>
        <w:t>”</w:t>
      </w:r>
      <w:r w:rsidR="00606F1B" w:rsidRPr="00442147">
        <w:rPr>
          <w:rFonts w:ascii="Times New Roman" w:hAnsi="Times New Roman"/>
          <w:sz w:val="26"/>
          <w:szCs w:val="26"/>
        </w:rPr>
        <w:t xml:space="preserve"> analysis—only the strengthening of a corporate entity and the potential pavement of its way toward monopolistic power in its most archaic and oppressive form.”  </w:t>
      </w:r>
      <w:r w:rsidR="00606F1B" w:rsidRPr="00442147">
        <w:rPr>
          <w:rFonts w:ascii="Times New Roman" w:hAnsi="Times New Roman"/>
          <w:i/>
          <w:iCs/>
          <w:sz w:val="26"/>
          <w:szCs w:val="26"/>
        </w:rPr>
        <w:t>PPL Elec</w:t>
      </w:r>
      <w:r w:rsidR="00D87376">
        <w:rPr>
          <w:rFonts w:ascii="Times New Roman" w:hAnsi="Times New Roman"/>
          <w:i/>
          <w:iCs/>
          <w:sz w:val="26"/>
          <w:szCs w:val="26"/>
        </w:rPr>
        <w:t>tric</w:t>
      </w:r>
      <w:r w:rsidR="00606F1B" w:rsidRPr="00442147">
        <w:rPr>
          <w:rFonts w:ascii="Times New Roman" w:hAnsi="Times New Roman"/>
          <w:i/>
          <w:iCs/>
          <w:sz w:val="26"/>
          <w:szCs w:val="26"/>
        </w:rPr>
        <w:t xml:space="preserve"> Util</w:t>
      </w:r>
      <w:r w:rsidR="00D87376">
        <w:rPr>
          <w:rFonts w:ascii="Times New Roman" w:hAnsi="Times New Roman"/>
          <w:i/>
          <w:iCs/>
          <w:sz w:val="26"/>
          <w:szCs w:val="26"/>
        </w:rPr>
        <w:t>ities</w:t>
      </w:r>
      <w:r w:rsidR="00606F1B" w:rsidRPr="00442147">
        <w:rPr>
          <w:rFonts w:ascii="Times New Roman" w:hAnsi="Times New Roman"/>
          <w:sz w:val="26"/>
          <w:szCs w:val="26"/>
        </w:rPr>
        <w:t xml:space="preserve"> </w:t>
      </w:r>
      <w:r w:rsidR="00606F1B" w:rsidRPr="00442147">
        <w:rPr>
          <w:rFonts w:ascii="Times New Roman" w:hAnsi="Times New Roman"/>
          <w:i/>
          <w:iCs/>
          <w:sz w:val="26"/>
          <w:szCs w:val="26"/>
        </w:rPr>
        <w:t>Corp. v. Pa. P</w:t>
      </w:r>
      <w:r w:rsidR="00D87376">
        <w:rPr>
          <w:rFonts w:ascii="Times New Roman" w:hAnsi="Times New Roman"/>
          <w:i/>
          <w:iCs/>
          <w:sz w:val="26"/>
          <w:szCs w:val="26"/>
        </w:rPr>
        <w:t>UC</w:t>
      </w:r>
      <w:r w:rsidR="00606F1B" w:rsidRPr="00442147">
        <w:rPr>
          <w:rFonts w:ascii="Times New Roman" w:hAnsi="Times New Roman"/>
          <w:sz w:val="26"/>
          <w:szCs w:val="26"/>
        </w:rPr>
        <w:t xml:space="preserve">, Docket No. 624 C.D. 2019, FN 10.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FE8F02"/>
    <w:multiLevelType w:val="hybridMultilevel"/>
    <w:tmpl w:val="57BB39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ECF243"/>
    <w:multiLevelType w:val="hybridMultilevel"/>
    <w:tmpl w:val="4B46E97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313B4F"/>
    <w:multiLevelType w:val="hybridMultilevel"/>
    <w:tmpl w:val="13AD335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820FFEA"/>
    <w:multiLevelType w:val="hybridMultilevel"/>
    <w:tmpl w:val="3CD602D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3FA83DF"/>
    <w:multiLevelType w:val="hybridMultilevel"/>
    <w:tmpl w:val="B65358C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1FE4156"/>
    <w:multiLevelType w:val="hybridMultilevel"/>
    <w:tmpl w:val="B1523078"/>
    <w:lvl w:ilvl="0" w:tplc="0B04EF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EE70CF9"/>
    <w:multiLevelType w:val="hybridMultilevel"/>
    <w:tmpl w:val="96688004"/>
    <w:lvl w:ilvl="0" w:tplc="EAD0DC1C">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A8D64F3"/>
    <w:multiLevelType w:val="hybridMultilevel"/>
    <w:tmpl w:val="2DBAC3C8"/>
    <w:lvl w:ilvl="0" w:tplc="E9B42CCE">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3AD95F8B"/>
    <w:multiLevelType w:val="hybridMultilevel"/>
    <w:tmpl w:val="9AE4937E"/>
    <w:lvl w:ilvl="0" w:tplc="4A122A5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FA76B7"/>
    <w:multiLevelType w:val="hybridMultilevel"/>
    <w:tmpl w:val="43CB42A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AC175E"/>
    <w:multiLevelType w:val="hybridMultilevel"/>
    <w:tmpl w:val="A4909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64EF3B"/>
    <w:multiLevelType w:val="hybridMultilevel"/>
    <w:tmpl w:val="AB2F32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5F8D7DAB"/>
    <w:multiLevelType w:val="hybridMultilevel"/>
    <w:tmpl w:val="CA1E9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2F864B9"/>
    <w:multiLevelType w:val="hybridMultilevel"/>
    <w:tmpl w:val="BBB4E2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756022F"/>
    <w:multiLevelType w:val="hybridMultilevel"/>
    <w:tmpl w:val="C8F61812"/>
    <w:lvl w:ilvl="0" w:tplc="096CC3CC">
      <w:start w:val="1"/>
      <w:numFmt w:val="decimal"/>
      <w:lvlText w:val="%1."/>
      <w:lvlJc w:val="left"/>
      <w:pPr>
        <w:ind w:left="180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AB875"/>
    <w:multiLevelType w:val="hybridMultilevel"/>
    <w:tmpl w:val="96033C8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7"/>
  </w:num>
  <w:num w:numId="3">
    <w:abstractNumId w:val="22"/>
  </w:num>
  <w:num w:numId="4">
    <w:abstractNumId w:val="9"/>
  </w:num>
  <w:num w:numId="5">
    <w:abstractNumId w:val="12"/>
  </w:num>
  <w:num w:numId="6">
    <w:abstractNumId w:val="10"/>
  </w:num>
  <w:num w:numId="7">
    <w:abstractNumId w:val="8"/>
  </w:num>
  <w:num w:numId="8">
    <w:abstractNumId w:val="11"/>
  </w:num>
  <w:num w:numId="9">
    <w:abstractNumId w:val="21"/>
  </w:num>
  <w:num w:numId="10">
    <w:abstractNumId w:val="6"/>
  </w:num>
  <w:num w:numId="11">
    <w:abstractNumId w:val="4"/>
  </w:num>
  <w:num w:numId="12">
    <w:abstractNumId w:val="18"/>
  </w:num>
  <w:num w:numId="13">
    <w:abstractNumId w:val="13"/>
  </w:num>
  <w:num w:numId="14">
    <w:abstractNumId w:val="24"/>
  </w:num>
  <w:num w:numId="15">
    <w:abstractNumId w:val="19"/>
  </w:num>
  <w:num w:numId="16">
    <w:abstractNumId w:val="2"/>
  </w:num>
  <w:num w:numId="17">
    <w:abstractNumId w:val="0"/>
  </w:num>
  <w:num w:numId="18">
    <w:abstractNumId w:val="26"/>
  </w:num>
  <w:num w:numId="19">
    <w:abstractNumId w:val="5"/>
  </w:num>
  <w:num w:numId="20">
    <w:abstractNumId w:val="1"/>
  </w:num>
  <w:num w:numId="21">
    <w:abstractNumId w:val="17"/>
  </w:num>
  <w:num w:numId="22">
    <w:abstractNumId w:val="3"/>
  </w:num>
  <w:num w:numId="23">
    <w:abstractNumId w:val="25"/>
  </w:num>
  <w:num w:numId="24">
    <w:abstractNumId w:val="15"/>
  </w:num>
  <w:num w:numId="25">
    <w:abstractNumId w:val="16"/>
  </w:num>
  <w:num w:numId="26">
    <w:abstractNumId w:val="14"/>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FE"/>
    <w:rsid w:val="000004FF"/>
    <w:rsid w:val="00000C15"/>
    <w:rsid w:val="00001139"/>
    <w:rsid w:val="0000178C"/>
    <w:rsid w:val="0000209B"/>
    <w:rsid w:val="00002615"/>
    <w:rsid w:val="000028E1"/>
    <w:rsid w:val="0000290A"/>
    <w:rsid w:val="00002F2A"/>
    <w:rsid w:val="00003A51"/>
    <w:rsid w:val="00004C36"/>
    <w:rsid w:val="00005665"/>
    <w:rsid w:val="000063E9"/>
    <w:rsid w:val="000064C2"/>
    <w:rsid w:val="00006E37"/>
    <w:rsid w:val="00007106"/>
    <w:rsid w:val="0000719A"/>
    <w:rsid w:val="000074DC"/>
    <w:rsid w:val="00010322"/>
    <w:rsid w:val="0001099D"/>
    <w:rsid w:val="00011888"/>
    <w:rsid w:val="00012A95"/>
    <w:rsid w:val="00013B94"/>
    <w:rsid w:val="00013E71"/>
    <w:rsid w:val="0001411C"/>
    <w:rsid w:val="0001414B"/>
    <w:rsid w:val="000148F5"/>
    <w:rsid w:val="00015969"/>
    <w:rsid w:val="00015A01"/>
    <w:rsid w:val="00016CE0"/>
    <w:rsid w:val="00017033"/>
    <w:rsid w:val="00017883"/>
    <w:rsid w:val="00020B46"/>
    <w:rsid w:val="00020E43"/>
    <w:rsid w:val="00020F8F"/>
    <w:rsid w:val="000215B4"/>
    <w:rsid w:val="000234F5"/>
    <w:rsid w:val="00024987"/>
    <w:rsid w:val="00024DD1"/>
    <w:rsid w:val="00025686"/>
    <w:rsid w:val="0002585B"/>
    <w:rsid w:val="00025972"/>
    <w:rsid w:val="00025B28"/>
    <w:rsid w:val="000261D5"/>
    <w:rsid w:val="00026E4B"/>
    <w:rsid w:val="0002723A"/>
    <w:rsid w:val="0002744F"/>
    <w:rsid w:val="000274A7"/>
    <w:rsid w:val="00027EE5"/>
    <w:rsid w:val="000310BE"/>
    <w:rsid w:val="00031A0A"/>
    <w:rsid w:val="00031E93"/>
    <w:rsid w:val="0003278B"/>
    <w:rsid w:val="00032D5F"/>
    <w:rsid w:val="00033CB2"/>
    <w:rsid w:val="0003588B"/>
    <w:rsid w:val="00035F25"/>
    <w:rsid w:val="000366C0"/>
    <w:rsid w:val="00037182"/>
    <w:rsid w:val="000378DC"/>
    <w:rsid w:val="0004071F"/>
    <w:rsid w:val="000416ED"/>
    <w:rsid w:val="00043114"/>
    <w:rsid w:val="000442F3"/>
    <w:rsid w:val="00044438"/>
    <w:rsid w:val="00045A15"/>
    <w:rsid w:val="0004679E"/>
    <w:rsid w:val="000472A4"/>
    <w:rsid w:val="00047CB0"/>
    <w:rsid w:val="000510D0"/>
    <w:rsid w:val="000510FD"/>
    <w:rsid w:val="000537BC"/>
    <w:rsid w:val="00053CED"/>
    <w:rsid w:val="000541A0"/>
    <w:rsid w:val="00054407"/>
    <w:rsid w:val="00054F7A"/>
    <w:rsid w:val="00055EF9"/>
    <w:rsid w:val="00057057"/>
    <w:rsid w:val="000573BD"/>
    <w:rsid w:val="0005784B"/>
    <w:rsid w:val="0006057C"/>
    <w:rsid w:val="0006074F"/>
    <w:rsid w:val="000607CB"/>
    <w:rsid w:val="000610F9"/>
    <w:rsid w:val="00061284"/>
    <w:rsid w:val="00061850"/>
    <w:rsid w:val="000629CD"/>
    <w:rsid w:val="00062AEC"/>
    <w:rsid w:val="000634BD"/>
    <w:rsid w:val="0006405C"/>
    <w:rsid w:val="000648EF"/>
    <w:rsid w:val="00065DB6"/>
    <w:rsid w:val="00066E55"/>
    <w:rsid w:val="000673D1"/>
    <w:rsid w:val="00070FF8"/>
    <w:rsid w:val="00070FFD"/>
    <w:rsid w:val="000711D9"/>
    <w:rsid w:val="00071254"/>
    <w:rsid w:val="000716A0"/>
    <w:rsid w:val="00072883"/>
    <w:rsid w:val="0007305F"/>
    <w:rsid w:val="000731DA"/>
    <w:rsid w:val="0007361E"/>
    <w:rsid w:val="00073C25"/>
    <w:rsid w:val="000749E1"/>
    <w:rsid w:val="00075161"/>
    <w:rsid w:val="00075677"/>
    <w:rsid w:val="0007596A"/>
    <w:rsid w:val="00076433"/>
    <w:rsid w:val="0007646C"/>
    <w:rsid w:val="00076F62"/>
    <w:rsid w:val="000777D8"/>
    <w:rsid w:val="00077822"/>
    <w:rsid w:val="00080C6A"/>
    <w:rsid w:val="000820F1"/>
    <w:rsid w:val="0008251E"/>
    <w:rsid w:val="00083107"/>
    <w:rsid w:val="0008328F"/>
    <w:rsid w:val="00083977"/>
    <w:rsid w:val="0008445E"/>
    <w:rsid w:val="00084E42"/>
    <w:rsid w:val="00085FFB"/>
    <w:rsid w:val="00086411"/>
    <w:rsid w:val="00086D0B"/>
    <w:rsid w:val="0008768F"/>
    <w:rsid w:val="000876C2"/>
    <w:rsid w:val="00087C06"/>
    <w:rsid w:val="00087D18"/>
    <w:rsid w:val="00090C2F"/>
    <w:rsid w:val="0009128E"/>
    <w:rsid w:val="00091937"/>
    <w:rsid w:val="00092384"/>
    <w:rsid w:val="00092796"/>
    <w:rsid w:val="00092ABD"/>
    <w:rsid w:val="00094D6F"/>
    <w:rsid w:val="00096187"/>
    <w:rsid w:val="000966DC"/>
    <w:rsid w:val="00096853"/>
    <w:rsid w:val="00097048"/>
    <w:rsid w:val="0009781B"/>
    <w:rsid w:val="00097D66"/>
    <w:rsid w:val="000A1364"/>
    <w:rsid w:val="000A161F"/>
    <w:rsid w:val="000A2F11"/>
    <w:rsid w:val="000A35F4"/>
    <w:rsid w:val="000A4C46"/>
    <w:rsid w:val="000A5051"/>
    <w:rsid w:val="000A6EB3"/>
    <w:rsid w:val="000A770A"/>
    <w:rsid w:val="000A7F96"/>
    <w:rsid w:val="000A7FDF"/>
    <w:rsid w:val="000B0753"/>
    <w:rsid w:val="000B16FE"/>
    <w:rsid w:val="000B2688"/>
    <w:rsid w:val="000B2A1C"/>
    <w:rsid w:val="000B2B80"/>
    <w:rsid w:val="000B3FB4"/>
    <w:rsid w:val="000B4F29"/>
    <w:rsid w:val="000B5487"/>
    <w:rsid w:val="000B5DF8"/>
    <w:rsid w:val="000B71E3"/>
    <w:rsid w:val="000B77E2"/>
    <w:rsid w:val="000B7E7F"/>
    <w:rsid w:val="000C285E"/>
    <w:rsid w:val="000C2931"/>
    <w:rsid w:val="000C33A1"/>
    <w:rsid w:val="000C4BFD"/>
    <w:rsid w:val="000C608B"/>
    <w:rsid w:val="000C69F1"/>
    <w:rsid w:val="000C6C92"/>
    <w:rsid w:val="000C742F"/>
    <w:rsid w:val="000D0485"/>
    <w:rsid w:val="000D0BAC"/>
    <w:rsid w:val="000D0D75"/>
    <w:rsid w:val="000D1965"/>
    <w:rsid w:val="000D1A21"/>
    <w:rsid w:val="000D1DF8"/>
    <w:rsid w:val="000D31BC"/>
    <w:rsid w:val="000D5951"/>
    <w:rsid w:val="000D5F87"/>
    <w:rsid w:val="000D6482"/>
    <w:rsid w:val="000D6C35"/>
    <w:rsid w:val="000D761A"/>
    <w:rsid w:val="000D7ACC"/>
    <w:rsid w:val="000E0050"/>
    <w:rsid w:val="000E0311"/>
    <w:rsid w:val="000E09BE"/>
    <w:rsid w:val="000E24DE"/>
    <w:rsid w:val="000E3747"/>
    <w:rsid w:val="000E3AA7"/>
    <w:rsid w:val="000E3FDA"/>
    <w:rsid w:val="000E44C9"/>
    <w:rsid w:val="000E492B"/>
    <w:rsid w:val="000E4BED"/>
    <w:rsid w:val="000E7110"/>
    <w:rsid w:val="000E7B48"/>
    <w:rsid w:val="000F2540"/>
    <w:rsid w:val="000F26A4"/>
    <w:rsid w:val="000F292B"/>
    <w:rsid w:val="000F34DC"/>
    <w:rsid w:val="000F34FC"/>
    <w:rsid w:val="000F4144"/>
    <w:rsid w:val="000F4307"/>
    <w:rsid w:val="000F55DF"/>
    <w:rsid w:val="000F5A80"/>
    <w:rsid w:val="000F6D5A"/>
    <w:rsid w:val="000F7735"/>
    <w:rsid w:val="000F7F57"/>
    <w:rsid w:val="000F7F65"/>
    <w:rsid w:val="0010013C"/>
    <w:rsid w:val="001006F0"/>
    <w:rsid w:val="00100B90"/>
    <w:rsid w:val="00100BF3"/>
    <w:rsid w:val="00101745"/>
    <w:rsid w:val="001026AA"/>
    <w:rsid w:val="00103A52"/>
    <w:rsid w:val="00103EBA"/>
    <w:rsid w:val="001048B3"/>
    <w:rsid w:val="00104F3D"/>
    <w:rsid w:val="00105084"/>
    <w:rsid w:val="001050C5"/>
    <w:rsid w:val="00105104"/>
    <w:rsid w:val="00105193"/>
    <w:rsid w:val="00106537"/>
    <w:rsid w:val="001112D8"/>
    <w:rsid w:val="0011244B"/>
    <w:rsid w:val="0011311C"/>
    <w:rsid w:val="001133C8"/>
    <w:rsid w:val="00114D80"/>
    <w:rsid w:val="00114E26"/>
    <w:rsid w:val="00115F86"/>
    <w:rsid w:val="00115FD9"/>
    <w:rsid w:val="001160BA"/>
    <w:rsid w:val="00116D79"/>
    <w:rsid w:val="00120290"/>
    <w:rsid w:val="00120C2F"/>
    <w:rsid w:val="00120D85"/>
    <w:rsid w:val="00120DA8"/>
    <w:rsid w:val="00122D69"/>
    <w:rsid w:val="00122E0F"/>
    <w:rsid w:val="00123068"/>
    <w:rsid w:val="001234F1"/>
    <w:rsid w:val="00124134"/>
    <w:rsid w:val="00124138"/>
    <w:rsid w:val="001245C4"/>
    <w:rsid w:val="00124A50"/>
    <w:rsid w:val="00124A9F"/>
    <w:rsid w:val="00125AE0"/>
    <w:rsid w:val="00126152"/>
    <w:rsid w:val="0012697D"/>
    <w:rsid w:val="00127076"/>
    <w:rsid w:val="001270AB"/>
    <w:rsid w:val="00127623"/>
    <w:rsid w:val="00127671"/>
    <w:rsid w:val="00127C7C"/>
    <w:rsid w:val="00130469"/>
    <w:rsid w:val="00130C69"/>
    <w:rsid w:val="00130D74"/>
    <w:rsid w:val="00131B43"/>
    <w:rsid w:val="00132193"/>
    <w:rsid w:val="00132429"/>
    <w:rsid w:val="00132DE7"/>
    <w:rsid w:val="00133878"/>
    <w:rsid w:val="00133FDD"/>
    <w:rsid w:val="001350BC"/>
    <w:rsid w:val="001351B9"/>
    <w:rsid w:val="00135C86"/>
    <w:rsid w:val="00136C34"/>
    <w:rsid w:val="00136E3D"/>
    <w:rsid w:val="00137A60"/>
    <w:rsid w:val="00137C4A"/>
    <w:rsid w:val="001401EC"/>
    <w:rsid w:val="0014045D"/>
    <w:rsid w:val="00141877"/>
    <w:rsid w:val="00141882"/>
    <w:rsid w:val="00141DF0"/>
    <w:rsid w:val="0014205C"/>
    <w:rsid w:val="00142D3A"/>
    <w:rsid w:val="00143F43"/>
    <w:rsid w:val="00144166"/>
    <w:rsid w:val="001448EA"/>
    <w:rsid w:val="00144E09"/>
    <w:rsid w:val="001457F2"/>
    <w:rsid w:val="00145EDC"/>
    <w:rsid w:val="00146E12"/>
    <w:rsid w:val="00147415"/>
    <w:rsid w:val="00147521"/>
    <w:rsid w:val="00150989"/>
    <w:rsid w:val="001509E0"/>
    <w:rsid w:val="001510BB"/>
    <w:rsid w:val="001511E3"/>
    <w:rsid w:val="00151ABD"/>
    <w:rsid w:val="001523CA"/>
    <w:rsid w:val="0015423F"/>
    <w:rsid w:val="0015662E"/>
    <w:rsid w:val="001569C9"/>
    <w:rsid w:val="001572C5"/>
    <w:rsid w:val="0016005F"/>
    <w:rsid w:val="001606BC"/>
    <w:rsid w:val="00160F0A"/>
    <w:rsid w:val="0016115A"/>
    <w:rsid w:val="00162A88"/>
    <w:rsid w:val="00162BEE"/>
    <w:rsid w:val="00162F98"/>
    <w:rsid w:val="001636E2"/>
    <w:rsid w:val="00163AA3"/>
    <w:rsid w:val="00164012"/>
    <w:rsid w:val="0016441E"/>
    <w:rsid w:val="00164715"/>
    <w:rsid w:val="00164C98"/>
    <w:rsid w:val="00165932"/>
    <w:rsid w:val="00166006"/>
    <w:rsid w:val="00166135"/>
    <w:rsid w:val="00166FEC"/>
    <w:rsid w:val="00167530"/>
    <w:rsid w:val="001679F1"/>
    <w:rsid w:val="00167CDE"/>
    <w:rsid w:val="001701B3"/>
    <w:rsid w:val="001704F7"/>
    <w:rsid w:val="0017084A"/>
    <w:rsid w:val="00171129"/>
    <w:rsid w:val="001721FA"/>
    <w:rsid w:val="001736CB"/>
    <w:rsid w:val="00173EDA"/>
    <w:rsid w:val="0017591C"/>
    <w:rsid w:val="00175F2D"/>
    <w:rsid w:val="00176049"/>
    <w:rsid w:val="00177A43"/>
    <w:rsid w:val="00180305"/>
    <w:rsid w:val="00180E89"/>
    <w:rsid w:val="001811B8"/>
    <w:rsid w:val="00181347"/>
    <w:rsid w:val="001827DB"/>
    <w:rsid w:val="00182D08"/>
    <w:rsid w:val="00183173"/>
    <w:rsid w:val="00183D96"/>
    <w:rsid w:val="00185B5E"/>
    <w:rsid w:val="001865B9"/>
    <w:rsid w:val="00186887"/>
    <w:rsid w:val="00186B09"/>
    <w:rsid w:val="00187BC6"/>
    <w:rsid w:val="00191250"/>
    <w:rsid w:val="0019214E"/>
    <w:rsid w:val="0019251E"/>
    <w:rsid w:val="0019318F"/>
    <w:rsid w:val="00193EF0"/>
    <w:rsid w:val="00197821"/>
    <w:rsid w:val="00197920"/>
    <w:rsid w:val="00197C2F"/>
    <w:rsid w:val="00197F3D"/>
    <w:rsid w:val="001A0516"/>
    <w:rsid w:val="001A18D5"/>
    <w:rsid w:val="001A1AD3"/>
    <w:rsid w:val="001A2F1D"/>
    <w:rsid w:val="001A3C6A"/>
    <w:rsid w:val="001A4A0C"/>
    <w:rsid w:val="001A4C6C"/>
    <w:rsid w:val="001A5029"/>
    <w:rsid w:val="001A53ED"/>
    <w:rsid w:val="001A5711"/>
    <w:rsid w:val="001A5756"/>
    <w:rsid w:val="001A5804"/>
    <w:rsid w:val="001A5B0A"/>
    <w:rsid w:val="001A5C12"/>
    <w:rsid w:val="001A6E4B"/>
    <w:rsid w:val="001A6FD4"/>
    <w:rsid w:val="001A75AA"/>
    <w:rsid w:val="001B00D9"/>
    <w:rsid w:val="001B06FC"/>
    <w:rsid w:val="001B07E7"/>
    <w:rsid w:val="001B0F3B"/>
    <w:rsid w:val="001B1A3A"/>
    <w:rsid w:val="001B408A"/>
    <w:rsid w:val="001B423C"/>
    <w:rsid w:val="001B4D0D"/>
    <w:rsid w:val="001B5CD3"/>
    <w:rsid w:val="001B7A05"/>
    <w:rsid w:val="001C035F"/>
    <w:rsid w:val="001C0758"/>
    <w:rsid w:val="001C08C7"/>
    <w:rsid w:val="001C37DD"/>
    <w:rsid w:val="001C396E"/>
    <w:rsid w:val="001C42FD"/>
    <w:rsid w:val="001C4B37"/>
    <w:rsid w:val="001C4CAD"/>
    <w:rsid w:val="001C53B1"/>
    <w:rsid w:val="001C7CAD"/>
    <w:rsid w:val="001C7E91"/>
    <w:rsid w:val="001C7F88"/>
    <w:rsid w:val="001D01F1"/>
    <w:rsid w:val="001D02A2"/>
    <w:rsid w:val="001D0E29"/>
    <w:rsid w:val="001D19A1"/>
    <w:rsid w:val="001D1A8B"/>
    <w:rsid w:val="001D24BD"/>
    <w:rsid w:val="001D2BAD"/>
    <w:rsid w:val="001D491F"/>
    <w:rsid w:val="001D5345"/>
    <w:rsid w:val="001D70A6"/>
    <w:rsid w:val="001D7137"/>
    <w:rsid w:val="001D751E"/>
    <w:rsid w:val="001E05C6"/>
    <w:rsid w:val="001E0B29"/>
    <w:rsid w:val="001E0F56"/>
    <w:rsid w:val="001E19BC"/>
    <w:rsid w:val="001E1A53"/>
    <w:rsid w:val="001E2CFB"/>
    <w:rsid w:val="001E3574"/>
    <w:rsid w:val="001E3854"/>
    <w:rsid w:val="001E4225"/>
    <w:rsid w:val="001E5B8E"/>
    <w:rsid w:val="001F0488"/>
    <w:rsid w:val="001F3060"/>
    <w:rsid w:val="001F3BF4"/>
    <w:rsid w:val="001F3C68"/>
    <w:rsid w:val="001F3FE6"/>
    <w:rsid w:val="001F4194"/>
    <w:rsid w:val="001F49F1"/>
    <w:rsid w:val="001F55D5"/>
    <w:rsid w:val="001F5F40"/>
    <w:rsid w:val="001F75D6"/>
    <w:rsid w:val="001F79C6"/>
    <w:rsid w:val="001F7B55"/>
    <w:rsid w:val="00200D0C"/>
    <w:rsid w:val="00203954"/>
    <w:rsid w:val="00203F27"/>
    <w:rsid w:val="00204942"/>
    <w:rsid w:val="00204A57"/>
    <w:rsid w:val="00205136"/>
    <w:rsid w:val="00205242"/>
    <w:rsid w:val="00205B95"/>
    <w:rsid w:val="0020640C"/>
    <w:rsid w:val="00206D03"/>
    <w:rsid w:val="00206F1D"/>
    <w:rsid w:val="00207449"/>
    <w:rsid w:val="00207453"/>
    <w:rsid w:val="0020784E"/>
    <w:rsid w:val="00207B83"/>
    <w:rsid w:val="00210868"/>
    <w:rsid w:val="00210BB0"/>
    <w:rsid w:val="0021230D"/>
    <w:rsid w:val="002126DE"/>
    <w:rsid w:val="00212AC8"/>
    <w:rsid w:val="00213B95"/>
    <w:rsid w:val="00214C25"/>
    <w:rsid w:val="00215192"/>
    <w:rsid w:val="00215A87"/>
    <w:rsid w:val="002170BF"/>
    <w:rsid w:val="00217154"/>
    <w:rsid w:val="002174D8"/>
    <w:rsid w:val="00217C4E"/>
    <w:rsid w:val="00223564"/>
    <w:rsid w:val="00223917"/>
    <w:rsid w:val="00224283"/>
    <w:rsid w:val="002242F7"/>
    <w:rsid w:val="00224D08"/>
    <w:rsid w:val="00225BD2"/>
    <w:rsid w:val="0022626D"/>
    <w:rsid w:val="002278A0"/>
    <w:rsid w:val="00230396"/>
    <w:rsid w:val="0023097E"/>
    <w:rsid w:val="00230BAB"/>
    <w:rsid w:val="00232A03"/>
    <w:rsid w:val="0023377F"/>
    <w:rsid w:val="00233A9F"/>
    <w:rsid w:val="00234E75"/>
    <w:rsid w:val="0023535F"/>
    <w:rsid w:val="00235C11"/>
    <w:rsid w:val="00237A84"/>
    <w:rsid w:val="00237CE3"/>
    <w:rsid w:val="00241AA6"/>
    <w:rsid w:val="00242B9D"/>
    <w:rsid w:val="00243016"/>
    <w:rsid w:val="0024349F"/>
    <w:rsid w:val="00243CC9"/>
    <w:rsid w:val="00243D31"/>
    <w:rsid w:val="00244528"/>
    <w:rsid w:val="002446CE"/>
    <w:rsid w:val="002450F3"/>
    <w:rsid w:val="00245B0C"/>
    <w:rsid w:val="00246451"/>
    <w:rsid w:val="0024682E"/>
    <w:rsid w:val="002469C9"/>
    <w:rsid w:val="00247332"/>
    <w:rsid w:val="00250717"/>
    <w:rsid w:val="00250E63"/>
    <w:rsid w:val="00252313"/>
    <w:rsid w:val="00252626"/>
    <w:rsid w:val="0025315F"/>
    <w:rsid w:val="00253CC7"/>
    <w:rsid w:val="00253E7B"/>
    <w:rsid w:val="00254560"/>
    <w:rsid w:val="00254840"/>
    <w:rsid w:val="00255125"/>
    <w:rsid w:val="002556E9"/>
    <w:rsid w:val="002564D7"/>
    <w:rsid w:val="00256631"/>
    <w:rsid w:val="00256A4C"/>
    <w:rsid w:val="0025718D"/>
    <w:rsid w:val="00260276"/>
    <w:rsid w:val="002618AC"/>
    <w:rsid w:val="00262564"/>
    <w:rsid w:val="0026312F"/>
    <w:rsid w:val="00264ABB"/>
    <w:rsid w:val="002652DF"/>
    <w:rsid w:val="00265343"/>
    <w:rsid w:val="00265BD8"/>
    <w:rsid w:val="00266009"/>
    <w:rsid w:val="00266167"/>
    <w:rsid w:val="00266A79"/>
    <w:rsid w:val="0026727E"/>
    <w:rsid w:val="00267FDA"/>
    <w:rsid w:val="00271322"/>
    <w:rsid w:val="00271DE6"/>
    <w:rsid w:val="002723CB"/>
    <w:rsid w:val="00273450"/>
    <w:rsid w:val="0027458E"/>
    <w:rsid w:val="00274703"/>
    <w:rsid w:val="00274EC0"/>
    <w:rsid w:val="00275533"/>
    <w:rsid w:val="00277997"/>
    <w:rsid w:val="00277BAB"/>
    <w:rsid w:val="00277E9A"/>
    <w:rsid w:val="00281587"/>
    <w:rsid w:val="00281F35"/>
    <w:rsid w:val="00282019"/>
    <w:rsid w:val="00282351"/>
    <w:rsid w:val="002830F0"/>
    <w:rsid w:val="00283433"/>
    <w:rsid w:val="002838E3"/>
    <w:rsid w:val="00283C80"/>
    <w:rsid w:val="00284305"/>
    <w:rsid w:val="0028448D"/>
    <w:rsid w:val="00284F6E"/>
    <w:rsid w:val="002851CE"/>
    <w:rsid w:val="002854BF"/>
    <w:rsid w:val="00285856"/>
    <w:rsid w:val="00285EB1"/>
    <w:rsid w:val="00286C9A"/>
    <w:rsid w:val="0028757E"/>
    <w:rsid w:val="00287BE6"/>
    <w:rsid w:val="00287F19"/>
    <w:rsid w:val="00290876"/>
    <w:rsid w:val="002911A8"/>
    <w:rsid w:val="00291657"/>
    <w:rsid w:val="002916BB"/>
    <w:rsid w:val="002919FB"/>
    <w:rsid w:val="00292840"/>
    <w:rsid w:val="002933A0"/>
    <w:rsid w:val="002943FF"/>
    <w:rsid w:val="00294F4E"/>
    <w:rsid w:val="00296493"/>
    <w:rsid w:val="00296D1A"/>
    <w:rsid w:val="00297040"/>
    <w:rsid w:val="00297213"/>
    <w:rsid w:val="002A02EB"/>
    <w:rsid w:val="002A0E82"/>
    <w:rsid w:val="002A17A4"/>
    <w:rsid w:val="002A2159"/>
    <w:rsid w:val="002A2280"/>
    <w:rsid w:val="002A2F11"/>
    <w:rsid w:val="002A3250"/>
    <w:rsid w:val="002A3A6E"/>
    <w:rsid w:val="002A3AC8"/>
    <w:rsid w:val="002A4826"/>
    <w:rsid w:val="002A4DEF"/>
    <w:rsid w:val="002A5399"/>
    <w:rsid w:val="002A740E"/>
    <w:rsid w:val="002A782B"/>
    <w:rsid w:val="002B0089"/>
    <w:rsid w:val="002B03EA"/>
    <w:rsid w:val="002B159E"/>
    <w:rsid w:val="002B31AD"/>
    <w:rsid w:val="002B3767"/>
    <w:rsid w:val="002B4B0D"/>
    <w:rsid w:val="002B6B0C"/>
    <w:rsid w:val="002B7197"/>
    <w:rsid w:val="002C011D"/>
    <w:rsid w:val="002C116F"/>
    <w:rsid w:val="002C2053"/>
    <w:rsid w:val="002C20BD"/>
    <w:rsid w:val="002C348A"/>
    <w:rsid w:val="002C4014"/>
    <w:rsid w:val="002C4311"/>
    <w:rsid w:val="002C61A7"/>
    <w:rsid w:val="002C6681"/>
    <w:rsid w:val="002D0723"/>
    <w:rsid w:val="002D08E2"/>
    <w:rsid w:val="002D0BD9"/>
    <w:rsid w:val="002D13F6"/>
    <w:rsid w:val="002D33E8"/>
    <w:rsid w:val="002D3B9E"/>
    <w:rsid w:val="002D5216"/>
    <w:rsid w:val="002D5341"/>
    <w:rsid w:val="002D5C5B"/>
    <w:rsid w:val="002D650D"/>
    <w:rsid w:val="002D6FE5"/>
    <w:rsid w:val="002D775A"/>
    <w:rsid w:val="002E00A3"/>
    <w:rsid w:val="002E0503"/>
    <w:rsid w:val="002E056E"/>
    <w:rsid w:val="002E1CA7"/>
    <w:rsid w:val="002E3288"/>
    <w:rsid w:val="002E4908"/>
    <w:rsid w:val="002E6029"/>
    <w:rsid w:val="002E6F2D"/>
    <w:rsid w:val="002E7206"/>
    <w:rsid w:val="002F0238"/>
    <w:rsid w:val="002F1287"/>
    <w:rsid w:val="002F14FA"/>
    <w:rsid w:val="002F3B92"/>
    <w:rsid w:val="002F4474"/>
    <w:rsid w:val="002F4D5E"/>
    <w:rsid w:val="002F50FB"/>
    <w:rsid w:val="002F5F71"/>
    <w:rsid w:val="002F6563"/>
    <w:rsid w:val="002F6B3D"/>
    <w:rsid w:val="002F716A"/>
    <w:rsid w:val="002F7FB8"/>
    <w:rsid w:val="00300C9D"/>
    <w:rsid w:val="00301735"/>
    <w:rsid w:val="00301857"/>
    <w:rsid w:val="0030241C"/>
    <w:rsid w:val="00302FC9"/>
    <w:rsid w:val="00303915"/>
    <w:rsid w:val="00303F20"/>
    <w:rsid w:val="00304ABF"/>
    <w:rsid w:val="00304F7D"/>
    <w:rsid w:val="0030541E"/>
    <w:rsid w:val="003054A6"/>
    <w:rsid w:val="00305684"/>
    <w:rsid w:val="0030600D"/>
    <w:rsid w:val="00306310"/>
    <w:rsid w:val="00306411"/>
    <w:rsid w:val="00306AB1"/>
    <w:rsid w:val="003077A3"/>
    <w:rsid w:val="003100C8"/>
    <w:rsid w:val="00310CE1"/>
    <w:rsid w:val="00311849"/>
    <w:rsid w:val="00311944"/>
    <w:rsid w:val="0031247C"/>
    <w:rsid w:val="0031278E"/>
    <w:rsid w:val="003129BA"/>
    <w:rsid w:val="0031381F"/>
    <w:rsid w:val="00313C42"/>
    <w:rsid w:val="003156F0"/>
    <w:rsid w:val="00316B27"/>
    <w:rsid w:val="00316BFA"/>
    <w:rsid w:val="00321AF8"/>
    <w:rsid w:val="00322A65"/>
    <w:rsid w:val="00322B47"/>
    <w:rsid w:val="0032388C"/>
    <w:rsid w:val="00324417"/>
    <w:rsid w:val="00324791"/>
    <w:rsid w:val="00324B2C"/>
    <w:rsid w:val="00324E5B"/>
    <w:rsid w:val="00325440"/>
    <w:rsid w:val="0032579A"/>
    <w:rsid w:val="0032615A"/>
    <w:rsid w:val="00326A17"/>
    <w:rsid w:val="00327A19"/>
    <w:rsid w:val="00327CBE"/>
    <w:rsid w:val="00327DF8"/>
    <w:rsid w:val="00330392"/>
    <w:rsid w:val="00331406"/>
    <w:rsid w:val="0033198B"/>
    <w:rsid w:val="003319BB"/>
    <w:rsid w:val="003320A9"/>
    <w:rsid w:val="0033589A"/>
    <w:rsid w:val="00337C48"/>
    <w:rsid w:val="00337DFD"/>
    <w:rsid w:val="0034054F"/>
    <w:rsid w:val="00340B42"/>
    <w:rsid w:val="00340BE3"/>
    <w:rsid w:val="00340E96"/>
    <w:rsid w:val="00341386"/>
    <w:rsid w:val="00342149"/>
    <w:rsid w:val="003428C1"/>
    <w:rsid w:val="0034353D"/>
    <w:rsid w:val="003440BD"/>
    <w:rsid w:val="00344581"/>
    <w:rsid w:val="003459E2"/>
    <w:rsid w:val="00346964"/>
    <w:rsid w:val="003471B4"/>
    <w:rsid w:val="00350442"/>
    <w:rsid w:val="00350B3E"/>
    <w:rsid w:val="00350F41"/>
    <w:rsid w:val="00351EDF"/>
    <w:rsid w:val="00351F81"/>
    <w:rsid w:val="00352BC7"/>
    <w:rsid w:val="003536D6"/>
    <w:rsid w:val="003538E3"/>
    <w:rsid w:val="00353BBC"/>
    <w:rsid w:val="00353F42"/>
    <w:rsid w:val="0035474E"/>
    <w:rsid w:val="00354EEE"/>
    <w:rsid w:val="00355E73"/>
    <w:rsid w:val="00356828"/>
    <w:rsid w:val="00356A26"/>
    <w:rsid w:val="00356C2E"/>
    <w:rsid w:val="003573EB"/>
    <w:rsid w:val="00357A93"/>
    <w:rsid w:val="00357B6E"/>
    <w:rsid w:val="003609A3"/>
    <w:rsid w:val="003613A8"/>
    <w:rsid w:val="00362AC9"/>
    <w:rsid w:val="00365294"/>
    <w:rsid w:val="003669C8"/>
    <w:rsid w:val="00366C32"/>
    <w:rsid w:val="00367224"/>
    <w:rsid w:val="00370193"/>
    <w:rsid w:val="003704B1"/>
    <w:rsid w:val="0037084F"/>
    <w:rsid w:val="003708CD"/>
    <w:rsid w:val="00371BF2"/>
    <w:rsid w:val="00372E6D"/>
    <w:rsid w:val="00373021"/>
    <w:rsid w:val="00373918"/>
    <w:rsid w:val="003742CF"/>
    <w:rsid w:val="003745DB"/>
    <w:rsid w:val="0037549D"/>
    <w:rsid w:val="00376291"/>
    <w:rsid w:val="0037692B"/>
    <w:rsid w:val="00377492"/>
    <w:rsid w:val="003807E7"/>
    <w:rsid w:val="0038091E"/>
    <w:rsid w:val="00380951"/>
    <w:rsid w:val="00381C7A"/>
    <w:rsid w:val="003821C2"/>
    <w:rsid w:val="00383324"/>
    <w:rsid w:val="00383585"/>
    <w:rsid w:val="00384B25"/>
    <w:rsid w:val="00385898"/>
    <w:rsid w:val="00386F1A"/>
    <w:rsid w:val="0038716C"/>
    <w:rsid w:val="0039007A"/>
    <w:rsid w:val="003902DE"/>
    <w:rsid w:val="00390871"/>
    <w:rsid w:val="00390A6D"/>
    <w:rsid w:val="00390D1D"/>
    <w:rsid w:val="00390D53"/>
    <w:rsid w:val="00390FB3"/>
    <w:rsid w:val="00391114"/>
    <w:rsid w:val="00391775"/>
    <w:rsid w:val="00391865"/>
    <w:rsid w:val="00391AB9"/>
    <w:rsid w:val="00391B6F"/>
    <w:rsid w:val="00391BFC"/>
    <w:rsid w:val="00392572"/>
    <w:rsid w:val="003928E1"/>
    <w:rsid w:val="00392926"/>
    <w:rsid w:val="00392B85"/>
    <w:rsid w:val="003943C4"/>
    <w:rsid w:val="0039461A"/>
    <w:rsid w:val="00394901"/>
    <w:rsid w:val="00395F28"/>
    <w:rsid w:val="003967A2"/>
    <w:rsid w:val="0039729A"/>
    <w:rsid w:val="00397F28"/>
    <w:rsid w:val="003A07CB"/>
    <w:rsid w:val="003A16F3"/>
    <w:rsid w:val="003A1F17"/>
    <w:rsid w:val="003A2DA0"/>
    <w:rsid w:val="003A2E3E"/>
    <w:rsid w:val="003A2FF8"/>
    <w:rsid w:val="003A37DD"/>
    <w:rsid w:val="003A4184"/>
    <w:rsid w:val="003A4EC7"/>
    <w:rsid w:val="003A50AE"/>
    <w:rsid w:val="003A5385"/>
    <w:rsid w:val="003A5498"/>
    <w:rsid w:val="003A54C7"/>
    <w:rsid w:val="003A76DB"/>
    <w:rsid w:val="003A7DB8"/>
    <w:rsid w:val="003B0BE3"/>
    <w:rsid w:val="003B1C3D"/>
    <w:rsid w:val="003B25BE"/>
    <w:rsid w:val="003B3145"/>
    <w:rsid w:val="003B3893"/>
    <w:rsid w:val="003B3C36"/>
    <w:rsid w:val="003B3CEA"/>
    <w:rsid w:val="003B3E5F"/>
    <w:rsid w:val="003B4E05"/>
    <w:rsid w:val="003B561F"/>
    <w:rsid w:val="003B6109"/>
    <w:rsid w:val="003B68C7"/>
    <w:rsid w:val="003B6D2E"/>
    <w:rsid w:val="003B7522"/>
    <w:rsid w:val="003B7738"/>
    <w:rsid w:val="003B78D4"/>
    <w:rsid w:val="003B7B99"/>
    <w:rsid w:val="003C042A"/>
    <w:rsid w:val="003C0D77"/>
    <w:rsid w:val="003C0F72"/>
    <w:rsid w:val="003C1E4E"/>
    <w:rsid w:val="003C1FBE"/>
    <w:rsid w:val="003C23C6"/>
    <w:rsid w:val="003C2D75"/>
    <w:rsid w:val="003C31AF"/>
    <w:rsid w:val="003C384E"/>
    <w:rsid w:val="003C3DBC"/>
    <w:rsid w:val="003C4355"/>
    <w:rsid w:val="003C446B"/>
    <w:rsid w:val="003C6E8E"/>
    <w:rsid w:val="003C729B"/>
    <w:rsid w:val="003C75CF"/>
    <w:rsid w:val="003C7779"/>
    <w:rsid w:val="003C7EEF"/>
    <w:rsid w:val="003C7FAE"/>
    <w:rsid w:val="003D016D"/>
    <w:rsid w:val="003D0B03"/>
    <w:rsid w:val="003D102F"/>
    <w:rsid w:val="003D1BB7"/>
    <w:rsid w:val="003D1C9A"/>
    <w:rsid w:val="003D283B"/>
    <w:rsid w:val="003D2936"/>
    <w:rsid w:val="003D3F4C"/>
    <w:rsid w:val="003D426F"/>
    <w:rsid w:val="003D4446"/>
    <w:rsid w:val="003D4638"/>
    <w:rsid w:val="003D4B2C"/>
    <w:rsid w:val="003D4D1D"/>
    <w:rsid w:val="003D584F"/>
    <w:rsid w:val="003D6267"/>
    <w:rsid w:val="003D6E02"/>
    <w:rsid w:val="003D70DF"/>
    <w:rsid w:val="003D7753"/>
    <w:rsid w:val="003D7B97"/>
    <w:rsid w:val="003D7F4F"/>
    <w:rsid w:val="003E0079"/>
    <w:rsid w:val="003E07E5"/>
    <w:rsid w:val="003E0C89"/>
    <w:rsid w:val="003E21F7"/>
    <w:rsid w:val="003E22D4"/>
    <w:rsid w:val="003E2B94"/>
    <w:rsid w:val="003E3836"/>
    <w:rsid w:val="003E3E7D"/>
    <w:rsid w:val="003E4046"/>
    <w:rsid w:val="003E441D"/>
    <w:rsid w:val="003E451B"/>
    <w:rsid w:val="003E4B1D"/>
    <w:rsid w:val="003E4CD9"/>
    <w:rsid w:val="003E4FFA"/>
    <w:rsid w:val="003E534A"/>
    <w:rsid w:val="003E5B35"/>
    <w:rsid w:val="003E5CB0"/>
    <w:rsid w:val="003E73BC"/>
    <w:rsid w:val="003E78A1"/>
    <w:rsid w:val="003F07AF"/>
    <w:rsid w:val="003F08FE"/>
    <w:rsid w:val="003F0A4A"/>
    <w:rsid w:val="003F0ABA"/>
    <w:rsid w:val="003F12B4"/>
    <w:rsid w:val="003F1802"/>
    <w:rsid w:val="003F1C7C"/>
    <w:rsid w:val="003F25E5"/>
    <w:rsid w:val="003F27D1"/>
    <w:rsid w:val="003F287E"/>
    <w:rsid w:val="003F2BF4"/>
    <w:rsid w:val="003F3939"/>
    <w:rsid w:val="003F5CC4"/>
    <w:rsid w:val="003F6450"/>
    <w:rsid w:val="003F6D6E"/>
    <w:rsid w:val="003F78A2"/>
    <w:rsid w:val="00400A4D"/>
    <w:rsid w:val="0040233B"/>
    <w:rsid w:val="004023F4"/>
    <w:rsid w:val="00402479"/>
    <w:rsid w:val="0040250B"/>
    <w:rsid w:val="004046BA"/>
    <w:rsid w:val="00404A86"/>
    <w:rsid w:val="00404C07"/>
    <w:rsid w:val="004051BE"/>
    <w:rsid w:val="004059A2"/>
    <w:rsid w:val="00406D11"/>
    <w:rsid w:val="00407298"/>
    <w:rsid w:val="00407896"/>
    <w:rsid w:val="00410104"/>
    <w:rsid w:val="004107DC"/>
    <w:rsid w:val="00410A81"/>
    <w:rsid w:val="00411DB7"/>
    <w:rsid w:val="00411FC9"/>
    <w:rsid w:val="00411FED"/>
    <w:rsid w:val="00413A90"/>
    <w:rsid w:val="004140BA"/>
    <w:rsid w:val="004144EB"/>
    <w:rsid w:val="004144EE"/>
    <w:rsid w:val="004146BE"/>
    <w:rsid w:val="00414855"/>
    <w:rsid w:val="004149C3"/>
    <w:rsid w:val="00415460"/>
    <w:rsid w:val="00415483"/>
    <w:rsid w:val="00415A5E"/>
    <w:rsid w:val="00416059"/>
    <w:rsid w:val="0041704E"/>
    <w:rsid w:val="00417CCE"/>
    <w:rsid w:val="00421E3B"/>
    <w:rsid w:val="004246D3"/>
    <w:rsid w:val="00425651"/>
    <w:rsid w:val="00425C2F"/>
    <w:rsid w:val="00426953"/>
    <w:rsid w:val="00427697"/>
    <w:rsid w:val="00427F6D"/>
    <w:rsid w:val="0043042D"/>
    <w:rsid w:val="00430570"/>
    <w:rsid w:val="00431621"/>
    <w:rsid w:val="00431969"/>
    <w:rsid w:val="00431F78"/>
    <w:rsid w:val="00433F60"/>
    <w:rsid w:val="00434031"/>
    <w:rsid w:val="00435582"/>
    <w:rsid w:val="00435FD5"/>
    <w:rsid w:val="00436B64"/>
    <w:rsid w:val="00436DC1"/>
    <w:rsid w:val="0044114D"/>
    <w:rsid w:val="004411B9"/>
    <w:rsid w:val="00441920"/>
    <w:rsid w:val="004419DA"/>
    <w:rsid w:val="004421DC"/>
    <w:rsid w:val="004427E2"/>
    <w:rsid w:val="00442945"/>
    <w:rsid w:val="004430A9"/>
    <w:rsid w:val="00443198"/>
    <w:rsid w:val="0044366E"/>
    <w:rsid w:val="00443A90"/>
    <w:rsid w:val="00443DE7"/>
    <w:rsid w:val="00443F09"/>
    <w:rsid w:val="0044464B"/>
    <w:rsid w:val="00446696"/>
    <w:rsid w:val="00446699"/>
    <w:rsid w:val="00446BCB"/>
    <w:rsid w:val="00447592"/>
    <w:rsid w:val="00451543"/>
    <w:rsid w:val="004551AB"/>
    <w:rsid w:val="00455685"/>
    <w:rsid w:val="00455C99"/>
    <w:rsid w:val="004566AB"/>
    <w:rsid w:val="004572B4"/>
    <w:rsid w:val="00457386"/>
    <w:rsid w:val="00457839"/>
    <w:rsid w:val="004610A5"/>
    <w:rsid w:val="00461752"/>
    <w:rsid w:val="00461AC0"/>
    <w:rsid w:val="00461E0C"/>
    <w:rsid w:val="004622AF"/>
    <w:rsid w:val="004631B6"/>
    <w:rsid w:val="00463C5C"/>
    <w:rsid w:val="00464789"/>
    <w:rsid w:val="00465338"/>
    <w:rsid w:val="0046575B"/>
    <w:rsid w:val="004659EF"/>
    <w:rsid w:val="00466D2B"/>
    <w:rsid w:val="004715B6"/>
    <w:rsid w:val="0047285B"/>
    <w:rsid w:val="00472E9E"/>
    <w:rsid w:val="0047307A"/>
    <w:rsid w:val="00473CA5"/>
    <w:rsid w:val="00474DBB"/>
    <w:rsid w:val="00474F36"/>
    <w:rsid w:val="00474FC8"/>
    <w:rsid w:val="0047525F"/>
    <w:rsid w:val="00475639"/>
    <w:rsid w:val="004760F2"/>
    <w:rsid w:val="004761B9"/>
    <w:rsid w:val="00476B76"/>
    <w:rsid w:val="004800AD"/>
    <w:rsid w:val="00481FD0"/>
    <w:rsid w:val="00482BC9"/>
    <w:rsid w:val="004854BF"/>
    <w:rsid w:val="0048674B"/>
    <w:rsid w:val="0048747D"/>
    <w:rsid w:val="004908AD"/>
    <w:rsid w:val="00490F70"/>
    <w:rsid w:val="00492432"/>
    <w:rsid w:val="00492787"/>
    <w:rsid w:val="004938FA"/>
    <w:rsid w:val="00493959"/>
    <w:rsid w:val="004949D0"/>
    <w:rsid w:val="00496F41"/>
    <w:rsid w:val="0049771B"/>
    <w:rsid w:val="0049798B"/>
    <w:rsid w:val="00497BCA"/>
    <w:rsid w:val="004A07FC"/>
    <w:rsid w:val="004A0A0E"/>
    <w:rsid w:val="004A0DC5"/>
    <w:rsid w:val="004A228E"/>
    <w:rsid w:val="004A2A28"/>
    <w:rsid w:val="004A35EA"/>
    <w:rsid w:val="004A41B7"/>
    <w:rsid w:val="004A5287"/>
    <w:rsid w:val="004A53EA"/>
    <w:rsid w:val="004A572B"/>
    <w:rsid w:val="004A5730"/>
    <w:rsid w:val="004A6496"/>
    <w:rsid w:val="004A7831"/>
    <w:rsid w:val="004B1011"/>
    <w:rsid w:val="004B14C4"/>
    <w:rsid w:val="004B1F17"/>
    <w:rsid w:val="004B30C3"/>
    <w:rsid w:val="004B35DC"/>
    <w:rsid w:val="004B36F6"/>
    <w:rsid w:val="004B5344"/>
    <w:rsid w:val="004C0A15"/>
    <w:rsid w:val="004C3672"/>
    <w:rsid w:val="004C40E8"/>
    <w:rsid w:val="004C4EAE"/>
    <w:rsid w:val="004C4F45"/>
    <w:rsid w:val="004C54A0"/>
    <w:rsid w:val="004C5B03"/>
    <w:rsid w:val="004C6136"/>
    <w:rsid w:val="004C62DD"/>
    <w:rsid w:val="004C63BC"/>
    <w:rsid w:val="004C6A40"/>
    <w:rsid w:val="004C749A"/>
    <w:rsid w:val="004C7AC4"/>
    <w:rsid w:val="004D042D"/>
    <w:rsid w:val="004D08F5"/>
    <w:rsid w:val="004D12A1"/>
    <w:rsid w:val="004D2270"/>
    <w:rsid w:val="004D2C34"/>
    <w:rsid w:val="004D311C"/>
    <w:rsid w:val="004D31D0"/>
    <w:rsid w:val="004D34A0"/>
    <w:rsid w:val="004D362A"/>
    <w:rsid w:val="004D37BA"/>
    <w:rsid w:val="004D3C08"/>
    <w:rsid w:val="004D55FA"/>
    <w:rsid w:val="004D5A16"/>
    <w:rsid w:val="004D5B29"/>
    <w:rsid w:val="004D5D76"/>
    <w:rsid w:val="004D5E02"/>
    <w:rsid w:val="004D5F70"/>
    <w:rsid w:val="004D75C4"/>
    <w:rsid w:val="004D75D8"/>
    <w:rsid w:val="004D7E68"/>
    <w:rsid w:val="004E05E7"/>
    <w:rsid w:val="004E1757"/>
    <w:rsid w:val="004E1F01"/>
    <w:rsid w:val="004E26BF"/>
    <w:rsid w:val="004E2F35"/>
    <w:rsid w:val="004E3204"/>
    <w:rsid w:val="004E3FFF"/>
    <w:rsid w:val="004E4465"/>
    <w:rsid w:val="004E58C3"/>
    <w:rsid w:val="004E64B8"/>
    <w:rsid w:val="004E65E9"/>
    <w:rsid w:val="004E66DA"/>
    <w:rsid w:val="004E680A"/>
    <w:rsid w:val="004E75A8"/>
    <w:rsid w:val="004E7901"/>
    <w:rsid w:val="004E79BD"/>
    <w:rsid w:val="004E7F83"/>
    <w:rsid w:val="004F2383"/>
    <w:rsid w:val="004F23E9"/>
    <w:rsid w:val="004F2FF1"/>
    <w:rsid w:val="004F366A"/>
    <w:rsid w:val="004F3D3B"/>
    <w:rsid w:val="004F48ED"/>
    <w:rsid w:val="004F4C2A"/>
    <w:rsid w:val="004F53C9"/>
    <w:rsid w:val="004F5854"/>
    <w:rsid w:val="004F72E9"/>
    <w:rsid w:val="00500EDA"/>
    <w:rsid w:val="00501303"/>
    <w:rsid w:val="00501D8F"/>
    <w:rsid w:val="00502CBD"/>
    <w:rsid w:val="00502D50"/>
    <w:rsid w:val="005031D1"/>
    <w:rsid w:val="00503295"/>
    <w:rsid w:val="00503571"/>
    <w:rsid w:val="00503A81"/>
    <w:rsid w:val="00503B2F"/>
    <w:rsid w:val="00503DD5"/>
    <w:rsid w:val="00503E65"/>
    <w:rsid w:val="0050431D"/>
    <w:rsid w:val="005045AE"/>
    <w:rsid w:val="00504CED"/>
    <w:rsid w:val="00504D5D"/>
    <w:rsid w:val="00505BA0"/>
    <w:rsid w:val="00505E50"/>
    <w:rsid w:val="00505FBC"/>
    <w:rsid w:val="00506FA1"/>
    <w:rsid w:val="005075B6"/>
    <w:rsid w:val="00510292"/>
    <w:rsid w:val="0051072B"/>
    <w:rsid w:val="00512853"/>
    <w:rsid w:val="00512A05"/>
    <w:rsid w:val="00512C92"/>
    <w:rsid w:val="00514497"/>
    <w:rsid w:val="00514988"/>
    <w:rsid w:val="00515110"/>
    <w:rsid w:val="005154BC"/>
    <w:rsid w:val="0051662C"/>
    <w:rsid w:val="0051695D"/>
    <w:rsid w:val="00517333"/>
    <w:rsid w:val="005174A1"/>
    <w:rsid w:val="00517704"/>
    <w:rsid w:val="00517839"/>
    <w:rsid w:val="00517EC5"/>
    <w:rsid w:val="005205C0"/>
    <w:rsid w:val="0052114F"/>
    <w:rsid w:val="005212BC"/>
    <w:rsid w:val="00523193"/>
    <w:rsid w:val="005232A0"/>
    <w:rsid w:val="00523347"/>
    <w:rsid w:val="00523390"/>
    <w:rsid w:val="00524898"/>
    <w:rsid w:val="005249F7"/>
    <w:rsid w:val="00525620"/>
    <w:rsid w:val="00525715"/>
    <w:rsid w:val="00525DBB"/>
    <w:rsid w:val="005262C2"/>
    <w:rsid w:val="00526680"/>
    <w:rsid w:val="00527408"/>
    <w:rsid w:val="00527A20"/>
    <w:rsid w:val="005300C8"/>
    <w:rsid w:val="00530F5B"/>
    <w:rsid w:val="005310AE"/>
    <w:rsid w:val="005318B9"/>
    <w:rsid w:val="00531E07"/>
    <w:rsid w:val="005321F4"/>
    <w:rsid w:val="0053257C"/>
    <w:rsid w:val="0053271E"/>
    <w:rsid w:val="00533178"/>
    <w:rsid w:val="005332F5"/>
    <w:rsid w:val="00534585"/>
    <w:rsid w:val="0053478E"/>
    <w:rsid w:val="00534A1D"/>
    <w:rsid w:val="00535011"/>
    <w:rsid w:val="00535439"/>
    <w:rsid w:val="00536EE4"/>
    <w:rsid w:val="00540F72"/>
    <w:rsid w:val="00541469"/>
    <w:rsid w:val="00542F46"/>
    <w:rsid w:val="00543297"/>
    <w:rsid w:val="00543543"/>
    <w:rsid w:val="00543DB7"/>
    <w:rsid w:val="00544DF5"/>
    <w:rsid w:val="00545E59"/>
    <w:rsid w:val="00545FB5"/>
    <w:rsid w:val="005460F4"/>
    <w:rsid w:val="005469D0"/>
    <w:rsid w:val="005519BC"/>
    <w:rsid w:val="00551BEE"/>
    <w:rsid w:val="00552F93"/>
    <w:rsid w:val="0055346C"/>
    <w:rsid w:val="0055360E"/>
    <w:rsid w:val="005545BF"/>
    <w:rsid w:val="00554781"/>
    <w:rsid w:val="00555069"/>
    <w:rsid w:val="005557F8"/>
    <w:rsid w:val="00555A12"/>
    <w:rsid w:val="00555CA0"/>
    <w:rsid w:val="00557536"/>
    <w:rsid w:val="00557627"/>
    <w:rsid w:val="00560E96"/>
    <w:rsid w:val="005611AB"/>
    <w:rsid w:val="005618BC"/>
    <w:rsid w:val="0056564F"/>
    <w:rsid w:val="00565EAB"/>
    <w:rsid w:val="005673FC"/>
    <w:rsid w:val="00567DFD"/>
    <w:rsid w:val="00567F85"/>
    <w:rsid w:val="00570A21"/>
    <w:rsid w:val="00571BED"/>
    <w:rsid w:val="005725C9"/>
    <w:rsid w:val="00572F46"/>
    <w:rsid w:val="00574E15"/>
    <w:rsid w:val="005759A9"/>
    <w:rsid w:val="0057725E"/>
    <w:rsid w:val="00580871"/>
    <w:rsid w:val="00581093"/>
    <w:rsid w:val="0058183A"/>
    <w:rsid w:val="00581A44"/>
    <w:rsid w:val="0058351F"/>
    <w:rsid w:val="0058441C"/>
    <w:rsid w:val="00584D1A"/>
    <w:rsid w:val="005850E9"/>
    <w:rsid w:val="00585605"/>
    <w:rsid w:val="00585FF4"/>
    <w:rsid w:val="00587D7D"/>
    <w:rsid w:val="00590A8E"/>
    <w:rsid w:val="005921ED"/>
    <w:rsid w:val="00592536"/>
    <w:rsid w:val="00592CAB"/>
    <w:rsid w:val="00593628"/>
    <w:rsid w:val="00593636"/>
    <w:rsid w:val="0059500A"/>
    <w:rsid w:val="0059672C"/>
    <w:rsid w:val="00596A48"/>
    <w:rsid w:val="0059771C"/>
    <w:rsid w:val="00597EA7"/>
    <w:rsid w:val="005A08BE"/>
    <w:rsid w:val="005A098A"/>
    <w:rsid w:val="005A0E45"/>
    <w:rsid w:val="005A0F42"/>
    <w:rsid w:val="005A113D"/>
    <w:rsid w:val="005A3BEF"/>
    <w:rsid w:val="005A3CB8"/>
    <w:rsid w:val="005A4358"/>
    <w:rsid w:val="005A4F7D"/>
    <w:rsid w:val="005A5E3E"/>
    <w:rsid w:val="005A5F10"/>
    <w:rsid w:val="005A6378"/>
    <w:rsid w:val="005A69E2"/>
    <w:rsid w:val="005A6C7B"/>
    <w:rsid w:val="005A6F79"/>
    <w:rsid w:val="005B01F2"/>
    <w:rsid w:val="005B0F0C"/>
    <w:rsid w:val="005B1776"/>
    <w:rsid w:val="005B333C"/>
    <w:rsid w:val="005B48B6"/>
    <w:rsid w:val="005B4F29"/>
    <w:rsid w:val="005B5378"/>
    <w:rsid w:val="005B5F54"/>
    <w:rsid w:val="005B68D8"/>
    <w:rsid w:val="005C1345"/>
    <w:rsid w:val="005C2F27"/>
    <w:rsid w:val="005C2FD3"/>
    <w:rsid w:val="005C3D9A"/>
    <w:rsid w:val="005C4A93"/>
    <w:rsid w:val="005C4FA8"/>
    <w:rsid w:val="005C5271"/>
    <w:rsid w:val="005C55BC"/>
    <w:rsid w:val="005C669A"/>
    <w:rsid w:val="005C7CCC"/>
    <w:rsid w:val="005D01D8"/>
    <w:rsid w:val="005D090E"/>
    <w:rsid w:val="005D33F7"/>
    <w:rsid w:val="005D36A8"/>
    <w:rsid w:val="005D40C7"/>
    <w:rsid w:val="005D436B"/>
    <w:rsid w:val="005D4382"/>
    <w:rsid w:val="005D4D4F"/>
    <w:rsid w:val="005D5B48"/>
    <w:rsid w:val="005D60FF"/>
    <w:rsid w:val="005D6922"/>
    <w:rsid w:val="005D74D6"/>
    <w:rsid w:val="005D75C3"/>
    <w:rsid w:val="005E0204"/>
    <w:rsid w:val="005E0C51"/>
    <w:rsid w:val="005E214B"/>
    <w:rsid w:val="005E24EC"/>
    <w:rsid w:val="005E451A"/>
    <w:rsid w:val="005E50A3"/>
    <w:rsid w:val="005E5393"/>
    <w:rsid w:val="005E56CB"/>
    <w:rsid w:val="005E5B7E"/>
    <w:rsid w:val="005E6754"/>
    <w:rsid w:val="005E7204"/>
    <w:rsid w:val="005F05CF"/>
    <w:rsid w:val="005F10BC"/>
    <w:rsid w:val="005F178B"/>
    <w:rsid w:val="005F2E90"/>
    <w:rsid w:val="005F3000"/>
    <w:rsid w:val="005F3184"/>
    <w:rsid w:val="005F35E2"/>
    <w:rsid w:val="005F4702"/>
    <w:rsid w:val="005F4A9E"/>
    <w:rsid w:val="005F4C5B"/>
    <w:rsid w:val="005F5031"/>
    <w:rsid w:val="005F5398"/>
    <w:rsid w:val="005F6D05"/>
    <w:rsid w:val="005F7940"/>
    <w:rsid w:val="006000EA"/>
    <w:rsid w:val="00600271"/>
    <w:rsid w:val="00601497"/>
    <w:rsid w:val="006015C3"/>
    <w:rsid w:val="0060192A"/>
    <w:rsid w:val="00601F67"/>
    <w:rsid w:val="00602E36"/>
    <w:rsid w:val="00603D1C"/>
    <w:rsid w:val="00603EE2"/>
    <w:rsid w:val="00604B46"/>
    <w:rsid w:val="006067E2"/>
    <w:rsid w:val="00606F1B"/>
    <w:rsid w:val="00607554"/>
    <w:rsid w:val="00607CD1"/>
    <w:rsid w:val="006126E4"/>
    <w:rsid w:val="00613C23"/>
    <w:rsid w:val="00613EA0"/>
    <w:rsid w:val="00613F67"/>
    <w:rsid w:val="00614009"/>
    <w:rsid w:val="0061492A"/>
    <w:rsid w:val="0061524E"/>
    <w:rsid w:val="00615576"/>
    <w:rsid w:val="0061563D"/>
    <w:rsid w:val="006158BA"/>
    <w:rsid w:val="00615BEA"/>
    <w:rsid w:val="00617175"/>
    <w:rsid w:val="006172CD"/>
    <w:rsid w:val="006207F3"/>
    <w:rsid w:val="006212C0"/>
    <w:rsid w:val="006216D9"/>
    <w:rsid w:val="0062174A"/>
    <w:rsid w:val="00621F3C"/>
    <w:rsid w:val="00622281"/>
    <w:rsid w:val="00622289"/>
    <w:rsid w:val="00623C44"/>
    <w:rsid w:val="00624226"/>
    <w:rsid w:val="00625470"/>
    <w:rsid w:val="00625C7F"/>
    <w:rsid w:val="00625DFA"/>
    <w:rsid w:val="00627B57"/>
    <w:rsid w:val="006301EB"/>
    <w:rsid w:val="006313B8"/>
    <w:rsid w:val="00631505"/>
    <w:rsid w:val="006327F5"/>
    <w:rsid w:val="0063491D"/>
    <w:rsid w:val="00635B90"/>
    <w:rsid w:val="00636992"/>
    <w:rsid w:val="00637857"/>
    <w:rsid w:val="00640D08"/>
    <w:rsid w:val="00640D3D"/>
    <w:rsid w:val="006417CA"/>
    <w:rsid w:val="00641F13"/>
    <w:rsid w:val="00642706"/>
    <w:rsid w:val="00642A13"/>
    <w:rsid w:val="00642A8F"/>
    <w:rsid w:val="006437DA"/>
    <w:rsid w:val="00643ECB"/>
    <w:rsid w:val="0064401B"/>
    <w:rsid w:val="0064422C"/>
    <w:rsid w:val="00644D7F"/>
    <w:rsid w:val="00645170"/>
    <w:rsid w:val="006451ED"/>
    <w:rsid w:val="00645E6F"/>
    <w:rsid w:val="00646563"/>
    <w:rsid w:val="00651DE4"/>
    <w:rsid w:val="0065242B"/>
    <w:rsid w:val="00652638"/>
    <w:rsid w:val="00652AF7"/>
    <w:rsid w:val="00653FDD"/>
    <w:rsid w:val="0065458B"/>
    <w:rsid w:val="00654A2F"/>
    <w:rsid w:val="00654DC2"/>
    <w:rsid w:val="00655AC4"/>
    <w:rsid w:val="00656143"/>
    <w:rsid w:val="00656EA0"/>
    <w:rsid w:val="0065707C"/>
    <w:rsid w:val="006574BB"/>
    <w:rsid w:val="00660C2B"/>
    <w:rsid w:val="00660C81"/>
    <w:rsid w:val="006614DA"/>
    <w:rsid w:val="00661644"/>
    <w:rsid w:val="006616C9"/>
    <w:rsid w:val="00661965"/>
    <w:rsid w:val="0066276C"/>
    <w:rsid w:val="00662E16"/>
    <w:rsid w:val="00662E83"/>
    <w:rsid w:val="006631CA"/>
    <w:rsid w:val="00663DDD"/>
    <w:rsid w:val="006641DD"/>
    <w:rsid w:val="00664676"/>
    <w:rsid w:val="0066472E"/>
    <w:rsid w:val="00664A88"/>
    <w:rsid w:val="00664F45"/>
    <w:rsid w:val="006652C6"/>
    <w:rsid w:val="00665368"/>
    <w:rsid w:val="00666BF3"/>
    <w:rsid w:val="0066706F"/>
    <w:rsid w:val="00667712"/>
    <w:rsid w:val="006706A5"/>
    <w:rsid w:val="006709E7"/>
    <w:rsid w:val="0067105F"/>
    <w:rsid w:val="00671138"/>
    <w:rsid w:val="0067116A"/>
    <w:rsid w:val="00671309"/>
    <w:rsid w:val="00671A52"/>
    <w:rsid w:val="00671D61"/>
    <w:rsid w:val="00672851"/>
    <w:rsid w:val="006734F1"/>
    <w:rsid w:val="006736EB"/>
    <w:rsid w:val="00675A17"/>
    <w:rsid w:val="00676A37"/>
    <w:rsid w:val="00676E08"/>
    <w:rsid w:val="00677568"/>
    <w:rsid w:val="00677B32"/>
    <w:rsid w:val="00677D41"/>
    <w:rsid w:val="00680324"/>
    <w:rsid w:val="00680712"/>
    <w:rsid w:val="00680C89"/>
    <w:rsid w:val="006811E0"/>
    <w:rsid w:val="006836BF"/>
    <w:rsid w:val="0068479A"/>
    <w:rsid w:val="0068534E"/>
    <w:rsid w:val="00685438"/>
    <w:rsid w:val="00685C47"/>
    <w:rsid w:val="00686195"/>
    <w:rsid w:val="0068734F"/>
    <w:rsid w:val="006873CB"/>
    <w:rsid w:val="006878D9"/>
    <w:rsid w:val="006906C5"/>
    <w:rsid w:val="006906FF"/>
    <w:rsid w:val="00690AAB"/>
    <w:rsid w:val="00690B33"/>
    <w:rsid w:val="00690F25"/>
    <w:rsid w:val="00692128"/>
    <w:rsid w:val="00692A55"/>
    <w:rsid w:val="00693910"/>
    <w:rsid w:val="00694323"/>
    <w:rsid w:val="00694864"/>
    <w:rsid w:val="00694B21"/>
    <w:rsid w:val="00695608"/>
    <w:rsid w:val="00695654"/>
    <w:rsid w:val="00697974"/>
    <w:rsid w:val="006A0461"/>
    <w:rsid w:val="006A0550"/>
    <w:rsid w:val="006A0B82"/>
    <w:rsid w:val="006A172E"/>
    <w:rsid w:val="006A26E5"/>
    <w:rsid w:val="006A2727"/>
    <w:rsid w:val="006A29BE"/>
    <w:rsid w:val="006A4113"/>
    <w:rsid w:val="006A4C05"/>
    <w:rsid w:val="006A555A"/>
    <w:rsid w:val="006A5CFC"/>
    <w:rsid w:val="006A5DB1"/>
    <w:rsid w:val="006A5EA8"/>
    <w:rsid w:val="006A780B"/>
    <w:rsid w:val="006A7DB6"/>
    <w:rsid w:val="006A7FE0"/>
    <w:rsid w:val="006B1632"/>
    <w:rsid w:val="006B23FF"/>
    <w:rsid w:val="006B247F"/>
    <w:rsid w:val="006B3C0B"/>
    <w:rsid w:val="006B460D"/>
    <w:rsid w:val="006B59EF"/>
    <w:rsid w:val="006C0B6D"/>
    <w:rsid w:val="006C0F2D"/>
    <w:rsid w:val="006C2D84"/>
    <w:rsid w:val="006C3710"/>
    <w:rsid w:val="006C56A5"/>
    <w:rsid w:val="006C58A2"/>
    <w:rsid w:val="006C5BFF"/>
    <w:rsid w:val="006C5D46"/>
    <w:rsid w:val="006C5DAF"/>
    <w:rsid w:val="006C65F1"/>
    <w:rsid w:val="006D0207"/>
    <w:rsid w:val="006D031E"/>
    <w:rsid w:val="006D04EE"/>
    <w:rsid w:val="006D08B1"/>
    <w:rsid w:val="006D250A"/>
    <w:rsid w:val="006D3169"/>
    <w:rsid w:val="006D3773"/>
    <w:rsid w:val="006D506E"/>
    <w:rsid w:val="006D590F"/>
    <w:rsid w:val="006D60A4"/>
    <w:rsid w:val="006D6243"/>
    <w:rsid w:val="006D6AAA"/>
    <w:rsid w:val="006D6E56"/>
    <w:rsid w:val="006D741D"/>
    <w:rsid w:val="006D7726"/>
    <w:rsid w:val="006E00EB"/>
    <w:rsid w:val="006E0ACD"/>
    <w:rsid w:val="006E19CA"/>
    <w:rsid w:val="006E270D"/>
    <w:rsid w:val="006E3777"/>
    <w:rsid w:val="006E3E10"/>
    <w:rsid w:val="006E50F1"/>
    <w:rsid w:val="006E7B1A"/>
    <w:rsid w:val="006F0018"/>
    <w:rsid w:val="006F12BF"/>
    <w:rsid w:val="006F32C7"/>
    <w:rsid w:val="006F381F"/>
    <w:rsid w:val="006F4482"/>
    <w:rsid w:val="006F45BC"/>
    <w:rsid w:val="006F472E"/>
    <w:rsid w:val="006F59DE"/>
    <w:rsid w:val="006F5C13"/>
    <w:rsid w:val="006F68BB"/>
    <w:rsid w:val="006F7A04"/>
    <w:rsid w:val="006F7ABC"/>
    <w:rsid w:val="00700664"/>
    <w:rsid w:val="00700E59"/>
    <w:rsid w:val="00701FAC"/>
    <w:rsid w:val="0070216B"/>
    <w:rsid w:val="007022A4"/>
    <w:rsid w:val="0070271E"/>
    <w:rsid w:val="00702EF7"/>
    <w:rsid w:val="007035F4"/>
    <w:rsid w:val="00704294"/>
    <w:rsid w:val="00704460"/>
    <w:rsid w:val="007047B6"/>
    <w:rsid w:val="00704A66"/>
    <w:rsid w:val="007052E1"/>
    <w:rsid w:val="007061AE"/>
    <w:rsid w:val="00706323"/>
    <w:rsid w:val="0070698C"/>
    <w:rsid w:val="00706A32"/>
    <w:rsid w:val="00707331"/>
    <w:rsid w:val="007078B7"/>
    <w:rsid w:val="00710EAE"/>
    <w:rsid w:val="007119DA"/>
    <w:rsid w:val="007132B5"/>
    <w:rsid w:val="0071440E"/>
    <w:rsid w:val="00714A09"/>
    <w:rsid w:val="00715A44"/>
    <w:rsid w:val="00715D19"/>
    <w:rsid w:val="00716C70"/>
    <w:rsid w:val="00716DBB"/>
    <w:rsid w:val="0071704D"/>
    <w:rsid w:val="00717887"/>
    <w:rsid w:val="00717AA6"/>
    <w:rsid w:val="00720090"/>
    <w:rsid w:val="0072100F"/>
    <w:rsid w:val="0072165D"/>
    <w:rsid w:val="00722580"/>
    <w:rsid w:val="007227BD"/>
    <w:rsid w:val="00723F00"/>
    <w:rsid w:val="0072487D"/>
    <w:rsid w:val="007258B9"/>
    <w:rsid w:val="007262BB"/>
    <w:rsid w:val="007269C8"/>
    <w:rsid w:val="00727723"/>
    <w:rsid w:val="007302CD"/>
    <w:rsid w:val="007306EF"/>
    <w:rsid w:val="00732741"/>
    <w:rsid w:val="00732ABD"/>
    <w:rsid w:val="00732C4E"/>
    <w:rsid w:val="00733D05"/>
    <w:rsid w:val="0073478E"/>
    <w:rsid w:val="00735921"/>
    <w:rsid w:val="007362EA"/>
    <w:rsid w:val="00736CA8"/>
    <w:rsid w:val="00737C3A"/>
    <w:rsid w:val="00737D14"/>
    <w:rsid w:val="00737F05"/>
    <w:rsid w:val="0074236D"/>
    <w:rsid w:val="007431F5"/>
    <w:rsid w:val="007439CC"/>
    <w:rsid w:val="00743BCD"/>
    <w:rsid w:val="00745223"/>
    <w:rsid w:val="00745908"/>
    <w:rsid w:val="00746F21"/>
    <w:rsid w:val="00747304"/>
    <w:rsid w:val="007473AC"/>
    <w:rsid w:val="007477F4"/>
    <w:rsid w:val="00752178"/>
    <w:rsid w:val="0075282E"/>
    <w:rsid w:val="00752F02"/>
    <w:rsid w:val="00753761"/>
    <w:rsid w:val="00754881"/>
    <w:rsid w:val="00754A54"/>
    <w:rsid w:val="00754AB5"/>
    <w:rsid w:val="00755117"/>
    <w:rsid w:val="00755404"/>
    <w:rsid w:val="007557CA"/>
    <w:rsid w:val="0075617D"/>
    <w:rsid w:val="007564AB"/>
    <w:rsid w:val="00756930"/>
    <w:rsid w:val="00756975"/>
    <w:rsid w:val="00756DFA"/>
    <w:rsid w:val="00757C4B"/>
    <w:rsid w:val="0076041D"/>
    <w:rsid w:val="007607E4"/>
    <w:rsid w:val="007611CB"/>
    <w:rsid w:val="0076130C"/>
    <w:rsid w:val="00761B0B"/>
    <w:rsid w:val="007631E0"/>
    <w:rsid w:val="00763430"/>
    <w:rsid w:val="00763E7C"/>
    <w:rsid w:val="00764E7A"/>
    <w:rsid w:val="00765781"/>
    <w:rsid w:val="00766353"/>
    <w:rsid w:val="00766448"/>
    <w:rsid w:val="007668A6"/>
    <w:rsid w:val="00771098"/>
    <w:rsid w:val="00773BDD"/>
    <w:rsid w:val="00774460"/>
    <w:rsid w:val="00774922"/>
    <w:rsid w:val="00776EC9"/>
    <w:rsid w:val="00780290"/>
    <w:rsid w:val="00780296"/>
    <w:rsid w:val="00780707"/>
    <w:rsid w:val="007808F6"/>
    <w:rsid w:val="00780972"/>
    <w:rsid w:val="00780E2F"/>
    <w:rsid w:val="00781C27"/>
    <w:rsid w:val="00782DF0"/>
    <w:rsid w:val="00783386"/>
    <w:rsid w:val="00785056"/>
    <w:rsid w:val="00785BDD"/>
    <w:rsid w:val="007866EF"/>
    <w:rsid w:val="00787B2C"/>
    <w:rsid w:val="00787B36"/>
    <w:rsid w:val="00787D24"/>
    <w:rsid w:val="007906AE"/>
    <w:rsid w:val="00790F45"/>
    <w:rsid w:val="00791EEE"/>
    <w:rsid w:val="00791F04"/>
    <w:rsid w:val="00792C57"/>
    <w:rsid w:val="007946EB"/>
    <w:rsid w:val="0079538E"/>
    <w:rsid w:val="0079543C"/>
    <w:rsid w:val="00795F8D"/>
    <w:rsid w:val="00796AEA"/>
    <w:rsid w:val="007A0DEA"/>
    <w:rsid w:val="007A1316"/>
    <w:rsid w:val="007A1DC5"/>
    <w:rsid w:val="007A20AD"/>
    <w:rsid w:val="007A28CD"/>
    <w:rsid w:val="007A31E4"/>
    <w:rsid w:val="007A3D33"/>
    <w:rsid w:val="007A3F8F"/>
    <w:rsid w:val="007A5A18"/>
    <w:rsid w:val="007A5D05"/>
    <w:rsid w:val="007A5E2B"/>
    <w:rsid w:val="007A6BB9"/>
    <w:rsid w:val="007A730E"/>
    <w:rsid w:val="007A7331"/>
    <w:rsid w:val="007A7415"/>
    <w:rsid w:val="007A76A2"/>
    <w:rsid w:val="007A7EEE"/>
    <w:rsid w:val="007B0669"/>
    <w:rsid w:val="007B0CB0"/>
    <w:rsid w:val="007B116D"/>
    <w:rsid w:val="007B1A13"/>
    <w:rsid w:val="007B1F99"/>
    <w:rsid w:val="007B2077"/>
    <w:rsid w:val="007B27DF"/>
    <w:rsid w:val="007B3A86"/>
    <w:rsid w:val="007B3DF4"/>
    <w:rsid w:val="007B54ED"/>
    <w:rsid w:val="007B596C"/>
    <w:rsid w:val="007B63CE"/>
    <w:rsid w:val="007B6462"/>
    <w:rsid w:val="007B6863"/>
    <w:rsid w:val="007B6EF3"/>
    <w:rsid w:val="007B7B47"/>
    <w:rsid w:val="007C0EAB"/>
    <w:rsid w:val="007C2AE2"/>
    <w:rsid w:val="007C2F4E"/>
    <w:rsid w:val="007C31CC"/>
    <w:rsid w:val="007C32C3"/>
    <w:rsid w:val="007C3745"/>
    <w:rsid w:val="007C3E46"/>
    <w:rsid w:val="007C47D0"/>
    <w:rsid w:val="007C596A"/>
    <w:rsid w:val="007C5FA8"/>
    <w:rsid w:val="007C6751"/>
    <w:rsid w:val="007D0987"/>
    <w:rsid w:val="007D0E00"/>
    <w:rsid w:val="007D0FC5"/>
    <w:rsid w:val="007D16EA"/>
    <w:rsid w:val="007D1913"/>
    <w:rsid w:val="007D19CF"/>
    <w:rsid w:val="007D1DA4"/>
    <w:rsid w:val="007D20B0"/>
    <w:rsid w:val="007D211D"/>
    <w:rsid w:val="007D298C"/>
    <w:rsid w:val="007D30DA"/>
    <w:rsid w:val="007D3420"/>
    <w:rsid w:val="007D5362"/>
    <w:rsid w:val="007D6110"/>
    <w:rsid w:val="007D6435"/>
    <w:rsid w:val="007D6BBA"/>
    <w:rsid w:val="007D6C48"/>
    <w:rsid w:val="007D71F7"/>
    <w:rsid w:val="007E000F"/>
    <w:rsid w:val="007E0AB8"/>
    <w:rsid w:val="007E14BD"/>
    <w:rsid w:val="007E156E"/>
    <w:rsid w:val="007E23B6"/>
    <w:rsid w:val="007E2E70"/>
    <w:rsid w:val="007E300A"/>
    <w:rsid w:val="007E3501"/>
    <w:rsid w:val="007E4C3F"/>
    <w:rsid w:val="007E52B4"/>
    <w:rsid w:val="007E65B1"/>
    <w:rsid w:val="007E7B0A"/>
    <w:rsid w:val="007F05C7"/>
    <w:rsid w:val="007F0FF4"/>
    <w:rsid w:val="007F136D"/>
    <w:rsid w:val="007F2683"/>
    <w:rsid w:val="007F2956"/>
    <w:rsid w:val="007F2E32"/>
    <w:rsid w:val="007F3A08"/>
    <w:rsid w:val="007F6940"/>
    <w:rsid w:val="007F6A11"/>
    <w:rsid w:val="008002AA"/>
    <w:rsid w:val="008015EA"/>
    <w:rsid w:val="008018EF"/>
    <w:rsid w:val="0080230D"/>
    <w:rsid w:val="008036FD"/>
    <w:rsid w:val="0080383D"/>
    <w:rsid w:val="00804E3D"/>
    <w:rsid w:val="00807429"/>
    <w:rsid w:val="008106A5"/>
    <w:rsid w:val="00810827"/>
    <w:rsid w:val="008127D6"/>
    <w:rsid w:val="00814E45"/>
    <w:rsid w:val="00815227"/>
    <w:rsid w:val="00815360"/>
    <w:rsid w:val="00817346"/>
    <w:rsid w:val="00817AB5"/>
    <w:rsid w:val="00817DA7"/>
    <w:rsid w:val="00820805"/>
    <w:rsid w:val="0082161C"/>
    <w:rsid w:val="00821B16"/>
    <w:rsid w:val="00822D03"/>
    <w:rsid w:val="00823378"/>
    <w:rsid w:val="008235BA"/>
    <w:rsid w:val="00823797"/>
    <w:rsid w:val="008243DF"/>
    <w:rsid w:val="0082459D"/>
    <w:rsid w:val="00824CEF"/>
    <w:rsid w:val="008254AB"/>
    <w:rsid w:val="00826480"/>
    <w:rsid w:val="00827496"/>
    <w:rsid w:val="00827653"/>
    <w:rsid w:val="00827914"/>
    <w:rsid w:val="00830148"/>
    <w:rsid w:val="008316AD"/>
    <w:rsid w:val="00831855"/>
    <w:rsid w:val="00832D13"/>
    <w:rsid w:val="00832F75"/>
    <w:rsid w:val="0083362F"/>
    <w:rsid w:val="0083487E"/>
    <w:rsid w:val="00835315"/>
    <w:rsid w:val="00835AEB"/>
    <w:rsid w:val="0083669A"/>
    <w:rsid w:val="00836BE5"/>
    <w:rsid w:val="00836F2D"/>
    <w:rsid w:val="008379D5"/>
    <w:rsid w:val="00840D0F"/>
    <w:rsid w:val="0084200E"/>
    <w:rsid w:val="008422B8"/>
    <w:rsid w:val="00842A84"/>
    <w:rsid w:val="00842FDE"/>
    <w:rsid w:val="008445D4"/>
    <w:rsid w:val="008446F1"/>
    <w:rsid w:val="00844FB7"/>
    <w:rsid w:val="00846FF0"/>
    <w:rsid w:val="00847693"/>
    <w:rsid w:val="00847CD0"/>
    <w:rsid w:val="00854B56"/>
    <w:rsid w:val="00855374"/>
    <w:rsid w:val="00855C38"/>
    <w:rsid w:val="0085728C"/>
    <w:rsid w:val="008575DC"/>
    <w:rsid w:val="00857A42"/>
    <w:rsid w:val="00857CAB"/>
    <w:rsid w:val="00857F65"/>
    <w:rsid w:val="00860737"/>
    <w:rsid w:val="008611A4"/>
    <w:rsid w:val="00861FD7"/>
    <w:rsid w:val="0086249A"/>
    <w:rsid w:val="00862B1B"/>
    <w:rsid w:val="00862B56"/>
    <w:rsid w:val="0086363F"/>
    <w:rsid w:val="008639C9"/>
    <w:rsid w:val="0086421C"/>
    <w:rsid w:val="008667AD"/>
    <w:rsid w:val="00866D13"/>
    <w:rsid w:val="00867150"/>
    <w:rsid w:val="00870F40"/>
    <w:rsid w:val="0087176A"/>
    <w:rsid w:val="008738C7"/>
    <w:rsid w:val="00874448"/>
    <w:rsid w:val="008747EE"/>
    <w:rsid w:val="00874DEF"/>
    <w:rsid w:val="0087656E"/>
    <w:rsid w:val="00876D09"/>
    <w:rsid w:val="00877308"/>
    <w:rsid w:val="0088013C"/>
    <w:rsid w:val="0088039B"/>
    <w:rsid w:val="0088129B"/>
    <w:rsid w:val="00881882"/>
    <w:rsid w:val="00882AC7"/>
    <w:rsid w:val="00882CC5"/>
    <w:rsid w:val="008835E3"/>
    <w:rsid w:val="008837EC"/>
    <w:rsid w:val="00884416"/>
    <w:rsid w:val="00884452"/>
    <w:rsid w:val="00886E1F"/>
    <w:rsid w:val="00887994"/>
    <w:rsid w:val="008904A9"/>
    <w:rsid w:val="008905D7"/>
    <w:rsid w:val="008934C7"/>
    <w:rsid w:val="00894878"/>
    <w:rsid w:val="008957C4"/>
    <w:rsid w:val="00895B87"/>
    <w:rsid w:val="00895EB5"/>
    <w:rsid w:val="008960B7"/>
    <w:rsid w:val="008962F2"/>
    <w:rsid w:val="00896511"/>
    <w:rsid w:val="00896657"/>
    <w:rsid w:val="0089692A"/>
    <w:rsid w:val="00896A7B"/>
    <w:rsid w:val="00896F35"/>
    <w:rsid w:val="008975E7"/>
    <w:rsid w:val="00897D22"/>
    <w:rsid w:val="008A05D6"/>
    <w:rsid w:val="008A08D2"/>
    <w:rsid w:val="008A0DE1"/>
    <w:rsid w:val="008A1223"/>
    <w:rsid w:val="008A213D"/>
    <w:rsid w:val="008A25F2"/>
    <w:rsid w:val="008A2E7B"/>
    <w:rsid w:val="008A3423"/>
    <w:rsid w:val="008A3500"/>
    <w:rsid w:val="008A3EA4"/>
    <w:rsid w:val="008A3FB1"/>
    <w:rsid w:val="008A411B"/>
    <w:rsid w:val="008A5548"/>
    <w:rsid w:val="008A6B7E"/>
    <w:rsid w:val="008A6E9F"/>
    <w:rsid w:val="008A7133"/>
    <w:rsid w:val="008A7273"/>
    <w:rsid w:val="008A7AE9"/>
    <w:rsid w:val="008B0176"/>
    <w:rsid w:val="008B0C5E"/>
    <w:rsid w:val="008B1431"/>
    <w:rsid w:val="008B1D85"/>
    <w:rsid w:val="008B24E5"/>
    <w:rsid w:val="008B270A"/>
    <w:rsid w:val="008B2C53"/>
    <w:rsid w:val="008B3920"/>
    <w:rsid w:val="008B4053"/>
    <w:rsid w:val="008B496B"/>
    <w:rsid w:val="008B5ADC"/>
    <w:rsid w:val="008B5B9D"/>
    <w:rsid w:val="008B68C6"/>
    <w:rsid w:val="008B6F16"/>
    <w:rsid w:val="008B6F4B"/>
    <w:rsid w:val="008C0156"/>
    <w:rsid w:val="008C0189"/>
    <w:rsid w:val="008C0257"/>
    <w:rsid w:val="008C12FB"/>
    <w:rsid w:val="008C2607"/>
    <w:rsid w:val="008C2E2F"/>
    <w:rsid w:val="008C465E"/>
    <w:rsid w:val="008C4CE4"/>
    <w:rsid w:val="008C5AA7"/>
    <w:rsid w:val="008C6787"/>
    <w:rsid w:val="008C73D6"/>
    <w:rsid w:val="008C7DE8"/>
    <w:rsid w:val="008D0AC7"/>
    <w:rsid w:val="008D0C62"/>
    <w:rsid w:val="008D20C1"/>
    <w:rsid w:val="008D2C02"/>
    <w:rsid w:val="008D2CD6"/>
    <w:rsid w:val="008D32CD"/>
    <w:rsid w:val="008D3B1D"/>
    <w:rsid w:val="008D4939"/>
    <w:rsid w:val="008D50C8"/>
    <w:rsid w:val="008D6CAA"/>
    <w:rsid w:val="008D790B"/>
    <w:rsid w:val="008D7FC7"/>
    <w:rsid w:val="008E0C04"/>
    <w:rsid w:val="008E0FE3"/>
    <w:rsid w:val="008E2737"/>
    <w:rsid w:val="008E3B9E"/>
    <w:rsid w:val="008E3D60"/>
    <w:rsid w:val="008E45DB"/>
    <w:rsid w:val="008E4DCD"/>
    <w:rsid w:val="008E4E47"/>
    <w:rsid w:val="008E6098"/>
    <w:rsid w:val="008E627D"/>
    <w:rsid w:val="008E7390"/>
    <w:rsid w:val="008E7B58"/>
    <w:rsid w:val="008E7CDD"/>
    <w:rsid w:val="008F05C2"/>
    <w:rsid w:val="008F1D7A"/>
    <w:rsid w:val="008F1E28"/>
    <w:rsid w:val="008F1F00"/>
    <w:rsid w:val="008F41ED"/>
    <w:rsid w:val="008F42BB"/>
    <w:rsid w:val="008F47D1"/>
    <w:rsid w:val="008F4B16"/>
    <w:rsid w:val="008F6315"/>
    <w:rsid w:val="008F6D2B"/>
    <w:rsid w:val="008F7005"/>
    <w:rsid w:val="00900E01"/>
    <w:rsid w:val="009017D8"/>
    <w:rsid w:val="00901E6F"/>
    <w:rsid w:val="0090291C"/>
    <w:rsid w:val="009043BE"/>
    <w:rsid w:val="00905434"/>
    <w:rsid w:val="00905C39"/>
    <w:rsid w:val="00905E46"/>
    <w:rsid w:val="00906628"/>
    <w:rsid w:val="0090692D"/>
    <w:rsid w:val="009070B5"/>
    <w:rsid w:val="009072F6"/>
    <w:rsid w:val="00907697"/>
    <w:rsid w:val="009077DB"/>
    <w:rsid w:val="009102B6"/>
    <w:rsid w:val="00910B93"/>
    <w:rsid w:val="00910D1A"/>
    <w:rsid w:val="009113AE"/>
    <w:rsid w:val="009116CC"/>
    <w:rsid w:val="00911955"/>
    <w:rsid w:val="00911A3E"/>
    <w:rsid w:val="00912262"/>
    <w:rsid w:val="00912A52"/>
    <w:rsid w:val="00912BE1"/>
    <w:rsid w:val="00913539"/>
    <w:rsid w:val="00913AAB"/>
    <w:rsid w:val="009145A4"/>
    <w:rsid w:val="0091586C"/>
    <w:rsid w:val="00915F47"/>
    <w:rsid w:val="009160E0"/>
    <w:rsid w:val="00917DA1"/>
    <w:rsid w:val="00920E65"/>
    <w:rsid w:val="00921B80"/>
    <w:rsid w:val="00921F3C"/>
    <w:rsid w:val="00923A05"/>
    <w:rsid w:val="00924F4A"/>
    <w:rsid w:val="009259EF"/>
    <w:rsid w:val="00925E74"/>
    <w:rsid w:val="00926659"/>
    <w:rsid w:val="00926F31"/>
    <w:rsid w:val="00927477"/>
    <w:rsid w:val="00927725"/>
    <w:rsid w:val="00927DC4"/>
    <w:rsid w:val="009304FE"/>
    <w:rsid w:val="00930782"/>
    <w:rsid w:val="009310F0"/>
    <w:rsid w:val="0093251E"/>
    <w:rsid w:val="0093296D"/>
    <w:rsid w:val="00933B85"/>
    <w:rsid w:val="0093422B"/>
    <w:rsid w:val="0093507E"/>
    <w:rsid w:val="009353DF"/>
    <w:rsid w:val="00935697"/>
    <w:rsid w:val="0093570A"/>
    <w:rsid w:val="00935F40"/>
    <w:rsid w:val="009363C8"/>
    <w:rsid w:val="00936C3C"/>
    <w:rsid w:val="00936EC8"/>
    <w:rsid w:val="009378D2"/>
    <w:rsid w:val="00937AD5"/>
    <w:rsid w:val="00937FEC"/>
    <w:rsid w:val="00941138"/>
    <w:rsid w:val="00942DAE"/>
    <w:rsid w:val="00943F6E"/>
    <w:rsid w:val="00945CCD"/>
    <w:rsid w:val="00945D59"/>
    <w:rsid w:val="0094695F"/>
    <w:rsid w:val="00947F9D"/>
    <w:rsid w:val="0095036C"/>
    <w:rsid w:val="009507EF"/>
    <w:rsid w:val="00951D24"/>
    <w:rsid w:val="00952049"/>
    <w:rsid w:val="00952C86"/>
    <w:rsid w:val="00953BC2"/>
    <w:rsid w:val="009542EE"/>
    <w:rsid w:val="00954986"/>
    <w:rsid w:val="00955075"/>
    <w:rsid w:val="00955385"/>
    <w:rsid w:val="00955739"/>
    <w:rsid w:val="009559AF"/>
    <w:rsid w:val="00955CF8"/>
    <w:rsid w:val="009564F3"/>
    <w:rsid w:val="009565E3"/>
    <w:rsid w:val="00956972"/>
    <w:rsid w:val="0095714D"/>
    <w:rsid w:val="00957687"/>
    <w:rsid w:val="00957E20"/>
    <w:rsid w:val="00961E91"/>
    <w:rsid w:val="00963140"/>
    <w:rsid w:val="009635E0"/>
    <w:rsid w:val="00963876"/>
    <w:rsid w:val="00964CD3"/>
    <w:rsid w:val="00966051"/>
    <w:rsid w:val="00966BD1"/>
    <w:rsid w:val="0096723F"/>
    <w:rsid w:val="0097089D"/>
    <w:rsid w:val="00970E28"/>
    <w:rsid w:val="00971B7E"/>
    <w:rsid w:val="00972474"/>
    <w:rsid w:val="00973088"/>
    <w:rsid w:val="00974568"/>
    <w:rsid w:val="0097493A"/>
    <w:rsid w:val="00974BBF"/>
    <w:rsid w:val="0097619C"/>
    <w:rsid w:val="00976280"/>
    <w:rsid w:val="009765DF"/>
    <w:rsid w:val="00976B98"/>
    <w:rsid w:val="00977973"/>
    <w:rsid w:val="009803C8"/>
    <w:rsid w:val="00981F79"/>
    <w:rsid w:val="009828CE"/>
    <w:rsid w:val="009834E9"/>
    <w:rsid w:val="00983A72"/>
    <w:rsid w:val="00984653"/>
    <w:rsid w:val="009850EF"/>
    <w:rsid w:val="009855A2"/>
    <w:rsid w:val="009868FC"/>
    <w:rsid w:val="00986D78"/>
    <w:rsid w:val="00987676"/>
    <w:rsid w:val="00987B24"/>
    <w:rsid w:val="00987E09"/>
    <w:rsid w:val="00987F49"/>
    <w:rsid w:val="00987FE0"/>
    <w:rsid w:val="009901D9"/>
    <w:rsid w:val="00990566"/>
    <w:rsid w:val="00991A16"/>
    <w:rsid w:val="00991AA5"/>
    <w:rsid w:val="00992108"/>
    <w:rsid w:val="00993BEE"/>
    <w:rsid w:val="00994BED"/>
    <w:rsid w:val="00994C4A"/>
    <w:rsid w:val="00995700"/>
    <w:rsid w:val="00995CC1"/>
    <w:rsid w:val="00995E57"/>
    <w:rsid w:val="009961EE"/>
    <w:rsid w:val="0099682E"/>
    <w:rsid w:val="00996FC8"/>
    <w:rsid w:val="00997386"/>
    <w:rsid w:val="009A0BF1"/>
    <w:rsid w:val="009A0D75"/>
    <w:rsid w:val="009A23A4"/>
    <w:rsid w:val="009A2E64"/>
    <w:rsid w:val="009A3B6D"/>
    <w:rsid w:val="009A3BAF"/>
    <w:rsid w:val="009A43AF"/>
    <w:rsid w:val="009A4914"/>
    <w:rsid w:val="009A4C58"/>
    <w:rsid w:val="009A4ED0"/>
    <w:rsid w:val="009A5035"/>
    <w:rsid w:val="009A5986"/>
    <w:rsid w:val="009A638D"/>
    <w:rsid w:val="009A6EF9"/>
    <w:rsid w:val="009B0086"/>
    <w:rsid w:val="009B044D"/>
    <w:rsid w:val="009B0D5B"/>
    <w:rsid w:val="009B0DF1"/>
    <w:rsid w:val="009B2B04"/>
    <w:rsid w:val="009B32BB"/>
    <w:rsid w:val="009B41FE"/>
    <w:rsid w:val="009B4416"/>
    <w:rsid w:val="009B4A4C"/>
    <w:rsid w:val="009B4B28"/>
    <w:rsid w:val="009B4E8F"/>
    <w:rsid w:val="009B5E0E"/>
    <w:rsid w:val="009B75B8"/>
    <w:rsid w:val="009B7FCB"/>
    <w:rsid w:val="009C07DF"/>
    <w:rsid w:val="009C0E2E"/>
    <w:rsid w:val="009C1047"/>
    <w:rsid w:val="009C173C"/>
    <w:rsid w:val="009C1908"/>
    <w:rsid w:val="009C190C"/>
    <w:rsid w:val="009C2436"/>
    <w:rsid w:val="009C4920"/>
    <w:rsid w:val="009C5D6A"/>
    <w:rsid w:val="009C65B2"/>
    <w:rsid w:val="009C6C72"/>
    <w:rsid w:val="009C77A0"/>
    <w:rsid w:val="009C79CB"/>
    <w:rsid w:val="009C7C61"/>
    <w:rsid w:val="009D0B36"/>
    <w:rsid w:val="009D1640"/>
    <w:rsid w:val="009D21D0"/>
    <w:rsid w:val="009D2D1D"/>
    <w:rsid w:val="009D2FBA"/>
    <w:rsid w:val="009D351E"/>
    <w:rsid w:val="009D50ED"/>
    <w:rsid w:val="009D5768"/>
    <w:rsid w:val="009D5BF3"/>
    <w:rsid w:val="009D6D73"/>
    <w:rsid w:val="009D73AC"/>
    <w:rsid w:val="009D7787"/>
    <w:rsid w:val="009E02C9"/>
    <w:rsid w:val="009E0845"/>
    <w:rsid w:val="009E1660"/>
    <w:rsid w:val="009E1F68"/>
    <w:rsid w:val="009E2A96"/>
    <w:rsid w:val="009E2DCD"/>
    <w:rsid w:val="009E359F"/>
    <w:rsid w:val="009E39DC"/>
    <w:rsid w:val="009E3FC0"/>
    <w:rsid w:val="009E44D4"/>
    <w:rsid w:val="009E455F"/>
    <w:rsid w:val="009E5645"/>
    <w:rsid w:val="009E56B4"/>
    <w:rsid w:val="009E59A2"/>
    <w:rsid w:val="009E5ABA"/>
    <w:rsid w:val="009E67DD"/>
    <w:rsid w:val="009F00E2"/>
    <w:rsid w:val="009F0CB0"/>
    <w:rsid w:val="009F1D42"/>
    <w:rsid w:val="009F436B"/>
    <w:rsid w:val="009F43C3"/>
    <w:rsid w:val="009F4C44"/>
    <w:rsid w:val="009F5489"/>
    <w:rsid w:val="009F61A9"/>
    <w:rsid w:val="009F61B8"/>
    <w:rsid w:val="009F6A19"/>
    <w:rsid w:val="00A003E6"/>
    <w:rsid w:val="00A020B4"/>
    <w:rsid w:val="00A02F3C"/>
    <w:rsid w:val="00A03358"/>
    <w:rsid w:val="00A043FE"/>
    <w:rsid w:val="00A044A3"/>
    <w:rsid w:val="00A0471E"/>
    <w:rsid w:val="00A056E1"/>
    <w:rsid w:val="00A0588B"/>
    <w:rsid w:val="00A05916"/>
    <w:rsid w:val="00A05AA6"/>
    <w:rsid w:val="00A05B21"/>
    <w:rsid w:val="00A06192"/>
    <w:rsid w:val="00A06818"/>
    <w:rsid w:val="00A06AA8"/>
    <w:rsid w:val="00A07065"/>
    <w:rsid w:val="00A0735A"/>
    <w:rsid w:val="00A10886"/>
    <w:rsid w:val="00A11861"/>
    <w:rsid w:val="00A1266A"/>
    <w:rsid w:val="00A1268A"/>
    <w:rsid w:val="00A1389B"/>
    <w:rsid w:val="00A1622A"/>
    <w:rsid w:val="00A16E6B"/>
    <w:rsid w:val="00A16EEB"/>
    <w:rsid w:val="00A200B5"/>
    <w:rsid w:val="00A20575"/>
    <w:rsid w:val="00A208EB"/>
    <w:rsid w:val="00A2114F"/>
    <w:rsid w:val="00A2216E"/>
    <w:rsid w:val="00A228C1"/>
    <w:rsid w:val="00A22F5A"/>
    <w:rsid w:val="00A23508"/>
    <w:rsid w:val="00A2359F"/>
    <w:rsid w:val="00A2370B"/>
    <w:rsid w:val="00A23F13"/>
    <w:rsid w:val="00A24EC7"/>
    <w:rsid w:val="00A26956"/>
    <w:rsid w:val="00A26D8B"/>
    <w:rsid w:val="00A26EDF"/>
    <w:rsid w:val="00A27ACC"/>
    <w:rsid w:val="00A27C20"/>
    <w:rsid w:val="00A30322"/>
    <w:rsid w:val="00A303DA"/>
    <w:rsid w:val="00A30EA6"/>
    <w:rsid w:val="00A31499"/>
    <w:rsid w:val="00A31523"/>
    <w:rsid w:val="00A31536"/>
    <w:rsid w:val="00A31FAC"/>
    <w:rsid w:val="00A332F7"/>
    <w:rsid w:val="00A33E9B"/>
    <w:rsid w:val="00A346FE"/>
    <w:rsid w:val="00A3596C"/>
    <w:rsid w:val="00A36B1D"/>
    <w:rsid w:val="00A36D6B"/>
    <w:rsid w:val="00A36E14"/>
    <w:rsid w:val="00A40446"/>
    <w:rsid w:val="00A40A8F"/>
    <w:rsid w:val="00A41B06"/>
    <w:rsid w:val="00A42098"/>
    <w:rsid w:val="00A4277B"/>
    <w:rsid w:val="00A43468"/>
    <w:rsid w:val="00A437BB"/>
    <w:rsid w:val="00A4716C"/>
    <w:rsid w:val="00A50430"/>
    <w:rsid w:val="00A50BF4"/>
    <w:rsid w:val="00A50DA6"/>
    <w:rsid w:val="00A511E6"/>
    <w:rsid w:val="00A52978"/>
    <w:rsid w:val="00A52C86"/>
    <w:rsid w:val="00A53130"/>
    <w:rsid w:val="00A5412B"/>
    <w:rsid w:val="00A547F1"/>
    <w:rsid w:val="00A55158"/>
    <w:rsid w:val="00A55C16"/>
    <w:rsid w:val="00A57DA5"/>
    <w:rsid w:val="00A6042C"/>
    <w:rsid w:val="00A60BF6"/>
    <w:rsid w:val="00A61E0C"/>
    <w:rsid w:val="00A628DE"/>
    <w:rsid w:val="00A63975"/>
    <w:rsid w:val="00A63B97"/>
    <w:rsid w:val="00A63D74"/>
    <w:rsid w:val="00A64735"/>
    <w:rsid w:val="00A64AC6"/>
    <w:rsid w:val="00A6521D"/>
    <w:rsid w:val="00A65CB6"/>
    <w:rsid w:val="00A66253"/>
    <w:rsid w:val="00A666B7"/>
    <w:rsid w:val="00A66B50"/>
    <w:rsid w:val="00A673B7"/>
    <w:rsid w:val="00A677C0"/>
    <w:rsid w:val="00A67FAE"/>
    <w:rsid w:val="00A70B34"/>
    <w:rsid w:val="00A723B2"/>
    <w:rsid w:val="00A72556"/>
    <w:rsid w:val="00A72AF8"/>
    <w:rsid w:val="00A7322E"/>
    <w:rsid w:val="00A73601"/>
    <w:rsid w:val="00A73F4B"/>
    <w:rsid w:val="00A7422E"/>
    <w:rsid w:val="00A746B4"/>
    <w:rsid w:val="00A74F96"/>
    <w:rsid w:val="00A80B08"/>
    <w:rsid w:val="00A80E67"/>
    <w:rsid w:val="00A81E64"/>
    <w:rsid w:val="00A82AD7"/>
    <w:rsid w:val="00A8326A"/>
    <w:rsid w:val="00A8367E"/>
    <w:rsid w:val="00A84536"/>
    <w:rsid w:val="00A84FC0"/>
    <w:rsid w:val="00A8510A"/>
    <w:rsid w:val="00A85226"/>
    <w:rsid w:val="00A857A7"/>
    <w:rsid w:val="00A85CF2"/>
    <w:rsid w:val="00A860D4"/>
    <w:rsid w:val="00A86106"/>
    <w:rsid w:val="00A915BB"/>
    <w:rsid w:val="00A91F1C"/>
    <w:rsid w:val="00A92240"/>
    <w:rsid w:val="00A926BB"/>
    <w:rsid w:val="00A92D24"/>
    <w:rsid w:val="00A9350D"/>
    <w:rsid w:val="00A940EA"/>
    <w:rsid w:val="00A94442"/>
    <w:rsid w:val="00A944A8"/>
    <w:rsid w:val="00A94FA2"/>
    <w:rsid w:val="00A95E1A"/>
    <w:rsid w:val="00A973D1"/>
    <w:rsid w:val="00A97EC6"/>
    <w:rsid w:val="00A97F64"/>
    <w:rsid w:val="00AA0D13"/>
    <w:rsid w:val="00AA18E1"/>
    <w:rsid w:val="00AA2F56"/>
    <w:rsid w:val="00AA32F4"/>
    <w:rsid w:val="00AA3F68"/>
    <w:rsid w:val="00AA3FE6"/>
    <w:rsid w:val="00AA46CF"/>
    <w:rsid w:val="00AA56E9"/>
    <w:rsid w:val="00AA59A9"/>
    <w:rsid w:val="00AA5C5A"/>
    <w:rsid w:val="00AA650E"/>
    <w:rsid w:val="00AA72B5"/>
    <w:rsid w:val="00AB0EFE"/>
    <w:rsid w:val="00AB0F2F"/>
    <w:rsid w:val="00AB12D9"/>
    <w:rsid w:val="00AB195F"/>
    <w:rsid w:val="00AB1C09"/>
    <w:rsid w:val="00AB2C4F"/>
    <w:rsid w:val="00AB3848"/>
    <w:rsid w:val="00AB3ACA"/>
    <w:rsid w:val="00AB5020"/>
    <w:rsid w:val="00AB5F73"/>
    <w:rsid w:val="00AB68A6"/>
    <w:rsid w:val="00AB6968"/>
    <w:rsid w:val="00AB699B"/>
    <w:rsid w:val="00AB6EAA"/>
    <w:rsid w:val="00AB760F"/>
    <w:rsid w:val="00AB7AA8"/>
    <w:rsid w:val="00AB7FEE"/>
    <w:rsid w:val="00AC042B"/>
    <w:rsid w:val="00AC0A37"/>
    <w:rsid w:val="00AC113A"/>
    <w:rsid w:val="00AC159A"/>
    <w:rsid w:val="00AC1E64"/>
    <w:rsid w:val="00AC275F"/>
    <w:rsid w:val="00AC2919"/>
    <w:rsid w:val="00AC3473"/>
    <w:rsid w:val="00AC3742"/>
    <w:rsid w:val="00AC3CC5"/>
    <w:rsid w:val="00AC4230"/>
    <w:rsid w:val="00AC4746"/>
    <w:rsid w:val="00AC5FB9"/>
    <w:rsid w:val="00AC6001"/>
    <w:rsid w:val="00AC66CB"/>
    <w:rsid w:val="00AC6CAC"/>
    <w:rsid w:val="00AC6F04"/>
    <w:rsid w:val="00AC7080"/>
    <w:rsid w:val="00AC7204"/>
    <w:rsid w:val="00AD07F3"/>
    <w:rsid w:val="00AD149E"/>
    <w:rsid w:val="00AD1FB6"/>
    <w:rsid w:val="00AD1FC9"/>
    <w:rsid w:val="00AD20E2"/>
    <w:rsid w:val="00AD22B6"/>
    <w:rsid w:val="00AD2ADC"/>
    <w:rsid w:val="00AD2B54"/>
    <w:rsid w:val="00AD2B86"/>
    <w:rsid w:val="00AD3216"/>
    <w:rsid w:val="00AD3F3F"/>
    <w:rsid w:val="00AD46E9"/>
    <w:rsid w:val="00AD48FB"/>
    <w:rsid w:val="00AD533A"/>
    <w:rsid w:val="00AD5C38"/>
    <w:rsid w:val="00AD73AB"/>
    <w:rsid w:val="00AD76C7"/>
    <w:rsid w:val="00AD7B6F"/>
    <w:rsid w:val="00AD7C13"/>
    <w:rsid w:val="00AE011D"/>
    <w:rsid w:val="00AE210C"/>
    <w:rsid w:val="00AE2229"/>
    <w:rsid w:val="00AE2494"/>
    <w:rsid w:val="00AE253D"/>
    <w:rsid w:val="00AE2B63"/>
    <w:rsid w:val="00AE2D37"/>
    <w:rsid w:val="00AE2D7B"/>
    <w:rsid w:val="00AE2EC5"/>
    <w:rsid w:val="00AE3330"/>
    <w:rsid w:val="00AE364A"/>
    <w:rsid w:val="00AE402B"/>
    <w:rsid w:val="00AE6166"/>
    <w:rsid w:val="00AE61D9"/>
    <w:rsid w:val="00AE646E"/>
    <w:rsid w:val="00AE655A"/>
    <w:rsid w:val="00AF08B5"/>
    <w:rsid w:val="00AF0AC1"/>
    <w:rsid w:val="00AF16AA"/>
    <w:rsid w:val="00AF41FA"/>
    <w:rsid w:val="00AF4B50"/>
    <w:rsid w:val="00AF4BB9"/>
    <w:rsid w:val="00AF4E66"/>
    <w:rsid w:val="00AF545D"/>
    <w:rsid w:val="00AF6DD9"/>
    <w:rsid w:val="00AF799A"/>
    <w:rsid w:val="00B001CE"/>
    <w:rsid w:val="00B00E32"/>
    <w:rsid w:val="00B00FBD"/>
    <w:rsid w:val="00B01D41"/>
    <w:rsid w:val="00B01E84"/>
    <w:rsid w:val="00B01F47"/>
    <w:rsid w:val="00B02144"/>
    <w:rsid w:val="00B021F9"/>
    <w:rsid w:val="00B03575"/>
    <w:rsid w:val="00B03703"/>
    <w:rsid w:val="00B03B71"/>
    <w:rsid w:val="00B0404E"/>
    <w:rsid w:val="00B043A6"/>
    <w:rsid w:val="00B044F4"/>
    <w:rsid w:val="00B05C76"/>
    <w:rsid w:val="00B068F0"/>
    <w:rsid w:val="00B077A2"/>
    <w:rsid w:val="00B07E37"/>
    <w:rsid w:val="00B101A9"/>
    <w:rsid w:val="00B106F6"/>
    <w:rsid w:val="00B10802"/>
    <w:rsid w:val="00B10907"/>
    <w:rsid w:val="00B10A00"/>
    <w:rsid w:val="00B10D98"/>
    <w:rsid w:val="00B10F4E"/>
    <w:rsid w:val="00B11E5B"/>
    <w:rsid w:val="00B146AF"/>
    <w:rsid w:val="00B1511A"/>
    <w:rsid w:val="00B15D08"/>
    <w:rsid w:val="00B16E7E"/>
    <w:rsid w:val="00B17456"/>
    <w:rsid w:val="00B204F4"/>
    <w:rsid w:val="00B20655"/>
    <w:rsid w:val="00B206E5"/>
    <w:rsid w:val="00B20AC4"/>
    <w:rsid w:val="00B215A1"/>
    <w:rsid w:val="00B21FFE"/>
    <w:rsid w:val="00B229D6"/>
    <w:rsid w:val="00B23CE9"/>
    <w:rsid w:val="00B24127"/>
    <w:rsid w:val="00B24658"/>
    <w:rsid w:val="00B2631A"/>
    <w:rsid w:val="00B264E8"/>
    <w:rsid w:val="00B265B1"/>
    <w:rsid w:val="00B26D8F"/>
    <w:rsid w:val="00B27B10"/>
    <w:rsid w:val="00B300F8"/>
    <w:rsid w:val="00B301A2"/>
    <w:rsid w:val="00B303F0"/>
    <w:rsid w:val="00B30A47"/>
    <w:rsid w:val="00B31173"/>
    <w:rsid w:val="00B312A4"/>
    <w:rsid w:val="00B31712"/>
    <w:rsid w:val="00B320CE"/>
    <w:rsid w:val="00B32735"/>
    <w:rsid w:val="00B32D74"/>
    <w:rsid w:val="00B3348E"/>
    <w:rsid w:val="00B33BDB"/>
    <w:rsid w:val="00B33CC5"/>
    <w:rsid w:val="00B35695"/>
    <w:rsid w:val="00B35895"/>
    <w:rsid w:val="00B40231"/>
    <w:rsid w:val="00B40C7A"/>
    <w:rsid w:val="00B419E0"/>
    <w:rsid w:val="00B4266C"/>
    <w:rsid w:val="00B42A6D"/>
    <w:rsid w:val="00B42ABB"/>
    <w:rsid w:val="00B42F5F"/>
    <w:rsid w:val="00B45042"/>
    <w:rsid w:val="00B45348"/>
    <w:rsid w:val="00B453FA"/>
    <w:rsid w:val="00B4548B"/>
    <w:rsid w:val="00B46895"/>
    <w:rsid w:val="00B46B93"/>
    <w:rsid w:val="00B508E9"/>
    <w:rsid w:val="00B50A01"/>
    <w:rsid w:val="00B50EFF"/>
    <w:rsid w:val="00B513A5"/>
    <w:rsid w:val="00B52B1B"/>
    <w:rsid w:val="00B52D58"/>
    <w:rsid w:val="00B531F1"/>
    <w:rsid w:val="00B547FB"/>
    <w:rsid w:val="00B555ED"/>
    <w:rsid w:val="00B55B97"/>
    <w:rsid w:val="00B56942"/>
    <w:rsid w:val="00B5694D"/>
    <w:rsid w:val="00B56E5D"/>
    <w:rsid w:val="00B5729D"/>
    <w:rsid w:val="00B5735F"/>
    <w:rsid w:val="00B5738D"/>
    <w:rsid w:val="00B573B5"/>
    <w:rsid w:val="00B573F8"/>
    <w:rsid w:val="00B57E11"/>
    <w:rsid w:val="00B60D00"/>
    <w:rsid w:val="00B61727"/>
    <w:rsid w:val="00B6173F"/>
    <w:rsid w:val="00B62BFC"/>
    <w:rsid w:val="00B62E2B"/>
    <w:rsid w:val="00B631DC"/>
    <w:rsid w:val="00B64C58"/>
    <w:rsid w:val="00B66BAE"/>
    <w:rsid w:val="00B66CCF"/>
    <w:rsid w:val="00B670A7"/>
    <w:rsid w:val="00B67590"/>
    <w:rsid w:val="00B6764B"/>
    <w:rsid w:val="00B6781B"/>
    <w:rsid w:val="00B70199"/>
    <w:rsid w:val="00B70517"/>
    <w:rsid w:val="00B7116C"/>
    <w:rsid w:val="00B7181E"/>
    <w:rsid w:val="00B719B0"/>
    <w:rsid w:val="00B72736"/>
    <w:rsid w:val="00B72809"/>
    <w:rsid w:val="00B72A2A"/>
    <w:rsid w:val="00B72D9A"/>
    <w:rsid w:val="00B72FCE"/>
    <w:rsid w:val="00B735FE"/>
    <w:rsid w:val="00B7409D"/>
    <w:rsid w:val="00B7493B"/>
    <w:rsid w:val="00B74F9D"/>
    <w:rsid w:val="00B751FF"/>
    <w:rsid w:val="00B75BB3"/>
    <w:rsid w:val="00B802BC"/>
    <w:rsid w:val="00B8045B"/>
    <w:rsid w:val="00B809EB"/>
    <w:rsid w:val="00B80D03"/>
    <w:rsid w:val="00B8177E"/>
    <w:rsid w:val="00B81FD1"/>
    <w:rsid w:val="00B82620"/>
    <w:rsid w:val="00B828BD"/>
    <w:rsid w:val="00B844F4"/>
    <w:rsid w:val="00B846A4"/>
    <w:rsid w:val="00B84E4A"/>
    <w:rsid w:val="00B86396"/>
    <w:rsid w:val="00B866CA"/>
    <w:rsid w:val="00B86C96"/>
    <w:rsid w:val="00B87D8B"/>
    <w:rsid w:val="00B9003F"/>
    <w:rsid w:val="00B903FE"/>
    <w:rsid w:val="00B912BF"/>
    <w:rsid w:val="00B91853"/>
    <w:rsid w:val="00B9185F"/>
    <w:rsid w:val="00B918B1"/>
    <w:rsid w:val="00B91E89"/>
    <w:rsid w:val="00B91FB2"/>
    <w:rsid w:val="00B92D56"/>
    <w:rsid w:val="00B934B4"/>
    <w:rsid w:val="00B9365E"/>
    <w:rsid w:val="00B93DAD"/>
    <w:rsid w:val="00B9411D"/>
    <w:rsid w:val="00B94551"/>
    <w:rsid w:val="00B94598"/>
    <w:rsid w:val="00B951C0"/>
    <w:rsid w:val="00B95A7D"/>
    <w:rsid w:val="00B96A3D"/>
    <w:rsid w:val="00B9787A"/>
    <w:rsid w:val="00BA013C"/>
    <w:rsid w:val="00BA0275"/>
    <w:rsid w:val="00BA03C0"/>
    <w:rsid w:val="00BA188B"/>
    <w:rsid w:val="00BA1DA7"/>
    <w:rsid w:val="00BA27FF"/>
    <w:rsid w:val="00BA4EA6"/>
    <w:rsid w:val="00BA5014"/>
    <w:rsid w:val="00BA5041"/>
    <w:rsid w:val="00BA5777"/>
    <w:rsid w:val="00BA657A"/>
    <w:rsid w:val="00BA77DF"/>
    <w:rsid w:val="00BA7B9D"/>
    <w:rsid w:val="00BA7BD2"/>
    <w:rsid w:val="00BA7C42"/>
    <w:rsid w:val="00BB0832"/>
    <w:rsid w:val="00BB09EF"/>
    <w:rsid w:val="00BB1257"/>
    <w:rsid w:val="00BB14EE"/>
    <w:rsid w:val="00BB25C7"/>
    <w:rsid w:val="00BB276B"/>
    <w:rsid w:val="00BB354F"/>
    <w:rsid w:val="00BB36A8"/>
    <w:rsid w:val="00BB3D84"/>
    <w:rsid w:val="00BB4228"/>
    <w:rsid w:val="00BB47D5"/>
    <w:rsid w:val="00BB4825"/>
    <w:rsid w:val="00BB48C7"/>
    <w:rsid w:val="00BB5B0A"/>
    <w:rsid w:val="00BB5E08"/>
    <w:rsid w:val="00BB700A"/>
    <w:rsid w:val="00BB7187"/>
    <w:rsid w:val="00BC0A22"/>
    <w:rsid w:val="00BC0BCB"/>
    <w:rsid w:val="00BC108B"/>
    <w:rsid w:val="00BC12B6"/>
    <w:rsid w:val="00BC14EB"/>
    <w:rsid w:val="00BC15D3"/>
    <w:rsid w:val="00BC17E1"/>
    <w:rsid w:val="00BC1928"/>
    <w:rsid w:val="00BC2DCC"/>
    <w:rsid w:val="00BC2DF0"/>
    <w:rsid w:val="00BC321A"/>
    <w:rsid w:val="00BC3F05"/>
    <w:rsid w:val="00BC45CB"/>
    <w:rsid w:val="00BC47FE"/>
    <w:rsid w:val="00BC4D98"/>
    <w:rsid w:val="00BC5AB0"/>
    <w:rsid w:val="00BC5C7E"/>
    <w:rsid w:val="00BC5D6A"/>
    <w:rsid w:val="00BD06E2"/>
    <w:rsid w:val="00BD074E"/>
    <w:rsid w:val="00BD15C1"/>
    <w:rsid w:val="00BD18D5"/>
    <w:rsid w:val="00BD1AD4"/>
    <w:rsid w:val="00BD1E93"/>
    <w:rsid w:val="00BD1F85"/>
    <w:rsid w:val="00BD1F98"/>
    <w:rsid w:val="00BD223D"/>
    <w:rsid w:val="00BD27A4"/>
    <w:rsid w:val="00BD4D28"/>
    <w:rsid w:val="00BD4E1D"/>
    <w:rsid w:val="00BD57BE"/>
    <w:rsid w:val="00BD6587"/>
    <w:rsid w:val="00BD720D"/>
    <w:rsid w:val="00BE0162"/>
    <w:rsid w:val="00BE07AC"/>
    <w:rsid w:val="00BE0929"/>
    <w:rsid w:val="00BE1981"/>
    <w:rsid w:val="00BE1985"/>
    <w:rsid w:val="00BE2DFC"/>
    <w:rsid w:val="00BE33C9"/>
    <w:rsid w:val="00BE37E1"/>
    <w:rsid w:val="00BE404F"/>
    <w:rsid w:val="00BE448A"/>
    <w:rsid w:val="00BE6B92"/>
    <w:rsid w:val="00BE6BBF"/>
    <w:rsid w:val="00BE7433"/>
    <w:rsid w:val="00BF0712"/>
    <w:rsid w:val="00BF0886"/>
    <w:rsid w:val="00BF09B2"/>
    <w:rsid w:val="00BF0D7D"/>
    <w:rsid w:val="00BF1ED6"/>
    <w:rsid w:val="00BF2A41"/>
    <w:rsid w:val="00BF335C"/>
    <w:rsid w:val="00BF3465"/>
    <w:rsid w:val="00BF3876"/>
    <w:rsid w:val="00BF4490"/>
    <w:rsid w:val="00BF457F"/>
    <w:rsid w:val="00BF48C1"/>
    <w:rsid w:val="00BF57E1"/>
    <w:rsid w:val="00BF5828"/>
    <w:rsid w:val="00BF6AF1"/>
    <w:rsid w:val="00BF6C75"/>
    <w:rsid w:val="00C00570"/>
    <w:rsid w:val="00C00AE5"/>
    <w:rsid w:val="00C017AD"/>
    <w:rsid w:val="00C028B5"/>
    <w:rsid w:val="00C02DFA"/>
    <w:rsid w:val="00C03981"/>
    <w:rsid w:val="00C03D9D"/>
    <w:rsid w:val="00C04218"/>
    <w:rsid w:val="00C04BB8"/>
    <w:rsid w:val="00C04F43"/>
    <w:rsid w:val="00C05103"/>
    <w:rsid w:val="00C0704F"/>
    <w:rsid w:val="00C07844"/>
    <w:rsid w:val="00C07AD3"/>
    <w:rsid w:val="00C100E8"/>
    <w:rsid w:val="00C10BBC"/>
    <w:rsid w:val="00C12C16"/>
    <w:rsid w:val="00C1369E"/>
    <w:rsid w:val="00C13ED1"/>
    <w:rsid w:val="00C14024"/>
    <w:rsid w:val="00C1408E"/>
    <w:rsid w:val="00C14801"/>
    <w:rsid w:val="00C14B81"/>
    <w:rsid w:val="00C14B9E"/>
    <w:rsid w:val="00C14D24"/>
    <w:rsid w:val="00C15225"/>
    <w:rsid w:val="00C152B8"/>
    <w:rsid w:val="00C15D71"/>
    <w:rsid w:val="00C16120"/>
    <w:rsid w:val="00C1689F"/>
    <w:rsid w:val="00C168A9"/>
    <w:rsid w:val="00C16966"/>
    <w:rsid w:val="00C16E1E"/>
    <w:rsid w:val="00C21F0C"/>
    <w:rsid w:val="00C22F84"/>
    <w:rsid w:val="00C25222"/>
    <w:rsid w:val="00C26422"/>
    <w:rsid w:val="00C26763"/>
    <w:rsid w:val="00C267C0"/>
    <w:rsid w:val="00C26C7C"/>
    <w:rsid w:val="00C318C9"/>
    <w:rsid w:val="00C32484"/>
    <w:rsid w:val="00C3269F"/>
    <w:rsid w:val="00C334D7"/>
    <w:rsid w:val="00C33C89"/>
    <w:rsid w:val="00C33ED1"/>
    <w:rsid w:val="00C34787"/>
    <w:rsid w:val="00C34D03"/>
    <w:rsid w:val="00C36E14"/>
    <w:rsid w:val="00C4047F"/>
    <w:rsid w:val="00C40740"/>
    <w:rsid w:val="00C41F4A"/>
    <w:rsid w:val="00C428D3"/>
    <w:rsid w:val="00C43DF9"/>
    <w:rsid w:val="00C45358"/>
    <w:rsid w:val="00C45513"/>
    <w:rsid w:val="00C4681F"/>
    <w:rsid w:val="00C50D86"/>
    <w:rsid w:val="00C51391"/>
    <w:rsid w:val="00C51FE0"/>
    <w:rsid w:val="00C5402E"/>
    <w:rsid w:val="00C5494A"/>
    <w:rsid w:val="00C5582E"/>
    <w:rsid w:val="00C56CDC"/>
    <w:rsid w:val="00C56DC5"/>
    <w:rsid w:val="00C577BF"/>
    <w:rsid w:val="00C60388"/>
    <w:rsid w:val="00C603CD"/>
    <w:rsid w:val="00C609DF"/>
    <w:rsid w:val="00C60A9B"/>
    <w:rsid w:val="00C60C24"/>
    <w:rsid w:val="00C6107C"/>
    <w:rsid w:val="00C6111C"/>
    <w:rsid w:val="00C61780"/>
    <w:rsid w:val="00C62DBE"/>
    <w:rsid w:val="00C63B86"/>
    <w:rsid w:val="00C63F3F"/>
    <w:rsid w:val="00C64150"/>
    <w:rsid w:val="00C65A7D"/>
    <w:rsid w:val="00C65E9D"/>
    <w:rsid w:val="00C67EB5"/>
    <w:rsid w:val="00C70497"/>
    <w:rsid w:val="00C704B8"/>
    <w:rsid w:val="00C7149A"/>
    <w:rsid w:val="00C71CA2"/>
    <w:rsid w:val="00C71CB1"/>
    <w:rsid w:val="00C71CF1"/>
    <w:rsid w:val="00C72CFB"/>
    <w:rsid w:val="00C72D10"/>
    <w:rsid w:val="00C738D5"/>
    <w:rsid w:val="00C74861"/>
    <w:rsid w:val="00C74E95"/>
    <w:rsid w:val="00C74FDD"/>
    <w:rsid w:val="00C760D9"/>
    <w:rsid w:val="00C77B41"/>
    <w:rsid w:val="00C81097"/>
    <w:rsid w:val="00C812A4"/>
    <w:rsid w:val="00C81704"/>
    <w:rsid w:val="00C8216D"/>
    <w:rsid w:val="00C83871"/>
    <w:rsid w:val="00C8399C"/>
    <w:rsid w:val="00C84518"/>
    <w:rsid w:val="00C848D1"/>
    <w:rsid w:val="00C85A27"/>
    <w:rsid w:val="00C85B39"/>
    <w:rsid w:val="00C85E5F"/>
    <w:rsid w:val="00C86351"/>
    <w:rsid w:val="00C869F3"/>
    <w:rsid w:val="00C86F0C"/>
    <w:rsid w:val="00C87880"/>
    <w:rsid w:val="00C9055E"/>
    <w:rsid w:val="00C918DF"/>
    <w:rsid w:val="00C93939"/>
    <w:rsid w:val="00C93C0C"/>
    <w:rsid w:val="00C95721"/>
    <w:rsid w:val="00C96027"/>
    <w:rsid w:val="00C96BC5"/>
    <w:rsid w:val="00C97BC9"/>
    <w:rsid w:val="00C97FC8"/>
    <w:rsid w:val="00CA0625"/>
    <w:rsid w:val="00CA0724"/>
    <w:rsid w:val="00CA0F30"/>
    <w:rsid w:val="00CA13A4"/>
    <w:rsid w:val="00CA1972"/>
    <w:rsid w:val="00CA1C47"/>
    <w:rsid w:val="00CA2480"/>
    <w:rsid w:val="00CA3612"/>
    <w:rsid w:val="00CA372D"/>
    <w:rsid w:val="00CA38A1"/>
    <w:rsid w:val="00CA3FCC"/>
    <w:rsid w:val="00CA4C2D"/>
    <w:rsid w:val="00CA574C"/>
    <w:rsid w:val="00CA630A"/>
    <w:rsid w:val="00CA63A8"/>
    <w:rsid w:val="00CA6536"/>
    <w:rsid w:val="00CA6740"/>
    <w:rsid w:val="00CA6891"/>
    <w:rsid w:val="00CA6B73"/>
    <w:rsid w:val="00CA6BAF"/>
    <w:rsid w:val="00CB0B66"/>
    <w:rsid w:val="00CB0FE1"/>
    <w:rsid w:val="00CB1C25"/>
    <w:rsid w:val="00CB2EAA"/>
    <w:rsid w:val="00CB3617"/>
    <w:rsid w:val="00CB5984"/>
    <w:rsid w:val="00CB5B9E"/>
    <w:rsid w:val="00CB6336"/>
    <w:rsid w:val="00CB7B1A"/>
    <w:rsid w:val="00CB7C08"/>
    <w:rsid w:val="00CC00F7"/>
    <w:rsid w:val="00CC0273"/>
    <w:rsid w:val="00CC044C"/>
    <w:rsid w:val="00CC14C4"/>
    <w:rsid w:val="00CC3C93"/>
    <w:rsid w:val="00CC40FF"/>
    <w:rsid w:val="00CC45DD"/>
    <w:rsid w:val="00CC4EB1"/>
    <w:rsid w:val="00CC54C3"/>
    <w:rsid w:val="00CC5812"/>
    <w:rsid w:val="00CC6492"/>
    <w:rsid w:val="00CC6A7A"/>
    <w:rsid w:val="00CC6BD1"/>
    <w:rsid w:val="00CC714E"/>
    <w:rsid w:val="00CC7EF4"/>
    <w:rsid w:val="00CD0016"/>
    <w:rsid w:val="00CD1C1A"/>
    <w:rsid w:val="00CD1C84"/>
    <w:rsid w:val="00CD24A8"/>
    <w:rsid w:val="00CD2881"/>
    <w:rsid w:val="00CD2EDC"/>
    <w:rsid w:val="00CD32A8"/>
    <w:rsid w:val="00CD38B6"/>
    <w:rsid w:val="00CD5D7F"/>
    <w:rsid w:val="00CD7494"/>
    <w:rsid w:val="00CD7509"/>
    <w:rsid w:val="00CD7578"/>
    <w:rsid w:val="00CD7D3D"/>
    <w:rsid w:val="00CE025E"/>
    <w:rsid w:val="00CE186F"/>
    <w:rsid w:val="00CE1FF3"/>
    <w:rsid w:val="00CE200F"/>
    <w:rsid w:val="00CE23AA"/>
    <w:rsid w:val="00CE2A5E"/>
    <w:rsid w:val="00CE3041"/>
    <w:rsid w:val="00CE3475"/>
    <w:rsid w:val="00CE4799"/>
    <w:rsid w:val="00CE55DA"/>
    <w:rsid w:val="00CE6615"/>
    <w:rsid w:val="00CE680F"/>
    <w:rsid w:val="00CE69C0"/>
    <w:rsid w:val="00CE799C"/>
    <w:rsid w:val="00CF0415"/>
    <w:rsid w:val="00CF0839"/>
    <w:rsid w:val="00CF0BAF"/>
    <w:rsid w:val="00CF1192"/>
    <w:rsid w:val="00CF1884"/>
    <w:rsid w:val="00CF1B89"/>
    <w:rsid w:val="00CF225D"/>
    <w:rsid w:val="00CF241F"/>
    <w:rsid w:val="00CF3B60"/>
    <w:rsid w:val="00CF418E"/>
    <w:rsid w:val="00CF4910"/>
    <w:rsid w:val="00CF5A26"/>
    <w:rsid w:val="00CF5CE6"/>
    <w:rsid w:val="00CF6857"/>
    <w:rsid w:val="00CF6FAC"/>
    <w:rsid w:val="00CF72E0"/>
    <w:rsid w:val="00CF76D4"/>
    <w:rsid w:val="00D00F16"/>
    <w:rsid w:val="00D01415"/>
    <w:rsid w:val="00D01C1F"/>
    <w:rsid w:val="00D025A0"/>
    <w:rsid w:val="00D0441F"/>
    <w:rsid w:val="00D04F78"/>
    <w:rsid w:val="00D05208"/>
    <w:rsid w:val="00D05704"/>
    <w:rsid w:val="00D06C90"/>
    <w:rsid w:val="00D07277"/>
    <w:rsid w:val="00D10D76"/>
    <w:rsid w:val="00D11139"/>
    <w:rsid w:val="00D11D66"/>
    <w:rsid w:val="00D11EF2"/>
    <w:rsid w:val="00D12482"/>
    <w:rsid w:val="00D12493"/>
    <w:rsid w:val="00D12E44"/>
    <w:rsid w:val="00D141F3"/>
    <w:rsid w:val="00D14BE7"/>
    <w:rsid w:val="00D14EF9"/>
    <w:rsid w:val="00D151DF"/>
    <w:rsid w:val="00D15AE9"/>
    <w:rsid w:val="00D15CA6"/>
    <w:rsid w:val="00D21282"/>
    <w:rsid w:val="00D217EE"/>
    <w:rsid w:val="00D21CD0"/>
    <w:rsid w:val="00D222D0"/>
    <w:rsid w:val="00D2291E"/>
    <w:rsid w:val="00D2292C"/>
    <w:rsid w:val="00D22940"/>
    <w:rsid w:val="00D229F9"/>
    <w:rsid w:val="00D2377A"/>
    <w:rsid w:val="00D239EE"/>
    <w:rsid w:val="00D23D51"/>
    <w:rsid w:val="00D24A7F"/>
    <w:rsid w:val="00D24E0D"/>
    <w:rsid w:val="00D25376"/>
    <w:rsid w:val="00D26528"/>
    <w:rsid w:val="00D30E85"/>
    <w:rsid w:val="00D314DA"/>
    <w:rsid w:val="00D318DD"/>
    <w:rsid w:val="00D325CD"/>
    <w:rsid w:val="00D32B20"/>
    <w:rsid w:val="00D32E71"/>
    <w:rsid w:val="00D3378D"/>
    <w:rsid w:val="00D33BAD"/>
    <w:rsid w:val="00D33DA8"/>
    <w:rsid w:val="00D33F51"/>
    <w:rsid w:val="00D3501F"/>
    <w:rsid w:val="00D36224"/>
    <w:rsid w:val="00D37BF8"/>
    <w:rsid w:val="00D40999"/>
    <w:rsid w:val="00D416AA"/>
    <w:rsid w:val="00D41FF6"/>
    <w:rsid w:val="00D42807"/>
    <w:rsid w:val="00D431BA"/>
    <w:rsid w:val="00D43FE6"/>
    <w:rsid w:val="00D4491E"/>
    <w:rsid w:val="00D45FDF"/>
    <w:rsid w:val="00D47859"/>
    <w:rsid w:val="00D50742"/>
    <w:rsid w:val="00D50EE4"/>
    <w:rsid w:val="00D53BB6"/>
    <w:rsid w:val="00D540B2"/>
    <w:rsid w:val="00D54954"/>
    <w:rsid w:val="00D54BCD"/>
    <w:rsid w:val="00D55558"/>
    <w:rsid w:val="00D5566B"/>
    <w:rsid w:val="00D556A2"/>
    <w:rsid w:val="00D5575F"/>
    <w:rsid w:val="00D55FDF"/>
    <w:rsid w:val="00D5616B"/>
    <w:rsid w:val="00D5673B"/>
    <w:rsid w:val="00D56769"/>
    <w:rsid w:val="00D56F3D"/>
    <w:rsid w:val="00D57E6D"/>
    <w:rsid w:val="00D61B03"/>
    <w:rsid w:val="00D63483"/>
    <w:rsid w:val="00D63FC0"/>
    <w:rsid w:val="00D64A99"/>
    <w:rsid w:val="00D65037"/>
    <w:rsid w:val="00D66349"/>
    <w:rsid w:val="00D66661"/>
    <w:rsid w:val="00D66EFC"/>
    <w:rsid w:val="00D66F4D"/>
    <w:rsid w:val="00D7257E"/>
    <w:rsid w:val="00D74447"/>
    <w:rsid w:val="00D7563C"/>
    <w:rsid w:val="00D75B68"/>
    <w:rsid w:val="00D75DD0"/>
    <w:rsid w:val="00D76810"/>
    <w:rsid w:val="00D76D9C"/>
    <w:rsid w:val="00D76EF3"/>
    <w:rsid w:val="00D809D0"/>
    <w:rsid w:val="00D80A47"/>
    <w:rsid w:val="00D81263"/>
    <w:rsid w:val="00D8339F"/>
    <w:rsid w:val="00D83927"/>
    <w:rsid w:val="00D848FA"/>
    <w:rsid w:val="00D85E86"/>
    <w:rsid w:val="00D867A5"/>
    <w:rsid w:val="00D87376"/>
    <w:rsid w:val="00D90AB8"/>
    <w:rsid w:val="00D923E5"/>
    <w:rsid w:val="00D92798"/>
    <w:rsid w:val="00D93586"/>
    <w:rsid w:val="00D942D5"/>
    <w:rsid w:val="00D94DB6"/>
    <w:rsid w:val="00D964B5"/>
    <w:rsid w:val="00D97D9B"/>
    <w:rsid w:val="00DA11B1"/>
    <w:rsid w:val="00DA1938"/>
    <w:rsid w:val="00DA24EA"/>
    <w:rsid w:val="00DA25D9"/>
    <w:rsid w:val="00DA2CEC"/>
    <w:rsid w:val="00DA3073"/>
    <w:rsid w:val="00DA3675"/>
    <w:rsid w:val="00DA3BAC"/>
    <w:rsid w:val="00DA4B4A"/>
    <w:rsid w:val="00DA5597"/>
    <w:rsid w:val="00DA5DF4"/>
    <w:rsid w:val="00DA6967"/>
    <w:rsid w:val="00DA70E4"/>
    <w:rsid w:val="00DA7199"/>
    <w:rsid w:val="00DB07BF"/>
    <w:rsid w:val="00DB1610"/>
    <w:rsid w:val="00DB2A52"/>
    <w:rsid w:val="00DB393B"/>
    <w:rsid w:val="00DB56B4"/>
    <w:rsid w:val="00DB61A8"/>
    <w:rsid w:val="00DB6841"/>
    <w:rsid w:val="00DB6E40"/>
    <w:rsid w:val="00DB75A7"/>
    <w:rsid w:val="00DC0275"/>
    <w:rsid w:val="00DC07A5"/>
    <w:rsid w:val="00DC0B14"/>
    <w:rsid w:val="00DC0EAF"/>
    <w:rsid w:val="00DC134F"/>
    <w:rsid w:val="00DC14DE"/>
    <w:rsid w:val="00DC2DC4"/>
    <w:rsid w:val="00DC2FD3"/>
    <w:rsid w:val="00DC3A95"/>
    <w:rsid w:val="00DC3FEE"/>
    <w:rsid w:val="00DC4F0E"/>
    <w:rsid w:val="00DC5992"/>
    <w:rsid w:val="00DC5F21"/>
    <w:rsid w:val="00DC5F41"/>
    <w:rsid w:val="00DC6174"/>
    <w:rsid w:val="00DC6C80"/>
    <w:rsid w:val="00DD009F"/>
    <w:rsid w:val="00DD0EEF"/>
    <w:rsid w:val="00DD2733"/>
    <w:rsid w:val="00DD2C51"/>
    <w:rsid w:val="00DD3119"/>
    <w:rsid w:val="00DD3432"/>
    <w:rsid w:val="00DD3E1A"/>
    <w:rsid w:val="00DD3E8F"/>
    <w:rsid w:val="00DD461A"/>
    <w:rsid w:val="00DD479B"/>
    <w:rsid w:val="00DD4AD2"/>
    <w:rsid w:val="00DD58FD"/>
    <w:rsid w:val="00DD5FC9"/>
    <w:rsid w:val="00DD6697"/>
    <w:rsid w:val="00DD6A5C"/>
    <w:rsid w:val="00DD6F0B"/>
    <w:rsid w:val="00DD7643"/>
    <w:rsid w:val="00DD7963"/>
    <w:rsid w:val="00DE06B7"/>
    <w:rsid w:val="00DE06E8"/>
    <w:rsid w:val="00DE0726"/>
    <w:rsid w:val="00DE139F"/>
    <w:rsid w:val="00DE1671"/>
    <w:rsid w:val="00DE167F"/>
    <w:rsid w:val="00DE19D6"/>
    <w:rsid w:val="00DE1F57"/>
    <w:rsid w:val="00DE2B38"/>
    <w:rsid w:val="00DE3207"/>
    <w:rsid w:val="00DE4D90"/>
    <w:rsid w:val="00DE553B"/>
    <w:rsid w:val="00DE5D05"/>
    <w:rsid w:val="00DE6CE8"/>
    <w:rsid w:val="00DE6DAB"/>
    <w:rsid w:val="00DE75FA"/>
    <w:rsid w:val="00DE7AB3"/>
    <w:rsid w:val="00DF0036"/>
    <w:rsid w:val="00DF04E0"/>
    <w:rsid w:val="00DF0724"/>
    <w:rsid w:val="00DF0B13"/>
    <w:rsid w:val="00DF1666"/>
    <w:rsid w:val="00DF1797"/>
    <w:rsid w:val="00DF1A1E"/>
    <w:rsid w:val="00DF2BFF"/>
    <w:rsid w:val="00DF2DAE"/>
    <w:rsid w:val="00DF3463"/>
    <w:rsid w:val="00DF4141"/>
    <w:rsid w:val="00DF4AA9"/>
    <w:rsid w:val="00DF6AC2"/>
    <w:rsid w:val="00DF7AAA"/>
    <w:rsid w:val="00E007AE"/>
    <w:rsid w:val="00E00873"/>
    <w:rsid w:val="00E00C51"/>
    <w:rsid w:val="00E01407"/>
    <w:rsid w:val="00E02E7F"/>
    <w:rsid w:val="00E0354C"/>
    <w:rsid w:val="00E04197"/>
    <w:rsid w:val="00E045C7"/>
    <w:rsid w:val="00E050C0"/>
    <w:rsid w:val="00E05189"/>
    <w:rsid w:val="00E05801"/>
    <w:rsid w:val="00E05C7D"/>
    <w:rsid w:val="00E06113"/>
    <w:rsid w:val="00E064FC"/>
    <w:rsid w:val="00E066B1"/>
    <w:rsid w:val="00E0766B"/>
    <w:rsid w:val="00E07E27"/>
    <w:rsid w:val="00E10482"/>
    <w:rsid w:val="00E1053D"/>
    <w:rsid w:val="00E106F1"/>
    <w:rsid w:val="00E122C4"/>
    <w:rsid w:val="00E12301"/>
    <w:rsid w:val="00E12308"/>
    <w:rsid w:val="00E125E9"/>
    <w:rsid w:val="00E12922"/>
    <w:rsid w:val="00E12E16"/>
    <w:rsid w:val="00E13204"/>
    <w:rsid w:val="00E139B4"/>
    <w:rsid w:val="00E13CEA"/>
    <w:rsid w:val="00E140A6"/>
    <w:rsid w:val="00E14272"/>
    <w:rsid w:val="00E148B8"/>
    <w:rsid w:val="00E14908"/>
    <w:rsid w:val="00E14E75"/>
    <w:rsid w:val="00E1561C"/>
    <w:rsid w:val="00E15FC7"/>
    <w:rsid w:val="00E1648B"/>
    <w:rsid w:val="00E167BB"/>
    <w:rsid w:val="00E168A2"/>
    <w:rsid w:val="00E16FE2"/>
    <w:rsid w:val="00E17087"/>
    <w:rsid w:val="00E209D0"/>
    <w:rsid w:val="00E219D4"/>
    <w:rsid w:val="00E21E25"/>
    <w:rsid w:val="00E22AF2"/>
    <w:rsid w:val="00E22B89"/>
    <w:rsid w:val="00E23D74"/>
    <w:rsid w:val="00E240F1"/>
    <w:rsid w:val="00E245C5"/>
    <w:rsid w:val="00E25274"/>
    <w:rsid w:val="00E26111"/>
    <w:rsid w:val="00E2649B"/>
    <w:rsid w:val="00E266C1"/>
    <w:rsid w:val="00E26951"/>
    <w:rsid w:val="00E26E0C"/>
    <w:rsid w:val="00E2780A"/>
    <w:rsid w:val="00E302B8"/>
    <w:rsid w:val="00E31339"/>
    <w:rsid w:val="00E31B77"/>
    <w:rsid w:val="00E31C44"/>
    <w:rsid w:val="00E32765"/>
    <w:rsid w:val="00E33779"/>
    <w:rsid w:val="00E34401"/>
    <w:rsid w:val="00E34CCD"/>
    <w:rsid w:val="00E3553E"/>
    <w:rsid w:val="00E35C31"/>
    <w:rsid w:val="00E360EB"/>
    <w:rsid w:val="00E3700C"/>
    <w:rsid w:val="00E375A3"/>
    <w:rsid w:val="00E375EE"/>
    <w:rsid w:val="00E37A09"/>
    <w:rsid w:val="00E40E74"/>
    <w:rsid w:val="00E412C8"/>
    <w:rsid w:val="00E4139F"/>
    <w:rsid w:val="00E41FF0"/>
    <w:rsid w:val="00E4224E"/>
    <w:rsid w:val="00E42464"/>
    <w:rsid w:val="00E4269C"/>
    <w:rsid w:val="00E42B0D"/>
    <w:rsid w:val="00E42F1B"/>
    <w:rsid w:val="00E44177"/>
    <w:rsid w:val="00E442D3"/>
    <w:rsid w:val="00E45BD7"/>
    <w:rsid w:val="00E46795"/>
    <w:rsid w:val="00E46C3A"/>
    <w:rsid w:val="00E47AFB"/>
    <w:rsid w:val="00E47B98"/>
    <w:rsid w:val="00E50072"/>
    <w:rsid w:val="00E501E9"/>
    <w:rsid w:val="00E509E0"/>
    <w:rsid w:val="00E50CDF"/>
    <w:rsid w:val="00E53376"/>
    <w:rsid w:val="00E53916"/>
    <w:rsid w:val="00E5391F"/>
    <w:rsid w:val="00E5399E"/>
    <w:rsid w:val="00E54B68"/>
    <w:rsid w:val="00E54F24"/>
    <w:rsid w:val="00E55533"/>
    <w:rsid w:val="00E555ED"/>
    <w:rsid w:val="00E56AEC"/>
    <w:rsid w:val="00E57297"/>
    <w:rsid w:val="00E5737B"/>
    <w:rsid w:val="00E574E0"/>
    <w:rsid w:val="00E57997"/>
    <w:rsid w:val="00E60D4F"/>
    <w:rsid w:val="00E614A7"/>
    <w:rsid w:val="00E61A14"/>
    <w:rsid w:val="00E61A27"/>
    <w:rsid w:val="00E62B3A"/>
    <w:rsid w:val="00E62BE3"/>
    <w:rsid w:val="00E631AE"/>
    <w:rsid w:val="00E63A60"/>
    <w:rsid w:val="00E64049"/>
    <w:rsid w:val="00E6487A"/>
    <w:rsid w:val="00E64CEB"/>
    <w:rsid w:val="00E64DB9"/>
    <w:rsid w:val="00E65353"/>
    <w:rsid w:val="00E6557C"/>
    <w:rsid w:val="00E67627"/>
    <w:rsid w:val="00E70F33"/>
    <w:rsid w:val="00E7230C"/>
    <w:rsid w:val="00E72523"/>
    <w:rsid w:val="00E73C65"/>
    <w:rsid w:val="00E741A1"/>
    <w:rsid w:val="00E743EC"/>
    <w:rsid w:val="00E74D5E"/>
    <w:rsid w:val="00E77ADD"/>
    <w:rsid w:val="00E80795"/>
    <w:rsid w:val="00E80E99"/>
    <w:rsid w:val="00E815B0"/>
    <w:rsid w:val="00E83AD0"/>
    <w:rsid w:val="00E849FB"/>
    <w:rsid w:val="00E84AE9"/>
    <w:rsid w:val="00E84B35"/>
    <w:rsid w:val="00E85E59"/>
    <w:rsid w:val="00E865EA"/>
    <w:rsid w:val="00E874EE"/>
    <w:rsid w:val="00E90EE6"/>
    <w:rsid w:val="00E912EB"/>
    <w:rsid w:val="00E91331"/>
    <w:rsid w:val="00E91337"/>
    <w:rsid w:val="00E9162F"/>
    <w:rsid w:val="00E91896"/>
    <w:rsid w:val="00E9272A"/>
    <w:rsid w:val="00E93FDD"/>
    <w:rsid w:val="00E9423B"/>
    <w:rsid w:val="00E944FB"/>
    <w:rsid w:val="00E95165"/>
    <w:rsid w:val="00E962A9"/>
    <w:rsid w:val="00E966E3"/>
    <w:rsid w:val="00E968B2"/>
    <w:rsid w:val="00E97BC1"/>
    <w:rsid w:val="00EA086B"/>
    <w:rsid w:val="00EA0EDB"/>
    <w:rsid w:val="00EA1B47"/>
    <w:rsid w:val="00EA2E4A"/>
    <w:rsid w:val="00EA3B35"/>
    <w:rsid w:val="00EA4EBA"/>
    <w:rsid w:val="00EA5CCE"/>
    <w:rsid w:val="00EA7014"/>
    <w:rsid w:val="00EA721E"/>
    <w:rsid w:val="00EB2D91"/>
    <w:rsid w:val="00EB3AB3"/>
    <w:rsid w:val="00EB3F2D"/>
    <w:rsid w:val="00EB41FD"/>
    <w:rsid w:val="00EB52D7"/>
    <w:rsid w:val="00EB5D3E"/>
    <w:rsid w:val="00EB5DBD"/>
    <w:rsid w:val="00EB6994"/>
    <w:rsid w:val="00EB73DF"/>
    <w:rsid w:val="00EB7911"/>
    <w:rsid w:val="00EC0FE8"/>
    <w:rsid w:val="00EC26CD"/>
    <w:rsid w:val="00EC2D4C"/>
    <w:rsid w:val="00EC3065"/>
    <w:rsid w:val="00EC3238"/>
    <w:rsid w:val="00EC3530"/>
    <w:rsid w:val="00EC3ED2"/>
    <w:rsid w:val="00EC46A8"/>
    <w:rsid w:val="00EC4AB0"/>
    <w:rsid w:val="00EC4D1C"/>
    <w:rsid w:val="00EC56D6"/>
    <w:rsid w:val="00EC5AE5"/>
    <w:rsid w:val="00EC5EF0"/>
    <w:rsid w:val="00EC5F13"/>
    <w:rsid w:val="00EC6C58"/>
    <w:rsid w:val="00EC7358"/>
    <w:rsid w:val="00EC73B4"/>
    <w:rsid w:val="00EC7D98"/>
    <w:rsid w:val="00ED075D"/>
    <w:rsid w:val="00ED08E4"/>
    <w:rsid w:val="00ED114C"/>
    <w:rsid w:val="00ED1344"/>
    <w:rsid w:val="00ED1FAA"/>
    <w:rsid w:val="00ED249F"/>
    <w:rsid w:val="00ED3390"/>
    <w:rsid w:val="00ED3CE7"/>
    <w:rsid w:val="00ED5495"/>
    <w:rsid w:val="00ED5899"/>
    <w:rsid w:val="00ED64E6"/>
    <w:rsid w:val="00ED6560"/>
    <w:rsid w:val="00ED6C5C"/>
    <w:rsid w:val="00ED6EB2"/>
    <w:rsid w:val="00ED704E"/>
    <w:rsid w:val="00ED785A"/>
    <w:rsid w:val="00ED7F27"/>
    <w:rsid w:val="00EE140D"/>
    <w:rsid w:val="00EE1B16"/>
    <w:rsid w:val="00EE21F4"/>
    <w:rsid w:val="00EE3000"/>
    <w:rsid w:val="00EE33DE"/>
    <w:rsid w:val="00EE37FC"/>
    <w:rsid w:val="00EE3C9B"/>
    <w:rsid w:val="00EE3F7C"/>
    <w:rsid w:val="00EE4286"/>
    <w:rsid w:val="00EE5937"/>
    <w:rsid w:val="00EE5C56"/>
    <w:rsid w:val="00EE6603"/>
    <w:rsid w:val="00EF0212"/>
    <w:rsid w:val="00EF095C"/>
    <w:rsid w:val="00EF0F4B"/>
    <w:rsid w:val="00EF1579"/>
    <w:rsid w:val="00EF2C12"/>
    <w:rsid w:val="00EF34E7"/>
    <w:rsid w:val="00EF35F2"/>
    <w:rsid w:val="00EF3738"/>
    <w:rsid w:val="00EF43E6"/>
    <w:rsid w:val="00EF54DC"/>
    <w:rsid w:val="00EF782F"/>
    <w:rsid w:val="00EF79C5"/>
    <w:rsid w:val="00EF7CD6"/>
    <w:rsid w:val="00F00694"/>
    <w:rsid w:val="00F00985"/>
    <w:rsid w:val="00F009E8"/>
    <w:rsid w:val="00F00ADE"/>
    <w:rsid w:val="00F00C8E"/>
    <w:rsid w:val="00F00E17"/>
    <w:rsid w:val="00F00F58"/>
    <w:rsid w:val="00F01A24"/>
    <w:rsid w:val="00F01DD7"/>
    <w:rsid w:val="00F01F67"/>
    <w:rsid w:val="00F02ACE"/>
    <w:rsid w:val="00F038D2"/>
    <w:rsid w:val="00F03EF7"/>
    <w:rsid w:val="00F04D8F"/>
    <w:rsid w:val="00F0564A"/>
    <w:rsid w:val="00F06195"/>
    <w:rsid w:val="00F061E4"/>
    <w:rsid w:val="00F061EF"/>
    <w:rsid w:val="00F06524"/>
    <w:rsid w:val="00F0674E"/>
    <w:rsid w:val="00F06FD3"/>
    <w:rsid w:val="00F07424"/>
    <w:rsid w:val="00F07D5F"/>
    <w:rsid w:val="00F10D8D"/>
    <w:rsid w:val="00F10DBC"/>
    <w:rsid w:val="00F113F8"/>
    <w:rsid w:val="00F12408"/>
    <w:rsid w:val="00F12DC2"/>
    <w:rsid w:val="00F139DD"/>
    <w:rsid w:val="00F13AE9"/>
    <w:rsid w:val="00F147F9"/>
    <w:rsid w:val="00F1522A"/>
    <w:rsid w:val="00F156B6"/>
    <w:rsid w:val="00F1579D"/>
    <w:rsid w:val="00F157FF"/>
    <w:rsid w:val="00F15AA1"/>
    <w:rsid w:val="00F167EB"/>
    <w:rsid w:val="00F1720D"/>
    <w:rsid w:val="00F17303"/>
    <w:rsid w:val="00F177E3"/>
    <w:rsid w:val="00F2072E"/>
    <w:rsid w:val="00F21485"/>
    <w:rsid w:val="00F2175E"/>
    <w:rsid w:val="00F23162"/>
    <w:rsid w:val="00F2325E"/>
    <w:rsid w:val="00F24526"/>
    <w:rsid w:val="00F24926"/>
    <w:rsid w:val="00F24C1C"/>
    <w:rsid w:val="00F2618F"/>
    <w:rsid w:val="00F26C41"/>
    <w:rsid w:val="00F3088E"/>
    <w:rsid w:val="00F30A79"/>
    <w:rsid w:val="00F3115B"/>
    <w:rsid w:val="00F31616"/>
    <w:rsid w:val="00F32AC4"/>
    <w:rsid w:val="00F32D74"/>
    <w:rsid w:val="00F332CF"/>
    <w:rsid w:val="00F35F83"/>
    <w:rsid w:val="00F360EF"/>
    <w:rsid w:val="00F3684A"/>
    <w:rsid w:val="00F37123"/>
    <w:rsid w:val="00F37CE2"/>
    <w:rsid w:val="00F409F0"/>
    <w:rsid w:val="00F40A17"/>
    <w:rsid w:val="00F4141C"/>
    <w:rsid w:val="00F416AA"/>
    <w:rsid w:val="00F41CC2"/>
    <w:rsid w:val="00F43DE6"/>
    <w:rsid w:val="00F44E4B"/>
    <w:rsid w:val="00F458CA"/>
    <w:rsid w:val="00F45B85"/>
    <w:rsid w:val="00F45B98"/>
    <w:rsid w:val="00F45C6F"/>
    <w:rsid w:val="00F45DB2"/>
    <w:rsid w:val="00F46751"/>
    <w:rsid w:val="00F46D6C"/>
    <w:rsid w:val="00F4770C"/>
    <w:rsid w:val="00F47CD9"/>
    <w:rsid w:val="00F506A3"/>
    <w:rsid w:val="00F506AF"/>
    <w:rsid w:val="00F50AED"/>
    <w:rsid w:val="00F50C10"/>
    <w:rsid w:val="00F50F89"/>
    <w:rsid w:val="00F52C7E"/>
    <w:rsid w:val="00F54ECE"/>
    <w:rsid w:val="00F550EA"/>
    <w:rsid w:val="00F55BED"/>
    <w:rsid w:val="00F5729E"/>
    <w:rsid w:val="00F57512"/>
    <w:rsid w:val="00F57956"/>
    <w:rsid w:val="00F60783"/>
    <w:rsid w:val="00F60984"/>
    <w:rsid w:val="00F61DE9"/>
    <w:rsid w:val="00F620AF"/>
    <w:rsid w:val="00F62172"/>
    <w:rsid w:val="00F62448"/>
    <w:rsid w:val="00F6314A"/>
    <w:rsid w:val="00F63FB8"/>
    <w:rsid w:val="00F64418"/>
    <w:rsid w:val="00F647C8"/>
    <w:rsid w:val="00F65036"/>
    <w:rsid w:val="00F6506C"/>
    <w:rsid w:val="00F65147"/>
    <w:rsid w:val="00F652BB"/>
    <w:rsid w:val="00F6694C"/>
    <w:rsid w:val="00F66AF2"/>
    <w:rsid w:val="00F6700A"/>
    <w:rsid w:val="00F70645"/>
    <w:rsid w:val="00F717AF"/>
    <w:rsid w:val="00F71C22"/>
    <w:rsid w:val="00F7313D"/>
    <w:rsid w:val="00F73965"/>
    <w:rsid w:val="00F74101"/>
    <w:rsid w:val="00F74D99"/>
    <w:rsid w:val="00F76051"/>
    <w:rsid w:val="00F803E8"/>
    <w:rsid w:val="00F8097F"/>
    <w:rsid w:val="00F8178D"/>
    <w:rsid w:val="00F81EC5"/>
    <w:rsid w:val="00F83989"/>
    <w:rsid w:val="00F83BAD"/>
    <w:rsid w:val="00F84344"/>
    <w:rsid w:val="00F85502"/>
    <w:rsid w:val="00F86732"/>
    <w:rsid w:val="00F86CD7"/>
    <w:rsid w:val="00F87775"/>
    <w:rsid w:val="00F87B77"/>
    <w:rsid w:val="00F92046"/>
    <w:rsid w:val="00F923D8"/>
    <w:rsid w:val="00F93027"/>
    <w:rsid w:val="00F93C84"/>
    <w:rsid w:val="00F943F1"/>
    <w:rsid w:val="00F94597"/>
    <w:rsid w:val="00F945B3"/>
    <w:rsid w:val="00F948A6"/>
    <w:rsid w:val="00F94A4D"/>
    <w:rsid w:val="00F95BA3"/>
    <w:rsid w:val="00F96208"/>
    <w:rsid w:val="00F96664"/>
    <w:rsid w:val="00F97807"/>
    <w:rsid w:val="00FA12A2"/>
    <w:rsid w:val="00FA1E4A"/>
    <w:rsid w:val="00FA2C64"/>
    <w:rsid w:val="00FA3E11"/>
    <w:rsid w:val="00FA4F12"/>
    <w:rsid w:val="00FA5043"/>
    <w:rsid w:val="00FA5509"/>
    <w:rsid w:val="00FA6846"/>
    <w:rsid w:val="00FA737D"/>
    <w:rsid w:val="00FB0336"/>
    <w:rsid w:val="00FB0722"/>
    <w:rsid w:val="00FB1225"/>
    <w:rsid w:val="00FB1D58"/>
    <w:rsid w:val="00FB26F7"/>
    <w:rsid w:val="00FB2808"/>
    <w:rsid w:val="00FB29D2"/>
    <w:rsid w:val="00FB32B4"/>
    <w:rsid w:val="00FB37EA"/>
    <w:rsid w:val="00FB4320"/>
    <w:rsid w:val="00FB5AEA"/>
    <w:rsid w:val="00FB65AC"/>
    <w:rsid w:val="00FB6C98"/>
    <w:rsid w:val="00FB6CD4"/>
    <w:rsid w:val="00FB6F86"/>
    <w:rsid w:val="00FC04C8"/>
    <w:rsid w:val="00FC0AD8"/>
    <w:rsid w:val="00FC21C6"/>
    <w:rsid w:val="00FC42E4"/>
    <w:rsid w:val="00FC48A2"/>
    <w:rsid w:val="00FC4B68"/>
    <w:rsid w:val="00FC4BD9"/>
    <w:rsid w:val="00FC4D9A"/>
    <w:rsid w:val="00FC501B"/>
    <w:rsid w:val="00FC5547"/>
    <w:rsid w:val="00FC5E5D"/>
    <w:rsid w:val="00FC71E8"/>
    <w:rsid w:val="00FC7400"/>
    <w:rsid w:val="00FC7B5B"/>
    <w:rsid w:val="00FD0516"/>
    <w:rsid w:val="00FD14FE"/>
    <w:rsid w:val="00FD2521"/>
    <w:rsid w:val="00FD286B"/>
    <w:rsid w:val="00FD2B91"/>
    <w:rsid w:val="00FD3549"/>
    <w:rsid w:val="00FD428B"/>
    <w:rsid w:val="00FD4876"/>
    <w:rsid w:val="00FD497B"/>
    <w:rsid w:val="00FD5BB3"/>
    <w:rsid w:val="00FD7D6E"/>
    <w:rsid w:val="00FE0478"/>
    <w:rsid w:val="00FE0C89"/>
    <w:rsid w:val="00FE2C31"/>
    <w:rsid w:val="00FE3033"/>
    <w:rsid w:val="00FE3446"/>
    <w:rsid w:val="00FE36D7"/>
    <w:rsid w:val="00FE3E3E"/>
    <w:rsid w:val="00FE3E56"/>
    <w:rsid w:val="00FE4072"/>
    <w:rsid w:val="00FE4512"/>
    <w:rsid w:val="00FE479B"/>
    <w:rsid w:val="00FE63DF"/>
    <w:rsid w:val="00FE7087"/>
    <w:rsid w:val="00FE7460"/>
    <w:rsid w:val="00FE7B3B"/>
    <w:rsid w:val="00FF0555"/>
    <w:rsid w:val="00FF0F23"/>
    <w:rsid w:val="00FF14E7"/>
    <w:rsid w:val="00FF296D"/>
    <w:rsid w:val="00FF3335"/>
    <w:rsid w:val="00FF3DF4"/>
    <w:rsid w:val="00FF3F67"/>
    <w:rsid w:val="00FF4547"/>
    <w:rsid w:val="00FF4A2A"/>
    <w:rsid w:val="00FF4F7F"/>
    <w:rsid w:val="00FF5008"/>
    <w:rsid w:val="00FF505C"/>
    <w:rsid w:val="00FF6526"/>
    <w:rsid w:val="00FF6EF3"/>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B8FA1"/>
  <w15:docId w15:val="{3FA76A51-D52D-4810-BBF7-2CF2DAF0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4FE"/>
    <w:rPr>
      <w:sz w:val="24"/>
      <w:szCs w:val="24"/>
    </w:rPr>
  </w:style>
  <w:style w:type="paragraph" w:styleId="Heading1">
    <w:name w:val="heading 1"/>
    <w:basedOn w:val="Normal"/>
    <w:next w:val="Normal"/>
    <w:link w:val="Heading1Char"/>
    <w:qFormat/>
    <w:rsid w:val="009C49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73965"/>
    <w:pPr>
      <w:autoSpaceDE w:val="0"/>
      <w:autoSpaceDN w:val="0"/>
      <w:adjustRightInd w:val="0"/>
    </w:pPr>
    <w:rPr>
      <w:color w:val="000000"/>
      <w:sz w:val="24"/>
      <w:szCs w:val="24"/>
    </w:rPr>
  </w:style>
  <w:style w:type="paragraph" w:styleId="Revision">
    <w:name w:val="Revision"/>
    <w:hidden/>
    <w:uiPriority w:val="99"/>
    <w:semiHidden/>
    <w:rsid w:val="0006057C"/>
    <w:rPr>
      <w:sz w:val="24"/>
      <w:szCs w:val="24"/>
    </w:rPr>
  </w:style>
  <w:style w:type="paragraph" w:styleId="Header">
    <w:name w:val="header"/>
    <w:basedOn w:val="Normal"/>
    <w:link w:val="HeaderChar"/>
    <w:uiPriority w:val="99"/>
    <w:unhideWhenUsed/>
    <w:rsid w:val="001C035F"/>
    <w:pPr>
      <w:tabs>
        <w:tab w:val="center" w:pos="4680"/>
        <w:tab w:val="right" w:pos="9360"/>
      </w:tabs>
    </w:pPr>
  </w:style>
  <w:style w:type="character" w:customStyle="1" w:styleId="HeaderChar">
    <w:name w:val="Header Char"/>
    <w:basedOn w:val="DefaultParagraphFont"/>
    <w:link w:val="Header"/>
    <w:uiPriority w:val="99"/>
    <w:rsid w:val="001C035F"/>
    <w:rPr>
      <w:sz w:val="24"/>
      <w:szCs w:val="24"/>
    </w:rPr>
  </w:style>
  <w:style w:type="character" w:customStyle="1" w:styleId="FooterChar">
    <w:name w:val="Footer Char"/>
    <w:link w:val="Footer"/>
    <w:uiPriority w:val="99"/>
    <w:rsid w:val="00166135"/>
    <w:rPr>
      <w:sz w:val="24"/>
      <w:szCs w:val="24"/>
    </w:rPr>
  </w:style>
  <w:style w:type="character" w:customStyle="1" w:styleId="Heading1Char">
    <w:name w:val="Heading 1 Char"/>
    <w:basedOn w:val="DefaultParagraphFont"/>
    <w:link w:val="Heading1"/>
    <w:rsid w:val="009C4920"/>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96723F"/>
    <w:rPr>
      <w:rFonts w:eastAsia="Calibri"/>
      <w:sz w:val="24"/>
      <w:szCs w:val="22"/>
    </w:rPr>
  </w:style>
  <w:style w:type="paragraph" w:customStyle="1" w:styleId="OutlineL1">
    <w:name w:val="Outline_L1"/>
    <w:basedOn w:val="Normal"/>
    <w:next w:val="BodyText"/>
    <w:rsid w:val="00CB5984"/>
    <w:pPr>
      <w:tabs>
        <w:tab w:val="num" w:pos="720"/>
      </w:tabs>
      <w:spacing w:after="240"/>
      <w:ind w:firstLine="1440"/>
      <w:jc w:val="center"/>
      <w:outlineLvl w:val="0"/>
    </w:pPr>
    <w:rPr>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76571">
      <w:bodyDiv w:val="1"/>
      <w:marLeft w:val="0"/>
      <w:marRight w:val="0"/>
      <w:marTop w:val="0"/>
      <w:marBottom w:val="0"/>
      <w:divBdr>
        <w:top w:val="none" w:sz="0" w:space="0" w:color="auto"/>
        <w:left w:val="none" w:sz="0" w:space="0" w:color="auto"/>
        <w:bottom w:val="none" w:sz="0" w:space="0" w:color="auto"/>
        <w:right w:val="none" w:sz="0" w:space="0" w:color="auto"/>
      </w:divBdr>
    </w:div>
    <w:div w:id="511073207">
      <w:bodyDiv w:val="1"/>
      <w:marLeft w:val="0"/>
      <w:marRight w:val="0"/>
      <w:marTop w:val="0"/>
      <w:marBottom w:val="0"/>
      <w:divBdr>
        <w:top w:val="none" w:sz="0" w:space="0" w:color="auto"/>
        <w:left w:val="none" w:sz="0" w:space="0" w:color="auto"/>
        <w:bottom w:val="none" w:sz="0" w:space="0" w:color="auto"/>
        <w:right w:val="none" w:sz="0" w:space="0" w:color="auto"/>
      </w:divBdr>
    </w:div>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928007647">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997768">
      <w:bodyDiv w:val="1"/>
      <w:marLeft w:val="0"/>
      <w:marRight w:val="0"/>
      <w:marTop w:val="0"/>
      <w:marBottom w:val="0"/>
      <w:divBdr>
        <w:top w:val="none" w:sz="0" w:space="0" w:color="auto"/>
        <w:left w:val="none" w:sz="0" w:space="0" w:color="auto"/>
        <w:bottom w:val="none" w:sz="0" w:space="0" w:color="auto"/>
        <w:right w:val="none" w:sz="0" w:space="0" w:color="auto"/>
      </w:divBdr>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517886997">
      <w:bodyDiv w:val="1"/>
      <w:marLeft w:val="0"/>
      <w:marRight w:val="0"/>
      <w:marTop w:val="0"/>
      <w:marBottom w:val="0"/>
      <w:divBdr>
        <w:top w:val="none" w:sz="0" w:space="0" w:color="auto"/>
        <w:left w:val="none" w:sz="0" w:space="0" w:color="auto"/>
        <w:bottom w:val="none" w:sz="0" w:space="0" w:color="auto"/>
        <w:right w:val="none" w:sz="0" w:space="0" w:color="auto"/>
      </w:divBdr>
    </w:div>
    <w:div w:id="1673146932">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878083237">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 w:id="202258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9" ma:contentTypeDescription="Create a new document." ma:contentTypeScope="" ma:versionID="3bf305fb2195ff9ee6481db631051078">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254da9b04d5e5c87337f16cda3790b6a"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CDB14-5BFE-4B49-A752-B08674127A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AB497E-F821-4D08-847B-BE635C392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023D3-ACA5-489A-9CFE-CCFC1EB2D663}">
  <ds:schemaRefs>
    <ds:schemaRef ds:uri="http://schemas.microsoft.com/sharepoint/v3/contenttype/forms"/>
  </ds:schemaRefs>
</ds:datastoreItem>
</file>

<file path=customXml/itemProps4.xml><?xml version="1.0" encoding="utf-8"?>
<ds:datastoreItem xmlns:ds="http://schemas.openxmlformats.org/officeDocument/2006/customXml" ds:itemID="{806F32EE-849D-4841-8316-4DA10E9D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6018</Words>
  <Characters>33028</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Wagner, Nathan R</cp:lastModifiedBy>
  <cp:revision>2</cp:revision>
  <cp:lastPrinted>2020-03-05T16:53:00Z</cp:lastPrinted>
  <dcterms:created xsi:type="dcterms:W3CDTF">2021-08-11T19:30:00Z</dcterms:created>
  <dcterms:modified xsi:type="dcterms:W3CDTF">2021-08-11T19:30:00Z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