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4788E103" w:rsidR="006845B8" w:rsidRPr="00962F9E" w:rsidRDefault="00987033" w:rsidP="006845B8">
      <w:pPr>
        <w:jc w:val="center"/>
      </w:pPr>
      <w:r>
        <w:t xml:space="preserve">August </w:t>
      </w:r>
      <w:r w:rsidR="005B14A1">
        <w:t>2</w:t>
      </w:r>
      <w:r w:rsidR="004E5CA3">
        <w:t>0</w:t>
      </w:r>
      <w:r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6AB5DB77" w:rsidR="00B37B6A" w:rsidRDefault="00A417B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Elizabeth P. </w:t>
      </w:r>
      <w:proofErr w:type="spellStart"/>
      <w:r>
        <w:rPr>
          <w:rFonts w:cs="Arial"/>
          <w:sz w:val="22"/>
          <w:szCs w:val="22"/>
        </w:rPr>
        <w:t>Cervini</w:t>
      </w:r>
      <w:proofErr w:type="spellEnd"/>
    </w:p>
    <w:p w14:paraId="1A6AF520" w14:textId="213B442C" w:rsidR="00421517" w:rsidRDefault="00A417B3" w:rsidP="00B37B6A">
      <w:pPr>
        <w:rPr>
          <w:rFonts w:cs="Arial"/>
          <w:szCs w:val="22"/>
        </w:rPr>
      </w:pPr>
      <w:r>
        <w:rPr>
          <w:rFonts w:cs="Arial"/>
          <w:szCs w:val="22"/>
        </w:rPr>
        <w:t>The Guarantee Company of North America USA</w:t>
      </w:r>
    </w:p>
    <w:p w14:paraId="096ED3A1" w14:textId="6ABF1198" w:rsidR="00421517" w:rsidRDefault="00A417B3" w:rsidP="00B37B6A">
      <w:pPr>
        <w:rPr>
          <w:rFonts w:cs="Arial"/>
          <w:szCs w:val="22"/>
        </w:rPr>
      </w:pPr>
      <w:r>
        <w:rPr>
          <w:rFonts w:cs="Arial"/>
          <w:szCs w:val="22"/>
        </w:rPr>
        <w:t>One Towne Square Suite 1470</w:t>
      </w:r>
    </w:p>
    <w:p w14:paraId="7BB97E55" w14:textId="05F64A35" w:rsidR="00962F9E" w:rsidRPr="00B37B6A" w:rsidRDefault="00A417B3" w:rsidP="00B37B6A">
      <w:pPr>
        <w:rPr>
          <w:rFonts w:cs="Arial"/>
          <w:szCs w:val="22"/>
        </w:rPr>
      </w:pPr>
      <w:r>
        <w:rPr>
          <w:rFonts w:cs="Arial"/>
          <w:szCs w:val="22"/>
        </w:rPr>
        <w:t>Southfield MI  48076</w:t>
      </w:r>
    </w:p>
    <w:p w14:paraId="16308196" w14:textId="1C220646" w:rsidR="0029739A" w:rsidRDefault="0029739A" w:rsidP="004E5CA3">
      <w:pPr>
        <w:rPr>
          <w:rFonts w:cs="Arial"/>
          <w:szCs w:val="22"/>
        </w:rPr>
      </w:pPr>
    </w:p>
    <w:p w14:paraId="60577BAD" w14:textId="77777777" w:rsidR="004E5CA3" w:rsidRPr="00B37B6A" w:rsidRDefault="004E5CA3" w:rsidP="004E5CA3">
      <w:pPr>
        <w:rPr>
          <w:rFonts w:cs="Arial"/>
          <w:szCs w:val="22"/>
        </w:rPr>
      </w:pPr>
    </w:p>
    <w:p w14:paraId="5DE810F6" w14:textId="6ED2D800" w:rsidR="00962F9E" w:rsidRDefault="004E5CA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ab/>
        <w:t>RE:</w:t>
      </w:r>
      <w:r w:rsidR="00962F9E"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A417B3">
        <w:rPr>
          <w:rFonts w:cs="Arial"/>
          <w:sz w:val="22"/>
          <w:szCs w:val="22"/>
        </w:rPr>
        <w:t>Rider</w:t>
      </w:r>
    </w:p>
    <w:p w14:paraId="52EBE657" w14:textId="60EF59D9" w:rsidR="00067ED9" w:rsidRDefault="004E5CA3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A417B3">
        <w:rPr>
          <w:rFonts w:cs="Arial"/>
          <w:sz w:val="22"/>
          <w:szCs w:val="22"/>
        </w:rPr>
        <w:t>SFE Energy Pennsylvania Inc.</w:t>
      </w:r>
    </w:p>
    <w:p w14:paraId="5E2758D8" w14:textId="1395D9C2" w:rsidR="00AC3FF8" w:rsidRDefault="004E5CA3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87033" w:rsidRPr="00987033">
        <w:rPr>
          <w:rFonts w:cs="Arial"/>
          <w:sz w:val="22"/>
          <w:szCs w:val="22"/>
        </w:rPr>
        <w:t>A-201</w:t>
      </w:r>
      <w:r w:rsidR="00A417B3">
        <w:rPr>
          <w:rFonts w:cs="Arial"/>
          <w:sz w:val="22"/>
          <w:szCs w:val="22"/>
        </w:rPr>
        <w:t>3</w:t>
      </w:r>
      <w:r w:rsidR="00987033" w:rsidRPr="00987033">
        <w:rPr>
          <w:rFonts w:cs="Arial"/>
          <w:sz w:val="22"/>
          <w:szCs w:val="22"/>
        </w:rPr>
        <w:t>-</w:t>
      </w:r>
      <w:r w:rsidR="00A417B3">
        <w:rPr>
          <w:rFonts w:cs="Arial"/>
          <w:sz w:val="22"/>
          <w:szCs w:val="22"/>
        </w:rPr>
        <w:t>2353576</w:t>
      </w:r>
    </w:p>
    <w:p w14:paraId="268842AB" w14:textId="5F20085D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47258AF" w14:textId="2AF52C6B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41C1251D" w14:textId="0BE6DA5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87033">
        <w:rPr>
          <w:rFonts w:cs="Arial"/>
          <w:sz w:val="22"/>
          <w:szCs w:val="22"/>
        </w:rPr>
        <w:t>M</w:t>
      </w:r>
      <w:r w:rsidR="00D51E8B">
        <w:rPr>
          <w:rFonts w:cs="Arial"/>
          <w:sz w:val="22"/>
          <w:szCs w:val="22"/>
        </w:rPr>
        <w:t>s</w:t>
      </w:r>
      <w:r w:rsidR="00987033">
        <w:rPr>
          <w:rFonts w:cs="Arial"/>
          <w:sz w:val="22"/>
          <w:szCs w:val="22"/>
        </w:rPr>
        <w:t xml:space="preserve">. </w:t>
      </w:r>
      <w:proofErr w:type="spellStart"/>
      <w:r w:rsidR="00A417B3">
        <w:rPr>
          <w:rFonts w:cs="Arial"/>
          <w:sz w:val="22"/>
          <w:szCs w:val="22"/>
        </w:rPr>
        <w:t>Cervini</w:t>
      </w:r>
      <w:proofErr w:type="spellEnd"/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5E135648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A417B3">
        <w:rPr>
          <w:rFonts w:cs="Arial"/>
          <w:sz w:val="22"/>
          <w:szCs w:val="22"/>
        </w:rPr>
        <w:t>SFE Energy Pennsylvania Inc.</w:t>
      </w:r>
      <w:r w:rsidR="00067ED9" w:rsidRPr="00067ED9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4E5CA3">
        <w:rPr>
          <w:rFonts w:cs="Arial"/>
          <w:sz w:val="22"/>
          <w:szCs w:val="22"/>
        </w:rPr>
        <w:t>it is</w:t>
      </w:r>
      <w:r w:rsidR="00D51E8B">
        <w:rPr>
          <w:rFonts w:cs="Arial"/>
          <w:sz w:val="22"/>
          <w:szCs w:val="22"/>
        </w:rPr>
        <w:t xml:space="preserve"> copies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5A32708A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4E5CA3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17B3" w:rsidRPr="00B31D34">
        <w:rPr>
          <w:rFonts w:cs="Arial"/>
          <w:sz w:val="22"/>
          <w:szCs w:val="22"/>
        </w:rPr>
        <w:t xml:space="preserve">Please file the corrected, originally </w:t>
      </w:r>
      <w:proofErr w:type="gramStart"/>
      <w:r w:rsidR="00A417B3" w:rsidRPr="00B31D34">
        <w:rPr>
          <w:rFonts w:cs="Arial"/>
          <w:sz w:val="22"/>
          <w:szCs w:val="22"/>
        </w:rPr>
        <w:t>signed</w:t>
      </w:r>
      <w:proofErr w:type="gramEnd"/>
      <w:r w:rsidR="00A417B3" w:rsidRPr="00B31D34">
        <w:rPr>
          <w:rFonts w:cs="Arial"/>
          <w:sz w:val="22"/>
          <w:szCs w:val="22"/>
        </w:rPr>
        <w:t xml:space="preserve"> and sealed security in</w:t>
      </w:r>
      <w:r w:rsidR="00A417B3">
        <w:rPr>
          <w:rFonts w:cs="Arial"/>
          <w:sz w:val="22"/>
          <w:szCs w:val="22"/>
        </w:rPr>
        <w:t>strument with my office within 3</w:t>
      </w:r>
      <w:r w:rsidR="00A417B3" w:rsidRPr="00B31D34">
        <w:rPr>
          <w:rFonts w:cs="Arial"/>
          <w:sz w:val="22"/>
          <w:szCs w:val="22"/>
        </w:rPr>
        <w:t>0 days of the date of this letter, preferably by overnight delivery.</w:t>
      </w:r>
      <w:r w:rsidR="00A417B3">
        <w:rPr>
          <w:rFonts w:cs="Arial"/>
          <w:sz w:val="22"/>
          <w:szCs w:val="22"/>
        </w:rPr>
        <w:t xml:space="preserve"> </w:t>
      </w:r>
      <w:r w:rsidR="00A417B3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7" w:history="1">
        <w:r w:rsidR="00A417B3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17B3">
        <w:rPr>
          <w:rStyle w:val="Hyperlink"/>
          <w:rFonts w:cs="Arial"/>
          <w:sz w:val="22"/>
          <w:szCs w:val="22"/>
        </w:rPr>
        <w:t>.</w:t>
      </w:r>
      <w:r w:rsidR="00A417B3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708CE24" w14:textId="77777777" w:rsidR="004E5CA3" w:rsidRDefault="004E5CA3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451406C4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C5458CF" w14:textId="3ADFBB3E" w:rsidR="00A417B3" w:rsidRDefault="00A417B3" w:rsidP="00962F9E">
      <w:pPr>
        <w:rPr>
          <w:rStyle w:val="Emphasis"/>
          <w:i w:val="0"/>
          <w:sz w:val="22"/>
          <w:szCs w:val="22"/>
        </w:rPr>
      </w:pPr>
    </w:p>
    <w:p w14:paraId="341EFC49" w14:textId="034FF8B9" w:rsidR="00A417B3" w:rsidRDefault="00A417B3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CC:</w:t>
      </w:r>
      <w:r>
        <w:rPr>
          <w:rStyle w:val="Emphasis"/>
          <w:i w:val="0"/>
          <w:sz w:val="22"/>
          <w:szCs w:val="22"/>
        </w:rPr>
        <w:tab/>
        <w:t>Jeff Donnelly</w:t>
      </w:r>
    </w:p>
    <w:p w14:paraId="2E05965E" w14:textId="07EE28F3" w:rsidR="00A417B3" w:rsidRDefault="00A417B3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ab/>
        <w:t>SFE Energy Pennsylvania Inc.</w:t>
      </w:r>
    </w:p>
    <w:p w14:paraId="56A5A2D4" w14:textId="41A96CCB" w:rsidR="00A417B3" w:rsidRDefault="00A417B3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ab/>
        <w:t xml:space="preserve">100 </w:t>
      </w:r>
      <w:proofErr w:type="spellStart"/>
      <w:r>
        <w:rPr>
          <w:rStyle w:val="Emphasis"/>
          <w:i w:val="0"/>
          <w:sz w:val="22"/>
          <w:szCs w:val="22"/>
        </w:rPr>
        <w:t>Milverton</w:t>
      </w:r>
      <w:proofErr w:type="spellEnd"/>
      <w:r>
        <w:rPr>
          <w:rStyle w:val="Emphasis"/>
          <w:i w:val="0"/>
          <w:sz w:val="22"/>
          <w:szCs w:val="22"/>
        </w:rPr>
        <w:t xml:space="preserve"> Drive Suite 608</w:t>
      </w:r>
    </w:p>
    <w:p w14:paraId="1BBF6EDB" w14:textId="5C34D664" w:rsidR="00A417B3" w:rsidRDefault="00A417B3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ab/>
        <w:t xml:space="preserve">Mississauga </w:t>
      </w:r>
      <w:proofErr w:type="gramStart"/>
      <w:r>
        <w:rPr>
          <w:rStyle w:val="Emphasis"/>
          <w:i w:val="0"/>
          <w:sz w:val="22"/>
          <w:szCs w:val="22"/>
        </w:rPr>
        <w:t>ON  L</w:t>
      </w:r>
      <w:proofErr w:type="gramEnd"/>
      <w:r>
        <w:rPr>
          <w:rStyle w:val="Emphasis"/>
          <w:i w:val="0"/>
          <w:sz w:val="22"/>
          <w:szCs w:val="22"/>
        </w:rPr>
        <w:t>5R 4H1</w:t>
      </w:r>
    </w:p>
    <w:p w14:paraId="7211AE8A" w14:textId="2FB67CCF" w:rsidR="00A417B3" w:rsidRDefault="00A417B3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ab/>
        <w:t>(letter only by First Class Mail)</w:t>
      </w:r>
    </w:p>
    <w:sectPr w:rsidR="00A417B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BA47" w14:textId="77777777" w:rsidR="00E72F75" w:rsidRDefault="00E72F75" w:rsidP="00E72F75">
      <w:r>
        <w:separator/>
      </w:r>
    </w:p>
  </w:endnote>
  <w:endnote w:type="continuationSeparator" w:id="0">
    <w:p w14:paraId="53E2C837" w14:textId="77777777" w:rsidR="00E72F75" w:rsidRDefault="00E72F75" w:rsidP="00E7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E3D2" w14:textId="77777777" w:rsidR="00E72F75" w:rsidRDefault="00E72F75" w:rsidP="00E72F75">
      <w:r>
        <w:separator/>
      </w:r>
    </w:p>
  </w:footnote>
  <w:footnote w:type="continuationSeparator" w:id="0">
    <w:p w14:paraId="51B9928E" w14:textId="77777777" w:rsidR="00E72F75" w:rsidRDefault="00E72F75" w:rsidP="00E7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4E5CA3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B14A1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64CD2"/>
    <w:rsid w:val="006845B8"/>
    <w:rsid w:val="006D1C28"/>
    <w:rsid w:val="006D3FAA"/>
    <w:rsid w:val="007410CE"/>
    <w:rsid w:val="00761944"/>
    <w:rsid w:val="00762A3A"/>
    <w:rsid w:val="0079437A"/>
    <w:rsid w:val="007C599C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87033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417B3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B7821"/>
    <w:rsid w:val="00CC0453"/>
    <w:rsid w:val="00CC3D74"/>
    <w:rsid w:val="00CE3180"/>
    <w:rsid w:val="00D00806"/>
    <w:rsid w:val="00D00ECC"/>
    <w:rsid w:val="00D50BE1"/>
    <w:rsid w:val="00D51E8B"/>
    <w:rsid w:val="00D56373"/>
    <w:rsid w:val="00D675BC"/>
    <w:rsid w:val="00D7164F"/>
    <w:rsid w:val="00DB07B0"/>
    <w:rsid w:val="00DD0206"/>
    <w:rsid w:val="00DF3670"/>
    <w:rsid w:val="00E05C8A"/>
    <w:rsid w:val="00E550AF"/>
    <w:rsid w:val="00E57869"/>
    <w:rsid w:val="00E72F75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72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7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72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chiavett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2021-08-20T13:20:00Z</cp:lastPrinted>
  <dcterms:created xsi:type="dcterms:W3CDTF">2021-08-20T13:30:00Z</dcterms:created>
  <dcterms:modified xsi:type="dcterms:W3CDTF">2021-08-20T13:30:00Z</dcterms:modified>
</cp:coreProperties>
</file>