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AD1B7" w14:textId="77777777" w:rsidR="00C04960" w:rsidRDefault="00053A4A" w:rsidP="00053A4A">
      <w:pPr>
        <w:spacing w:line="240" w:lineRule="auto"/>
        <w:rPr>
          <w:b/>
        </w:rPr>
      </w:pPr>
      <w:r>
        <w:rPr>
          <w:b/>
        </w:rPr>
        <w:t>BEFORE THE</w:t>
      </w:r>
    </w:p>
    <w:p w14:paraId="416C0637" w14:textId="77777777" w:rsidR="00053A4A" w:rsidRDefault="00053A4A" w:rsidP="00053A4A">
      <w:pPr>
        <w:spacing w:line="240" w:lineRule="auto"/>
        <w:rPr>
          <w:b/>
        </w:rPr>
      </w:pPr>
      <w:r>
        <w:rPr>
          <w:b/>
        </w:rPr>
        <w:t>PENNSYLVANIA PUBLIC UTILITY COMMISSION</w:t>
      </w:r>
    </w:p>
    <w:p w14:paraId="68373050" w14:textId="77777777" w:rsidR="00053A4A" w:rsidRDefault="00053A4A" w:rsidP="00053A4A">
      <w:pPr>
        <w:spacing w:line="240" w:lineRule="auto"/>
        <w:rPr>
          <w:b/>
        </w:rPr>
      </w:pPr>
    </w:p>
    <w:p w14:paraId="28456014" w14:textId="77777777" w:rsidR="00053A4A" w:rsidRDefault="00053A4A" w:rsidP="00053A4A">
      <w:pPr>
        <w:spacing w:line="240" w:lineRule="auto"/>
        <w:rPr>
          <w:b/>
        </w:rPr>
      </w:pPr>
    </w:p>
    <w:p w14:paraId="0883B224" w14:textId="77777777" w:rsidR="00180787" w:rsidRDefault="00180787" w:rsidP="00053A4A">
      <w:pPr>
        <w:spacing w:line="240" w:lineRule="auto"/>
        <w:rPr>
          <w:b/>
        </w:rPr>
      </w:pPr>
    </w:p>
    <w:p w14:paraId="3F55BE82" w14:textId="3F92F2F3" w:rsidR="00053A4A" w:rsidRDefault="004632C0" w:rsidP="00053A4A">
      <w:pPr>
        <w:spacing w:line="240" w:lineRule="auto"/>
        <w:jc w:val="left"/>
      </w:pPr>
      <w:r w:rsidRPr="004632C0">
        <w:t>Fred DeIuliis</w:t>
      </w:r>
      <w:r w:rsidR="00053A4A">
        <w:t xml:space="preserve"> </w:t>
      </w:r>
      <w:r w:rsidR="00053A4A">
        <w:tab/>
      </w:r>
      <w:r w:rsidR="00053A4A">
        <w:tab/>
      </w:r>
      <w:r w:rsidR="00053A4A">
        <w:tab/>
      </w:r>
      <w:r>
        <w:tab/>
      </w:r>
      <w:r w:rsidR="00053A4A">
        <w:tab/>
      </w:r>
      <w:r w:rsidR="00053A4A">
        <w:tab/>
        <w:t>:</w:t>
      </w:r>
    </w:p>
    <w:p w14:paraId="577A5A3E" w14:textId="77777777" w:rsidR="00053A4A" w:rsidRDefault="00053A4A" w:rsidP="00053A4A">
      <w:pPr>
        <w:spacing w:line="240" w:lineRule="auto"/>
        <w:jc w:val="left"/>
      </w:pPr>
      <w:r>
        <w:tab/>
      </w:r>
      <w:r>
        <w:tab/>
      </w:r>
      <w:r>
        <w:tab/>
      </w:r>
      <w:r>
        <w:tab/>
      </w:r>
      <w:r>
        <w:tab/>
      </w:r>
      <w:r>
        <w:tab/>
      </w:r>
      <w:r>
        <w:tab/>
        <w:t>:</w:t>
      </w:r>
    </w:p>
    <w:p w14:paraId="0BE4CE46" w14:textId="5EC073A9" w:rsidR="00053A4A" w:rsidRDefault="00053A4A" w:rsidP="00053A4A">
      <w:pPr>
        <w:spacing w:line="240" w:lineRule="auto"/>
        <w:jc w:val="left"/>
      </w:pPr>
      <w:r>
        <w:tab/>
        <w:t>v.</w:t>
      </w:r>
      <w:r>
        <w:tab/>
      </w:r>
      <w:r>
        <w:tab/>
      </w:r>
      <w:r>
        <w:tab/>
      </w:r>
      <w:r>
        <w:tab/>
      </w:r>
      <w:r>
        <w:tab/>
      </w:r>
      <w:r>
        <w:tab/>
        <w:t>:</w:t>
      </w:r>
      <w:r>
        <w:tab/>
      </w:r>
      <w:r>
        <w:tab/>
      </w:r>
      <w:r w:rsidR="004632C0" w:rsidRPr="004632C0">
        <w:t>C-2021-3026386</w:t>
      </w:r>
    </w:p>
    <w:p w14:paraId="63CA0D6C" w14:textId="77777777" w:rsidR="00053A4A" w:rsidRDefault="00053A4A" w:rsidP="00053A4A">
      <w:pPr>
        <w:spacing w:line="240" w:lineRule="auto"/>
        <w:jc w:val="left"/>
      </w:pPr>
      <w:r>
        <w:tab/>
      </w:r>
      <w:r>
        <w:tab/>
      </w:r>
      <w:r>
        <w:tab/>
      </w:r>
      <w:r>
        <w:tab/>
      </w:r>
      <w:r>
        <w:tab/>
      </w:r>
      <w:r>
        <w:tab/>
      </w:r>
      <w:r>
        <w:tab/>
        <w:t>:</w:t>
      </w:r>
    </w:p>
    <w:p w14:paraId="5971D8B3" w14:textId="281B6F8B" w:rsidR="00053A4A" w:rsidRDefault="004632C0" w:rsidP="00053A4A">
      <w:pPr>
        <w:spacing w:line="240" w:lineRule="auto"/>
        <w:jc w:val="left"/>
      </w:pPr>
      <w:r w:rsidRPr="004632C0">
        <w:t>Duquesne Light Company</w:t>
      </w:r>
      <w:r w:rsidR="001578D4">
        <w:tab/>
      </w:r>
      <w:r w:rsidR="00053A4A">
        <w:tab/>
      </w:r>
      <w:r w:rsidR="00053A4A">
        <w:tab/>
      </w:r>
      <w:r w:rsidR="00053A4A">
        <w:tab/>
        <w:t>:</w:t>
      </w:r>
    </w:p>
    <w:p w14:paraId="7F933D84" w14:textId="77777777" w:rsidR="00053A4A" w:rsidRDefault="00053A4A" w:rsidP="00053A4A">
      <w:pPr>
        <w:spacing w:line="240" w:lineRule="auto"/>
        <w:jc w:val="left"/>
      </w:pPr>
    </w:p>
    <w:p w14:paraId="4EABDFC6" w14:textId="77777777" w:rsidR="00053A4A" w:rsidRDefault="00053A4A" w:rsidP="00053A4A">
      <w:pPr>
        <w:spacing w:line="240" w:lineRule="auto"/>
        <w:jc w:val="left"/>
      </w:pPr>
    </w:p>
    <w:p w14:paraId="32B47B48" w14:textId="77777777" w:rsidR="00180787" w:rsidRDefault="00180787" w:rsidP="00053A4A">
      <w:pPr>
        <w:spacing w:line="240" w:lineRule="auto"/>
        <w:jc w:val="left"/>
      </w:pPr>
    </w:p>
    <w:p w14:paraId="50EA5684" w14:textId="3D076843" w:rsidR="00053A4A" w:rsidRPr="00053A4A" w:rsidRDefault="004632C0" w:rsidP="00053A4A">
      <w:pPr>
        <w:spacing w:line="240" w:lineRule="auto"/>
        <w:rPr>
          <w:b/>
          <w:u w:val="single"/>
        </w:rPr>
      </w:pPr>
      <w:r>
        <w:rPr>
          <w:b/>
          <w:u w:val="single"/>
        </w:rPr>
        <w:t>ORDE</w:t>
      </w:r>
      <w:r w:rsidR="00CF4439">
        <w:rPr>
          <w:b/>
          <w:u w:val="single"/>
        </w:rPr>
        <w:t xml:space="preserve">R </w:t>
      </w:r>
      <w:r w:rsidR="00752C54">
        <w:rPr>
          <w:b/>
          <w:u w:val="single"/>
        </w:rPr>
        <w:t>SUSTAINING</w:t>
      </w:r>
      <w:r w:rsidR="00CF4439">
        <w:rPr>
          <w:b/>
          <w:u w:val="single"/>
        </w:rPr>
        <w:t xml:space="preserve"> IN PART PRELIMINARY OBJECTIONS</w:t>
      </w:r>
    </w:p>
    <w:p w14:paraId="4905EC3B" w14:textId="77777777" w:rsidR="00053A4A" w:rsidRDefault="00053A4A" w:rsidP="00053A4A">
      <w:pPr>
        <w:spacing w:line="240" w:lineRule="auto"/>
        <w:rPr>
          <w:b/>
        </w:rPr>
      </w:pPr>
    </w:p>
    <w:p w14:paraId="5E061044" w14:textId="77777777" w:rsidR="00B7149A" w:rsidRDefault="00B7149A" w:rsidP="00053A4A">
      <w:pPr>
        <w:spacing w:line="240" w:lineRule="auto"/>
      </w:pPr>
    </w:p>
    <w:p w14:paraId="00D98AB5" w14:textId="6FAB79E7" w:rsidR="00D114B8" w:rsidRDefault="00D114B8" w:rsidP="00DA012F">
      <w:pPr>
        <w:jc w:val="left"/>
      </w:pPr>
      <w:r>
        <w:tab/>
      </w:r>
      <w:r>
        <w:tab/>
        <w:t xml:space="preserve">This Order is issued pursuant to the authority of presiding officers to regulate the course of a proceeding.  52 Pa. Code §5.483(a).  The Order is also issued pursuant to the Commission’s procedural regulation relative to preliminary objections at 52 Pa. Code </w:t>
      </w:r>
      <w:r w:rsidRPr="00D114B8">
        <w:t>§ 5.10</w:t>
      </w:r>
      <w:r>
        <w:t>1(g).</w:t>
      </w:r>
      <w:r w:rsidR="00B7149A">
        <w:tab/>
      </w:r>
      <w:r w:rsidR="00B7149A">
        <w:tab/>
      </w:r>
    </w:p>
    <w:p w14:paraId="40FC383B" w14:textId="77C6388B" w:rsidR="00D114B8" w:rsidRDefault="00D114B8" w:rsidP="00DA012F">
      <w:pPr>
        <w:jc w:val="left"/>
      </w:pPr>
      <w:r>
        <w:tab/>
      </w:r>
      <w:r>
        <w:tab/>
      </w:r>
      <w:r w:rsidR="00444739">
        <w:t xml:space="preserve">On April 29, 2021, Fred DeIuliis (Complainant) filed a formal Complaint at this docket appealing a determination by the Commission’s Bureau of Consumer Services (BCS) at Case No. 3779536.  </w:t>
      </w:r>
      <w:r w:rsidR="00E06C62">
        <w:t xml:space="preserve">The Complaint was filed against Duquesne Light Company (DLC or Respondent).  </w:t>
      </w:r>
      <w:r w:rsidR="00444739">
        <w:t>Though the appeal was untimely, the Complaint was accepted by the Office of the Secretary of the Commission and was docketed as a formal Complaint.</w:t>
      </w:r>
      <w:r w:rsidR="000A247D">
        <w:rPr>
          <w:rStyle w:val="FootnoteReference"/>
        </w:rPr>
        <w:footnoteReference w:id="1"/>
      </w:r>
      <w:r w:rsidR="00444739">
        <w:t xml:space="preserve">  In sum, the Complaint is both a billing dispute and a </w:t>
      </w:r>
      <w:proofErr w:type="gramStart"/>
      <w:r w:rsidR="00444739">
        <w:t>quality of service</w:t>
      </w:r>
      <w:proofErr w:type="gramEnd"/>
      <w:r w:rsidR="00444739">
        <w:t xml:space="preserve"> complaint</w:t>
      </w:r>
      <w:r w:rsidR="00DA012F">
        <w:t xml:space="preserve"> related to the restoral of service</w:t>
      </w:r>
      <w:r w:rsidR="00484B88">
        <w:t xml:space="preserve"> and communications between the Complainant and DLC employees</w:t>
      </w:r>
      <w:r w:rsidR="00444739">
        <w:t>.</w:t>
      </w:r>
      <w:r w:rsidR="00DA012F">
        <w:t xml:space="preserve">  </w:t>
      </w:r>
    </w:p>
    <w:p w14:paraId="2CBE5E31" w14:textId="77777777" w:rsidR="00D114B8" w:rsidRDefault="00D114B8" w:rsidP="00DA012F">
      <w:pPr>
        <w:jc w:val="left"/>
      </w:pPr>
    </w:p>
    <w:p w14:paraId="1BB7F0E6" w14:textId="25627A29" w:rsidR="002A0E1D" w:rsidRDefault="002E7E19" w:rsidP="00DA012F">
      <w:pPr>
        <w:jc w:val="left"/>
      </w:pPr>
      <w:r>
        <w:tab/>
      </w:r>
      <w:r>
        <w:tab/>
      </w:r>
      <w:r w:rsidR="00DA012F">
        <w:t>The Compla</w:t>
      </w:r>
      <w:r w:rsidR="00D114B8">
        <w:t>i</w:t>
      </w:r>
      <w:r w:rsidR="00DA012F">
        <w:t xml:space="preserve">nt is somewhat difficult to understand, but upon review of </w:t>
      </w:r>
      <w:r w:rsidR="00165754">
        <w:t xml:space="preserve">both </w:t>
      </w:r>
      <w:r w:rsidR="00DA012F">
        <w:t xml:space="preserve">the Complaint and DLC’s Answer thereto, </w:t>
      </w:r>
      <w:r w:rsidR="000A247D">
        <w:t xml:space="preserve">I conclude that </w:t>
      </w:r>
      <w:r w:rsidR="00DA012F">
        <w:t>there are t</w:t>
      </w:r>
      <w:r w:rsidR="00165754">
        <w:t>hree</w:t>
      </w:r>
      <w:r w:rsidR="00DA012F">
        <w:t xml:space="preserve"> main issues in the </w:t>
      </w:r>
      <w:r w:rsidR="00DA012F">
        <w:lastRenderedPageBreak/>
        <w:t xml:space="preserve">Complaint: (1) disagreement with the requirement </w:t>
      </w:r>
      <w:r w:rsidR="00165754">
        <w:t xml:space="preserve">that Complainant </w:t>
      </w:r>
      <w:r w:rsidR="00DA012F">
        <w:t>obtain wiring approval</w:t>
      </w:r>
      <w:r w:rsidR="00165754">
        <w:t xml:space="preserve">; </w:t>
      </w:r>
      <w:r w:rsidR="00DA012F">
        <w:t xml:space="preserve">(2) </w:t>
      </w:r>
      <w:r w:rsidR="00165754">
        <w:t xml:space="preserve">objection to </w:t>
      </w:r>
      <w:r w:rsidR="00DA012F">
        <w:t xml:space="preserve">the Customer Charge on </w:t>
      </w:r>
      <w:r w:rsidR="00E06C62">
        <w:t xml:space="preserve">Complainant’s </w:t>
      </w:r>
      <w:r w:rsidR="00DA012F">
        <w:t>bills</w:t>
      </w:r>
      <w:r w:rsidR="00165754">
        <w:t xml:space="preserve">; </w:t>
      </w:r>
      <w:proofErr w:type="gramStart"/>
      <w:r w:rsidR="00165754">
        <w:t>and,</w:t>
      </w:r>
      <w:proofErr w:type="gramEnd"/>
      <w:r w:rsidR="00165754">
        <w:t xml:space="preserve"> (3) an issue whether DLC provided adequate and reasonable service in dealing with Complainant</w:t>
      </w:r>
      <w:r w:rsidR="00DA012F">
        <w:t>.</w:t>
      </w:r>
      <w:r w:rsidR="00E06C62">
        <w:t xml:space="preserve">  </w:t>
      </w:r>
      <w:r w:rsidR="00165754">
        <w:t xml:space="preserve">Complaint at Paragraph 4 (Attachment 1-A); </w:t>
      </w:r>
      <w:r w:rsidR="00E06C62">
        <w:t>DLC Answer at Paragraph 4.</w:t>
      </w:r>
      <w:r w:rsidR="00165754">
        <w:t xml:space="preserve"> </w:t>
      </w:r>
      <w:r w:rsidR="000A247D">
        <w:t xml:space="preserve"> See 66 Pa. C.S. §1501</w:t>
      </w:r>
      <w:r w:rsidR="00065F34">
        <w:t xml:space="preserve"> with respect to quality of service</w:t>
      </w:r>
      <w:r w:rsidR="000A247D">
        <w:t>.</w:t>
      </w:r>
      <w:r w:rsidR="00065F34">
        <w:rPr>
          <w:rStyle w:val="FootnoteReference"/>
        </w:rPr>
        <w:footnoteReference w:id="2"/>
      </w:r>
      <w:r w:rsidR="00165754">
        <w:t xml:space="preserve"> </w:t>
      </w:r>
    </w:p>
    <w:p w14:paraId="058BB96B" w14:textId="5C54E5A8" w:rsidR="00444739" w:rsidRDefault="00444739" w:rsidP="004632C0">
      <w:pPr>
        <w:jc w:val="left"/>
      </w:pPr>
    </w:p>
    <w:p w14:paraId="3FFB492E" w14:textId="3450FA44" w:rsidR="00444739" w:rsidRDefault="00444739" w:rsidP="004632C0">
      <w:pPr>
        <w:jc w:val="left"/>
      </w:pPr>
      <w:r>
        <w:tab/>
      </w:r>
      <w:r>
        <w:tab/>
        <w:t xml:space="preserve">On June 29, 2021, DLC filed </w:t>
      </w:r>
      <w:r w:rsidR="003B5F50">
        <w:t>an Answer to the Complaint denying any violation of the Public Utility Code (Code) or of the regulations of the Commission.  By way of clarification, DLC explained that:</w:t>
      </w:r>
    </w:p>
    <w:p w14:paraId="219DD7C0" w14:textId="34DDE66B" w:rsidR="003B5F50" w:rsidRDefault="003B5F50" w:rsidP="004632C0">
      <w:pPr>
        <w:jc w:val="left"/>
      </w:pPr>
    </w:p>
    <w:p w14:paraId="3FDD6CE4" w14:textId="1B55FAFA" w:rsidR="003B5F50" w:rsidRDefault="003B5F50" w:rsidP="003B5F50">
      <w:pPr>
        <w:spacing w:line="240" w:lineRule="auto"/>
        <w:ind w:left="1440" w:right="720"/>
        <w:jc w:val="left"/>
      </w:pPr>
      <w:r>
        <w:t>Upon information and belief, the Complaint pertains to electric service provided to two separate addresses. A portion of the Complaint relates to the service address where meter number F74478404 (“Meter F74478404”) is located, specifically, 14 Cable Pl., Apt. 3, Pittsburgh, PA 15213 (the “Property”). The remaining portion of the Complaint is associated with the billing associated with 3440 Dawson St., Pittsburgh, PA 15213. By way of further response, Complainant’s mailing address is 3605 Dawson St., Pittsburgh, PA 15213.</w:t>
      </w:r>
    </w:p>
    <w:p w14:paraId="77B3DC01" w14:textId="4A0C1556" w:rsidR="003B5F50" w:rsidRDefault="003B5F50" w:rsidP="004632C0">
      <w:pPr>
        <w:jc w:val="left"/>
      </w:pPr>
    </w:p>
    <w:p w14:paraId="4C9B7190" w14:textId="6175F8EB" w:rsidR="003B5F50" w:rsidRDefault="003B5F50" w:rsidP="004632C0">
      <w:pPr>
        <w:jc w:val="left"/>
      </w:pPr>
      <w:r>
        <w:t>DLC Answer at Paragraph 1.</w:t>
      </w:r>
    </w:p>
    <w:p w14:paraId="4A7577EF" w14:textId="1786EEBC" w:rsidR="003B5F50" w:rsidRDefault="003B5F50" w:rsidP="004632C0">
      <w:pPr>
        <w:jc w:val="left"/>
      </w:pPr>
    </w:p>
    <w:p w14:paraId="2E8163C9" w14:textId="797D013D" w:rsidR="003B5F50" w:rsidRDefault="000E28D6" w:rsidP="004632C0">
      <w:pPr>
        <w:jc w:val="left"/>
      </w:pPr>
      <w:r>
        <w:tab/>
      </w:r>
      <w:r>
        <w:tab/>
        <w:t>I</w:t>
      </w:r>
      <w:r w:rsidR="00DA012F">
        <w:t>n</w:t>
      </w:r>
      <w:r>
        <w:t xml:space="preserve"> its Answer, DLC further explains that:</w:t>
      </w:r>
    </w:p>
    <w:p w14:paraId="4B6D1722" w14:textId="6B9EAB11" w:rsidR="000E28D6" w:rsidRDefault="000E28D6" w:rsidP="000E28D6">
      <w:pPr>
        <w:spacing w:line="240" w:lineRule="auto"/>
        <w:ind w:left="1440" w:right="720"/>
        <w:jc w:val="left"/>
      </w:pPr>
      <w:r>
        <w:t xml:space="preserve">[T]he Company required Complainant to obtain a wiring approval before establishing service at the Property because the Property had not been energized for more than 12 months. Specifically, the Property had not had power since the former meter was removed on September 19, 2018. On February 23, 2021, the Company received a wiring approval for the Property. On February 24, </w:t>
      </w:r>
      <w:proofErr w:type="gramStart"/>
      <w:r>
        <w:t>2021</w:t>
      </w:r>
      <w:proofErr w:type="gramEnd"/>
      <w:r>
        <w:t xml:space="preserve"> Duquesne Light installed Meter F74478404, energized the Property, and listed the electric account in Complainant’s name. The Company denies any wrongdoing related to its </w:t>
      </w:r>
    </w:p>
    <w:p w14:paraId="068B9F8F" w14:textId="331D52F6" w:rsidR="000E28D6" w:rsidRDefault="000E28D6" w:rsidP="00512BD2">
      <w:pPr>
        <w:spacing w:line="240" w:lineRule="auto"/>
        <w:ind w:left="1440" w:right="720"/>
        <w:jc w:val="both"/>
      </w:pPr>
      <w:r>
        <w:t>wiring approval requirements.</w:t>
      </w:r>
    </w:p>
    <w:p w14:paraId="1457C8BC" w14:textId="06BC9BA2" w:rsidR="00444739" w:rsidRDefault="00444739" w:rsidP="004632C0">
      <w:pPr>
        <w:jc w:val="left"/>
      </w:pPr>
    </w:p>
    <w:p w14:paraId="0CAB4655" w14:textId="1B841841" w:rsidR="00444739" w:rsidRDefault="000E28D6" w:rsidP="004632C0">
      <w:pPr>
        <w:jc w:val="left"/>
      </w:pPr>
      <w:r>
        <w:t>DLC Answer at Paragraph 4.</w:t>
      </w:r>
    </w:p>
    <w:p w14:paraId="76B06FFC" w14:textId="69C504C4" w:rsidR="00444739" w:rsidRDefault="00444739" w:rsidP="004632C0">
      <w:pPr>
        <w:jc w:val="left"/>
      </w:pPr>
    </w:p>
    <w:p w14:paraId="4654B489" w14:textId="01AB346E" w:rsidR="00444739" w:rsidRDefault="00D114B8" w:rsidP="00D114B8">
      <w:pPr>
        <w:jc w:val="left"/>
      </w:pPr>
      <w:r>
        <w:tab/>
      </w:r>
      <w:r>
        <w:tab/>
        <w:t>Also on June 29, 2021, DLC filed</w:t>
      </w:r>
      <w:r w:rsidR="00D10589">
        <w:t xml:space="preserve"> </w:t>
      </w:r>
      <w:r>
        <w:t>Preliminary Objection</w:t>
      </w:r>
      <w:r w:rsidR="000A247D">
        <w:t>s</w:t>
      </w:r>
      <w:r>
        <w:t xml:space="preserve"> to the Complaint seek</w:t>
      </w:r>
      <w:r w:rsidR="00D10589">
        <w:t xml:space="preserve">ing </w:t>
      </w:r>
      <w:r>
        <w:t xml:space="preserve">to dismiss the portion of the Complaint disputing the Company’s Customer Charge because the Customer Charge is permitted by the Company’s tariff, and does not constitute a violation of </w:t>
      </w:r>
      <w:r w:rsidR="00D10589">
        <w:t xml:space="preserve">Code, </w:t>
      </w:r>
      <w:proofErr w:type="gramStart"/>
      <w:r w:rsidR="00D10589">
        <w:t>regulations</w:t>
      </w:r>
      <w:proofErr w:type="gramEnd"/>
      <w:r w:rsidR="00D10589">
        <w:t xml:space="preserve"> or orders of the Commission</w:t>
      </w:r>
      <w:r>
        <w:t>.</w:t>
      </w:r>
      <w:r w:rsidR="00165754">
        <w:t xml:space="preserve">  DLC also contends that the Complaint is legally insufficient </w:t>
      </w:r>
      <w:r w:rsidR="00165754" w:rsidRPr="004F6813">
        <w:rPr>
          <w:i/>
          <w:iCs/>
        </w:rPr>
        <w:t>in toto</w:t>
      </w:r>
      <w:r w:rsidR="00165754">
        <w:t xml:space="preserve"> and should be dismissed.  </w:t>
      </w:r>
      <w:r w:rsidR="004F6813">
        <w:t>Preliminary Objections at Paragraphs 14-15.</w:t>
      </w:r>
    </w:p>
    <w:p w14:paraId="77C7E693" w14:textId="30817524" w:rsidR="00444739" w:rsidRDefault="00444739" w:rsidP="004632C0">
      <w:pPr>
        <w:jc w:val="left"/>
      </w:pPr>
    </w:p>
    <w:p w14:paraId="7177A431" w14:textId="2CE224DD" w:rsidR="00D10589" w:rsidRDefault="00D10589" w:rsidP="004632C0">
      <w:pPr>
        <w:jc w:val="left"/>
      </w:pPr>
      <w:r>
        <w:tab/>
      </w:r>
      <w:r>
        <w:tab/>
        <w:t xml:space="preserve">The </w:t>
      </w:r>
      <w:r w:rsidR="004F6813">
        <w:t>Preliminary Objections were</w:t>
      </w:r>
      <w:r>
        <w:t xml:space="preserve"> duly served on Complainant, properly endorsed with a Notice to Plead.  To date, Complainant has not filed an Answer or any other responsive pleading to the Preliminary Objection</w:t>
      </w:r>
      <w:r w:rsidR="004F6813">
        <w:t>s</w:t>
      </w:r>
      <w:r>
        <w:t>.</w:t>
      </w:r>
    </w:p>
    <w:p w14:paraId="505CCED5" w14:textId="1377B30C" w:rsidR="00752C54" w:rsidRDefault="00752C54" w:rsidP="004632C0">
      <w:pPr>
        <w:jc w:val="left"/>
      </w:pPr>
    </w:p>
    <w:p w14:paraId="721C9BE3" w14:textId="5CD3B1B7" w:rsidR="00752C54" w:rsidRDefault="00752C54" w:rsidP="004632C0">
      <w:pPr>
        <w:jc w:val="left"/>
      </w:pPr>
      <w:r>
        <w:tab/>
      </w:r>
      <w:r>
        <w:tab/>
        <w:t>On August 12, 2021, the undersigned was assigned to resolve the Preliminary Objections filed by DLC.</w:t>
      </w:r>
    </w:p>
    <w:p w14:paraId="62C92293" w14:textId="59405ED5" w:rsidR="00444739" w:rsidRDefault="00444739" w:rsidP="004632C0">
      <w:pPr>
        <w:jc w:val="left"/>
      </w:pPr>
    </w:p>
    <w:p w14:paraId="24AFA84D" w14:textId="26E534A5" w:rsidR="005555C0" w:rsidRDefault="005555C0" w:rsidP="005555C0">
      <w:pPr>
        <w:suppressAutoHyphens/>
        <w:autoSpaceDE w:val="0"/>
        <w:autoSpaceDN w:val="0"/>
        <w:jc w:val="left"/>
        <w:rPr>
          <w:rFonts w:eastAsia="Times New Roman"/>
        </w:rPr>
      </w:pPr>
      <w:r>
        <w:rPr>
          <w:rFonts w:eastAsia="Times New Roman"/>
        </w:rPr>
        <w:tab/>
      </w:r>
      <w:r>
        <w:rPr>
          <w:rFonts w:eastAsia="Times New Roman"/>
        </w:rPr>
        <w:tab/>
        <w:t xml:space="preserve">The Commission’s Rules of Administrative Practice and Procedure </w:t>
      </w:r>
      <w:r w:rsidR="00C72CBF">
        <w:rPr>
          <w:rFonts w:eastAsia="Times New Roman"/>
        </w:rPr>
        <w:t>permit the filing of Preliminary Objections:</w:t>
      </w:r>
    </w:p>
    <w:p w14:paraId="69E098B0" w14:textId="77777777" w:rsidR="00C72CBF" w:rsidRPr="005555C0" w:rsidRDefault="00C72CBF" w:rsidP="005555C0">
      <w:pPr>
        <w:suppressAutoHyphens/>
        <w:autoSpaceDE w:val="0"/>
        <w:autoSpaceDN w:val="0"/>
        <w:jc w:val="left"/>
        <w:rPr>
          <w:rFonts w:eastAsia="Times New Roman"/>
        </w:rPr>
      </w:pPr>
    </w:p>
    <w:p w14:paraId="01D85244" w14:textId="77777777" w:rsidR="005555C0" w:rsidRPr="005555C0" w:rsidRDefault="005555C0" w:rsidP="005555C0">
      <w:pPr>
        <w:tabs>
          <w:tab w:val="left" w:pos="-90"/>
        </w:tabs>
        <w:suppressAutoHyphens/>
        <w:autoSpaceDE w:val="0"/>
        <w:autoSpaceDN w:val="0"/>
        <w:spacing w:line="240" w:lineRule="auto"/>
        <w:ind w:left="1440" w:right="1440"/>
        <w:jc w:val="left"/>
        <w:rPr>
          <w:rFonts w:eastAsia="Times New Roman"/>
        </w:rPr>
      </w:pPr>
      <w:r w:rsidRPr="005555C0">
        <w:rPr>
          <w:rFonts w:eastAsia="Times New Roman"/>
          <w:b/>
          <w:bCs/>
        </w:rPr>
        <w:t>§ 5.101. Preliminary objections.</w:t>
      </w:r>
      <w:r w:rsidRPr="005555C0">
        <w:rPr>
          <w:rFonts w:eastAsia="Times New Roman"/>
        </w:rPr>
        <w:br/>
        <w:t> </w:t>
      </w:r>
      <w:r w:rsidRPr="005555C0">
        <w:rPr>
          <w:rFonts w:eastAsia="Times New Roman"/>
        </w:rPr>
        <w:br/>
        <w:t>(a)</w:t>
      </w:r>
      <w:r w:rsidRPr="005555C0">
        <w:rPr>
          <w:rFonts w:eastAsia="Times New Roman"/>
        </w:rPr>
        <w:tab/>
      </w:r>
      <w:r w:rsidRPr="005555C0">
        <w:rPr>
          <w:rFonts w:eastAsia="Times New Roman"/>
          <w:i/>
          <w:iCs/>
        </w:rPr>
        <w:t>Grounds.</w:t>
      </w:r>
      <w:r w:rsidRPr="005555C0">
        <w:rPr>
          <w:rFonts w:eastAsia="Times New Roman"/>
        </w:rP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  </w:t>
      </w:r>
    </w:p>
    <w:p w14:paraId="62D8A855" w14:textId="77777777" w:rsidR="005555C0" w:rsidRPr="005555C0" w:rsidRDefault="005555C0" w:rsidP="005555C0">
      <w:pPr>
        <w:suppressAutoHyphens/>
        <w:autoSpaceDE w:val="0"/>
        <w:autoSpaceDN w:val="0"/>
        <w:spacing w:line="240" w:lineRule="auto"/>
        <w:ind w:left="1440" w:right="1440"/>
        <w:jc w:val="left"/>
        <w:rPr>
          <w:rFonts w:eastAsia="Times New Roman"/>
        </w:rPr>
      </w:pPr>
    </w:p>
    <w:p w14:paraId="40B8089E" w14:textId="77777777" w:rsidR="005555C0" w:rsidRDefault="005555C0" w:rsidP="005555C0">
      <w:pPr>
        <w:suppressAutoHyphens/>
        <w:autoSpaceDE w:val="0"/>
        <w:autoSpaceDN w:val="0"/>
        <w:spacing w:line="240" w:lineRule="auto"/>
        <w:ind w:left="1440" w:right="1440"/>
        <w:jc w:val="left"/>
      </w:pPr>
      <w:r w:rsidRPr="005555C0">
        <w:rPr>
          <w:rFonts w:eastAsia="Times New Roman"/>
        </w:rPr>
        <w:t>(1)</w:t>
      </w:r>
      <w:r w:rsidRPr="005555C0">
        <w:rPr>
          <w:rFonts w:eastAsia="Times New Roman"/>
        </w:rPr>
        <w:tab/>
        <w:t xml:space="preserve">Lack of Commission </w:t>
      </w:r>
      <w:r w:rsidRPr="005555C0">
        <w:rPr>
          <w:rFonts w:eastAsia="Times New Roman"/>
          <w:bCs/>
        </w:rPr>
        <w:t>jurisdiction</w:t>
      </w:r>
      <w:r w:rsidRPr="005555C0">
        <w:rPr>
          <w:rFonts w:eastAsia="Times New Roman"/>
        </w:rPr>
        <w:t xml:space="preserve"> or improper service of the pleading initiating the proceeding.</w:t>
      </w:r>
      <w:r w:rsidRPr="005555C0">
        <w:rPr>
          <w:rFonts w:eastAsia="Times New Roman"/>
        </w:rPr>
        <w:br/>
      </w:r>
      <w:r w:rsidRPr="005555C0">
        <w:rPr>
          <w:rFonts w:eastAsia="Times New Roman"/>
        </w:rPr>
        <w:br/>
        <w:t>(2)</w:t>
      </w:r>
      <w:r w:rsidRPr="005555C0">
        <w:rPr>
          <w:rFonts w:eastAsia="Times New Roman"/>
        </w:rPr>
        <w:tab/>
        <w:t>Failure of a pleading to conform to this chapter or the inclusion of scandalous or impertinent matter.</w:t>
      </w:r>
      <w:r w:rsidRPr="005555C0">
        <w:rPr>
          <w:rFonts w:eastAsia="Times New Roman"/>
        </w:rPr>
        <w:br/>
      </w:r>
      <w:r w:rsidRPr="005555C0">
        <w:rPr>
          <w:rFonts w:eastAsia="Times New Roman"/>
        </w:rPr>
        <w:br/>
        <w:t>(3)</w:t>
      </w:r>
      <w:r w:rsidRPr="005555C0">
        <w:rPr>
          <w:rFonts w:eastAsia="Times New Roman"/>
        </w:rPr>
        <w:tab/>
        <w:t>Insufficient specificity of a pleading.</w:t>
      </w:r>
      <w:r w:rsidRPr="005555C0">
        <w:rPr>
          <w:rFonts w:eastAsia="Times New Roman"/>
        </w:rPr>
        <w:br/>
      </w:r>
      <w:r w:rsidRPr="005555C0">
        <w:rPr>
          <w:rFonts w:eastAsia="Times New Roman"/>
        </w:rPr>
        <w:br/>
      </w:r>
      <w:r w:rsidRPr="005555C0">
        <w:rPr>
          <w:rFonts w:eastAsia="Times New Roman"/>
        </w:rPr>
        <w:lastRenderedPageBreak/>
        <w:t>(4)</w:t>
      </w:r>
      <w:r w:rsidRPr="005555C0">
        <w:rPr>
          <w:rFonts w:eastAsia="Times New Roman"/>
        </w:rPr>
        <w:tab/>
        <w:t>Legal insufficiency of a pleading.</w:t>
      </w:r>
      <w:r w:rsidRPr="005555C0">
        <w:rPr>
          <w:rFonts w:eastAsia="Times New Roman"/>
        </w:rPr>
        <w:br/>
      </w:r>
      <w:r w:rsidRPr="005555C0">
        <w:rPr>
          <w:rFonts w:eastAsia="Times New Roman"/>
        </w:rPr>
        <w:br/>
        <w:t>(5)</w:t>
      </w:r>
      <w:r w:rsidRPr="005555C0">
        <w:rPr>
          <w:rFonts w:eastAsia="Times New Roman"/>
        </w:rPr>
        <w:tab/>
        <w:t>Lack of capacity to sue, nonjoinder of a necessary party or misjoinder of a cause of action.</w:t>
      </w:r>
      <w:r w:rsidRPr="005555C0">
        <w:rPr>
          <w:rFonts w:eastAsia="Times New Roman"/>
        </w:rPr>
        <w:br/>
      </w:r>
      <w:r w:rsidRPr="005555C0">
        <w:rPr>
          <w:rFonts w:eastAsia="Times New Roman"/>
        </w:rPr>
        <w:br/>
        <w:t>(6)</w:t>
      </w:r>
      <w:r w:rsidRPr="005555C0">
        <w:rPr>
          <w:rFonts w:eastAsia="Times New Roman"/>
        </w:rPr>
        <w:tab/>
        <w:t>Pendency of a prior proceeding or agreement for alternative dispute resolution.</w:t>
      </w:r>
      <w:r w:rsidRPr="005555C0">
        <w:t xml:space="preserve"> </w:t>
      </w:r>
    </w:p>
    <w:p w14:paraId="077E0359" w14:textId="77777777" w:rsidR="005555C0" w:rsidRDefault="005555C0" w:rsidP="005555C0">
      <w:pPr>
        <w:suppressAutoHyphens/>
        <w:autoSpaceDE w:val="0"/>
        <w:autoSpaceDN w:val="0"/>
        <w:spacing w:line="240" w:lineRule="auto"/>
        <w:ind w:left="1440" w:right="1440"/>
        <w:jc w:val="left"/>
      </w:pPr>
    </w:p>
    <w:p w14:paraId="3EB4AC59" w14:textId="6F2F5FE0" w:rsidR="005555C0" w:rsidRPr="005555C0" w:rsidRDefault="005555C0" w:rsidP="005555C0">
      <w:pPr>
        <w:suppressAutoHyphens/>
        <w:autoSpaceDE w:val="0"/>
        <w:autoSpaceDN w:val="0"/>
        <w:spacing w:line="240" w:lineRule="auto"/>
        <w:ind w:left="1440" w:right="1440"/>
        <w:jc w:val="left"/>
        <w:rPr>
          <w:rFonts w:eastAsia="Times New Roman"/>
        </w:rPr>
      </w:pPr>
      <w:r w:rsidRPr="005555C0">
        <w:rPr>
          <w:rFonts w:eastAsia="Times New Roman"/>
        </w:rPr>
        <w:t>(7)  Standing of a party to participate in the proceeding.</w:t>
      </w:r>
    </w:p>
    <w:p w14:paraId="3444A714" w14:textId="77777777" w:rsidR="005555C0" w:rsidRPr="005555C0" w:rsidRDefault="005555C0" w:rsidP="005555C0">
      <w:pPr>
        <w:suppressAutoHyphens/>
        <w:autoSpaceDE w:val="0"/>
        <w:autoSpaceDN w:val="0"/>
        <w:spacing w:line="240" w:lineRule="auto"/>
        <w:ind w:left="1440" w:right="1440"/>
        <w:jc w:val="left"/>
        <w:rPr>
          <w:rFonts w:eastAsia="Times New Roman"/>
        </w:rPr>
      </w:pPr>
    </w:p>
    <w:p w14:paraId="18FC16DC" w14:textId="77777777" w:rsidR="005555C0" w:rsidRPr="005555C0" w:rsidRDefault="005555C0" w:rsidP="005555C0">
      <w:pPr>
        <w:suppressAutoHyphens/>
        <w:autoSpaceDE w:val="0"/>
        <w:autoSpaceDN w:val="0"/>
        <w:spacing w:line="240" w:lineRule="auto"/>
        <w:ind w:right="1440"/>
        <w:jc w:val="left"/>
        <w:rPr>
          <w:rFonts w:eastAsia="Times New Roman"/>
        </w:rPr>
      </w:pPr>
      <w:r w:rsidRPr="005555C0">
        <w:rPr>
          <w:rFonts w:eastAsia="Times New Roman"/>
        </w:rPr>
        <w:t xml:space="preserve">52 Pa. Code § 5.101(a).  </w:t>
      </w:r>
    </w:p>
    <w:p w14:paraId="79EA7B0C" w14:textId="77777777" w:rsidR="003D7962" w:rsidRDefault="003D7962" w:rsidP="005555C0">
      <w:pPr>
        <w:suppressAutoHyphens/>
        <w:autoSpaceDE w:val="0"/>
        <w:autoSpaceDN w:val="0"/>
        <w:jc w:val="left"/>
        <w:rPr>
          <w:rFonts w:eastAsia="Times New Roman"/>
        </w:rPr>
      </w:pPr>
    </w:p>
    <w:p w14:paraId="46989AFB" w14:textId="0A3A4EB7" w:rsidR="005555C0" w:rsidRPr="005555C0" w:rsidRDefault="005555C0" w:rsidP="005555C0">
      <w:pPr>
        <w:suppressAutoHyphens/>
        <w:autoSpaceDE w:val="0"/>
        <w:autoSpaceDN w:val="0"/>
        <w:jc w:val="left"/>
        <w:rPr>
          <w:rFonts w:eastAsia="Times New Roman"/>
        </w:rPr>
      </w:pPr>
      <w:r w:rsidRPr="005555C0">
        <w:rPr>
          <w:rFonts w:eastAsia="Times New Roman"/>
        </w:rPr>
        <w:tab/>
      </w:r>
      <w:r w:rsidRPr="005555C0">
        <w:rPr>
          <w:rFonts w:eastAsia="Times New Roman"/>
        </w:rPr>
        <w:tab/>
        <w:t xml:space="preserve">Commission procedure regarding the disposition of preliminary objections is similar to that utilized in Pennsylvania civil practice.  </w:t>
      </w:r>
      <w:r w:rsidRPr="005555C0">
        <w:rPr>
          <w:rFonts w:eastAsia="Times New Roman"/>
          <w:i/>
        </w:rPr>
        <w:t>Equitable Small Transportation Interveners v. Equitable Gas Company</w:t>
      </w:r>
      <w:r w:rsidRPr="005555C0">
        <w:rPr>
          <w:rFonts w:eastAsia="Times New Roman"/>
        </w:rPr>
        <w:t>, 1994 Pa. PUC LEXIS 69, Docket No. C-00935435 (July 18, 1994).</w:t>
      </w:r>
      <w:r w:rsidRPr="005555C0">
        <w:rPr>
          <w:rFonts w:eastAsia="Times New Roman"/>
        </w:rPr>
        <w:br/>
      </w:r>
    </w:p>
    <w:p w14:paraId="6BAAA8EF" w14:textId="77777777" w:rsidR="00D10589" w:rsidRDefault="005555C0" w:rsidP="005555C0">
      <w:pPr>
        <w:jc w:val="left"/>
        <w:rPr>
          <w:rFonts w:eastAsia="Times New Roman"/>
        </w:rPr>
      </w:pPr>
      <w:r w:rsidRPr="005555C0">
        <w:rPr>
          <w:rFonts w:eastAsia="Times New Roman"/>
        </w:rPr>
        <w:tab/>
      </w:r>
      <w:r w:rsidRPr="005555C0">
        <w:rPr>
          <w:rFonts w:eastAsia="Times New Roman"/>
        </w:rPr>
        <w:tab/>
        <w:t xml:space="preserve">In deciding preliminary objections, the Commission must determine whether, based on well-pleaded factual averments of the complainant, recovery or relief is possible. </w:t>
      </w:r>
      <w:r w:rsidRPr="005555C0">
        <w:rPr>
          <w:rFonts w:eastAsia="Times New Roman"/>
          <w:i/>
        </w:rPr>
        <w:t>Dep't of Auditor General</w:t>
      </w:r>
      <w:r w:rsidR="005A7DD7">
        <w:rPr>
          <w:rFonts w:eastAsia="Times New Roman"/>
          <w:i/>
        </w:rPr>
        <w:t xml:space="preserve"> </w:t>
      </w:r>
      <w:r w:rsidRPr="005555C0">
        <w:rPr>
          <w:rFonts w:eastAsia="Times New Roman"/>
          <w:i/>
        </w:rPr>
        <w:t xml:space="preserve">v. </w:t>
      </w:r>
      <w:r w:rsidR="005A7DD7" w:rsidRPr="00F87999">
        <w:rPr>
          <w:i/>
        </w:rPr>
        <w:t>State Employees’ Retirement System</w:t>
      </w:r>
      <w:r w:rsidRPr="005555C0">
        <w:rPr>
          <w:rFonts w:eastAsia="Times New Roman"/>
        </w:rPr>
        <w:t xml:space="preserve">, 836 A.2d 1053, 1064 (Pa.Cmwlth. 2003); </w:t>
      </w:r>
      <w:r w:rsidRPr="005555C0">
        <w:rPr>
          <w:rFonts w:eastAsia="Times New Roman"/>
          <w:i/>
        </w:rPr>
        <w:t>P.J.S. v. Pa. State Ethics Comm'n</w:t>
      </w:r>
      <w:r w:rsidRPr="005555C0">
        <w:rPr>
          <w:rFonts w:eastAsia="Times New Roman"/>
        </w:rPr>
        <w:t xml:space="preserve">, 669 A.2d 1105 (Pa.Cmwlth. 1996).  Any doubt must be resolved in favor of the non-moving party by refusing to sustain the preliminary objections.  </w:t>
      </w:r>
      <w:r w:rsidRPr="005555C0">
        <w:rPr>
          <w:rFonts w:eastAsia="Times New Roman"/>
          <w:i/>
        </w:rPr>
        <w:t>Boyd v. Ward</w:t>
      </w:r>
      <w:r w:rsidRPr="005555C0">
        <w:rPr>
          <w:rFonts w:eastAsia="Times New Roman"/>
        </w:rPr>
        <w:t xml:space="preserve">, 802 A.2d 705 (Pa.Cmwlth. 2002).  All of the non-moving </w:t>
      </w:r>
      <w:bookmarkStart w:id="0" w:name="_Hlk80349788"/>
      <w:r w:rsidRPr="005555C0">
        <w:rPr>
          <w:rFonts w:eastAsia="Times New Roman"/>
        </w:rPr>
        <w:t xml:space="preserve">party's averments in the complaint must be viewed as true for purposes of deciding the preliminary objections, and only those facts specifically admitted may be considered against the non-moving party. </w:t>
      </w:r>
      <w:r w:rsidRPr="005555C0">
        <w:rPr>
          <w:rFonts w:eastAsia="Times New Roman"/>
          <w:i/>
        </w:rPr>
        <w:t>Ridge v. State Employees' Retirement Bd</w:t>
      </w:r>
      <w:r w:rsidRPr="005555C0">
        <w:rPr>
          <w:rFonts w:eastAsia="Times New Roman"/>
        </w:rPr>
        <w:t>., 690 A.2d 1312 (Pa.Cmwlth. 1997).</w:t>
      </w:r>
      <w:r w:rsidRPr="005555C0">
        <w:rPr>
          <w:rFonts w:eastAsia="Times New Roman"/>
        </w:rPr>
        <w:br/>
      </w:r>
      <w:bookmarkEnd w:id="0"/>
      <w:r w:rsidRPr="005555C0">
        <w:rPr>
          <w:rFonts w:eastAsia="Times New Roman"/>
        </w:rPr>
        <w:br/>
      </w:r>
      <w:r w:rsidRPr="005555C0">
        <w:rPr>
          <w:rFonts w:eastAsia="Times New Roman"/>
        </w:rPr>
        <w:tab/>
      </w:r>
      <w:r w:rsidRPr="005555C0">
        <w:rPr>
          <w:rFonts w:eastAsia="Times New Roman"/>
        </w:rPr>
        <w:tab/>
      </w:r>
      <w:bookmarkStart w:id="1" w:name="_Hlk38007332"/>
      <w:r w:rsidR="002355B2" w:rsidRPr="002355B2">
        <w:rPr>
          <w:rFonts w:eastAsia="Times New Roman"/>
        </w:rPr>
        <w:t xml:space="preserve">The Commission, as a creation of the General Assembly, has only the powers and authority granted to it by the General Assembly as contained in the Public Utility Code. Subject matter jurisdiction is a prerequisite to the exercise of power to decide a controversy. </w:t>
      </w:r>
      <w:r w:rsidR="002355B2" w:rsidRPr="002355B2">
        <w:rPr>
          <w:rFonts w:eastAsia="Times New Roman"/>
          <w:i/>
          <w:iCs/>
        </w:rPr>
        <w:t>Hughes v. Pa</w:t>
      </w:r>
      <w:r w:rsidR="005A7DD7">
        <w:rPr>
          <w:rFonts w:eastAsia="Times New Roman"/>
          <w:i/>
          <w:iCs/>
        </w:rPr>
        <w:t>.</w:t>
      </w:r>
      <w:r w:rsidR="002355B2" w:rsidRPr="002355B2">
        <w:rPr>
          <w:rFonts w:eastAsia="Times New Roman"/>
          <w:i/>
          <w:iCs/>
        </w:rPr>
        <w:t xml:space="preserve"> State Police</w:t>
      </w:r>
      <w:r w:rsidR="002355B2" w:rsidRPr="002355B2">
        <w:rPr>
          <w:rFonts w:eastAsia="Times New Roman"/>
        </w:rPr>
        <w:t>, 619 A.2d 390 (Pa. Cmwlth. 1992)</w:t>
      </w:r>
      <w:r w:rsidR="00CF28E4">
        <w:rPr>
          <w:rFonts w:eastAsia="Times New Roman"/>
        </w:rPr>
        <w:t>,</w:t>
      </w:r>
      <w:r w:rsidR="002355B2" w:rsidRPr="002355B2">
        <w:rPr>
          <w:rFonts w:eastAsia="Times New Roman"/>
        </w:rPr>
        <w:t xml:space="preserve"> </w:t>
      </w:r>
      <w:r w:rsidR="002355B2" w:rsidRPr="002355B2">
        <w:rPr>
          <w:rFonts w:eastAsia="Times New Roman"/>
          <w:i/>
          <w:iCs/>
        </w:rPr>
        <w:t>alloc. denied</w:t>
      </w:r>
      <w:r w:rsidR="002355B2" w:rsidRPr="002355B2">
        <w:rPr>
          <w:rFonts w:eastAsia="Times New Roman"/>
        </w:rPr>
        <w:t>, 637 A.2d 293 (Pa. 1993).</w:t>
      </w:r>
    </w:p>
    <w:p w14:paraId="16045F43" w14:textId="77777777" w:rsidR="00D10589" w:rsidRDefault="00D10589" w:rsidP="005555C0">
      <w:pPr>
        <w:jc w:val="left"/>
        <w:rPr>
          <w:rFonts w:eastAsia="Times New Roman"/>
        </w:rPr>
      </w:pPr>
    </w:p>
    <w:p w14:paraId="0376E10A" w14:textId="11992EB2" w:rsidR="002355B2" w:rsidRDefault="00D10589" w:rsidP="00CF4439">
      <w:pPr>
        <w:jc w:val="left"/>
        <w:rPr>
          <w:rFonts w:eastAsia="Times New Roman"/>
        </w:rPr>
      </w:pPr>
      <w:r>
        <w:rPr>
          <w:rFonts w:eastAsia="Times New Roman"/>
        </w:rPr>
        <w:tab/>
      </w:r>
      <w:r>
        <w:rPr>
          <w:rFonts w:eastAsia="Times New Roman"/>
        </w:rPr>
        <w:tab/>
        <w:t xml:space="preserve">In this case, DLC argues that the Complaint is legally insufficient, in part, because </w:t>
      </w:r>
      <w:r w:rsidR="0008059D">
        <w:rPr>
          <w:rFonts w:eastAsia="Times New Roman"/>
        </w:rPr>
        <w:t>the Complaint</w:t>
      </w:r>
      <w:r>
        <w:rPr>
          <w:rFonts w:eastAsia="Times New Roman"/>
        </w:rPr>
        <w:t xml:space="preserve"> questions the legality of the Customer Charge.  DLC contends that the Customer Charge and its application to Complainant’s accounts is lawful under DLC’s Commission </w:t>
      </w:r>
      <w:r>
        <w:rPr>
          <w:rFonts w:eastAsia="Times New Roman"/>
        </w:rPr>
        <w:lastRenderedPageBreak/>
        <w:t>approved tariff.  Preliminary Objection</w:t>
      </w:r>
      <w:r w:rsidR="0008059D">
        <w:rPr>
          <w:rFonts w:eastAsia="Times New Roman"/>
        </w:rPr>
        <w:t>s</w:t>
      </w:r>
      <w:r>
        <w:rPr>
          <w:rFonts w:eastAsia="Times New Roman"/>
        </w:rPr>
        <w:t xml:space="preserve"> at Paragraphs 9-13.</w:t>
      </w:r>
      <w:r w:rsidR="002355B2">
        <w:rPr>
          <w:rFonts w:eastAsia="Times New Roman"/>
        </w:rPr>
        <w:t xml:space="preserve">  </w:t>
      </w:r>
      <w:r w:rsidRPr="00D10589">
        <w:rPr>
          <w:rFonts w:eastAsia="Times New Roman"/>
          <w:i/>
          <w:iCs/>
        </w:rPr>
        <w:t>Pennsylvania Elec. Co. v. Pennsylvania Pub. Util. Comm'n</w:t>
      </w:r>
      <w:r w:rsidRPr="00D10589">
        <w:rPr>
          <w:rFonts w:eastAsia="Times New Roman"/>
        </w:rPr>
        <w:t xml:space="preserve">, 663 A.2d 281, 284 (Pa. </w:t>
      </w:r>
      <w:proofErr w:type="spellStart"/>
      <w:r w:rsidRPr="00D10589">
        <w:rPr>
          <w:rFonts w:eastAsia="Times New Roman"/>
        </w:rPr>
        <w:t>Cmwlth</w:t>
      </w:r>
      <w:proofErr w:type="spellEnd"/>
      <w:r w:rsidRPr="00D10589">
        <w:rPr>
          <w:rFonts w:eastAsia="Times New Roman"/>
        </w:rPr>
        <w:t>. 1995)</w:t>
      </w:r>
      <w:r w:rsidR="0008059D">
        <w:rPr>
          <w:rFonts w:eastAsia="Times New Roman"/>
        </w:rPr>
        <w:t xml:space="preserve"> (</w:t>
      </w:r>
      <w:r w:rsidR="00CF4439" w:rsidRPr="00CF4439">
        <w:rPr>
          <w:rFonts w:eastAsia="Times New Roman"/>
        </w:rPr>
        <w:t>Public utility tariffs have the full force and effect of law and are binding on the customer and utility alike</w:t>
      </w:r>
      <w:r w:rsidR="0008059D">
        <w:rPr>
          <w:rFonts w:eastAsia="Times New Roman"/>
        </w:rPr>
        <w:t>)</w:t>
      </w:r>
      <w:r w:rsidR="00CF4439" w:rsidRPr="00CF4439">
        <w:rPr>
          <w:rFonts w:eastAsia="Times New Roman"/>
        </w:rPr>
        <w:t>.</w:t>
      </w:r>
    </w:p>
    <w:bookmarkEnd w:id="1"/>
    <w:p w14:paraId="65DA985E" w14:textId="77777777" w:rsidR="002355B2" w:rsidRDefault="002355B2" w:rsidP="005555C0">
      <w:pPr>
        <w:jc w:val="left"/>
        <w:rPr>
          <w:rFonts w:eastAsia="Times New Roman"/>
        </w:rPr>
      </w:pPr>
    </w:p>
    <w:p w14:paraId="419190D4" w14:textId="1E85F9AA" w:rsidR="00B7149A" w:rsidRDefault="002355B2" w:rsidP="00D10589">
      <w:pPr>
        <w:jc w:val="left"/>
        <w:rPr>
          <w:rFonts w:eastAsia="Times New Roman"/>
        </w:rPr>
      </w:pPr>
      <w:r>
        <w:rPr>
          <w:rFonts w:eastAsia="Times New Roman"/>
        </w:rPr>
        <w:tab/>
      </w:r>
      <w:r w:rsidR="003D7962">
        <w:rPr>
          <w:rFonts w:eastAsia="Times New Roman"/>
        </w:rPr>
        <w:tab/>
      </w:r>
      <w:r w:rsidR="00B32BE2">
        <w:rPr>
          <w:rFonts w:eastAsia="Times New Roman"/>
        </w:rPr>
        <w:t xml:space="preserve"> </w:t>
      </w:r>
      <w:r w:rsidR="00CF4439">
        <w:rPr>
          <w:rFonts w:eastAsia="Times New Roman"/>
        </w:rPr>
        <w:t>This is a question of law, not fact.  DLC is correct that the Customer Charge set forth in its tariff is a lawful charge, and the assertion that DLC may not bill a Customer Charge and that in doing so it is acting unlawfully is a clear error of law.  T</w:t>
      </w:r>
      <w:r w:rsidR="00D10589" w:rsidRPr="00D10589">
        <w:rPr>
          <w:rFonts w:eastAsia="Times New Roman"/>
        </w:rPr>
        <w:t xml:space="preserve">he portion of the Complaint alleging wrongdoing relating to </w:t>
      </w:r>
      <w:r w:rsidR="000A247D">
        <w:rPr>
          <w:rFonts w:eastAsia="Times New Roman"/>
        </w:rPr>
        <w:t xml:space="preserve">the </w:t>
      </w:r>
      <w:r w:rsidR="00D10589" w:rsidRPr="00D10589">
        <w:rPr>
          <w:rFonts w:eastAsia="Times New Roman"/>
        </w:rPr>
        <w:t>billing</w:t>
      </w:r>
      <w:r w:rsidR="000A247D">
        <w:rPr>
          <w:rFonts w:eastAsia="Times New Roman"/>
        </w:rPr>
        <w:t xml:space="preserve"> of a Cu</w:t>
      </w:r>
      <w:r w:rsidR="00D10589" w:rsidRPr="00D10589">
        <w:rPr>
          <w:rFonts w:eastAsia="Times New Roman"/>
        </w:rPr>
        <w:t xml:space="preserve">stomer Charge must be </w:t>
      </w:r>
      <w:r w:rsidR="00752C54">
        <w:rPr>
          <w:rFonts w:eastAsia="Times New Roman"/>
        </w:rPr>
        <w:t>stricken from the Complaint</w:t>
      </w:r>
      <w:r w:rsidR="00D10589" w:rsidRPr="00D10589">
        <w:rPr>
          <w:rFonts w:eastAsia="Times New Roman"/>
        </w:rPr>
        <w:t>.</w:t>
      </w:r>
    </w:p>
    <w:p w14:paraId="24AD96C7" w14:textId="327E2650" w:rsidR="00CF4439" w:rsidRDefault="00CF4439" w:rsidP="00D10589">
      <w:pPr>
        <w:jc w:val="left"/>
        <w:rPr>
          <w:rFonts w:eastAsia="Times New Roman"/>
        </w:rPr>
      </w:pPr>
    </w:p>
    <w:p w14:paraId="2C90929F" w14:textId="7627A5C7" w:rsidR="00CF4439" w:rsidRDefault="00CF4439" w:rsidP="00CF4439">
      <w:pPr>
        <w:jc w:val="left"/>
        <w:rPr>
          <w:rFonts w:eastAsia="Times New Roman"/>
        </w:rPr>
      </w:pPr>
      <w:r>
        <w:rPr>
          <w:rFonts w:eastAsia="Times New Roman"/>
        </w:rPr>
        <w:tab/>
      </w:r>
      <w:r>
        <w:rPr>
          <w:rFonts w:eastAsia="Times New Roman"/>
        </w:rPr>
        <w:tab/>
        <w:t xml:space="preserve">At Paragraph 14 of its Preliminary Objection, DLC contends that </w:t>
      </w:r>
      <w:r w:rsidRPr="00CF4439">
        <w:rPr>
          <w:rFonts w:eastAsia="Times New Roman"/>
        </w:rPr>
        <w:t>viewing the Complaint in light most favorable to the Complainant, the Complaint fails to state any violation of the Code</w:t>
      </w:r>
      <w:r>
        <w:rPr>
          <w:rFonts w:eastAsia="Times New Roman"/>
        </w:rPr>
        <w:t xml:space="preserve"> or a </w:t>
      </w:r>
      <w:r w:rsidRPr="00CF4439">
        <w:rPr>
          <w:rFonts w:eastAsia="Times New Roman"/>
        </w:rPr>
        <w:t>Commission regulation, rule, or order.</w:t>
      </w:r>
      <w:r>
        <w:rPr>
          <w:rFonts w:eastAsia="Times New Roman"/>
        </w:rPr>
        <w:t xml:space="preserve">  DLC then asks that the Complaint be dismissed in its entirety.  I do not agree.  The remaining factual </w:t>
      </w:r>
      <w:r w:rsidRPr="00CF4439">
        <w:rPr>
          <w:rFonts w:eastAsia="Times New Roman"/>
        </w:rPr>
        <w:t xml:space="preserve">averments in the </w:t>
      </w:r>
      <w:r>
        <w:rPr>
          <w:rFonts w:eastAsia="Times New Roman"/>
        </w:rPr>
        <w:t>C</w:t>
      </w:r>
      <w:r w:rsidRPr="00CF4439">
        <w:rPr>
          <w:rFonts w:eastAsia="Times New Roman"/>
        </w:rPr>
        <w:t xml:space="preserve">omplaint must be viewed as true for purposes of deciding the preliminary objections, and only those facts specifically admitted may be considered against the non-moving party. </w:t>
      </w:r>
      <w:r>
        <w:rPr>
          <w:rFonts w:eastAsia="Times New Roman"/>
        </w:rPr>
        <w:t xml:space="preserve">See </w:t>
      </w:r>
      <w:r w:rsidRPr="00CF4439">
        <w:rPr>
          <w:rFonts w:eastAsia="Times New Roman"/>
          <w:i/>
          <w:iCs/>
        </w:rPr>
        <w:t>Ridge</w:t>
      </w:r>
      <w:r>
        <w:rPr>
          <w:rFonts w:eastAsia="Times New Roman"/>
        </w:rPr>
        <w:t>, supra.</w:t>
      </w:r>
      <w:r w:rsidR="00752C54">
        <w:rPr>
          <w:rFonts w:eastAsia="Times New Roman"/>
        </w:rPr>
        <w:t xml:space="preserve">  There are multiple assertions in the Complaint that go to the quality of service provided by DLC in its contacts with the Complainant.  Further, DLC’s Preliminary Objections focus primarily on the Customer Charge issue.</w:t>
      </w:r>
      <w:r w:rsidR="000A247D">
        <w:rPr>
          <w:rFonts w:eastAsia="Times New Roman"/>
        </w:rPr>
        <w:t xml:space="preserve">  DLC’s request to dismiss the remainder of the Complaint, with prejudice, is denied.</w:t>
      </w:r>
      <w:r w:rsidR="000A247D">
        <w:rPr>
          <w:rStyle w:val="FootnoteReference"/>
          <w:rFonts w:eastAsia="Times New Roman"/>
        </w:rPr>
        <w:footnoteReference w:id="3"/>
      </w:r>
    </w:p>
    <w:p w14:paraId="01E3A165" w14:textId="14B340F6" w:rsidR="001C1EA5" w:rsidRDefault="001C1EA5" w:rsidP="00CF4439">
      <w:pPr>
        <w:jc w:val="left"/>
        <w:rPr>
          <w:rFonts w:eastAsia="Times New Roman"/>
        </w:rPr>
      </w:pPr>
    </w:p>
    <w:p w14:paraId="3BCFE9B9" w14:textId="3B67C57A" w:rsidR="001C1EA5" w:rsidRDefault="001C1EA5" w:rsidP="00CF4439">
      <w:pPr>
        <w:jc w:val="left"/>
        <w:rPr>
          <w:b/>
        </w:rPr>
      </w:pPr>
      <w:r>
        <w:rPr>
          <w:rFonts w:eastAsia="Times New Roman"/>
        </w:rPr>
        <w:tab/>
      </w:r>
      <w:r>
        <w:rPr>
          <w:rFonts w:eastAsia="Times New Roman"/>
        </w:rPr>
        <w:tab/>
        <w:t>Finally, I note that DLC has requested that this matter be assigned to the Mediation Unit of the Office of Administrative Law Judge.  That must be a request by both parties, submitted to the Chief Administrative Law Judge of the Commission.  If the parties jointly desire mediation, I can provide them with further information as to how to request that.</w:t>
      </w:r>
    </w:p>
    <w:p w14:paraId="52A3E15E" w14:textId="77777777" w:rsidR="00CE0354" w:rsidRDefault="00CE0354" w:rsidP="00B7149A">
      <w:pPr>
        <w:rPr>
          <w:b/>
        </w:rPr>
      </w:pPr>
    </w:p>
    <w:p w14:paraId="7ACD6C1C" w14:textId="77777777" w:rsidR="00B7149A" w:rsidRDefault="00B7149A" w:rsidP="00B7149A">
      <w:pPr>
        <w:jc w:val="left"/>
      </w:pPr>
      <w:r>
        <w:tab/>
      </w:r>
      <w:r>
        <w:tab/>
        <w:t>THEREFORE,</w:t>
      </w:r>
    </w:p>
    <w:p w14:paraId="35B961CA" w14:textId="77777777" w:rsidR="00B7149A" w:rsidRDefault="00B7149A" w:rsidP="00B7149A">
      <w:pPr>
        <w:jc w:val="left"/>
      </w:pPr>
    </w:p>
    <w:p w14:paraId="23E9405A" w14:textId="77777777" w:rsidR="00B7149A" w:rsidRDefault="00B7149A" w:rsidP="00B7149A">
      <w:pPr>
        <w:jc w:val="left"/>
      </w:pPr>
      <w:r>
        <w:tab/>
      </w:r>
      <w:r>
        <w:tab/>
        <w:t>IT IS ORDERED:</w:t>
      </w:r>
    </w:p>
    <w:p w14:paraId="4656787D" w14:textId="77777777" w:rsidR="00B7149A" w:rsidRDefault="00B7149A" w:rsidP="00B7149A">
      <w:pPr>
        <w:jc w:val="left"/>
      </w:pPr>
    </w:p>
    <w:p w14:paraId="7E592B4C" w14:textId="5407B53F" w:rsidR="00B7149A" w:rsidRDefault="00B7149A" w:rsidP="00B7149A">
      <w:pPr>
        <w:jc w:val="left"/>
      </w:pPr>
      <w:r>
        <w:tab/>
      </w:r>
      <w:r>
        <w:tab/>
        <w:t>1.</w:t>
      </w:r>
      <w:r>
        <w:tab/>
        <w:t>That the Preliminary Objection</w:t>
      </w:r>
      <w:r w:rsidR="00CC1D7C">
        <w:t>s</w:t>
      </w:r>
      <w:r>
        <w:t xml:space="preserve"> filed </w:t>
      </w:r>
      <w:r w:rsidR="003129AE">
        <w:t xml:space="preserve">by </w:t>
      </w:r>
      <w:r w:rsidR="00752C54">
        <w:t xml:space="preserve">Duquesne Light </w:t>
      </w:r>
      <w:r w:rsidR="00681D11">
        <w:t>Company</w:t>
      </w:r>
      <w:r>
        <w:t xml:space="preserve"> at Docket No. C-20</w:t>
      </w:r>
      <w:r w:rsidR="00681D11">
        <w:t>2</w:t>
      </w:r>
      <w:r w:rsidR="00752C54">
        <w:t>1</w:t>
      </w:r>
      <w:r>
        <w:t>-</w:t>
      </w:r>
      <w:r w:rsidR="00681D11">
        <w:t>30</w:t>
      </w:r>
      <w:r w:rsidR="00752C54">
        <w:t>26386</w:t>
      </w:r>
      <w:r w:rsidR="00681D11">
        <w:t xml:space="preserve"> </w:t>
      </w:r>
      <w:r w:rsidR="00CC1D7C">
        <w:t>are</w:t>
      </w:r>
      <w:r w:rsidR="00681D11">
        <w:t xml:space="preserve"> s</w:t>
      </w:r>
      <w:r w:rsidR="003129AE">
        <w:rPr>
          <w:color w:val="000000" w:themeColor="text1"/>
        </w:rPr>
        <w:t>ustained</w:t>
      </w:r>
      <w:r w:rsidR="00752C54">
        <w:rPr>
          <w:color w:val="000000" w:themeColor="text1"/>
        </w:rPr>
        <w:t xml:space="preserve"> in part and denied in part</w:t>
      </w:r>
      <w:r w:rsidR="00CC1D7C">
        <w:rPr>
          <w:color w:val="000000" w:themeColor="text1"/>
        </w:rPr>
        <w:t>, consistent with this Order</w:t>
      </w:r>
      <w:r w:rsidRPr="003C7514">
        <w:rPr>
          <w:color w:val="000000" w:themeColor="text1"/>
        </w:rPr>
        <w:t>.</w:t>
      </w:r>
    </w:p>
    <w:p w14:paraId="3DDF0549" w14:textId="6BE385DA" w:rsidR="00B7149A" w:rsidRDefault="00B7149A" w:rsidP="00B7149A">
      <w:pPr>
        <w:jc w:val="left"/>
      </w:pPr>
    </w:p>
    <w:p w14:paraId="2FDA92F8" w14:textId="763752A7" w:rsidR="00B7149A" w:rsidRDefault="00B7149A" w:rsidP="00B7149A">
      <w:pPr>
        <w:jc w:val="left"/>
        <w:rPr>
          <w:color w:val="000000" w:themeColor="text1"/>
        </w:rPr>
      </w:pPr>
      <w:r>
        <w:tab/>
      </w:r>
      <w:r>
        <w:tab/>
        <w:t>2.</w:t>
      </w:r>
      <w:r>
        <w:tab/>
        <w:t xml:space="preserve">That </w:t>
      </w:r>
      <w:r w:rsidR="00752C54">
        <w:t>t</w:t>
      </w:r>
      <w:r w:rsidR="00752C54" w:rsidRPr="00752C54">
        <w:t xml:space="preserve">he portion of the Complaint alleging </w:t>
      </w:r>
      <w:r w:rsidR="00CC1D7C">
        <w:t xml:space="preserve">the unlawfulness of </w:t>
      </w:r>
      <w:r w:rsidR="00752C54" w:rsidRPr="00752C54">
        <w:t xml:space="preserve">a Customer Charge </w:t>
      </w:r>
      <w:r w:rsidR="00752C54">
        <w:t>is stricken from the Complaint as legally insufficient</w:t>
      </w:r>
      <w:r w:rsidRPr="003C7514">
        <w:rPr>
          <w:color w:val="000000" w:themeColor="text1"/>
        </w:rPr>
        <w:t>.</w:t>
      </w:r>
    </w:p>
    <w:p w14:paraId="78D3B997" w14:textId="6D83D7C7" w:rsidR="0008059D" w:rsidRDefault="0008059D" w:rsidP="00B7149A">
      <w:pPr>
        <w:jc w:val="left"/>
        <w:rPr>
          <w:color w:val="000000" w:themeColor="text1"/>
        </w:rPr>
      </w:pPr>
    </w:p>
    <w:p w14:paraId="75F9EC4B" w14:textId="436AD4EB" w:rsidR="0008059D" w:rsidRDefault="0008059D" w:rsidP="00B7149A">
      <w:pPr>
        <w:jc w:val="left"/>
        <w:rPr>
          <w:color w:val="000000" w:themeColor="text1"/>
        </w:rPr>
      </w:pPr>
      <w:r>
        <w:rPr>
          <w:color w:val="000000" w:themeColor="text1"/>
        </w:rPr>
        <w:tab/>
      </w:r>
      <w:r>
        <w:rPr>
          <w:color w:val="000000" w:themeColor="text1"/>
        </w:rPr>
        <w:tab/>
        <w:t>3.</w:t>
      </w:r>
      <w:r>
        <w:rPr>
          <w:color w:val="000000" w:themeColor="text1"/>
        </w:rPr>
        <w:tab/>
        <w:t>That the remaining issues in this case be set for hearing.</w:t>
      </w:r>
    </w:p>
    <w:p w14:paraId="747705C6" w14:textId="77777777" w:rsidR="00CC1D7C" w:rsidRDefault="00CC1D7C" w:rsidP="00B7149A">
      <w:pPr>
        <w:jc w:val="left"/>
      </w:pPr>
    </w:p>
    <w:p w14:paraId="5B4EFBE6" w14:textId="77777777" w:rsidR="000B7724" w:rsidRDefault="000B7724" w:rsidP="00B7149A">
      <w:pPr>
        <w:jc w:val="left"/>
      </w:pPr>
    </w:p>
    <w:p w14:paraId="6AE67D8B" w14:textId="0939C1C0" w:rsidR="00B7149A" w:rsidRPr="000B7724" w:rsidRDefault="00B7149A" w:rsidP="00B7149A">
      <w:pPr>
        <w:spacing w:line="240" w:lineRule="auto"/>
        <w:contextualSpacing/>
        <w:jc w:val="left"/>
      </w:pPr>
      <w:r>
        <w:t>Dated:</w:t>
      </w:r>
      <w:r>
        <w:tab/>
      </w:r>
      <w:r w:rsidR="006E722A">
        <w:rPr>
          <w:color w:val="000000" w:themeColor="text1"/>
          <w:u w:val="single"/>
        </w:rPr>
        <w:t>A</w:t>
      </w:r>
      <w:r w:rsidR="001C1EA5">
        <w:rPr>
          <w:color w:val="000000" w:themeColor="text1"/>
          <w:u w:val="single"/>
        </w:rPr>
        <w:t>ugust 20</w:t>
      </w:r>
      <w:r w:rsidR="00397CCB">
        <w:rPr>
          <w:color w:val="000000" w:themeColor="text1"/>
          <w:u w:val="single"/>
        </w:rPr>
        <w:t>, 20</w:t>
      </w:r>
      <w:r w:rsidR="006E722A">
        <w:rPr>
          <w:color w:val="000000" w:themeColor="text1"/>
          <w:u w:val="single"/>
        </w:rPr>
        <w:t>2</w:t>
      </w:r>
      <w:r w:rsidR="001C1EA5">
        <w:rPr>
          <w:color w:val="000000" w:themeColor="text1"/>
          <w:u w:val="single"/>
        </w:rPr>
        <w:t>1</w:t>
      </w:r>
      <w:r w:rsidRPr="007C12D9">
        <w:tab/>
      </w:r>
      <w:r w:rsidR="006E722A">
        <w:tab/>
      </w:r>
      <w:r w:rsidRPr="007C12D9">
        <w:tab/>
      </w:r>
      <w:r w:rsidRPr="007C12D9">
        <w:tab/>
      </w:r>
      <w:r w:rsidRPr="000B7724">
        <w:rPr>
          <w:u w:val="single"/>
        </w:rPr>
        <w:t>____</w:t>
      </w:r>
      <w:r w:rsidR="000B7724" w:rsidRPr="000B7724">
        <w:rPr>
          <w:u w:val="single"/>
        </w:rPr>
        <w:tab/>
      </w:r>
      <w:r w:rsidRPr="000B7724">
        <w:rPr>
          <w:u w:val="single"/>
        </w:rPr>
        <w:t>/s/__________________________</w:t>
      </w:r>
    </w:p>
    <w:p w14:paraId="276B3336" w14:textId="77777777" w:rsidR="00B7149A" w:rsidRPr="000B7724" w:rsidRDefault="00B7149A" w:rsidP="00B7149A">
      <w:pPr>
        <w:spacing w:line="240" w:lineRule="auto"/>
        <w:contextualSpacing/>
        <w:jc w:val="left"/>
      </w:pPr>
      <w:r w:rsidRPr="000B7724">
        <w:tab/>
      </w:r>
      <w:r w:rsidRPr="000B7724">
        <w:tab/>
      </w:r>
      <w:r w:rsidRPr="000B7724">
        <w:tab/>
      </w:r>
      <w:r w:rsidRPr="000B7724">
        <w:tab/>
      </w:r>
      <w:r w:rsidRPr="000B7724">
        <w:tab/>
      </w:r>
      <w:r w:rsidRPr="000B7724">
        <w:tab/>
      </w:r>
      <w:r w:rsidRPr="000B7724">
        <w:tab/>
      </w:r>
      <w:r w:rsidR="00397CCB" w:rsidRPr="000B7724">
        <w:t>Dennis J. Buckley</w:t>
      </w:r>
    </w:p>
    <w:p w14:paraId="2EA31C99" w14:textId="65BC7431" w:rsidR="00B7149A" w:rsidRDefault="00B7149A" w:rsidP="00B32BE2">
      <w:pPr>
        <w:spacing w:line="240" w:lineRule="auto"/>
        <w:contextualSpacing/>
        <w:jc w:val="left"/>
      </w:pPr>
      <w:r w:rsidRPr="000B7724">
        <w:tab/>
      </w:r>
      <w:r w:rsidRPr="000B7724">
        <w:tab/>
      </w:r>
      <w:r w:rsidRPr="000B7724">
        <w:tab/>
      </w:r>
      <w:r w:rsidRPr="000B7724">
        <w:tab/>
      </w:r>
      <w:r w:rsidRPr="000B7724">
        <w:tab/>
      </w:r>
      <w:r w:rsidRPr="000B7724">
        <w:tab/>
      </w:r>
      <w:r w:rsidRPr="000B7724">
        <w:tab/>
        <w:t>Administrative Law Judge</w:t>
      </w:r>
    </w:p>
    <w:p w14:paraId="173D4E5A" w14:textId="77777777" w:rsidR="00E401C3" w:rsidRDefault="00E401C3" w:rsidP="00B32BE2">
      <w:pPr>
        <w:spacing w:line="240" w:lineRule="auto"/>
        <w:contextualSpacing/>
        <w:jc w:val="left"/>
        <w:sectPr w:rsidR="00E401C3" w:rsidSect="00B7149A">
          <w:footerReference w:type="default" r:id="rId7"/>
          <w:pgSz w:w="12240" w:h="15840"/>
          <w:pgMar w:top="1440" w:right="1440" w:bottom="1440" w:left="1440" w:header="720" w:footer="720" w:gutter="0"/>
          <w:cols w:space="720"/>
          <w:titlePg/>
          <w:docGrid w:linePitch="360"/>
        </w:sectPr>
      </w:pPr>
    </w:p>
    <w:p w14:paraId="78B75184" w14:textId="77777777" w:rsidR="00E401C3" w:rsidRDefault="00E401C3" w:rsidP="00E401C3">
      <w:pPr>
        <w:spacing w:line="240" w:lineRule="auto"/>
        <w:jc w:val="left"/>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C-2021-3026386 - FRED DEILLUS v. DUQUESNE LIGHT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p>
    <w:p w14:paraId="61C8CCE1" w14:textId="77777777" w:rsidR="00E401C3" w:rsidRDefault="00E401C3" w:rsidP="00E401C3">
      <w:pPr>
        <w:spacing w:line="240" w:lineRule="auto"/>
        <w:jc w:val="left"/>
        <w:rPr>
          <w:rFonts w:ascii="Microsoft Sans Serif" w:eastAsia="Microsoft Sans Serif" w:hAnsi="Microsoft Sans Serif" w:cs="Microsoft Sans Serif"/>
        </w:rPr>
      </w:pPr>
      <w:r>
        <w:rPr>
          <w:rFonts w:ascii="Microsoft Sans Serif" w:eastAsia="Microsoft Sans Serif" w:hAnsi="Microsoft Sans Serif" w:cs="Microsoft Sans Serif"/>
        </w:rPr>
        <w:t>FRED DEIULIIS</w:t>
      </w:r>
      <w:r>
        <w:rPr>
          <w:rFonts w:ascii="Microsoft Sans Serif" w:eastAsia="Microsoft Sans Serif" w:hAnsi="Microsoft Sans Serif" w:cs="Microsoft Sans Serif"/>
        </w:rPr>
        <w:cr/>
        <w:t>3605 DAWSON STREET</w:t>
      </w:r>
      <w:r>
        <w:rPr>
          <w:rFonts w:ascii="Microsoft Sans Serif" w:eastAsia="Microsoft Sans Serif" w:hAnsi="Microsoft Sans Serif" w:cs="Microsoft Sans Serif"/>
        </w:rPr>
        <w:cr/>
        <w:t>PITTSBURGH PA  15213</w:t>
      </w:r>
      <w:r>
        <w:rPr>
          <w:rFonts w:ascii="Microsoft Sans Serif" w:eastAsia="Microsoft Sans Serif" w:hAnsi="Microsoft Sans Serif" w:cs="Microsoft Sans Serif"/>
        </w:rPr>
        <w:cr/>
      </w:r>
      <w:r w:rsidRPr="00DD6B32">
        <w:rPr>
          <w:rFonts w:ascii="Microsoft Sans Serif" w:eastAsia="Microsoft Sans Serif" w:hAnsi="Microsoft Sans Serif" w:cs="Microsoft Sans Serif"/>
          <w:b/>
          <w:bCs/>
        </w:rPr>
        <w:t>412.683.4438</w:t>
      </w:r>
      <w:r w:rsidRPr="00DD6B32">
        <w:rPr>
          <w:rFonts w:ascii="Microsoft Sans Serif" w:eastAsia="Microsoft Sans Serif" w:hAnsi="Microsoft Sans Serif" w:cs="Microsoft Sans Serif"/>
          <w:b/>
          <w:bCs/>
        </w:rPr>
        <w:cr/>
      </w:r>
      <w:r>
        <w:rPr>
          <w:rFonts w:ascii="Microsoft Sans Serif" w:eastAsia="Microsoft Sans Serif" w:hAnsi="Microsoft Sans Serif" w:cs="Microsoft Sans Serif"/>
        </w:rPr>
        <w:t>JOSEPHDEIULIIS@COMCAST.NET</w:t>
      </w:r>
      <w:r>
        <w:rPr>
          <w:rFonts w:ascii="Microsoft Sans Serif" w:eastAsia="Microsoft Sans Serif" w:hAnsi="Microsoft Sans Serif" w:cs="Microsoft Sans Serif"/>
        </w:rPr>
        <w:cr/>
      </w:r>
      <w:r>
        <w:rPr>
          <w:rFonts w:ascii="Microsoft Sans Serif" w:eastAsia="Microsoft Sans Serif" w:hAnsi="Microsoft Sans Serif" w:cs="Microsoft Sans Serif"/>
        </w:rPr>
        <w:cr/>
      </w:r>
    </w:p>
    <w:p w14:paraId="3808BE77" w14:textId="2BBF37B4" w:rsidR="00E401C3" w:rsidRDefault="00E401C3" w:rsidP="00E401C3">
      <w:pPr>
        <w:spacing w:line="240" w:lineRule="auto"/>
        <w:jc w:val="left"/>
      </w:pPr>
      <w:r>
        <w:rPr>
          <w:rFonts w:ascii="Microsoft Sans Serif" w:eastAsia="Microsoft Sans Serif" w:hAnsi="Microsoft Sans Serif" w:cs="Microsoft Sans Serif"/>
        </w:rPr>
        <w:t>EMILY M FARAH COUNSEL</w:t>
      </w:r>
      <w:r>
        <w:rPr>
          <w:rFonts w:ascii="Microsoft Sans Serif" w:eastAsia="Microsoft Sans Serif" w:hAnsi="Microsoft Sans Serif" w:cs="Microsoft Sans Serif"/>
        </w:rPr>
        <w:cr/>
        <w:t>DUQUESNE LIGHT COMPANY</w:t>
      </w:r>
      <w:r>
        <w:rPr>
          <w:rFonts w:ascii="Microsoft Sans Serif" w:eastAsia="Microsoft Sans Serif" w:hAnsi="Microsoft Sans Serif" w:cs="Microsoft Sans Serif"/>
        </w:rPr>
        <w:cr/>
        <w:t>411 SEVENTH AVENUE</w:t>
      </w:r>
      <w:r>
        <w:rPr>
          <w:rFonts w:ascii="Microsoft Sans Serif" w:eastAsia="Microsoft Sans Serif" w:hAnsi="Microsoft Sans Serif" w:cs="Microsoft Sans Serif"/>
        </w:rPr>
        <w:cr/>
        <w:t>PITTSBURGH PA  15219</w:t>
      </w:r>
      <w:r>
        <w:rPr>
          <w:rFonts w:ascii="Microsoft Sans Serif" w:eastAsia="Microsoft Sans Serif" w:hAnsi="Microsoft Sans Serif" w:cs="Microsoft Sans Serif"/>
        </w:rPr>
        <w:cr/>
      </w:r>
      <w:r w:rsidRPr="00DD6B32">
        <w:rPr>
          <w:rFonts w:ascii="Microsoft Sans Serif" w:eastAsia="Microsoft Sans Serif" w:hAnsi="Microsoft Sans Serif" w:cs="Microsoft Sans Serif"/>
          <w:b/>
          <w:bCs/>
        </w:rPr>
        <w:t>412.393.6431</w:t>
      </w:r>
      <w:r w:rsidRPr="00DD6B32">
        <w:rPr>
          <w:rFonts w:ascii="Microsoft Sans Serif" w:eastAsia="Microsoft Sans Serif" w:hAnsi="Microsoft Sans Serif" w:cs="Microsoft Sans Serif"/>
          <w:b/>
          <w:bCs/>
        </w:rPr>
        <w:cr/>
      </w:r>
      <w:r>
        <w:rPr>
          <w:rFonts w:ascii="Microsoft Sans Serif" w:eastAsia="Microsoft Sans Serif" w:hAnsi="Microsoft Sans Serif" w:cs="Microsoft Sans Serif"/>
        </w:rPr>
        <w:t xml:space="preserve">Accepts </w:t>
      </w:r>
      <w:proofErr w:type="spellStart"/>
      <w:r>
        <w:rPr>
          <w:rFonts w:ascii="Microsoft Sans Serif" w:eastAsia="Microsoft Sans Serif" w:hAnsi="Microsoft Sans Serif" w:cs="Microsoft Sans Serif"/>
        </w:rPr>
        <w:t>EService</w:t>
      </w:r>
      <w:proofErr w:type="spellEnd"/>
    </w:p>
    <w:p w14:paraId="427F9DEB" w14:textId="77777777" w:rsidR="00E401C3" w:rsidRDefault="00E401C3" w:rsidP="00E401C3">
      <w:pPr>
        <w:spacing w:line="240" w:lineRule="auto"/>
        <w:jc w:val="left"/>
      </w:pPr>
    </w:p>
    <w:p w14:paraId="09C269CD" w14:textId="71FD233A" w:rsidR="00E401C3" w:rsidRPr="000B7724" w:rsidRDefault="00E401C3" w:rsidP="00E401C3">
      <w:pPr>
        <w:spacing w:line="240" w:lineRule="auto"/>
        <w:contextualSpacing/>
        <w:jc w:val="both"/>
      </w:pPr>
    </w:p>
    <w:sectPr w:rsidR="00E401C3" w:rsidRPr="000B772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8B358" w14:textId="77777777" w:rsidR="00671583" w:rsidRDefault="00671583" w:rsidP="00B7149A">
      <w:pPr>
        <w:spacing w:line="240" w:lineRule="auto"/>
      </w:pPr>
      <w:r>
        <w:separator/>
      </w:r>
    </w:p>
  </w:endnote>
  <w:endnote w:type="continuationSeparator" w:id="0">
    <w:p w14:paraId="42EF7C48" w14:textId="77777777" w:rsidR="00671583" w:rsidRDefault="00671583" w:rsidP="00B714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7260967"/>
      <w:docPartObj>
        <w:docPartGallery w:val="Page Numbers (Bottom of Page)"/>
        <w:docPartUnique/>
      </w:docPartObj>
    </w:sdtPr>
    <w:sdtEndPr>
      <w:rPr>
        <w:noProof/>
      </w:rPr>
    </w:sdtEndPr>
    <w:sdtContent>
      <w:p w14:paraId="1773668D" w14:textId="77777777" w:rsidR="00B7149A" w:rsidRDefault="00B7149A">
        <w:pPr>
          <w:pStyle w:val="Footer"/>
        </w:pPr>
        <w:r w:rsidRPr="00180787">
          <w:rPr>
            <w:sz w:val="20"/>
            <w:szCs w:val="20"/>
          </w:rPr>
          <w:fldChar w:fldCharType="begin"/>
        </w:r>
        <w:r w:rsidRPr="00180787">
          <w:rPr>
            <w:sz w:val="20"/>
            <w:szCs w:val="20"/>
          </w:rPr>
          <w:instrText xml:space="preserve"> PAGE   \* MERGEFORMAT </w:instrText>
        </w:r>
        <w:r w:rsidRPr="00180787">
          <w:rPr>
            <w:sz w:val="20"/>
            <w:szCs w:val="20"/>
          </w:rPr>
          <w:fldChar w:fldCharType="separate"/>
        </w:r>
        <w:r w:rsidR="00A715B0">
          <w:rPr>
            <w:noProof/>
            <w:sz w:val="20"/>
            <w:szCs w:val="20"/>
          </w:rPr>
          <w:t>8</w:t>
        </w:r>
        <w:r w:rsidRPr="00180787">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7BA5C" w14:textId="4A236482" w:rsidR="00E401C3" w:rsidRDefault="00E40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10D7D" w14:textId="77777777" w:rsidR="00671583" w:rsidRDefault="00671583" w:rsidP="00E401C3">
      <w:pPr>
        <w:spacing w:line="240" w:lineRule="auto"/>
        <w:jc w:val="both"/>
      </w:pPr>
      <w:r>
        <w:separator/>
      </w:r>
    </w:p>
  </w:footnote>
  <w:footnote w:type="continuationSeparator" w:id="0">
    <w:p w14:paraId="76983D8E" w14:textId="77777777" w:rsidR="00671583" w:rsidRDefault="00671583" w:rsidP="00B7149A">
      <w:pPr>
        <w:spacing w:line="240" w:lineRule="auto"/>
      </w:pPr>
      <w:r>
        <w:continuationSeparator/>
      </w:r>
    </w:p>
  </w:footnote>
  <w:footnote w:id="1">
    <w:p w14:paraId="0FB2C01D" w14:textId="6101B627" w:rsidR="000A247D" w:rsidRPr="000A247D" w:rsidRDefault="000A247D" w:rsidP="000A247D">
      <w:pPr>
        <w:pStyle w:val="FootnoteText"/>
        <w:jc w:val="left"/>
      </w:pPr>
      <w:r>
        <w:rPr>
          <w:rStyle w:val="FootnoteReference"/>
        </w:rPr>
        <w:footnoteRef/>
      </w:r>
      <w:r>
        <w:t xml:space="preserve"> </w:t>
      </w:r>
      <w:r>
        <w:tab/>
      </w:r>
      <w:r w:rsidRPr="000A247D">
        <w:t xml:space="preserve">Informal BCS decisions are "determinations" whereas the result of a Formal Complaint is termed a "decision." In addition, informal BCS determinations are governed primarily by Sections 3.111 to 3.113, 52 Pa. Code §§ 3.111, et seq., whereas Formal Complaints are governed by Chapter 5, 52 Pa. Code, 5.1 et seq.   More importantly, informal BCS determinations expressly notify the Complainant of a right to appeal by filing a Formal Complaint.  If filed, the Commission provides a hearing </w:t>
      </w:r>
      <w:r w:rsidRPr="000A247D">
        <w:rPr>
          <w:i/>
        </w:rPr>
        <w:t>de novo</w:t>
      </w:r>
      <w:r w:rsidRPr="000A247D">
        <w:t xml:space="preserve">.  The BCS functions as an informal arbiter of disputes between a utility provider and customers.  66 </w:t>
      </w:r>
      <w:proofErr w:type="spellStart"/>
      <w:r w:rsidRPr="000A247D">
        <w:t>Pa.C.S.A</w:t>
      </w:r>
      <w:proofErr w:type="spellEnd"/>
      <w:r w:rsidRPr="000A247D">
        <w:t xml:space="preserve">. § 308(d). This function usually produces cost-effective results without additional use of agency resources and time.  However, the Commission has never agreed to be formally bound by these informal determinations.  See </w:t>
      </w:r>
      <w:r w:rsidRPr="000A247D">
        <w:rPr>
          <w:i/>
        </w:rPr>
        <w:t xml:space="preserve">Derek Suggs &amp; Beverly Marell v. The Bell Telephone Company of Pennsylvania, </w:t>
      </w:r>
      <w:r w:rsidRPr="000A247D">
        <w:t>Docket No. F-00162258 (Order entered July 15, 1993).</w:t>
      </w:r>
    </w:p>
    <w:p w14:paraId="5780DA8C" w14:textId="77777777" w:rsidR="000A247D" w:rsidRPr="000A247D" w:rsidRDefault="000A247D" w:rsidP="000A247D">
      <w:pPr>
        <w:pStyle w:val="FootnoteText"/>
      </w:pPr>
    </w:p>
    <w:p w14:paraId="0A74280E" w14:textId="054D07AD" w:rsidR="000A247D" w:rsidRDefault="000A247D" w:rsidP="000A247D">
      <w:pPr>
        <w:pStyle w:val="FootnoteText"/>
        <w:jc w:val="left"/>
      </w:pPr>
    </w:p>
  </w:footnote>
  <w:footnote w:id="2">
    <w:p w14:paraId="4DF53B3B" w14:textId="65B99E90" w:rsidR="00065F34" w:rsidRDefault="00065F34" w:rsidP="00065F34">
      <w:pPr>
        <w:pStyle w:val="FootnoteText"/>
        <w:jc w:val="left"/>
      </w:pPr>
      <w:r>
        <w:rPr>
          <w:rStyle w:val="FootnoteReference"/>
        </w:rPr>
        <w:footnoteRef/>
      </w:r>
      <w:r>
        <w:t xml:space="preserve"> </w:t>
      </w:r>
      <w:r>
        <w:tab/>
      </w:r>
      <w:r w:rsidRPr="00065F34">
        <w:t xml:space="preserve">The statute at 66 Pa. C.S. §1501 governs any allegations of unreasonable or inadequate service.  Pursuant to 66 Pa. C.S. §1501, the Commission has original jurisdiction over the reasonableness and adequacy of public utility service.  </w:t>
      </w:r>
      <w:r w:rsidRPr="00065F34">
        <w:rPr>
          <w:i/>
          <w:iCs/>
        </w:rPr>
        <w:t>Elkin v. Bell Telephone Co</w:t>
      </w:r>
      <w:r w:rsidRPr="00065F34">
        <w:t xml:space="preserve">., 372 A.2d 1203 (Pa. Super. 1977) </w:t>
      </w:r>
      <w:r w:rsidRPr="00065F34">
        <w:rPr>
          <w:i/>
          <w:iCs/>
        </w:rPr>
        <w:t>aff’d</w:t>
      </w:r>
      <w:r w:rsidRPr="00065F34">
        <w:t xml:space="preserve"> 420 A.2d 371 (Pa. 1977); </w:t>
      </w:r>
      <w:r w:rsidRPr="00065F34">
        <w:rPr>
          <w:i/>
          <w:iCs/>
        </w:rPr>
        <w:t>Behrend v. Bell Telephone Co</w:t>
      </w:r>
      <w:r w:rsidRPr="00065F34">
        <w:t xml:space="preserve">., 243 A.2d 346 (Pa. 1968).  As a general proposition, neither the Public Utility Code nor the Commission’s regulations require public utilities to provide constantly flawless service.  The Public Utility Code at 66 Pa. C.S. §1501 does not require perfect service or the best possible service but does require public utilities to provide reasonable and adequate service.  </w:t>
      </w:r>
      <w:r w:rsidRPr="00065F34">
        <w:rPr>
          <w:i/>
          <w:iCs/>
        </w:rPr>
        <w:t>Analytical Laboratory Services, Inc. v. Metropolitan Edison Co</w:t>
      </w:r>
      <w:r w:rsidRPr="00065F34">
        <w:t>., Docket No. C-2006608 (Order entered December 21, 2007</w:t>
      </w:r>
      <w:r w:rsidRPr="00065F34">
        <w:rPr>
          <w:i/>
          <w:iCs/>
        </w:rPr>
        <w:t>); Emerald Art Glass v. Duquesne Light Co</w:t>
      </w:r>
      <w:r w:rsidRPr="00065F34">
        <w:t xml:space="preserve">., Docket No. C-00015494 (Order entered June 14, 2002); </w:t>
      </w:r>
      <w:r w:rsidRPr="00065F34">
        <w:rPr>
          <w:i/>
          <w:iCs/>
        </w:rPr>
        <w:t>Re: Metropolitan Edison Co</w:t>
      </w:r>
      <w:r w:rsidRPr="00065F34">
        <w:t>., 80 Pa. PUC 662 (1993).</w:t>
      </w:r>
    </w:p>
  </w:footnote>
  <w:footnote w:id="3">
    <w:p w14:paraId="6A0FC5AA" w14:textId="2CBF7CD1" w:rsidR="000A247D" w:rsidRDefault="000A247D" w:rsidP="000A247D">
      <w:pPr>
        <w:pStyle w:val="FootnoteText"/>
        <w:jc w:val="left"/>
      </w:pPr>
      <w:r>
        <w:rPr>
          <w:rStyle w:val="FootnoteReference"/>
        </w:rPr>
        <w:footnoteRef/>
      </w:r>
      <w:r>
        <w:t xml:space="preserve"> </w:t>
      </w:r>
      <w:r>
        <w:tab/>
        <w:t>I would also note that it would be most unusual to dismiss this Complaint with prejudice at this point</w:t>
      </w:r>
      <w:r w:rsidR="003666A1">
        <w:t xml:space="preserve"> even if dismissal was warranted</w:t>
      </w:r>
      <w:r>
        <w:t>.  Such a characterization of dismissal would act as a bar to refiling the Complaint</w:t>
      </w:r>
      <w:r w:rsidR="003666A1">
        <w:t xml:space="preserve">, and as Complainant is proceeding </w:t>
      </w:r>
      <w:r w:rsidR="003666A1" w:rsidRPr="003666A1">
        <w:rPr>
          <w:i/>
          <w:iCs/>
        </w:rPr>
        <w:t>pro se</w:t>
      </w:r>
      <w:r w:rsidR="003666A1">
        <w:t xml:space="preserve"> (</w:t>
      </w:r>
      <w:proofErr w:type="gramStart"/>
      <w:r w:rsidR="003666A1" w:rsidRPr="003666A1">
        <w:rPr>
          <w:i/>
          <w:iCs/>
        </w:rPr>
        <w:t>i.e.</w:t>
      </w:r>
      <w:proofErr w:type="gramEnd"/>
      <w:r w:rsidR="003666A1">
        <w:t xml:space="preserve"> representing himself) it would run contra to the Commission’s long standing policy of latitude for </w:t>
      </w:r>
      <w:r w:rsidR="003666A1" w:rsidRPr="003666A1">
        <w:rPr>
          <w:i/>
          <w:iCs/>
        </w:rPr>
        <w:t>pro se</w:t>
      </w:r>
      <w:r w:rsidR="003666A1">
        <w:t xml:space="preserve"> litigants in prosecuting Complaints</w:t>
      </w:r>
      <w:r>
        <w:t xml:space="preserve">.  </w:t>
      </w:r>
      <w:r w:rsidR="003666A1" w:rsidRPr="003666A1">
        <w:t xml:space="preserve">See, e.g., </w:t>
      </w:r>
      <w:proofErr w:type="spellStart"/>
      <w:r w:rsidR="003666A1" w:rsidRPr="003666A1">
        <w:rPr>
          <w:i/>
        </w:rPr>
        <w:t>Destefano</w:t>
      </w:r>
      <w:proofErr w:type="spellEnd"/>
      <w:r w:rsidR="003666A1" w:rsidRPr="003666A1">
        <w:rPr>
          <w:i/>
        </w:rPr>
        <w:t xml:space="preserve"> v. Peoples Natural Gas Company</w:t>
      </w:r>
      <w:r w:rsidR="003666A1" w:rsidRPr="003666A1">
        <w:t xml:space="preserve">, 56 Pa. P.U.C. 489 (1982); </w:t>
      </w:r>
      <w:r w:rsidR="003666A1" w:rsidRPr="003666A1">
        <w:rPr>
          <w:i/>
        </w:rPr>
        <w:t xml:space="preserve">Halpern v. The Bell Telephone Company of </w:t>
      </w:r>
      <w:smartTag w:uri="urn:schemas-microsoft-com:office:smarttags" w:element="State">
        <w:smartTag w:uri="urn:schemas-microsoft-com:office:smarttags" w:element="place">
          <w:r w:rsidR="003666A1" w:rsidRPr="003666A1">
            <w:rPr>
              <w:i/>
            </w:rPr>
            <w:t>Pennsylvania</w:t>
          </w:r>
        </w:smartTag>
      </w:smartTag>
      <w:r w:rsidR="003666A1" w:rsidRPr="003666A1">
        <w:t xml:space="preserve">, Docket No. C-00923950 (October 19, 1992); </w:t>
      </w:r>
      <w:r w:rsidR="003666A1" w:rsidRPr="003666A1">
        <w:rPr>
          <w:i/>
        </w:rPr>
        <w:t xml:space="preserve">William </w:t>
      </w:r>
      <w:proofErr w:type="spellStart"/>
      <w:r w:rsidR="003666A1" w:rsidRPr="003666A1">
        <w:rPr>
          <w:i/>
        </w:rPr>
        <w:t>Schlinder</w:t>
      </w:r>
      <w:proofErr w:type="spellEnd"/>
      <w:r w:rsidR="003666A1" w:rsidRPr="003666A1">
        <w:rPr>
          <w:i/>
        </w:rPr>
        <w:t xml:space="preserve"> v. The Bell Telephone Company of </w:t>
      </w:r>
      <w:smartTag w:uri="urn:schemas-microsoft-com:office:smarttags" w:element="State">
        <w:smartTag w:uri="urn:schemas-microsoft-com:office:smarttags" w:element="place">
          <w:r w:rsidR="003666A1" w:rsidRPr="003666A1">
            <w:rPr>
              <w:i/>
            </w:rPr>
            <w:t>Pennsylvania</w:t>
          </w:r>
        </w:smartTag>
      </w:smartTag>
      <w:r w:rsidR="003666A1" w:rsidRPr="003666A1">
        <w:t>, Docket No. F-00161252 (March 26, 1993).  </w:t>
      </w:r>
      <w:r>
        <w:t xml:space="preserve">Dismissal with prejudice is most often seen when a Complainant fails to prosecute his or her Complaint (non-attendance at a previously scheduled </w:t>
      </w:r>
      <w:r w:rsidR="003666A1">
        <w:t>hearing without good cause), failure to comply with a Judge’s Order or a directive of the Commission, disruptive behavior at hearing, or the abuse of legal process through refiling of identical Complaints despite the Complaint having already been adjudicated and a final Order issued.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3A4A"/>
    <w:rsid w:val="00001E3A"/>
    <w:rsid w:val="00001EF6"/>
    <w:rsid w:val="000028EA"/>
    <w:rsid w:val="00003D11"/>
    <w:rsid w:val="00004AA3"/>
    <w:rsid w:val="00005558"/>
    <w:rsid w:val="000079FE"/>
    <w:rsid w:val="00012104"/>
    <w:rsid w:val="00012655"/>
    <w:rsid w:val="0001305A"/>
    <w:rsid w:val="00014634"/>
    <w:rsid w:val="00016E55"/>
    <w:rsid w:val="0002023D"/>
    <w:rsid w:val="00020760"/>
    <w:rsid w:val="0002105C"/>
    <w:rsid w:val="0002110E"/>
    <w:rsid w:val="00022B3F"/>
    <w:rsid w:val="00025D7A"/>
    <w:rsid w:val="000304BF"/>
    <w:rsid w:val="00032379"/>
    <w:rsid w:val="0003306B"/>
    <w:rsid w:val="00033303"/>
    <w:rsid w:val="000338CD"/>
    <w:rsid w:val="00033944"/>
    <w:rsid w:val="00035BB8"/>
    <w:rsid w:val="000372C5"/>
    <w:rsid w:val="00037484"/>
    <w:rsid w:val="000377F5"/>
    <w:rsid w:val="00037E0F"/>
    <w:rsid w:val="00040EB6"/>
    <w:rsid w:val="00044B8B"/>
    <w:rsid w:val="00044FC0"/>
    <w:rsid w:val="0004643F"/>
    <w:rsid w:val="000466BF"/>
    <w:rsid w:val="00046714"/>
    <w:rsid w:val="00046940"/>
    <w:rsid w:val="00046D8D"/>
    <w:rsid w:val="000478E2"/>
    <w:rsid w:val="00053A4A"/>
    <w:rsid w:val="000541C0"/>
    <w:rsid w:val="0005423F"/>
    <w:rsid w:val="00055078"/>
    <w:rsid w:val="00055CC5"/>
    <w:rsid w:val="000576ED"/>
    <w:rsid w:val="000605B6"/>
    <w:rsid w:val="00061278"/>
    <w:rsid w:val="000634EB"/>
    <w:rsid w:val="00063801"/>
    <w:rsid w:val="00065F34"/>
    <w:rsid w:val="0006752D"/>
    <w:rsid w:val="000676B2"/>
    <w:rsid w:val="00067CBC"/>
    <w:rsid w:val="00070AA1"/>
    <w:rsid w:val="00071A36"/>
    <w:rsid w:val="00072595"/>
    <w:rsid w:val="00072D46"/>
    <w:rsid w:val="00073BE1"/>
    <w:rsid w:val="00074065"/>
    <w:rsid w:val="00076092"/>
    <w:rsid w:val="000779CB"/>
    <w:rsid w:val="0008059D"/>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247D"/>
    <w:rsid w:val="000A4551"/>
    <w:rsid w:val="000A4E7A"/>
    <w:rsid w:val="000A5DEA"/>
    <w:rsid w:val="000A652E"/>
    <w:rsid w:val="000A770B"/>
    <w:rsid w:val="000B1BFC"/>
    <w:rsid w:val="000B2D0C"/>
    <w:rsid w:val="000B339A"/>
    <w:rsid w:val="000B7111"/>
    <w:rsid w:val="000B7724"/>
    <w:rsid w:val="000C0311"/>
    <w:rsid w:val="000C2696"/>
    <w:rsid w:val="000C2A2B"/>
    <w:rsid w:val="000C34F3"/>
    <w:rsid w:val="000C4163"/>
    <w:rsid w:val="000C5976"/>
    <w:rsid w:val="000C6B6E"/>
    <w:rsid w:val="000C6EF0"/>
    <w:rsid w:val="000C7A4F"/>
    <w:rsid w:val="000D29BA"/>
    <w:rsid w:val="000D3E49"/>
    <w:rsid w:val="000D5763"/>
    <w:rsid w:val="000E28D6"/>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8D4"/>
    <w:rsid w:val="00157E46"/>
    <w:rsid w:val="001627EF"/>
    <w:rsid w:val="00162A12"/>
    <w:rsid w:val="00162D2F"/>
    <w:rsid w:val="0016332A"/>
    <w:rsid w:val="0016435F"/>
    <w:rsid w:val="0016521D"/>
    <w:rsid w:val="00165754"/>
    <w:rsid w:val="001658B2"/>
    <w:rsid w:val="00170FE6"/>
    <w:rsid w:val="00171416"/>
    <w:rsid w:val="00172857"/>
    <w:rsid w:val="00172B0B"/>
    <w:rsid w:val="00172E8C"/>
    <w:rsid w:val="00173570"/>
    <w:rsid w:val="00173C70"/>
    <w:rsid w:val="00174F7E"/>
    <w:rsid w:val="0017580D"/>
    <w:rsid w:val="00175F76"/>
    <w:rsid w:val="00176C44"/>
    <w:rsid w:val="00180787"/>
    <w:rsid w:val="00181AB1"/>
    <w:rsid w:val="00183A14"/>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1EA5"/>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694D"/>
    <w:rsid w:val="001E76FD"/>
    <w:rsid w:val="001E79A7"/>
    <w:rsid w:val="001F0835"/>
    <w:rsid w:val="001F09A7"/>
    <w:rsid w:val="001F1049"/>
    <w:rsid w:val="001F1139"/>
    <w:rsid w:val="001F30FE"/>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5B2"/>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0E1D"/>
    <w:rsid w:val="002A1522"/>
    <w:rsid w:val="002A17F4"/>
    <w:rsid w:val="002A4E7E"/>
    <w:rsid w:val="002A5F4D"/>
    <w:rsid w:val="002A70E9"/>
    <w:rsid w:val="002A7A0A"/>
    <w:rsid w:val="002B0D61"/>
    <w:rsid w:val="002B2AF4"/>
    <w:rsid w:val="002B3170"/>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E7E19"/>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9AE"/>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2A1"/>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66A1"/>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97CCB"/>
    <w:rsid w:val="003A0B9C"/>
    <w:rsid w:val="003A0E5A"/>
    <w:rsid w:val="003A0F8D"/>
    <w:rsid w:val="003A5E83"/>
    <w:rsid w:val="003A645E"/>
    <w:rsid w:val="003A6A5F"/>
    <w:rsid w:val="003A7581"/>
    <w:rsid w:val="003B2E77"/>
    <w:rsid w:val="003B3FDD"/>
    <w:rsid w:val="003B4D40"/>
    <w:rsid w:val="003B5D19"/>
    <w:rsid w:val="003B5F50"/>
    <w:rsid w:val="003B610B"/>
    <w:rsid w:val="003C34F1"/>
    <w:rsid w:val="003C47E8"/>
    <w:rsid w:val="003C5102"/>
    <w:rsid w:val="003C5586"/>
    <w:rsid w:val="003C610C"/>
    <w:rsid w:val="003C6962"/>
    <w:rsid w:val="003C6F65"/>
    <w:rsid w:val="003D1F46"/>
    <w:rsid w:val="003D41CF"/>
    <w:rsid w:val="003D5045"/>
    <w:rsid w:val="003D7962"/>
    <w:rsid w:val="003E1442"/>
    <w:rsid w:val="003E2B14"/>
    <w:rsid w:val="003E2FDE"/>
    <w:rsid w:val="003E447A"/>
    <w:rsid w:val="003E5240"/>
    <w:rsid w:val="003E7E85"/>
    <w:rsid w:val="003F01A7"/>
    <w:rsid w:val="003F02E3"/>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739"/>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32C0"/>
    <w:rsid w:val="00464B18"/>
    <w:rsid w:val="00465D71"/>
    <w:rsid w:val="00466D15"/>
    <w:rsid w:val="0047070D"/>
    <w:rsid w:val="00477A71"/>
    <w:rsid w:val="00481269"/>
    <w:rsid w:val="004839FC"/>
    <w:rsid w:val="00483C70"/>
    <w:rsid w:val="00484589"/>
    <w:rsid w:val="00484B88"/>
    <w:rsid w:val="00484BCE"/>
    <w:rsid w:val="00487E8F"/>
    <w:rsid w:val="00491F39"/>
    <w:rsid w:val="00492E2C"/>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0F55"/>
    <w:rsid w:val="004D14F0"/>
    <w:rsid w:val="004D1505"/>
    <w:rsid w:val="004D17DF"/>
    <w:rsid w:val="004D190C"/>
    <w:rsid w:val="004D38F8"/>
    <w:rsid w:val="004D4A68"/>
    <w:rsid w:val="004D5646"/>
    <w:rsid w:val="004D6D13"/>
    <w:rsid w:val="004D6DCE"/>
    <w:rsid w:val="004D7CC2"/>
    <w:rsid w:val="004E1B61"/>
    <w:rsid w:val="004E1FD5"/>
    <w:rsid w:val="004E23ED"/>
    <w:rsid w:val="004E429F"/>
    <w:rsid w:val="004E60E4"/>
    <w:rsid w:val="004F160A"/>
    <w:rsid w:val="004F2F62"/>
    <w:rsid w:val="004F37CB"/>
    <w:rsid w:val="004F45CA"/>
    <w:rsid w:val="004F5216"/>
    <w:rsid w:val="004F616B"/>
    <w:rsid w:val="004F64E4"/>
    <w:rsid w:val="004F6813"/>
    <w:rsid w:val="00500A53"/>
    <w:rsid w:val="00503634"/>
    <w:rsid w:val="00504F92"/>
    <w:rsid w:val="00505551"/>
    <w:rsid w:val="005078B3"/>
    <w:rsid w:val="00510A28"/>
    <w:rsid w:val="00511C54"/>
    <w:rsid w:val="0051292E"/>
    <w:rsid w:val="00512BD2"/>
    <w:rsid w:val="00516207"/>
    <w:rsid w:val="00516360"/>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564"/>
    <w:rsid w:val="00541C1D"/>
    <w:rsid w:val="005449AC"/>
    <w:rsid w:val="00544A16"/>
    <w:rsid w:val="005472EC"/>
    <w:rsid w:val="00547C82"/>
    <w:rsid w:val="0055122B"/>
    <w:rsid w:val="00552915"/>
    <w:rsid w:val="005534BD"/>
    <w:rsid w:val="005555C0"/>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A7DD7"/>
    <w:rsid w:val="005B3D45"/>
    <w:rsid w:val="005B78C4"/>
    <w:rsid w:val="005C373B"/>
    <w:rsid w:val="005C3DD2"/>
    <w:rsid w:val="005C4AAA"/>
    <w:rsid w:val="005C610A"/>
    <w:rsid w:val="005D1442"/>
    <w:rsid w:val="005D1922"/>
    <w:rsid w:val="005D2788"/>
    <w:rsid w:val="005D4281"/>
    <w:rsid w:val="005D4AB3"/>
    <w:rsid w:val="005D6E32"/>
    <w:rsid w:val="005D6FAE"/>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347A"/>
    <w:rsid w:val="00664A57"/>
    <w:rsid w:val="00664C73"/>
    <w:rsid w:val="00671583"/>
    <w:rsid w:val="00671999"/>
    <w:rsid w:val="006764EA"/>
    <w:rsid w:val="00677DDE"/>
    <w:rsid w:val="00680B65"/>
    <w:rsid w:val="00681287"/>
    <w:rsid w:val="006815A6"/>
    <w:rsid w:val="00681D11"/>
    <w:rsid w:val="00681FD9"/>
    <w:rsid w:val="0068285E"/>
    <w:rsid w:val="00684EF6"/>
    <w:rsid w:val="006856E2"/>
    <w:rsid w:val="00690E46"/>
    <w:rsid w:val="00693743"/>
    <w:rsid w:val="00693995"/>
    <w:rsid w:val="00693C61"/>
    <w:rsid w:val="00695397"/>
    <w:rsid w:val="0069562F"/>
    <w:rsid w:val="006A1212"/>
    <w:rsid w:val="006A177A"/>
    <w:rsid w:val="006A1A5D"/>
    <w:rsid w:val="006A3267"/>
    <w:rsid w:val="006A3E98"/>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32D"/>
    <w:rsid w:val="006E1753"/>
    <w:rsid w:val="006E3BF0"/>
    <w:rsid w:val="006E4E29"/>
    <w:rsid w:val="006E5D2E"/>
    <w:rsid w:val="006E670A"/>
    <w:rsid w:val="006E722A"/>
    <w:rsid w:val="006E7C63"/>
    <w:rsid w:val="006E7F54"/>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2C54"/>
    <w:rsid w:val="0075585E"/>
    <w:rsid w:val="00755A77"/>
    <w:rsid w:val="007631D1"/>
    <w:rsid w:val="007635AC"/>
    <w:rsid w:val="00764D4F"/>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1D"/>
    <w:rsid w:val="007B33F8"/>
    <w:rsid w:val="007B3B6F"/>
    <w:rsid w:val="007B3F3D"/>
    <w:rsid w:val="007B413B"/>
    <w:rsid w:val="007B4FD7"/>
    <w:rsid w:val="007B5461"/>
    <w:rsid w:val="007B6474"/>
    <w:rsid w:val="007B7F0F"/>
    <w:rsid w:val="007C19EC"/>
    <w:rsid w:val="007C342D"/>
    <w:rsid w:val="007C3C7F"/>
    <w:rsid w:val="007C43E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6441"/>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87BA7"/>
    <w:rsid w:val="00990892"/>
    <w:rsid w:val="00997443"/>
    <w:rsid w:val="009A1BA1"/>
    <w:rsid w:val="009A2A81"/>
    <w:rsid w:val="009A2AFB"/>
    <w:rsid w:val="009A2DE2"/>
    <w:rsid w:val="009A3B62"/>
    <w:rsid w:val="009A3ED4"/>
    <w:rsid w:val="009A56EE"/>
    <w:rsid w:val="009A5C47"/>
    <w:rsid w:val="009A68E7"/>
    <w:rsid w:val="009A6BC5"/>
    <w:rsid w:val="009B0164"/>
    <w:rsid w:val="009B0804"/>
    <w:rsid w:val="009B2B90"/>
    <w:rsid w:val="009B3452"/>
    <w:rsid w:val="009B4A92"/>
    <w:rsid w:val="009B4B7B"/>
    <w:rsid w:val="009B4CB6"/>
    <w:rsid w:val="009B66C0"/>
    <w:rsid w:val="009B72A1"/>
    <w:rsid w:val="009B74A5"/>
    <w:rsid w:val="009B7D9A"/>
    <w:rsid w:val="009C0E90"/>
    <w:rsid w:val="009C24F9"/>
    <w:rsid w:val="009C638A"/>
    <w:rsid w:val="009D3AAC"/>
    <w:rsid w:val="009D5B63"/>
    <w:rsid w:val="009D6C48"/>
    <w:rsid w:val="009E1679"/>
    <w:rsid w:val="009E1BE9"/>
    <w:rsid w:val="009E2348"/>
    <w:rsid w:val="009E239E"/>
    <w:rsid w:val="009E271D"/>
    <w:rsid w:val="009E362F"/>
    <w:rsid w:val="009E38F0"/>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2561"/>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1B"/>
    <w:rsid w:val="00A64C8D"/>
    <w:rsid w:val="00A6721B"/>
    <w:rsid w:val="00A70355"/>
    <w:rsid w:val="00A7046F"/>
    <w:rsid w:val="00A715B0"/>
    <w:rsid w:val="00A71E4D"/>
    <w:rsid w:val="00A73547"/>
    <w:rsid w:val="00A73D17"/>
    <w:rsid w:val="00A73D4F"/>
    <w:rsid w:val="00A74128"/>
    <w:rsid w:val="00A7538D"/>
    <w:rsid w:val="00A75DD6"/>
    <w:rsid w:val="00A7618B"/>
    <w:rsid w:val="00A7646D"/>
    <w:rsid w:val="00A7671E"/>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6CA1"/>
    <w:rsid w:val="00B17521"/>
    <w:rsid w:val="00B17683"/>
    <w:rsid w:val="00B20FAA"/>
    <w:rsid w:val="00B21806"/>
    <w:rsid w:val="00B21CD8"/>
    <w:rsid w:val="00B21FBA"/>
    <w:rsid w:val="00B23036"/>
    <w:rsid w:val="00B23264"/>
    <w:rsid w:val="00B2793E"/>
    <w:rsid w:val="00B3022C"/>
    <w:rsid w:val="00B32ABD"/>
    <w:rsid w:val="00B32BE2"/>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149A"/>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4C63"/>
    <w:rsid w:val="00BA5CEA"/>
    <w:rsid w:val="00BA690D"/>
    <w:rsid w:val="00BA7612"/>
    <w:rsid w:val="00BA76A8"/>
    <w:rsid w:val="00BB1D36"/>
    <w:rsid w:val="00BB3631"/>
    <w:rsid w:val="00BB3FF6"/>
    <w:rsid w:val="00BB5630"/>
    <w:rsid w:val="00BB6BE1"/>
    <w:rsid w:val="00BC11FE"/>
    <w:rsid w:val="00BC392E"/>
    <w:rsid w:val="00BC60A6"/>
    <w:rsid w:val="00BC62E0"/>
    <w:rsid w:val="00BC6FBF"/>
    <w:rsid w:val="00BD00D9"/>
    <w:rsid w:val="00BD1886"/>
    <w:rsid w:val="00BD23E3"/>
    <w:rsid w:val="00BD40BC"/>
    <w:rsid w:val="00BD6234"/>
    <w:rsid w:val="00BE0437"/>
    <w:rsid w:val="00BE04F6"/>
    <w:rsid w:val="00BE107D"/>
    <w:rsid w:val="00BE2C43"/>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51A83"/>
    <w:rsid w:val="00C613E2"/>
    <w:rsid w:val="00C621E3"/>
    <w:rsid w:val="00C6430C"/>
    <w:rsid w:val="00C64E24"/>
    <w:rsid w:val="00C65047"/>
    <w:rsid w:val="00C653CC"/>
    <w:rsid w:val="00C665D4"/>
    <w:rsid w:val="00C67E56"/>
    <w:rsid w:val="00C72CBF"/>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2CA"/>
    <w:rsid w:val="00CA4F28"/>
    <w:rsid w:val="00CA7388"/>
    <w:rsid w:val="00CA78AC"/>
    <w:rsid w:val="00CB067C"/>
    <w:rsid w:val="00CB15CA"/>
    <w:rsid w:val="00CB26B3"/>
    <w:rsid w:val="00CB3B7D"/>
    <w:rsid w:val="00CB4DC8"/>
    <w:rsid w:val="00CB51F5"/>
    <w:rsid w:val="00CB687E"/>
    <w:rsid w:val="00CC0250"/>
    <w:rsid w:val="00CC074E"/>
    <w:rsid w:val="00CC1659"/>
    <w:rsid w:val="00CC1D7C"/>
    <w:rsid w:val="00CC3092"/>
    <w:rsid w:val="00CC30C3"/>
    <w:rsid w:val="00CC363A"/>
    <w:rsid w:val="00CC3D4E"/>
    <w:rsid w:val="00CC4003"/>
    <w:rsid w:val="00CC74BD"/>
    <w:rsid w:val="00CD0768"/>
    <w:rsid w:val="00CD3CC4"/>
    <w:rsid w:val="00CD788F"/>
    <w:rsid w:val="00CE0354"/>
    <w:rsid w:val="00CE047D"/>
    <w:rsid w:val="00CE1017"/>
    <w:rsid w:val="00CE358A"/>
    <w:rsid w:val="00CE373E"/>
    <w:rsid w:val="00CE43AF"/>
    <w:rsid w:val="00CE577D"/>
    <w:rsid w:val="00CE665D"/>
    <w:rsid w:val="00CE6758"/>
    <w:rsid w:val="00CE7731"/>
    <w:rsid w:val="00CF096F"/>
    <w:rsid w:val="00CF1226"/>
    <w:rsid w:val="00CF28E4"/>
    <w:rsid w:val="00CF329F"/>
    <w:rsid w:val="00CF4439"/>
    <w:rsid w:val="00CF6106"/>
    <w:rsid w:val="00CF6A79"/>
    <w:rsid w:val="00CF73D7"/>
    <w:rsid w:val="00D00AAE"/>
    <w:rsid w:val="00D02D5A"/>
    <w:rsid w:val="00D03B9D"/>
    <w:rsid w:val="00D0498A"/>
    <w:rsid w:val="00D065E6"/>
    <w:rsid w:val="00D06F2D"/>
    <w:rsid w:val="00D10589"/>
    <w:rsid w:val="00D10843"/>
    <w:rsid w:val="00D114B8"/>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5DCB"/>
    <w:rsid w:val="00D360DF"/>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12F"/>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06C62"/>
    <w:rsid w:val="00E101A9"/>
    <w:rsid w:val="00E12954"/>
    <w:rsid w:val="00E12A2F"/>
    <w:rsid w:val="00E12D9F"/>
    <w:rsid w:val="00E12FAE"/>
    <w:rsid w:val="00E13468"/>
    <w:rsid w:val="00E16346"/>
    <w:rsid w:val="00E1638A"/>
    <w:rsid w:val="00E24543"/>
    <w:rsid w:val="00E2457B"/>
    <w:rsid w:val="00E247DE"/>
    <w:rsid w:val="00E257AB"/>
    <w:rsid w:val="00E3212A"/>
    <w:rsid w:val="00E32221"/>
    <w:rsid w:val="00E32512"/>
    <w:rsid w:val="00E333C7"/>
    <w:rsid w:val="00E3374E"/>
    <w:rsid w:val="00E33A7F"/>
    <w:rsid w:val="00E33F2B"/>
    <w:rsid w:val="00E34A79"/>
    <w:rsid w:val="00E376F7"/>
    <w:rsid w:val="00E401C3"/>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E6738"/>
    <w:rsid w:val="00EF0333"/>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7F2"/>
    <w:rsid w:val="00FA4D12"/>
    <w:rsid w:val="00FA5031"/>
    <w:rsid w:val="00FA56FF"/>
    <w:rsid w:val="00FB106B"/>
    <w:rsid w:val="00FB4326"/>
    <w:rsid w:val="00FB4C6F"/>
    <w:rsid w:val="00FB588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8BB57D3"/>
  <w15:docId w15:val="{BB09D8CA-D8A1-4F6B-A97E-50451DC0F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D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149A"/>
    <w:pPr>
      <w:tabs>
        <w:tab w:val="center" w:pos="4680"/>
        <w:tab w:val="right" w:pos="9360"/>
      </w:tabs>
      <w:spacing w:line="240" w:lineRule="auto"/>
    </w:pPr>
  </w:style>
  <w:style w:type="character" w:customStyle="1" w:styleId="HeaderChar">
    <w:name w:val="Header Char"/>
    <w:basedOn w:val="DefaultParagraphFont"/>
    <w:link w:val="Header"/>
    <w:uiPriority w:val="99"/>
    <w:rsid w:val="00B7149A"/>
  </w:style>
  <w:style w:type="paragraph" w:styleId="Footer">
    <w:name w:val="footer"/>
    <w:basedOn w:val="Normal"/>
    <w:link w:val="FooterChar"/>
    <w:uiPriority w:val="99"/>
    <w:unhideWhenUsed/>
    <w:rsid w:val="00B7149A"/>
    <w:pPr>
      <w:tabs>
        <w:tab w:val="center" w:pos="4680"/>
        <w:tab w:val="right" w:pos="9360"/>
      </w:tabs>
      <w:spacing w:line="240" w:lineRule="auto"/>
    </w:pPr>
  </w:style>
  <w:style w:type="character" w:customStyle="1" w:styleId="FooterChar">
    <w:name w:val="Footer Char"/>
    <w:basedOn w:val="DefaultParagraphFont"/>
    <w:link w:val="Footer"/>
    <w:uiPriority w:val="99"/>
    <w:rsid w:val="00B7149A"/>
  </w:style>
  <w:style w:type="character" w:styleId="CommentReference">
    <w:name w:val="annotation reference"/>
    <w:basedOn w:val="DefaultParagraphFont"/>
    <w:uiPriority w:val="99"/>
    <w:semiHidden/>
    <w:unhideWhenUsed/>
    <w:rsid w:val="005D4AB3"/>
    <w:rPr>
      <w:sz w:val="16"/>
      <w:szCs w:val="16"/>
    </w:rPr>
  </w:style>
  <w:style w:type="paragraph" w:styleId="CommentText">
    <w:name w:val="annotation text"/>
    <w:basedOn w:val="Normal"/>
    <w:link w:val="CommentTextChar"/>
    <w:uiPriority w:val="99"/>
    <w:semiHidden/>
    <w:unhideWhenUsed/>
    <w:rsid w:val="005D4AB3"/>
    <w:pPr>
      <w:spacing w:line="240" w:lineRule="auto"/>
    </w:pPr>
    <w:rPr>
      <w:sz w:val="20"/>
      <w:szCs w:val="20"/>
    </w:rPr>
  </w:style>
  <w:style w:type="character" w:customStyle="1" w:styleId="CommentTextChar">
    <w:name w:val="Comment Text Char"/>
    <w:basedOn w:val="DefaultParagraphFont"/>
    <w:link w:val="CommentText"/>
    <w:uiPriority w:val="99"/>
    <w:semiHidden/>
    <w:rsid w:val="005D4AB3"/>
    <w:rPr>
      <w:sz w:val="20"/>
      <w:szCs w:val="20"/>
    </w:rPr>
  </w:style>
  <w:style w:type="paragraph" w:styleId="CommentSubject">
    <w:name w:val="annotation subject"/>
    <w:basedOn w:val="CommentText"/>
    <w:next w:val="CommentText"/>
    <w:link w:val="CommentSubjectChar"/>
    <w:uiPriority w:val="99"/>
    <w:semiHidden/>
    <w:unhideWhenUsed/>
    <w:rsid w:val="005D4AB3"/>
    <w:rPr>
      <w:b/>
      <w:bCs/>
    </w:rPr>
  </w:style>
  <w:style w:type="character" w:customStyle="1" w:styleId="CommentSubjectChar">
    <w:name w:val="Comment Subject Char"/>
    <w:basedOn w:val="CommentTextChar"/>
    <w:link w:val="CommentSubject"/>
    <w:uiPriority w:val="99"/>
    <w:semiHidden/>
    <w:rsid w:val="005D4AB3"/>
    <w:rPr>
      <w:b/>
      <w:bCs/>
      <w:sz w:val="20"/>
      <w:szCs w:val="20"/>
    </w:rPr>
  </w:style>
  <w:style w:type="paragraph" w:styleId="BalloonText">
    <w:name w:val="Balloon Text"/>
    <w:basedOn w:val="Normal"/>
    <w:link w:val="BalloonTextChar"/>
    <w:uiPriority w:val="99"/>
    <w:semiHidden/>
    <w:unhideWhenUsed/>
    <w:rsid w:val="005D4AB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4AB3"/>
    <w:rPr>
      <w:rFonts w:ascii="Segoe UI" w:hAnsi="Segoe UI" w:cs="Segoe UI"/>
      <w:sz w:val="18"/>
      <w:szCs w:val="18"/>
    </w:rPr>
  </w:style>
  <w:style w:type="paragraph" w:styleId="Revision">
    <w:name w:val="Revision"/>
    <w:hidden/>
    <w:uiPriority w:val="99"/>
    <w:semiHidden/>
    <w:rsid w:val="004D7CC2"/>
    <w:pPr>
      <w:spacing w:line="240" w:lineRule="auto"/>
      <w:jc w:val="left"/>
    </w:pPr>
  </w:style>
  <w:style w:type="paragraph" w:styleId="FootnoteText">
    <w:name w:val="footnote text"/>
    <w:basedOn w:val="Normal"/>
    <w:link w:val="FootnoteTextChar"/>
    <w:uiPriority w:val="99"/>
    <w:semiHidden/>
    <w:unhideWhenUsed/>
    <w:rsid w:val="00444739"/>
    <w:pPr>
      <w:spacing w:line="240" w:lineRule="auto"/>
    </w:pPr>
    <w:rPr>
      <w:sz w:val="20"/>
      <w:szCs w:val="20"/>
    </w:rPr>
  </w:style>
  <w:style w:type="character" w:customStyle="1" w:styleId="FootnoteTextChar">
    <w:name w:val="Footnote Text Char"/>
    <w:basedOn w:val="DefaultParagraphFont"/>
    <w:link w:val="FootnoteText"/>
    <w:uiPriority w:val="99"/>
    <w:semiHidden/>
    <w:rsid w:val="00444739"/>
    <w:rPr>
      <w:sz w:val="20"/>
      <w:szCs w:val="20"/>
    </w:rPr>
  </w:style>
  <w:style w:type="character" w:styleId="FootnoteReference">
    <w:name w:val="footnote reference"/>
    <w:basedOn w:val="DefaultParagraphFont"/>
    <w:uiPriority w:val="99"/>
    <w:semiHidden/>
    <w:unhideWhenUsed/>
    <w:rsid w:val="004447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B70AA-934D-41B8-863E-6BA79BF49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1375</Words>
  <Characters>7844</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Williams, Bobbie Jo</cp:lastModifiedBy>
  <cp:revision>2</cp:revision>
  <dcterms:created xsi:type="dcterms:W3CDTF">2021-08-20T17:13:00Z</dcterms:created>
  <dcterms:modified xsi:type="dcterms:W3CDTF">2021-08-20T17:13:00Z</dcterms:modified>
</cp:coreProperties>
</file>