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CFE71" w14:textId="77777777" w:rsidR="00B513F9" w:rsidRPr="00755937" w:rsidRDefault="00B513F9" w:rsidP="00B513F9">
      <w:pPr>
        <w:pStyle w:val="Heading1"/>
        <w:keepNext w:val="0"/>
        <w:tabs>
          <w:tab w:val="center" w:pos="4680"/>
        </w:tabs>
        <w:spacing w:line="240" w:lineRule="auto"/>
        <w:contextualSpacing/>
      </w:pPr>
      <w:r w:rsidRPr="00755937">
        <w:t>PENNSYLVANIA</w:t>
      </w:r>
    </w:p>
    <w:p w14:paraId="75A9FD21" w14:textId="77777777" w:rsidR="00B513F9" w:rsidRPr="00755937" w:rsidRDefault="00B513F9" w:rsidP="00B513F9">
      <w:pPr>
        <w:tabs>
          <w:tab w:val="center" w:pos="4680"/>
        </w:tabs>
        <w:suppressAutoHyphens/>
        <w:contextualSpacing/>
        <w:jc w:val="center"/>
        <w:rPr>
          <w:rFonts w:ascii="Times New Roman" w:hAnsi="Times New Roman"/>
          <w:b/>
          <w:sz w:val="26"/>
          <w:szCs w:val="26"/>
        </w:rPr>
      </w:pPr>
      <w:r w:rsidRPr="00755937">
        <w:rPr>
          <w:rFonts w:ascii="Times New Roman" w:hAnsi="Times New Roman"/>
          <w:b/>
          <w:sz w:val="26"/>
          <w:szCs w:val="26"/>
        </w:rPr>
        <w:t>PUBLIC UTILITY COMMISSION</w:t>
      </w:r>
    </w:p>
    <w:p w14:paraId="1560D127" w14:textId="77777777" w:rsidR="00B513F9" w:rsidRPr="00755937" w:rsidRDefault="00B513F9" w:rsidP="00B513F9">
      <w:pPr>
        <w:tabs>
          <w:tab w:val="center" w:pos="4680"/>
        </w:tabs>
        <w:suppressAutoHyphens/>
        <w:contextualSpacing/>
        <w:jc w:val="center"/>
        <w:rPr>
          <w:rFonts w:ascii="Times New Roman" w:hAnsi="Times New Roman"/>
          <w:b/>
          <w:sz w:val="26"/>
          <w:szCs w:val="26"/>
        </w:rPr>
      </w:pPr>
      <w:r w:rsidRPr="00755937">
        <w:rPr>
          <w:rFonts w:ascii="Times New Roman" w:hAnsi="Times New Roman"/>
          <w:b/>
          <w:sz w:val="26"/>
          <w:szCs w:val="26"/>
        </w:rPr>
        <w:t>Harrisburg, PA</w:t>
      </w:r>
      <w:r>
        <w:rPr>
          <w:rFonts w:ascii="Times New Roman" w:hAnsi="Times New Roman"/>
          <w:b/>
          <w:sz w:val="26"/>
          <w:szCs w:val="26"/>
        </w:rPr>
        <w:t xml:space="preserve">  </w:t>
      </w:r>
      <w:r w:rsidRPr="00755937">
        <w:rPr>
          <w:rFonts w:ascii="Times New Roman" w:hAnsi="Times New Roman"/>
          <w:b/>
          <w:sz w:val="26"/>
          <w:szCs w:val="26"/>
        </w:rPr>
        <w:t>17120</w:t>
      </w:r>
    </w:p>
    <w:p w14:paraId="3E4489E1" w14:textId="77777777" w:rsidR="00B513F9" w:rsidRPr="00755937" w:rsidRDefault="00B513F9" w:rsidP="008E0728">
      <w:pPr>
        <w:tabs>
          <w:tab w:val="right" w:pos="9360"/>
        </w:tabs>
        <w:suppressAutoHyphens/>
        <w:spacing w:after="0" w:line="240" w:lineRule="auto"/>
        <w:contextualSpacing/>
        <w:jc w:val="right"/>
        <w:rPr>
          <w:rFonts w:ascii="Times New Roman" w:hAnsi="Times New Roman"/>
          <w:sz w:val="26"/>
          <w:szCs w:val="26"/>
        </w:rPr>
      </w:pPr>
    </w:p>
    <w:p w14:paraId="0C4841EF" w14:textId="77777777" w:rsidR="004D52A9" w:rsidRDefault="004D52A9" w:rsidP="008E0728">
      <w:pPr>
        <w:tabs>
          <w:tab w:val="right" w:pos="9360"/>
        </w:tabs>
        <w:suppressAutoHyphens/>
        <w:spacing w:after="0" w:line="240" w:lineRule="auto"/>
        <w:contextualSpacing/>
        <w:jc w:val="right"/>
        <w:rPr>
          <w:rFonts w:ascii="Times New Roman" w:hAnsi="Times New Roman"/>
          <w:sz w:val="26"/>
          <w:szCs w:val="26"/>
        </w:rPr>
      </w:pPr>
    </w:p>
    <w:p w14:paraId="16073A48" w14:textId="182E4393" w:rsidR="00B513F9" w:rsidRPr="00755937" w:rsidRDefault="00B513F9" w:rsidP="008E0728">
      <w:pPr>
        <w:tabs>
          <w:tab w:val="right" w:pos="9360"/>
        </w:tabs>
        <w:suppressAutoHyphens/>
        <w:spacing w:after="0" w:line="240" w:lineRule="auto"/>
        <w:contextualSpacing/>
        <w:jc w:val="right"/>
        <w:rPr>
          <w:rFonts w:ascii="Times New Roman" w:hAnsi="Times New Roman"/>
          <w:sz w:val="26"/>
          <w:szCs w:val="26"/>
        </w:rPr>
      </w:pPr>
      <w:r w:rsidRPr="00755937">
        <w:rPr>
          <w:rFonts w:ascii="Times New Roman" w:hAnsi="Times New Roman"/>
          <w:sz w:val="26"/>
          <w:szCs w:val="26"/>
        </w:rPr>
        <w:t xml:space="preserve">Public Meeting held </w:t>
      </w:r>
      <w:r w:rsidR="00C73575">
        <w:rPr>
          <w:rFonts w:ascii="Times New Roman" w:hAnsi="Times New Roman"/>
          <w:sz w:val="26"/>
          <w:szCs w:val="26"/>
        </w:rPr>
        <w:t xml:space="preserve">August </w:t>
      </w:r>
      <w:r w:rsidR="005033CA">
        <w:rPr>
          <w:rFonts w:ascii="Times New Roman" w:hAnsi="Times New Roman"/>
          <w:sz w:val="26"/>
          <w:szCs w:val="26"/>
        </w:rPr>
        <w:t>26</w:t>
      </w:r>
      <w:r w:rsidRPr="00D27753">
        <w:rPr>
          <w:rFonts w:ascii="Times New Roman" w:hAnsi="Times New Roman"/>
          <w:sz w:val="26"/>
          <w:szCs w:val="26"/>
        </w:rPr>
        <w:t>, 2021</w:t>
      </w:r>
    </w:p>
    <w:p w14:paraId="2E538D76" w14:textId="778BE77C" w:rsidR="00B513F9" w:rsidRDefault="00B513F9" w:rsidP="008E0728">
      <w:pPr>
        <w:tabs>
          <w:tab w:val="left" w:pos="-720"/>
        </w:tabs>
        <w:suppressAutoHyphens/>
        <w:spacing w:after="0" w:line="240" w:lineRule="auto"/>
        <w:contextualSpacing/>
        <w:rPr>
          <w:rFonts w:ascii="Times New Roman" w:hAnsi="Times New Roman"/>
          <w:sz w:val="26"/>
          <w:szCs w:val="26"/>
        </w:rPr>
      </w:pPr>
    </w:p>
    <w:p w14:paraId="4D3C74EF" w14:textId="77777777" w:rsidR="008E0728" w:rsidRPr="00755937" w:rsidRDefault="008E0728" w:rsidP="008E0728">
      <w:pPr>
        <w:tabs>
          <w:tab w:val="left" w:pos="-720"/>
        </w:tabs>
        <w:suppressAutoHyphens/>
        <w:spacing w:after="0" w:line="240" w:lineRule="auto"/>
        <w:contextualSpacing/>
        <w:rPr>
          <w:rFonts w:ascii="Times New Roman" w:hAnsi="Times New Roman"/>
          <w:sz w:val="26"/>
          <w:szCs w:val="26"/>
        </w:rPr>
      </w:pPr>
    </w:p>
    <w:p w14:paraId="5666AF46" w14:textId="77777777" w:rsidR="00B513F9" w:rsidRPr="00755937" w:rsidRDefault="00B513F9" w:rsidP="008E0728">
      <w:pPr>
        <w:tabs>
          <w:tab w:val="left" w:pos="-720"/>
        </w:tabs>
        <w:suppressAutoHyphens/>
        <w:spacing w:after="0" w:line="240" w:lineRule="auto"/>
        <w:contextualSpacing/>
        <w:rPr>
          <w:rFonts w:ascii="Times New Roman" w:hAnsi="Times New Roman"/>
          <w:sz w:val="26"/>
          <w:szCs w:val="26"/>
        </w:rPr>
      </w:pPr>
      <w:r w:rsidRPr="00755937">
        <w:rPr>
          <w:rFonts w:ascii="Times New Roman" w:hAnsi="Times New Roman"/>
          <w:sz w:val="26"/>
          <w:szCs w:val="26"/>
        </w:rPr>
        <w:t>Commissioners Present:</w:t>
      </w:r>
    </w:p>
    <w:p w14:paraId="3C5EEE3E" w14:textId="77777777" w:rsidR="00B513F9" w:rsidRPr="00755937" w:rsidRDefault="00B513F9" w:rsidP="008E0728">
      <w:pPr>
        <w:tabs>
          <w:tab w:val="left" w:pos="-720"/>
        </w:tabs>
        <w:suppressAutoHyphens/>
        <w:spacing w:after="0" w:line="240" w:lineRule="auto"/>
        <w:contextualSpacing/>
        <w:rPr>
          <w:rFonts w:ascii="Times New Roman" w:hAnsi="Times New Roman"/>
          <w:sz w:val="26"/>
          <w:szCs w:val="26"/>
        </w:rPr>
      </w:pPr>
    </w:p>
    <w:p w14:paraId="20E683E3" w14:textId="77777777" w:rsidR="00B513F9" w:rsidRPr="00755937" w:rsidRDefault="00B513F9" w:rsidP="008E0728">
      <w:pPr>
        <w:tabs>
          <w:tab w:val="left" w:pos="705"/>
        </w:tabs>
        <w:spacing w:after="0" w:line="240" w:lineRule="auto"/>
        <w:ind w:firstLine="720"/>
        <w:contextualSpacing/>
        <w:rPr>
          <w:rFonts w:ascii="Times New Roman" w:hAnsi="Times New Roman"/>
          <w:sz w:val="26"/>
          <w:szCs w:val="26"/>
        </w:rPr>
      </w:pPr>
      <w:r w:rsidRPr="00755937">
        <w:rPr>
          <w:rFonts w:ascii="Times New Roman" w:hAnsi="Times New Roman"/>
          <w:sz w:val="26"/>
          <w:szCs w:val="26"/>
        </w:rPr>
        <w:t>Gladys</w:t>
      </w:r>
      <w:r>
        <w:rPr>
          <w:rFonts w:ascii="Times New Roman" w:hAnsi="Times New Roman"/>
          <w:sz w:val="26"/>
          <w:szCs w:val="26"/>
        </w:rPr>
        <w:t xml:space="preserve"> Brown</w:t>
      </w:r>
      <w:r w:rsidRPr="00755937">
        <w:rPr>
          <w:rFonts w:ascii="Times New Roman" w:hAnsi="Times New Roman"/>
          <w:sz w:val="26"/>
          <w:szCs w:val="26"/>
        </w:rPr>
        <w:t xml:space="preserve"> </w:t>
      </w:r>
      <w:proofErr w:type="spellStart"/>
      <w:r w:rsidRPr="00755937">
        <w:rPr>
          <w:rFonts w:ascii="Times New Roman" w:hAnsi="Times New Roman"/>
          <w:sz w:val="26"/>
          <w:szCs w:val="26"/>
        </w:rPr>
        <w:t>Dutrieuille</w:t>
      </w:r>
      <w:proofErr w:type="spellEnd"/>
      <w:r w:rsidRPr="00755937">
        <w:rPr>
          <w:rFonts w:ascii="Times New Roman" w:hAnsi="Times New Roman"/>
          <w:sz w:val="26"/>
          <w:szCs w:val="26"/>
        </w:rPr>
        <w:t>, Chairman</w:t>
      </w:r>
    </w:p>
    <w:p w14:paraId="465E5A41" w14:textId="77777777" w:rsidR="00B513F9" w:rsidRPr="00755937" w:rsidRDefault="00B513F9" w:rsidP="008E0728">
      <w:pPr>
        <w:tabs>
          <w:tab w:val="left" w:pos="705"/>
        </w:tabs>
        <w:spacing w:after="0" w:line="240" w:lineRule="auto"/>
        <w:ind w:firstLine="720"/>
        <w:contextualSpacing/>
        <w:rPr>
          <w:rFonts w:ascii="Times New Roman" w:hAnsi="Times New Roman"/>
          <w:sz w:val="26"/>
          <w:szCs w:val="26"/>
        </w:rPr>
      </w:pPr>
      <w:r w:rsidRPr="00755937">
        <w:rPr>
          <w:rFonts w:ascii="Times New Roman" w:hAnsi="Times New Roman"/>
          <w:sz w:val="26"/>
          <w:szCs w:val="26"/>
        </w:rPr>
        <w:t>David W. Sweet, Vice Chairman</w:t>
      </w:r>
    </w:p>
    <w:p w14:paraId="2CB951B2" w14:textId="77777777" w:rsidR="00B513F9" w:rsidRPr="00755937" w:rsidRDefault="00B513F9" w:rsidP="008E0728">
      <w:pPr>
        <w:tabs>
          <w:tab w:val="left" w:pos="705"/>
        </w:tabs>
        <w:spacing w:after="0" w:line="240" w:lineRule="auto"/>
        <w:ind w:firstLine="720"/>
        <w:contextualSpacing/>
        <w:rPr>
          <w:rFonts w:ascii="Times New Roman" w:hAnsi="Times New Roman"/>
          <w:sz w:val="26"/>
          <w:szCs w:val="26"/>
        </w:rPr>
      </w:pPr>
      <w:r w:rsidRPr="00755937">
        <w:rPr>
          <w:rFonts w:ascii="Times New Roman" w:hAnsi="Times New Roman"/>
          <w:sz w:val="26"/>
          <w:szCs w:val="26"/>
        </w:rPr>
        <w:t>John F. Coleman, Jr.</w:t>
      </w:r>
    </w:p>
    <w:p w14:paraId="5C7FEA96" w14:textId="77777777" w:rsidR="00B513F9" w:rsidRPr="00755937" w:rsidRDefault="00B513F9" w:rsidP="008E0728">
      <w:pPr>
        <w:tabs>
          <w:tab w:val="left" w:pos="705"/>
        </w:tabs>
        <w:spacing w:after="0" w:line="240" w:lineRule="auto"/>
        <w:ind w:firstLine="720"/>
        <w:contextualSpacing/>
        <w:rPr>
          <w:rFonts w:ascii="Times New Roman" w:hAnsi="Times New Roman"/>
          <w:sz w:val="26"/>
          <w:szCs w:val="26"/>
        </w:rPr>
      </w:pPr>
      <w:r w:rsidRPr="00755937">
        <w:rPr>
          <w:rFonts w:ascii="Times New Roman" w:hAnsi="Times New Roman"/>
          <w:sz w:val="26"/>
          <w:szCs w:val="26"/>
        </w:rPr>
        <w:t xml:space="preserve">Ralph V. </w:t>
      </w:r>
      <w:proofErr w:type="spellStart"/>
      <w:r w:rsidRPr="00755937">
        <w:rPr>
          <w:rFonts w:ascii="Times New Roman" w:hAnsi="Times New Roman"/>
          <w:sz w:val="26"/>
          <w:szCs w:val="26"/>
        </w:rPr>
        <w:t>Yanora</w:t>
      </w:r>
      <w:proofErr w:type="spellEnd"/>
    </w:p>
    <w:p w14:paraId="32575CED" w14:textId="77777777" w:rsidR="00B513F9" w:rsidRDefault="00B513F9" w:rsidP="008E0728">
      <w:pPr>
        <w:tabs>
          <w:tab w:val="left" w:pos="-720"/>
        </w:tabs>
        <w:suppressAutoHyphens/>
        <w:spacing w:after="0" w:line="240" w:lineRule="auto"/>
        <w:contextualSpacing/>
        <w:rPr>
          <w:rFonts w:ascii="Times New Roman" w:hAnsi="Times New Roman"/>
          <w:sz w:val="26"/>
          <w:szCs w:val="26"/>
        </w:rPr>
      </w:pPr>
    </w:p>
    <w:p w14:paraId="5C94C12B" w14:textId="77777777" w:rsidR="00B513F9" w:rsidRDefault="00B513F9" w:rsidP="008E0728">
      <w:pPr>
        <w:tabs>
          <w:tab w:val="left" w:pos="-720"/>
        </w:tabs>
        <w:suppressAutoHyphens/>
        <w:spacing w:after="0" w:line="240" w:lineRule="auto"/>
        <w:contextualSpacing/>
        <w:rPr>
          <w:rFonts w:ascii="Times New Roman" w:hAnsi="Times New Roman"/>
          <w:sz w:val="26"/>
          <w:szCs w:val="26"/>
        </w:rPr>
      </w:pPr>
    </w:p>
    <w:p w14:paraId="51C37CFD" w14:textId="77777777" w:rsidR="00B513F9" w:rsidRDefault="00B513F9" w:rsidP="008E0728">
      <w:pPr>
        <w:tabs>
          <w:tab w:val="left" w:pos="-720"/>
        </w:tabs>
        <w:suppressAutoHyphens/>
        <w:spacing w:after="0" w:line="240" w:lineRule="auto"/>
        <w:contextualSpacing/>
        <w:rPr>
          <w:rFonts w:ascii="Times New Roman" w:hAnsi="Times New Roman"/>
          <w:sz w:val="26"/>
          <w:szCs w:val="26"/>
        </w:rPr>
      </w:pPr>
    </w:p>
    <w:p w14:paraId="6D5A69B6" w14:textId="03D1539B" w:rsidR="00756819" w:rsidRPr="00756819" w:rsidRDefault="00756819" w:rsidP="00756819">
      <w:pPr>
        <w:tabs>
          <w:tab w:val="left" w:pos="-720"/>
        </w:tabs>
        <w:suppressAutoHyphens/>
        <w:spacing w:after="0" w:line="240" w:lineRule="auto"/>
        <w:rPr>
          <w:rFonts w:ascii="Times New Roman" w:hAnsi="Times New Roman"/>
          <w:spacing w:val="-3"/>
          <w:sz w:val="26"/>
          <w:szCs w:val="26"/>
        </w:rPr>
      </w:pPr>
      <w:bookmarkStart w:id="0" w:name="_Hlk44408962"/>
      <w:r w:rsidRPr="00756819">
        <w:rPr>
          <w:rFonts w:ascii="Times New Roman" w:hAnsi="Times New Roman"/>
          <w:spacing w:val="-3"/>
          <w:sz w:val="26"/>
          <w:szCs w:val="26"/>
        </w:rPr>
        <w:t xml:space="preserve">Interstate Gas Supply, Inc., </w:t>
      </w:r>
      <w:r w:rsidRPr="00756819">
        <w:rPr>
          <w:rFonts w:ascii="Times New Roman" w:hAnsi="Times New Roman"/>
          <w:i/>
          <w:iCs/>
          <w:spacing w:val="-3"/>
          <w:sz w:val="26"/>
          <w:szCs w:val="26"/>
        </w:rPr>
        <w:t>et al</w:t>
      </w:r>
      <w:r w:rsidRPr="00756819">
        <w:rPr>
          <w:rFonts w:ascii="Times New Roman" w:hAnsi="Times New Roman"/>
          <w:spacing w:val="-3"/>
          <w:sz w:val="26"/>
          <w:szCs w:val="26"/>
        </w:rPr>
        <w:t>.</w:t>
      </w:r>
      <w:r w:rsidRPr="00756819">
        <w:rPr>
          <w:rFonts w:ascii="Times New Roman" w:hAnsi="Times New Roman"/>
          <w:spacing w:val="-3"/>
          <w:sz w:val="26"/>
          <w:szCs w:val="26"/>
        </w:rPr>
        <w:tab/>
      </w:r>
      <w:r w:rsidRPr="00756819">
        <w:rPr>
          <w:rFonts w:ascii="Times New Roman" w:hAnsi="Times New Roman"/>
          <w:spacing w:val="-3"/>
          <w:sz w:val="26"/>
          <w:szCs w:val="26"/>
        </w:rPr>
        <w:tab/>
      </w:r>
      <w:r w:rsidRPr="00756819">
        <w:rPr>
          <w:rFonts w:ascii="Times New Roman" w:hAnsi="Times New Roman"/>
          <w:spacing w:val="-3"/>
          <w:sz w:val="26"/>
          <w:szCs w:val="26"/>
        </w:rPr>
        <w:tab/>
      </w:r>
    </w:p>
    <w:p w14:paraId="40964F39" w14:textId="10811F34" w:rsidR="00756819" w:rsidRPr="00756819" w:rsidRDefault="00756819" w:rsidP="00756819">
      <w:pPr>
        <w:tabs>
          <w:tab w:val="left" w:pos="-720"/>
        </w:tabs>
        <w:suppressAutoHyphens/>
        <w:spacing w:after="0" w:line="240" w:lineRule="auto"/>
        <w:rPr>
          <w:rFonts w:ascii="Times New Roman" w:hAnsi="Times New Roman"/>
          <w:spacing w:val="-3"/>
          <w:sz w:val="26"/>
          <w:szCs w:val="26"/>
        </w:rPr>
      </w:pPr>
      <w:r w:rsidRPr="00756819">
        <w:rPr>
          <w:rFonts w:ascii="Times New Roman" w:hAnsi="Times New Roman"/>
          <w:spacing w:val="-3"/>
          <w:sz w:val="26"/>
          <w:szCs w:val="26"/>
        </w:rPr>
        <w:tab/>
      </w:r>
      <w:r w:rsidRPr="00756819">
        <w:rPr>
          <w:rFonts w:ascii="Times New Roman" w:hAnsi="Times New Roman"/>
          <w:spacing w:val="-3"/>
          <w:sz w:val="26"/>
          <w:szCs w:val="26"/>
        </w:rPr>
        <w:tab/>
      </w:r>
      <w:r w:rsidRPr="00756819">
        <w:rPr>
          <w:rFonts w:ascii="Times New Roman" w:hAnsi="Times New Roman"/>
          <w:spacing w:val="-3"/>
          <w:sz w:val="26"/>
          <w:szCs w:val="26"/>
        </w:rPr>
        <w:tab/>
      </w:r>
      <w:r w:rsidRPr="00756819">
        <w:rPr>
          <w:rFonts w:ascii="Times New Roman" w:hAnsi="Times New Roman"/>
          <w:spacing w:val="-3"/>
          <w:sz w:val="26"/>
          <w:szCs w:val="26"/>
        </w:rPr>
        <w:tab/>
      </w:r>
      <w:r w:rsidRPr="00756819">
        <w:rPr>
          <w:rFonts w:ascii="Times New Roman" w:hAnsi="Times New Roman"/>
          <w:spacing w:val="-3"/>
          <w:sz w:val="26"/>
          <w:szCs w:val="26"/>
        </w:rPr>
        <w:tab/>
      </w:r>
      <w:r w:rsidRPr="00756819">
        <w:rPr>
          <w:rFonts w:ascii="Times New Roman" w:hAnsi="Times New Roman"/>
          <w:spacing w:val="-3"/>
          <w:sz w:val="26"/>
          <w:szCs w:val="26"/>
        </w:rPr>
        <w:tab/>
      </w:r>
      <w:r w:rsidRPr="00756819">
        <w:rPr>
          <w:rFonts w:ascii="Times New Roman" w:hAnsi="Times New Roman"/>
          <w:spacing w:val="-3"/>
          <w:sz w:val="26"/>
          <w:szCs w:val="26"/>
        </w:rPr>
        <w:tab/>
      </w:r>
    </w:p>
    <w:p w14:paraId="616A0AF5" w14:textId="4496C2B7" w:rsidR="00756819" w:rsidRPr="00756819" w:rsidRDefault="00756819" w:rsidP="00756819">
      <w:pPr>
        <w:tabs>
          <w:tab w:val="left" w:pos="-720"/>
        </w:tabs>
        <w:suppressAutoHyphens/>
        <w:spacing w:after="0" w:line="240" w:lineRule="auto"/>
        <w:rPr>
          <w:rFonts w:ascii="Times New Roman" w:hAnsi="Times New Roman"/>
          <w:spacing w:val="-3"/>
          <w:sz w:val="26"/>
          <w:szCs w:val="26"/>
        </w:rPr>
      </w:pPr>
      <w:r w:rsidRPr="00756819">
        <w:rPr>
          <w:rFonts w:ascii="Times New Roman" w:hAnsi="Times New Roman"/>
          <w:spacing w:val="-3"/>
          <w:sz w:val="26"/>
          <w:szCs w:val="26"/>
        </w:rPr>
        <w:tab/>
        <w:t>v.</w:t>
      </w:r>
      <w:r w:rsidRPr="00756819">
        <w:rPr>
          <w:rFonts w:ascii="Times New Roman" w:hAnsi="Times New Roman"/>
          <w:spacing w:val="-3"/>
          <w:sz w:val="26"/>
          <w:szCs w:val="26"/>
        </w:rPr>
        <w:tab/>
      </w:r>
      <w:r w:rsidRPr="00756819">
        <w:rPr>
          <w:rFonts w:ascii="Times New Roman" w:hAnsi="Times New Roman"/>
          <w:spacing w:val="-3"/>
          <w:sz w:val="26"/>
          <w:szCs w:val="26"/>
        </w:rPr>
        <w:tab/>
      </w:r>
      <w:r w:rsidRPr="00756819">
        <w:rPr>
          <w:rFonts w:ascii="Times New Roman" w:hAnsi="Times New Roman"/>
          <w:spacing w:val="-3"/>
          <w:sz w:val="26"/>
          <w:szCs w:val="26"/>
        </w:rPr>
        <w:tab/>
      </w:r>
      <w:r w:rsidRPr="00756819">
        <w:rPr>
          <w:rFonts w:ascii="Times New Roman" w:hAnsi="Times New Roman"/>
          <w:spacing w:val="-3"/>
          <w:sz w:val="26"/>
          <w:szCs w:val="26"/>
        </w:rPr>
        <w:tab/>
      </w:r>
      <w:r w:rsidRPr="00756819">
        <w:rPr>
          <w:rFonts w:ascii="Times New Roman" w:hAnsi="Times New Roman"/>
          <w:spacing w:val="-3"/>
          <w:sz w:val="26"/>
          <w:szCs w:val="26"/>
        </w:rPr>
        <w:tab/>
      </w:r>
      <w:r w:rsidRPr="00756819">
        <w:rPr>
          <w:rFonts w:ascii="Times New Roman" w:hAnsi="Times New Roman"/>
          <w:spacing w:val="-3"/>
          <w:sz w:val="26"/>
          <w:szCs w:val="26"/>
        </w:rPr>
        <w:tab/>
      </w:r>
    </w:p>
    <w:p w14:paraId="3C333D42" w14:textId="66B8C27E" w:rsidR="00756819" w:rsidRPr="00756819" w:rsidRDefault="00756819" w:rsidP="00756819">
      <w:pPr>
        <w:tabs>
          <w:tab w:val="left" w:pos="-720"/>
        </w:tabs>
        <w:suppressAutoHyphens/>
        <w:spacing w:after="0" w:line="240" w:lineRule="auto"/>
        <w:rPr>
          <w:rFonts w:ascii="Times New Roman" w:hAnsi="Times New Roman"/>
          <w:spacing w:val="-3"/>
          <w:sz w:val="26"/>
          <w:szCs w:val="26"/>
        </w:rPr>
      </w:pPr>
      <w:r w:rsidRPr="00756819">
        <w:rPr>
          <w:rFonts w:ascii="Times New Roman" w:hAnsi="Times New Roman"/>
          <w:spacing w:val="-3"/>
          <w:sz w:val="26"/>
          <w:szCs w:val="26"/>
        </w:rPr>
        <w:tab/>
      </w:r>
      <w:r w:rsidRPr="00756819">
        <w:rPr>
          <w:rFonts w:ascii="Times New Roman" w:hAnsi="Times New Roman"/>
          <w:spacing w:val="-3"/>
          <w:sz w:val="26"/>
          <w:szCs w:val="26"/>
        </w:rPr>
        <w:tab/>
      </w:r>
      <w:r w:rsidRPr="00756819">
        <w:rPr>
          <w:rFonts w:ascii="Times New Roman" w:hAnsi="Times New Roman"/>
          <w:spacing w:val="-3"/>
          <w:sz w:val="26"/>
          <w:szCs w:val="26"/>
        </w:rPr>
        <w:tab/>
      </w:r>
      <w:r w:rsidRPr="00756819">
        <w:rPr>
          <w:rFonts w:ascii="Times New Roman" w:hAnsi="Times New Roman"/>
          <w:spacing w:val="-3"/>
          <w:sz w:val="26"/>
          <w:szCs w:val="26"/>
        </w:rPr>
        <w:tab/>
      </w:r>
      <w:r w:rsidRPr="00756819">
        <w:rPr>
          <w:rFonts w:ascii="Times New Roman" w:hAnsi="Times New Roman"/>
          <w:spacing w:val="-3"/>
          <w:sz w:val="26"/>
          <w:szCs w:val="26"/>
        </w:rPr>
        <w:tab/>
      </w:r>
      <w:r w:rsidRPr="00756819">
        <w:rPr>
          <w:rFonts w:ascii="Times New Roman" w:hAnsi="Times New Roman"/>
          <w:spacing w:val="-3"/>
          <w:sz w:val="26"/>
          <w:szCs w:val="26"/>
        </w:rPr>
        <w:tab/>
      </w:r>
      <w:r w:rsidRPr="00756819">
        <w:rPr>
          <w:rFonts w:ascii="Times New Roman" w:hAnsi="Times New Roman"/>
          <w:spacing w:val="-3"/>
          <w:sz w:val="26"/>
          <w:szCs w:val="26"/>
        </w:rPr>
        <w:tab/>
      </w:r>
    </w:p>
    <w:p w14:paraId="14C1E82B" w14:textId="590A37B6" w:rsidR="00756819" w:rsidRPr="00756819" w:rsidRDefault="00756819" w:rsidP="00756819">
      <w:pPr>
        <w:tabs>
          <w:tab w:val="left" w:pos="-720"/>
        </w:tabs>
        <w:suppressAutoHyphens/>
        <w:spacing w:after="0" w:line="240" w:lineRule="auto"/>
        <w:rPr>
          <w:rFonts w:ascii="Times New Roman" w:hAnsi="Times New Roman"/>
          <w:spacing w:val="-3"/>
          <w:sz w:val="26"/>
          <w:szCs w:val="26"/>
        </w:rPr>
      </w:pPr>
      <w:r w:rsidRPr="00756819">
        <w:rPr>
          <w:rFonts w:ascii="Times New Roman" w:hAnsi="Times New Roman"/>
          <w:spacing w:val="-3"/>
          <w:sz w:val="26"/>
          <w:szCs w:val="26"/>
        </w:rPr>
        <w:t>Metropolitan Edison Company,</w:t>
      </w:r>
      <w:r w:rsidRPr="00756819">
        <w:rPr>
          <w:rFonts w:ascii="Times New Roman" w:hAnsi="Times New Roman"/>
          <w:spacing w:val="-3"/>
          <w:sz w:val="26"/>
          <w:szCs w:val="26"/>
        </w:rPr>
        <w:tab/>
      </w:r>
      <w:r w:rsidRPr="00756819">
        <w:rPr>
          <w:rFonts w:ascii="Times New Roman" w:hAnsi="Times New Roman"/>
          <w:spacing w:val="-3"/>
          <w:sz w:val="26"/>
          <w:szCs w:val="26"/>
        </w:rPr>
        <w:tab/>
      </w:r>
      <w:r w:rsidRPr="00756819">
        <w:rPr>
          <w:rFonts w:ascii="Times New Roman" w:hAnsi="Times New Roman"/>
          <w:spacing w:val="-3"/>
          <w:sz w:val="26"/>
          <w:szCs w:val="26"/>
        </w:rPr>
        <w:tab/>
      </w:r>
      <w:r w:rsidR="000D6157" w:rsidRPr="000D6157">
        <w:rPr>
          <w:rFonts w:ascii="Times New Roman" w:hAnsi="Times New Roman"/>
          <w:spacing w:val="-3"/>
          <w:sz w:val="26"/>
          <w:szCs w:val="26"/>
        </w:rPr>
        <w:t xml:space="preserve"> </w:t>
      </w:r>
      <w:r w:rsidR="000D6157" w:rsidRPr="00756819">
        <w:rPr>
          <w:rFonts w:ascii="Times New Roman" w:hAnsi="Times New Roman"/>
          <w:spacing w:val="-3"/>
          <w:sz w:val="26"/>
          <w:szCs w:val="26"/>
        </w:rPr>
        <w:tab/>
      </w:r>
      <w:r w:rsidR="000D6157">
        <w:rPr>
          <w:rFonts w:ascii="Times New Roman" w:hAnsi="Times New Roman"/>
          <w:spacing w:val="-3"/>
          <w:sz w:val="26"/>
          <w:szCs w:val="26"/>
        </w:rPr>
        <w:tab/>
      </w:r>
      <w:r w:rsidR="000D6157" w:rsidRPr="00756819">
        <w:rPr>
          <w:rFonts w:ascii="Times New Roman" w:hAnsi="Times New Roman"/>
          <w:spacing w:val="-3"/>
          <w:sz w:val="26"/>
          <w:szCs w:val="26"/>
        </w:rPr>
        <w:tab/>
      </w:r>
      <w:bookmarkStart w:id="1" w:name="_Hlk77586094"/>
      <w:r w:rsidR="000D6157" w:rsidRPr="00756819">
        <w:rPr>
          <w:rFonts w:ascii="Times New Roman" w:hAnsi="Times New Roman"/>
          <w:spacing w:val="-3"/>
          <w:sz w:val="26"/>
          <w:szCs w:val="26"/>
        </w:rPr>
        <w:t>C-2019-3013805</w:t>
      </w:r>
      <w:bookmarkEnd w:id="1"/>
    </w:p>
    <w:p w14:paraId="6DF46F44" w14:textId="78081615" w:rsidR="00756819" w:rsidRPr="00756819" w:rsidRDefault="00756819" w:rsidP="00756819">
      <w:pPr>
        <w:tabs>
          <w:tab w:val="left" w:pos="-720"/>
        </w:tabs>
        <w:suppressAutoHyphens/>
        <w:spacing w:after="0" w:line="240" w:lineRule="auto"/>
        <w:rPr>
          <w:rFonts w:ascii="Times New Roman" w:hAnsi="Times New Roman"/>
          <w:spacing w:val="-3"/>
          <w:sz w:val="26"/>
          <w:szCs w:val="26"/>
        </w:rPr>
      </w:pPr>
      <w:r w:rsidRPr="00756819">
        <w:rPr>
          <w:rFonts w:ascii="Times New Roman" w:hAnsi="Times New Roman"/>
          <w:spacing w:val="-3"/>
          <w:sz w:val="26"/>
          <w:szCs w:val="26"/>
        </w:rPr>
        <w:t>Pennsylvania Electric Company,</w:t>
      </w:r>
      <w:r w:rsidRPr="00756819">
        <w:rPr>
          <w:rFonts w:ascii="Times New Roman" w:hAnsi="Times New Roman"/>
          <w:spacing w:val="-3"/>
          <w:sz w:val="26"/>
          <w:szCs w:val="26"/>
        </w:rPr>
        <w:tab/>
      </w:r>
      <w:r w:rsidRPr="00756819">
        <w:rPr>
          <w:rFonts w:ascii="Times New Roman" w:hAnsi="Times New Roman"/>
          <w:spacing w:val="-3"/>
          <w:sz w:val="26"/>
          <w:szCs w:val="26"/>
        </w:rPr>
        <w:tab/>
      </w:r>
      <w:r w:rsidRPr="00756819">
        <w:rPr>
          <w:rFonts w:ascii="Times New Roman" w:hAnsi="Times New Roman"/>
          <w:spacing w:val="-3"/>
          <w:sz w:val="26"/>
          <w:szCs w:val="26"/>
        </w:rPr>
        <w:tab/>
      </w:r>
      <w:r w:rsidR="000D6157" w:rsidRPr="000D6157">
        <w:rPr>
          <w:rFonts w:ascii="Times New Roman" w:hAnsi="Times New Roman"/>
          <w:spacing w:val="-3"/>
          <w:sz w:val="26"/>
          <w:szCs w:val="26"/>
        </w:rPr>
        <w:t xml:space="preserve"> </w:t>
      </w:r>
      <w:r w:rsidR="000D6157" w:rsidRPr="00756819">
        <w:rPr>
          <w:rFonts w:ascii="Times New Roman" w:hAnsi="Times New Roman"/>
          <w:spacing w:val="-3"/>
          <w:sz w:val="26"/>
          <w:szCs w:val="26"/>
        </w:rPr>
        <w:tab/>
      </w:r>
      <w:r w:rsidR="000D6157">
        <w:rPr>
          <w:rFonts w:ascii="Times New Roman" w:hAnsi="Times New Roman"/>
          <w:spacing w:val="-3"/>
          <w:sz w:val="26"/>
          <w:szCs w:val="26"/>
        </w:rPr>
        <w:tab/>
      </w:r>
      <w:r w:rsidR="000D6157" w:rsidRPr="00756819">
        <w:rPr>
          <w:rFonts w:ascii="Times New Roman" w:hAnsi="Times New Roman"/>
          <w:spacing w:val="-3"/>
          <w:sz w:val="26"/>
          <w:szCs w:val="26"/>
        </w:rPr>
        <w:tab/>
        <w:t>C-2019-3013806</w:t>
      </w:r>
    </w:p>
    <w:p w14:paraId="555D8601" w14:textId="69442314" w:rsidR="00756819" w:rsidRPr="00756819" w:rsidRDefault="00756819" w:rsidP="00756819">
      <w:pPr>
        <w:tabs>
          <w:tab w:val="left" w:pos="-720"/>
        </w:tabs>
        <w:suppressAutoHyphens/>
        <w:spacing w:after="0" w:line="240" w:lineRule="auto"/>
        <w:rPr>
          <w:rFonts w:ascii="Times New Roman" w:hAnsi="Times New Roman"/>
          <w:spacing w:val="-3"/>
          <w:sz w:val="26"/>
          <w:szCs w:val="26"/>
        </w:rPr>
      </w:pPr>
      <w:r w:rsidRPr="00756819">
        <w:rPr>
          <w:rFonts w:ascii="Times New Roman" w:hAnsi="Times New Roman"/>
          <w:spacing w:val="-3"/>
          <w:sz w:val="26"/>
          <w:szCs w:val="26"/>
        </w:rPr>
        <w:t xml:space="preserve">Pennsylvania Power Company and </w:t>
      </w:r>
      <w:r w:rsidRPr="00756819">
        <w:rPr>
          <w:rFonts w:ascii="Times New Roman" w:hAnsi="Times New Roman"/>
          <w:spacing w:val="-3"/>
          <w:sz w:val="26"/>
          <w:szCs w:val="26"/>
        </w:rPr>
        <w:tab/>
      </w:r>
      <w:r w:rsidRPr="00756819">
        <w:rPr>
          <w:rFonts w:ascii="Times New Roman" w:hAnsi="Times New Roman"/>
          <w:spacing w:val="-3"/>
          <w:sz w:val="26"/>
          <w:szCs w:val="26"/>
        </w:rPr>
        <w:tab/>
      </w:r>
      <w:r w:rsidR="000D6157" w:rsidRPr="000D6157">
        <w:rPr>
          <w:rFonts w:ascii="Times New Roman" w:hAnsi="Times New Roman"/>
          <w:spacing w:val="-3"/>
          <w:sz w:val="26"/>
          <w:szCs w:val="26"/>
        </w:rPr>
        <w:t xml:space="preserve"> </w:t>
      </w:r>
      <w:r w:rsidR="000D6157" w:rsidRPr="00756819">
        <w:rPr>
          <w:rFonts w:ascii="Times New Roman" w:hAnsi="Times New Roman"/>
          <w:spacing w:val="-3"/>
          <w:sz w:val="26"/>
          <w:szCs w:val="26"/>
        </w:rPr>
        <w:tab/>
      </w:r>
      <w:r w:rsidR="000D6157">
        <w:rPr>
          <w:rFonts w:ascii="Times New Roman" w:hAnsi="Times New Roman"/>
          <w:spacing w:val="-3"/>
          <w:sz w:val="26"/>
          <w:szCs w:val="26"/>
        </w:rPr>
        <w:tab/>
      </w:r>
      <w:r w:rsidR="000D6157" w:rsidRPr="00756819">
        <w:rPr>
          <w:rFonts w:ascii="Times New Roman" w:hAnsi="Times New Roman"/>
          <w:spacing w:val="-3"/>
          <w:sz w:val="26"/>
          <w:szCs w:val="26"/>
        </w:rPr>
        <w:tab/>
        <w:t>C-2019-3013807</w:t>
      </w:r>
    </w:p>
    <w:p w14:paraId="7FEAA967" w14:textId="7602B56A" w:rsidR="00756819" w:rsidRPr="00756819" w:rsidRDefault="00756819" w:rsidP="00756819">
      <w:pPr>
        <w:tabs>
          <w:tab w:val="left" w:pos="-720"/>
        </w:tabs>
        <w:suppressAutoHyphens/>
        <w:spacing w:after="0" w:line="240" w:lineRule="auto"/>
        <w:rPr>
          <w:rFonts w:ascii="Times New Roman" w:hAnsi="Times New Roman"/>
          <w:spacing w:val="-3"/>
          <w:sz w:val="26"/>
          <w:szCs w:val="26"/>
        </w:rPr>
      </w:pPr>
      <w:r w:rsidRPr="00756819">
        <w:rPr>
          <w:rFonts w:ascii="Times New Roman" w:hAnsi="Times New Roman"/>
          <w:spacing w:val="-3"/>
          <w:sz w:val="26"/>
          <w:szCs w:val="26"/>
        </w:rPr>
        <w:t>West Penn Power Company</w:t>
      </w:r>
      <w:r w:rsidRPr="00756819">
        <w:rPr>
          <w:rFonts w:ascii="Times New Roman" w:hAnsi="Times New Roman"/>
          <w:spacing w:val="-3"/>
          <w:sz w:val="26"/>
          <w:szCs w:val="26"/>
        </w:rPr>
        <w:tab/>
      </w:r>
      <w:r w:rsidRPr="00756819">
        <w:rPr>
          <w:rFonts w:ascii="Times New Roman" w:hAnsi="Times New Roman"/>
          <w:spacing w:val="-3"/>
          <w:sz w:val="26"/>
          <w:szCs w:val="26"/>
        </w:rPr>
        <w:tab/>
      </w:r>
      <w:r w:rsidRPr="00756819">
        <w:rPr>
          <w:rFonts w:ascii="Times New Roman" w:hAnsi="Times New Roman"/>
          <w:spacing w:val="-3"/>
          <w:sz w:val="26"/>
          <w:szCs w:val="26"/>
        </w:rPr>
        <w:tab/>
      </w:r>
      <w:r w:rsidRPr="00756819">
        <w:rPr>
          <w:rFonts w:ascii="Times New Roman" w:hAnsi="Times New Roman"/>
          <w:spacing w:val="-3"/>
          <w:sz w:val="26"/>
          <w:szCs w:val="26"/>
        </w:rPr>
        <w:tab/>
      </w:r>
      <w:bookmarkEnd w:id="0"/>
      <w:r w:rsidR="000D6157">
        <w:rPr>
          <w:rFonts w:ascii="Times New Roman" w:hAnsi="Times New Roman"/>
          <w:spacing w:val="-3"/>
          <w:sz w:val="26"/>
          <w:szCs w:val="26"/>
        </w:rPr>
        <w:tab/>
      </w:r>
      <w:r w:rsidR="000D6157">
        <w:rPr>
          <w:rFonts w:ascii="Times New Roman" w:hAnsi="Times New Roman"/>
          <w:spacing w:val="-3"/>
          <w:sz w:val="26"/>
          <w:szCs w:val="26"/>
        </w:rPr>
        <w:tab/>
      </w:r>
      <w:r w:rsidR="000D6157">
        <w:rPr>
          <w:rFonts w:ascii="Times New Roman" w:hAnsi="Times New Roman"/>
          <w:spacing w:val="-3"/>
          <w:sz w:val="26"/>
          <w:szCs w:val="26"/>
        </w:rPr>
        <w:tab/>
      </w:r>
      <w:r w:rsidR="000D6157" w:rsidRPr="00756819">
        <w:rPr>
          <w:rFonts w:ascii="Times New Roman" w:hAnsi="Times New Roman"/>
          <w:spacing w:val="-3"/>
          <w:sz w:val="26"/>
          <w:szCs w:val="26"/>
        </w:rPr>
        <w:t>C-2019-3013808</w:t>
      </w:r>
    </w:p>
    <w:p w14:paraId="418A4D77" w14:textId="77777777" w:rsidR="00B513F9" w:rsidRPr="00755937" w:rsidRDefault="00B513F9" w:rsidP="00B513F9">
      <w:pPr>
        <w:tabs>
          <w:tab w:val="left" w:pos="-720"/>
        </w:tabs>
        <w:suppressAutoHyphens/>
        <w:contextualSpacing/>
        <w:rPr>
          <w:rFonts w:ascii="Times New Roman" w:hAnsi="Times New Roman"/>
          <w:sz w:val="26"/>
          <w:szCs w:val="26"/>
        </w:rPr>
      </w:pPr>
    </w:p>
    <w:p w14:paraId="71CA9423" w14:textId="77777777" w:rsidR="00B513F9" w:rsidRDefault="00B513F9" w:rsidP="00B513F9">
      <w:pPr>
        <w:tabs>
          <w:tab w:val="center" w:pos="4680"/>
        </w:tabs>
        <w:suppressAutoHyphens/>
        <w:contextualSpacing/>
        <w:jc w:val="center"/>
        <w:rPr>
          <w:rFonts w:ascii="Times New Roman" w:hAnsi="Times New Roman"/>
          <w:b/>
          <w:sz w:val="26"/>
          <w:szCs w:val="26"/>
        </w:rPr>
      </w:pPr>
    </w:p>
    <w:p w14:paraId="03A1EE9E" w14:textId="77777777" w:rsidR="00B513F9" w:rsidRPr="00755937" w:rsidRDefault="00B513F9" w:rsidP="00B513F9">
      <w:pPr>
        <w:tabs>
          <w:tab w:val="center" w:pos="4680"/>
        </w:tabs>
        <w:suppressAutoHyphens/>
        <w:contextualSpacing/>
        <w:jc w:val="center"/>
        <w:rPr>
          <w:rFonts w:ascii="Times New Roman" w:hAnsi="Times New Roman"/>
          <w:b/>
          <w:sz w:val="26"/>
          <w:szCs w:val="26"/>
        </w:rPr>
      </w:pPr>
    </w:p>
    <w:p w14:paraId="764BC616" w14:textId="77777777" w:rsidR="00B513F9" w:rsidRPr="00755937" w:rsidRDefault="00B513F9" w:rsidP="00B513F9">
      <w:pPr>
        <w:keepNext/>
        <w:keepLines/>
        <w:tabs>
          <w:tab w:val="center" w:pos="4680"/>
        </w:tabs>
        <w:suppressAutoHyphens/>
        <w:contextualSpacing/>
        <w:jc w:val="center"/>
        <w:rPr>
          <w:rFonts w:ascii="Times New Roman" w:hAnsi="Times New Roman"/>
          <w:b/>
          <w:sz w:val="26"/>
          <w:szCs w:val="26"/>
        </w:rPr>
      </w:pPr>
      <w:r w:rsidRPr="00755937">
        <w:rPr>
          <w:rFonts w:ascii="Times New Roman" w:hAnsi="Times New Roman"/>
          <w:b/>
          <w:sz w:val="26"/>
          <w:szCs w:val="26"/>
        </w:rPr>
        <w:t>OPINION AND ORDER</w:t>
      </w:r>
    </w:p>
    <w:p w14:paraId="53FB3E04" w14:textId="77777777" w:rsidR="00B513F9" w:rsidRPr="00755937" w:rsidRDefault="00B513F9" w:rsidP="00B513F9">
      <w:pPr>
        <w:keepNext/>
        <w:keepLines/>
        <w:tabs>
          <w:tab w:val="left" w:pos="-720"/>
        </w:tabs>
        <w:suppressAutoHyphens/>
        <w:spacing w:after="120"/>
        <w:contextualSpacing/>
        <w:rPr>
          <w:rFonts w:ascii="Times New Roman" w:hAnsi="Times New Roman"/>
          <w:b/>
          <w:sz w:val="26"/>
          <w:szCs w:val="26"/>
        </w:rPr>
      </w:pPr>
    </w:p>
    <w:p w14:paraId="6886FB63" w14:textId="63750582" w:rsidR="00B513F9" w:rsidRDefault="00B513F9" w:rsidP="00B513F9">
      <w:pPr>
        <w:keepNext/>
        <w:keepLines/>
        <w:tabs>
          <w:tab w:val="left" w:pos="-720"/>
        </w:tabs>
        <w:suppressAutoHyphens/>
        <w:spacing w:after="120"/>
        <w:contextualSpacing/>
        <w:rPr>
          <w:rFonts w:ascii="Times New Roman" w:hAnsi="Times New Roman"/>
          <w:b/>
          <w:sz w:val="26"/>
          <w:szCs w:val="26"/>
        </w:rPr>
      </w:pPr>
      <w:r w:rsidRPr="00755937">
        <w:rPr>
          <w:rFonts w:ascii="Times New Roman" w:hAnsi="Times New Roman"/>
          <w:b/>
          <w:sz w:val="26"/>
          <w:szCs w:val="26"/>
        </w:rPr>
        <w:t>BY THE COMMISSION:</w:t>
      </w:r>
    </w:p>
    <w:p w14:paraId="1B61483C" w14:textId="7E1CF0DF" w:rsidR="004B0804" w:rsidRDefault="004B0804" w:rsidP="00B513F9">
      <w:pPr>
        <w:keepNext/>
        <w:keepLines/>
        <w:tabs>
          <w:tab w:val="left" w:pos="-720"/>
        </w:tabs>
        <w:suppressAutoHyphens/>
        <w:spacing w:after="120"/>
        <w:contextualSpacing/>
        <w:rPr>
          <w:rFonts w:ascii="Times New Roman" w:hAnsi="Times New Roman"/>
          <w:b/>
          <w:sz w:val="26"/>
          <w:szCs w:val="26"/>
        </w:rPr>
      </w:pPr>
    </w:p>
    <w:p w14:paraId="554A9042" w14:textId="77777777" w:rsidR="00B513F9" w:rsidRPr="00F054D1" w:rsidRDefault="00B513F9" w:rsidP="004B0804">
      <w:pPr>
        <w:pStyle w:val="Heading1"/>
        <w:ind w:left="0" w:firstLine="0"/>
        <w:jc w:val="left"/>
      </w:pPr>
    </w:p>
    <w:p w14:paraId="42ADB34E" w14:textId="3820883F" w:rsidR="000D1461" w:rsidRPr="00F90CBF" w:rsidRDefault="00C72B7A" w:rsidP="00634DF9">
      <w:pPr>
        <w:spacing w:after="0" w:line="360" w:lineRule="auto"/>
        <w:ind w:firstLine="1440"/>
        <w:rPr>
          <w:rFonts w:ascii="Times New Roman" w:hAnsi="Times New Roman" w:cs="Times New Roman"/>
          <w:sz w:val="26"/>
          <w:szCs w:val="26"/>
        </w:rPr>
      </w:pPr>
      <w:r w:rsidRPr="00C72B7A">
        <w:rPr>
          <w:rFonts w:ascii="Times New Roman" w:hAnsi="Times New Roman" w:cs="Times New Roman"/>
          <w:sz w:val="26"/>
          <w:szCs w:val="26"/>
        </w:rPr>
        <w:t xml:space="preserve">Before the Pennsylvania Public Utility Commission (Commission) for consideration and disposition are the </w:t>
      </w:r>
      <w:r w:rsidR="00DD038F">
        <w:rPr>
          <w:rFonts w:ascii="Times New Roman" w:hAnsi="Times New Roman" w:cs="Times New Roman"/>
          <w:sz w:val="26"/>
          <w:szCs w:val="26"/>
        </w:rPr>
        <w:t xml:space="preserve">joint </w:t>
      </w:r>
      <w:r w:rsidRPr="006D0619">
        <w:rPr>
          <w:rFonts w:ascii="Times New Roman" w:hAnsi="Times New Roman" w:cs="Times New Roman"/>
          <w:sz w:val="26"/>
          <w:szCs w:val="26"/>
        </w:rPr>
        <w:t xml:space="preserve">Exceptions of </w:t>
      </w:r>
      <w:r w:rsidR="006D0619" w:rsidRPr="006D0619">
        <w:rPr>
          <w:rFonts w:ascii="Times New Roman" w:hAnsi="Times New Roman" w:cs="Times New Roman"/>
          <w:sz w:val="26"/>
          <w:szCs w:val="26"/>
        </w:rPr>
        <w:t>four electric</w:t>
      </w:r>
      <w:r w:rsidR="006D0619" w:rsidRPr="00702E37">
        <w:rPr>
          <w:rFonts w:ascii="Times New Roman" w:hAnsi="Times New Roman" w:cs="Times New Roman"/>
          <w:sz w:val="26"/>
          <w:szCs w:val="26"/>
        </w:rPr>
        <w:t xml:space="preserve"> distribution companies</w:t>
      </w:r>
      <w:r w:rsidR="00E9022F">
        <w:rPr>
          <w:rFonts w:ascii="Times New Roman" w:hAnsi="Times New Roman" w:cs="Times New Roman"/>
          <w:sz w:val="26"/>
          <w:szCs w:val="26"/>
        </w:rPr>
        <w:t>:</w:t>
      </w:r>
      <w:r w:rsidR="006D0619" w:rsidRPr="00702E37">
        <w:rPr>
          <w:rFonts w:ascii="Times New Roman" w:hAnsi="Times New Roman" w:cs="Times New Roman"/>
          <w:sz w:val="26"/>
          <w:szCs w:val="26"/>
        </w:rPr>
        <w:t xml:space="preserve"> </w:t>
      </w:r>
      <w:r w:rsidR="00C45C95">
        <w:rPr>
          <w:rFonts w:ascii="Times New Roman" w:hAnsi="Times New Roman" w:cs="Times New Roman"/>
          <w:sz w:val="26"/>
          <w:szCs w:val="26"/>
        </w:rPr>
        <w:t xml:space="preserve"> </w:t>
      </w:r>
      <w:r w:rsidR="00E9022F">
        <w:rPr>
          <w:rFonts w:ascii="Times New Roman" w:hAnsi="Times New Roman" w:cs="Times New Roman"/>
          <w:sz w:val="26"/>
          <w:szCs w:val="26"/>
        </w:rPr>
        <w:t>(1)</w:t>
      </w:r>
      <w:r w:rsidR="006D0619" w:rsidRPr="00702E37">
        <w:rPr>
          <w:rFonts w:ascii="Times New Roman" w:eastAsia="Times New Roman" w:hAnsi="Times New Roman" w:cs="Times New Roman"/>
          <w:color w:val="000000"/>
          <w:sz w:val="26"/>
          <w:szCs w:val="26"/>
        </w:rPr>
        <w:t>Metropolitan Edison Company</w:t>
      </w:r>
      <w:r w:rsidR="00E9022F">
        <w:rPr>
          <w:rFonts w:ascii="Times New Roman" w:eastAsia="Times New Roman" w:hAnsi="Times New Roman" w:cs="Times New Roman"/>
          <w:color w:val="000000"/>
          <w:sz w:val="26"/>
          <w:szCs w:val="26"/>
        </w:rPr>
        <w:t xml:space="preserve">; (2) </w:t>
      </w:r>
      <w:r w:rsidR="006D0619" w:rsidRPr="00702E37">
        <w:rPr>
          <w:rFonts w:ascii="Times New Roman" w:eastAsia="Times New Roman" w:hAnsi="Times New Roman" w:cs="Times New Roman"/>
          <w:color w:val="000000"/>
          <w:sz w:val="26"/>
          <w:szCs w:val="26"/>
        </w:rPr>
        <w:t>Pennsylvania Electric Company</w:t>
      </w:r>
      <w:r w:rsidR="00E9022F">
        <w:rPr>
          <w:rFonts w:ascii="Times New Roman" w:eastAsia="Times New Roman" w:hAnsi="Times New Roman" w:cs="Times New Roman"/>
          <w:color w:val="000000"/>
          <w:sz w:val="26"/>
          <w:szCs w:val="26"/>
        </w:rPr>
        <w:t>;</w:t>
      </w:r>
      <w:r w:rsidR="00CB06ED">
        <w:rPr>
          <w:rFonts w:ascii="Times New Roman" w:eastAsia="Times New Roman" w:hAnsi="Times New Roman" w:cs="Times New Roman"/>
          <w:color w:val="000000"/>
          <w:sz w:val="26"/>
          <w:szCs w:val="26"/>
        </w:rPr>
        <w:t xml:space="preserve"> </w:t>
      </w:r>
      <w:r w:rsidR="00E9022F">
        <w:rPr>
          <w:rFonts w:ascii="Times New Roman" w:eastAsia="Times New Roman" w:hAnsi="Times New Roman" w:cs="Times New Roman"/>
          <w:color w:val="000000"/>
          <w:sz w:val="26"/>
          <w:szCs w:val="26"/>
        </w:rPr>
        <w:t>(3)</w:t>
      </w:r>
      <w:r w:rsidR="00CB06ED">
        <w:rPr>
          <w:rFonts w:ascii="Times New Roman" w:eastAsia="Times New Roman" w:hAnsi="Times New Roman" w:cs="Times New Roman"/>
          <w:color w:val="000000"/>
          <w:sz w:val="26"/>
          <w:szCs w:val="26"/>
        </w:rPr>
        <w:t> </w:t>
      </w:r>
      <w:r w:rsidR="006D0619" w:rsidRPr="00702E37">
        <w:rPr>
          <w:rFonts w:ascii="Times New Roman" w:eastAsia="Times New Roman" w:hAnsi="Times New Roman" w:cs="Times New Roman"/>
          <w:color w:val="000000"/>
          <w:sz w:val="26"/>
          <w:szCs w:val="26"/>
        </w:rPr>
        <w:t>Pennsylvania Power Company</w:t>
      </w:r>
      <w:r w:rsidR="00E9022F">
        <w:rPr>
          <w:rFonts w:ascii="Times New Roman" w:eastAsia="Times New Roman" w:hAnsi="Times New Roman" w:cs="Times New Roman"/>
          <w:color w:val="000000"/>
          <w:sz w:val="26"/>
          <w:szCs w:val="26"/>
        </w:rPr>
        <w:t>;</w:t>
      </w:r>
      <w:r w:rsidR="006D0619" w:rsidRPr="00702E37">
        <w:rPr>
          <w:rFonts w:ascii="Times New Roman" w:eastAsia="Times New Roman" w:hAnsi="Times New Roman" w:cs="Times New Roman"/>
          <w:color w:val="000000"/>
          <w:sz w:val="26"/>
          <w:szCs w:val="26"/>
        </w:rPr>
        <w:t xml:space="preserve"> and</w:t>
      </w:r>
      <w:r w:rsidR="00E9022F">
        <w:rPr>
          <w:rFonts w:ascii="Times New Roman" w:eastAsia="Times New Roman" w:hAnsi="Times New Roman" w:cs="Times New Roman"/>
          <w:color w:val="000000"/>
          <w:sz w:val="26"/>
          <w:szCs w:val="26"/>
        </w:rPr>
        <w:t>,</w:t>
      </w:r>
      <w:r w:rsidR="006D0619" w:rsidRPr="00702E37">
        <w:rPr>
          <w:rFonts w:ascii="Times New Roman" w:eastAsia="Times New Roman" w:hAnsi="Times New Roman" w:cs="Times New Roman"/>
          <w:color w:val="000000"/>
          <w:sz w:val="26"/>
          <w:szCs w:val="26"/>
        </w:rPr>
        <w:t xml:space="preserve"> </w:t>
      </w:r>
      <w:r w:rsidR="00E9022F">
        <w:rPr>
          <w:rFonts w:ascii="Times New Roman" w:eastAsia="Times New Roman" w:hAnsi="Times New Roman" w:cs="Times New Roman"/>
          <w:color w:val="000000"/>
          <w:sz w:val="26"/>
          <w:szCs w:val="26"/>
        </w:rPr>
        <w:t xml:space="preserve">(4) </w:t>
      </w:r>
      <w:r w:rsidR="006D0619" w:rsidRPr="00702E37">
        <w:rPr>
          <w:rFonts w:ascii="Times New Roman" w:eastAsia="Times New Roman" w:hAnsi="Times New Roman" w:cs="Times New Roman"/>
          <w:color w:val="000000"/>
          <w:sz w:val="26"/>
          <w:szCs w:val="26"/>
        </w:rPr>
        <w:t>West Penn Power Company</w:t>
      </w:r>
      <w:r w:rsidR="006D0619" w:rsidRPr="00702E37">
        <w:rPr>
          <w:rFonts w:ascii="Times New Roman" w:hAnsi="Times New Roman" w:cs="Times New Roman"/>
          <w:sz w:val="26"/>
          <w:szCs w:val="26"/>
        </w:rPr>
        <w:t xml:space="preserve"> </w:t>
      </w:r>
      <w:r w:rsidR="006D0619">
        <w:rPr>
          <w:rFonts w:ascii="Times New Roman" w:hAnsi="Times New Roman" w:cs="Times New Roman"/>
          <w:sz w:val="26"/>
          <w:szCs w:val="26"/>
        </w:rPr>
        <w:t>(</w:t>
      </w:r>
      <w:r w:rsidR="006D0619" w:rsidRPr="00702E37">
        <w:rPr>
          <w:rFonts w:ascii="Times New Roman" w:hAnsi="Times New Roman" w:cs="Times New Roman"/>
          <w:sz w:val="26"/>
          <w:szCs w:val="26"/>
        </w:rPr>
        <w:t xml:space="preserve">collectively, </w:t>
      </w:r>
      <w:r w:rsidR="006D0619">
        <w:rPr>
          <w:rFonts w:ascii="Times New Roman" w:hAnsi="Times New Roman" w:cs="Times New Roman"/>
          <w:sz w:val="26"/>
          <w:szCs w:val="26"/>
        </w:rPr>
        <w:t xml:space="preserve">“the </w:t>
      </w:r>
      <w:r w:rsidR="006D0619" w:rsidRPr="00702E37">
        <w:rPr>
          <w:rFonts w:ascii="Times New Roman" w:hAnsi="Times New Roman" w:cs="Times New Roman"/>
          <w:sz w:val="26"/>
          <w:szCs w:val="26"/>
        </w:rPr>
        <w:t>EDCs</w:t>
      </w:r>
      <w:r w:rsidR="006D0619">
        <w:rPr>
          <w:rFonts w:ascii="Times New Roman" w:hAnsi="Times New Roman" w:cs="Times New Roman"/>
          <w:sz w:val="26"/>
          <w:szCs w:val="26"/>
        </w:rPr>
        <w:t>”</w:t>
      </w:r>
      <w:r w:rsidR="00284D05">
        <w:rPr>
          <w:rFonts w:ascii="Times New Roman" w:hAnsi="Times New Roman" w:cs="Times New Roman"/>
          <w:sz w:val="26"/>
          <w:szCs w:val="26"/>
        </w:rPr>
        <w:t xml:space="preserve"> or Respondents</w:t>
      </w:r>
      <w:r w:rsidR="006D0619" w:rsidRPr="00702E37">
        <w:rPr>
          <w:rFonts w:ascii="Times New Roman" w:hAnsi="Times New Roman" w:cs="Times New Roman"/>
          <w:sz w:val="26"/>
          <w:szCs w:val="26"/>
        </w:rPr>
        <w:t>)</w:t>
      </w:r>
      <w:r w:rsidR="006D0619">
        <w:rPr>
          <w:rFonts w:ascii="Times New Roman" w:hAnsi="Times New Roman" w:cs="Times New Roman"/>
          <w:sz w:val="26"/>
          <w:szCs w:val="26"/>
        </w:rPr>
        <w:t xml:space="preserve">, </w:t>
      </w:r>
      <w:r w:rsidR="003F78EF">
        <w:rPr>
          <w:rFonts w:ascii="Times New Roman" w:hAnsi="Times New Roman" w:cs="Times New Roman"/>
          <w:sz w:val="26"/>
          <w:szCs w:val="26"/>
        </w:rPr>
        <w:t>and</w:t>
      </w:r>
      <w:r w:rsidR="00E9022F">
        <w:rPr>
          <w:rFonts w:ascii="Times New Roman" w:hAnsi="Times New Roman" w:cs="Times New Roman"/>
          <w:sz w:val="26"/>
          <w:szCs w:val="26"/>
        </w:rPr>
        <w:t>,</w:t>
      </w:r>
      <w:r w:rsidR="003F78EF">
        <w:rPr>
          <w:rFonts w:ascii="Times New Roman" w:hAnsi="Times New Roman" w:cs="Times New Roman"/>
          <w:sz w:val="26"/>
          <w:szCs w:val="26"/>
        </w:rPr>
        <w:t xml:space="preserve"> the </w:t>
      </w:r>
      <w:r w:rsidR="0071703A">
        <w:rPr>
          <w:rFonts w:ascii="Times New Roman" w:hAnsi="Times New Roman" w:cs="Times New Roman"/>
          <w:sz w:val="26"/>
          <w:szCs w:val="26"/>
        </w:rPr>
        <w:t xml:space="preserve">Exceptions of the </w:t>
      </w:r>
      <w:r w:rsidR="003F78EF">
        <w:rPr>
          <w:rFonts w:ascii="Times New Roman" w:hAnsi="Times New Roman" w:cs="Times New Roman"/>
          <w:sz w:val="26"/>
          <w:szCs w:val="26"/>
        </w:rPr>
        <w:t xml:space="preserve">Office of Consumer </w:t>
      </w:r>
      <w:r w:rsidR="003F78EF" w:rsidRPr="009B3259">
        <w:rPr>
          <w:rFonts w:ascii="Times New Roman" w:hAnsi="Times New Roman" w:cs="Times New Roman"/>
          <w:sz w:val="26"/>
          <w:szCs w:val="26"/>
        </w:rPr>
        <w:t xml:space="preserve">Advocate </w:t>
      </w:r>
      <w:r w:rsidR="006B03BE">
        <w:rPr>
          <w:rFonts w:ascii="Times New Roman" w:hAnsi="Times New Roman" w:cs="Times New Roman"/>
          <w:sz w:val="26"/>
          <w:szCs w:val="26"/>
        </w:rPr>
        <w:t xml:space="preserve">(OCA) </w:t>
      </w:r>
      <w:r w:rsidRPr="009B3259">
        <w:rPr>
          <w:rFonts w:ascii="Times New Roman" w:hAnsi="Times New Roman" w:cs="Times New Roman"/>
          <w:sz w:val="26"/>
          <w:szCs w:val="26"/>
        </w:rPr>
        <w:t xml:space="preserve">filed </w:t>
      </w:r>
      <w:r w:rsidR="006D0619" w:rsidRPr="009B3259">
        <w:rPr>
          <w:rFonts w:ascii="Times New Roman" w:hAnsi="Times New Roman" w:cs="Times New Roman"/>
          <w:sz w:val="26"/>
          <w:szCs w:val="26"/>
        </w:rPr>
        <w:t xml:space="preserve">on </w:t>
      </w:r>
      <w:r w:rsidR="003F78EF" w:rsidRPr="009B3259">
        <w:rPr>
          <w:rFonts w:ascii="Times New Roman" w:hAnsi="Times New Roman" w:cs="Times New Roman"/>
          <w:sz w:val="26"/>
          <w:szCs w:val="26"/>
        </w:rPr>
        <w:t>December 8, 2020</w:t>
      </w:r>
      <w:r w:rsidRPr="009B3259">
        <w:rPr>
          <w:rFonts w:ascii="Times New Roman" w:hAnsi="Times New Roman" w:cs="Times New Roman"/>
          <w:sz w:val="26"/>
          <w:szCs w:val="26"/>
        </w:rPr>
        <w:t>,</w:t>
      </w:r>
      <w:r w:rsidR="009B3259">
        <w:rPr>
          <w:rFonts w:ascii="Times New Roman" w:hAnsi="Times New Roman" w:cs="Times New Roman"/>
          <w:sz w:val="26"/>
          <w:szCs w:val="26"/>
        </w:rPr>
        <w:t xml:space="preserve"> respectively, </w:t>
      </w:r>
      <w:r w:rsidRPr="00C72B7A">
        <w:rPr>
          <w:rFonts w:ascii="Times New Roman" w:hAnsi="Times New Roman" w:cs="Times New Roman"/>
          <w:sz w:val="26"/>
          <w:szCs w:val="26"/>
        </w:rPr>
        <w:t xml:space="preserve">to the Initial Decision (I.D.) of </w:t>
      </w:r>
      <w:r w:rsidRPr="00C72B7A">
        <w:rPr>
          <w:rFonts w:ascii="Times New Roman" w:hAnsi="Times New Roman" w:cs="Times New Roman"/>
          <w:sz w:val="26"/>
          <w:szCs w:val="26"/>
        </w:rPr>
        <w:lastRenderedPageBreak/>
        <w:t xml:space="preserve">Administrative Law Judge (ALJ) </w:t>
      </w:r>
      <w:r>
        <w:rPr>
          <w:rFonts w:ascii="Times New Roman" w:hAnsi="Times New Roman" w:cs="Times New Roman"/>
          <w:sz w:val="26"/>
          <w:szCs w:val="26"/>
        </w:rPr>
        <w:t>Joel H. Cheskis</w:t>
      </w:r>
      <w:r w:rsidRPr="00C72B7A">
        <w:rPr>
          <w:rFonts w:ascii="Times New Roman" w:hAnsi="Times New Roman" w:cs="Times New Roman"/>
          <w:sz w:val="26"/>
          <w:szCs w:val="26"/>
        </w:rPr>
        <w:t xml:space="preserve"> issued </w:t>
      </w:r>
      <w:r>
        <w:rPr>
          <w:rFonts w:ascii="Times New Roman" w:hAnsi="Times New Roman" w:cs="Times New Roman"/>
          <w:sz w:val="26"/>
          <w:szCs w:val="26"/>
        </w:rPr>
        <w:t>November 18</w:t>
      </w:r>
      <w:r w:rsidRPr="00C72B7A">
        <w:rPr>
          <w:rFonts w:ascii="Times New Roman" w:hAnsi="Times New Roman" w:cs="Times New Roman"/>
          <w:sz w:val="26"/>
          <w:szCs w:val="26"/>
        </w:rPr>
        <w:t>, 20</w:t>
      </w:r>
      <w:r>
        <w:rPr>
          <w:rFonts w:ascii="Times New Roman" w:hAnsi="Times New Roman" w:cs="Times New Roman"/>
          <w:sz w:val="26"/>
          <w:szCs w:val="26"/>
        </w:rPr>
        <w:t>20</w:t>
      </w:r>
      <w:r w:rsidRPr="00C72B7A">
        <w:rPr>
          <w:rFonts w:ascii="Times New Roman" w:hAnsi="Times New Roman" w:cs="Times New Roman"/>
          <w:sz w:val="26"/>
          <w:szCs w:val="26"/>
        </w:rPr>
        <w:t xml:space="preserve">.  </w:t>
      </w:r>
      <w:r w:rsidR="006D0619">
        <w:rPr>
          <w:rFonts w:ascii="Times New Roman" w:hAnsi="Times New Roman" w:cs="Times New Roman"/>
          <w:sz w:val="26"/>
          <w:szCs w:val="26"/>
        </w:rPr>
        <w:t xml:space="preserve">Joint </w:t>
      </w:r>
      <w:r w:rsidRPr="00C72B7A">
        <w:rPr>
          <w:rFonts w:ascii="Times New Roman" w:hAnsi="Times New Roman" w:cs="Times New Roman"/>
          <w:sz w:val="26"/>
          <w:szCs w:val="26"/>
        </w:rPr>
        <w:t xml:space="preserve">Replies to Exceptions were filed by </w:t>
      </w:r>
      <w:r w:rsidR="006D0619">
        <w:rPr>
          <w:rFonts w:ascii="Times New Roman" w:hAnsi="Times New Roman" w:cs="Times New Roman"/>
          <w:sz w:val="26"/>
          <w:szCs w:val="26"/>
        </w:rPr>
        <w:t>three</w:t>
      </w:r>
      <w:r w:rsidR="006D0619" w:rsidRPr="00C72B7A">
        <w:rPr>
          <w:rFonts w:ascii="Times New Roman" w:hAnsi="Times New Roman" w:cs="Times New Roman"/>
          <w:sz w:val="26"/>
          <w:szCs w:val="26"/>
        </w:rPr>
        <w:t xml:space="preserve"> </w:t>
      </w:r>
      <w:r w:rsidR="006D0619">
        <w:rPr>
          <w:rFonts w:ascii="Times New Roman" w:hAnsi="Times New Roman" w:cs="Times New Roman"/>
          <w:sz w:val="26"/>
          <w:szCs w:val="26"/>
        </w:rPr>
        <w:t xml:space="preserve">Electric </w:t>
      </w:r>
      <w:r w:rsidR="006D0619" w:rsidRPr="00232EF1">
        <w:rPr>
          <w:rFonts w:ascii="Times New Roman" w:hAnsi="Times New Roman" w:cs="Times New Roman"/>
          <w:sz w:val="26"/>
          <w:szCs w:val="26"/>
        </w:rPr>
        <w:t>Generation Suppliers</w:t>
      </w:r>
      <w:proofErr w:type="gramStart"/>
      <w:r w:rsidR="00960B6E">
        <w:rPr>
          <w:rFonts w:ascii="Times New Roman" w:hAnsi="Times New Roman" w:cs="Times New Roman"/>
          <w:sz w:val="26"/>
          <w:szCs w:val="26"/>
        </w:rPr>
        <w:t>:</w:t>
      </w:r>
      <w:r w:rsidR="00C45C95">
        <w:rPr>
          <w:rFonts w:ascii="Times New Roman" w:hAnsi="Times New Roman" w:cs="Times New Roman"/>
          <w:sz w:val="26"/>
          <w:szCs w:val="26"/>
        </w:rPr>
        <w:t xml:space="preserve">  </w:t>
      </w:r>
      <w:r w:rsidR="00960B6E">
        <w:rPr>
          <w:rFonts w:ascii="Times New Roman" w:hAnsi="Times New Roman" w:cs="Times New Roman"/>
          <w:sz w:val="26"/>
          <w:szCs w:val="26"/>
        </w:rPr>
        <w:t>(</w:t>
      </w:r>
      <w:proofErr w:type="gramEnd"/>
      <w:r w:rsidR="00960B6E">
        <w:rPr>
          <w:rFonts w:ascii="Times New Roman" w:hAnsi="Times New Roman" w:cs="Times New Roman"/>
          <w:sz w:val="26"/>
          <w:szCs w:val="26"/>
        </w:rPr>
        <w:t>1)</w:t>
      </w:r>
      <w:r w:rsidR="006D0619" w:rsidRPr="00232EF1">
        <w:rPr>
          <w:rFonts w:ascii="Times New Roman" w:hAnsi="Times New Roman" w:cs="Times New Roman"/>
          <w:sz w:val="26"/>
          <w:szCs w:val="26"/>
        </w:rPr>
        <w:t xml:space="preserve"> </w:t>
      </w:r>
      <w:r w:rsidR="006D0619" w:rsidRPr="00232EF1">
        <w:rPr>
          <w:rFonts w:ascii="Times New Roman" w:eastAsia="Times New Roman" w:hAnsi="Times New Roman" w:cs="Times New Roman"/>
          <w:color w:val="000000"/>
          <w:sz w:val="26"/>
          <w:szCs w:val="26"/>
        </w:rPr>
        <w:t>Interstate Gas Supply, Inc. d/b/a IGS Energy</w:t>
      </w:r>
      <w:r w:rsidR="00960B6E">
        <w:rPr>
          <w:rFonts w:ascii="Times New Roman" w:eastAsia="Times New Roman" w:hAnsi="Times New Roman" w:cs="Times New Roman"/>
          <w:color w:val="000000"/>
          <w:sz w:val="26"/>
          <w:szCs w:val="26"/>
        </w:rPr>
        <w:t>;</w:t>
      </w:r>
      <w:r w:rsidR="006D0619" w:rsidRPr="00232EF1">
        <w:rPr>
          <w:rFonts w:ascii="Times New Roman" w:eastAsia="Times New Roman" w:hAnsi="Times New Roman" w:cs="Times New Roman"/>
          <w:color w:val="000000"/>
          <w:sz w:val="26"/>
          <w:szCs w:val="26"/>
        </w:rPr>
        <w:t xml:space="preserve"> </w:t>
      </w:r>
      <w:r w:rsidR="00960B6E">
        <w:rPr>
          <w:rFonts w:ascii="Times New Roman" w:eastAsia="Times New Roman" w:hAnsi="Times New Roman" w:cs="Times New Roman"/>
          <w:color w:val="000000"/>
          <w:sz w:val="26"/>
          <w:szCs w:val="26"/>
        </w:rPr>
        <w:t xml:space="preserve">(2) </w:t>
      </w:r>
      <w:r w:rsidR="006D0619" w:rsidRPr="00232EF1">
        <w:rPr>
          <w:rFonts w:ascii="Times New Roman" w:eastAsia="Times New Roman" w:hAnsi="Times New Roman" w:cs="Times New Roman"/>
          <w:color w:val="000000"/>
          <w:sz w:val="26"/>
          <w:szCs w:val="26"/>
        </w:rPr>
        <w:t>Direct Energy Services LLC</w:t>
      </w:r>
      <w:r w:rsidR="00960B6E">
        <w:rPr>
          <w:rFonts w:ascii="Times New Roman" w:eastAsia="Times New Roman" w:hAnsi="Times New Roman" w:cs="Times New Roman"/>
          <w:color w:val="000000"/>
          <w:sz w:val="26"/>
          <w:szCs w:val="26"/>
        </w:rPr>
        <w:t>;</w:t>
      </w:r>
      <w:r w:rsidR="006D0619" w:rsidRPr="00232EF1">
        <w:rPr>
          <w:rFonts w:ascii="Times New Roman" w:eastAsia="Times New Roman" w:hAnsi="Times New Roman" w:cs="Times New Roman"/>
          <w:color w:val="000000"/>
          <w:sz w:val="26"/>
          <w:szCs w:val="26"/>
        </w:rPr>
        <w:t xml:space="preserve"> and </w:t>
      </w:r>
      <w:r w:rsidR="00960B6E">
        <w:rPr>
          <w:rFonts w:ascii="Times New Roman" w:eastAsia="Times New Roman" w:hAnsi="Times New Roman" w:cs="Times New Roman"/>
          <w:color w:val="000000"/>
          <w:sz w:val="26"/>
          <w:szCs w:val="26"/>
        </w:rPr>
        <w:t xml:space="preserve">(3) </w:t>
      </w:r>
      <w:r w:rsidR="006D0619" w:rsidRPr="00232EF1">
        <w:rPr>
          <w:rFonts w:ascii="Times New Roman" w:eastAsia="Times New Roman" w:hAnsi="Times New Roman" w:cs="Times New Roman"/>
          <w:color w:val="000000"/>
          <w:sz w:val="26"/>
          <w:szCs w:val="26"/>
        </w:rPr>
        <w:t xml:space="preserve">Shipley Choice, LLC d/b/a Shipley Energy </w:t>
      </w:r>
      <w:r w:rsidR="006D0619" w:rsidRPr="00232EF1">
        <w:rPr>
          <w:rFonts w:ascii="Times New Roman" w:hAnsi="Times New Roman" w:cs="Times New Roman"/>
          <w:sz w:val="26"/>
          <w:szCs w:val="26"/>
        </w:rPr>
        <w:t xml:space="preserve">(collectively, </w:t>
      </w:r>
      <w:r w:rsidR="006D0619">
        <w:rPr>
          <w:rFonts w:ascii="Times New Roman" w:hAnsi="Times New Roman" w:cs="Times New Roman"/>
          <w:sz w:val="26"/>
          <w:szCs w:val="26"/>
        </w:rPr>
        <w:t>“</w:t>
      </w:r>
      <w:r w:rsidR="006D0619" w:rsidRPr="00232EF1">
        <w:rPr>
          <w:rFonts w:ascii="Times New Roman" w:hAnsi="Times New Roman" w:cs="Times New Roman"/>
          <w:sz w:val="26"/>
          <w:szCs w:val="26"/>
        </w:rPr>
        <w:t>the EGSs</w:t>
      </w:r>
      <w:r w:rsidR="006D0619">
        <w:rPr>
          <w:rFonts w:ascii="Times New Roman" w:hAnsi="Times New Roman" w:cs="Times New Roman"/>
          <w:sz w:val="26"/>
          <w:szCs w:val="26"/>
        </w:rPr>
        <w:t>”</w:t>
      </w:r>
      <w:r w:rsidR="006D0619" w:rsidRPr="00232EF1">
        <w:rPr>
          <w:rFonts w:ascii="Times New Roman" w:hAnsi="Times New Roman" w:cs="Times New Roman"/>
          <w:sz w:val="26"/>
          <w:szCs w:val="26"/>
        </w:rPr>
        <w:t xml:space="preserve">) </w:t>
      </w:r>
      <w:r w:rsidRPr="00C72B7A">
        <w:rPr>
          <w:rFonts w:ascii="Times New Roman" w:hAnsi="Times New Roman" w:cs="Times New Roman"/>
          <w:sz w:val="26"/>
          <w:szCs w:val="26"/>
        </w:rPr>
        <w:t xml:space="preserve">on </w:t>
      </w:r>
      <w:r w:rsidR="006D0234">
        <w:rPr>
          <w:rFonts w:ascii="Times New Roman" w:hAnsi="Times New Roman" w:cs="Times New Roman"/>
          <w:sz w:val="26"/>
          <w:szCs w:val="26"/>
        </w:rPr>
        <w:t>December 18, 2020</w:t>
      </w:r>
      <w:r w:rsidRPr="00C72B7A">
        <w:rPr>
          <w:rFonts w:ascii="Times New Roman" w:hAnsi="Times New Roman" w:cs="Times New Roman"/>
          <w:sz w:val="26"/>
          <w:szCs w:val="26"/>
        </w:rPr>
        <w:t xml:space="preserve">.  This matter is </w:t>
      </w:r>
      <w:r w:rsidR="00430D86">
        <w:rPr>
          <w:rFonts w:ascii="Times New Roman" w:hAnsi="Times New Roman" w:cs="Times New Roman"/>
          <w:sz w:val="26"/>
          <w:szCs w:val="26"/>
        </w:rPr>
        <w:t xml:space="preserve">the consolidated </w:t>
      </w:r>
      <w:r w:rsidRPr="00C72B7A">
        <w:rPr>
          <w:rFonts w:ascii="Times New Roman" w:hAnsi="Times New Roman" w:cs="Times New Roman"/>
          <w:sz w:val="26"/>
          <w:szCs w:val="26"/>
        </w:rPr>
        <w:t>formal complaint</w:t>
      </w:r>
      <w:r w:rsidR="00430D86">
        <w:rPr>
          <w:rFonts w:ascii="Times New Roman" w:hAnsi="Times New Roman" w:cs="Times New Roman"/>
          <w:sz w:val="26"/>
          <w:szCs w:val="26"/>
        </w:rPr>
        <w:t>s</w:t>
      </w:r>
      <w:r w:rsidRPr="00C72B7A">
        <w:rPr>
          <w:rFonts w:ascii="Times New Roman" w:hAnsi="Times New Roman" w:cs="Times New Roman"/>
          <w:sz w:val="26"/>
          <w:szCs w:val="26"/>
        </w:rPr>
        <w:t xml:space="preserve"> (Complaint) filed by </w:t>
      </w:r>
      <w:r w:rsidR="00EE3507">
        <w:rPr>
          <w:rFonts w:ascii="Times New Roman" w:hAnsi="Times New Roman" w:cs="Times New Roman"/>
          <w:sz w:val="26"/>
          <w:szCs w:val="26"/>
        </w:rPr>
        <w:t xml:space="preserve">the EGSs </w:t>
      </w:r>
      <w:r w:rsidR="00905F54">
        <w:rPr>
          <w:rFonts w:ascii="Times New Roman" w:hAnsi="Times New Roman" w:cs="Times New Roman"/>
          <w:sz w:val="26"/>
          <w:szCs w:val="26"/>
        </w:rPr>
        <w:t xml:space="preserve">on </w:t>
      </w:r>
      <w:r w:rsidR="00323B02">
        <w:rPr>
          <w:rFonts w:ascii="Times New Roman" w:hAnsi="Times New Roman" w:cs="Times New Roman"/>
          <w:sz w:val="26"/>
          <w:szCs w:val="26"/>
        </w:rPr>
        <w:t>October</w:t>
      </w:r>
      <w:r w:rsidR="00CB06ED">
        <w:rPr>
          <w:rFonts w:ascii="Times New Roman" w:hAnsi="Times New Roman" w:cs="Times New Roman"/>
          <w:sz w:val="26"/>
          <w:szCs w:val="26"/>
        </w:rPr>
        <w:t> </w:t>
      </w:r>
      <w:r w:rsidR="00323B02">
        <w:rPr>
          <w:rFonts w:ascii="Times New Roman" w:hAnsi="Times New Roman" w:cs="Times New Roman"/>
          <w:sz w:val="26"/>
          <w:szCs w:val="26"/>
        </w:rPr>
        <w:t>25,</w:t>
      </w:r>
      <w:r w:rsidR="00CB06ED">
        <w:rPr>
          <w:rFonts w:ascii="Times New Roman" w:hAnsi="Times New Roman" w:cs="Times New Roman"/>
          <w:sz w:val="26"/>
          <w:szCs w:val="26"/>
        </w:rPr>
        <w:t> </w:t>
      </w:r>
      <w:r w:rsidR="00323B02">
        <w:rPr>
          <w:rFonts w:ascii="Times New Roman" w:hAnsi="Times New Roman" w:cs="Times New Roman"/>
          <w:sz w:val="26"/>
          <w:szCs w:val="26"/>
        </w:rPr>
        <w:t>2019</w:t>
      </w:r>
      <w:r w:rsidR="00905F54">
        <w:rPr>
          <w:rFonts w:ascii="Times New Roman" w:hAnsi="Times New Roman" w:cs="Times New Roman"/>
          <w:sz w:val="26"/>
          <w:szCs w:val="26"/>
        </w:rPr>
        <w:t>, against the EDCs</w:t>
      </w:r>
      <w:r w:rsidR="006070EE">
        <w:rPr>
          <w:rFonts w:ascii="Times New Roman" w:hAnsi="Times New Roman" w:cs="Times New Roman"/>
          <w:sz w:val="26"/>
          <w:szCs w:val="26"/>
        </w:rPr>
        <w:t>, alleging</w:t>
      </w:r>
      <w:r w:rsidR="00905F54">
        <w:rPr>
          <w:rFonts w:ascii="Times New Roman" w:hAnsi="Times New Roman" w:cs="Times New Roman"/>
          <w:sz w:val="26"/>
          <w:szCs w:val="26"/>
        </w:rPr>
        <w:t xml:space="preserve"> </w:t>
      </w:r>
      <w:r w:rsidR="00F90CBF">
        <w:rPr>
          <w:rFonts w:ascii="Times New Roman" w:hAnsi="Times New Roman" w:cs="Times New Roman"/>
          <w:sz w:val="26"/>
          <w:szCs w:val="26"/>
        </w:rPr>
        <w:t xml:space="preserve">that the EDCs’ </w:t>
      </w:r>
      <w:r w:rsidR="00F90CBF" w:rsidRPr="00F90CBF">
        <w:rPr>
          <w:rFonts w:ascii="Times New Roman" w:hAnsi="Times New Roman" w:cs="Times New Roman"/>
          <w:sz w:val="26"/>
          <w:szCs w:val="26"/>
        </w:rPr>
        <w:t>provision of “on-bill billing</w:t>
      </w:r>
      <w:r w:rsidR="00323B02">
        <w:rPr>
          <w:rFonts w:ascii="Times New Roman" w:hAnsi="Times New Roman" w:cs="Times New Roman"/>
          <w:sz w:val="26"/>
          <w:szCs w:val="26"/>
        </w:rPr>
        <w:t>”</w:t>
      </w:r>
      <w:r w:rsidR="00F90CBF" w:rsidRPr="00F90CBF">
        <w:rPr>
          <w:rFonts w:ascii="Times New Roman" w:hAnsi="Times New Roman" w:cs="Times New Roman"/>
          <w:sz w:val="26"/>
          <w:szCs w:val="26"/>
        </w:rPr>
        <w:t xml:space="preserve"> for </w:t>
      </w:r>
      <w:r w:rsidR="00004A20">
        <w:rPr>
          <w:rFonts w:ascii="Times New Roman" w:hAnsi="Times New Roman" w:cs="Times New Roman"/>
          <w:sz w:val="26"/>
          <w:szCs w:val="26"/>
        </w:rPr>
        <w:t xml:space="preserve">their own </w:t>
      </w:r>
      <w:r w:rsidR="00F90CBF" w:rsidRPr="00F90CBF">
        <w:rPr>
          <w:rFonts w:ascii="Times New Roman" w:hAnsi="Times New Roman" w:cs="Times New Roman"/>
          <w:sz w:val="26"/>
          <w:szCs w:val="26"/>
        </w:rPr>
        <w:t xml:space="preserve">non-commodity </w:t>
      </w:r>
      <w:r w:rsidR="00F90CBF">
        <w:rPr>
          <w:rFonts w:ascii="Times New Roman" w:hAnsi="Times New Roman" w:cs="Times New Roman"/>
          <w:sz w:val="26"/>
          <w:szCs w:val="26"/>
        </w:rPr>
        <w:t xml:space="preserve">goods and </w:t>
      </w:r>
      <w:r w:rsidR="00F90CBF" w:rsidRPr="00F90CBF">
        <w:rPr>
          <w:rFonts w:ascii="Times New Roman" w:hAnsi="Times New Roman" w:cs="Times New Roman"/>
          <w:sz w:val="26"/>
          <w:szCs w:val="26"/>
        </w:rPr>
        <w:t>services</w:t>
      </w:r>
      <w:r w:rsidR="00004A20">
        <w:rPr>
          <w:rFonts w:ascii="Times New Roman" w:hAnsi="Times New Roman" w:cs="Times New Roman"/>
          <w:sz w:val="26"/>
          <w:szCs w:val="26"/>
        </w:rPr>
        <w:t>, while not offering</w:t>
      </w:r>
      <w:r w:rsidR="008F20F5">
        <w:rPr>
          <w:rFonts w:ascii="Times New Roman" w:hAnsi="Times New Roman" w:cs="Times New Roman"/>
          <w:sz w:val="26"/>
          <w:szCs w:val="26"/>
        </w:rPr>
        <w:t xml:space="preserve"> the same </w:t>
      </w:r>
      <w:r w:rsidR="00004A20">
        <w:rPr>
          <w:rFonts w:ascii="Times New Roman" w:hAnsi="Times New Roman" w:cs="Times New Roman"/>
          <w:sz w:val="26"/>
          <w:szCs w:val="26"/>
        </w:rPr>
        <w:t xml:space="preserve">on-bill billing </w:t>
      </w:r>
      <w:r w:rsidR="008F20F5">
        <w:rPr>
          <w:rFonts w:ascii="Times New Roman" w:hAnsi="Times New Roman" w:cs="Times New Roman"/>
          <w:sz w:val="26"/>
          <w:szCs w:val="26"/>
        </w:rPr>
        <w:t xml:space="preserve">service </w:t>
      </w:r>
      <w:r w:rsidR="00004A20">
        <w:rPr>
          <w:rFonts w:ascii="Times New Roman" w:hAnsi="Times New Roman" w:cs="Times New Roman"/>
          <w:sz w:val="26"/>
          <w:szCs w:val="26"/>
        </w:rPr>
        <w:t>for the non</w:t>
      </w:r>
      <w:r w:rsidR="001F5109">
        <w:rPr>
          <w:rFonts w:ascii="Times New Roman" w:hAnsi="Times New Roman" w:cs="Times New Roman"/>
          <w:sz w:val="26"/>
          <w:szCs w:val="26"/>
        </w:rPr>
        <w:t>-commodity goods and services offered by the EGSs</w:t>
      </w:r>
      <w:r w:rsidR="00F90CBF" w:rsidRPr="00F90CBF">
        <w:rPr>
          <w:rFonts w:ascii="Times New Roman" w:hAnsi="Times New Roman" w:cs="Times New Roman"/>
          <w:sz w:val="26"/>
          <w:szCs w:val="26"/>
        </w:rPr>
        <w:t xml:space="preserve"> is unreasonably discriminatory in violation of the Public Utility Code</w:t>
      </w:r>
      <w:r w:rsidR="00683C39">
        <w:rPr>
          <w:rFonts w:ascii="Times New Roman" w:hAnsi="Times New Roman" w:cs="Times New Roman"/>
          <w:sz w:val="26"/>
          <w:szCs w:val="26"/>
        </w:rPr>
        <w:t xml:space="preserve">, 66 Pa. C.S. §§ 101, </w:t>
      </w:r>
      <w:r w:rsidR="00683C39">
        <w:rPr>
          <w:rFonts w:ascii="Times New Roman" w:hAnsi="Times New Roman" w:cs="Times New Roman"/>
          <w:i/>
          <w:iCs/>
          <w:sz w:val="26"/>
          <w:szCs w:val="26"/>
        </w:rPr>
        <w:t>et seq.</w:t>
      </w:r>
      <w:r w:rsidR="00683C39">
        <w:rPr>
          <w:rFonts w:ascii="Times New Roman" w:hAnsi="Times New Roman" w:cs="Times New Roman"/>
          <w:sz w:val="26"/>
          <w:szCs w:val="26"/>
        </w:rPr>
        <w:t xml:space="preserve"> (</w:t>
      </w:r>
      <w:r w:rsidR="00E9022F">
        <w:rPr>
          <w:rFonts w:ascii="Times New Roman" w:hAnsi="Times New Roman" w:cs="Times New Roman"/>
          <w:sz w:val="26"/>
          <w:szCs w:val="26"/>
        </w:rPr>
        <w:t xml:space="preserve">the </w:t>
      </w:r>
      <w:r w:rsidR="00683C39">
        <w:rPr>
          <w:rFonts w:ascii="Times New Roman" w:hAnsi="Times New Roman" w:cs="Times New Roman"/>
          <w:sz w:val="26"/>
          <w:szCs w:val="26"/>
        </w:rPr>
        <w:t>Code)</w:t>
      </w:r>
      <w:r w:rsidR="00F90CBF" w:rsidRPr="00F90CBF">
        <w:rPr>
          <w:rFonts w:ascii="Times New Roman" w:hAnsi="Times New Roman" w:cs="Times New Roman"/>
          <w:sz w:val="26"/>
          <w:szCs w:val="26"/>
        </w:rPr>
        <w:t>.</w:t>
      </w:r>
    </w:p>
    <w:p w14:paraId="35EA78F6" w14:textId="77777777" w:rsidR="006070EE" w:rsidRDefault="006070EE" w:rsidP="006070EE">
      <w:pPr>
        <w:spacing w:after="0" w:line="360" w:lineRule="auto"/>
        <w:ind w:firstLine="1440"/>
      </w:pPr>
    </w:p>
    <w:p w14:paraId="333DD26B" w14:textId="2779ECB0" w:rsidR="001F057C" w:rsidRPr="001F057C" w:rsidRDefault="000D1461" w:rsidP="00875D37">
      <w:pPr>
        <w:spacing w:after="0" w:line="360" w:lineRule="auto"/>
        <w:ind w:firstLine="1440"/>
        <w:rPr>
          <w:rFonts w:ascii="Times New Roman" w:eastAsia="Times New Roman" w:hAnsi="Times New Roman" w:cs="Times New Roman"/>
          <w:sz w:val="26"/>
          <w:szCs w:val="26"/>
        </w:rPr>
      </w:pPr>
      <w:r w:rsidRPr="000D1461">
        <w:rPr>
          <w:rFonts w:ascii="Times New Roman" w:eastAsia="Times New Roman" w:hAnsi="Times New Roman" w:cs="Times New Roman"/>
          <w:sz w:val="26"/>
          <w:szCs w:val="26"/>
        </w:rPr>
        <w:t xml:space="preserve">For the reasons stated, </w:t>
      </w:r>
      <w:r w:rsidRPr="000D1461">
        <w:rPr>
          <w:rFonts w:ascii="Times New Roman" w:eastAsia="Times New Roman" w:hAnsi="Times New Roman" w:cs="Times New Roman"/>
          <w:i/>
          <w:sz w:val="26"/>
          <w:szCs w:val="26"/>
        </w:rPr>
        <w:t>infra</w:t>
      </w:r>
      <w:r w:rsidRPr="000D1461">
        <w:rPr>
          <w:rFonts w:ascii="Times New Roman" w:eastAsia="Times New Roman" w:hAnsi="Times New Roman" w:cs="Times New Roman"/>
          <w:sz w:val="26"/>
          <w:szCs w:val="26"/>
        </w:rPr>
        <w:t xml:space="preserve">, </w:t>
      </w:r>
      <w:r w:rsidR="00DD36CC">
        <w:rPr>
          <w:rFonts w:ascii="Times New Roman" w:eastAsia="Times New Roman" w:hAnsi="Times New Roman" w:cs="Times New Roman"/>
          <w:sz w:val="26"/>
          <w:szCs w:val="26"/>
        </w:rPr>
        <w:t xml:space="preserve">upon consideration of the Exceptions and Replies thereto, </w:t>
      </w:r>
      <w:r w:rsidRPr="000D1461">
        <w:rPr>
          <w:rFonts w:ascii="Times New Roman" w:eastAsia="Times New Roman" w:hAnsi="Times New Roman" w:cs="Times New Roman"/>
          <w:sz w:val="26"/>
          <w:szCs w:val="26"/>
        </w:rPr>
        <w:t xml:space="preserve">we shall grant the Exceptions of the </w:t>
      </w:r>
      <w:r w:rsidR="00CE4629">
        <w:rPr>
          <w:rFonts w:ascii="Times New Roman" w:eastAsia="Times New Roman" w:hAnsi="Times New Roman" w:cs="Times New Roman"/>
          <w:sz w:val="26"/>
          <w:szCs w:val="26"/>
        </w:rPr>
        <w:t>ED</w:t>
      </w:r>
      <w:r w:rsidR="00CA3E40">
        <w:rPr>
          <w:rFonts w:ascii="Times New Roman" w:eastAsia="Times New Roman" w:hAnsi="Times New Roman" w:cs="Times New Roman"/>
          <w:sz w:val="26"/>
          <w:szCs w:val="26"/>
        </w:rPr>
        <w:t>C</w:t>
      </w:r>
      <w:r w:rsidR="00CE4629">
        <w:rPr>
          <w:rFonts w:ascii="Times New Roman" w:eastAsia="Times New Roman" w:hAnsi="Times New Roman" w:cs="Times New Roman"/>
          <w:sz w:val="26"/>
          <w:szCs w:val="26"/>
        </w:rPr>
        <w:t>s</w:t>
      </w:r>
      <w:r w:rsidRPr="000D1461">
        <w:rPr>
          <w:rFonts w:ascii="Times New Roman" w:eastAsia="Times New Roman" w:hAnsi="Times New Roman" w:cs="Times New Roman"/>
          <w:sz w:val="26"/>
          <w:szCs w:val="26"/>
        </w:rPr>
        <w:t xml:space="preserve"> </w:t>
      </w:r>
      <w:r w:rsidR="00D71E1F">
        <w:rPr>
          <w:rFonts w:ascii="Times New Roman" w:eastAsia="Times New Roman" w:hAnsi="Times New Roman" w:cs="Times New Roman"/>
          <w:sz w:val="26"/>
          <w:szCs w:val="26"/>
        </w:rPr>
        <w:t xml:space="preserve">and reverse the ALJ’s Initial </w:t>
      </w:r>
      <w:r w:rsidRPr="000D1461">
        <w:rPr>
          <w:rFonts w:ascii="Times New Roman" w:eastAsia="Times New Roman" w:hAnsi="Times New Roman" w:cs="Times New Roman"/>
          <w:sz w:val="26"/>
          <w:szCs w:val="26"/>
        </w:rPr>
        <w:t>Decision, consistent with this Opinion and Order</w:t>
      </w:r>
      <w:r w:rsidR="00AB6ECD">
        <w:rPr>
          <w:rFonts w:ascii="Times New Roman" w:eastAsia="Times New Roman" w:hAnsi="Times New Roman" w:cs="Times New Roman"/>
          <w:sz w:val="26"/>
          <w:szCs w:val="26"/>
        </w:rPr>
        <w:t>.</w:t>
      </w:r>
      <w:r w:rsidR="00D52C9F">
        <w:rPr>
          <w:rStyle w:val="FootnoteReference"/>
          <w:rFonts w:ascii="Times New Roman" w:eastAsia="Times New Roman" w:hAnsi="Times New Roman" w:cs="Times New Roman"/>
          <w:sz w:val="26"/>
          <w:szCs w:val="26"/>
        </w:rPr>
        <w:footnoteReference w:id="1"/>
      </w:r>
      <w:r w:rsidRPr="000D1461">
        <w:rPr>
          <w:rFonts w:ascii="Times New Roman" w:eastAsia="Times New Roman" w:hAnsi="Times New Roman" w:cs="Times New Roman"/>
          <w:sz w:val="26"/>
          <w:szCs w:val="26"/>
        </w:rPr>
        <w:t xml:space="preserve">  Accordingly, as discussed </w:t>
      </w:r>
      <w:r w:rsidRPr="000D1461">
        <w:rPr>
          <w:rFonts w:ascii="Times New Roman" w:eastAsia="Times New Roman" w:hAnsi="Times New Roman" w:cs="Times New Roman"/>
          <w:i/>
          <w:sz w:val="26"/>
          <w:szCs w:val="26"/>
        </w:rPr>
        <w:t>infra</w:t>
      </w:r>
      <w:r w:rsidRPr="000D1461">
        <w:rPr>
          <w:rFonts w:ascii="Times New Roman" w:eastAsia="Times New Roman" w:hAnsi="Times New Roman" w:cs="Times New Roman"/>
          <w:sz w:val="26"/>
          <w:szCs w:val="26"/>
        </w:rPr>
        <w:t xml:space="preserve">, we conclude that </w:t>
      </w:r>
      <w:r w:rsidR="0001470B">
        <w:rPr>
          <w:rFonts w:ascii="Times New Roman" w:eastAsia="Times New Roman" w:hAnsi="Times New Roman" w:cs="Times New Roman"/>
          <w:sz w:val="26"/>
          <w:szCs w:val="26"/>
        </w:rPr>
        <w:t>the E</w:t>
      </w:r>
      <w:r w:rsidR="00AB6ECD">
        <w:rPr>
          <w:rFonts w:ascii="Times New Roman" w:eastAsia="Times New Roman" w:hAnsi="Times New Roman" w:cs="Times New Roman"/>
          <w:sz w:val="26"/>
          <w:szCs w:val="26"/>
        </w:rPr>
        <w:t>D</w:t>
      </w:r>
      <w:r w:rsidR="006B713F">
        <w:rPr>
          <w:rFonts w:ascii="Times New Roman" w:eastAsia="Times New Roman" w:hAnsi="Times New Roman" w:cs="Times New Roman"/>
          <w:sz w:val="26"/>
          <w:szCs w:val="26"/>
        </w:rPr>
        <w:t>C</w:t>
      </w:r>
      <w:r w:rsidR="0001470B">
        <w:rPr>
          <w:rFonts w:ascii="Times New Roman" w:eastAsia="Times New Roman" w:hAnsi="Times New Roman" w:cs="Times New Roman"/>
          <w:sz w:val="26"/>
          <w:szCs w:val="26"/>
        </w:rPr>
        <w:t xml:space="preserve">s’ </w:t>
      </w:r>
      <w:r w:rsidRPr="000D1461">
        <w:rPr>
          <w:rFonts w:ascii="Times New Roman" w:eastAsia="Times New Roman" w:hAnsi="Times New Roman" w:cs="Times New Roman"/>
          <w:sz w:val="26"/>
          <w:szCs w:val="26"/>
        </w:rPr>
        <w:t xml:space="preserve">billing practice </w:t>
      </w:r>
      <w:r w:rsidR="0001470B">
        <w:rPr>
          <w:rFonts w:ascii="Times New Roman" w:eastAsia="Times New Roman" w:hAnsi="Times New Roman" w:cs="Times New Roman"/>
          <w:sz w:val="26"/>
          <w:szCs w:val="26"/>
        </w:rPr>
        <w:t xml:space="preserve">of </w:t>
      </w:r>
      <w:r w:rsidRPr="000D1461">
        <w:rPr>
          <w:rFonts w:ascii="Times New Roman" w:eastAsia="Times New Roman" w:hAnsi="Times New Roman" w:cs="Times New Roman"/>
          <w:sz w:val="26"/>
          <w:szCs w:val="26"/>
        </w:rPr>
        <w:t xml:space="preserve">offering </w:t>
      </w:r>
      <w:r w:rsidR="00E23790">
        <w:rPr>
          <w:rFonts w:ascii="Times New Roman" w:eastAsia="Times New Roman" w:hAnsi="Times New Roman" w:cs="Times New Roman"/>
          <w:sz w:val="26"/>
          <w:szCs w:val="26"/>
        </w:rPr>
        <w:t>“</w:t>
      </w:r>
      <w:r w:rsidRPr="000D1461">
        <w:rPr>
          <w:rFonts w:ascii="Times New Roman" w:eastAsia="Times New Roman" w:hAnsi="Times New Roman" w:cs="Times New Roman"/>
          <w:sz w:val="26"/>
          <w:szCs w:val="26"/>
        </w:rPr>
        <w:t>on</w:t>
      </w:r>
      <w:r w:rsidR="00D50972">
        <w:rPr>
          <w:rFonts w:ascii="Times New Roman" w:eastAsia="Times New Roman" w:hAnsi="Times New Roman" w:cs="Times New Roman"/>
          <w:sz w:val="26"/>
          <w:szCs w:val="26"/>
        </w:rPr>
        <w:t>-bill</w:t>
      </w:r>
      <w:r w:rsidRPr="000D1461">
        <w:rPr>
          <w:rFonts w:ascii="Times New Roman" w:eastAsia="Times New Roman" w:hAnsi="Times New Roman" w:cs="Times New Roman"/>
          <w:sz w:val="26"/>
          <w:szCs w:val="26"/>
        </w:rPr>
        <w:t xml:space="preserve"> billing</w:t>
      </w:r>
      <w:r w:rsidR="00E23790">
        <w:rPr>
          <w:rFonts w:ascii="Times New Roman" w:eastAsia="Times New Roman" w:hAnsi="Times New Roman" w:cs="Times New Roman"/>
          <w:sz w:val="26"/>
          <w:szCs w:val="26"/>
        </w:rPr>
        <w:t>”</w:t>
      </w:r>
      <w:r w:rsidRPr="000D1461">
        <w:rPr>
          <w:rFonts w:ascii="Times New Roman" w:eastAsia="Times New Roman" w:hAnsi="Times New Roman" w:cs="Times New Roman"/>
          <w:sz w:val="26"/>
          <w:szCs w:val="26"/>
        </w:rPr>
        <w:t xml:space="preserve"> for </w:t>
      </w:r>
      <w:r w:rsidR="0001470B">
        <w:rPr>
          <w:rFonts w:ascii="Times New Roman" w:eastAsia="Times New Roman" w:hAnsi="Times New Roman" w:cs="Times New Roman"/>
          <w:sz w:val="26"/>
          <w:szCs w:val="26"/>
        </w:rPr>
        <w:t xml:space="preserve">its own </w:t>
      </w:r>
      <w:r w:rsidRPr="000D1461">
        <w:rPr>
          <w:rFonts w:ascii="Times New Roman" w:eastAsia="Times New Roman" w:hAnsi="Times New Roman" w:cs="Times New Roman"/>
          <w:sz w:val="26"/>
          <w:szCs w:val="26"/>
        </w:rPr>
        <w:t>non-commodity service</w:t>
      </w:r>
      <w:r w:rsidR="00E03C18">
        <w:rPr>
          <w:rFonts w:ascii="Times New Roman" w:eastAsia="Times New Roman" w:hAnsi="Times New Roman" w:cs="Times New Roman"/>
          <w:sz w:val="26"/>
          <w:szCs w:val="26"/>
        </w:rPr>
        <w:t>s</w:t>
      </w:r>
      <w:r w:rsidRPr="000D1461">
        <w:rPr>
          <w:rFonts w:ascii="Times New Roman" w:eastAsia="Times New Roman" w:hAnsi="Times New Roman" w:cs="Times New Roman"/>
          <w:sz w:val="26"/>
          <w:szCs w:val="26"/>
        </w:rPr>
        <w:t xml:space="preserve"> is subject to the Commission’s jurisdiction</w:t>
      </w:r>
      <w:r w:rsidR="00E03C18">
        <w:rPr>
          <w:rFonts w:ascii="Times New Roman" w:eastAsia="Times New Roman" w:hAnsi="Times New Roman" w:cs="Times New Roman"/>
          <w:sz w:val="26"/>
          <w:szCs w:val="26"/>
        </w:rPr>
        <w:t xml:space="preserve">, and conforms </w:t>
      </w:r>
      <w:r w:rsidR="00DC7B4C">
        <w:rPr>
          <w:rFonts w:ascii="Times New Roman" w:eastAsia="Times New Roman" w:hAnsi="Times New Roman" w:cs="Times New Roman"/>
          <w:sz w:val="26"/>
          <w:szCs w:val="26"/>
        </w:rPr>
        <w:t xml:space="preserve">with </w:t>
      </w:r>
      <w:r w:rsidRPr="000D1461">
        <w:rPr>
          <w:rFonts w:ascii="Times New Roman" w:eastAsia="Times New Roman" w:hAnsi="Times New Roman" w:cs="Times New Roman"/>
          <w:sz w:val="26"/>
          <w:szCs w:val="26"/>
        </w:rPr>
        <w:t>Section 1502 of the Code,</w:t>
      </w:r>
      <w:r w:rsidR="00FC10F3">
        <w:rPr>
          <w:rFonts w:ascii="Times New Roman" w:eastAsia="Times New Roman" w:hAnsi="Times New Roman" w:cs="Times New Roman"/>
          <w:sz w:val="26"/>
          <w:szCs w:val="26"/>
        </w:rPr>
        <w:t xml:space="preserve"> 66 Pa. C.S. § 1502,</w:t>
      </w:r>
      <w:r w:rsidRPr="000D1461">
        <w:rPr>
          <w:rFonts w:ascii="Times New Roman" w:eastAsia="Times New Roman" w:hAnsi="Times New Roman" w:cs="Times New Roman"/>
          <w:sz w:val="26"/>
          <w:szCs w:val="26"/>
        </w:rPr>
        <w:t xml:space="preserve"> which prohibits discrimination in the provision of service</w:t>
      </w:r>
      <w:r w:rsidR="00DC7B4C">
        <w:rPr>
          <w:rFonts w:ascii="Times New Roman" w:eastAsia="Times New Roman" w:hAnsi="Times New Roman" w:cs="Times New Roman"/>
          <w:sz w:val="26"/>
          <w:szCs w:val="26"/>
        </w:rPr>
        <w:t xml:space="preserve">.  We note that </w:t>
      </w:r>
      <w:r w:rsidR="00D50972">
        <w:rPr>
          <w:rFonts w:ascii="Times New Roman" w:eastAsia="Times New Roman" w:hAnsi="Times New Roman" w:cs="Times New Roman"/>
          <w:sz w:val="26"/>
          <w:szCs w:val="26"/>
        </w:rPr>
        <w:t>the ED</w:t>
      </w:r>
      <w:r w:rsidR="006B713F">
        <w:rPr>
          <w:rFonts w:ascii="Times New Roman" w:eastAsia="Times New Roman" w:hAnsi="Times New Roman" w:cs="Times New Roman"/>
          <w:sz w:val="26"/>
          <w:szCs w:val="26"/>
        </w:rPr>
        <w:t>C</w:t>
      </w:r>
      <w:r w:rsidR="004C7ED6">
        <w:rPr>
          <w:rFonts w:ascii="Times New Roman" w:eastAsia="Times New Roman" w:hAnsi="Times New Roman" w:cs="Times New Roman"/>
          <w:sz w:val="26"/>
          <w:szCs w:val="26"/>
        </w:rPr>
        <w:t>s’ billing practices remain subject to all applicable consumer protection regulations</w:t>
      </w:r>
      <w:r w:rsidR="001F057C">
        <w:rPr>
          <w:rFonts w:ascii="Times New Roman" w:eastAsia="Times New Roman" w:hAnsi="Times New Roman" w:cs="Times New Roman"/>
          <w:sz w:val="26"/>
          <w:szCs w:val="26"/>
        </w:rPr>
        <w:t xml:space="preserve">, and specifically, </w:t>
      </w:r>
      <w:r w:rsidR="001F057C" w:rsidRPr="001F057C">
        <w:rPr>
          <w:rFonts w:ascii="Times New Roman" w:eastAsia="Times New Roman" w:hAnsi="Times New Roman" w:cs="Times New Roman"/>
          <w:sz w:val="26"/>
          <w:szCs w:val="26"/>
        </w:rPr>
        <w:t>52 Pa. Code § 56.83(3)</w:t>
      </w:r>
      <w:r w:rsidR="00634DF9">
        <w:rPr>
          <w:rFonts w:ascii="Times New Roman" w:eastAsia="Times New Roman" w:hAnsi="Times New Roman" w:cs="Times New Roman"/>
          <w:sz w:val="26"/>
          <w:szCs w:val="26"/>
        </w:rPr>
        <w:t>,</w:t>
      </w:r>
      <w:r w:rsidR="001F057C" w:rsidRPr="001F057C">
        <w:rPr>
          <w:rFonts w:ascii="Times New Roman" w:eastAsia="Times New Roman" w:hAnsi="Times New Roman" w:cs="Times New Roman"/>
          <w:sz w:val="26"/>
          <w:szCs w:val="26"/>
        </w:rPr>
        <w:t xml:space="preserve"> which directs that a customer’s service may not be terminated for nonpayment of non</w:t>
      </w:r>
      <w:r w:rsidR="00E23790">
        <w:rPr>
          <w:rFonts w:ascii="Times New Roman" w:eastAsia="Times New Roman" w:hAnsi="Times New Roman" w:cs="Times New Roman"/>
          <w:sz w:val="26"/>
          <w:szCs w:val="26"/>
        </w:rPr>
        <w:t>-</w:t>
      </w:r>
      <w:r w:rsidR="001F057C" w:rsidRPr="001F057C">
        <w:rPr>
          <w:rFonts w:ascii="Times New Roman" w:eastAsia="Times New Roman" w:hAnsi="Times New Roman" w:cs="Times New Roman"/>
          <w:sz w:val="26"/>
          <w:szCs w:val="26"/>
        </w:rPr>
        <w:t>basic charges.</w:t>
      </w:r>
    </w:p>
    <w:p w14:paraId="10153EC7" w14:textId="06BC698E" w:rsidR="000D1461" w:rsidRPr="000D1461" w:rsidRDefault="00D50972" w:rsidP="00875D37">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288D24D2" w14:textId="096408F9" w:rsidR="00B513F9" w:rsidRPr="00F054D1" w:rsidRDefault="00B513F9" w:rsidP="00875D37">
      <w:pPr>
        <w:pStyle w:val="Heading1"/>
        <w:numPr>
          <w:ilvl w:val="0"/>
          <w:numId w:val="17"/>
        </w:numPr>
        <w:ind w:left="0" w:firstLine="0"/>
      </w:pPr>
      <w:r w:rsidRPr="00F054D1">
        <w:t>Background</w:t>
      </w:r>
    </w:p>
    <w:p w14:paraId="49CA54E5" w14:textId="51D1BB74" w:rsidR="00B513F9" w:rsidRDefault="00B513F9" w:rsidP="00875D37">
      <w:pPr>
        <w:spacing w:after="0" w:line="360" w:lineRule="auto"/>
        <w:jc w:val="center"/>
        <w:rPr>
          <w:rFonts w:ascii="Times New Roman" w:hAnsi="Times New Roman" w:cs="Times New Roman"/>
          <w:b/>
          <w:bCs/>
          <w:sz w:val="26"/>
          <w:szCs w:val="26"/>
        </w:rPr>
      </w:pPr>
    </w:p>
    <w:p w14:paraId="13ABCEA9" w14:textId="73367BB5" w:rsidR="00D578B0" w:rsidRDefault="00FE235D" w:rsidP="00875D37">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The case concerns a </w:t>
      </w:r>
      <w:r w:rsidR="00647C1B">
        <w:rPr>
          <w:rFonts w:ascii="Times New Roman" w:hAnsi="Times New Roman" w:cs="Times New Roman"/>
          <w:sz w:val="26"/>
          <w:szCs w:val="26"/>
        </w:rPr>
        <w:t xml:space="preserve">billing </w:t>
      </w:r>
      <w:r>
        <w:rPr>
          <w:rFonts w:ascii="Times New Roman" w:hAnsi="Times New Roman" w:cs="Times New Roman"/>
          <w:sz w:val="26"/>
          <w:szCs w:val="26"/>
        </w:rPr>
        <w:t xml:space="preserve">practice known in the utility industry </w:t>
      </w:r>
      <w:r w:rsidR="00352457">
        <w:rPr>
          <w:rFonts w:ascii="Times New Roman" w:hAnsi="Times New Roman" w:cs="Times New Roman"/>
          <w:sz w:val="26"/>
          <w:szCs w:val="26"/>
        </w:rPr>
        <w:t xml:space="preserve">as </w:t>
      </w:r>
      <w:r>
        <w:rPr>
          <w:rFonts w:ascii="Times New Roman" w:hAnsi="Times New Roman" w:cs="Times New Roman"/>
          <w:sz w:val="26"/>
          <w:szCs w:val="26"/>
        </w:rPr>
        <w:t xml:space="preserve">“on-bill billing,” </w:t>
      </w:r>
      <w:r w:rsidR="00647C1B">
        <w:rPr>
          <w:rFonts w:ascii="Times New Roman" w:hAnsi="Times New Roman" w:cs="Times New Roman"/>
          <w:sz w:val="26"/>
          <w:szCs w:val="26"/>
        </w:rPr>
        <w:t>whereby a company includes non-commodity good</w:t>
      </w:r>
      <w:r w:rsidR="00352457">
        <w:rPr>
          <w:rFonts w:ascii="Times New Roman" w:hAnsi="Times New Roman" w:cs="Times New Roman"/>
          <w:sz w:val="26"/>
          <w:szCs w:val="26"/>
        </w:rPr>
        <w:t>s</w:t>
      </w:r>
      <w:r w:rsidR="00647C1B">
        <w:rPr>
          <w:rFonts w:ascii="Times New Roman" w:hAnsi="Times New Roman" w:cs="Times New Roman"/>
          <w:sz w:val="26"/>
          <w:szCs w:val="26"/>
        </w:rPr>
        <w:t xml:space="preserve"> and services </w:t>
      </w:r>
      <w:r w:rsidR="00CD058B">
        <w:rPr>
          <w:rFonts w:ascii="Times New Roman" w:hAnsi="Times New Roman" w:cs="Times New Roman"/>
          <w:sz w:val="26"/>
          <w:szCs w:val="26"/>
        </w:rPr>
        <w:t xml:space="preserve">on its monthly utility </w:t>
      </w:r>
      <w:r w:rsidR="00647C1B">
        <w:rPr>
          <w:rFonts w:ascii="Times New Roman" w:hAnsi="Times New Roman" w:cs="Times New Roman"/>
          <w:sz w:val="26"/>
          <w:szCs w:val="26"/>
        </w:rPr>
        <w:t xml:space="preserve">bills </w:t>
      </w:r>
      <w:r w:rsidR="00CD058B">
        <w:rPr>
          <w:rFonts w:ascii="Times New Roman" w:hAnsi="Times New Roman" w:cs="Times New Roman"/>
          <w:sz w:val="26"/>
          <w:szCs w:val="26"/>
        </w:rPr>
        <w:t xml:space="preserve">to </w:t>
      </w:r>
      <w:r w:rsidR="00647C1B">
        <w:rPr>
          <w:rFonts w:ascii="Times New Roman" w:hAnsi="Times New Roman" w:cs="Times New Roman"/>
          <w:sz w:val="26"/>
          <w:szCs w:val="26"/>
        </w:rPr>
        <w:t>its customers</w:t>
      </w:r>
      <w:r w:rsidR="00CD058B">
        <w:rPr>
          <w:rFonts w:ascii="Times New Roman" w:hAnsi="Times New Roman" w:cs="Times New Roman"/>
          <w:sz w:val="26"/>
          <w:szCs w:val="26"/>
        </w:rPr>
        <w:t>.</w:t>
      </w:r>
      <w:r w:rsidR="00D02B1A">
        <w:rPr>
          <w:rFonts w:ascii="Times New Roman" w:hAnsi="Times New Roman" w:cs="Times New Roman"/>
          <w:sz w:val="26"/>
          <w:szCs w:val="26"/>
        </w:rPr>
        <w:t xml:space="preserve">  In the present case, </w:t>
      </w:r>
      <w:r w:rsidR="00352457">
        <w:rPr>
          <w:rFonts w:ascii="Times New Roman" w:hAnsi="Times New Roman" w:cs="Times New Roman"/>
          <w:sz w:val="26"/>
          <w:szCs w:val="26"/>
        </w:rPr>
        <w:t xml:space="preserve">the </w:t>
      </w:r>
      <w:r w:rsidR="007209DB">
        <w:rPr>
          <w:rFonts w:ascii="Times New Roman" w:hAnsi="Times New Roman" w:cs="Times New Roman"/>
          <w:sz w:val="26"/>
          <w:szCs w:val="26"/>
        </w:rPr>
        <w:t xml:space="preserve">EDCs </w:t>
      </w:r>
      <w:r w:rsidR="007338F3">
        <w:rPr>
          <w:rFonts w:ascii="Times New Roman" w:hAnsi="Times New Roman" w:cs="Times New Roman"/>
          <w:sz w:val="26"/>
          <w:szCs w:val="26"/>
        </w:rPr>
        <w:t xml:space="preserve">offer </w:t>
      </w:r>
      <w:r w:rsidR="00E23E02">
        <w:rPr>
          <w:rFonts w:ascii="Times New Roman" w:hAnsi="Times New Roman" w:cs="Times New Roman"/>
          <w:sz w:val="26"/>
          <w:szCs w:val="26"/>
        </w:rPr>
        <w:t xml:space="preserve">their own </w:t>
      </w:r>
      <w:r w:rsidR="007338F3">
        <w:rPr>
          <w:rFonts w:ascii="Times New Roman" w:hAnsi="Times New Roman" w:cs="Times New Roman"/>
          <w:sz w:val="26"/>
          <w:szCs w:val="26"/>
        </w:rPr>
        <w:t>non-</w:t>
      </w:r>
      <w:r w:rsidR="007338F3">
        <w:rPr>
          <w:rFonts w:ascii="Times New Roman" w:hAnsi="Times New Roman" w:cs="Times New Roman"/>
          <w:sz w:val="26"/>
          <w:szCs w:val="26"/>
        </w:rPr>
        <w:lastRenderedPageBreak/>
        <w:t xml:space="preserve">commodity goods and services </w:t>
      </w:r>
      <w:r w:rsidR="00E23E02" w:rsidRPr="009663C2">
        <w:rPr>
          <w:rFonts w:ascii="Times New Roman" w:hAnsi="Times New Roman" w:cs="Times New Roman"/>
          <w:i/>
          <w:iCs/>
          <w:sz w:val="26"/>
          <w:szCs w:val="26"/>
        </w:rPr>
        <w:t>via</w:t>
      </w:r>
      <w:r w:rsidR="00E23E02">
        <w:rPr>
          <w:rFonts w:ascii="Times New Roman" w:hAnsi="Times New Roman" w:cs="Times New Roman"/>
          <w:sz w:val="26"/>
          <w:szCs w:val="26"/>
        </w:rPr>
        <w:t xml:space="preserve"> </w:t>
      </w:r>
      <w:r w:rsidR="00352457">
        <w:rPr>
          <w:rFonts w:ascii="Times New Roman" w:hAnsi="Times New Roman" w:cs="Times New Roman"/>
          <w:sz w:val="26"/>
          <w:szCs w:val="26"/>
        </w:rPr>
        <w:t>“</w:t>
      </w:r>
      <w:r w:rsidR="00E23E02">
        <w:rPr>
          <w:rFonts w:ascii="Times New Roman" w:hAnsi="Times New Roman" w:cs="Times New Roman"/>
          <w:sz w:val="26"/>
          <w:szCs w:val="26"/>
        </w:rPr>
        <w:t>on-bill billing</w:t>
      </w:r>
      <w:r w:rsidR="00352457">
        <w:rPr>
          <w:rFonts w:ascii="Times New Roman" w:hAnsi="Times New Roman" w:cs="Times New Roman"/>
          <w:sz w:val="26"/>
          <w:szCs w:val="26"/>
        </w:rPr>
        <w:t>”</w:t>
      </w:r>
      <w:r w:rsidR="00E23E02">
        <w:rPr>
          <w:rFonts w:ascii="Times New Roman" w:hAnsi="Times New Roman" w:cs="Times New Roman"/>
          <w:sz w:val="26"/>
          <w:szCs w:val="26"/>
        </w:rPr>
        <w:t xml:space="preserve"> to </w:t>
      </w:r>
      <w:r w:rsidR="000A7B94">
        <w:rPr>
          <w:rFonts w:ascii="Times New Roman" w:hAnsi="Times New Roman" w:cs="Times New Roman"/>
          <w:sz w:val="26"/>
          <w:szCs w:val="26"/>
        </w:rPr>
        <w:t xml:space="preserve">their customers.  </w:t>
      </w:r>
      <w:r w:rsidR="002F2655">
        <w:rPr>
          <w:rFonts w:ascii="Times New Roman" w:hAnsi="Times New Roman" w:cs="Times New Roman"/>
          <w:sz w:val="26"/>
          <w:szCs w:val="26"/>
        </w:rPr>
        <w:t xml:space="preserve">The </w:t>
      </w:r>
      <w:r w:rsidR="00944EDD">
        <w:rPr>
          <w:rFonts w:ascii="Times New Roman" w:hAnsi="Times New Roman" w:cs="Times New Roman"/>
          <w:sz w:val="26"/>
          <w:szCs w:val="26"/>
        </w:rPr>
        <w:t xml:space="preserve">EGSs are free to do the same </w:t>
      </w:r>
      <w:r w:rsidR="00944EDD" w:rsidRPr="00B20E07">
        <w:rPr>
          <w:rFonts w:ascii="Times New Roman" w:hAnsi="Times New Roman" w:cs="Times New Roman"/>
          <w:i/>
          <w:iCs/>
          <w:sz w:val="26"/>
          <w:szCs w:val="26"/>
        </w:rPr>
        <w:t>via</w:t>
      </w:r>
      <w:r w:rsidR="00944EDD">
        <w:rPr>
          <w:rFonts w:ascii="Times New Roman" w:hAnsi="Times New Roman" w:cs="Times New Roman"/>
          <w:sz w:val="26"/>
          <w:szCs w:val="26"/>
        </w:rPr>
        <w:t xml:space="preserve"> their </w:t>
      </w:r>
      <w:r w:rsidR="009663C2">
        <w:rPr>
          <w:rFonts w:ascii="Times New Roman" w:hAnsi="Times New Roman" w:cs="Times New Roman"/>
          <w:sz w:val="26"/>
          <w:szCs w:val="26"/>
        </w:rPr>
        <w:t>own</w:t>
      </w:r>
      <w:r w:rsidR="00944EDD">
        <w:rPr>
          <w:rFonts w:ascii="Times New Roman" w:hAnsi="Times New Roman" w:cs="Times New Roman"/>
          <w:sz w:val="26"/>
          <w:szCs w:val="26"/>
        </w:rPr>
        <w:t xml:space="preserve"> </w:t>
      </w:r>
      <w:r w:rsidR="00B20E07">
        <w:rPr>
          <w:rFonts w:ascii="Times New Roman" w:hAnsi="Times New Roman" w:cs="Times New Roman"/>
          <w:sz w:val="26"/>
          <w:szCs w:val="26"/>
        </w:rPr>
        <w:t xml:space="preserve">direct billing of customers.  Here, </w:t>
      </w:r>
      <w:r w:rsidR="00B37FCE">
        <w:rPr>
          <w:rFonts w:ascii="Times New Roman" w:hAnsi="Times New Roman" w:cs="Times New Roman"/>
          <w:sz w:val="26"/>
          <w:szCs w:val="26"/>
        </w:rPr>
        <w:t xml:space="preserve">however, the </w:t>
      </w:r>
      <w:r w:rsidR="00D02B1A">
        <w:rPr>
          <w:rFonts w:ascii="Times New Roman" w:hAnsi="Times New Roman" w:cs="Times New Roman"/>
          <w:sz w:val="26"/>
          <w:szCs w:val="26"/>
        </w:rPr>
        <w:t>EGSs sought to require the E</w:t>
      </w:r>
      <w:r w:rsidR="00605EFE">
        <w:rPr>
          <w:rFonts w:ascii="Times New Roman" w:hAnsi="Times New Roman" w:cs="Times New Roman"/>
          <w:sz w:val="26"/>
          <w:szCs w:val="26"/>
        </w:rPr>
        <w:t>D</w:t>
      </w:r>
      <w:r w:rsidR="00D02B1A">
        <w:rPr>
          <w:rFonts w:ascii="Times New Roman" w:hAnsi="Times New Roman" w:cs="Times New Roman"/>
          <w:sz w:val="26"/>
          <w:szCs w:val="26"/>
        </w:rPr>
        <w:t>Cs</w:t>
      </w:r>
      <w:r w:rsidR="00B37FCE">
        <w:rPr>
          <w:rFonts w:ascii="Times New Roman" w:hAnsi="Times New Roman" w:cs="Times New Roman"/>
          <w:sz w:val="26"/>
          <w:szCs w:val="26"/>
        </w:rPr>
        <w:t xml:space="preserve">, which are required </w:t>
      </w:r>
      <w:r w:rsidR="007A41FA">
        <w:rPr>
          <w:rFonts w:ascii="Times New Roman" w:hAnsi="Times New Roman" w:cs="Times New Roman"/>
          <w:sz w:val="26"/>
          <w:szCs w:val="26"/>
        </w:rPr>
        <w:t xml:space="preserve">by statute </w:t>
      </w:r>
      <w:r w:rsidR="00B37FCE">
        <w:rPr>
          <w:rFonts w:ascii="Times New Roman" w:hAnsi="Times New Roman" w:cs="Times New Roman"/>
          <w:sz w:val="26"/>
          <w:szCs w:val="26"/>
        </w:rPr>
        <w:t xml:space="preserve">to provide customer billing </w:t>
      </w:r>
      <w:r w:rsidR="00500C27">
        <w:rPr>
          <w:rFonts w:ascii="Times New Roman" w:hAnsi="Times New Roman" w:cs="Times New Roman"/>
          <w:sz w:val="26"/>
          <w:szCs w:val="26"/>
        </w:rPr>
        <w:t xml:space="preserve">for electric service provided by the EGSs, </w:t>
      </w:r>
      <w:r w:rsidR="00E922F3">
        <w:rPr>
          <w:rFonts w:ascii="Times New Roman" w:hAnsi="Times New Roman" w:cs="Times New Roman"/>
          <w:sz w:val="26"/>
          <w:szCs w:val="26"/>
        </w:rPr>
        <w:t xml:space="preserve">to also </w:t>
      </w:r>
      <w:r w:rsidR="00D02B1A">
        <w:rPr>
          <w:rFonts w:ascii="Times New Roman" w:hAnsi="Times New Roman" w:cs="Times New Roman"/>
          <w:sz w:val="26"/>
          <w:szCs w:val="26"/>
        </w:rPr>
        <w:t xml:space="preserve">provide </w:t>
      </w:r>
      <w:r w:rsidR="00997283">
        <w:rPr>
          <w:rFonts w:ascii="Times New Roman" w:hAnsi="Times New Roman" w:cs="Times New Roman"/>
          <w:sz w:val="26"/>
          <w:szCs w:val="26"/>
        </w:rPr>
        <w:t xml:space="preserve">the EGSs </w:t>
      </w:r>
      <w:r w:rsidR="00AC33CC">
        <w:rPr>
          <w:rFonts w:ascii="Times New Roman" w:hAnsi="Times New Roman" w:cs="Times New Roman"/>
          <w:sz w:val="26"/>
          <w:szCs w:val="26"/>
        </w:rPr>
        <w:t xml:space="preserve">with </w:t>
      </w:r>
      <w:r w:rsidR="00997283">
        <w:rPr>
          <w:rFonts w:ascii="Times New Roman" w:hAnsi="Times New Roman" w:cs="Times New Roman"/>
          <w:sz w:val="26"/>
          <w:szCs w:val="26"/>
        </w:rPr>
        <w:t xml:space="preserve">the same </w:t>
      </w:r>
      <w:r w:rsidR="002F2655">
        <w:rPr>
          <w:rFonts w:ascii="Times New Roman" w:hAnsi="Times New Roman" w:cs="Times New Roman"/>
          <w:sz w:val="26"/>
          <w:szCs w:val="26"/>
        </w:rPr>
        <w:t>“</w:t>
      </w:r>
      <w:r w:rsidR="00997283">
        <w:rPr>
          <w:rFonts w:ascii="Times New Roman" w:hAnsi="Times New Roman" w:cs="Times New Roman"/>
          <w:sz w:val="26"/>
          <w:szCs w:val="26"/>
        </w:rPr>
        <w:t>on-bill billing</w:t>
      </w:r>
      <w:r w:rsidR="002F2655">
        <w:rPr>
          <w:rFonts w:ascii="Times New Roman" w:hAnsi="Times New Roman" w:cs="Times New Roman"/>
          <w:sz w:val="26"/>
          <w:szCs w:val="26"/>
        </w:rPr>
        <w:t>”</w:t>
      </w:r>
      <w:r w:rsidR="009722F0">
        <w:rPr>
          <w:rFonts w:ascii="Times New Roman" w:hAnsi="Times New Roman" w:cs="Times New Roman"/>
          <w:sz w:val="26"/>
          <w:szCs w:val="26"/>
        </w:rPr>
        <w:t xml:space="preserve"> services </w:t>
      </w:r>
      <w:r w:rsidR="00E922F3">
        <w:rPr>
          <w:rFonts w:ascii="Times New Roman" w:hAnsi="Times New Roman" w:cs="Times New Roman"/>
          <w:sz w:val="26"/>
          <w:szCs w:val="26"/>
        </w:rPr>
        <w:t xml:space="preserve">for non-commodity (other than electric) </w:t>
      </w:r>
      <w:r w:rsidR="009722F0">
        <w:rPr>
          <w:rFonts w:ascii="Times New Roman" w:hAnsi="Times New Roman" w:cs="Times New Roman"/>
          <w:sz w:val="26"/>
          <w:szCs w:val="26"/>
        </w:rPr>
        <w:t xml:space="preserve">for the EGSs’ customers </w:t>
      </w:r>
      <w:r w:rsidR="00AC33CC">
        <w:rPr>
          <w:rFonts w:ascii="Times New Roman" w:hAnsi="Times New Roman" w:cs="Times New Roman"/>
          <w:sz w:val="26"/>
          <w:szCs w:val="26"/>
        </w:rPr>
        <w:t xml:space="preserve">as </w:t>
      </w:r>
      <w:r w:rsidR="00997283">
        <w:rPr>
          <w:rFonts w:ascii="Times New Roman" w:hAnsi="Times New Roman" w:cs="Times New Roman"/>
          <w:sz w:val="26"/>
          <w:szCs w:val="26"/>
        </w:rPr>
        <w:t xml:space="preserve">the EDCs were </w:t>
      </w:r>
      <w:r w:rsidR="009722F0">
        <w:rPr>
          <w:rFonts w:ascii="Times New Roman" w:hAnsi="Times New Roman" w:cs="Times New Roman"/>
          <w:sz w:val="26"/>
          <w:szCs w:val="26"/>
        </w:rPr>
        <w:t xml:space="preserve">providing its own customers.  </w:t>
      </w:r>
      <w:r w:rsidR="00FC1F49">
        <w:rPr>
          <w:rFonts w:ascii="Times New Roman" w:hAnsi="Times New Roman" w:cs="Times New Roman"/>
          <w:sz w:val="26"/>
          <w:szCs w:val="26"/>
        </w:rPr>
        <w:t>T</w:t>
      </w:r>
      <w:r w:rsidR="00DB0A7F" w:rsidRPr="006A749C">
        <w:rPr>
          <w:rFonts w:ascii="Times New Roman" w:hAnsi="Times New Roman" w:cs="Times New Roman"/>
          <w:sz w:val="26"/>
          <w:szCs w:val="26"/>
        </w:rPr>
        <w:t xml:space="preserve">he ALJ’s </w:t>
      </w:r>
      <w:r w:rsidR="0062621D" w:rsidRPr="006A749C">
        <w:rPr>
          <w:rFonts w:ascii="Times New Roman" w:hAnsi="Times New Roman" w:cs="Times New Roman"/>
          <w:sz w:val="26"/>
          <w:szCs w:val="26"/>
        </w:rPr>
        <w:t xml:space="preserve">Initial Decision sustained the </w:t>
      </w:r>
      <w:r w:rsidR="001022B4" w:rsidRPr="006A749C">
        <w:rPr>
          <w:rFonts w:ascii="Times New Roman" w:hAnsi="Times New Roman" w:cs="Times New Roman"/>
          <w:sz w:val="26"/>
          <w:szCs w:val="26"/>
        </w:rPr>
        <w:t xml:space="preserve">EGSs’ </w:t>
      </w:r>
      <w:r w:rsidR="0062621D" w:rsidRPr="006A749C">
        <w:rPr>
          <w:rFonts w:ascii="Times New Roman" w:hAnsi="Times New Roman" w:cs="Times New Roman"/>
          <w:sz w:val="26"/>
          <w:szCs w:val="26"/>
        </w:rPr>
        <w:t>Complaint</w:t>
      </w:r>
      <w:r w:rsidR="00DB0A7F" w:rsidRPr="006A749C">
        <w:rPr>
          <w:rFonts w:ascii="Times New Roman" w:hAnsi="Times New Roman" w:cs="Times New Roman"/>
          <w:sz w:val="26"/>
          <w:szCs w:val="26"/>
        </w:rPr>
        <w:t xml:space="preserve"> </w:t>
      </w:r>
      <w:r w:rsidR="00F7038C">
        <w:rPr>
          <w:rFonts w:ascii="Times New Roman" w:hAnsi="Times New Roman" w:cs="Times New Roman"/>
          <w:sz w:val="26"/>
          <w:szCs w:val="26"/>
        </w:rPr>
        <w:t xml:space="preserve">averring that the EDCs’ </w:t>
      </w:r>
      <w:r w:rsidR="0058490E" w:rsidRPr="00F7038C">
        <w:rPr>
          <w:rFonts w:ascii="Times New Roman" w:hAnsi="Times New Roman" w:cs="Times New Roman"/>
          <w:sz w:val="26"/>
          <w:szCs w:val="26"/>
        </w:rPr>
        <w:t xml:space="preserve">provision of </w:t>
      </w:r>
      <w:r w:rsidR="00AC33CC">
        <w:rPr>
          <w:rFonts w:ascii="Times New Roman" w:hAnsi="Times New Roman" w:cs="Times New Roman"/>
          <w:sz w:val="26"/>
          <w:szCs w:val="26"/>
        </w:rPr>
        <w:t>“</w:t>
      </w:r>
      <w:r w:rsidR="0058490E" w:rsidRPr="00F7038C">
        <w:rPr>
          <w:rFonts w:ascii="Times New Roman" w:hAnsi="Times New Roman" w:cs="Times New Roman"/>
          <w:sz w:val="26"/>
          <w:szCs w:val="26"/>
        </w:rPr>
        <w:t>on-bill billing</w:t>
      </w:r>
      <w:r w:rsidR="00AC33CC">
        <w:rPr>
          <w:rFonts w:ascii="Times New Roman" w:hAnsi="Times New Roman" w:cs="Times New Roman"/>
          <w:sz w:val="26"/>
          <w:szCs w:val="26"/>
        </w:rPr>
        <w:t>”</w:t>
      </w:r>
      <w:r w:rsidR="0058490E" w:rsidRPr="00F7038C">
        <w:rPr>
          <w:rFonts w:ascii="Times New Roman" w:hAnsi="Times New Roman" w:cs="Times New Roman"/>
          <w:sz w:val="26"/>
          <w:szCs w:val="26"/>
        </w:rPr>
        <w:t xml:space="preserve"> for the benefit of their own customers</w:t>
      </w:r>
      <w:r w:rsidR="007F69BA">
        <w:rPr>
          <w:rFonts w:ascii="Times New Roman" w:hAnsi="Times New Roman" w:cs="Times New Roman"/>
          <w:sz w:val="26"/>
          <w:szCs w:val="26"/>
        </w:rPr>
        <w:t>,</w:t>
      </w:r>
      <w:r w:rsidR="0058490E" w:rsidRPr="00F7038C">
        <w:rPr>
          <w:rFonts w:ascii="Times New Roman" w:hAnsi="Times New Roman" w:cs="Times New Roman"/>
          <w:sz w:val="26"/>
          <w:szCs w:val="26"/>
        </w:rPr>
        <w:t xml:space="preserve"> and not to the </w:t>
      </w:r>
      <w:r w:rsidR="00DB6BC6">
        <w:rPr>
          <w:rFonts w:ascii="Times New Roman" w:hAnsi="Times New Roman" w:cs="Times New Roman"/>
          <w:sz w:val="26"/>
          <w:szCs w:val="26"/>
        </w:rPr>
        <w:t>EGSs’ customers</w:t>
      </w:r>
      <w:r w:rsidR="007F69BA">
        <w:rPr>
          <w:rFonts w:ascii="Times New Roman" w:hAnsi="Times New Roman" w:cs="Times New Roman"/>
          <w:sz w:val="26"/>
          <w:szCs w:val="26"/>
        </w:rPr>
        <w:t>,</w:t>
      </w:r>
      <w:r w:rsidR="00DB6BC6">
        <w:rPr>
          <w:rFonts w:ascii="Times New Roman" w:hAnsi="Times New Roman" w:cs="Times New Roman"/>
          <w:sz w:val="26"/>
          <w:szCs w:val="26"/>
        </w:rPr>
        <w:t xml:space="preserve"> </w:t>
      </w:r>
      <w:r w:rsidR="006A749C" w:rsidRPr="006A749C">
        <w:rPr>
          <w:rFonts w:ascii="Times New Roman" w:hAnsi="Times New Roman" w:cs="Times New Roman"/>
          <w:sz w:val="26"/>
          <w:szCs w:val="26"/>
        </w:rPr>
        <w:t xml:space="preserve">demonstrates that the companies do not provide the </w:t>
      </w:r>
      <w:r w:rsidR="007F69BA">
        <w:rPr>
          <w:rFonts w:ascii="Times New Roman" w:hAnsi="Times New Roman" w:cs="Times New Roman"/>
          <w:sz w:val="26"/>
          <w:szCs w:val="26"/>
        </w:rPr>
        <w:t>EGS with</w:t>
      </w:r>
      <w:r w:rsidR="006A749C" w:rsidRPr="006A749C">
        <w:rPr>
          <w:rFonts w:ascii="Times New Roman" w:hAnsi="Times New Roman" w:cs="Times New Roman"/>
          <w:sz w:val="26"/>
          <w:szCs w:val="26"/>
        </w:rPr>
        <w:t xml:space="preserve"> rates, terms of access and conditions that are comparable to </w:t>
      </w:r>
      <w:r w:rsidR="007F69BA">
        <w:rPr>
          <w:rFonts w:ascii="Times New Roman" w:hAnsi="Times New Roman" w:cs="Times New Roman"/>
          <w:sz w:val="26"/>
          <w:szCs w:val="26"/>
        </w:rPr>
        <w:t xml:space="preserve">the </w:t>
      </w:r>
      <w:r w:rsidR="007E057D">
        <w:rPr>
          <w:rFonts w:ascii="Times New Roman" w:hAnsi="Times New Roman" w:cs="Times New Roman"/>
          <w:sz w:val="26"/>
          <w:szCs w:val="26"/>
        </w:rPr>
        <w:t xml:space="preserve">EDCs’ </w:t>
      </w:r>
      <w:r w:rsidR="006A749C" w:rsidRPr="006A749C">
        <w:rPr>
          <w:rFonts w:ascii="Times New Roman" w:hAnsi="Times New Roman" w:cs="Times New Roman"/>
          <w:sz w:val="26"/>
          <w:szCs w:val="26"/>
        </w:rPr>
        <w:t xml:space="preserve">own use of the system.  </w:t>
      </w:r>
    </w:p>
    <w:p w14:paraId="198F3528" w14:textId="77777777" w:rsidR="00D578B0" w:rsidRDefault="00D578B0" w:rsidP="007A41FA">
      <w:pPr>
        <w:spacing w:after="0" w:line="360" w:lineRule="auto"/>
        <w:ind w:firstLine="1440"/>
        <w:rPr>
          <w:rFonts w:ascii="Times New Roman" w:hAnsi="Times New Roman" w:cs="Times New Roman"/>
          <w:sz w:val="26"/>
          <w:szCs w:val="26"/>
        </w:rPr>
      </w:pPr>
    </w:p>
    <w:p w14:paraId="761134CB" w14:textId="36C03E4E" w:rsidR="00DB0A7F" w:rsidRPr="006A749C" w:rsidRDefault="006A749C" w:rsidP="00875D37">
      <w:pPr>
        <w:spacing w:after="0" w:line="360" w:lineRule="auto"/>
        <w:ind w:firstLine="1440"/>
        <w:rPr>
          <w:rFonts w:ascii="Times New Roman" w:hAnsi="Times New Roman" w:cs="Times New Roman"/>
          <w:sz w:val="26"/>
          <w:szCs w:val="26"/>
        </w:rPr>
      </w:pPr>
      <w:r w:rsidRPr="006A749C">
        <w:rPr>
          <w:rFonts w:ascii="Times New Roman" w:hAnsi="Times New Roman" w:cs="Times New Roman"/>
          <w:sz w:val="26"/>
          <w:szCs w:val="26"/>
        </w:rPr>
        <w:t>The</w:t>
      </w:r>
      <w:r w:rsidR="00AB7889">
        <w:rPr>
          <w:rFonts w:ascii="Times New Roman" w:hAnsi="Times New Roman" w:cs="Times New Roman"/>
          <w:sz w:val="26"/>
          <w:szCs w:val="26"/>
        </w:rPr>
        <w:t xml:space="preserve"> ALJ concluded that the EDC’s </w:t>
      </w:r>
      <w:r w:rsidR="00696CEA">
        <w:rPr>
          <w:rFonts w:ascii="Times New Roman" w:hAnsi="Times New Roman" w:cs="Times New Roman"/>
          <w:sz w:val="26"/>
          <w:szCs w:val="26"/>
        </w:rPr>
        <w:t xml:space="preserve">practice of offering </w:t>
      </w:r>
      <w:r w:rsidR="00D075C3">
        <w:rPr>
          <w:rFonts w:ascii="Times New Roman" w:hAnsi="Times New Roman" w:cs="Times New Roman"/>
          <w:sz w:val="26"/>
          <w:szCs w:val="26"/>
        </w:rPr>
        <w:t>“</w:t>
      </w:r>
      <w:r w:rsidR="00696CEA">
        <w:rPr>
          <w:rFonts w:ascii="Times New Roman" w:hAnsi="Times New Roman" w:cs="Times New Roman"/>
          <w:sz w:val="26"/>
          <w:szCs w:val="26"/>
        </w:rPr>
        <w:t>on-bill billing</w:t>
      </w:r>
      <w:r w:rsidR="00D075C3">
        <w:rPr>
          <w:rFonts w:ascii="Times New Roman" w:hAnsi="Times New Roman" w:cs="Times New Roman"/>
          <w:sz w:val="26"/>
          <w:szCs w:val="26"/>
        </w:rPr>
        <w:t>”</w:t>
      </w:r>
      <w:r w:rsidR="00696CEA">
        <w:rPr>
          <w:rFonts w:ascii="Times New Roman" w:hAnsi="Times New Roman" w:cs="Times New Roman"/>
          <w:sz w:val="26"/>
          <w:szCs w:val="26"/>
        </w:rPr>
        <w:t xml:space="preserve"> for</w:t>
      </w:r>
      <w:r w:rsidR="00EB447F">
        <w:rPr>
          <w:rFonts w:ascii="Times New Roman" w:hAnsi="Times New Roman" w:cs="Times New Roman"/>
          <w:sz w:val="26"/>
          <w:szCs w:val="26"/>
        </w:rPr>
        <w:t xml:space="preserve"> its own goods and services constitutes </w:t>
      </w:r>
      <w:r w:rsidR="006B035C">
        <w:rPr>
          <w:rFonts w:ascii="Times New Roman" w:hAnsi="Times New Roman" w:cs="Times New Roman"/>
          <w:sz w:val="26"/>
          <w:szCs w:val="26"/>
        </w:rPr>
        <w:t xml:space="preserve">discrimination, </w:t>
      </w:r>
      <w:r w:rsidR="006B035C" w:rsidRPr="006B035C">
        <w:rPr>
          <w:rFonts w:ascii="Times New Roman" w:hAnsi="Times New Roman" w:cs="Times New Roman"/>
          <w:i/>
          <w:iCs/>
          <w:sz w:val="26"/>
          <w:szCs w:val="26"/>
        </w:rPr>
        <w:t>i.e.,</w:t>
      </w:r>
      <w:r w:rsidR="006B035C">
        <w:rPr>
          <w:rFonts w:ascii="Times New Roman" w:hAnsi="Times New Roman" w:cs="Times New Roman"/>
          <w:sz w:val="26"/>
          <w:szCs w:val="26"/>
        </w:rPr>
        <w:t xml:space="preserve"> </w:t>
      </w:r>
      <w:r w:rsidRPr="006A749C">
        <w:rPr>
          <w:rFonts w:ascii="Times New Roman" w:hAnsi="Times New Roman" w:cs="Times New Roman"/>
          <w:sz w:val="26"/>
          <w:szCs w:val="26"/>
        </w:rPr>
        <w:t xml:space="preserve">an unreasonable preference or advantage </w:t>
      </w:r>
      <w:r w:rsidR="007209DB">
        <w:rPr>
          <w:rFonts w:ascii="Times New Roman" w:hAnsi="Times New Roman" w:cs="Times New Roman"/>
          <w:sz w:val="26"/>
          <w:szCs w:val="26"/>
        </w:rPr>
        <w:t>to itself</w:t>
      </w:r>
      <w:r w:rsidR="005B3943">
        <w:rPr>
          <w:rFonts w:ascii="Times New Roman" w:hAnsi="Times New Roman" w:cs="Times New Roman"/>
          <w:sz w:val="26"/>
          <w:szCs w:val="26"/>
        </w:rPr>
        <w:t xml:space="preserve"> </w:t>
      </w:r>
      <w:r w:rsidR="007209DB">
        <w:rPr>
          <w:rFonts w:ascii="Times New Roman" w:hAnsi="Times New Roman" w:cs="Times New Roman"/>
          <w:sz w:val="26"/>
          <w:szCs w:val="26"/>
        </w:rPr>
        <w:t xml:space="preserve">over the </w:t>
      </w:r>
      <w:r w:rsidR="00F60BAC">
        <w:rPr>
          <w:rFonts w:ascii="Times New Roman" w:hAnsi="Times New Roman" w:cs="Times New Roman"/>
          <w:sz w:val="26"/>
          <w:szCs w:val="26"/>
        </w:rPr>
        <w:t>EGSs and</w:t>
      </w:r>
      <w:r w:rsidR="003C1D34">
        <w:rPr>
          <w:rFonts w:ascii="Times New Roman" w:hAnsi="Times New Roman" w:cs="Times New Roman"/>
          <w:sz w:val="26"/>
          <w:szCs w:val="26"/>
        </w:rPr>
        <w:t xml:space="preserve"> is </w:t>
      </w:r>
      <w:r w:rsidR="007209DB">
        <w:rPr>
          <w:rFonts w:ascii="Times New Roman" w:hAnsi="Times New Roman" w:cs="Times New Roman"/>
          <w:sz w:val="26"/>
          <w:szCs w:val="26"/>
        </w:rPr>
        <w:t>i</w:t>
      </w:r>
      <w:r w:rsidRPr="006A749C">
        <w:rPr>
          <w:rFonts w:ascii="Times New Roman" w:hAnsi="Times New Roman" w:cs="Times New Roman"/>
          <w:sz w:val="26"/>
          <w:szCs w:val="26"/>
        </w:rPr>
        <w:t>n violation of the Public Utility Code</w:t>
      </w:r>
      <w:r w:rsidR="005B3943">
        <w:rPr>
          <w:rFonts w:ascii="Times New Roman" w:hAnsi="Times New Roman" w:cs="Times New Roman"/>
          <w:sz w:val="26"/>
          <w:szCs w:val="26"/>
        </w:rPr>
        <w:t xml:space="preserve">. </w:t>
      </w:r>
    </w:p>
    <w:p w14:paraId="7227AF67" w14:textId="77777777" w:rsidR="00B513F9" w:rsidRPr="00F054D1" w:rsidRDefault="00B513F9" w:rsidP="00875D37">
      <w:pPr>
        <w:pStyle w:val="NoSpacing"/>
        <w:tabs>
          <w:tab w:val="clear" w:pos="1440"/>
        </w:tabs>
        <w:spacing w:line="360" w:lineRule="auto"/>
        <w:jc w:val="center"/>
        <w:rPr>
          <w:b/>
          <w:bCs/>
          <w:sz w:val="26"/>
          <w:szCs w:val="26"/>
        </w:rPr>
      </w:pPr>
    </w:p>
    <w:p w14:paraId="7780F6EE" w14:textId="77777777" w:rsidR="00B513F9" w:rsidRPr="00F054D1" w:rsidRDefault="00B513F9" w:rsidP="00875D37">
      <w:pPr>
        <w:pStyle w:val="Heading1"/>
      </w:pPr>
      <w:r w:rsidRPr="00F054D1">
        <w:t>II.</w:t>
      </w:r>
      <w:r w:rsidRPr="00F054D1">
        <w:tab/>
        <w:t>History of the Proceeding</w:t>
      </w:r>
    </w:p>
    <w:p w14:paraId="3E889497" w14:textId="18B94105" w:rsidR="00DC699E" w:rsidRDefault="00DC699E" w:rsidP="00875D37">
      <w:pPr>
        <w:spacing w:after="0" w:line="360" w:lineRule="auto"/>
      </w:pPr>
    </w:p>
    <w:p w14:paraId="75BA3B5C" w14:textId="383C2810" w:rsidR="00DC699E" w:rsidRPr="00DC699E" w:rsidRDefault="00DC699E" w:rsidP="00875D37">
      <w:pPr>
        <w:spacing w:after="0" w:line="360" w:lineRule="auto"/>
        <w:ind w:firstLine="1440"/>
        <w:rPr>
          <w:rFonts w:ascii="Times New Roman" w:eastAsia="Times New Roman" w:hAnsi="Times New Roman" w:cs="Times New Roman"/>
          <w:bCs/>
          <w:color w:val="FF0000"/>
          <w:sz w:val="26"/>
          <w:szCs w:val="26"/>
        </w:rPr>
      </w:pPr>
      <w:r w:rsidRPr="00DC699E">
        <w:rPr>
          <w:rFonts w:ascii="Times New Roman" w:eastAsia="Times New Roman" w:hAnsi="Times New Roman" w:cs="Times New Roman"/>
          <w:bCs/>
          <w:sz w:val="26"/>
          <w:szCs w:val="26"/>
        </w:rPr>
        <w:t>On October 25, 2019, Interstate Gas Supply, Inc.</w:t>
      </w:r>
      <w:r w:rsidR="00E9022F">
        <w:rPr>
          <w:rFonts w:ascii="Times New Roman" w:eastAsia="Times New Roman" w:hAnsi="Times New Roman" w:cs="Times New Roman"/>
          <w:bCs/>
          <w:sz w:val="26"/>
          <w:szCs w:val="26"/>
        </w:rPr>
        <w:t xml:space="preserve"> and two other EGSs </w:t>
      </w:r>
      <w:r w:rsidRPr="00DC699E">
        <w:rPr>
          <w:rFonts w:ascii="Times New Roman" w:eastAsia="Times New Roman" w:hAnsi="Times New Roman" w:cs="Times New Roman"/>
          <w:bCs/>
          <w:sz w:val="26"/>
          <w:szCs w:val="26"/>
        </w:rPr>
        <w:t>filed a Formal Complaint (Complaint) against the Respondent</w:t>
      </w:r>
      <w:r w:rsidR="00284D05">
        <w:rPr>
          <w:rFonts w:ascii="Times New Roman" w:eastAsia="Times New Roman" w:hAnsi="Times New Roman" w:cs="Times New Roman"/>
          <w:bCs/>
          <w:sz w:val="26"/>
          <w:szCs w:val="26"/>
        </w:rPr>
        <w:t>s</w:t>
      </w:r>
      <w:r w:rsidRPr="00DC699E">
        <w:rPr>
          <w:rFonts w:ascii="Times New Roman" w:eastAsia="Times New Roman" w:hAnsi="Times New Roman" w:cs="Times New Roman"/>
          <w:bCs/>
          <w:sz w:val="26"/>
          <w:szCs w:val="26"/>
        </w:rPr>
        <w:t xml:space="preserve"> alleging that the EDCs’ conduct of providing a billing service, known in the industry as “on-bill billing</w:t>
      </w:r>
      <w:r w:rsidR="00113BC9">
        <w:rPr>
          <w:rFonts w:ascii="Times New Roman" w:eastAsia="Times New Roman" w:hAnsi="Times New Roman" w:cs="Times New Roman"/>
          <w:bCs/>
          <w:sz w:val="26"/>
          <w:szCs w:val="26"/>
        </w:rPr>
        <w:t>,</w:t>
      </w:r>
      <w:r w:rsidR="00385EE7">
        <w:rPr>
          <w:rFonts w:ascii="Times New Roman" w:eastAsia="Times New Roman" w:hAnsi="Times New Roman" w:cs="Times New Roman"/>
          <w:bCs/>
          <w:sz w:val="26"/>
          <w:szCs w:val="26"/>
        </w:rPr>
        <w:t>”</w:t>
      </w:r>
      <w:r w:rsidRPr="00DC699E">
        <w:rPr>
          <w:rFonts w:ascii="Times New Roman" w:eastAsia="Times New Roman" w:hAnsi="Times New Roman" w:cs="Times New Roman"/>
          <w:bCs/>
          <w:sz w:val="26"/>
          <w:szCs w:val="26"/>
        </w:rPr>
        <w:t xml:space="preserve"> for non-commodity products and services that it provides for the benefit of </w:t>
      </w:r>
      <w:r w:rsidR="003C1D34">
        <w:rPr>
          <w:rFonts w:ascii="Times New Roman" w:eastAsia="Times New Roman" w:hAnsi="Times New Roman" w:cs="Times New Roman"/>
          <w:bCs/>
          <w:sz w:val="26"/>
          <w:szCs w:val="26"/>
        </w:rPr>
        <w:t>their</w:t>
      </w:r>
      <w:r w:rsidR="00EF68D1">
        <w:rPr>
          <w:rFonts w:ascii="Times New Roman" w:eastAsia="Times New Roman" w:hAnsi="Times New Roman" w:cs="Times New Roman"/>
          <w:bCs/>
          <w:sz w:val="26"/>
          <w:szCs w:val="26"/>
        </w:rPr>
        <w:t xml:space="preserve"> own </w:t>
      </w:r>
      <w:r w:rsidRPr="00DC699E">
        <w:rPr>
          <w:rFonts w:ascii="Times New Roman" w:eastAsia="Times New Roman" w:hAnsi="Times New Roman" w:cs="Times New Roman"/>
          <w:bCs/>
          <w:sz w:val="26"/>
          <w:szCs w:val="26"/>
        </w:rPr>
        <w:t xml:space="preserve">electric distribution customers, while refusing to provide </w:t>
      </w:r>
      <w:r w:rsidR="00385EE7">
        <w:rPr>
          <w:rFonts w:ascii="Times New Roman" w:eastAsia="Times New Roman" w:hAnsi="Times New Roman" w:cs="Times New Roman"/>
          <w:bCs/>
          <w:sz w:val="26"/>
          <w:szCs w:val="26"/>
        </w:rPr>
        <w:t>“</w:t>
      </w:r>
      <w:r w:rsidRPr="00DC699E">
        <w:rPr>
          <w:rFonts w:ascii="Times New Roman" w:eastAsia="Times New Roman" w:hAnsi="Times New Roman" w:cs="Times New Roman"/>
          <w:bCs/>
          <w:sz w:val="26"/>
          <w:szCs w:val="26"/>
        </w:rPr>
        <w:t>on-bill billing</w:t>
      </w:r>
      <w:r w:rsidR="00385EE7">
        <w:rPr>
          <w:rFonts w:ascii="Times New Roman" w:eastAsia="Times New Roman" w:hAnsi="Times New Roman" w:cs="Times New Roman"/>
          <w:bCs/>
          <w:sz w:val="26"/>
          <w:szCs w:val="26"/>
        </w:rPr>
        <w:t>”</w:t>
      </w:r>
      <w:r w:rsidRPr="00DC699E">
        <w:rPr>
          <w:rFonts w:ascii="Times New Roman" w:eastAsia="Times New Roman" w:hAnsi="Times New Roman" w:cs="Times New Roman"/>
          <w:bCs/>
          <w:sz w:val="26"/>
          <w:szCs w:val="26"/>
        </w:rPr>
        <w:t xml:space="preserve"> for </w:t>
      </w:r>
      <w:r w:rsidR="00385EE7">
        <w:rPr>
          <w:rFonts w:ascii="Times New Roman" w:eastAsia="Times New Roman" w:hAnsi="Times New Roman" w:cs="Times New Roman"/>
          <w:bCs/>
          <w:sz w:val="26"/>
          <w:szCs w:val="26"/>
        </w:rPr>
        <w:t xml:space="preserve">the </w:t>
      </w:r>
      <w:r w:rsidRPr="00DC699E">
        <w:rPr>
          <w:rFonts w:ascii="Times New Roman" w:eastAsia="Times New Roman" w:hAnsi="Times New Roman" w:cs="Times New Roman"/>
          <w:bCs/>
          <w:sz w:val="26"/>
          <w:szCs w:val="26"/>
        </w:rPr>
        <w:t xml:space="preserve">EGSs serving customers on its systems, violates Sections 1502 and 2804(6) of the Public Utility Code, </w:t>
      </w:r>
      <w:r w:rsidR="00113BC9">
        <w:rPr>
          <w:rFonts w:ascii="Times New Roman" w:eastAsia="Times New Roman" w:hAnsi="Times New Roman" w:cs="Times New Roman"/>
          <w:bCs/>
          <w:sz w:val="26"/>
          <w:szCs w:val="26"/>
        </w:rPr>
        <w:t xml:space="preserve">66 Pa. C.S. §§ 1502; 2804(6), </w:t>
      </w:r>
      <w:r w:rsidRPr="00DC699E">
        <w:rPr>
          <w:rFonts w:ascii="Times New Roman" w:eastAsia="Times New Roman" w:hAnsi="Times New Roman" w:cs="Times New Roman"/>
          <w:bCs/>
          <w:sz w:val="26"/>
          <w:szCs w:val="26"/>
        </w:rPr>
        <w:t xml:space="preserve">as well as a Commission Opinion and Order in a recent case </w:t>
      </w:r>
      <w:r w:rsidR="00113BC9">
        <w:rPr>
          <w:rFonts w:ascii="Times New Roman" w:eastAsia="Times New Roman" w:hAnsi="Times New Roman" w:cs="Times New Roman"/>
          <w:bCs/>
          <w:sz w:val="26"/>
          <w:szCs w:val="26"/>
        </w:rPr>
        <w:t xml:space="preserve">involving the similar issue </w:t>
      </w:r>
      <w:r w:rsidRPr="00DC699E">
        <w:rPr>
          <w:rFonts w:ascii="Times New Roman" w:eastAsia="Times New Roman" w:hAnsi="Times New Roman" w:cs="Times New Roman"/>
          <w:bCs/>
          <w:sz w:val="26"/>
          <w:szCs w:val="26"/>
        </w:rPr>
        <w:t>in the natural gas industry.</w:t>
      </w:r>
      <w:r w:rsidRPr="00DC699E">
        <w:rPr>
          <w:rFonts w:ascii="Times New Roman" w:eastAsia="Times New Roman" w:hAnsi="Times New Roman" w:cs="Times New Roman"/>
          <w:bCs/>
          <w:sz w:val="26"/>
          <w:szCs w:val="26"/>
          <w:vertAlign w:val="superscript"/>
        </w:rPr>
        <w:footnoteReference w:id="2"/>
      </w:r>
      <w:r w:rsidRPr="00DC699E">
        <w:rPr>
          <w:rFonts w:ascii="Times New Roman" w:eastAsia="Times New Roman" w:hAnsi="Times New Roman" w:cs="Times New Roman"/>
          <w:bCs/>
          <w:sz w:val="26"/>
          <w:szCs w:val="26"/>
        </w:rPr>
        <w:t xml:space="preserve">  </w:t>
      </w:r>
      <w:r w:rsidRPr="00DC699E">
        <w:rPr>
          <w:rFonts w:ascii="Times New Roman" w:eastAsia="Times New Roman" w:hAnsi="Times New Roman" w:cs="Times New Roman"/>
          <w:sz w:val="26"/>
          <w:szCs w:val="26"/>
        </w:rPr>
        <w:t xml:space="preserve">For relief, Interstate Gas Supply, Inc. requested that the Commission sustain the Complaint and require that if the Respondents provide billing services for any provider of non-commodity services on its </w:t>
      </w:r>
      <w:r w:rsidRPr="00DC699E">
        <w:rPr>
          <w:rFonts w:ascii="Times New Roman" w:eastAsia="Times New Roman" w:hAnsi="Times New Roman" w:cs="Times New Roman"/>
          <w:sz w:val="26"/>
          <w:szCs w:val="26"/>
        </w:rPr>
        <w:lastRenderedPageBreak/>
        <w:t xml:space="preserve">utility bills, that it provide the same service to similarly situated providers of those services on a non-discriminatory basis, or be prohibited from providing such billing service at all.  </w:t>
      </w:r>
      <w:r w:rsidR="00113BC9">
        <w:rPr>
          <w:rFonts w:ascii="Times New Roman" w:eastAsia="Times New Roman" w:hAnsi="Times New Roman" w:cs="Times New Roman"/>
          <w:i/>
          <w:iCs/>
          <w:sz w:val="26"/>
          <w:szCs w:val="26"/>
        </w:rPr>
        <w:t xml:space="preserve">See </w:t>
      </w:r>
      <w:r w:rsidRPr="00DC699E">
        <w:rPr>
          <w:rFonts w:ascii="Times New Roman" w:eastAsia="Times New Roman" w:hAnsi="Times New Roman" w:cs="Times New Roman"/>
          <w:sz w:val="26"/>
          <w:szCs w:val="26"/>
        </w:rPr>
        <w:t xml:space="preserve">Complaint at 1-2.  </w:t>
      </w:r>
    </w:p>
    <w:p w14:paraId="04843076" w14:textId="77777777" w:rsidR="00DC699E" w:rsidRPr="00DC699E" w:rsidRDefault="00DC699E" w:rsidP="00DC699E">
      <w:pPr>
        <w:spacing w:after="0" w:line="360" w:lineRule="auto"/>
        <w:ind w:firstLine="1440"/>
        <w:rPr>
          <w:rFonts w:ascii="Times New Roman" w:eastAsia="Times New Roman" w:hAnsi="Times New Roman" w:cs="Times New Roman"/>
          <w:bCs/>
          <w:sz w:val="26"/>
          <w:szCs w:val="26"/>
        </w:rPr>
      </w:pPr>
    </w:p>
    <w:p w14:paraId="5E43D20B" w14:textId="76D9CC12" w:rsidR="00DC699E" w:rsidRPr="00DC699E" w:rsidRDefault="00DC699E" w:rsidP="00DC699E">
      <w:pPr>
        <w:spacing w:after="0" w:line="360" w:lineRule="auto"/>
        <w:ind w:firstLine="1440"/>
        <w:rPr>
          <w:rFonts w:ascii="Times New Roman" w:eastAsia="Times New Roman" w:hAnsi="Times New Roman" w:cs="Times New Roman"/>
          <w:bCs/>
          <w:color w:val="000000" w:themeColor="text1"/>
          <w:sz w:val="26"/>
          <w:szCs w:val="26"/>
        </w:rPr>
      </w:pPr>
      <w:r w:rsidRPr="00DC699E">
        <w:rPr>
          <w:rFonts w:ascii="Times New Roman" w:eastAsia="Times New Roman" w:hAnsi="Times New Roman" w:cs="Times New Roman"/>
          <w:bCs/>
          <w:color w:val="000000" w:themeColor="text1"/>
          <w:sz w:val="26"/>
          <w:szCs w:val="26"/>
        </w:rPr>
        <w:t xml:space="preserve">On November 14, 2019, the EDCs filed an Answer and New Matter to the Complaint averring that they offer non-commodity products and services to their customers but have not authorized the EGSs to bill for non-commodity products and services on the EDCs monthly electric service bills.  In their </w:t>
      </w:r>
      <w:r w:rsidR="00B3767A">
        <w:rPr>
          <w:rFonts w:ascii="Times New Roman" w:eastAsia="Times New Roman" w:hAnsi="Times New Roman" w:cs="Times New Roman"/>
          <w:bCs/>
          <w:color w:val="000000" w:themeColor="text1"/>
          <w:sz w:val="26"/>
          <w:szCs w:val="26"/>
        </w:rPr>
        <w:t>N</w:t>
      </w:r>
      <w:r w:rsidRPr="00DC699E">
        <w:rPr>
          <w:rFonts w:ascii="Times New Roman" w:eastAsia="Times New Roman" w:hAnsi="Times New Roman" w:cs="Times New Roman"/>
          <w:bCs/>
          <w:color w:val="000000" w:themeColor="text1"/>
          <w:sz w:val="26"/>
          <w:szCs w:val="26"/>
        </w:rPr>
        <w:t xml:space="preserve">ew </w:t>
      </w:r>
      <w:r w:rsidR="00B3767A">
        <w:rPr>
          <w:rFonts w:ascii="Times New Roman" w:eastAsia="Times New Roman" w:hAnsi="Times New Roman" w:cs="Times New Roman"/>
          <w:bCs/>
          <w:color w:val="000000" w:themeColor="text1"/>
          <w:sz w:val="26"/>
          <w:szCs w:val="26"/>
        </w:rPr>
        <w:t>M</w:t>
      </w:r>
      <w:r w:rsidRPr="00DC699E">
        <w:rPr>
          <w:rFonts w:ascii="Times New Roman" w:eastAsia="Times New Roman" w:hAnsi="Times New Roman" w:cs="Times New Roman"/>
          <w:bCs/>
          <w:color w:val="000000" w:themeColor="text1"/>
          <w:sz w:val="26"/>
          <w:szCs w:val="26"/>
        </w:rPr>
        <w:t xml:space="preserve">atter, which was accompanied by a </w:t>
      </w:r>
      <w:r w:rsidR="00B3767A">
        <w:rPr>
          <w:rFonts w:ascii="Times New Roman" w:eastAsia="Times New Roman" w:hAnsi="Times New Roman" w:cs="Times New Roman"/>
          <w:bCs/>
          <w:color w:val="000000" w:themeColor="text1"/>
          <w:sz w:val="26"/>
          <w:szCs w:val="26"/>
        </w:rPr>
        <w:t>N</w:t>
      </w:r>
      <w:r w:rsidRPr="00DC699E">
        <w:rPr>
          <w:rFonts w:ascii="Times New Roman" w:eastAsia="Times New Roman" w:hAnsi="Times New Roman" w:cs="Times New Roman"/>
          <w:bCs/>
          <w:color w:val="000000" w:themeColor="text1"/>
          <w:sz w:val="26"/>
          <w:szCs w:val="26"/>
        </w:rPr>
        <w:t xml:space="preserve">otice to </w:t>
      </w:r>
      <w:r w:rsidR="00B3767A">
        <w:rPr>
          <w:rFonts w:ascii="Times New Roman" w:eastAsia="Times New Roman" w:hAnsi="Times New Roman" w:cs="Times New Roman"/>
          <w:bCs/>
          <w:color w:val="000000" w:themeColor="text1"/>
          <w:sz w:val="26"/>
          <w:szCs w:val="26"/>
        </w:rPr>
        <w:t>P</w:t>
      </w:r>
      <w:r w:rsidRPr="00DC699E">
        <w:rPr>
          <w:rFonts w:ascii="Times New Roman" w:eastAsia="Times New Roman" w:hAnsi="Times New Roman" w:cs="Times New Roman"/>
          <w:bCs/>
          <w:color w:val="000000" w:themeColor="text1"/>
          <w:sz w:val="26"/>
          <w:szCs w:val="26"/>
        </w:rPr>
        <w:t xml:space="preserve">lead, the EDCs argued that their tariffs prohibit the relief requested in the Complaint. </w:t>
      </w:r>
      <w:r w:rsidR="00BD2A0C">
        <w:rPr>
          <w:rFonts w:ascii="Times New Roman" w:eastAsia="Times New Roman" w:hAnsi="Times New Roman" w:cs="Times New Roman"/>
          <w:bCs/>
          <w:color w:val="000000" w:themeColor="text1"/>
          <w:sz w:val="26"/>
          <w:szCs w:val="26"/>
        </w:rPr>
        <w:t xml:space="preserve"> </w:t>
      </w:r>
      <w:r w:rsidRPr="00DC699E">
        <w:rPr>
          <w:rFonts w:ascii="Times New Roman" w:eastAsia="Times New Roman" w:hAnsi="Times New Roman" w:cs="Times New Roman"/>
          <w:bCs/>
          <w:color w:val="000000" w:themeColor="text1"/>
          <w:sz w:val="26"/>
          <w:szCs w:val="26"/>
        </w:rPr>
        <w:t>The EDCs further argued that these tariffs were recently approved as part of their default service plans (DSPs) in 2018 and the EGSs were served copies</w:t>
      </w:r>
      <w:r w:rsidR="00BD2A0C">
        <w:rPr>
          <w:rFonts w:ascii="Times New Roman" w:eastAsia="Times New Roman" w:hAnsi="Times New Roman" w:cs="Times New Roman"/>
          <w:bCs/>
          <w:color w:val="000000" w:themeColor="text1"/>
          <w:sz w:val="26"/>
          <w:szCs w:val="26"/>
        </w:rPr>
        <w:t xml:space="preserve"> of those documents</w:t>
      </w:r>
      <w:r w:rsidRPr="00DC699E">
        <w:rPr>
          <w:rFonts w:ascii="Times New Roman" w:eastAsia="Times New Roman" w:hAnsi="Times New Roman" w:cs="Times New Roman"/>
          <w:bCs/>
          <w:color w:val="000000" w:themeColor="text1"/>
          <w:sz w:val="26"/>
          <w:szCs w:val="26"/>
        </w:rPr>
        <w:t>.</w:t>
      </w:r>
      <w:r w:rsidR="006C74A2">
        <w:rPr>
          <w:rFonts w:ascii="Times New Roman" w:eastAsia="Times New Roman" w:hAnsi="Times New Roman" w:cs="Times New Roman"/>
          <w:bCs/>
          <w:color w:val="000000" w:themeColor="text1"/>
          <w:sz w:val="26"/>
          <w:szCs w:val="26"/>
        </w:rPr>
        <w:t xml:space="preserve"> </w:t>
      </w:r>
      <w:r w:rsidRPr="00DC699E">
        <w:rPr>
          <w:rFonts w:ascii="Times New Roman" w:eastAsia="Times New Roman" w:hAnsi="Times New Roman" w:cs="Times New Roman"/>
          <w:bCs/>
          <w:color w:val="000000" w:themeColor="text1"/>
          <w:sz w:val="26"/>
          <w:szCs w:val="26"/>
        </w:rPr>
        <w:t xml:space="preserve"> The EDCs also addressed other issues raised by the EGSs in their </w:t>
      </w:r>
      <w:r w:rsidR="00EC3738">
        <w:rPr>
          <w:rFonts w:ascii="Times New Roman" w:eastAsia="Times New Roman" w:hAnsi="Times New Roman" w:cs="Times New Roman"/>
          <w:bCs/>
          <w:color w:val="000000" w:themeColor="text1"/>
          <w:sz w:val="26"/>
          <w:szCs w:val="26"/>
        </w:rPr>
        <w:t>C</w:t>
      </w:r>
      <w:r w:rsidRPr="00DC699E">
        <w:rPr>
          <w:rFonts w:ascii="Times New Roman" w:eastAsia="Times New Roman" w:hAnsi="Times New Roman" w:cs="Times New Roman"/>
          <w:bCs/>
          <w:color w:val="000000" w:themeColor="text1"/>
          <w:sz w:val="26"/>
          <w:szCs w:val="26"/>
        </w:rPr>
        <w:t xml:space="preserve">omplaint and requested that the </w:t>
      </w:r>
      <w:r w:rsidR="00EC3738">
        <w:rPr>
          <w:rFonts w:ascii="Times New Roman" w:eastAsia="Times New Roman" w:hAnsi="Times New Roman" w:cs="Times New Roman"/>
          <w:bCs/>
          <w:color w:val="000000" w:themeColor="text1"/>
          <w:sz w:val="26"/>
          <w:szCs w:val="26"/>
        </w:rPr>
        <w:t>C</w:t>
      </w:r>
      <w:r w:rsidRPr="00DC699E">
        <w:rPr>
          <w:rFonts w:ascii="Times New Roman" w:eastAsia="Times New Roman" w:hAnsi="Times New Roman" w:cs="Times New Roman"/>
          <w:bCs/>
          <w:color w:val="000000" w:themeColor="text1"/>
          <w:sz w:val="26"/>
          <w:szCs w:val="26"/>
        </w:rPr>
        <w:t>omplaint be dismissed with prejudice.</w:t>
      </w:r>
    </w:p>
    <w:p w14:paraId="6ADDCC28" w14:textId="77777777" w:rsidR="00DC699E" w:rsidRPr="00DC699E" w:rsidRDefault="00DC699E" w:rsidP="00DC699E">
      <w:pPr>
        <w:spacing w:after="0" w:line="360" w:lineRule="auto"/>
        <w:ind w:firstLine="1440"/>
        <w:rPr>
          <w:rFonts w:ascii="Times New Roman" w:eastAsia="Times New Roman" w:hAnsi="Times New Roman" w:cs="Times New Roman"/>
          <w:bCs/>
          <w:color w:val="FF0000"/>
          <w:sz w:val="26"/>
          <w:szCs w:val="26"/>
        </w:rPr>
      </w:pPr>
    </w:p>
    <w:p w14:paraId="59EE0467" w14:textId="05522B33" w:rsidR="00DC699E" w:rsidRPr="00DC699E" w:rsidRDefault="00DC699E" w:rsidP="00DC699E">
      <w:pPr>
        <w:spacing w:after="0" w:line="360" w:lineRule="auto"/>
        <w:ind w:firstLine="1440"/>
        <w:rPr>
          <w:rFonts w:ascii="Times New Roman" w:eastAsia="Times New Roman" w:hAnsi="Times New Roman" w:cs="Times New Roman"/>
          <w:bCs/>
          <w:color w:val="000000" w:themeColor="text1"/>
          <w:sz w:val="26"/>
          <w:szCs w:val="26"/>
        </w:rPr>
      </w:pPr>
      <w:r w:rsidRPr="00DC699E">
        <w:rPr>
          <w:rFonts w:ascii="Times New Roman" w:eastAsia="Times New Roman" w:hAnsi="Times New Roman" w:cs="Times New Roman"/>
          <w:bCs/>
          <w:color w:val="000000" w:themeColor="text1"/>
          <w:sz w:val="26"/>
          <w:szCs w:val="26"/>
        </w:rPr>
        <w:t>On December 4, 2019, the EGSs filed a</w:t>
      </w:r>
      <w:r w:rsidR="00B3767A">
        <w:rPr>
          <w:rFonts w:ascii="Times New Roman" w:eastAsia="Times New Roman" w:hAnsi="Times New Roman" w:cs="Times New Roman"/>
          <w:bCs/>
          <w:color w:val="000000" w:themeColor="text1"/>
          <w:sz w:val="26"/>
          <w:szCs w:val="26"/>
        </w:rPr>
        <w:t xml:space="preserve"> r</w:t>
      </w:r>
      <w:r w:rsidR="005E463F">
        <w:rPr>
          <w:rFonts w:ascii="Times New Roman" w:eastAsia="Times New Roman" w:hAnsi="Times New Roman" w:cs="Times New Roman"/>
          <w:bCs/>
          <w:color w:val="000000" w:themeColor="text1"/>
          <w:sz w:val="26"/>
          <w:szCs w:val="26"/>
        </w:rPr>
        <w:t>eply</w:t>
      </w:r>
      <w:r w:rsidRPr="00DC699E">
        <w:rPr>
          <w:rFonts w:ascii="Times New Roman" w:eastAsia="Times New Roman" w:hAnsi="Times New Roman" w:cs="Times New Roman"/>
          <w:bCs/>
          <w:color w:val="000000" w:themeColor="text1"/>
          <w:sz w:val="26"/>
          <w:szCs w:val="26"/>
        </w:rPr>
        <w:t xml:space="preserve"> to the EDCs’ </w:t>
      </w:r>
      <w:r w:rsidR="00EC3738">
        <w:rPr>
          <w:rFonts w:ascii="Times New Roman" w:eastAsia="Times New Roman" w:hAnsi="Times New Roman" w:cs="Times New Roman"/>
          <w:bCs/>
          <w:color w:val="000000" w:themeColor="text1"/>
          <w:sz w:val="26"/>
          <w:szCs w:val="26"/>
        </w:rPr>
        <w:t>N</w:t>
      </w:r>
      <w:r w:rsidRPr="00DC699E">
        <w:rPr>
          <w:rFonts w:ascii="Times New Roman" w:eastAsia="Times New Roman" w:hAnsi="Times New Roman" w:cs="Times New Roman"/>
          <w:bCs/>
          <w:color w:val="000000" w:themeColor="text1"/>
          <w:sz w:val="26"/>
          <w:szCs w:val="26"/>
        </w:rPr>
        <w:t xml:space="preserve">ew </w:t>
      </w:r>
      <w:r w:rsidR="00EC3738">
        <w:rPr>
          <w:rFonts w:ascii="Times New Roman" w:eastAsia="Times New Roman" w:hAnsi="Times New Roman" w:cs="Times New Roman"/>
          <w:bCs/>
          <w:color w:val="000000" w:themeColor="text1"/>
          <w:sz w:val="26"/>
          <w:szCs w:val="26"/>
        </w:rPr>
        <w:t>M</w:t>
      </w:r>
      <w:r w:rsidRPr="00DC699E">
        <w:rPr>
          <w:rFonts w:ascii="Times New Roman" w:eastAsia="Times New Roman" w:hAnsi="Times New Roman" w:cs="Times New Roman"/>
          <w:bCs/>
          <w:color w:val="000000" w:themeColor="text1"/>
          <w:sz w:val="26"/>
          <w:szCs w:val="26"/>
        </w:rPr>
        <w:t xml:space="preserve">atter. </w:t>
      </w:r>
      <w:r w:rsidR="005E463F">
        <w:rPr>
          <w:rFonts w:ascii="Times New Roman" w:eastAsia="Times New Roman" w:hAnsi="Times New Roman" w:cs="Times New Roman"/>
          <w:bCs/>
          <w:color w:val="000000" w:themeColor="text1"/>
          <w:sz w:val="26"/>
          <w:szCs w:val="26"/>
        </w:rPr>
        <w:t xml:space="preserve"> </w:t>
      </w:r>
      <w:r w:rsidRPr="00DC699E">
        <w:rPr>
          <w:rFonts w:ascii="Times New Roman" w:eastAsia="Times New Roman" w:hAnsi="Times New Roman" w:cs="Times New Roman"/>
          <w:bCs/>
          <w:color w:val="000000" w:themeColor="text1"/>
          <w:sz w:val="26"/>
          <w:szCs w:val="26"/>
        </w:rPr>
        <w:t>In their answer, the EGSs denied the EDCs’ claim to the extent they contend</w:t>
      </w:r>
      <w:r w:rsidR="00113BC9">
        <w:rPr>
          <w:rFonts w:ascii="Times New Roman" w:eastAsia="Times New Roman" w:hAnsi="Times New Roman" w:cs="Times New Roman"/>
          <w:bCs/>
          <w:color w:val="000000" w:themeColor="text1"/>
          <w:sz w:val="26"/>
          <w:szCs w:val="26"/>
        </w:rPr>
        <w:t>ed</w:t>
      </w:r>
      <w:r w:rsidRPr="00DC699E">
        <w:rPr>
          <w:rFonts w:ascii="Times New Roman" w:eastAsia="Times New Roman" w:hAnsi="Times New Roman" w:cs="Times New Roman"/>
          <w:bCs/>
          <w:color w:val="000000" w:themeColor="text1"/>
          <w:sz w:val="26"/>
          <w:szCs w:val="26"/>
        </w:rPr>
        <w:t xml:space="preserve"> it </w:t>
      </w:r>
      <w:r w:rsidR="00113BC9">
        <w:rPr>
          <w:rFonts w:ascii="Times New Roman" w:eastAsia="Times New Roman" w:hAnsi="Times New Roman" w:cs="Times New Roman"/>
          <w:bCs/>
          <w:color w:val="000000" w:themeColor="text1"/>
          <w:sz w:val="26"/>
          <w:szCs w:val="26"/>
        </w:rPr>
        <w:t>wa</w:t>
      </w:r>
      <w:r w:rsidRPr="00DC699E">
        <w:rPr>
          <w:rFonts w:ascii="Times New Roman" w:eastAsia="Times New Roman" w:hAnsi="Times New Roman" w:cs="Times New Roman"/>
          <w:bCs/>
          <w:color w:val="000000" w:themeColor="text1"/>
          <w:sz w:val="26"/>
          <w:szCs w:val="26"/>
        </w:rPr>
        <w:t xml:space="preserve">s not appropriate or otherwise permissible to file a complaint regarding the legality of a service or tariff of a public utility.  Additionally, </w:t>
      </w:r>
      <w:r w:rsidRPr="00EB2E54">
        <w:rPr>
          <w:rFonts w:ascii="Times New Roman" w:eastAsia="Times New Roman" w:hAnsi="Times New Roman" w:cs="Times New Roman"/>
          <w:bCs/>
          <w:color w:val="000000" w:themeColor="text1"/>
          <w:sz w:val="26"/>
          <w:szCs w:val="26"/>
        </w:rPr>
        <w:t xml:space="preserve">the EGSs </w:t>
      </w:r>
      <w:r w:rsidR="00A0251F" w:rsidRPr="00EB2E54">
        <w:rPr>
          <w:rFonts w:ascii="Times New Roman" w:eastAsia="Times New Roman" w:hAnsi="Times New Roman" w:cs="Times New Roman"/>
          <w:bCs/>
          <w:color w:val="000000" w:themeColor="text1"/>
          <w:sz w:val="26"/>
          <w:szCs w:val="26"/>
        </w:rPr>
        <w:t>denied</w:t>
      </w:r>
      <w:r w:rsidR="00A0251F" w:rsidRPr="00AC4997">
        <w:rPr>
          <w:rFonts w:ascii="Times New Roman" w:eastAsia="Times New Roman" w:hAnsi="Times New Roman" w:cs="Times New Roman"/>
          <w:bCs/>
          <w:color w:val="000000" w:themeColor="text1"/>
          <w:sz w:val="26"/>
          <w:szCs w:val="26"/>
        </w:rPr>
        <w:t xml:space="preserve">, </w:t>
      </w:r>
      <w:r w:rsidR="00A0251F" w:rsidRPr="00F60BAC">
        <w:rPr>
          <w:rFonts w:ascii="Times New Roman" w:eastAsia="Times New Roman" w:hAnsi="Times New Roman" w:cs="Times New Roman"/>
          <w:bCs/>
          <w:i/>
          <w:iCs/>
          <w:color w:val="000000" w:themeColor="text1"/>
          <w:sz w:val="26"/>
          <w:szCs w:val="26"/>
        </w:rPr>
        <w:t>inter alia</w:t>
      </w:r>
      <w:r w:rsidR="00A0251F" w:rsidRPr="00EB2E54">
        <w:rPr>
          <w:rFonts w:ascii="Times New Roman" w:eastAsia="Times New Roman" w:hAnsi="Times New Roman" w:cs="Times New Roman"/>
          <w:bCs/>
          <w:color w:val="000000" w:themeColor="text1"/>
          <w:sz w:val="26"/>
          <w:szCs w:val="26"/>
        </w:rPr>
        <w:t xml:space="preserve">, </w:t>
      </w:r>
      <w:r w:rsidRPr="00EB2E54">
        <w:rPr>
          <w:rFonts w:ascii="Times New Roman" w:eastAsia="Times New Roman" w:hAnsi="Times New Roman" w:cs="Times New Roman"/>
          <w:bCs/>
          <w:color w:val="000000" w:themeColor="text1"/>
          <w:sz w:val="26"/>
          <w:szCs w:val="26"/>
        </w:rPr>
        <w:t xml:space="preserve">the EDCs’ averment regarding their participation in the EDCs’ DSPs </w:t>
      </w:r>
      <w:r w:rsidR="00113BC9">
        <w:rPr>
          <w:rFonts w:ascii="Times New Roman" w:eastAsia="Times New Roman" w:hAnsi="Times New Roman" w:cs="Times New Roman"/>
          <w:bCs/>
          <w:color w:val="000000" w:themeColor="text1"/>
          <w:sz w:val="26"/>
          <w:szCs w:val="26"/>
        </w:rPr>
        <w:t xml:space="preserve">proceedings </w:t>
      </w:r>
      <w:r w:rsidRPr="00EB2E54">
        <w:rPr>
          <w:rFonts w:ascii="Times New Roman" w:eastAsia="Times New Roman" w:hAnsi="Times New Roman" w:cs="Times New Roman"/>
          <w:bCs/>
          <w:color w:val="000000" w:themeColor="text1"/>
          <w:sz w:val="26"/>
          <w:szCs w:val="26"/>
        </w:rPr>
        <w:t xml:space="preserve">in 2018 and its impact on the </w:t>
      </w:r>
      <w:r w:rsidR="00B23CE8" w:rsidRPr="00EB2E54">
        <w:rPr>
          <w:rFonts w:ascii="Times New Roman" w:eastAsia="Times New Roman" w:hAnsi="Times New Roman" w:cs="Times New Roman"/>
          <w:bCs/>
          <w:color w:val="000000" w:themeColor="text1"/>
          <w:sz w:val="26"/>
          <w:szCs w:val="26"/>
        </w:rPr>
        <w:t>C</w:t>
      </w:r>
      <w:r w:rsidRPr="00EB2E54">
        <w:rPr>
          <w:rFonts w:ascii="Times New Roman" w:eastAsia="Times New Roman" w:hAnsi="Times New Roman" w:cs="Times New Roman"/>
          <w:bCs/>
          <w:color w:val="000000" w:themeColor="text1"/>
          <w:sz w:val="26"/>
          <w:szCs w:val="26"/>
        </w:rPr>
        <w:t>omplaint.  The EGSs requested that their</w:t>
      </w:r>
      <w:r w:rsidRPr="00DC699E">
        <w:rPr>
          <w:rFonts w:ascii="Times New Roman" w:eastAsia="Times New Roman" w:hAnsi="Times New Roman" w:cs="Times New Roman"/>
          <w:bCs/>
          <w:color w:val="000000" w:themeColor="text1"/>
          <w:sz w:val="26"/>
          <w:szCs w:val="26"/>
        </w:rPr>
        <w:t xml:space="preserve"> </w:t>
      </w:r>
      <w:r w:rsidR="00113BC9">
        <w:rPr>
          <w:rFonts w:ascii="Times New Roman" w:eastAsia="Times New Roman" w:hAnsi="Times New Roman" w:cs="Times New Roman"/>
          <w:bCs/>
          <w:color w:val="000000" w:themeColor="text1"/>
          <w:sz w:val="26"/>
          <w:szCs w:val="26"/>
        </w:rPr>
        <w:t>C</w:t>
      </w:r>
      <w:r w:rsidRPr="00DC699E">
        <w:rPr>
          <w:rFonts w:ascii="Times New Roman" w:eastAsia="Times New Roman" w:hAnsi="Times New Roman" w:cs="Times New Roman"/>
          <w:bCs/>
          <w:color w:val="000000" w:themeColor="text1"/>
          <w:sz w:val="26"/>
          <w:szCs w:val="26"/>
        </w:rPr>
        <w:t>omplaint be sustained, and their requested relief be granted.</w:t>
      </w:r>
    </w:p>
    <w:p w14:paraId="1B2BD696" w14:textId="77777777" w:rsidR="00DC699E" w:rsidRPr="00DC699E" w:rsidRDefault="00DC699E" w:rsidP="00DC699E">
      <w:pPr>
        <w:spacing w:after="0" w:line="360" w:lineRule="auto"/>
        <w:rPr>
          <w:rFonts w:ascii="Times New Roman" w:eastAsia="Times New Roman" w:hAnsi="Times New Roman" w:cs="Times New Roman"/>
          <w:bCs/>
          <w:color w:val="FF0000"/>
          <w:sz w:val="26"/>
          <w:szCs w:val="26"/>
        </w:rPr>
      </w:pPr>
    </w:p>
    <w:p w14:paraId="0D1BAEBE" w14:textId="2609B1E2" w:rsidR="00DC699E" w:rsidRPr="00DC699E" w:rsidRDefault="00DC699E" w:rsidP="00363118">
      <w:pPr>
        <w:spacing w:after="0" w:line="360" w:lineRule="auto"/>
        <w:ind w:firstLine="1440"/>
        <w:rPr>
          <w:rFonts w:ascii="Times New Roman" w:eastAsia="Times New Roman" w:hAnsi="Times New Roman" w:cs="Times New Roman"/>
          <w:bCs/>
          <w:color w:val="000000" w:themeColor="text1"/>
          <w:sz w:val="26"/>
          <w:szCs w:val="26"/>
        </w:rPr>
      </w:pPr>
      <w:r w:rsidRPr="00DC699E">
        <w:rPr>
          <w:rFonts w:ascii="Times New Roman" w:eastAsia="Times New Roman" w:hAnsi="Times New Roman" w:cs="Times New Roman"/>
          <w:bCs/>
          <w:color w:val="000000" w:themeColor="text1"/>
          <w:sz w:val="26"/>
          <w:szCs w:val="26"/>
        </w:rPr>
        <w:t xml:space="preserve">On January 24, 2020, the Retail Energy Supply Association (RESA) filed a </w:t>
      </w:r>
      <w:r w:rsidR="005D39E1">
        <w:rPr>
          <w:rFonts w:ascii="Times New Roman" w:eastAsia="Times New Roman" w:hAnsi="Times New Roman" w:cs="Times New Roman"/>
          <w:bCs/>
          <w:color w:val="000000" w:themeColor="text1"/>
          <w:sz w:val="26"/>
          <w:szCs w:val="26"/>
        </w:rPr>
        <w:t>P</w:t>
      </w:r>
      <w:r w:rsidRPr="00DC699E">
        <w:rPr>
          <w:rFonts w:ascii="Times New Roman" w:eastAsia="Times New Roman" w:hAnsi="Times New Roman" w:cs="Times New Roman"/>
          <w:bCs/>
          <w:color w:val="000000" w:themeColor="text1"/>
          <w:sz w:val="26"/>
          <w:szCs w:val="26"/>
        </w:rPr>
        <w:t xml:space="preserve">etition to </w:t>
      </w:r>
      <w:r w:rsidR="005D39E1">
        <w:rPr>
          <w:rFonts w:ascii="Times New Roman" w:eastAsia="Times New Roman" w:hAnsi="Times New Roman" w:cs="Times New Roman"/>
          <w:bCs/>
          <w:color w:val="000000" w:themeColor="text1"/>
          <w:sz w:val="26"/>
          <w:szCs w:val="26"/>
        </w:rPr>
        <w:t>I</w:t>
      </w:r>
      <w:r w:rsidRPr="00DC699E">
        <w:rPr>
          <w:rFonts w:ascii="Times New Roman" w:eastAsia="Times New Roman" w:hAnsi="Times New Roman" w:cs="Times New Roman"/>
          <w:bCs/>
          <w:color w:val="000000" w:themeColor="text1"/>
          <w:sz w:val="26"/>
          <w:szCs w:val="26"/>
        </w:rPr>
        <w:t xml:space="preserve">ntervene in the proceeding. </w:t>
      </w:r>
    </w:p>
    <w:p w14:paraId="7A0B627F" w14:textId="77777777" w:rsidR="00DC699E" w:rsidRPr="00DC699E" w:rsidRDefault="00DC699E" w:rsidP="00DC699E">
      <w:pPr>
        <w:spacing w:after="0" w:line="360" w:lineRule="auto"/>
        <w:rPr>
          <w:rFonts w:ascii="Times New Roman" w:eastAsia="Times New Roman" w:hAnsi="Times New Roman" w:cs="Times New Roman"/>
          <w:bCs/>
          <w:color w:val="000000" w:themeColor="text1"/>
          <w:sz w:val="26"/>
          <w:szCs w:val="26"/>
        </w:rPr>
      </w:pPr>
    </w:p>
    <w:p w14:paraId="21CE9A2D" w14:textId="516D3224" w:rsidR="00DC699E" w:rsidRPr="00DC699E" w:rsidRDefault="00DC699E" w:rsidP="00DC699E">
      <w:pPr>
        <w:spacing w:after="0" w:line="360" w:lineRule="auto"/>
        <w:ind w:firstLine="1440"/>
        <w:rPr>
          <w:rFonts w:ascii="Times New Roman" w:eastAsia="Times New Roman" w:hAnsi="Times New Roman" w:cs="Times New Roman"/>
          <w:bCs/>
          <w:color w:val="000000" w:themeColor="text1"/>
          <w:sz w:val="26"/>
          <w:szCs w:val="26"/>
        </w:rPr>
      </w:pPr>
      <w:r w:rsidRPr="00DC699E">
        <w:rPr>
          <w:rFonts w:ascii="Times New Roman" w:eastAsia="Times New Roman" w:hAnsi="Times New Roman" w:cs="Times New Roman"/>
          <w:bCs/>
          <w:color w:val="000000" w:themeColor="text1"/>
          <w:sz w:val="26"/>
          <w:szCs w:val="26"/>
        </w:rPr>
        <w:t>On February 3, 2020, ALJ Cheskis convened an in-person prehearing conference at which Todd Stewart, Esquire, appeared on behalf of the E</w:t>
      </w:r>
      <w:r w:rsidR="003D5E2F">
        <w:rPr>
          <w:rFonts w:ascii="Times New Roman" w:eastAsia="Times New Roman" w:hAnsi="Times New Roman" w:cs="Times New Roman"/>
          <w:bCs/>
          <w:color w:val="000000" w:themeColor="text1"/>
          <w:sz w:val="26"/>
          <w:szCs w:val="26"/>
        </w:rPr>
        <w:t>GSs</w:t>
      </w:r>
      <w:r w:rsidRPr="00DC699E">
        <w:rPr>
          <w:rFonts w:ascii="Times New Roman" w:eastAsia="Times New Roman" w:hAnsi="Times New Roman" w:cs="Times New Roman"/>
          <w:bCs/>
          <w:color w:val="000000" w:themeColor="text1"/>
          <w:sz w:val="26"/>
          <w:szCs w:val="26"/>
        </w:rPr>
        <w:t xml:space="preserve">; Teresa Harrold, Esquire, appeared on behalf of the EDCs; and Deanne O’Dell, Esquire, appeared on behalf of RESA.  </w:t>
      </w:r>
    </w:p>
    <w:p w14:paraId="4CDFE7D7" w14:textId="6529653E" w:rsidR="00DC699E" w:rsidRPr="00DC699E" w:rsidRDefault="00DC699E" w:rsidP="00DC699E">
      <w:pPr>
        <w:spacing w:after="0" w:line="360" w:lineRule="auto"/>
        <w:ind w:firstLine="1440"/>
        <w:rPr>
          <w:rFonts w:ascii="Times New Roman" w:eastAsia="Times New Roman" w:hAnsi="Times New Roman" w:cs="Times New Roman"/>
          <w:bCs/>
          <w:color w:val="000000" w:themeColor="text1"/>
          <w:sz w:val="26"/>
          <w:szCs w:val="26"/>
        </w:rPr>
      </w:pPr>
      <w:r w:rsidRPr="00DC699E">
        <w:rPr>
          <w:rFonts w:ascii="Times New Roman" w:eastAsia="Times New Roman" w:hAnsi="Times New Roman" w:cs="Times New Roman"/>
          <w:bCs/>
          <w:color w:val="000000" w:themeColor="text1"/>
          <w:sz w:val="26"/>
          <w:szCs w:val="26"/>
        </w:rPr>
        <w:lastRenderedPageBreak/>
        <w:t xml:space="preserve">A February 5, </w:t>
      </w:r>
      <w:proofErr w:type="gramStart"/>
      <w:r w:rsidRPr="00DC699E">
        <w:rPr>
          <w:rFonts w:ascii="Times New Roman" w:eastAsia="Times New Roman" w:hAnsi="Times New Roman" w:cs="Times New Roman"/>
          <w:bCs/>
          <w:color w:val="000000" w:themeColor="text1"/>
          <w:sz w:val="26"/>
          <w:szCs w:val="26"/>
        </w:rPr>
        <w:t>2020</w:t>
      </w:r>
      <w:proofErr w:type="gramEnd"/>
      <w:r w:rsidRPr="00DC699E">
        <w:rPr>
          <w:rFonts w:ascii="Times New Roman" w:eastAsia="Times New Roman" w:hAnsi="Times New Roman" w:cs="Times New Roman"/>
          <w:bCs/>
          <w:color w:val="000000" w:themeColor="text1"/>
          <w:sz w:val="26"/>
          <w:szCs w:val="26"/>
        </w:rPr>
        <w:t xml:space="preserve"> Scheduling Order memorializ</w:t>
      </w:r>
      <w:r>
        <w:rPr>
          <w:rFonts w:ascii="Times New Roman" w:eastAsia="Times New Roman" w:hAnsi="Times New Roman" w:cs="Times New Roman"/>
          <w:bCs/>
          <w:color w:val="000000" w:themeColor="text1"/>
          <w:sz w:val="26"/>
          <w:szCs w:val="26"/>
        </w:rPr>
        <w:t>ed</w:t>
      </w:r>
      <w:r w:rsidRPr="00DC699E">
        <w:rPr>
          <w:rFonts w:ascii="Times New Roman" w:eastAsia="Times New Roman" w:hAnsi="Times New Roman" w:cs="Times New Roman"/>
          <w:bCs/>
          <w:color w:val="000000" w:themeColor="text1"/>
          <w:sz w:val="26"/>
          <w:szCs w:val="26"/>
        </w:rPr>
        <w:t xml:space="preserve"> the matters agreed upon at the prehearing conference.  In addition, RESA’s Petition to Intervene was granted and the </w:t>
      </w:r>
      <w:r>
        <w:rPr>
          <w:rFonts w:ascii="Times New Roman" w:eastAsia="Times New Roman" w:hAnsi="Times New Roman" w:cs="Times New Roman"/>
          <w:bCs/>
          <w:color w:val="000000" w:themeColor="text1"/>
          <w:sz w:val="26"/>
          <w:szCs w:val="26"/>
        </w:rPr>
        <w:t>C</w:t>
      </w:r>
      <w:r w:rsidRPr="00DC699E">
        <w:rPr>
          <w:rFonts w:ascii="Times New Roman" w:eastAsia="Times New Roman" w:hAnsi="Times New Roman" w:cs="Times New Roman"/>
          <w:bCs/>
          <w:color w:val="000000" w:themeColor="text1"/>
          <w:sz w:val="26"/>
          <w:szCs w:val="26"/>
        </w:rPr>
        <w:t>omplaint</w:t>
      </w:r>
      <w:r>
        <w:rPr>
          <w:rFonts w:ascii="Times New Roman" w:eastAsia="Times New Roman" w:hAnsi="Times New Roman" w:cs="Times New Roman"/>
          <w:bCs/>
          <w:color w:val="000000" w:themeColor="text1"/>
          <w:sz w:val="26"/>
          <w:szCs w:val="26"/>
        </w:rPr>
        <w:t>s</w:t>
      </w:r>
      <w:r w:rsidRPr="00DC699E">
        <w:rPr>
          <w:rFonts w:ascii="Times New Roman" w:eastAsia="Times New Roman" w:hAnsi="Times New Roman" w:cs="Times New Roman"/>
          <w:bCs/>
          <w:color w:val="000000" w:themeColor="text1"/>
          <w:sz w:val="26"/>
          <w:szCs w:val="26"/>
        </w:rPr>
        <w:t xml:space="preserve"> filed by the EGSs against each EDC were consolidated.  The </w:t>
      </w:r>
      <w:r w:rsidR="001A0593">
        <w:rPr>
          <w:rFonts w:ascii="Times New Roman" w:eastAsia="Times New Roman" w:hAnsi="Times New Roman" w:cs="Times New Roman"/>
          <w:bCs/>
          <w:color w:val="000000" w:themeColor="text1"/>
          <w:sz w:val="26"/>
          <w:szCs w:val="26"/>
        </w:rPr>
        <w:t>P</w:t>
      </w:r>
      <w:r w:rsidRPr="00DC699E">
        <w:rPr>
          <w:rFonts w:ascii="Times New Roman" w:eastAsia="Times New Roman" w:hAnsi="Times New Roman" w:cs="Times New Roman"/>
          <w:bCs/>
          <w:color w:val="000000" w:themeColor="text1"/>
          <w:sz w:val="26"/>
          <w:szCs w:val="26"/>
        </w:rPr>
        <w:t>arties agreed to a litigation schedule.</w:t>
      </w:r>
    </w:p>
    <w:p w14:paraId="44CE0CFB" w14:textId="77777777" w:rsidR="00DC699E" w:rsidRPr="00DC699E" w:rsidRDefault="00DC699E" w:rsidP="00DC699E">
      <w:pPr>
        <w:spacing w:after="0" w:line="360" w:lineRule="auto"/>
        <w:rPr>
          <w:rFonts w:ascii="Times New Roman" w:eastAsia="Times New Roman" w:hAnsi="Times New Roman" w:cs="Times New Roman"/>
          <w:bCs/>
          <w:color w:val="FF0000"/>
          <w:sz w:val="26"/>
          <w:szCs w:val="26"/>
        </w:rPr>
      </w:pPr>
    </w:p>
    <w:p w14:paraId="2FD4C5E9" w14:textId="77777777" w:rsidR="00DC699E" w:rsidRPr="00DC699E" w:rsidRDefault="00DC699E" w:rsidP="00DC699E">
      <w:pPr>
        <w:spacing w:after="0" w:line="360" w:lineRule="auto"/>
        <w:ind w:firstLine="1440"/>
        <w:rPr>
          <w:rFonts w:ascii="Times New Roman" w:eastAsia="Times New Roman" w:hAnsi="Times New Roman" w:cs="Times New Roman"/>
          <w:bCs/>
          <w:color w:val="000000" w:themeColor="text1"/>
          <w:sz w:val="26"/>
          <w:szCs w:val="26"/>
        </w:rPr>
      </w:pPr>
      <w:r w:rsidRPr="00DC699E">
        <w:rPr>
          <w:rFonts w:ascii="Times New Roman" w:eastAsia="Times New Roman" w:hAnsi="Times New Roman" w:cs="Times New Roman"/>
          <w:bCs/>
          <w:color w:val="000000" w:themeColor="text1"/>
          <w:sz w:val="26"/>
          <w:szCs w:val="26"/>
        </w:rPr>
        <w:t xml:space="preserve">On February 7, 2020, the Office of Consumer Advocate (OCA) filed a Notice of Intervention. </w:t>
      </w:r>
    </w:p>
    <w:p w14:paraId="10B9557D" w14:textId="77777777" w:rsidR="00DC699E" w:rsidRPr="00DC699E" w:rsidRDefault="00DC699E" w:rsidP="00DC699E">
      <w:pPr>
        <w:spacing w:after="0" w:line="360" w:lineRule="auto"/>
        <w:rPr>
          <w:rFonts w:ascii="Times New Roman" w:eastAsia="Times New Roman" w:hAnsi="Times New Roman" w:cs="Times New Roman"/>
          <w:bCs/>
          <w:color w:val="FF0000"/>
          <w:sz w:val="26"/>
          <w:szCs w:val="26"/>
        </w:rPr>
      </w:pPr>
    </w:p>
    <w:p w14:paraId="311147B8" w14:textId="77777777" w:rsidR="00DC699E" w:rsidRPr="00DC699E" w:rsidRDefault="00DC699E" w:rsidP="00DC699E">
      <w:pPr>
        <w:spacing w:after="0" w:line="360" w:lineRule="auto"/>
        <w:ind w:firstLine="1440"/>
        <w:rPr>
          <w:rFonts w:ascii="Times New Roman" w:eastAsia="Times New Roman" w:hAnsi="Times New Roman" w:cs="Times New Roman"/>
          <w:bCs/>
          <w:color w:val="000000" w:themeColor="text1"/>
          <w:sz w:val="26"/>
          <w:szCs w:val="26"/>
        </w:rPr>
      </w:pPr>
      <w:r w:rsidRPr="00DC699E">
        <w:rPr>
          <w:rFonts w:ascii="Times New Roman" w:eastAsia="Times New Roman" w:hAnsi="Times New Roman" w:cs="Times New Roman"/>
          <w:bCs/>
          <w:color w:val="000000" w:themeColor="text1"/>
          <w:sz w:val="26"/>
          <w:szCs w:val="26"/>
        </w:rPr>
        <w:t>On March 24, 2020, the EGSs filed their direct testimony.  On May 13, 2020, the EDCs and the OCA filed rebuttal testimony.  On May 27, 2020, the EGSs and the EDCs filed surrebuttal testimony.  RESA did not file any written testimony.</w:t>
      </w:r>
    </w:p>
    <w:p w14:paraId="7EF9373B" w14:textId="77777777" w:rsidR="00DC699E" w:rsidRPr="00DC699E" w:rsidRDefault="00DC699E" w:rsidP="00DC699E">
      <w:pPr>
        <w:spacing w:after="0" w:line="360" w:lineRule="auto"/>
        <w:rPr>
          <w:rFonts w:ascii="Times New Roman" w:eastAsia="Times New Roman" w:hAnsi="Times New Roman" w:cs="Times New Roman"/>
          <w:bCs/>
          <w:color w:val="000000" w:themeColor="text1"/>
          <w:sz w:val="26"/>
          <w:szCs w:val="26"/>
        </w:rPr>
      </w:pPr>
    </w:p>
    <w:p w14:paraId="39C8C706" w14:textId="001DF762" w:rsidR="00DC699E" w:rsidRPr="00DC699E" w:rsidRDefault="00DC699E" w:rsidP="00DC699E">
      <w:pPr>
        <w:spacing w:after="0" w:line="360" w:lineRule="auto"/>
        <w:ind w:firstLine="1440"/>
        <w:rPr>
          <w:rFonts w:ascii="Times New Roman" w:eastAsia="Times New Roman" w:hAnsi="Times New Roman" w:cs="Times New Roman"/>
          <w:bCs/>
          <w:color w:val="000000" w:themeColor="text1"/>
          <w:sz w:val="26"/>
          <w:szCs w:val="26"/>
        </w:rPr>
      </w:pPr>
      <w:r w:rsidRPr="00DC699E">
        <w:rPr>
          <w:rFonts w:ascii="Times New Roman" w:eastAsia="Times New Roman" w:hAnsi="Times New Roman" w:cs="Times New Roman"/>
          <w:bCs/>
          <w:color w:val="000000" w:themeColor="text1"/>
          <w:sz w:val="26"/>
          <w:szCs w:val="26"/>
        </w:rPr>
        <w:t xml:space="preserve">On June 9, 2020, the EDCs filed a Motion to Strike portions of the rebuttal testimony of the OCA. </w:t>
      </w:r>
      <w:r w:rsidR="001A0593">
        <w:rPr>
          <w:rFonts w:ascii="Times New Roman" w:eastAsia="Times New Roman" w:hAnsi="Times New Roman" w:cs="Times New Roman"/>
          <w:bCs/>
          <w:color w:val="000000" w:themeColor="text1"/>
          <w:sz w:val="26"/>
          <w:szCs w:val="26"/>
        </w:rPr>
        <w:t xml:space="preserve"> </w:t>
      </w:r>
      <w:r w:rsidRPr="00DC699E">
        <w:rPr>
          <w:rFonts w:ascii="Times New Roman" w:eastAsia="Times New Roman" w:hAnsi="Times New Roman" w:cs="Times New Roman"/>
          <w:bCs/>
          <w:color w:val="000000" w:themeColor="text1"/>
          <w:sz w:val="26"/>
          <w:szCs w:val="26"/>
        </w:rPr>
        <w:t xml:space="preserve">On June 26, 2020, the OCA filed an </w:t>
      </w:r>
      <w:r w:rsidR="00AC4997">
        <w:rPr>
          <w:rFonts w:ascii="Times New Roman" w:eastAsia="Times New Roman" w:hAnsi="Times New Roman" w:cs="Times New Roman"/>
          <w:bCs/>
          <w:color w:val="000000" w:themeColor="text1"/>
          <w:sz w:val="26"/>
          <w:szCs w:val="26"/>
        </w:rPr>
        <w:t>A</w:t>
      </w:r>
      <w:r w:rsidRPr="00DC699E">
        <w:rPr>
          <w:rFonts w:ascii="Times New Roman" w:eastAsia="Times New Roman" w:hAnsi="Times New Roman" w:cs="Times New Roman"/>
          <w:bCs/>
          <w:color w:val="000000" w:themeColor="text1"/>
          <w:sz w:val="26"/>
          <w:szCs w:val="26"/>
        </w:rPr>
        <w:t>nswer to the EDCs’ Motion to Strike.  The Motion to Strike was denied by Order dated July 2, 2020.</w:t>
      </w:r>
    </w:p>
    <w:p w14:paraId="6687FCEE" w14:textId="77777777" w:rsidR="00DC699E" w:rsidRPr="00DC699E" w:rsidRDefault="00DC699E" w:rsidP="00DC699E">
      <w:pPr>
        <w:spacing w:after="0" w:line="360" w:lineRule="auto"/>
        <w:rPr>
          <w:rFonts w:ascii="Times New Roman" w:eastAsia="Times New Roman" w:hAnsi="Times New Roman" w:cs="Times New Roman"/>
          <w:bCs/>
          <w:color w:val="000000" w:themeColor="text1"/>
          <w:sz w:val="26"/>
          <w:szCs w:val="26"/>
        </w:rPr>
      </w:pPr>
    </w:p>
    <w:p w14:paraId="09FF28CE" w14:textId="08231247" w:rsidR="00DC699E" w:rsidRPr="00DC699E" w:rsidRDefault="00DC699E" w:rsidP="00DC699E">
      <w:pPr>
        <w:spacing w:after="0" w:line="360" w:lineRule="auto"/>
        <w:ind w:firstLine="1440"/>
        <w:rPr>
          <w:rFonts w:ascii="Times New Roman" w:eastAsia="Times New Roman" w:hAnsi="Times New Roman" w:cs="Times New Roman"/>
          <w:bCs/>
          <w:color w:val="000000" w:themeColor="text1"/>
          <w:sz w:val="26"/>
          <w:szCs w:val="26"/>
        </w:rPr>
      </w:pPr>
      <w:r w:rsidRPr="00DC699E">
        <w:rPr>
          <w:rFonts w:ascii="Times New Roman" w:eastAsia="Times New Roman" w:hAnsi="Times New Roman" w:cs="Times New Roman"/>
          <w:bCs/>
          <w:color w:val="000000" w:themeColor="text1"/>
          <w:sz w:val="26"/>
          <w:szCs w:val="26"/>
        </w:rPr>
        <w:t xml:space="preserve">On June 30, 2020, an evidentiary hearing was held wherein the </w:t>
      </w:r>
      <w:proofErr w:type="gramStart"/>
      <w:r w:rsidR="001A0593">
        <w:rPr>
          <w:rFonts w:ascii="Times New Roman" w:eastAsia="Times New Roman" w:hAnsi="Times New Roman" w:cs="Times New Roman"/>
          <w:bCs/>
          <w:color w:val="000000" w:themeColor="text1"/>
          <w:sz w:val="26"/>
          <w:szCs w:val="26"/>
        </w:rPr>
        <w:t>P</w:t>
      </w:r>
      <w:r w:rsidRPr="00DC699E">
        <w:rPr>
          <w:rFonts w:ascii="Times New Roman" w:eastAsia="Times New Roman" w:hAnsi="Times New Roman" w:cs="Times New Roman"/>
          <w:bCs/>
          <w:color w:val="000000" w:themeColor="text1"/>
          <w:sz w:val="26"/>
          <w:szCs w:val="26"/>
        </w:rPr>
        <w:t>arties’</w:t>
      </w:r>
      <w:proofErr w:type="gramEnd"/>
      <w:r w:rsidRPr="00DC699E">
        <w:rPr>
          <w:rFonts w:ascii="Times New Roman" w:eastAsia="Times New Roman" w:hAnsi="Times New Roman" w:cs="Times New Roman"/>
          <w:bCs/>
          <w:color w:val="000000" w:themeColor="text1"/>
          <w:sz w:val="26"/>
          <w:szCs w:val="26"/>
        </w:rPr>
        <w:t xml:space="preserve"> pre-served testimony and accompanying exhibits were admitted into the record.  The </w:t>
      </w:r>
      <w:r w:rsidR="00111C01">
        <w:rPr>
          <w:rFonts w:ascii="Times New Roman" w:eastAsia="Times New Roman" w:hAnsi="Times New Roman" w:cs="Times New Roman"/>
          <w:bCs/>
          <w:color w:val="000000" w:themeColor="text1"/>
          <w:sz w:val="26"/>
          <w:szCs w:val="26"/>
        </w:rPr>
        <w:t>P</w:t>
      </w:r>
      <w:r w:rsidRPr="00DC699E">
        <w:rPr>
          <w:rFonts w:ascii="Times New Roman" w:eastAsia="Times New Roman" w:hAnsi="Times New Roman" w:cs="Times New Roman"/>
          <w:bCs/>
          <w:color w:val="000000" w:themeColor="text1"/>
          <w:sz w:val="26"/>
          <w:szCs w:val="26"/>
        </w:rPr>
        <w:t xml:space="preserve">arties also affirmed their intent to submit main briefs.  On July 1, 2020, a briefing order was issued.  Pursuant to the procedural schedule, the EGSs, the EDCs and the OCA each filed </w:t>
      </w:r>
      <w:r w:rsidR="0079590C">
        <w:rPr>
          <w:rFonts w:ascii="Times New Roman" w:eastAsia="Times New Roman" w:hAnsi="Times New Roman" w:cs="Times New Roman"/>
          <w:bCs/>
          <w:color w:val="000000" w:themeColor="text1"/>
          <w:sz w:val="26"/>
          <w:szCs w:val="26"/>
        </w:rPr>
        <w:t>M</w:t>
      </w:r>
      <w:r w:rsidRPr="00DC699E">
        <w:rPr>
          <w:rFonts w:ascii="Times New Roman" w:eastAsia="Times New Roman" w:hAnsi="Times New Roman" w:cs="Times New Roman"/>
          <w:bCs/>
          <w:color w:val="000000" w:themeColor="text1"/>
          <w:sz w:val="26"/>
          <w:szCs w:val="26"/>
        </w:rPr>
        <w:t xml:space="preserve">ain </w:t>
      </w:r>
      <w:r w:rsidR="0079590C">
        <w:rPr>
          <w:rFonts w:ascii="Times New Roman" w:eastAsia="Times New Roman" w:hAnsi="Times New Roman" w:cs="Times New Roman"/>
          <w:bCs/>
          <w:color w:val="000000" w:themeColor="text1"/>
          <w:sz w:val="26"/>
          <w:szCs w:val="26"/>
        </w:rPr>
        <w:t>B</w:t>
      </w:r>
      <w:r w:rsidRPr="00DC699E">
        <w:rPr>
          <w:rFonts w:ascii="Times New Roman" w:eastAsia="Times New Roman" w:hAnsi="Times New Roman" w:cs="Times New Roman"/>
          <w:bCs/>
          <w:color w:val="000000" w:themeColor="text1"/>
          <w:sz w:val="26"/>
          <w:szCs w:val="26"/>
        </w:rPr>
        <w:t xml:space="preserve">riefs on August 18, </w:t>
      </w:r>
      <w:proofErr w:type="gramStart"/>
      <w:r w:rsidRPr="00DC699E">
        <w:rPr>
          <w:rFonts w:ascii="Times New Roman" w:eastAsia="Times New Roman" w:hAnsi="Times New Roman" w:cs="Times New Roman"/>
          <w:bCs/>
          <w:color w:val="000000" w:themeColor="text1"/>
          <w:sz w:val="26"/>
          <w:szCs w:val="26"/>
        </w:rPr>
        <w:t>2020</w:t>
      </w:r>
      <w:proofErr w:type="gramEnd"/>
      <w:r w:rsidRPr="00DC699E">
        <w:rPr>
          <w:rFonts w:ascii="Times New Roman" w:eastAsia="Times New Roman" w:hAnsi="Times New Roman" w:cs="Times New Roman"/>
          <w:bCs/>
          <w:color w:val="000000" w:themeColor="text1"/>
          <w:sz w:val="26"/>
          <w:szCs w:val="26"/>
        </w:rPr>
        <w:t xml:space="preserve"> and </w:t>
      </w:r>
      <w:r w:rsidR="0079590C">
        <w:rPr>
          <w:rFonts w:ascii="Times New Roman" w:eastAsia="Times New Roman" w:hAnsi="Times New Roman" w:cs="Times New Roman"/>
          <w:bCs/>
          <w:color w:val="000000" w:themeColor="text1"/>
          <w:sz w:val="26"/>
          <w:szCs w:val="26"/>
        </w:rPr>
        <w:t>R</w:t>
      </w:r>
      <w:r w:rsidRPr="00DC699E">
        <w:rPr>
          <w:rFonts w:ascii="Times New Roman" w:eastAsia="Times New Roman" w:hAnsi="Times New Roman" w:cs="Times New Roman"/>
          <w:bCs/>
          <w:color w:val="000000" w:themeColor="text1"/>
          <w:sz w:val="26"/>
          <w:szCs w:val="26"/>
        </w:rPr>
        <w:t xml:space="preserve">eply </w:t>
      </w:r>
      <w:r w:rsidR="0079590C">
        <w:rPr>
          <w:rFonts w:ascii="Times New Roman" w:eastAsia="Times New Roman" w:hAnsi="Times New Roman" w:cs="Times New Roman"/>
          <w:bCs/>
          <w:color w:val="000000" w:themeColor="text1"/>
          <w:sz w:val="26"/>
          <w:szCs w:val="26"/>
        </w:rPr>
        <w:t>B</w:t>
      </w:r>
      <w:r w:rsidRPr="00DC699E">
        <w:rPr>
          <w:rFonts w:ascii="Times New Roman" w:eastAsia="Times New Roman" w:hAnsi="Times New Roman" w:cs="Times New Roman"/>
          <w:bCs/>
          <w:color w:val="000000" w:themeColor="text1"/>
          <w:sz w:val="26"/>
          <w:szCs w:val="26"/>
        </w:rPr>
        <w:t>riefs on September 11, 2020.  RESA did not file any briefs.  The record closed on September 11, 2020</w:t>
      </w:r>
      <w:r>
        <w:rPr>
          <w:rFonts w:ascii="Times New Roman" w:eastAsia="Times New Roman" w:hAnsi="Times New Roman" w:cs="Times New Roman"/>
          <w:bCs/>
          <w:color w:val="000000" w:themeColor="text1"/>
          <w:sz w:val="26"/>
          <w:szCs w:val="26"/>
        </w:rPr>
        <w:t>,</w:t>
      </w:r>
      <w:r w:rsidRPr="00DC699E">
        <w:rPr>
          <w:rFonts w:ascii="Times New Roman" w:eastAsia="Times New Roman" w:hAnsi="Times New Roman" w:cs="Times New Roman"/>
          <w:bCs/>
          <w:color w:val="000000" w:themeColor="text1"/>
          <w:sz w:val="26"/>
          <w:szCs w:val="26"/>
        </w:rPr>
        <w:t xml:space="preserve"> upon the filing of </w:t>
      </w:r>
      <w:proofErr w:type="gramStart"/>
      <w:r w:rsidRPr="00DC699E">
        <w:rPr>
          <w:rFonts w:ascii="Times New Roman" w:eastAsia="Times New Roman" w:hAnsi="Times New Roman" w:cs="Times New Roman"/>
          <w:bCs/>
          <w:color w:val="000000" w:themeColor="text1"/>
          <w:sz w:val="26"/>
          <w:szCs w:val="26"/>
        </w:rPr>
        <w:t>reply</w:t>
      </w:r>
      <w:proofErr w:type="gramEnd"/>
      <w:r w:rsidRPr="00DC699E">
        <w:rPr>
          <w:rFonts w:ascii="Times New Roman" w:eastAsia="Times New Roman" w:hAnsi="Times New Roman" w:cs="Times New Roman"/>
          <w:bCs/>
          <w:color w:val="000000" w:themeColor="text1"/>
          <w:sz w:val="26"/>
          <w:szCs w:val="26"/>
        </w:rPr>
        <w:t xml:space="preserve"> briefs. </w:t>
      </w:r>
    </w:p>
    <w:p w14:paraId="1CCD215B" w14:textId="77777777" w:rsidR="00DC699E" w:rsidRPr="00DC699E" w:rsidRDefault="00DC699E" w:rsidP="00DC699E">
      <w:pPr>
        <w:spacing w:after="0" w:line="360" w:lineRule="auto"/>
        <w:ind w:firstLine="1440"/>
        <w:rPr>
          <w:rFonts w:ascii="Times New Roman" w:eastAsia="Times New Roman" w:hAnsi="Times New Roman" w:cs="Times New Roman"/>
          <w:bCs/>
          <w:color w:val="FF0000"/>
          <w:sz w:val="26"/>
          <w:szCs w:val="26"/>
        </w:rPr>
      </w:pPr>
    </w:p>
    <w:p w14:paraId="04857495" w14:textId="0BA20537" w:rsidR="00DC699E" w:rsidRPr="00683C39" w:rsidRDefault="00DC699E" w:rsidP="00DC699E">
      <w:pPr>
        <w:spacing w:after="0" w:line="360" w:lineRule="auto"/>
        <w:ind w:firstLine="1440"/>
        <w:rPr>
          <w:rFonts w:ascii="Times New Roman" w:eastAsia="Times New Roman" w:hAnsi="Times New Roman" w:cs="Times New Roman"/>
          <w:bCs/>
          <w:color w:val="000000" w:themeColor="text1"/>
          <w:sz w:val="26"/>
          <w:szCs w:val="26"/>
        </w:rPr>
      </w:pPr>
      <w:r w:rsidRPr="00DC699E">
        <w:rPr>
          <w:rFonts w:ascii="Times New Roman" w:eastAsia="Times New Roman" w:hAnsi="Times New Roman" w:cs="Times New Roman"/>
          <w:bCs/>
          <w:color w:val="000000" w:themeColor="text1"/>
          <w:sz w:val="26"/>
          <w:szCs w:val="26"/>
        </w:rPr>
        <w:t>In the Initial Decision, issued on November 18, 2020, the ALJ sustained the Complaint finding that the companies do not provide the suppliers’ rates, terms of access and conditions that are comparable to the</w:t>
      </w:r>
      <w:r w:rsidR="00111C01">
        <w:rPr>
          <w:rFonts w:ascii="Times New Roman" w:eastAsia="Times New Roman" w:hAnsi="Times New Roman" w:cs="Times New Roman"/>
          <w:bCs/>
          <w:color w:val="000000" w:themeColor="text1"/>
          <w:sz w:val="26"/>
          <w:szCs w:val="26"/>
        </w:rPr>
        <w:t xml:space="preserve"> companies’</w:t>
      </w:r>
      <w:r w:rsidRPr="00DC699E">
        <w:rPr>
          <w:rFonts w:ascii="Times New Roman" w:eastAsia="Times New Roman" w:hAnsi="Times New Roman" w:cs="Times New Roman"/>
          <w:bCs/>
          <w:color w:val="000000" w:themeColor="text1"/>
          <w:sz w:val="26"/>
          <w:szCs w:val="26"/>
        </w:rPr>
        <w:t xml:space="preserve"> own use of the system.  The </w:t>
      </w:r>
      <w:r w:rsidR="00113BC9">
        <w:rPr>
          <w:rFonts w:ascii="Times New Roman" w:eastAsia="Times New Roman" w:hAnsi="Times New Roman" w:cs="Times New Roman"/>
          <w:bCs/>
          <w:color w:val="000000" w:themeColor="text1"/>
          <w:sz w:val="26"/>
          <w:szCs w:val="26"/>
        </w:rPr>
        <w:t xml:space="preserve">ALJ found that the </w:t>
      </w:r>
      <w:r w:rsidRPr="00DC699E">
        <w:rPr>
          <w:rFonts w:ascii="Times New Roman" w:eastAsia="Times New Roman" w:hAnsi="Times New Roman" w:cs="Times New Roman"/>
          <w:bCs/>
          <w:color w:val="000000" w:themeColor="text1"/>
          <w:sz w:val="26"/>
          <w:szCs w:val="26"/>
        </w:rPr>
        <w:t xml:space="preserve">EDCs have, therefore, made an unreasonable preference or advantage, and established or maintained an unreasonable difference as to service in violation of the </w:t>
      </w:r>
      <w:r w:rsidRPr="00DC699E">
        <w:rPr>
          <w:rFonts w:ascii="Times New Roman" w:eastAsia="Times New Roman" w:hAnsi="Times New Roman" w:cs="Times New Roman"/>
          <w:bCs/>
          <w:color w:val="000000" w:themeColor="text1"/>
          <w:sz w:val="26"/>
          <w:szCs w:val="26"/>
        </w:rPr>
        <w:lastRenderedPageBreak/>
        <w:t>Code.  Additionally, the ALJ recommended that the EDCs be given sixty (60) days from the date of a final order to report to the Commission’s Bureau of Technical Utilities (TUS) their methodology for coming into compliance with Sections 1502 and 2804(6) of the Code and Chapter 56.</w:t>
      </w:r>
      <w:r w:rsidR="00683C39">
        <w:rPr>
          <w:rFonts w:ascii="Times New Roman" w:eastAsia="Times New Roman" w:hAnsi="Times New Roman" w:cs="Times New Roman"/>
          <w:bCs/>
          <w:color w:val="000000" w:themeColor="text1"/>
          <w:sz w:val="26"/>
          <w:szCs w:val="26"/>
        </w:rPr>
        <w:t xml:space="preserve">  </w:t>
      </w:r>
      <w:r w:rsidR="00683C39">
        <w:rPr>
          <w:rFonts w:ascii="Times New Roman" w:eastAsia="Times New Roman" w:hAnsi="Times New Roman" w:cs="Times New Roman"/>
          <w:bCs/>
          <w:i/>
          <w:iCs/>
          <w:color w:val="000000" w:themeColor="text1"/>
          <w:sz w:val="26"/>
          <w:szCs w:val="26"/>
        </w:rPr>
        <w:t xml:space="preserve">See </w:t>
      </w:r>
      <w:r w:rsidR="00683C39">
        <w:rPr>
          <w:rFonts w:ascii="Times New Roman" w:eastAsia="Times New Roman" w:hAnsi="Times New Roman" w:cs="Times New Roman"/>
          <w:bCs/>
          <w:color w:val="000000" w:themeColor="text1"/>
          <w:sz w:val="26"/>
          <w:szCs w:val="26"/>
        </w:rPr>
        <w:t>I.D. at 1; 22-23.</w:t>
      </w:r>
    </w:p>
    <w:p w14:paraId="7062C658" w14:textId="185FFEEE" w:rsidR="00C72B7A" w:rsidRDefault="00C72B7A" w:rsidP="00DC699E">
      <w:pPr>
        <w:spacing w:after="0" w:line="360" w:lineRule="auto"/>
        <w:ind w:firstLine="1440"/>
        <w:rPr>
          <w:rFonts w:ascii="Times New Roman" w:eastAsia="Times New Roman" w:hAnsi="Times New Roman" w:cs="Times New Roman"/>
          <w:bCs/>
          <w:color w:val="000000" w:themeColor="text1"/>
          <w:sz w:val="26"/>
          <w:szCs w:val="26"/>
        </w:rPr>
      </w:pPr>
    </w:p>
    <w:p w14:paraId="35C3A5BC" w14:textId="6D54BC7B" w:rsidR="00C72B7A" w:rsidRPr="00DC699E" w:rsidRDefault="00C72B7A" w:rsidP="008754CD">
      <w:pPr>
        <w:spacing w:after="0" w:line="360" w:lineRule="auto"/>
        <w:ind w:firstLine="1440"/>
        <w:rPr>
          <w:rFonts w:ascii="Times New Roman" w:eastAsia="Times New Roman" w:hAnsi="Times New Roman" w:cs="Times New Roman"/>
          <w:color w:val="000000" w:themeColor="text1"/>
          <w:sz w:val="26"/>
          <w:szCs w:val="26"/>
        </w:rPr>
      </w:pPr>
      <w:r>
        <w:rPr>
          <w:rFonts w:ascii="Times New Roman" w:eastAsia="Times New Roman" w:hAnsi="Times New Roman" w:cs="Times New Roman"/>
          <w:bCs/>
          <w:color w:val="000000" w:themeColor="text1"/>
          <w:sz w:val="26"/>
          <w:szCs w:val="26"/>
        </w:rPr>
        <w:t xml:space="preserve">As previously noted, Exceptions to the Initial Decision were filed by </w:t>
      </w:r>
      <w:r w:rsidR="005C714A">
        <w:rPr>
          <w:rFonts w:ascii="Times New Roman" w:eastAsia="Times New Roman" w:hAnsi="Times New Roman" w:cs="Times New Roman"/>
          <w:bCs/>
          <w:color w:val="000000" w:themeColor="text1"/>
          <w:sz w:val="26"/>
          <w:szCs w:val="26"/>
        </w:rPr>
        <w:t>the EDC</w:t>
      </w:r>
      <w:r w:rsidR="008A53C7">
        <w:rPr>
          <w:rFonts w:ascii="Times New Roman" w:eastAsia="Times New Roman" w:hAnsi="Times New Roman" w:cs="Times New Roman"/>
          <w:bCs/>
          <w:color w:val="000000" w:themeColor="text1"/>
          <w:sz w:val="26"/>
          <w:szCs w:val="26"/>
        </w:rPr>
        <w:t>s</w:t>
      </w:r>
      <w:r w:rsidR="005C714A">
        <w:rPr>
          <w:rFonts w:ascii="Times New Roman" w:eastAsia="Times New Roman" w:hAnsi="Times New Roman" w:cs="Times New Roman"/>
          <w:bCs/>
          <w:color w:val="000000" w:themeColor="text1"/>
          <w:sz w:val="26"/>
          <w:szCs w:val="26"/>
        </w:rPr>
        <w:t xml:space="preserve"> and the OCA on December </w:t>
      </w:r>
      <w:r w:rsidR="00F543AE">
        <w:rPr>
          <w:rFonts w:ascii="Times New Roman" w:eastAsia="Times New Roman" w:hAnsi="Times New Roman" w:cs="Times New Roman"/>
          <w:bCs/>
          <w:color w:val="000000" w:themeColor="text1"/>
          <w:sz w:val="26"/>
          <w:szCs w:val="26"/>
        </w:rPr>
        <w:t>8, 2020</w:t>
      </w:r>
      <w:r w:rsidR="006204E9">
        <w:rPr>
          <w:rStyle w:val="FootnoteReference"/>
          <w:rFonts w:ascii="Times New Roman" w:eastAsia="Times New Roman" w:hAnsi="Times New Roman" w:cs="Times New Roman"/>
          <w:bCs/>
          <w:color w:val="000000" w:themeColor="text1"/>
          <w:sz w:val="26"/>
          <w:szCs w:val="26"/>
        </w:rPr>
        <w:footnoteReference w:id="3"/>
      </w:r>
      <w:r>
        <w:rPr>
          <w:rFonts w:ascii="Times New Roman" w:eastAsia="Times New Roman" w:hAnsi="Times New Roman" w:cs="Times New Roman"/>
          <w:bCs/>
          <w:color w:val="000000" w:themeColor="text1"/>
          <w:sz w:val="26"/>
          <w:szCs w:val="26"/>
        </w:rPr>
        <w:t xml:space="preserve">.  Replies to the Exceptions were filed by </w:t>
      </w:r>
      <w:r w:rsidR="00F543AE">
        <w:rPr>
          <w:rFonts w:ascii="Times New Roman" w:eastAsia="Times New Roman" w:hAnsi="Times New Roman" w:cs="Times New Roman"/>
          <w:bCs/>
          <w:color w:val="000000" w:themeColor="text1"/>
          <w:sz w:val="26"/>
          <w:szCs w:val="26"/>
        </w:rPr>
        <w:t>EGSs on December 18, 2020</w:t>
      </w:r>
      <w:r>
        <w:rPr>
          <w:rFonts w:ascii="Times New Roman" w:eastAsia="Times New Roman" w:hAnsi="Times New Roman" w:cs="Times New Roman"/>
          <w:bCs/>
          <w:color w:val="000000" w:themeColor="text1"/>
          <w:sz w:val="26"/>
          <w:szCs w:val="26"/>
        </w:rPr>
        <w:t xml:space="preserve">.   </w:t>
      </w:r>
    </w:p>
    <w:p w14:paraId="16002054" w14:textId="77777777" w:rsidR="00DC699E" w:rsidRPr="00DC699E" w:rsidRDefault="00DC699E" w:rsidP="008754CD">
      <w:pPr>
        <w:spacing w:after="0" w:line="360" w:lineRule="auto"/>
      </w:pPr>
    </w:p>
    <w:p w14:paraId="7E93EAD5" w14:textId="77777777" w:rsidR="00B513F9" w:rsidRPr="00F054D1" w:rsidRDefault="00B513F9" w:rsidP="008754CD">
      <w:pPr>
        <w:pStyle w:val="Heading1"/>
        <w:numPr>
          <w:ilvl w:val="0"/>
          <w:numId w:val="17"/>
        </w:numPr>
        <w:ind w:left="0" w:firstLine="0"/>
      </w:pPr>
      <w:r w:rsidRPr="00F054D1">
        <w:t>Legal Standards</w:t>
      </w:r>
    </w:p>
    <w:p w14:paraId="0BA4E80A" w14:textId="77777777" w:rsidR="00B513F9" w:rsidRPr="00F054D1" w:rsidRDefault="00B513F9" w:rsidP="008754CD">
      <w:pPr>
        <w:keepNext/>
        <w:keepLines/>
        <w:spacing w:after="0" w:line="360" w:lineRule="auto"/>
        <w:rPr>
          <w:rFonts w:ascii="Times New Roman" w:hAnsi="Times New Roman" w:cs="Times New Roman"/>
          <w:b/>
          <w:sz w:val="26"/>
          <w:szCs w:val="26"/>
        </w:rPr>
      </w:pPr>
    </w:p>
    <w:p w14:paraId="4E2BD7B0" w14:textId="77777777" w:rsidR="00482404" w:rsidRDefault="000F2635" w:rsidP="008754CD">
      <w:pPr>
        <w:spacing w:after="0" w:line="360" w:lineRule="auto"/>
        <w:ind w:firstLine="1440"/>
        <w:rPr>
          <w:rFonts w:ascii="Times New Roman" w:eastAsia="Times New Roman" w:hAnsi="Times New Roman" w:cs="Times New Roman"/>
          <w:color w:val="000000"/>
          <w:sz w:val="26"/>
          <w:szCs w:val="26"/>
        </w:rPr>
      </w:pPr>
      <w:r w:rsidRPr="000F2635">
        <w:rPr>
          <w:rFonts w:ascii="Times New Roman" w:eastAsia="Times New Roman" w:hAnsi="Times New Roman" w:cs="Times New Roman"/>
          <w:color w:val="000000"/>
          <w:sz w:val="26"/>
          <w:szCs w:val="26"/>
        </w:rPr>
        <w:t>Section 332(a) of the Code provides that the party seeking</w:t>
      </w:r>
      <w:r>
        <w:rPr>
          <w:rFonts w:ascii="Times New Roman" w:eastAsia="Times New Roman" w:hAnsi="Times New Roman" w:cs="Times New Roman"/>
          <w:color w:val="000000"/>
          <w:sz w:val="26"/>
          <w:szCs w:val="26"/>
        </w:rPr>
        <w:t xml:space="preserve"> </w:t>
      </w:r>
      <w:r w:rsidRPr="000F2635">
        <w:rPr>
          <w:rFonts w:ascii="Times New Roman" w:eastAsia="Times New Roman" w:hAnsi="Times New Roman" w:cs="Times New Roman"/>
          <w:color w:val="000000"/>
          <w:sz w:val="26"/>
          <w:szCs w:val="26"/>
        </w:rPr>
        <w:t>relief from the Commission has the burden of proof.  66 Pa.</w:t>
      </w:r>
      <w:r w:rsidR="00482404">
        <w:rPr>
          <w:rFonts w:ascii="Times New Roman" w:eastAsia="Times New Roman" w:hAnsi="Times New Roman" w:cs="Times New Roman"/>
          <w:color w:val="000000"/>
          <w:sz w:val="26"/>
          <w:szCs w:val="26"/>
        </w:rPr>
        <w:t xml:space="preserve"> </w:t>
      </w:r>
      <w:r w:rsidRPr="000F2635">
        <w:rPr>
          <w:rFonts w:ascii="Times New Roman" w:eastAsia="Times New Roman" w:hAnsi="Times New Roman" w:cs="Times New Roman"/>
          <w:color w:val="000000"/>
          <w:sz w:val="26"/>
          <w:szCs w:val="26"/>
        </w:rPr>
        <w:t xml:space="preserve">C.S. § 332(a).  As a matter of law, a complainant must show that the named utility is responsible or accountable for the problem described in the complaint </w:t>
      </w:r>
      <w:proofErr w:type="gramStart"/>
      <w:r w:rsidRPr="000F2635">
        <w:rPr>
          <w:rFonts w:ascii="Times New Roman" w:eastAsia="Times New Roman" w:hAnsi="Times New Roman" w:cs="Times New Roman"/>
          <w:color w:val="000000"/>
          <w:sz w:val="26"/>
          <w:szCs w:val="26"/>
        </w:rPr>
        <w:t>in order to</w:t>
      </w:r>
      <w:proofErr w:type="gramEnd"/>
      <w:r w:rsidRPr="000F2635">
        <w:rPr>
          <w:rFonts w:ascii="Times New Roman" w:eastAsia="Times New Roman" w:hAnsi="Times New Roman" w:cs="Times New Roman"/>
          <w:color w:val="000000"/>
          <w:sz w:val="26"/>
          <w:szCs w:val="26"/>
        </w:rPr>
        <w:t xml:space="preserve"> prevail.  </w:t>
      </w:r>
      <w:r w:rsidRPr="000F2635">
        <w:rPr>
          <w:rFonts w:ascii="Times New Roman" w:eastAsia="Times New Roman" w:hAnsi="Times New Roman" w:cs="Times New Roman"/>
          <w:i/>
          <w:iCs/>
          <w:color w:val="000000"/>
          <w:sz w:val="26"/>
          <w:szCs w:val="26"/>
          <w:u w:color="000000"/>
        </w:rPr>
        <w:t>Patterson v. Bell Tel. Co. of Pa</w:t>
      </w:r>
      <w:r w:rsidRPr="00CB06ED">
        <w:rPr>
          <w:rFonts w:ascii="Times New Roman" w:eastAsia="Times New Roman" w:hAnsi="Times New Roman" w:cs="Times New Roman"/>
          <w:color w:val="000000"/>
          <w:sz w:val="26"/>
          <w:szCs w:val="26"/>
        </w:rPr>
        <w:t>.</w:t>
      </w:r>
      <w:r w:rsidRPr="000F2635">
        <w:rPr>
          <w:rFonts w:ascii="Times New Roman" w:eastAsia="Times New Roman" w:hAnsi="Times New Roman" w:cs="Times New Roman"/>
          <w:color w:val="000000"/>
          <w:sz w:val="26"/>
          <w:szCs w:val="26"/>
        </w:rPr>
        <w:t xml:space="preserve">, 72 Pa. PUC 196 (1990).  “Burden of proof” means a duty to establish a fact by a preponderance of the evidence, or evidence more convincing, by even the smallest degree, than the evidence presented by the other party.  </w:t>
      </w:r>
      <w:r w:rsidRPr="000F2635">
        <w:rPr>
          <w:rFonts w:ascii="Times New Roman" w:eastAsia="Times New Roman" w:hAnsi="Times New Roman" w:cs="Times New Roman"/>
          <w:i/>
          <w:iCs/>
          <w:color w:val="000000"/>
          <w:sz w:val="26"/>
          <w:szCs w:val="26"/>
          <w:u w:color="000000"/>
        </w:rPr>
        <w:t>Se-Ling Hosiery v. Margulies</w:t>
      </w:r>
      <w:r w:rsidRPr="000F2635">
        <w:rPr>
          <w:rFonts w:ascii="Times New Roman" w:eastAsia="Times New Roman" w:hAnsi="Times New Roman" w:cs="Times New Roman"/>
          <w:color w:val="000000"/>
          <w:sz w:val="26"/>
          <w:szCs w:val="26"/>
        </w:rPr>
        <w:t xml:space="preserve">, 364 Pa. 54, 70 A.2d 854 (1950).  The offense must be a violation of the Public Utility Code, the Commission’s </w:t>
      </w:r>
      <w:r w:rsidR="005B3943">
        <w:rPr>
          <w:rFonts w:ascii="Times New Roman" w:eastAsia="Times New Roman" w:hAnsi="Times New Roman" w:cs="Times New Roman"/>
          <w:color w:val="000000"/>
          <w:sz w:val="26"/>
          <w:szCs w:val="26"/>
        </w:rPr>
        <w:t>R</w:t>
      </w:r>
      <w:r w:rsidR="005B3943" w:rsidRPr="000F2635">
        <w:rPr>
          <w:rFonts w:ascii="Times New Roman" w:eastAsia="Times New Roman" w:hAnsi="Times New Roman" w:cs="Times New Roman"/>
          <w:color w:val="000000"/>
          <w:sz w:val="26"/>
          <w:szCs w:val="26"/>
        </w:rPr>
        <w:t>egulations,</w:t>
      </w:r>
      <w:r w:rsidRPr="000F2635">
        <w:rPr>
          <w:rFonts w:ascii="Times New Roman" w:eastAsia="Times New Roman" w:hAnsi="Times New Roman" w:cs="Times New Roman"/>
          <w:color w:val="000000"/>
          <w:sz w:val="26"/>
          <w:szCs w:val="26"/>
        </w:rPr>
        <w:t xml:space="preserve"> or an outstanding order of the Commission.</w:t>
      </w:r>
      <w:r>
        <w:rPr>
          <w:rFonts w:ascii="Times New Roman" w:eastAsia="Times New Roman" w:hAnsi="Times New Roman" w:cs="Times New Roman"/>
          <w:color w:val="000000"/>
          <w:sz w:val="26"/>
          <w:szCs w:val="26"/>
        </w:rPr>
        <w:t xml:space="preserve">  See, </w:t>
      </w:r>
      <w:r w:rsidRPr="000F2635">
        <w:rPr>
          <w:rFonts w:ascii="Times New Roman" w:eastAsia="Times New Roman" w:hAnsi="Times New Roman" w:cs="Times New Roman"/>
          <w:color w:val="000000"/>
          <w:sz w:val="26"/>
          <w:szCs w:val="26"/>
        </w:rPr>
        <w:t>66 Pa.</w:t>
      </w:r>
      <w:r w:rsidR="00DF7702">
        <w:rPr>
          <w:rFonts w:ascii="Times New Roman" w:eastAsia="Times New Roman" w:hAnsi="Times New Roman" w:cs="Times New Roman"/>
          <w:color w:val="000000"/>
          <w:sz w:val="26"/>
          <w:szCs w:val="26"/>
        </w:rPr>
        <w:t xml:space="preserve"> </w:t>
      </w:r>
      <w:r w:rsidRPr="000F2635">
        <w:rPr>
          <w:rFonts w:ascii="Times New Roman" w:eastAsia="Times New Roman" w:hAnsi="Times New Roman" w:cs="Times New Roman"/>
          <w:color w:val="000000"/>
          <w:sz w:val="26"/>
          <w:szCs w:val="26"/>
        </w:rPr>
        <w:t xml:space="preserve">C.S. § 701.  </w:t>
      </w:r>
    </w:p>
    <w:p w14:paraId="71383146" w14:textId="77777777" w:rsidR="00482404" w:rsidRDefault="00482404" w:rsidP="000F2635">
      <w:pPr>
        <w:spacing w:after="0" w:line="360" w:lineRule="auto"/>
        <w:ind w:firstLine="1440"/>
        <w:rPr>
          <w:rFonts w:ascii="Times New Roman" w:eastAsia="Times New Roman" w:hAnsi="Times New Roman" w:cs="Times New Roman"/>
          <w:color w:val="000000"/>
          <w:sz w:val="26"/>
          <w:szCs w:val="26"/>
        </w:rPr>
      </w:pPr>
    </w:p>
    <w:p w14:paraId="701341E4" w14:textId="5A1C06A2" w:rsidR="000F2635" w:rsidRPr="000F2635" w:rsidRDefault="000F2635" w:rsidP="000F2635">
      <w:pPr>
        <w:spacing w:after="0" w:line="360" w:lineRule="auto"/>
        <w:ind w:firstLine="1440"/>
        <w:rPr>
          <w:rFonts w:ascii="Times New Roman" w:eastAsia="Times New Roman" w:hAnsi="Times New Roman" w:cs="Times New Roman"/>
          <w:color w:val="000000"/>
          <w:sz w:val="26"/>
          <w:szCs w:val="26"/>
        </w:rPr>
      </w:pPr>
      <w:r w:rsidRPr="000F2635">
        <w:rPr>
          <w:rFonts w:ascii="Times New Roman" w:eastAsia="Times New Roman" w:hAnsi="Times New Roman" w:cs="Times New Roman"/>
          <w:color w:val="000000"/>
          <w:sz w:val="26"/>
          <w:szCs w:val="26"/>
        </w:rPr>
        <w:t>In th</w:t>
      </w:r>
      <w:r w:rsidR="00A31FD2">
        <w:rPr>
          <w:rFonts w:ascii="Times New Roman" w:eastAsia="Times New Roman" w:hAnsi="Times New Roman" w:cs="Times New Roman"/>
          <w:color w:val="000000"/>
          <w:sz w:val="26"/>
          <w:szCs w:val="26"/>
        </w:rPr>
        <w:t>e</w:t>
      </w:r>
      <w:r w:rsidRPr="000F2635">
        <w:rPr>
          <w:rFonts w:ascii="Times New Roman" w:eastAsia="Times New Roman" w:hAnsi="Times New Roman" w:cs="Times New Roman"/>
          <w:color w:val="000000"/>
          <w:sz w:val="26"/>
          <w:szCs w:val="26"/>
        </w:rPr>
        <w:t>s</w:t>
      </w:r>
      <w:r w:rsidR="00A31FD2">
        <w:rPr>
          <w:rFonts w:ascii="Times New Roman" w:eastAsia="Times New Roman" w:hAnsi="Times New Roman" w:cs="Times New Roman"/>
          <w:color w:val="000000"/>
          <w:sz w:val="26"/>
          <w:szCs w:val="26"/>
        </w:rPr>
        <w:t>e</w:t>
      </w:r>
      <w:r w:rsidRPr="000F2635">
        <w:rPr>
          <w:rFonts w:ascii="Times New Roman" w:eastAsia="Times New Roman" w:hAnsi="Times New Roman" w:cs="Times New Roman"/>
          <w:color w:val="000000"/>
          <w:sz w:val="26"/>
          <w:szCs w:val="26"/>
        </w:rPr>
        <w:t xml:space="preserve"> </w:t>
      </w:r>
      <w:r w:rsidR="00A31FD2">
        <w:rPr>
          <w:rFonts w:ascii="Times New Roman" w:eastAsia="Times New Roman" w:hAnsi="Times New Roman" w:cs="Times New Roman"/>
          <w:color w:val="000000"/>
          <w:sz w:val="26"/>
          <w:szCs w:val="26"/>
        </w:rPr>
        <w:t>Complaint proceedings</w:t>
      </w:r>
      <w:r w:rsidRPr="000F2635">
        <w:rPr>
          <w:rFonts w:ascii="Times New Roman" w:eastAsia="Times New Roman" w:hAnsi="Times New Roman" w:cs="Times New Roman"/>
          <w:color w:val="000000"/>
          <w:sz w:val="26"/>
          <w:szCs w:val="26"/>
        </w:rPr>
        <w:t xml:space="preserve">, the EGSs </w:t>
      </w:r>
      <w:r w:rsidR="00184E09">
        <w:rPr>
          <w:rFonts w:ascii="Times New Roman" w:eastAsia="Times New Roman" w:hAnsi="Times New Roman" w:cs="Times New Roman"/>
          <w:color w:val="000000"/>
          <w:sz w:val="26"/>
          <w:szCs w:val="26"/>
        </w:rPr>
        <w:t xml:space="preserve">complain that the </w:t>
      </w:r>
      <w:r w:rsidR="002E52CA">
        <w:rPr>
          <w:rFonts w:ascii="Times New Roman" w:eastAsia="Times New Roman" w:hAnsi="Times New Roman" w:cs="Times New Roman"/>
          <w:color w:val="000000"/>
          <w:sz w:val="26"/>
          <w:szCs w:val="26"/>
        </w:rPr>
        <w:t>EDCs’ provision of “on-bill billing” for their own good non</w:t>
      </w:r>
      <w:r w:rsidR="007D56E8">
        <w:rPr>
          <w:rFonts w:ascii="Times New Roman" w:eastAsia="Times New Roman" w:hAnsi="Times New Roman" w:cs="Times New Roman"/>
          <w:color w:val="000000"/>
          <w:sz w:val="26"/>
          <w:szCs w:val="26"/>
        </w:rPr>
        <w:t xml:space="preserve">-commodity goods and services, while not offering </w:t>
      </w:r>
      <w:r w:rsidR="00DF7702">
        <w:rPr>
          <w:rFonts w:ascii="Times New Roman" w:eastAsia="Times New Roman" w:hAnsi="Times New Roman" w:cs="Times New Roman"/>
          <w:color w:val="000000"/>
          <w:sz w:val="26"/>
          <w:szCs w:val="26"/>
        </w:rPr>
        <w:t>“</w:t>
      </w:r>
      <w:r w:rsidR="007D56E8">
        <w:rPr>
          <w:rFonts w:ascii="Times New Roman" w:eastAsia="Times New Roman" w:hAnsi="Times New Roman" w:cs="Times New Roman"/>
          <w:color w:val="000000"/>
          <w:sz w:val="26"/>
          <w:szCs w:val="26"/>
        </w:rPr>
        <w:t>on-bill billing</w:t>
      </w:r>
      <w:r w:rsidR="00DF7702">
        <w:rPr>
          <w:rFonts w:ascii="Times New Roman" w:eastAsia="Times New Roman" w:hAnsi="Times New Roman" w:cs="Times New Roman"/>
          <w:color w:val="000000"/>
          <w:sz w:val="26"/>
          <w:szCs w:val="26"/>
        </w:rPr>
        <w:t>”</w:t>
      </w:r>
      <w:r w:rsidR="007D56E8">
        <w:rPr>
          <w:rFonts w:ascii="Times New Roman" w:eastAsia="Times New Roman" w:hAnsi="Times New Roman" w:cs="Times New Roman"/>
          <w:color w:val="000000"/>
          <w:sz w:val="26"/>
          <w:szCs w:val="26"/>
        </w:rPr>
        <w:t xml:space="preserve"> for the </w:t>
      </w:r>
      <w:r w:rsidR="00B21AC3">
        <w:rPr>
          <w:rFonts w:ascii="Times New Roman" w:eastAsia="Times New Roman" w:hAnsi="Times New Roman" w:cs="Times New Roman"/>
          <w:color w:val="000000"/>
          <w:sz w:val="26"/>
          <w:szCs w:val="26"/>
        </w:rPr>
        <w:t xml:space="preserve">EGSs’ non-commodity goods and services, </w:t>
      </w:r>
      <w:r w:rsidR="00B21AC3">
        <w:rPr>
          <w:rFonts w:ascii="Times New Roman" w:eastAsia="Times New Roman" w:hAnsi="Times New Roman" w:cs="Times New Roman"/>
          <w:color w:val="000000"/>
          <w:sz w:val="26"/>
          <w:szCs w:val="26"/>
        </w:rPr>
        <w:lastRenderedPageBreak/>
        <w:t xml:space="preserve">constitutes </w:t>
      </w:r>
      <w:r w:rsidR="00587836">
        <w:rPr>
          <w:rFonts w:ascii="Times New Roman" w:eastAsia="Times New Roman" w:hAnsi="Times New Roman" w:cs="Times New Roman"/>
          <w:color w:val="000000"/>
          <w:sz w:val="26"/>
          <w:szCs w:val="26"/>
        </w:rPr>
        <w:t xml:space="preserve">unreasonable </w:t>
      </w:r>
      <w:r w:rsidR="00B21AC3">
        <w:rPr>
          <w:rFonts w:ascii="Times New Roman" w:eastAsia="Times New Roman" w:hAnsi="Times New Roman" w:cs="Times New Roman"/>
          <w:color w:val="000000"/>
          <w:sz w:val="26"/>
          <w:szCs w:val="26"/>
        </w:rPr>
        <w:t xml:space="preserve">discrimination in the provision of service under the Code.  </w:t>
      </w:r>
      <w:r w:rsidR="0039006F">
        <w:rPr>
          <w:rFonts w:ascii="Times New Roman" w:eastAsia="Times New Roman" w:hAnsi="Times New Roman" w:cs="Times New Roman"/>
          <w:color w:val="000000"/>
          <w:sz w:val="26"/>
          <w:szCs w:val="26"/>
        </w:rPr>
        <w:t>Therefore, th</w:t>
      </w:r>
      <w:r w:rsidRPr="000F2635">
        <w:rPr>
          <w:rFonts w:ascii="Times New Roman" w:eastAsia="Times New Roman" w:hAnsi="Times New Roman" w:cs="Times New Roman"/>
          <w:color w:val="000000"/>
          <w:sz w:val="26"/>
          <w:szCs w:val="26"/>
        </w:rPr>
        <w:t xml:space="preserve">e EGSs have the burden of proof in this proceeding.  </w:t>
      </w:r>
    </w:p>
    <w:p w14:paraId="2DD3BC31" w14:textId="77777777" w:rsidR="000F2635" w:rsidRPr="000F2635" w:rsidRDefault="000F2635" w:rsidP="000F2635">
      <w:pPr>
        <w:spacing w:after="113"/>
        <w:ind w:left="1440"/>
        <w:rPr>
          <w:rFonts w:ascii="Times New Roman" w:eastAsia="Times New Roman" w:hAnsi="Times New Roman" w:cs="Times New Roman"/>
          <w:color w:val="000000"/>
          <w:sz w:val="26"/>
          <w:szCs w:val="26"/>
        </w:rPr>
      </w:pPr>
      <w:r w:rsidRPr="000F2635">
        <w:rPr>
          <w:rFonts w:ascii="Times New Roman" w:eastAsia="Times New Roman" w:hAnsi="Times New Roman" w:cs="Times New Roman"/>
          <w:color w:val="000000"/>
          <w:sz w:val="26"/>
          <w:szCs w:val="26"/>
        </w:rPr>
        <w:t xml:space="preserve"> </w:t>
      </w:r>
    </w:p>
    <w:p w14:paraId="70BD3921" w14:textId="699C0E52" w:rsidR="000F2635" w:rsidRPr="000F2635" w:rsidRDefault="000F2635" w:rsidP="007221AD">
      <w:pPr>
        <w:spacing w:after="0" w:line="360" w:lineRule="auto"/>
        <w:ind w:firstLine="1440"/>
        <w:rPr>
          <w:rFonts w:ascii="Times New Roman" w:eastAsia="Times New Roman" w:hAnsi="Times New Roman" w:cs="Times New Roman"/>
          <w:color w:val="000000"/>
          <w:sz w:val="26"/>
          <w:szCs w:val="26"/>
        </w:rPr>
      </w:pPr>
      <w:r w:rsidRPr="000F2635">
        <w:rPr>
          <w:rFonts w:ascii="Times New Roman" w:eastAsia="Times New Roman" w:hAnsi="Times New Roman" w:cs="Times New Roman"/>
          <w:color w:val="000000"/>
          <w:sz w:val="26"/>
          <w:szCs w:val="26"/>
        </w:rPr>
        <w:t xml:space="preserve">If a complainant establishes a </w:t>
      </w:r>
      <w:r w:rsidRPr="000F2635">
        <w:rPr>
          <w:rFonts w:ascii="Times New Roman" w:eastAsia="Times New Roman" w:hAnsi="Times New Roman" w:cs="Times New Roman"/>
          <w:i/>
          <w:color w:val="000000"/>
          <w:sz w:val="26"/>
          <w:szCs w:val="26"/>
        </w:rPr>
        <w:t xml:space="preserve">prima facie </w:t>
      </w:r>
      <w:r w:rsidRPr="000F2635">
        <w:rPr>
          <w:rFonts w:ascii="Times New Roman" w:eastAsia="Times New Roman" w:hAnsi="Times New Roman" w:cs="Times New Roman"/>
          <w:color w:val="000000"/>
          <w:sz w:val="26"/>
          <w:szCs w:val="26"/>
        </w:rPr>
        <w:t xml:space="preserve">case, the burden of going forward with the evidence shifts to the </w:t>
      </w:r>
      <w:r w:rsidR="007221AD">
        <w:rPr>
          <w:rFonts w:ascii="Times New Roman" w:eastAsia="Times New Roman" w:hAnsi="Times New Roman" w:cs="Times New Roman"/>
          <w:color w:val="000000"/>
          <w:sz w:val="26"/>
          <w:szCs w:val="26"/>
        </w:rPr>
        <w:t xml:space="preserve">respondent </w:t>
      </w:r>
      <w:r w:rsidRPr="000F2635">
        <w:rPr>
          <w:rFonts w:ascii="Times New Roman" w:eastAsia="Times New Roman" w:hAnsi="Times New Roman" w:cs="Times New Roman"/>
          <w:color w:val="000000"/>
          <w:sz w:val="26"/>
          <w:szCs w:val="26"/>
        </w:rPr>
        <w:t xml:space="preserve">utility.  If </w:t>
      </w:r>
      <w:r w:rsidR="007221AD">
        <w:rPr>
          <w:rFonts w:ascii="Times New Roman" w:eastAsia="Times New Roman" w:hAnsi="Times New Roman" w:cs="Times New Roman"/>
          <w:color w:val="000000"/>
          <w:sz w:val="26"/>
          <w:szCs w:val="26"/>
        </w:rPr>
        <w:t xml:space="preserve">the respondent </w:t>
      </w:r>
      <w:r w:rsidRPr="000F2635">
        <w:rPr>
          <w:rFonts w:ascii="Times New Roman" w:eastAsia="Times New Roman" w:hAnsi="Times New Roman" w:cs="Times New Roman"/>
          <w:color w:val="000000"/>
          <w:sz w:val="26"/>
          <w:szCs w:val="26"/>
        </w:rPr>
        <w:t>utility does not rebut th</w:t>
      </w:r>
      <w:r w:rsidR="007221AD">
        <w:rPr>
          <w:rFonts w:ascii="Times New Roman" w:eastAsia="Times New Roman" w:hAnsi="Times New Roman" w:cs="Times New Roman"/>
          <w:color w:val="000000"/>
          <w:sz w:val="26"/>
          <w:szCs w:val="26"/>
        </w:rPr>
        <w:t xml:space="preserve">e </w:t>
      </w:r>
      <w:r w:rsidR="007221AD" w:rsidRPr="007221AD">
        <w:rPr>
          <w:rFonts w:ascii="Times New Roman" w:eastAsia="Times New Roman" w:hAnsi="Times New Roman" w:cs="Times New Roman"/>
          <w:i/>
          <w:iCs/>
          <w:color w:val="000000"/>
          <w:sz w:val="26"/>
          <w:szCs w:val="26"/>
        </w:rPr>
        <w:t>prima facia</w:t>
      </w:r>
      <w:r w:rsidR="007221AD">
        <w:rPr>
          <w:rFonts w:ascii="Times New Roman" w:eastAsia="Times New Roman" w:hAnsi="Times New Roman" w:cs="Times New Roman"/>
          <w:color w:val="000000"/>
          <w:sz w:val="26"/>
          <w:szCs w:val="26"/>
        </w:rPr>
        <w:t xml:space="preserve"> </w:t>
      </w:r>
      <w:r w:rsidRPr="000F2635">
        <w:rPr>
          <w:rFonts w:ascii="Times New Roman" w:eastAsia="Times New Roman" w:hAnsi="Times New Roman" w:cs="Times New Roman"/>
          <w:color w:val="000000"/>
          <w:sz w:val="26"/>
          <w:szCs w:val="26"/>
        </w:rPr>
        <w:t>evidence, the complainant will prevail.  If the utility rebuts the complainant's evidence, the burden of going forward with the evidence shifts back to the complainant, who must rebut the utility's evidence by a preponderance of the evidence.  The burden of going forward with the evidence may shift from one party to another, but the burden of proof never shifts; it always remains on a complainant.</w:t>
      </w:r>
      <w:r w:rsidR="007221AD">
        <w:rPr>
          <w:rFonts w:ascii="Times New Roman" w:eastAsia="Times New Roman" w:hAnsi="Times New Roman" w:cs="Times New Roman"/>
          <w:color w:val="000000"/>
          <w:sz w:val="26"/>
          <w:szCs w:val="26"/>
        </w:rPr>
        <w:t xml:space="preserve">  </w:t>
      </w:r>
      <w:proofErr w:type="spellStart"/>
      <w:r w:rsidRPr="000F2635">
        <w:rPr>
          <w:rFonts w:ascii="Times New Roman" w:eastAsia="Times New Roman" w:hAnsi="Times New Roman" w:cs="Times New Roman"/>
          <w:i/>
          <w:iCs/>
          <w:color w:val="000000"/>
          <w:sz w:val="26"/>
          <w:szCs w:val="26"/>
          <w:u w:color="000000"/>
        </w:rPr>
        <w:t>Milkie</w:t>
      </w:r>
      <w:proofErr w:type="spellEnd"/>
      <w:r w:rsidRPr="000F2635">
        <w:rPr>
          <w:rFonts w:ascii="Times New Roman" w:eastAsia="Times New Roman" w:hAnsi="Times New Roman" w:cs="Times New Roman"/>
          <w:i/>
          <w:iCs/>
          <w:color w:val="000000"/>
          <w:sz w:val="26"/>
          <w:szCs w:val="26"/>
          <w:u w:color="000000"/>
        </w:rPr>
        <w:t xml:space="preserve"> v. Pa. P</w:t>
      </w:r>
      <w:r w:rsidR="00CB06ED">
        <w:rPr>
          <w:rFonts w:ascii="Times New Roman" w:eastAsia="Times New Roman" w:hAnsi="Times New Roman" w:cs="Times New Roman"/>
          <w:i/>
          <w:iCs/>
          <w:color w:val="000000"/>
          <w:sz w:val="26"/>
          <w:szCs w:val="26"/>
          <w:u w:color="000000"/>
        </w:rPr>
        <w:t>UC</w:t>
      </w:r>
      <w:r w:rsidRPr="000F2635">
        <w:rPr>
          <w:rFonts w:ascii="Times New Roman" w:eastAsia="Times New Roman" w:hAnsi="Times New Roman" w:cs="Times New Roman"/>
          <w:color w:val="000000"/>
          <w:sz w:val="26"/>
          <w:szCs w:val="26"/>
        </w:rPr>
        <w:t>, 768 A.2d 1217 (Pa.</w:t>
      </w:r>
      <w:r w:rsidR="00CB06ED">
        <w:rPr>
          <w:rFonts w:ascii="Times New Roman" w:eastAsia="Times New Roman" w:hAnsi="Times New Roman" w:cs="Times New Roman"/>
          <w:color w:val="000000"/>
          <w:sz w:val="26"/>
          <w:szCs w:val="26"/>
        </w:rPr>
        <w:t xml:space="preserve"> </w:t>
      </w:r>
      <w:proofErr w:type="spellStart"/>
      <w:r w:rsidRPr="000F2635">
        <w:rPr>
          <w:rFonts w:ascii="Times New Roman" w:eastAsia="Times New Roman" w:hAnsi="Times New Roman" w:cs="Times New Roman"/>
          <w:color w:val="000000"/>
          <w:sz w:val="26"/>
          <w:szCs w:val="26"/>
        </w:rPr>
        <w:t>Cmwlth</w:t>
      </w:r>
      <w:proofErr w:type="spellEnd"/>
      <w:r w:rsidRPr="000F2635">
        <w:rPr>
          <w:rFonts w:ascii="Times New Roman" w:eastAsia="Times New Roman" w:hAnsi="Times New Roman" w:cs="Times New Roman"/>
          <w:color w:val="000000"/>
          <w:sz w:val="26"/>
          <w:szCs w:val="26"/>
        </w:rPr>
        <w:t xml:space="preserve">. 2001); </w:t>
      </w:r>
      <w:r w:rsidRPr="000F2635">
        <w:rPr>
          <w:rFonts w:ascii="Times New Roman" w:eastAsia="Times New Roman" w:hAnsi="Times New Roman" w:cs="Times New Roman"/>
          <w:i/>
          <w:color w:val="000000"/>
          <w:sz w:val="26"/>
          <w:szCs w:val="26"/>
        </w:rPr>
        <w:t>see also</w:t>
      </w:r>
      <w:r w:rsidRPr="000F2635">
        <w:rPr>
          <w:rFonts w:ascii="Times New Roman" w:eastAsia="Times New Roman" w:hAnsi="Times New Roman" w:cs="Times New Roman"/>
          <w:color w:val="000000"/>
          <w:sz w:val="26"/>
          <w:szCs w:val="26"/>
        </w:rPr>
        <w:t xml:space="preserve">, </w:t>
      </w:r>
      <w:r w:rsidRPr="000F2635">
        <w:rPr>
          <w:rFonts w:ascii="Times New Roman" w:eastAsia="Times New Roman" w:hAnsi="Times New Roman" w:cs="Times New Roman"/>
          <w:i/>
          <w:iCs/>
          <w:color w:val="000000"/>
          <w:sz w:val="26"/>
          <w:szCs w:val="26"/>
          <w:u w:color="000000"/>
        </w:rPr>
        <w:t>Burleson v. Pa.</w:t>
      </w:r>
      <w:r w:rsidRPr="000F2635">
        <w:rPr>
          <w:rFonts w:ascii="Times New Roman" w:eastAsia="Times New Roman" w:hAnsi="Times New Roman" w:cs="Times New Roman"/>
          <w:i/>
          <w:iCs/>
          <w:color w:val="000000"/>
          <w:sz w:val="26"/>
          <w:szCs w:val="26"/>
        </w:rPr>
        <w:t xml:space="preserve"> </w:t>
      </w:r>
      <w:r w:rsidRPr="000F2635">
        <w:rPr>
          <w:rFonts w:ascii="Times New Roman" w:eastAsia="Times New Roman" w:hAnsi="Times New Roman" w:cs="Times New Roman"/>
          <w:i/>
          <w:iCs/>
          <w:color w:val="000000"/>
          <w:sz w:val="26"/>
          <w:szCs w:val="26"/>
          <w:u w:color="000000"/>
        </w:rPr>
        <w:t>P</w:t>
      </w:r>
      <w:r w:rsidR="00CB06ED">
        <w:rPr>
          <w:rFonts w:ascii="Times New Roman" w:eastAsia="Times New Roman" w:hAnsi="Times New Roman" w:cs="Times New Roman"/>
          <w:i/>
          <w:iCs/>
          <w:color w:val="000000"/>
          <w:sz w:val="26"/>
          <w:szCs w:val="26"/>
          <w:u w:color="000000"/>
        </w:rPr>
        <w:t>UC</w:t>
      </w:r>
      <w:r w:rsidRPr="000F2635">
        <w:rPr>
          <w:rFonts w:ascii="Times New Roman" w:eastAsia="Times New Roman" w:hAnsi="Times New Roman" w:cs="Times New Roman"/>
          <w:color w:val="000000"/>
          <w:sz w:val="26"/>
          <w:szCs w:val="26"/>
        </w:rPr>
        <w:t>, 443 A.2d 1373 (Pa.</w:t>
      </w:r>
      <w:r w:rsidR="00CB06ED">
        <w:rPr>
          <w:rFonts w:ascii="Times New Roman" w:eastAsia="Times New Roman" w:hAnsi="Times New Roman" w:cs="Times New Roman"/>
          <w:color w:val="000000"/>
          <w:sz w:val="26"/>
          <w:szCs w:val="26"/>
        </w:rPr>
        <w:t> </w:t>
      </w:r>
      <w:proofErr w:type="spellStart"/>
      <w:r w:rsidRPr="000F2635">
        <w:rPr>
          <w:rFonts w:ascii="Times New Roman" w:eastAsia="Times New Roman" w:hAnsi="Times New Roman" w:cs="Times New Roman"/>
          <w:color w:val="000000"/>
          <w:sz w:val="26"/>
          <w:szCs w:val="26"/>
        </w:rPr>
        <w:t>Cmwlth</w:t>
      </w:r>
      <w:proofErr w:type="spellEnd"/>
      <w:r w:rsidRPr="000F2635">
        <w:rPr>
          <w:rFonts w:ascii="Times New Roman" w:eastAsia="Times New Roman" w:hAnsi="Times New Roman" w:cs="Times New Roman"/>
          <w:color w:val="000000"/>
          <w:sz w:val="26"/>
          <w:szCs w:val="26"/>
        </w:rPr>
        <w:t xml:space="preserve">. 1982). </w:t>
      </w:r>
    </w:p>
    <w:p w14:paraId="2645A791" w14:textId="77777777" w:rsidR="000F2635" w:rsidRPr="000F2635" w:rsidRDefault="000F2635" w:rsidP="000F2635">
      <w:pPr>
        <w:spacing w:after="112"/>
        <w:ind w:left="1440"/>
        <w:rPr>
          <w:rFonts w:ascii="Times New Roman" w:eastAsia="Times New Roman" w:hAnsi="Times New Roman" w:cs="Times New Roman"/>
          <w:color w:val="000000"/>
          <w:sz w:val="26"/>
          <w:szCs w:val="26"/>
        </w:rPr>
      </w:pPr>
      <w:r w:rsidRPr="000F2635">
        <w:rPr>
          <w:rFonts w:ascii="Times New Roman" w:eastAsia="Times New Roman" w:hAnsi="Times New Roman" w:cs="Times New Roman"/>
          <w:color w:val="000000"/>
          <w:sz w:val="26"/>
          <w:szCs w:val="26"/>
        </w:rPr>
        <w:t xml:space="preserve"> </w:t>
      </w:r>
    </w:p>
    <w:p w14:paraId="28E310CD" w14:textId="00141985" w:rsidR="000F2635" w:rsidRPr="000F2635" w:rsidRDefault="000F2635" w:rsidP="007221AD">
      <w:pPr>
        <w:spacing w:after="1" w:line="357" w:lineRule="auto"/>
        <w:ind w:left="-15" w:right="199" w:firstLine="1440"/>
        <w:rPr>
          <w:rFonts w:ascii="Times New Roman" w:eastAsia="Times New Roman" w:hAnsi="Times New Roman" w:cs="Times New Roman"/>
          <w:i/>
          <w:iCs/>
          <w:color w:val="000000"/>
          <w:sz w:val="26"/>
          <w:szCs w:val="26"/>
        </w:rPr>
      </w:pPr>
      <w:r w:rsidRPr="000F2635">
        <w:rPr>
          <w:rFonts w:ascii="Times New Roman" w:eastAsia="Times New Roman" w:hAnsi="Times New Roman" w:cs="Times New Roman"/>
          <w:color w:val="000000"/>
          <w:sz w:val="26"/>
          <w:szCs w:val="26"/>
        </w:rPr>
        <w:t xml:space="preserve">The decision of the Commission must be supported by substantial evidence.  </w:t>
      </w:r>
      <w:r w:rsidR="007221AD" w:rsidRPr="00F60BAC">
        <w:rPr>
          <w:rFonts w:ascii="Times New Roman" w:eastAsia="Times New Roman" w:hAnsi="Times New Roman" w:cs="Times New Roman"/>
          <w:i/>
          <w:iCs/>
          <w:color w:val="000000"/>
          <w:sz w:val="26"/>
          <w:szCs w:val="26"/>
        </w:rPr>
        <w:t>See</w:t>
      </w:r>
      <w:r w:rsidR="007221AD">
        <w:rPr>
          <w:rFonts w:ascii="Times New Roman" w:eastAsia="Times New Roman" w:hAnsi="Times New Roman" w:cs="Times New Roman"/>
          <w:color w:val="000000"/>
          <w:sz w:val="26"/>
          <w:szCs w:val="26"/>
        </w:rPr>
        <w:t xml:space="preserve"> </w:t>
      </w:r>
      <w:r w:rsidRPr="000F2635">
        <w:rPr>
          <w:rFonts w:ascii="Times New Roman" w:eastAsia="Times New Roman" w:hAnsi="Times New Roman" w:cs="Times New Roman"/>
          <w:color w:val="000000"/>
          <w:sz w:val="26"/>
          <w:szCs w:val="26"/>
        </w:rPr>
        <w:t>2 Pa.</w:t>
      </w:r>
      <w:r w:rsidR="00B4769F">
        <w:rPr>
          <w:rFonts w:ascii="Times New Roman" w:eastAsia="Times New Roman" w:hAnsi="Times New Roman" w:cs="Times New Roman"/>
          <w:color w:val="000000"/>
          <w:sz w:val="26"/>
          <w:szCs w:val="26"/>
        </w:rPr>
        <w:t xml:space="preserve"> </w:t>
      </w:r>
      <w:r w:rsidRPr="000F2635">
        <w:rPr>
          <w:rFonts w:ascii="Times New Roman" w:eastAsia="Times New Roman" w:hAnsi="Times New Roman" w:cs="Times New Roman"/>
          <w:color w:val="000000"/>
          <w:sz w:val="26"/>
          <w:szCs w:val="26"/>
        </w:rPr>
        <w:t>C.S. § 704.</w:t>
      </w:r>
      <w:r w:rsidR="007221AD">
        <w:rPr>
          <w:rFonts w:ascii="Times New Roman" w:eastAsia="Times New Roman" w:hAnsi="Times New Roman" w:cs="Times New Roman"/>
          <w:color w:val="000000"/>
          <w:sz w:val="26"/>
          <w:szCs w:val="26"/>
        </w:rPr>
        <w:t xml:space="preserve">  </w:t>
      </w:r>
      <w:r w:rsidR="004F58D6">
        <w:rPr>
          <w:rFonts w:ascii="Times New Roman" w:eastAsia="Times New Roman" w:hAnsi="Times New Roman" w:cs="Times New Roman"/>
          <w:color w:val="000000"/>
          <w:sz w:val="26"/>
          <w:szCs w:val="26"/>
        </w:rPr>
        <w:t>“</w:t>
      </w:r>
      <w:r w:rsidRPr="000F2635">
        <w:rPr>
          <w:rFonts w:ascii="Times New Roman" w:eastAsia="Times New Roman" w:hAnsi="Times New Roman" w:cs="Times New Roman"/>
          <w:color w:val="000000"/>
          <w:sz w:val="26"/>
          <w:szCs w:val="26"/>
        </w:rPr>
        <w:t>Substantial evidence</w:t>
      </w:r>
      <w:r w:rsidR="004F58D6">
        <w:rPr>
          <w:rFonts w:ascii="Times New Roman" w:eastAsia="Times New Roman" w:hAnsi="Times New Roman" w:cs="Times New Roman"/>
          <w:color w:val="000000"/>
          <w:sz w:val="26"/>
          <w:szCs w:val="26"/>
        </w:rPr>
        <w:t>”</w:t>
      </w:r>
      <w:r w:rsidRPr="000F2635">
        <w:rPr>
          <w:rFonts w:ascii="Times New Roman" w:eastAsia="Times New Roman" w:hAnsi="Times New Roman" w:cs="Times New Roman"/>
          <w:color w:val="000000"/>
          <w:sz w:val="26"/>
          <w:szCs w:val="26"/>
        </w:rPr>
        <w:t xml:space="preserve"> is such relevant evidence that a reasonable mind might accept as adequate to support a conclusion.  More is required than a mere trace of evidence or a suspicion of the existence of a fact sought to be established.</w:t>
      </w:r>
      <w:r w:rsidR="007221AD">
        <w:rPr>
          <w:rFonts w:ascii="Times New Roman" w:eastAsia="Times New Roman" w:hAnsi="Times New Roman" w:cs="Times New Roman"/>
          <w:color w:val="000000"/>
          <w:sz w:val="26"/>
          <w:szCs w:val="26"/>
        </w:rPr>
        <w:t xml:space="preserve">  </w:t>
      </w:r>
      <w:r w:rsidRPr="000F2635">
        <w:rPr>
          <w:rFonts w:ascii="Times New Roman" w:eastAsia="Times New Roman" w:hAnsi="Times New Roman" w:cs="Times New Roman"/>
          <w:i/>
          <w:iCs/>
          <w:color w:val="000000"/>
          <w:sz w:val="26"/>
          <w:szCs w:val="26"/>
          <w:u w:color="000000"/>
        </w:rPr>
        <w:t>Norfolk &amp; Western Ry. Co. v. Pa.</w:t>
      </w:r>
      <w:r w:rsidRPr="000F2635">
        <w:rPr>
          <w:rFonts w:ascii="Times New Roman" w:eastAsia="Times New Roman" w:hAnsi="Times New Roman" w:cs="Times New Roman"/>
          <w:i/>
          <w:iCs/>
          <w:color w:val="000000"/>
          <w:sz w:val="26"/>
          <w:szCs w:val="26"/>
        </w:rPr>
        <w:t xml:space="preserve"> </w:t>
      </w:r>
      <w:r w:rsidR="00CB06ED">
        <w:rPr>
          <w:rFonts w:ascii="Times New Roman" w:eastAsia="Times New Roman" w:hAnsi="Times New Roman" w:cs="Times New Roman"/>
          <w:i/>
          <w:iCs/>
          <w:color w:val="000000"/>
          <w:sz w:val="26"/>
          <w:szCs w:val="26"/>
        </w:rPr>
        <w:t>PUC</w:t>
      </w:r>
      <w:r w:rsidRPr="000F2635">
        <w:rPr>
          <w:rFonts w:ascii="Times New Roman" w:eastAsia="Times New Roman" w:hAnsi="Times New Roman" w:cs="Times New Roman"/>
          <w:color w:val="000000"/>
          <w:sz w:val="26"/>
          <w:szCs w:val="26"/>
        </w:rPr>
        <w:t xml:space="preserve">, 489 Pa. 109, 413 A.2d 1037 (1980); </w:t>
      </w:r>
      <w:r w:rsidRPr="000F2635">
        <w:rPr>
          <w:rFonts w:ascii="Times New Roman" w:eastAsia="Times New Roman" w:hAnsi="Times New Roman" w:cs="Times New Roman"/>
          <w:i/>
          <w:iCs/>
          <w:color w:val="000000"/>
          <w:sz w:val="26"/>
          <w:szCs w:val="26"/>
          <w:u w:color="000000"/>
        </w:rPr>
        <w:t>Erie Resistor Corp. v. Unemployment</w:t>
      </w:r>
      <w:r w:rsidRPr="000F2635">
        <w:rPr>
          <w:rFonts w:ascii="Times New Roman" w:eastAsia="Times New Roman" w:hAnsi="Times New Roman" w:cs="Times New Roman"/>
          <w:i/>
          <w:iCs/>
          <w:color w:val="000000"/>
          <w:sz w:val="26"/>
          <w:szCs w:val="26"/>
        </w:rPr>
        <w:t xml:space="preserve"> </w:t>
      </w:r>
      <w:r w:rsidRPr="000F2635">
        <w:rPr>
          <w:rFonts w:ascii="Times New Roman" w:eastAsia="Times New Roman" w:hAnsi="Times New Roman" w:cs="Times New Roman"/>
          <w:i/>
          <w:iCs/>
          <w:color w:val="000000"/>
          <w:sz w:val="26"/>
          <w:szCs w:val="26"/>
          <w:u w:color="000000"/>
        </w:rPr>
        <w:t>Comp. Bd. of Review</w:t>
      </w:r>
      <w:r w:rsidRPr="000F2635">
        <w:rPr>
          <w:rFonts w:ascii="Times New Roman" w:eastAsia="Times New Roman" w:hAnsi="Times New Roman" w:cs="Times New Roman"/>
          <w:color w:val="000000"/>
          <w:sz w:val="26"/>
          <w:szCs w:val="26"/>
        </w:rPr>
        <w:t>, 166 A.2d 96 (Pa.</w:t>
      </w:r>
      <w:r w:rsidR="00CB06ED">
        <w:rPr>
          <w:rFonts w:ascii="Times New Roman" w:eastAsia="Times New Roman" w:hAnsi="Times New Roman" w:cs="Times New Roman"/>
          <w:color w:val="000000"/>
          <w:sz w:val="26"/>
          <w:szCs w:val="26"/>
        </w:rPr>
        <w:t> </w:t>
      </w:r>
      <w:r w:rsidRPr="000F2635">
        <w:rPr>
          <w:rFonts w:ascii="Times New Roman" w:eastAsia="Times New Roman" w:hAnsi="Times New Roman" w:cs="Times New Roman"/>
          <w:color w:val="000000"/>
          <w:sz w:val="26"/>
          <w:szCs w:val="26"/>
        </w:rPr>
        <w:t xml:space="preserve">Super. 1961); and </w:t>
      </w:r>
      <w:r w:rsidRPr="000F2635">
        <w:rPr>
          <w:rFonts w:ascii="Times New Roman" w:eastAsia="Times New Roman" w:hAnsi="Times New Roman" w:cs="Times New Roman"/>
          <w:i/>
          <w:iCs/>
          <w:color w:val="000000"/>
          <w:sz w:val="26"/>
          <w:szCs w:val="26"/>
          <w:u w:color="000000"/>
        </w:rPr>
        <w:t>Murphy v. Pa. Dept. of Public</w:t>
      </w:r>
      <w:r w:rsidRPr="000F2635">
        <w:rPr>
          <w:rFonts w:ascii="Times New Roman" w:eastAsia="Times New Roman" w:hAnsi="Times New Roman" w:cs="Times New Roman"/>
          <w:i/>
          <w:iCs/>
          <w:color w:val="000000"/>
          <w:sz w:val="26"/>
          <w:szCs w:val="26"/>
        </w:rPr>
        <w:t xml:space="preserve"> </w:t>
      </w:r>
      <w:r w:rsidRPr="000F2635">
        <w:rPr>
          <w:rFonts w:ascii="Times New Roman" w:eastAsia="Times New Roman" w:hAnsi="Times New Roman" w:cs="Times New Roman"/>
          <w:i/>
          <w:iCs/>
          <w:color w:val="000000"/>
          <w:sz w:val="26"/>
          <w:szCs w:val="26"/>
          <w:u w:color="000000"/>
        </w:rPr>
        <w:t>Welfare, White Haven Center</w:t>
      </w:r>
      <w:r w:rsidRPr="000F2635">
        <w:rPr>
          <w:rFonts w:ascii="Times New Roman" w:eastAsia="Times New Roman" w:hAnsi="Times New Roman" w:cs="Times New Roman"/>
          <w:color w:val="000000"/>
          <w:sz w:val="26"/>
          <w:szCs w:val="26"/>
        </w:rPr>
        <w:t>, 480 A.2d 382 (Pa.</w:t>
      </w:r>
      <w:r w:rsidR="00CB06ED">
        <w:rPr>
          <w:rFonts w:ascii="Times New Roman" w:eastAsia="Times New Roman" w:hAnsi="Times New Roman" w:cs="Times New Roman"/>
          <w:color w:val="000000"/>
          <w:sz w:val="26"/>
          <w:szCs w:val="26"/>
        </w:rPr>
        <w:t> </w:t>
      </w:r>
      <w:proofErr w:type="spellStart"/>
      <w:r w:rsidRPr="000F2635">
        <w:rPr>
          <w:rFonts w:ascii="Times New Roman" w:eastAsia="Times New Roman" w:hAnsi="Times New Roman" w:cs="Times New Roman"/>
          <w:color w:val="000000"/>
          <w:sz w:val="26"/>
          <w:szCs w:val="26"/>
        </w:rPr>
        <w:t>Cmwlth</w:t>
      </w:r>
      <w:proofErr w:type="spellEnd"/>
      <w:r w:rsidRPr="000F2635">
        <w:rPr>
          <w:rFonts w:ascii="Times New Roman" w:eastAsia="Times New Roman" w:hAnsi="Times New Roman" w:cs="Times New Roman"/>
          <w:color w:val="000000"/>
          <w:sz w:val="26"/>
          <w:szCs w:val="26"/>
        </w:rPr>
        <w:t xml:space="preserve">. 1984). </w:t>
      </w:r>
    </w:p>
    <w:p w14:paraId="2A085893" w14:textId="77777777" w:rsidR="000F2635" w:rsidRPr="000F2635" w:rsidRDefault="000F2635" w:rsidP="001056AD">
      <w:pPr>
        <w:spacing w:after="0" w:line="360" w:lineRule="auto"/>
        <w:ind w:firstLine="1440"/>
        <w:rPr>
          <w:rFonts w:ascii="Times New Roman" w:eastAsia="Times New Roman" w:hAnsi="Times New Roman" w:cs="Times New Roman"/>
          <w:color w:val="000000"/>
          <w:sz w:val="26"/>
          <w:szCs w:val="26"/>
        </w:rPr>
      </w:pPr>
      <w:r w:rsidRPr="000F2635">
        <w:rPr>
          <w:rFonts w:ascii="Times New Roman" w:eastAsia="Times New Roman" w:hAnsi="Times New Roman" w:cs="Times New Roman"/>
          <w:color w:val="000000"/>
          <w:sz w:val="26"/>
          <w:szCs w:val="26"/>
        </w:rPr>
        <w:t xml:space="preserve"> </w:t>
      </w:r>
    </w:p>
    <w:p w14:paraId="0F5EDDA6" w14:textId="5D30A403" w:rsidR="003C50B6" w:rsidRDefault="001056AD" w:rsidP="00C62F57">
      <w:pPr>
        <w:spacing w:after="0" w:line="360" w:lineRule="auto"/>
        <w:ind w:firstLine="144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The</w:t>
      </w:r>
      <w:r w:rsidR="008F3678">
        <w:rPr>
          <w:rFonts w:ascii="Times New Roman" w:eastAsia="Times New Roman" w:hAnsi="Times New Roman" w:cs="Times New Roman"/>
          <w:color w:val="000000"/>
          <w:sz w:val="26"/>
          <w:szCs w:val="26"/>
        </w:rPr>
        <w:t xml:space="preserve"> issue presented in this proceeding turns on the </w:t>
      </w:r>
      <w:r w:rsidR="008612E2">
        <w:rPr>
          <w:rFonts w:ascii="Times New Roman" w:eastAsia="Times New Roman" w:hAnsi="Times New Roman" w:cs="Times New Roman"/>
          <w:color w:val="000000"/>
          <w:sz w:val="26"/>
          <w:szCs w:val="26"/>
        </w:rPr>
        <w:t>Commission</w:t>
      </w:r>
      <w:r w:rsidR="00B4769F">
        <w:rPr>
          <w:rFonts w:ascii="Times New Roman" w:eastAsia="Times New Roman" w:hAnsi="Times New Roman" w:cs="Times New Roman"/>
          <w:color w:val="000000"/>
          <w:sz w:val="26"/>
          <w:szCs w:val="26"/>
        </w:rPr>
        <w:t>’</w:t>
      </w:r>
      <w:r w:rsidR="008612E2">
        <w:rPr>
          <w:rFonts w:ascii="Times New Roman" w:eastAsia="Times New Roman" w:hAnsi="Times New Roman" w:cs="Times New Roman"/>
          <w:color w:val="000000"/>
          <w:sz w:val="26"/>
          <w:szCs w:val="26"/>
        </w:rPr>
        <w:t>s</w:t>
      </w:r>
      <w:r w:rsidR="00C62F57">
        <w:rPr>
          <w:rFonts w:ascii="Times New Roman" w:eastAsia="Times New Roman" w:hAnsi="Times New Roman" w:cs="Times New Roman"/>
          <w:color w:val="000000"/>
          <w:sz w:val="26"/>
          <w:szCs w:val="26"/>
        </w:rPr>
        <w:t xml:space="preserve"> </w:t>
      </w:r>
      <w:r w:rsidR="008F3678">
        <w:rPr>
          <w:rFonts w:ascii="Times New Roman" w:eastAsia="Times New Roman" w:hAnsi="Times New Roman" w:cs="Times New Roman"/>
          <w:color w:val="000000"/>
          <w:sz w:val="26"/>
          <w:szCs w:val="26"/>
        </w:rPr>
        <w:t xml:space="preserve">interpretation of the language </w:t>
      </w:r>
      <w:r w:rsidR="007E5016">
        <w:rPr>
          <w:rFonts w:ascii="Times New Roman" w:eastAsia="Times New Roman" w:hAnsi="Times New Roman" w:cs="Times New Roman"/>
          <w:color w:val="000000"/>
          <w:sz w:val="26"/>
          <w:szCs w:val="26"/>
        </w:rPr>
        <w:t xml:space="preserve">of the Code </w:t>
      </w:r>
      <w:r w:rsidR="008612E2">
        <w:rPr>
          <w:rFonts w:ascii="Times New Roman" w:eastAsia="Times New Roman" w:hAnsi="Times New Roman" w:cs="Times New Roman"/>
          <w:color w:val="000000"/>
          <w:sz w:val="26"/>
          <w:szCs w:val="26"/>
        </w:rPr>
        <w:t>r</w:t>
      </w:r>
      <w:r w:rsidR="000F2635" w:rsidRPr="000F2635">
        <w:rPr>
          <w:rFonts w:ascii="Times New Roman" w:eastAsia="Times New Roman" w:hAnsi="Times New Roman" w:cs="Times New Roman"/>
          <w:color w:val="000000"/>
          <w:sz w:val="26"/>
          <w:szCs w:val="26"/>
        </w:rPr>
        <w:t>elevant to this proceeding</w:t>
      </w:r>
      <w:r w:rsidR="003C50B6">
        <w:rPr>
          <w:rFonts w:ascii="Times New Roman" w:eastAsia="Times New Roman" w:hAnsi="Times New Roman" w:cs="Times New Roman"/>
          <w:color w:val="000000"/>
          <w:sz w:val="26"/>
          <w:szCs w:val="26"/>
        </w:rPr>
        <w:t>, under Sections</w:t>
      </w:r>
      <w:r w:rsidR="00CB06ED">
        <w:rPr>
          <w:rFonts w:ascii="Times New Roman" w:eastAsia="Times New Roman" w:hAnsi="Times New Roman" w:cs="Times New Roman"/>
          <w:color w:val="000000"/>
          <w:sz w:val="26"/>
          <w:szCs w:val="26"/>
        </w:rPr>
        <w:t> </w:t>
      </w:r>
      <w:r w:rsidR="003C50B6">
        <w:rPr>
          <w:rFonts w:ascii="Times New Roman" w:eastAsia="Times New Roman" w:hAnsi="Times New Roman" w:cs="Times New Roman"/>
          <w:color w:val="000000"/>
          <w:sz w:val="26"/>
          <w:szCs w:val="26"/>
        </w:rPr>
        <w:t>1502 and 2804(6)</w:t>
      </w:r>
      <w:r w:rsidR="007E5016">
        <w:rPr>
          <w:rFonts w:ascii="Times New Roman" w:eastAsia="Times New Roman" w:hAnsi="Times New Roman" w:cs="Times New Roman"/>
          <w:color w:val="000000"/>
          <w:sz w:val="26"/>
          <w:szCs w:val="26"/>
        </w:rPr>
        <w:t>.</w:t>
      </w:r>
    </w:p>
    <w:p w14:paraId="4951A800" w14:textId="77777777" w:rsidR="003C50B6" w:rsidRDefault="003C50B6" w:rsidP="003C50B6">
      <w:pPr>
        <w:spacing w:after="0" w:line="360" w:lineRule="auto"/>
        <w:ind w:firstLine="1440"/>
        <w:rPr>
          <w:rFonts w:ascii="Times New Roman" w:eastAsia="Times New Roman" w:hAnsi="Times New Roman" w:cs="Times New Roman"/>
          <w:color w:val="000000"/>
          <w:sz w:val="26"/>
          <w:szCs w:val="26"/>
        </w:rPr>
      </w:pPr>
    </w:p>
    <w:p w14:paraId="5A4A36A3" w14:textId="5CA6DC25" w:rsidR="003C50B6" w:rsidRPr="000F2635" w:rsidRDefault="003C50B6" w:rsidP="003C50B6">
      <w:pPr>
        <w:spacing w:after="0" w:line="360" w:lineRule="auto"/>
        <w:ind w:firstLine="144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Section 1502 of the Code establishes a general prohibition of discrimination in service by a utility, providing</w:t>
      </w:r>
      <w:r w:rsidRPr="000F2635">
        <w:rPr>
          <w:rFonts w:ascii="Times New Roman" w:eastAsia="Times New Roman" w:hAnsi="Times New Roman" w:cs="Times New Roman"/>
          <w:color w:val="000000"/>
          <w:sz w:val="26"/>
          <w:szCs w:val="26"/>
        </w:rPr>
        <w:t xml:space="preserve">: </w:t>
      </w:r>
    </w:p>
    <w:p w14:paraId="6C1EF66F" w14:textId="77777777" w:rsidR="003C50B6" w:rsidRPr="000F2635" w:rsidRDefault="003C50B6" w:rsidP="00CB06ED">
      <w:pPr>
        <w:spacing w:after="146" w:line="240" w:lineRule="auto"/>
        <w:rPr>
          <w:rFonts w:ascii="Times New Roman" w:eastAsia="Times New Roman" w:hAnsi="Times New Roman" w:cs="Times New Roman"/>
          <w:color w:val="000000"/>
          <w:sz w:val="26"/>
          <w:szCs w:val="26"/>
        </w:rPr>
      </w:pPr>
      <w:r w:rsidRPr="000F2635">
        <w:rPr>
          <w:rFonts w:ascii="Times New Roman" w:eastAsia="Times New Roman" w:hAnsi="Times New Roman" w:cs="Times New Roman"/>
          <w:color w:val="000000"/>
          <w:sz w:val="26"/>
          <w:szCs w:val="26"/>
        </w:rPr>
        <w:t xml:space="preserve"> </w:t>
      </w:r>
      <w:r w:rsidRPr="000F2635">
        <w:rPr>
          <w:rFonts w:ascii="Times New Roman" w:eastAsia="Times New Roman" w:hAnsi="Times New Roman" w:cs="Times New Roman"/>
          <w:b/>
          <w:color w:val="000000"/>
          <w:sz w:val="26"/>
          <w:szCs w:val="26"/>
        </w:rPr>
        <w:t xml:space="preserve"> </w:t>
      </w:r>
      <w:r w:rsidRPr="000F2635">
        <w:rPr>
          <w:rFonts w:ascii="Times New Roman" w:eastAsia="Times New Roman" w:hAnsi="Times New Roman" w:cs="Times New Roman"/>
          <w:b/>
          <w:color w:val="000000"/>
          <w:sz w:val="26"/>
          <w:szCs w:val="26"/>
        </w:rPr>
        <w:tab/>
        <w:t xml:space="preserve"> </w:t>
      </w:r>
    </w:p>
    <w:p w14:paraId="7AE0FDC0" w14:textId="77777777" w:rsidR="003C50B6" w:rsidRPr="000F2635" w:rsidRDefault="003C50B6" w:rsidP="003C50B6">
      <w:pPr>
        <w:spacing w:after="0"/>
        <w:ind w:left="1450" w:hanging="10"/>
        <w:rPr>
          <w:rFonts w:ascii="Times New Roman" w:eastAsia="Times New Roman" w:hAnsi="Times New Roman" w:cs="Times New Roman"/>
          <w:color w:val="000000"/>
          <w:sz w:val="26"/>
          <w:szCs w:val="26"/>
        </w:rPr>
      </w:pPr>
      <w:r w:rsidRPr="000F2635">
        <w:rPr>
          <w:rFonts w:ascii="Times New Roman" w:eastAsia="Times New Roman" w:hAnsi="Times New Roman" w:cs="Times New Roman"/>
          <w:b/>
          <w:color w:val="000000"/>
          <w:sz w:val="26"/>
          <w:szCs w:val="26"/>
        </w:rPr>
        <w:lastRenderedPageBreak/>
        <w:t>§ 1502.  Discrimination in service.</w:t>
      </w:r>
      <w:r w:rsidRPr="000F2635">
        <w:rPr>
          <w:rFonts w:ascii="Times New Roman" w:eastAsia="Times New Roman" w:hAnsi="Times New Roman" w:cs="Times New Roman"/>
          <w:color w:val="000000"/>
          <w:sz w:val="26"/>
          <w:szCs w:val="26"/>
        </w:rPr>
        <w:t xml:space="preserve"> </w:t>
      </w:r>
    </w:p>
    <w:p w14:paraId="2473B1A7" w14:textId="77777777" w:rsidR="003C50B6" w:rsidRPr="000F2635" w:rsidRDefault="003C50B6" w:rsidP="003C50B6">
      <w:pPr>
        <w:spacing w:after="0"/>
        <w:ind w:left="1440"/>
        <w:rPr>
          <w:rFonts w:ascii="Times New Roman" w:eastAsia="Times New Roman" w:hAnsi="Times New Roman" w:cs="Times New Roman"/>
          <w:color w:val="000000"/>
          <w:sz w:val="26"/>
          <w:szCs w:val="26"/>
        </w:rPr>
      </w:pPr>
      <w:r w:rsidRPr="000F2635">
        <w:rPr>
          <w:rFonts w:ascii="Times New Roman" w:eastAsia="Times New Roman" w:hAnsi="Times New Roman" w:cs="Times New Roman"/>
          <w:color w:val="000000"/>
          <w:sz w:val="26"/>
          <w:szCs w:val="26"/>
        </w:rPr>
        <w:t xml:space="preserve"> </w:t>
      </w:r>
    </w:p>
    <w:p w14:paraId="057313BC" w14:textId="77777777" w:rsidR="003C50B6" w:rsidRDefault="003C50B6" w:rsidP="003C50B6">
      <w:pPr>
        <w:spacing w:after="0" w:line="249" w:lineRule="auto"/>
        <w:ind w:left="1450" w:right="1408" w:hanging="10"/>
        <w:rPr>
          <w:rFonts w:ascii="Times New Roman" w:eastAsia="Times New Roman" w:hAnsi="Times New Roman" w:cs="Times New Roman"/>
          <w:color w:val="000000"/>
          <w:sz w:val="26"/>
          <w:szCs w:val="26"/>
        </w:rPr>
      </w:pPr>
      <w:r w:rsidRPr="000F2635">
        <w:rPr>
          <w:rFonts w:ascii="Times New Roman" w:eastAsia="Times New Roman" w:hAnsi="Times New Roman" w:cs="Times New Roman"/>
          <w:color w:val="000000"/>
          <w:sz w:val="26"/>
          <w:szCs w:val="26"/>
        </w:rPr>
        <w:t xml:space="preserve">No public utility shall, </w:t>
      </w:r>
      <w:r w:rsidRPr="000F2635">
        <w:rPr>
          <w:rFonts w:ascii="Times New Roman" w:eastAsia="Times New Roman" w:hAnsi="Times New Roman" w:cs="Times New Roman"/>
          <w:i/>
          <w:iCs/>
          <w:color w:val="000000"/>
          <w:sz w:val="26"/>
          <w:szCs w:val="26"/>
        </w:rPr>
        <w:t>as to service</w:t>
      </w:r>
      <w:r w:rsidRPr="000F2635">
        <w:rPr>
          <w:rFonts w:ascii="Times New Roman" w:eastAsia="Times New Roman" w:hAnsi="Times New Roman" w:cs="Times New Roman"/>
          <w:color w:val="000000"/>
          <w:sz w:val="26"/>
          <w:szCs w:val="26"/>
        </w:rPr>
        <w:t xml:space="preserve">, make or grant any unreasonable preference or advantage to any person, </w:t>
      </w:r>
      <w:proofErr w:type="gramStart"/>
      <w:r w:rsidRPr="000F2635">
        <w:rPr>
          <w:rFonts w:ascii="Times New Roman" w:eastAsia="Times New Roman" w:hAnsi="Times New Roman" w:cs="Times New Roman"/>
          <w:color w:val="000000"/>
          <w:sz w:val="26"/>
          <w:szCs w:val="26"/>
        </w:rPr>
        <w:t>corporation</w:t>
      </w:r>
      <w:proofErr w:type="gramEnd"/>
      <w:r w:rsidRPr="000F2635">
        <w:rPr>
          <w:rFonts w:ascii="Times New Roman" w:eastAsia="Times New Roman" w:hAnsi="Times New Roman" w:cs="Times New Roman"/>
          <w:color w:val="000000"/>
          <w:sz w:val="26"/>
          <w:szCs w:val="26"/>
        </w:rPr>
        <w:t xml:space="preserve"> or municipal corporation, or subject any person, corporation, or municipal corporation to any unreasonable prejudice or disadvantage.  No public utility shall establish or maintain any unreasonable difference as to service, either as between localities or as between classes of service, but this section does not prohibit the establishment of reasonable classifications of service. </w:t>
      </w:r>
    </w:p>
    <w:p w14:paraId="2AC8D263" w14:textId="77777777" w:rsidR="003C50B6" w:rsidRDefault="003C50B6" w:rsidP="00CB06ED">
      <w:pPr>
        <w:spacing w:after="0" w:line="360" w:lineRule="auto"/>
        <w:ind w:left="1450" w:right="1408" w:hanging="10"/>
        <w:rPr>
          <w:rFonts w:ascii="Times New Roman" w:eastAsia="Times New Roman" w:hAnsi="Times New Roman" w:cs="Times New Roman"/>
          <w:color w:val="000000"/>
          <w:sz w:val="26"/>
          <w:szCs w:val="26"/>
        </w:rPr>
      </w:pPr>
    </w:p>
    <w:p w14:paraId="753BF78E" w14:textId="77777777" w:rsidR="003C50B6" w:rsidRDefault="003C50B6" w:rsidP="00CB06ED">
      <w:pPr>
        <w:spacing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66 Pa. C.S. § 1502 (emphasis added)</w:t>
      </w:r>
    </w:p>
    <w:p w14:paraId="1894E964" w14:textId="77777777" w:rsidR="003C50B6" w:rsidRDefault="003C50B6" w:rsidP="00CB06ED">
      <w:pPr>
        <w:spacing w:after="0" w:line="360" w:lineRule="auto"/>
        <w:ind w:left="1450" w:right="1408" w:hanging="10"/>
        <w:rPr>
          <w:rFonts w:ascii="Times New Roman" w:eastAsia="Times New Roman" w:hAnsi="Times New Roman" w:cs="Times New Roman"/>
          <w:color w:val="000000"/>
          <w:sz w:val="26"/>
          <w:szCs w:val="26"/>
        </w:rPr>
      </w:pPr>
    </w:p>
    <w:p w14:paraId="23CA5CE6" w14:textId="77777777" w:rsidR="003C50B6" w:rsidRDefault="003C50B6" w:rsidP="00CB06ED">
      <w:pPr>
        <w:spacing w:after="0" w:line="360" w:lineRule="auto"/>
        <w:ind w:firstLine="144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The term “service” is defined under the Code, at Section 102, in pertinent part, as: </w:t>
      </w:r>
    </w:p>
    <w:p w14:paraId="255AA68B" w14:textId="77777777" w:rsidR="003C50B6" w:rsidRDefault="003C50B6" w:rsidP="003C50B6">
      <w:pPr>
        <w:spacing w:after="0" w:line="249" w:lineRule="auto"/>
        <w:ind w:left="1450" w:right="1408" w:hanging="10"/>
        <w:rPr>
          <w:rFonts w:ascii="Times New Roman" w:eastAsia="Times New Roman" w:hAnsi="Times New Roman" w:cs="Times New Roman"/>
          <w:color w:val="000000"/>
          <w:sz w:val="26"/>
          <w:szCs w:val="26"/>
        </w:rPr>
      </w:pPr>
    </w:p>
    <w:p w14:paraId="21B3E4CF" w14:textId="77777777" w:rsidR="003C50B6" w:rsidRPr="000F2635" w:rsidRDefault="003C50B6" w:rsidP="003C50B6">
      <w:pPr>
        <w:spacing w:after="0" w:line="249" w:lineRule="auto"/>
        <w:ind w:left="1450" w:right="1408" w:hanging="1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Used in its broadest and most inclusive sense, includes </w:t>
      </w:r>
      <w:proofErr w:type="gramStart"/>
      <w:r>
        <w:rPr>
          <w:rFonts w:ascii="Times New Roman" w:eastAsia="Times New Roman" w:hAnsi="Times New Roman" w:cs="Times New Roman"/>
          <w:color w:val="000000"/>
          <w:sz w:val="26"/>
          <w:szCs w:val="26"/>
        </w:rPr>
        <w:t>any and all</w:t>
      </w:r>
      <w:proofErr w:type="gramEnd"/>
      <w:r>
        <w:rPr>
          <w:rFonts w:ascii="Times New Roman" w:eastAsia="Times New Roman" w:hAnsi="Times New Roman" w:cs="Times New Roman"/>
          <w:color w:val="000000"/>
          <w:sz w:val="26"/>
          <w:szCs w:val="26"/>
        </w:rPr>
        <w:t xml:space="preserve"> acts done, rendered or performed, and any and all things furnished or supplied, and any and all facilities used furnished or supplied by public utilities…</w:t>
      </w:r>
      <w:r w:rsidRPr="00DD129D">
        <w:rPr>
          <w:rFonts w:ascii="Times New Roman" w:eastAsia="Times New Roman" w:hAnsi="Times New Roman" w:cs="Times New Roman"/>
          <w:i/>
          <w:iCs/>
          <w:color w:val="000000"/>
          <w:sz w:val="26"/>
          <w:szCs w:val="26"/>
        </w:rPr>
        <w:t>in their performance of their duties under this part to their patrons, employees or other public utilities, and the public,</w:t>
      </w:r>
      <w:r>
        <w:rPr>
          <w:rFonts w:ascii="Times New Roman" w:eastAsia="Times New Roman" w:hAnsi="Times New Roman" w:cs="Times New Roman"/>
          <w:color w:val="000000"/>
          <w:sz w:val="26"/>
          <w:szCs w:val="26"/>
        </w:rPr>
        <w:t xml:space="preserve"> as well as the interchange of facilities between two or more of them…</w:t>
      </w:r>
    </w:p>
    <w:p w14:paraId="0D5DA987" w14:textId="77777777" w:rsidR="003C50B6" w:rsidRDefault="003C50B6" w:rsidP="00CB06ED">
      <w:pPr>
        <w:spacing w:after="0" w:line="360" w:lineRule="auto"/>
        <w:ind w:left="1450" w:right="1408" w:hanging="10"/>
        <w:rPr>
          <w:rFonts w:ascii="Times New Roman" w:eastAsia="Times New Roman" w:hAnsi="Times New Roman" w:cs="Times New Roman"/>
          <w:color w:val="000000"/>
          <w:sz w:val="26"/>
          <w:szCs w:val="26"/>
        </w:rPr>
      </w:pPr>
    </w:p>
    <w:p w14:paraId="5D3D48BA" w14:textId="77777777" w:rsidR="003C50B6" w:rsidRDefault="003C50B6" w:rsidP="00CB06ED">
      <w:pPr>
        <w:spacing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66 Pa. C.S. § 102 (emphasis added).  </w:t>
      </w:r>
    </w:p>
    <w:p w14:paraId="0380293F" w14:textId="77777777" w:rsidR="003C50B6" w:rsidRDefault="003C50B6" w:rsidP="00CB06ED">
      <w:pPr>
        <w:spacing w:after="0" w:line="360" w:lineRule="auto"/>
        <w:ind w:firstLine="1440"/>
        <w:rPr>
          <w:rFonts w:ascii="Times New Roman" w:eastAsia="Times New Roman" w:hAnsi="Times New Roman" w:cs="Times New Roman"/>
          <w:color w:val="000000"/>
          <w:sz w:val="26"/>
          <w:szCs w:val="26"/>
        </w:rPr>
      </w:pPr>
    </w:p>
    <w:p w14:paraId="5054ECCD" w14:textId="3CE6EB1E" w:rsidR="000F2635" w:rsidRPr="000F2635" w:rsidRDefault="00C62F57" w:rsidP="00CB06ED">
      <w:pPr>
        <w:spacing w:after="0" w:line="360" w:lineRule="auto"/>
        <w:ind w:firstLine="144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In addition, </w:t>
      </w:r>
      <w:r w:rsidR="000F2635" w:rsidRPr="000F2635">
        <w:rPr>
          <w:rFonts w:ascii="Times New Roman" w:eastAsia="Times New Roman" w:hAnsi="Times New Roman" w:cs="Times New Roman"/>
          <w:color w:val="000000"/>
          <w:sz w:val="26"/>
          <w:szCs w:val="26"/>
        </w:rPr>
        <w:t>in 1996, the Pennsylvania General Assembly passed the Electricity Generation Customer Choice and Competition Act (the Act), 66 Pa.</w:t>
      </w:r>
      <w:r w:rsidR="00A13EDF">
        <w:rPr>
          <w:rFonts w:ascii="Times New Roman" w:eastAsia="Times New Roman" w:hAnsi="Times New Roman" w:cs="Times New Roman"/>
          <w:color w:val="000000"/>
          <w:sz w:val="26"/>
          <w:szCs w:val="26"/>
        </w:rPr>
        <w:t xml:space="preserve"> </w:t>
      </w:r>
      <w:r w:rsidR="000F2635" w:rsidRPr="000F2635">
        <w:rPr>
          <w:rFonts w:ascii="Times New Roman" w:eastAsia="Times New Roman" w:hAnsi="Times New Roman" w:cs="Times New Roman"/>
          <w:color w:val="000000"/>
          <w:sz w:val="26"/>
          <w:szCs w:val="26"/>
        </w:rPr>
        <w:t>C.S. §</w:t>
      </w:r>
      <w:r w:rsidR="00A13EDF">
        <w:rPr>
          <w:rFonts w:ascii="Times New Roman" w:eastAsia="Times New Roman" w:hAnsi="Times New Roman" w:cs="Times New Roman"/>
          <w:color w:val="000000"/>
          <w:sz w:val="26"/>
          <w:szCs w:val="26"/>
        </w:rPr>
        <w:t> </w:t>
      </w:r>
      <w:r w:rsidR="000F2635" w:rsidRPr="000F2635">
        <w:rPr>
          <w:rFonts w:ascii="Times New Roman" w:eastAsia="Times New Roman" w:hAnsi="Times New Roman" w:cs="Times New Roman"/>
          <w:color w:val="000000"/>
          <w:sz w:val="26"/>
          <w:szCs w:val="26"/>
        </w:rPr>
        <w:t xml:space="preserve">2801, </w:t>
      </w:r>
      <w:r w:rsidR="000F2635" w:rsidRPr="000F2635">
        <w:rPr>
          <w:rFonts w:ascii="Times New Roman" w:eastAsia="Times New Roman" w:hAnsi="Times New Roman" w:cs="Times New Roman"/>
          <w:i/>
          <w:color w:val="000000"/>
          <w:sz w:val="26"/>
          <w:szCs w:val="26"/>
        </w:rPr>
        <w:t>et seq.</w:t>
      </w:r>
      <w:r w:rsidR="000F2635" w:rsidRPr="000F2635">
        <w:rPr>
          <w:rFonts w:ascii="Times New Roman" w:eastAsia="Times New Roman" w:hAnsi="Times New Roman" w:cs="Times New Roman"/>
          <w:color w:val="000000"/>
          <w:sz w:val="26"/>
          <w:szCs w:val="26"/>
        </w:rPr>
        <w:t xml:space="preserve">  The purpose of the Act was to move toward greater competition in the electricity generation market </w:t>
      </w:r>
      <w:proofErr w:type="gramStart"/>
      <w:r w:rsidR="000F2635" w:rsidRPr="000F2635">
        <w:rPr>
          <w:rFonts w:ascii="Times New Roman" w:eastAsia="Times New Roman" w:hAnsi="Times New Roman" w:cs="Times New Roman"/>
          <w:color w:val="000000"/>
          <w:sz w:val="26"/>
          <w:szCs w:val="26"/>
        </w:rPr>
        <w:t>in an effort to</w:t>
      </w:r>
      <w:proofErr w:type="gramEnd"/>
      <w:r w:rsidR="000F2635" w:rsidRPr="000F2635">
        <w:rPr>
          <w:rFonts w:ascii="Times New Roman" w:eastAsia="Times New Roman" w:hAnsi="Times New Roman" w:cs="Times New Roman"/>
          <w:color w:val="000000"/>
          <w:sz w:val="26"/>
          <w:szCs w:val="26"/>
        </w:rPr>
        <w:t xml:space="preserve"> lower electric generation rates for the citizens of this Commonwealth.  </w:t>
      </w:r>
      <w:r w:rsidR="000F2635" w:rsidRPr="000F2635">
        <w:rPr>
          <w:rFonts w:ascii="Times New Roman" w:eastAsia="Times New Roman" w:hAnsi="Times New Roman" w:cs="Times New Roman"/>
          <w:i/>
          <w:color w:val="000000"/>
          <w:sz w:val="26"/>
          <w:szCs w:val="26"/>
        </w:rPr>
        <w:t>See</w:t>
      </w:r>
      <w:r w:rsidR="0037240A">
        <w:rPr>
          <w:rFonts w:ascii="Times New Roman" w:eastAsia="Times New Roman" w:hAnsi="Times New Roman" w:cs="Times New Roman"/>
          <w:i/>
          <w:color w:val="000000"/>
          <w:sz w:val="26"/>
          <w:szCs w:val="26"/>
        </w:rPr>
        <w:t>,</w:t>
      </w:r>
      <w:r w:rsidR="000F2635" w:rsidRPr="000F2635">
        <w:rPr>
          <w:rFonts w:ascii="Times New Roman" w:eastAsia="Times New Roman" w:hAnsi="Times New Roman" w:cs="Times New Roman"/>
          <w:color w:val="000000"/>
          <w:sz w:val="26"/>
          <w:szCs w:val="26"/>
        </w:rPr>
        <w:t xml:space="preserve"> </w:t>
      </w:r>
      <w:r w:rsidR="000F2635" w:rsidRPr="000F2635">
        <w:rPr>
          <w:rFonts w:ascii="Times New Roman" w:eastAsia="Times New Roman" w:hAnsi="Times New Roman" w:cs="Times New Roman"/>
          <w:i/>
          <w:color w:val="000000"/>
          <w:sz w:val="26"/>
          <w:szCs w:val="26"/>
        </w:rPr>
        <w:t>generally</w:t>
      </w:r>
      <w:r w:rsidR="000F2635" w:rsidRPr="000F2635">
        <w:rPr>
          <w:rFonts w:ascii="Times New Roman" w:eastAsia="Times New Roman" w:hAnsi="Times New Roman" w:cs="Times New Roman"/>
          <w:color w:val="000000"/>
          <w:sz w:val="26"/>
          <w:szCs w:val="26"/>
        </w:rPr>
        <w:t xml:space="preserve"> 66 Pa.</w:t>
      </w:r>
      <w:r w:rsidR="00A13EDF">
        <w:rPr>
          <w:rFonts w:ascii="Times New Roman" w:eastAsia="Times New Roman" w:hAnsi="Times New Roman" w:cs="Times New Roman"/>
          <w:color w:val="000000"/>
          <w:sz w:val="26"/>
          <w:szCs w:val="26"/>
        </w:rPr>
        <w:t xml:space="preserve"> </w:t>
      </w:r>
      <w:r w:rsidR="000F2635" w:rsidRPr="000F2635">
        <w:rPr>
          <w:rFonts w:ascii="Times New Roman" w:eastAsia="Times New Roman" w:hAnsi="Times New Roman" w:cs="Times New Roman"/>
          <w:color w:val="000000"/>
          <w:sz w:val="26"/>
          <w:szCs w:val="26"/>
        </w:rPr>
        <w:t xml:space="preserve">C.S. § 2802 (detailing impetus for, and objectives of, the Act).  Relevant to this case </w:t>
      </w:r>
      <w:r w:rsidR="003C50B6">
        <w:rPr>
          <w:rFonts w:ascii="Times New Roman" w:eastAsia="Times New Roman" w:hAnsi="Times New Roman" w:cs="Times New Roman"/>
          <w:color w:val="000000"/>
          <w:sz w:val="26"/>
          <w:szCs w:val="26"/>
        </w:rPr>
        <w:t xml:space="preserve">is </w:t>
      </w:r>
      <w:r w:rsidR="000F2635" w:rsidRPr="000F2635">
        <w:rPr>
          <w:rFonts w:ascii="Times New Roman" w:eastAsia="Times New Roman" w:hAnsi="Times New Roman" w:cs="Times New Roman"/>
          <w:color w:val="000000"/>
          <w:sz w:val="26"/>
          <w:szCs w:val="26"/>
        </w:rPr>
        <w:t xml:space="preserve">Section 2804 of the Act which pertains to standards for restructuring the electric industry.  Section 2804(6) provides that the following standard shall govern the Commission’s assessment and approval, when </w:t>
      </w:r>
      <w:r w:rsidR="000F2635" w:rsidRPr="000F2635">
        <w:rPr>
          <w:rFonts w:ascii="Times New Roman" w:eastAsia="Times New Roman" w:hAnsi="Times New Roman" w:cs="Times New Roman"/>
          <w:color w:val="000000"/>
          <w:sz w:val="26"/>
          <w:szCs w:val="26"/>
        </w:rPr>
        <w:lastRenderedPageBreak/>
        <w:t xml:space="preserve">considering an electric distribution company’s restructuring plan, oversight of the transition process and regulation of the restructured electric utility industry: </w:t>
      </w:r>
    </w:p>
    <w:p w14:paraId="650D6430" w14:textId="77777777" w:rsidR="000F2635" w:rsidRPr="000F2635" w:rsidRDefault="000F2635" w:rsidP="00CB06ED">
      <w:pPr>
        <w:spacing w:after="115" w:line="240" w:lineRule="auto"/>
        <w:rPr>
          <w:rFonts w:ascii="Times New Roman" w:eastAsia="Times New Roman" w:hAnsi="Times New Roman" w:cs="Times New Roman"/>
          <w:color w:val="000000"/>
          <w:sz w:val="26"/>
          <w:szCs w:val="26"/>
        </w:rPr>
      </w:pPr>
      <w:r w:rsidRPr="000F2635">
        <w:rPr>
          <w:rFonts w:ascii="Times New Roman" w:eastAsia="Times New Roman" w:hAnsi="Times New Roman" w:cs="Times New Roman"/>
          <w:color w:val="000000"/>
          <w:sz w:val="26"/>
          <w:szCs w:val="26"/>
        </w:rPr>
        <w:t xml:space="preserve"> </w:t>
      </w:r>
    </w:p>
    <w:p w14:paraId="4DC97EF8" w14:textId="77777777" w:rsidR="000F2635" w:rsidRPr="000F2635" w:rsidRDefault="000F2635" w:rsidP="000F2635">
      <w:pPr>
        <w:spacing w:after="0" w:line="249" w:lineRule="auto"/>
        <w:ind w:left="1450" w:right="1420" w:hanging="10"/>
        <w:rPr>
          <w:rFonts w:ascii="Times New Roman" w:eastAsia="Times New Roman" w:hAnsi="Times New Roman" w:cs="Times New Roman"/>
          <w:i/>
          <w:iCs/>
          <w:color w:val="000000"/>
          <w:sz w:val="26"/>
          <w:szCs w:val="26"/>
        </w:rPr>
      </w:pPr>
      <w:r w:rsidRPr="000F2635">
        <w:rPr>
          <w:rFonts w:ascii="Times New Roman" w:eastAsia="Times New Roman" w:hAnsi="Times New Roman" w:cs="Times New Roman"/>
          <w:color w:val="000000"/>
          <w:sz w:val="26"/>
          <w:szCs w:val="26"/>
        </w:rPr>
        <w:t xml:space="preserve">(6) Consistent with the provision of section 2806, the commission shall require that a public utility that owns or operates </w:t>
      </w:r>
      <w:r w:rsidRPr="000F2635">
        <w:rPr>
          <w:rFonts w:ascii="Times New Roman" w:eastAsia="Times New Roman" w:hAnsi="Times New Roman" w:cs="Times New Roman"/>
          <w:i/>
          <w:iCs/>
          <w:color w:val="000000"/>
          <w:sz w:val="26"/>
          <w:szCs w:val="26"/>
        </w:rPr>
        <w:t>jurisdictional transmission and distribution facilities</w:t>
      </w:r>
      <w:r w:rsidRPr="000F2635">
        <w:rPr>
          <w:rFonts w:ascii="Times New Roman" w:eastAsia="Times New Roman" w:hAnsi="Times New Roman" w:cs="Times New Roman"/>
          <w:color w:val="000000"/>
          <w:sz w:val="26"/>
          <w:szCs w:val="26"/>
        </w:rPr>
        <w:t xml:space="preserve"> </w:t>
      </w:r>
      <w:r w:rsidRPr="000F2635">
        <w:rPr>
          <w:rFonts w:ascii="Times New Roman" w:eastAsia="Times New Roman" w:hAnsi="Times New Roman" w:cs="Times New Roman"/>
          <w:i/>
          <w:iCs/>
          <w:color w:val="000000"/>
          <w:sz w:val="26"/>
          <w:szCs w:val="26"/>
        </w:rPr>
        <w:t>shall provide transmission and distribution service</w:t>
      </w:r>
      <w:r w:rsidRPr="000F2635">
        <w:rPr>
          <w:rFonts w:ascii="Times New Roman" w:eastAsia="Times New Roman" w:hAnsi="Times New Roman" w:cs="Times New Roman"/>
          <w:color w:val="000000"/>
          <w:sz w:val="26"/>
          <w:szCs w:val="26"/>
        </w:rPr>
        <w:t xml:space="preserve"> to all retail electric customers in their service territory and to electric cooperative corporations and </w:t>
      </w:r>
      <w:r w:rsidRPr="000F2635">
        <w:rPr>
          <w:rFonts w:ascii="Times New Roman" w:eastAsia="Times New Roman" w:hAnsi="Times New Roman" w:cs="Times New Roman"/>
          <w:i/>
          <w:iCs/>
          <w:color w:val="000000"/>
          <w:sz w:val="26"/>
          <w:szCs w:val="26"/>
        </w:rPr>
        <w:t>electric generation suppliers,</w:t>
      </w:r>
      <w:r w:rsidRPr="000F2635">
        <w:rPr>
          <w:rFonts w:ascii="Times New Roman" w:eastAsia="Times New Roman" w:hAnsi="Times New Roman" w:cs="Times New Roman"/>
          <w:color w:val="000000"/>
          <w:sz w:val="26"/>
          <w:szCs w:val="26"/>
        </w:rPr>
        <w:t xml:space="preserve"> affiliated or nonaffiliated, </w:t>
      </w:r>
      <w:r w:rsidRPr="000F2635">
        <w:rPr>
          <w:rFonts w:ascii="Times New Roman" w:eastAsia="Times New Roman" w:hAnsi="Times New Roman" w:cs="Times New Roman"/>
          <w:i/>
          <w:iCs/>
          <w:color w:val="000000"/>
          <w:sz w:val="26"/>
          <w:szCs w:val="26"/>
        </w:rPr>
        <w:t>on rates, terms of access and conditions</w:t>
      </w:r>
      <w:r w:rsidRPr="000F2635">
        <w:rPr>
          <w:rFonts w:ascii="Times New Roman" w:eastAsia="Times New Roman" w:hAnsi="Times New Roman" w:cs="Times New Roman"/>
          <w:color w:val="000000"/>
          <w:sz w:val="26"/>
          <w:szCs w:val="26"/>
        </w:rPr>
        <w:t xml:space="preserve"> </w:t>
      </w:r>
      <w:r w:rsidRPr="000F2635">
        <w:rPr>
          <w:rFonts w:ascii="Times New Roman" w:eastAsia="Times New Roman" w:hAnsi="Times New Roman" w:cs="Times New Roman"/>
          <w:i/>
          <w:iCs/>
          <w:color w:val="000000"/>
          <w:sz w:val="26"/>
          <w:szCs w:val="26"/>
        </w:rPr>
        <w:t xml:space="preserve">that are comparable to the utility’s own use of its system. </w:t>
      </w:r>
    </w:p>
    <w:p w14:paraId="4618E1C3" w14:textId="77777777" w:rsidR="000F2635" w:rsidRPr="000F2635" w:rsidRDefault="000F2635" w:rsidP="000F2635">
      <w:pPr>
        <w:spacing w:after="112"/>
        <w:rPr>
          <w:rFonts w:ascii="Times New Roman" w:eastAsia="Times New Roman" w:hAnsi="Times New Roman" w:cs="Times New Roman"/>
          <w:color w:val="000000"/>
          <w:sz w:val="26"/>
          <w:szCs w:val="26"/>
        </w:rPr>
      </w:pPr>
      <w:r w:rsidRPr="000F2635">
        <w:rPr>
          <w:rFonts w:ascii="Times New Roman" w:eastAsia="Times New Roman" w:hAnsi="Times New Roman" w:cs="Times New Roman"/>
          <w:color w:val="000000"/>
          <w:sz w:val="26"/>
          <w:szCs w:val="26"/>
        </w:rPr>
        <w:t xml:space="preserve"> </w:t>
      </w:r>
    </w:p>
    <w:p w14:paraId="63C18E2E" w14:textId="1C06F7DA" w:rsidR="000F2635" w:rsidRDefault="000F2635" w:rsidP="002A4B67">
      <w:pPr>
        <w:spacing w:after="127" w:line="249" w:lineRule="auto"/>
        <w:ind w:left="-5" w:hanging="10"/>
        <w:rPr>
          <w:rFonts w:ascii="Times New Roman" w:eastAsia="Times New Roman" w:hAnsi="Times New Roman" w:cs="Times New Roman"/>
          <w:color w:val="000000"/>
          <w:sz w:val="26"/>
          <w:szCs w:val="26"/>
        </w:rPr>
      </w:pPr>
      <w:r w:rsidRPr="000F2635">
        <w:rPr>
          <w:rFonts w:ascii="Times New Roman" w:eastAsia="Times New Roman" w:hAnsi="Times New Roman" w:cs="Times New Roman"/>
          <w:color w:val="000000"/>
          <w:sz w:val="26"/>
          <w:szCs w:val="26"/>
        </w:rPr>
        <w:t>66 Pa.</w:t>
      </w:r>
      <w:r w:rsidR="00286A55">
        <w:rPr>
          <w:rFonts w:ascii="Times New Roman" w:eastAsia="Times New Roman" w:hAnsi="Times New Roman" w:cs="Times New Roman"/>
          <w:color w:val="000000"/>
          <w:sz w:val="26"/>
          <w:szCs w:val="26"/>
        </w:rPr>
        <w:t xml:space="preserve"> </w:t>
      </w:r>
      <w:r w:rsidRPr="000F2635">
        <w:rPr>
          <w:rFonts w:ascii="Times New Roman" w:eastAsia="Times New Roman" w:hAnsi="Times New Roman" w:cs="Times New Roman"/>
          <w:color w:val="000000"/>
          <w:sz w:val="26"/>
          <w:szCs w:val="26"/>
        </w:rPr>
        <w:t>C.S. § 2804(6)</w:t>
      </w:r>
      <w:r w:rsidR="009520F0">
        <w:rPr>
          <w:rFonts w:ascii="Times New Roman" w:eastAsia="Times New Roman" w:hAnsi="Times New Roman" w:cs="Times New Roman"/>
          <w:color w:val="000000"/>
          <w:sz w:val="26"/>
          <w:szCs w:val="26"/>
        </w:rPr>
        <w:t xml:space="preserve"> (emphasis added)</w:t>
      </w:r>
      <w:r w:rsidRPr="000F2635">
        <w:rPr>
          <w:rFonts w:ascii="Times New Roman" w:eastAsia="Times New Roman" w:hAnsi="Times New Roman" w:cs="Times New Roman"/>
          <w:color w:val="000000"/>
          <w:sz w:val="26"/>
          <w:szCs w:val="26"/>
        </w:rPr>
        <w:t xml:space="preserve">.  </w:t>
      </w:r>
    </w:p>
    <w:p w14:paraId="4D03EF78" w14:textId="2B06BEB0" w:rsidR="00263F7E" w:rsidRDefault="00263F7E" w:rsidP="002A4B67">
      <w:pPr>
        <w:spacing w:after="127" w:line="249" w:lineRule="auto"/>
        <w:ind w:left="-5" w:hanging="10"/>
        <w:rPr>
          <w:rFonts w:ascii="Times New Roman" w:eastAsia="Times New Roman" w:hAnsi="Times New Roman" w:cs="Times New Roman"/>
          <w:color w:val="000000"/>
          <w:sz w:val="26"/>
          <w:szCs w:val="26"/>
        </w:rPr>
      </w:pPr>
    </w:p>
    <w:p w14:paraId="175B1A6F" w14:textId="7913FB9A" w:rsidR="00C23E63" w:rsidRDefault="003C50B6" w:rsidP="00F824A0">
      <w:pPr>
        <w:spacing w:after="0" w:line="360" w:lineRule="auto"/>
        <w:ind w:firstLine="144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In addition, Section 2807 of the Act establishes the express duties of electric distribution companies.  </w:t>
      </w:r>
      <w:r w:rsidR="00263F7E">
        <w:rPr>
          <w:rFonts w:ascii="Times New Roman" w:eastAsia="Times New Roman" w:hAnsi="Times New Roman" w:cs="Times New Roman"/>
          <w:color w:val="000000"/>
          <w:sz w:val="26"/>
          <w:szCs w:val="26"/>
        </w:rPr>
        <w:t xml:space="preserve">With respect to the </w:t>
      </w:r>
      <w:r w:rsidR="006F1639">
        <w:rPr>
          <w:rFonts w:ascii="Times New Roman" w:eastAsia="Times New Roman" w:hAnsi="Times New Roman" w:cs="Times New Roman"/>
          <w:color w:val="000000"/>
          <w:sz w:val="26"/>
          <w:szCs w:val="26"/>
        </w:rPr>
        <w:t xml:space="preserve">duties of electric distribution companies to provide billing services </w:t>
      </w:r>
      <w:r w:rsidR="00BF1179">
        <w:rPr>
          <w:rFonts w:ascii="Times New Roman" w:eastAsia="Times New Roman" w:hAnsi="Times New Roman" w:cs="Times New Roman"/>
          <w:color w:val="000000"/>
          <w:sz w:val="26"/>
          <w:szCs w:val="26"/>
        </w:rPr>
        <w:t xml:space="preserve">on behalf of the electric generation suppliers, the </w:t>
      </w:r>
      <w:r w:rsidR="006F1639">
        <w:rPr>
          <w:rFonts w:ascii="Times New Roman" w:eastAsia="Times New Roman" w:hAnsi="Times New Roman" w:cs="Times New Roman"/>
          <w:color w:val="000000"/>
          <w:sz w:val="26"/>
          <w:szCs w:val="26"/>
        </w:rPr>
        <w:t>Act</w:t>
      </w:r>
      <w:r w:rsidR="00BF1179">
        <w:rPr>
          <w:rFonts w:ascii="Times New Roman" w:eastAsia="Times New Roman" w:hAnsi="Times New Roman" w:cs="Times New Roman"/>
          <w:color w:val="000000"/>
          <w:sz w:val="26"/>
          <w:szCs w:val="26"/>
        </w:rPr>
        <w:t xml:space="preserve"> expressly stated </w:t>
      </w:r>
      <w:r w:rsidR="00C23E63">
        <w:rPr>
          <w:rFonts w:ascii="Times New Roman" w:eastAsia="Times New Roman" w:hAnsi="Times New Roman" w:cs="Times New Roman"/>
          <w:color w:val="000000"/>
          <w:sz w:val="26"/>
          <w:szCs w:val="26"/>
        </w:rPr>
        <w:t xml:space="preserve">at Section 2807(c) (pertaining to customer billing), that: </w:t>
      </w:r>
    </w:p>
    <w:p w14:paraId="0EA83EE2" w14:textId="77777777" w:rsidR="00CB06ED" w:rsidRDefault="00CB06ED" w:rsidP="00CB06ED">
      <w:pPr>
        <w:spacing w:after="0" w:line="240" w:lineRule="auto"/>
        <w:ind w:firstLine="1440"/>
        <w:rPr>
          <w:rFonts w:ascii="Times New Roman" w:eastAsia="Times New Roman" w:hAnsi="Times New Roman" w:cs="Times New Roman"/>
          <w:color w:val="000000"/>
          <w:sz w:val="26"/>
          <w:szCs w:val="26"/>
        </w:rPr>
      </w:pPr>
    </w:p>
    <w:p w14:paraId="25CFF107" w14:textId="133AC689" w:rsidR="00C23E63" w:rsidRPr="003C50B6" w:rsidRDefault="007D3056" w:rsidP="00184F05">
      <w:pPr>
        <w:spacing w:after="0" w:line="240" w:lineRule="auto"/>
        <w:ind w:left="1440" w:right="1440"/>
        <w:rPr>
          <w:rFonts w:ascii="Times New Roman" w:eastAsia="Times New Roman" w:hAnsi="Times New Roman" w:cs="Times New Roman"/>
          <w:color w:val="000000"/>
          <w:sz w:val="26"/>
          <w:szCs w:val="26"/>
        </w:rPr>
      </w:pPr>
      <w:r w:rsidRPr="007D3056">
        <w:rPr>
          <w:rFonts w:ascii="Times New Roman" w:eastAsia="Times New Roman" w:hAnsi="Times New Roman" w:cs="Times New Roman"/>
          <w:b/>
          <w:bCs/>
          <w:color w:val="000000"/>
          <w:sz w:val="26"/>
          <w:szCs w:val="26"/>
        </w:rPr>
        <w:t>Customer billing</w:t>
      </w:r>
      <w:r>
        <w:rPr>
          <w:rFonts w:ascii="Times New Roman" w:eastAsia="Times New Roman" w:hAnsi="Times New Roman" w:cs="Times New Roman"/>
          <w:b/>
          <w:bCs/>
          <w:color w:val="000000"/>
          <w:sz w:val="26"/>
          <w:szCs w:val="26"/>
        </w:rPr>
        <w:t xml:space="preserve"> </w:t>
      </w:r>
      <w:r w:rsidRPr="007D3056">
        <w:rPr>
          <w:rFonts w:ascii="Times New Roman" w:eastAsia="Times New Roman" w:hAnsi="Times New Roman" w:cs="Times New Roman"/>
          <w:b/>
          <w:bCs/>
          <w:color w:val="000000"/>
          <w:sz w:val="26"/>
          <w:szCs w:val="26"/>
        </w:rPr>
        <w:t>-</w:t>
      </w:r>
      <w:r>
        <w:rPr>
          <w:rFonts w:ascii="Times New Roman" w:eastAsia="Times New Roman" w:hAnsi="Times New Roman" w:cs="Times New Roman"/>
          <w:color w:val="000000"/>
          <w:sz w:val="26"/>
          <w:szCs w:val="26"/>
        </w:rPr>
        <w:t xml:space="preserve"> </w:t>
      </w:r>
      <w:r w:rsidR="00463677">
        <w:rPr>
          <w:rFonts w:ascii="Times New Roman" w:eastAsia="Times New Roman" w:hAnsi="Times New Roman" w:cs="Times New Roman"/>
          <w:color w:val="000000"/>
          <w:sz w:val="26"/>
          <w:szCs w:val="26"/>
        </w:rPr>
        <w:t xml:space="preserve">Subject to the right of an end-use customer to </w:t>
      </w:r>
      <w:r w:rsidR="00C1295E">
        <w:rPr>
          <w:rFonts w:ascii="Times New Roman" w:eastAsia="Times New Roman" w:hAnsi="Times New Roman" w:cs="Times New Roman"/>
          <w:color w:val="000000"/>
          <w:sz w:val="26"/>
          <w:szCs w:val="26"/>
        </w:rPr>
        <w:t xml:space="preserve">choose to receive separate bills from its electric generation supplier, the electric distribution company </w:t>
      </w:r>
      <w:r w:rsidR="00EE32E1" w:rsidRPr="003C50B6">
        <w:rPr>
          <w:rFonts w:ascii="Times New Roman" w:eastAsia="Times New Roman" w:hAnsi="Times New Roman" w:cs="Times New Roman"/>
          <w:i/>
          <w:iCs/>
          <w:color w:val="000000"/>
          <w:sz w:val="26"/>
          <w:szCs w:val="26"/>
        </w:rPr>
        <w:t>may be responsible for billing customers</w:t>
      </w:r>
      <w:r w:rsidR="00EE32E1">
        <w:rPr>
          <w:rFonts w:ascii="Times New Roman" w:eastAsia="Times New Roman" w:hAnsi="Times New Roman" w:cs="Times New Roman"/>
          <w:color w:val="000000"/>
          <w:sz w:val="26"/>
          <w:szCs w:val="26"/>
        </w:rPr>
        <w:t xml:space="preserve"> </w:t>
      </w:r>
      <w:r w:rsidR="00B24860" w:rsidRPr="00F824A0">
        <w:rPr>
          <w:rFonts w:ascii="Times New Roman" w:eastAsia="Times New Roman" w:hAnsi="Times New Roman" w:cs="Times New Roman"/>
          <w:i/>
          <w:iCs/>
          <w:color w:val="000000"/>
          <w:sz w:val="26"/>
          <w:szCs w:val="26"/>
        </w:rPr>
        <w:t xml:space="preserve">for </w:t>
      </w:r>
      <w:r w:rsidR="00B24860" w:rsidRPr="003C50B6">
        <w:rPr>
          <w:rFonts w:ascii="Times New Roman" w:eastAsia="Times New Roman" w:hAnsi="Times New Roman" w:cs="Times New Roman"/>
          <w:b/>
          <w:bCs/>
          <w:i/>
          <w:iCs/>
          <w:color w:val="000000"/>
          <w:sz w:val="26"/>
          <w:szCs w:val="26"/>
        </w:rPr>
        <w:t>all electric services</w:t>
      </w:r>
      <w:r w:rsidR="00B24860">
        <w:rPr>
          <w:rFonts w:ascii="Times New Roman" w:eastAsia="Times New Roman" w:hAnsi="Times New Roman" w:cs="Times New Roman"/>
          <w:color w:val="000000"/>
          <w:sz w:val="26"/>
          <w:szCs w:val="26"/>
        </w:rPr>
        <w:t xml:space="preserve">, </w:t>
      </w:r>
      <w:r w:rsidR="00D30CF9">
        <w:rPr>
          <w:rFonts w:ascii="Times New Roman" w:eastAsia="Times New Roman" w:hAnsi="Times New Roman" w:cs="Times New Roman"/>
          <w:color w:val="000000"/>
          <w:sz w:val="26"/>
          <w:szCs w:val="26"/>
        </w:rPr>
        <w:t>consistent</w:t>
      </w:r>
      <w:r w:rsidR="00B24860">
        <w:rPr>
          <w:rFonts w:ascii="Times New Roman" w:eastAsia="Times New Roman" w:hAnsi="Times New Roman" w:cs="Times New Roman"/>
          <w:color w:val="000000"/>
          <w:sz w:val="26"/>
          <w:szCs w:val="26"/>
        </w:rPr>
        <w:t xml:space="preserve"> with </w:t>
      </w:r>
      <w:r w:rsidR="00184F05">
        <w:rPr>
          <w:rFonts w:ascii="Times New Roman" w:eastAsia="Times New Roman" w:hAnsi="Times New Roman" w:cs="Times New Roman"/>
          <w:color w:val="000000"/>
          <w:sz w:val="26"/>
          <w:szCs w:val="26"/>
        </w:rPr>
        <w:t xml:space="preserve">the </w:t>
      </w:r>
      <w:r w:rsidR="00B24860">
        <w:rPr>
          <w:rFonts w:ascii="Times New Roman" w:eastAsia="Times New Roman" w:hAnsi="Times New Roman" w:cs="Times New Roman"/>
          <w:color w:val="000000"/>
          <w:sz w:val="26"/>
          <w:szCs w:val="26"/>
        </w:rPr>
        <w:t>regulations</w:t>
      </w:r>
      <w:r w:rsidR="00184F05">
        <w:rPr>
          <w:rFonts w:ascii="Times New Roman" w:eastAsia="Times New Roman" w:hAnsi="Times New Roman" w:cs="Times New Roman"/>
          <w:color w:val="000000"/>
          <w:sz w:val="26"/>
          <w:szCs w:val="26"/>
        </w:rPr>
        <w:t xml:space="preserve"> of </w:t>
      </w:r>
      <w:r w:rsidR="00B24860">
        <w:rPr>
          <w:rFonts w:ascii="Times New Roman" w:eastAsia="Times New Roman" w:hAnsi="Times New Roman" w:cs="Times New Roman"/>
          <w:color w:val="000000"/>
          <w:sz w:val="26"/>
          <w:szCs w:val="26"/>
        </w:rPr>
        <w:t xml:space="preserve">the </w:t>
      </w:r>
      <w:r w:rsidR="00184F05">
        <w:rPr>
          <w:rFonts w:ascii="Times New Roman" w:eastAsia="Times New Roman" w:hAnsi="Times New Roman" w:cs="Times New Roman"/>
          <w:color w:val="000000"/>
          <w:sz w:val="26"/>
          <w:szCs w:val="26"/>
        </w:rPr>
        <w:t>c</w:t>
      </w:r>
      <w:r w:rsidR="00B24860">
        <w:rPr>
          <w:rFonts w:ascii="Times New Roman" w:eastAsia="Times New Roman" w:hAnsi="Times New Roman" w:cs="Times New Roman"/>
          <w:color w:val="000000"/>
          <w:sz w:val="26"/>
          <w:szCs w:val="26"/>
        </w:rPr>
        <w:t xml:space="preserve">ommission, </w:t>
      </w:r>
      <w:r w:rsidR="00B24860" w:rsidRPr="003C50B6">
        <w:rPr>
          <w:rFonts w:ascii="Times New Roman" w:eastAsia="Times New Roman" w:hAnsi="Times New Roman" w:cs="Times New Roman"/>
          <w:color w:val="000000"/>
          <w:sz w:val="26"/>
          <w:szCs w:val="26"/>
        </w:rPr>
        <w:t xml:space="preserve">regardless </w:t>
      </w:r>
      <w:r w:rsidR="00D30CF9" w:rsidRPr="003C50B6">
        <w:rPr>
          <w:rFonts w:ascii="Times New Roman" w:eastAsia="Times New Roman" w:hAnsi="Times New Roman" w:cs="Times New Roman"/>
          <w:color w:val="000000"/>
          <w:sz w:val="26"/>
          <w:szCs w:val="26"/>
        </w:rPr>
        <w:t xml:space="preserve">of the identity of the provider of those services.  </w:t>
      </w:r>
    </w:p>
    <w:p w14:paraId="18C48384" w14:textId="77777777" w:rsidR="00AA35F2" w:rsidRDefault="00C23E63" w:rsidP="00AA35F2">
      <w:pPr>
        <w:spacing w:after="127" w:line="249" w:lineRule="auto"/>
        <w:ind w:left="-5" w:hanging="1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6F1639">
        <w:rPr>
          <w:rFonts w:ascii="Times New Roman" w:eastAsia="Times New Roman" w:hAnsi="Times New Roman" w:cs="Times New Roman"/>
          <w:color w:val="000000"/>
          <w:sz w:val="26"/>
          <w:szCs w:val="26"/>
        </w:rPr>
        <w:t xml:space="preserve"> </w:t>
      </w:r>
    </w:p>
    <w:p w14:paraId="3E61DAAF" w14:textId="525F39E4" w:rsidR="00AA35F2" w:rsidRDefault="00AA35F2" w:rsidP="00AA35F2">
      <w:pPr>
        <w:spacing w:after="127" w:line="249" w:lineRule="auto"/>
        <w:ind w:left="-5" w:hanging="10"/>
        <w:rPr>
          <w:rFonts w:ascii="Times New Roman" w:eastAsia="Times New Roman" w:hAnsi="Times New Roman" w:cs="Times New Roman"/>
          <w:color w:val="000000"/>
          <w:sz w:val="26"/>
          <w:szCs w:val="26"/>
        </w:rPr>
      </w:pPr>
      <w:r w:rsidRPr="000F2635">
        <w:rPr>
          <w:rFonts w:ascii="Times New Roman" w:eastAsia="Times New Roman" w:hAnsi="Times New Roman" w:cs="Times New Roman"/>
          <w:color w:val="000000"/>
          <w:sz w:val="26"/>
          <w:szCs w:val="26"/>
        </w:rPr>
        <w:t>66 Pa.</w:t>
      </w:r>
      <w:r w:rsidR="00286A55">
        <w:rPr>
          <w:rFonts w:ascii="Times New Roman" w:eastAsia="Times New Roman" w:hAnsi="Times New Roman" w:cs="Times New Roman"/>
          <w:color w:val="000000"/>
          <w:sz w:val="26"/>
          <w:szCs w:val="26"/>
        </w:rPr>
        <w:t xml:space="preserve"> </w:t>
      </w:r>
      <w:r w:rsidRPr="000F2635">
        <w:rPr>
          <w:rFonts w:ascii="Times New Roman" w:eastAsia="Times New Roman" w:hAnsi="Times New Roman" w:cs="Times New Roman"/>
          <w:color w:val="000000"/>
          <w:sz w:val="26"/>
          <w:szCs w:val="26"/>
        </w:rPr>
        <w:t>C.S. § 280</w:t>
      </w:r>
      <w:r>
        <w:rPr>
          <w:rFonts w:ascii="Times New Roman" w:eastAsia="Times New Roman" w:hAnsi="Times New Roman" w:cs="Times New Roman"/>
          <w:color w:val="000000"/>
          <w:sz w:val="26"/>
          <w:szCs w:val="26"/>
        </w:rPr>
        <w:t>7</w:t>
      </w:r>
      <w:r w:rsidRPr="000F2635">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c</w:t>
      </w:r>
      <w:r w:rsidRPr="000F2635">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(emphasis added)</w:t>
      </w:r>
      <w:r w:rsidRPr="000F2635">
        <w:rPr>
          <w:rFonts w:ascii="Times New Roman" w:eastAsia="Times New Roman" w:hAnsi="Times New Roman" w:cs="Times New Roman"/>
          <w:color w:val="000000"/>
          <w:sz w:val="26"/>
          <w:szCs w:val="26"/>
        </w:rPr>
        <w:t xml:space="preserve">.  </w:t>
      </w:r>
    </w:p>
    <w:p w14:paraId="3CCE3596" w14:textId="4B0F360D" w:rsidR="00263F7E" w:rsidRDefault="00263F7E" w:rsidP="002A4B67">
      <w:pPr>
        <w:spacing w:after="127" w:line="249" w:lineRule="auto"/>
        <w:ind w:left="-5" w:hanging="10"/>
        <w:rPr>
          <w:rFonts w:ascii="Times New Roman" w:eastAsia="Times New Roman" w:hAnsi="Times New Roman" w:cs="Times New Roman"/>
          <w:color w:val="000000"/>
          <w:sz w:val="26"/>
          <w:szCs w:val="26"/>
        </w:rPr>
      </w:pPr>
    </w:p>
    <w:p w14:paraId="7EF5ACA1" w14:textId="5077F524" w:rsidR="000F2635" w:rsidRPr="000F2635" w:rsidRDefault="002A4B67" w:rsidP="00CB06ED">
      <w:pPr>
        <w:keepNext/>
        <w:spacing w:after="0" w:line="360" w:lineRule="auto"/>
        <w:ind w:firstLine="144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The </w:t>
      </w:r>
      <w:r w:rsidR="00D22EBB">
        <w:rPr>
          <w:rFonts w:ascii="Times New Roman" w:eastAsia="Times New Roman" w:hAnsi="Times New Roman" w:cs="Times New Roman"/>
          <w:color w:val="000000"/>
          <w:sz w:val="26"/>
          <w:szCs w:val="26"/>
        </w:rPr>
        <w:t xml:space="preserve">Chapter 56 </w:t>
      </w:r>
      <w:r>
        <w:rPr>
          <w:rFonts w:ascii="Times New Roman" w:eastAsia="Times New Roman" w:hAnsi="Times New Roman" w:cs="Times New Roman"/>
          <w:color w:val="000000"/>
          <w:sz w:val="26"/>
          <w:szCs w:val="26"/>
        </w:rPr>
        <w:t xml:space="preserve">billing regulations raised in this proceeding </w:t>
      </w:r>
      <w:r w:rsidR="00D22EBB">
        <w:rPr>
          <w:rFonts w:ascii="Times New Roman" w:eastAsia="Times New Roman" w:hAnsi="Times New Roman" w:cs="Times New Roman"/>
          <w:color w:val="000000"/>
          <w:sz w:val="26"/>
          <w:szCs w:val="26"/>
        </w:rPr>
        <w:t>include</w:t>
      </w:r>
      <w:r>
        <w:rPr>
          <w:rFonts w:ascii="Times New Roman" w:eastAsia="Times New Roman" w:hAnsi="Times New Roman" w:cs="Times New Roman"/>
          <w:color w:val="000000"/>
          <w:sz w:val="26"/>
          <w:szCs w:val="26"/>
        </w:rPr>
        <w:t xml:space="preserve"> </w:t>
      </w:r>
      <w:r w:rsidR="000F2635" w:rsidRPr="000F2635">
        <w:rPr>
          <w:rFonts w:ascii="Times New Roman" w:eastAsia="Times New Roman" w:hAnsi="Times New Roman" w:cs="Times New Roman"/>
          <w:color w:val="000000"/>
          <w:sz w:val="26"/>
          <w:szCs w:val="26"/>
        </w:rPr>
        <w:t>Section</w:t>
      </w:r>
      <w:r w:rsidR="00CB06ED">
        <w:rPr>
          <w:rFonts w:ascii="Times New Roman" w:eastAsia="Times New Roman" w:hAnsi="Times New Roman" w:cs="Times New Roman"/>
          <w:color w:val="000000"/>
          <w:sz w:val="26"/>
          <w:szCs w:val="26"/>
        </w:rPr>
        <w:t> </w:t>
      </w:r>
      <w:r w:rsidR="000F2635" w:rsidRPr="000F2635">
        <w:rPr>
          <w:rFonts w:ascii="Times New Roman" w:eastAsia="Times New Roman" w:hAnsi="Times New Roman" w:cs="Times New Roman"/>
          <w:color w:val="000000"/>
          <w:sz w:val="26"/>
          <w:szCs w:val="26"/>
        </w:rPr>
        <w:t xml:space="preserve">56.13 of the Commission’s regulations </w:t>
      </w:r>
      <w:r w:rsidR="00D65E71">
        <w:rPr>
          <w:rFonts w:ascii="Times New Roman" w:eastAsia="Times New Roman" w:hAnsi="Times New Roman" w:cs="Times New Roman"/>
          <w:color w:val="000000"/>
          <w:sz w:val="26"/>
          <w:szCs w:val="26"/>
        </w:rPr>
        <w:t xml:space="preserve">which </w:t>
      </w:r>
      <w:r w:rsidR="000F2635" w:rsidRPr="000F2635">
        <w:rPr>
          <w:rFonts w:ascii="Times New Roman" w:eastAsia="Times New Roman" w:hAnsi="Times New Roman" w:cs="Times New Roman"/>
          <w:color w:val="000000"/>
          <w:sz w:val="26"/>
          <w:szCs w:val="26"/>
        </w:rPr>
        <w:t xml:space="preserve">provides, in pertinent part, that: </w:t>
      </w:r>
    </w:p>
    <w:p w14:paraId="31EC8CCF" w14:textId="77777777" w:rsidR="000F2635" w:rsidRPr="000F2635" w:rsidRDefault="000F2635" w:rsidP="00CB06ED">
      <w:pPr>
        <w:keepNext/>
        <w:spacing w:after="112" w:line="240" w:lineRule="auto"/>
        <w:rPr>
          <w:rFonts w:ascii="Times New Roman" w:eastAsia="Times New Roman" w:hAnsi="Times New Roman" w:cs="Times New Roman"/>
          <w:color w:val="000000"/>
          <w:sz w:val="26"/>
          <w:szCs w:val="26"/>
        </w:rPr>
      </w:pPr>
      <w:r w:rsidRPr="000F2635">
        <w:rPr>
          <w:rFonts w:ascii="Times New Roman" w:eastAsia="Times New Roman" w:hAnsi="Times New Roman" w:cs="Times New Roman"/>
          <w:color w:val="000000"/>
          <w:sz w:val="26"/>
          <w:szCs w:val="26"/>
        </w:rPr>
        <w:t xml:space="preserve"> </w:t>
      </w:r>
    </w:p>
    <w:p w14:paraId="5AE29F77" w14:textId="77777777" w:rsidR="000F2635" w:rsidRPr="000F2635" w:rsidRDefault="000F2635" w:rsidP="00CB06ED">
      <w:pPr>
        <w:keepNext/>
        <w:spacing w:after="0" w:line="249" w:lineRule="auto"/>
        <w:ind w:left="1450" w:right="1300" w:hanging="10"/>
        <w:rPr>
          <w:rFonts w:ascii="Times New Roman" w:eastAsia="Times New Roman" w:hAnsi="Times New Roman" w:cs="Times New Roman"/>
          <w:color w:val="000000"/>
          <w:sz w:val="26"/>
          <w:szCs w:val="26"/>
        </w:rPr>
      </w:pPr>
      <w:r w:rsidRPr="000F2635">
        <w:rPr>
          <w:rFonts w:ascii="Times New Roman" w:eastAsia="Times New Roman" w:hAnsi="Times New Roman" w:cs="Times New Roman"/>
          <w:color w:val="000000"/>
          <w:sz w:val="26"/>
          <w:szCs w:val="26"/>
        </w:rPr>
        <w:t xml:space="preserve">Charges for other than basic service – that is, merchandise, appliances and special services, including merchandise and appliance installation, sales, rental and repair costs; meter </w:t>
      </w:r>
      <w:r w:rsidRPr="000F2635">
        <w:rPr>
          <w:rFonts w:ascii="Times New Roman" w:eastAsia="Times New Roman" w:hAnsi="Times New Roman" w:cs="Times New Roman"/>
          <w:color w:val="000000"/>
          <w:sz w:val="26"/>
          <w:szCs w:val="26"/>
        </w:rPr>
        <w:lastRenderedPageBreak/>
        <w:t>testing fees; line extension costs; special construction charges and other nonrecurring charges, except as provide in this chapter – must appear after charges for basic services and appear distinctly separate</w:t>
      </w:r>
      <w:proofErr w:type="gramStart"/>
      <w:r w:rsidRPr="000F2635">
        <w:rPr>
          <w:rFonts w:ascii="Times New Roman" w:eastAsia="Times New Roman" w:hAnsi="Times New Roman" w:cs="Times New Roman"/>
          <w:color w:val="000000"/>
          <w:sz w:val="26"/>
          <w:szCs w:val="26"/>
        </w:rPr>
        <w:t>. . . .</w:t>
      </w:r>
      <w:proofErr w:type="gramEnd"/>
      <w:r w:rsidRPr="000F2635">
        <w:rPr>
          <w:rFonts w:ascii="Times New Roman" w:eastAsia="Times New Roman" w:hAnsi="Times New Roman" w:cs="Times New Roman"/>
          <w:color w:val="000000"/>
          <w:sz w:val="26"/>
          <w:szCs w:val="26"/>
        </w:rPr>
        <w:t xml:space="preserve"> </w:t>
      </w:r>
    </w:p>
    <w:p w14:paraId="430C6FE6" w14:textId="77777777" w:rsidR="000F2635" w:rsidRPr="000F2635" w:rsidRDefault="000F2635" w:rsidP="000F2635">
      <w:pPr>
        <w:spacing w:after="115"/>
        <w:ind w:left="1440"/>
        <w:rPr>
          <w:rFonts w:ascii="Times New Roman" w:eastAsia="Times New Roman" w:hAnsi="Times New Roman" w:cs="Times New Roman"/>
          <w:color w:val="000000"/>
          <w:sz w:val="26"/>
          <w:szCs w:val="26"/>
        </w:rPr>
      </w:pPr>
      <w:r w:rsidRPr="000F2635">
        <w:rPr>
          <w:rFonts w:ascii="Times New Roman" w:eastAsia="Times New Roman" w:hAnsi="Times New Roman" w:cs="Times New Roman"/>
          <w:color w:val="000000"/>
          <w:sz w:val="26"/>
          <w:szCs w:val="26"/>
        </w:rPr>
        <w:t xml:space="preserve"> </w:t>
      </w:r>
    </w:p>
    <w:p w14:paraId="4F2D91F6" w14:textId="093DB016" w:rsidR="000F2635" w:rsidRPr="000F2635" w:rsidRDefault="000F2635" w:rsidP="000F2635">
      <w:pPr>
        <w:spacing w:after="0" w:line="357" w:lineRule="auto"/>
        <w:ind w:left="-5" w:hanging="10"/>
        <w:rPr>
          <w:rFonts w:ascii="Times New Roman" w:eastAsia="Times New Roman" w:hAnsi="Times New Roman" w:cs="Times New Roman"/>
          <w:color w:val="000000"/>
          <w:sz w:val="26"/>
          <w:szCs w:val="26"/>
        </w:rPr>
      </w:pPr>
      <w:r w:rsidRPr="000F2635">
        <w:rPr>
          <w:rFonts w:ascii="Times New Roman" w:eastAsia="Times New Roman" w:hAnsi="Times New Roman" w:cs="Times New Roman"/>
          <w:color w:val="000000"/>
          <w:sz w:val="26"/>
          <w:szCs w:val="26"/>
        </w:rPr>
        <w:t xml:space="preserve">52 Pa. Code § 56.13.  In addition, Section 56.83(3) of the Commission’s regulations prohibits </w:t>
      </w:r>
      <w:r w:rsidR="00286A55">
        <w:rPr>
          <w:rFonts w:ascii="Times New Roman" w:eastAsia="Times New Roman" w:hAnsi="Times New Roman" w:cs="Times New Roman"/>
          <w:color w:val="000000"/>
          <w:sz w:val="26"/>
          <w:szCs w:val="26"/>
        </w:rPr>
        <w:t xml:space="preserve">the </w:t>
      </w:r>
      <w:r w:rsidRPr="000F2635">
        <w:rPr>
          <w:rFonts w:ascii="Times New Roman" w:eastAsia="Times New Roman" w:hAnsi="Times New Roman" w:cs="Times New Roman"/>
          <w:color w:val="000000"/>
          <w:sz w:val="26"/>
          <w:szCs w:val="26"/>
        </w:rPr>
        <w:t>EDCs from terminating customers’ electric service for failure to pay non-basic services, which include all non-commodity products and services.  52 Pa. Code §</w:t>
      </w:r>
      <w:r w:rsidR="00286A55">
        <w:rPr>
          <w:rFonts w:ascii="Times New Roman" w:eastAsia="Times New Roman" w:hAnsi="Times New Roman" w:cs="Times New Roman"/>
          <w:color w:val="000000"/>
          <w:sz w:val="26"/>
          <w:szCs w:val="26"/>
        </w:rPr>
        <w:t> </w:t>
      </w:r>
      <w:r w:rsidRPr="000F2635">
        <w:rPr>
          <w:rFonts w:ascii="Times New Roman" w:eastAsia="Times New Roman" w:hAnsi="Times New Roman" w:cs="Times New Roman"/>
          <w:color w:val="000000"/>
          <w:sz w:val="26"/>
          <w:szCs w:val="26"/>
        </w:rPr>
        <w:t xml:space="preserve">56.83(3). </w:t>
      </w:r>
    </w:p>
    <w:p w14:paraId="2245682E" w14:textId="77777777" w:rsidR="000F2635" w:rsidRPr="000F2635" w:rsidRDefault="000F2635" w:rsidP="000F2635">
      <w:pPr>
        <w:spacing w:after="115"/>
        <w:ind w:left="1440"/>
        <w:rPr>
          <w:rFonts w:ascii="Times New Roman" w:eastAsia="Times New Roman" w:hAnsi="Times New Roman" w:cs="Times New Roman"/>
          <w:color w:val="000000"/>
          <w:sz w:val="26"/>
          <w:szCs w:val="26"/>
        </w:rPr>
      </w:pPr>
      <w:r w:rsidRPr="000F2635">
        <w:rPr>
          <w:rFonts w:ascii="Times New Roman" w:eastAsia="Times New Roman" w:hAnsi="Times New Roman" w:cs="Times New Roman"/>
          <w:color w:val="000000"/>
          <w:sz w:val="26"/>
          <w:szCs w:val="26"/>
        </w:rPr>
        <w:t xml:space="preserve"> </w:t>
      </w:r>
    </w:p>
    <w:p w14:paraId="3EEE547F" w14:textId="3D7CBF55" w:rsidR="001C625A" w:rsidRDefault="000F2635" w:rsidP="00060FF4">
      <w:pPr>
        <w:spacing w:after="0" w:line="360" w:lineRule="auto"/>
        <w:ind w:firstLine="1440"/>
        <w:rPr>
          <w:rFonts w:ascii="Times New Roman" w:eastAsia="Times New Roman" w:hAnsi="Times New Roman" w:cs="Times New Roman"/>
          <w:color w:val="000000"/>
          <w:sz w:val="26"/>
          <w:szCs w:val="26"/>
        </w:rPr>
      </w:pPr>
      <w:r w:rsidRPr="000F2635">
        <w:rPr>
          <w:rFonts w:ascii="Times New Roman" w:eastAsia="Times New Roman" w:hAnsi="Times New Roman" w:cs="Times New Roman"/>
          <w:color w:val="000000"/>
          <w:sz w:val="26"/>
          <w:szCs w:val="26"/>
        </w:rPr>
        <w:t xml:space="preserve">Finally, the Commission recently addressed the issue of </w:t>
      </w:r>
      <w:r w:rsidR="006A0636" w:rsidRPr="00C25CBA">
        <w:rPr>
          <w:rFonts w:ascii="Times New Roman" w:eastAsia="Times New Roman" w:hAnsi="Times New Roman" w:cs="Times New Roman"/>
          <w:color w:val="000000"/>
          <w:sz w:val="26"/>
          <w:szCs w:val="26"/>
        </w:rPr>
        <w:t xml:space="preserve">a natural gas distribution utility’s provision of </w:t>
      </w:r>
      <w:r w:rsidR="00286A55">
        <w:rPr>
          <w:rFonts w:ascii="Times New Roman" w:eastAsia="Times New Roman" w:hAnsi="Times New Roman" w:cs="Times New Roman"/>
          <w:color w:val="000000"/>
          <w:sz w:val="26"/>
          <w:szCs w:val="26"/>
        </w:rPr>
        <w:t>“</w:t>
      </w:r>
      <w:r w:rsidRPr="000F2635">
        <w:rPr>
          <w:rFonts w:ascii="Times New Roman" w:eastAsia="Times New Roman" w:hAnsi="Times New Roman" w:cs="Times New Roman"/>
          <w:color w:val="000000"/>
          <w:sz w:val="26"/>
          <w:szCs w:val="26"/>
        </w:rPr>
        <w:t>on-bill billing</w:t>
      </w:r>
      <w:r w:rsidR="00286A55">
        <w:rPr>
          <w:rFonts w:ascii="Times New Roman" w:eastAsia="Times New Roman" w:hAnsi="Times New Roman" w:cs="Times New Roman"/>
          <w:color w:val="000000"/>
          <w:sz w:val="26"/>
          <w:szCs w:val="26"/>
        </w:rPr>
        <w:t>”</w:t>
      </w:r>
      <w:r w:rsidRPr="000F2635">
        <w:rPr>
          <w:rFonts w:ascii="Times New Roman" w:eastAsia="Times New Roman" w:hAnsi="Times New Roman" w:cs="Times New Roman"/>
          <w:color w:val="000000"/>
          <w:sz w:val="26"/>
          <w:szCs w:val="26"/>
        </w:rPr>
        <w:t xml:space="preserve"> of </w:t>
      </w:r>
      <w:r w:rsidR="00C42FB1" w:rsidRPr="00C25CBA">
        <w:rPr>
          <w:rFonts w:ascii="Times New Roman" w:eastAsia="Times New Roman" w:hAnsi="Times New Roman" w:cs="Times New Roman"/>
          <w:color w:val="000000"/>
          <w:sz w:val="26"/>
          <w:szCs w:val="26"/>
        </w:rPr>
        <w:t xml:space="preserve">a </w:t>
      </w:r>
      <w:r w:rsidRPr="000F2635">
        <w:rPr>
          <w:rFonts w:ascii="Times New Roman" w:eastAsia="Times New Roman" w:hAnsi="Times New Roman" w:cs="Times New Roman"/>
          <w:color w:val="000000"/>
          <w:sz w:val="26"/>
          <w:szCs w:val="26"/>
        </w:rPr>
        <w:t>third-party</w:t>
      </w:r>
      <w:r w:rsidR="00C42FB1" w:rsidRPr="00C25CBA">
        <w:rPr>
          <w:rFonts w:ascii="Times New Roman" w:eastAsia="Times New Roman" w:hAnsi="Times New Roman" w:cs="Times New Roman"/>
          <w:color w:val="000000"/>
          <w:sz w:val="26"/>
          <w:szCs w:val="26"/>
        </w:rPr>
        <w:t>’s</w:t>
      </w:r>
      <w:r w:rsidRPr="000F2635">
        <w:rPr>
          <w:rFonts w:ascii="Times New Roman" w:eastAsia="Times New Roman" w:hAnsi="Times New Roman" w:cs="Times New Roman"/>
          <w:color w:val="000000"/>
          <w:sz w:val="26"/>
          <w:szCs w:val="26"/>
        </w:rPr>
        <w:t xml:space="preserve"> </w:t>
      </w:r>
      <w:r w:rsidR="005810E1" w:rsidRPr="00C25CBA">
        <w:rPr>
          <w:rFonts w:ascii="Times New Roman" w:eastAsia="Times New Roman" w:hAnsi="Times New Roman" w:cs="Times New Roman"/>
          <w:color w:val="000000"/>
          <w:sz w:val="26"/>
          <w:szCs w:val="26"/>
        </w:rPr>
        <w:t xml:space="preserve">non-commodity goods and </w:t>
      </w:r>
      <w:r w:rsidRPr="000F2635">
        <w:rPr>
          <w:rFonts w:ascii="Times New Roman" w:eastAsia="Times New Roman" w:hAnsi="Times New Roman" w:cs="Times New Roman"/>
          <w:color w:val="000000"/>
          <w:sz w:val="26"/>
          <w:szCs w:val="26"/>
        </w:rPr>
        <w:t>services</w:t>
      </w:r>
      <w:r w:rsidR="00BC43CB" w:rsidRPr="00C25CBA">
        <w:rPr>
          <w:rFonts w:ascii="Times New Roman" w:eastAsia="Times New Roman" w:hAnsi="Times New Roman" w:cs="Times New Roman"/>
          <w:color w:val="000000"/>
          <w:sz w:val="26"/>
          <w:szCs w:val="26"/>
        </w:rPr>
        <w:t xml:space="preserve">, where precluding the same practice for </w:t>
      </w:r>
      <w:r w:rsidRPr="000F2635">
        <w:rPr>
          <w:rFonts w:ascii="Times New Roman" w:eastAsia="Times New Roman" w:hAnsi="Times New Roman" w:cs="Times New Roman"/>
          <w:color w:val="000000"/>
          <w:sz w:val="26"/>
          <w:szCs w:val="26"/>
        </w:rPr>
        <w:t>natural gas supplier</w:t>
      </w:r>
      <w:r w:rsidR="00921D21" w:rsidRPr="00C25CBA">
        <w:rPr>
          <w:rFonts w:ascii="Times New Roman" w:eastAsia="Times New Roman" w:hAnsi="Times New Roman" w:cs="Times New Roman"/>
          <w:color w:val="000000"/>
          <w:sz w:val="26"/>
          <w:szCs w:val="26"/>
        </w:rPr>
        <w:t>s</w:t>
      </w:r>
      <w:r w:rsidRPr="000F2635">
        <w:rPr>
          <w:rFonts w:ascii="Times New Roman" w:eastAsia="Times New Roman" w:hAnsi="Times New Roman" w:cs="Times New Roman"/>
          <w:color w:val="000000"/>
          <w:sz w:val="26"/>
          <w:szCs w:val="26"/>
        </w:rPr>
        <w:t xml:space="preserve"> in </w:t>
      </w:r>
      <w:r w:rsidRPr="000F2635">
        <w:rPr>
          <w:rFonts w:ascii="Times New Roman" w:eastAsia="Times New Roman" w:hAnsi="Times New Roman" w:cs="Times New Roman"/>
          <w:i/>
          <w:iCs/>
          <w:color w:val="000000"/>
          <w:sz w:val="26"/>
          <w:szCs w:val="26"/>
          <w:u w:color="000000"/>
        </w:rPr>
        <w:t>Pa.</w:t>
      </w:r>
      <w:r w:rsidR="00CB06ED">
        <w:rPr>
          <w:rFonts w:ascii="Times New Roman" w:eastAsia="Times New Roman" w:hAnsi="Times New Roman" w:cs="Times New Roman"/>
          <w:i/>
          <w:iCs/>
          <w:color w:val="000000"/>
          <w:sz w:val="26"/>
          <w:szCs w:val="26"/>
          <w:u w:color="000000"/>
        </w:rPr>
        <w:t> </w:t>
      </w:r>
      <w:r w:rsidRPr="000F2635">
        <w:rPr>
          <w:rFonts w:ascii="Times New Roman" w:eastAsia="Times New Roman" w:hAnsi="Times New Roman" w:cs="Times New Roman"/>
          <w:i/>
          <w:iCs/>
          <w:color w:val="000000"/>
          <w:sz w:val="26"/>
          <w:szCs w:val="26"/>
          <w:u w:color="000000"/>
        </w:rPr>
        <w:t>P</w:t>
      </w:r>
      <w:r w:rsidR="00CB06ED">
        <w:rPr>
          <w:rFonts w:ascii="Times New Roman" w:eastAsia="Times New Roman" w:hAnsi="Times New Roman" w:cs="Times New Roman"/>
          <w:i/>
          <w:iCs/>
          <w:color w:val="000000"/>
          <w:sz w:val="26"/>
          <w:szCs w:val="26"/>
          <w:u w:color="000000"/>
        </w:rPr>
        <w:t>UC</w:t>
      </w:r>
      <w:r w:rsidRPr="000F2635">
        <w:rPr>
          <w:rFonts w:ascii="Times New Roman" w:eastAsia="Times New Roman" w:hAnsi="Times New Roman" w:cs="Times New Roman"/>
          <w:i/>
          <w:iCs/>
          <w:color w:val="000000"/>
          <w:sz w:val="26"/>
          <w:szCs w:val="26"/>
          <w:u w:color="000000"/>
        </w:rPr>
        <w:t xml:space="preserve"> v. Columbia Gas of Pa., Inc.</w:t>
      </w:r>
      <w:r w:rsidRPr="000F2635">
        <w:rPr>
          <w:rFonts w:ascii="Times New Roman" w:eastAsia="Times New Roman" w:hAnsi="Times New Roman" w:cs="Times New Roman"/>
          <w:i/>
          <w:iCs/>
          <w:color w:val="000000"/>
          <w:sz w:val="26"/>
          <w:szCs w:val="26"/>
        </w:rPr>
        <w:t>,</w:t>
      </w:r>
      <w:r w:rsidRPr="000F2635">
        <w:rPr>
          <w:rFonts w:ascii="Times New Roman" w:eastAsia="Times New Roman" w:hAnsi="Times New Roman" w:cs="Times New Roman"/>
          <w:color w:val="000000"/>
          <w:sz w:val="26"/>
          <w:szCs w:val="26"/>
        </w:rPr>
        <w:t xml:space="preserve"> Docket No. R-2018-2647577 (Opinion and Order entered Dec</w:t>
      </w:r>
      <w:r w:rsidR="001C625A">
        <w:rPr>
          <w:rFonts w:ascii="Times New Roman" w:eastAsia="Times New Roman" w:hAnsi="Times New Roman" w:cs="Times New Roman"/>
          <w:color w:val="000000"/>
          <w:sz w:val="26"/>
          <w:szCs w:val="26"/>
        </w:rPr>
        <w:t>ember</w:t>
      </w:r>
      <w:r w:rsidRPr="000F2635">
        <w:rPr>
          <w:rFonts w:ascii="Times New Roman" w:eastAsia="Times New Roman" w:hAnsi="Times New Roman" w:cs="Times New Roman"/>
          <w:color w:val="000000"/>
          <w:sz w:val="26"/>
          <w:szCs w:val="26"/>
        </w:rPr>
        <w:t xml:space="preserve"> 6, 2018) (</w:t>
      </w:r>
      <w:r w:rsidRPr="000F2635">
        <w:rPr>
          <w:rFonts w:ascii="Times New Roman" w:eastAsia="Times New Roman" w:hAnsi="Times New Roman" w:cs="Times New Roman"/>
          <w:i/>
          <w:iCs/>
          <w:color w:val="000000"/>
          <w:sz w:val="26"/>
          <w:szCs w:val="26"/>
          <w:u w:color="000000"/>
        </w:rPr>
        <w:t>Columbia</w:t>
      </w:r>
      <w:r w:rsidRPr="000F2635">
        <w:rPr>
          <w:rFonts w:ascii="Times New Roman" w:eastAsia="Times New Roman" w:hAnsi="Times New Roman" w:cs="Times New Roman"/>
          <w:color w:val="000000"/>
          <w:sz w:val="26"/>
          <w:szCs w:val="26"/>
        </w:rPr>
        <w:t xml:space="preserve">).  </w:t>
      </w:r>
    </w:p>
    <w:p w14:paraId="390F07FA" w14:textId="77777777" w:rsidR="001C625A" w:rsidRDefault="001C625A" w:rsidP="00060FF4">
      <w:pPr>
        <w:spacing w:after="0" w:line="360" w:lineRule="auto"/>
        <w:ind w:firstLine="1440"/>
        <w:rPr>
          <w:rFonts w:ascii="Times New Roman" w:eastAsia="Times New Roman" w:hAnsi="Times New Roman" w:cs="Times New Roman"/>
          <w:color w:val="000000"/>
          <w:sz w:val="26"/>
          <w:szCs w:val="26"/>
        </w:rPr>
      </w:pPr>
    </w:p>
    <w:p w14:paraId="7EB90785" w14:textId="748B9853" w:rsidR="000F2635" w:rsidRPr="000F2635" w:rsidRDefault="000F2635" w:rsidP="00060FF4">
      <w:pPr>
        <w:spacing w:after="0" w:line="360" w:lineRule="auto"/>
        <w:ind w:firstLine="1440"/>
        <w:rPr>
          <w:rFonts w:ascii="Times New Roman" w:eastAsia="Times New Roman" w:hAnsi="Times New Roman" w:cs="Times New Roman"/>
          <w:color w:val="000000"/>
          <w:sz w:val="26"/>
          <w:szCs w:val="26"/>
        </w:rPr>
      </w:pPr>
      <w:r w:rsidRPr="000F2635">
        <w:rPr>
          <w:rFonts w:ascii="Times New Roman" w:eastAsia="Times New Roman" w:hAnsi="Times New Roman" w:cs="Times New Roman"/>
          <w:color w:val="000000"/>
          <w:sz w:val="26"/>
          <w:szCs w:val="26"/>
        </w:rPr>
        <w:t xml:space="preserve">In </w:t>
      </w:r>
      <w:r w:rsidRPr="000F2635">
        <w:rPr>
          <w:rFonts w:ascii="Times New Roman" w:eastAsia="Times New Roman" w:hAnsi="Times New Roman" w:cs="Times New Roman"/>
          <w:i/>
          <w:iCs/>
          <w:color w:val="000000"/>
          <w:sz w:val="26"/>
          <w:szCs w:val="26"/>
          <w:u w:color="000000"/>
        </w:rPr>
        <w:t>Columbia</w:t>
      </w:r>
      <w:r w:rsidRPr="000F2635">
        <w:rPr>
          <w:rFonts w:ascii="Times New Roman" w:eastAsia="Times New Roman" w:hAnsi="Times New Roman" w:cs="Times New Roman"/>
          <w:i/>
          <w:iCs/>
          <w:color w:val="000000"/>
          <w:sz w:val="26"/>
          <w:szCs w:val="26"/>
        </w:rPr>
        <w:t>,</w:t>
      </w:r>
      <w:r w:rsidRPr="000F2635">
        <w:rPr>
          <w:rFonts w:ascii="Times New Roman" w:eastAsia="Times New Roman" w:hAnsi="Times New Roman" w:cs="Times New Roman"/>
          <w:color w:val="000000"/>
          <w:sz w:val="26"/>
          <w:szCs w:val="26"/>
        </w:rPr>
        <w:t xml:space="preserve"> the Commission addressed</w:t>
      </w:r>
      <w:r w:rsidR="00C36AD0" w:rsidRPr="00C25CBA">
        <w:rPr>
          <w:rFonts w:ascii="Times New Roman" w:eastAsia="Times New Roman" w:hAnsi="Times New Roman" w:cs="Times New Roman"/>
          <w:color w:val="000000"/>
          <w:sz w:val="26"/>
          <w:szCs w:val="26"/>
        </w:rPr>
        <w:t xml:space="preserve">, </w:t>
      </w:r>
      <w:r w:rsidR="00C36AD0" w:rsidRPr="00C25CBA">
        <w:rPr>
          <w:rFonts w:ascii="Times New Roman" w:eastAsia="Times New Roman" w:hAnsi="Times New Roman" w:cs="Times New Roman"/>
          <w:i/>
          <w:iCs/>
          <w:color w:val="000000"/>
          <w:sz w:val="26"/>
          <w:szCs w:val="26"/>
        </w:rPr>
        <w:t>inter alia</w:t>
      </w:r>
      <w:r w:rsidR="00C36AD0" w:rsidRPr="00C25CBA">
        <w:rPr>
          <w:rFonts w:ascii="Times New Roman" w:eastAsia="Times New Roman" w:hAnsi="Times New Roman" w:cs="Times New Roman"/>
          <w:color w:val="000000"/>
          <w:sz w:val="26"/>
          <w:szCs w:val="26"/>
        </w:rPr>
        <w:t>,</w:t>
      </w:r>
      <w:r w:rsidRPr="000F2635">
        <w:rPr>
          <w:rFonts w:ascii="Times New Roman" w:eastAsia="Times New Roman" w:hAnsi="Times New Roman" w:cs="Times New Roman"/>
          <w:color w:val="000000"/>
          <w:sz w:val="26"/>
          <w:szCs w:val="26"/>
        </w:rPr>
        <w:t xml:space="preserve"> a </w:t>
      </w:r>
      <w:r w:rsidR="00C71013" w:rsidRPr="00C25CBA">
        <w:rPr>
          <w:rFonts w:ascii="Times New Roman" w:eastAsia="Times New Roman" w:hAnsi="Times New Roman" w:cs="Times New Roman"/>
          <w:color w:val="000000"/>
          <w:sz w:val="26"/>
          <w:szCs w:val="26"/>
        </w:rPr>
        <w:t xml:space="preserve">challenge to </w:t>
      </w:r>
      <w:r w:rsidRPr="000F2635">
        <w:rPr>
          <w:rFonts w:ascii="Times New Roman" w:eastAsia="Times New Roman" w:hAnsi="Times New Roman" w:cs="Times New Roman"/>
          <w:color w:val="000000"/>
          <w:sz w:val="26"/>
          <w:szCs w:val="26"/>
        </w:rPr>
        <w:t>Columbia’s billing practice offering third parties “on</w:t>
      </w:r>
      <w:r w:rsidR="00FC6586" w:rsidRPr="00C25CBA">
        <w:rPr>
          <w:rFonts w:ascii="Times New Roman" w:eastAsia="Times New Roman" w:hAnsi="Times New Roman" w:cs="Times New Roman"/>
          <w:color w:val="000000"/>
          <w:sz w:val="26"/>
          <w:szCs w:val="26"/>
        </w:rPr>
        <w:t>-</w:t>
      </w:r>
      <w:r w:rsidR="007115EA" w:rsidRPr="00C25CBA">
        <w:rPr>
          <w:rFonts w:ascii="Times New Roman" w:eastAsia="Times New Roman" w:hAnsi="Times New Roman" w:cs="Times New Roman"/>
          <w:color w:val="000000"/>
          <w:sz w:val="26"/>
          <w:szCs w:val="26"/>
        </w:rPr>
        <w:t xml:space="preserve">bill </w:t>
      </w:r>
      <w:r w:rsidRPr="000F2635">
        <w:rPr>
          <w:rFonts w:ascii="Times New Roman" w:eastAsia="Times New Roman" w:hAnsi="Times New Roman" w:cs="Times New Roman"/>
          <w:color w:val="000000"/>
          <w:sz w:val="26"/>
          <w:szCs w:val="26"/>
        </w:rPr>
        <w:t xml:space="preserve">billing” for non-commodity </w:t>
      </w:r>
      <w:r w:rsidR="007115EA" w:rsidRPr="00C25CBA">
        <w:rPr>
          <w:rFonts w:ascii="Times New Roman" w:eastAsia="Times New Roman" w:hAnsi="Times New Roman" w:cs="Times New Roman"/>
          <w:color w:val="000000"/>
          <w:sz w:val="26"/>
          <w:szCs w:val="26"/>
        </w:rPr>
        <w:t xml:space="preserve">goods and </w:t>
      </w:r>
      <w:r w:rsidRPr="000F2635">
        <w:rPr>
          <w:rFonts w:ascii="Times New Roman" w:eastAsia="Times New Roman" w:hAnsi="Times New Roman" w:cs="Times New Roman"/>
          <w:color w:val="000000"/>
          <w:sz w:val="26"/>
          <w:szCs w:val="26"/>
        </w:rPr>
        <w:t>service</w:t>
      </w:r>
      <w:r w:rsidR="007115EA" w:rsidRPr="00C25CBA">
        <w:rPr>
          <w:rFonts w:ascii="Times New Roman" w:eastAsia="Times New Roman" w:hAnsi="Times New Roman" w:cs="Times New Roman"/>
          <w:color w:val="000000"/>
          <w:sz w:val="26"/>
          <w:szCs w:val="26"/>
        </w:rPr>
        <w:t>s</w:t>
      </w:r>
      <w:r w:rsidRPr="000F2635">
        <w:rPr>
          <w:rFonts w:ascii="Times New Roman" w:eastAsia="Times New Roman" w:hAnsi="Times New Roman" w:cs="Times New Roman"/>
          <w:color w:val="000000"/>
          <w:sz w:val="26"/>
          <w:szCs w:val="26"/>
        </w:rPr>
        <w:t xml:space="preserve"> provided by </w:t>
      </w:r>
      <w:r w:rsidR="007115EA" w:rsidRPr="00C25CBA">
        <w:rPr>
          <w:rFonts w:ascii="Times New Roman" w:eastAsia="Times New Roman" w:hAnsi="Times New Roman" w:cs="Times New Roman"/>
          <w:color w:val="000000"/>
          <w:sz w:val="26"/>
          <w:szCs w:val="26"/>
        </w:rPr>
        <w:t>a</w:t>
      </w:r>
      <w:r w:rsidRPr="000F2635">
        <w:rPr>
          <w:rFonts w:ascii="Times New Roman" w:eastAsia="Times New Roman" w:hAnsi="Times New Roman" w:cs="Times New Roman"/>
          <w:color w:val="000000"/>
          <w:sz w:val="26"/>
          <w:szCs w:val="26"/>
        </w:rPr>
        <w:t xml:space="preserve"> third party.  The Commission determined that Columbia’s </w:t>
      </w:r>
      <w:r w:rsidR="0095690F" w:rsidRPr="00C25CBA">
        <w:rPr>
          <w:rFonts w:ascii="Times New Roman" w:eastAsia="Times New Roman" w:hAnsi="Times New Roman" w:cs="Times New Roman"/>
          <w:color w:val="000000"/>
          <w:sz w:val="26"/>
          <w:szCs w:val="26"/>
        </w:rPr>
        <w:t>practi</w:t>
      </w:r>
      <w:r w:rsidR="004E5731" w:rsidRPr="00C25CBA">
        <w:rPr>
          <w:rFonts w:ascii="Times New Roman" w:eastAsia="Times New Roman" w:hAnsi="Times New Roman" w:cs="Times New Roman"/>
          <w:color w:val="000000"/>
          <w:sz w:val="26"/>
          <w:szCs w:val="26"/>
        </w:rPr>
        <w:t xml:space="preserve">ce of providing </w:t>
      </w:r>
      <w:r w:rsidR="005632A7">
        <w:rPr>
          <w:rFonts w:ascii="Times New Roman" w:eastAsia="Times New Roman" w:hAnsi="Times New Roman" w:cs="Times New Roman"/>
          <w:color w:val="000000"/>
          <w:sz w:val="26"/>
          <w:szCs w:val="26"/>
        </w:rPr>
        <w:t>“</w:t>
      </w:r>
      <w:r w:rsidR="004E5731" w:rsidRPr="00C25CBA">
        <w:rPr>
          <w:rFonts w:ascii="Times New Roman" w:eastAsia="Times New Roman" w:hAnsi="Times New Roman" w:cs="Times New Roman"/>
          <w:color w:val="000000"/>
          <w:sz w:val="26"/>
          <w:szCs w:val="26"/>
        </w:rPr>
        <w:t xml:space="preserve">on-bill </w:t>
      </w:r>
      <w:r w:rsidRPr="000F2635">
        <w:rPr>
          <w:rFonts w:ascii="Times New Roman" w:eastAsia="Times New Roman" w:hAnsi="Times New Roman" w:cs="Times New Roman"/>
          <w:color w:val="000000"/>
          <w:sz w:val="26"/>
          <w:szCs w:val="26"/>
        </w:rPr>
        <w:t>billing</w:t>
      </w:r>
      <w:r w:rsidR="005632A7">
        <w:rPr>
          <w:rFonts w:ascii="Times New Roman" w:eastAsia="Times New Roman" w:hAnsi="Times New Roman" w:cs="Times New Roman"/>
          <w:color w:val="000000"/>
          <w:sz w:val="26"/>
          <w:szCs w:val="26"/>
        </w:rPr>
        <w:t>”</w:t>
      </w:r>
      <w:r w:rsidRPr="000F2635">
        <w:rPr>
          <w:rFonts w:ascii="Times New Roman" w:eastAsia="Times New Roman" w:hAnsi="Times New Roman" w:cs="Times New Roman"/>
          <w:color w:val="000000"/>
          <w:sz w:val="26"/>
          <w:szCs w:val="26"/>
        </w:rPr>
        <w:t xml:space="preserve"> of non-commodity </w:t>
      </w:r>
      <w:r w:rsidR="007115EA" w:rsidRPr="00C25CBA">
        <w:rPr>
          <w:rFonts w:ascii="Times New Roman" w:eastAsia="Times New Roman" w:hAnsi="Times New Roman" w:cs="Times New Roman"/>
          <w:color w:val="000000"/>
          <w:sz w:val="26"/>
          <w:szCs w:val="26"/>
        </w:rPr>
        <w:t xml:space="preserve">goods and services </w:t>
      </w:r>
      <w:r w:rsidR="0053110B" w:rsidRPr="00C25CBA">
        <w:rPr>
          <w:rFonts w:ascii="Times New Roman" w:eastAsia="Times New Roman" w:hAnsi="Times New Roman" w:cs="Times New Roman"/>
          <w:color w:val="000000"/>
          <w:sz w:val="26"/>
          <w:szCs w:val="26"/>
        </w:rPr>
        <w:t xml:space="preserve">for non-affiliated </w:t>
      </w:r>
      <w:r w:rsidRPr="000F2635">
        <w:rPr>
          <w:rFonts w:ascii="Times New Roman" w:eastAsia="Times New Roman" w:hAnsi="Times New Roman" w:cs="Times New Roman"/>
          <w:color w:val="000000"/>
          <w:sz w:val="26"/>
          <w:szCs w:val="26"/>
        </w:rPr>
        <w:t xml:space="preserve">third parties </w:t>
      </w:r>
      <w:r w:rsidR="002E2058" w:rsidRPr="00C25CBA">
        <w:rPr>
          <w:rFonts w:ascii="Times New Roman" w:eastAsia="Times New Roman" w:hAnsi="Times New Roman" w:cs="Times New Roman"/>
          <w:color w:val="000000"/>
          <w:sz w:val="26"/>
          <w:szCs w:val="26"/>
        </w:rPr>
        <w:t xml:space="preserve">constitutes </w:t>
      </w:r>
      <w:r w:rsidRPr="000F2635">
        <w:rPr>
          <w:rFonts w:ascii="Times New Roman" w:eastAsia="Times New Roman" w:hAnsi="Times New Roman" w:cs="Times New Roman"/>
          <w:color w:val="000000"/>
          <w:sz w:val="26"/>
          <w:szCs w:val="26"/>
        </w:rPr>
        <w:t xml:space="preserve">“service” </w:t>
      </w:r>
      <w:r w:rsidR="00FC6586" w:rsidRPr="00C25CBA">
        <w:rPr>
          <w:rFonts w:ascii="Times New Roman" w:eastAsia="Times New Roman" w:hAnsi="Times New Roman" w:cs="Times New Roman"/>
          <w:color w:val="000000"/>
          <w:sz w:val="26"/>
          <w:szCs w:val="26"/>
        </w:rPr>
        <w:t xml:space="preserve">within the Commission’s jurisdiction and </w:t>
      </w:r>
      <w:r w:rsidR="002E2058" w:rsidRPr="00C25CBA">
        <w:rPr>
          <w:rFonts w:ascii="Times New Roman" w:eastAsia="Times New Roman" w:hAnsi="Times New Roman" w:cs="Times New Roman"/>
          <w:color w:val="000000"/>
          <w:sz w:val="26"/>
          <w:szCs w:val="26"/>
        </w:rPr>
        <w:t>as the term is used</w:t>
      </w:r>
      <w:r w:rsidRPr="000F2635">
        <w:rPr>
          <w:rFonts w:ascii="Times New Roman" w:eastAsia="Times New Roman" w:hAnsi="Times New Roman" w:cs="Times New Roman"/>
          <w:color w:val="000000"/>
          <w:sz w:val="26"/>
          <w:szCs w:val="26"/>
        </w:rPr>
        <w:t xml:space="preserve"> under Section 1502 of the Code</w:t>
      </w:r>
      <w:r w:rsidR="00883005" w:rsidRPr="00C25CBA">
        <w:rPr>
          <w:rFonts w:ascii="Times New Roman" w:eastAsia="Times New Roman" w:hAnsi="Times New Roman" w:cs="Times New Roman"/>
          <w:color w:val="000000"/>
          <w:sz w:val="26"/>
          <w:szCs w:val="26"/>
        </w:rPr>
        <w:t>,</w:t>
      </w:r>
      <w:r w:rsidRPr="000F2635">
        <w:rPr>
          <w:rFonts w:ascii="Times New Roman" w:eastAsia="Times New Roman" w:hAnsi="Times New Roman" w:cs="Times New Roman"/>
          <w:color w:val="000000"/>
          <w:sz w:val="26"/>
          <w:szCs w:val="26"/>
        </w:rPr>
        <w:t xml:space="preserve"> which prohibits discrimination in the provision of service.  The Commission found that Columbia’s </w:t>
      </w:r>
      <w:r w:rsidR="003D0692">
        <w:rPr>
          <w:rFonts w:ascii="Times New Roman" w:eastAsia="Times New Roman" w:hAnsi="Times New Roman" w:cs="Times New Roman"/>
          <w:color w:val="000000"/>
          <w:sz w:val="26"/>
          <w:szCs w:val="26"/>
        </w:rPr>
        <w:t>“</w:t>
      </w:r>
      <w:r w:rsidRPr="000F2635">
        <w:rPr>
          <w:rFonts w:ascii="Times New Roman" w:eastAsia="Times New Roman" w:hAnsi="Times New Roman" w:cs="Times New Roman"/>
          <w:color w:val="000000"/>
          <w:sz w:val="26"/>
          <w:szCs w:val="26"/>
        </w:rPr>
        <w:t>on-bill billing</w:t>
      </w:r>
      <w:r w:rsidR="003D0692">
        <w:rPr>
          <w:rFonts w:ascii="Times New Roman" w:eastAsia="Times New Roman" w:hAnsi="Times New Roman" w:cs="Times New Roman"/>
          <w:color w:val="000000"/>
          <w:sz w:val="26"/>
          <w:szCs w:val="26"/>
        </w:rPr>
        <w:t>”</w:t>
      </w:r>
      <w:r w:rsidRPr="000F2635">
        <w:rPr>
          <w:rFonts w:ascii="Times New Roman" w:eastAsia="Times New Roman" w:hAnsi="Times New Roman" w:cs="Times New Roman"/>
          <w:color w:val="000000"/>
          <w:sz w:val="26"/>
          <w:szCs w:val="26"/>
        </w:rPr>
        <w:t xml:space="preserve"> practice was unreasonable and discriminatory and required Columbia to take action to conform its billing practice</w:t>
      </w:r>
      <w:r w:rsidR="009163F0" w:rsidRPr="00C25CBA">
        <w:rPr>
          <w:rFonts w:ascii="Times New Roman" w:eastAsia="Times New Roman" w:hAnsi="Times New Roman" w:cs="Times New Roman"/>
          <w:color w:val="000000"/>
          <w:sz w:val="26"/>
          <w:szCs w:val="26"/>
        </w:rPr>
        <w:t xml:space="preserve"> with the provisions of Section 1502</w:t>
      </w:r>
      <w:r w:rsidRPr="000F2635">
        <w:rPr>
          <w:rFonts w:ascii="Times New Roman" w:eastAsia="Times New Roman" w:hAnsi="Times New Roman" w:cs="Times New Roman"/>
          <w:color w:val="000000"/>
          <w:sz w:val="26"/>
          <w:szCs w:val="26"/>
        </w:rPr>
        <w:t xml:space="preserve">. </w:t>
      </w:r>
    </w:p>
    <w:p w14:paraId="3A2FB067" w14:textId="18E5370A" w:rsidR="00537F44" w:rsidRDefault="00B513F9" w:rsidP="008754CD">
      <w:pPr>
        <w:pStyle w:val="Heading1"/>
        <w:numPr>
          <w:ilvl w:val="0"/>
          <w:numId w:val="17"/>
        </w:numPr>
        <w:ind w:left="0" w:firstLine="0"/>
      </w:pPr>
      <w:r w:rsidRPr="00F054D1">
        <w:lastRenderedPageBreak/>
        <w:t>Discussion</w:t>
      </w:r>
    </w:p>
    <w:p w14:paraId="2C7D39B9" w14:textId="77777777" w:rsidR="00373913" w:rsidRPr="00373913" w:rsidRDefault="00373913" w:rsidP="008754CD">
      <w:pPr>
        <w:keepNext/>
        <w:spacing w:after="0" w:line="360" w:lineRule="auto"/>
      </w:pPr>
    </w:p>
    <w:p w14:paraId="1B1C1C25" w14:textId="24B0FE11" w:rsidR="00115129" w:rsidRPr="00115129" w:rsidRDefault="00B513F9" w:rsidP="008754CD">
      <w:pPr>
        <w:pStyle w:val="Heading1"/>
        <w:numPr>
          <w:ilvl w:val="0"/>
          <w:numId w:val="20"/>
        </w:numPr>
        <w:ind w:left="720" w:hanging="720"/>
        <w:jc w:val="left"/>
      </w:pPr>
      <w:r w:rsidRPr="00F054D1">
        <w:t xml:space="preserve"> </w:t>
      </w:r>
      <w:r w:rsidR="00115129" w:rsidRPr="00115129">
        <w:rPr>
          <w:rFonts w:eastAsia="Calibri"/>
        </w:rPr>
        <w:t>ALJ’ s Initial Decision</w:t>
      </w:r>
    </w:p>
    <w:p w14:paraId="207068AC" w14:textId="77777777" w:rsidR="00115129" w:rsidRPr="00115129" w:rsidRDefault="00115129" w:rsidP="008754CD">
      <w:pPr>
        <w:keepNext/>
        <w:spacing w:after="0" w:line="360" w:lineRule="auto"/>
        <w:rPr>
          <w:rFonts w:ascii="Times New Roman" w:eastAsia="Calibri" w:hAnsi="Times New Roman" w:cs="Times New Roman"/>
          <w:sz w:val="26"/>
          <w:szCs w:val="26"/>
        </w:rPr>
      </w:pPr>
    </w:p>
    <w:p w14:paraId="72750A8A" w14:textId="3B77BD1B" w:rsidR="008C4A0F" w:rsidRDefault="008C4A0F" w:rsidP="008754CD">
      <w:pPr>
        <w:keepNext/>
        <w:spacing w:after="0" w:line="360" w:lineRule="auto"/>
        <w:ind w:firstLine="1440"/>
        <w:contextualSpacing/>
        <w:rPr>
          <w:rFonts w:ascii="Times New Roman" w:hAnsi="Times New Roman" w:cs="Times New Roman"/>
          <w:sz w:val="26"/>
          <w:szCs w:val="26"/>
        </w:rPr>
      </w:pPr>
      <w:r w:rsidRPr="000224BF">
        <w:rPr>
          <w:rFonts w:ascii="Times New Roman" w:eastAsia="Times New Roman" w:hAnsi="Times New Roman" w:cs="Times New Roman"/>
          <w:color w:val="000000"/>
          <w:sz w:val="26"/>
          <w:szCs w:val="26"/>
        </w:rPr>
        <w:t xml:space="preserve">ALJ Cheskis </w:t>
      </w:r>
      <w:r w:rsidR="000A40CD" w:rsidRPr="000224BF">
        <w:rPr>
          <w:rFonts w:ascii="Times New Roman" w:eastAsia="Times New Roman" w:hAnsi="Times New Roman" w:cs="Times New Roman"/>
          <w:color w:val="000000"/>
          <w:sz w:val="26"/>
          <w:szCs w:val="26"/>
        </w:rPr>
        <w:t xml:space="preserve">made 19 Findings of Fact and reached </w:t>
      </w:r>
      <w:r w:rsidR="00524F3D" w:rsidRPr="000224BF">
        <w:rPr>
          <w:rFonts w:ascii="Times New Roman" w:eastAsia="Times New Roman" w:hAnsi="Times New Roman" w:cs="Times New Roman"/>
          <w:color w:val="000000"/>
          <w:sz w:val="26"/>
          <w:szCs w:val="26"/>
        </w:rPr>
        <w:t>16 Conclusions of Law.</w:t>
      </w:r>
      <w:r w:rsidR="000224BF" w:rsidRPr="000224BF">
        <w:rPr>
          <w:rFonts w:ascii="Times New Roman" w:eastAsia="Times New Roman" w:hAnsi="Times New Roman" w:cs="Times New Roman"/>
          <w:color w:val="000000"/>
          <w:sz w:val="26"/>
          <w:szCs w:val="26"/>
        </w:rPr>
        <w:t xml:space="preserve">  </w:t>
      </w:r>
      <w:r w:rsidR="000224BF" w:rsidRPr="000224BF">
        <w:rPr>
          <w:rFonts w:ascii="Times New Roman" w:hAnsi="Times New Roman" w:cs="Times New Roman"/>
          <w:sz w:val="26"/>
          <w:szCs w:val="26"/>
        </w:rPr>
        <w:t>We shall adopt and incorporate herein by reference the ALJs’ Findings of Fact</w:t>
      </w:r>
      <w:r w:rsidR="003C50B6">
        <w:rPr>
          <w:rFonts w:ascii="Times New Roman" w:hAnsi="Times New Roman" w:cs="Times New Roman"/>
          <w:sz w:val="26"/>
          <w:szCs w:val="26"/>
        </w:rPr>
        <w:t xml:space="preserve"> and Conclusions of Law,</w:t>
      </w:r>
      <w:r w:rsidR="000224BF" w:rsidRPr="000224BF">
        <w:rPr>
          <w:rFonts w:ascii="Times New Roman" w:hAnsi="Times New Roman" w:cs="Times New Roman"/>
          <w:sz w:val="26"/>
          <w:szCs w:val="26"/>
        </w:rPr>
        <w:t xml:space="preserve"> unless they are reversed or modified by this Order, either expressly or by necessary implication.</w:t>
      </w:r>
      <w:r w:rsidR="00865FDF">
        <w:rPr>
          <w:rFonts w:ascii="Times New Roman" w:hAnsi="Times New Roman" w:cs="Times New Roman"/>
          <w:sz w:val="26"/>
          <w:szCs w:val="26"/>
        </w:rPr>
        <w:t xml:space="preserve">  </w:t>
      </w:r>
    </w:p>
    <w:p w14:paraId="26DFE905" w14:textId="77777777" w:rsidR="00A724D1" w:rsidRPr="00DD5EAE" w:rsidRDefault="00A724D1" w:rsidP="00A724D1">
      <w:pPr>
        <w:spacing w:line="360" w:lineRule="auto"/>
        <w:ind w:firstLine="1440"/>
        <w:contextualSpacing/>
        <w:rPr>
          <w:rFonts w:ascii="Times New Roman" w:eastAsia="Times New Roman" w:hAnsi="Times New Roman" w:cs="Times New Roman"/>
          <w:sz w:val="26"/>
          <w:szCs w:val="26"/>
        </w:rPr>
      </w:pPr>
    </w:p>
    <w:p w14:paraId="320F0963" w14:textId="58722699" w:rsidR="008C4A0F" w:rsidRDefault="00E66A7C" w:rsidP="00CB06ED">
      <w:pPr>
        <w:spacing w:after="0" w:line="480" w:lineRule="auto"/>
        <w:ind w:firstLine="144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The pertinent Findings of Fact taken from the I.D. are reprinted below:</w:t>
      </w:r>
    </w:p>
    <w:p w14:paraId="0B6225BC" w14:textId="6C622E34" w:rsidR="00E66A7C" w:rsidRPr="00E66A7C" w:rsidRDefault="00E66A7C" w:rsidP="00E66A7C">
      <w:pPr>
        <w:jc w:val="center"/>
        <w:rPr>
          <w:rFonts w:ascii="Times New Roman" w:hAnsi="Times New Roman" w:cs="Times New Roman"/>
          <w:sz w:val="26"/>
          <w:szCs w:val="26"/>
        </w:rPr>
      </w:pPr>
      <w:r w:rsidRPr="00E66A7C">
        <w:rPr>
          <w:rFonts w:ascii="Times New Roman" w:hAnsi="Times New Roman" w:cs="Times New Roman"/>
          <w:sz w:val="26"/>
          <w:szCs w:val="26"/>
        </w:rPr>
        <w:t xml:space="preserve">*          *          *          </w:t>
      </w:r>
    </w:p>
    <w:p w14:paraId="0BD67E16" w14:textId="6D2948C5" w:rsidR="00E66A7C" w:rsidRPr="00E66A7C" w:rsidRDefault="00E66A7C" w:rsidP="00E66A7C">
      <w:pPr>
        <w:ind w:left="1440" w:right="1440"/>
        <w:rPr>
          <w:rFonts w:ascii="Times New Roman" w:hAnsi="Times New Roman" w:cs="Times New Roman"/>
          <w:sz w:val="26"/>
          <w:szCs w:val="26"/>
        </w:rPr>
      </w:pPr>
      <w:r w:rsidRPr="00E66A7C">
        <w:rPr>
          <w:rFonts w:ascii="Times New Roman" w:hAnsi="Times New Roman" w:cs="Times New Roman"/>
          <w:sz w:val="26"/>
          <w:szCs w:val="26"/>
        </w:rPr>
        <w:t xml:space="preserve">4. </w:t>
      </w:r>
      <w:r w:rsidRPr="00E66A7C">
        <w:rPr>
          <w:rFonts w:ascii="Times New Roman" w:hAnsi="Times New Roman" w:cs="Times New Roman"/>
          <w:sz w:val="26"/>
          <w:szCs w:val="26"/>
        </w:rPr>
        <w:tab/>
        <w:t xml:space="preserve">The EDCs have a long history of offering non-commodity products and services, such as surge protection and line repair programs, to their customers. EDC St. 1 at 3; OCA St. 1-R at 6. </w:t>
      </w:r>
    </w:p>
    <w:p w14:paraId="78C717CC" w14:textId="2019F518" w:rsidR="00E66A7C" w:rsidRPr="00E66A7C" w:rsidRDefault="00E66A7C" w:rsidP="00E66A7C">
      <w:pPr>
        <w:ind w:left="1440" w:right="1440"/>
        <w:rPr>
          <w:rFonts w:ascii="Times New Roman" w:hAnsi="Times New Roman" w:cs="Times New Roman"/>
          <w:sz w:val="26"/>
          <w:szCs w:val="26"/>
        </w:rPr>
      </w:pPr>
      <w:r w:rsidRPr="00E66A7C">
        <w:rPr>
          <w:rFonts w:ascii="Times New Roman" w:hAnsi="Times New Roman" w:cs="Times New Roman"/>
          <w:sz w:val="26"/>
          <w:szCs w:val="26"/>
        </w:rPr>
        <w:t xml:space="preserve">5. </w:t>
      </w:r>
      <w:r w:rsidRPr="00E66A7C">
        <w:rPr>
          <w:rFonts w:ascii="Times New Roman" w:hAnsi="Times New Roman" w:cs="Times New Roman"/>
          <w:sz w:val="26"/>
          <w:szCs w:val="26"/>
        </w:rPr>
        <w:tab/>
        <w:t xml:space="preserve">The billing capability for the EDCs’ products and services has been built into the EDCs’ SAP billing system for decades. EDC St. 1 at 2. </w:t>
      </w:r>
    </w:p>
    <w:p w14:paraId="68B18128" w14:textId="02DB648C" w:rsidR="00E66A7C" w:rsidRPr="00E66A7C" w:rsidRDefault="00E66A7C" w:rsidP="00E66A7C">
      <w:pPr>
        <w:ind w:left="1440" w:right="1440"/>
        <w:rPr>
          <w:rFonts w:ascii="Times New Roman" w:hAnsi="Times New Roman" w:cs="Times New Roman"/>
          <w:sz w:val="26"/>
          <w:szCs w:val="26"/>
        </w:rPr>
      </w:pPr>
      <w:r w:rsidRPr="00E66A7C">
        <w:rPr>
          <w:rFonts w:ascii="Times New Roman" w:hAnsi="Times New Roman" w:cs="Times New Roman"/>
          <w:sz w:val="26"/>
          <w:szCs w:val="26"/>
        </w:rPr>
        <w:t xml:space="preserve">6. </w:t>
      </w:r>
      <w:r w:rsidRPr="00E66A7C">
        <w:rPr>
          <w:rFonts w:ascii="Times New Roman" w:hAnsi="Times New Roman" w:cs="Times New Roman"/>
          <w:sz w:val="26"/>
          <w:szCs w:val="26"/>
        </w:rPr>
        <w:tab/>
        <w:t xml:space="preserve">The EDCs rely on their shared service company, First Energy Service Company, to provide administrative support for the Companies’ products and services, including billing. EDC St. 2 at 2. </w:t>
      </w:r>
    </w:p>
    <w:p w14:paraId="3CE96050" w14:textId="75E4A963" w:rsidR="00E66A7C" w:rsidRPr="00E66A7C" w:rsidRDefault="00E66A7C" w:rsidP="00E66A7C">
      <w:pPr>
        <w:ind w:left="1440" w:right="1440"/>
        <w:rPr>
          <w:rFonts w:ascii="Times New Roman" w:hAnsi="Times New Roman" w:cs="Times New Roman"/>
          <w:sz w:val="26"/>
          <w:szCs w:val="26"/>
        </w:rPr>
      </w:pPr>
      <w:r w:rsidRPr="00E66A7C">
        <w:rPr>
          <w:rFonts w:ascii="Times New Roman" w:hAnsi="Times New Roman" w:cs="Times New Roman"/>
          <w:sz w:val="26"/>
          <w:szCs w:val="26"/>
        </w:rPr>
        <w:t xml:space="preserve">7. </w:t>
      </w:r>
      <w:r w:rsidRPr="00E66A7C">
        <w:rPr>
          <w:rFonts w:ascii="Times New Roman" w:hAnsi="Times New Roman" w:cs="Times New Roman"/>
          <w:sz w:val="26"/>
          <w:szCs w:val="26"/>
        </w:rPr>
        <w:tab/>
        <w:t xml:space="preserve">Consistent with the Commission’s regulations, the EDCs’ charges are displayed as separate line items on customers’ bills, and a customer’s failure to pay for these charges may not result in electric service termination. EDC St. 1-S at 4. </w:t>
      </w:r>
    </w:p>
    <w:p w14:paraId="5FFEE5A5" w14:textId="3E56087E" w:rsidR="00E66A7C" w:rsidRPr="00E66A7C" w:rsidRDefault="00E66A7C" w:rsidP="00E66A7C">
      <w:pPr>
        <w:ind w:left="1440" w:right="1440"/>
        <w:rPr>
          <w:rFonts w:ascii="Times New Roman" w:hAnsi="Times New Roman" w:cs="Times New Roman"/>
          <w:sz w:val="26"/>
          <w:szCs w:val="26"/>
        </w:rPr>
      </w:pPr>
      <w:r w:rsidRPr="00E66A7C">
        <w:rPr>
          <w:rFonts w:ascii="Times New Roman" w:hAnsi="Times New Roman" w:cs="Times New Roman"/>
          <w:sz w:val="26"/>
          <w:szCs w:val="26"/>
        </w:rPr>
        <w:t xml:space="preserve">8. </w:t>
      </w:r>
      <w:r w:rsidRPr="00E66A7C">
        <w:rPr>
          <w:rFonts w:ascii="Times New Roman" w:hAnsi="Times New Roman" w:cs="Times New Roman"/>
          <w:sz w:val="26"/>
          <w:szCs w:val="26"/>
        </w:rPr>
        <w:tab/>
        <w:t>All costs associated with the EDCs’ products and services are below-the-line and excluded from rate recovery. EDC St. 1-S at 4.</w:t>
      </w:r>
    </w:p>
    <w:p w14:paraId="74A80065" w14:textId="6021251A" w:rsidR="00E66A7C" w:rsidRPr="00E66A7C" w:rsidRDefault="00E66A7C" w:rsidP="00E66A7C">
      <w:pPr>
        <w:ind w:left="1440" w:right="1440"/>
        <w:rPr>
          <w:rFonts w:ascii="Times New Roman" w:hAnsi="Times New Roman" w:cs="Times New Roman"/>
          <w:sz w:val="26"/>
          <w:szCs w:val="26"/>
        </w:rPr>
      </w:pPr>
      <w:r w:rsidRPr="00E66A7C">
        <w:rPr>
          <w:rFonts w:ascii="Times New Roman" w:hAnsi="Times New Roman" w:cs="Times New Roman"/>
          <w:sz w:val="26"/>
          <w:szCs w:val="26"/>
        </w:rPr>
        <w:t xml:space="preserve">9. </w:t>
      </w:r>
      <w:r w:rsidRPr="00E66A7C">
        <w:rPr>
          <w:rFonts w:ascii="Times New Roman" w:hAnsi="Times New Roman" w:cs="Times New Roman"/>
          <w:sz w:val="26"/>
          <w:szCs w:val="26"/>
        </w:rPr>
        <w:tab/>
        <w:t xml:space="preserve">The EDCs do not permit any EGS, affiliate, or other third party to include charges for their non-commodity </w:t>
      </w:r>
      <w:r w:rsidRPr="00E66A7C">
        <w:rPr>
          <w:rFonts w:ascii="Times New Roman" w:hAnsi="Times New Roman" w:cs="Times New Roman"/>
          <w:sz w:val="26"/>
          <w:szCs w:val="26"/>
        </w:rPr>
        <w:lastRenderedPageBreak/>
        <w:t>products and services on the Companies’ bills. EDC St. 1 at</w:t>
      </w:r>
      <w:r w:rsidR="00CB06ED">
        <w:rPr>
          <w:rFonts w:ascii="Times New Roman" w:hAnsi="Times New Roman" w:cs="Times New Roman"/>
          <w:sz w:val="26"/>
          <w:szCs w:val="26"/>
        </w:rPr>
        <w:t> </w:t>
      </w:r>
      <w:r w:rsidRPr="00E66A7C">
        <w:rPr>
          <w:rFonts w:ascii="Times New Roman" w:hAnsi="Times New Roman" w:cs="Times New Roman"/>
          <w:sz w:val="26"/>
          <w:szCs w:val="26"/>
        </w:rPr>
        <w:t xml:space="preserve">4-5. </w:t>
      </w:r>
    </w:p>
    <w:p w14:paraId="3FAC5056" w14:textId="256D5C62" w:rsidR="00E66A7C" w:rsidRPr="00E66A7C" w:rsidRDefault="00E66A7C" w:rsidP="00E66A7C">
      <w:pPr>
        <w:ind w:left="1440" w:right="1440"/>
        <w:rPr>
          <w:rFonts w:ascii="Times New Roman" w:hAnsi="Times New Roman" w:cs="Times New Roman"/>
          <w:sz w:val="26"/>
          <w:szCs w:val="26"/>
        </w:rPr>
      </w:pPr>
      <w:r w:rsidRPr="00E66A7C">
        <w:rPr>
          <w:rFonts w:ascii="Times New Roman" w:hAnsi="Times New Roman" w:cs="Times New Roman"/>
          <w:sz w:val="26"/>
          <w:szCs w:val="26"/>
        </w:rPr>
        <w:t xml:space="preserve">10. </w:t>
      </w:r>
      <w:r w:rsidRPr="00E66A7C">
        <w:rPr>
          <w:rFonts w:ascii="Times New Roman" w:hAnsi="Times New Roman" w:cs="Times New Roman"/>
          <w:sz w:val="26"/>
          <w:szCs w:val="26"/>
        </w:rPr>
        <w:tab/>
        <w:t xml:space="preserve">Under the EDCs’ EGS Coordination Tariffs, EGSs seeking to bill for non-commodity products and services must do so using dual billing, </w:t>
      </w:r>
      <w:r w:rsidRPr="00E66A7C">
        <w:rPr>
          <w:rFonts w:ascii="Times New Roman" w:hAnsi="Times New Roman" w:cs="Times New Roman"/>
          <w:i/>
          <w:iCs/>
          <w:sz w:val="26"/>
          <w:szCs w:val="26"/>
        </w:rPr>
        <w:t>i.e</w:t>
      </w:r>
      <w:r w:rsidRPr="00E66A7C">
        <w:rPr>
          <w:rFonts w:ascii="Times New Roman" w:hAnsi="Times New Roman" w:cs="Times New Roman"/>
          <w:sz w:val="26"/>
          <w:szCs w:val="26"/>
        </w:rPr>
        <w:t xml:space="preserve">., sending their own separate bill for these items. EDC St. 1 at 5, 9-10. </w:t>
      </w:r>
    </w:p>
    <w:p w14:paraId="2C761D6C" w14:textId="665D599B" w:rsidR="00E66A7C" w:rsidRPr="00E66A7C" w:rsidRDefault="00E66A7C" w:rsidP="00E66A7C">
      <w:pPr>
        <w:ind w:left="1440" w:right="1440"/>
        <w:rPr>
          <w:rFonts w:ascii="Times New Roman" w:hAnsi="Times New Roman" w:cs="Times New Roman"/>
          <w:sz w:val="26"/>
          <w:szCs w:val="26"/>
        </w:rPr>
      </w:pPr>
      <w:r w:rsidRPr="00E66A7C">
        <w:rPr>
          <w:rFonts w:ascii="Times New Roman" w:hAnsi="Times New Roman" w:cs="Times New Roman"/>
          <w:sz w:val="26"/>
          <w:szCs w:val="26"/>
        </w:rPr>
        <w:t xml:space="preserve">11. </w:t>
      </w:r>
      <w:r w:rsidRPr="00E66A7C">
        <w:rPr>
          <w:rFonts w:ascii="Times New Roman" w:hAnsi="Times New Roman" w:cs="Times New Roman"/>
          <w:sz w:val="26"/>
          <w:szCs w:val="26"/>
        </w:rPr>
        <w:tab/>
        <w:t xml:space="preserve">The EGSs currently send their own bills for their non-commodity products and services. EDC St. 1 at 5. </w:t>
      </w:r>
    </w:p>
    <w:p w14:paraId="4A537766" w14:textId="77777777" w:rsidR="00E66A7C" w:rsidRPr="00E66A7C" w:rsidRDefault="00E66A7C" w:rsidP="00E66A7C">
      <w:pPr>
        <w:ind w:left="1440" w:right="1440"/>
        <w:rPr>
          <w:rFonts w:ascii="Times New Roman" w:hAnsi="Times New Roman" w:cs="Times New Roman"/>
          <w:sz w:val="26"/>
          <w:szCs w:val="26"/>
        </w:rPr>
      </w:pPr>
      <w:r w:rsidRPr="00E66A7C">
        <w:rPr>
          <w:rFonts w:ascii="Times New Roman" w:hAnsi="Times New Roman" w:cs="Times New Roman"/>
          <w:sz w:val="26"/>
          <w:szCs w:val="26"/>
        </w:rPr>
        <w:t xml:space="preserve">12. </w:t>
      </w:r>
      <w:r w:rsidRPr="00E66A7C">
        <w:rPr>
          <w:rFonts w:ascii="Times New Roman" w:hAnsi="Times New Roman" w:cs="Times New Roman"/>
          <w:sz w:val="26"/>
          <w:szCs w:val="26"/>
        </w:rPr>
        <w:tab/>
        <w:t xml:space="preserve">The EDCs’ current practice allows the EDCs’ affiliates to bill for unregulated and non-commodity services and products on its regulated bill for essential distribution and commodity services. EDC St. 1 at 3. </w:t>
      </w:r>
    </w:p>
    <w:p w14:paraId="477765DC" w14:textId="63B00ED6" w:rsidR="00E66A7C" w:rsidRPr="00E66A7C" w:rsidRDefault="00E66A7C" w:rsidP="00E66A7C">
      <w:pPr>
        <w:ind w:left="1440" w:right="1440"/>
        <w:rPr>
          <w:rFonts w:ascii="Times New Roman" w:hAnsi="Times New Roman" w:cs="Times New Roman"/>
          <w:sz w:val="26"/>
          <w:szCs w:val="26"/>
        </w:rPr>
      </w:pPr>
      <w:r w:rsidRPr="00E66A7C">
        <w:rPr>
          <w:rFonts w:ascii="Times New Roman" w:hAnsi="Times New Roman" w:cs="Times New Roman"/>
          <w:sz w:val="26"/>
          <w:szCs w:val="26"/>
        </w:rPr>
        <w:t xml:space="preserve">13. </w:t>
      </w:r>
      <w:r w:rsidRPr="00E66A7C">
        <w:rPr>
          <w:rFonts w:ascii="Times New Roman" w:hAnsi="Times New Roman" w:cs="Times New Roman"/>
          <w:sz w:val="26"/>
          <w:szCs w:val="26"/>
        </w:rPr>
        <w:tab/>
        <w:t xml:space="preserve">There are currently no tariffs or Commission orders permitting EGSs to participate in non-commodity billing practices. OCA St. 1-R at 12. </w:t>
      </w:r>
    </w:p>
    <w:p w14:paraId="67FB83CA" w14:textId="535F0883" w:rsidR="00E66A7C" w:rsidRPr="00E66A7C" w:rsidRDefault="00E66A7C" w:rsidP="00E66A7C">
      <w:pPr>
        <w:ind w:left="1440" w:right="1440"/>
        <w:rPr>
          <w:rFonts w:ascii="Times New Roman" w:hAnsi="Times New Roman" w:cs="Times New Roman"/>
          <w:sz w:val="26"/>
          <w:szCs w:val="26"/>
        </w:rPr>
      </w:pPr>
      <w:r w:rsidRPr="00E66A7C">
        <w:rPr>
          <w:rFonts w:ascii="Times New Roman" w:hAnsi="Times New Roman" w:cs="Times New Roman"/>
          <w:sz w:val="26"/>
          <w:szCs w:val="26"/>
        </w:rPr>
        <w:t xml:space="preserve">14. </w:t>
      </w:r>
      <w:r w:rsidRPr="00E66A7C">
        <w:rPr>
          <w:rFonts w:ascii="Times New Roman" w:hAnsi="Times New Roman" w:cs="Times New Roman"/>
          <w:sz w:val="26"/>
          <w:szCs w:val="26"/>
        </w:rPr>
        <w:tab/>
        <w:t xml:space="preserve">Neither the prices nor the terms and conditions for the non-commodity items currently allowed on the EDCs’ bills are regulated. OCA St. 1-R at 3. </w:t>
      </w:r>
    </w:p>
    <w:p w14:paraId="2CAB5D41" w14:textId="03CE52DD" w:rsidR="00E66A7C" w:rsidRPr="00E66A7C" w:rsidRDefault="00E66A7C" w:rsidP="00E66A7C">
      <w:pPr>
        <w:jc w:val="center"/>
        <w:rPr>
          <w:rFonts w:ascii="Times New Roman" w:hAnsi="Times New Roman" w:cs="Times New Roman"/>
          <w:sz w:val="26"/>
          <w:szCs w:val="26"/>
        </w:rPr>
      </w:pPr>
      <w:r w:rsidRPr="00E66A7C">
        <w:rPr>
          <w:rFonts w:ascii="Times New Roman" w:hAnsi="Times New Roman" w:cs="Times New Roman"/>
          <w:sz w:val="26"/>
          <w:szCs w:val="26"/>
        </w:rPr>
        <w:t xml:space="preserve">*          *          *         </w:t>
      </w:r>
    </w:p>
    <w:p w14:paraId="4482245E" w14:textId="471D6D1D" w:rsidR="00E66A7C" w:rsidRPr="00E66A7C" w:rsidRDefault="00E66A7C" w:rsidP="00E66A7C">
      <w:pPr>
        <w:ind w:left="1440" w:right="1440"/>
        <w:rPr>
          <w:rFonts w:ascii="Times New Roman" w:hAnsi="Times New Roman" w:cs="Times New Roman"/>
          <w:sz w:val="26"/>
          <w:szCs w:val="26"/>
        </w:rPr>
      </w:pPr>
      <w:r w:rsidRPr="00E66A7C">
        <w:rPr>
          <w:rFonts w:ascii="Times New Roman" w:hAnsi="Times New Roman" w:cs="Times New Roman"/>
          <w:sz w:val="26"/>
          <w:szCs w:val="26"/>
        </w:rPr>
        <w:t xml:space="preserve">16. </w:t>
      </w:r>
      <w:r w:rsidRPr="00E66A7C">
        <w:rPr>
          <w:rFonts w:ascii="Times New Roman" w:hAnsi="Times New Roman" w:cs="Times New Roman"/>
          <w:sz w:val="26"/>
          <w:szCs w:val="26"/>
        </w:rPr>
        <w:tab/>
        <w:t xml:space="preserve">Many entities offer the types of services that the EDCs’ affiliates offer, only some of which are EGSs. OCA St. 1-R at 12. </w:t>
      </w:r>
    </w:p>
    <w:p w14:paraId="75BB0A2B" w14:textId="7CDF63B1" w:rsidR="00E66A7C" w:rsidRPr="00E66A7C" w:rsidRDefault="00E66A7C" w:rsidP="00E66A7C">
      <w:pPr>
        <w:jc w:val="center"/>
        <w:rPr>
          <w:rFonts w:ascii="Times New Roman" w:hAnsi="Times New Roman" w:cs="Times New Roman"/>
          <w:sz w:val="26"/>
          <w:szCs w:val="26"/>
        </w:rPr>
      </w:pPr>
      <w:r w:rsidRPr="00E66A7C">
        <w:rPr>
          <w:rFonts w:ascii="Times New Roman" w:hAnsi="Times New Roman" w:cs="Times New Roman"/>
          <w:sz w:val="26"/>
          <w:szCs w:val="26"/>
        </w:rPr>
        <w:t xml:space="preserve">*          *          *          </w:t>
      </w:r>
    </w:p>
    <w:p w14:paraId="2381FC5F" w14:textId="2C6F8DAF" w:rsidR="00E66A7C" w:rsidRPr="00E66A7C" w:rsidRDefault="00E66A7C" w:rsidP="00CB06ED">
      <w:pPr>
        <w:spacing w:after="0"/>
        <w:ind w:left="1440" w:right="1440"/>
        <w:rPr>
          <w:rFonts w:ascii="Times New Roman" w:hAnsi="Times New Roman" w:cs="Times New Roman"/>
          <w:sz w:val="26"/>
          <w:szCs w:val="26"/>
        </w:rPr>
      </w:pPr>
      <w:r w:rsidRPr="00E66A7C">
        <w:rPr>
          <w:rFonts w:ascii="Times New Roman" w:hAnsi="Times New Roman" w:cs="Times New Roman"/>
          <w:sz w:val="26"/>
          <w:szCs w:val="26"/>
        </w:rPr>
        <w:t xml:space="preserve">19. </w:t>
      </w:r>
      <w:r w:rsidR="00C06BDC">
        <w:rPr>
          <w:rFonts w:ascii="Times New Roman" w:hAnsi="Times New Roman" w:cs="Times New Roman"/>
          <w:sz w:val="26"/>
          <w:szCs w:val="26"/>
        </w:rPr>
        <w:tab/>
      </w:r>
      <w:r w:rsidRPr="00E66A7C">
        <w:rPr>
          <w:rFonts w:ascii="Times New Roman" w:hAnsi="Times New Roman" w:cs="Times New Roman"/>
          <w:sz w:val="26"/>
          <w:szCs w:val="26"/>
        </w:rPr>
        <w:t>The EGSs’ proposal to allow EGSs to include non-commodity charges on the EDCs’ utility bills raises complex consumer protection issues. OCA St. 1-R at 17.</w:t>
      </w:r>
    </w:p>
    <w:p w14:paraId="7C45BD9C" w14:textId="77777777" w:rsidR="00CB06ED" w:rsidRDefault="00CB06ED" w:rsidP="00CB06ED">
      <w:pPr>
        <w:spacing w:after="0" w:line="360" w:lineRule="auto"/>
        <w:rPr>
          <w:rFonts w:ascii="Times New Roman" w:hAnsi="Times New Roman" w:cs="Times New Roman"/>
          <w:sz w:val="26"/>
          <w:szCs w:val="26"/>
        </w:rPr>
      </w:pPr>
    </w:p>
    <w:p w14:paraId="4CBB9FF4" w14:textId="22F7174E" w:rsidR="00E66A7C" w:rsidRPr="00E66A7C" w:rsidRDefault="00E66A7C" w:rsidP="00CB06ED">
      <w:pPr>
        <w:spacing w:after="0" w:line="360" w:lineRule="auto"/>
        <w:rPr>
          <w:rFonts w:ascii="Times New Roman" w:hAnsi="Times New Roman" w:cs="Times New Roman"/>
          <w:sz w:val="26"/>
          <w:szCs w:val="26"/>
        </w:rPr>
      </w:pPr>
      <w:r w:rsidRPr="00E66A7C">
        <w:rPr>
          <w:rFonts w:ascii="Times New Roman" w:hAnsi="Times New Roman" w:cs="Times New Roman"/>
          <w:sz w:val="26"/>
          <w:szCs w:val="26"/>
        </w:rPr>
        <w:t>I.D. at 5-7.</w:t>
      </w:r>
    </w:p>
    <w:p w14:paraId="73A50F0B" w14:textId="77777777" w:rsidR="00E66A7C" w:rsidRDefault="00E66A7C" w:rsidP="00CB06ED">
      <w:pPr>
        <w:spacing w:after="0" w:line="360" w:lineRule="auto"/>
        <w:ind w:firstLine="1440"/>
        <w:rPr>
          <w:rFonts w:ascii="Times New Roman" w:eastAsia="Times New Roman" w:hAnsi="Times New Roman" w:cs="Times New Roman"/>
          <w:color w:val="000000"/>
          <w:sz w:val="26"/>
          <w:szCs w:val="26"/>
        </w:rPr>
      </w:pPr>
    </w:p>
    <w:p w14:paraId="136C4EED" w14:textId="4E0A5C74" w:rsidR="00115129" w:rsidRPr="00115129" w:rsidRDefault="00A724D1" w:rsidP="00CB06ED">
      <w:pPr>
        <w:spacing w:after="0" w:line="360" w:lineRule="auto"/>
        <w:ind w:firstLine="144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Based upon the Findings of Fact, t</w:t>
      </w:r>
      <w:r w:rsidR="00115129" w:rsidRPr="00115129">
        <w:rPr>
          <w:rFonts w:ascii="Times New Roman" w:eastAsia="Times New Roman" w:hAnsi="Times New Roman" w:cs="Times New Roman"/>
          <w:color w:val="000000"/>
          <w:sz w:val="26"/>
          <w:szCs w:val="26"/>
        </w:rPr>
        <w:t>he ALJ agreed with the EGSs that the undisputed facts</w:t>
      </w:r>
      <w:r>
        <w:rPr>
          <w:rFonts w:ascii="Times New Roman" w:eastAsia="Times New Roman" w:hAnsi="Times New Roman" w:cs="Times New Roman"/>
          <w:color w:val="000000"/>
          <w:sz w:val="26"/>
          <w:szCs w:val="26"/>
        </w:rPr>
        <w:t xml:space="preserve"> </w:t>
      </w:r>
      <w:r w:rsidR="00233F8A">
        <w:rPr>
          <w:rFonts w:ascii="Times New Roman" w:eastAsia="Times New Roman" w:hAnsi="Times New Roman" w:cs="Times New Roman"/>
          <w:color w:val="000000"/>
          <w:sz w:val="26"/>
          <w:szCs w:val="26"/>
        </w:rPr>
        <w:t xml:space="preserve">regarding </w:t>
      </w:r>
      <w:r w:rsidR="00115129" w:rsidRPr="00115129">
        <w:rPr>
          <w:rFonts w:ascii="Times New Roman" w:eastAsia="Times New Roman" w:hAnsi="Times New Roman" w:cs="Times New Roman"/>
          <w:color w:val="000000"/>
          <w:sz w:val="26"/>
          <w:szCs w:val="26"/>
        </w:rPr>
        <w:t xml:space="preserve">the EDCs’ provision of </w:t>
      </w:r>
      <w:r w:rsidR="003D0692">
        <w:rPr>
          <w:rFonts w:ascii="Times New Roman" w:eastAsia="Times New Roman" w:hAnsi="Times New Roman" w:cs="Times New Roman"/>
          <w:color w:val="000000"/>
          <w:sz w:val="26"/>
          <w:szCs w:val="26"/>
        </w:rPr>
        <w:t>“</w:t>
      </w:r>
      <w:r w:rsidR="00115129" w:rsidRPr="00115129">
        <w:rPr>
          <w:rFonts w:ascii="Times New Roman" w:eastAsia="Times New Roman" w:hAnsi="Times New Roman" w:cs="Times New Roman"/>
          <w:color w:val="000000"/>
          <w:sz w:val="26"/>
          <w:szCs w:val="26"/>
        </w:rPr>
        <w:t>on-bill billing</w:t>
      </w:r>
      <w:r w:rsidR="003D0692">
        <w:rPr>
          <w:rFonts w:ascii="Times New Roman" w:eastAsia="Times New Roman" w:hAnsi="Times New Roman" w:cs="Times New Roman"/>
          <w:color w:val="000000"/>
          <w:sz w:val="26"/>
          <w:szCs w:val="26"/>
        </w:rPr>
        <w:t>”</w:t>
      </w:r>
      <w:r w:rsidR="00115129" w:rsidRPr="00115129">
        <w:rPr>
          <w:rFonts w:ascii="Times New Roman" w:eastAsia="Times New Roman" w:hAnsi="Times New Roman" w:cs="Times New Roman"/>
          <w:color w:val="000000"/>
          <w:sz w:val="26"/>
          <w:szCs w:val="26"/>
        </w:rPr>
        <w:t xml:space="preserve"> for the non-commodity goods and services which they themselves provide, while refusing to offer </w:t>
      </w:r>
      <w:r w:rsidR="004F575A">
        <w:rPr>
          <w:rFonts w:ascii="Times New Roman" w:eastAsia="Times New Roman" w:hAnsi="Times New Roman" w:cs="Times New Roman"/>
          <w:color w:val="000000"/>
          <w:sz w:val="26"/>
          <w:szCs w:val="26"/>
        </w:rPr>
        <w:t>“</w:t>
      </w:r>
      <w:r w:rsidR="00115129" w:rsidRPr="00115129">
        <w:rPr>
          <w:rFonts w:ascii="Times New Roman" w:eastAsia="Times New Roman" w:hAnsi="Times New Roman" w:cs="Times New Roman"/>
          <w:color w:val="000000"/>
          <w:sz w:val="26"/>
          <w:szCs w:val="26"/>
        </w:rPr>
        <w:t>on-bill billing</w:t>
      </w:r>
      <w:r w:rsidR="004F575A">
        <w:rPr>
          <w:rFonts w:ascii="Times New Roman" w:eastAsia="Times New Roman" w:hAnsi="Times New Roman" w:cs="Times New Roman"/>
          <w:color w:val="000000"/>
          <w:sz w:val="26"/>
          <w:szCs w:val="26"/>
        </w:rPr>
        <w:t>”</w:t>
      </w:r>
      <w:r w:rsidR="00115129" w:rsidRPr="00115129">
        <w:rPr>
          <w:rFonts w:ascii="Times New Roman" w:eastAsia="Times New Roman" w:hAnsi="Times New Roman" w:cs="Times New Roman"/>
          <w:color w:val="000000"/>
          <w:sz w:val="26"/>
          <w:szCs w:val="26"/>
        </w:rPr>
        <w:t xml:space="preserve"> to the EGSs for the non-commodity goods and services offered by the </w:t>
      </w:r>
      <w:r w:rsidR="00115129" w:rsidRPr="00115129">
        <w:rPr>
          <w:rFonts w:ascii="Times New Roman" w:eastAsia="Times New Roman" w:hAnsi="Times New Roman" w:cs="Times New Roman"/>
          <w:color w:val="000000"/>
          <w:sz w:val="26"/>
          <w:szCs w:val="26"/>
        </w:rPr>
        <w:lastRenderedPageBreak/>
        <w:t xml:space="preserve">EGSs, constituted discrimination in service under both Sections 1502 and 2804(6) of the Code.  The ALJ concluded that, in the circumstances, the EDCs were required to provide the EGSs </w:t>
      </w:r>
      <w:r w:rsidR="004F575A">
        <w:rPr>
          <w:rFonts w:ascii="Times New Roman" w:eastAsia="Times New Roman" w:hAnsi="Times New Roman" w:cs="Times New Roman"/>
          <w:color w:val="000000"/>
          <w:sz w:val="26"/>
          <w:szCs w:val="26"/>
        </w:rPr>
        <w:t>with “</w:t>
      </w:r>
      <w:r w:rsidR="00115129" w:rsidRPr="00115129">
        <w:rPr>
          <w:rFonts w:ascii="Times New Roman" w:eastAsia="Times New Roman" w:hAnsi="Times New Roman" w:cs="Times New Roman"/>
          <w:color w:val="000000"/>
          <w:sz w:val="26"/>
          <w:szCs w:val="26"/>
        </w:rPr>
        <w:t>on-bill billing</w:t>
      </w:r>
      <w:r w:rsidR="004F575A">
        <w:rPr>
          <w:rFonts w:ascii="Times New Roman" w:eastAsia="Times New Roman" w:hAnsi="Times New Roman" w:cs="Times New Roman"/>
          <w:color w:val="000000"/>
          <w:sz w:val="26"/>
          <w:szCs w:val="26"/>
        </w:rPr>
        <w:t>”</w:t>
      </w:r>
      <w:r w:rsidR="00115129" w:rsidRPr="00115129">
        <w:rPr>
          <w:rFonts w:ascii="Times New Roman" w:eastAsia="Times New Roman" w:hAnsi="Times New Roman" w:cs="Times New Roman"/>
          <w:color w:val="000000"/>
          <w:sz w:val="26"/>
          <w:szCs w:val="26"/>
        </w:rPr>
        <w:t xml:space="preserve"> for the non-commodity goods and services offered by the EGSs, in the same manner that the E</w:t>
      </w:r>
      <w:r w:rsidR="004F575A">
        <w:rPr>
          <w:rFonts w:ascii="Times New Roman" w:eastAsia="Times New Roman" w:hAnsi="Times New Roman" w:cs="Times New Roman"/>
          <w:color w:val="000000"/>
          <w:sz w:val="26"/>
          <w:szCs w:val="26"/>
        </w:rPr>
        <w:t>DCs</w:t>
      </w:r>
      <w:r w:rsidR="00115129" w:rsidRPr="00115129">
        <w:rPr>
          <w:rFonts w:ascii="Times New Roman" w:eastAsia="Times New Roman" w:hAnsi="Times New Roman" w:cs="Times New Roman"/>
          <w:color w:val="000000"/>
          <w:sz w:val="26"/>
          <w:szCs w:val="26"/>
        </w:rPr>
        <w:t xml:space="preserve"> provided </w:t>
      </w:r>
      <w:r w:rsidR="004F575A">
        <w:rPr>
          <w:rFonts w:ascii="Times New Roman" w:eastAsia="Times New Roman" w:hAnsi="Times New Roman" w:cs="Times New Roman"/>
          <w:color w:val="000000"/>
          <w:sz w:val="26"/>
          <w:szCs w:val="26"/>
        </w:rPr>
        <w:t>“</w:t>
      </w:r>
      <w:r w:rsidR="00115129" w:rsidRPr="00115129">
        <w:rPr>
          <w:rFonts w:ascii="Times New Roman" w:eastAsia="Times New Roman" w:hAnsi="Times New Roman" w:cs="Times New Roman"/>
          <w:color w:val="000000"/>
          <w:sz w:val="26"/>
          <w:szCs w:val="26"/>
        </w:rPr>
        <w:t>on-billing</w:t>
      </w:r>
      <w:r w:rsidR="004F575A">
        <w:rPr>
          <w:rFonts w:ascii="Times New Roman" w:eastAsia="Times New Roman" w:hAnsi="Times New Roman" w:cs="Times New Roman"/>
          <w:color w:val="000000"/>
          <w:sz w:val="26"/>
          <w:szCs w:val="26"/>
        </w:rPr>
        <w:t>”</w:t>
      </w:r>
      <w:r w:rsidR="00115129" w:rsidRPr="00115129">
        <w:rPr>
          <w:rFonts w:ascii="Times New Roman" w:eastAsia="Times New Roman" w:hAnsi="Times New Roman" w:cs="Times New Roman"/>
          <w:color w:val="000000"/>
          <w:sz w:val="26"/>
          <w:szCs w:val="26"/>
        </w:rPr>
        <w:t xml:space="preserve"> for their own non-commodity goods and services.  </w:t>
      </w:r>
    </w:p>
    <w:p w14:paraId="3D1C95AB" w14:textId="77777777" w:rsidR="00115129" w:rsidRPr="00115129" w:rsidRDefault="00115129" w:rsidP="00115129">
      <w:pPr>
        <w:spacing w:after="0" w:line="360" w:lineRule="auto"/>
        <w:rPr>
          <w:rFonts w:ascii="Times New Roman" w:eastAsia="Times New Roman" w:hAnsi="Times New Roman" w:cs="Times New Roman"/>
          <w:color w:val="000000"/>
          <w:sz w:val="26"/>
          <w:szCs w:val="26"/>
          <w:highlight w:val="yellow"/>
        </w:rPr>
      </w:pPr>
    </w:p>
    <w:p w14:paraId="0CA6841C" w14:textId="652AF885" w:rsidR="00115129" w:rsidRPr="00115129" w:rsidRDefault="00115129" w:rsidP="00115129">
      <w:pPr>
        <w:spacing w:after="0" w:line="360" w:lineRule="auto"/>
        <w:ind w:firstLine="1440"/>
        <w:rPr>
          <w:rFonts w:ascii="Times New Roman" w:eastAsia="Times New Roman" w:hAnsi="Times New Roman" w:cs="Times New Roman"/>
          <w:color w:val="000000"/>
          <w:sz w:val="26"/>
          <w:szCs w:val="26"/>
        </w:rPr>
      </w:pPr>
      <w:r w:rsidRPr="00115129">
        <w:rPr>
          <w:rFonts w:ascii="Times New Roman" w:eastAsia="Times New Roman" w:hAnsi="Times New Roman" w:cs="Times New Roman"/>
          <w:color w:val="000000"/>
          <w:sz w:val="26"/>
          <w:szCs w:val="26"/>
        </w:rPr>
        <w:t xml:space="preserve">The ALJ’s analysis turned, first, upon the conclusion that the EDCs’ provision of </w:t>
      </w:r>
      <w:r w:rsidR="006E2F65">
        <w:rPr>
          <w:rFonts w:ascii="Times New Roman" w:eastAsia="Times New Roman" w:hAnsi="Times New Roman" w:cs="Times New Roman"/>
          <w:color w:val="000000"/>
          <w:sz w:val="26"/>
          <w:szCs w:val="26"/>
        </w:rPr>
        <w:t>“</w:t>
      </w:r>
      <w:r w:rsidRPr="00115129">
        <w:rPr>
          <w:rFonts w:ascii="Times New Roman" w:eastAsia="Times New Roman" w:hAnsi="Times New Roman" w:cs="Times New Roman"/>
          <w:color w:val="000000"/>
          <w:sz w:val="26"/>
          <w:szCs w:val="26"/>
        </w:rPr>
        <w:t>on-bill billing</w:t>
      </w:r>
      <w:r w:rsidR="006E2F65">
        <w:rPr>
          <w:rFonts w:ascii="Times New Roman" w:eastAsia="Times New Roman" w:hAnsi="Times New Roman" w:cs="Times New Roman"/>
          <w:color w:val="000000"/>
          <w:sz w:val="26"/>
          <w:szCs w:val="26"/>
        </w:rPr>
        <w:t>”</w:t>
      </w:r>
      <w:r w:rsidRPr="00115129">
        <w:rPr>
          <w:rFonts w:ascii="Times New Roman" w:eastAsia="Times New Roman" w:hAnsi="Times New Roman" w:cs="Times New Roman"/>
          <w:color w:val="000000"/>
          <w:sz w:val="26"/>
          <w:szCs w:val="26"/>
        </w:rPr>
        <w:t xml:space="preserve"> for non-commodity goods and services for themselves and </w:t>
      </w:r>
      <w:r w:rsidRPr="00115129">
        <w:rPr>
          <w:rFonts w:ascii="Times New Roman" w:eastAsia="Times New Roman" w:hAnsi="Times New Roman" w:cs="Times New Roman"/>
          <w:i/>
          <w:iCs/>
          <w:color w:val="000000"/>
          <w:sz w:val="26"/>
          <w:szCs w:val="26"/>
        </w:rPr>
        <w:t>not</w:t>
      </w:r>
      <w:r w:rsidRPr="00115129">
        <w:rPr>
          <w:rFonts w:ascii="Times New Roman" w:eastAsia="Times New Roman" w:hAnsi="Times New Roman" w:cs="Times New Roman"/>
          <w:color w:val="000000"/>
          <w:sz w:val="26"/>
          <w:szCs w:val="26"/>
        </w:rPr>
        <w:t xml:space="preserve"> the EGSs constituted “discrimination,” in the most general sense, citing a dictionary definition of the term.  I.D. at 12.  The ALJ stated: </w:t>
      </w:r>
    </w:p>
    <w:p w14:paraId="6B26E87B" w14:textId="77777777" w:rsidR="00115129" w:rsidRPr="00115129" w:rsidRDefault="00115129" w:rsidP="00CB06ED">
      <w:pPr>
        <w:spacing w:after="0" w:line="240" w:lineRule="auto"/>
        <w:rPr>
          <w:rFonts w:ascii="Times New Roman" w:eastAsia="Times New Roman" w:hAnsi="Times New Roman" w:cs="Times New Roman"/>
          <w:color w:val="000000"/>
          <w:sz w:val="26"/>
          <w:szCs w:val="26"/>
          <w:highlight w:val="yellow"/>
        </w:rPr>
      </w:pPr>
    </w:p>
    <w:p w14:paraId="4EB1AD5F" w14:textId="77777777" w:rsidR="00115129" w:rsidRPr="00115129" w:rsidRDefault="00115129" w:rsidP="00115129">
      <w:pPr>
        <w:spacing w:after="0" w:line="240" w:lineRule="auto"/>
        <w:ind w:left="1440" w:right="1440"/>
        <w:rPr>
          <w:rFonts w:ascii="Times New Roman" w:eastAsia="Times New Roman" w:hAnsi="Times New Roman" w:cs="Times New Roman"/>
          <w:color w:val="000000"/>
          <w:sz w:val="26"/>
          <w:szCs w:val="26"/>
          <w:highlight w:val="yellow"/>
        </w:rPr>
      </w:pPr>
      <w:r w:rsidRPr="00115129">
        <w:rPr>
          <w:rFonts w:ascii="Times New Roman" w:hAnsi="Times New Roman" w:cs="Times New Roman"/>
          <w:sz w:val="26"/>
          <w:szCs w:val="26"/>
        </w:rPr>
        <w:t xml:space="preserve">Here, the EDCs are treating entities other than </w:t>
      </w:r>
      <w:proofErr w:type="gramStart"/>
      <w:r w:rsidRPr="00115129">
        <w:rPr>
          <w:rFonts w:ascii="Times New Roman" w:hAnsi="Times New Roman" w:cs="Times New Roman"/>
          <w:sz w:val="26"/>
          <w:szCs w:val="26"/>
        </w:rPr>
        <w:t>themselves</w:t>
      </w:r>
      <w:proofErr w:type="gramEnd"/>
      <w:r w:rsidRPr="00115129">
        <w:rPr>
          <w:rFonts w:ascii="Times New Roman" w:hAnsi="Times New Roman" w:cs="Times New Roman"/>
          <w:sz w:val="26"/>
          <w:szCs w:val="26"/>
        </w:rPr>
        <w:t xml:space="preserve"> and their affiliates differently than they treat themselves or their affiliates based on the group, class or category to which they belong, rather than on merit, by not allowing the EGSs to have access to on-bill billing for their non-commodity non-basic products and services.</w:t>
      </w:r>
    </w:p>
    <w:p w14:paraId="68B70C51" w14:textId="77777777" w:rsidR="006B137C" w:rsidRDefault="006B137C" w:rsidP="00115129">
      <w:pPr>
        <w:spacing w:after="0" w:line="360" w:lineRule="auto"/>
        <w:rPr>
          <w:rFonts w:ascii="Times New Roman" w:eastAsia="Times New Roman" w:hAnsi="Times New Roman" w:cs="Times New Roman"/>
          <w:i/>
          <w:iCs/>
          <w:color w:val="000000"/>
          <w:sz w:val="26"/>
          <w:szCs w:val="26"/>
        </w:rPr>
      </w:pPr>
    </w:p>
    <w:p w14:paraId="74C45C48" w14:textId="1F2C2051" w:rsidR="00115129" w:rsidRPr="00115129" w:rsidRDefault="00115129" w:rsidP="00115129">
      <w:pPr>
        <w:spacing w:after="0" w:line="360" w:lineRule="auto"/>
        <w:rPr>
          <w:rFonts w:ascii="Times New Roman" w:eastAsia="Times New Roman" w:hAnsi="Times New Roman" w:cs="Times New Roman"/>
          <w:color w:val="000000"/>
          <w:sz w:val="26"/>
          <w:szCs w:val="26"/>
        </w:rPr>
      </w:pPr>
      <w:r w:rsidRPr="00115129">
        <w:rPr>
          <w:rFonts w:ascii="Times New Roman" w:eastAsia="Times New Roman" w:hAnsi="Times New Roman" w:cs="Times New Roman"/>
          <w:i/>
          <w:iCs/>
          <w:color w:val="000000"/>
          <w:sz w:val="26"/>
          <w:szCs w:val="26"/>
        </w:rPr>
        <w:t>Id</w:t>
      </w:r>
      <w:r w:rsidRPr="00115129">
        <w:rPr>
          <w:rFonts w:ascii="Times New Roman" w:eastAsia="Times New Roman" w:hAnsi="Times New Roman" w:cs="Times New Roman"/>
          <w:color w:val="000000"/>
          <w:sz w:val="26"/>
          <w:szCs w:val="26"/>
        </w:rPr>
        <w:t>.</w:t>
      </w:r>
      <w:r w:rsidR="006B137C">
        <w:rPr>
          <w:rFonts w:ascii="Times New Roman" w:eastAsia="Times New Roman" w:hAnsi="Times New Roman" w:cs="Times New Roman"/>
          <w:color w:val="000000"/>
          <w:sz w:val="26"/>
          <w:szCs w:val="26"/>
        </w:rPr>
        <w:t xml:space="preserve">  </w:t>
      </w:r>
      <w:r w:rsidRPr="00115129">
        <w:rPr>
          <w:rFonts w:ascii="Times New Roman" w:eastAsia="Times New Roman" w:hAnsi="Times New Roman" w:cs="Times New Roman"/>
          <w:color w:val="000000"/>
          <w:sz w:val="26"/>
          <w:szCs w:val="26"/>
        </w:rPr>
        <w:t>Therefore, based upon a general definition of “discrimination” the ALJ expressly concluded that where the EDCs</w:t>
      </w:r>
      <w:r w:rsidR="000B6352">
        <w:rPr>
          <w:rFonts w:ascii="Times New Roman" w:eastAsia="Times New Roman" w:hAnsi="Times New Roman" w:cs="Times New Roman"/>
          <w:color w:val="000000"/>
          <w:sz w:val="26"/>
          <w:szCs w:val="26"/>
        </w:rPr>
        <w:t>’</w:t>
      </w:r>
      <w:r w:rsidRPr="00115129">
        <w:rPr>
          <w:rFonts w:ascii="Times New Roman" w:eastAsia="Times New Roman" w:hAnsi="Times New Roman" w:cs="Times New Roman"/>
          <w:color w:val="000000"/>
          <w:sz w:val="26"/>
          <w:szCs w:val="26"/>
        </w:rPr>
        <w:t xml:space="preserve"> practices, in this </w:t>
      </w:r>
      <w:r w:rsidR="00203849">
        <w:rPr>
          <w:rFonts w:ascii="Times New Roman" w:eastAsia="Times New Roman" w:hAnsi="Times New Roman" w:cs="Times New Roman"/>
          <w:color w:val="000000"/>
          <w:sz w:val="26"/>
          <w:szCs w:val="26"/>
        </w:rPr>
        <w:t>instance</w:t>
      </w:r>
      <w:r w:rsidRPr="00115129">
        <w:rPr>
          <w:rFonts w:ascii="Times New Roman" w:eastAsia="Times New Roman" w:hAnsi="Times New Roman" w:cs="Times New Roman"/>
          <w:color w:val="000000"/>
          <w:sz w:val="26"/>
          <w:szCs w:val="26"/>
        </w:rPr>
        <w:t xml:space="preserve">, billing, draws a distinction between itself and any other entity, </w:t>
      </w:r>
      <w:r w:rsidR="000B6352">
        <w:rPr>
          <w:rFonts w:ascii="Times New Roman" w:eastAsia="Times New Roman" w:hAnsi="Times New Roman" w:cs="Times New Roman"/>
          <w:color w:val="000000"/>
          <w:sz w:val="26"/>
          <w:szCs w:val="26"/>
        </w:rPr>
        <w:t>here</w:t>
      </w:r>
      <w:r w:rsidRPr="00115129">
        <w:rPr>
          <w:rFonts w:ascii="Times New Roman" w:eastAsia="Times New Roman" w:hAnsi="Times New Roman" w:cs="Times New Roman"/>
          <w:color w:val="000000"/>
          <w:sz w:val="26"/>
          <w:szCs w:val="26"/>
        </w:rPr>
        <w:t xml:space="preserve"> the EGSs, based on “the group, class or category to which they belong, rather than on merit</w:t>
      </w:r>
      <w:r w:rsidR="00555BD4">
        <w:rPr>
          <w:rFonts w:ascii="Times New Roman" w:eastAsia="Times New Roman" w:hAnsi="Times New Roman" w:cs="Times New Roman"/>
          <w:color w:val="000000"/>
          <w:sz w:val="26"/>
          <w:szCs w:val="26"/>
        </w:rPr>
        <w:t>,</w:t>
      </w:r>
      <w:r w:rsidRPr="00115129">
        <w:rPr>
          <w:rFonts w:ascii="Times New Roman" w:eastAsia="Times New Roman" w:hAnsi="Times New Roman" w:cs="Times New Roman"/>
          <w:color w:val="000000"/>
          <w:sz w:val="26"/>
          <w:szCs w:val="26"/>
        </w:rPr>
        <w:t xml:space="preserve">” the </w:t>
      </w:r>
      <w:r w:rsidR="008B5BEB">
        <w:rPr>
          <w:rFonts w:ascii="Times New Roman" w:eastAsia="Times New Roman" w:hAnsi="Times New Roman" w:cs="Times New Roman"/>
          <w:color w:val="000000"/>
          <w:sz w:val="26"/>
          <w:szCs w:val="26"/>
        </w:rPr>
        <w:t>EDCs’</w:t>
      </w:r>
      <w:r w:rsidRPr="00115129">
        <w:rPr>
          <w:rFonts w:ascii="Times New Roman" w:eastAsia="Times New Roman" w:hAnsi="Times New Roman" w:cs="Times New Roman"/>
          <w:color w:val="000000"/>
          <w:sz w:val="26"/>
          <w:szCs w:val="26"/>
        </w:rPr>
        <w:t xml:space="preserve">’ practice is discriminatory. </w:t>
      </w:r>
    </w:p>
    <w:p w14:paraId="52AF88F0" w14:textId="77777777" w:rsidR="002E2C53" w:rsidRDefault="002E2C53" w:rsidP="00115129">
      <w:pPr>
        <w:spacing w:after="0" w:line="360" w:lineRule="auto"/>
        <w:rPr>
          <w:rFonts w:ascii="Times New Roman" w:eastAsia="Times New Roman" w:hAnsi="Times New Roman" w:cs="Times New Roman"/>
          <w:color w:val="000000"/>
          <w:sz w:val="26"/>
          <w:szCs w:val="26"/>
        </w:rPr>
      </w:pPr>
    </w:p>
    <w:p w14:paraId="633387F6" w14:textId="5041899A" w:rsidR="00115129" w:rsidRPr="00115129" w:rsidRDefault="00115129" w:rsidP="002E2C53">
      <w:pPr>
        <w:spacing w:after="0" w:line="360" w:lineRule="auto"/>
        <w:ind w:firstLine="1440"/>
        <w:rPr>
          <w:rFonts w:ascii="Times New Roman" w:eastAsia="Times New Roman" w:hAnsi="Times New Roman" w:cs="Times New Roman"/>
          <w:color w:val="000000"/>
          <w:sz w:val="26"/>
          <w:szCs w:val="26"/>
        </w:rPr>
      </w:pPr>
      <w:r w:rsidRPr="00115129">
        <w:rPr>
          <w:rFonts w:ascii="Times New Roman" w:eastAsia="Times New Roman" w:hAnsi="Times New Roman" w:cs="Times New Roman"/>
          <w:color w:val="000000"/>
          <w:sz w:val="26"/>
          <w:szCs w:val="26"/>
        </w:rPr>
        <w:t xml:space="preserve">Next, the ALJ considered whether the EDCs’ “discrimination” was reasonable </w:t>
      </w:r>
      <w:r w:rsidR="00FD0ECA">
        <w:rPr>
          <w:rFonts w:ascii="Times New Roman" w:eastAsia="Times New Roman" w:hAnsi="Times New Roman" w:cs="Times New Roman"/>
          <w:color w:val="000000"/>
          <w:sz w:val="26"/>
          <w:szCs w:val="26"/>
        </w:rPr>
        <w:t>under</w:t>
      </w:r>
      <w:r w:rsidRPr="00115129">
        <w:rPr>
          <w:rFonts w:ascii="Times New Roman" w:eastAsia="Times New Roman" w:hAnsi="Times New Roman" w:cs="Times New Roman"/>
          <w:color w:val="000000"/>
          <w:sz w:val="26"/>
          <w:szCs w:val="26"/>
        </w:rPr>
        <w:t xml:space="preserve"> the circumstances, or whether it was “unreasonable” and</w:t>
      </w:r>
      <w:r w:rsidR="00FD0ECA">
        <w:rPr>
          <w:rFonts w:ascii="Times New Roman" w:eastAsia="Times New Roman" w:hAnsi="Times New Roman" w:cs="Times New Roman"/>
          <w:color w:val="000000"/>
          <w:sz w:val="26"/>
          <w:szCs w:val="26"/>
        </w:rPr>
        <w:t>,</w:t>
      </w:r>
      <w:r w:rsidRPr="00115129">
        <w:rPr>
          <w:rFonts w:ascii="Times New Roman" w:eastAsia="Times New Roman" w:hAnsi="Times New Roman" w:cs="Times New Roman"/>
          <w:color w:val="000000"/>
          <w:sz w:val="26"/>
          <w:szCs w:val="26"/>
        </w:rPr>
        <w:t xml:space="preserve"> therefore, in violation of Sections 1502 and 2804(6) of the Code.  The ALJ concluded that:</w:t>
      </w:r>
    </w:p>
    <w:p w14:paraId="4AF3DEC1" w14:textId="77777777" w:rsidR="00115129" w:rsidRPr="00115129" w:rsidRDefault="00115129" w:rsidP="00C06BDC">
      <w:pPr>
        <w:spacing w:after="0" w:line="240" w:lineRule="auto"/>
        <w:rPr>
          <w:rFonts w:ascii="Times New Roman" w:eastAsia="Times New Roman" w:hAnsi="Times New Roman" w:cs="Times New Roman"/>
          <w:color w:val="000000"/>
          <w:sz w:val="26"/>
          <w:szCs w:val="26"/>
          <w:highlight w:val="yellow"/>
        </w:rPr>
      </w:pPr>
    </w:p>
    <w:p w14:paraId="08B56BA8" w14:textId="77777777" w:rsidR="00115129" w:rsidRPr="00115129" w:rsidRDefault="00115129" w:rsidP="00115129">
      <w:pPr>
        <w:spacing w:after="0" w:line="240" w:lineRule="auto"/>
        <w:ind w:left="1440" w:right="1440"/>
        <w:rPr>
          <w:rFonts w:ascii="Times New Roman" w:eastAsia="Times New Roman" w:hAnsi="Times New Roman" w:cs="Times New Roman"/>
          <w:color w:val="000000"/>
          <w:sz w:val="26"/>
          <w:szCs w:val="26"/>
        </w:rPr>
      </w:pPr>
      <w:r w:rsidRPr="00115129">
        <w:rPr>
          <w:rFonts w:ascii="Times New Roman" w:eastAsia="Times New Roman" w:hAnsi="Times New Roman" w:cs="Times New Roman"/>
          <w:color w:val="000000"/>
          <w:sz w:val="26"/>
          <w:szCs w:val="26"/>
        </w:rPr>
        <w:t>The record evidence in this proceeding demonstrates</w:t>
      </w:r>
      <w:r w:rsidRPr="00115129">
        <w:rPr>
          <w:rFonts w:ascii="Calibri" w:eastAsia="Calibri" w:hAnsi="Calibri" w:cs="Calibri"/>
          <w:color w:val="000000"/>
          <w:sz w:val="26"/>
          <w:szCs w:val="26"/>
        </w:rPr>
        <w:t xml:space="preserve"> </w:t>
      </w:r>
      <w:r w:rsidRPr="00115129">
        <w:rPr>
          <w:rFonts w:ascii="Times New Roman" w:eastAsia="Times New Roman" w:hAnsi="Times New Roman" w:cs="Times New Roman"/>
          <w:color w:val="000000"/>
          <w:sz w:val="26"/>
          <w:szCs w:val="26"/>
        </w:rPr>
        <w:t>that such discrimination is unreasonable.  Neither the EDCs nor the OCA have presented sufficient evidence or argument demonstrating that the discriminatory practice is reasonable.</w:t>
      </w:r>
    </w:p>
    <w:p w14:paraId="32EFC1D5" w14:textId="77777777" w:rsidR="00115129" w:rsidRPr="00115129" w:rsidRDefault="00115129" w:rsidP="00C06BDC">
      <w:pPr>
        <w:spacing w:after="0" w:line="360" w:lineRule="auto"/>
        <w:ind w:left="1440" w:right="1440"/>
        <w:rPr>
          <w:rFonts w:ascii="Times New Roman" w:eastAsia="Times New Roman" w:hAnsi="Times New Roman" w:cs="Times New Roman"/>
          <w:color w:val="000000"/>
          <w:sz w:val="26"/>
          <w:szCs w:val="26"/>
        </w:rPr>
      </w:pPr>
    </w:p>
    <w:p w14:paraId="32EBCBE4" w14:textId="77777777" w:rsidR="00115129" w:rsidRPr="00115129" w:rsidRDefault="00115129" w:rsidP="00115129">
      <w:pPr>
        <w:spacing w:after="0" w:line="240" w:lineRule="auto"/>
        <w:ind w:right="1440"/>
        <w:rPr>
          <w:rFonts w:ascii="Times New Roman" w:eastAsia="Times New Roman" w:hAnsi="Times New Roman" w:cs="Times New Roman"/>
          <w:color w:val="000000"/>
          <w:sz w:val="26"/>
          <w:szCs w:val="26"/>
        </w:rPr>
      </w:pPr>
      <w:r w:rsidRPr="00115129">
        <w:rPr>
          <w:rFonts w:ascii="Times New Roman" w:eastAsia="Times New Roman" w:hAnsi="Times New Roman" w:cs="Times New Roman"/>
          <w:color w:val="000000"/>
          <w:sz w:val="26"/>
          <w:szCs w:val="26"/>
        </w:rPr>
        <w:t xml:space="preserve">I.D. at 12-13. </w:t>
      </w:r>
    </w:p>
    <w:p w14:paraId="78DD3F6C" w14:textId="480D6DF9" w:rsidR="00115129" w:rsidRPr="00115129" w:rsidRDefault="00115129" w:rsidP="00CB06ED">
      <w:pPr>
        <w:spacing w:after="0" w:line="360" w:lineRule="auto"/>
        <w:ind w:firstLine="1440"/>
        <w:rPr>
          <w:rFonts w:ascii="Times New Roman" w:eastAsia="Calibri" w:hAnsi="Times New Roman" w:cs="Times New Roman"/>
          <w:sz w:val="26"/>
          <w:szCs w:val="26"/>
        </w:rPr>
      </w:pPr>
      <w:r w:rsidRPr="00115129">
        <w:rPr>
          <w:rFonts w:ascii="Times New Roman" w:eastAsia="Times New Roman" w:hAnsi="Times New Roman" w:cs="Times New Roman"/>
          <w:color w:val="000000"/>
          <w:sz w:val="24"/>
        </w:rPr>
        <w:lastRenderedPageBreak/>
        <w:t xml:space="preserve"> </w:t>
      </w:r>
      <w:r w:rsidRPr="00115129">
        <w:rPr>
          <w:rFonts w:ascii="Times New Roman" w:eastAsia="Calibri" w:hAnsi="Times New Roman" w:cs="Times New Roman"/>
          <w:sz w:val="26"/>
          <w:szCs w:val="26"/>
        </w:rPr>
        <w:t>The ALJ dismissed the legal arguments raised by the EDCs that the EGSs’ Complaints are an impermissible collateral attack upon the EDCs’ approved default service program (DSP) orders and an inappropriate challenge to the EDCs’ Commission-approved EGS Coordination Tariffs.  I.D. at 13.  The ALJ reasoned that the Commission’s approval of either a DSP or Tariff did not bar a subsequent challenge to them,</w:t>
      </w:r>
      <w:r w:rsidR="003E5C59">
        <w:rPr>
          <w:rFonts w:ascii="Times New Roman" w:eastAsia="Calibri" w:hAnsi="Times New Roman" w:cs="Times New Roman"/>
          <w:sz w:val="26"/>
          <w:szCs w:val="26"/>
        </w:rPr>
        <w:t xml:space="preserve"> </w:t>
      </w:r>
      <w:r w:rsidRPr="00115129">
        <w:rPr>
          <w:rFonts w:ascii="Times New Roman" w:eastAsia="Calibri" w:hAnsi="Times New Roman" w:cs="Times New Roman"/>
          <w:sz w:val="26"/>
          <w:szCs w:val="26"/>
        </w:rPr>
        <w:t xml:space="preserve">stating: </w:t>
      </w:r>
    </w:p>
    <w:p w14:paraId="03718DF7" w14:textId="77777777" w:rsidR="00C50A02" w:rsidRDefault="00C50A02" w:rsidP="00115129">
      <w:pPr>
        <w:spacing w:after="0" w:line="240" w:lineRule="auto"/>
        <w:ind w:left="1440" w:right="1440"/>
        <w:rPr>
          <w:rFonts w:ascii="Times New Roman" w:hAnsi="Times New Roman" w:cs="Times New Roman"/>
          <w:sz w:val="26"/>
          <w:szCs w:val="26"/>
        </w:rPr>
      </w:pPr>
    </w:p>
    <w:p w14:paraId="06B1D29C" w14:textId="51AD6110" w:rsidR="00115129" w:rsidRPr="00115129" w:rsidRDefault="00115129" w:rsidP="00115129">
      <w:pPr>
        <w:spacing w:after="0" w:line="240" w:lineRule="auto"/>
        <w:ind w:left="1440" w:right="1440"/>
        <w:rPr>
          <w:rFonts w:ascii="Times New Roman" w:eastAsia="Calibri" w:hAnsi="Times New Roman" w:cs="Times New Roman"/>
          <w:sz w:val="26"/>
          <w:szCs w:val="26"/>
        </w:rPr>
      </w:pPr>
      <w:r w:rsidRPr="00115129">
        <w:rPr>
          <w:rFonts w:ascii="Times New Roman" w:hAnsi="Times New Roman" w:cs="Times New Roman"/>
          <w:sz w:val="26"/>
          <w:szCs w:val="26"/>
        </w:rPr>
        <w:t>Whether or not those orders were contested or appealed does not mean that they do not violate Section 1502 or 2804(6) of the Public Utility Code.</w:t>
      </w:r>
      <w:r w:rsidRPr="00115129">
        <w:rPr>
          <w:rFonts w:ascii="Times New Roman" w:eastAsia="Calibri" w:hAnsi="Times New Roman" w:cs="Times New Roman"/>
          <w:sz w:val="26"/>
          <w:szCs w:val="26"/>
        </w:rPr>
        <w:t xml:space="preserve">  </w:t>
      </w:r>
    </w:p>
    <w:p w14:paraId="6EE96078" w14:textId="77777777" w:rsidR="00115129" w:rsidRPr="00115129" w:rsidRDefault="00115129" w:rsidP="00CB06ED">
      <w:pPr>
        <w:spacing w:after="0" w:line="360" w:lineRule="auto"/>
        <w:ind w:left="1440" w:right="1440"/>
        <w:rPr>
          <w:rFonts w:ascii="Times New Roman" w:eastAsia="Calibri" w:hAnsi="Times New Roman" w:cs="Times New Roman"/>
          <w:sz w:val="26"/>
          <w:szCs w:val="26"/>
        </w:rPr>
      </w:pPr>
    </w:p>
    <w:p w14:paraId="0A26C579" w14:textId="77777777" w:rsidR="00115129" w:rsidRPr="00115129" w:rsidRDefault="00115129" w:rsidP="00115129">
      <w:pPr>
        <w:spacing w:after="0" w:line="240" w:lineRule="auto"/>
        <w:ind w:right="1440"/>
        <w:rPr>
          <w:rFonts w:ascii="Times New Roman" w:eastAsia="Calibri" w:hAnsi="Times New Roman" w:cs="Times New Roman"/>
          <w:sz w:val="26"/>
          <w:szCs w:val="26"/>
        </w:rPr>
      </w:pPr>
      <w:r w:rsidRPr="00115129">
        <w:rPr>
          <w:rFonts w:ascii="Times New Roman" w:eastAsia="Calibri" w:hAnsi="Times New Roman" w:cs="Times New Roman"/>
          <w:sz w:val="26"/>
          <w:szCs w:val="26"/>
        </w:rPr>
        <w:t xml:space="preserve">I.D. at 13-14. </w:t>
      </w:r>
    </w:p>
    <w:p w14:paraId="0C725966" w14:textId="77777777" w:rsidR="00115129" w:rsidRPr="00115129" w:rsidRDefault="00115129" w:rsidP="00115129">
      <w:pPr>
        <w:spacing w:after="0" w:line="240" w:lineRule="auto"/>
        <w:ind w:right="1440"/>
        <w:rPr>
          <w:rFonts w:ascii="Times New Roman" w:eastAsia="Calibri" w:hAnsi="Times New Roman" w:cs="Times New Roman"/>
          <w:sz w:val="26"/>
          <w:szCs w:val="26"/>
        </w:rPr>
      </w:pPr>
    </w:p>
    <w:p w14:paraId="19DC5880" w14:textId="77777777" w:rsidR="00115129" w:rsidRPr="00115129" w:rsidRDefault="00115129" w:rsidP="00115129">
      <w:pPr>
        <w:spacing w:after="0" w:line="240" w:lineRule="auto"/>
        <w:ind w:right="1440"/>
        <w:rPr>
          <w:rFonts w:ascii="Times New Roman" w:eastAsia="Calibri" w:hAnsi="Times New Roman" w:cs="Times New Roman"/>
          <w:sz w:val="26"/>
          <w:szCs w:val="26"/>
        </w:rPr>
      </w:pPr>
    </w:p>
    <w:p w14:paraId="353BF40D" w14:textId="62C8C11E" w:rsidR="00115129" w:rsidRPr="00115129" w:rsidRDefault="00115129" w:rsidP="00115129">
      <w:pPr>
        <w:spacing w:after="0" w:line="360" w:lineRule="auto"/>
        <w:ind w:firstLine="1440"/>
        <w:rPr>
          <w:rFonts w:ascii="Times New Roman" w:eastAsia="Calibri" w:hAnsi="Times New Roman" w:cs="Times New Roman"/>
          <w:sz w:val="26"/>
          <w:szCs w:val="26"/>
        </w:rPr>
      </w:pPr>
      <w:r w:rsidRPr="00115129">
        <w:rPr>
          <w:rFonts w:ascii="Times New Roman" w:eastAsia="Calibri" w:hAnsi="Times New Roman" w:cs="Times New Roman"/>
          <w:sz w:val="26"/>
          <w:szCs w:val="26"/>
        </w:rPr>
        <w:t xml:space="preserve">The ALJ then relied upon the Commission’s holding in </w:t>
      </w:r>
      <w:r w:rsidRPr="00115129">
        <w:rPr>
          <w:rFonts w:ascii="Times New Roman" w:eastAsia="Calibri" w:hAnsi="Times New Roman" w:cs="Times New Roman"/>
          <w:i/>
          <w:iCs/>
          <w:sz w:val="26"/>
          <w:szCs w:val="26"/>
        </w:rPr>
        <w:t>Columbia</w:t>
      </w:r>
      <w:r w:rsidRPr="00115129">
        <w:rPr>
          <w:rFonts w:ascii="Times New Roman" w:eastAsia="Calibri" w:hAnsi="Times New Roman" w:cs="Times New Roman"/>
          <w:sz w:val="26"/>
          <w:szCs w:val="26"/>
        </w:rPr>
        <w:t xml:space="preserve">, as it pertained to a challenge to a utility’s practice of providing </w:t>
      </w:r>
      <w:r w:rsidR="0012624F">
        <w:rPr>
          <w:rFonts w:ascii="Times New Roman" w:eastAsia="Calibri" w:hAnsi="Times New Roman" w:cs="Times New Roman"/>
          <w:sz w:val="26"/>
          <w:szCs w:val="26"/>
        </w:rPr>
        <w:t>“</w:t>
      </w:r>
      <w:r w:rsidRPr="00115129">
        <w:rPr>
          <w:rFonts w:ascii="Times New Roman" w:eastAsia="Calibri" w:hAnsi="Times New Roman" w:cs="Times New Roman"/>
          <w:sz w:val="26"/>
          <w:szCs w:val="26"/>
        </w:rPr>
        <w:t>on-bill billing</w:t>
      </w:r>
      <w:r w:rsidR="0012624F">
        <w:rPr>
          <w:rFonts w:ascii="Times New Roman" w:eastAsia="Calibri" w:hAnsi="Times New Roman" w:cs="Times New Roman"/>
          <w:sz w:val="26"/>
          <w:szCs w:val="26"/>
        </w:rPr>
        <w:t>”</w:t>
      </w:r>
      <w:r w:rsidRPr="00115129">
        <w:rPr>
          <w:rFonts w:ascii="Times New Roman" w:eastAsia="Calibri" w:hAnsi="Times New Roman" w:cs="Times New Roman"/>
          <w:sz w:val="26"/>
          <w:szCs w:val="26"/>
        </w:rPr>
        <w:t xml:space="preserve"> services to a non-affiliated third party while refusing to provide the same service to other third parties</w:t>
      </w:r>
      <w:r w:rsidR="00365AD7">
        <w:rPr>
          <w:rFonts w:ascii="Times New Roman" w:eastAsia="Calibri" w:hAnsi="Times New Roman" w:cs="Times New Roman"/>
          <w:sz w:val="26"/>
          <w:szCs w:val="26"/>
        </w:rPr>
        <w:t xml:space="preserve">.  The ALJ </w:t>
      </w:r>
      <w:r w:rsidRPr="00115129">
        <w:rPr>
          <w:rFonts w:ascii="Times New Roman" w:eastAsia="Calibri" w:hAnsi="Times New Roman" w:cs="Times New Roman"/>
          <w:sz w:val="26"/>
          <w:szCs w:val="26"/>
        </w:rPr>
        <w:t>reason</w:t>
      </w:r>
      <w:r w:rsidR="00365AD7">
        <w:rPr>
          <w:rFonts w:ascii="Times New Roman" w:eastAsia="Calibri" w:hAnsi="Times New Roman" w:cs="Times New Roman"/>
          <w:sz w:val="26"/>
          <w:szCs w:val="26"/>
        </w:rPr>
        <w:t>ed</w:t>
      </w:r>
      <w:r w:rsidRPr="00115129">
        <w:rPr>
          <w:rFonts w:ascii="Times New Roman" w:eastAsia="Calibri" w:hAnsi="Times New Roman" w:cs="Times New Roman"/>
          <w:sz w:val="26"/>
          <w:szCs w:val="26"/>
        </w:rPr>
        <w:t xml:space="preserve"> that the </w:t>
      </w:r>
      <w:r w:rsidR="00EC28A5">
        <w:rPr>
          <w:rFonts w:ascii="Times New Roman" w:eastAsia="Calibri" w:hAnsi="Times New Roman" w:cs="Times New Roman"/>
          <w:sz w:val="26"/>
          <w:szCs w:val="26"/>
        </w:rPr>
        <w:t xml:space="preserve">EDCs’ argument </w:t>
      </w:r>
      <w:r w:rsidR="00C24A7F">
        <w:rPr>
          <w:rFonts w:ascii="Times New Roman" w:eastAsia="Calibri" w:hAnsi="Times New Roman" w:cs="Times New Roman"/>
          <w:sz w:val="26"/>
          <w:szCs w:val="26"/>
        </w:rPr>
        <w:t xml:space="preserve">regarding the </w:t>
      </w:r>
      <w:r w:rsidR="003042E9">
        <w:rPr>
          <w:rFonts w:ascii="Times New Roman" w:eastAsia="Calibri" w:hAnsi="Times New Roman" w:cs="Times New Roman"/>
          <w:sz w:val="26"/>
          <w:szCs w:val="26"/>
        </w:rPr>
        <w:t xml:space="preserve">controlling nature of the </w:t>
      </w:r>
      <w:r w:rsidR="00C24A7F">
        <w:rPr>
          <w:rFonts w:ascii="Times New Roman" w:eastAsia="Calibri" w:hAnsi="Times New Roman" w:cs="Times New Roman"/>
          <w:sz w:val="26"/>
          <w:szCs w:val="26"/>
        </w:rPr>
        <w:t>DSP language</w:t>
      </w:r>
      <w:r w:rsidR="003042E9">
        <w:rPr>
          <w:rFonts w:ascii="Times New Roman" w:eastAsia="Calibri" w:hAnsi="Times New Roman" w:cs="Times New Roman"/>
          <w:sz w:val="26"/>
          <w:szCs w:val="26"/>
        </w:rPr>
        <w:t xml:space="preserve"> is mitigated by the </w:t>
      </w:r>
      <w:r w:rsidRPr="00115129">
        <w:rPr>
          <w:rFonts w:ascii="Times New Roman" w:eastAsia="Calibri" w:hAnsi="Times New Roman" w:cs="Times New Roman"/>
          <w:sz w:val="26"/>
          <w:szCs w:val="26"/>
        </w:rPr>
        <w:t xml:space="preserve">Commission’s decision in </w:t>
      </w:r>
      <w:r w:rsidRPr="00115129">
        <w:rPr>
          <w:rFonts w:ascii="Times New Roman" w:eastAsia="Calibri" w:hAnsi="Times New Roman" w:cs="Times New Roman"/>
          <w:i/>
          <w:iCs/>
          <w:sz w:val="26"/>
          <w:szCs w:val="26"/>
        </w:rPr>
        <w:t>Columbia</w:t>
      </w:r>
      <w:r w:rsidRPr="00115129">
        <w:rPr>
          <w:rFonts w:ascii="Times New Roman" w:eastAsia="Calibri" w:hAnsi="Times New Roman" w:cs="Times New Roman"/>
          <w:sz w:val="26"/>
          <w:szCs w:val="26"/>
        </w:rPr>
        <w:t xml:space="preserve">, </w:t>
      </w:r>
      <w:r w:rsidR="0012624F">
        <w:rPr>
          <w:rFonts w:ascii="Times New Roman" w:eastAsia="Calibri" w:hAnsi="Times New Roman" w:cs="Times New Roman"/>
          <w:sz w:val="26"/>
          <w:szCs w:val="26"/>
        </w:rPr>
        <w:t>where it found</w:t>
      </w:r>
      <w:r w:rsidRPr="00115129">
        <w:rPr>
          <w:rFonts w:ascii="Times New Roman" w:eastAsia="Calibri" w:hAnsi="Times New Roman" w:cs="Times New Roman"/>
          <w:sz w:val="26"/>
          <w:szCs w:val="26"/>
        </w:rPr>
        <w:t xml:space="preserve"> such billing practice to be discriminatory, </w:t>
      </w:r>
      <w:r w:rsidR="00365AD7">
        <w:rPr>
          <w:rFonts w:ascii="Times New Roman" w:eastAsia="Calibri" w:hAnsi="Times New Roman" w:cs="Times New Roman"/>
          <w:sz w:val="26"/>
          <w:szCs w:val="26"/>
        </w:rPr>
        <w:t>since</w:t>
      </w:r>
      <w:r w:rsidR="00C84D77">
        <w:rPr>
          <w:rFonts w:ascii="Times New Roman" w:eastAsia="Calibri" w:hAnsi="Times New Roman" w:cs="Times New Roman"/>
          <w:sz w:val="26"/>
          <w:szCs w:val="26"/>
        </w:rPr>
        <w:t xml:space="preserve"> </w:t>
      </w:r>
      <w:r w:rsidR="00C84D77" w:rsidRPr="00DE6B67">
        <w:rPr>
          <w:rFonts w:ascii="Times New Roman" w:eastAsia="Calibri" w:hAnsi="Times New Roman" w:cs="Times New Roman"/>
          <w:i/>
          <w:iCs/>
          <w:sz w:val="26"/>
          <w:szCs w:val="26"/>
        </w:rPr>
        <w:t>Columbia</w:t>
      </w:r>
      <w:r w:rsidR="00C84D77">
        <w:rPr>
          <w:rFonts w:ascii="Times New Roman" w:eastAsia="Calibri" w:hAnsi="Times New Roman" w:cs="Times New Roman"/>
          <w:sz w:val="26"/>
          <w:szCs w:val="26"/>
        </w:rPr>
        <w:t xml:space="preserve"> </w:t>
      </w:r>
      <w:r w:rsidR="00F35D59">
        <w:rPr>
          <w:rFonts w:ascii="Times New Roman" w:eastAsia="Calibri" w:hAnsi="Times New Roman" w:cs="Times New Roman"/>
          <w:sz w:val="26"/>
          <w:szCs w:val="26"/>
        </w:rPr>
        <w:t xml:space="preserve">was </w:t>
      </w:r>
      <w:r w:rsidRPr="00115129">
        <w:rPr>
          <w:rFonts w:ascii="Times New Roman" w:eastAsia="Calibri" w:hAnsi="Times New Roman" w:cs="Times New Roman"/>
          <w:sz w:val="26"/>
          <w:szCs w:val="26"/>
        </w:rPr>
        <w:t xml:space="preserve">rendered after the Commission’s orders approving the EDCs’ DSPs. </w:t>
      </w:r>
      <w:r w:rsidR="00DE6B67">
        <w:rPr>
          <w:rFonts w:ascii="Times New Roman" w:eastAsia="Calibri" w:hAnsi="Times New Roman" w:cs="Times New Roman"/>
          <w:sz w:val="26"/>
          <w:szCs w:val="26"/>
        </w:rPr>
        <w:t xml:space="preserve"> </w:t>
      </w:r>
      <w:r w:rsidR="00DE6B67" w:rsidRPr="00DE6B67">
        <w:rPr>
          <w:rFonts w:ascii="Times New Roman" w:eastAsia="Calibri" w:hAnsi="Times New Roman" w:cs="Times New Roman"/>
          <w:i/>
          <w:iCs/>
          <w:sz w:val="26"/>
          <w:szCs w:val="26"/>
        </w:rPr>
        <w:t>Id</w:t>
      </w:r>
      <w:r w:rsidR="00DE6B67">
        <w:rPr>
          <w:rFonts w:ascii="Times New Roman" w:eastAsia="Calibri" w:hAnsi="Times New Roman" w:cs="Times New Roman"/>
          <w:sz w:val="26"/>
          <w:szCs w:val="26"/>
        </w:rPr>
        <w:t xml:space="preserve">. </w:t>
      </w:r>
    </w:p>
    <w:p w14:paraId="580E707C" w14:textId="77777777" w:rsidR="00115129" w:rsidRPr="00115129" w:rsidRDefault="00115129" w:rsidP="00115129">
      <w:pPr>
        <w:spacing w:after="0" w:line="360" w:lineRule="auto"/>
        <w:ind w:firstLine="1440"/>
        <w:rPr>
          <w:rFonts w:ascii="Times New Roman" w:eastAsia="Calibri" w:hAnsi="Times New Roman" w:cs="Times New Roman"/>
          <w:sz w:val="26"/>
          <w:szCs w:val="26"/>
        </w:rPr>
      </w:pPr>
    </w:p>
    <w:p w14:paraId="3CFE361D" w14:textId="35847AA7" w:rsidR="00115129" w:rsidRPr="00115129" w:rsidRDefault="00115129" w:rsidP="00115129">
      <w:pPr>
        <w:spacing w:after="0" w:line="360" w:lineRule="auto"/>
        <w:ind w:firstLine="1440"/>
        <w:rPr>
          <w:rFonts w:ascii="Times New Roman" w:eastAsia="Calibri" w:hAnsi="Times New Roman" w:cs="Times New Roman"/>
          <w:sz w:val="26"/>
          <w:szCs w:val="26"/>
        </w:rPr>
      </w:pPr>
      <w:r w:rsidRPr="00115129">
        <w:rPr>
          <w:rFonts w:ascii="Times New Roman" w:eastAsia="Calibri" w:hAnsi="Times New Roman" w:cs="Times New Roman"/>
          <w:sz w:val="26"/>
          <w:szCs w:val="26"/>
        </w:rPr>
        <w:t>In rejecting the EDCs’ arguments that Section 316 of the Code</w:t>
      </w:r>
      <w:r w:rsidR="008A649E">
        <w:rPr>
          <w:rFonts w:ascii="Times New Roman" w:eastAsia="Calibri" w:hAnsi="Times New Roman" w:cs="Times New Roman"/>
          <w:sz w:val="26"/>
          <w:szCs w:val="26"/>
        </w:rPr>
        <w:t>, 66 Pa. C.S. § 316,</w:t>
      </w:r>
      <w:r w:rsidRPr="00115129">
        <w:rPr>
          <w:rFonts w:ascii="Times New Roman" w:eastAsia="Calibri" w:hAnsi="Times New Roman" w:cs="Times New Roman"/>
          <w:sz w:val="26"/>
          <w:szCs w:val="26"/>
        </w:rPr>
        <w:t xml:space="preserve"> (pertaining to finality o</w:t>
      </w:r>
      <w:r w:rsidR="00BE6062">
        <w:rPr>
          <w:rFonts w:ascii="Times New Roman" w:eastAsia="Calibri" w:hAnsi="Times New Roman" w:cs="Times New Roman"/>
          <w:sz w:val="26"/>
          <w:szCs w:val="26"/>
        </w:rPr>
        <w:t>f</w:t>
      </w:r>
      <w:r w:rsidRPr="00115129">
        <w:rPr>
          <w:rFonts w:ascii="Times New Roman" w:eastAsia="Calibri" w:hAnsi="Times New Roman" w:cs="Times New Roman"/>
          <w:sz w:val="26"/>
          <w:szCs w:val="26"/>
        </w:rPr>
        <w:t xml:space="preserve"> Commission orders) barred the claims raised by the EGSs, the ALJ reasoned that the EDC</w:t>
      </w:r>
      <w:r w:rsidR="00841BED">
        <w:rPr>
          <w:rFonts w:ascii="Times New Roman" w:eastAsia="Calibri" w:hAnsi="Times New Roman" w:cs="Times New Roman"/>
          <w:sz w:val="26"/>
          <w:szCs w:val="26"/>
        </w:rPr>
        <w:t>s</w:t>
      </w:r>
      <w:r w:rsidRPr="00115129">
        <w:rPr>
          <w:rFonts w:ascii="Times New Roman" w:eastAsia="Calibri" w:hAnsi="Times New Roman" w:cs="Times New Roman"/>
          <w:sz w:val="26"/>
          <w:szCs w:val="26"/>
        </w:rPr>
        <w:t xml:space="preserve">’ approved </w:t>
      </w:r>
      <w:r w:rsidR="00841BED">
        <w:rPr>
          <w:rFonts w:ascii="Times New Roman" w:eastAsia="Calibri" w:hAnsi="Times New Roman" w:cs="Times New Roman"/>
          <w:sz w:val="26"/>
          <w:szCs w:val="26"/>
        </w:rPr>
        <w:t>t</w:t>
      </w:r>
      <w:r w:rsidRPr="00115129">
        <w:rPr>
          <w:rFonts w:ascii="Times New Roman" w:eastAsia="Calibri" w:hAnsi="Times New Roman" w:cs="Times New Roman"/>
          <w:sz w:val="26"/>
          <w:szCs w:val="26"/>
        </w:rPr>
        <w:t xml:space="preserve">ariffs (which expressly provided for the provision of </w:t>
      </w:r>
      <w:r w:rsidR="00841BED">
        <w:rPr>
          <w:rFonts w:ascii="Times New Roman" w:eastAsia="Calibri" w:hAnsi="Times New Roman" w:cs="Times New Roman"/>
          <w:sz w:val="26"/>
          <w:szCs w:val="26"/>
        </w:rPr>
        <w:t>“</w:t>
      </w:r>
      <w:r w:rsidRPr="00115129">
        <w:rPr>
          <w:rFonts w:ascii="Times New Roman" w:eastAsia="Calibri" w:hAnsi="Times New Roman" w:cs="Times New Roman"/>
          <w:sz w:val="26"/>
          <w:szCs w:val="26"/>
        </w:rPr>
        <w:t>on-bill billing</w:t>
      </w:r>
      <w:r w:rsidR="00841BED">
        <w:rPr>
          <w:rFonts w:ascii="Times New Roman" w:eastAsia="Calibri" w:hAnsi="Times New Roman" w:cs="Times New Roman"/>
          <w:sz w:val="26"/>
          <w:szCs w:val="26"/>
        </w:rPr>
        <w:t>”</w:t>
      </w:r>
      <w:r w:rsidRPr="00115129">
        <w:rPr>
          <w:rFonts w:ascii="Times New Roman" w:eastAsia="Calibri" w:hAnsi="Times New Roman" w:cs="Times New Roman"/>
          <w:sz w:val="26"/>
          <w:szCs w:val="26"/>
        </w:rPr>
        <w:t xml:space="preserve"> of the EDCs’ own non-commodity goods and services), only established the </w:t>
      </w:r>
      <w:r w:rsidRPr="00115129">
        <w:rPr>
          <w:rFonts w:ascii="Times New Roman" w:eastAsia="Calibri" w:hAnsi="Times New Roman" w:cs="Times New Roman"/>
          <w:i/>
          <w:iCs/>
          <w:sz w:val="26"/>
          <w:szCs w:val="26"/>
        </w:rPr>
        <w:t>prima facia</w:t>
      </w:r>
      <w:r w:rsidRPr="00115129">
        <w:rPr>
          <w:rFonts w:ascii="Times New Roman" w:eastAsia="Calibri" w:hAnsi="Times New Roman" w:cs="Times New Roman"/>
          <w:sz w:val="26"/>
          <w:szCs w:val="26"/>
        </w:rPr>
        <w:t xml:space="preserve"> lawfulness of the billing practice.  The ALJ further concluded that the EGSs had met the higher burden of proof required to overturn the practice as unlawful.  I.D. at 15.  </w:t>
      </w:r>
    </w:p>
    <w:p w14:paraId="7F6ED40B" w14:textId="77777777" w:rsidR="00115129" w:rsidRPr="00115129" w:rsidRDefault="00115129" w:rsidP="00115129">
      <w:pPr>
        <w:spacing w:after="0" w:line="360" w:lineRule="auto"/>
        <w:rPr>
          <w:rFonts w:ascii="Times New Roman" w:eastAsia="Calibri" w:hAnsi="Times New Roman" w:cs="Times New Roman"/>
          <w:sz w:val="26"/>
          <w:szCs w:val="26"/>
        </w:rPr>
      </w:pPr>
    </w:p>
    <w:p w14:paraId="59C99E35" w14:textId="5FC4F4C6" w:rsidR="00115129" w:rsidRPr="00115129" w:rsidRDefault="00115129" w:rsidP="00115129">
      <w:pPr>
        <w:spacing w:after="0" w:line="360" w:lineRule="auto"/>
        <w:ind w:firstLine="1440"/>
        <w:rPr>
          <w:rFonts w:ascii="Times New Roman" w:eastAsia="Times New Roman" w:hAnsi="Times New Roman" w:cs="Times New Roman"/>
          <w:color w:val="000000"/>
          <w:sz w:val="26"/>
          <w:szCs w:val="26"/>
        </w:rPr>
      </w:pPr>
      <w:r w:rsidRPr="00115129">
        <w:rPr>
          <w:rFonts w:ascii="Times New Roman" w:eastAsia="Times New Roman" w:hAnsi="Times New Roman" w:cs="Times New Roman"/>
          <w:color w:val="000000"/>
          <w:sz w:val="26"/>
          <w:szCs w:val="26"/>
        </w:rPr>
        <w:lastRenderedPageBreak/>
        <w:t xml:space="preserve">The ALJ rejected the EDCs’ argument that their </w:t>
      </w:r>
      <w:r w:rsidR="002016A7">
        <w:rPr>
          <w:rFonts w:ascii="Times New Roman" w:eastAsia="Times New Roman" w:hAnsi="Times New Roman" w:cs="Times New Roman"/>
          <w:color w:val="000000"/>
          <w:sz w:val="26"/>
          <w:szCs w:val="26"/>
        </w:rPr>
        <w:t>“</w:t>
      </w:r>
      <w:r w:rsidRPr="00115129">
        <w:rPr>
          <w:rFonts w:ascii="Times New Roman" w:eastAsia="Times New Roman" w:hAnsi="Times New Roman" w:cs="Times New Roman"/>
          <w:color w:val="000000"/>
          <w:sz w:val="26"/>
          <w:szCs w:val="26"/>
        </w:rPr>
        <w:t>on-bill billing</w:t>
      </w:r>
      <w:r w:rsidR="002016A7">
        <w:rPr>
          <w:rFonts w:ascii="Times New Roman" w:eastAsia="Times New Roman" w:hAnsi="Times New Roman" w:cs="Times New Roman"/>
          <w:color w:val="000000"/>
          <w:sz w:val="26"/>
          <w:szCs w:val="26"/>
        </w:rPr>
        <w:t>”</w:t>
      </w:r>
      <w:r w:rsidRPr="00115129">
        <w:rPr>
          <w:rFonts w:ascii="Times New Roman" w:eastAsia="Times New Roman" w:hAnsi="Times New Roman" w:cs="Times New Roman"/>
          <w:color w:val="000000"/>
          <w:sz w:val="26"/>
          <w:szCs w:val="26"/>
        </w:rPr>
        <w:t xml:space="preserve"> practice is not discriminatory because the EDCs’ offer “their own billing service at the exclusion of </w:t>
      </w:r>
      <w:r w:rsidRPr="00115129">
        <w:rPr>
          <w:rFonts w:ascii="Times New Roman" w:eastAsia="Times New Roman" w:hAnsi="Times New Roman" w:cs="Times New Roman"/>
          <w:b/>
          <w:i/>
          <w:color w:val="000000"/>
          <w:sz w:val="26"/>
          <w:szCs w:val="26"/>
        </w:rPr>
        <w:t>all</w:t>
      </w:r>
      <w:r w:rsidRPr="00115129">
        <w:rPr>
          <w:rFonts w:ascii="Times New Roman" w:eastAsia="Times New Roman" w:hAnsi="Times New Roman" w:cs="Times New Roman"/>
          <w:color w:val="000000"/>
          <w:sz w:val="26"/>
          <w:szCs w:val="26"/>
        </w:rPr>
        <w:t xml:space="preserve"> others.”  I.D. at 15-16, citing, </w:t>
      </w:r>
      <w:r w:rsidRPr="00115129">
        <w:rPr>
          <w:rFonts w:ascii="Times New Roman" w:eastAsia="Times New Roman" w:hAnsi="Times New Roman" w:cs="Times New Roman"/>
          <w:color w:val="000000"/>
          <w:sz w:val="26"/>
          <w:szCs w:val="26"/>
          <w:u w:color="000000"/>
        </w:rPr>
        <w:t>EDC M.B.</w:t>
      </w:r>
      <w:r w:rsidRPr="00115129">
        <w:rPr>
          <w:rFonts w:ascii="Times New Roman" w:eastAsia="Times New Roman" w:hAnsi="Times New Roman" w:cs="Times New Roman"/>
          <w:color w:val="000000"/>
          <w:sz w:val="26"/>
          <w:szCs w:val="26"/>
        </w:rPr>
        <w:t xml:space="preserve"> at 13 (emphasis added).  The ALJ further rejected the EDCs’ argument that the facts in </w:t>
      </w:r>
      <w:r w:rsidRPr="00115129">
        <w:rPr>
          <w:rFonts w:ascii="Times New Roman" w:eastAsia="Times New Roman" w:hAnsi="Times New Roman" w:cs="Times New Roman"/>
          <w:i/>
          <w:iCs/>
          <w:color w:val="000000"/>
          <w:sz w:val="26"/>
          <w:szCs w:val="26"/>
        </w:rPr>
        <w:t>Columbia</w:t>
      </w:r>
      <w:r w:rsidRPr="00115129">
        <w:rPr>
          <w:rFonts w:ascii="Times New Roman" w:eastAsia="Times New Roman" w:hAnsi="Times New Roman" w:cs="Times New Roman"/>
          <w:color w:val="000000"/>
          <w:sz w:val="26"/>
          <w:szCs w:val="26"/>
        </w:rPr>
        <w:t xml:space="preserve"> are distinguishable from the present case</w:t>
      </w:r>
      <w:r w:rsidR="00E8202D">
        <w:rPr>
          <w:rFonts w:ascii="Times New Roman" w:eastAsia="Times New Roman" w:hAnsi="Times New Roman" w:cs="Times New Roman"/>
          <w:color w:val="000000"/>
          <w:sz w:val="26"/>
          <w:szCs w:val="26"/>
        </w:rPr>
        <w:t>.  The ALJ reasoned that</w:t>
      </w:r>
      <w:r w:rsidRPr="00115129">
        <w:rPr>
          <w:rFonts w:ascii="Times New Roman" w:eastAsia="Times New Roman" w:hAnsi="Times New Roman" w:cs="Times New Roman"/>
          <w:color w:val="000000"/>
          <w:sz w:val="26"/>
          <w:szCs w:val="26"/>
        </w:rPr>
        <w:t xml:space="preserve"> </w:t>
      </w:r>
      <w:r w:rsidRPr="00115129">
        <w:rPr>
          <w:rFonts w:ascii="Times New Roman" w:eastAsia="Times New Roman" w:hAnsi="Times New Roman" w:cs="Times New Roman"/>
          <w:i/>
          <w:iCs/>
          <w:color w:val="000000"/>
          <w:sz w:val="26"/>
          <w:szCs w:val="26"/>
        </w:rPr>
        <w:t>Columbia</w:t>
      </w:r>
      <w:r w:rsidRPr="00115129">
        <w:rPr>
          <w:rFonts w:ascii="Times New Roman" w:eastAsia="Times New Roman" w:hAnsi="Times New Roman" w:cs="Times New Roman"/>
          <w:color w:val="000000"/>
          <w:sz w:val="26"/>
          <w:szCs w:val="26"/>
        </w:rPr>
        <w:t xml:space="preserve"> only addressed discrimination in service where a utility provided billing services to a third party, while denying that same service to other third parties for no demonstrable or reasonable purpose</w:t>
      </w:r>
      <w:r w:rsidR="00662F44">
        <w:rPr>
          <w:rFonts w:ascii="Times New Roman" w:eastAsia="Times New Roman" w:hAnsi="Times New Roman" w:cs="Times New Roman"/>
          <w:color w:val="000000"/>
          <w:sz w:val="26"/>
          <w:szCs w:val="26"/>
        </w:rPr>
        <w:t>s</w:t>
      </w:r>
      <w:r w:rsidRPr="00115129">
        <w:rPr>
          <w:rFonts w:ascii="Times New Roman" w:eastAsia="Times New Roman" w:hAnsi="Times New Roman" w:cs="Times New Roman"/>
          <w:color w:val="000000"/>
          <w:sz w:val="26"/>
          <w:szCs w:val="26"/>
        </w:rPr>
        <w:t>.  The ALJ expressly disagreed with the EDCs’ reading of Section 1502</w:t>
      </w:r>
      <w:r w:rsidR="00C64AD6">
        <w:rPr>
          <w:rFonts w:ascii="Times New Roman" w:eastAsia="Times New Roman" w:hAnsi="Times New Roman" w:cs="Times New Roman"/>
          <w:color w:val="000000"/>
          <w:sz w:val="26"/>
          <w:szCs w:val="26"/>
        </w:rPr>
        <w:t xml:space="preserve"> of the Code</w:t>
      </w:r>
      <w:r w:rsidRPr="00115129">
        <w:rPr>
          <w:rFonts w:ascii="Times New Roman" w:eastAsia="Times New Roman" w:hAnsi="Times New Roman" w:cs="Times New Roman"/>
          <w:color w:val="000000"/>
          <w:sz w:val="26"/>
          <w:szCs w:val="26"/>
        </w:rPr>
        <w:t xml:space="preserve"> to only apply where </w:t>
      </w:r>
      <w:r w:rsidR="00FC060D">
        <w:rPr>
          <w:rFonts w:ascii="Times New Roman" w:eastAsia="Times New Roman" w:hAnsi="Times New Roman" w:cs="Times New Roman"/>
          <w:color w:val="000000"/>
          <w:sz w:val="26"/>
          <w:szCs w:val="26"/>
        </w:rPr>
        <w:t xml:space="preserve">a </w:t>
      </w:r>
      <w:r w:rsidRPr="00115129">
        <w:rPr>
          <w:rFonts w:ascii="Times New Roman" w:eastAsia="Times New Roman" w:hAnsi="Times New Roman" w:cs="Times New Roman"/>
          <w:color w:val="000000"/>
          <w:sz w:val="26"/>
          <w:szCs w:val="26"/>
        </w:rPr>
        <w:t>utility provides an unreasonable preference or advantage to one third party over another.</w:t>
      </w:r>
      <w:r w:rsidR="00FC060D">
        <w:rPr>
          <w:rFonts w:ascii="Times New Roman" w:eastAsia="Times New Roman" w:hAnsi="Times New Roman" w:cs="Times New Roman"/>
          <w:color w:val="000000"/>
          <w:sz w:val="26"/>
          <w:szCs w:val="26"/>
        </w:rPr>
        <w:t xml:space="preserve"> </w:t>
      </w:r>
      <w:r w:rsidRPr="00115129">
        <w:rPr>
          <w:rFonts w:ascii="Times New Roman" w:eastAsia="Times New Roman" w:hAnsi="Times New Roman" w:cs="Times New Roman"/>
          <w:color w:val="000000"/>
          <w:sz w:val="26"/>
          <w:szCs w:val="26"/>
        </w:rPr>
        <w:t xml:space="preserve"> </w:t>
      </w:r>
      <w:r w:rsidRPr="00115129">
        <w:rPr>
          <w:rFonts w:ascii="Times New Roman" w:eastAsia="Times New Roman" w:hAnsi="Times New Roman" w:cs="Times New Roman"/>
          <w:i/>
          <w:iCs/>
          <w:color w:val="000000"/>
          <w:sz w:val="26"/>
          <w:szCs w:val="26"/>
        </w:rPr>
        <w:t>Id</w:t>
      </w:r>
      <w:r w:rsidRPr="00115129">
        <w:rPr>
          <w:rFonts w:ascii="Times New Roman" w:eastAsia="Times New Roman" w:hAnsi="Times New Roman" w:cs="Times New Roman"/>
          <w:color w:val="000000"/>
          <w:sz w:val="26"/>
          <w:szCs w:val="26"/>
        </w:rPr>
        <w:t xml:space="preserve">.   </w:t>
      </w:r>
    </w:p>
    <w:p w14:paraId="26C74CF8" w14:textId="77777777" w:rsidR="00115129" w:rsidRPr="00115129" w:rsidRDefault="00115129" w:rsidP="00115129">
      <w:pPr>
        <w:spacing w:after="0" w:line="360" w:lineRule="auto"/>
        <w:ind w:hanging="10"/>
        <w:rPr>
          <w:rFonts w:ascii="Times New Roman" w:eastAsia="Times New Roman" w:hAnsi="Times New Roman" w:cs="Times New Roman"/>
          <w:color w:val="000000"/>
          <w:sz w:val="26"/>
          <w:szCs w:val="26"/>
        </w:rPr>
      </w:pPr>
    </w:p>
    <w:p w14:paraId="56DB61CE" w14:textId="289115C4" w:rsidR="00590D3E" w:rsidRDefault="00115129" w:rsidP="00115129">
      <w:pPr>
        <w:spacing w:after="0" w:line="360" w:lineRule="auto"/>
        <w:ind w:firstLine="1440"/>
        <w:rPr>
          <w:rFonts w:ascii="Times New Roman" w:eastAsia="Times New Roman" w:hAnsi="Times New Roman" w:cs="Times New Roman"/>
          <w:color w:val="000000"/>
          <w:sz w:val="26"/>
          <w:szCs w:val="26"/>
        </w:rPr>
      </w:pPr>
      <w:r w:rsidRPr="00115129">
        <w:rPr>
          <w:rFonts w:ascii="Times New Roman" w:eastAsia="Times New Roman" w:hAnsi="Times New Roman" w:cs="Times New Roman"/>
          <w:color w:val="000000"/>
          <w:sz w:val="26"/>
          <w:szCs w:val="26"/>
        </w:rPr>
        <w:t>The ALJ concluded that the EDCs’ reading of Section 1502, to allow “</w:t>
      </w:r>
      <w:r w:rsidRPr="00115129">
        <w:rPr>
          <w:rFonts w:ascii="Times New Roman" w:eastAsia="Times New Roman" w:hAnsi="Times New Roman" w:cs="Times New Roman"/>
          <w:b/>
          <w:i/>
          <w:color w:val="000000"/>
          <w:sz w:val="26"/>
          <w:szCs w:val="26"/>
        </w:rPr>
        <w:t>all</w:t>
      </w:r>
      <w:r w:rsidR="00CB06ED">
        <w:rPr>
          <w:rFonts w:ascii="Times New Roman" w:eastAsia="Times New Roman" w:hAnsi="Times New Roman" w:cs="Times New Roman"/>
          <w:color w:val="000000"/>
          <w:sz w:val="26"/>
          <w:szCs w:val="26"/>
        </w:rPr>
        <w:t> </w:t>
      </w:r>
      <w:r w:rsidRPr="00115129">
        <w:rPr>
          <w:rFonts w:ascii="Times New Roman" w:eastAsia="Times New Roman" w:hAnsi="Times New Roman" w:cs="Times New Roman"/>
          <w:color w:val="000000"/>
          <w:sz w:val="26"/>
          <w:szCs w:val="26"/>
        </w:rPr>
        <w:t xml:space="preserve">providers, including the companies, …to send their own monthly bills to customers for their own products and services” as overly narrow.  </w:t>
      </w:r>
      <w:r w:rsidRPr="00115129">
        <w:rPr>
          <w:rFonts w:ascii="Times New Roman" w:eastAsia="Times New Roman" w:hAnsi="Times New Roman" w:cs="Times New Roman"/>
          <w:i/>
          <w:iCs/>
          <w:color w:val="000000"/>
          <w:sz w:val="26"/>
          <w:szCs w:val="26"/>
        </w:rPr>
        <w:t>Id</w:t>
      </w:r>
      <w:r w:rsidRPr="00115129">
        <w:rPr>
          <w:rFonts w:ascii="Times New Roman" w:eastAsia="Times New Roman" w:hAnsi="Times New Roman" w:cs="Times New Roman"/>
          <w:color w:val="000000"/>
          <w:sz w:val="26"/>
          <w:szCs w:val="26"/>
        </w:rPr>
        <w:t xml:space="preserve">. (emphasis added).  The ALJ expressly rejected the EDCs’ argument that, </w:t>
      </w:r>
      <w:r w:rsidR="00E83AC1">
        <w:rPr>
          <w:rFonts w:ascii="Times New Roman" w:eastAsia="Times New Roman" w:hAnsi="Times New Roman" w:cs="Times New Roman"/>
          <w:color w:val="000000"/>
          <w:sz w:val="26"/>
          <w:szCs w:val="26"/>
        </w:rPr>
        <w:t>in the present case</w:t>
      </w:r>
      <w:r w:rsidRPr="00115129">
        <w:rPr>
          <w:rFonts w:ascii="Times New Roman" w:eastAsia="Times New Roman" w:hAnsi="Times New Roman" w:cs="Times New Roman"/>
          <w:color w:val="000000"/>
          <w:sz w:val="26"/>
          <w:szCs w:val="26"/>
        </w:rPr>
        <w:t>, Section 1502’s prohibition on discrimination in service only applies when a utility is providing a preference to a third party over another</w:t>
      </w:r>
      <w:r w:rsidR="00E83AC1">
        <w:rPr>
          <w:rFonts w:ascii="Times New Roman" w:eastAsia="Times New Roman" w:hAnsi="Times New Roman" w:cs="Times New Roman"/>
          <w:color w:val="000000"/>
          <w:sz w:val="26"/>
          <w:szCs w:val="26"/>
        </w:rPr>
        <w:t>,</w:t>
      </w:r>
      <w:r w:rsidRPr="00115129">
        <w:rPr>
          <w:rFonts w:ascii="Times New Roman" w:eastAsia="Times New Roman" w:hAnsi="Times New Roman" w:cs="Times New Roman"/>
          <w:color w:val="000000"/>
          <w:sz w:val="26"/>
          <w:szCs w:val="26"/>
        </w:rPr>
        <w:t xml:space="preserve"> and that “neither the Commonwealth Court nor the Commission has found that a utility can violate section 1502 by offering its own service at the exclusion of others.” </w:t>
      </w:r>
      <w:r w:rsidR="00590D3E">
        <w:rPr>
          <w:rFonts w:ascii="Times New Roman" w:eastAsia="Times New Roman" w:hAnsi="Times New Roman" w:cs="Times New Roman"/>
          <w:color w:val="000000"/>
          <w:sz w:val="26"/>
          <w:szCs w:val="26"/>
        </w:rPr>
        <w:t xml:space="preserve"> </w:t>
      </w:r>
      <w:r w:rsidRPr="00115129">
        <w:rPr>
          <w:rFonts w:ascii="Times New Roman" w:eastAsia="Times New Roman" w:hAnsi="Times New Roman" w:cs="Times New Roman"/>
          <w:color w:val="000000"/>
          <w:sz w:val="26"/>
          <w:szCs w:val="26"/>
        </w:rPr>
        <w:t xml:space="preserve">I.D. at 16, citing EDC MB at 13-14.  In analyzing the language of Section 1502, the ALJ concluded </w:t>
      </w:r>
      <w:r w:rsidR="00590D3E">
        <w:rPr>
          <w:rFonts w:ascii="Times New Roman" w:eastAsia="Times New Roman" w:hAnsi="Times New Roman" w:cs="Times New Roman"/>
          <w:color w:val="000000"/>
          <w:sz w:val="26"/>
          <w:szCs w:val="26"/>
        </w:rPr>
        <w:t xml:space="preserve">that </w:t>
      </w:r>
      <w:r w:rsidRPr="00115129">
        <w:rPr>
          <w:rFonts w:ascii="Times New Roman" w:eastAsia="Times New Roman" w:hAnsi="Times New Roman" w:cs="Times New Roman"/>
          <w:color w:val="000000"/>
          <w:sz w:val="26"/>
          <w:szCs w:val="26"/>
        </w:rPr>
        <w:t>Section 1502’s prohibition on discrimination in service is broader than the EDCs’ interpretation.  The ALJ expressly found that:</w:t>
      </w:r>
    </w:p>
    <w:p w14:paraId="46E08748" w14:textId="7414A3C3" w:rsidR="00115129" w:rsidRPr="00115129" w:rsidRDefault="00115129" w:rsidP="00CB06ED">
      <w:pPr>
        <w:spacing w:after="0" w:line="240" w:lineRule="auto"/>
        <w:ind w:firstLine="1440"/>
        <w:rPr>
          <w:rFonts w:ascii="Times New Roman" w:eastAsia="Times New Roman" w:hAnsi="Times New Roman" w:cs="Times New Roman"/>
          <w:color w:val="000000"/>
          <w:sz w:val="26"/>
          <w:szCs w:val="26"/>
        </w:rPr>
      </w:pPr>
      <w:r w:rsidRPr="00115129">
        <w:rPr>
          <w:rFonts w:ascii="Times New Roman" w:eastAsia="Times New Roman" w:hAnsi="Times New Roman" w:cs="Times New Roman"/>
          <w:color w:val="000000"/>
          <w:sz w:val="26"/>
          <w:szCs w:val="26"/>
        </w:rPr>
        <w:t xml:space="preserve"> </w:t>
      </w:r>
    </w:p>
    <w:p w14:paraId="2EB2B00C" w14:textId="77777777" w:rsidR="00115129" w:rsidRPr="00115129" w:rsidRDefault="00115129" w:rsidP="00115129">
      <w:pPr>
        <w:spacing w:after="0" w:line="240" w:lineRule="auto"/>
        <w:ind w:left="1440" w:right="1440"/>
        <w:rPr>
          <w:rFonts w:ascii="Times New Roman" w:eastAsia="Times New Roman" w:hAnsi="Times New Roman" w:cs="Times New Roman"/>
          <w:i/>
          <w:iCs/>
          <w:color w:val="000000"/>
          <w:sz w:val="26"/>
          <w:szCs w:val="26"/>
        </w:rPr>
      </w:pPr>
      <w:r w:rsidRPr="00115129">
        <w:rPr>
          <w:rFonts w:ascii="Times New Roman" w:eastAsia="Times New Roman" w:hAnsi="Times New Roman" w:cs="Times New Roman"/>
          <w:color w:val="000000"/>
          <w:sz w:val="26"/>
          <w:szCs w:val="26"/>
        </w:rPr>
        <w:t xml:space="preserve">The [Section 1502] prohibition against unreasonable preference or advantage applies to “any person, corporation or municipal corporation,” </w:t>
      </w:r>
      <w:r w:rsidRPr="00115129">
        <w:rPr>
          <w:rFonts w:ascii="Times New Roman" w:eastAsia="Times New Roman" w:hAnsi="Times New Roman" w:cs="Times New Roman"/>
          <w:b/>
          <w:bCs/>
          <w:i/>
          <w:iCs/>
          <w:color w:val="000000"/>
          <w:sz w:val="26"/>
          <w:szCs w:val="26"/>
        </w:rPr>
        <w:t>which includes the EDCs themselves.</w:t>
      </w:r>
      <w:r w:rsidRPr="00115129">
        <w:rPr>
          <w:rFonts w:ascii="Times New Roman" w:eastAsia="Times New Roman" w:hAnsi="Times New Roman" w:cs="Times New Roman"/>
          <w:i/>
          <w:iCs/>
          <w:color w:val="000000"/>
          <w:sz w:val="26"/>
          <w:szCs w:val="26"/>
        </w:rPr>
        <w:t xml:space="preserve">  </w:t>
      </w:r>
    </w:p>
    <w:p w14:paraId="18187C80" w14:textId="77777777" w:rsidR="00115129" w:rsidRPr="00115129" w:rsidRDefault="00115129" w:rsidP="00CB06ED">
      <w:pPr>
        <w:spacing w:after="0" w:line="360" w:lineRule="auto"/>
        <w:ind w:right="1440"/>
        <w:rPr>
          <w:rFonts w:ascii="Times New Roman" w:eastAsia="Calibri" w:hAnsi="Times New Roman" w:cs="Times New Roman"/>
          <w:sz w:val="26"/>
          <w:szCs w:val="26"/>
        </w:rPr>
      </w:pPr>
    </w:p>
    <w:p w14:paraId="7E6D008E" w14:textId="77777777" w:rsidR="00115129" w:rsidRPr="00115129" w:rsidRDefault="00115129" w:rsidP="00115129">
      <w:pPr>
        <w:spacing w:after="0" w:line="240" w:lineRule="auto"/>
        <w:ind w:right="1440"/>
        <w:rPr>
          <w:rFonts w:ascii="Times New Roman" w:eastAsia="Calibri" w:hAnsi="Times New Roman" w:cs="Times New Roman"/>
          <w:sz w:val="26"/>
          <w:szCs w:val="26"/>
        </w:rPr>
      </w:pPr>
      <w:r w:rsidRPr="00115129">
        <w:rPr>
          <w:rFonts w:ascii="Times New Roman" w:eastAsia="Calibri" w:hAnsi="Times New Roman" w:cs="Times New Roman"/>
          <w:sz w:val="26"/>
          <w:szCs w:val="26"/>
        </w:rPr>
        <w:t>I.D. at 16. (</w:t>
      </w:r>
      <w:proofErr w:type="gramStart"/>
      <w:r w:rsidRPr="00115129">
        <w:rPr>
          <w:rFonts w:ascii="Times New Roman" w:eastAsia="Calibri" w:hAnsi="Times New Roman" w:cs="Times New Roman"/>
          <w:sz w:val="26"/>
          <w:szCs w:val="26"/>
        </w:rPr>
        <w:t>emphasis</w:t>
      </w:r>
      <w:proofErr w:type="gramEnd"/>
      <w:r w:rsidRPr="00115129">
        <w:rPr>
          <w:rFonts w:ascii="Times New Roman" w:eastAsia="Calibri" w:hAnsi="Times New Roman" w:cs="Times New Roman"/>
          <w:sz w:val="26"/>
          <w:szCs w:val="26"/>
        </w:rPr>
        <w:t xml:space="preserve"> added).   </w:t>
      </w:r>
    </w:p>
    <w:p w14:paraId="36BB416C" w14:textId="77777777" w:rsidR="00115129" w:rsidRPr="00115129" w:rsidRDefault="00115129" w:rsidP="00115129">
      <w:pPr>
        <w:spacing w:after="0" w:line="240" w:lineRule="auto"/>
        <w:ind w:right="1440"/>
        <w:rPr>
          <w:rFonts w:ascii="Times New Roman" w:eastAsia="Calibri" w:hAnsi="Times New Roman" w:cs="Times New Roman"/>
          <w:sz w:val="26"/>
          <w:szCs w:val="26"/>
        </w:rPr>
      </w:pPr>
    </w:p>
    <w:p w14:paraId="48C98D32" w14:textId="77777777" w:rsidR="00115129" w:rsidRPr="00115129" w:rsidRDefault="00115129" w:rsidP="00115129">
      <w:pPr>
        <w:spacing w:after="0" w:line="240" w:lineRule="auto"/>
        <w:ind w:right="1440"/>
        <w:rPr>
          <w:rFonts w:ascii="Times New Roman" w:eastAsia="Calibri" w:hAnsi="Times New Roman" w:cs="Times New Roman"/>
          <w:sz w:val="26"/>
          <w:szCs w:val="26"/>
        </w:rPr>
      </w:pPr>
    </w:p>
    <w:p w14:paraId="773AA382" w14:textId="0E482D82" w:rsidR="00115129" w:rsidRPr="00115129" w:rsidRDefault="00115129" w:rsidP="00115129">
      <w:pPr>
        <w:spacing w:after="0" w:line="360" w:lineRule="auto"/>
        <w:ind w:firstLine="1440"/>
        <w:rPr>
          <w:rFonts w:ascii="Times New Roman" w:eastAsia="Calibri" w:hAnsi="Times New Roman" w:cs="Times New Roman"/>
          <w:sz w:val="26"/>
          <w:szCs w:val="26"/>
        </w:rPr>
      </w:pPr>
      <w:r w:rsidRPr="00115129">
        <w:rPr>
          <w:rFonts w:ascii="Times New Roman" w:eastAsia="Calibri" w:hAnsi="Times New Roman" w:cs="Times New Roman"/>
          <w:sz w:val="26"/>
          <w:szCs w:val="26"/>
        </w:rPr>
        <w:lastRenderedPageBreak/>
        <w:t>The ALJ then dismissed the EDCs’ arguments regarding the practical challenges for implementation of the on-bill billing remedy proposed by the EGSs.  The ALJ concluded that, while the EDCs raised genuine implementation challenges, none justified permitting the EDCs to continue their discriminatory billing practices.  I.D.</w:t>
      </w:r>
      <w:r w:rsidR="00CB06ED">
        <w:rPr>
          <w:rFonts w:ascii="Times New Roman" w:eastAsia="Calibri" w:hAnsi="Times New Roman" w:cs="Times New Roman"/>
          <w:sz w:val="26"/>
          <w:szCs w:val="26"/>
        </w:rPr>
        <w:t> </w:t>
      </w:r>
      <w:r w:rsidRPr="00115129">
        <w:rPr>
          <w:rFonts w:ascii="Times New Roman" w:eastAsia="Calibri" w:hAnsi="Times New Roman" w:cs="Times New Roman"/>
          <w:sz w:val="26"/>
          <w:szCs w:val="26"/>
        </w:rPr>
        <w:t>at</w:t>
      </w:r>
      <w:r w:rsidR="00CB06ED">
        <w:rPr>
          <w:rFonts w:ascii="Times New Roman" w:eastAsia="Calibri" w:hAnsi="Times New Roman" w:cs="Times New Roman"/>
          <w:sz w:val="26"/>
          <w:szCs w:val="26"/>
        </w:rPr>
        <w:t> </w:t>
      </w:r>
      <w:r w:rsidRPr="00115129">
        <w:rPr>
          <w:rFonts w:ascii="Times New Roman" w:eastAsia="Calibri" w:hAnsi="Times New Roman" w:cs="Times New Roman"/>
          <w:sz w:val="26"/>
          <w:szCs w:val="26"/>
        </w:rPr>
        <w:t>17.</w:t>
      </w:r>
    </w:p>
    <w:p w14:paraId="1F9FA518" w14:textId="77777777" w:rsidR="00115129" w:rsidRPr="00115129" w:rsidRDefault="00115129" w:rsidP="00115129">
      <w:pPr>
        <w:spacing w:after="0" w:line="360" w:lineRule="auto"/>
        <w:ind w:firstLine="1440"/>
        <w:rPr>
          <w:rFonts w:ascii="Times New Roman" w:eastAsia="Calibri" w:hAnsi="Times New Roman" w:cs="Times New Roman"/>
          <w:sz w:val="26"/>
          <w:szCs w:val="26"/>
        </w:rPr>
      </w:pPr>
    </w:p>
    <w:p w14:paraId="4A8D4EBA" w14:textId="774E73D8" w:rsidR="00115129" w:rsidRPr="00115129" w:rsidRDefault="00115129" w:rsidP="00115129">
      <w:pPr>
        <w:spacing w:after="0" w:line="360" w:lineRule="auto"/>
        <w:ind w:firstLine="1440"/>
        <w:rPr>
          <w:rFonts w:ascii="Times New Roman" w:eastAsia="Times New Roman" w:hAnsi="Times New Roman" w:cs="Times New Roman"/>
          <w:color w:val="000000"/>
          <w:sz w:val="26"/>
          <w:szCs w:val="26"/>
        </w:rPr>
      </w:pPr>
      <w:r w:rsidRPr="00115129">
        <w:rPr>
          <w:rFonts w:ascii="Times New Roman" w:eastAsia="Calibri" w:hAnsi="Times New Roman" w:cs="Times New Roman"/>
          <w:sz w:val="26"/>
          <w:szCs w:val="26"/>
        </w:rPr>
        <w:t xml:space="preserve">With respect to the application of Section 2804(6) </w:t>
      </w:r>
      <w:r w:rsidR="00D7568B">
        <w:rPr>
          <w:rFonts w:ascii="Times New Roman" w:eastAsia="Calibri" w:hAnsi="Times New Roman" w:cs="Times New Roman"/>
          <w:sz w:val="26"/>
          <w:szCs w:val="26"/>
        </w:rPr>
        <w:t xml:space="preserve">of the Code </w:t>
      </w:r>
      <w:r w:rsidRPr="00115129">
        <w:rPr>
          <w:rFonts w:ascii="Times New Roman" w:eastAsia="Calibri" w:hAnsi="Times New Roman" w:cs="Times New Roman"/>
          <w:sz w:val="26"/>
          <w:szCs w:val="26"/>
        </w:rPr>
        <w:t xml:space="preserve">to the present case, the ALJ rejected the EDCs’ argument that </w:t>
      </w:r>
      <w:r w:rsidRPr="00115129">
        <w:rPr>
          <w:rFonts w:ascii="Times New Roman" w:eastAsia="Times New Roman" w:hAnsi="Times New Roman" w:cs="Times New Roman"/>
          <w:color w:val="000000"/>
          <w:sz w:val="26"/>
          <w:szCs w:val="26"/>
        </w:rPr>
        <w:t>“</w:t>
      </w:r>
      <w:r w:rsidR="00C11BE9">
        <w:rPr>
          <w:rFonts w:ascii="Times New Roman" w:eastAsia="Times New Roman" w:hAnsi="Times New Roman" w:cs="Times New Roman"/>
          <w:color w:val="000000"/>
          <w:sz w:val="26"/>
          <w:szCs w:val="26"/>
        </w:rPr>
        <w:t>S</w:t>
      </w:r>
      <w:r w:rsidRPr="00115129">
        <w:rPr>
          <w:rFonts w:ascii="Times New Roman" w:eastAsia="Times New Roman" w:hAnsi="Times New Roman" w:cs="Times New Roman"/>
          <w:color w:val="000000"/>
          <w:sz w:val="26"/>
          <w:szCs w:val="26"/>
        </w:rPr>
        <w:t xml:space="preserve">ection 2804(6) is inapplicable to this case which relates only to the billing of EGSs’ unregulated, non-commodity products and services.”  I.D. at 17-18, citing EDC M.B. at 25.  The ALJ was not persuaded that the Act “is irrelevant to the billing of non-commodity products and services offered by EGSs, which is entirely separate from EGSs’ generation service.” </w:t>
      </w:r>
      <w:r w:rsidR="00B740DA">
        <w:rPr>
          <w:rFonts w:ascii="Times New Roman" w:eastAsia="Times New Roman" w:hAnsi="Times New Roman" w:cs="Times New Roman"/>
          <w:color w:val="000000"/>
          <w:sz w:val="26"/>
          <w:szCs w:val="26"/>
        </w:rPr>
        <w:t xml:space="preserve"> </w:t>
      </w:r>
      <w:r w:rsidRPr="00CB06ED">
        <w:rPr>
          <w:rFonts w:ascii="Times New Roman" w:eastAsia="Times New Roman" w:hAnsi="Times New Roman" w:cs="Times New Roman"/>
          <w:i/>
          <w:iCs/>
          <w:color w:val="000000"/>
          <w:sz w:val="26"/>
          <w:szCs w:val="26"/>
        </w:rPr>
        <w:t>Id.</w:t>
      </w:r>
      <w:r w:rsidRPr="00115129">
        <w:rPr>
          <w:rFonts w:ascii="Times New Roman" w:eastAsia="Times New Roman" w:hAnsi="Times New Roman" w:cs="Times New Roman"/>
          <w:color w:val="000000"/>
          <w:sz w:val="26"/>
          <w:szCs w:val="26"/>
        </w:rPr>
        <w:t xml:space="preserve"> citing EDC MB at 26.  The ALJ again rejected the EDCs’ argument that the Commission’s holding in </w:t>
      </w:r>
      <w:r w:rsidRPr="00115129">
        <w:rPr>
          <w:rFonts w:ascii="Times New Roman" w:eastAsia="Times New Roman" w:hAnsi="Times New Roman" w:cs="Times New Roman"/>
          <w:i/>
          <w:iCs/>
          <w:color w:val="000000"/>
          <w:sz w:val="26"/>
          <w:szCs w:val="26"/>
          <w:u w:color="000000"/>
        </w:rPr>
        <w:t>Columbia</w:t>
      </w:r>
      <w:r w:rsidRPr="00115129">
        <w:rPr>
          <w:rFonts w:ascii="Times New Roman" w:eastAsia="Times New Roman" w:hAnsi="Times New Roman" w:cs="Times New Roman"/>
          <w:color w:val="000000"/>
          <w:sz w:val="26"/>
          <w:szCs w:val="26"/>
        </w:rPr>
        <w:t xml:space="preserve"> is distinguishable from the present case. </w:t>
      </w:r>
      <w:r w:rsidR="00B740DA">
        <w:rPr>
          <w:rFonts w:ascii="Times New Roman" w:eastAsia="Times New Roman" w:hAnsi="Times New Roman" w:cs="Times New Roman"/>
          <w:color w:val="000000"/>
          <w:sz w:val="26"/>
          <w:szCs w:val="26"/>
        </w:rPr>
        <w:t xml:space="preserve"> </w:t>
      </w:r>
      <w:r w:rsidRPr="00115129">
        <w:rPr>
          <w:rFonts w:ascii="Times New Roman" w:eastAsia="Times New Roman" w:hAnsi="Times New Roman" w:cs="Times New Roman"/>
          <w:color w:val="000000"/>
          <w:sz w:val="26"/>
          <w:szCs w:val="26"/>
        </w:rPr>
        <w:t>I.D.</w:t>
      </w:r>
      <w:r w:rsidR="00CB06ED">
        <w:rPr>
          <w:rFonts w:ascii="Times New Roman" w:eastAsia="Times New Roman" w:hAnsi="Times New Roman" w:cs="Times New Roman"/>
          <w:color w:val="000000"/>
          <w:sz w:val="26"/>
          <w:szCs w:val="26"/>
        </w:rPr>
        <w:t> </w:t>
      </w:r>
      <w:r w:rsidRPr="00115129">
        <w:rPr>
          <w:rFonts w:ascii="Times New Roman" w:eastAsia="Times New Roman" w:hAnsi="Times New Roman" w:cs="Times New Roman"/>
          <w:color w:val="000000"/>
          <w:sz w:val="26"/>
          <w:szCs w:val="26"/>
        </w:rPr>
        <w:t>at</w:t>
      </w:r>
      <w:r w:rsidR="00CB06ED">
        <w:rPr>
          <w:rFonts w:ascii="Times New Roman" w:eastAsia="Times New Roman" w:hAnsi="Times New Roman" w:cs="Times New Roman"/>
          <w:color w:val="000000"/>
          <w:sz w:val="26"/>
          <w:szCs w:val="26"/>
        </w:rPr>
        <w:t> </w:t>
      </w:r>
      <w:r w:rsidRPr="00115129">
        <w:rPr>
          <w:rFonts w:ascii="Times New Roman" w:eastAsia="Times New Roman" w:hAnsi="Times New Roman" w:cs="Times New Roman"/>
          <w:color w:val="000000"/>
          <w:sz w:val="26"/>
          <w:szCs w:val="26"/>
        </w:rPr>
        <w:t>17</w:t>
      </w:r>
      <w:r w:rsidR="00CB06ED">
        <w:rPr>
          <w:rFonts w:ascii="Times New Roman" w:eastAsia="Times New Roman" w:hAnsi="Times New Roman" w:cs="Times New Roman"/>
          <w:color w:val="000000"/>
          <w:sz w:val="26"/>
          <w:szCs w:val="26"/>
        </w:rPr>
        <w:noBreakHyphen/>
      </w:r>
      <w:r w:rsidRPr="00115129">
        <w:rPr>
          <w:rFonts w:ascii="Times New Roman" w:eastAsia="Times New Roman" w:hAnsi="Times New Roman" w:cs="Times New Roman"/>
          <w:color w:val="000000"/>
          <w:sz w:val="26"/>
          <w:szCs w:val="26"/>
        </w:rPr>
        <w:t xml:space="preserve">18. </w:t>
      </w:r>
    </w:p>
    <w:p w14:paraId="2A121A93" w14:textId="77777777" w:rsidR="00115129" w:rsidRPr="00115129" w:rsidRDefault="00115129" w:rsidP="00115129">
      <w:pPr>
        <w:spacing w:after="0" w:line="360" w:lineRule="auto"/>
        <w:ind w:firstLine="1440"/>
        <w:rPr>
          <w:rFonts w:ascii="Times New Roman" w:eastAsia="Times New Roman" w:hAnsi="Times New Roman" w:cs="Times New Roman"/>
          <w:color w:val="000000"/>
          <w:sz w:val="26"/>
          <w:szCs w:val="26"/>
        </w:rPr>
      </w:pPr>
    </w:p>
    <w:p w14:paraId="6F62F4D3" w14:textId="77777777" w:rsidR="0098346D" w:rsidRDefault="00115129" w:rsidP="00115129">
      <w:pPr>
        <w:spacing w:after="0" w:line="360" w:lineRule="auto"/>
        <w:ind w:firstLine="1440"/>
        <w:rPr>
          <w:rFonts w:ascii="Times New Roman" w:eastAsia="Times New Roman" w:hAnsi="Times New Roman" w:cs="Times New Roman"/>
          <w:color w:val="000000"/>
          <w:sz w:val="26"/>
          <w:szCs w:val="26"/>
        </w:rPr>
      </w:pPr>
      <w:r w:rsidRPr="00115129">
        <w:rPr>
          <w:rFonts w:ascii="Times New Roman" w:eastAsia="Times New Roman" w:hAnsi="Times New Roman" w:cs="Times New Roman"/>
          <w:color w:val="000000"/>
          <w:sz w:val="26"/>
          <w:szCs w:val="26"/>
        </w:rPr>
        <w:t>The ALJ then turned to the OCA’s intervention.  The OCA intervened to oppose the EGSs’ proposal to require the EDCs to include additional non-commodity goods and services on customers’ monthly bills</w:t>
      </w:r>
      <w:r w:rsidR="001A341B">
        <w:rPr>
          <w:rFonts w:ascii="Times New Roman" w:eastAsia="Times New Roman" w:hAnsi="Times New Roman" w:cs="Times New Roman"/>
          <w:color w:val="000000"/>
          <w:sz w:val="26"/>
          <w:szCs w:val="26"/>
        </w:rPr>
        <w:t>.  The OCA took the position that the proposal was</w:t>
      </w:r>
      <w:r w:rsidRPr="00115129">
        <w:rPr>
          <w:rFonts w:ascii="Times New Roman" w:eastAsia="Times New Roman" w:hAnsi="Times New Roman" w:cs="Times New Roman"/>
          <w:color w:val="000000"/>
          <w:sz w:val="26"/>
          <w:szCs w:val="26"/>
        </w:rPr>
        <w:t xml:space="preserve"> unreasonable and </w:t>
      </w:r>
      <w:r w:rsidR="0098346D">
        <w:rPr>
          <w:rFonts w:ascii="Times New Roman" w:eastAsia="Times New Roman" w:hAnsi="Times New Roman" w:cs="Times New Roman"/>
          <w:color w:val="000000"/>
          <w:sz w:val="26"/>
          <w:szCs w:val="26"/>
        </w:rPr>
        <w:t xml:space="preserve">was </w:t>
      </w:r>
      <w:r w:rsidRPr="00115129">
        <w:rPr>
          <w:rFonts w:ascii="Times New Roman" w:eastAsia="Times New Roman" w:hAnsi="Times New Roman" w:cs="Times New Roman"/>
          <w:color w:val="000000"/>
          <w:sz w:val="26"/>
          <w:szCs w:val="26"/>
        </w:rPr>
        <w:t xml:space="preserve">generally </w:t>
      </w:r>
      <w:r w:rsidR="0098346D">
        <w:rPr>
          <w:rFonts w:ascii="Times New Roman" w:eastAsia="Times New Roman" w:hAnsi="Times New Roman" w:cs="Times New Roman"/>
          <w:color w:val="000000"/>
          <w:sz w:val="26"/>
          <w:szCs w:val="26"/>
        </w:rPr>
        <w:t>o</w:t>
      </w:r>
      <w:r w:rsidRPr="00115129">
        <w:rPr>
          <w:rFonts w:ascii="Times New Roman" w:eastAsia="Times New Roman" w:hAnsi="Times New Roman" w:cs="Times New Roman"/>
          <w:color w:val="000000"/>
          <w:sz w:val="26"/>
          <w:szCs w:val="26"/>
        </w:rPr>
        <w:t>ppose</w:t>
      </w:r>
      <w:r w:rsidR="0098346D">
        <w:rPr>
          <w:rFonts w:ascii="Times New Roman" w:eastAsia="Times New Roman" w:hAnsi="Times New Roman" w:cs="Times New Roman"/>
          <w:color w:val="000000"/>
          <w:sz w:val="26"/>
          <w:szCs w:val="26"/>
        </w:rPr>
        <w:t>d to</w:t>
      </w:r>
      <w:r w:rsidRPr="00115129">
        <w:rPr>
          <w:rFonts w:ascii="Times New Roman" w:eastAsia="Times New Roman" w:hAnsi="Times New Roman" w:cs="Times New Roman"/>
          <w:color w:val="000000"/>
          <w:sz w:val="26"/>
          <w:szCs w:val="26"/>
        </w:rPr>
        <w:t xml:space="preserve"> the practice of </w:t>
      </w:r>
      <w:r w:rsidR="00D35F7B">
        <w:rPr>
          <w:rFonts w:ascii="Times New Roman" w:eastAsia="Times New Roman" w:hAnsi="Times New Roman" w:cs="Times New Roman"/>
          <w:color w:val="000000"/>
          <w:sz w:val="26"/>
          <w:szCs w:val="26"/>
        </w:rPr>
        <w:t>“</w:t>
      </w:r>
      <w:r w:rsidRPr="00115129">
        <w:rPr>
          <w:rFonts w:ascii="Times New Roman" w:eastAsia="Times New Roman" w:hAnsi="Times New Roman" w:cs="Times New Roman"/>
          <w:color w:val="000000"/>
          <w:sz w:val="26"/>
          <w:szCs w:val="26"/>
        </w:rPr>
        <w:t>on-bill billing</w:t>
      </w:r>
      <w:r w:rsidR="00D35F7B">
        <w:rPr>
          <w:rFonts w:ascii="Times New Roman" w:eastAsia="Times New Roman" w:hAnsi="Times New Roman" w:cs="Times New Roman"/>
          <w:color w:val="000000"/>
          <w:sz w:val="26"/>
          <w:szCs w:val="26"/>
        </w:rPr>
        <w:t>”</w:t>
      </w:r>
      <w:r w:rsidRPr="00115129">
        <w:rPr>
          <w:rFonts w:ascii="Times New Roman" w:eastAsia="Times New Roman" w:hAnsi="Times New Roman" w:cs="Times New Roman"/>
          <w:color w:val="000000"/>
          <w:sz w:val="26"/>
          <w:szCs w:val="26"/>
        </w:rPr>
        <w:t xml:space="preserve"> for non-commodity goods and services as raising many issues related to potential customer confusion.  </w:t>
      </w:r>
    </w:p>
    <w:p w14:paraId="293F36C9" w14:textId="77777777" w:rsidR="0098346D" w:rsidRDefault="0098346D" w:rsidP="00115129">
      <w:pPr>
        <w:spacing w:after="0" w:line="360" w:lineRule="auto"/>
        <w:ind w:firstLine="1440"/>
        <w:rPr>
          <w:rFonts w:ascii="Times New Roman" w:eastAsia="Times New Roman" w:hAnsi="Times New Roman" w:cs="Times New Roman"/>
          <w:color w:val="000000"/>
          <w:sz w:val="26"/>
          <w:szCs w:val="26"/>
        </w:rPr>
      </w:pPr>
    </w:p>
    <w:p w14:paraId="13924D8D" w14:textId="67B9AB5B" w:rsidR="00115129" w:rsidRPr="00115129" w:rsidRDefault="0098346D" w:rsidP="00115129">
      <w:pPr>
        <w:spacing w:after="0" w:line="360" w:lineRule="auto"/>
        <w:ind w:firstLine="144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On consideration of the position of the OCA, </w:t>
      </w:r>
      <w:r w:rsidR="00115129" w:rsidRPr="00115129">
        <w:rPr>
          <w:rFonts w:ascii="Times New Roman" w:eastAsia="Times New Roman" w:hAnsi="Times New Roman" w:cs="Times New Roman"/>
          <w:color w:val="000000"/>
          <w:sz w:val="26"/>
          <w:szCs w:val="26"/>
        </w:rPr>
        <w:t xml:space="preserve">ALJ </w:t>
      </w:r>
      <w:r>
        <w:rPr>
          <w:rFonts w:ascii="Times New Roman" w:eastAsia="Times New Roman" w:hAnsi="Times New Roman" w:cs="Times New Roman"/>
          <w:color w:val="000000"/>
          <w:sz w:val="26"/>
          <w:szCs w:val="26"/>
        </w:rPr>
        <w:t xml:space="preserve">Cheskis </w:t>
      </w:r>
      <w:r w:rsidR="00115129" w:rsidRPr="00115129">
        <w:rPr>
          <w:rFonts w:ascii="Times New Roman" w:eastAsia="Times New Roman" w:hAnsi="Times New Roman" w:cs="Times New Roman"/>
          <w:color w:val="000000"/>
          <w:sz w:val="26"/>
          <w:szCs w:val="26"/>
        </w:rPr>
        <w:t xml:space="preserve">concluded </w:t>
      </w:r>
      <w:r>
        <w:rPr>
          <w:rFonts w:ascii="Times New Roman" w:eastAsia="Times New Roman" w:hAnsi="Times New Roman" w:cs="Times New Roman"/>
          <w:color w:val="000000"/>
          <w:sz w:val="26"/>
          <w:szCs w:val="26"/>
        </w:rPr>
        <w:t xml:space="preserve">that </w:t>
      </w:r>
      <w:r w:rsidR="00115129" w:rsidRPr="00115129">
        <w:rPr>
          <w:rFonts w:ascii="Times New Roman" w:eastAsia="Times New Roman" w:hAnsi="Times New Roman" w:cs="Times New Roman"/>
          <w:color w:val="000000"/>
          <w:sz w:val="26"/>
          <w:szCs w:val="26"/>
        </w:rPr>
        <w:t xml:space="preserve">the OCA raised genuine consumer protections issues which must be addressed by whatever manner of </w:t>
      </w:r>
      <w:r w:rsidR="00D336C6">
        <w:rPr>
          <w:rFonts w:ascii="Times New Roman" w:eastAsia="Times New Roman" w:hAnsi="Times New Roman" w:cs="Times New Roman"/>
          <w:color w:val="000000"/>
          <w:sz w:val="26"/>
          <w:szCs w:val="26"/>
        </w:rPr>
        <w:t>“</w:t>
      </w:r>
      <w:r w:rsidR="00115129" w:rsidRPr="00115129">
        <w:rPr>
          <w:rFonts w:ascii="Times New Roman" w:eastAsia="Times New Roman" w:hAnsi="Times New Roman" w:cs="Times New Roman"/>
          <w:color w:val="000000"/>
          <w:sz w:val="26"/>
          <w:szCs w:val="26"/>
        </w:rPr>
        <w:t>on-bill billing</w:t>
      </w:r>
      <w:r w:rsidR="00D336C6">
        <w:rPr>
          <w:rFonts w:ascii="Times New Roman" w:eastAsia="Times New Roman" w:hAnsi="Times New Roman" w:cs="Times New Roman"/>
          <w:color w:val="000000"/>
          <w:sz w:val="26"/>
          <w:szCs w:val="26"/>
        </w:rPr>
        <w:t>”</w:t>
      </w:r>
      <w:r w:rsidR="00115129" w:rsidRPr="00115129">
        <w:rPr>
          <w:rFonts w:ascii="Times New Roman" w:eastAsia="Times New Roman" w:hAnsi="Times New Roman" w:cs="Times New Roman"/>
          <w:color w:val="000000"/>
          <w:sz w:val="26"/>
          <w:szCs w:val="26"/>
        </w:rPr>
        <w:t xml:space="preserve"> the EDCs ultimately propose to resolve the finding of discriminatory billing.  However, the ALJ rejected the OCA’s requested relief of prohibiting and/or prescribing the way the practice of </w:t>
      </w:r>
      <w:r w:rsidR="007E10F0">
        <w:rPr>
          <w:rFonts w:ascii="Times New Roman" w:eastAsia="Times New Roman" w:hAnsi="Times New Roman" w:cs="Times New Roman"/>
          <w:color w:val="000000"/>
          <w:sz w:val="26"/>
          <w:szCs w:val="26"/>
        </w:rPr>
        <w:t>“</w:t>
      </w:r>
      <w:r w:rsidR="00115129" w:rsidRPr="00115129">
        <w:rPr>
          <w:rFonts w:ascii="Times New Roman" w:eastAsia="Times New Roman" w:hAnsi="Times New Roman" w:cs="Times New Roman"/>
          <w:color w:val="000000"/>
          <w:sz w:val="26"/>
          <w:szCs w:val="26"/>
        </w:rPr>
        <w:t>on-bill billing</w:t>
      </w:r>
      <w:r w:rsidR="007E10F0">
        <w:rPr>
          <w:rFonts w:ascii="Times New Roman" w:eastAsia="Times New Roman" w:hAnsi="Times New Roman" w:cs="Times New Roman"/>
          <w:color w:val="000000"/>
          <w:sz w:val="26"/>
          <w:szCs w:val="26"/>
        </w:rPr>
        <w:t>”</w:t>
      </w:r>
      <w:r w:rsidR="00115129" w:rsidRPr="00115129">
        <w:rPr>
          <w:rFonts w:ascii="Times New Roman" w:eastAsia="Times New Roman" w:hAnsi="Times New Roman" w:cs="Times New Roman"/>
          <w:color w:val="000000"/>
          <w:sz w:val="26"/>
          <w:szCs w:val="26"/>
        </w:rPr>
        <w:t xml:space="preserve"> should be </w:t>
      </w:r>
      <w:r w:rsidR="00115129" w:rsidRPr="00115129">
        <w:rPr>
          <w:rFonts w:ascii="Times New Roman" w:eastAsia="Times New Roman" w:hAnsi="Times New Roman" w:cs="Times New Roman"/>
          <w:color w:val="000000"/>
          <w:sz w:val="26"/>
          <w:szCs w:val="26"/>
        </w:rPr>
        <w:lastRenderedPageBreak/>
        <w:t>conducted to comport with the Commission’s Chapter 56 billing regulations.  I.D</w:t>
      </w:r>
      <w:r w:rsidR="00CB06ED">
        <w:rPr>
          <w:rFonts w:ascii="Times New Roman" w:eastAsia="Times New Roman" w:hAnsi="Times New Roman" w:cs="Times New Roman"/>
          <w:color w:val="000000"/>
          <w:sz w:val="26"/>
          <w:szCs w:val="26"/>
        </w:rPr>
        <w:t> </w:t>
      </w:r>
      <w:r w:rsidR="00115129" w:rsidRPr="00115129">
        <w:rPr>
          <w:rFonts w:ascii="Times New Roman" w:eastAsia="Times New Roman" w:hAnsi="Times New Roman" w:cs="Times New Roman"/>
          <w:color w:val="000000"/>
          <w:sz w:val="26"/>
          <w:szCs w:val="26"/>
        </w:rPr>
        <w:t>at</w:t>
      </w:r>
      <w:r w:rsidR="00CB06ED">
        <w:rPr>
          <w:rFonts w:ascii="Times New Roman" w:eastAsia="Times New Roman" w:hAnsi="Times New Roman" w:cs="Times New Roman"/>
          <w:color w:val="000000"/>
          <w:sz w:val="26"/>
          <w:szCs w:val="26"/>
        </w:rPr>
        <w:t> </w:t>
      </w:r>
      <w:r w:rsidR="00115129" w:rsidRPr="00115129">
        <w:rPr>
          <w:rFonts w:ascii="Times New Roman" w:eastAsia="Times New Roman" w:hAnsi="Times New Roman" w:cs="Times New Roman"/>
          <w:color w:val="000000"/>
          <w:sz w:val="26"/>
          <w:szCs w:val="26"/>
        </w:rPr>
        <w:t>21</w:t>
      </w:r>
      <w:r w:rsidR="00CB06ED">
        <w:rPr>
          <w:rFonts w:ascii="Times New Roman" w:eastAsia="Times New Roman" w:hAnsi="Times New Roman" w:cs="Times New Roman"/>
          <w:color w:val="000000"/>
          <w:sz w:val="26"/>
          <w:szCs w:val="26"/>
        </w:rPr>
        <w:noBreakHyphen/>
      </w:r>
      <w:r w:rsidR="00115129" w:rsidRPr="00115129">
        <w:rPr>
          <w:rFonts w:ascii="Times New Roman" w:eastAsia="Times New Roman" w:hAnsi="Times New Roman" w:cs="Times New Roman"/>
          <w:color w:val="000000"/>
          <w:sz w:val="26"/>
          <w:szCs w:val="26"/>
        </w:rPr>
        <w:t xml:space="preserve">22.    </w:t>
      </w:r>
    </w:p>
    <w:p w14:paraId="6EB5CD06" w14:textId="77777777" w:rsidR="00115129" w:rsidRPr="00115129" w:rsidRDefault="00115129" w:rsidP="00115129">
      <w:pPr>
        <w:spacing w:after="0" w:line="360" w:lineRule="auto"/>
        <w:ind w:firstLine="1440"/>
        <w:rPr>
          <w:rFonts w:ascii="Times New Roman" w:eastAsia="Times New Roman" w:hAnsi="Times New Roman" w:cs="Times New Roman"/>
          <w:color w:val="000000"/>
          <w:sz w:val="26"/>
          <w:szCs w:val="26"/>
        </w:rPr>
      </w:pPr>
    </w:p>
    <w:p w14:paraId="4F873EDD" w14:textId="7E1AE0DF" w:rsidR="00115129" w:rsidRPr="00115129" w:rsidRDefault="00D35869" w:rsidP="00115129">
      <w:pPr>
        <w:spacing w:after="0" w:line="360" w:lineRule="auto"/>
        <w:ind w:firstLine="1440"/>
        <w:rPr>
          <w:rFonts w:ascii="Times New Roman" w:eastAsia="Times New Roman" w:hAnsi="Times New Roman" w:cs="Times New Roman"/>
          <w:color w:val="000000"/>
          <w:sz w:val="26"/>
          <w:szCs w:val="26"/>
        </w:rPr>
      </w:pPr>
      <w:r w:rsidRPr="00140012">
        <w:rPr>
          <w:rFonts w:ascii="Times New Roman" w:eastAsia="Times New Roman" w:hAnsi="Times New Roman" w:cs="Times New Roman"/>
          <w:color w:val="000000"/>
          <w:sz w:val="26"/>
          <w:szCs w:val="26"/>
        </w:rPr>
        <w:t xml:space="preserve">Therefore, based upon the ALJ’s application of the </w:t>
      </w:r>
      <w:r w:rsidR="006C45DA" w:rsidRPr="00140012">
        <w:rPr>
          <w:rFonts w:ascii="Times New Roman" w:eastAsia="Times New Roman" w:hAnsi="Times New Roman" w:cs="Times New Roman"/>
          <w:color w:val="000000"/>
          <w:sz w:val="26"/>
          <w:szCs w:val="26"/>
        </w:rPr>
        <w:t>general definition of “discrimination,” the provisions of Sections 1502 and 2804(</w:t>
      </w:r>
      <w:r w:rsidR="00363E44" w:rsidRPr="00140012">
        <w:rPr>
          <w:rFonts w:ascii="Times New Roman" w:eastAsia="Times New Roman" w:hAnsi="Times New Roman" w:cs="Times New Roman"/>
          <w:color w:val="000000"/>
          <w:sz w:val="26"/>
          <w:szCs w:val="26"/>
        </w:rPr>
        <w:t xml:space="preserve">6) of the Code, </w:t>
      </w:r>
      <w:r w:rsidR="00CE7881">
        <w:rPr>
          <w:rFonts w:ascii="Times New Roman" w:eastAsia="Times New Roman" w:hAnsi="Times New Roman" w:cs="Times New Roman"/>
          <w:color w:val="000000"/>
          <w:sz w:val="26"/>
          <w:szCs w:val="26"/>
        </w:rPr>
        <w:t xml:space="preserve">66 Pa. C.S. §§ </w:t>
      </w:r>
      <w:r w:rsidR="00CE7881" w:rsidRPr="00140012">
        <w:rPr>
          <w:rFonts w:ascii="Times New Roman" w:eastAsia="Times New Roman" w:hAnsi="Times New Roman" w:cs="Times New Roman"/>
          <w:color w:val="000000"/>
          <w:sz w:val="26"/>
          <w:szCs w:val="26"/>
        </w:rPr>
        <w:t>1502 and 2804(6)</w:t>
      </w:r>
      <w:r w:rsidR="00CE7881">
        <w:rPr>
          <w:rFonts w:ascii="Times New Roman" w:eastAsia="Times New Roman" w:hAnsi="Times New Roman" w:cs="Times New Roman"/>
          <w:color w:val="000000"/>
          <w:sz w:val="26"/>
          <w:szCs w:val="26"/>
        </w:rPr>
        <w:t>,</w:t>
      </w:r>
      <w:r w:rsidR="00CE7881" w:rsidRPr="00140012">
        <w:rPr>
          <w:rFonts w:ascii="Times New Roman" w:eastAsia="Times New Roman" w:hAnsi="Times New Roman" w:cs="Times New Roman"/>
          <w:color w:val="000000"/>
          <w:sz w:val="26"/>
          <w:szCs w:val="26"/>
        </w:rPr>
        <w:t xml:space="preserve"> </w:t>
      </w:r>
      <w:r w:rsidR="00363E44" w:rsidRPr="00140012">
        <w:rPr>
          <w:rFonts w:ascii="Times New Roman" w:eastAsia="Times New Roman" w:hAnsi="Times New Roman" w:cs="Times New Roman"/>
          <w:color w:val="000000"/>
          <w:sz w:val="26"/>
          <w:szCs w:val="26"/>
        </w:rPr>
        <w:t xml:space="preserve">and the Commission’s prior decision in </w:t>
      </w:r>
      <w:r w:rsidR="00363E44" w:rsidRPr="00140012">
        <w:rPr>
          <w:rFonts w:ascii="Times New Roman" w:eastAsia="Times New Roman" w:hAnsi="Times New Roman" w:cs="Times New Roman"/>
          <w:i/>
          <w:iCs/>
          <w:color w:val="000000"/>
          <w:sz w:val="26"/>
          <w:szCs w:val="26"/>
        </w:rPr>
        <w:t>Columbia</w:t>
      </w:r>
      <w:r w:rsidR="00363E44" w:rsidRPr="00140012">
        <w:rPr>
          <w:rFonts w:ascii="Times New Roman" w:eastAsia="Times New Roman" w:hAnsi="Times New Roman" w:cs="Times New Roman"/>
          <w:color w:val="000000"/>
          <w:sz w:val="26"/>
          <w:szCs w:val="26"/>
        </w:rPr>
        <w:t xml:space="preserve">, </w:t>
      </w:r>
      <w:r w:rsidRPr="00140012">
        <w:rPr>
          <w:rFonts w:ascii="Times New Roman" w:eastAsia="Times New Roman" w:hAnsi="Times New Roman" w:cs="Times New Roman"/>
          <w:color w:val="000000"/>
          <w:sz w:val="26"/>
          <w:szCs w:val="26"/>
        </w:rPr>
        <w:t>the</w:t>
      </w:r>
      <w:r w:rsidR="00115129" w:rsidRPr="00115129">
        <w:rPr>
          <w:rFonts w:ascii="Times New Roman" w:eastAsia="Times New Roman" w:hAnsi="Times New Roman" w:cs="Times New Roman"/>
          <w:color w:val="000000"/>
          <w:sz w:val="26"/>
          <w:szCs w:val="26"/>
        </w:rPr>
        <w:t xml:space="preserve"> ALJ concluded: </w:t>
      </w:r>
    </w:p>
    <w:p w14:paraId="7A2DE170" w14:textId="77777777" w:rsidR="00CE7881" w:rsidRDefault="00CE7881" w:rsidP="00115129">
      <w:pPr>
        <w:spacing w:after="0" w:line="240" w:lineRule="auto"/>
        <w:ind w:left="1440" w:right="1440" w:firstLine="1440"/>
        <w:rPr>
          <w:rFonts w:ascii="Times New Roman" w:hAnsi="Times New Roman" w:cs="Times New Roman"/>
          <w:sz w:val="26"/>
          <w:szCs w:val="26"/>
        </w:rPr>
      </w:pPr>
    </w:p>
    <w:p w14:paraId="594B2624" w14:textId="7D0DC861" w:rsidR="00115129" w:rsidRPr="00115129" w:rsidRDefault="007176B0" w:rsidP="00CE7881">
      <w:pPr>
        <w:spacing w:after="0" w:line="240" w:lineRule="auto"/>
        <w:ind w:left="1440" w:right="1440"/>
        <w:rPr>
          <w:rFonts w:ascii="Times New Roman" w:eastAsia="Times New Roman" w:hAnsi="Times New Roman" w:cs="Times New Roman"/>
          <w:b/>
          <w:bCs/>
          <w:color w:val="000000"/>
          <w:sz w:val="26"/>
          <w:szCs w:val="26"/>
        </w:rPr>
      </w:pPr>
      <w:r>
        <w:rPr>
          <w:rFonts w:ascii="Times New Roman" w:hAnsi="Times New Roman" w:cs="Times New Roman"/>
          <w:sz w:val="26"/>
          <w:szCs w:val="26"/>
        </w:rPr>
        <w:tab/>
      </w:r>
      <w:r w:rsidR="00115129" w:rsidRPr="00115129">
        <w:rPr>
          <w:rFonts w:ascii="Times New Roman" w:hAnsi="Times New Roman" w:cs="Times New Roman"/>
          <w:sz w:val="26"/>
          <w:szCs w:val="26"/>
        </w:rPr>
        <w:t xml:space="preserve">The EDCs must either provide on-bill billing for </w:t>
      </w:r>
      <w:r w:rsidR="00115129" w:rsidRPr="00115129">
        <w:rPr>
          <w:rFonts w:ascii="Times New Roman" w:hAnsi="Times New Roman" w:cs="Times New Roman"/>
          <w:b/>
          <w:bCs/>
          <w:sz w:val="26"/>
          <w:szCs w:val="26"/>
        </w:rPr>
        <w:t>all suppliers’</w:t>
      </w:r>
      <w:r w:rsidR="00115129" w:rsidRPr="00115129">
        <w:rPr>
          <w:rFonts w:ascii="Times New Roman" w:hAnsi="Times New Roman" w:cs="Times New Roman"/>
          <w:sz w:val="26"/>
          <w:szCs w:val="26"/>
        </w:rPr>
        <w:t xml:space="preserve"> non-basic, non-commodity products and services </w:t>
      </w:r>
      <w:r w:rsidR="00115129" w:rsidRPr="00115129">
        <w:rPr>
          <w:rFonts w:ascii="Times New Roman" w:hAnsi="Times New Roman" w:cs="Times New Roman"/>
          <w:b/>
          <w:bCs/>
          <w:sz w:val="26"/>
          <w:szCs w:val="26"/>
        </w:rPr>
        <w:t xml:space="preserve">or to no one at all, including </w:t>
      </w:r>
      <w:r w:rsidR="00115129" w:rsidRPr="00115129">
        <w:rPr>
          <w:rFonts w:ascii="Times New Roman" w:hAnsi="Times New Roman" w:cs="Times New Roman"/>
          <w:b/>
          <w:bCs/>
          <w:sz w:val="26"/>
          <w:szCs w:val="26"/>
          <w:u w:val="single"/>
        </w:rPr>
        <w:t>themselves</w:t>
      </w:r>
      <w:r w:rsidR="00115129" w:rsidRPr="00115129">
        <w:rPr>
          <w:rFonts w:ascii="Times New Roman" w:hAnsi="Times New Roman" w:cs="Times New Roman"/>
          <w:b/>
          <w:bCs/>
          <w:sz w:val="26"/>
          <w:szCs w:val="26"/>
        </w:rPr>
        <w:t xml:space="preserve"> and their affiliates.</w:t>
      </w:r>
    </w:p>
    <w:p w14:paraId="33031A68" w14:textId="77777777" w:rsidR="00115129" w:rsidRPr="00115129" w:rsidRDefault="00115129" w:rsidP="00CB06ED">
      <w:pPr>
        <w:spacing w:after="0" w:line="360" w:lineRule="auto"/>
        <w:rPr>
          <w:rFonts w:ascii="Times New Roman" w:eastAsia="Calibri" w:hAnsi="Times New Roman" w:cs="Times New Roman"/>
          <w:sz w:val="26"/>
          <w:szCs w:val="26"/>
        </w:rPr>
      </w:pPr>
    </w:p>
    <w:p w14:paraId="1918CDC4" w14:textId="2E9C3A2D" w:rsidR="00115129" w:rsidRPr="00140012" w:rsidRDefault="00115129" w:rsidP="00CB06ED">
      <w:pPr>
        <w:spacing w:after="0" w:line="360" w:lineRule="auto"/>
        <w:rPr>
          <w:rFonts w:ascii="Times New Roman" w:eastAsia="Calibri" w:hAnsi="Times New Roman" w:cs="Times New Roman"/>
          <w:sz w:val="26"/>
          <w:szCs w:val="26"/>
        </w:rPr>
      </w:pPr>
      <w:r w:rsidRPr="00115129">
        <w:rPr>
          <w:rFonts w:ascii="Times New Roman" w:eastAsia="Calibri" w:hAnsi="Times New Roman" w:cs="Times New Roman"/>
          <w:sz w:val="26"/>
          <w:szCs w:val="26"/>
        </w:rPr>
        <w:t>I.D. at 23 (emphasis added)</w:t>
      </w:r>
      <w:r w:rsidR="00A1791B" w:rsidRPr="00140012">
        <w:rPr>
          <w:rFonts w:ascii="Times New Roman" w:eastAsia="Calibri" w:hAnsi="Times New Roman" w:cs="Times New Roman"/>
          <w:sz w:val="26"/>
          <w:szCs w:val="26"/>
        </w:rPr>
        <w:t>.</w:t>
      </w:r>
    </w:p>
    <w:p w14:paraId="76E9DD61" w14:textId="04DEC1BC" w:rsidR="00A1791B" w:rsidRDefault="00A1791B" w:rsidP="00CB06ED">
      <w:pPr>
        <w:spacing w:after="0" w:line="360" w:lineRule="auto"/>
        <w:rPr>
          <w:rFonts w:ascii="Times New Roman" w:eastAsia="Calibri" w:hAnsi="Times New Roman" w:cs="Times New Roman"/>
          <w:sz w:val="26"/>
          <w:szCs w:val="26"/>
        </w:rPr>
      </w:pPr>
    </w:p>
    <w:p w14:paraId="0B7F473E" w14:textId="06E9C9AC" w:rsidR="00B513F9" w:rsidRDefault="00C80092" w:rsidP="00CB06ED">
      <w:pPr>
        <w:pStyle w:val="ListParagraph"/>
        <w:keepNext/>
        <w:keepLines/>
        <w:numPr>
          <w:ilvl w:val="0"/>
          <w:numId w:val="20"/>
        </w:numPr>
        <w:spacing w:after="0" w:line="360" w:lineRule="auto"/>
        <w:ind w:left="720" w:hanging="720"/>
        <w:rPr>
          <w:rFonts w:ascii="Times New Roman" w:hAnsi="Times New Roman" w:cs="Times New Roman"/>
          <w:b/>
          <w:sz w:val="26"/>
          <w:szCs w:val="26"/>
        </w:rPr>
      </w:pPr>
      <w:r>
        <w:rPr>
          <w:rFonts w:ascii="Times New Roman" w:hAnsi="Times New Roman" w:cs="Times New Roman"/>
          <w:b/>
          <w:sz w:val="26"/>
          <w:szCs w:val="26"/>
        </w:rPr>
        <w:t xml:space="preserve">Exceptions and Replies </w:t>
      </w:r>
    </w:p>
    <w:p w14:paraId="2D269722" w14:textId="625D2519" w:rsidR="00C80092" w:rsidRDefault="00C80092" w:rsidP="00CB06ED">
      <w:pPr>
        <w:pStyle w:val="ListParagraph"/>
        <w:spacing w:after="0" w:line="360" w:lineRule="auto"/>
        <w:rPr>
          <w:rFonts w:ascii="Times New Roman" w:hAnsi="Times New Roman" w:cs="Times New Roman"/>
          <w:b/>
          <w:sz w:val="26"/>
          <w:szCs w:val="26"/>
        </w:rPr>
      </w:pPr>
    </w:p>
    <w:p w14:paraId="71E3CA0A" w14:textId="70C510B7" w:rsidR="002E2C53" w:rsidRPr="002E2C53" w:rsidRDefault="00DC1AA9" w:rsidP="00CB06ED">
      <w:pPr>
        <w:spacing w:after="0" w:line="360" w:lineRule="auto"/>
        <w:ind w:firstLine="1440"/>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I</w:t>
      </w:r>
      <w:r w:rsidR="002E2C53" w:rsidRPr="002E2C53">
        <w:rPr>
          <w:rFonts w:ascii="Times New Roman" w:eastAsia="Times New Roman" w:hAnsi="Times New Roman" w:cs="Times New Roman"/>
          <w:bCs/>
          <w:color w:val="000000"/>
          <w:sz w:val="26"/>
          <w:szCs w:val="26"/>
        </w:rPr>
        <w:t>n Exception</w:t>
      </w:r>
      <w:r w:rsidR="00475002">
        <w:rPr>
          <w:rFonts w:ascii="Times New Roman" w:eastAsia="Times New Roman" w:hAnsi="Times New Roman" w:cs="Times New Roman"/>
          <w:bCs/>
          <w:color w:val="000000"/>
          <w:sz w:val="26"/>
          <w:szCs w:val="26"/>
        </w:rPr>
        <w:t>s</w:t>
      </w:r>
      <w:r w:rsidR="002E2C53" w:rsidRPr="002E2C53">
        <w:rPr>
          <w:rFonts w:ascii="Times New Roman" w:eastAsia="Times New Roman" w:hAnsi="Times New Roman" w:cs="Times New Roman"/>
          <w:bCs/>
          <w:color w:val="000000"/>
          <w:sz w:val="26"/>
          <w:szCs w:val="26"/>
        </w:rPr>
        <w:t>, the EDCs argue that the ALJ erred by concluding in the Initial Decision that the EDCs’ practice of billing for non-commodity goods and services violates Section 1502 of the Code.</w:t>
      </w:r>
      <w:r w:rsidR="00C26E4E">
        <w:rPr>
          <w:rFonts w:ascii="Times New Roman" w:eastAsia="Times New Roman" w:hAnsi="Times New Roman" w:cs="Times New Roman"/>
          <w:bCs/>
          <w:color w:val="000000"/>
          <w:sz w:val="26"/>
          <w:szCs w:val="26"/>
        </w:rPr>
        <w:t xml:space="preserve">  </w:t>
      </w:r>
      <w:r w:rsidR="002E2C53" w:rsidRPr="002E2C53">
        <w:rPr>
          <w:rFonts w:ascii="Times New Roman" w:eastAsia="Times New Roman" w:hAnsi="Times New Roman" w:cs="Times New Roman"/>
          <w:bCs/>
          <w:color w:val="000000"/>
          <w:sz w:val="26"/>
          <w:szCs w:val="26"/>
        </w:rPr>
        <w:t xml:space="preserve">Further, the EDCs maintain that the ALJ </w:t>
      </w:r>
      <w:r w:rsidR="002E2C53" w:rsidRPr="002E2C53">
        <w:rPr>
          <w:rFonts w:ascii="Times New Roman" w:eastAsia="Times New Roman" w:hAnsi="Times New Roman" w:cs="Times New Roman"/>
          <w:color w:val="000000"/>
          <w:sz w:val="26"/>
          <w:szCs w:val="26"/>
        </w:rPr>
        <w:t xml:space="preserve">incorrectly applied the Commission’s decision in </w:t>
      </w:r>
      <w:r w:rsidR="002E2C53" w:rsidRPr="002E2C53">
        <w:rPr>
          <w:rFonts w:ascii="Times New Roman" w:eastAsia="Times New Roman" w:hAnsi="Times New Roman" w:cs="Times New Roman"/>
          <w:i/>
          <w:color w:val="000000"/>
          <w:sz w:val="26"/>
          <w:szCs w:val="26"/>
        </w:rPr>
        <w:t xml:space="preserve">Columbia </w:t>
      </w:r>
      <w:r w:rsidR="002E2C53" w:rsidRPr="002E2C53">
        <w:rPr>
          <w:rFonts w:ascii="Times New Roman" w:eastAsia="Times New Roman" w:hAnsi="Times New Roman" w:cs="Times New Roman"/>
          <w:color w:val="000000"/>
          <w:sz w:val="26"/>
          <w:szCs w:val="26"/>
        </w:rPr>
        <w:t xml:space="preserve">to the facts of this proceeding.  The EDCs argue that the facts in </w:t>
      </w:r>
      <w:r w:rsidR="002E2C53" w:rsidRPr="002E2C53">
        <w:rPr>
          <w:rFonts w:ascii="Times New Roman" w:eastAsia="Times New Roman" w:hAnsi="Times New Roman" w:cs="Times New Roman"/>
          <w:i/>
          <w:iCs/>
          <w:color w:val="000000"/>
          <w:sz w:val="26"/>
          <w:szCs w:val="26"/>
        </w:rPr>
        <w:t>Columbia</w:t>
      </w:r>
      <w:r w:rsidR="002E2C53" w:rsidRPr="002E2C53">
        <w:rPr>
          <w:rFonts w:ascii="Times New Roman" w:eastAsia="Times New Roman" w:hAnsi="Times New Roman" w:cs="Times New Roman"/>
          <w:color w:val="000000"/>
          <w:sz w:val="26"/>
          <w:szCs w:val="26"/>
        </w:rPr>
        <w:t xml:space="preserve"> are distinguishable from the facts in the present case in many material respects.</w:t>
      </w:r>
      <w:r w:rsidR="006E0DFB">
        <w:rPr>
          <w:rFonts w:ascii="Times New Roman" w:eastAsia="Times New Roman" w:hAnsi="Times New Roman" w:cs="Times New Roman"/>
          <w:color w:val="000000"/>
          <w:sz w:val="26"/>
          <w:szCs w:val="26"/>
        </w:rPr>
        <w:t xml:space="preserve"> </w:t>
      </w:r>
      <w:r w:rsidR="00475002">
        <w:rPr>
          <w:rFonts w:ascii="Times New Roman" w:eastAsia="Times New Roman" w:hAnsi="Times New Roman" w:cs="Times New Roman"/>
          <w:color w:val="000000"/>
          <w:sz w:val="26"/>
          <w:szCs w:val="26"/>
        </w:rPr>
        <w:t xml:space="preserve"> </w:t>
      </w:r>
      <w:r w:rsidR="006E0DFB">
        <w:rPr>
          <w:rFonts w:ascii="Times New Roman" w:eastAsia="Times New Roman" w:hAnsi="Times New Roman" w:cs="Times New Roman"/>
          <w:color w:val="000000"/>
          <w:sz w:val="26"/>
          <w:szCs w:val="26"/>
        </w:rPr>
        <w:t xml:space="preserve">EDC Exc.at </w:t>
      </w:r>
      <w:r w:rsidR="00B63FB0">
        <w:rPr>
          <w:rFonts w:ascii="Times New Roman" w:eastAsia="Times New Roman" w:hAnsi="Times New Roman" w:cs="Times New Roman"/>
          <w:color w:val="000000"/>
          <w:sz w:val="26"/>
          <w:szCs w:val="26"/>
        </w:rPr>
        <w:t xml:space="preserve">1-11. </w:t>
      </w:r>
    </w:p>
    <w:p w14:paraId="4ACADA6B" w14:textId="77777777" w:rsidR="002E2C53" w:rsidRPr="002E2C53" w:rsidRDefault="002E2C53" w:rsidP="002E2C53">
      <w:pPr>
        <w:spacing w:after="0" w:line="360" w:lineRule="auto"/>
        <w:ind w:firstLine="1440"/>
        <w:rPr>
          <w:rFonts w:ascii="Times New Roman" w:eastAsia="Times New Roman" w:hAnsi="Times New Roman" w:cs="Times New Roman"/>
          <w:color w:val="000000"/>
          <w:sz w:val="26"/>
          <w:szCs w:val="26"/>
        </w:rPr>
      </w:pPr>
    </w:p>
    <w:p w14:paraId="632A244B" w14:textId="7309AAF4" w:rsidR="002E2C53" w:rsidRPr="002E2C53" w:rsidRDefault="002E2C53" w:rsidP="002E2C53">
      <w:pPr>
        <w:spacing w:after="0" w:line="360" w:lineRule="auto"/>
        <w:ind w:firstLine="1440"/>
        <w:rPr>
          <w:rFonts w:ascii="Times New Roman" w:eastAsia="Times New Roman" w:hAnsi="Times New Roman" w:cs="Times New Roman"/>
          <w:color w:val="000000"/>
          <w:sz w:val="26"/>
          <w:szCs w:val="26"/>
        </w:rPr>
      </w:pPr>
      <w:r w:rsidRPr="002E2C53">
        <w:rPr>
          <w:rFonts w:ascii="Times New Roman" w:eastAsia="Times New Roman" w:hAnsi="Times New Roman" w:cs="Times New Roman"/>
          <w:color w:val="000000"/>
          <w:sz w:val="26"/>
          <w:szCs w:val="26"/>
        </w:rPr>
        <w:t>The EDCs assert that</w:t>
      </w:r>
      <w:r w:rsidR="00C71EB6">
        <w:rPr>
          <w:rFonts w:ascii="Times New Roman" w:eastAsia="Times New Roman" w:hAnsi="Times New Roman" w:cs="Times New Roman"/>
          <w:color w:val="000000"/>
          <w:sz w:val="26"/>
          <w:szCs w:val="26"/>
        </w:rPr>
        <w:t>,</w:t>
      </w:r>
      <w:r w:rsidRPr="002E2C53">
        <w:rPr>
          <w:rFonts w:ascii="Times New Roman" w:eastAsia="Times New Roman" w:hAnsi="Times New Roman" w:cs="Times New Roman"/>
          <w:color w:val="000000"/>
          <w:sz w:val="26"/>
          <w:szCs w:val="26"/>
        </w:rPr>
        <w:t xml:space="preserve"> although both </w:t>
      </w:r>
      <w:r w:rsidR="00C71EB6">
        <w:rPr>
          <w:rFonts w:ascii="Times New Roman" w:eastAsia="Times New Roman" w:hAnsi="Times New Roman" w:cs="Times New Roman"/>
          <w:color w:val="000000"/>
          <w:sz w:val="26"/>
          <w:szCs w:val="26"/>
        </w:rPr>
        <w:t xml:space="preserve">the present case and </w:t>
      </w:r>
      <w:r w:rsidR="00C71EB6" w:rsidRPr="00C71EB6">
        <w:rPr>
          <w:rFonts w:ascii="Times New Roman" w:eastAsia="Times New Roman" w:hAnsi="Times New Roman" w:cs="Times New Roman"/>
          <w:i/>
          <w:iCs/>
          <w:color w:val="000000"/>
          <w:sz w:val="26"/>
          <w:szCs w:val="26"/>
        </w:rPr>
        <w:t>Columbia</w:t>
      </w:r>
      <w:r w:rsidRPr="002E2C53">
        <w:rPr>
          <w:rFonts w:ascii="Times New Roman" w:eastAsia="Times New Roman" w:hAnsi="Times New Roman" w:cs="Times New Roman"/>
          <w:color w:val="000000"/>
          <w:sz w:val="26"/>
          <w:szCs w:val="26"/>
        </w:rPr>
        <w:t xml:space="preserve"> address </w:t>
      </w:r>
      <w:r w:rsidR="00C71EB6">
        <w:rPr>
          <w:rFonts w:ascii="Times New Roman" w:eastAsia="Times New Roman" w:hAnsi="Times New Roman" w:cs="Times New Roman"/>
          <w:color w:val="000000"/>
          <w:sz w:val="26"/>
          <w:szCs w:val="26"/>
        </w:rPr>
        <w:t xml:space="preserve">a </w:t>
      </w:r>
      <w:r w:rsidRPr="002E2C53">
        <w:rPr>
          <w:rFonts w:ascii="Times New Roman" w:eastAsia="Times New Roman" w:hAnsi="Times New Roman" w:cs="Times New Roman"/>
          <w:color w:val="000000"/>
          <w:sz w:val="26"/>
          <w:szCs w:val="26"/>
        </w:rPr>
        <w:t>utilit</w:t>
      </w:r>
      <w:r w:rsidR="00BA17C7">
        <w:rPr>
          <w:rFonts w:ascii="Times New Roman" w:eastAsia="Times New Roman" w:hAnsi="Times New Roman" w:cs="Times New Roman"/>
          <w:color w:val="000000"/>
          <w:sz w:val="26"/>
          <w:szCs w:val="26"/>
        </w:rPr>
        <w:t xml:space="preserve">y’s </w:t>
      </w:r>
      <w:r w:rsidRPr="002E2C53">
        <w:rPr>
          <w:rFonts w:ascii="Times New Roman" w:eastAsia="Times New Roman" w:hAnsi="Times New Roman" w:cs="Times New Roman"/>
          <w:color w:val="000000"/>
          <w:sz w:val="26"/>
          <w:szCs w:val="26"/>
        </w:rPr>
        <w:t xml:space="preserve">billing for non-commodity goods and services while prohibiting </w:t>
      </w:r>
      <w:r w:rsidR="0072348A">
        <w:rPr>
          <w:rFonts w:ascii="Times New Roman" w:eastAsia="Times New Roman" w:hAnsi="Times New Roman" w:cs="Times New Roman"/>
          <w:color w:val="000000"/>
          <w:sz w:val="26"/>
          <w:szCs w:val="26"/>
        </w:rPr>
        <w:t xml:space="preserve">the </w:t>
      </w:r>
      <w:r w:rsidRPr="002E2C53">
        <w:rPr>
          <w:rFonts w:ascii="Times New Roman" w:eastAsia="Times New Roman" w:hAnsi="Times New Roman" w:cs="Times New Roman"/>
          <w:color w:val="000000"/>
          <w:sz w:val="26"/>
          <w:szCs w:val="26"/>
        </w:rPr>
        <w:t xml:space="preserve">EGSs from utilizing </w:t>
      </w:r>
      <w:r w:rsidR="00BA17C7">
        <w:rPr>
          <w:rFonts w:ascii="Times New Roman" w:eastAsia="Times New Roman" w:hAnsi="Times New Roman" w:cs="Times New Roman"/>
          <w:color w:val="000000"/>
          <w:sz w:val="26"/>
          <w:szCs w:val="26"/>
        </w:rPr>
        <w:t xml:space="preserve">the </w:t>
      </w:r>
      <w:r w:rsidRPr="002E2C53">
        <w:rPr>
          <w:rFonts w:ascii="Times New Roman" w:eastAsia="Times New Roman" w:hAnsi="Times New Roman" w:cs="Times New Roman"/>
          <w:color w:val="000000"/>
          <w:sz w:val="26"/>
          <w:szCs w:val="26"/>
        </w:rPr>
        <w:t>utility</w:t>
      </w:r>
      <w:r w:rsidR="00BA17C7">
        <w:rPr>
          <w:rFonts w:ascii="Times New Roman" w:eastAsia="Times New Roman" w:hAnsi="Times New Roman" w:cs="Times New Roman"/>
          <w:color w:val="000000"/>
          <w:sz w:val="26"/>
          <w:szCs w:val="26"/>
        </w:rPr>
        <w:t>’s</w:t>
      </w:r>
      <w:r w:rsidRPr="002E2C53">
        <w:rPr>
          <w:rFonts w:ascii="Times New Roman" w:eastAsia="Times New Roman" w:hAnsi="Times New Roman" w:cs="Times New Roman"/>
          <w:color w:val="000000"/>
          <w:sz w:val="26"/>
          <w:szCs w:val="26"/>
        </w:rPr>
        <w:t xml:space="preserve"> consolidated billing for their non-commodity goods and services, that is where the similarities between the cases ends.  Specifically, the EDCs assert that here, the EDCs bill for their own non-commodity goods and services, whereas in </w:t>
      </w:r>
      <w:r w:rsidRPr="002E2C53">
        <w:rPr>
          <w:rFonts w:ascii="Times New Roman" w:eastAsia="Times New Roman" w:hAnsi="Times New Roman" w:cs="Times New Roman"/>
          <w:i/>
          <w:iCs/>
          <w:color w:val="000000"/>
          <w:sz w:val="26"/>
          <w:szCs w:val="26"/>
        </w:rPr>
        <w:t>Columbia</w:t>
      </w:r>
      <w:r w:rsidRPr="002E2C53">
        <w:rPr>
          <w:rFonts w:ascii="Times New Roman" w:eastAsia="Times New Roman" w:hAnsi="Times New Roman" w:cs="Times New Roman"/>
          <w:color w:val="000000"/>
          <w:sz w:val="26"/>
          <w:szCs w:val="26"/>
        </w:rPr>
        <w:t xml:space="preserve">, Columbia was billing for the products and services of certain third parties who </w:t>
      </w:r>
      <w:r w:rsidRPr="002E2C53">
        <w:rPr>
          <w:rFonts w:ascii="Times New Roman" w:eastAsia="Times New Roman" w:hAnsi="Times New Roman" w:cs="Times New Roman"/>
          <w:color w:val="000000"/>
          <w:sz w:val="26"/>
          <w:szCs w:val="26"/>
        </w:rPr>
        <w:lastRenderedPageBreak/>
        <w:t>were also former affiliates of Columbia.  In the present case, the EDCs note that they are not providing preferential treatment between one third party and another – the EDCs are continuing to bill for the good</w:t>
      </w:r>
      <w:r w:rsidR="0072348A">
        <w:rPr>
          <w:rFonts w:ascii="Times New Roman" w:eastAsia="Times New Roman" w:hAnsi="Times New Roman" w:cs="Times New Roman"/>
          <w:color w:val="000000"/>
          <w:sz w:val="26"/>
          <w:szCs w:val="26"/>
        </w:rPr>
        <w:t>s</w:t>
      </w:r>
      <w:r w:rsidRPr="002E2C53">
        <w:rPr>
          <w:rFonts w:ascii="Times New Roman" w:eastAsia="Times New Roman" w:hAnsi="Times New Roman" w:cs="Times New Roman"/>
          <w:color w:val="000000"/>
          <w:sz w:val="26"/>
          <w:szCs w:val="26"/>
        </w:rPr>
        <w:t xml:space="preserve"> and services </w:t>
      </w:r>
      <w:r w:rsidRPr="002E2C53">
        <w:rPr>
          <w:rFonts w:ascii="Times New Roman" w:eastAsia="Times New Roman" w:hAnsi="Times New Roman" w:cs="Times New Roman"/>
          <w:i/>
          <w:iCs/>
          <w:color w:val="000000"/>
          <w:sz w:val="26"/>
          <w:szCs w:val="26"/>
        </w:rPr>
        <w:t>they themselves</w:t>
      </w:r>
      <w:r w:rsidRPr="002E2C53">
        <w:rPr>
          <w:rFonts w:ascii="Times New Roman" w:eastAsia="Times New Roman" w:hAnsi="Times New Roman" w:cs="Times New Roman"/>
          <w:color w:val="000000"/>
          <w:sz w:val="26"/>
          <w:szCs w:val="26"/>
        </w:rPr>
        <w:t xml:space="preserve"> have been offering for decades.  The EDC</w:t>
      </w:r>
      <w:r w:rsidR="00E966FE">
        <w:rPr>
          <w:rFonts w:ascii="Times New Roman" w:eastAsia="Times New Roman" w:hAnsi="Times New Roman" w:cs="Times New Roman"/>
          <w:color w:val="000000"/>
          <w:sz w:val="26"/>
          <w:szCs w:val="26"/>
        </w:rPr>
        <w:t>s</w:t>
      </w:r>
      <w:r w:rsidRPr="002E2C53">
        <w:rPr>
          <w:rFonts w:ascii="Times New Roman" w:eastAsia="Times New Roman" w:hAnsi="Times New Roman" w:cs="Times New Roman"/>
          <w:color w:val="000000"/>
          <w:sz w:val="26"/>
          <w:szCs w:val="26"/>
        </w:rPr>
        <w:t xml:space="preserve"> assert that the EDCs’ billing for non-commodity goods and services is fully consistent with Section 1502 of the Public Utility Code, which prohibits unreasonable discrimination by a utility.  </w:t>
      </w:r>
    </w:p>
    <w:p w14:paraId="62BF40E3" w14:textId="77777777" w:rsidR="002E2C53" w:rsidRPr="002E2C53" w:rsidRDefault="002E2C53" w:rsidP="002E2C53">
      <w:pPr>
        <w:spacing w:after="0" w:line="360" w:lineRule="auto"/>
        <w:ind w:firstLine="1440"/>
        <w:rPr>
          <w:rFonts w:ascii="Times New Roman" w:eastAsia="Times New Roman" w:hAnsi="Times New Roman" w:cs="Times New Roman"/>
          <w:color w:val="000000"/>
          <w:sz w:val="26"/>
          <w:szCs w:val="26"/>
        </w:rPr>
      </w:pPr>
    </w:p>
    <w:p w14:paraId="5E293707" w14:textId="0BAF4E0A" w:rsidR="002E2C53" w:rsidRPr="002E2C53" w:rsidRDefault="002E2C53" w:rsidP="002E2C53">
      <w:pPr>
        <w:spacing w:after="0" w:line="360" w:lineRule="auto"/>
        <w:ind w:firstLine="1440"/>
        <w:rPr>
          <w:rFonts w:ascii="Times New Roman" w:eastAsia="Times New Roman" w:hAnsi="Times New Roman" w:cs="Times New Roman"/>
          <w:color w:val="000000"/>
          <w:sz w:val="26"/>
          <w:szCs w:val="26"/>
        </w:rPr>
      </w:pPr>
      <w:r w:rsidRPr="002E2C53">
        <w:rPr>
          <w:rFonts w:ascii="Times New Roman" w:eastAsia="Times New Roman" w:hAnsi="Times New Roman" w:cs="Times New Roman"/>
          <w:color w:val="000000"/>
          <w:sz w:val="26"/>
          <w:szCs w:val="26"/>
        </w:rPr>
        <w:t xml:space="preserve">The EDCs note that in </w:t>
      </w:r>
      <w:r w:rsidRPr="002E2C53">
        <w:rPr>
          <w:rFonts w:ascii="Times New Roman" w:eastAsia="Times New Roman" w:hAnsi="Times New Roman" w:cs="Times New Roman"/>
          <w:i/>
          <w:color w:val="000000"/>
          <w:sz w:val="26"/>
          <w:szCs w:val="26"/>
        </w:rPr>
        <w:t>Columbia</w:t>
      </w:r>
      <w:r w:rsidRPr="002E2C53">
        <w:rPr>
          <w:rFonts w:ascii="Times New Roman" w:eastAsia="Times New Roman" w:hAnsi="Times New Roman" w:cs="Times New Roman"/>
          <w:color w:val="000000"/>
          <w:sz w:val="26"/>
          <w:szCs w:val="26"/>
        </w:rPr>
        <w:t>, the utility was offering non-commodity billing service</w:t>
      </w:r>
      <w:r w:rsidR="00B61185">
        <w:rPr>
          <w:rFonts w:ascii="Times New Roman" w:eastAsia="Times New Roman" w:hAnsi="Times New Roman" w:cs="Times New Roman"/>
          <w:color w:val="000000"/>
          <w:sz w:val="26"/>
          <w:szCs w:val="26"/>
        </w:rPr>
        <w:t>s</w:t>
      </w:r>
      <w:r w:rsidRPr="002E2C53">
        <w:rPr>
          <w:rFonts w:ascii="Times New Roman" w:eastAsia="Times New Roman" w:hAnsi="Times New Roman" w:cs="Times New Roman"/>
          <w:color w:val="000000"/>
          <w:sz w:val="26"/>
          <w:szCs w:val="26"/>
        </w:rPr>
        <w:t xml:space="preserve"> to some third parties, which indicated that it was able to offer this same service to other third parties but was arbitrarily choosing not to do so.</w:t>
      </w:r>
      <w:r w:rsidR="00B61185">
        <w:rPr>
          <w:rFonts w:ascii="Times New Roman" w:eastAsia="Times New Roman" w:hAnsi="Times New Roman" w:cs="Times New Roman"/>
          <w:color w:val="000000"/>
          <w:sz w:val="26"/>
          <w:szCs w:val="26"/>
        </w:rPr>
        <w:t xml:space="preserve"> </w:t>
      </w:r>
      <w:r w:rsidRPr="002E2C53">
        <w:rPr>
          <w:rFonts w:ascii="Times New Roman" w:eastAsia="Times New Roman" w:hAnsi="Times New Roman" w:cs="Times New Roman"/>
          <w:color w:val="000000"/>
          <w:sz w:val="26"/>
          <w:szCs w:val="26"/>
        </w:rPr>
        <w:t xml:space="preserve"> Here, the </w:t>
      </w:r>
      <w:r w:rsidR="00B61185">
        <w:rPr>
          <w:rFonts w:ascii="Times New Roman" w:eastAsia="Times New Roman" w:hAnsi="Times New Roman" w:cs="Times New Roman"/>
          <w:color w:val="000000"/>
          <w:sz w:val="26"/>
          <w:szCs w:val="26"/>
        </w:rPr>
        <w:t>EDCs</w:t>
      </w:r>
      <w:r w:rsidRPr="002E2C53">
        <w:rPr>
          <w:rFonts w:ascii="Times New Roman" w:eastAsia="Times New Roman" w:hAnsi="Times New Roman" w:cs="Times New Roman"/>
          <w:color w:val="000000"/>
          <w:sz w:val="26"/>
          <w:szCs w:val="26"/>
        </w:rPr>
        <w:t xml:space="preserve"> have no system functionality, processes, or procedures that would allow for them to provide non-commodity billing service to third parties. </w:t>
      </w:r>
      <w:r w:rsidR="00B47C6C">
        <w:rPr>
          <w:rFonts w:ascii="Times New Roman" w:eastAsia="Times New Roman" w:hAnsi="Times New Roman" w:cs="Times New Roman"/>
          <w:color w:val="000000"/>
          <w:sz w:val="26"/>
          <w:szCs w:val="26"/>
        </w:rPr>
        <w:t xml:space="preserve"> </w:t>
      </w:r>
      <w:r w:rsidR="00E83AC1">
        <w:rPr>
          <w:rFonts w:ascii="Times New Roman" w:eastAsia="Times New Roman" w:hAnsi="Times New Roman" w:cs="Times New Roman"/>
          <w:color w:val="000000"/>
          <w:sz w:val="26"/>
          <w:szCs w:val="26"/>
        </w:rPr>
        <w:t>The EDCs maintain that, w</w:t>
      </w:r>
      <w:r w:rsidRPr="002E2C53">
        <w:rPr>
          <w:rFonts w:ascii="Times New Roman" w:eastAsia="Times New Roman" w:hAnsi="Times New Roman" w:cs="Times New Roman"/>
          <w:color w:val="000000"/>
          <w:sz w:val="26"/>
          <w:szCs w:val="26"/>
        </w:rPr>
        <w:t xml:space="preserve">hile the Commission held that Columbia’s billing practice was unreasonably discriminatory in violation of Section 1502, there are many reasonable and factual justifications for the </w:t>
      </w:r>
      <w:r w:rsidR="00DC1021">
        <w:rPr>
          <w:rFonts w:ascii="Times New Roman" w:eastAsia="Times New Roman" w:hAnsi="Times New Roman" w:cs="Times New Roman"/>
          <w:color w:val="000000"/>
          <w:sz w:val="26"/>
          <w:szCs w:val="26"/>
        </w:rPr>
        <w:t>EDCs</w:t>
      </w:r>
      <w:r w:rsidRPr="002E2C53">
        <w:rPr>
          <w:rFonts w:ascii="Times New Roman" w:eastAsia="Times New Roman" w:hAnsi="Times New Roman" w:cs="Times New Roman"/>
          <w:color w:val="000000"/>
          <w:sz w:val="26"/>
          <w:szCs w:val="26"/>
        </w:rPr>
        <w:t xml:space="preserve"> not offering utility consolidated billing of </w:t>
      </w:r>
      <w:r w:rsidR="00DC1021">
        <w:rPr>
          <w:rFonts w:ascii="Times New Roman" w:eastAsia="Times New Roman" w:hAnsi="Times New Roman" w:cs="Times New Roman"/>
          <w:color w:val="000000"/>
          <w:sz w:val="26"/>
          <w:szCs w:val="26"/>
        </w:rPr>
        <w:t xml:space="preserve">the </w:t>
      </w:r>
      <w:r w:rsidRPr="002E2C53">
        <w:rPr>
          <w:rFonts w:ascii="Times New Roman" w:eastAsia="Times New Roman" w:hAnsi="Times New Roman" w:cs="Times New Roman"/>
          <w:color w:val="000000"/>
          <w:sz w:val="26"/>
          <w:szCs w:val="26"/>
        </w:rPr>
        <w:t>EGS</w:t>
      </w:r>
      <w:r w:rsidR="007C4C7F">
        <w:rPr>
          <w:rFonts w:ascii="Times New Roman" w:eastAsia="Times New Roman" w:hAnsi="Times New Roman" w:cs="Times New Roman"/>
          <w:color w:val="000000"/>
          <w:sz w:val="26"/>
          <w:szCs w:val="26"/>
        </w:rPr>
        <w:t>s’</w:t>
      </w:r>
      <w:r w:rsidRPr="002E2C53">
        <w:rPr>
          <w:rFonts w:ascii="Times New Roman" w:eastAsia="Times New Roman" w:hAnsi="Times New Roman" w:cs="Times New Roman"/>
          <w:color w:val="000000"/>
          <w:sz w:val="26"/>
          <w:szCs w:val="26"/>
        </w:rPr>
        <w:t xml:space="preserve"> non-commodity products and services.  Therefore, the </w:t>
      </w:r>
      <w:r w:rsidR="00DC1021">
        <w:rPr>
          <w:rFonts w:ascii="Times New Roman" w:eastAsia="Times New Roman" w:hAnsi="Times New Roman" w:cs="Times New Roman"/>
          <w:color w:val="000000"/>
          <w:sz w:val="26"/>
          <w:szCs w:val="26"/>
        </w:rPr>
        <w:t>EDCs’</w:t>
      </w:r>
      <w:r w:rsidRPr="002E2C53">
        <w:rPr>
          <w:rFonts w:ascii="Times New Roman" w:eastAsia="Times New Roman" w:hAnsi="Times New Roman" w:cs="Times New Roman"/>
          <w:color w:val="000000"/>
          <w:sz w:val="26"/>
          <w:szCs w:val="26"/>
        </w:rPr>
        <w:t xml:space="preserve"> practice is consistent with Section 1502 of the Code.</w:t>
      </w:r>
    </w:p>
    <w:p w14:paraId="6E30FD54" w14:textId="77777777" w:rsidR="002E2C53" w:rsidRPr="002E2C53" w:rsidRDefault="002E2C53" w:rsidP="002E2C53">
      <w:pPr>
        <w:spacing w:after="0" w:line="360" w:lineRule="auto"/>
        <w:ind w:firstLine="1440"/>
        <w:rPr>
          <w:rFonts w:ascii="Times New Roman" w:eastAsia="Times New Roman" w:hAnsi="Times New Roman" w:cs="Times New Roman"/>
          <w:color w:val="000000"/>
          <w:sz w:val="26"/>
          <w:szCs w:val="26"/>
        </w:rPr>
      </w:pPr>
    </w:p>
    <w:p w14:paraId="68736E08" w14:textId="61125072" w:rsidR="002E2C53" w:rsidRPr="002E2C53" w:rsidRDefault="002E2C53" w:rsidP="002E2C53">
      <w:pPr>
        <w:spacing w:after="0" w:line="360" w:lineRule="auto"/>
        <w:ind w:firstLine="1440"/>
        <w:rPr>
          <w:rFonts w:ascii="Times New Roman" w:eastAsia="Times New Roman" w:hAnsi="Times New Roman" w:cs="Times New Roman"/>
          <w:color w:val="000000"/>
          <w:sz w:val="26"/>
          <w:szCs w:val="26"/>
        </w:rPr>
      </w:pPr>
      <w:r w:rsidRPr="002E2C53">
        <w:rPr>
          <w:rFonts w:ascii="Times New Roman" w:eastAsia="Times New Roman" w:hAnsi="Times New Roman" w:cs="Times New Roman"/>
          <w:color w:val="000000"/>
          <w:sz w:val="26"/>
          <w:szCs w:val="26"/>
        </w:rPr>
        <w:t xml:space="preserve">The EDCs further argue that their non-commodity billing practice also remains consistent with Section 2804(6) of the </w:t>
      </w:r>
      <w:r w:rsidR="006703D3">
        <w:rPr>
          <w:rFonts w:ascii="Times New Roman" w:eastAsia="Times New Roman" w:hAnsi="Times New Roman" w:cs="Times New Roman"/>
          <w:color w:val="000000"/>
          <w:sz w:val="26"/>
          <w:szCs w:val="26"/>
        </w:rPr>
        <w:t>Act.</w:t>
      </w:r>
      <w:r w:rsidRPr="002E2C53">
        <w:rPr>
          <w:rFonts w:ascii="Times New Roman" w:eastAsia="Times New Roman" w:hAnsi="Times New Roman" w:cs="Times New Roman"/>
          <w:color w:val="000000"/>
          <w:sz w:val="26"/>
          <w:szCs w:val="26"/>
        </w:rPr>
        <w:t xml:space="preserve">  </w:t>
      </w:r>
      <w:r w:rsidR="00E83AC1">
        <w:rPr>
          <w:rFonts w:ascii="Times New Roman" w:eastAsia="Times New Roman" w:hAnsi="Times New Roman" w:cs="Times New Roman"/>
          <w:color w:val="000000"/>
          <w:sz w:val="26"/>
          <w:szCs w:val="26"/>
        </w:rPr>
        <w:t>The EDCs assert that t</w:t>
      </w:r>
      <w:r w:rsidRPr="002E2C53">
        <w:rPr>
          <w:rFonts w:ascii="Times New Roman" w:eastAsia="Times New Roman" w:hAnsi="Times New Roman" w:cs="Times New Roman"/>
          <w:color w:val="000000"/>
          <w:sz w:val="26"/>
          <w:szCs w:val="26"/>
        </w:rPr>
        <w:t xml:space="preserve">he Act imposes no obligation on utilities to bill for </w:t>
      </w:r>
      <w:r w:rsidR="00293E7C">
        <w:rPr>
          <w:rFonts w:ascii="Times New Roman" w:eastAsia="Times New Roman" w:hAnsi="Times New Roman" w:cs="Times New Roman"/>
          <w:color w:val="000000"/>
          <w:sz w:val="26"/>
          <w:szCs w:val="26"/>
        </w:rPr>
        <w:t xml:space="preserve">the </w:t>
      </w:r>
      <w:r w:rsidRPr="002E2C53">
        <w:rPr>
          <w:rFonts w:ascii="Times New Roman" w:eastAsia="Times New Roman" w:hAnsi="Times New Roman" w:cs="Times New Roman"/>
          <w:color w:val="000000"/>
          <w:sz w:val="26"/>
          <w:szCs w:val="26"/>
        </w:rPr>
        <w:t xml:space="preserve">EGSs’ non-commodity product and service charges.  </w:t>
      </w:r>
      <w:r w:rsidR="00E83AC1">
        <w:rPr>
          <w:rFonts w:ascii="Times New Roman" w:eastAsia="Times New Roman" w:hAnsi="Times New Roman" w:cs="Times New Roman"/>
          <w:color w:val="000000"/>
          <w:sz w:val="26"/>
          <w:szCs w:val="26"/>
        </w:rPr>
        <w:t>Further, the EDCs note that t</w:t>
      </w:r>
      <w:r w:rsidRPr="002E2C53">
        <w:rPr>
          <w:rFonts w:ascii="Times New Roman" w:eastAsia="Times New Roman" w:hAnsi="Times New Roman" w:cs="Times New Roman"/>
          <w:color w:val="000000"/>
          <w:sz w:val="26"/>
          <w:szCs w:val="26"/>
        </w:rPr>
        <w:t xml:space="preserve">he explicit and implicit purpose of the Competition Act is to ensure </w:t>
      </w:r>
      <w:r w:rsidR="00293E7C">
        <w:rPr>
          <w:rFonts w:ascii="Times New Roman" w:eastAsia="Times New Roman" w:hAnsi="Times New Roman" w:cs="Times New Roman"/>
          <w:color w:val="000000"/>
          <w:sz w:val="26"/>
          <w:szCs w:val="26"/>
        </w:rPr>
        <w:t xml:space="preserve">the </w:t>
      </w:r>
      <w:r w:rsidRPr="002E2C53">
        <w:rPr>
          <w:rFonts w:ascii="Times New Roman" w:eastAsia="Times New Roman" w:hAnsi="Times New Roman" w:cs="Times New Roman"/>
          <w:color w:val="000000"/>
          <w:sz w:val="26"/>
          <w:szCs w:val="26"/>
        </w:rPr>
        <w:t xml:space="preserve">EGSs have an equal opportunity to provide regulated generation service to retail customers, not unregulated </w:t>
      </w:r>
      <w:proofErr w:type="gramStart"/>
      <w:r w:rsidRPr="002E2C53">
        <w:rPr>
          <w:rFonts w:ascii="Times New Roman" w:eastAsia="Times New Roman" w:hAnsi="Times New Roman" w:cs="Times New Roman"/>
          <w:color w:val="000000"/>
          <w:sz w:val="26"/>
          <w:szCs w:val="26"/>
        </w:rPr>
        <w:t>products</w:t>
      </w:r>
      <w:proofErr w:type="gramEnd"/>
      <w:r w:rsidRPr="002E2C53">
        <w:rPr>
          <w:rFonts w:ascii="Times New Roman" w:eastAsia="Times New Roman" w:hAnsi="Times New Roman" w:cs="Times New Roman"/>
          <w:color w:val="000000"/>
          <w:sz w:val="26"/>
          <w:szCs w:val="26"/>
        </w:rPr>
        <w:t xml:space="preserve"> and services</w:t>
      </w:r>
      <w:r w:rsidR="00E83AC1">
        <w:rPr>
          <w:rFonts w:ascii="Times New Roman" w:eastAsia="Times New Roman" w:hAnsi="Times New Roman" w:cs="Times New Roman"/>
          <w:color w:val="000000"/>
          <w:sz w:val="26"/>
          <w:szCs w:val="26"/>
        </w:rPr>
        <w:t>, as urged by the EGSs in the present case.</w:t>
      </w:r>
      <w:r w:rsidRPr="002E2C53">
        <w:rPr>
          <w:rFonts w:ascii="Times New Roman" w:eastAsia="Times New Roman" w:hAnsi="Times New Roman" w:cs="Times New Roman"/>
          <w:color w:val="000000"/>
          <w:sz w:val="26"/>
          <w:szCs w:val="26"/>
        </w:rPr>
        <w:t xml:space="preserve"> </w:t>
      </w:r>
      <w:r w:rsidR="00254BC5">
        <w:rPr>
          <w:rFonts w:ascii="Times New Roman" w:eastAsia="Times New Roman" w:hAnsi="Times New Roman" w:cs="Times New Roman"/>
          <w:color w:val="000000"/>
          <w:sz w:val="26"/>
          <w:szCs w:val="26"/>
        </w:rPr>
        <w:t xml:space="preserve"> </w:t>
      </w:r>
      <w:r w:rsidRPr="002E2C53">
        <w:rPr>
          <w:rFonts w:ascii="Times New Roman" w:eastAsia="Times New Roman" w:hAnsi="Times New Roman" w:cs="Times New Roman"/>
          <w:color w:val="000000"/>
          <w:sz w:val="26"/>
          <w:szCs w:val="26"/>
        </w:rPr>
        <w:t xml:space="preserve">Therefore, </w:t>
      </w:r>
      <w:r w:rsidR="00E83AC1">
        <w:rPr>
          <w:rFonts w:ascii="Times New Roman" w:eastAsia="Times New Roman" w:hAnsi="Times New Roman" w:cs="Times New Roman"/>
          <w:color w:val="000000"/>
          <w:sz w:val="26"/>
          <w:szCs w:val="26"/>
        </w:rPr>
        <w:t xml:space="preserve">the EDCs argue that </w:t>
      </w:r>
      <w:r w:rsidR="00254BC5">
        <w:rPr>
          <w:rFonts w:ascii="Times New Roman" w:eastAsia="Times New Roman" w:hAnsi="Times New Roman" w:cs="Times New Roman"/>
          <w:color w:val="000000"/>
          <w:sz w:val="26"/>
          <w:szCs w:val="26"/>
        </w:rPr>
        <w:t>S</w:t>
      </w:r>
      <w:r w:rsidRPr="002E2C53">
        <w:rPr>
          <w:rFonts w:ascii="Times New Roman" w:eastAsia="Times New Roman" w:hAnsi="Times New Roman" w:cs="Times New Roman"/>
          <w:color w:val="000000"/>
          <w:sz w:val="26"/>
          <w:szCs w:val="26"/>
        </w:rPr>
        <w:t xml:space="preserve">ection 2804(6) of the </w:t>
      </w:r>
      <w:r w:rsidR="006703D3">
        <w:rPr>
          <w:rFonts w:ascii="Times New Roman" w:eastAsia="Times New Roman" w:hAnsi="Times New Roman" w:cs="Times New Roman"/>
          <w:color w:val="000000"/>
          <w:sz w:val="26"/>
          <w:szCs w:val="26"/>
        </w:rPr>
        <w:t>Act</w:t>
      </w:r>
      <w:r w:rsidRPr="002E2C53">
        <w:rPr>
          <w:rFonts w:ascii="Times New Roman" w:eastAsia="Times New Roman" w:hAnsi="Times New Roman" w:cs="Times New Roman"/>
          <w:color w:val="000000"/>
          <w:sz w:val="26"/>
          <w:szCs w:val="26"/>
        </w:rPr>
        <w:t xml:space="preserve"> is inapplicable to this proceeding and </w:t>
      </w:r>
      <w:r w:rsidR="00E83AC1">
        <w:rPr>
          <w:rFonts w:ascii="Times New Roman" w:eastAsia="Times New Roman" w:hAnsi="Times New Roman" w:cs="Times New Roman"/>
          <w:color w:val="000000"/>
          <w:sz w:val="26"/>
          <w:szCs w:val="26"/>
        </w:rPr>
        <w:t xml:space="preserve">that </w:t>
      </w:r>
      <w:r w:rsidRPr="002E2C53">
        <w:rPr>
          <w:rFonts w:ascii="Times New Roman" w:eastAsia="Times New Roman" w:hAnsi="Times New Roman" w:cs="Times New Roman"/>
          <w:color w:val="000000"/>
          <w:sz w:val="26"/>
          <w:szCs w:val="26"/>
        </w:rPr>
        <w:t xml:space="preserve">the Joint Complainants’ allegations in this respect should be </w:t>
      </w:r>
      <w:r w:rsidR="00E83AC1">
        <w:rPr>
          <w:rFonts w:ascii="Times New Roman" w:eastAsia="Times New Roman" w:hAnsi="Times New Roman" w:cs="Times New Roman"/>
          <w:color w:val="000000"/>
          <w:sz w:val="26"/>
          <w:szCs w:val="26"/>
        </w:rPr>
        <w:t>rejected</w:t>
      </w:r>
      <w:r w:rsidR="00B63FB0">
        <w:rPr>
          <w:rFonts w:ascii="Times New Roman" w:eastAsia="Times New Roman" w:hAnsi="Times New Roman" w:cs="Times New Roman"/>
          <w:color w:val="000000"/>
          <w:sz w:val="26"/>
          <w:szCs w:val="26"/>
        </w:rPr>
        <w:t xml:space="preserve">.  EDC Exc. at </w:t>
      </w:r>
      <w:r w:rsidR="002B1719">
        <w:rPr>
          <w:rFonts w:ascii="Times New Roman" w:eastAsia="Times New Roman" w:hAnsi="Times New Roman" w:cs="Times New Roman"/>
          <w:color w:val="000000"/>
          <w:sz w:val="26"/>
          <w:szCs w:val="26"/>
        </w:rPr>
        <w:t xml:space="preserve">11-13. </w:t>
      </w:r>
    </w:p>
    <w:p w14:paraId="2F51261D" w14:textId="77777777" w:rsidR="002E2C53" w:rsidRPr="002E2C53" w:rsidRDefault="002E2C53" w:rsidP="002E2C53">
      <w:pPr>
        <w:spacing w:after="0" w:line="360" w:lineRule="auto"/>
        <w:rPr>
          <w:rFonts w:ascii="Times New Roman" w:eastAsia="Times New Roman" w:hAnsi="Times New Roman" w:cs="Times New Roman"/>
          <w:color w:val="000000"/>
          <w:sz w:val="26"/>
          <w:szCs w:val="26"/>
        </w:rPr>
      </w:pPr>
    </w:p>
    <w:p w14:paraId="572FEE04" w14:textId="7A622AFC" w:rsidR="002E2C53" w:rsidRPr="002E2C53" w:rsidRDefault="002E2C53" w:rsidP="002E2C53">
      <w:pPr>
        <w:spacing w:after="0" w:line="360" w:lineRule="auto"/>
        <w:ind w:firstLine="1440"/>
        <w:rPr>
          <w:rFonts w:ascii="Times New Roman" w:eastAsia="Times New Roman" w:hAnsi="Times New Roman" w:cs="Times New Roman"/>
          <w:color w:val="000000"/>
          <w:sz w:val="26"/>
          <w:szCs w:val="26"/>
        </w:rPr>
      </w:pPr>
      <w:r w:rsidRPr="002E2C53">
        <w:rPr>
          <w:rFonts w:ascii="Times New Roman" w:eastAsia="Times New Roman" w:hAnsi="Times New Roman" w:cs="Times New Roman"/>
          <w:color w:val="000000"/>
          <w:sz w:val="26"/>
          <w:szCs w:val="26"/>
        </w:rPr>
        <w:t xml:space="preserve">Finally, the EDCs reiterate their arguments that the EDCs’ Commission-approved Electric Generation Supplier Coordination Tariffs prohibit utility consolidated </w:t>
      </w:r>
      <w:r w:rsidRPr="002E2C53">
        <w:rPr>
          <w:rFonts w:ascii="Times New Roman" w:eastAsia="Times New Roman" w:hAnsi="Times New Roman" w:cs="Times New Roman"/>
          <w:color w:val="000000"/>
          <w:sz w:val="26"/>
          <w:szCs w:val="26"/>
        </w:rPr>
        <w:lastRenderedPageBreak/>
        <w:t xml:space="preserve">billing of </w:t>
      </w:r>
      <w:r w:rsidR="00254BC5">
        <w:rPr>
          <w:rFonts w:ascii="Times New Roman" w:eastAsia="Times New Roman" w:hAnsi="Times New Roman" w:cs="Times New Roman"/>
          <w:color w:val="000000"/>
          <w:sz w:val="26"/>
          <w:szCs w:val="26"/>
        </w:rPr>
        <w:t xml:space="preserve">the </w:t>
      </w:r>
      <w:r w:rsidRPr="002E2C53">
        <w:rPr>
          <w:rFonts w:ascii="Times New Roman" w:eastAsia="Times New Roman" w:hAnsi="Times New Roman" w:cs="Times New Roman"/>
          <w:color w:val="000000"/>
          <w:sz w:val="26"/>
          <w:szCs w:val="26"/>
        </w:rPr>
        <w:t>EGSs’ non-commodity product and service charges</w:t>
      </w:r>
      <w:r w:rsidR="00C74463">
        <w:rPr>
          <w:rFonts w:ascii="Times New Roman" w:eastAsia="Times New Roman" w:hAnsi="Times New Roman" w:cs="Times New Roman"/>
          <w:color w:val="000000"/>
          <w:sz w:val="26"/>
          <w:szCs w:val="26"/>
        </w:rPr>
        <w:t>, pursuant to Section</w:t>
      </w:r>
      <w:r w:rsidR="00CB06ED">
        <w:rPr>
          <w:rFonts w:ascii="Times New Roman" w:eastAsia="Times New Roman" w:hAnsi="Times New Roman" w:cs="Times New Roman"/>
          <w:color w:val="000000"/>
          <w:sz w:val="26"/>
          <w:szCs w:val="26"/>
        </w:rPr>
        <w:t> </w:t>
      </w:r>
      <w:r w:rsidR="00C74463">
        <w:rPr>
          <w:rFonts w:ascii="Times New Roman" w:eastAsia="Times New Roman" w:hAnsi="Times New Roman" w:cs="Times New Roman"/>
          <w:color w:val="000000"/>
          <w:sz w:val="26"/>
          <w:szCs w:val="26"/>
        </w:rPr>
        <w:t xml:space="preserve">316 of the Code. </w:t>
      </w:r>
      <w:r w:rsidRPr="002E2C53">
        <w:rPr>
          <w:rFonts w:ascii="Times New Roman" w:eastAsia="Times New Roman" w:hAnsi="Times New Roman" w:cs="Times New Roman"/>
          <w:color w:val="000000"/>
          <w:sz w:val="26"/>
          <w:szCs w:val="26"/>
        </w:rPr>
        <w:t xml:space="preserve"> </w:t>
      </w:r>
      <w:r w:rsidR="00C74463">
        <w:rPr>
          <w:rFonts w:ascii="Times New Roman" w:eastAsia="Times New Roman" w:hAnsi="Times New Roman" w:cs="Times New Roman"/>
          <w:color w:val="000000"/>
          <w:sz w:val="26"/>
          <w:szCs w:val="26"/>
        </w:rPr>
        <w:t>The EDCs assert that t</w:t>
      </w:r>
      <w:r w:rsidRPr="002E2C53">
        <w:rPr>
          <w:rFonts w:ascii="Times New Roman" w:eastAsia="Times New Roman" w:hAnsi="Times New Roman" w:cs="Times New Roman"/>
          <w:color w:val="000000"/>
          <w:sz w:val="26"/>
          <w:szCs w:val="26"/>
        </w:rPr>
        <w:t xml:space="preserve">hese tariffs were approved in the </w:t>
      </w:r>
      <w:r w:rsidR="00254BC5">
        <w:rPr>
          <w:rFonts w:ascii="Times New Roman" w:eastAsia="Times New Roman" w:hAnsi="Times New Roman" w:cs="Times New Roman"/>
          <w:color w:val="000000"/>
          <w:sz w:val="26"/>
          <w:szCs w:val="26"/>
        </w:rPr>
        <w:t>EDCs’</w:t>
      </w:r>
      <w:r w:rsidRPr="002E2C53">
        <w:rPr>
          <w:rFonts w:ascii="Times New Roman" w:eastAsia="Times New Roman" w:hAnsi="Times New Roman" w:cs="Times New Roman"/>
          <w:color w:val="000000"/>
          <w:sz w:val="26"/>
          <w:szCs w:val="26"/>
        </w:rPr>
        <w:t xml:space="preserve"> last DSP proceeding.  </w:t>
      </w:r>
      <w:r w:rsidR="00D818FD">
        <w:rPr>
          <w:rFonts w:ascii="Times New Roman" w:eastAsia="Times New Roman" w:hAnsi="Times New Roman" w:cs="Times New Roman"/>
          <w:color w:val="000000"/>
          <w:sz w:val="26"/>
          <w:szCs w:val="26"/>
        </w:rPr>
        <w:t>Further, t</w:t>
      </w:r>
      <w:r w:rsidRPr="002E2C53">
        <w:rPr>
          <w:rFonts w:ascii="Times New Roman" w:eastAsia="Times New Roman" w:hAnsi="Times New Roman" w:cs="Times New Roman"/>
          <w:color w:val="000000"/>
          <w:sz w:val="26"/>
          <w:szCs w:val="26"/>
        </w:rPr>
        <w:t xml:space="preserve">he EDCs note that the EGSs raised no challenge to the prohibitions during the case, although they had the option to do so.  </w:t>
      </w:r>
      <w:r w:rsidR="00D818FD">
        <w:rPr>
          <w:rFonts w:ascii="Times New Roman" w:eastAsia="Times New Roman" w:hAnsi="Times New Roman" w:cs="Times New Roman"/>
          <w:color w:val="000000"/>
          <w:sz w:val="26"/>
          <w:szCs w:val="26"/>
        </w:rPr>
        <w:t>Therefore, t</w:t>
      </w:r>
      <w:r w:rsidRPr="002E2C53">
        <w:rPr>
          <w:rFonts w:ascii="Times New Roman" w:eastAsia="Times New Roman" w:hAnsi="Times New Roman" w:cs="Times New Roman"/>
          <w:color w:val="000000"/>
          <w:sz w:val="26"/>
          <w:szCs w:val="26"/>
        </w:rPr>
        <w:t>he EDCs assert that Section 316 of the Public Utility Code precludes the EGSs from now challenging the tariffs as part of this Formal Complaint proceeding.</w:t>
      </w:r>
      <w:r w:rsidR="00301D96">
        <w:rPr>
          <w:rFonts w:ascii="Times New Roman" w:eastAsia="Times New Roman" w:hAnsi="Times New Roman" w:cs="Times New Roman"/>
          <w:color w:val="000000"/>
          <w:sz w:val="26"/>
          <w:szCs w:val="26"/>
        </w:rPr>
        <w:t xml:space="preserve">  EDC Exc. at 13-16. </w:t>
      </w:r>
      <w:r w:rsidRPr="002E2C53">
        <w:rPr>
          <w:rFonts w:ascii="Times New Roman" w:eastAsia="Times New Roman" w:hAnsi="Times New Roman" w:cs="Times New Roman"/>
          <w:color w:val="000000"/>
          <w:sz w:val="26"/>
          <w:szCs w:val="26"/>
        </w:rPr>
        <w:t xml:space="preserve"> </w:t>
      </w:r>
    </w:p>
    <w:p w14:paraId="64CAF43B" w14:textId="77777777" w:rsidR="002E2C53" w:rsidRPr="002E2C53" w:rsidRDefault="002E2C53" w:rsidP="002E2C53">
      <w:pPr>
        <w:spacing w:after="0" w:line="360" w:lineRule="auto"/>
        <w:rPr>
          <w:rFonts w:ascii="Times New Roman" w:eastAsia="Times New Roman" w:hAnsi="Times New Roman" w:cs="Times New Roman"/>
          <w:color w:val="000000"/>
          <w:sz w:val="26"/>
          <w:szCs w:val="26"/>
        </w:rPr>
      </w:pPr>
    </w:p>
    <w:p w14:paraId="0F056246" w14:textId="23180155" w:rsidR="00D84A02" w:rsidRDefault="002E2C53" w:rsidP="00535BC5">
      <w:pPr>
        <w:spacing w:after="0" w:line="360" w:lineRule="auto"/>
        <w:ind w:firstLine="1440"/>
        <w:rPr>
          <w:rFonts w:ascii="Times New Roman" w:eastAsia="Times New Roman" w:hAnsi="Times New Roman" w:cs="Times New Roman"/>
          <w:color w:val="000000"/>
          <w:sz w:val="26"/>
          <w:szCs w:val="26"/>
        </w:rPr>
      </w:pPr>
      <w:r w:rsidRPr="002E2C53">
        <w:rPr>
          <w:rFonts w:ascii="Times New Roman" w:eastAsia="Times New Roman" w:hAnsi="Times New Roman" w:cs="Times New Roman"/>
          <w:color w:val="000000"/>
          <w:sz w:val="26"/>
          <w:szCs w:val="26"/>
        </w:rPr>
        <w:t>Accordingly, the EDCs assert that the ALJ’s Initial Decision should be reversed</w:t>
      </w:r>
      <w:r w:rsidR="00CB06ED">
        <w:rPr>
          <w:rFonts w:ascii="Times New Roman" w:eastAsia="Times New Roman" w:hAnsi="Times New Roman" w:cs="Times New Roman"/>
          <w:color w:val="000000"/>
          <w:sz w:val="26"/>
          <w:szCs w:val="26"/>
        </w:rPr>
        <w:t>,</w:t>
      </w:r>
      <w:r w:rsidRPr="002E2C53">
        <w:rPr>
          <w:rFonts w:ascii="Times New Roman" w:eastAsia="Times New Roman" w:hAnsi="Times New Roman" w:cs="Times New Roman"/>
          <w:color w:val="000000"/>
          <w:sz w:val="26"/>
          <w:szCs w:val="26"/>
        </w:rPr>
        <w:t xml:space="preserve"> and the EGSs’ Formal Complaints should be </w:t>
      </w:r>
      <w:r w:rsidR="00C71EB6">
        <w:rPr>
          <w:rFonts w:ascii="Times New Roman" w:eastAsia="Times New Roman" w:hAnsi="Times New Roman" w:cs="Times New Roman"/>
          <w:color w:val="000000"/>
          <w:sz w:val="26"/>
          <w:szCs w:val="26"/>
        </w:rPr>
        <w:t xml:space="preserve">denied and </w:t>
      </w:r>
      <w:r w:rsidRPr="002E2C53">
        <w:rPr>
          <w:rFonts w:ascii="Times New Roman" w:eastAsia="Times New Roman" w:hAnsi="Times New Roman" w:cs="Times New Roman"/>
          <w:color w:val="000000"/>
          <w:sz w:val="26"/>
          <w:szCs w:val="26"/>
        </w:rPr>
        <w:t xml:space="preserve">dismissed.  </w:t>
      </w:r>
    </w:p>
    <w:p w14:paraId="5A2FA4C0" w14:textId="70D03130" w:rsidR="00535BC5" w:rsidRDefault="00535BC5" w:rsidP="00535BC5">
      <w:pPr>
        <w:spacing w:after="0" w:line="360" w:lineRule="auto"/>
        <w:ind w:firstLine="1440"/>
        <w:rPr>
          <w:rFonts w:ascii="Times New Roman" w:eastAsia="Times New Roman" w:hAnsi="Times New Roman" w:cs="Times New Roman"/>
          <w:color w:val="000000"/>
          <w:sz w:val="26"/>
          <w:szCs w:val="26"/>
        </w:rPr>
      </w:pPr>
    </w:p>
    <w:p w14:paraId="627CEEE0" w14:textId="0F55FC50" w:rsidR="00535BC5" w:rsidRDefault="00535BC5" w:rsidP="00535BC5">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In its Exception</w:t>
      </w:r>
      <w:r w:rsidR="00367B7A">
        <w:rPr>
          <w:rFonts w:ascii="Times New Roman" w:hAnsi="Times New Roman" w:cs="Times New Roman"/>
          <w:sz w:val="26"/>
          <w:szCs w:val="26"/>
        </w:rPr>
        <w:t xml:space="preserve"> No 1, the OCA </w:t>
      </w:r>
      <w:r w:rsidR="001A7DC2">
        <w:rPr>
          <w:rFonts w:ascii="Times New Roman" w:hAnsi="Times New Roman" w:cs="Times New Roman"/>
          <w:sz w:val="26"/>
          <w:szCs w:val="26"/>
        </w:rPr>
        <w:t xml:space="preserve">takes issue with the ALJ’s conclusion that the remedy sought by the </w:t>
      </w:r>
      <w:r w:rsidR="00415D8D">
        <w:rPr>
          <w:rFonts w:ascii="Times New Roman" w:hAnsi="Times New Roman" w:cs="Times New Roman"/>
          <w:sz w:val="26"/>
          <w:szCs w:val="26"/>
        </w:rPr>
        <w:t>EGSs could be found to be reasonable.  OCA Exc. at 1</w:t>
      </w:r>
      <w:r w:rsidR="000D6F11">
        <w:rPr>
          <w:rFonts w:ascii="Times New Roman" w:hAnsi="Times New Roman" w:cs="Times New Roman"/>
          <w:sz w:val="26"/>
          <w:szCs w:val="26"/>
        </w:rPr>
        <w:t xml:space="preserve">-5.  The OCA </w:t>
      </w:r>
      <w:r w:rsidR="00367B7A">
        <w:rPr>
          <w:rFonts w:ascii="Times New Roman" w:hAnsi="Times New Roman" w:cs="Times New Roman"/>
          <w:sz w:val="26"/>
          <w:szCs w:val="26"/>
        </w:rPr>
        <w:t xml:space="preserve">reiterates its opposition to the </w:t>
      </w:r>
      <w:r w:rsidR="000D6F11">
        <w:rPr>
          <w:rFonts w:ascii="Times New Roman" w:hAnsi="Times New Roman" w:cs="Times New Roman"/>
          <w:sz w:val="26"/>
          <w:szCs w:val="26"/>
        </w:rPr>
        <w:t xml:space="preserve">practice of </w:t>
      </w:r>
      <w:r w:rsidR="00E2434C">
        <w:rPr>
          <w:rFonts w:ascii="Times New Roman" w:hAnsi="Times New Roman" w:cs="Times New Roman"/>
          <w:sz w:val="26"/>
          <w:szCs w:val="26"/>
        </w:rPr>
        <w:t>“</w:t>
      </w:r>
      <w:r w:rsidR="000D6F11">
        <w:rPr>
          <w:rFonts w:ascii="Times New Roman" w:hAnsi="Times New Roman" w:cs="Times New Roman"/>
          <w:sz w:val="26"/>
          <w:szCs w:val="26"/>
        </w:rPr>
        <w:t>on-bill billing</w:t>
      </w:r>
      <w:r w:rsidR="00E2434C">
        <w:rPr>
          <w:rFonts w:ascii="Times New Roman" w:hAnsi="Times New Roman" w:cs="Times New Roman"/>
          <w:sz w:val="26"/>
          <w:szCs w:val="26"/>
        </w:rPr>
        <w:t>”</w:t>
      </w:r>
      <w:r w:rsidR="000D6F11">
        <w:rPr>
          <w:rFonts w:ascii="Times New Roman" w:hAnsi="Times New Roman" w:cs="Times New Roman"/>
          <w:sz w:val="26"/>
          <w:szCs w:val="26"/>
        </w:rPr>
        <w:t xml:space="preserve"> for non-commodity goods and service and </w:t>
      </w:r>
      <w:r w:rsidR="00C126C1">
        <w:rPr>
          <w:rFonts w:ascii="Times New Roman" w:hAnsi="Times New Roman" w:cs="Times New Roman"/>
          <w:sz w:val="26"/>
          <w:szCs w:val="26"/>
        </w:rPr>
        <w:t>asserts that, as recommended</w:t>
      </w:r>
      <w:r w:rsidRPr="00535BC5">
        <w:rPr>
          <w:rFonts w:ascii="Times New Roman" w:hAnsi="Times New Roman" w:cs="Times New Roman"/>
          <w:sz w:val="26"/>
          <w:szCs w:val="26"/>
        </w:rPr>
        <w:t xml:space="preserve"> by the OCA’s witness Barbara Alexander, all non-basic, non-commodity products and services should be billed separately to prevent customer confusion and other customer protection issues from arising</w:t>
      </w:r>
      <w:r w:rsidR="00C126C1">
        <w:rPr>
          <w:rFonts w:ascii="Times New Roman" w:hAnsi="Times New Roman" w:cs="Times New Roman"/>
          <w:sz w:val="26"/>
          <w:szCs w:val="26"/>
        </w:rPr>
        <w:t xml:space="preserve">.  </w:t>
      </w:r>
      <w:r w:rsidR="000A2735" w:rsidRPr="000A2735">
        <w:rPr>
          <w:rFonts w:ascii="Times New Roman" w:hAnsi="Times New Roman" w:cs="Times New Roman"/>
          <w:i/>
          <w:iCs/>
          <w:sz w:val="26"/>
          <w:szCs w:val="26"/>
        </w:rPr>
        <w:t>Id</w:t>
      </w:r>
      <w:r w:rsidR="000A2735">
        <w:rPr>
          <w:rFonts w:ascii="Times New Roman" w:hAnsi="Times New Roman" w:cs="Times New Roman"/>
          <w:sz w:val="26"/>
          <w:szCs w:val="26"/>
        </w:rPr>
        <w:t xml:space="preserve">. </w:t>
      </w:r>
    </w:p>
    <w:p w14:paraId="192EA512" w14:textId="2D7F7044" w:rsidR="00301D96" w:rsidRDefault="00301D96" w:rsidP="00535BC5">
      <w:pPr>
        <w:spacing w:after="0" w:line="360" w:lineRule="auto"/>
        <w:ind w:firstLine="1440"/>
        <w:rPr>
          <w:rFonts w:ascii="Times New Roman" w:hAnsi="Times New Roman" w:cs="Times New Roman"/>
          <w:sz w:val="26"/>
          <w:szCs w:val="26"/>
        </w:rPr>
      </w:pPr>
    </w:p>
    <w:p w14:paraId="0D02BA8C" w14:textId="655131F5" w:rsidR="00301D96" w:rsidRPr="00535BC5" w:rsidRDefault="00301D96" w:rsidP="00535BC5">
      <w:pPr>
        <w:spacing w:after="0" w:line="360" w:lineRule="auto"/>
        <w:ind w:firstLine="1440"/>
        <w:rPr>
          <w:rFonts w:ascii="Times New Roman" w:hAnsi="Times New Roman" w:cs="Times New Roman"/>
          <w:b/>
          <w:sz w:val="26"/>
          <w:szCs w:val="26"/>
        </w:rPr>
      </w:pPr>
      <w:r>
        <w:rPr>
          <w:rFonts w:ascii="Times New Roman" w:hAnsi="Times New Roman" w:cs="Times New Roman"/>
          <w:sz w:val="26"/>
          <w:szCs w:val="26"/>
        </w:rPr>
        <w:t>In their Replies to the Exceptions, the E</w:t>
      </w:r>
      <w:r w:rsidR="00D835DC">
        <w:rPr>
          <w:rFonts w:ascii="Times New Roman" w:hAnsi="Times New Roman" w:cs="Times New Roman"/>
          <w:sz w:val="26"/>
          <w:szCs w:val="26"/>
        </w:rPr>
        <w:t>GSs assert that the ALJ properly concluded that the EDCs’ billing practice violates Sections 1502 and 2804(6) of the Code</w:t>
      </w:r>
      <w:r w:rsidR="007C43B2">
        <w:rPr>
          <w:rFonts w:ascii="Times New Roman" w:hAnsi="Times New Roman" w:cs="Times New Roman"/>
          <w:sz w:val="26"/>
          <w:szCs w:val="26"/>
        </w:rPr>
        <w:t>, reiterating their arguments before the ALJ</w:t>
      </w:r>
      <w:r w:rsidR="00430FD3">
        <w:rPr>
          <w:rFonts w:ascii="Times New Roman" w:hAnsi="Times New Roman" w:cs="Times New Roman"/>
          <w:sz w:val="26"/>
          <w:szCs w:val="26"/>
        </w:rPr>
        <w:t xml:space="preserve">.  EGS R. Exc. at 1-10.  </w:t>
      </w:r>
      <w:r w:rsidR="007C43B2">
        <w:rPr>
          <w:rFonts w:ascii="Times New Roman" w:hAnsi="Times New Roman" w:cs="Times New Roman"/>
          <w:sz w:val="26"/>
          <w:szCs w:val="26"/>
        </w:rPr>
        <w:t>Further, t</w:t>
      </w:r>
      <w:r w:rsidR="00430FD3">
        <w:rPr>
          <w:rFonts w:ascii="Times New Roman" w:hAnsi="Times New Roman" w:cs="Times New Roman"/>
          <w:sz w:val="26"/>
          <w:szCs w:val="26"/>
        </w:rPr>
        <w:t xml:space="preserve">he EGSs </w:t>
      </w:r>
      <w:r w:rsidR="00EC7519">
        <w:rPr>
          <w:rFonts w:ascii="Times New Roman" w:hAnsi="Times New Roman" w:cs="Times New Roman"/>
          <w:sz w:val="26"/>
          <w:szCs w:val="26"/>
        </w:rPr>
        <w:t xml:space="preserve">reiterate their position </w:t>
      </w:r>
      <w:r w:rsidR="007C43B2">
        <w:rPr>
          <w:rFonts w:ascii="Times New Roman" w:hAnsi="Times New Roman" w:cs="Times New Roman"/>
          <w:sz w:val="26"/>
          <w:szCs w:val="26"/>
        </w:rPr>
        <w:t xml:space="preserve">that the OCA </w:t>
      </w:r>
      <w:r w:rsidR="005B0468">
        <w:rPr>
          <w:rFonts w:ascii="Times New Roman" w:hAnsi="Times New Roman" w:cs="Times New Roman"/>
          <w:sz w:val="26"/>
          <w:szCs w:val="26"/>
        </w:rPr>
        <w:t>incorrectly argues that the EGSs’ proposed remedy is unreasonable.</w:t>
      </w:r>
      <w:r w:rsidR="00342BC4">
        <w:rPr>
          <w:rFonts w:ascii="Times New Roman" w:hAnsi="Times New Roman" w:cs="Times New Roman"/>
          <w:sz w:val="26"/>
          <w:szCs w:val="26"/>
        </w:rPr>
        <w:t xml:space="preserve">  The EGSs</w:t>
      </w:r>
      <w:r w:rsidR="00EC7519">
        <w:rPr>
          <w:rFonts w:ascii="Times New Roman" w:hAnsi="Times New Roman" w:cs="Times New Roman"/>
          <w:sz w:val="26"/>
          <w:szCs w:val="26"/>
        </w:rPr>
        <w:t xml:space="preserve"> request </w:t>
      </w:r>
      <w:r w:rsidR="006E77B9">
        <w:rPr>
          <w:rFonts w:ascii="Times New Roman" w:hAnsi="Times New Roman" w:cs="Times New Roman"/>
          <w:sz w:val="26"/>
          <w:szCs w:val="26"/>
        </w:rPr>
        <w:t>that the Exceptions of both the EDCs and the OCA be denied.</w:t>
      </w:r>
      <w:r w:rsidR="00EC7519">
        <w:rPr>
          <w:rFonts w:ascii="Times New Roman" w:hAnsi="Times New Roman" w:cs="Times New Roman"/>
          <w:sz w:val="26"/>
          <w:szCs w:val="26"/>
        </w:rPr>
        <w:t xml:space="preserve">  </w:t>
      </w:r>
      <w:r w:rsidR="00342BC4">
        <w:rPr>
          <w:rFonts w:ascii="Times New Roman" w:hAnsi="Times New Roman" w:cs="Times New Roman"/>
          <w:sz w:val="26"/>
          <w:szCs w:val="26"/>
        </w:rPr>
        <w:t xml:space="preserve">EGS R. Exc. at </w:t>
      </w:r>
      <w:r w:rsidR="00430FD3">
        <w:rPr>
          <w:rFonts w:ascii="Times New Roman" w:hAnsi="Times New Roman" w:cs="Times New Roman"/>
          <w:sz w:val="26"/>
          <w:szCs w:val="26"/>
        </w:rPr>
        <w:t>10-1</w:t>
      </w:r>
      <w:r w:rsidR="00342BC4">
        <w:rPr>
          <w:rFonts w:ascii="Times New Roman" w:hAnsi="Times New Roman" w:cs="Times New Roman"/>
          <w:sz w:val="26"/>
          <w:szCs w:val="26"/>
        </w:rPr>
        <w:t>3</w:t>
      </w:r>
      <w:r w:rsidR="00430FD3">
        <w:rPr>
          <w:rFonts w:ascii="Times New Roman" w:hAnsi="Times New Roman" w:cs="Times New Roman"/>
          <w:sz w:val="26"/>
          <w:szCs w:val="26"/>
        </w:rPr>
        <w:t xml:space="preserve">. </w:t>
      </w:r>
      <w:r w:rsidR="006E77B9">
        <w:rPr>
          <w:rFonts w:ascii="Times New Roman" w:hAnsi="Times New Roman" w:cs="Times New Roman"/>
          <w:sz w:val="26"/>
          <w:szCs w:val="26"/>
        </w:rPr>
        <w:t xml:space="preserve"> </w:t>
      </w:r>
      <w:r w:rsidR="00D835DC">
        <w:rPr>
          <w:rFonts w:ascii="Times New Roman" w:hAnsi="Times New Roman" w:cs="Times New Roman"/>
          <w:sz w:val="26"/>
          <w:szCs w:val="26"/>
        </w:rPr>
        <w:t xml:space="preserve"> </w:t>
      </w:r>
    </w:p>
    <w:p w14:paraId="4572B8EA" w14:textId="5D2CC3BF" w:rsidR="00D84A02" w:rsidRDefault="00D84A02" w:rsidP="00C80092">
      <w:pPr>
        <w:pStyle w:val="ListParagraph"/>
        <w:rPr>
          <w:rFonts w:ascii="Times New Roman" w:hAnsi="Times New Roman" w:cs="Times New Roman"/>
          <w:b/>
          <w:sz w:val="26"/>
          <w:szCs w:val="26"/>
        </w:rPr>
      </w:pPr>
    </w:p>
    <w:p w14:paraId="195E4EF4" w14:textId="5207B4F1" w:rsidR="00D84A02" w:rsidRDefault="00D84A02" w:rsidP="00C80092">
      <w:pPr>
        <w:pStyle w:val="ListParagraph"/>
        <w:rPr>
          <w:rFonts w:ascii="Times New Roman" w:hAnsi="Times New Roman" w:cs="Times New Roman"/>
          <w:b/>
          <w:sz w:val="26"/>
          <w:szCs w:val="26"/>
        </w:rPr>
      </w:pPr>
    </w:p>
    <w:p w14:paraId="51EA8614" w14:textId="57D4BC8A" w:rsidR="00C80092" w:rsidRPr="00C80092" w:rsidRDefault="00C80092" w:rsidP="00C06BDC">
      <w:pPr>
        <w:pStyle w:val="ListParagraph"/>
        <w:keepNext/>
        <w:keepLines/>
        <w:numPr>
          <w:ilvl w:val="0"/>
          <w:numId w:val="20"/>
        </w:numPr>
        <w:spacing w:after="0" w:line="360" w:lineRule="auto"/>
        <w:ind w:left="720" w:hanging="720"/>
        <w:rPr>
          <w:rFonts w:ascii="Times New Roman" w:hAnsi="Times New Roman" w:cs="Times New Roman"/>
          <w:b/>
          <w:sz w:val="26"/>
          <w:szCs w:val="26"/>
        </w:rPr>
      </w:pPr>
      <w:r>
        <w:rPr>
          <w:rFonts w:ascii="Times New Roman" w:hAnsi="Times New Roman" w:cs="Times New Roman"/>
          <w:b/>
          <w:sz w:val="26"/>
          <w:szCs w:val="26"/>
        </w:rPr>
        <w:lastRenderedPageBreak/>
        <w:t xml:space="preserve">Disposition </w:t>
      </w:r>
    </w:p>
    <w:p w14:paraId="2CDCD43D" w14:textId="49CD4E51" w:rsidR="00B513F9" w:rsidRPr="00F054D1" w:rsidRDefault="00B513F9" w:rsidP="00C06BDC">
      <w:pPr>
        <w:pStyle w:val="Heading1"/>
      </w:pPr>
    </w:p>
    <w:p w14:paraId="1F29AA02" w14:textId="77777777" w:rsidR="00A724D1" w:rsidRDefault="00492EB0" w:rsidP="00C06BDC">
      <w:pPr>
        <w:spacing w:after="0" w:line="360" w:lineRule="auto"/>
        <w:ind w:firstLine="1440"/>
        <w:rPr>
          <w:rFonts w:ascii="Times New Roman" w:hAnsi="Times New Roman" w:cs="Times New Roman"/>
          <w:sz w:val="26"/>
          <w:szCs w:val="26"/>
        </w:rPr>
      </w:pPr>
      <w:r w:rsidRPr="00492EB0">
        <w:rPr>
          <w:rFonts w:ascii="Times New Roman" w:hAnsi="Times New Roman" w:cs="Times New Roman"/>
          <w:sz w:val="26"/>
          <w:szCs w:val="26"/>
        </w:rPr>
        <w:t xml:space="preserve">We remind the Parties that any issue or Exception that we do not specifically delineate shall be deemed to have been duly considered and denied without further discussion.  It is well settled that the Commission is not required to consider expressly or at length each contention or argument raised by the parties.  </w:t>
      </w:r>
      <w:r w:rsidRPr="00492EB0">
        <w:rPr>
          <w:rFonts w:ascii="Times New Roman" w:hAnsi="Times New Roman" w:cs="Times New Roman"/>
          <w:i/>
          <w:iCs/>
          <w:sz w:val="26"/>
          <w:szCs w:val="26"/>
        </w:rPr>
        <w:t xml:space="preserve">See </w:t>
      </w:r>
      <w:hyperlink r:id="rId11" w:history="1">
        <w:r w:rsidRPr="00492EB0">
          <w:rPr>
            <w:rFonts w:ascii="Times New Roman" w:hAnsi="Times New Roman" w:cs="Times New Roman"/>
            <w:i/>
            <w:iCs/>
            <w:sz w:val="26"/>
            <w:szCs w:val="26"/>
          </w:rPr>
          <w:t>Consolidated Rail Corp. v. Pa. PUC</w:t>
        </w:r>
        <w:r w:rsidRPr="00CB06ED">
          <w:rPr>
            <w:rFonts w:ascii="Times New Roman" w:hAnsi="Times New Roman" w:cs="Times New Roman"/>
            <w:sz w:val="26"/>
            <w:szCs w:val="26"/>
          </w:rPr>
          <w:t>,</w:t>
        </w:r>
        <w:r w:rsidRPr="00492EB0">
          <w:rPr>
            <w:rFonts w:ascii="Times New Roman" w:hAnsi="Times New Roman" w:cs="Times New Roman"/>
            <w:i/>
            <w:iCs/>
            <w:sz w:val="26"/>
            <w:szCs w:val="26"/>
          </w:rPr>
          <w:t xml:space="preserve"> </w:t>
        </w:r>
        <w:r w:rsidRPr="00492EB0">
          <w:rPr>
            <w:rFonts w:ascii="Times New Roman" w:hAnsi="Times New Roman" w:cs="Times New Roman"/>
            <w:sz w:val="26"/>
            <w:szCs w:val="26"/>
          </w:rPr>
          <w:t xml:space="preserve">625 A.2d 741 (Pa. </w:t>
        </w:r>
        <w:proofErr w:type="spellStart"/>
        <w:r w:rsidRPr="00492EB0">
          <w:rPr>
            <w:rFonts w:ascii="Times New Roman" w:hAnsi="Times New Roman" w:cs="Times New Roman"/>
            <w:sz w:val="26"/>
            <w:szCs w:val="26"/>
          </w:rPr>
          <w:t>Cmwlth</w:t>
        </w:r>
        <w:proofErr w:type="spellEnd"/>
        <w:r w:rsidRPr="00492EB0">
          <w:rPr>
            <w:rFonts w:ascii="Times New Roman" w:hAnsi="Times New Roman" w:cs="Times New Roman"/>
            <w:sz w:val="26"/>
            <w:szCs w:val="26"/>
          </w:rPr>
          <w:t>. 1993);</w:t>
        </w:r>
      </w:hyperlink>
      <w:r w:rsidRPr="00492EB0">
        <w:rPr>
          <w:rFonts w:ascii="Times New Roman" w:hAnsi="Times New Roman" w:cs="Times New Roman"/>
          <w:sz w:val="26"/>
          <w:szCs w:val="26"/>
        </w:rPr>
        <w:t xml:space="preserve"> </w:t>
      </w:r>
      <w:r w:rsidRPr="00492EB0">
        <w:rPr>
          <w:rFonts w:ascii="Times New Roman" w:hAnsi="Times New Roman" w:cs="Times New Roman"/>
          <w:i/>
          <w:sz w:val="26"/>
          <w:szCs w:val="26"/>
        </w:rPr>
        <w:t>also</w:t>
      </w:r>
      <w:r w:rsidRPr="00492EB0">
        <w:rPr>
          <w:rFonts w:ascii="Times New Roman" w:hAnsi="Times New Roman" w:cs="Times New Roman"/>
          <w:i/>
          <w:iCs/>
          <w:sz w:val="26"/>
          <w:szCs w:val="26"/>
        </w:rPr>
        <w:t xml:space="preserve">, see generally, </w:t>
      </w:r>
      <w:hyperlink r:id="rId12" w:history="1">
        <w:r w:rsidRPr="00492EB0">
          <w:rPr>
            <w:rFonts w:ascii="Times New Roman" w:hAnsi="Times New Roman" w:cs="Times New Roman"/>
            <w:i/>
            <w:iCs/>
            <w:sz w:val="26"/>
            <w:szCs w:val="26"/>
          </w:rPr>
          <w:t>University of Pennsylvania v. Pa. PUC</w:t>
        </w:r>
        <w:r w:rsidRPr="00492EB0">
          <w:rPr>
            <w:rFonts w:ascii="Times New Roman" w:hAnsi="Times New Roman" w:cs="Times New Roman"/>
            <w:sz w:val="26"/>
            <w:szCs w:val="26"/>
          </w:rPr>
          <w:t xml:space="preserve">, 485 A.2d 1217 (Pa. </w:t>
        </w:r>
        <w:proofErr w:type="spellStart"/>
        <w:r w:rsidRPr="00492EB0">
          <w:rPr>
            <w:rFonts w:ascii="Times New Roman" w:hAnsi="Times New Roman" w:cs="Times New Roman"/>
            <w:sz w:val="26"/>
            <w:szCs w:val="26"/>
          </w:rPr>
          <w:t>Cmwlth</w:t>
        </w:r>
        <w:proofErr w:type="spellEnd"/>
        <w:r w:rsidRPr="00492EB0">
          <w:rPr>
            <w:rFonts w:ascii="Times New Roman" w:hAnsi="Times New Roman" w:cs="Times New Roman"/>
            <w:sz w:val="26"/>
            <w:szCs w:val="26"/>
          </w:rPr>
          <w:t>. 1984)</w:t>
        </w:r>
      </w:hyperlink>
      <w:r w:rsidRPr="00492EB0">
        <w:rPr>
          <w:rFonts w:ascii="Times New Roman" w:hAnsi="Times New Roman" w:cs="Times New Roman"/>
          <w:sz w:val="26"/>
          <w:szCs w:val="26"/>
        </w:rPr>
        <w:t>.</w:t>
      </w:r>
    </w:p>
    <w:p w14:paraId="609ED210" w14:textId="77777777" w:rsidR="00E83AC1" w:rsidRDefault="00492EB0" w:rsidP="00E83AC1">
      <w:pPr>
        <w:spacing w:line="360" w:lineRule="auto"/>
        <w:ind w:firstLine="1440"/>
        <w:rPr>
          <w:rFonts w:ascii="Times New Roman" w:hAnsi="Times New Roman" w:cs="Times New Roman"/>
          <w:sz w:val="26"/>
          <w:szCs w:val="26"/>
        </w:rPr>
      </w:pPr>
      <w:r w:rsidRPr="00492EB0">
        <w:rPr>
          <w:rFonts w:ascii="Times New Roman" w:hAnsi="Times New Roman" w:cs="Times New Roman"/>
          <w:sz w:val="26"/>
          <w:szCs w:val="26"/>
        </w:rPr>
        <w:t xml:space="preserve"> </w:t>
      </w:r>
    </w:p>
    <w:p w14:paraId="54822561" w14:textId="2153EAE2" w:rsidR="00BD2CE8" w:rsidRDefault="00B57F46" w:rsidP="00E83AC1">
      <w:pPr>
        <w:spacing w:line="360" w:lineRule="auto"/>
        <w:ind w:firstLine="1440"/>
        <w:rPr>
          <w:rFonts w:ascii="Times New Roman" w:eastAsia="Calibri" w:hAnsi="Times New Roman" w:cs="Times New Roman"/>
          <w:sz w:val="26"/>
          <w:szCs w:val="26"/>
        </w:rPr>
      </w:pPr>
      <w:r w:rsidRPr="00B57F46">
        <w:rPr>
          <w:rFonts w:ascii="Times New Roman" w:eastAsia="Calibri" w:hAnsi="Times New Roman" w:cs="Times New Roman"/>
          <w:sz w:val="26"/>
          <w:szCs w:val="26"/>
        </w:rPr>
        <w:t>The main issue presented on Exception is whether the EDCs’ (</w:t>
      </w:r>
      <w:r w:rsidRPr="00B57F46">
        <w:rPr>
          <w:rFonts w:ascii="Times New Roman" w:eastAsia="Calibri" w:hAnsi="Times New Roman" w:cs="Times New Roman"/>
          <w:i/>
          <w:iCs/>
          <w:sz w:val="26"/>
          <w:szCs w:val="26"/>
        </w:rPr>
        <w:t>i.e</w:t>
      </w:r>
      <w:r w:rsidRPr="00B57F46">
        <w:rPr>
          <w:rFonts w:ascii="Times New Roman" w:eastAsia="Calibri" w:hAnsi="Times New Roman" w:cs="Times New Roman"/>
          <w:sz w:val="26"/>
          <w:szCs w:val="26"/>
        </w:rPr>
        <w:t>., Metropolitan Edison Company, Pennsylvania Electric Company, Pennsylvania Power Company and West</w:t>
      </w:r>
      <w:r w:rsidR="006703D3">
        <w:rPr>
          <w:rFonts w:ascii="Times New Roman" w:eastAsia="Calibri" w:hAnsi="Times New Roman" w:cs="Times New Roman"/>
          <w:sz w:val="26"/>
          <w:szCs w:val="26"/>
        </w:rPr>
        <w:t xml:space="preserve"> </w:t>
      </w:r>
      <w:r w:rsidRPr="00B57F46">
        <w:rPr>
          <w:rFonts w:ascii="Times New Roman" w:eastAsia="Calibri" w:hAnsi="Times New Roman" w:cs="Times New Roman"/>
          <w:sz w:val="26"/>
          <w:szCs w:val="26"/>
        </w:rPr>
        <w:t xml:space="preserve">Penn Power Company) practice of providing </w:t>
      </w:r>
      <w:r w:rsidR="009614DC">
        <w:rPr>
          <w:rFonts w:ascii="Times New Roman" w:eastAsia="Calibri" w:hAnsi="Times New Roman" w:cs="Times New Roman"/>
          <w:sz w:val="26"/>
          <w:szCs w:val="26"/>
        </w:rPr>
        <w:t>“</w:t>
      </w:r>
      <w:r w:rsidRPr="00B57F46">
        <w:rPr>
          <w:rFonts w:ascii="Times New Roman" w:eastAsia="Calibri" w:hAnsi="Times New Roman" w:cs="Times New Roman"/>
          <w:sz w:val="26"/>
          <w:szCs w:val="26"/>
        </w:rPr>
        <w:t>on-bill billing</w:t>
      </w:r>
      <w:r w:rsidR="009614DC">
        <w:rPr>
          <w:rFonts w:ascii="Times New Roman" w:eastAsia="Calibri" w:hAnsi="Times New Roman" w:cs="Times New Roman"/>
          <w:sz w:val="26"/>
          <w:szCs w:val="26"/>
        </w:rPr>
        <w:t>”</w:t>
      </w:r>
      <w:r w:rsidRPr="00B57F46">
        <w:rPr>
          <w:rFonts w:ascii="Times New Roman" w:eastAsia="Calibri" w:hAnsi="Times New Roman" w:cs="Times New Roman"/>
          <w:sz w:val="26"/>
          <w:szCs w:val="26"/>
        </w:rPr>
        <w:t xml:space="preserve"> for their own non-commodity goods and services, while refusing to provide the same </w:t>
      </w:r>
      <w:r w:rsidR="009614DC">
        <w:rPr>
          <w:rFonts w:ascii="Times New Roman" w:eastAsia="Calibri" w:hAnsi="Times New Roman" w:cs="Times New Roman"/>
          <w:sz w:val="26"/>
          <w:szCs w:val="26"/>
        </w:rPr>
        <w:t>“</w:t>
      </w:r>
      <w:r w:rsidRPr="00B57F46">
        <w:rPr>
          <w:rFonts w:ascii="Times New Roman" w:eastAsia="Calibri" w:hAnsi="Times New Roman" w:cs="Times New Roman"/>
          <w:sz w:val="26"/>
          <w:szCs w:val="26"/>
        </w:rPr>
        <w:t>on-bill billing</w:t>
      </w:r>
      <w:r w:rsidR="009614DC">
        <w:rPr>
          <w:rFonts w:ascii="Times New Roman" w:eastAsia="Calibri" w:hAnsi="Times New Roman" w:cs="Times New Roman"/>
          <w:sz w:val="26"/>
          <w:szCs w:val="26"/>
        </w:rPr>
        <w:t>”</w:t>
      </w:r>
      <w:r w:rsidRPr="00B57F46">
        <w:rPr>
          <w:rFonts w:ascii="Times New Roman" w:eastAsia="Calibri" w:hAnsi="Times New Roman" w:cs="Times New Roman"/>
          <w:sz w:val="26"/>
          <w:szCs w:val="26"/>
        </w:rPr>
        <w:t xml:space="preserve"> to </w:t>
      </w:r>
      <w:r w:rsidRPr="00E83AC1">
        <w:rPr>
          <w:rFonts w:ascii="Times New Roman" w:eastAsia="Calibri" w:hAnsi="Times New Roman" w:cs="Times New Roman"/>
          <w:i/>
          <w:iCs/>
          <w:sz w:val="26"/>
          <w:szCs w:val="26"/>
        </w:rPr>
        <w:t>any</w:t>
      </w:r>
      <w:r w:rsidRPr="00B57F46">
        <w:rPr>
          <w:rFonts w:ascii="Times New Roman" w:eastAsia="Calibri" w:hAnsi="Times New Roman" w:cs="Times New Roman"/>
          <w:sz w:val="26"/>
          <w:szCs w:val="26"/>
        </w:rPr>
        <w:t xml:space="preserve"> third party, constitutes discriminatory provision of service under either Section 1502 (pertaining to prohibition on discrimination in service) and/or Section</w:t>
      </w:r>
      <w:r w:rsidR="00CB06ED">
        <w:rPr>
          <w:rFonts w:ascii="Times New Roman" w:eastAsia="Calibri" w:hAnsi="Times New Roman" w:cs="Times New Roman"/>
          <w:sz w:val="26"/>
          <w:szCs w:val="26"/>
        </w:rPr>
        <w:t> </w:t>
      </w:r>
      <w:r w:rsidRPr="00B57F46">
        <w:rPr>
          <w:rFonts w:ascii="Times New Roman" w:eastAsia="Calibri" w:hAnsi="Times New Roman" w:cs="Times New Roman"/>
          <w:sz w:val="26"/>
          <w:szCs w:val="26"/>
        </w:rPr>
        <w:t xml:space="preserve">2804(6) of the Code (pertaining to Standards for restructuring of electric industry).  </w:t>
      </w:r>
    </w:p>
    <w:p w14:paraId="024D34BC" w14:textId="77777777" w:rsidR="00E83AC1" w:rsidRDefault="00E83AC1" w:rsidP="00577BEF">
      <w:pPr>
        <w:spacing w:after="0" w:line="360" w:lineRule="auto"/>
        <w:ind w:firstLine="1440"/>
        <w:rPr>
          <w:rFonts w:ascii="Times New Roman" w:eastAsia="Calibri" w:hAnsi="Times New Roman" w:cs="Times New Roman"/>
          <w:sz w:val="26"/>
          <w:szCs w:val="26"/>
        </w:rPr>
      </w:pPr>
    </w:p>
    <w:p w14:paraId="003F591D" w14:textId="26254936" w:rsidR="00B57F46" w:rsidRDefault="00BD2CE8" w:rsidP="00577BEF">
      <w:pPr>
        <w:spacing w:after="0" w:line="360" w:lineRule="auto"/>
        <w:ind w:firstLine="1440"/>
        <w:rPr>
          <w:rFonts w:ascii="Times New Roman" w:eastAsia="Calibri" w:hAnsi="Times New Roman" w:cs="Times New Roman"/>
          <w:sz w:val="26"/>
          <w:szCs w:val="26"/>
        </w:rPr>
      </w:pPr>
      <w:r>
        <w:rPr>
          <w:rFonts w:ascii="Times New Roman" w:eastAsia="Calibri" w:hAnsi="Times New Roman" w:cs="Times New Roman"/>
          <w:sz w:val="26"/>
          <w:szCs w:val="26"/>
        </w:rPr>
        <w:t>As discussed, i</w:t>
      </w:r>
      <w:r w:rsidR="00B57F46" w:rsidRPr="00B57F46">
        <w:rPr>
          <w:rFonts w:ascii="Times New Roman" w:eastAsia="Calibri" w:hAnsi="Times New Roman" w:cs="Times New Roman"/>
          <w:sz w:val="26"/>
          <w:szCs w:val="26"/>
        </w:rPr>
        <w:t xml:space="preserve">n the proceeding before </w:t>
      </w:r>
      <w:r w:rsidR="00271373">
        <w:rPr>
          <w:rFonts w:ascii="Times New Roman" w:eastAsia="Calibri" w:hAnsi="Times New Roman" w:cs="Times New Roman"/>
          <w:sz w:val="26"/>
          <w:szCs w:val="26"/>
        </w:rPr>
        <w:t xml:space="preserve">us, </w:t>
      </w:r>
      <w:r w:rsidR="00B57F46" w:rsidRPr="00B57F46">
        <w:rPr>
          <w:rFonts w:ascii="Times New Roman" w:eastAsia="Calibri" w:hAnsi="Times New Roman" w:cs="Times New Roman"/>
          <w:sz w:val="26"/>
          <w:szCs w:val="26"/>
        </w:rPr>
        <w:t>the ALJ concluded, based upon the general definition of “discrimination,” and a reading of the applicable statutory language under Section</w:t>
      </w:r>
      <w:r w:rsidR="00E83AC1">
        <w:rPr>
          <w:rFonts w:ascii="Times New Roman" w:eastAsia="Calibri" w:hAnsi="Times New Roman" w:cs="Times New Roman"/>
          <w:sz w:val="26"/>
          <w:szCs w:val="26"/>
        </w:rPr>
        <w:t>s</w:t>
      </w:r>
      <w:r w:rsidR="00B57F46" w:rsidRPr="00B57F46">
        <w:rPr>
          <w:rFonts w:ascii="Times New Roman" w:eastAsia="Calibri" w:hAnsi="Times New Roman" w:cs="Times New Roman"/>
          <w:sz w:val="26"/>
          <w:szCs w:val="26"/>
        </w:rPr>
        <w:t xml:space="preserve"> 1502 and 2804(6) of the Code, </w:t>
      </w:r>
      <w:r w:rsidR="00271373">
        <w:rPr>
          <w:rFonts w:ascii="Times New Roman" w:eastAsia="Calibri" w:hAnsi="Times New Roman" w:cs="Times New Roman"/>
          <w:sz w:val="26"/>
          <w:szCs w:val="26"/>
        </w:rPr>
        <w:t>66 Pa. C.S. §</w:t>
      </w:r>
      <w:r w:rsidR="00737C1F">
        <w:rPr>
          <w:rFonts w:ascii="Times New Roman" w:eastAsia="Calibri" w:hAnsi="Times New Roman" w:cs="Times New Roman"/>
          <w:sz w:val="26"/>
          <w:szCs w:val="26"/>
        </w:rPr>
        <w:t>§</w:t>
      </w:r>
      <w:r w:rsidR="00271373">
        <w:rPr>
          <w:rFonts w:ascii="Times New Roman" w:eastAsia="Calibri" w:hAnsi="Times New Roman" w:cs="Times New Roman"/>
          <w:sz w:val="26"/>
          <w:szCs w:val="26"/>
        </w:rPr>
        <w:t xml:space="preserve"> 1502 and </w:t>
      </w:r>
      <w:r w:rsidR="00737C1F">
        <w:rPr>
          <w:rFonts w:ascii="Times New Roman" w:eastAsia="Calibri" w:hAnsi="Times New Roman" w:cs="Times New Roman"/>
          <w:sz w:val="26"/>
          <w:szCs w:val="26"/>
        </w:rPr>
        <w:t xml:space="preserve">2804(6), </w:t>
      </w:r>
      <w:r w:rsidR="00B57F46" w:rsidRPr="00B57F46">
        <w:rPr>
          <w:rFonts w:ascii="Times New Roman" w:eastAsia="Calibri" w:hAnsi="Times New Roman" w:cs="Times New Roman"/>
          <w:sz w:val="26"/>
          <w:szCs w:val="26"/>
        </w:rPr>
        <w:t>that the EDC</w:t>
      </w:r>
      <w:r w:rsidR="009614DC">
        <w:rPr>
          <w:rFonts w:ascii="Times New Roman" w:eastAsia="Calibri" w:hAnsi="Times New Roman" w:cs="Times New Roman"/>
          <w:sz w:val="26"/>
          <w:szCs w:val="26"/>
        </w:rPr>
        <w:t>s</w:t>
      </w:r>
      <w:r w:rsidR="00B57F46" w:rsidRPr="00B57F46">
        <w:rPr>
          <w:rFonts w:ascii="Times New Roman" w:eastAsia="Calibri" w:hAnsi="Times New Roman" w:cs="Times New Roman"/>
          <w:sz w:val="26"/>
          <w:szCs w:val="26"/>
        </w:rPr>
        <w:t xml:space="preserve">’ </w:t>
      </w:r>
      <w:r w:rsidR="009614DC">
        <w:rPr>
          <w:rFonts w:ascii="Times New Roman" w:eastAsia="Calibri" w:hAnsi="Times New Roman" w:cs="Times New Roman"/>
          <w:sz w:val="26"/>
          <w:szCs w:val="26"/>
        </w:rPr>
        <w:t>“</w:t>
      </w:r>
      <w:r w:rsidR="00B57F46" w:rsidRPr="00B57F46">
        <w:rPr>
          <w:rFonts w:ascii="Times New Roman" w:eastAsia="Calibri" w:hAnsi="Times New Roman" w:cs="Times New Roman"/>
          <w:sz w:val="26"/>
          <w:szCs w:val="26"/>
        </w:rPr>
        <w:t>on-bill billing</w:t>
      </w:r>
      <w:r w:rsidR="009614DC">
        <w:rPr>
          <w:rFonts w:ascii="Times New Roman" w:eastAsia="Calibri" w:hAnsi="Times New Roman" w:cs="Times New Roman"/>
          <w:sz w:val="26"/>
          <w:szCs w:val="26"/>
        </w:rPr>
        <w:t>”</w:t>
      </w:r>
      <w:r w:rsidR="00B57F46" w:rsidRPr="00B57F46">
        <w:rPr>
          <w:rFonts w:ascii="Times New Roman" w:eastAsia="Calibri" w:hAnsi="Times New Roman" w:cs="Times New Roman"/>
          <w:sz w:val="26"/>
          <w:szCs w:val="26"/>
        </w:rPr>
        <w:t xml:space="preserve"> practice was discriminatory, as against the complaining EGSs.  We disagree</w:t>
      </w:r>
      <w:r w:rsidR="00737C1F">
        <w:rPr>
          <w:rFonts w:ascii="Times New Roman" w:eastAsia="Calibri" w:hAnsi="Times New Roman" w:cs="Times New Roman"/>
          <w:sz w:val="26"/>
          <w:szCs w:val="26"/>
        </w:rPr>
        <w:t xml:space="preserve"> with th</w:t>
      </w:r>
      <w:r w:rsidR="00E83AC1">
        <w:rPr>
          <w:rFonts w:ascii="Times New Roman" w:eastAsia="Calibri" w:hAnsi="Times New Roman" w:cs="Times New Roman"/>
          <w:sz w:val="26"/>
          <w:szCs w:val="26"/>
        </w:rPr>
        <w:t xml:space="preserve">at </w:t>
      </w:r>
      <w:r w:rsidR="0042737F">
        <w:rPr>
          <w:rFonts w:ascii="Times New Roman" w:eastAsia="Calibri" w:hAnsi="Times New Roman" w:cs="Times New Roman"/>
          <w:sz w:val="26"/>
          <w:szCs w:val="26"/>
        </w:rPr>
        <w:t>conclusion under the facts of this Complaint</w:t>
      </w:r>
      <w:r w:rsidR="00B57F46" w:rsidRPr="00B57F46">
        <w:rPr>
          <w:rFonts w:ascii="Times New Roman" w:eastAsia="Calibri" w:hAnsi="Times New Roman" w:cs="Times New Roman"/>
          <w:sz w:val="26"/>
          <w:szCs w:val="26"/>
        </w:rPr>
        <w:t xml:space="preserve">.  Accordingly, as discussed more fully </w:t>
      </w:r>
      <w:r w:rsidR="00B57F46" w:rsidRPr="00B57F46">
        <w:rPr>
          <w:rFonts w:ascii="Times New Roman" w:eastAsia="Calibri" w:hAnsi="Times New Roman" w:cs="Times New Roman"/>
          <w:i/>
          <w:iCs/>
          <w:sz w:val="26"/>
          <w:szCs w:val="26"/>
        </w:rPr>
        <w:t>infra</w:t>
      </w:r>
      <w:r w:rsidR="00B57F46" w:rsidRPr="00B57F46">
        <w:rPr>
          <w:rFonts w:ascii="Times New Roman" w:eastAsia="Calibri" w:hAnsi="Times New Roman" w:cs="Times New Roman"/>
          <w:sz w:val="26"/>
          <w:szCs w:val="26"/>
        </w:rPr>
        <w:t xml:space="preserve">., based upon our reading of the applicable statutory provisions, we shall grant the EDCs’ Exceptions, reverse the ALJ’s Initial Decision, and shall deny and dismiss the EGSs’ Complaints. </w:t>
      </w:r>
    </w:p>
    <w:p w14:paraId="1EB47182" w14:textId="0B735D46" w:rsidR="00DD120C" w:rsidRDefault="00DD120C" w:rsidP="00577BEF">
      <w:pPr>
        <w:spacing w:after="0" w:line="360" w:lineRule="auto"/>
        <w:ind w:firstLine="1440"/>
        <w:rPr>
          <w:rFonts w:ascii="Times New Roman" w:eastAsia="Calibri" w:hAnsi="Times New Roman" w:cs="Times New Roman"/>
          <w:sz w:val="26"/>
          <w:szCs w:val="26"/>
        </w:rPr>
      </w:pPr>
    </w:p>
    <w:p w14:paraId="70E7A037" w14:textId="591E26EA" w:rsidR="00DD120C" w:rsidRDefault="00DD120C" w:rsidP="00DD120C">
      <w:pPr>
        <w:spacing w:line="360" w:lineRule="auto"/>
        <w:ind w:firstLine="1440"/>
        <w:contextualSpacing/>
        <w:rPr>
          <w:rFonts w:ascii="Times New Roman" w:hAnsi="Times New Roman" w:cs="Times New Roman"/>
          <w:sz w:val="26"/>
          <w:szCs w:val="26"/>
        </w:rPr>
      </w:pPr>
      <w:r>
        <w:rPr>
          <w:rFonts w:ascii="Times New Roman" w:hAnsi="Times New Roman" w:cs="Times New Roman"/>
          <w:sz w:val="26"/>
          <w:szCs w:val="26"/>
        </w:rPr>
        <w:lastRenderedPageBreak/>
        <w:t xml:space="preserve">Consequently, consistent with the discussion </w:t>
      </w:r>
      <w:r w:rsidR="00893B51" w:rsidRPr="00893B51">
        <w:rPr>
          <w:rFonts w:ascii="Times New Roman" w:hAnsi="Times New Roman" w:cs="Times New Roman"/>
          <w:i/>
          <w:iCs/>
          <w:sz w:val="26"/>
          <w:szCs w:val="26"/>
        </w:rPr>
        <w:t>infra.</w:t>
      </w:r>
      <w:r w:rsidR="00893B51">
        <w:rPr>
          <w:rFonts w:ascii="Times New Roman" w:hAnsi="Times New Roman" w:cs="Times New Roman"/>
          <w:sz w:val="26"/>
          <w:szCs w:val="26"/>
        </w:rPr>
        <w:t xml:space="preserve">, </w:t>
      </w:r>
      <w:r>
        <w:rPr>
          <w:rFonts w:ascii="Times New Roman" w:hAnsi="Times New Roman" w:cs="Times New Roman"/>
          <w:sz w:val="26"/>
          <w:szCs w:val="26"/>
        </w:rPr>
        <w:t>in this Opinion and Order, we expressly reverse the ALJ’s Conclusion of Law No. 16, which provides:</w:t>
      </w:r>
    </w:p>
    <w:p w14:paraId="00FA60F6" w14:textId="77777777" w:rsidR="00DD120C" w:rsidRPr="00DD5EAE" w:rsidRDefault="00DD120C" w:rsidP="00DD120C">
      <w:pPr>
        <w:spacing w:after="0" w:line="240" w:lineRule="auto"/>
        <w:ind w:left="1440" w:right="1440"/>
        <w:contextualSpacing/>
        <w:rPr>
          <w:rFonts w:ascii="Times New Roman" w:hAnsi="Times New Roman" w:cs="Times New Roman"/>
          <w:sz w:val="26"/>
          <w:szCs w:val="26"/>
        </w:rPr>
      </w:pPr>
    </w:p>
    <w:p w14:paraId="20665DF7" w14:textId="77777777" w:rsidR="00DD120C" w:rsidRPr="00DD5EAE" w:rsidRDefault="00DD120C" w:rsidP="00DD120C">
      <w:pPr>
        <w:spacing w:after="0" w:line="240" w:lineRule="auto"/>
        <w:ind w:left="1440" w:right="1440"/>
        <w:contextualSpacing/>
        <w:rPr>
          <w:rFonts w:ascii="Times New Roman" w:hAnsi="Times New Roman" w:cs="Times New Roman"/>
          <w:sz w:val="26"/>
          <w:szCs w:val="26"/>
        </w:rPr>
      </w:pPr>
      <w:r w:rsidRPr="00DD5EAE">
        <w:rPr>
          <w:rFonts w:ascii="Times New Roman" w:hAnsi="Times New Roman" w:cs="Times New Roman"/>
          <w:sz w:val="26"/>
          <w:szCs w:val="26"/>
        </w:rPr>
        <w:t xml:space="preserve">16. </w:t>
      </w:r>
      <w:r>
        <w:rPr>
          <w:rFonts w:ascii="Times New Roman" w:hAnsi="Times New Roman" w:cs="Times New Roman"/>
          <w:sz w:val="26"/>
          <w:szCs w:val="26"/>
        </w:rPr>
        <w:tab/>
      </w:r>
      <w:r w:rsidRPr="00DD5EAE">
        <w:rPr>
          <w:rFonts w:ascii="Times New Roman" w:hAnsi="Times New Roman" w:cs="Times New Roman"/>
          <w:sz w:val="26"/>
          <w:szCs w:val="26"/>
        </w:rPr>
        <w:t xml:space="preserve">The EGSs have satisfied their burden of proof in this proceeding by a preponderance of the evidence to demonstrate that the EDCs have violated the Public Utility Code by failing to provide the EGSs with on-bill billing for their non-basic, non-commodity products and services.  </w:t>
      </w:r>
    </w:p>
    <w:p w14:paraId="122F80BC" w14:textId="77777777" w:rsidR="00DD120C" w:rsidRDefault="00DD120C" w:rsidP="00DD120C">
      <w:pPr>
        <w:spacing w:after="0" w:line="360" w:lineRule="auto"/>
        <w:rPr>
          <w:rFonts w:ascii="Times New Roman" w:eastAsia="Times New Roman" w:hAnsi="Times New Roman" w:cs="Times New Roman"/>
          <w:sz w:val="26"/>
          <w:szCs w:val="26"/>
        </w:rPr>
      </w:pPr>
    </w:p>
    <w:p w14:paraId="436A6D86" w14:textId="77777777" w:rsidR="00DD120C" w:rsidRPr="00DD5EAE" w:rsidRDefault="00DD120C" w:rsidP="00DD120C">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I.D. at 26.</w:t>
      </w:r>
    </w:p>
    <w:p w14:paraId="194A59BF" w14:textId="77777777" w:rsidR="00B57F46" w:rsidRPr="00B57F46" w:rsidRDefault="00B57F46" w:rsidP="00B57F46">
      <w:pPr>
        <w:spacing w:after="0" w:line="360" w:lineRule="auto"/>
        <w:rPr>
          <w:rFonts w:ascii="Times New Roman" w:eastAsia="Calibri" w:hAnsi="Times New Roman" w:cs="Times New Roman"/>
          <w:sz w:val="26"/>
          <w:szCs w:val="26"/>
        </w:rPr>
      </w:pPr>
    </w:p>
    <w:p w14:paraId="5461AE4F" w14:textId="77777777" w:rsidR="00B57F46" w:rsidRPr="00B57F46" w:rsidRDefault="00B57F46" w:rsidP="00577BEF">
      <w:pPr>
        <w:spacing w:after="0" w:line="360" w:lineRule="auto"/>
        <w:ind w:firstLine="1440"/>
        <w:rPr>
          <w:rFonts w:ascii="Times New Roman" w:eastAsia="Calibri" w:hAnsi="Times New Roman" w:cs="Times New Roman"/>
          <w:sz w:val="26"/>
          <w:szCs w:val="26"/>
        </w:rPr>
      </w:pPr>
      <w:r w:rsidRPr="00B57F46">
        <w:rPr>
          <w:rFonts w:ascii="Times New Roman" w:eastAsia="Calibri" w:hAnsi="Times New Roman" w:cs="Times New Roman"/>
          <w:sz w:val="26"/>
          <w:szCs w:val="26"/>
        </w:rPr>
        <w:t xml:space="preserve">In the Initial Decision, the ALJ concluded that the EDCs’ practice of “on-bill billing” for non-commodity (other than electric) goods and services for only itself, while denying the provision of “on-bill billing” for other entities, including EGSs, constituted discrimination in service in violation of Section 1502’s prohibition on discrimination in service </w:t>
      </w:r>
      <w:r w:rsidRPr="00DD120C">
        <w:rPr>
          <w:rFonts w:ascii="Times New Roman" w:eastAsia="Calibri" w:hAnsi="Times New Roman" w:cs="Times New Roman"/>
          <w:sz w:val="26"/>
          <w:szCs w:val="26"/>
        </w:rPr>
        <w:t>(</w:t>
      </w:r>
      <w:r w:rsidRPr="00B57F46">
        <w:rPr>
          <w:rFonts w:ascii="Times New Roman" w:eastAsia="Calibri" w:hAnsi="Times New Roman" w:cs="Times New Roman"/>
          <w:i/>
          <w:iCs/>
          <w:sz w:val="26"/>
          <w:szCs w:val="26"/>
        </w:rPr>
        <w:t>i.e.</w:t>
      </w:r>
      <w:r w:rsidRPr="00B57F46">
        <w:rPr>
          <w:rFonts w:ascii="Times New Roman" w:eastAsia="Calibri" w:hAnsi="Times New Roman" w:cs="Times New Roman"/>
          <w:sz w:val="26"/>
          <w:szCs w:val="26"/>
        </w:rPr>
        <w:t xml:space="preserve">, any unreasonable difference as to service), providing: </w:t>
      </w:r>
    </w:p>
    <w:p w14:paraId="4268DE34" w14:textId="77777777" w:rsidR="00B57F46" w:rsidRPr="00B57F46" w:rsidRDefault="00B57F46" w:rsidP="00B57F46">
      <w:pPr>
        <w:spacing w:after="0" w:line="360" w:lineRule="auto"/>
        <w:rPr>
          <w:rFonts w:ascii="Times New Roman" w:eastAsia="Calibri" w:hAnsi="Times New Roman" w:cs="Times New Roman"/>
          <w:sz w:val="26"/>
          <w:szCs w:val="26"/>
        </w:rPr>
      </w:pPr>
    </w:p>
    <w:p w14:paraId="4C214436" w14:textId="77777777" w:rsidR="00B57F46" w:rsidRPr="00B57F46" w:rsidRDefault="00B57F46" w:rsidP="00A724D1">
      <w:pPr>
        <w:spacing w:after="0" w:line="360" w:lineRule="auto"/>
        <w:ind w:left="720" w:firstLine="720"/>
        <w:rPr>
          <w:rFonts w:ascii="Times New Roman" w:eastAsia="Calibri" w:hAnsi="Times New Roman" w:cs="Times New Roman"/>
          <w:color w:val="000000"/>
          <w:sz w:val="26"/>
          <w:szCs w:val="26"/>
        </w:rPr>
      </w:pPr>
      <w:r w:rsidRPr="00B57F46">
        <w:rPr>
          <w:rFonts w:ascii="Times New Roman" w:eastAsia="Calibri" w:hAnsi="Times New Roman" w:cs="Times New Roman"/>
          <w:b/>
          <w:bCs/>
          <w:color w:val="000000"/>
          <w:sz w:val="26"/>
          <w:szCs w:val="26"/>
        </w:rPr>
        <w:t>§ 1502.  Discrimination in service.</w:t>
      </w:r>
      <w:r w:rsidRPr="00B57F46">
        <w:rPr>
          <w:rFonts w:ascii="Times New Roman" w:eastAsia="Calibri" w:hAnsi="Times New Roman" w:cs="Times New Roman"/>
          <w:color w:val="000000"/>
          <w:sz w:val="26"/>
          <w:szCs w:val="26"/>
        </w:rPr>
        <w:t xml:space="preserve"> </w:t>
      </w:r>
    </w:p>
    <w:p w14:paraId="3342A4DC" w14:textId="77777777" w:rsidR="00B57F46" w:rsidRPr="00B57F46" w:rsidRDefault="00B57F46" w:rsidP="00CB06ED">
      <w:pPr>
        <w:spacing w:after="0" w:line="240" w:lineRule="auto"/>
        <w:rPr>
          <w:rFonts w:ascii="Times New Roman" w:eastAsia="Calibri" w:hAnsi="Times New Roman" w:cs="Times New Roman"/>
          <w:color w:val="000000"/>
          <w:sz w:val="26"/>
          <w:szCs w:val="26"/>
        </w:rPr>
      </w:pPr>
      <w:r w:rsidRPr="00B57F46">
        <w:rPr>
          <w:rFonts w:ascii="Times New Roman" w:eastAsia="Calibri" w:hAnsi="Times New Roman" w:cs="Times New Roman"/>
          <w:color w:val="000000"/>
          <w:sz w:val="26"/>
          <w:szCs w:val="26"/>
        </w:rPr>
        <w:t> </w:t>
      </w:r>
    </w:p>
    <w:p w14:paraId="1EBB4C36" w14:textId="77777777" w:rsidR="00B57F46" w:rsidRPr="00B57F46" w:rsidRDefault="00B57F46" w:rsidP="00577BEF">
      <w:pPr>
        <w:spacing w:after="0" w:line="240" w:lineRule="auto"/>
        <w:ind w:left="1440" w:right="1440"/>
        <w:rPr>
          <w:rFonts w:ascii="Times New Roman" w:eastAsia="Calibri" w:hAnsi="Times New Roman" w:cs="Times New Roman"/>
          <w:color w:val="000000"/>
          <w:sz w:val="26"/>
          <w:szCs w:val="26"/>
        </w:rPr>
      </w:pPr>
      <w:r w:rsidRPr="00B57F46">
        <w:rPr>
          <w:rFonts w:ascii="Times New Roman" w:eastAsia="Calibri" w:hAnsi="Times New Roman" w:cs="Times New Roman"/>
          <w:color w:val="000000"/>
          <w:sz w:val="26"/>
          <w:szCs w:val="26"/>
        </w:rPr>
        <w:t xml:space="preserve">No public utility shall, </w:t>
      </w:r>
      <w:r w:rsidRPr="00B57F46">
        <w:rPr>
          <w:rFonts w:ascii="Times New Roman" w:eastAsia="Calibri" w:hAnsi="Times New Roman" w:cs="Times New Roman"/>
          <w:i/>
          <w:iCs/>
          <w:color w:val="000000"/>
          <w:sz w:val="26"/>
          <w:szCs w:val="26"/>
        </w:rPr>
        <w:t>as to service</w:t>
      </w:r>
      <w:r w:rsidRPr="00B57F46">
        <w:rPr>
          <w:rFonts w:ascii="Times New Roman" w:eastAsia="Calibri" w:hAnsi="Times New Roman" w:cs="Times New Roman"/>
          <w:color w:val="000000"/>
          <w:sz w:val="26"/>
          <w:szCs w:val="26"/>
        </w:rPr>
        <w:t xml:space="preserve">, make or grant </w:t>
      </w:r>
      <w:r w:rsidRPr="00B57F46">
        <w:rPr>
          <w:rFonts w:ascii="Times New Roman" w:eastAsia="Calibri" w:hAnsi="Times New Roman" w:cs="Times New Roman"/>
          <w:i/>
          <w:iCs/>
          <w:color w:val="000000"/>
          <w:sz w:val="26"/>
          <w:szCs w:val="26"/>
        </w:rPr>
        <w:t xml:space="preserve">any unreasonable preference or advantage to any person, </w:t>
      </w:r>
      <w:proofErr w:type="gramStart"/>
      <w:r w:rsidRPr="00B57F46">
        <w:rPr>
          <w:rFonts w:ascii="Times New Roman" w:eastAsia="Calibri" w:hAnsi="Times New Roman" w:cs="Times New Roman"/>
          <w:i/>
          <w:iCs/>
          <w:color w:val="000000"/>
          <w:sz w:val="26"/>
          <w:szCs w:val="26"/>
        </w:rPr>
        <w:t>corporation</w:t>
      </w:r>
      <w:proofErr w:type="gramEnd"/>
      <w:r w:rsidRPr="00B57F46">
        <w:rPr>
          <w:rFonts w:ascii="Times New Roman" w:eastAsia="Calibri" w:hAnsi="Times New Roman" w:cs="Times New Roman"/>
          <w:i/>
          <w:iCs/>
          <w:color w:val="000000"/>
          <w:sz w:val="26"/>
          <w:szCs w:val="26"/>
        </w:rPr>
        <w:t xml:space="preserve"> or municipal corporation</w:t>
      </w:r>
      <w:r w:rsidRPr="00B57F46">
        <w:rPr>
          <w:rFonts w:ascii="Times New Roman" w:eastAsia="Calibri" w:hAnsi="Times New Roman" w:cs="Times New Roman"/>
          <w:color w:val="000000"/>
          <w:sz w:val="26"/>
          <w:szCs w:val="26"/>
        </w:rPr>
        <w:t xml:space="preserve">, or subject any person, corporation, or municipal corporation to any unreasonable prejudice or disadvantage.  No public utility shall establish or maintain any unreasonable difference as to service, either as between localities or as between classes of service, but this section does not prohibit the establishment of reasonable classifications of service. </w:t>
      </w:r>
    </w:p>
    <w:p w14:paraId="1267879D" w14:textId="77777777" w:rsidR="00B57F46" w:rsidRPr="00B57F46" w:rsidRDefault="00B57F46" w:rsidP="00CB06ED">
      <w:pPr>
        <w:spacing w:after="0" w:line="360" w:lineRule="auto"/>
        <w:ind w:right="1440"/>
        <w:rPr>
          <w:rFonts w:ascii="Times New Roman" w:eastAsia="Calibri" w:hAnsi="Times New Roman" w:cs="Times New Roman"/>
          <w:color w:val="000000"/>
          <w:sz w:val="26"/>
          <w:szCs w:val="26"/>
        </w:rPr>
      </w:pPr>
      <w:r w:rsidRPr="00B57F46">
        <w:rPr>
          <w:rFonts w:ascii="Times New Roman" w:eastAsia="Calibri" w:hAnsi="Times New Roman" w:cs="Times New Roman"/>
          <w:color w:val="000000"/>
          <w:sz w:val="26"/>
          <w:szCs w:val="26"/>
        </w:rPr>
        <w:t> </w:t>
      </w:r>
    </w:p>
    <w:p w14:paraId="28CA5D44" w14:textId="02BD543A" w:rsidR="00B57F46" w:rsidRPr="00B57F46" w:rsidRDefault="00B57F46" w:rsidP="00B57F46">
      <w:pPr>
        <w:spacing w:after="0" w:line="360" w:lineRule="auto"/>
        <w:rPr>
          <w:rFonts w:ascii="Times New Roman" w:eastAsia="Calibri" w:hAnsi="Times New Roman" w:cs="Times New Roman"/>
          <w:color w:val="000000"/>
          <w:sz w:val="26"/>
          <w:szCs w:val="26"/>
        </w:rPr>
      </w:pPr>
      <w:r w:rsidRPr="00B57F46">
        <w:rPr>
          <w:rFonts w:ascii="Times New Roman" w:eastAsia="Calibri" w:hAnsi="Times New Roman" w:cs="Times New Roman"/>
          <w:color w:val="000000"/>
          <w:sz w:val="26"/>
          <w:szCs w:val="26"/>
        </w:rPr>
        <w:t>66 Pa.</w:t>
      </w:r>
      <w:r w:rsidR="00B872B9">
        <w:rPr>
          <w:rFonts w:ascii="Times New Roman" w:eastAsia="Calibri" w:hAnsi="Times New Roman" w:cs="Times New Roman"/>
          <w:color w:val="000000"/>
          <w:sz w:val="26"/>
          <w:szCs w:val="26"/>
        </w:rPr>
        <w:t xml:space="preserve"> </w:t>
      </w:r>
      <w:r w:rsidRPr="00B57F46">
        <w:rPr>
          <w:rFonts w:ascii="Times New Roman" w:eastAsia="Calibri" w:hAnsi="Times New Roman" w:cs="Times New Roman"/>
          <w:color w:val="000000"/>
          <w:sz w:val="26"/>
          <w:szCs w:val="26"/>
        </w:rPr>
        <w:t xml:space="preserve">C.S. § 1502 (emphasis added).  </w:t>
      </w:r>
    </w:p>
    <w:p w14:paraId="7668BB43" w14:textId="77777777" w:rsidR="00B57F46" w:rsidRPr="00B57F46" w:rsidRDefault="00B57F46" w:rsidP="00B57F46">
      <w:pPr>
        <w:spacing w:after="0" w:line="360" w:lineRule="auto"/>
        <w:rPr>
          <w:rFonts w:ascii="Times New Roman" w:eastAsia="Calibri" w:hAnsi="Times New Roman" w:cs="Times New Roman"/>
          <w:color w:val="000000"/>
          <w:sz w:val="26"/>
          <w:szCs w:val="26"/>
        </w:rPr>
      </w:pPr>
    </w:p>
    <w:p w14:paraId="2AE4F712" w14:textId="2A071A8F" w:rsidR="00B57F46" w:rsidRPr="00B57F46" w:rsidRDefault="00B57F46" w:rsidP="00577BEF">
      <w:pPr>
        <w:spacing w:after="0" w:line="360" w:lineRule="auto"/>
        <w:ind w:firstLine="1440"/>
        <w:rPr>
          <w:rFonts w:ascii="Times New Roman" w:eastAsia="Calibri" w:hAnsi="Times New Roman" w:cs="Times New Roman"/>
          <w:color w:val="000000"/>
          <w:sz w:val="26"/>
          <w:szCs w:val="26"/>
        </w:rPr>
      </w:pPr>
      <w:r w:rsidRPr="00B57F46">
        <w:rPr>
          <w:rFonts w:ascii="Times New Roman" w:eastAsia="Calibri" w:hAnsi="Times New Roman" w:cs="Times New Roman"/>
          <w:color w:val="000000"/>
          <w:sz w:val="26"/>
          <w:szCs w:val="26"/>
        </w:rPr>
        <w:t xml:space="preserve">In applying the language of Section 1502, the ALJ relied, first, upon the general definition of </w:t>
      </w:r>
      <w:r w:rsidR="0005259A">
        <w:rPr>
          <w:rFonts w:ascii="Times New Roman" w:eastAsia="Calibri" w:hAnsi="Times New Roman" w:cs="Times New Roman"/>
          <w:color w:val="000000"/>
          <w:sz w:val="26"/>
          <w:szCs w:val="26"/>
        </w:rPr>
        <w:t>“</w:t>
      </w:r>
      <w:r w:rsidRPr="00B57F46">
        <w:rPr>
          <w:rFonts w:ascii="Times New Roman" w:eastAsia="Calibri" w:hAnsi="Times New Roman" w:cs="Times New Roman"/>
          <w:color w:val="000000"/>
          <w:sz w:val="26"/>
          <w:szCs w:val="26"/>
        </w:rPr>
        <w:t>discrimination,</w:t>
      </w:r>
      <w:r w:rsidR="0005259A">
        <w:rPr>
          <w:rFonts w:ascii="Times New Roman" w:eastAsia="Calibri" w:hAnsi="Times New Roman" w:cs="Times New Roman"/>
          <w:color w:val="000000"/>
          <w:sz w:val="26"/>
          <w:szCs w:val="26"/>
        </w:rPr>
        <w:t>”</w:t>
      </w:r>
      <w:r w:rsidRPr="00B57F46">
        <w:rPr>
          <w:rFonts w:ascii="Times New Roman" w:eastAsia="Calibri" w:hAnsi="Times New Roman" w:cs="Times New Roman"/>
          <w:color w:val="000000"/>
          <w:sz w:val="26"/>
          <w:szCs w:val="26"/>
        </w:rPr>
        <w:t xml:space="preserve"> which the ALJ read to encompass any preference or advantage afforded </w:t>
      </w:r>
      <w:r w:rsidRPr="00B57F46">
        <w:rPr>
          <w:rFonts w:ascii="Times New Roman" w:eastAsia="Calibri" w:hAnsi="Times New Roman" w:cs="Times New Roman"/>
          <w:i/>
          <w:iCs/>
          <w:color w:val="000000"/>
          <w:sz w:val="26"/>
          <w:szCs w:val="26"/>
        </w:rPr>
        <w:t>any</w:t>
      </w:r>
      <w:r w:rsidRPr="00B57F46">
        <w:rPr>
          <w:rFonts w:ascii="Times New Roman" w:eastAsia="Calibri" w:hAnsi="Times New Roman" w:cs="Times New Roman"/>
          <w:color w:val="000000"/>
          <w:sz w:val="26"/>
          <w:szCs w:val="26"/>
        </w:rPr>
        <w:t xml:space="preserve"> entity, including a preference or advantage granted by the </w:t>
      </w:r>
      <w:r w:rsidRPr="00B57F46">
        <w:rPr>
          <w:rFonts w:ascii="Times New Roman" w:eastAsia="Calibri" w:hAnsi="Times New Roman" w:cs="Times New Roman"/>
          <w:color w:val="000000"/>
          <w:sz w:val="26"/>
          <w:szCs w:val="26"/>
        </w:rPr>
        <w:lastRenderedPageBreak/>
        <w:t>utility</w:t>
      </w:r>
      <w:r w:rsidRPr="00B57F46">
        <w:rPr>
          <w:rFonts w:ascii="Times New Roman" w:eastAsia="Calibri" w:hAnsi="Times New Roman" w:cs="Times New Roman"/>
          <w:i/>
          <w:iCs/>
          <w:color w:val="000000"/>
          <w:sz w:val="26"/>
          <w:szCs w:val="26"/>
        </w:rPr>
        <w:t xml:space="preserve"> to itself</w:t>
      </w:r>
      <w:r w:rsidRPr="00B57F46">
        <w:rPr>
          <w:rFonts w:ascii="Times New Roman" w:eastAsia="Calibri" w:hAnsi="Times New Roman" w:cs="Times New Roman"/>
          <w:color w:val="000000"/>
          <w:sz w:val="26"/>
          <w:szCs w:val="26"/>
        </w:rPr>
        <w:t xml:space="preserve">.  Based on this broad reading of the definition of “discrimination,” the ALJ reasoned that discrimination in service under Section 1502 may be established by a utility affording </w:t>
      </w:r>
      <w:r w:rsidRPr="00B57F46">
        <w:rPr>
          <w:rFonts w:ascii="Times New Roman" w:eastAsia="Calibri" w:hAnsi="Times New Roman" w:cs="Times New Roman"/>
          <w:i/>
          <w:iCs/>
          <w:color w:val="000000"/>
          <w:sz w:val="26"/>
          <w:szCs w:val="26"/>
        </w:rPr>
        <w:t>itself</w:t>
      </w:r>
      <w:r w:rsidRPr="00B57F46">
        <w:rPr>
          <w:rFonts w:ascii="Times New Roman" w:eastAsia="Calibri" w:hAnsi="Times New Roman" w:cs="Times New Roman"/>
          <w:color w:val="000000"/>
          <w:sz w:val="26"/>
          <w:szCs w:val="26"/>
        </w:rPr>
        <w:t xml:space="preserve"> an advantage or preferential treatment over </w:t>
      </w:r>
      <w:r w:rsidRPr="00B57F46">
        <w:rPr>
          <w:rFonts w:ascii="Times New Roman" w:eastAsia="Calibri" w:hAnsi="Times New Roman" w:cs="Times New Roman"/>
          <w:i/>
          <w:iCs/>
          <w:color w:val="000000"/>
          <w:sz w:val="26"/>
          <w:szCs w:val="26"/>
        </w:rPr>
        <w:t>any other</w:t>
      </w:r>
      <w:r w:rsidRPr="00B57F46">
        <w:rPr>
          <w:rFonts w:ascii="Times New Roman" w:eastAsia="Calibri" w:hAnsi="Times New Roman" w:cs="Times New Roman"/>
          <w:color w:val="000000"/>
          <w:sz w:val="26"/>
          <w:szCs w:val="26"/>
        </w:rPr>
        <w:t xml:space="preserve"> without regard to “merit.”  The ALJ further concluded that, in applying the Commission’s prior decision in </w:t>
      </w:r>
      <w:r w:rsidRPr="00B57F46">
        <w:rPr>
          <w:rFonts w:ascii="Times New Roman" w:eastAsia="Calibri" w:hAnsi="Times New Roman" w:cs="Times New Roman"/>
          <w:i/>
          <w:iCs/>
          <w:color w:val="000000"/>
          <w:sz w:val="26"/>
          <w:szCs w:val="26"/>
        </w:rPr>
        <w:t>Columbia</w:t>
      </w:r>
      <w:r w:rsidRPr="00B57F46">
        <w:rPr>
          <w:rFonts w:ascii="Times New Roman" w:eastAsia="Calibri" w:hAnsi="Times New Roman" w:cs="Times New Roman"/>
          <w:color w:val="000000"/>
          <w:sz w:val="26"/>
          <w:szCs w:val="26"/>
        </w:rPr>
        <w:t xml:space="preserve">, there was no material distinction to the facts in </w:t>
      </w:r>
      <w:r w:rsidRPr="00B57F46">
        <w:rPr>
          <w:rFonts w:ascii="Times New Roman" w:eastAsia="Calibri" w:hAnsi="Times New Roman" w:cs="Times New Roman"/>
          <w:i/>
          <w:iCs/>
          <w:color w:val="000000"/>
          <w:sz w:val="26"/>
          <w:szCs w:val="26"/>
        </w:rPr>
        <w:t>Columbia</w:t>
      </w:r>
      <w:r w:rsidRPr="00B57F46">
        <w:rPr>
          <w:rFonts w:ascii="Times New Roman" w:eastAsia="Calibri" w:hAnsi="Times New Roman" w:cs="Times New Roman"/>
          <w:color w:val="000000"/>
          <w:sz w:val="26"/>
          <w:szCs w:val="26"/>
        </w:rPr>
        <w:t xml:space="preserve"> and the present case. We disagree.  </w:t>
      </w:r>
    </w:p>
    <w:p w14:paraId="2CE73F96" w14:textId="77777777" w:rsidR="00B57F46" w:rsidRPr="00B57F46" w:rsidRDefault="00B57F46" w:rsidP="00B57F46">
      <w:pPr>
        <w:spacing w:after="0" w:line="360" w:lineRule="auto"/>
        <w:rPr>
          <w:rFonts w:ascii="Times New Roman" w:eastAsia="Calibri" w:hAnsi="Times New Roman" w:cs="Times New Roman"/>
          <w:color w:val="000000"/>
          <w:sz w:val="26"/>
          <w:szCs w:val="26"/>
        </w:rPr>
      </w:pPr>
    </w:p>
    <w:p w14:paraId="3E7F335C" w14:textId="5B8DC53A" w:rsidR="00B57F46" w:rsidRPr="00B57F46" w:rsidRDefault="00B57F46" w:rsidP="00577BEF">
      <w:pPr>
        <w:spacing w:after="0" w:line="360" w:lineRule="auto"/>
        <w:ind w:firstLine="1440"/>
        <w:rPr>
          <w:rFonts w:ascii="Times New Roman" w:eastAsia="Calibri" w:hAnsi="Times New Roman" w:cs="Times New Roman"/>
          <w:color w:val="000000"/>
          <w:sz w:val="26"/>
          <w:szCs w:val="26"/>
        </w:rPr>
      </w:pPr>
      <w:r w:rsidRPr="00B57F46">
        <w:rPr>
          <w:rFonts w:ascii="Times New Roman" w:eastAsia="Calibri" w:hAnsi="Times New Roman" w:cs="Times New Roman"/>
          <w:color w:val="000000"/>
          <w:sz w:val="26"/>
          <w:szCs w:val="26"/>
        </w:rPr>
        <w:t>We agree with the arguments presented by the EDCs in their Exceptions that, in the present case, to find a violation of the Section 1502 prohibition on discrimination in service, the EGSs would be required to show that the EDCs provide the billing services in question to a third party (</w:t>
      </w:r>
      <w:r w:rsidRPr="00B57F46">
        <w:rPr>
          <w:rFonts w:ascii="Times New Roman" w:eastAsia="Calibri" w:hAnsi="Times New Roman" w:cs="Times New Roman"/>
          <w:i/>
          <w:iCs/>
          <w:color w:val="000000"/>
          <w:sz w:val="26"/>
          <w:szCs w:val="26"/>
        </w:rPr>
        <w:t>i.e.</w:t>
      </w:r>
      <w:r w:rsidRPr="00B57F46">
        <w:rPr>
          <w:rFonts w:ascii="Times New Roman" w:eastAsia="Calibri" w:hAnsi="Times New Roman" w:cs="Times New Roman"/>
          <w:color w:val="000000"/>
          <w:sz w:val="26"/>
          <w:szCs w:val="26"/>
        </w:rPr>
        <w:t>, a party other than the EDCs themselves) while refusing to provide the same service to the EGSs.  Consequently, we further agree with the EDCs</w:t>
      </w:r>
      <w:r w:rsidR="00D87DCD">
        <w:rPr>
          <w:rFonts w:ascii="Times New Roman" w:eastAsia="Calibri" w:hAnsi="Times New Roman" w:cs="Times New Roman"/>
          <w:color w:val="000000"/>
          <w:sz w:val="26"/>
          <w:szCs w:val="26"/>
        </w:rPr>
        <w:t>’</w:t>
      </w:r>
      <w:r w:rsidRPr="00B57F46">
        <w:rPr>
          <w:rFonts w:ascii="Times New Roman" w:eastAsia="Calibri" w:hAnsi="Times New Roman" w:cs="Times New Roman"/>
          <w:color w:val="000000"/>
          <w:sz w:val="26"/>
          <w:szCs w:val="26"/>
        </w:rPr>
        <w:t xml:space="preserve"> arguments that the holding in </w:t>
      </w:r>
      <w:r w:rsidRPr="00B57F46">
        <w:rPr>
          <w:rFonts w:ascii="Times New Roman" w:eastAsia="Calibri" w:hAnsi="Times New Roman" w:cs="Times New Roman"/>
          <w:i/>
          <w:iCs/>
          <w:color w:val="000000"/>
          <w:sz w:val="26"/>
          <w:szCs w:val="26"/>
        </w:rPr>
        <w:t>Columbia</w:t>
      </w:r>
      <w:r w:rsidRPr="00B57F46">
        <w:rPr>
          <w:rFonts w:ascii="Times New Roman" w:eastAsia="Calibri" w:hAnsi="Times New Roman" w:cs="Times New Roman"/>
          <w:color w:val="000000"/>
          <w:sz w:val="26"/>
          <w:szCs w:val="26"/>
        </w:rPr>
        <w:t xml:space="preserve"> is materially distinguishable from the circumstances in the present case.  Finally, we also agree with the EDCs’ arguments raised on Exception</w:t>
      </w:r>
      <w:r w:rsidR="00D87DCD">
        <w:rPr>
          <w:rFonts w:ascii="Times New Roman" w:eastAsia="Calibri" w:hAnsi="Times New Roman" w:cs="Times New Roman"/>
          <w:color w:val="000000"/>
          <w:sz w:val="26"/>
          <w:szCs w:val="26"/>
        </w:rPr>
        <w:t>s</w:t>
      </w:r>
      <w:r w:rsidRPr="00B57F46">
        <w:rPr>
          <w:rFonts w:ascii="Times New Roman" w:eastAsia="Calibri" w:hAnsi="Times New Roman" w:cs="Times New Roman"/>
          <w:color w:val="000000"/>
          <w:sz w:val="26"/>
          <w:szCs w:val="26"/>
        </w:rPr>
        <w:t xml:space="preserve"> that the provisions of Section 2804(6) are inapplicable to the present case.  </w:t>
      </w:r>
    </w:p>
    <w:p w14:paraId="30E23068" w14:textId="77777777" w:rsidR="00B57F46" w:rsidRPr="00B57F46" w:rsidRDefault="00B57F46" w:rsidP="00B57F46">
      <w:pPr>
        <w:spacing w:after="0" w:line="360" w:lineRule="auto"/>
        <w:rPr>
          <w:rFonts w:ascii="Times New Roman" w:eastAsia="Calibri" w:hAnsi="Times New Roman" w:cs="Times New Roman"/>
          <w:color w:val="000000"/>
          <w:sz w:val="26"/>
          <w:szCs w:val="26"/>
        </w:rPr>
      </w:pPr>
    </w:p>
    <w:p w14:paraId="7067D368" w14:textId="12677C18" w:rsidR="00B57F46" w:rsidRPr="00B57F46" w:rsidRDefault="00803033" w:rsidP="00577BEF">
      <w:pPr>
        <w:spacing w:after="0" w:line="360" w:lineRule="auto"/>
        <w:ind w:firstLine="1440"/>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In applying the Commission’s prior decision in </w:t>
      </w:r>
      <w:r w:rsidRPr="00803033">
        <w:rPr>
          <w:rFonts w:ascii="Times New Roman" w:eastAsia="Calibri" w:hAnsi="Times New Roman" w:cs="Times New Roman"/>
          <w:i/>
          <w:iCs/>
          <w:color w:val="000000"/>
          <w:sz w:val="26"/>
          <w:szCs w:val="26"/>
        </w:rPr>
        <w:t>Columbia</w:t>
      </w:r>
      <w:r>
        <w:rPr>
          <w:rFonts w:ascii="Times New Roman" w:eastAsia="Calibri" w:hAnsi="Times New Roman" w:cs="Times New Roman"/>
          <w:color w:val="000000"/>
          <w:sz w:val="26"/>
          <w:szCs w:val="26"/>
        </w:rPr>
        <w:t xml:space="preserve"> to the present case, the ALJ </w:t>
      </w:r>
      <w:r w:rsidR="00B57F46" w:rsidRPr="00B57F46">
        <w:rPr>
          <w:rFonts w:ascii="Times New Roman" w:eastAsia="Calibri" w:hAnsi="Times New Roman" w:cs="Times New Roman"/>
          <w:color w:val="000000"/>
          <w:sz w:val="26"/>
          <w:szCs w:val="26"/>
        </w:rPr>
        <w:t xml:space="preserve">recounted </w:t>
      </w:r>
      <w:r>
        <w:rPr>
          <w:rFonts w:ascii="Times New Roman" w:eastAsia="Calibri" w:hAnsi="Times New Roman" w:cs="Times New Roman"/>
          <w:color w:val="000000"/>
          <w:sz w:val="26"/>
          <w:szCs w:val="26"/>
        </w:rPr>
        <w:t xml:space="preserve">the material facts in the present case, </w:t>
      </w:r>
      <w:r w:rsidR="00B57F46" w:rsidRPr="00B57F46">
        <w:rPr>
          <w:rFonts w:ascii="Times New Roman" w:eastAsia="Calibri" w:hAnsi="Times New Roman" w:cs="Times New Roman"/>
          <w:color w:val="000000"/>
          <w:sz w:val="26"/>
          <w:szCs w:val="26"/>
        </w:rPr>
        <w:t xml:space="preserve">as follows: </w:t>
      </w:r>
    </w:p>
    <w:p w14:paraId="5A261D83" w14:textId="77777777" w:rsidR="00B57F46" w:rsidRPr="00B57F46" w:rsidRDefault="00B57F46" w:rsidP="00CB06ED">
      <w:pPr>
        <w:spacing w:after="0" w:line="240" w:lineRule="auto"/>
        <w:rPr>
          <w:rFonts w:ascii="Times New Roman" w:eastAsia="Calibri" w:hAnsi="Times New Roman" w:cs="Times New Roman"/>
          <w:color w:val="000000"/>
          <w:sz w:val="26"/>
          <w:szCs w:val="26"/>
        </w:rPr>
      </w:pPr>
    </w:p>
    <w:p w14:paraId="5961A086" w14:textId="1C76BBB6" w:rsidR="00B57F46" w:rsidRPr="00B57F46" w:rsidRDefault="00B57F46" w:rsidP="00E54424">
      <w:pPr>
        <w:spacing w:after="0"/>
        <w:ind w:left="1440" w:right="1440"/>
        <w:rPr>
          <w:rFonts w:ascii="Times New Roman" w:eastAsia="Times New Roman" w:hAnsi="Times New Roman" w:cs="Times New Roman"/>
          <w:color w:val="000000"/>
          <w:sz w:val="26"/>
          <w:szCs w:val="26"/>
        </w:rPr>
      </w:pPr>
      <w:r w:rsidRPr="00B57F46">
        <w:rPr>
          <w:rFonts w:ascii="Times New Roman" w:eastAsia="Times New Roman" w:hAnsi="Times New Roman" w:cs="Times New Roman"/>
          <w:color w:val="000000"/>
          <w:sz w:val="26"/>
          <w:szCs w:val="26"/>
        </w:rPr>
        <w:t xml:space="preserve">The [EDCs] have a long history of offering non-commodity products and services, such as surge protection and line repair programs, to their customers.  The billing capability for the [EDCs’] products and services has been built into the [EDCs’] SAP billing system for decades.  The [EDCs] rely on their shared service company, First Energy Service Company, to provide administrative support for the [EDCs’] products and services, including billing. </w:t>
      </w:r>
    </w:p>
    <w:p w14:paraId="11582142" w14:textId="77777777" w:rsidR="00B57F46" w:rsidRPr="00B57F46" w:rsidRDefault="00B57F46" w:rsidP="00577BEF">
      <w:pPr>
        <w:spacing w:after="0"/>
        <w:ind w:left="1440" w:right="1440"/>
        <w:rPr>
          <w:rFonts w:ascii="Times New Roman" w:eastAsia="Times New Roman" w:hAnsi="Times New Roman" w:cs="Times New Roman"/>
          <w:color w:val="000000"/>
          <w:sz w:val="26"/>
          <w:szCs w:val="26"/>
        </w:rPr>
      </w:pPr>
      <w:r w:rsidRPr="00B57F46">
        <w:rPr>
          <w:rFonts w:ascii="Times New Roman" w:eastAsia="Times New Roman" w:hAnsi="Times New Roman" w:cs="Times New Roman"/>
          <w:color w:val="000000"/>
          <w:sz w:val="26"/>
          <w:szCs w:val="26"/>
        </w:rPr>
        <w:t xml:space="preserve"> </w:t>
      </w:r>
    </w:p>
    <w:p w14:paraId="7D008CA8" w14:textId="77777777" w:rsidR="00B57F46" w:rsidRPr="00B57F46" w:rsidRDefault="00B57F46" w:rsidP="00577BEF">
      <w:pPr>
        <w:spacing w:after="0" w:line="249" w:lineRule="auto"/>
        <w:ind w:left="1440" w:right="1440"/>
        <w:rPr>
          <w:rFonts w:ascii="Times New Roman" w:eastAsia="Times New Roman" w:hAnsi="Times New Roman" w:cs="Times New Roman"/>
          <w:color w:val="000000"/>
          <w:sz w:val="26"/>
          <w:szCs w:val="26"/>
        </w:rPr>
      </w:pPr>
      <w:r w:rsidRPr="00B57F46">
        <w:rPr>
          <w:rFonts w:ascii="Times New Roman" w:eastAsia="Times New Roman" w:hAnsi="Times New Roman" w:cs="Times New Roman"/>
          <w:color w:val="000000"/>
          <w:sz w:val="26"/>
          <w:szCs w:val="26"/>
        </w:rPr>
        <w:t xml:space="preserve">The [EDCs’] non-commodity products and services themselves are considered non-utility services that are outside of the Commission’s jurisdiction to regulate.  However, the [EDCs’] monthly bills to customers, which may include a line </w:t>
      </w:r>
      <w:r w:rsidRPr="00B57F46">
        <w:rPr>
          <w:rFonts w:ascii="Times New Roman" w:eastAsia="Times New Roman" w:hAnsi="Times New Roman" w:cs="Times New Roman"/>
          <w:color w:val="000000"/>
          <w:sz w:val="26"/>
          <w:szCs w:val="26"/>
        </w:rPr>
        <w:lastRenderedPageBreak/>
        <w:t xml:space="preserve">item for products and services, are subject to Commission regulation.  The Commission’s regulations and the [EDCs’] retail Electric Service Tariffs authorize the [EDCs] to offer and bill customers for their own products and services.  The Commission’s regulations explicitly permit utilities to bill customers for “charges for other than basic service,” which include, among other things, merchandise, appliance repairs, line repairs, and appliance warranty programs.  Consistent with the Commission’s regulations, these charges are displayed as separate line items on customers’ bills, and a customer’s failure to pay for these charges may not result in electric service termination.  All costs associated with the Companies’ products and services are below-the-line and excluded from rate recovery. </w:t>
      </w:r>
    </w:p>
    <w:p w14:paraId="19210544" w14:textId="77777777" w:rsidR="00B57F46" w:rsidRPr="00B57F46" w:rsidRDefault="00B57F46" w:rsidP="00577BEF">
      <w:pPr>
        <w:spacing w:after="0"/>
        <w:ind w:left="1440" w:right="1440"/>
        <w:rPr>
          <w:rFonts w:ascii="Times New Roman" w:eastAsia="Times New Roman" w:hAnsi="Times New Roman" w:cs="Times New Roman"/>
          <w:color w:val="000000"/>
          <w:sz w:val="26"/>
          <w:szCs w:val="26"/>
        </w:rPr>
      </w:pPr>
      <w:r w:rsidRPr="00B57F46">
        <w:rPr>
          <w:rFonts w:ascii="Times New Roman" w:eastAsia="Times New Roman" w:hAnsi="Times New Roman" w:cs="Times New Roman"/>
          <w:color w:val="000000"/>
          <w:sz w:val="26"/>
          <w:szCs w:val="26"/>
        </w:rPr>
        <w:t xml:space="preserve"> </w:t>
      </w:r>
    </w:p>
    <w:p w14:paraId="22D3BB7A" w14:textId="77777777" w:rsidR="00B57F46" w:rsidRPr="00B57F46" w:rsidRDefault="00B57F46" w:rsidP="00C06BDC">
      <w:pPr>
        <w:spacing w:after="0" w:line="249" w:lineRule="auto"/>
        <w:ind w:left="1440" w:right="1440"/>
        <w:rPr>
          <w:rFonts w:ascii="Times New Roman" w:eastAsia="Times New Roman" w:hAnsi="Times New Roman" w:cs="Times New Roman"/>
          <w:color w:val="000000"/>
          <w:sz w:val="26"/>
          <w:szCs w:val="26"/>
        </w:rPr>
      </w:pPr>
      <w:r w:rsidRPr="00B57F46">
        <w:rPr>
          <w:rFonts w:ascii="Times New Roman" w:eastAsia="Times New Roman" w:hAnsi="Times New Roman" w:cs="Times New Roman"/>
          <w:color w:val="000000"/>
          <w:sz w:val="26"/>
          <w:szCs w:val="26"/>
        </w:rPr>
        <w:t xml:space="preserve">The [EDCs] do not permit any EGS, affiliate, or other third party to include charges for their non-commodity products and services on the [EDCs’] bills.  Under the [EDCs’] EGS Coordination Tariffs, EGSs seeking to bill for non-commodity products and services must do so using dual billing, </w:t>
      </w:r>
      <w:r w:rsidRPr="00B57F46">
        <w:rPr>
          <w:rFonts w:ascii="Times New Roman" w:eastAsia="Times New Roman" w:hAnsi="Times New Roman" w:cs="Times New Roman"/>
          <w:i/>
          <w:color w:val="000000"/>
          <w:sz w:val="26"/>
          <w:szCs w:val="26"/>
        </w:rPr>
        <w:t>i.e.</w:t>
      </w:r>
      <w:r w:rsidRPr="00B57F46">
        <w:rPr>
          <w:rFonts w:ascii="Times New Roman" w:eastAsia="Times New Roman" w:hAnsi="Times New Roman" w:cs="Times New Roman"/>
          <w:color w:val="000000"/>
          <w:sz w:val="26"/>
          <w:szCs w:val="26"/>
        </w:rPr>
        <w:t xml:space="preserve">, sending their own separate bill for these items.  The Joint Complainants currently send their own bills for their non-commodity products and services, demonstrating that they </w:t>
      </w:r>
      <w:proofErr w:type="gramStart"/>
      <w:r w:rsidRPr="00B57F46">
        <w:rPr>
          <w:rFonts w:ascii="Times New Roman" w:eastAsia="Times New Roman" w:hAnsi="Times New Roman" w:cs="Times New Roman"/>
          <w:color w:val="000000"/>
          <w:sz w:val="26"/>
          <w:szCs w:val="26"/>
        </w:rPr>
        <w:t>are capable of continuing</w:t>
      </w:r>
      <w:proofErr w:type="gramEnd"/>
      <w:r w:rsidRPr="00B57F46">
        <w:rPr>
          <w:rFonts w:ascii="Times New Roman" w:eastAsia="Times New Roman" w:hAnsi="Times New Roman" w:cs="Times New Roman"/>
          <w:color w:val="000000"/>
          <w:sz w:val="26"/>
          <w:szCs w:val="26"/>
        </w:rPr>
        <w:t xml:space="preserve"> to offer and bill for their products and services without utility consolidated billing.  </w:t>
      </w:r>
    </w:p>
    <w:p w14:paraId="2FCBEC85" w14:textId="77777777" w:rsidR="00B57F46" w:rsidRPr="00B57F46" w:rsidRDefault="00B57F46" w:rsidP="00C06BDC">
      <w:pPr>
        <w:spacing w:after="0" w:line="360" w:lineRule="auto"/>
        <w:ind w:left="1440" w:right="1440"/>
        <w:rPr>
          <w:rFonts w:ascii="Times New Roman" w:eastAsia="Times New Roman" w:hAnsi="Times New Roman" w:cs="Times New Roman"/>
          <w:color w:val="000000"/>
          <w:sz w:val="26"/>
          <w:szCs w:val="26"/>
        </w:rPr>
      </w:pPr>
      <w:r w:rsidRPr="00B57F46">
        <w:rPr>
          <w:rFonts w:ascii="Times New Roman" w:eastAsia="Times New Roman" w:hAnsi="Times New Roman" w:cs="Times New Roman"/>
          <w:color w:val="000000"/>
          <w:sz w:val="26"/>
          <w:szCs w:val="26"/>
        </w:rPr>
        <w:t xml:space="preserve"> </w:t>
      </w:r>
    </w:p>
    <w:p w14:paraId="3D3D82CF" w14:textId="77777777" w:rsidR="00B57F46" w:rsidRPr="00B57F46" w:rsidRDefault="00B57F46" w:rsidP="00C06BDC">
      <w:pPr>
        <w:spacing w:after="0" w:line="360" w:lineRule="auto"/>
        <w:rPr>
          <w:rFonts w:ascii="Times New Roman" w:eastAsia="Times New Roman" w:hAnsi="Times New Roman" w:cs="Times New Roman"/>
          <w:color w:val="000000"/>
          <w:sz w:val="26"/>
          <w:szCs w:val="26"/>
        </w:rPr>
      </w:pPr>
      <w:r w:rsidRPr="00B57F46">
        <w:rPr>
          <w:rFonts w:ascii="Times New Roman" w:eastAsia="Times New Roman" w:hAnsi="Times New Roman" w:cs="Times New Roman"/>
          <w:color w:val="000000"/>
          <w:sz w:val="26"/>
          <w:szCs w:val="26"/>
          <w:u w:color="000000"/>
        </w:rPr>
        <w:t>I.D. at 11-12, citing EDC M.B.</w:t>
      </w:r>
      <w:r w:rsidRPr="00B57F46">
        <w:rPr>
          <w:rFonts w:ascii="Times New Roman" w:eastAsia="Times New Roman" w:hAnsi="Times New Roman" w:cs="Times New Roman"/>
          <w:color w:val="000000"/>
          <w:sz w:val="26"/>
          <w:szCs w:val="26"/>
        </w:rPr>
        <w:t xml:space="preserve"> at 8-9 (citations omitted).  </w:t>
      </w:r>
    </w:p>
    <w:p w14:paraId="7BD00687" w14:textId="77777777" w:rsidR="00B57F46" w:rsidRPr="00B57F46" w:rsidRDefault="00B57F46" w:rsidP="00C06BDC">
      <w:pPr>
        <w:spacing w:after="0" w:line="360" w:lineRule="auto"/>
        <w:rPr>
          <w:rFonts w:ascii="Times New Roman" w:eastAsia="Times New Roman" w:hAnsi="Times New Roman" w:cs="Times New Roman"/>
          <w:color w:val="000000"/>
          <w:sz w:val="24"/>
        </w:rPr>
      </w:pPr>
    </w:p>
    <w:p w14:paraId="7697663F" w14:textId="72E32CED" w:rsidR="00B57F46" w:rsidRPr="00B57F46" w:rsidRDefault="00B57F46" w:rsidP="00C06BDC">
      <w:pPr>
        <w:spacing w:after="0" w:line="360" w:lineRule="auto"/>
        <w:ind w:firstLine="1440"/>
        <w:rPr>
          <w:rFonts w:ascii="Times New Roman" w:eastAsia="Calibri" w:hAnsi="Times New Roman" w:cs="Times New Roman"/>
          <w:color w:val="000000"/>
          <w:sz w:val="26"/>
          <w:szCs w:val="26"/>
        </w:rPr>
      </w:pPr>
      <w:r w:rsidRPr="00B57F46">
        <w:rPr>
          <w:rFonts w:ascii="Times New Roman" w:eastAsia="Calibri" w:hAnsi="Times New Roman" w:cs="Times New Roman"/>
          <w:color w:val="000000"/>
          <w:sz w:val="26"/>
          <w:szCs w:val="26"/>
        </w:rPr>
        <w:t xml:space="preserve">Upon review of the facts in the present case, the ALJ found that the Commission’s prior holding </w:t>
      </w:r>
      <w:r w:rsidR="00FE1922">
        <w:rPr>
          <w:rFonts w:ascii="Times New Roman" w:eastAsia="Calibri" w:hAnsi="Times New Roman" w:cs="Times New Roman"/>
          <w:color w:val="000000"/>
          <w:sz w:val="26"/>
          <w:szCs w:val="26"/>
        </w:rPr>
        <w:t xml:space="preserve">in </w:t>
      </w:r>
      <w:r w:rsidRPr="00B57F46">
        <w:rPr>
          <w:rFonts w:ascii="Times New Roman" w:eastAsia="Calibri" w:hAnsi="Times New Roman" w:cs="Times New Roman"/>
          <w:i/>
          <w:iCs/>
          <w:color w:val="000000"/>
          <w:sz w:val="26"/>
          <w:szCs w:val="26"/>
        </w:rPr>
        <w:t>Columbia</w:t>
      </w:r>
      <w:r w:rsidRPr="00B57F46">
        <w:rPr>
          <w:rFonts w:ascii="Times New Roman" w:eastAsia="Calibri" w:hAnsi="Times New Roman" w:cs="Times New Roman"/>
          <w:color w:val="000000"/>
          <w:sz w:val="26"/>
          <w:szCs w:val="26"/>
        </w:rPr>
        <w:t xml:space="preserve"> was applicable to conclude that the EDCs’ billing practice was in violation of both the provisions of Section 1502 and 2804(6).  The ALJ concluded the facts in </w:t>
      </w:r>
      <w:r w:rsidRPr="00B57F46">
        <w:rPr>
          <w:rFonts w:ascii="Times New Roman" w:eastAsia="Calibri" w:hAnsi="Times New Roman" w:cs="Times New Roman"/>
          <w:i/>
          <w:iCs/>
          <w:color w:val="000000"/>
          <w:sz w:val="26"/>
          <w:szCs w:val="26"/>
        </w:rPr>
        <w:t>Columbia</w:t>
      </w:r>
      <w:r w:rsidRPr="00B57F46">
        <w:rPr>
          <w:rFonts w:ascii="Times New Roman" w:eastAsia="Calibri" w:hAnsi="Times New Roman" w:cs="Times New Roman"/>
          <w:color w:val="000000"/>
          <w:sz w:val="26"/>
          <w:szCs w:val="26"/>
        </w:rPr>
        <w:t xml:space="preserve"> were not distinguishable from the present case.  Based upon that finding, the ALJ applied the decision in </w:t>
      </w:r>
      <w:r w:rsidRPr="00B57F46">
        <w:rPr>
          <w:rFonts w:ascii="Times New Roman" w:eastAsia="Calibri" w:hAnsi="Times New Roman" w:cs="Times New Roman"/>
          <w:i/>
          <w:iCs/>
          <w:color w:val="000000"/>
          <w:sz w:val="26"/>
          <w:szCs w:val="26"/>
        </w:rPr>
        <w:t>Columbia</w:t>
      </w:r>
      <w:r w:rsidRPr="00B57F46">
        <w:rPr>
          <w:rFonts w:ascii="Times New Roman" w:eastAsia="Calibri" w:hAnsi="Times New Roman" w:cs="Times New Roman"/>
          <w:color w:val="000000"/>
          <w:sz w:val="26"/>
          <w:szCs w:val="26"/>
        </w:rPr>
        <w:t xml:space="preserve"> to conclude </w:t>
      </w:r>
      <w:r w:rsidR="00FE1922">
        <w:rPr>
          <w:rFonts w:ascii="Times New Roman" w:eastAsia="Calibri" w:hAnsi="Times New Roman" w:cs="Times New Roman"/>
          <w:color w:val="000000"/>
          <w:sz w:val="26"/>
          <w:szCs w:val="26"/>
        </w:rPr>
        <w:t xml:space="preserve">that </w:t>
      </w:r>
      <w:r w:rsidRPr="00B57F46">
        <w:rPr>
          <w:rFonts w:ascii="Times New Roman" w:eastAsia="Calibri" w:hAnsi="Times New Roman" w:cs="Times New Roman"/>
          <w:color w:val="000000"/>
          <w:sz w:val="26"/>
          <w:szCs w:val="26"/>
        </w:rPr>
        <w:t xml:space="preserve">if the EDCs’ provided </w:t>
      </w:r>
      <w:r w:rsidR="00FE1922">
        <w:rPr>
          <w:rFonts w:ascii="Times New Roman" w:eastAsia="Calibri" w:hAnsi="Times New Roman" w:cs="Times New Roman"/>
          <w:color w:val="000000"/>
          <w:sz w:val="26"/>
          <w:szCs w:val="26"/>
        </w:rPr>
        <w:t>“</w:t>
      </w:r>
      <w:r w:rsidRPr="00B57F46">
        <w:rPr>
          <w:rFonts w:ascii="Times New Roman" w:eastAsia="Calibri" w:hAnsi="Times New Roman" w:cs="Times New Roman"/>
          <w:color w:val="000000"/>
          <w:sz w:val="26"/>
          <w:szCs w:val="26"/>
        </w:rPr>
        <w:t>on-bill billing</w:t>
      </w:r>
      <w:r w:rsidR="00FE1922">
        <w:rPr>
          <w:rFonts w:ascii="Times New Roman" w:eastAsia="Calibri" w:hAnsi="Times New Roman" w:cs="Times New Roman"/>
          <w:color w:val="000000"/>
          <w:sz w:val="26"/>
          <w:szCs w:val="26"/>
        </w:rPr>
        <w:t>”</w:t>
      </w:r>
      <w:r w:rsidRPr="00B57F46">
        <w:rPr>
          <w:rFonts w:ascii="Times New Roman" w:eastAsia="Calibri" w:hAnsi="Times New Roman" w:cs="Times New Roman"/>
          <w:color w:val="000000"/>
          <w:sz w:val="26"/>
          <w:szCs w:val="26"/>
        </w:rPr>
        <w:t xml:space="preserve"> for their own non-commodity goods and services, the EDCs were bound to provide </w:t>
      </w:r>
      <w:r w:rsidR="00FE1922">
        <w:rPr>
          <w:rFonts w:ascii="Times New Roman" w:eastAsia="Calibri" w:hAnsi="Times New Roman" w:cs="Times New Roman"/>
          <w:color w:val="000000"/>
          <w:sz w:val="26"/>
          <w:szCs w:val="26"/>
        </w:rPr>
        <w:t>“</w:t>
      </w:r>
      <w:r w:rsidRPr="00B57F46">
        <w:rPr>
          <w:rFonts w:ascii="Times New Roman" w:eastAsia="Calibri" w:hAnsi="Times New Roman" w:cs="Times New Roman"/>
          <w:color w:val="000000"/>
          <w:sz w:val="26"/>
          <w:szCs w:val="26"/>
        </w:rPr>
        <w:t>on-bill billing</w:t>
      </w:r>
      <w:r w:rsidR="00FE1922">
        <w:rPr>
          <w:rFonts w:ascii="Times New Roman" w:eastAsia="Calibri" w:hAnsi="Times New Roman" w:cs="Times New Roman"/>
          <w:color w:val="000000"/>
          <w:sz w:val="26"/>
          <w:szCs w:val="26"/>
        </w:rPr>
        <w:t>”</w:t>
      </w:r>
      <w:r w:rsidRPr="00B57F46">
        <w:rPr>
          <w:rFonts w:ascii="Times New Roman" w:eastAsia="Calibri" w:hAnsi="Times New Roman" w:cs="Times New Roman"/>
          <w:color w:val="000000"/>
          <w:sz w:val="26"/>
          <w:szCs w:val="26"/>
        </w:rPr>
        <w:t xml:space="preserve"> for the EGSs’ non-commodity goods and services.  In summary, in applying </w:t>
      </w:r>
      <w:r w:rsidRPr="00B57F46">
        <w:rPr>
          <w:rFonts w:ascii="Times New Roman" w:eastAsia="Calibri" w:hAnsi="Times New Roman" w:cs="Times New Roman"/>
          <w:i/>
          <w:iCs/>
          <w:color w:val="000000"/>
          <w:sz w:val="26"/>
          <w:szCs w:val="26"/>
        </w:rPr>
        <w:t>Columbia</w:t>
      </w:r>
      <w:r w:rsidRPr="00B57F46">
        <w:rPr>
          <w:rFonts w:ascii="Times New Roman" w:eastAsia="Calibri" w:hAnsi="Times New Roman" w:cs="Times New Roman"/>
          <w:color w:val="000000"/>
          <w:sz w:val="26"/>
          <w:szCs w:val="26"/>
        </w:rPr>
        <w:t xml:space="preserve">, the ALJ concluded that under both </w:t>
      </w:r>
      <w:r w:rsidRPr="00B57F46">
        <w:rPr>
          <w:rFonts w:ascii="Times New Roman" w:eastAsia="Calibri" w:hAnsi="Times New Roman" w:cs="Times New Roman"/>
          <w:color w:val="000000"/>
          <w:sz w:val="26"/>
          <w:szCs w:val="26"/>
        </w:rPr>
        <w:lastRenderedPageBreak/>
        <w:t>Sections</w:t>
      </w:r>
      <w:r w:rsidR="00CB06ED">
        <w:rPr>
          <w:rFonts w:ascii="Times New Roman" w:eastAsia="Calibri" w:hAnsi="Times New Roman" w:cs="Times New Roman"/>
          <w:color w:val="000000"/>
          <w:sz w:val="26"/>
          <w:szCs w:val="26"/>
        </w:rPr>
        <w:t> </w:t>
      </w:r>
      <w:r w:rsidRPr="00B57F46">
        <w:rPr>
          <w:rFonts w:ascii="Times New Roman" w:eastAsia="Calibri" w:hAnsi="Times New Roman" w:cs="Times New Roman"/>
          <w:color w:val="000000"/>
          <w:sz w:val="26"/>
          <w:szCs w:val="26"/>
        </w:rPr>
        <w:t xml:space="preserve">1502 and 2804(6) of the Code, the EDCs are required to provide </w:t>
      </w:r>
      <w:r w:rsidR="002616E5">
        <w:rPr>
          <w:rFonts w:ascii="Times New Roman" w:eastAsia="Calibri" w:hAnsi="Times New Roman" w:cs="Times New Roman"/>
          <w:color w:val="000000"/>
          <w:sz w:val="26"/>
          <w:szCs w:val="26"/>
        </w:rPr>
        <w:t xml:space="preserve">the </w:t>
      </w:r>
      <w:r w:rsidRPr="00B57F46">
        <w:rPr>
          <w:rFonts w:ascii="Times New Roman" w:eastAsia="Calibri" w:hAnsi="Times New Roman" w:cs="Times New Roman"/>
          <w:color w:val="000000"/>
          <w:sz w:val="26"/>
          <w:szCs w:val="26"/>
        </w:rPr>
        <w:t xml:space="preserve">EGSs </w:t>
      </w:r>
      <w:r w:rsidR="002616E5">
        <w:rPr>
          <w:rFonts w:ascii="Times New Roman" w:eastAsia="Calibri" w:hAnsi="Times New Roman" w:cs="Times New Roman"/>
          <w:color w:val="000000"/>
          <w:sz w:val="26"/>
          <w:szCs w:val="26"/>
        </w:rPr>
        <w:t xml:space="preserve">with </w:t>
      </w:r>
      <w:r w:rsidRPr="00B57F46">
        <w:rPr>
          <w:rFonts w:ascii="Times New Roman" w:eastAsia="Calibri" w:hAnsi="Times New Roman" w:cs="Times New Roman"/>
          <w:color w:val="000000"/>
          <w:sz w:val="26"/>
          <w:szCs w:val="26"/>
        </w:rPr>
        <w:t xml:space="preserve">the same billing services as the EDCs provide themselves.     </w:t>
      </w:r>
    </w:p>
    <w:p w14:paraId="293A6CCF" w14:textId="77777777" w:rsidR="00B57F46" w:rsidRPr="00B57F46" w:rsidRDefault="00B57F46" w:rsidP="00B57F46">
      <w:pPr>
        <w:spacing w:after="0" w:line="360" w:lineRule="auto"/>
        <w:rPr>
          <w:rFonts w:ascii="Times New Roman" w:eastAsia="Calibri" w:hAnsi="Times New Roman" w:cs="Times New Roman"/>
          <w:color w:val="000000"/>
          <w:sz w:val="26"/>
          <w:szCs w:val="26"/>
        </w:rPr>
      </w:pPr>
    </w:p>
    <w:p w14:paraId="416D06A8" w14:textId="38D3940C" w:rsidR="00B57F46" w:rsidRPr="00B57F46" w:rsidRDefault="00B57F46" w:rsidP="00577BEF">
      <w:pPr>
        <w:spacing w:after="0" w:line="360" w:lineRule="auto"/>
        <w:ind w:firstLine="1440"/>
        <w:rPr>
          <w:rFonts w:ascii="Times New Roman" w:eastAsia="Calibri" w:hAnsi="Times New Roman" w:cs="Times New Roman"/>
          <w:color w:val="000000"/>
          <w:sz w:val="26"/>
          <w:szCs w:val="26"/>
        </w:rPr>
      </w:pPr>
      <w:r w:rsidRPr="00B57F46">
        <w:rPr>
          <w:rFonts w:ascii="Times New Roman" w:eastAsia="Calibri" w:hAnsi="Times New Roman" w:cs="Times New Roman"/>
          <w:color w:val="000000"/>
          <w:sz w:val="26"/>
          <w:szCs w:val="26"/>
        </w:rPr>
        <w:t xml:space="preserve">However, </w:t>
      </w:r>
      <w:r w:rsidR="00803033">
        <w:rPr>
          <w:rFonts w:ascii="Times New Roman" w:eastAsia="Calibri" w:hAnsi="Times New Roman" w:cs="Times New Roman"/>
          <w:color w:val="000000"/>
          <w:sz w:val="26"/>
          <w:szCs w:val="26"/>
        </w:rPr>
        <w:t xml:space="preserve">we find that, </w:t>
      </w:r>
      <w:r w:rsidRPr="00B57F46">
        <w:rPr>
          <w:rFonts w:ascii="Times New Roman" w:eastAsia="Calibri" w:hAnsi="Times New Roman" w:cs="Times New Roman"/>
          <w:color w:val="000000"/>
          <w:sz w:val="26"/>
          <w:szCs w:val="26"/>
        </w:rPr>
        <w:t xml:space="preserve">as the EDCs argued before the ALJ and noted in their Exceptions, the facts in the present case and </w:t>
      </w:r>
      <w:r w:rsidRPr="00B57F46">
        <w:rPr>
          <w:rFonts w:ascii="Times New Roman" w:eastAsia="Calibri" w:hAnsi="Times New Roman" w:cs="Times New Roman"/>
          <w:i/>
          <w:iCs/>
          <w:color w:val="000000"/>
          <w:sz w:val="26"/>
          <w:szCs w:val="26"/>
        </w:rPr>
        <w:t>Columbia</w:t>
      </w:r>
      <w:r w:rsidRPr="00B57F46">
        <w:rPr>
          <w:rFonts w:ascii="Times New Roman" w:eastAsia="Calibri" w:hAnsi="Times New Roman" w:cs="Times New Roman"/>
          <w:color w:val="000000"/>
          <w:sz w:val="26"/>
          <w:szCs w:val="26"/>
        </w:rPr>
        <w:t xml:space="preserve"> are distinguishable in several material respects.  In </w:t>
      </w:r>
      <w:r w:rsidRPr="00B57F46">
        <w:rPr>
          <w:rFonts w:ascii="Times New Roman" w:eastAsia="Calibri" w:hAnsi="Times New Roman" w:cs="Times New Roman"/>
          <w:i/>
          <w:iCs/>
          <w:color w:val="000000"/>
          <w:sz w:val="26"/>
          <w:szCs w:val="26"/>
        </w:rPr>
        <w:t>Columbia</w:t>
      </w:r>
      <w:r w:rsidRPr="00B57F46">
        <w:rPr>
          <w:rFonts w:ascii="Times New Roman" w:eastAsia="Calibri" w:hAnsi="Times New Roman" w:cs="Times New Roman"/>
          <w:color w:val="000000"/>
          <w:sz w:val="26"/>
          <w:szCs w:val="26"/>
        </w:rPr>
        <w:t xml:space="preserve">, the company’s practice of providing </w:t>
      </w:r>
      <w:r w:rsidR="002616E5">
        <w:rPr>
          <w:rFonts w:ascii="Times New Roman" w:eastAsia="Calibri" w:hAnsi="Times New Roman" w:cs="Times New Roman"/>
          <w:color w:val="000000"/>
          <w:sz w:val="26"/>
          <w:szCs w:val="26"/>
        </w:rPr>
        <w:t>“</w:t>
      </w:r>
      <w:r w:rsidRPr="00B57F46">
        <w:rPr>
          <w:rFonts w:ascii="Times New Roman" w:eastAsia="Calibri" w:hAnsi="Times New Roman" w:cs="Times New Roman"/>
          <w:color w:val="000000"/>
          <w:sz w:val="26"/>
          <w:szCs w:val="26"/>
        </w:rPr>
        <w:t>on-bill billing</w:t>
      </w:r>
      <w:r w:rsidR="002616E5">
        <w:rPr>
          <w:rFonts w:ascii="Times New Roman" w:eastAsia="Calibri" w:hAnsi="Times New Roman" w:cs="Times New Roman"/>
          <w:color w:val="000000"/>
          <w:sz w:val="26"/>
          <w:szCs w:val="26"/>
        </w:rPr>
        <w:t>”</w:t>
      </w:r>
      <w:r w:rsidRPr="00B57F46">
        <w:rPr>
          <w:rFonts w:ascii="Times New Roman" w:eastAsia="Calibri" w:hAnsi="Times New Roman" w:cs="Times New Roman"/>
          <w:color w:val="000000"/>
          <w:sz w:val="26"/>
          <w:szCs w:val="26"/>
        </w:rPr>
        <w:t xml:space="preserve"> for non-commodity goods and service to two third parties (</w:t>
      </w:r>
      <w:r w:rsidR="00DD120C">
        <w:rPr>
          <w:rFonts w:ascii="Times New Roman" w:eastAsia="Calibri" w:hAnsi="Times New Roman" w:cs="Times New Roman"/>
          <w:color w:val="000000"/>
          <w:sz w:val="26"/>
          <w:szCs w:val="26"/>
        </w:rPr>
        <w:t>two</w:t>
      </w:r>
      <w:r w:rsidRPr="00B57F46">
        <w:rPr>
          <w:rFonts w:ascii="Times New Roman" w:eastAsia="Calibri" w:hAnsi="Times New Roman" w:cs="Times New Roman"/>
          <w:color w:val="000000"/>
          <w:sz w:val="26"/>
          <w:szCs w:val="26"/>
        </w:rPr>
        <w:t xml:space="preserve"> former Columbia affiliates), where Columbia refused to offer the same billing service to other third parties, was found to be in violation of Section 1502’s prohibition on discrimination in service.  The material fact in </w:t>
      </w:r>
      <w:r w:rsidRPr="00B57F46">
        <w:rPr>
          <w:rFonts w:ascii="Times New Roman" w:eastAsia="Calibri" w:hAnsi="Times New Roman" w:cs="Times New Roman"/>
          <w:i/>
          <w:iCs/>
          <w:color w:val="000000"/>
          <w:sz w:val="26"/>
          <w:szCs w:val="26"/>
        </w:rPr>
        <w:t>Columbia</w:t>
      </w:r>
      <w:r w:rsidRPr="00B57F46">
        <w:rPr>
          <w:rFonts w:ascii="Times New Roman" w:eastAsia="Calibri" w:hAnsi="Times New Roman" w:cs="Times New Roman"/>
          <w:color w:val="000000"/>
          <w:sz w:val="26"/>
          <w:szCs w:val="26"/>
        </w:rPr>
        <w:t xml:space="preserve"> was that Columbia treated other third parties differently than the third-party former affiliates of Columbia.  In the present case, the EDCs are </w:t>
      </w:r>
      <w:r w:rsidRPr="00B57F46">
        <w:rPr>
          <w:rFonts w:ascii="Times New Roman" w:eastAsia="Calibri" w:hAnsi="Times New Roman" w:cs="Times New Roman"/>
          <w:i/>
          <w:iCs/>
          <w:color w:val="000000"/>
          <w:sz w:val="26"/>
          <w:szCs w:val="26"/>
        </w:rPr>
        <w:t xml:space="preserve">not </w:t>
      </w:r>
      <w:r w:rsidRPr="00B57F46">
        <w:rPr>
          <w:rFonts w:ascii="Times New Roman" w:eastAsia="Calibri" w:hAnsi="Times New Roman" w:cs="Times New Roman"/>
          <w:color w:val="000000"/>
          <w:sz w:val="26"/>
          <w:szCs w:val="26"/>
        </w:rPr>
        <w:t xml:space="preserve">providing </w:t>
      </w:r>
      <w:r w:rsidR="00596E21">
        <w:rPr>
          <w:rFonts w:ascii="Times New Roman" w:eastAsia="Calibri" w:hAnsi="Times New Roman" w:cs="Times New Roman"/>
          <w:color w:val="000000"/>
          <w:sz w:val="26"/>
          <w:szCs w:val="26"/>
        </w:rPr>
        <w:t>“</w:t>
      </w:r>
      <w:r w:rsidRPr="00B57F46">
        <w:rPr>
          <w:rFonts w:ascii="Times New Roman" w:eastAsia="Calibri" w:hAnsi="Times New Roman" w:cs="Times New Roman"/>
          <w:color w:val="000000"/>
          <w:sz w:val="26"/>
          <w:szCs w:val="26"/>
        </w:rPr>
        <w:t>on-bill billing</w:t>
      </w:r>
      <w:r w:rsidR="00596E21">
        <w:rPr>
          <w:rFonts w:ascii="Times New Roman" w:eastAsia="Calibri" w:hAnsi="Times New Roman" w:cs="Times New Roman"/>
          <w:color w:val="000000"/>
          <w:sz w:val="26"/>
          <w:szCs w:val="26"/>
        </w:rPr>
        <w:t>”</w:t>
      </w:r>
      <w:r w:rsidRPr="00B57F46">
        <w:rPr>
          <w:rFonts w:ascii="Times New Roman" w:eastAsia="Calibri" w:hAnsi="Times New Roman" w:cs="Times New Roman"/>
          <w:color w:val="000000"/>
          <w:sz w:val="26"/>
          <w:szCs w:val="26"/>
        </w:rPr>
        <w:t xml:space="preserve"> of non-commodity goods and service to any third party.  In this case, the EDC</w:t>
      </w:r>
      <w:r w:rsidR="00596E21">
        <w:rPr>
          <w:rFonts w:ascii="Times New Roman" w:eastAsia="Calibri" w:hAnsi="Times New Roman" w:cs="Times New Roman"/>
          <w:color w:val="000000"/>
          <w:sz w:val="26"/>
          <w:szCs w:val="26"/>
        </w:rPr>
        <w:t>s</w:t>
      </w:r>
      <w:r w:rsidRPr="00B57F46">
        <w:rPr>
          <w:rFonts w:ascii="Times New Roman" w:eastAsia="Calibri" w:hAnsi="Times New Roman" w:cs="Times New Roman"/>
          <w:color w:val="000000"/>
          <w:sz w:val="26"/>
          <w:szCs w:val="26"/>
        </w:rPr>
        <w:t xml:space="preserve"> provide their </w:t>
      </w:r>
      <w:r w:rsidR="00596E21">
        <w:rPr>
          <w:rFonts w:ascii="Times New Roman" w:eastAsia="Calibri" w:hAnsi="Times New Roman" w:cs="Times New Roman"/>
          <w:color w:val="000000"/>
          <w:sz w:val="26"/>
          <w:szCs w:val="26"/>
        </w:rPr>
        <w:t xml:space="preserve">own </w:t>
      </w:r>
      <w:r w:rsidRPr="00B57F46">
        <w:rPr>
          <w:rFonts w:ascii="Times New Roman" w:eastAsia="Calibri" w:hAnsi="Times New Roman" w:cs="Times New Roman"/>
          <w:color w:val="000000"/>
          <w:sz w:val="26"/>
          <w:szCs w:val="26"/>
        </w:rPr>
        <w:t xml:space="preserve">customers </w:t>
      </w:r>
      <w:r w:rsidR="00596E21">
        <w:rPr>
          <w:rFonts w:ascii="Times New Roman" w:eastAsia="Calibri" w:hAnsi="Times New Roman" w:cs="Times New Roman"/>
          <w:color w:val="000000"/>
          <w:sz w:val="26"/>
          <w:szCs w:val="26"/>
        </w:rPr>
        <w:t>“</w:t>
      </w:r>
      <w:r w:rsidRPr="00B57F46">
        <w:rPr>
          <w:rFonts w:ascii="Times New Roman" w:eastAsia="Calibri" w:hAnsi="Times New Roman" w:cs="Times New Roman"/>
          <w:color w:val="000000"/>
          <w:sz w:val="26"/>
          <w:szCs w:val="26"/>
        </w:rPr>
        <w:t>on-bill billing</w:t>
      </w:r>
      <w:r w:rsidR="00596E21">
        <w:rPr>
          <w:rFonts w:ascii="Times New Roman" w:eastAsia="Calibri" w:hAnsi="Times New Roman" w:cs="Times New Roman"/>
          <w:color w:val="000000"/>
          <w:sz w:val="26"/>
          <w:szCs w:val="26"/>
        </w:rPr>
        <w:t>”</w:t>
      </w:r>
      <w:r w:rsidRPr="00B57F46">
        <w:rPr>
          <w:rFonts w:ascii="Times New Roman" w:eastAsia="Calibri" w:hAnsi="Times New Roman" w:cs="Times New Roman"/>
          <w:color w:val="000000"/>
          <w:sz w:val="26"/>
          <w:szCs w:val="26"/>
        </w:rPr>
        <w:t xml:space="preserve"> of non-commodity goods and services offered by the EDCs themselves.  </w:t>
      </w:r>
    </w:p>
    <w:p w14:paraId="0EA5437C" w14:textId="77777777" w:rsidR="00B57F46" w:rsidRPr="00B57F46" w:rsidRDefault="00B57F46" w:rsidP="00B57F46">
      <w:pPr>
        <w:spacing w:after="0" w:line="360" w:lineRule="auto"/>
        <w:rPr>
          <w:rFonts w:ascii="Times New Roman" w:eastAsia="Calibri" w:hAnsi="Times New Roman" w:cs="Times New Roman"/>
          <w:color w:val="000000"/>
          <w:sz w:val="26"/>
          <w:szCs w:val="26"/>
        </w:rPr>
      </w:pPr>
    </w:p>
    <w:p w14:paraId="751AA776" w14:textId="6788DDD5" w:rsidR="00B57F46" w:rsidRPr="00B57F46" w:rsidRDefault="00B57F46" w:rsidP="00577BEF">
      <w:pPr>
        <w:spacing w:after="0" w:line="360" w:lineRule="auto"/>
        <w:ind w:firstLine="1440"/>
        <w:rPr>
          <w:rFonts w:ascii="Times New Roman" w:eastAsia="Calibri" w:hAnsi="Times New Roman" w:cs="Times New Roman"/>
          <w:color w:val="000000"/>
          <w:sz w:val="26"/>
          <w:szCs w:val="26"/>
        </w:rPr>
      </w:pPr>
      <w:r w:rsidRPr="00B57F46">
        <w:rPr>
          <w:rFonts w:ascii="Times New Roman" w:eastAsia="Calibri" w:hAnsi="Times New Roman" w:cs="Times New Roman"/>
          <w:color w:val="000000"/>
          <w:sz w:val="26"/>
          <w:szCs w:val="26"/>
        </w:rPr>
        <w:t xml:space="preserve">Further, </w:t>
      </w:r>
      <w:r w:rsidRPr="00B57F46">
        <w:rPr>
          <w:rFonts w:ascii="Times New Roman" w:eastAsia="Calibri" w:hAnsi="Times New Roman" w:cs="Times New Roman"/>
          <w:i/>
          <w:iCs/>
          <w:color w:val="000000"/>
          <w:sz w:val="26"/>
          <w:szCs w:val="26"/>
        </w:rPr>
        <w:t>Columbia</w:t>
      </w:r>
      <w:r w:rsidRPr="00B57F46">
        <w:rPr>
          <w:rFonts w:ascii="Times New Roman" w:eastAsia="Calibri" w:hAnsi="Times New Roman" w:cs="Times New Roman"/>
          <w:color w:val="000000"/>
          <w:sz w:val="26"/>
          <w:szCs w:val="26"/>
        </w:rPr>
        <w:t xml:space="preserve"> dealt with the question arising under Sections 1502 and</w:t>
      </w:r>
      <w:r w:rsidR="00C06BDC">
        <w:rPr>
          <w:rFonts w:ascii="Times New Roman" w:eastAsia="Calibri" w:hAnsi="Times New Roman" w:cs="Times New Roman"/>
          <w:color w:val="000000"/>
          <w:sz w:val="26"/>
          <w:szCs w:val="26"/>
        </w:rPr>
        <w:t> </w:t>
      </w:r>
      <w:r w:rsidRPr="00B57F46">
        <w:rPr>
          <w:rFonts w:ascii="Times New Roman" w:eastAsia="Calibri" w:hAnsi="Times New Roman" w:cs="Times New Roman"/>
          <w:color w:val="000000"/>
          <w:sz w:val="26"/>
          <w:szCs w:val="26"/>
        </w:rPr>
        <w:t>2203(4) of the Code.  Section 2203(4) is language regarding the applicable standards for restructuring of natural gas utility industry.  In the present case, Section 2804(6), although also prohibiting discrimination in service like the language under Section</w:t>
      </w:r>
      <w:r w:rsidR="00CB06ED">
        <w:rPr>
          <w:rFonts w:ascii="Times New Roman" w:eastAsia="Calibri" w:hAnsi="Times New Roman" w:cs="Times New Roman"/>
          <w:color w:val="000000"/>
          <w:sz w:val="26"/>
          <w:szCs w:val="26"/>
        </w:rPr>
        <w:t> </w:t>
      </w:r>
      <w:r w:rsidRPr="00B57F46">
        <w:rPr>
          <w:rFonts w:ascii="Times New Roman" w:eastAsia="Calibri" w:hAnsi="Times New Roman" w:cs="Times New Roman"/>
          <w:color w:val="000000"/>
          <w:sz w:val="26"/>
          <w:szCs w:val="26"/>
        </w:rPr>
        <w:t xml:space="preserve">2203(4), does not contain language </w:t>
      </w:r>
      <w:r w:rsidR="00754993">
        <w:rPr>
          <w:rFonts w:ascii="Times New Roman" w:eastAsia="Calibri" w:hAnsi="Times New Roman" w:cs="Times New Roman"/>
          <w:color w:val="000000"/>
          <w:sz w:val="26"/>
          <w:szCs w:val="26"/>
        </w:rPr>
        <w:t xml:space="preserve">identical </w:t>
      </w:r>
      <w:r w:rsidRPr="00B57F46">
        <w:rPr>
          <w:rFonts w:ascii="Times New Roman" w:eastAsia="Calibri" w:hAnsi="Times New Roman" w:cs="Times New Roman"/>
          <w:color w:val="000000"/>
          <w:sz w:val="26"/>
          <w:szCs w:val="26"/>
        </w:rPr>
        <w:t>to that of Section 2203(4).  Section</w:t>
      </w:r>
      <w:r w:rsidR="00CB06ED">
        <w:rPr>
          <w:rFonts w:ascii="Times New Roman" w:eastAsia="Calibri" w:hAnsi="Times New Roman" w:cs="Times New Roman"/>
          <w:color w:val="000000"/>
          <w:sz w:val="26"/>
          <w:szCs w:val="26"/>
        </w:rPr>
        <w:t> </w:t>
      </w:r>
      <w:r w:rsidRPr="00B57F46">
        <w:rPr>
          <w:rFonts w:ascii="Times New Roman" w:eastAsia="Calibri" w:hAnsi="Times New Roman" w:cs="Times New Roman"/>
          <w:color w:val="000000"/>
          <w:sz w:val="26"/>
          <w:szCs w:val="26"/>
        </w:rPr>
        <w:t xml:space="preserve">2804(6) contains additional language which narrows the application of that section.  In addition, in the present case, the language of Section 2804(6) pertains </w:t>
      </w:r>
      <w:r w:rsidRPr="006703D3">
        <w:rPr>
          <w:rFonts w:ascii="Times New Roman" w:eastAsia="Calibri" w:hAnsi="Times New Roman" w:cs="Times New Roman"/>
          <w:color w:val="000000"/>
          <w:sz w:val="26"/>
          <w:szCs w:val="26"/>
        </w:rPr>
        <w:t>to the separate Act</w:t>
      </w:r>
      <w:r w:rsidRPr="00B57F46">
        <w:rPr>
          <w:rFonts w:ascii="Times New Roman" w:eastAsia="Calibri" w:hAnsi="Times New Roman" w:cs="Times New Roman"/>
          <w:color w:val="000000"/>
          <w:sz w:val="26"/>
          <w:szCs w:val="26"/>
        </w:rPr>
        <w:t xml:space="preserve"> regarding restructuring of the electric industry and is read in the context of </w:t>
      </w:r>
      <w:r w:rsidRPr="006703D3">
        <w:rPr>
          <w:rFonts w:ascii="Times New Roman" w:eastAsia="Calibri" w:hAnsi="Times New Roman" w:cs="Times New Roman"/>
          <w:color w:val="000000"/>
          <w:sz w:val="26"/>
          <w:szCs w:val="26"/>
        </w:rPr>
        <w:t>that Act</w:t>
      </w:r>
      <w:r w:rsidRPr="00B57F46">
        <w:rPr>
          <w:rFonts w:ascii="Times New Roman" w:eastAsia="Calibri" w:hAnsi="Times New Roman" w:cs="Times New Roman"/>
          <w:color w:val="000000"/>
          <w:sz w:val="26"/>
          <w:szCs w:val="26"/>
        </w:rPr>
        <w:t>.</w:t>
      </w:r>
      <w:r w:rsidR="00E71B55">
        <w:rPr>
          <w:rFonts w:ascii="Times New Roman" w:eastAsia="Calibri" w:hAnsi="Times New Roman" w:cs="Times New Roman"/>
          <w:color w:val="000000"/>
          <w:sz w:val="26"/>
          <w:szCs w:val="26"/>
        </w:rPr>
        <w:t xml:space="preserve">  </w:t>
      </w:r>
      <w:r w:rsidR="00E71B55" w:rsidRPr="00E71B55">
        <w:rPr>
          <w:rFonts w:ascii="Times New Roman" w:eastAsia="Calibri" w:hAnsi="Times New Roman" w:cs="Times New Roman"/>
          <w:sz w:val="26"/>
          <w:szCs w:val="26"/>
        </w:rPr>
        <w:t>It is also worthy to note the distinction between Section 2804(6) and the Act</w:t>
      </w:r>
      <w:r w:rsidR="00E71B55">
        <w:rPr>
          <w:rFonts w:ascii="Times New Roman" w:eastAsia="Calibri" w:hAnsi="Times New Roman" w:cs="Times New Roman"/>
          <w:sz w:val="26"/>
          <w:szCs w:val="26"/>
        </w:rPr>
        <w:t>,</w:t>
      </w:r>
      <w:r w:rsidR="00E71B55" w:rsidRPr="00E71B55">
        <w:rPr>
          <w:rFonts w:ascii="Times New Roman" w:eastAsia="Calibri" w:hAnsi="Times New Roman" w:cs="Times New Roman"/>
          <w:sz w:val="26"/>
          <w:szCs w:val="26"/>
        </w:rPr>
        <w:t xml:space="preserve"> which pertain to implementation of electric competition, and Section 2203(4) which pertains to implementation of natural gas competition.  Natural gas transmission and distribution and electric transmission and distribution concern distinct commodities, requiring distinct considerations for the implementation of competition for each.</w:t>
      </w:r>
    </w:p>
    <w:p w14:paraId="1A975BA5" w14:textId="77777777" w:rsidR="00B57F46" w:rsidRPr="00B57F46" w:rsidRDefault="00B57F46" w:rsidP="00B57F46">
      <w:pPr>
        <w:spacing w:after="0" w:line="360" w:lineRule="auto"/>
        <w:rPr>
          <w:rFonts w:ascii="Times New Roman" w:eastAsia="Calibri" w:hAnsi="Times New Roman" w:cs="Times New Roman"/>
          <w:color w:val="000000"/>
          <w:sz w:val="26"/>
          <w:szCs w:val="26"/>
        </w:rPr>
      </w:pPr>
    </w:p>
    <w:p w14:paraId="3BA3937F" w14:textId="14F6B159" w:rsidR="00B57F46" w:rsidRPr="00B57F46" w:rsidRDefault="00B57F46" w:rsidP="00577BEF">
      <w:pPr>
        <w:spacing w:after="0" w:line="360" w:lineRule="auto"/>
        <w:ind w:firstLine="1440"/>
        <w:rPr>
          <w:rFonts w:ascii="Times New Roman" w:eastAsia="Calibri" w:hAnsi="Times New Roman" w:cs="Times New Roman"/>
          <w:color w:val="000000"/>
          <w:sz w:val="26"/>
          <w:szCs w:val="26"/>
        </w:rPr>
      </w:pPr>
      <w:r w:rsidRPr="00B57F46">
        <w:rPr>
          <w:rFonts w:ascii="Times New Roman" w:eastAsia="Calibri" w:hAnsi="Times New Roman" w:cs="Times New Roman"/>
          <w:color w:val="000000"/>
          <w:sz w:val="26"/>
          <w:szCs w:val="26"/>
        </w:rPr>
        <w:lastRenderedPageBreak/>
        <w:t xml:space="preserve">Clearly the facts in </w:t>
      </w:r>
      <w:r w:rsidRPr="00A724D1">
        <w:rPr>
          <w:rFonts w:ascii="Times New Roman" w:eastAsia="Calibri" w:hAnsi="Times New Roman" w:cs="Times New Roman"/>
          <w:i/>
          <w:iCs/>
          <w:color w:val="000000"/>
          <w:sz w:val="26"/>
          <w:szCs w:val="26"/>
        </w:rPr>
        <w:t>Columbia</w:t>
      </w:r>
      <w:r w:rsidRPr="00B57F46">
        <w:rPr>
          <w:rFonts w:ascii="Times New Roman" w:eastAsia="Calibri" w:hAnsi="Times New Roman" w:cs="Times New Roman"/>
          <w:color w:val="000000"/>
          <w:sz w:val="26"/>
          <w:szCs w:val="26"/>
        </w:rPr>
        <w:t xml:space="preserve"> and the present case are distinguishable in several material respects.  Therefore, we conclude that the ALJ erred in applying the holding in </w:t>
      </w:r>
      <w:r w:rsidRPr="00B57F46">
        <w:rPr>
          <w:rFonts w:ascii="Times New Roman" w:eastAsia="Calibri" w:hAnsi="Times New Roman" w:cs="Times New Roman"/>
          <w:i/>
          <w:iCs/>
          <w:color w:val="000000"/>
          <w:sz w:val="26"/>
          <w:szCs w:val="26"/>
        </w:rPr>
        <w:t>Columbia</w:t>
      </w:r>
      <w:r w:rsidRPr="00B57F46">
        <w:rPr>
          <w:rFonts w:ascii="Times New Roman" w:eastAsia="Calibri" w:hAnsi="Times New Roman" w:cs="Times New Roman"/>
          <w:color w:val="000000"/>
          <w:sz w:val="26"/>
          <w:szCs w:val="26"/>
        </w:rPr>
        <w:t xml:space="preserve"> to the present case to </w:t>
      </w:r>
      <w:r w:rsidR="00ED656B">
        <w:rPr>
          <w:rFonts w:ascii="Times New Roman" w:eastAsia="Calibri" w:hAnsi="Times New Roman" w:cs="Times New Roman"/>
          <w:color w:val="000000"/>
          <w:sz w:val="26"/>
          <w:szCs w:val="26"/>
        </w:rPr>
        <w:t>find</w:t>
      </w:r>
      <w:r w:rsidRPr="00B57F46">
        <w:rPr>
          <w:rFonts w:ascii="Times New Roman" w:eastAsia="Calibri" w:hAnsi="Times New Roman" w:cs="Times New Roman"/>
          <w:color w:val="000000"/>
          <w:sz w:val="26"/>
          <w:szCs w:val="26"/>
        </w:rPr>
        <w:t xml:space="preserve"> that the EDCs’ billing practice was in violation of both Section 1502 and 2804(6) of the Code.  To the contrary, we conclude that the EDCs’ billing practice comports with Section 1502’s prohibition on discrimination in service and has no implications under Section 2804(6).</w:t>
      </w:r>
    </w:p>
    <w:p w14:paraId="0D5E3EB7" w14:textId="77777777" w:rsidR="00B57F46" w:rsidRPr="00B57F46" w:rsidRDefault="00B57F46" w:rsidP="00B57F46">
      <w:pPr>
        <w:spacing w:after="0" w:line="360" w:lineRule="auto"/>
        <w:rPr>
          <w:rFonts w:ascii="Times New Roman" w:eastAsia="Calibri" w:hAnsi="Times New Roman" w:cs="Times New Roman"/>
          <w:color w:val="000000"/>
          <w:sz w:val="26"/>
          <w:szCs w:val="26"/>
        </w:rPr>
      </w:pPr>
    </w:p>
    <w:p w14:paraId="7398A235" w14:textId="77777777" w:rsidR="00B57F46" w:rsidRPr="00B57F46" w:rsidRDefault="00B57F46" w:rsidP="00577BEF">
      <w:pPr>
        <w:spacing w:after="0" w:line="360" w:lineRule="auto"/>
        <w:ind w:firstLine="1440"/>
        <w:rPr>
          <w:rFonts w:ascii="Times New Roman" w:eastAsia="Calibri" w:hAnsi="Times New Roman" w:cs="Times New Roman"/>
          <w:color w:val="000000"/>
          <w:sz w:val="26"/>
          <w:szCs w:val="26"/>
        </w:rPr>
      </w:pPr>
      <w:r w:rsidRPr="00B57F46">
        <w:rPr>
          <w:rFonts w:ascii="Times New Roman" w:eastAsia="Calibri" w:hAnsi="Times New Roman" w:cs="Times New Roman"/>
          <w:color w:val="000000"/>
          <w:sz w:val="26"/>
          <w:szCs w:val="26"/>
        </w:rPr>
        <w:t xml:space="preserve">Inherent in Section 1502’s prohibition on discrimination in provision of service is a utility’s provision of service to another.  Discrimination arises only where the provision of service creates an unreasonable disparity between the parties to which the service may be provided.  We note that, without regard to the merits of the ALJ’s application of the general definition of “discrimination,” we disagree with the ALJ’s conclusion that the parameters for finding discrimination in service under Section 1502, albeit broad, are so broad as to prohibit a utility from affording </w:t>
      </w:r>
      <w:r w:rsidRPr="00B57F46">
        <w:rPr>
          <w:rFonts w:ascii="Times New Roman" w:eastAsia="Calibri" w:hAnsi="Times New Roman" w:cs="Times New Roman"/>
          <w:i/>
          <w:iCs/>
          <w:color w:val="000000"/>
          <w:sz w:val="26"/>
          <w:szCs w:val="26"/>
        </w:rPr>
        <w:t>itself</w:t>
      </w:r>
      <w:r w:rsidRPr="00B57F46">
        <w:rPr>
          <w:rFonts w:ascii="Times New Roman" w:eastAsia="Calibri" w:hAnsi="Times New Roman" w:cs="Times New Roman"/>
          <w:color w:val="000000"/>
          <w:sz w:val="26"/>
          <w:szCs w:val="26"/>
        </w:rPr>
        <w:t xml:space="preserve"> a preference or advantage in the provision of billing services.  </w:t>
      </w:r>
    </w:p>
    <w:p w14:paraId="4193C024" w14:textId="77777777" w:rsidR="00B57F46" w:rsidRPr="00B57F46" w:rsidRDefault="00B57F46" w:rsidP="00B57F46">
      <w:pPr>
        <w:spacing w:after="0" w:line="360" w:lineRule="auto"/>
        <w:rPr>
          <w:rFonts w:ascii="Times New Roman" w:eastAsia="Calibri" w:hAnsi="Times New Roman" w:cs="Times New Roman"/>
          <w:color w:val="000000"/>
          <w:sz w:val="26"/>
          <w:szCs w:val="26"/>
        </w:rPr>
      </w:pPr>
    </w:p>
    <w:p w14:paraId="5C3F0CB4" w14:textId="6B263E0E" w:rsidR="00B57F46" w:rsidRPr="00B57F46" w:rsidRDefault="00B57F46" w:rsidP="00577BEF">
      <w:pPr>
        <w:spacing w:after="0" w:line="360" w:lineRule="auto"/>
        <w:ind w:firstLine="1440"/>
        <w:rPr>
          <w:rFonts w:ascii="Times New Roman" w:eastAsia="Calibri" w:hAnsi="Times New Roman" w:cs="Times New Roman"/>
          <w:color w:val="000000"/>
          <w:sz w:val="26"/>
          <w:szCs w:val="26"/>
        </w:rPr>
      </w:pPr>
      <w:r w:rsidRPr="00B57F46">
        <w:rPr>
          <w:rFonts w:ascii="Times New Roman" w:eastAsia="Calibri" w:hAnsi="Times New Roman" w:cs="Times New Roman"/>
          <w:color w:val="000000"/>
          <w:sz w:val="26"/>
          <w:szCs w:val="26"/>
        </w:rPr>
        <w:t xml:space="preserve">We read nothing in the language of Section 1502 or the decision in </w:t>
      </w:r>
      <w:r w:rsidRPr="00B57F46">
        <w:rPr>
          <w:rFonts w:ascii="Times New Roman" w:eastAsia="Calibri" w:hAnsi="Times New Roman" w:cs="Times New Roman"/>
          <w:i/>
          <w:iCs/>
          <w:color w:val="000000"/>
          <w:sz w:val="26"/>
          <w:szCs w:val="26"/>
        </w:rPr>
        <w:t>Columbia</w:t>
      </w:r>
      <w:r w:rsidRPr="00B57F46">
        <w:rPr>
          <w:rFonts w:ascii="Times New Roman" w:eastAsia="Calibri" w:hAnsi="Times New Roman" w:cs="Times New Roman"/>
          <w:color w:val="000000"/>
          <w:sz w:val="26"/>
          <w:szCs w:val="26"/>
        </w:rPr>
        <w:t xml:space="preserve"> to require a utility to provide to a third party the identical services the utility itself provides.  Rather, as applied in </w:t>
      </w:r>
      <w:r w:rsidRPr="00B57F46">
        <w:rPr>
          <w:rFonts w:ascii="Times New Roman" w:eastAsia="Calibri" w:hAnsi="Times New Roman" w:cs="Times New Roman"/>
          <w:i/>
          <w:iCs/>
          <w:color w:val="000000"/>
          <w:sz w:val="26"/>
          <w:szCs w:val="26"/>
        </w:rPr>
        <w:t>Columbia</w:t>
      </w:r>
      <w:r w:rsidRPr="00B57F46">
        <w:rPr>
          <w:rFonts w:ascii="Times New Roman" w:eastAsia="Calibri" w:hAnsi="Times New Roman" w:cs="Times New Roman"/>
          <w:color w:val="000000"/>
          <w:sz w:val="26"/>
          <w:szCs w:val="26"/>
        </w:rPr>
        <w:t>, Section 1502 requires that where a utility provides utility service to another, the same service must be provided in a nondiscriminatory</w:t>
      </w:r>
      <w:r w:rsidR="00DD120C">
        <w:rPr>
          <w:rFonts w:ascii="Times New Roman" w:eastAsia="Calibri" w:hAnsi="Times New Roman" w:cs="Times New Roman"/>
          <w:color w:val="000000"/>
          <w:sz w:val="26"/>
          <w:szCs w:val="26"/>
        </w:rPr>
        <w:t xml:space="preserve">, or not unreasonably discriminatory </w:t>
      </w:r>
      <w:r w:rsidRPr="00B57F46">
        <w:rPr>
          <w:rFonts w:ascii="Times New Roman" w:eastAsia="Calibri" w:hAnsi="Times New Roman" w:cs="Times New Roman"/>
          <w:color w:val="000000"/>
          <w:sz w:val="26"/>
          <w:szCs w:val="26"/>
        </w:rPr>
        <w:t>manner to other parties.</w:t>
      </w:r>
    </w:p>
    <w:p w14:paraId="79D7373E" w14:textId="77777777" w:rsidR="00B57F46" w:rsidRPr="00B57F46" w:rsidRDefault="00B57F46" w:rsidP="00B57F46">
      <w:pPr>
        <w:spacing w:after="0" w:line="360" w:lineRule="auto"/>
        <w:rPr>
          <w:rFonts w:ascii="Times New Roman" w:eastAsia="Calibri" w:hAnsi="Times New Roman" w:cs="Times New Roman"/>
          <w:color w:val="000000"/>
          <w:sz w:val="26"/>
          <w:szCs w:val="26"/>
        </w:rPr>
      </w:pPr>
    </w:p>
    <w:p w14:paraId="506F4E44" w14:textId="64075A9B" w:rsidR="00B57F46" w:rsidRPr="00B57F46" w:rsidRDefault="00B57F46" w:rsidP="00577BEF">
      <w:pPr>
        <w:spacing w:after="0" w:line="360" w:lineRule="auto"/>
        <w:ind w:firstLine="1440"/>
        <w:rPr>
          <w:rFonts w:ascii="Times New Roman" w:eastAsia="Calibri" w:hAnsi="Times New Roman" w:cs="Times New Roman"/>
          <w:sz w:val="26"/>
          <w:szCs w:val="26"/>
        </w:rPr>
      </w:pPr>
      <w:r w:rsidRPr="00B57F46">
        <w:rPr>
          <w:rFonts w:ascii="Times New Roman" w:eastAsia="Calibri" w:hAnsi="Times New Roman" w:cs="Times New Roman"/>
          <w:sz w:val="26"/>
          <w:szCs w:val="26"/>
        </w:rPr>
        <w:t xml:space="preserve">Further, to the extent the ALJ concluded that Sections 1502 and 2804(6) establish identical prohibitions on discrimination in service, we disagree.  Section 1502 establishes a general prohibition on discrimination is service for all utilities. </w:t>
      </w:r>
      <w:r w:rsidR="001A481E">
        <w:rPr>
          <w:rFonts w:ascii="Times New Roman" w:eastAsia="Calibri" w:hAnsi="Times New Roman" w:cs="Times New Roman"/>
          <w:sz w:val="26"/>
          <w:szCs w:val="26"/>
        </w:rPr>
        <w:t xml:space="preserve"> </w:t>
      </w:r>
      <w:r w:rsidRPr="00B57F46">
        <w:rPr>
          <w:rFonts w:ascii="Times New Roman" w:eastAsia="Calibri" w:hAnsi="Times New Roman" w:cs="Times New Roman"/>
          <w:sz w:val="26"/>
          <w:szCs w:val="26"/>
        </w:rPr>
        <w:t xml:space="preserve">In contrast, Section 2804(6) establishes a prohibition on discrimination in service which is tailored to the legislature’s intentions regarding implementation of electric competition practices under </w:t>
      </w:r>
      <w:r w:rsidRPr="00F406E9">
        <w:rPr>
          <w:rFonts w:ascii="Times New Roman" w:eastAsia="Calibri" w:hAnsi="Times New Roman" w:cs="Times New Roman"/>
          <w:sz w:val="26"/>
          <w:szCs w:val="26"/>
        </w:rPr>
        <w:t>the Act.</w:t>
      </w:r>
      <w:r w:rsidR="001B62FB">
        <w:rPr>
          <w:rFonts w:ascii="Times New Roman" w:eastAsia="Calibri" w:hAnsi="Times New Roman" w:cs="Times New Roman"/>
          <w:sz w:val="26"/>
          <w:szCs w:val="26"/>
        </w:rPr>
        <w:t xml:space="preserve">  </w:t>
      </w:r>
      <w:r w:rsidR="00E71B55">
        <w:rPr>
          <w:rFonts w:ascii="Times New Roman" w:eastAsia="Calibri" w:hAnsi="Times New Roman" w:cs="Times New Roman"/>
          <w:sz w:val="26"/>
          <w:szCs w:val="26"/>
        </w:rPr>
        <w:t xml:space="preserve">  </w:t>
      </w:r>
      <w:r w:rsidR="001B62FB">
        <w:rPr>
          <w:rFonts w:ascii="Times New Roman" w:eastAsia="Calibri" w:hAnsi="Times New Roman" w:cs="Times New Roman"/>
          <w:sz w:val="26"/>
          <w:szCs w:val="26"/>
        </w:rPr>
        <w:t xml:space="preserve"> </w:t>
      </w:r>
      <w:r w:rsidRPr="00B57F46">
        <w:rPr>
          <w:rFonts w:ascii="Times New Roman" w:eastAsia="Calibri" w:hAnsi="Times New Roman" w:cs="Times New Roman"/>
          <w:sz w:val="26"/>
          <w:szCs w:val="26"/>
        </w:rPr>
        <w:t xml:space="preserve">  </w:t>
      </w:r>
    </w:p>
    <w:p w14:paraId="591A7393" w14:textId="77777777" w:rsidR="00B57F46" w:rsidRPr="00B57F46" w:rsidRDefault="00B57F46" w:rsidP="00B57F46">
      <w:pPr>
        <w:spacing w:after="0" w:line="360" w:lineRule="auto"/>
        <w:rPr>
          <w:rFonts w:ascii="Times New Roman" w:eastAsia="Calibri" w:hAnsi="Times New Roman" w:cs="Times New Roman"/>
          <w:color w:val="000000"/>
          <w:sz w:val="26"/>
          <w:szCs w:val="26"/>
        </w:rPr>
      </w:pPr>
    </w:p>
    <w:p w14:paraId="66D0A551" w14:textId="533D602F" w:rsidR="00B57F46" w:rsidRPr="00B57F46" w:rsidRDefault="00B57F46" w:rsidP="00577BEF">
      <w:pPr>
        <w:spacing w:after="0" w:line="360" w:lineRule="auto"/>
        <w:ind w:firstLine="1440"/>
        <w:rPr>
          <w:rFonts w:ascii="Times New Roman" w:eastAsia="Calibri" w:hAnsi="Times New Roman" w:cs="Times New Roman"/>
          <w:color w:val="000000"/>
          <w:sz w:val="26"/>
          <w:szCs w:val="26"/>
        </w:rPr>
      </w:pPr>
      <w:r w:rsidRPr="00B57F46">
        <w:rPr>
          <w:rFonts w:ascii="Times New Roman" w:eastAsia="Calibri" w:hAnsi="Times New Roman" w:cs="Times New Roman"/>
          <w:color w:val="000000"/>
          <w:sz w:val="26"/>
          <w:szCs w:val="26"/>
        </w:rPr>
        <w:lastRenderedPageBreak/>
        <w:t xml:space="preserve">The ALJ read Section 2804(6) to require that a utility treat all other parties </w:t>
      </w:r>
      <w:r w:rsidRPr="00B57F46">
        <w:rPr>
          <w:rFonts w:ascii="Times New Roman" w:eastAsia="Calibri" w:hAnsi="Times New Roman" w:cs="Times New Roman"/>
          <w:i/>
          <w:iCs/>
          <w:color w:val="000000"/>
          <w:sz w:val="26"/>
          <w:szCs w:val="26"/>
        </w:rPr>
        <w:t>as it treats itself</w:t>
      </w:r>
      <w:r w:rsidRPr="00B57F46">
        <w:rPr>
          <w:rFonts w:ascii="Times New Roman" w:eastAsia="Calibri" w:hAnsi="Times New Roman" w:cs="Times New Roman"/>
          <w:color w:val="000000"/>
          <w:sz w:val="26"/>
          <w:szCs w:val="26"/>
        </w:rPr>
        <w:t xml:space="preserve"> pertaining to any provision of “service,” which the ALJ read to include billing</w:t>
      </w:r>
      <w:r w:rsidR="00207238">
        <w:rPr>
          <w:rFonts w:ascii="Times New Roman" w:eastAsia="Calibri" w:hAnsi="Times New Roman" w:cs="Times New Roman"/>
          <w:color w:val="000000"/>
          <w:sz w:val="26"/>
          <w:szCs w:val="26"/>
        </w:rPr>
        <w:t>.</w:t>
      </w:r>
      <w:r w:rsidRPr="00B57F46">
        <w:rPr>
          <w:rFonts w:ascii="Times New Roman" w:eastAsia="Calibri" w:hAnsi="Times New Roman" w:cs="Times New Roman"/>
          <w:color w:val="000000"/>
          <w:sz w:val="26"/>
          <w:szCs w:val="26"/>
          <w:vertAlign w:val="superscript"/>
        </w:rPr>
        <w:footnoteReference w:id="4"/>
      </w:r>
      <w:r w:rsidRPr="00B57F46">
        <w:rPr>
          <w:rFonts w:ascii="Times New Roman" w:eastAsia="Calibri" w:hAnsi="Times New Roman" w:cs="Times New Roman"/>
          <w:color w:val="000000"/>
          <w:sz w:val="26"/>
          <w:szCs w:val="26"/>
        </w:rPr>
        <w:t>  The ALJ reasoned, that the prohibition on discrimination under both Section</w:t>
      </w:r>
      <w:r w:rsidR="00CB06ED">
        <w:rPr>
          <w:rFonts w:ascii="Times New Roman" w:eastAsia="Calibri" w:hAnsi="Times New Roman" w:cs="Times New Roman"/>
          <w:color w:val="000000"/>
          <w:sz w:val="26"/>
          <w:szCs w:val="26"/>
        </w:rPr>
        <w:t> </w:t>
      </w:r>
      <w:r w:rsidRPr="00B57F46">
        <w:rPr>
          <w:rFonts w:ascii="Times New Roman" w:eastAsia="Calibri" w:hAnsi="Times New Roman" w:cs="Times New Roman"/>
          <w:color w:val="000000"/>
          <w:sz w:val="26"/>
          <w:szCs w:val="26"/>
        </w:rPr>
        <w:t xml:space="preserve">1502 and 2804(6), require that a company treat all other parties </w:t>
      </w:r>
      <w:r w:rsidRPr="00B57F46">
        <w:rPr>
          <w:rFonts w:ascii="Times New Roman" w:eastAsia="Calibri" w:hAnsi="Times New Roman" w:cs="Times New Roman"/>
          <w:i/>
          <w:iCs/>
          <w:color w:val="000000"/>
          <w:sz w:val="26"/>
          <w:szCs w:val="26"/>
        </w:rPr>
        <w:t>as it does itself</w:t>
      </w:r>
      <w:r w:rsidRPr="00B57F46">
        <w:rPr>
          <w:rFonts w:ascii="Times New Roman" w:eastAsia="Calibri" w:hAnsi="Times New Roman" w:cs="Times New Roman"/>
          <w:color w:val="000000"/>
          <w:sz w:val="26"/>
          <w:szCs w:val="26"/>
        </w:rPr>
        <w:t xml:space="preserve">, pertaining to billing practices. </w:t>
      </w:r>
      <w:r w:rsidR="00207238">
        <w:rPr>
          <w:rFonts w:ascii="Times New Roman" w:eastAsia="Calibri" w:hAnsi="Times New Roman" w:cs="Times New Roman"/>
          <w:color w:val="000000"/>
          <w:sz w:val="26"/>
          <w:szCs w:val="26"/>
        </w:rPr>
        <w:t xml:space="preserve"> </w:t>
      </w:r>
      <w:r w:rsidRPr="00B57F46">
        <w:rPr>
          <w:rFonts w:ascii="Times New Roman" w:eastAsia="Calibri" w:hAnsi="Times New Roman" w:cs="Times New Roman"/>
          <w:color w:val="000000"/>
          <w:sz w:val="26"/>
          <w:szCs w:val="26"/>
        </w:rPr>
        <w:t>Therefore, the ALJ concluded, if the EDCs provide on-bill billing for themselves, the EDCs are bound to do so for the EGSs.</w:t>
      </w:r>
    </w:p>
    <w:p w14:paraId="6D63093D" w14:textId="77777777" w:rsidR="00B57F46" w:rsidRPr="00B57F46" w:rsidRDefault="00B57F46" w:rsidP="00B57F46">
      <w:pPr>
        <w:spacing w:after="0" w:line="360" w:lineRule="auto"/>
        <w:rPr>
          <w:rFonts w:ascii="Times New Roman" w:eastAsia="Calibri" w:hAnsi="Times New Roman" w:cs="Times New Roman"/>
          <w:color w:val="000000"/>
          <w:sz w:val="26"/>
          <w:szCs w:val="26"/>
        </w:rPr>
      </w:pPr>
      <w:r w:rsidRPr="00B57F46">
        <w:rPr>
          <w:rFonts w:ascii="Times New Roman" w:eastAsia="Calibri" w:hAnsi="Times New Roman" w:cs="Times New Roman"/>
          <w:color w:val="000000"/>
          <w:sz w:val="26"/>
          <w:szCs w:val="26"/>
        </w:rPr>
        <w:t xml:space="preserve"> </w:t>
      </w:r>
    </w:p>
    <w:p w14:paraId="0B6649D2" w14:textId="325A5F46" w:rsidR="00B57F46" w:rsidRPr="00B57F46" w:rsidRDefault="00B57F46" w:rsidP="00577BEF">
      <w:pPr>
        <w:spacing w:after="0" w:line="360" w:lineRule="auto"/>
        <w:ind w:firstLine="1440"/>
        <w:rPr>
          <w:rFonts w:ascii="Times New Roman" w:eastAsia="Calibri" w:hAnsi="Times New Roman" w:cs="Times New Roman"/>
          <w:color w:val="000000"/>
          <w:sz w:val="26"/>
          <w:szCs w:val="26"/>
        </w:rPr>
      </w:pPr>
      <w:r w:rsidRPr="00B57F46">
        <w:rPr>
          <w:rFonts w:ascii="Times New Roman" w:eastAsia="Calibri" w:hAnsi="Times New Roman" w:cs="Times New Roman"/>
          <w:color w:val="000000"/>
          <w:sz w:val="26"/>
          <w:szCs w:val="26"/>
        </w:rPr>
        <w:t>However, we find that the ALJ erred, to the extent that the ALJ misread the provision of Section 2804(6) that a company “treat others as it does itself” to extend to all aspects of service, including billing.  Rather, the EDCs’ duty to “treat others as itself” under Section 2804(6) extends more narrowly to the provision of “transmission and distribution services and facilities.”  In contrast, under Section 1502, billing is encompassed by the term “service” as the term is broadly defined and used in Section</w:t>
      </w:r>
      <w:r w:rsidR="00CB06ED">
        <w:rPr>
          <w:rFonts w:ascii="Times New Roman" w:eastAsia="Calibri" w:hAnsi="Times New Roman" w:cs="Times New Roman"/>
          <w:color w:val="000000"/>
          <w:sz w:val="26"/>
          <w:szCs w:val="26"/>
        </w:rPr>
        <w:t> </w:t>
      </w:r>
      <w:r w:rsidRPr="00B57F46">
        <w:rPr>
          <w:rFonts w:ascii="Times New Roman" w:eastAsia="Calibri" w:hAnsi="Times New Roman" w:cs="Times New Roman"/>
          <w:color w:val="000000"/>
          <w:sz w:val="26"/>
          <w:szCs w:val="26"/>
        </w:rPr>
        <w:t>1502.  However, billing is not the subject of the 2804(6) which is expressly limited to the narrower category of services and facilities (</w:t>
      </w:r>
      <w:r w:rsidRPr="00B57F46">
        <w:rPr>
          <w:rFonts w:ascii="Times New Roman" w:eastAsia="Calibri" w:hAnsi="Times New Roman" w:cs="Times New Roman"/>
          <w:i/>
          <w:iCs/>
          <w:color w:val="000000"/>
          <w:sz w:val="26"/>
          <w:szCs w:val="26"/>
        </w:rPr>
        <w:t>i.e</w:t>
      </w:r>
      <w:r w:rsidRPr="00B57F46">
        <w:rPr>
          <w:rFonts w:ascii="Times New Roman" w:eastAsia="Calibri" w:hAnsi="Times New Roman" w:cs="Times New Roman"/>
          <w:color w:val="000000"/>
          <w:sz w:val="26"/>
          <w:szCs w:val="26"/>
        </w:rPr>
        <w:t>., transmission and distribution service and facilities)</w:t>
      </w:r>
      <w:r w:rsidR="00DD120C">
        <w:rPr>
          <w:rStyle w:val="FootnoteReference"/>
          <w:rFonts w:ascii="Times New Roman" w:eastAsia="Calibri" w:hAnsi="Times New Roman" w:cs="Times New Roman"/>
          <w:color w:val="000000"/>
          <w:sz w:val="26"/>
          <w:szCs w:val="26"/>
        </w:rPr>
        <w:footnoteReference w:id="5"/>
      </w:r>
      <w:r w:rsidRPr="00B57F46">
        <w:rPr>
          <w:rFonts w:ascii="Times New Roman" w:eastAsia="Calibri" w:hAnsi="Times New Roman" w:cs="Times New Roman"/>
          <w:color w:val="000000"/>
          <w:sz w:val="26"/>
          <w:szCs w:val="26"/>
        </w:rPr>
        <w:t xml:space="preserve">.  </w:t>
      </w:r>
    </w:p>
    <w:p w14:paraId="6E2ABD0D" w14:textId="77777777" w:rsidR="00B57F46" w:rsidRPr="00B57F46" w:rsidRDefault="00B57F46" w:rsidP="00B57F46">
      <w:pPr>
        <w:spacing w:after="0" w:line="360" w:lineRule="auto"/>
        <w:rPr>
          <w:rFonts w:ascii="Times New Roman" w:eastAsia="Calibri" w:hAnsi="Times New Roman" w:cs="Times New Roman"/>
          <w:sz w:val="26"/>
          <w:szCs w:val="26"/>
        </w:rPr>
      </w:pPr>
    </w:p>
    <w:p w14:paraId="78A38BAA" w14:textId="08F878BF" w:rsidR="00B57F46" w:rsidRPr="00B57F46" w:rsidRDefault="00B57F46" w:rsidP="00577BEF">
      <w:pPr>
        <w:spacing w:after="0" w:line="360" w:lineRule="auto"/>
        <w:ind w:firstLine="1440"/>
        <w:rPr>
          <w:rFonts w:ascii="Times New Roman" w:eastAsia="Calibri" w:hAnsi="Times New Roman" w:cs="Times New Roman"/>
          <w:sz w:val="26"/>
          <w:szCs w:val="26"/>
        </w:rPr>
      </w:pPr>
      <w:r w:rsidRPr="00B57F46">
        <w:rPr>
          <w:rFonts w:ascii="Times New Roman" w:eastAsia="Calibri" w:hAnsi="Times New Roman" w:cs="Times New Roman"/>
          <w:sz w:val="26"/>
          <w:szCs w:val="26"/>
        </w:rPr>
        <w:t>Read in context, the prohibition on discrimination in service under Section</w:t>
      </w:r>
      <w:r w:rsidR="00CB06ED">
        <w:rPr>
          <w:rFonts w:ascii="Times New Roman" w:eastAsia="Calibri" w:hAnsi="Times New Roman" w:cs="Times New Roman"/>
          <w:sz w:val="26"/>
          <w:szCs w:val="26"/>
        </w:rPr>
        <w:t> </w:t>
      </w:r>
      <w:r w:rsidRPr="00B57F46">
        <w:rPr>
          <w:rFonts w:ascii="Times New Roman" w:eastAsia="Calibri" w:hAnsi="Times New Roman" w:cs="Times New Roman"/>
          <w:sz w:val="26"/>
          <w:szCs w:val="26"/>
        </w:rPr>
        <w:t xml:space="preserve">2804(6) creates a heightened duty on the part of the EDCs to provide transmission and distribution service to EGSs in a nondiscriminatory manner, in a </w:t>
      </w:r>
      <w:r w:rsidRPr="00B57F46">
        <w:rPr>
          <w:rFonts w:ascii="Times New Roman" w:eastAsia="Calibri" w:hAnsi="Times New Roman" w:cs="Times New Roman"/>
          <w:sz w:val="26"/>
          <w:szCs w:val="26"/>
        </w:rPr>
        <w:lastRenderedPageBreak/>
        <w:t xml:space="preserve">manner comparable to its own access to its transmission and distribution facilities, for purposes of delivering electric service from any generator to an end-use customer.  In this regard, unlike Section 1502, Section 2804(6) does create a duty on the part of the EDCs to treat the EGSs as the EDCs would treat themselves, but this heightened duty is only applicable to the facilities necessary for transmission and distribution of electric service to the end-use customer.      </w:t>
      </w:r>
    </w:p>
    <w:p w14:paraId="3531E0FC" w14:textId="77777777" w:rsidR="00B57F46" w:rsidRPr="00B57F46" w:rsidRDefault="00B57F46" w:rsidP="00B57F46">
      <w:pPr>
        <w:spacing w:after="0" w:line="360" w:lineRule="auto"/>
        <w:rPr>
          <w:rFonts w:ascii="Times New Roman" w:eastAsia="Calibri" w:hAnsi="Times New Roman" w:cs="Times New Roman"/>
          <w:sz w:val="26"/>
          <w:szCs w:val="26"/>
        </w:rPr>
      </w:pPr>
    </w:p>
    <w:p w14:paraId="5590F07F" w14:textId="77777777" w:rsidR="00B57F46" w:rsidRPr="00B57F46" w:rsidRDefault="00B57F46" w:rsidP="00577BEF">
      <w:pPr>
        <w:spacing w:after="0" w:line="360" w:lineRule="auto"/>
        <w:ind w:firstLine="1440"/>
        <w:rPr>
          <w:rFonts w:ascii="Times New Roman" w:eastAsia="Calibri" w:hAnsi="Times New Roman" w:cs="Times New Roman"/>
          <w:sz w:val="26"/>
          <w:szCs w:val="26"/>
        </w:rPr>
      </w:pPr>
      <w:r w:rsidRPr="00B57F46">
        <w:rPr>
          <w:rFonts w:ascii="Times New Roman" w:eastAsia="Calibri" w:hAnsi="Times New Roman" w:cs="Times New Roman"/>
          <w:sz w:val="26"/>
          <w:szCs w:val="26"/>
        </w:rPr>
        <w:t xml:space="preserve">We note that, </w:t>
      </w:r>
      <w:r w:rsidRPr="00F406E9">
        <w:rPr>
          <w:rFonts w:ascii="Times New Roman" w:eastAsia="Calibri" w:hAnsi="Times New Roman" w:cs="Times New Roman"/>
          <w:sz w:val="26"/>
          <w:szCs w:val="26"/>
        </w:rPr>
        <w:t>under the Act</w:t>
      </w:r>
      <w:r w:rsidRPr="00B57F46">
        <w:rPr>
          <w:rFonts w:ascii="Times New Roman" w:eastAsia="Calibri" w:hAnsi="Times New Roman" w:cs="Times New Roman"/>
          <w:sz w:val="26"/>
          <w:szCs w:val="26"/>
        </w:rPr>
        <w:t xml:space="preserve">, the application of Section 2804(6) is restricted to the EGSs’ “transmission and distribution facilities,” which does not include billing facilities/services.  Section 2804(6) provides: </w:t>
      </w:r>
    </w:p>
    <w:p w14:paraId="346726E2" w14:textId="77777777" w:rsidR="00B57F46" w:rsidRPr="00B57F46" w:rsidRDefault="00B57F46" w:rsidP="00CB06ED">
      <w:pPr>
        <w:spacing w:after="0" w:line="240" w:lineRule="auto"/>
        <w:rPr>
          <w:rFonts w:ascii="Times New Roman" w:eastAsia="Calibri" w:hAnsi="Times New Roman" w:cs="Times New Roman"/>
          <w:sz w:val="26"/>
          <w:szCs w:val="26"/>
        </w:rPr>
      </w:pPr>
    </w:p>
    <w:p w14:paraId="744B7168" w14:textId="77777777" w:rsidR="00B57F46" w:rsidRPr="00B57F46" w:rsidRDefault="00B57F46" w:rsidP="00577BEF">
      <w:pPr>
        <w:spacing w:after="0" w:line="240" w:lineRule="auto"/>
        <w:ind w:left="1440" w:right="1440"/>
        <w:rPr>
          <w:rFonts w:ascii="Times New Roman" w:eastAsia="Calibri" w:hAnsi="Times New Roman" w:cs="Times New Roman"/>
          <w:b/>
          <w:bCs/>
          <w:color w:val="000000"/>
          <w:sz w:val="26"/>
          <w:szCs w:val="26"/>
        </w:rPr>
      </w:pPr>
      <w:r w:rsidRPr="00B57F46">
        <w:rPr>
          <w:rFonts w:ascii="Times New Roman" w:eastAsia="Calibri" w:hAnsi="Times New Roman" w:cs="Times New Roman"/>
          <w:color w:val="000000"/>
          <w:sz w:val="26"/>
          <w:szCs w:val="26"/>
        </w:rPr>
        <w:t xml:space="preserve">(6) Consistent with the provision of section 2806, the commission shall require that a public utility that owns or operates </w:t>
      </w:r>
      <w:r w:rsidRPr="00B57F46">
        <w:rPr>
          <w:rFonts w:ascii="Times New Roman" w:eastAsia="Calibri" w:hAnsi="Times New Roman" w:cs="Times New Roman"/>
          <w:b/>
          <w:bCs/>
          <w:color w:val="000000"/>
          <w:sz w:val="26"/>
          <w:szCs w:val="26"/>
        </w:rPr>
        <w:t>jurisdictional transmission and distribution facilities</w:t>
      </w:r>
      <w:r w:rsidRPr="00B57F46">
        <w:rPr>
          <w:rFonts w:ascii="Times New Roman" w:eastAsia="Calibri" w:hAnsi="Times New Roman" w:cs="Times New Roman"/>
          <w:color w:val="000000"/>
          <w:sz w:val="26"/>
          <w:szCs w:val="26"/>
        </w:rPr>
        <w:t xml:space="preserve"> shall provide </w:t>
      </w:r>
      <w:r w:rsidRPr="00B57F46">
        <w:rPr>
          <w:rFonts w:ascii="Times New Roman" w:eastAsia="Calibri" w:hAnsi="Times New Roman" w:cs="Times New Roman"/>
          <w:b/>
          <w:bCs/>
          <w:color w:val="000000"/>
          <w:sz w:val="26"/>
          <w:szCs w:val="26"/>
        </w:rPr>
        <w:t>transmission and distribution service to</w:t>
      </w:r>
      <w:r w:rsidRPr="00B57F46">
        <w:rPr>
          <w:rFonts w:ascii="Times New Roman" w:eastAsia="Calibri" w:hAnsi="Times New Roman" w:cs="Times New Roman"/>
          <w:color w:val="000000"/>
          <w:sz w:val="26"/>
          <w:szCs w:val="26"/>
        </w:rPr>
        <w:t xml:space="preserve"> all retail electric customers in their service territory and to electric cooperative corporations </w:t>
      </w:r>
      <w:r w:rsidRPr="00B57F46">
        <w:rPr>
          <w:rFonts w:ascii="Times New Roman" w:eastAsia="Calibri" w:hAnsi="Times New Roman" w:cs="Times New Roman"/>
          <w:b/>
          <w:bCs/>
          <w:color w:val="000000"/>
          <w:sz w:val="26"/>
          <w:szCs w:val="26"/>
        </w:rPr>
        <w:t xml:space="preserve">and electric generation suppliers, affiliated or nonaffiliated, on rates, terms of access and conditions that are comparable to the utility’s own use of its system. </w:t>
      </w:r>
    </w:p>
    <w:p w14:paraId="0D4AA3A9" w14:textId="77777777" w:rsidR="00B57F46" w:rsidRPr="00B57F46" w:rsidRDefault="00B57F46" w:rsidP="00577BEF">
      <w:pPr>
        <w:spacing w:after="0" w:line="360" w:lineRule="auto"/>
        <w:ind w:left="1440" w:right="1440"/>
        <w:rPr>
          <w:rFonts w:ascii="Times New Roman" w:eastAsia="Calibri" w:hAnsi="Times New Roman" w:cs="Times New Roman"/>
          <w:i/>
          <w:iCs/>
          <w:color w:val="000000"/>
          <w:sz w:val="26"/>
          <w:szCs w:val="26"/>
        </w:rPr>
      </w:pPr>
      <w:r w:rsidRPr="00B57F46">
        <w:rPr>
          <w:rFonts w:ascii="Times New Roman" w:eastAsia="Calibri" w:hAnsi="Times New Roman" w:cs="Times New Roman"/>
          <w:i/>
          <w:iCs/>
          <w:color w:val="000000"/>
          <w:sz w:val="26"/>
          <w:szCs w:val="26"/>
        </w:rPr>
        <w:t> </w:t>
      </w:r>
    </w:p>
    <w:p w14:paraId="03754E0F" w14:textId="092BEB3E" w:rsidR="00B57F46" w:rsidRPr="00B57F46" w:rsidRDefault="00B57F46" w:rsidP="00B57F46">
      <w:pPr>
        <w:spacing w:after="0" w:line="360" w:lineRule="auto"/>
        <w:rPr>
          <w:rFonts w:ascii="Times New Roman" w:eastAsia="Calibri" w:hAnsi="Times New Roman" w:cs="Times New Roman"/>
          <w:color w:val="000000"/>
          <w:sz w:val="26"/>
          <w:szCs w:val="26"/>
        </w:rPr>
      </w:pPr>
      <w:r w:rsidRPr="00B57F46">
        <w:rPr>
          <w:rFonts w:ascii="Times New Roman" w:eastAsia="Calibri" w:hAnsi="Times New Roman" w:cs="Times New Roman"/>
          <w:color w:val="000000"/>
          <w:sz w:val="26"/>
          <w:szCs w:val="26"/>
        </w:rPr>
        <w:t>66 Pa.</w:t>
      </w:r>
      <w:r w:rsidR="001A481E">
        <w:rPr>
          <w:rFonts w:ascii="Times New Roman" w:eastAsia="Calibri" w:hAnsi="Times New Roman" w:cs="Times New Roman"/>
          <w:color w:val="000000"/>
          <w:sz w:val="26"/>
          <w:szCs w:val="26"/>
        </w:rPr>
        <w:t xml:space="preserve"> </w:t>
      </w:r>
      <w:r w:rsidRPr="00B57F46">
        <w:rPr>
          <w:rFonts w:ascii="Times New Roman" w:eastAsia="Calibri" w:hAnsi="Times New Roman" w:cs="Times New Roman"/>
          <w:color w:val="000000"/>
          <w:sz w:val="26"/>
          <w:szCs w:val="26"/>
        </w:rPr>
        <w:t>C.S. § 2804(</w:t>
      </w:r>
      <w:proofErr w:type="gramStart"/>
      <w:r w:rsidRPr="00B57F46">
        <w:rPr>
          <w:rFonts w:ascii="Times New Roman" w:eastAsia="Calibri" w:hAnsi="Times New Roman" w:cs="Times New Roman"/>
          <w:color w:val="000000"/>
          <w:sz w:val="26"/>
          <w:szCs w:val="26"/>
        </w:rPr>
        <w:t>6)(</w:t>
      </w:r>
      <w:proofErr w:type="gramEnd"/>
      <w:r w:rsidRPr="00B57F46">
        <w:rPr>
          <w:rFonts w:ascii="Times New Roman" w:eastAsia="Calibri" w:hAnsi="Times New Roman" w:cs="Times New Roman"/>
          <w:color w:val="000000"/>
          <w:sz w:val="26"/>
          <w:szCs w:val="26"/>
        </w:rPr>
        <w:t xml:space="preserve">emphasis added) .  </w:t>
      </w:r>
    </w:p>
    <w:p w14:paraId="464049C0" w14:textId="77777777" w:rsidR="00B57F46" w:rsidRPr="00B57F46" w:rsidRDefault="00B57F46" w:rsidP="00B57F46">
      <w:pPr>
        <w:spacing w:after="0" w:line="360" w:lineRule="auto"/>
        <w:rPr>
          <w:rFonts w:ascii="Times New Roman" w:eastAsia="Calibri" w:hAnsi="Times New Roman" w:cs="Times New Roman"/>
          <w:color w:val="000000"/>
          <w:sz w:val="26"/>
          <w:szCs w:val="26"/>
        </w:rPr>
      </w:pPr>
    </w:p>
    <w:p w14:paraId="2B5A1C59" w14:textId="4B43257A" w:rsidR="00B57F46" w:rsidRPr="00B57F46" w:rsidRDefault="00B57F46" w:rsidP="00577BEF">
      <w:pPr>
        <w:spacing w:after="0" w:line="360" w:lineRule="auto"/>
        <w:ind w:firstLine="1440"/>
        <w:rPr>
          <w:rFonts w:ascii="Times New Roman" w:eastAsia="Calibri" w:hAnsi="Times New Roman" w:cs="Times New Roman"/>
          <w:color w:val="000000"/>
          <w:sz w:val="26"/>
          <w:szCs w:val="26"/>
        </w:rPr>
      </w:pPr>
      <w:r w:rsidRPr="00B57F46">
        <w:rPr>
          <w:rFonts w:ascii="Times New Roman" w:eastAsia="Calibri" w:hAnsi="Times New Roman" w:cs="Times New Roman"/>
          <w:color w:val="000000"/>
          <w:sz w:val="26"/>
          <w:szCs w:val="26"/>
        </w:rPr>
        <w:t xml:space="preserve">Under </w:t>
      </w:r>
      <w:r w:rsidRPr="00F406E9">
        <w:rPr>
          <w:rFonts w:ascii="Times New Roman" w:eastAsia="Calibri" w:hAnsi="Times New Roman" w:cs="Times New Roman"/>
          <w:color w:val="000000"/>
          <w:sz w:val="26"/>
          <w:szCs w:val="26"/>
        </w:rPr>
        <w:t>the Act,</w:t>
      </w:r>
      <w:r w:rsidRPr="00B57F46">
        <w:rPr>
          <w:rFonts w:ascii="Times New Roman" w:eastAsia="Calibri" w:hAnsi="Times New Roman" w:cs="Times New Roman"/>
          <w:color w:val="000000"/>
          <w:sz w:val="26"/>
          <w:szCs w:val="26"/>
        </w:rPr>
        <w:t xml:space="preserve"> the language of Section 2804(6) prohibiting discrimination in provision of transmission and distribution service, mirrors the prohibition on discrimination in service described by the EGSs’ right of “direct access,” as set forth in Section 2803.  Our understanding, that the prohibition on discrimination under Section</w:t>
      </w:r>
      <w:r w:rsidR="00CB06ED">
        <w:rPr>
          <w:rFonts w:ascii="Times New Roman" w:eastAsia="Calibri" w:hAnsi="Times New Roman" w:cs="Times New Roman"/>
          <w:color w:val="000000"/>
          <w:sz w:val="26"/>
          <w:szCs w:val="26"/>
        </w:rPr>
        <w:t> </w:t>
      </w:r>
      <w:r w:rsidRPr="00B57F46">
        <w:rPr>
          <w:rFonts w:ascii="Times New Roman" w:eastAsia="Calibri" w:hAnsi="Times New Roman" w:cs="Times New Roman"/>
          <w:color w:val="000000"/>
          <w:sz w:val="26"/>
          <w:szCs w:val="26"/>
        </w:rPr>
        <w:t xml:space="preserve">2804(6) requiring that the utility provide rates, terms of access and conditions comparable to its own use of its transmission and distribution system is limited to the narrower class of transmission and distribution facilities necessary for the transport of electricity, is corroborated by the Act’s definition of “direct access” under Section 2803.     </w:t>
      </w:r>
    </w:p>
    <w:p w14:paraId="3AFE54C1" w14:textId="77777777" w:rsidR="00B57F46" w:rsidRPr="00B57F46" w:rsidRDefault="00B57F46" w:rsidP="00B57F46">
      <w:pPr>
        <w:spacing w:after="0" w:line="360" w:lineRule="auto"/>
        <w:rPr>
          <w:rFonts w:ascii="Times New Roman" w:eastAsia="Calibri" w:hAnsi="Times New Roman" w:cs="Times New Roman"/>
          <w:color w:val="000000"/>
          <w:sz w:val="26"/>
          <w:szCs w:val="26"/>
        </w:rPr>
      </w:pPr>
    </w:p>
    <w:p w14:paraId="76E86462" w14:textId="401400C7" w:rsidR="00B57F46" w:rsidRPr="00B57F46" w:rsidRDefault="00B57F46" w:rsidP="00577BEF">
      <w:pPr>
        <w:spacing w:after="0" w:line="360" w:lineRule="auto"/>
        <w:ind w:firstLine="1440"/>
        <w:rPr>
          <w:rFonts w:ascii="Times New Roman" w:eastAsia="Calibri" w:hAnsi="Times New Roman" w:cs="Times New Roman"/>
          <w:color w:val="000000"/>
          <w:sz w:val="26"/>
          <w:szCs w:val="26"/>
        </w:rPr>
      </w:pPr>
      <w:r w:rsidRPr="00B57F46">
        <w:rPr>
          <w:rFonts w:ascii="Times New Roman" w:eastAsia="Calibri" w:hAnsi="Times New Roman" w:cs="Times New Roman"/>
          <w:color w:val="000000"/>
          <w:sz w:val="26"/>
          <w:szCs w:val="26"/>
        </w:rPr>
        <w:lastRenderedPageBreak/>
        <w:t xml:space="preserve">Under Section 2803 of the Act (pertaining to definitions), the right of the EGSs and consumers to access the EDCs’ transmission and distribution systems and the duty of the EDCs to provide access comparable to, specifically, the EDCs’ </w:t>
      </w:r>
      <w:r w:rsidRPr="00B57F46">
        <w:rPr>
          <w:rFonts w:ascii="Times New Roman" w:eastAsia="Calibri" w:hAnsi="Times New Roman" w:cs="Times New Roman"/>
          <w:i/>
          <w:iCs/>
          <w:color w:val="000000"/>
          <w:sz w:val="26"/>
          <w:szCs w:val="26"/>
        </w:rPr>
        <w:t>own use</w:t>
      </w:r>
      <w:r w:rsidRPr="00B57F46">
        <w:rPr>
          <w:rFonts w:ascii="Times New Roman" w:eastAsia="Calibri" w:hAnsi="Times New Roman" w:cs="Times New Roman"/>
          <w:color w:val="000000"/>
          <w:sz w:val="26"/>
          <w:szCs w:val="26"/>
        </w:rPr>
        <w:t xml:space="preserve"> of </w:t>
      </w:r>
      <w:r w:rsidRPr="00B57F46">
        <w:rPr>
          <w:rFonts w:ascii="Times New Roman" w:eastAsia="Calibri" w:hAnsi="Times New Roman" w:cs="Times New Roman"/>
          <w:i/>
          <w:iCs/>
          <w:color w:val="000000"/>
          <w:sz w:val="26"/>
          <w:szCs w:val="26"/>
        </w:rPr>
        <w:t xml:space="preserve">its transmission and distribution system </w:t>
      </w:r>
      <w:r w:rsidRPr="00B57F46">
        <w:rPr>
          <w:rFonts w:ascii="Times New Roman" w:eastAsia="Calibri" w:hAnsi="Times New Roman" w:cs="Times New Roman"/>
          <w:color w:val="000000"/>
          <w:sz w:val="26"/>
          <w:szCs w:val="26"/>
        </w:rPr>
        <w:t>is defined as “direct access.”</w:t>
      </w:r>
      <w:r w:rsidR="00577BEF">
        <w:rPr>
          <w:rFonts w:ascii="Times New Roman" w:eastAsia="Calibri" w:hAnsi="Times New Roman" w:cs="Times New Roman"/>
          <w:color w:val="000000"/>
          <w:sz w:val="26"/>
          <w:szCs w:val="26"/>
        </w:rPr>
        <w:t xml:space="preserve">  </w:t>
      </w:r>
      <w:r w:rsidRPr="00B57F46">
        <w:rPr>
          <w:rFonts w:ascii="Times New Roman" w:eastAsia="Calibri" w:hAnsi="Times New Roman" w:cs="Times New Roman"/>
          <w:color w:val="000000"/>
          <w:sz w:val="26"/>
          <w:szCs w:val="26"/>
        </w:rPr>
        <w:t xml:space="preserve">Section 2803 specifically defines “direct access” as: </w:t>
      </w:r>
    </w:p>
    <w:p w14:paraId="4C5FF92A" w14:textId="77777777" w:rsidR="00B57F46" w:rsidRPr="00B57F46" w:rsidRDefault="00B57F46" w:rsidP="00CB06ED">
      <w:pPr>
        <w:spacing w:after="0" w:line="240" w:lineRule="auto"/>
        <w:rPr>
          <w:rFonts w:ascii="Times New Roman" w:eastAsia="Calibri" w:hAnsi="Times New Roman" w:cs="Times New Roman"/>
          <w:color w:val="000000"/>
          <w:sz w:val="26"/>
          <w:szCs w:val="26"/>
        </w:rPr>
      </w:pPr>
    </w:p>
    <w:p w14:paraId="18E699F3" w14:textId="77777777" w:rsidR="00B57F46" w:rsidRPr="00B57F46" w:rsidRDefault="00B57F46" w:rsidP="00577BEF">
      <w:pPr>
        <w:spacing w:after="0" w:line="240" w:lineRule="auto"/>
        <w:ind w:left="1440" w:right="1440"/>
        <w:rPr>
          <w:rFonts w:ascii="Times New Roman" w:eastAsia="Calibri" w:hAnsi="Times New Roman" w:cs="Times New Roman"/>
          <w:b/>
          <w:bCs/>
          <w:color w:val="000000"/>
          <w:sz w:val="26"/>
          <w:szCs w:val="26"/>
        </w:rPr>
      </w:pPr>
      <w:r w:rsidRPr="00B57F46">
        <w:rPr>
          <w:rFonts w:ascii="Times New Roman" w:eastAsia="Calibri" w:hAnsi="Times New Roman" w:cs="Times New Roman"/>
          <w:color w:val="000000"/>
          <w:sz w:val="26"/>
          <w:szCs w:val="26"/>
        </w:rPr>
        <w:t xml:space="preserve">The right of electric generation suppliers and end-use customers to utilize and interconnect with the electric transmission and distribution system on a nondiscriminatory basis at rates, </w:t>
      </w:r>
      <w:proofErr w:type="gramStart"/>
      <w:r w:rsidRPr="00B57F46">
        <w:rPr>
          <w:rFonts w:ascii="Times New Roman" w:eastAsia="Calibri" w:hAnsi="Times New Roman" w:cs="Times New Roman"/>
          <w:color w:val="000000"/>
          <w:sz w:val="26"/>
          <w:szCs w:val="26"/>
        </w:rPr>
        <w:t>terms</w:t>
      </w:r>
      <w:proofErr w:type="gramEnd"/>
      <w:r w:rsidRPr="00B57F46">
        <w:rPr>
          <w:rFonts w:ascii="Times New Roman" w:eastAsia="Calibri" w:hAnsi="Times New Roman" w:cs="Times New Roman"/>
          <w:color w:val="000000"/>
          <w:sz w:val="26"/>
          <w:szCs w:val="26"/>
        </w:rPr>
        <w:t xml:space="preserve"> and conditions of service </w:t>
      </w:r>
      <w:r w:rsidRPr="00B57F46">
        <w:rPr>
          <w:rFonts w:ascii="Times New Roman" w:eastAsia="Calibri" w:hAnsi="Times New Roman" w:cs="Times New Roman"/>
          <w:b/>
          <w:bCs/>
          <w:color w:val="000000"/>
          <w:sz w:val="26"/>
          <w:szCs w:val="26"/>
        </w:rPr>
        <w:t xml:space="preserve">comparable to the transmission and distribution </w:t>
      </w:r>
      <w:r w:rsidRPr="00B57F46">
        <w:rPr>
          <w:rFonts w:ascii="Times New Roman" w:eastAsia="Calibri" w:hAnsi="Times New Roman" w:cs="Times New Roman"/>
          <w:b/>
          <w:bCs/>
          <w:color w:val="000000"/>
          <w:sz w:val="26"/>
          <w:szCs w:val="26"/>
          <w:u w:val="single"/>
        </w:rPr>
        <w:t>companies’ own use of the system to transport electricity from any generator of electricity to any end-use customer</w:t>
      </w:r>
      <w:r w:rsidRPr="00B57F46">
        <w:rPr>
          <w:rFonts w:ascii="Times New Roman" w:eastAsia="Calibri" w:hAnsi="Times New Roman" w:cs="Times New Roman"/>
          <w:b/>
          <w:bCs/>
          <w:color w:val="000000"/>
          <w:sz w:val="26"/>
          <w:szCs w:val="26"/>
        </w:rPr>
        <w:t xml:space="preserve">. </w:t>
      </w:r>
    </w:p>
    <w:p w14:paraId="61ACC303" w14:textId="77777777" w:rsidR="00B57F46" w:rsidRPr="00B57F46" w:rsidRDefault="00B57F46" w:rsidP="00B57F46">
      <w:pPr>
        <w:spacing w:after="0" w:line="360" w:lineRule="auto"/>
        <w:rPr>
          <w:rFonts w:ascii="Times New Roman" w:eastAsia="Calibri" w:hAnsi="Times New Roman" w:cs="Times New Roman"/>
          <w:color w:val="000000"/>
          <w:sz w:val="26"/>
          <w:szCs w:val="26"/>
        </w:rPr>
      </w:pPr>
    </w:p>
    <w:p w14:paraId="3BC22BB9" w14:textId="798E0FC0" w:rsidR="00B57F46" w:rsidRPr="00B57F46" w:rsidRDefault="00B57F46" w:rsidP="00B57F46">
      <w:pPr>
        <w:spacing w:after="0" w:line="360" w:lineRule="auto"/>
        <w:rPr>
          <w:rFonts w:ascii="Times New Roman" w:eastAsia="Calibri" w:hAnsi="Times New Roman" w:cs="Times New Roman"/>
          <w:color w:val="000000"/>
          <w:sz w:val="26"/>
          <w:szCs w:val="26"/>
        </w:rPr>
      </w:pPr>
      <w:r w:rsidRPr="00B57F46">
        <w:rPr>
          <w:rFonts w:ascii="Times New Roman" w:eastAsia="Calibri" w:hAnsi="Times New Roman" w:cs="Times New Roman"/>
          <w:color w:val="000000"/>
          <w:sz w:val="26"/>
          <w:szCs w:val="26"/>
        </w:rPr>
        <w:t xml:space="preserve">66 Pa. C.S § 2803 (emphasis added) </w:t>
      </w:r>
    </w:p>
    <w:p w14:paraId="231425AF" w14:textId="77777777" w:rsidR="00B57F46" w:rsidRPr="00B57F46" w:rsidRDefault="00B57F46" w:rsidP="00B57F46">
      <w:pPr>
        <w:spacing w:after="0" w:line="360" w:lineRule="auto"/>
        <w:rPr>
          <w:rFonts w:ascii="Times New Roman" w:eastAsia="Calibri" w:hAnsi="Times New Roman" w:cs="Times New Roman"/>
          <w:color w:val="000000"/>
          <w:sz w:val="26"/>
          <w:szCs w:val="26"/>
        </w:rPr>
      </w:pPr>
      <w:r w:rsidRPr="00B57F46">
        <w:rPr>
          <w:rFonts w:ascii="Times New Roman" w:eastAsia="Calibri" w:hAnsi="Times New Roman" w:cs="Times New Roman"/>
          <w:color w:val="000000"/>
          <w:sz w:val="26"/>
          <w:szCs w:val="26"/>
        </w:rPr>
        <w:t xml:space="preserve"> </w:t>
      </w:r>
    </w:p>
    <w:p w14:paraId="56F67D5E" w14:textId="71A6F5B1" w:rsidR="00B57F46" w:rsidRPr="00B57F46" w:rsidRDefault="00B57F46" w:rsidP="00C80A79">
      <w:pPr>
        <w:spacing w:after="0" w:line="360" w:lineRule="auto"/>
        <w:ind w:firstLine="1440"/>
        <w:rPr>
          <w:rFonts w:ascii="Times New Roman" w:eastAsia="Calibri" w:hAnsi="Times New Roman" w:cs="Times New Roman"/>
          <w:color w:val="000000"/>
          <w:sz w:val="26"/>
          <w:szCs w:val="26"/>
        </w:rPr>
      </w:pPr>
      <w:r w:rsidRPr="00B57F46">
        <w:rPr>
          <w:rFonts w:ascii="Times New Roman" w:eastAsia="Calibri" w:hAnsi="Times New Roman" w:cs="Times New Roman"/>
          <w:color w:val="000000"/>
          <w:sz w:val="26"/>
          <w:szCs w:val="26"/>
        </w:rPr>
        <w:t xml:space="preserve">Clearly, the definition of “direct access” describes the EGSs’ specific right to nondiscriminatory access </w:t>
      </w:r>
      <w:r w:rsidR="00C66D7E">
        <w:rPr>
          <w:rFonts w:ascii="Times New Roman" w:eastAsia="Calibri" w:hAnsi="Times New Roman" w:cs="Times New Roman"/>
          <w:color w:val="000000"/>
          <w:sz w:val="26"/>
          <w:szCs w:val="26"/>
        </w:rPr>
        <w:t xml:space="preserve">to </w:t>
      </w:r>
      <w:r w:rsidRPr="00B57F46">
        <w:rPr>
          <w:rFonts w:ascii="Times New Roman" w:eastAsia="Calibri" w:hAnsi="Times New Roman" w:cs="Times New Roman"/>
          <w:color w:val="000000"/>
          <w:sz w:val="26"/>
          <w:szCs w:val="26"/>
        </w:rPr>
        <w:t>the EDCs’ transmission and distribution system to transport electricity from any generator of electricity to any end-use customer.  The EGSs’ right of direct access then, is limited to the transmission and distribution facilities necessary to transport electricity, and does not encompass billing services and facilities, which are not necessary to</w:t>
      </w:r>
      <w:r w:rsidR="00F135F0">
        <w:rPr>
          <w:rFonts w:ascii="Times New Roman" w:eastAsia="Calibri" w:hAnsi="Times New Roman" w:cs="Times New Roman"/>
          <w:color w:val="000000"/>
          <w:sz w:val="26"/>
          <w:szCs w:val="26"/>
        </w:rPr>
        <w:t>/</w:t>
      </w:r>
      <w:r w:rsidRPr="00B57F46">
        <w:rPr>
          <w:rFonts w:ascii="Times New Roman" w:eastAsia="Calibri" w:hAnsi="Times New Roman" w:cs="Times New Roman"/>
          <w:color w:val="000000"/>
          <w:sz w:val="26"/>
          <w:szCs w:val="26"/>
        </w:rPr>
        <w:t>for the transport of electricity.  Therefore, based upon our reading of the language of Section 2804(6) in the context of the Act, we conclude that Section 2804(6) does not encompass a right of the direct access by the EGSs’ to the EDCs’ billing service and facilities</w:t>
      </w:r>
      <w:r w:rsidR="00C66D7E">
        <w:rPr>
          <w:rFonts w:ascii="Times New Roman" w:eastAsia="Calibri" w:hAnsi="Times New Roman" w:cs="Times New Roman"/>
          <w:color w:val="000000"/>
          <w:sz w:val="26"/>
          <w:szCs w:val="26"/>
        </w:rPr>
        <w:t>.</w:t>
      </w:r>
      <w:r w:rsidRPr="00B57F46">
        <w:rPr>
          <w:rFonts w:ascii="Times New Roman" w:eastAsia="Calibri" w:hAnsi="Times New Roman" w:cs="Times New Roman"/>
          <w:color w:val="000000"/>
          <w:sz w:val="26"/>
          <w:szCs w:val="26"/>
          <w:vertAlign w:val="superscript"/>
        </w:rPr>
        <w:footnoteReference w:id="6"/>
      </w:r>
      <w:r w:rsidRPr="00B57F46">
        <w:rPr>
          <w:rFonts w:ascii="Times New Roman" w:eastAsia="Calibri" w:hAnsi="Times New Roman" w:cs="Times New Roman"/>
          <w:color w:val="000000"/>
          <w:sz w:val="26"/>
          <w:szCs w:val="26"/>
        </w:rPr>
        <w:t xml:space="preserve"> </w:t>
      </w:r>
    </w:p>
    <w:p w14:paraId="49347456" w14:textId="77777777" w:rsidR="00B57F46" w:rsidRPr="00B57F46" w:rsidRDefault="00B57F46" w:rsidP="00B57F46">
      <w:pPr>
        <w:spacing w:after="0" w:line="360" w:lineRule="auto"/>
        <w:rPr>
          <w:rFonts w:ascii="Times New Roman" w:eastAsia="Calibri" w:hAnsi="Times New Roman" w:cs="Times New Roman"/>
          <w:color w:val="000000"/>
          <w:sz w:val="26"/>
          <w:szCs w:val="26"/>
        </w:rPr>
      </w:pPr>
    </w:p>
    <w:p w14:paraId="7C5FE460" w14:textId="2F2CB870" w:rsidR="00B57F46" w:rsidRPr="00B57F46" w:rsidRDefault="00B57F46" w:rsidP="00C80A79">
      <w:pPr>
        <w:spacing w:after="0" w:line="360" w:lineRule="auto"/>
        <w:ind w:firstLine="1440"/>
        <w:rPr>
          <w:rFonts w:ascii="Times New Roman" w:eastAsia="Calibri" w:hAnsi="Times New Roman" w:cs="Times New Roman"/>
          <w:color w:val="000000"/>
          <w:sz w:val="26"/>
          <w:szCs w:val="26"/>
        </w:rPr>
      </w:pPr>
      <w:r w:rsidRPr="00B57F46">
        <w:rPr>
          <w:rFonts w:ascii="Times New Roman" w:eastAsia="Calibri" w:hAnsi="Times New Roman" w:cs="Times New Roman"/>
          <w:color w:val="000000"/>
          <w:sz w:val="26"/>
          <w:szCs w:val="26"/>
        </w:rPr>
        <w:lastRenderedPageBreak/>
        <w:t xml:space="preserve">Accordingly, we shall grant the EDCs’ Exceptions pertaining to the ALJ’s application of the Commission’s decision in </w:t>
      </w:r>
      <w:r w:rsidRPr="00B57F46">
        <w:rPr>
          <w:rFonts w:ascii="Times New Roman" w:eastAsia="Calibri" w:hAnsi="Times New Roman" w:cs="Times New Roman"/>
          <w:i/>
          <w:iCs/>
          <w:color w:val="000000"/>
          <w:sz w:val="26"/>
          <w:szCs w:val="26"/>
        </w:rPr>
        <w:t>Columbia</w:t>
      </w:r>
      <w:r w:rsidRPr="00B57F46">
        <w:rPr>
          <w:rFonts w:ascii="Times New Roman" w:eastAsia="Calibri" w:hAnsi="Times New Roman" w:cs="Times New Roman"/>
          <w:color w:val="000000"/>
          <w:sz w:val="26"/>
          <w:szCs w:val="26"/>
        </w:rPr>
        <w:t xml:space="preserve"> and finding that the EDCs’ </w:t>
      </w:r>
      <w:r w:rsidR="00C666E3">
        <w:rPr>
          <w:rFonts w:ascii="Times New Roman" w:eastAsia="Calibri" w:hAnsi="Times New Roman" w:cs="Times New Roman"/>
          <w:color w:val="000000"/>
          <w:sz w:val="26"/>
          <w:szCs w:val="26"/>
        </w:rPr>
        <w:t>“</w:t>
      </w:r>
      <w:r w:rsidRPr="00B57F46">
        <w:rPr>
          <w:rFonts w:ascii="Times New Roman" w:eastAsia="Calibri" w:hAnsi="Times New Roman" w:cs="Times New Roman"/>
          <w:color w:val="000000"/>
          <w:sz w:val="26"/>
          <w:szCs w:val="26"/>
        </w:rPr>
        <w:t>on</w:t>
      </w:r>
      <w:r w:rsidR="00CB06ED">
        <w:rPr>
          <w:rFonts w:ascii="Times New Roman" w:eastAsia="Calibri" w:hAnsi="Times New Roman" w:cs="Times New Roman"/>
          <w:color w:val="000000"/>
          <w:sz w:val="26"/>
          <w:szCs w:val="26"/>
        </w:rPr>
        <w:noBreakHyphen/>
      </w:r>
      <w:r w:rsidRPr="00B57F46">
        <w:rPr>
          <w:rFonts w:ascii="Times New Roman" w:eastAsia="Calibri" w:hAnsi="Times New Roman" w:cs="Times New Roman"/>
          <w:color w:val="000000"/>
          <w:sz w:val="26"/>
          <w:szCs w:val="26"/>
        </w:rPr>
        <w:t>bill billing</w:t>
      </w:r>
      <w:r w:rsidR="00C666E3">
        <w:rPr>
          <w:rFonts w:ascii="Times New Roman" w:eastAsia="Calibri" w:hAnsi="Times New Roman" w:cs="Times New Roman"/>
          <w:color w:val="000000"/>
          <w:sz w:val="26"/>
          <w:szCs w:val="26"/>
        </w:rPr>
        <w:t>”</w:t>
      </w:r>
      <w:r w:rsidRPr="00B57F46">
        <w:rPr>
          <w:rFonts w:ascii="Times New Roman" w:eastAsia="Calibri" w:hAnsi="Times New Roman" w:cs="Times New Roman"/>
          <w:color w:val="000000"/>
          <w:sz w:val="26"/>
          <w:szCs w:val="26"/>
        </w:rPr>
        <w:t xml:space="preserve"> practice was in violation of Sections 1502 and 2804(6) of the Code.     </w:t>
      </w:r>
    </w:p>
    <w:p w14:paraId="05C92E9D" w14:textId="77777777" w:rsidR="00B57F46" w:rsidRPr="00B57F46" w:rsidRDefault="00B57F46" w:rsidP="00B57F46">
      <w:pPr>
        <w:spacing w:after="0" w:line="360" w:lineRule="auto"/>
        <w:rPr>
          <w:rFonts w:ascii="Times New Roman" w:eastAsia="Calibri" w:hAnsi="Times New Roman" w:cs="Times New Roman"/>
          <w:color w:val="000000"/>
          <w:sz w:val="26"/>
          <w:szCs w:val="26"/>
        </w:rPr>
      </w:pPr>
    </w:p>
    <w:p w14:paraId="120DFAB4" w14:textId="1297E999" w:rsidR="00B57F46" w:rsidRPr="00B57F46" w:rsidRDefault="00B57F46" w:rsidP="00C06BDC">
      <w:pPr>
        <w:spacing w:after="0" w:line="360" w:lineRule="auto"/>
        <w:ind w:firstLine="1440"/>
        <w:rPr>
          <w:rFonts w:ascii="Times New Roman" w:eastAsia="Calibri" w:hAnsi="Times New Roman" w:cs="Times New Roman"/>
          <w:color w:val="000000"/>
          <w:sz w:val="26"/>
          <w:szCs w:val="26"/>
        </w:rPr>
      </w:pPr>
      <w:r w:rsidRPr="00B57F46">
        <w:rPr>
          <w:rFonts w:ascii="Times New Roman" w:eastAsia="Calibri" w:hAnsi="Times New Roman" w:cs="Times New Roman"/>
          <w:color w:val="000000"/>
          <w:sz w:val="26"/>
          <w:szCs w:val="26"/>
        </w:rPr>
        <w:t xml:space="preserve">With respect to the OCA’s Exception No. 1, which challenges the ALJ’s Initial Decision approving the continued practice on-bill billing, we shall deny the exception.  We agree with the EDCs’ position that the OCA’s Exception goes beyond the issue presented to have the Commission deny a lawful billing practice.  Since we conclude that the EDCs’ practice of </w:t>
      </w:r>
      <w:r w:rsidR="00C666E3">
        <w:rPr>
          <w:rFonts w:ascii="Times New Roman" w:eastAsia="Calibri" w:hAnsi="Times New Roman" w:cs="Times New Roman"/>
          <w:color w:val="000000"/>
          <w:sz w:val="26"/>
          <w:szCs w:val="26"/>
        </w:rPr>
        <w:t>“</w:t>
      </w:r>
      <w:r w:rsidRPr="00B57F46">
        <w:rPr>
          <w:rFonts w:ascii="Times New Roman" w:eastAsia="Calibri" w:hAnsi="Times New Roman" w:cs="Times New Roman"/>
          <w:color w:val="000000"/>
          <w:sz w:val="26"/>
          <w:szCs w:val="26"/>
        </w:rPr>
        <w:t>on-bill billing</w:t>
      </w:r>
      <w:r w:rsidR="00C666E3">
        <w:rPr>
          <w:rFonts w:ascii="Times New Roman" w:eastAsia="Calibri" w:hAnsi="Times New Roman" w:cs="Times New Roman"/>
          <w:color w:val="000000"/>
          <w:sz w:val="26"/>
          <w:szCs w:val="26"/>
        </w:rPr>
        <w:t>”</w:t>
      </w:r>
      <w:r w:rsidRPr="00B57F46">
        <w:rPr>
          <w:rFonts w:ascii="Times New Roman" w:eastAsia="Calibri" w:hAnsi="Times New Roman" w:cs="Times New Roman"/>
          <w:color w:val="000000"/>
          <w:sz w:val="26"/>
          <w:szCs w:val="26"/>
        </w:rPr>
        <w:t xml:space="preserve"> does not violate either Section 1502 or 2804(6) of the Code, the EDC</w:t>
      </w:r>
      <w:r w:rsidR="00C666E3">
        <w:rPr>
          <w:rFonts w:ascii="Times New Roman" w:eastAsia="Calibri" w:hAnsi="Times New Roman" w:cs="Times New Roman"/>
          <w:color w:val="000000"/>
          <w:sz w:val="26"/>
          <w:szCs w:val="26"/>
        </w:rPr>
        <w:t>s</w:t>
      </w:r>
      <w:r w:rsidRPr="00B57F46">
        <w:rPr>
          <w:rFonts w:ascii="Times New Roman" w:eastAsia="Calibri" w:hAnsi="Times New Roman" w:cs="Times New Roman"/>
          <w:color w:val="000000"/>
          <w:sz w:val="26"/>
          <w:szCs w:val="26"/>
        </w:rPr>
        <w:t xml:space="preserve">’ practice of </w:t>
      </w:r>
      <w:r w:rsidR="00C666E3">
        <w:rPr>
          <w:rFonts w:ascii="Times New Roman" w:eastAsia="Calibri" w:hAnsi="Times New Roman" w:cs="Times New Roman"/>
          <w:color w:val="000000"/>
          <w:sz w:val="26"/>
          <w:szCs w:val="26"/>
        </w:rPr>
        <w:t>“</w:t>
      </w:r>
      <w:r w:rsidRPr="00B57F46">
        <w:rPr>
          <w:rFonts w:ascii="Times New Roman" w:eastAsia="Calibri" w:hAnsi="Times New Roman" w:cs="Times New Roman"/>
          <w:color w:val="000000"/>
          <w:sz w:val="26"/>
          <w:szCs w:val="26"/>
        </w:rPr>
        <w:t>on-bill billing</w:t>
      </w:r>
      <w:r w:rsidR="004F32C0">
        <w:rPr>
          <w:rFonts w:ascii="Times New Roman" w:eastAsia="Calibri" w:hAnsi="Times New Roman" w:cs="Times New Roman"/>
          <w:color w:val="000000"/>
          <w:sz w:val="26"/>
          <w:szCs w:val="26"/>
        </w:rPr>
        <w:t>”</w:t>
      </w:r>
      <w:r w:rsidRPr="00B57F46">
        <w:rPr>
          <w:rFonts w:ascii="Times New Roman" w:eastAsia="Calibri" w:hAnsi="Times New Roman" w:cs="Times New Roman"/>
          <w:color w:val="000000"/>
          <w:sz w:val="26"/>
          <w:szCs w:val="26"/>
        </w:rPr>
        <w:t xml:space="preserve"> for the non-commodity goods and services they themselves provide is permissible.  Accordingly, we shall deny OCA’s Exception No. 1.</w:t>
      </w:r>
      <w:r w:rsidR="009C6304">
        <w:rPr>
          <w:rFonts w:ascii="Times New Roman" w:eastAsia="Calibri" w:hAnsi="Times New Roman" w:cs="Times New Roman"/>
          <w:color w:val="000000"/>
          <w:sz w:val="26"/>
          <w:szCs w:val="26"/>
        </w:rPr>
        <w:t xml:space="preserve"> </w:t>
      </w:r>
      <w:r w:rsidRPr="00B57F46">
        <w:rPr>
          <w:rFonts w:ascii="Times New Roman" w:eastAsia="Calibri" w:hAnsi="Times New Roman" w:cs="Times New Roman"/>
          <w:color w:val="000000"/>
          <w:sz w:val="26"/>
          <w:szCs w:val="26"/>
        </w:rPr>
        <w:t xml:space="preserve"> We note however, that the EDCs’ billing practice continues to be subject to the Chapter 56 consumer protection regulations governing customer billing.         </w:t>
      </w:r>
    </w:p>
    <w:p w14:paraId="3F9DA0D2" w14:textId="77777777" w:rsidR="00D6186F" w:rsidRPr="00B57F46" w:rsidRDefault="00D6186F" w:rsidP="00C06BDC">
      <w:pPr>
        <w:spacing w:after="0" w:line="360" w:lineRule="auto"/>
        <w:rPr>
          <w:rFonts w:ascii="Times New Roman" w:eastAsia="Calibri" w:hAnsi="Times New Roman" w:cs="Times New Roman"/>
          <w:color w:val="000000"/>
          <w:sz w:val="26"/>
          <w:szCs w:val="26"/>
        </w:rPr>
      </w:pPr>
    </w:p>
    <w:p w14:paraId="798A410B" w14:textId="503E2043" w:rsidR="00B513F9" w:rsidRPr="008B6ABB" w:rsidRDefault="008B6ABB" w:rsidP="00C06BDC">
      <w:pPr>
        <w:pStyle w:val="ListParagraph"/>
        <w:keepNext/>
        <w:keepLines/>
        <w:numPr>
          <w:ilvl w:val="0"/>
          <w:numId w:val="17"/>
        </w:numPr>
        <w:spacing w:after="0" w:line="360" w:lineRule="auto"/>
        <w:ind w:left="0" w:firstLine="0"/>
        <w:jc w:val="center"/>
        <w:rPr>
          <w:rFonts w:ascii="Times New Roman" w:hAnsi="Times New Roman" w:cs="Times New Roman"/>
          <w:b/>
          <w:sz w:val="26"/>
          <w:szCs w:val="26"/>
        </w:rPr>
      </w:pPr>
      <w:r>
        <w:rPr>
          <w:rFonts w:ascii="Times New Roman" w:hAnsi="Times New Roman" w:cs="Times New Roman"/>
          <w:b/>
          <w:sz w:val="26"/>
          <w:szCs w:val="26"/>
        </w:rPr>
        <w:t>Conclusion</w:t>
      </w:r>
    </w:p>
    <w:p w14:paraId="47EE2959" w14:textId="77777777" w:rsidR="00B513F9" w:rsidRPr="00F054D1" w:rsidRDefault="00B513F9" w:rsidP="00C06BDC">
      <w:pPr>
        <w:keepNext/>
        <w:keepLines/>
        <w:spacing w:after="0" w:line="360" w:lineRule="auto"/>
        <w:rPr>
          <w:rFonts w:ascii="Times New Roman" w:hAnsi="Times New Roman" w:cs="Times New Roman"/>
          <w:b/>
          <w:sz w:val="26"/>
          <w:szCs w:val="26"/>
        </w:rPr>
      </w:pPr>
    </w:p>
    <w:p w14:paraId="0E4FCF15" w14:textId="781CA23A" w:rsidR="00ED00F4" w:rsidRDefault="00ED00F4" w:rsidP="00C06BDC">
      <w:pPr>
        <w:spacing w:after="0" w:line="360" w:lineRule="auto"/>
        <w:ind w:left="10" w:firstLine="1440"/>
        <w:rPr>
          <w:rFonts w:ascii="Times New Roman" w:eastAsia="Times New Roman" w:hAnsi="Times New Roman" w:cs="Times New Roman"/>
          <w:color w:val="000000"/>
          <w:sz w:val="26"/>
          <w:szCs w:val="26"/>
        </w:rPr>
      </w:pPr>
      <w:r w:rsidRPr="00ED00F4">
        <w:rPr>
          <w:rFonts w:ascii="Times New Roman" w:eastAsia="Times New Roman" w:hAnsi="Times New Roman" w:cs="Times New Roman"/>
          <w:color w:val="000000"/>
          <w:sz w:val="26"/>
          <w:szCs w:val="26"/>
        </w:rPr>
        <w:t xml:space="preserve">Based on the foregoing discussion, we shall </w:t>
      </w:r>
      <w:r>
        <w:rPr>
          <w:rFonts w:ascii="Times New Roman" w:eastAsia="Times New Roman" w:hAnsi="Times New Roman" w:cs="Times New Roman"/>
          <w:color w:val="000000"/>
          <w:sz w:val="26"/>
          <w:szCs w:val="26"/>
        </w:rPr>
        <w:t xml:space="preserve">grant the </w:t>
      </w:r>
      <w:r w:rsidR="00F743C3">
        <w:rPr>
          <w:rFonts w:ascii="Times New Roman" w:eastAsia="Times New Roman" w:hAnsi="Times New Roman" w:cs="Times New Roman"/>
          <w:color w:val="000000"/>
          <w:sz w:val="26"/>
          <w:szCs w:val="26"/>
        </w:rPr>
        <w:t>E</w:t>
      </w:r>
      <w:r w:rsidR="00574BFD">
        <w:rPr>
          <w:rFonts w:ascii="Times New Roman" w:eastAsia="Times New Roman" w:hAnsi="Times New Roman" w:cs="Times New Roman"/>
          <w:color w:val="000000"/>
          <w:sz w:val="26"/>
          <w:szCs w:val="26"/>
        </w:rPr>
        <w:t>DCs</w:t>
      </w:r>
      <w:r w:rsidR="00F743C3">
        <w:rPr>
          <w:rFonts w:ascii="Times New Roman" w:eastAsia="Times New Roman" w:hAnsi="Times New Roman" w:cs="Times New Roman"/>
          <w:color w:val="000000"/>
          <w:sz w:val="26"/>
          <w:szCs w:val="26"/>
        </w:rPr>
        <w:t xml:space="preserve">’ </w:t>
      </w:r>
      <w:r w:rsidRPr="00ED00F4">
        <w:rPr>
          <w:rFonts w:ascii="Times New Roman" w:eastAsia="Times New Roman" w:hAnsi="Times New Roman" w:cs="Times New Roman"/>
          <w:color w:val="000000"/>
          <w:sz w:val="26"/>
          <w:szCs w:val="26"/>
        </w:rPr>
        <w:t>Exceptions,</w:t>
      </w:r>
      <w:r w:rsidR="00F743C3">
        <w:rPr>
          <w:rFonts w:ascii="Times New Roman" w:eastAsia="Times New Roman" w:hAnsi="Times New Roman" w:cs="Times New Roman"/>
          <w:color w:val="000000"/>
          <w:sz w:val="26"/>
          <w:szCs w:val="26"/>
        </w:rPr>
        <w:t xml:space="preserve"> deny the OCA’s Exceptions, </w:t>
      </w:r>
      <w:r w:rsidR="00465E64">
        <w:rPr>
          <w:rFonts w:ascii="Times New Roman" w:eastAsia="Times New Roman" w:hAnsi="Times New Roman" w:cs="Times New Roman"/>
          <w:color w:val="000000"/>
          <w:sz w:val="26"/>
          <w:szCs w:val="26"/>
        </w:rPr>
        <w:t>reverse the ALJ’s Initial Deci</w:t>
      </w:r>
      <w:r w:rsidR="00402ED5">
        <w:rPr>
          <w:rFonts w:ascii="Times New Roman" w:eastAsia="Times New Roman" w:hAnsi="Times New Roman" w:cs="Times New Roman"/>
          <w:color w:val="000000"/>
          <w:sz w:val="26"/>
          <w:szCs w:val="26"/>
        </w:rPr>
        <w:t xml:space="preserve">sion, and </w:t>
      </w:r>
      <w:r w:rsidR="009760CC">
        <w:rPr>
          <w:rFonts w:ascii="Times New Roman" w:eastAsia="Times New Roman" w:hAnsi="Times New Roman" w:cs="Times New Roman"/>
          <w:color w:val="000000"/>
          <w:sz w:val="26"/>
          <w:szCs w:val="26"/>
        </w:rPr>
        <w:t xml:space="preserve">deny </w:t>
      </w:r>
      <w:r w:rsidR="00574BFD">
        <w:rPr>
          <w:rFonts w:ascii="Times New Roman" w:eastAsia="Times New Roman" w:hAnsi="Times New Roman" w:cs="Times New Roman"/>
          <w:color w:val="000000"/>
          <w:sz w:val="26"/>
          <w:szCs w:val="26"/>
        </w:rPr>
        <w:t xml:space="preserve">and dismiss </w:t>
      </w:r>
      <w:r w:rsidR="009760CC">
        <w:rPr>
          <w:rFonts w:ascii="Times New Roman" w:eastAsia="Times New Roman" w:hAnsi="Times New Roman" w:cs="Times New Roman"/>
          <w:color w:val="000000"/>
          <w:sz w:val="26"/>
          <w:szCs w:val="26"/>
        </w:rPr>
        <w:t xml:space="preserve">the </w:t>
      </w:r>
      <w:r w:rsidR="00D601B9">
        <w:rPr>
          <w:rFonts w:ascii="Times New Roman" w:eastAsia="Times New Roman" w:hAnsi="Times New Roman" w:cs="Times New Roman"/>
          <w:color w:val="000000"/>
          <w:sz w:val="26"/>
          <w:szCs w:val="26"/>
        </w:rPr>
        <w:t>E</w:t>
      </w:r>
      <w:r w:rsidR="00574BFD">
        <w:rPr>
          <w:rFonts w:ascii="Times New Roman" w:eastAsia="Times New Roman" w:hAnsi="Times New Roman" w:cs="Times New Roman"/>
          <w:color w:val="000000"/>
          <w:sz w:val="26"/>
          <w:szCs w:val="26"/>
        </w:rPr>
        <w:t>GS</w:t>
      </w:r>
      <w:r w:rsidR="00D601B9">
        <w:rPr>
          <w:rFonts w:ascii="Times New Roman" w:eastAsia="Times New Roman" w:hAnsi="Times New Roman" w:cs="Times New Roman"/>
          <w:color w:val="000000"/>
          <w:sz w:val="26"/>
          <w:szCs w:val="26"/>
        </w:rPr>
        <w:t xml:space="preserve">s’ </w:t>
      </w:r>
      <w:r w:rsidR="009760CC">
        <w:rPr>
          <w:rFonts w:ascii="Times New Roman" w:eastAsia="Times New Roman" w:hAnsi="Times New Roman" w:cs="Times New Roman"/>
          <w:color w:val="000000"/>
          <w:sz w:val="26"/>
          <w:szCs w:val="26"/>
        </w:rPr>
        <w:t>Complaints</w:t>
      </w:r>
      <w:r w:rsidR="00347B4A">
        <w:rPr>
          <w:rFonts w:ascii="Times New Roman" w:eastAsia="Times New Roman" w:hAnsi="Times New Roman" w:cs="Times New Roman"/>
          <w:color w:val="000000"/>
          <w:sz w:val="26"/>
          <w:szCs w:val="26"/>
        </w:rPr>
        <w:t>,</w:t>
      </w:r>
      <w:r w:rsidR="009760CC">
        <w:rPr>
          <w:rFonts w:ascii="Times New Roman" w:eastAsia="Times New Roman" w:hAnsi="Times New Roman" w:cs="Times New Roman"/>
          <w:color w:val="000000"/>
          <w:sz w:val="26"/>
          <w:szCs w:val="26"/>
        </w:rPr>
        <w:t xml:space="preserve"> </w:t>
      </w:r>
      <w:r w:rsidRPr="00ED00F4">
        <w:rPr>
          <w:rFonts w:ascii="Times New Roman" w:eastAsia="Times New Roman" w:hAnsi="Times New Roman" w:cs="Times New Roman"/>
          <w:color w:val="000000"/>
          <w:sz w:val="26"/>
          <w:szCs w:val="26"/>
        </w:rPr>
        <w:t xml:space="preserve">consistent with the discussion in this Opinion and Order; </w:t>
      </w:r>
      <w:r w:rsidRPr="00ED00F4">
        <w:rPr>
          <w:rFonts w:ascii="Times New Roman" w:eastAsia="Times New Roman" w:hAnsi="Times New Roman" w:cs="Times New Roman"/>
          <w:b/>
          <w:color w:val="000000"/>
          <w:sz w:val="26"/>
          <w:szCs w:val="26"/>
        </w:rPr>
        <w:t>THEREFORE</w:t>
      </w:r>
      <w:r w:rsidRPr="00ED00F4">
        <w:rPr>
          <w:rFonts w:ascii="Times New Roman" w:eastAsia="Times New Roman" w:hAnsi="Times New Roman" w:cs="Times New Roman"/>
          <w:color w:val="000000"/>
          <w:sz w:val="26"/>
          <w:szCs w:val="26"/>
        </w:rPr>
        <w:t>,</w:t>
      </w:r>
    </w:p>
    <w:p w14:paraId="7D889562" w14:textId="77777777" w:rsidR="00CB06ED" w:rsidRPr="00ED00F4" w:rsidRDefault="00CB06ED" w:rsidP="00C06BDC">
      <w:pPr>
        <w:spacing w:after="0" w:line="360" w:lineRule="auto"/>
        <w:ind w:left="10" w:firstLine="1440"/>
        <w:rPr>
          <w:rFonts w:ascii="Times New Roman" w:eastAsia="Times New Roman" w:hAnsi="Times New Roman" w:cs="Times New Roman"/>
          <w:color w:val="000000"/>
          <w:sz w:val="26"/>
          <w:szCs w:val="26"/>
        </w:rPr>
      </w:pPr>
    </w:p>
    <w:p w14:paraId="347D74B8" w14:textId="54AA3726" w:rsidR="00420E92" w:rsidRPr="00420E92" w:rsidRDefault="00420E92" w:rsidP="00C06BDC">
      <w:pPr>
        <w:keepNext/>
        <w:keepLines/>
        <w:tabs>
          <w:tab w:val="left" w:pos="-720"/>
        </w:tabs>
        <w:suppressAutoHyphens/>
        <w:spacing w:after="0" w:line="360" w:lineRule="auto"/>
        <w:ind w:left="1440"/>
        <w:rPr>
          <w:rFonts w:ascii="Times New Roman" w:eastAsia="Times New Roman" w:hAnsi="Times New Roman" w:cs="Times New Roman"/>
          <w:b/>
          <w:sz w:val="26"/>
          <w:szCs w:val="26"/>
        </w:rPr>
      </w:pPr>
      <w:r w:rsidRPr="00420E92">
        <w:rPr>
          <w:rFonts w:ascii="Times New Roman" w:eastAsia="Times New Roman" w:hAnsi="Times New Roman" w:cs="Times New Roman"/>
          <w:b/>
          <w:sz w:val="26"/>
          <w:szCs w:val="26"/>
        </w:rPr>
        <w:t>IT IS ORDERED:</w:t>
      </w:r>
    </w:p>
    <w:p w14:paraId="4BF391A8" w14:textId="68F5CD89" w:rsidR="00420E92" w:rsidRPr="008434CA" w:rsidRDefault="00420E92" w:rsidP="00C06BDC">
      <w:pPr>
        <w:pStyle w:val="ListParagraph"/>
        <w:keepNext/>
        <w:keepLines/>
        <w:tabs>
          <w:tab w:val="left" w:pos="-720"/>
        </w:tabs>
        <w:suppressAutoHyphens/>
        <w:spacing w:after="0" w:line="360" w:lineRule="auto"/>
        <w:contextualSpacing w:val="0"/>
        <w:rPr>
          <w:rFonts w:ascii="Times New Roman" w:eastAsia="Times New Roman" w:hAnsi="Times New Roman" w:cs="Times New Roman"/>
          <w:b/>
          <w:sz w:val="26"/>
          <w:szCs w:val="26"/>
        </w:rPr>
      </w:pPr>
    </w:p>
    <w:p w14:paraId="4FA1C955" w14:textId="37947AB0" w:rsidR="00D27373" w:rsidRPr="00814F35" w:rsidRDefault="00D27373" w:rsidP="00C06BDC">
      <w:pPr>
        <w:pStyle w:val="ListParagraph"/>
        <w:numPr>
          <w:ilvl w:val="0"/>
          <w:numId w:val="19"/>
        </w:numPr>
        <w:tabs>
          <w:tab w:val="clear" w:pos="720"/>
        </w:tabs>
        <w:spacing w:after="0" w:line="360" w:lineRule="auto"/>
        <w:ind w:left="0" w:firstLine="1440"/>
        <w:rPr>
          <w:rFonts w:ascii="Times New Roman" w:eastAsia="Times New Roman" w:hAnsi="Times New Roman" w:cs="Times New Roman"/>
          <w:color w:val="000000"/>
          <w:sz w:val="24"/>
        </w:rPr>
      </w:pPr>
      <w:r w:rsidRPr="00814F35">
        <w:rPr>
          <w:rFonts w:ascii="Times New Roman" w:eastAsia="Times New Roman" w:hAnsi="Times New Roman" w:cs="Times New Roman"/>
          <w:sz w:val="26"/>
        </w:rPr>
        <w:t xml:space="preserve">That the Exceptions </w:t>
      </w:r>
      <w:r w:rsidRPr="00814F35">
        <w:rPr>
          <w:rFonts w:ascii="Times New Roman" w:eastAsia="Times New Roman" w:hAnsi="Times New Roman" w:cs="Times New Roman"/>
          <w:sz w:val="26"/>
          <w:szCs w:val="26"/>
        </w:rPr>
        <w:t xml:space="preserve">of </w:t>
      </w:r>
      <w:r w:rsidR="00814F35" w:rsidRPr="00814F35">
        <w:rPr>
          <w:rFonts w:ascii="Times New Roman" w:eastAsia="Times New Roman" w:hAnsi="Times New Roman" w:cs="Times New Roman"/>
          <w:color w:val="000000"/>
          <w:sz w:val="26"/>
          <w:szCs w:val="26"/>
        </w:rPr>
        <w:t>Metropolitan Edison Company, Pennsylvania Electric Company, Pennsylvania Power Company and West Penn Power Company</w:t>
      </w:r>
      <w:r w:rsidRPr="00814F35">
        <w:rPr>
          <w:rFonts w:ascii="Times New Roman" w:eastAsia="Times New Roman" w:hAnsi="Times New Roman" w:cs="Times New Roman"/>
          <w:sz w:val="26"/>
          <w:szCs w:val="26"/>
        </w:rPr>
        <w:t xml:space="preserve"> </w:t>
      </w:r>
      <w:r w:rsidR="007154D9">
        <w:rPr>
          <w:rFonts w:ascii="Times New Roman" w:eastAsia="Times New Roman" w:hAnsi="Times New Roman" w:cs="Times New Roman"/>
          <w:sz w:val="26"/>
          <w:szCs w:val="26"/>
        </w:rPr>
        <w:t xml:space="preserve">filed on </w:t>
      </w:r>
      <w:r w:rsidR="003C56BC">
        <w:rPr>
          <w:rFonts w:ascii="Times New Roman" w:eastAsia="Times New Roman" w:hAnsi="Times New Roman" w:cs="Times New Roman"/>
          <w:sz w:val="26"/>
          <w:szCs w:val="26"/>
        </w:rPr>
        <w:t>December 8, 2020,</w:t>
      </w:r>
      <w:r w:rsidR="007154D9">
        <w:rPr>
          <w:rFonts w:ascii="Times New Roman" w:eastAsia="Times New Roman" w:hAnsi="Times New Roman" w:cs="Times New Roman"/>
          <w:sz w:val="26"/>
          <w:szCs w:val="26"/>
        </w:rPr>
        <w:t xml:space="preserve"> </w:t>
      </w:r>
      <w:r w:rsidRPr="00814F35">
        <w:rPr>
          <w:rFonts w:ascii="Times New Roman" w:eastAsia="Times New Roman" w:hAnsi="Times New Roman" w:cs="Times New Roman"/>
          <w:sz w:val="26"/>
          <w:szCs w:val="26"/>
        </w:rPr>
        <w:t xml:space="preserve">to the Initial Decision of Administrative Law Judge Joel H. Cheskis, issued November </w:t>
      </w:r>
      <w:r w:rsidR="001F057C" w:rsidRPr="00814F35">
        <w:rPr>
          <w:rFonts w:ascii="Times New Roman" w:eastAsia="Times New Roman" w:hAnsi="Times New Roman" w:cs="Times New Roman"/>
          <w:sz w:val="26"/>
          <w:szCs w:val="26"/>
        </w:rPr>
        <w:t>18</w:t>
      </w:r>
      <w:r w:rsidRPr="00814F35">
        <w:rPr>
          <w:rFonts w:ascii="Times New Roman" w:eastAsia="Times New Roman" w:hAnsi="Times New Roman" w:cs="Times New Roman"/>
          <w:sz w:val="26"/>
          <w:szCs w:val="26"/>
        </w:rPr>
        <w:t>,</w:t>
      </w:r>
      <w:r w:rsidRPr="00814F35">
        <w:rPr>
          <w:rFonts w:ascii="Times New Roman" w:eastAsia="Times New Roman" w:hAnsi="Times New Roman" w:cs="Times New Roman"/>
          <w:sz w:val="26"/>
        </w:rPr>
        <w:t xml:space="preserve"> </w:t>
      </w:r>
      <w:r w:rsidR="00C37D2F" w:rsidRPr="00814F35">
        <w:rPr>
          <w:rFonts w:ascii="Times New Roman" w:eastAsia="Times New Roman" w:hAnsi="Times New Roman" w:cs="Times New Roman"/>
          <w:sz w:val="26"/>
        </w:rPr>
        <w:t xml:space="preserve">2020, at </w:t>
      </w:r>
      <w:r w:rsidRPr="00814F35">
        <w:rPr>
          <w:rFonts w:ascii="Times New Roman" w:eastAsia="Times New Roman" w:hAnsi="Times New Roman" w:cs="Times New Roman"/>
          <w:sz w:val="26"/>
        </w:rPr>
        <w:t>Docket No</w:t>
      </w:r>
      <w:r w:rsidR="00C37D2F" w:rsidRPr="00814F35">
        <w:rPr>
          <w:rFonts w:ascii="Times New Roman" w:eastAsia="Times New Roman" w:hAnsi="Times New Roman" w:cs="Times New Roman"/>
          <w:sz w:val="26"/>
        </w:rPr>
        <w:t>s</w:t>
      </w:r>
      <w:r w:rsidRPr="00814F35">
        <w:rPr>
          <w:rFonts w:ascii="Times New Roman" w:eastAsia="Times New Roman" w:hAnsi="Times New Roman" w:cs="Times New Roman"/>
          <w:sz w:val="26"/>
        </w:rPr>
        <w:t>.</w:t>
      </w:r>
      <w:r w:rsidR="008434CA" w:rsidRPr="00814F35">
        <w:rPr>
          <w:rFonts w:ascii="Times New Roman" w:hAnsi="Times New Roman"/>
          <w:spacing w:val="-3"/>
          <w:sz w:val="26"/>
          <w:szCs w:val="26"/>
        </w:rPr>
        <w:t xml:space="preserve"> C-2019-3013805, C-2019-3013806, C-2019-3013807, </w:t>
      </w:r>
      <w:r w:rsidR="00667394" w:rsidRPr="00814F35">
        <w:rPr>
          <w:rFonts w:ascii="Times New Roman" w:hAnsi="Times New Roman"/>
          <w:spacing w:val="-3"/>
          <w:sz w:val="26"/>
          <w:szCs w:val="26"/>
        </w:rPr>
        <w:t xml:space="preserve">and </w:t>
      </w:r>
      <w:r w:rsidR="008434CA" w:rsidRPr="00814F35">
        <w:rPr>
          <w:rFonts w:ascii="Times New Roman" w:hAnsi="Times New Roman"/>
          <w:spacing w:val="-3"/>
          <w:sz w:val="26"/>
          <w:szCs w:val="26"/>
        </w:rPr>
        <w:t>C-2019-3013808</w:t>
      </w:r>
      <w:r w:rsidRPr="00814F35">
        <w:rPr>
          <w:rFonts w:ascii="Times New Roman" w:eastAsia="Times New Roman" w:hAnsi="Times New Roman" w:cs="Times New Roman"/>
          <w:sz w:val="26"/>
        </w:rPr>
        <w:t xml:space="preserve">, are </w:t>
      </w:r>
      <w:r w:rsidR="00C37D2F" w:rsidRPr="00814F35">
        <w:rPr>
          <w:rFonts w:ascii="Times New Roman" w:eastAsia="Times New Roman" w:hAnsi="Times New Roman" w:cs="Times New Roman"/>
          <w:sz w:val="26"/>
        </w:rPr>
        <w:t>granted</w:t>
      </w:r>
      <w:r w:rsidRPr="00814F35">
        <w:rPr>
          <w:rFonts w:ascii="Times New Roman" w:eastAsia="Times New Roman" w:hAnsi="Times New Roman" w:cs="Times New Roman"/>
          <w:sz w:val="26"/>
        </w:rPr>
        <w:t>, consistent with this Opinion and Order.</w:t>
      </w:r>
    </w:p>
    <w:p w14:paraId="2AECED52" w14:textId="41434741" w:rsidR="008434CA" w:rsidRPr="00CB06ED" w:rsidRDefault="008434CA" w:rsidP="00C06BDC">
      <w:pPr>
        <w:pStyle w:val="ListParagraph"/>
        <w:numPr>
          <w:ilvl w:val="0"/>
          <w:numId w:val="19"/>
        </w:numPr>
        <w:tabs>
          <w:tab w:val="clear" w:pos="720"/>
        </w:tabs>
        <w:spacing w:after="0" w:line="360" w:lineRule="auto"/>
        <w:ind w:left="0" w:firstLine="1440"/>
        <w:rPr>
          <w:rFonts w:ascii="Times New Roman" w:hAnsi="Times New Roman" w:cs="Times New Roman"/>
          <w:sz w:val="26"/>
          <w:szCs w:val="26"/>
        </w:rPr>
      </w:pPr>
      <w:r w:rsidRPr="00CB06ED">
        <w:rPr>
          <w:rFonts w:ascii="Times New Roman" w:hAnsi="Times New Roman" w:cs="Times New Roman"/>
          <w:sz w:val="26"/>
          <w:szCs w:val="26"/>
        </w:rPr>
        <w:lastRenderedPageBreak/>
        <w:t xml:space="preserve">That the Initial Decision of Administrative Law </w:t>
      </w:r>
      <w:r w:rsidR="00FC655A">
        <w:rPr>
          <w:rFonts w:ascii="Times New Roman" w:hAnsi="Times New Roman" w:cs="Times New Roman"/>
          <w:sz w:val="26"/>
          <w:szCs w:val="26"/>
        </w:rPr>
        <w:t xml:space="preserve">Judge </w:t>
      </w:r>
      <w:r w:rsidRPr="00CB06ED">
        <w:rPr>
          <w:rFonts w:ascii="Times New Roman" w:hAnsi="Times New Roman" w:cs="Times New Roman"/>
          <w:sz w:val="26"/>
          <w:szCs w:val="26"/>
        </w:rPr>
        <w:t>J</w:t>
      </w:r>
      <w:r w:rsidR="0039221C" w:rsidRPr="00CB06ED">
        <w:rPr>
          <w:rFonts w:ascii="Times New Roman" w:hAnsi="Times New Roman" w:cs="Times New Roman"/>
          <w:sz w:val="26"/>
          <w:szCs w:val="26"/>
        </w:rPr>
        <w:t xml:space="preserve">oel H. Cheskis </w:t>
      </w:r>
      <w:r w:rsidRPr="00CB06ED">
        <w:rPr>
          <w:rFonts w:ascii="Times New Roman" w:hAnsi="Times New Roman" w:cs="Times New Roman"/>
          <w:sz w:val="26"/>
          <w:szCs w:val="26"/>
        </w:rPr>
        <w:t xml:space="preserve">issued </w:t>
      </w:r>
      <w:r w:rsidR="0039221C" w:rsidRPr="00CB06ED">
        <w:rPr>
          <w:rFonts w:ascii="Times New Roman" w:hAnsi="Times New Roman" w:cs="Times New Roman"/>
          <w:sz w:val="26"/>
          <w:szCs w:val="26"/>
        </w:rPr>
        <w:t xml:space="preserve">November </w:t>
      </w:r>
      <w:r w:rsidR="00DE6B6F" w:rsidRPr="00CB06ED">
        <w:rPr>
          <w:rFonts w:ascii="Times New Roman" w:hAnsi="Times New Roman" w:cs="Times New Roman"/>
          <w:sz w:val="26"/>
          <w:szCs w:val="26"/>
        </w:rPr>
        <w:t>18</w:t>
      </w:r>
      <w:r w:rsidR="0039221C" w:rsidRPr="00CB06ED">
        <w:rPr>
          <w:rFonts w:ascii="Times New Roman" w:hAnsi="Times New Roman" w:cs="Times New Roman"/>
          <w:sz w:val="26"/>
          <w:szCs w:val="26"/>
        </w:rPr>
        <w:t xml:space="preserve">, 2020, </w:t>
      </w:r>
      <w:r w:rsidR="00DE6B6F" w:rsidRPr="00CB06ED">
        <w:rPr>
          <w:rFonts w:ascii="Times New Roman" w:hAnsi="Times New Roman" w:cs="Times New Roman"/>
          <w:sz w:val="26"/>
          <w:szCs w:val="26"/>
        </w:rPr>
        <w:t>at</w:t>
      </w:r>
      <w:r w:rsidRPr="00CB06ED">
        <w:rPr>
          <w:rFonts w:ascii="Times New Roman" w:hAnsi="Times New Roman" w:cs="Times New Roman"/>
          <w:sz w:val="26"/>
          <w:szCs w:val="26"/>
        </w:rPr>
        <w:t xml:space="preserve"> </w:t>
      </w:r>
      <w:r w:rsidR="0039221C" w:rsidRPr="00CB06ED">
        <w:rPr>
          <w:rFonts w:ascii="Times New Roman" w:eastAsia="Times New Roman" w:hAnsi="Times New Roman" w:cs="Times New Roman"/>
          <w:sz w:val="26"/>
          <w:szCs w:val="26"/>
        </w:rPr>
        <w:t>Docket Nos.</w:t>
      </w:r>
      <w:r w:rsidR="0039221C" w:rsidRPr="00CB06ED">
        <w:rPr>
          <w:rFonts w:ascii="Times New Roman" w:hAnsi="Times New Roman"/>
          <w:spacing w:val="-3"/>
          <w:sz w:val="26"/>
          <w:szCs w:val="26"/>
        </w:rPr>
        <w:t xml:space="preserve"> C-2019-3013805, C-2019-3013806, C</w:t>
      </w:r>
      <w:r w:rsidR="00CB06ED" w:rsidRPr="00CB06ED">
        <w:rPr>
          <w:rFonts w:ascii="Times New Roman" w:hAnsi="Times New Roman"/>
          <w:spacing w:val="-3"/>
          <w:sz w:val="26"/>
          <w:szCs w:val="26"/>
        </w:rPr>
        <w:noBreakHyphen/>
      </w:r>
      <w:r w:rsidR="0039221C" w:rsidRPr="00CB06ED">
        <w:rPr>
          <w:rFonts w:ascii="Times New Roman" w:hAnsi="Times New Roman"/>
          <w:spacing w:val="-3"/>
          <w:sz w:val="26"/>
          <w:szCs w:val="26"/>
        </w:rPr>
        <w:t>2019</w:t>
      </w:r>
      <w:r w:rsidR="00CB06ED" w:rsidRPr="00CB06ED">
        <w:rPr>
          <w:rFonts w:ascii="Times New Roman" w:hAnsi="Times New Roman"/>
          <w:spacing w:val="-3"/>
          <w:sz w:val="26"/>
          <w:szCs w:val="26"/>
        </w:rPr>
        <w:noBreakHyphen/>
      </w:r>
      <w:r w:rsidR="0039221C" w:rsidRPr="00CB06ED">
        <w:rPr>
          <w:rFonts w:ascii="Times New Roman" w:hAnsi="Times New Roman"/>
          <w:spacing w:val="-3"/>
          <w:sz w:val="26"/>
          <w:szCs w:val="26"/>
        </w:rPr>
        <w:t xml:space="preserve">3013807, </w:t>
      </w:r>
      <w:r w:rsidR="00667394" w:rsidRPr="00CB06ED">
        <w:rPr>
          <w:rFonts w:ascii="Times New Roman" w:hAnsi="Times New Roman"/>
          <w:spacing w:val="-3"/>
          <w:sz w:val="26"/>
          <w:szCs w:val="26"/>
        </w:rPr>
        <w:t xml:space="preserve">and </w:t>
      </w:r>
      <w:r w:rsidR="0039221C" w:rsidRPr="00CB06ED">
        <w:rPr>
          <w:rFonts w:ascii="Times New Roman" w:hAnsi="Times New Roman"/>
          <w:spacing w:val="-3"/>
          <w:sz w:val="26"/>
          <w:szCs w:val="26"/>
        </w:rPr>
        <w:t xml:space="preserve">C-2019-3013808 </w:t>
      </w:r>
      <w:r w:rsidRPr="00CB06ED">
        <w:rPr>
          <w:rFonts w:ascii="Times New Roman" w:hAnsi="Times New Roman" w:cs="Times New Roman"/>
          <w:sz w:val="26"/>
          <w:szCs w:val="26"/>
        </w:rPr>
        <w:t xml:space="preserve">is </w:t>
      </w:r>
      <w:r w:rsidR="0039221C" w:rsidRPr="00CB06ED">
        <w:rPr>
          <w:rFonts w:ascii="Times New Roman" w:hAnsi="Times New Roman" w:cs="Times New Roman"/>
          <w:sz w:val="26"/>
          <w:szCs w:val="26"/>
        </w:rPr>
        <w:t>reversed</w:t>
      </w:r>
      <w:r w:rsidRPr="00CB06ED">
        <w:rPr>
          <w:rFonts w:ascii="Times New Roman" w:hAnsi="Times New Roman" w:cs="Times New Roman"/>
          <w:sz w:val="26"/>
          <w:szCs w:val="26"/>
        </w:rPr>
        <w:t>, consistent with this Opinion and Order.</w:t>
      </w:r>
    </w:p>
    <w:p w14:paraId="75AC56F7" w14:textId="77777777" w:rsidR="0020650F" w:rsidRPr="00CB06ED" w:rsidRDefault="0020650F" w:rsidP="00C06BDC">
      <w:pPr>
        <w:pStyle w:val="ListParagraph"/>
        <w:spacing w:after="0" w:line="360" w:lineRule="auto"/>
        <w:rPr>
          <w:rFonts w:ascii="Times New Roman" w:hAnsi="Times New Roman" w:cs="Times New Roman"/>
          <w:sz w:val="26"/>
          <w:szCs w:val="26"/>
        </w:rPr>
      </w:pPr>
    </w:p>
    <w:p w14:paraId="20BCBB0F" w14:textId="09923798" w:rsidR="008434CA" w:rsidRPr="00CB06ED" w:rsidRDefault="008434CA" w:rsidP="00C06BDC">
      <w:pPr>
        <w:pStyle w:val="ListParagraph"/>
        <w:numPr>
          <w:ilvl w:val="0"/>
          <w:numId w:val="19"/>
        </w:numPr>
        <w:tabs>
          <w:tab w:val="clear" w:pos="720"/>
        </w:tabs>
        <w:spacing w:after="0" w:line="360" w:lineRule="auto"/>
        <w:ind w:left="0" w:firstLine="1440"/>
        <w:rPr>
          <w:rFonts w:ascii="Times New Roman" w:hAnsi="Times New Roman" w:cs="Times New Roman"/>
          <w:sz w:val="26"/>
          <w:szCs w:val="26"/>
        </w:rPr>
      </w:pPr>
      <w:r w:rsidRPr="00CB06ED">
        <w:rPr>
          <w:rFonts w:ascii="Times New Roman" w:hAnsi="Times New Roman" w:cs="Times New Roman"/>
          <w:sz w:val="26"/>
          <w:szCs w:val="26"/>
        </w:rPr>
        <w:t xml:space="preserve">That the </w:t>
      </w:r>
      <w:r w:rsidR="00EC18FE" w:rsidRPr="00CB06ED">
        <w:rPr>
          <w:rFonts w:ascii="Times New Roman" w:hAnsi="Times New Roman" w:cs="Times New Roman"/>
          <w:sz w:val="26"/>
          <w:szCs w:val="26"/>
        </w:rPr>
        <w:t xml:space="preserve">consolidated </w:t>
      </w:r>
      <w:r w:rsidRPr="00CB06ED">
        <w:rPr>
          <w:rFonts w:ascii="Times New Roman" w:hAnsi="Times New Roman" w:cs="Times New Roman"/>
          <w:sz w:val="26"/>
          <w:szCs w:val="26"/>
        </w:rPr>
        <w:t>Complaint</w:t>
      </w:r>
      <w:r w:rsidR="0039221C" w:rsidRPr="00CB06ED">
        <w:rPr>
          <w:rFonts w:ascii="Times New Roman" w:hAnsi="Times New Roman" w:cs="Times New Roman"/>
          <w:sz w:val="26"/>
          <w:szCs w:val="26"/>
        </w:rPr>
        <w:t>s</w:t>
      </w:r>
      <w:r w:rsidRPr="00CB06ED">
        <w:rPr>
          <w:rFonts w:ascii="Times New Roman" w:hAnsi="Times New Roman" w:cs="Times New Roman"/>
          <w:sz w:val="26"/>
          <w:szCs w:val="26"/>
        </w:rPr>
        <w:t xml:space="preserve"> of </w:t>
      </w:r>
      <w:r w:rsidR="0020650F" w:rsidRPr="00CB06ED">
        <w:rPr>
          <w:rFonts w:ascii="Times New Roman" w:eastAsia="Times New Roman" w:hAnsi="Times New Roman" w:cs="Times New Roman"/>
          <w:color w:val="000000"/>
          <w:sz w:val="26"/>
          <w:szCs w:val="26"/>
        </w:rPr>
        <w:t>Interstate Gas Supply, Inc. d/b/a</w:t>
      </w:r>
      <w:r w:rsidR="00C06BDC">
        <w:rPr>
          <w:rFonts w:ascii="Times New Roman" w:eastAsia="Times New Roman" w:hAnsi="Times New Roman" w:cs="Times New Roman"/>
          <w:color w:val="000000"/>
          <w:sz w:val="26"/>
          <w:szCs w:val="26"/>
        </w:rPr>
        <w:t> </w:t>
      </w:r>
      <w:r w:rsidR="0020650F" w:rsidRPr="00CB06ED">
        <w:rPr>
          <w:rFonts w:ascii="Times New Roman" w:eastAsia="Times New Roman" w:hAnsi="Times New Roman" w:cs="Times New Roman"/>
          <w:color w:val="000000"/>
          <w:sz w:val="26"/>
          <w:szCs w:val="26"/>
        </w:rPr>
        <w:t>IGS Energy, Direct Energy Services LLC and Shipley Choice, LLC d/b/a Shipley Energy</w:t>
      </w:r>
      <w:r w:rsidRPr="00CB06ED">
        <w:rPr>
          <w:rFonts w:ascii="Times New Roman" w:hAnsi="Times New Roman" w:cs="Times New Roman"/>
          <w:sz w:val="26"/>
          <w:szCs w:val="26"/>
        </w:rPr>
        <w:t xml:space="preserve"> filed on </w:t>
      </w:r>
      <w:r w:rsidR="008157FC" w:rsidRPr="00CB06ED">
        <w:rPr>
          <w:rFonts w:ascii="Times New Roman" w:hAnsi="Times New Roman" w:cs="Times New Roman"/>
          <w:sz w:val="26"/>
          <w:szCs w:val="26"/>
        </w:rPr>
        <w:t>October 25, 2019</w:t>
      </w:r>
      <w:r w:rsidRPr="00CB06ED">
        <w:rPr>
          <w:rFonts w:ascii="Times New Roman" w:hAnsi="Times New Roman" w:cs="Times New Roman"/>
          <w:sz w:val="26"/>
          <w:szCs w:val="26"/>
        </w:rPr>
        <w:t xml:space="preserve">, at </w:t>
      </w:r>
      <w:r w:rsidR="0039221C" w:rsidRPr="00CB06ED">
        <w:rPr>
          <w:rFonts w:ascii="Times New Roman" w:eastAsia="Times New Roman" w:hAnsi="Times New Roman" w:cs="Times New Roman"/>
          <w:sz w:val="26"/>
          <w:szCs w:val="26"/>
        </w:rPr>
        <w:t>Docket Nos.</w:t>
      </w:r>
      <w:r w:rsidR="0039221C" w:rsidRPr="00CB06ED">
        <w:rPr>
          <w:rFonts w:ascii="Times New Roman" w:hAnsi="Times New Roman"/>
          <w:spacing w:val="-3"/>
          <w:sz w:val="26"/>
          <w:szCs w:val="26"/>
        </w:rPr>
        <w:t xml:space="preserve"> C-2019-3013805, C-2019-3013806, C</w:t>
      </w:r>
      <w:r w:rsidR="00CB06ED">
        <w:rPr>
          <w:rFonts w:ascii="Times New Roman" w:hAnsi="Times New Roman"/>
          <w:spacing w:val="-3"/>
          <w:sz w:val="26"/>
          <w:szCs w:val="26"/>
        </w:rPr>
        <w:noBreakHyphen/>
      </w:r>
      <w:r w:rsidR="0039221C" w:rsidRPr="00CB06ED">
        <w:rPr>
          <w:rFonts w:ascii="Times New Roman" w:hAnsi="Times New Roman"/>
          <w:spacing w:val="-3"/>
          <w:sz w:val="26"/>
          <w:szCs w:val="26"/>
        </w:rPr>
        <w:t>2019</w:t>
      </w:r>
      <w:r w:rsidR="00CB06ED">
        <w:rPr>
          <w:rFonts w:ascii="Times New Roman" w:hAnsi="Times New Roman"/>
          <w:spacing w:val="-3"/>
          <w:sz w:val="26"/>
          <w:szCs w:val="26"/>
        </w:rPr>
        <w:noBreakHyphen/>
      </w:r>
      <w:r w:rsidR="0039221C" w:rsidRPr="00CB06ED">
        <w:rPr>
          <w:rFonts w:ascii="Times New Roman" w:hAnsi="Times New Roman"/>
          <w:spacing w:val="-3"/>
          <w:sz w:val="26"/>
          <w:szCs w:val="26"/>
        </w:rPr>
        <w:t xml:space="preserve">3013807, </w:t>
      </w:r>
      <w:r w:rsidR="00667394" w:rsidRPr="00CB06ED">
        <w:rPr>
          <w:rFonts w:ascii="Times New Roman" w:hAnsi="Times New Roman"/>
          <w:spacing w:val="-3"/>
          <w:sz w:val="26"/>
          <w:szCs w:val="26"/>
        </w:rPr>
        <w:t xml:space="preserve">and </w:t>
      </w:r>
      <w:r w:rsidR="0039221C" w:rsidRPr="00CB06ED">
        <w:rPr>
          <w:rFonts w:ascii="Times New Roman" w:hAnsi="Times New Roman"/>
          <w:spacing w:val="-3"/>
          <w:sz w:val="26"/>
          <w:szCs w:val="26"/>
        </w:rPr>
        <w:t>C-2019-3013808, are</w:t>
      </w:r>
      <w:r w:rsidRPr="00CB06ED">
        <w:rPr>
          <w:rFonts w:ascii="Times New Roman" w:hAnsi="Times New Roman" w:cs="Times New Roman"/>
          <w:sz w:val="26"/>
          <w:szCs w:val="26"/>
        </w:rPr>
        <w:t xml:space="preserve"> </w:t>
      </w:r>
      <w:r w:rsidR="00A1791B" w:rsidRPr="00CB06ED">
        <w:rPr>
          <w:rFonts w:ascii="Times New Roman" w:hAnsi="Times New Roman" w:cs="Times New Roman"/>
          <w:sz w:val="26"/>
          <w:szCs w:val="26"/>
        </w:rPr>
        <w:t xml:space="preserve">denied and </w:t>
      </w:r>
      <w:r w:rsidRPr="00CB06ED">
        <w:rPr>
          <w:rFonts w:ascii="Times New Roman" w:hAnsi="Times New Roman" w:cs="Times New Roman"/>
          <w:sz w:val="26"/>
          <w:szCs w:val="26"/>
        </w:rPr>
        <w:t>dismissed, consistent with this Opinion and Order.</w:t>
      </w:r>
    </w:p>
    <w:p w14:paraId="0360F1AA" w14:textId="77777777" w:rsidR="008434CA" w:rsidRPr="00CB06ED" w:rsidRDefault="008434CA" w:rsidP="00C06BDC">
      <w:pPr>
        <w:pStyle w:val="ListParagraph"/>
        <w:spacing w:after="0" w:line="360" w:lineRule="auto"/>
        <w:rPr>
          <w:rFonts w:ascii="Times New Roman" w:hAnsi="Times New Roman" w:cs="Times New Roman"/>
          <w:sz w:val="26"/>
          <w:szCs w:val="26"/>
        </w:rPr>
      </w:pPr>
    </w:p>
    <w:p w14:paraId="3923B79D" w14:textId="2CE0660D" w:rsidR="008434CA" w:rsidRPr="00CB06ED" w:rsidRDefault="008434CA" w:rsidP="00C06BDC">
      <w:pPr>
        <w:pStyle w:val="ListParagraph"/>
        <w:keepNext/>
        <w:keepLines/>
        <w:numPr>
          <w:ilvl w:val="0"/>
          <w:numId w:val="19"/>
        </w:numPr>
        <w:spacing w:after="0" w:line="360" w:lineRule="auto"/>
        <w:ind w:firstLine="720"/>
        <w:rPr>
          <w:rFonts w:ascii="Times New Roman" w:hAnsi="Times New Roman" w:cs="Times New Roman"/>
          <w:sz w:val="26"/>
          <w:szCs w:val="26"/>
        </w:rPr>
      </w:pPr>
      <w:r w:rsidRPr="00CB06ED">
        <w:rPr>
          <w:rFonts w:ascii="Times New Roman" w:hAnsi="Times New Roman" w:cs="Times New Roman"/>
          <w:sz w:val="26"/>
          <w:szCs w:val="26"/>
        </w:rPr>
        <w:t>That the proceeding at this docket be marked closed.</w:t>
      </w:r>
    </w:p>
    <w:p w14:paraId="4FB444FD" w14:textId="6EA096B9" w:rsidR="00CB06ED" w:rsidRDefault="00420E92" w:rsidP="00C06BDC">
      <w:pPr>
        <w:tabs>
          <w:tab w:val="left" w:pos="-720"/>
        </w:tabs>
        <w:suppressAutoHyphens/>
        <w:spacing w:after="0" w:line="360" w:lineRule="auto"/>
        <w:rPr>
          <w:rFonts w:ascii="Times New Roman" w:eastAsia="Times New Roman" w:hAnsi="Times New Roman" w:cs="Times New Roman"/>
          <w:b/>
          <w:sz w:val="26"/>
          <w:szCs w:val="26"/>
        </w:rPr>
      </w:pPr>
      <w:r w:rsidRPr="00CB06ED">
        <w:rPr>
          <w:rFonts w:ascii="Times New Roman" w:eastAsia="Times New Roman" w:hAnsi="Times New Roman" w:cs="Times New Roman"/>
          <w:b/>
          <w:sz w:val="26"/>
          <w:szCs w:val="26"/>
        </w:rPr>
        <w:tab/>
      </w:r>
      <w:r w:rsidRPr="00CB06ED">
        <w:rPr>
          <w:rFonts w:ascii="Times New Roman" w:eastAsia="Times New Roman" w:hAnsi="Times New Roman" w:cs="Times New Roman"/>
          <w:b/>
          <w:sz w:val="26"/>
          <w:szCs w:val="26"/>
        </w:rPr>
        <w:tab/>
      </w:r>
      <w:r w:rsidRPr="00CB06ED">
        <w:rPr>
          <w:rFonts w:ascii="Times New Roman" w:eastAsia="Times New Roman" w:hAnsi="Times New Roman" w:cs="Times New Roman"/>
          <w:b/>
          <w:sz w:val="26"/>
          <w:szCs w:val="26"/>
        </w:rPr>
        <w:tab/>
      </w:r>
      <w:r w:rsidRPr="00CB06ED">
        <w:rPr>
          <w:rFonts w:ascii="Times New Roman" w:eastAsia="Times New Roman" w:hAnsi="Times New Roman" w:cs="Times New Roman"/>
          <w:b/>
          <w:sz w:val="26"/>
          <w:szCs w:val="26"/>
        </w:rPr>
        <w:tab/>
      </w:r>
      <w:r w:rsidRPr="00CB06ED">
        <w:rPr>
          <w:rFonts w:ascii="Times New Roman" w:eastAsia="Times New Roman" w:hAnsi="Times New Roman" w:cs="Times New Roman"/>
          <w:b/>
          <w:sz w:val="26"/>
          <w:szCs w:val="26"/>
        </w:rPr>
        <w:tab/>
      </w:r>
      <w:r w:rsidRPr="00CB06ED">
        <w:rPr>
          <w:rFonts w:ascii="Times New Roman" w:eastAsia="Times New Roman" w:hAnsi="Times New Roman" w:cs="Times New Roman"/>
          <w:b/>
          <w:sz w:val="26"/>
          <w:szCs w:val="26"/>
        </w:rPr>
        <w:tab/>
      </w:r>
      <w:r w:rsidRPr="00CB06ED">
        <w:rPr>
          <w:rFonts w:ascii="Times New Roman" w:eastAsia="Times New Roman" w:hAnsi="Times New Roman" w:cs="Times New Roman"/>
          <w:b/>
          <w:sz w:val="26"/>
          <w:szCs w:val="26"/>
        </w:rPr>
        <w:tab/>
      </w:r>
    </w:p>
    <w:p w14:paraId="6CDCD4E9" w14:textId="21C31D90" w:rsidR="00420E92" w:rsidRPr="00CB06ED" w:rsidRDefault="0069285F" w:rsidP="00C06BDC">
      <w:pPr>
        <w:tabs>
          <w:tab w:val="left" w:pos="-720"/>
        </w:tabs>
        <w:suppressAutoHyphens/>
        <w:spacing w:after="0" w:line="240" w:lineRule="auto"/>
        <w:ind w:left="5040"/>
        <w:rPr>
          <w:rFonts w:ascii="Times New Roman" w:eastAsia="Times New Roman" w:hAnsi="Times New Roman" w:cs="Times New Roman"/>
          <w:b/>
          <w:sz w:val="26"/>
          <w:szCs w:val="26"/>
        </w:rPr>
      </w:pPr>
      <w:r>
        <w:rPr>
          <w:noProof/>
        </w:rPr>
        <w:drawing>
          <wp:anchor distT="0" distB="0" distL="114300" distR="114300" simplePos="0" relativeHeight="251659264" behindDoc="1" locked="0" layoutInCell="1" allowOverlap="1" wp14:anchorId="6D49C265" wp14:editId="4A1BF1C5">
            <wp:simplePos x="0" y="0"/>
            <wp:positionH relativeFrom="column">
              <wp:posOffset>3200400</wp:posOffset>
            </wp:positionH>
            <wp:positionV relativeFrom="paragraph">
              <wp:posOffset>191135</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420E92" w:rsidRPr="00CB06ED">
        <w:rPr>
          <w:rFonts w:ascii="Times New Roman" w:eastAsia="Times New Roman" w:hAnsi="Times New Roman" w:cs="Times New Roman"/>
          <w:b/>
          <w:sz w:val="26"/>
          <w:szCs w:val="26"/>
        </w:rPr>
        <w:t>BY THE COMMISSION,</w:t>
      </w:r>
    </w:p>
    <w:p w14:paraId="6EE0D598" w14:textId="3F4C041C" w:rsidR="00420E92" w:rsidRPr="00CB06ED" w:rsidRDefault="00420E92" w:rsidP="00C06BDC">
      <w:pPr>
        <w:tabs>
          <w:tab w:val="left" w:pos="-720"/>
        </w:tabs>
        <w:suppressAutoHyphens/>
        <w:spacing w:after="0" w:line="240" w:lineRule="auto"/>
        <w:rPr>
          <w:rFonts w:ascii="Times New Roman" w:eastAsia="Times New Roman" w:hAnsi="Times New Roman" w:cs="Times New Roman"/>
          <w:b/>
          <w:sz w:val="26"/>
          <w:szCs w:val="26"/>
        </w:rPr>
      </w:pPr>
    </w:p>
    <w:p w14:paraId="426F183D" w14:textId="77777777" w:rsidR="00420E92" w:rsidRPr="00CB06ED" w:rsidRDefault="00420E92" w:rsidP="00C06BDC">
      <w:pPr>
        <w:tabs>
          <w:tab w:val="left" w:pos="-720"/>
        </w:tabs>
        <w:suppressAutoHyphens/>
        <w:spacing w:after="0" w:line="240" w:lineRule="auto"/>
        <w:rPr>
          <w:rFonts w:ascii="Times New Roman" w:eastAsia="Times New Roman" w:hAnsi="Times New Roman" w:cs="Times New Roman"/>
          <w:b/>
          <w:sz w:val="26"/>
          <w:szCs w:val="26"/>
        </w:rPr>
      </w:pPr>
    </w:p>
    <w:p w14:paraId="3B01A4EB" w14:textId="4754D5E4" w:rsidR="00420E92" w:rsidRPr="00CB06ED" w:rsidRDefault="00420E92" w:rsidP="00C06BDC">
      <w:pPr>
        <w:tabs>
          <w:tab w:val="left" w:pos="-720"/>
        </w:tabs>
        <w:suppressAutoHyphens/>
        <w:spacing w:after="0" w:line="240" w:lineRule="auto"/>
        <w:rPr>
          <w:rFonts w:ascii="Times New Roman" w:eastAsia="Times New Roman" w:hAnsi="Times New Roman" w:cs="Times New Roman"/>
          <w:b/>
          <w:sz w:val="26"/>
          <w:szCs w:val="26"/>
        </w:rPr>
      </w:pPr>
    </w:p>
    <w:p w14:paraId="1C9E6FEF" w14:textId="77777777" w:rsidR="003E3038" w:rsidRPr="00CB06ED" w:rsidRDefault="003E3038" w:rsidP="00C06BDC">
      <w:pPr>
        <w:tabs>
          <w:tab w:val="left" w:pos="-720"/>
        </w:tabs>
        <w:suppressAutoHyphens/>
        <w:spacing w:after="0" w:line="240" w:lineRule="auto"/>
        <w:rPr>
          <w:rFonts w:ascii="Times New Roman" w:eastAsia="Times New Roman" w:hAnsi="Times New Roman" w:cs="Times New Roman"/>
          <w:b/>
          <w:sz w:val="26"/>
          <w:szCs w:val="26"/>
        </w:rPr>
      </w:pPr>
    </w:p>
    <w:p w14:paraId="49208D28" w14:textId="77777777" w:rsidR="00420E92" w:rsidRPr="00420E92" w:rsidRDefault="00420E92" w:rsidP="00C06BDC">
      <w:pPr>
        <w:tabs>
          <w:tab w:val="left" w:pos="-720"/>
        </w:tabs>
        <w:suppressAutoHyphens/>
        <w:spacing w:after="0" w:line="240" w:lineRule="auto"/>
        <w:rPr>
          <w:rFonts w:ascii="Times New Roman" w:eastAsia="Times New Roman" w:hAnsi="Times New Roman" w:cs="Times New Roman"/>
          <w:sz w:val="26"/>
          <w:szCs w:val="26"/>
        </w:rPr>
      </w:pPr>
      <w:r w:rsidRPr="00420E92">
        <w:rPr>
          <w:rFonts w:ascii="Times New Roman" w:eastAsia="Times New Roman" w:hAnsi="Times New Roman" w:cs="Times New Roman"/>
          <w:sz w:val="26"/>
          <w:szCs w:val="26"/>
        </w:rPr>
        <w:tab/>
      </w:r>
      <w:r w:rsidRPr="00420E92">
        <w:rPr>
          <w:rFonts w:ascii="Times New Roman" w:eastAsia="Times New Roman" w:hAnsi="Times New Roman" w:cs="Times New Roman"/>
          <w:sz w:val="26"/>
          <w:szCs w:val="26"/>
        </w:rPr>
        <w:tab/>
      </w:r>
      <w:r w:rsidRPr="00420E92">
        <w:rPr>
          <w:rFonts w:ascii="Times New Roman" w:eastAsia="Times New Roman" w:hAnsi="Times New Roman" w:cs="Times New Roman"/>
          <w:sz w:val="26"/>
          <w:szCs w:val="26"/>
        </w:rPr>
        <w:tab/>
      </w:r>
      <w:r w:rsidRPr="00420E92">
        <w:rPr>
          <w:rFonts w:ascii="Times New Roman" w:eastAsia="Times New Roman" w:hAnsi="Times New Roman" w:cs="Times New Roman"/>
          <w:sz w:val="26"/>
          <w:szCs w:val="26"/>
        </w:rPr>
        <w:tab/>
      </w:r>
      <w:r w:rsidRPr="00420E92">
        <w:rPr>
          <w:rFonts w:ascii="Times New Roman" w:eastAsia="Times New Roman" w:hAnsi="Times New Roman" w:cs="Times New Roman"/>
          <w:sz w:val="26"/>
          <w:szCs w:val="26"/>
        </w:rPr>
        <w:tab/>
      </w:r>
      <w:r w:rsidRPr="00420E92">
        <w:rPr>
          <w:rFonts w:ascii="Times New Roman" w:eastAsia="Times New Roman" w:hAnsi="Times New Roman" w:cs="Times New Roman"/>
          <w:sz w:val="26"/>
          <w:szCs w:val="26"/>
        </w:rPr>
        <w:tab/>
      </w:r>
      <w:r w:rsidRPr="00420E92">
        <w:rPr>
          <w:rFonts w:ascii="Times New Roman" w:eastAsia="Times New Roman" w:hAnsi="Times New Roman" w:cs="Times New Roman"/>
          <w:sz w:val="26"/>
          <w:szCs w:val="26"/>
        </w:rPr>
        <w:tab/>
        <w:t>Rosemary Chiavetta</w:t>
      </w:r>
    </w:p>
    <w:p w14:paraId="00D423CF" w14:textId="77777777" w:rsidR="00420E92" w:rsidRPr="00420E92" w:rsidRDefault="00420E92" w:rsidP="00C06BDC">
      <w:pPr>
        <w:tabs>
          <w:tab w:val="left" w:pos="-720"/>
        </w:tabs>
        <w:suppressAutoHyphens/>
        <w:spacing w:after="0" w:line="240" w:lineRule="auto"/>
        <w:rPr>
          <w:rFonts w:ascii="Times New Roman" w:eastAsia="Times New Roman" w:hAnsi="Times New Roman" w:cs="Times New Roman"/>
          <w:sz w:val="26"/>
          <w:szCs w:val="26"/>
        </w:rPr>
      </w:pPr>
      <w:r w:rsidRPr="00420E92">
        <w:rPr>
          <w:rFonts w:ascii="Times New Roman" w:eastAsia="Times New Roman" w:hAnsi="Times New Roman" w:cs="Times New Roman"/>
          <w:sz w:val="26"/>
          <w:szCs w:val="26"/>
        </w:rPr>
        <w:tab/>
      </w:r>
      <w:r w:rsidRPr="00420E92">
        <w:rPr>
          <w:rFonts w:ascii="Times New Roman" w:eastAsia="Times New Roman" w:hAnsi="Times New Roman" w:cs="Times New Roman"/>
          <w:sz w:val="26"/>
          <w:szCs w:val="26"/>
        </w:rPr>
        <w:tab/>
      </w:r>
      <w:r w:rsidRPr="00420E92">
        <w:rPr>
          <w:rFonts w:ascii="Times New Roman" w:eastAsia="Times New Roman" w:hAnsi="Times New Roman" w:cs="Times New Roman"/>
          <w:sz w:val="26"/>
          <w:szCs w:val="26"/>
        </w:rPr>
        <w:tab/>
      </w:r>
      <w:r w:rsidRPr="00420E92">
        <w:rPr>
          <w:rFonts w:ascii="Times New Roman" w:eastAsia="Times New Roman" w:hAnsi="Times New Roman" w:cs="Times New Roman"/>
          <w:sz w:val="26"/>
          <w:szCs w:val="26"/>
        </w:rPr>
        <w:tab/>
      </w:r>
      <w:r w:rsidRPr="00420E92">
        <w:rPr>
          <w:rFonts w:ascii="Times New Roman" w:eastAsia="Times New Roman" w:hAnsi="Times New Roman" w:cs="Times New Roman"/>
          <w:sz w:val="26"/>
          <w:szCs w:val="26"/>
        </w:rPr>
        <w:tab/>
      </w:r>
      <w:r w:rsidRPr="00420E92">
        <w:rPr>
          <w:rFonts w:ascii="Times New Roman" w:eastAsia="Times New Roman" w:hAnsi="Times New Roman" w:cs="Times New Roman"/>
          <w:sz w:val="26"/>
          <w:szCs w:val="26"/>
        </w:rPr>
        <w:tab/>
      </w:r>
      <w:r w:rsidRPr="00420E92">
        <w:rPr>
          <w:rFonts w:ascii="Times New Roman" w:eastAsia="Times New Roman" w:hAnsi="Times New Roman" w:cs="Times New Roman"/>
          <w:sz w:val="26"/>
          <w:szCs w:val="26"/>
        </w:rPr>
        <w:tab/>
        <w:t>Secretary</w:t>
      </w:r>
    </w:p>
    <w:p w14:paraId="0A4E5570" w14:textId="77777777" w:rsidR="00CB06ED" w:rsidRDefault="00CB06ED" w:rsidP="00C06BDC">
      <w:pPr>
        <w:tabs>
          <w:tab w:val="left" w:pos="-720"/>
        </w:tabs>
        <w:suppressAutoHyphens/>
        <w:spacing w:after="0" w:line="240" w:lineRule="auto"/>
        <w:rPr>
          <w:rFonts w:ascii="Times New Roman" w:eastAsia="Times New Roman" w:hAnsi="Times New Roman" w:cs="Times New Roman"/>
          <w:sz w:val="26"/>
          <w:szCs w:val="26"/>
        </w:rPr>
      </w:pPr>
    </w:p>
    <w:p w14:paraId="656E5B5E" w14:textId="53735345" w:rsidR="00420E92" w:rsidRPr="00420E92" w:rsidRDefault="00420E92" w:rsidP="00C06BDC">
      <w:pPr>
        <w:tabs>
          <w:tab w:val="left" w:pos="-720"/>
        </w:tabs>
        <w:suppressAutoHyphens/>
        <w:spacing w:after="0" w:line="240" w:lineRule="auto"/>
        <w:rPr>
          <w:rFonts w:ascii="Times New Roman" w:eastAsia="Times New Roman" w:hAnsi="Times New Roman" w:cs="Times New Roman"/>
          <w:sz w:val="26"/>
          <w:szCs w:val="26"/>
        </w:rPr>
      </w:pPr>
      <w:r w:rsidRPr="00420E92">
        <w:rPr>
          <w:rFonts w:ascii="Times New Roman" w:eastAsia="Times New Roman" w:hAnsi="Times New Roman" w:cs="Times New Roman"/>
          <w:sz w:val="26"/>
          <w:szCs w:val="26"/>
        </w:rPr>
        <w:t>(SEAL)</w:t>
      </w:r>
    </w:p>
    <w:p w14:paraId="55B41491" w14:textId="77777777" w:rsidR="00420E92" w:rsidRPr="00420E92" w:rsidRDefault="00420E92" w:rsidP="00C06BDC">
      <w:pPr>
        <w:tabs>
          <w:tab w:val="left" w:pos="-720"/>
        </w:tabs>
        <w:suppressAutoHyphens/>
        <w:spacing w:after="0" w:line="240" w:lineRule="auto"/>
        <w:rPr>
          <w:rFonts w:ascii="Times New Roman" w:eastAsia="Times New Roman" w:hAnsi="Times New Roman" w:cs="Times New Roman"/>
          <w:sz w:val="26"/>
          <w:szCs w:val="26"/>
        </w:rPr>
      </w:pPr>
    </w:p>
    <w:p w14:paraId="7885E7CC" w14:textId="5DAE5677" w:rsidR="00420E92" w:rsidRPr="00420E92" w:rsidRDefault="00420E92" w:rsidP="00C06BDC">
      <w:pPr>
        <w:tabs>
          <w:tab w:val="left" w:pos="-720"/>
        </w:tabs>
        <w:suppressAutoHyphens/>
        <w:spacing w:after="0" w:line="240" w:lineRule="auto"/>
        <w:rPr>
          <w:rFonts w:ascii="Times New Roman" w:eastAsia="Times New Roman" w:hAnsi="Times New Roman" w:cs="Times New Roman"/>
          <w:sz w:val="26"/>
          <w:szCs w:val="26"/>
        </w:rPr>
      </w:pPr>
      <w:r w:rsidRPr="00420E92">
        <w:rPr>
          <w:rFonts w:ascii="Times New Roman" w:eastAsia="Times New Roman" w:hAnsi="Times New Roman" w:cs="Times New Roman"/>
          <w:sz w:val="26"/>
          <w:szCs w:val="26"/>
        </w:rPr>
        <w:t xml:space="preserve">ORDER ADOPTED:  August </w:t>
      </w:r>
      <w:r w:rsidR="005033CA">
        <w:rPr>
          <w:rFonts w:ascii="Times New Roman" w:eastAsia="Times New Roman" w:hAnsi="Times New Roman" w:cs="Times New Roman"/>
          <w:sz w:val="26"/>
          <w:szCs w:val="26"/>
        </w:rPr>
        <w:t>26</w:t>
      </w:r>
      <w:r w:rsidRPr="00420E92">
        <w:rPr>
          <w:rFonts w:ascii="Times New Roman" w:eastAsia="Times New Roman" w:hAnsi="Times New Roman" w:cs="Times New Roman"/>
          <w:sz w:val="26"/>
          <w:szCs w:val="26"/>
        </w:rPr>
        <w:t>, 2021</w:t>
      </w:r>
    </w:p>
    <w:p w14:paraId="441A773E" w14:textId="77777777" w:rsidR="00420E92" w:rsidRPr="00420E92" w:rsidRDefault="00420E92" w:rsidP="00C06BDC">
      <w:pPr>
        <w:tabs>
          <w:tab w:val="left" w:pos="-720"/>
        </w:tabs>
        <w:suppressAutoHyphens/>
        <w:spacing w:after="0" w:line="240" w:lineRule="auto"/>
        <w:rPr>
          <w:rFonts w:ascii="Times New Roman" w:eastAsia="Times New Roman" w:hAnsi="Times New Roman" w:cs="Times New Roman"/>
          <w:sz w:val="26"/>
          <w:szCs w:val="26"/>
        </w:rPr>
      </w:pPr>
    </w:p>
    <w:p w14:paraId="747C3BA1" w14:textId="178B8561" w:rsidR="00BF6F01" w:rsidRPr="00420E92" w:rsidRDefault="00420E92" w:rsidP="00C06BDC">
      <w:pPr>
        <w:tabs>
          <w:tab w:val="left" w:pos="-720"/>
        </w:tabs>
        <w:suppressAutoHyphens/>
        <w:spacing w:after="0" w:line="240" w:lineRule="auto"/>
        <w:rPr>
          <w:rFonts w:ascii="Times New Roman" w:hAnsi="Times New Roman" w:cs="Times New Roman"/>
          <w:sz w:val="26"/>
          <w:szCs w:val="26"/>
        </w:rPr>
      </w:pPr>
      <w:r w:rsidRPr="00420E92">
        <w:rPr>
          <w:rFonts w:ascii="Times New Roman" w:eastAsia="Times New Roman" w:hAnsi="Times New Roman" w:cs="Times New Roman"/>
          <w:sz w:val="26"/>
          <w:szCs w:val="26"/>
        </w:rPr>
        <w:t xml:space="preserve">ORDER ENTERED:  </w:t>
      </w:r>
      <w:r w:rsidR="0069285F">
        <w:rPr>
          <w:rFonts w:ascii="Times New Roman" w:eastAsia="Times New Roman" w:hAnsi="Times New Roman" w:cs="Times New Roman"/>
          <w:sz w:val="26"/>
          <w:szCs w:val="26"/>
        </w:rPr>
        <w:t>August 26, 2021</w:t>
      </w:r>
    </w:p>
    <w:sectPr w:rsidR="00BF6F01" w:rsidRPr="00420E92" w:rsidSect="00626F9F">
      <w:foot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856CB" w14:textId="77777777" w:rsidR="0096625C" w:rsidRDefault="0096625C" w:rsidP="00441C94">
      <w:pPr>
        <w:spacing w:after="0" w:line="240" w:lineRule="auto"/>
      </w:pPr>
      <w:r>
        <w:separator/>
      </w:r>
    </w:p>
  </w:endnote>
  <w:endnote w:type="continuationSeparator" w:id="0">
    <w:p w14:paraId="3E435964" w14:textId="77777777" w:rsidR="0096625C" w:rsidRDefault="0096625C" w:rsidP="0044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613821"/>
      <w:docPartObj>
        <w:docPartGallery w:val="Page Numbers (Bottom of Page)"/>
        <w:docPartUnique/>
      </w:docPartObj>
    </w:sdtPr>
    <w:sdtEndPr>
      <w:rPr>
        <w:noProof/>
        <w:sz w:val="26"/>
        <w:szCs w:val="26"/>
      </w:rPr>
    </w:sdtEndPr>
    <w:sdtContent>
      <w:p w14:paraId="27B3961E" w14:textId="7DA79CC2" w:rsidR="008D7325" w:rsidRPr="00CB06ED" w:rsidRDefault="008D7325" w:rsidP="00CB06ED">
        <w:pPr>
          <w:pStyle w:val="Footer"/>
          <w:jc w:val="center"/>
          <w:rPr>
            <w:sz w:val="26"/>
            <w:szCs w:val="26"/>
          </w:rPr>
        </w:pPr>
        <w:r w:rsidRPr="00CB06ED">
          <w:rPr>
            <w:sz w:val="26"/>
            <w:szCs w:val="26"/>
          </w:rPr>
          <w:fldChar w:fldCharType="begin"/>
        </w:r>
        <w:r w:rsidRPr="00CB06ED">
          <w:rPr>
            <w:sz w:val="26"/>
            <w:szCs w:val="26"/>
          </w:rPr>
          <w:instrText xml:space="preserve"> PAGE   \* MERGEFORMAT </w:instrText>
        </w:r>
        <w:r w:rsidRPr="00CB06ED">
          <w:rPr>
            <w:sz w:val="26"/>
            <w:szCs w:val="26"/>
          </w:rPr>
          <w:fldChar w:fldCharType="separate"/>
        </w:r>
        <w:r w:rsidRPr="00CB06ED">
          <w:rPr>
            <w:noProof/>
            <w:sz w:val="26"/>
            <w:szCs w:val="26"/>
          </w:rPr>
          <w:t>2</w:t>
        </w:r>
        <w:r w:rsidRPr="00CB06ED">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E6F27" w14:textId="77777777" w:rsidR="0096625C" w:rsidRDefault="0096625C" w:rsidP="00441C94">
      <w:pPr>
        <w:spacing w:after="0" w:line="240" w:lineRule="auto"/>
      </w:pPr>
      <w:r>
        <w:separator/>
      </w:r>
    </w:p>
  </w:footnote>
  <w:footnote w:type="continuationSeparator" w:id="0">
    <w:p w14:paraId="3DDF36D8" w14:textId="77777777" w:rsidR="0096625C" w:rsidRDefault="0096625C" w:rsidP="00441C94">
      <w:pPr>
        <w:spacing w:after="0" w:line="240" w:lineRule="auto"/>
      </w:pPr>
      <w:r>
        <w:continuationSeparator/>
      </w:r>
    </w:p>
  </w:footnote>
  <w:footnote w:id="1">
    <w:p w14:paraId="4B387651" w14:textId="22B899D3" w:rsidR="00D52C9F" w:rsidRPr="00C06BDC" w:rsidRDefault="00D52C9F" w:rsidP="005029D6">
      <w:pPr>
        <w:pStyle w:val="FootnoteText"/>
        <w:ind w:firstLine="720"/>
        <w:rPr>
          <w:sz w:val="26"/>
          <w:szCs w:val="26"/>
        </w:rPr>
      </w:pPr>
      <w:r w:rsidRPr="00C06BDC">
        <w:rPr>
          <w:rStyle w:val="FootnoteReference"/>
          <w:sz w:val="26"/>
          <w:szCs w:val="26"/>
        </w:rPr>
        <w:footnoteRef/>
      </w:r>
      <w:r w:rsidRPr="00C06BDC">
        <w:rPr>
          <w:sz w:val="26"/>
          <w:szCs w:val="26"/>
        </w:rPr>
        <w:t xml:space="preserve"> </w:t>
      </w:r>
      <w:r w:rsidRPr="00C06BDC">
        <w:rPr>
          <w:sz w:val="26"/>
          <w:szCs w:val="26"/>
        </w:rPr>
        <w:tab/>
        <w:t xml:space="preserve">As discussed, </w:t>
      </w:r>
      <w:r w:rsidRPr="00C06BDC">
        <w:rPr>
          <w:i/>
          <w:iCs/>
          <w:sz w:val="26"/>
          <w:szCs w:val="26"/>
        </w:rPr>
        <w:t>infra.</w:t>
      </w:r>
      <w:r w:rsidRPr="00C06BDC">
        <w:rPr>
          <w:sz w:val="26"/>
          <w:szCs w:val="26"/>
        </w:rPr>
        <w:t>, we shall deny the OCA’s Exceptions</w:t>
      </w:r>
      <w:r w:rsidR="00634DF9" w:rsidRPr="00C06BDC">
        <w:rPr>
          <w:sz w:val="26"/>
          <w:szCs w:val="26"/>
        </w:rPr>
        <w:t xml:space="preserve">. </w:t>
      </w:r>
    </w:p>
  </w:footnote>
  <w:footnote w:id="2">
    <w:p w14:paraId="0ED62769" w14:textId="76465455" w:rsidR="00DC699E" w:rsidRPr="00C06BDC" w:rsidRDefault="00DC699E" w:rsidP="00DC699E">
      <w:pPr>
        <w:pStyle w:val="FootnoteText"/>
        <w:ind w:firstLine="720"/>
        <w:rPr>
          <w:sz w:val="26"/>
          <w:szCs w:val="26"/>
        </w:rPr>
      </w:pPr>
      <w:r w:rsidRPr="00C06BDC">
        <w:rPr>
          <w:rStyle w:val="FootnoteReference"/>
          <w:sz w:val="26"/>
          <w:szCs w:val="26"/>
        </w:rPr>
        <w:footnoteRef/>
      </w:r>
      <w:r w:rsidRPr="00C06BDC">
        <w:rPr>
          <w:sz w:val="26"/>
          <w:szCs w:val="26"/>
        </w:rPr>
        <w:t xml:space="preserve"> </w:t>
      </w:r>
      <w:r w:rsidRPr="00C06BDC">
        <w:rPr>
          <w:sz w:val="26"/>
          <w:szCs w:val="26"/>
        </w:rPr>
        <w:tab/>
      </w:r>
      <w:r w:rsidRPr="00C06BDC">
        <w:rPr>
          <w:i/>
          <w:iCs/>
          <w:sz w:val="26"/>
          <w:szCs w:val="26"/>
        </w:rPr>
        <w:t>See</w:t>
      </w:r>
      <w:r w:rsidRPr="00C06BDC">
        <w:rPr>
          <w:sz w:val="26"/>
          <w:szCs w:val="26"/>
        </w:rPr>
        <w:t xml:space="preserve"> </w:t>
      </w:r>
      <w:r w:rsidRPr="00C06BDC">
        <w:rPr>
          <w:i/>
          <w:iCs/>
          <w:sz w:val="26"/>
          <w:szCs w:val="26"/>
        </w:rPr>
        <w:t>Pa. PUC</w:t>
      </w:r>
      <w:r w:rsidR="00C06BDC">
        <w:rPr>
          <w:i/>
          <w:iCs/>
          <w:sz w:val="26"/>
          <w:szCs w:val="26"/>
        </w:rPr>
        <w:t>,</w:t>
      </w:r>
      <w:r w:rsidRPr="00C06BDC">
        <w:rPr>
          <w:i/>
          <w:iCs/>
          <w:sz w:val="26"/>
          <w:szCs w:val="26"/>
        </w:rPr>
        <w:t xml:space="preserve"> et al. v. Columbia Gas of Pennsylvania, Inc.</w:t>
      </w:r>
      <w:r w:rsidRPr="00C06BDC">
        <w:rPr>
          <w:sz w:val="26"/>
          <w:szCs w:val="26"/>
        </w:rPr>
        <w:t>, Docket No. R</w:t>
      </w:r>
      <w:r w:rsidRPr="00C06BDC">
        <w:rPr>
          <w:sz w:val="26"/>
          <w:szCs w:val="26"/>
        </w:rPr>
        <w:noBreakHyphen/>
        <w:t>2018-2647577 (Opinion and Order entered December 6, 2018) (</w:t>
      </w:r>
      <w:r w:rsidRPr="00C06BDC">
        <w:rPr>
          <w:i/>
          <w:iCs/>
          <w:sz w:val="26"/>
          <w:szCs w:val="26"/>
        </w:rPr>
        <w:t>Columbia</w:t>
      </w:r>
      <w:r w:rsidRPr="00C06BDC">
        <w:rPr>
          <w:sz w:val="26"/>
          <w:szCs w:val="26"/>
        </w:rPr>
        <w:t>).</w:t>
      </w:r>
    </w:p>
  </w:footnote>
  <w:footnote w:id="3">
    <w:p w14:paraId="3F969B04" w14:textId="7923619B" w:rsidR="006204E9" w:rsidRPr="00C06BDC" w:rsidRDefault="006204E9" w:rsidP="00CB06ED">
      <w:pPr>
        <w:pStyle w:val="FootnoteText"/>
        <w:ind w:firstLine="720"/>
        <w:rPr>
          <w:sz w:val="26"/>
          <w:szCs w:val="26"/>
        </w:rPr>
      </w:pPr>
      <w:r w:rsidRPr="00C06BDC">
        <w:rPr>
          <w:rStyle w:val="FootnoteReference"/>
          <w:sz w:val="26"/>
          <w:szCs w:val="26"/>
        </w:rPr>
        <w:footnoteRef/>
      </w:r>
      <w:r w:rsidRPr="00C06BDC">
        <w:rPr>
          <w:sz w:val="26"/>
          <w:szCs w:val="26"/>
        </w:rPr>
        <w:t xml:space="preserve"> </w:t>
      </w:r>
      <w:r w:rsidRPr="00C06BDC">
        <w:rPr>
          <w:sz w:val="26"/>
          <w:szCs w:val="26"/>
        </w:rPr>
        <w:tab/>
        <w:t xml:space="preserve">A </w:t>
      </w:r>
      <w:r w:rsidR="00A478FD" w:rsidRPr="00C06BDC">
        <w:rPr>
          <w:sz w:val="26"/>
          <w:szCs w:val="26"/>
        </w:rPr>
        <w:t xml:space="preserve">Letter RE </w:t>
      </w:r>
      <w:r w:rsidR="00A57D26" w:rsidRPr="00C06BDC">
        <w:rPr>
          <w:sz w:val="26"/>
          <w:szCs w:val="26"/>
        </w:rPr>
        <w:t xml:space="preserve">Not Filing Exceptions </w:t>
      </w:r>
      <w:r w:rsidR="00A478FD" w:rsidRPr="00C06BDC">
        <w:rPr>
          <w:sz w:val="26"/>
          <w:szCs w:val="26"/>
        </w:rPr>
        <w:t>was filed by the EGSs on December</w:t>
      </w:r>
      <w:r w:rsidR="00CB06ED" w:rsidRPr="00C06BDC">
        <w:rPr>
          <w:sz w:val="26"/>
          <w:szCs w:val="26"/>
        </w:rPr>
        <w:t> </w:t>
      </w:r>
      <w:r w:rsidR="00A478FD" w:rsidRPr="00C06BDC">
        <w:rPr>
          <w:sz w:val="26"/>
          <w:szCs w:val="26"/>
        </w:rPr>
        <w:t>8,</w:t>
      </w:r>
      <w:r w:rsidR="00CB06ED" w:rsidRPr="00C06BDC">
        <w:rPr>
          <w:sz w:val="26"/>
          <w:szCs w:val="26"/>
        </w:rPr>
        <w:t> </w:t>
      </w:r>
      <w:r w:rsidR="00A478FD" w:rsidRPr="00C06BDC">
        <w:rPr>
          <w:sz w:val="26"/>
          <w:szCs w:val="26"/>
        </w:rPr>
        <w:t xml:space="preserve">2020. </w:t>
      </w:r>
      <w:r w:rsidR="00DF7702" w:rsidRPr="00C06BDC">
        <w:rPr>
          <w:sz w:val="26"/>
          <w:szCs w:val="26"/>
        </w:rPr>
        <w:t xml:space="preserve"> </w:t>
      </w:r>
      <w:r w:rsidR="00A478FD" w:rsidRPr="00C06BDC">
        <w:rPr>
          <w:sz w:val="26"/>
          <w:szCs w:val="26"/>
        </w:rPr>
        <w:t>A Letter RE Not Filing Reply Exceptions was filed by the OCA</w:t>
      </w:r>
      <w:r w:rsidR="000149B0" w:rsidRPr="00C06BDC">
        <w:rPr>
          <w:sz w:val="26"/>
          <w:szCs w:val="26"/>
        </w:rPr>
        <w:t xml:space="preserve"> and the EDCs, respectively, </w:t>
      </w:r>
      <w:r w:rsidR="00A478FD" w:rsidRPr="00C06BDC">
        <w:rPr>
          <w:sz w:val="26"/>
          <w:szCs w:val="26"/>
        </w:rPr>
        <w:t xml:space="preserve">on December 18, 2020. </w:t>
      </w:r>
      <w:r w:rsidR="00A478FD" w:rsidRPr="00C06BDC">
        <w:rPr>
          <w:sz w:val="26"/>
          <w:szCs w:val="26"/>
        </w:rPr>
        <w:tab/>
      </w:r>
    </w:p>
  </w:footnote>
  <w:footnote w:id="4">
    <w:p w14:paraId="71462FA6" w14:textId="533776ED" w:rsidR="00B57F46" w:rsidRPr="00C06BDC" w:rsidRDefault="00B57F46" w:rsidP="00C06BDC">
      <w:pPr>
        <w:spacing w:after="120" w:line="240" w:lineRule="auto"/>
        <w:ind w:firstLine="720"/>
        <w:rPr>
          <w:rFonts w:ascii="Times New Roman" w:eastAsia="Calibri" w:hAnsi="Times New Roman" w:cs="Times New Roman"/>
          <w:color w:val="000000"/>
          <w:sz w:val="26"/>
          <w:szCs w:val="26"/>
        </w:rPr>
      </w:pPr>
      <w:r w:rsidRPr="00C06BDC">
        <w:rPr>
          <w:rStyle w:val="FootnoteReference"/>
          <w:rFonts w:ascii="Times New Roman" w:hAnsi="Times New Roman" w:cs="Times New Roman"/>
          <w:sz w:val="26"/>
          <w:szCs w:val="26"/>
        </w:rPr>
        <w:footnoteRef/>
      </w:r>
      <w:r w:rsidRPr="00C06BDC">
        <w:rPr>
          <w:rFonts w:ascii="Times New Roman" w:hAnsi="Times New Roman" w:cs="Times New Roman"/>
          <w:sz w:val="26"/>
          <w:szCs w:val="26"/>
        </w:rPr>
        <w:t xml:space="preserve"> </w:t>
      </w:r>
      <w:r w:rsidRPr="00C06BDC">
        <w:rPr>
          <w:rFonts w:ascii="Times New Roman" w:hAnsi="Times New Roman" w:cs="Times New Roman"/>
          <w:sz w:val="26"/>
          <w:szCs w:val="26"/>
        </w:rPr>
        <w:tab/>
      </w:r>
      <w:r w:rsidRPr="00C06BDC">
        <w:rPr>
          <w:rFonts w:ascii="Times New Roman" w:eastAsia="Calibri" w:hAnsi="Times New Roman" w:cs="Times New Roman"/>
          <w:color w:val="000000"/>
          <w:sz w:val="26"/>
          <w:szCs w:val="26"/>
        </w:rPr>
        <w:t xml:space="preserve">We note that the ALJ’s conclusion was based, in part, upon the Commission’s decision in </w:t>
      </w:r>
      <w:r w:rsidRPr="00C06BDC">
        <w:rPr>
          <w:rFonts w:ascii="Times New Roman" w:eastAsia="Calibri" w:hAnsi="Times New Roman" w:cs="Times New Roman"/>
          <w:i/>
          <w:iCs/>
          <w:color w:val="000000"/>
          <w:sz w:val="26"/>
          <w:szCs w:val="26"/>
        </w:rPr>
        <w:t>Columbia</w:t>
      </w:r>
      <w:r w:rsidRPr="00C06BDC">
        <w:rPr>
          <w:rFonts w:ascii="Times New Roman" w:eastAsia="Calibri" w:hAnsi="Times New Roman" w:cs="Times New Roman"/>
          <w:color w:val="000000"/>
          <w:sz w:val="26"/>
          <w:szCs w:val="26"/>
        </w:rPr>
        <w:t xml:space="preserve">.  As previously discussed, </w:t>
      </w:r>
      <w:r w:rsidRPr="00C06BDC">
        <w:rPr>
          <w:rFonts w:ascii="Times New Roman" w:eastAsia="Calibri" w:hAnsi="Times New Roman" w:cs="Times New Roman"/>
          <w:i/>
          <w:iCs/>
          <w:color w:val="000000"/>
          <w:sz w:val="26"/>
          <w:szCs w:val="26"/>
        </w:rPr>
        <w:t>supra</w:t>
      </w:r>
      <w:r w:rsidRPr="00C06BDC">
        <w:rPr>
          <w:rFonts w:ascii="Times New Roman" w:eastAsia="Calibri" w:hAnsi="Times New Roman" w:cs="Times New Roman"/>
          <w:color w:val="000000"/>
          <w:sz w:val="26"/>
          <w:szCs w:val="26"/>
        </w:rPr>
        <w:t xml:space="preserve">., we conclude the ALJ erred in applying </w:t>
      </w:r>
      <w:r w:rsidRPr="00C06BDC">
        <w:rPr>
          <w:rFonts w:ascii="Times New Roman" w:eastAsia="Calibri" w:hAnsi="Times New Roman" w:cs="Times New Roman"/>
          <w:i/>
          <w:iCs/>
          <w:color w:val="000000"/>
          <w:sz w:val="26"/>
          <w:szCs w:val="26"/>
        </w:rPr>
        <w:t xml:space="preserve">Columbia </w:t>
      </w:r>
      <w:r w:rsidRPr="00C06BDC">
        <w:rPr>
          <w:rFonts w:ascii="Times New Roman" w:eastAsia="Calibri" w:hAnsi="Times New Roman" w:cs="Times New Roman"/>
          <w:color w:val="000000"/>
          <w:sz w:val="26"/>
          <w:szCs w:val="26"/>
        </w:rPr>
        <w:t xml:space="preserve">in the present case.  </w:t>
      </w:r>
      <w:r w:rsidRPr="00C06BDC">
        <w:rPr>
          <w:rFonts w:ascii="Times New Roman" w:eastAsia="Calibri" w:hAnsi="Times New Roman" w:cs="Times New Roman"/>
          <w:i/>
          <w:iCs/>
          <w:color w:val="000000"/>
          <w:sz w:val="26"/>
          <w:szCs w:val="26"/>
        </w:rPr>
        <w:t xml:space="preserve">Columbia, </w:t>
      </w:r>
      <w:r w:rsidRPr="00C06BDC">
        <w:rPr>
          <w:rFonts w:ascii="Times New Roman" w:eastAsia="Calibri" w:hAnsi="Times New Roman" w:cs="Times New Roman"/>
          <w:color w:val="000000"/>
          <w:sz w:val="26"/>
          <w:szCs w:val="26"/>
        </w:rPr>
        <w:t xml:space="preserve">which is distinguishable on its facts, dealt only with the issue of “service” encompassing billing where a company provided on-bill billing service to non-affiliated third parties.  </w:t>
      </w:r>
      <w:r w:rsidRPr="00C06BDC">
        <w:rPr>
          <w:rFonts w:ascii="Times New Roman" w:eastAsia="Calibri" w:hAnsi="Times New Roman" w:cs="Times New Roman"/>
          <w:i/>
          <w:iCs/>
          <w:color w:val="000000"/>
          <w:sz w:val="26"/>
          <w:szCs w:val="26"/>
        </w:rPr>
        <w:t xml:space="preserve">Columbia </w:t>
      </w:r>
      <w:r w:rsidRPr="00C06BDC">
        <w:rPr>
          <w:rFonts w:ascii="Times New Roman" w:eastAsia="Calibri" w:hAnsi="Times New Roman" w:cs="Times New Roman"/>
          <w:color w:val="000000"/>
          <w:sz w:val="26"/>
          <w:szCs w:val="26"/>
        </w:rPr>
        <w:t>did not create a rule that if a company itself offered a billing service, it must also provide that billing service for any third party (as against itself) or be found to be in violation of Section</w:t>
      </w:r>
      <w:r w:rsidR="00CB06ED" w:rsidRPr="00C06BDC">
        <w:rPr>
          <w:rFonts w:ascii="Times New Roman" w:eastAsia="Calibri" w:hAnsi="Times New Roman" w:cs="Times New Roman"/>
          <w:color w:val="000000"/>
          <w:sz w:val="26"/>
          <w:szCs w:val="26"/>
        </w:rPr>
        <w:t> </w:t>
      </w:r>
      <w:r w:rsidRPr="00C06BDC">
        <w:rPr>
          <w:rFonts w:ascii="Times New Roman" w:eastAsia="Calibri" w:hAnsi="Times New Roman" w:cs="Times New Roman"/>
          <w:color w:val="000000"/>
          <w:sz w:val="26"/>
          <w:szCs w:val="26"/>
        </w:rPr>
        <w:t xml:space="preserve">1502’s prohibition on discrimination in service. </w:t>
      </w:r>
    </w:p>
  </w:footnote>
  <w:footnote w:id="5">
    <w:p w14:paraId="4936CCBD" w14:textId="4304E41E" w:rsidR="00DD120C" w:rsidRPr="001B62FB" w:rsidRDefault="00DD120C" w:rsidP="00DD120C">
      <w:pPr>
        <w:pStyle w:val="FootnoteText"/>
        <w:ind w:firstLine="720"/>
        <w:rPr>
          <w:sz w:val="26"/>
          <w:szCs w:val="26"/>
        </w:rPr>
      </w:pPr>
      <w:r w:rsidRPr="00C06BDC">
        <w:rPr>
          <w:rStyle w:val="FootnoteReference"/>
          <w:sz w:val="26"/>
          <w:szCs w:val="26"/>
        </w:rPr>
        <w:footnoteRef/>
      </w:r>
      <w:r w:rsidRPr="00C06BDC">
        <w:rPr>
          <w:sz w:val="26"/>
          <w:szCs w:val="26"/>
        </w:rPr>
        <w:t xml:space="preserve"> </w:t>
      </w:r>
      <w:r w:rsidRPr="00C06BDC">
        <w:rPr>
          <w:sz w:val="26"/>
          <w:szCs w:val="26"/>
        </w:rPr>
        <w:tab/>
        <w:t>We also note that under the Act, the EDCs</w:t>
      </w:r>
      <w:r w:rsidR="001B62FB" w:rsidRPr="00C06BDC">
        <w:rPr>
          <w:sz w:val="26"/>
          <w:szCs w:val="26"/>
        </w:rPr>
        <w:t>’</w:t>
      </w:r>
      <w:r w:rsidRPr="00C06BDC">
        <w:rPr>
          <w:sz w:val="26"/>
          <w:szCs w:val="26"/>
        </w:rPr>
        <w:t xml:space="preserve"> duty to provide </w:t>
      </w:r>
      <w:r w:rsidR="001B62FB" w:rsidRPr="00C06BDC">
        <w:rPr>
          <w:sz w:val="26"/>
          <w:szCs w:val="26"/>
        </w:rPr>
        <w:t>customer billing service to EGSs is established under Section 2807(c), which explicitly refers to billing for “electric services” and no reference to non-commodity goods and services.</w:t>
      </w:r>
      <w:r w:rsidR="001B62FB" w:rsidRPr="001B62FB">
        <w:rPr>
          <w:sz w:val="26"/>
          <w:szCs w:val="26"/>
        </w:rPr>
        <w:t xml:space="preserve">  </w:t>
      </w:r>
    </w:p>
  </w:footnote>
  <w:footnote w:id="6">
    <w:p w14:paraId="69A88BB2" w14:textId="7C3EB955" w:rsidR="00B57F46" w:rsidRPr="00CB06ED" w:rsidRDefault="00B57F46" w:rsidP="00CB06ED">
      <w:pPr>
        <w:spacing w:after="0" w:line="240" w:lineRule="auto"/>
        <w:ind w:firstLine="720"/>
        <w:rPr>
          <w:rFonts w:ascii="Times New Roman" w:eastAsia="Calibri" w:hAnsi="Times New Roman" w:cs="Times New Roman"/>
          <w:color w:val="000000"/>
          <w:sz w:val="26"/>
          <w:szCs w:val="26"/>
        </w:rPr>
      </w:pPr>
      <w:r w:rsidRPr="00CB06ED">
        <w:rPr>
          <w:rStyle w:val="FootnoteReference"/>
          <w:rFonts w:ascii="Times New Roman" w:hAnsi="Times New Roman" w:cs="Times New Roman"/>
          <w:sz w:val="26"/>
          <w:szCs w:val="26"/>
        </w:rPr>
        <w:footnoteRef/>
      </w:r>
      <w:r w:rsidRPr="00CB06ED">
        <w:rPr>
          <w:rFonts w:ascii="Times New Roman" w:hAnsi="Times New Roman" w:cs="Times New Roman"/>
          <w:sz w:val="26"/>
          <w:szCs w:val="26"/>
        </w:rPr>
        <w:t xml:space="preserve"> </w:t>
      </w:r>
      <w:r w:rsidRPr="00CB06ED">
        <w:rPr>
          <w:rFonts w:ascii="Times New Roman" w:hAnsi="Times New Roman" w:cs="Times New Roman"/>
          <w:sz w:val="26"/>
          <w:szCs w:val="26"/>
        </w:rPr>
        <w:tab/>
      </w:r>
      <w:r w:rsidRPr="00CB06ED">
        <w:rPr>
          <w:rFonts w:ascii="Times New Roman" w:eastAsia="Calibri" w:hAnsi="Times New Roman" w:cs="Times New Roman"/>
          <w:color w:val="000000"/>
          <w:sz w:val="26"/>
          <w:szCs w:val="26"/>
        </w:rPr>
        <w:t xml:space="preserve">That is not to say that the EDCs could not run afoul of the prohibition of discrimination in service regarding billing which remains under Section 1502, if the circumstances like those presented in </w:t>
      </w:r>
      <w:r w:rsidRPr="00CB06ED">
        <w:rPr>
          <w:rFonts w:ascii="Times New Roman" w:eastAsia="Calibri" w:hAnsi="Times New Roman" w:cs="Times New Roman"/>
          <w:i/>
          <w:iCs/>
          <w:color w:val="000000"/>
          <w:sz w:val="26"/>
          <w:szCs w:val="26"/>
        </w:rPr>
        <w:t>Columbia</w:t>
      </w:r>
      <w:r w:rsidRPr="00CB06ED">
        <w:rPr>
          <w:rFonts w:ascii="Times New Roman" w:eastAsia="Calibri" w:hAnsi="Times New Roman" w:cs="Times New Roman"/>
          <w:color w:val="000000"/>
          <w:sz w:val="26"/>
          <w:szCs w:val="26"/>
        </w:rPr>
        <w:t xml:space="preserve"> should arise.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D5F"/>
    <w:multiLevelType w:val="multilevel"/>
    <w:tmpl w:val="D3D6439C"/>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04ED1C11"/>
    <w:multiLevelType w:val="hybridMultilevel"/>
    <w:tmpl w:val="63763E1E"/>
    <w:lvl w:ilvl="0" w:tplc="71764518">
      <w:start w:val="1"/>
      <w:numFmt w:val="decimal"/>
      <w:pStyle w:val="TOCH3"/>
      <w:lvlText w:val="%1."/>
      <w:lvlJc w:val="left"/>
      <w:pPr>
        <w:ind w:left="1080" w:hanging="360"/>
      </w:pPr>
      <w:rPr>
        <w:rFonts w:ascii="Times New Roman" w:hAnsi="Times New Roman" w:hint="default"/>
        <w:sz w:val="26"/>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2" w15:restartNumberingAfterBreak="0">
    <w:nsid w:val="09A24FB9"/>
    <w:multiLevelType w:val="multilevel"/>
    <w:tmpl w:val="839A16F8"/>
    <w:lvl w:ilvl="0">
      <w:start w:val="1"/>
      <w:numFmt w:val="decimal"/>
      <w:pStyle w:val="TOCH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CFB327E"/>
    <w:multiLevelType w:val="hybridMultilevel"/>
    <w:tmpl w:val="779AB3CA"/>
    <w:lvl w:ilvl="0" w:tplc="D636733C">
      <w:start w:val="1"/>
      <w:numFmt w:val="decimal"/>
      <w:lvlText w:val="%1."/>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18D356">
      <w:start w:val="1"/>
      <w:numFmt w:val="lowerLetter"/>
      <w:lvlText w:val="%2"/>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54E530">
      <w:start w:val="1"/>
      <w:numFmt w:val="lowerRoman"/>
      <w:lvlText w:val="%3"/>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0A1668">
      <w:start w:val="1"/>
      <w:numFmt w:val="decimal"/>
      <w:lvlText w:val="%4"/>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32137A">
      <w:start w:val="1"/>
      <w:numFmt w:val="lowerLetter"/>
      <w:lvlText w:val="%5"/>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FA091C">
      <w:start w:val="1"/>
      <w:numFmt w:val="lowerRoman"/>
      <w:lvlText w:val="%6"/>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5268D4">
      <w:start w:val="1"/>
      <w:numFmt w:val="decimal"/>
      <w:lvlText w:val="%7"/>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7C0700">
      <w:start w:val="1"/>
      <w:numFmt w:val="lowerLetter"/>
      <w:lvlText w:val="%8"/>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44989C">
      <w:start w:val="1"/>
      <w:numFmt w:val="lowerRoman"/>
      <w:lvlText w:val="%9"/>
      <w:lvlJc w:val="left"/>
      <w:pPr>
        <w:ind w:left="6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0E1585"/>
    <w:multiLevelType w:val="hybridMultilevel"/>
    <w:tmpl w:val="56D49B94"/>
    <w:lvl w:ilvl="0" w:tplc="AA0408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DC215A"/>
    <w:multiLevelType w:val="hybridMultilevel"/>
    <w:tmpl w:val="81AE58FE"/>
    <w:lvl w:ilvl="0" w:tplc="43521C98">
      <w:start w:val="1"/>
      <w:numFmt w:val="decimal"/>
      <w:lvlText w:val="%1."/>
      <w:lvlJc w:val="left"/>
      <w:pPr>
        <w:ind w:left="2160" w:hanging="360"/>
      </w:pPr>
      <w:rPr>
        <w:rFonts w:ascii="Times New Roman" w:hAnsi="Times New Roman" w:hint="default"/>
        <w:sz w:val="2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24A600A"/>
    <w:multiLevelType w:val="hybridMultilevel"/>
    <w:tmpl w:val="D8EEA64E"/>
    <w:lvl w:ilvl="0" w:tplc="8738FB7A">
      <w:start w:val="1"/>
      <w:numFmt w:val="decimal"/>
      <w:pStyle w:val="Heading3"/>
      <w:lvlText w:val="%1."/>
      <w:lvlJc w:val="left"/>
      <w:pPr>
        <w:ind w:left="6480" w:hanging="360"/>
      </w:pPr>
      <w:rPr>
        <w:rFonts w:ascii="Times New Roman" w:hAnsi="Times New Roman" w:hint="default"/>
        <w:sz w:val="26"/>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7" w15:restartNumberingAfterBreak="0">
    <w:nsid w:val="432C363F"/>
    <w:multiLevelType w:val="multilevel"/>
    <w:tmpl w:val="9B1A9FE8"/>
    <w:lvl w:ilvl="0">
      <w:start w:val="1"/>
      <w:numFmt w:val="decimal"/>
      <w:pStyle w:val="TOCH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41B72B8"/>
    <w:multiLevelType w:val="multilevel"/>
    <w:tmpl w:val="9EEA02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7BF2C7E"/>
    <w:multiLevelType w:val="hybridMultilevel"/>
    <w:tmpl w:val="BAEEEDC6"/>
    <w:lvl w:ilvl="0" w:tplc="4A48FF5A">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F5D3FBD"/>
    <w:multiLevelType w:val="hybridMultilevel"/>
    <w:tmpl w:val="310AD7E2"/>
    <w:lvl w:ilvl="0" w:tplc="48820618">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B33302"/>
    <w:multiLevelType w:val="hybridMultilevel"/>
    <w:tmpl w:val="5FACD36E"/>
    <w:lvl w:ilvl="0" w:tplc="3EC42EB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3177B8F"/>
    <w:multiLevelType w:val="hybridMultilevel"/>
    <w:tmpl w:val="EBCC8742"/>
    <w:lvl w:ilvl="0" w:tplc="821CEFA4">
      <w:start w:val="1"/>
      <w:numFmt w:val="upperLetter"/>
      <w:lvlText w:val="%1."/>
      <w:lvlJc w:val="left"/>
      <w:pPr>
        <w:ind w:left="3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77570CF9"/>
    <w:multiLevelType w:val="multilevel"/>
    <w:tmpl w:val="97807182"/>
    <w:lvl w:ilvl="0">
      <w:start w:val="1"/>
      <w:numFmt w:val="decimal"/>
      <w:pStyle w:val="TOCH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2"/>
  </w:num>
  <w:num w:numId="2">
    <w:abstractNumId w:val="2"/>
  </w:num>
  <w:num w:numId="3">
    <w:abstractNumId w:val="5"/>
  </w:num>
  <w:num w:numId="4">
    <w:abstractNumId w:val="13"/>
  </w:num>
  <w:num w:numId="5">
    <w:abstractNumId w:val="9"/>
  </w:num>
  <w:num w:numId="6">
    <w:abstractNumId w:val="7"/>
  </w:num>
  <w:num w:numId="7">
    <w:abstractNumId w:val="6"/>
  </w:num>
  <w:num w:numId="8">
    <w:abstractNumId w:val="1"/>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8"/>
  </w:num>
  <w:num w:numId="17">
    <w:abstractNumId w:val="10"/>
  </w:num>
  <w:num w:numId="18">
    <w:abstractNumId w:val="11"/>
  </w:num>
  <w:num w:numId="19">
    <w:abstractNumId w:val="0"/>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3F9"/>
    <w:rsid w:val="00004A20"/>
    <w:rsid w:val="00004D38"/>
    <w:rsid w:val="00010C74"/>
    <w:rsid w:val="0001470B"/>
    <w:rsid w:val="000149B0"/>
    <w:rsid w:val="000224BF"/>
    <w:rsid w:val="00035650"/>
    <w:rsid w:val="0005259A"/>
    <w:rsid w:val="00060FF4"/>
    <w:rsid w:val="00073A25"/>
    <w:rsid w:val="000875F7"/>
    <w:rsid w:val="000A2735"/>
    <w:rsid w:val="000A40CD"/>
    <w:rsid w:val="000A7B94"/>
    <w:rsid w:val="000B6352"/>
    <w:rsid w:val="000D1461"/>
    <w:rsid w:val="000D5337"/>
    <w:rsid w:val="000D5C21"/>
    <w:rsid w:val="000D6157"/>
    <w:rsid w:val="000D6F11"/>
    <w:rsid w:val="000F2635"/>
    <w:rsid w:val="001022B4"/>
    <w:rsid w:val="001056AD"/>
    <w:rsid w:val="00111C01"/>
    <w:rsid w:val="00113BC9"/>
    <w:rsid w:val="00115129"/>
    <w:rsid w:val="0012624F"/>
    <w:rsid w:val="00140012"/>
    <w:rsid w:val="0014077A"/>
    <w:rsid w:val="00166B50"/>
    <w:rsid w:val="00184E09"/>
    <w:rsid w:val="00184F05"/>
    <w:rsid w:val="00185B20"/>
    <w:rsid w:val="001A0012"/>
    <w:rsid w:val="001A0593"/>
    <w:rsid w:val="001A341B"/>
    <w:rsid w:val="001A481E"/>
    <w:rsid w:val="001A7DC2"/>
    <w:rsid w:val="001B1209"/>
    <w:rsid w:val="001B62FB"/>
    <w:rsid w:val="001B7763"/>
    <w:rsid w:val="001C625A"/>
    <w:rsid w:val="001F057C"/>
    <w:rsid w:val="001F5109"/>
    <w:rsid w:val="002000D7"/>
    <w:rsid w:val="002016A7"/>
    <w:rsid w:val="00203849"/>
    <w:rsid w:val="0020650F"/>
    <w:rsid w:val="00207238"/>
    <w:rsid w:val="00216EE1"/>
    <w:rsid w:val="00223E11"/>
    <w:rsid w:val="00232EF1"/>
    <w:rsid w:val="00233F8A"/>
    <w:rsid w:val="0023687B"/>
    <w:rsid w:val="0024795F"/>
    <w:rsid w:val="00254BC5"/>
    <w:rsid w:val="002616E5"/>
    <w:rsid w:val="00263F7E"/>
    <w:rsid w:val="0027027A"/>
    <w:rsid w:val="00271373"/>
    <w:rsid w:val="00284D05"/>
    <w:rsid w:val="00286A55"/>
    <w:rsid w:val="002919F3"/>
    <w:rsid w:val="00293E7C"/>
    <w:rsid w:val="002A4B67"/>
    <w:rsid w:val="002B0697"/>
    <w:rsid w:val="002B1719"/>
    <w:rsid w:val="002C1BCB"/>
    <w:rsid w:val="002C28F0"/>
    <w:rsid w:val="002C5864"/>
    <w:rsid w:val="002E1357"/>
    <w:rsid w:val="002E2058"/>
    <w:rsid w:val="002E2C53"/>
    <w:rsid w:val="002E52CA"/>
    <w:rsid w:val="002F2655"/>
    <w:rsid w:val="00301D96"/>
    <w:rsid w:val="003042E9"/>
    <w:rsid w:val="0030636C"/>
    <w:rsid w:val="00322B86"/>
    <w:rsid w:val="00323B02"/>
    <w:rsid w:val="00331751"/>
    <w:rsid w:val="0034231E"/>
    <w:rsid w:val="00342BC4"/>
    <w:rsid w:val="00347B4A"/>
    <w:rsid w:val="003503C3"/>
    <w:rsid w:val="00352457"/>
    <w:rsid w:val="00354B19"/>
    <w:rsid w:val="00363118"/>
    <w:rsid w:val="00363450"/>
    <w:rsid w:val="00363E44"/>
    <w:rsid w:val="00365AD7"/>
    <w:rsid w:val="00367B7A"/>
    <w:rsid w:val="003711D1"/>
    <w:rsid w:val="0037240A"/>
    <w:rsid w:val="00373913"/>
    <w:rsid w:val="00385EE7"/>
    <w:rsid w:val="0039006F"/>
    <w:rsid w:val="0039221C"/>
    <w:rsid w:val="003C1D34"/>
    <w:rsid w:val="003C50B6"/>
    <w:rsid w:val="003C56BC"/>
    <w:rsid w:val="003D0692"/>
    <w:rsid w:val="003D5E2F"/>
    <w:rsid w:val="003E3038"/>
    <w:rsid w:val="003E5C59"/>
    <w:rsid w:val="003F78EF"/>
    <w:rsid w:val="00402ED5"/>
    <w:rsid w:val="00415D8D"/>
    <w:rsid w:val="00415FCA"/>
    <w:rsid w:val="00420E92"/>
    <w:rsid w:val="004210E5"/>
    <w:rsid w:val="0042737F"/>
    <w:rsid w:val="0043035C"/>
    <w:rsid w:val="00430D86"/>
    <w:rsid w:val="00430FD3"/>
    <w:rsid w:val="0043598F"/>
    <w:rsid w:val="00441C94"/>
    <w:rsid w:val="00463677"/>
    <w:rsid w:val="00465E64"/>
    <w:rsid w:val="00472375"/>
    <w:rsid w:val="00475002"/>
    <w:rsid w:val="00482404"/>
    <w:rsid w:val="00492EB0"/>
    <w:rsid w:val="004B0804"/>
    <w:rsid w:val="004B6ABC"/>
    <w:rsid w:val="004C3137"/>
    <w:rsid w:val="004C7ED6"/>
    <w:rsid w:val="004D52A9"/>
    <w:rsid w:val="004E5731"/>
    <w:rsid w:val="004E7DEA"/>
    <w:rsid w:val="004F32C0"/>
    <w:rsid w:val="004F575A"/>
    <w:rsid w:val="004F58D6"/>
    <w:rsid w:val="00500C27"/>
    <w:rsid w:val="005029D6"/>
    <w:rsid w:val="005033CA"/>
    <w:rsid w:val="00514B50"/>
    <w:rsid w:val="00524F3D"/>
    <w:rsid w:val="0053110B"/>
    <w:rsid w:val="00535BC5"/>
    <w:rsid w:val="00537F44"/>
    <w:rsid w:val="00555BD4"/>
    <w:rsid w:val="005632A7"/>
    <w:rsid w:val="00574BFD"/>
    <w:rsid w:val="00577BEF"/>
    <w:rsid w:val="005810E1"/>
    <w:rsid w:val="0058490E"/>
    <w:rsid w:val="00587836"/>
    <w:rsid w:val="00590D3E"/>
    <w:rsid w:val="00596B34"/>
    <w:rsid w:val="00596E21"/>
    <w:rsid w:val="005B0468"/>
    <w:rsid w:val="005B26BF"/>
    <w:rsid w:val="005B2933"/>
    <w:rsid w:val="005B3943"/>
    <w:rsid w:val="005B7190"/>
    <w:rsid w:val="005C714A"/>
    <w:rsid w:val="005D39E1"/>
    <w:rsid w:val="005E463F"/>
    <w:rsid w:val="005F5F01"/>
    <w:rsid w:val="006002A0"/>
    <w:rsid w:val="00605EFE"/>
    <w:rsid w:val="00606AA9"/>
    <w:rsid w:val="006070EE"/>
    <w:rsid w:val="00612BEA"/>
    <w:rsid w:val="006204E9"/>
    <w:rsid w:val="0062456D"/>
    <w:rsid w:val="0062621D"/>
    <w:rsid w:val="0062736E"/>
    <w:rsid w:val="00634DF9"/>
    <w:rsid w:val="00635E51"/>
    <w:rsid w:val="00647C1B"/>
    <w:rsid w:val="00655708"/>
    <w:rsid w:val="00662F44"/>
    <w:rsid w:val="00667394"/>
    <w:rsid w:val="00667980"/>
    <w:rsid w:val="0067029F"/>
    <w:rsid w:val="006703D3"/>
    <w:rsid w:val="00683C39"/>
    <w:rsid w:val="0069285F"/>
    <w:rsid w:val="00696CEA"/>
    <w:rsid w:val="006A0636"/>
    <w:rsid w:val="006A4AB1"/>
    <w:rsid w:val="006A749C"/>
    <w:rsid w:val="006B035C"/>
    <w:rsid w:val="006B03BE"/>
    <w:rsid w:val="006B137C"/>
    <w:rsid w:val="006B713F"/>
    <w:rsid w:val="006C45DA"/>
    <w:rsid w:val="006C74A2"/>
    <w:rsid w:val="006D0234"/>
    <w:rsid w:val="006D0619"/>
    <w:rsid w:val="006D79E1"/>
    <w:rsid w:val="006E0DFB"/>
    <w:rsid w:val="006E2F65"/>
    <w:rsid w:val="006E55F4"/>
    <w:rsid w:val="006E77B9"/>
    <w:rsid w:val="006F1639"/>
    <w:rsid w:val="00702E37"/>
    <w:rsid w:val="007115EA"/>
    <w:rsid w:val="007154D9"/>
    <w:rsid w:val="0071703A"/>
    <w:rsid w:val="007176B0"/>
    <w:rsid w:val="007209DB"/>
    <w:rsid w:val="007221AD"/>
    <w:rsid w:val="0072348A"/>
    <w:rsid w:val="00731381"/>
    <w:rsid w:val="007338F3"/>
    <w:rsid w:val="00737C1F"/>
    <w:rsid w:val="00745F48"/>
    <w:rsid w:val="00754993"/>
    <w:rsid w:val="00754D8C"/>
    <w:rsid w:val="00756819"/>
    <w:rsid w:val="00770848"/>
    <w:rsid w:val="0079590C"/>
    <w:rsid w:val="007A41FA"/>
    <w:rsid w:val="007B15F4"/>
    <w:rsid w:val="007C43B2"/>
    <w:rsid w:val="007C4C7F"/>
    <w:rsid w:val="007D03AC"/>
    <w:rsid w:val="007D3056"/>
    <w:rsid w:val="007D313E"/>
    <w:rsid w:val="007D56E8"/>
    <w:rsid w:val="007E057D"/>
    <w:rsid w:val="007E10F0"/>
    <w:rsid w:val="007E5016"/>
    <w:rsid w:val="007E66E5"/>
    <w:rsid w:val="007F69BA"/>
    <w:rsid w:val="00803033"/>
    <w:rsid w:val="00814F35"/>
    <w:rsid w:val="008157FC"/>
    <w:rsid w:val="00841BED"/>
    <w:rsid w:val="008434CA"/>
    <w:rsid w:val="008612E2"/>
    <w:rsid w:val="00863899"/>
    <w:rsid w:val="00865FDF"/>
    <w:rsid w:val="008754CD"/>
    <w:rsid w:val="00875D37"/>
    <w:rsid w:val="00883005"/>
    <w:rsid w:val="008851A0"/>
    <w:rsid w:val="00893B51"/>
    <w:rsid w:val="008A3A3D"/>
    <w:rsid w:val="008A53C7"/>
    <w:rsid w:val="008A649E"/>
    <w:rsid w:val="008B5BEB"/>
    <w:rsid w:val="008B6ABB"/>
    <w:rsid w:val="008B76B4"/>
    <w:rsid w:val="008C4A0F"/>
    <w:rsid w:val="008D5A3A"/>
    <w:rsid w:val="008D7325"/>
    <w:rsid w:val="008E0728"/>
    <w:rsid w:val="008F20F5"/>
    <w:rsid w:val="008F3678"/>
    <w:rsid w:val="00905F54"/>
    <w:rsid w:val="009163F0"/>
    <w:rsid w:val="00921D21"/>
    <w:rsid w:val="00944EDD"/>
    <w:rsid w:val="00947578"/>
    <w:rsid w:val="009520F0"/>
    <w:rsid w:val="0095690F"/>
    <w:rsid w:val="00960B6E"/>
    <w:rsid w:val="009614DC"/>
    <w:rsid w:val="0096625C"/>
    <w:rsid w:val="009663C2"/>
    <w:rsid w:val="009722F0"/>
    <w:rsid w:val="009760CC"/>
    <w:rsid w:val="0098346D"/>
    <w:rsid w:val="00997283"/>
    <w:rsid w:val="009A55E2"/>
    <w:rsid w:val="009B0246"/>
    <w:rsid w:val="009B3259"/>
    <w:rsid w:val="009B4D26"/>
    <w:rsid w:val="009C6304"/>
    <w:rsid w:val="009D1C9E"/>
    <w:rsid w:val="009F4D2F"/>
    <w:rsid w:val="00A0251F"/>
    <w:rsid w:val="00A05021"/>
    <w:rsid w:val="00A13EDF"/>
    <w:rsid w:val="00A1791B"/>
    <w:rsid w:val="00A31FD2"/>
    <w:rsid w:val="00A478FD"/>
    <w:rsid w:val="00A57D26"/>
    <w:rsid w:val="00A60D90"/>
    <w:rsid w:val="00A66230"/>
    <w:rsid w:val="00A724D1"/>
    <w:rsid w:val="00A85678"/>
    <w:rsid w:val="00AA05F3"/>
    <w:rsid w:val="00AA35F2"/>
    <w:rsid w:val="00AB2687"/>
    <w:rsid w:val="00AB6ECD"/>
    <w:rsid w:val="00AB7889"/>
    <w:rsid w:val="00AC33CC"/>
    <w:rsid w:val="00AC4997"/>
    <w:rsid w:val="00AE2DAF"/>
    <w:rsid w:val="00AF5664"/>
    <w:rsid w:val="00AF7E05"/>
    <w:rsid w:val="00B20E07"/>
    <w:rsid w:val="00B21AC3"/>
    <w:rsid w:val="00B22CF9"/>
    <w:rsid w:val="00B23CE8"/>
    <w:rsid w:val="00B24860"/>
    <w:rsid w:val="00B30FA8"/>
    <w:rsid w:val="00B3767A"/>
    <w:rsid w:val="00B37FCE"/>
    <w:rsid w:val="00B4219F"/>
    <w:rsid w:val="00B4769F"/>
    <w:rsid w:val="00B47C6C"/>
    <w:rsid w:val="00B513F9"/>
    <w:rsid w:val="00B57F46"/>
    <w:rsid w:val="00B61185"/>
    <w:rsid w:val="00B61870"/>
    <w:rsid w:val="00B63FB0"/>
    <w:rsid w:val="00B64ADE"/>
    <w:rsid w:val="00B740DA"/>
    <w:rsid w:val="00B872B9"/>
    <w:rsid w:val="00BA17C7"/>
    <w:rsid w:val="00BA196E"/>
    <w:rsid w:val="00BC43CB"/>
    <w:rsid w:val="00BC6181"/>
    <w:rsid w:val="00BD2A0C"/>
    <w:rsid w:val="00BD2CE8"/>
    <w:rsid w:val="00BE04EC"/>
    <w:rsid w:val="00BE6062"/>
    <w:rsid w:val="00BF1179"/>
    <w:rsid w:val="00BF3634"/>
    <w:rsid w:val="00BF65B4"/>
    <w:rsid w:val="00BF6F01"/>
    <w:rsid w:val="00C06BDC"/>
    <w:rsid w:val="00C11BE9"/>
    <w:rsid w:val="00C126C1"/>
    <w:rsid w:val="00C1295E"/>
    <w:rsid w:val="00C177B0"/>
    <w:rsid w:val="00C23E63"/>
    <w:rsid w:val="00C24A7F"/>
    <w:rsid w:val="00C25CBA"/>
    <w:rsid w:val="00C26E4E"/>
    <w:rsid w:val="00C36AD0"/>
    <w:rsid w:val="00C37D2F"/>
    <w:rsid w:val="00C42FB1"/>
    <w:rsid w:val="00C45C95"/>
    <w:rsid w:val="00C50A02"/>
    <w:rsid w:val="00C531FC"/>
    <w:rsid w:val="00C62F57"/>
    <w:rsid w:val="00C64AD6"/>
    <w:rsid w:val="00C666E3"/>
    <w:rsid w:val="00C66D7E"/>
    <w:rsid w:val="00C71013"/>
    <w:rsid w:val="00C71EB6"/>
    <w:rsid w:val="00C72B7A"/>
    <w:rsid w:val="00C73575"/>
    <w:rsid w:val="00C74463"/>
    <w:rsid w:val="00C80092"/>
    <w:rsid w:val="00C80A79"/>
    <w:rsid w:val="00C84D77"/>
    <w:rsid w:val="00C94223"/>
    <w:rsid w:val="00CA3E40"/>
    <w:rsid w:val="00CB06ED"/>
    <w:rsid w:val="00CB3116"/>
    <w:rsid w:val="00CB78E6"/>
    <w:rsid w:val="00CD058B"/>
    <w:rsid w:val="00CD3353"/>
    <w:rsid w:val="00CE06C5"/>
    <w:rsid w:val="00CE4629"/>
    <w:rsid w:val="00CE7881"/>
    <w:rsid w:val="00D01E0F"/>
    <w:rsid w:val="00D02B1A"/>
    <w:rsid w:val="00D075C3"/>
    <w:rsid w:val="00D22EBB"/>
    <w:rsid w:val="00D27373"/>
    <w:rsid w:val="00D30CF9"/>
    <w:rsid w:val="00D336C6"/>
    <w:rsid w:val="00D35869"/>
    <w:rsid w:val="00D35F7B"/>
    <w:rsid w:val="00D50972"/>
    <w:rsid w:val="00D52C9F"/>
    <w:rsid w:val="00D578B0"/>
    <w:rsid w:val="00D601B9"/>
    <w:rsid w:val="00D6186F"/>
    <w:rsid w:val="00D65E71"/>
    <w:rsid w:val="00D71E1F"/>
    <w:rsid w:val="00D7568B"/>
    <w:rsid w:val="00D818FD"/>
    <w:rsid w:val="00D835DC"/>
    <w:rsid w:val="00D84A02"/>
    <w:rsid w:val="00D87DCD"/>
    <w:rsid w:val="00DB0A7F"/>
    <w:rsid w:val="00DB0CF3"/>
    <w:rsid w:val="00DB6BC6"/>
    <w:rsid w:val="00DC1021"/>
    <w:rsid w:val="00DC1AA9"/>
    <w:rsid w:val="00DC699E"/>
    <w:rsid w:val="00DC7B4C"/>
    <w:rsid w:val="00DD038F"/>
    <w:rsid w:val="00DD120C"/>
    <w:rsid w:val="00DD129D"/>
    <w:rsid w:val="00DD29E0"/>
    <w:rsid w:val="00DD36CC"/>
    <w:rsid w:val="00DD5EAE"/>
    <w:rsid w:val="00DE1D68"/>
    <w:rsid w:val="00DE5088"/>
    <w:rsid w:val="00DE6B67"/>
    <w:rsid w:val="00DE6B6F"/>
    <w:rsid w:val="00DF7702"/>
    <w:rsid w:val="00E03C18"/>
    <w:rsid w:val="00E11704"/>
    <w:rsid w:val="00E1534F"/>
    <w:rsid w:val="00E236C8"/>
    <w:rsid w:val="00E23790"/>
    <w:rsid w:val="00E23E02"/>
    <w:rsid w:val="00E2434C"/>
    <w:rsid w:val="00E26F1E"/>
    <w:rsid w:val="00E36ED0"/>
    <w:rsid w:val="00E532FF"/>
    <w:rsid w:val="00E54424"/>
    <w:rsid w:val="00E66A7C"/>
    <w:rsid w:val="00E71B55"/>
    <w:rsid w:val="00E8202D"/>
    <w:rsid w:val="00E83AC1"/>
    <w:rsid w:val="00E9022F"/>
    <w:rsid w:val="00E922F3"/>
    <w:rsid w:val="00E966FE"/>
    <w:rsid w:val="00EB2E54"/>
    <w:rsid w:val="00EB447F"/>
    <w:rsid w:val="00EC18FE"/>
    <w:rsid w:val="00EC28A5"/>
    <w:rsid w:val="00EC3738"/>
    <w:rsid w:val="00EC7519"/>
    <w:rsid w:val="00ED00F4"/>
    <w:rsid w:val="00ED656B"/>
    <w:rsid w:val="00EE32E1"/>
    <w:rsid w:val="00EE3507"/>
    <w:rsid w:val="00EF385D"/>
    <w:rsid w:val="00EF68D1"/>
    <w:rsid w:val="00F044CC"/>
    <w:rsid w:val="00F135F0"/>
    <w:rsid w:val="00F230BE"/>
    <w:rsid w:val="00F35D59"/>
    <w:rsid w:val="00F36483"/>
    <w:rsid w:val="00F406E9"/>
    <w:rsid w:val="00F543AE"/>
    <w:rsid w:val="00F60BAC"/>
    <w:rsid w:val="00F7038C"/>
    <w:rsid w:val="00F72917"/>
    <w:rsid w:val="00F743C3"/>
    <w:rsid w:val="00F824A0"/>
    <w:rsid w:val="00F90CBF"/>
    <w:rsid w:val="00F9156E"/>
    <w:rsid w:val="00FA78CD"/>
    <w:rsid w:val="00FC060D"/>
    <w:rsid w:val="00FC10F3"/>
    <w:rsid w:val="00FC1F49"/>
    <w:rsid w:val="00FC655A"/>
    <w:rsid w:val="00FC6586"/>
    <w:rsid w:val="00FD0ECA"/>
    <w:rsid w:val="00FE1922"/>
    <w:rsid w:val="00FE235D"/>
    <w:rsid w:val="00FE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46B1F"/>
  <w15:chartTrackingRefBased/>
  <w15:docId w15:val="{9CC7CED6-A2C1-44C1-B87D-4C4B9182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3F9"/>
    <w:rPr>
      <w:rFonts w:eastAsiaTheme="minorHAnsi"/>
    </w:rPr>
  </w:style>
  <w:style w:type="paragraph" w:styleId="Heading1">
    <w:name w:val="heading 1"/>
    <w:basedOn w:val="Normal"/>
    <w:next w:val="Normal"/>
    <w:link w:val="Heading1Char"/>
    <w:uiPriority w:val="9"/>
    <w:qFormat/>
    <w:rsid w:val="00B513F9"/>
    <w:pPr>
      <w:keepNext/>
      <w:keepLines/>
      <w:spacing w:after="0" w:line="360" w:lineRule="auto"/>
      <w:ind w:left="10" w:right="50" w:hanging="10"/>
      <w:jc w:val="center"/>
      <w:outlineLvl w:val="0"/>
    </w:pPr>
    <w:rPr>
      <w:rFonts w:ascii="Times New Roman" w:eastAsiaTheme="majorEastAsia" w:hAnsi="Times New Roman" w:cs="Times New Roman"/>
      <w:b/>
      <w:bCs/>
      <w:sz w:val="26"/>
      <w:szCs w:val="26"/>
      <w:u w:color="000000"/>
    </w:rPr>
  </w:style>
  <w:style w:type="paragraph" w:styleId="Heading3">
    <w:name w:val="heading 3"/>
    <w:basedOn w:val="ListParagraph"/>
    <w:next w:val="Normal"/>
    <w:link w:val="Heading3Char"/>
    <w:uiPriority w:val="9"/>
    <w:unhideWhenUsed/>
    <w:qFormat/>
    <w:rsid w:val="00B513F9"/>
    <w:pPr>
      <w:numPr>
        <w:numId w:val="7"/>
      </w:numPr>
      <w:contextualSpacing w:val="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H2">
    <w:name w:val="TOC H 2"/>
    <w:basedOn w:val="ListParagraph"/>
    <w:link w:val="TOCH2Char"/>
    <w:autoRedefine/>
    <w:qFormat/>
    <w:rsid w:val="003503C3"/>
    <w:pPr>
      <w:numPr>
        <w:numId w:val="2"/>
      </w:numPr>
      <w:contextualSpacing w:val="0"/>
    </w:pPr>
    <w:rPr>
      <w:rFonts w:ascii="Times New Roman Bold" w:hAnsi="Times New Roman Bold"/>
      <w:b/>
      <w:bCs/>
      <w:szCs w:val="26"/>
    </w:rPr>
  </w:style>
  <w:style w:type="character" w:customStyle="1" w:styleId="TOCH2Char">
    <w:name w:val="TOC H 2 Char"/>
    <w:basedOn w:val="DefaultParagraphFont"/>
    <w:link w:val="TOCH2"/>
    <w:rsid w:val="003503C3"/>
    <w:rPr>
      <w:rFonts w:ascii="Times New Roman Bold" w:eastAsia="Times New Roman" w:hAnsi="Times New Roman Bold"/>
      <w:b/>
      <w:bCs/>
      <w:sz w:val="26"/>
      <w:szCs w:val="26"/>
    </w:rPr>
  </w:style>
  <w:style w:type="paragraph" w:styleId="ListParagraph">
    <w:name w:val="List Paragraph"/>
    <w:basedOn w:val="Normal"/>
    <w:link w:val="ListParagraphChar"/>
    <w:uiPriority w:val="34"/>
    <w:qFormat/>
    <w:rsid w:val="003503C3"/>
    <w:pPr>
      <w:ind w:left="720"/>
      <w:contextualSpacing/>
    </w:pPr>
  </w:style>
  <w:style w:type="paragraph" w:customStyle="1" w:styleId="TOCH4">
    <w:name w:val="TOC H 4"/>
    <w:basedOn w:val="Normal"/>
    <w:link w:val="TOCH4Char"/>
    <w:qFormat/>
    <w:rsid w:val="00BF3634"/>
    <w:pPr>
      <w:numPr>
        <w:numId w:val="4"/>
      </w:numPr>
      <w:ind w:left="2160" w:hanging="360"/>
      <w:jc w:val="both"/>
      <w:outlineLvl w:val="2"/>
    </w:pPr>
    <w:rPr>
      <w:bCs/>
      <w:szCs w:val="26"/>
    </w:rPr>
  </w:style>
  <w:style w:type="character" w:customStyle="1" w:styleId="TOCH4Char">
    <w:name w:val="TOC H 4 Char"/>
    <w:basedOn w:val="DefaultParagraphFont"/>
    <w:link w:val="TOCH4"/>
    <w:rsid w:val="00BF3634"/>
    <w:rPr>
      <w:rFonts w:eastAsia="Times New Roman"/>
      <w:bCs/>
      <w:sz w:val="26"/>
      <w:szCs w:val="26"/>
    </w:rPr>
  </w:style>
  <w:style w:type="paragraph" w:customStyle="1" w:styleId="TOCH5">
    <w:name w:val="TOC H 5"/>
    <w:basedOn w:val="TOCH4"/>
    <w:link w:val="TOCH5Char"/>
    <w:autoRedefine/>
    <w:qFormat/>
    <w:rsid w:val="00C94223"/>
    <w:pPr>
      <w:keepNext/>
      <w:numPr>
        <w:numId w:val="6"/>
      </w:numPr>
      <w:spacing w:line="240" w:lineRule="auto"/>
      <w:ind w:left="2520" w:hanging="360"/>
    </w:pPr>
    <w:rPr>
      <w:rFonts w:ascii="Times New Roman Bold" w:hAnsi="Times New Roman Bold"/>
      <w:b/>
      <w:bCs w:val="0"/>
    </w:rPr>
  </w:style>
  <w:style w:type="character" w:customStyle="1" w:styleId="TOCH5Char">
    <w:name w:val="TOC H 5 Char"/>
    <w:basedOn w:val="TOCH4Char"/>
    <w:link w:val="TOCH5"/>
    <w:rsid w:val="00C94223"/>
    <w:rPr>
      <w:rFonts w:ascii="Times New Roman Bold" w:eastAsia="Times New Roman" w:hAnsi="Times New Roman Bold"/>
      <w:b/>
      <w:bCs w:val="0"/>
      <w:sz w:val="26"/>
      <w:szCs w:val="26"/>
    </w:rPr>
  </w:style>
  <w:style w:type="character" w:customStyle="1" w:styleId="Heading1Char">
    <w:name w:val="Heading 1 Char"/>
    <w:basedOn w:val="DefaultParagraphFont"/>
    <w:link w:val="Heading1"/>
    <w:uiPriority w:val="9"/>
    <w:rsid w:val="00B513F9"/>
    <w:rPr>
      <w:rFonts w:ascii="Times New Roman" w:eastAsiaTheme="majorEastAsia" w:hAnsi="Times New Roman" w:cs="Times New Roman"/>
      <w:b/>
      <w:bCs/>
      <w:sz w:val="26"/>
      <w:szCs w:val="26"/>
      <w:u w:color="000000"/>
    </w:rPr>
  </w:style>
  <w:style w:type="character" w:customStyle="1" w:styleId="Heading3Char">
    <w:name w:val="Heading 3 Char"/>
    <w:basedOn w:val="DefaultParagraphFont"/>
    <w:link w:val="Heading3"/>
    <w:uiPriority w:val="9"/>
    <w:rsid w:val="00B513F9"/>
    <w:rPr>
      <w:rFonts w:ascii="Times New Roman" w:hAnsi="Times New Roman" w:cs="Times New Roman"/>
      <w:b/>
      <w:bCs/>
      <w:sz w:val="26"/>
      <w:szCs w:val="26"/>
    </w:rPr>
  </w:style>
  <w:style w:type="paragraph" w:styleId="Footer">
    <w:name w:val="footer"/>
    <w:basedOn w:val="Normal"/>
    <w:link w:val="FooterChar"/>
    <w:uiPriority w:val="99"/>
    <w:unhideWhenUsed/>
    <w:rsid w:val="00B513F9"/>
    <w:pPr>
      <w:tabs>
        <w:tab w:val="center" w:pos="4680"/>
        <w:tab w:val="right" w:pos="9360"/>
      </w:tabs>
      <w:spacing w:after="0" w:line="240" w:lineRule="auto"/>
      <w:ind w:left="10" w:right="50" w:hanging="10"/>
    </w:pPr>
    <w:rPr>
      <w:rFonts w:ascii="Times New Roman" w:eastAsia="Times New Roman" w:hAnsi="Times New Roman" w:cs="Times New Roman"/>
      <w:color w:val="000000"/>
      <w:sz w:val="24"/>
    </w:rPr>
  </w:style>
  <w:style w:type="character" w:customStyle="1" w:styleId="FooterChar">
    <w:name w:val="Footer Char"/>
    <w:basedOn w:val="DefaultParagraphFont"/>
    <w:link w:val="Footer"/>
    <w:uiPriority w:val="99"/>
    <w:rsid w:val="00B513F9"/>
    <w:rPr>
      <w:rFonts w:ascii="Times New Roman" w:hAnsi="Times New Roman" w:cs="Times New Roman"/>
      <w:color w:val="000000"/>
      <w:sz w:val="24"/>
    </w:rPr>
  </w:style>
  <w:style w:type="paragraph" w:customStyle="1" w:styleId="TOCH3">
    <w:name w:val="TOC H 3"/>
    <w:basedOn w:val="Heading3"/>
    <w:link w:val="TOCH3Char"/>
    <w:qFormat/>
    <w:rsid w:val="00B513F9"/>
    <w:pPr>
      <w:numPr>
        <w:numId w:val="8"/>
      </w:numPr>
      <w:ind w:left="1440" w:hanging="720"/>
    </w:pPr>
  </w:style>
  <w:style w:type="character" w:customStyle="1" w:styleId="ListParagraphChar">
    <w:name w:val="List Paragraph Char"/>
    <w:basedOn w:val="DefaultParagraphFont"/>
    <w:link w:val="ListParagraph"/>
    <w:uiPriority w:val="34"/>
    <w:rsid w:val="00B513F9"/>
    <w:rPr>
      <w:rFonts w:ascii="Times New Roman" w:hAnsi="Times New Roman" w:cs="Times New Roman"/>
      <w:color w:val="000000"/>
      <w:sz w:val="26"/>
    </w:rPr>
  </w:style>
  <w:style w:type="character" w:customStyle="1" w:styleId="TOCH3Char">
    <w:name w:val="TOC H 3 Char"/>
    <w:basedOn w:val="Heading3Char"/>
    <w:link w:val="TOCH3"/>
    <w:rsid w:val="00B513F9"/>
    <w:rPr>
      <w:rFonts w:ascii="Times New Roman" w:hAnsi="Times New Roman" w:cs="Times New Roman"/>
      <w:b/>
      <w:bCs/>
      <w:sz w:val="26"/>
      <w:szCs w:val="26"/>
    </w:rPr>
  </w:style>
  <w:style w:type="paragraph" w:styleId="NoSpacing">
    <w:name w:val="No Spacing"/>
    <w:uiPriority w:val="1"/>
    <w:qFormat/>
    <w:rsid w:val="00B513F9"/>
    <w:pPr>
      <w:tabs>
        <w:tab w:val="left" w:pos="1440"/>
      </w:tabs>
      <w:spacing w:after="0" w:line="240" w:lineRule="auto"/>
    </w:pPr>
    <w:rPr>
      <w:rFonts w:ascii="Times New Roman" w:hAnsi="Times New Roman" w:cs="Times New Roman"/>
      <w:sz w:val="24"/>
      <w:szCs w:val="20"/>
    </w:rPr>
  </w:style>
  <w:style w:type="paragraph" w:styleId="Header">
    <w:name w:val="header"/>
    <w:basedOn w:val="Normal"/>
    <w:link w:val="HeaderChar"/>
    <w:uiPriority w:val="99"/>
    <w:unhideWhenUsed/>
    <w:rsid w:val="00441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C94"/>
    <w:rPr>
      <w:rFonts w:eastAsiaTheme="minorHAnsi"/>
    </w:rPr>
  </w:style>
  <w:style w:type="paragraph" w:styleId="FootnoteText">
    <w:name w:val="footnote text"/>
    <w:basedOn w:val="Normal"/>
    <w:link w:val="FootnoteTextChar"/>
    <w:uiPriority w:val="99"/>
    <w:semiHidden/>
    <w:unhideWhenUsed/>
    <w:rsid w:val="00DC699E"/>
    <w:pPr>
      <w:widowControl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C699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C699E"/>
    <w:rPr>
      <w:vertAlign w:val="superscript"/>
    </w:rPr>
  </w:style>
  <w:style w:type="paragraph" w:customStyle="1" w:styleId="footnotedescription">
    <w:name w:val="footnote description"/>
    <w:next w:val="Normal"/>
    <w:link w:val="footnotedescriptionChar"/>
    <w:hidden/>
    <w:rsid w:val="0020650F"/>
    <w:pPr>
      <w:spacing w:after="0" w:line="247" w:lineRule="auto"/>
    </w:pPr>
    <w:rPr>
      <w:rFonts w:ascii="Times New Roman" w:hAnsi="Times New Roman" w:cs="Times New Roman"/>
      <w:color w:val="000000"/>
      <w:sz w:val="20"/>
    </w:rPr>
  </w:style>
  <w:style w:type="character" w:customStyle="1" w:styleId="footnotedescriptionChar">
    <w:name w:val="footnote description Char"/>
    <w:link w:val="footnotedescription"/>
    <w:rsid w:val="0020650F"/>
    <w:rPr>
      <w:rFonts w:ascii="Times New Roman" w:hAnsi="Times New Roman" w:cs="Times New Roman"/>
      <w:color w:val="000000"/>
      <w:sz w:val="20"/>
    </w:rPr>
  </w:style>
  <w:style w:type="numbering" w:customStyle="1" w:styleId="NoList1">
    <w:name w:val="No List1"/>
    <w:next w:val="NoList"/>
    <w:uiPriority w:val="99"/>
    <w:semiHidden/>
    <w:unhideWhenUsed/>
    <w:rsid w:val="00B57F46"/>
  </w:style>
  <w:style w:type="character" w:customStyle="1" w:styleId="footnotemark">
    <w:name w:val="footnote mark"/>
    <w:hidden/>
    <w:rsid w:val="00B57F46"/>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fd8e65c750cf44237df999a9ddbbec12">
  <xsd:schema xmlns:xsd="http://www.w3.org/2001/XMLSchema" xmlns:xs="http://www.w3.org/2001/XMLSchema" xmlns:p="http://schemas.microsoft.com/office/2006/metadata/properties" xmlns:ns3="e29d5ee1-a564-4572-908c-0357b19afe17" xmlns:ns4="c43417d6-f766-4d97-ae2e-b0103a28e04d" targetNamespace="http://schemas.microsoft.com/office/2006/metadata/properties" ma:root="true" ma:fieldsID="0dea24834c9f875ee6365e0d06164c1c" ns3:_="" ns4:_="">
    <xsd:import namespace="e29d5ee1-a564-4572-908c-0357b19afe17"/>
    <xsd:import namespace="c43417d6-f766-4d97-ae2e-b0103a28e0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18DDAA-D524-4514-B588-5EC754EC5972}">
  <ds:schemaRefs>
    <ds:schemaRef ds:uri="http://schemas.openxmlformats.org/officeDocument/2006/bibliography"/>
  </ds:schemaRefs>
</ds:datastoreItem>
</file>

<file path=customXml/itemProps2.xml><?xml version="1.0" encoding="utf-8"?>
<ds:datastoreItem xmlns:ds="http://schemas.openxmlformats.org/officeDocument/2006/customXml" ds:itemID="{C387342F-F01E-424F-A62E-270BE8713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c43417d6-f766-4d97-ae2e-b0103a28e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977A20-F3B6-4A96-AE83-8A00F2275AB4}">
  <ds:schemaRefs>
    <ds:schemaRef ds:uri="http://schemas.microsoft.com/sharepoint/v3/contenttype/forms"/>
  </ds:schemaRefs>
</ds:datastoreItem>
</file>

<file path=customXml/itemProps4.xml><?xml version="1.0" encoding="utf-8"?>
<ds:datastoreItem xmlns:ds="http://schemas.openxmlformats.org/officeDocument/2006/customXml" ds:itemID="{CD117860-E6CB-45AA-B22D-D20920F81A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7814</Words>
  <Characters>44545</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Reitenbach, Dawn</dc:creator>
  <cp:keywords/>
  <dc:description/>
  <cp:lastModifiedBy>Wagner, Nathan R</cp:lastModifiedBy>
  <cp:revision>2</cp:revision>
  <dcterms:created xsi:type="dcterms:W3CDTF">2021-08-26T15:17:00Z</dcterms:created>
  <dcterms:modified xsi:type="dcterms:W3CDTF">2021-08-26T15:17:00Z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